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27C91" w:rsidR="00227C91" w:rsidP="00227C91" w:rsidRDefault="00227C91" w14:paraId="1394714E" w14:textId="77777777">
      <w:pPr>
        <w:spacing w:after="0" w:line="240" w:lineRule="auto"/>
        <w:jc w:val="both"/>
        <w:rPr>
          <w:rFonts w:ascii="Arial" w:hAnsi="Arial" w:eastAsia="Calibri" w:cs="Arial"/>
          <w:b/>
          <w:bCs/>
          <w:color w:val="000000" w:themeColor="text1"/>
          <w:sz w:val="20"/>
          <w:szCs w:val="20"/>
        </w:rPr>
      </w:pPr>
      <w:bookmarkStart w:name="_Hlk94281581" w:id="0"/>
      <w:bookmarkStart w:name="_Hlk102489058" w:id="1"/>
      <w:bookmarkStart w:name="_Hlk34951122" w:id="2"/>
    </w:p>
    <w:p w:rsidRPr="00227C91" w:rsidR="00227C91" w:rsidP="00227C91" w:rsidRDefault="00227C91" w14:paraId="40CB6F3D" w14:textId="77777777">
      <w:pPr>
        <w:tabs>
          <w:tab w:val="left" w:pos="426"/>
        </w:tabs>
        <w:spacing w:line="240" w:lineRule="auto"/>
        <w:contextualSpacing/>
        <w:jc w:val="both"/>
        <w:rPr>
          <w:rFonts w:ascii="Arial" w:hAnsi="Arial" w:eastAsia="Calibri" w:cs="Arial"/>
          <w:b/>
          <w:bCs/>
          <w:lang w:val="es-MX"/>
        </w:rPr>
      </w:pPr>
      <w:bookmarkStart w:name="_Hlk77152637" w:id="3"/>
      <w:bookmarkStart w:name="_Hlk77157066" w:id="4"/>
      <w:bookmarkStart w:name="_Hlk78821436" w:id="5"/>
      <w:r w:rsidRPr="00227C91">
        <w:rPr>
          <w:rFonts w:ascii="Arial" w:hAnsi="Arial" w:eastAsia="Calibri" w:cs="Arial"/>
          <w:b/>
          <w:bCs/>
          <w:lang w:val="es-MX"/>
        </w:rPr>
        <w:t>LEY DE GARANTÍAS ELECTORALES ‒ Finalidad</w:t>
      </w:r>
    </w:p>
    <w:p w:rsidRPr="00227C91" w:rsidR="00227C91" w:rsidP="00227C91" w:rsidRDefault="00227C91" w14:paraId="57774FF3" w14:textId="77777777">
      <w:pPr>
        <w:tabs>
          <w:tab w:val="left" w:pos="426"/>
        </w:tabs>
        <w:spacing w:line="240" w:lineRule="auto"/>
        <w:contextualSpacing/>
        <w:jc w:val="both"/>
        <w:rPr>
          <w:rFonts w:ascii="Arial" w:hAnsi="Arial" w:eastAsia="Calibri" w:cs="Arial"/>
          <w:b/>
          <w:bCs/>
          <w:sz w:val="20"/>
          <w:szCs w:val="20"/>
          <w:lang w:val="es-MX"/>
        </w:rPr>
      </w:pPr>
    </w:p>
    <w:p w:rsidRPr="00227C91" w:rsidR="00227C91" w:rsidP="00227C91" w:rsidRDefault="00227C91" w14:paraId="1743007C" w14:textId="77777777">
      <w:pPr>
        <w:tabs>
          <w:tab w:val="left" w:pos="426"/>
        </w:tabs>
        <w:spacing w:line="240" w:lineRule="auto"/>
        <w:contextualSpacing/>
        <w:jc w:val="both"/>
        <w:rPr>
          <w:rFonts w:ascii="Arial" w:hAnsi="Arial" w:eastAsia="Times New Roman" w:cs="Arial"/>
          <w:bCs/>
          <w:sz w:val="20"/>
          <w:szCs w:val="20"/>
          <w:lang w:val="es-MX" w:eastAsia="es-CO"/>
        </w:rPr>
      </w:pPr>
      <w:r w:rsidRPr="00227C91">
        <w:rPr>
          <w:rFonts w:ascii="Arial" w:hAnsi="Arial" w:eastAsia="Calibri" w:cs="Arial"/>
          <w:noProof/>
          <w:sz w:val="20"/>
          <w:szCs w:val="20"/>
          <w:lang w:val="es-ES_tradnl"/>
        </w:rPr>
        <w:t xml:space="preserve">[…], </w:t>
      </w:r>
      <w:r w:rsidRPr="00227C91">
        <w:rPr>
          <w:rFonts w:ascii="Arial" w:hAnsi="Arial" w:eastAsia="Times New Roman"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rsidRPr="00227C91" w:rsidR="00227C91" w:rsidP="00227C91" w:rsidRDefault="00227C91" w14:paraId="00765B69" w14:textId="77777777">
      <w:pPr>
        <w:tabs>
          <w:tab w:val="left" w:pos="426"/>
        </w:tabs>
        <w:spacing w:line="240" w:lineRule="auto"/>
        <w:contextualSpacing/>
        <w:jc w:val="both"/>
        <w:rPr>
          <w:rFonts w:ascii="Arial" w:hAnsi="Arial" w:eastAsia="Calibri" w:cs="Arial"/>
          <w:b/>
          <w:bCs/>
          <w:sz w:val="20"/>
          <w:szCs w:val="20"/>
          <w:lang w:val="es-MX"/>
        </w:rPr>
      </w:pPr>
    </w:p>
    <w:p w:rsidRPr="00227C91" w:rsidR="00227C91" w:rsidP="00227C91" w:rsidRDefault="00227C91" w14:paraId="579D6DC3" w14:textId="77777777">
      <w:pPr>
        <w:tabs>
          <w:tab w:val="left" w:pos="426"/>
        </w:tabs>
        <w:spacing w:line="240" w:lineRule="auto"/>
        <w:contextualSpacing/>
        <w:jc w:val="both"/>
        <w:rPr>
          <w:rFonts w:ascii="Arial" w:hAnsi="Arial" w:eastAsia="Calibri" w:cs="Arial"/>
          <w:b/>
          <w:bCs/>
          <w:lang w:val="es-MX"/>
        </w:rPr>
      </w:pPr>
      <w:r w:rsidRPr="00227C91">
        <w:rPr>
          <w:rFonts w:ascii="Arial" w:hAnsi="Arial" w:eastAsia="Calibri" w:cs="Arial"/>
          <w:b/>
          <w:bCs/>
          <w:lang w:val="es-MX"/>
        </w:rPr>
        <w:t>LEY DE GARANTÍAS ELECTORALES ‒</w:t>
      </w:r>
      <w:bookmarkEnd w:id="3"/>
      <w:r w:rsidRPr="00227C91">
        <w:rPr>
          <w:rFonts w:ascii="Arial" w:hAnsi="Arial" w:eastAsia="Calibri" w:cs="Arial"/>
          <w:b/>
          <w:bCs/>
          <w:lang w:val="es-MX"/>
        </w:rPr>
        <w:t xml:space="preserve"> Tipos de restricciones </w:t>
      </w:r>
      <w:bookmarkStart w:name="_Hlk77157034" w:id="6"/>
      <w:r w:rsidRPr="00227C91">
        <w:rPr>
          <w:rFonts w:ascii="Arial" w:hAnsi="Arial" w:eastAsia="Calibri" w:cs="Arial"/>
          <w:b/>
          <w:bCs/>
          <w:lang w:val="es-MX"/>
        </w:rPr>
        <w:t xml:space="preserve">‒ </w:t>
      </w:r>
      <w:bookmarkStart w:name="_Hlk77153098" w:id="7"/>
      <w:bookmarkEnd w:id="6"/>
      <w:r w:rsidRPr="00227C91">
        <w:rPr>
          <w:rFonts w:ascii="Arial" w:hAnsi="Arial" w:eastAsia="Calibri" w:cs="Arial"/>
          <w:b/>
          <w:bCs/>
          <w:lang w:val="es-MX"/>
        </w:rPr>
        <w:t xml:space="preserve">Ámbito temporal </w:t>
      </w:r>
      <w:bookmarkEnd w:id="7"/>
    </w:p>
    <w:p w:rsidRPr="00227C91" w:rsidR="00227C91" w:rsidP="00227C91" w:rsidRDefault="00227C91" w14:paraId="4D88A888" w14:textId="77777777">
      <w:pPr>
        <w:tabs>
          <w:tab w:val="left" w:pos="426"/>
        </w:tabs>
        <w:spacing w:line="240" w:lineRule="auto"/>
        <w:contextualSpacing/>
        <w:jc w:val="both"/>
        <w:rPr>
          <w:rFonts w:ascii="Arial" w:hAnsi="Arial" w:eastAsia="Calibri" w:cs="Arial"/>
          <w:b/>
          <w:bCs/>
          <w:sz w:val="20"/>
          <w:szCs w:val="20"/>
          <w:lang w:val="es-MX"/>
        </w:rPr>
      </w:pPr>
    </w:p>
    <w:bookmarkEnd w:id="4"/>
    <w:p w:rsidRPr="00227C91" w:rsidR="00227C91" w:rsidP="00227C91" w:rsidRDefault="00227C91" w14:paraId="0EB654C8" w14:textId="77777777">
      <w:pPr>
        <w:spacing w:line="240" w:lineRule="auto"/>
        <w:contextualSpacing/>
        <w:jc w:val="both"/>
        <w:rPr>
          <w:rFonts w:ascii="Arial" w:hAnsi="Arial" w:eastAsia="Arial" w:cs="Arial"/>
          <w:sz w:val="20"/>
          <w:szCs w:val="20"/>
          <w:lang w:val="es-ES" w:eastAsia="es-ES" w:bidi="es-ES"/>
        </w:rPr>
      </w:pPr>
      <w:r w:rsidRPr="00227C91">
        <w:rPr>
          <w:rFonts w:ascii="Arial" w:hAnsi="Arial" w:eastAsia="Calibri" w:cs="Arial"/>
          <w:noProof/>
          <w:sz w:val="20"/>
          <w:szCs w:val="20"/>
          <w:lang w:val="es-ES_tradnl"/>
        </w:rPr>
        <w:t xml:space="preserve">[…] </w:t>
      </w:r>
      <w:bookmarkStart w:name="_Hlk77165666" w:id="8"/>
      <w:r w:rsidRPr="00227C91">
        <w:rPr>
          <w:rFonts w:ascii="Arial" w:hAnsi="Arial" w:eastAsia="Arial" w:cs="Arial"/>
          <w:sz w:val="20"/>
          <w:szCs w:val="20"/>
          <w:lang w:val="es-ES" w:eastAsia="es-ES" w:bidi="es-ES"/>
        </w:rPr>
        <w:t xml:space="preserve">la Ley 996 de 2005 establece dos (2) tipos de restricciones en materia de contratación, las cuales coinciden parcialmente. </w:t>
      </w:r>
      <w:r w:rsidRPr="00227C91">
        <w:rPr>
          <w:rFonts w:ascii="Arial" w:hAnsi="Arial" w:eastAsia="Arial" w:cs="Arial"/>
          <w:i/>
          <w:iCs/>
          <w:sz w:val="20"/>
          <w:szCs w:val="20"/>
          <w:lang w:val="es-ES" w:eastAsia="es-ES" w:bidi="es-ES"/>
        </w:rPr>
        <w:t>En primer lugar</w:t>
      </w:r>
      <w:r w:rsidRPr="00227C91">
        <w:rPr>
          <w:rFonts w:ascii="Arial" w:hAnsi="Arial" w:eastAsia="Arial"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227C91">
        <w:rPr>
          <w:rFonts w:ascii="Arial" w:hAnsi="Arial" w:eastAsia="Arial" w:cs="Arial"/>
          <w:i/>
          <w:iCs/>
          <w:sz w:val="20"/>
          <w:szCs w:val="20"/>
          <w:lang w:val="es-ES" w:eastAsia="es-ES" w:bidi="es-ES"/>
        </w:rPr>
        <w:t>En segundo lugar</w:t>
      </w:r>
      <w:r w:rsidRPr="00227C91">
        <w:rPr>
          <w:rFonts w:ascii="Arial" w:hAnsi="Arial" w:eastAsia="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rsidRPr="00227C91" w:rsidR="00227C91" w:rsidP="00227C91" w:rsidRDefault="00227C91" w14:paraId="03DF3B4D" w14:textId="77777777">
      <w:pPr>
        <w:tabs>
          <w:tab w:val="left" w:pos="426"/>
        </w:tabs>
        <w:spacing w:after="0" w:line="240" w:lineRule="auto"/>
        <w:ind w:left="426" w:hanging="426"/>
        <w:contextualSpacing/>
        <w:jc w:val="both"/>
        <w:rPr>
          <w:rFonts w:ascii="Arial" w:hAnsi="Arial" w:eastAsia="Calibri" w:cs="Arial"/>
          <w:b/>
          <w:bCs/>
          <w:sz w:val="20"/>
          <w:szCs w:val="20"/>
          <w:lang w:val="es-MX"/>
        </w:rPr>
      </w:pPr>
    </w:p>
    <w:p w:rsidRPr="00227C91" w:rsidR="00227C91" w:rsidP="00227C91" w:rsidRDefault="00227C91" w14:paraId="25F2A6C1" w14:textId="77777777">
      <w:pPr>
        <w:tabs>
          <w:tab w:val="left" w:pos="426"/>
        </w:tabs>
        <w:spacing w:after="0" w:line="240" w:lineRule="auto"/>
        <w:ind w:left="426" w:hanging="426"/>
        <w:contextualSpacing/>
        <w:jc w:val="both"/>
        <w:rPr>
          <w:rFonts w:ascii="Arial" w:hAnsi="Arial" w:eastAsia="Calibri" w:cs="Arial"/>
          <w:b/>
          <w:bCs/>
          <w:lang w:val="es-MX"/>
        </w:rPr>
      </w:pPr>
      <w:r w:rsidRPr="00227C91">
        <w:rPr>
          <w:rFonts w:ascii="Arial" w:hAnsi="Arial" w:eastAsia="Calibri" w:cs="Arial"/>
          <w:b/>
          <w:bCs/>
          <w:lang w:val="es-MX"/>
        </w:rPr>
        <w:t xml:space="preserve">LEY DE GARANTÍAS ELECTORALES ─ Prohibición ‒ </w:t>
      </w:r>
      <w:bookmarkEnd w:id="8"/>
      <w:r w:rsidRPr="00227C91">
        <w:rPr>
          <w:rFonts w:ascii="Arial" w:hAnsi="Arial" w:eastAsia="Calibri" w:cs="Arial"/>
          <w:b/>
          <w:bCs/>
          <w:lang w:val="es-MX"/>
        </w:rPr>
        <w:t xml:space="preserve">Contratación directa ‒ Alcance </w:t>
      </w:r>
    </w:p>
    <w:p w:rsidRPr="00227C91" w:rsidR="00227C91" w:rsidP="00227C91" w:rsidRDefault="00227C91" w14:paraId="68F41347" w14:textId="77777777">
      <w:pPr>
        <w:tabs>
          <w:tab w:val="left" w:pos="426"/>
        </w:tabs>
        <w:spacing w:line="240" w:lineRule="auto"/>
        <w:contextualSpacing/>
        <w:jc w:val="both"/>
        <w:rPr>
          <w:rFonts w:ascii="Arial" w:hAnsi="Arial" w:eastAsia="Calibri" w:cs="Arial"/>
          <w:noProof/>
          <w:sz w:val="20"/>
          <w:szCs w:val="20"/>
          <w:lang w:val="es-MX"/>
        </w:rPr>
      </w:pPr>
    </w:p>
    <w:p w:rsidRPr="00227C91" w:rsidR="00227C91" w:rsidP="00227C91" w:rsidRDefault="00227C91" w14:paraId="76946A79" w14:textId="77777777">
      <w:pPr>
        <w:spacing w:line="240" w:lineRule="auto"/>
        <w:contextualSpacing/>
        <w:jc w:val="both"/>
        <w:rPr>
          <w:rFonts w:ascii="Arial" w:hAnsi="Arial" w:eastAsia="Times New Roman" w:cs="Arial"/>
          <w:bCs/>
          <w:sz w:val="20"/>
          <w:szCs w:val="20"/>
          <w:lang w:val="es-MX" w:eastAsia="x-none"/>
        </w:rPr>
      </w:pPr>
      <w:r w:rsidRPr="00227C91">
        <w:rPr>
          <w:rFonts w:ascii="Arial" w:hAnsi="Arial" w:eastAsia="Calibri" w:cs="Arial"/>
          <w:noProof/>
          <w:sz w:val="20"/>
          <w:szCs w:val="20"/>
          <w:lang w:val="es-ES_tradnl"/>
        </w:rPr>
        <w:t xml:space="preserve">[…] </w:t>
      </w:r>
      <w:r w:rsidRPr="00227C91">
        <w:rPr>
          <w:rFonts w:ascii="Arial" w:hAnsi="Arial" w:eastAsia="Times New Roman" w:cs="Arial"/>
          <w:bCs/>
          <w:sz w:val="20"/>
          <w:szCs w:val="20"/>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227C91">
        <w:rPr>
          <w:rFonts w:ascii="Arial" w:hAnsi="Arial" w:eastAsia="Times New Roman" w:cs="Arial"/>
          <w:sz w:val="20"/>
          <w:szCs w:val="20"/>
          <w:vertAlign w:val="superscript"/>
          <w:lang w:eastAsia="x-none"/>
        </w:rPr>
        <w:t xml:space="preserve"> </w:t>
      </w:r>
    </w:p>
    <w:p w:rsidRPr="00227C91" w:rsidR="00227C91" w:rsidP="00227C91" w:rsidRDefault="00227C91" w14:paraId="36C5A270" w14:textId="77777777">
      <w:pPr>
        <w:spacing w:line="240" w:lineRule="auto"/>
        <w:contextualSpacing/>
        <w:jc w:val="both"/>
        <w:rPr>
          <w:rFonts w:ascii="Arial" w:hAnsi="Arial" w:eastAsia="Times New Roman" w:cs="Arial"/>
          <w:bCs/>
          <w:sz w:val="20"/>
          <w:szCs w:val="20"/>
          <w:lang w:val="es-MX" w:eastAsia="x-none"/>
        </w:rPr>
      </w:pPr>
    </w:p>
    <w:p w:rsidRPr="00227C91" w:rsidR="00227C91" w:rsidP="00227C91" w:rsidRDefault="00227C91" w14:paraId="56F56D8A" w14:textId="77777777">
      <w:pPr>
        <w:spacing w:line="240" w:lineRule="auto"/>
        <w:contextualSpacing/>
        <w:jc w:val="both"/>
        <w:rPr>
          <w:rFonts w:ascii="Arial" w:hAnsi="Arial" w:eastAsia="Times New Roman" w:cs="Arial"/>
          <w:sz w:val="20"/>
          <w:szCs w:val="20"/>
          <w:lang w:eastAsia="x-none"/>
        </w:rPr>
      </w:pPr>
      <w:r w:rsidRPr="00227C91">
        <w:rPr>
          <w:rFonts w:ascii="Arial" w:hAnsi="Arial" w:eastAsia="Times New Roman" w:cs="Arial"/>
          <w:bCs/>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227C91">
        <w:rPr>
          <w:rFonts w:ascii="Arial" w:hAnsi="Arial" w:eastAsia="Times New Roman"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 pueden seguir contratando bajo estos sistemas.</w:t>
      </w:r>
    </w:p>
    <w:p w:rsidRPr="00227C91" w:rsidR="00227C91" w:rsidP="00227C91" w:rsidRDefault="00227C91" w14:paraId="20783295" w14:textId="77777777">
      <w:pPr>
        <w:spacing w:line="240" w:lineRule="auto"/>
        <w:contextualSpacing/>
        <w:jc w:val="both"/>
        <w:rPr>
          <w:rFonts w:ascii="Arial" w:hAnsi="Arial" w:eastAsia="Times New Roman" w:cs="Arial"/>
          <w:lang w:eastAsia="x-none"/>
        </w:rPr>
      </w:pPr>
    </w:p>
    <w:p w:rsidRPr="00227C91" w:rsidR="00227C91" w:rsidP="00227C91" w:rsidRDefault="00227C91" w14:paraId="3E3943BD" w14:textId="77777777">
      <w:pPr>
        <w:tabs>
          <w:tab w:val="left" w:pos="426"/>
        </w:tabs>
        <w:spacing w:line="240" w:lineRule="auto"/>
        <w:contextualSpacing/>
        <w:jc w:val="both"/>
        <w:rPr>
          <w:rFonts w:ascii="Arial" w:hAnsi="Arial" w:eastAsia="Calibri" w:cs="Arial"/>
          <w:b/>
          <w:bCs/>
          <w:sz w:val="20"/>
          <w:szCs w:val="20"/>
          <w:lang w:val="es-MX"/>
        </w:rPr>
      </w:pPr>
      <w:r w:rsidRPr="00227C91">
        <w:rPr>
          <w:rFonts w:ascii="Arial" w:hAnsi="Arial" w:eastAsia="Calibri" w:cs="Arial"/>
          <w:b/>
          <w:bCs/>
          <w:lang w:val="es-MX"/>
        </w:rPr>
        <w:t xml:space="preserve">LEY DE GARANTÍAS ELECTORALES ─ Prohibición ‒ Contratación directa ‒ </w:t>
      </w:r>
      <w:r w:rsidRPr="00227C91">
        <w:rPr>
          <w:rFonts w:ascii="Arial" w:hAnsi="Arial" w:eastAsia="Times New Roman" w:cs="Arial"/>
          <w:b/>
          <w:bCs/>
          <w:lang w:eastAsia="es-CO"/>
        </w:rPr>
        <w:t>Excepciones</w:t>
      </w:r>
      <w:r w:rsidRPr="00227C91">
        <w:rPr>
          <w:rFonts w:ascii="Arial" w:hAnsi="Arial" w:eastAsia="Calibri" w:cs="Arial"/>
          <w:b/>
          <w:bCs/>
          <w:lang w:val="es-MX"/>
        </w:rPr>
        <w:t xml:space="preserve"> </w:t>
      </w:r>
    </w:p>
    <w:p w:rsidRPr="00227C91" w:rsidR="00227C91" w:rsidP="00227C91" w:rsidRDefault="00227C91" w14:paraId="35E879AF" w14:textId="77777777">
      <w:pPr>
        <w:tabs>
          <w:tab w:val="left" w:pos="426"/>
        </w:tabs>
        <w:spacing w:line="240" w:lineRule="auto"/>
        <w:contextualSpacing/>
        <w:jc w:val="both"/>
        <w:rPr>
          <w:rFonts w:ascii="Arial" w:hAnsi="Arial" w:eastAsia="Times New Roman" w:cs="Arial"/>
          <w:sz w:val="20"/>
          <w:szCs w:val="20"/>
          <w:lang w:eastAsia="x-none"/>
        </w:rPr>
      </w:pPr>
    </w:p>
    <w:p w:rsidRPr="00227C91" w:rsidR="00227C91" w:rsidP="00227C91" w:rsidRDefault="00227C91" w14:paraId="3291081D" w14:textId="77777777">
      <w:pPr>
        <w:spacing w:line="240" w:lineRule="auto"/>
        <w:contextualSpacing/>
        <w:jc w:val="both"/>
        <w:rPr>
          <w:rFonts w:ascii="Arial" w:hAnsi="Arial" w:eastAsia="Times New Roman" w:cs="Arial"/>
          <w:bCs/>
          <w:sz w:val="20"/>
          <w:szCs w:val="20"/>
          <w:lang w:val="es-MX" w:eastAsia="es-CO"/>
        </w:rPr>
      </w:pPr>
      <w:r w:rsidRPr="00227C91">
        <w:rPr>
          <w:rFonts w:ascii="Arial" w:hAnsi="Arial" w:eastAsia="Calibri" w:cs="Arial"/>
          <w:noProof/>
          <w:sz w:val="20"/>
          <w:szCs w:val="20"/>
          <w:lang w:val="es-ES_tradnl"/>
        </w:rPr>
        <w:t xml:space="preserve">[…] </w:t>
      </w:r>
      <w:r w:rsidRPr="00227C91">
        <w:rPr>
          <w:rFonts w:ascii="Arial" w:hAnsi="Arial" w:eastAsia="Times New Roman" w:cs="Arial"/>
          <w:bCs/>
          <w:sz w:val="20"/>
          <w:szCs w:val="20"/>
          <w:lang w:val="es-MX" w:eastAsia="x-none"/>
        </w:rPr>
        <w:t xml:space="preserve">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227C91">
        <w:rPr>
          <w:rFonts w:ascii="Arial" w:hAnsi="Arial" w:eastAsia="Times New Roman" w:cs="Arial"/>
          <w:bCs/>
          <w:sz w:val="20"/>
          <w:szCs w:val="20"/>
          <w:lang w:val="es-MX" w:eastAsia="x-none"/>
        </w:rPr>
        <w:t>ii</w:t>
      </w:r>
      <w:proofErr w:type="spellEnd"/>
      <w:r w:rsidRPr="00227C91">
        <w:rPr>
          <w:rFonts w:ascii="Arial" w:hAnsi="Arial" w:eastAsia="Times New Roman" w:cs="Arial"/>
          <w:bCs/>
          <w:sz w:val="20"/>
          <w:szCs w:val="20"/>
          <w:lang w:val="es-MX" w:eastAsia="x-none"/>
        </w:rPr>
        <w:t xml:space="preserve">) los contratos de crédito público; </w:t>
      </w:r>
      <w:proofErr w:type="spellStart"/>
      <w:r w:rsidRPr="00227C91">
        <w:rPr>
          <w:rFonts w:ascii="Arial" w:hAnsi="Arial" w:eastAsia="Times New Roman" w:cs="Arial"/>
          <w:bCs/>
          <w:sz w:val="20"/>
          <w:szCs w:val="20"/>
          <w:lang w:val="es-MX" w:eastAsia="x-none"/>
        </w:rPr>
        <w:t>iii</w:t>
      </w:r>
      <w:proofErr w:type="spellEnd"/>
      <w:r w:rsidRPr="00227C91">
        <w:rPr>
          <w:rFonts w:ascii="Arial" w:hAnsi="Arial" w:eastAsia="Times New Roman" w:cs="Arial"/>
          <w:bCs/>
          <w:sz w:val="20"/>
          <w:szCs w:val="20"/>
          <w:lang w:val="es-MX" w:eastAsia="x-none"/>
        </w:rPr>
        <w:t xml:space="preserve">) los requeridos para cubrir las emergencias educativas, sanitarias y desastres; </w:t>
      </w:r>
      <w:proofErr w:type="spellStart"/>
      <w:r w:rsidRPr="00227C91">
        <w:rPr>
          <w:rFonts w:ascii="Arial" w:hAnsi="Arial" w:eastAsia="Times New Roman" w:cs="Arial"/>
          <w:bCs/>
          <w:sz w:val="20"/>
          <w:szCs w:val="20"/>
          <w:lang w:val="es-MX" w:eastAsia="x-none"/>
        </w:rPr>
        <w:t>iv</w:t>
      </w:r>
      <w:proofErr w:type="spellEnd"/>
      <w:r w:rsidRPr="00227C91">
        <w:rPr>
          <w:rFonts w:ascii="Arial" w:hAnsi="Arial" w:eastAsia="Times New Roman" w:cs="Arial"/>
          <w:bCs/>
          <w:sz w:val="20"/>
          <w:szCs w:val="20"/>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227C91">
        <w:rPr>
          <w:rFonts w:ascii="Arial" w:hAnsi="Arial" w:eastAsia="Times New Roman" w:cs="Arial"/>
          <w:bCs/>
          <w:sz w:val="20"/>
          <w:szCs w:val="20"/>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rsidRPr="00227C91" w:rsidR="00227C91" w:rsidP="00227C91" w:rsidRDefault="00227C91" w14:paraId="00F11CB3" w14:textId="77777777">
      <w:pPr>
        <w:spacing w:line="240" w:lineRule="auto"/>
        <w:contextualSpacing/>
        <w:jc w:val="both"/>
        <w:rPr>
          <w:rFonts w:ascii="Arial" w:hAnsi="Arial" w:eastAsia="Times New Roman" w:cs="Arial"/>
          <w:bCs/>
          <w:sz w:val="20"/>
          <w:szCs w:val="20"/>
          <w:lang w:val="es-MX" w:eastAsia="es-CO"/>
        </w:rPr>
      </w:pPr>
    </w:p>
    <w:p w:rsidRPr="00227C91" w:rsidR="00227C91" w:rsidP="00227C91" w:rsidRDefault="00227C91" w14:paraId="3CE6C28A" w14:textId="77777777">
      <w:pPr>
        <w:spacing w:line="240" w:lineRule="auto"/>
        <w:contextualSpacing/>
        <w:jc w:val="both"/>
        <w:rPr>
          <w:rFonts w:ascii="Arial" w:hAnsi="Arial" w:eastAsia="Times New Roman" w:cs="Arial"/>
          <w:b/>
          <w:lang w:val="es-ES" w:eastAsia="es-CO"/>
        </w:rPr>
      </w:pPr>
      <w:r w:rsidRPr="00227C91">
        <w:rPr>
          <w:rFonts w:ascii="Arial" w:hAnsi="Arial" w:eastAsia="Times New Roman" w:cs="Arial"/>
          <w:b/>
          <w:bCs/>
          <w:lang w:eastAsia="es-CO"/>
        </w:rPr>
        <w:t xml:space="preserve">LEY DE GARANTÍAS ELECTORALES </w:t>
      </w:r>
      <w:bookmarkStart w:name="_Hlk77166669" w:id="9"/>
      <w:r w:rsidRPr="00227C91">
        <w:rPr>
          <w:rFonts w:ascii="Arial" w:hAnsi="Arial" w:eastAsia="Times New Roman" w:cs="Arial"/>
          <w:b/>
          <w:bCs/>
          <w:lang w:eastAsia="es-CO"/>
        </w:rPr>
        <w:t>‒</w:t>
      </w:r>
      <w:bookmarkEnd w:id="9"/>
      <w:r w:rsidRPr="00227C91">
        <w:rPr>
          <w:rFonts w:ascii="Arial" w:hAnsi="Arial" w:eastAsia="Times New Roman" w:cs="Arial"/>
          <w:b/>
          <w:bCs/>
          <w:lang w:eastAsia="es-CO"/>
        </w:rPr>
        <w:t xml:space="preserve"> </w:t>
      </w:r>
      <w:r w:rsidRPr="00227C91">
        <w:rPr>
          <w:rFonts w:ascii="Arial" w:hAnsi="Arial" w:eastAsia="Times New Roman" w:cs="Arial"/>
          <w:b/>
          <w:lang w:val="es-ES" w:eastAsia="es-CO"/>
        </w:rPr>
        <w:t xml:space="preserve">Prohibición del artículo 33 </w:t>
      </w:r>
      <w:r w:rsidRPr="00227C91">
        <w:rPr>
          <w:rFonts w:ascii="Arial" w:hAnsi="Arial" w:eastAsia="Times New Roman" w:cs="Arial"/>
          <w:b/>
          <w:bCs/>
          <w:lang w:eastAsia="es-CO"/>
        </w:rPr>
        <w:t>‒ Destinatarios</w:t>
      </w:r>
    </w:p>
    <w:p w:rsidRPr="00227C91" w:rsidR="00227C91" w:rsidP="00227C91" w:rsidRDefault="00227C91" w14:paraId="7BC1F4DB" w14:textId="77777777">
      <w:pPr>
        <w:tabs>
          <w:tab w:val="left" w:pos="426"/>
        </w:tabs>
        <w:spacing w:line="240" w:lineRule="auto"/>
        <w:contextualSpacing/>
        <w:jc w:val="both"/>
        <w:rPr>
          <w:rFonts w:ascii="Arial" w:hAnsi="Arial" w:eastAsia="Calibri" w:cs="Arial"/>
          <w:noProof/>
          <w:sz w:val="20"/>
          <w:szCs w:val="20"/>
          <w:lang w:val="es-ES"/>
        </w:rPr>
      </w:pPr>
    </w:p>
    <w:p w:rsidRPr="00227C91" w:rsidR="00227C91" w:rsidP="00227C91" w:rsidRDefault="00227C91" w14:paraId="5ADB8139" w14:textId="77777777">
      <w:pPr>
        <w:tabs>
          <w:tab w:val="left" w:pos="426"/>
        </w:tabs>
        <w:spacing w:line="240" w:lineRule="auto"/>
        <w:contextualSpacing/>
        <w:jc w:val="both"/>
        <w:rPr>
          <w:rFonts w:ascii="Arial" w:hAnsi="Arial" w:eastAsia="Times New Roman" w:cs="Arial"/>
          <w:bCs/>
          <w:sz w:val="20"/>
          <w:szCs w:val="20"/>
          <w:lang w:val="es-MX" w:eastAsia="x-none"/>
        </w:rPr>
      </w:pPr>
      <w:r w:rsidRPr="00227C91">
        <w:rPr>
          <w:rFonts w:ascii="Arial" w:hAnsi="Arial" w:eastAsia="Times New Roman"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227C91">
        <w:rPr>
          <w:rFonts w:ascii="Arial" w:hAnsi="Arial" w:eastAsia="Calibri" w:cs="Arial"/>
          <w:sz w:val="20"/>
          <w:szCs w:val="20"/>
          <w:lang w:val="es-MX"/>
        </w:rPr>
        <w:t xml:space="preserve"> </w:t>
      </w:r>
      <w:r w:rsidRPr="00227C91">
        <w:rPr>
          <w:rFonts w:ascii="Arial" w:hAnsi="Arial" w:eastAsia="Times New Roman" w:cs="Arial"/>
          <w:bCs/>
          <w:sz w:val="20"/>
          <w:szCs w:val="20"/>
          <w:lang w:val="es-MX" w:eastAsia="x-none"/>
        </w:rPr>
        <w:t>En efecto, como ha sostenido el Consejo de Estado, el vocablo “todos” utilizado por el legislador comprende</w:t>
      </w:r>
      <w:r w:rsidRPr="00227C91">
        <w:rPr>
          <w:rFonts w:ascii="Arial" w:hAnsi="Arial" w:eastAsia="Calibri" w:cs="Arial"/>
          <w:sz w:val="20"/>
          <w:szCs w:val="20"/>
          <w:lang w:val="es-MX"/>
        </w:rPr>
        <w:t xml:space="preserve"> </w:t>
      </w:r>
      <w:r w:rsidRPr="00227C91">
        <w:rPr>
          <w:rFonts w:ascii="Arial" w:hAnsi="Arial" w:eastAsia="Times New Roman"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rsidRPr="00227C91" w:rsidR="00227C91" w:rsidP="00227C91" w:rsidRDefault="00227C91" w14:paraId="31F957BA" w14:textId="77777777">
      <w:pPr>
        <w:tabs>
          <w:tab w:val="left" w:pos="426"/>
        </w:tabs>
        <w:spacing w:line="240" w:lineRule="auto"/>
        <w:contextualSpacing/>
        <w:jc w:val="both"/>
        <w:rPr>
          <w:rFonts w:ascii="Arial" w:hAnsi="Arial" w:eastAsia="Calibri" w:cs="Arial"/>
          <w:sz w:val="20"/>
          <w:szCs w:val="20"/>
          <w:lang w:val="es-MX"/>
        </w:rPr>
      </w:pPr>
    </w:p>
    <w:p w:rsidRPr="00227C91" w:rsidR="00227C91" w:rsidP="00227C91" w:rsidRDefault="00227C91" w14:paraId="45A74340" w14:textId="77777777">
      <w:pPr>
        <w:tabs>
          <w:tab w:val="left" w:pos="426"/>
        </w:tabs>
        <w:spacing w:line="240" w:lineRule="auto"/>
        <w:contextualSpacing/>
        <w:jc w:val="both"/>
        <w:rPr>
          <w:rFonts w:ascii="Arial" w:hAnsi="Arial" w:eastAsia="Calibri" w:cs="Arial"/>
          <w:b/>
          <w:bCs/>
          <w:lang w:val="es-MX"/>
        </w:rPr>
      </w:pPr>
      <w:r w:rsidRPr="00227C91">
        <w:rPr>
          <w:rFonts w:ascii="Arial" w:hAnsi="Arial" w:eastAsia="Calibri" w:cs="Arial"/>
          <w:b/>
          <w:bCs/>
          <w:lang w:val="es-MX"/>
        </w:rPr>
        <w:t xml:space="preserve">LEY DE GARANTÍAS ELECTORALES ‒ Prohibición por elección de cargos populares – Convenios y contratos interadministrativos </w:t>
      </w:r>
      <w:r w:rsidRPr="00227C91">
        <w:rPr>
          <w:rFonts w:ascii="Arial" w:hAnsi="Arial" w:eastAsia="Calibri" w:cs="Arial"/>
          <w:b/>
          <w:lang w:val="es-MX"/>
        </w:rPr>
        <w:t>– Definición – Criterio orgánico</w:t>
      </w:r>
    </w:p>
    <w:p w:rsidRPr="00227C91" w:rsidR="00227C91" w:rsidP="00227C91" w:rsidRDefault="00227C91" w14:paraId="3CCBCF6F" w14:textId="77777777">
      <w:pPr>
        <w:tabs>
          <w:tab w:val="left" w:pos="426"/>
        </w:tabs>
        <w:spacing w:line="240" w:lineRule="auto"/>
        <w:contextualSpacing/>
        <w:jc w:val="both"/>
        <w:rPr>
          <w:rFonts w:ascii="Arial" w:hAnsi="Arial" w:eastAsia="Calibri" w:cs="Arial"/>
          <w:sz w:val="20"/>
          <w:szCs w:val="20"/>
          <w:lang w:val="es-MX"/>
        </w:rPr>
      </w:pPr>
    </w:p>
    <w:p w:rsidRPr="00227C91" w:rsidR="00227C91" w:rsidP="00227C91" w:rsidRDefault="00227C91" w14:paraId="71E19F5A" w14:textId="77777777">
      <w:pPr>
        <w:tabs>
          <w:tab w:val="left" w:pos="426"/>
        </w:tabs>
        <w:spacing w:line="240" w:lineRule="auto"/>
        <w:contextualSpacing/>
        <w:jc w:val="both"/>
        <w:rPr>
          <w:rFonts w:ascii="Arial" w:hAnsi="Arial" w:eastAsia="Calibri" w:cs="Arial"/>
          <w:sz w:val="20"/>
          <w:szCs w:val="20"/>
          <w:lang w:val="es-MX"/>
        </w:rPr>
      </w:pPr>
      <w:r w:rsidRPr="00227C91">
        <w:rPr>
          <w:rFonts w:ascii="Arial" w:hAnsi="Arial" w:eastAsia="Calibri" w:cs="Arial"/>
          <w:sz w:val="20"/>
          <w:szCs w:val="20"/>
          <w:lang w:val="es-MX"/>
        </w:rPr>
        <w:t xml:space="preserve">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rsidRPr="00227C91" w:rsidR="00227C91" w:rsidP="00227C91" w:rsidRDefault="00227C91" w14:paraId="77AB2B37" w14:textId="77777777">
      <w:pPr>
        <w:tabs>
          <w:tab w:val="left" w:pos="426"/>
        </w:tabs>
        <w:spacing w:line="240" w:lineRule="auto"/>
        <w:contextualSpacing/>
        <w:jc w:val="both"/>
        <w:rPr>
          <w:rFonts w:ascii="Arial" w:hAnsi="Arial" w:eastAsia="Calibri" w:cs="Arial"/>
          <w:sz w:val="20"/>
          <w:szCs w:val="20"/>
          <w:lang w:val="es-MX"/>
        </w:rPr>
      </w:pPr>
    </w:p>
    <w:p w:rsidRPr="00227C91" w:rsidR="00227C91" w:rsidP="00227C91" w:rsidRDefault="00227C91" w14:paraId="7CA5CFFE" w14:textId="77777777">
      <w:pPr>
        <w:widowControl w:val="0"/>
        <w:autoSpaceDE w:val="0"/>
        <w:autoSpaceDN w:val="0"/>
        <w:spacing w:line="240" w:lineRule="auto"/>
        <w:contextualSpacing/>
        <w:jc w:val="both"/>
        <w:rPr>
          <w:rFonts w:ascii="Arial" w:hAnsi="Arial" w:eastAsia="Arial" w:cs="Arial"/>
          <w:sz w:val="20"/>
          <w:szCs w:val="20"/>
          <w:lang w:val="es-ES" w:eastAsia="es-ES" w:bidi="es-ES"/>
        </w:rPr>
      </w:pPr>
      <w:r w:rsidRPr="00227C91">
        <w:rPr>
          <w:rFonts w:ascii="Arial" w:hAnsi="Arial" w:eastAsia="Calibri" w:cs="Arial"/>
          <w:sz w:val="20"/>
          <w:szCs w:val="20"/>
          <w:lang w:val="es-MX"/>
        </w:rPr>
        <w:t xml:space="preserve">[…] </w:t>
      </w:r>
      <w:r w:rsidRPr="00227C91">
        <w:rPr>
          <w:rFonts w:ascii="Arial" w:hAnsi="Arial" w:eastAsia="Calibri" w:cs="Arial"/>
          <w:bCs/>
          <w:sz w:val="20"/>
          <w:szCs w:val="20"/>
          <w:lang w:eastAsia="es-ES" w:bidi="es-ES"/>
        </w:rPr>
        <w:t xml:space="preserve">para determinar el alcance de la prohibición consagrada por la Ley de Garantías Electorales, conviene precisar la tipología de convenios o contratos interadministrativos. </w:t>
      </w:r>
      <w:r w:rsidRPr="00227C91">
        <w:rPr>
          <w:rFonts w:ascii="Arial" w:hAnsi="Arial" w:eastAsia="Arial" w:cs="Arial"/>
          <w:sz w:val="20"/>
          <w:szCs w:val="20"/>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227C91">
        <w:rPr>
          <w:rFonts w:ascii="Arial" w:hAnsi="Arial" w:eastAsia="Arial" w:cs="Arial"/>
          <w:spacing w:val="-6"/>
          <w:sz w:val="20"/>
          <w:szCs w:val="20"/>
          <w:lang w:val="es-ES" w:eastAsia="es-ES" w:bidi="es-ES"/>
        </w:rPr>
        <w:t xml:space="preserve"> </w:t>
      </w:r>
      <w:r w:rsidRPr="00227C91">
        <w:rPr>
          <w:rFonts w:ascii="Arial" w:hAnsi="Arial" w:eastAsia="Arial" w:cs="Arial"/>
          <w:sz w:val="20"/>
          <w:szCs w:val="20"/>
          <w:lang w:val="es-ES" w:eastAsia="es-ES" w:bidi="es-ES"/>
        </w:rPr>
        <w:t>estatales.</w:t>
      </w:r>
      <w:bookmarkEnd w:id="5"/>
    </w:p>
    <w:p w:rsidRPr="00227C91" w:rsidR="00227C91" w:rsidP="00227C91" w:rsidRDefault="00227C91" w14:paraId="00293C96" w14:textId="77777777">
      <w:pPr>
        <w:widowControl w:val="0"/>
        <w:autoSpaceDE w:val="0"/>
        <w:autoSpaceDN w:val="0"/>
        <w:spacing w:line="240" w:lineRule="auto"/>
        <w:contextualSpacing/>
        <w:jc w:val="both"/>
        <w:rPr>
          <w:rFonts w:ascii="Arial" w:hAnsi="Arial" w:eastAsia="Arial" w:cs="Arial"/>
          <w:sz w:val="20"/>
          <w:szCs w:val="20"/>
          <w:lang w:val="es-ES" w:eastAsia="es-ES" w:bidi="es-ES"/>
        </w:rPr>
      </w:pPr>
    </w:p>
    <w:p w:rsidRPr="00227C91" w:rsidR="00227C91" w:rsidP="00227C91" w:rsidRDefault="00227C91" w14:paraId="4905FCF7" w14:textId="77777777">
      <w:pPr>
        <w:widowControl w:val="0"/>
        <w:autoSpaceDE w:val="0"/>
        <w:autoSpaceDN w:val="0"/>
        <w:spacing w:line="240" w:lineRule="auto"/>
        <w:contextualSpacing/>
        <w:jc w:val="both"/>
        <w:rPr>
          <w:rFonts w:ascii="Arial" w:hAnsi="Arial" w:eastAsia="Arial" w:cs="Arial"/>
          <w:b/>
          <w:bCs/>
          <w:lang w:val="es-ES" w:eastAsia="es-ES" w:bidi="es-ES"/>
        </w:rPr>
      </w:pPr>
      <w:r w:rsidRPr="00227C91">
        <w:rPr>
          <w:rFonts w:ascii="Arial" w:hAnsi="Arial" w:eastAsia="Arial" w:cs="Arial"/>
          <w:b/>
          <w:bCs/>
          <w:lang w:val="es-ES" w:eastAsia="es-ES" w:bidi="es-ES"/>
        </w:rPr>
        <w:t xml:space="preserve">ENTES UNIVERSITARIOS AUTÓNOMOS – Establecimientos públicos de educación superior – Diferencia – Ley de Garantías – Parágrafo del artículo 38 – Alcance </w:t>
      </w:r>
    </w:p>
    <w:p w:rsidRPr="00227C91" w:rsidR="00227C91" w:rsidP="00227C91" w:rsidRDefault="00227C91" w14:paraId="05C66B99" w14:textId="77777777">
      <w:pPr>
        <w:widowControl w:val="0"/>
        <w:autoSpaceDE w:val="0"/>
        <w:autoSpaceDN w:val="0"/>
        <w:spacing w:line="240" w:lineRule="auto"/>
        <w:contextualSpacing/>
        <w:jc w:val="both"/>
        <w:rPr>
          <w:rFonts w:ascii="Arial" w:hAnsi="Arial" w:eastAsia="Arial" w:cs="Arial"/>
          <w:sz w:val="20"/>
          <w:szCs w:val="20"/>
          <w:lang w:val="es-ES" w:eastAsia="es-ES" w:bidi="es-ES"/>
        </w:rPr>
      </w:pPr>
    </w:p>
    <w:p w:rsidRPr="00227C91" w:rsidR="00227C91" w:rsidP="00227C91" w:rsidRDefault="00227C91" w14:paraId="281A829B" w14:textId="77777777">
      <w:pPr>
        <w:widowControl w:val="0"/>
        <w:autoSpaceDE w:val="0"/>
        <w:autoSpaceDN w:val="0"/>
        <w:spacing w:line="240" w:lineRule="auto"/>
        <w:contextualSpacing/>
        <w:jc w:val="both"/>
        <w:rPr>
          <w:rFonts w:ascii="Arial" w:hAnsi="Arial" w:eastAsia="Arial" w:cs="Arial"/>
          <w:sz w:val="20"/>
          <w:szCs w:val="20"/>
          <w:lang w:val="es-ES" w:eastAsia="es-ES" w:bidi="es-ES"/>
        </w:rPr>
      </w:pPr>
      <w:r w:rsidRPr="00227C91">
        <w:rPr>
          <w:rFonts w:ascii="Arial" w:hAnsi="Arial" w:eastAsia="Arial" w:cs="Arial"/>
          <w:sz w:val="20"/>
          <w:szCs w:val="20"/>
          <w:lang w:val="es-ES" w:eastAsia="es-ES" w:bidi="es-ES"/>
        </w:rPr>
        <w:t xml:space="preserve">La diferencia en la naturaleza jurídica de ambos tipos de entidades hace que la conclusión sobre sobre la aplicabilidad del artículo 38 </w:t>
      </w:r>
      <w:r w:rsidRPr="00227C91">
        <w:rPr>
          <w:rFonts w:ascii="Arial" w:hAnsi="Arial" w:eastAsia="Arial" w:cs="Arial"/>
          <w:i/>
          <w:iCs/>
          <w:sz w:val="20"/>
          <w:szCs w:val="20"/>
          <w:lang w:val="es-ES" w:eastAsia="es-ES" w:bidi="es-ES"/>
        </w:rPr>
        <w:t>ibidem</w:t>
      </w:r>
      <w:r w:rsidRPr="00227C91">
        <w:rPr>
          <w:rFonts w:ascii="Arial" w:hAnsi="Arial" w:eastAsia="Arial" w:cs="Arial"/>
          <w:sz w:val="20"/>
          <w:szCs w:val="20"/>
          <w:lang w:val="es-ES" w:eastAsia="es-ES" w:bidi="es-ES"/>
        </w:rPr>
        <w:t xml:space="preserve"> sea una para los entes universitarios autónomos y otra para los establecimientos públicos de educación superior. Conforme se explicó </w:t>
      </w:r>
      <w:r w:rsidRPr="00227C91">
        <w:rPr>
          <w:rFonts w:ascii="Arial" w:hAnsi="Arial" w:eastAsia="Arial" w:cs="Arial"/>
          <w:i/>
          <w:iCs/>
          <w:sz w:val="20"/>
          <w:szCs w:val="20"/>
          <w:lang w:val="es-ES" w:eastAsia="es-ES" w:bidi="es-ES"/>
        </w:rPr>
        <w:t>ut supra</w:t>
      </w:r>
      <w:r w:rsidRPr="00227C91">
        <w:rPr>
          <w:rFonts w:ascii="Arial" w:hAnsi="Arial" w:eastAsia="Arial" w:cs="Arial"/>
          <w:sz w:val="20"/>
          <w:szCs w:val="20"/>
          <w:lang w:val="es-ES" w:eastAsia="es-ES" w:bidi="es-ES"/>
        </w:rPr>
        <w:t xml:space="preserve">, la restricción del parágrafo del artículo 38 de la Ley de Garantías tiene como destinatarios a los entes territoriales y sus entidades descentralizadas, lo que excluye de la prohibición a los entes universitarios autónomos, los cuales no son considerados entidades descentralizadas ni mucho menos entidades territoriales. </w:t>
      </w:r>
    </w:p>
    <w:p w:rsidRPr="00227C91" w:rsidR="00227C91" w:rsidP="00227C91" w:rsidRDefault="00227C91" w14:paraId="1C114CBA" w14:textId="77777777">
      <w:pPr>
        <w:widowControl w:val="0"/>
        <w:autoSpaceDE w:val="0"/>
        <w:autoSpaceDN w:val="0"/>
        <w:spacing w:line="240" w:lineRule="auto"/>
        <w:contextualSpacing/>
        <w:jc w:val="both"/>
        <w:rPr>
          <w:rFonts w:ascii="Arial" w:hAnsi="Arial" w:eastAsia="Arial" w:cs="Arial"/>
          <w:sz w:val="20"/>
          <w:szCs w:val="20"/>
          <w:lang w:val="es-ES" w:eastAsia="es-ES" w:bidi="es-ES"/>
        </w:rPr>
      </w:pPr>
    </w:p>
    <w:p w:rsidRPr="00227C91" w:rsidR="00227C91" w:rsidP="00227C91" w:rsidRDefault="00227C91" w14:paraId="5EB93BEF" w14:textId="77777777">
      <w:pPr>
        <w:widowControl w:val="0"/>
        <w:autoSpaceDE w:val="0"/>
        <w:autoSpaceDN w:val="0"/>
        <w:spacing w:line="240" w:lineRule="auto"/>
        <w:contextualSpacing/>
        <w:jc w:val="both"/>
        <w:rPr>
          <w:rFonts w:ascii="Arial" w:hAnsi="Arial" w:eastAsia="Arial" w:cs="Arial"/>
          <w:sz w:val="20"/>
          <w:szCs w:val="20"/>
          <w:lang w:val="es-ES" w:eastAsia="es-ES" w:bidi="es-ES"/>
        </w:rPr>
      </w:pPr>
      <w:r w:rsidRPr="00227C91">
        <w:rPr>
          <w:rFonts w:ascii="Arial" w:hAnsi="Arial" w:eastAsia="Arial" w:cs="Arial"/>
          <w:sz w:val="20"/>
          <w:szCs w:val="20"/>
          <w:lang w:val="es-ES" w:eastAsia="es-ES" w:bidi="es-ES"/>
        </w:rPr>
        <w:t xml:space="preserve">Caso contrario ocurre con las instituciones de educación superior constituidas como establecimientos públicos, pues son entidades descentralizadas de acuerdo con el parágrafo 1 del artículo 57 de la Ley 30 de 1992 y el artículo 68 de la Ley 489 de 1998, por lo que pueden estar adscritas a los órdenes nacional, departamental, distrital o municipal. En este contexto, los establecimientos públicos de educación superior de estos tres (3) últimos niveles estarían cobijados por la restricción del artículo 38 de la Ley 996 de 2005 al ser entidades descentralizadas del nivel territorial, sujetos a los que expresamente alude el texto de la prohibición como destinatarios de esta. Por tanto, los establecimientos públicos de educación superior del nivel territorial, dada su calidad de entidades descentralizadas de los órdenes departamental, municipal o distrital, tienen restringida la celebración de contratos o convenios interadministrativos en los que se destinen recursos públicos, durante los cuatro (4) meses anteriores a elecciones.   </w:t>
      </w:r>
    </w:p>
    <w:p w:rsidR="00227C91" w:rsidP="000037B4" w:rsidRDefault="00227C91" w14:paraId="62889885" w14:textId="77777777">
      <w:pPr>
        <w:spacing w:after="0"/>
        <w:rPr>
          <w:rFonts w:ascii="Arial" w:hAnsi="Arial" w:eastAsia="Geomanist Light" w:cs="Arial"/>
          <w:color w:val="201F1E"/>
          <w:lang w:val="es-MX"/>
        </w:rPr>
      </w:pPr>
    </w:p>
    <w:p w:rsidR="00227C91" w:rsidP="000037B4" w:rsidRDefault="00227C91" w14:paraId="75B79B6F" w14:textId="77777777">
      <w:pPr>
        <w:spacing w:after="0"/>
        <w:rPr>
          <w:rFonts w:ascii="Arial" w:hAnsi="Arial" w:eastAsia="Geomanist Light" w:cs="Arial"/>
          <w:color w:val="201F1E"/>
          <w:lang w:val="es-MX"/>
        </w:rPr>
      </w:pPr>
    </w:p>
    <w:p w:rsidR="00227C91" w:rsidP="000037B4" w:rsidRDefault="00227C91" w14:paraId="7B744F2F" w14:textId="77777777">
      <w:pPr>
        <w:spacing w:after="0"/>
        <w:rPr>
          <w:rFonts w:ascii="Arial" w:hAnsi="Arial" w:eastAsia="Geomanist Light" w:cs="Arial"/>
          <w:color w:val="201F1E"/>
          <w:lang w:val="es-MX"/>
        </w:rPr>
      </w:pPr>
    </w:p>
    <w:p w:rsidR="00227C91" w:rsidP="000037B4" w:rsidRDefault="00227C91" w14:paraId="24FA85C2" w14:textId="77777777">
      <w:pPr>
        <w:spacing w:after="0"/>
        <w:rPr>
          <w:rFonts w:ascii="Arial" w:hAnsi="Arial" w:eastAsia="Geomanist Light" w:cs="Arial"/>
          <w:color w:val="201F1E"/>
          <w:lang w:val="es-MX"/>
        </w:rPr>
      </w:pPr>
    </w:p>
    <w:p w:rsidR="00227C91" w:rsidP="000037B4" w:rsidRDefault="00227C91" w14:paraId="20AC0894" w14:textId="77777777">
      <w:pPr>
        <w:spacing w:after="0"/>
        <w:rPr>
          <w:rFonts w:ascii="Arial" w:hAnsi="Arial" w:eastAsia="Geomanist Light" w:cs="Arial"/>
          <w:color w:val="201F1E"/>
          <w:lang w:val="es-MX"/>
        </w:rPr>
      </w:pPr>
    </w:p>
    <w:p w:rsidR="00227C91" w:rsidP="000037B4" w:rsidRDefault="00227C91" w14:paraId="45671E17" w14:textId="77777777">
      <w:pPr>
        <w:spacing w:after="0"/>
        <w:rPr>
          <w:rFonts w:ascii="Arial" w:hAnsi="Arial" w:eastAsia="Geomanist Light" w:cs="Arial"/>
          <w:color w:val="201F1E"/>
          <w:lang w:val="es-MX"/>
        </w:rPr>
      </w:pPr>
    </w:p>
    <w:p w:rsidR="00227C91" w:rsidP="000037B4" w:rsidRDefault="00227C91" w14:paraId="5EC035AE" w14:textId="77777777">
      <w:pPr>
        <w:spacing w:after="0"/>
        <w:rPr>
          <w:rFonts w:ascii="Arial" w:hAnsi="Arial" w:eastAsia="Geomanist Light" w:cs="Arial"/>
          <w:color w:val="201F1E"/>
          <w:lang w:val="es-MX"/>
        </w:rPr>
      </w:pPr>
    </w:p>
    <w:p w:rsidR="00227C91" w:rsidP="000037B4" w:rsidRDefault="00227C91" w14:paraId="17880D98" w14:textId="77777777">
      <w:pPr>
        <w:spacing w:after="0"/>
        <w:rPr>
          <w:rFonts w:ascii="Arial" w:hAnsi="Arial" w:eastAsia="Geomanist Light" w:cs="Arial"/>
          <w:color w:val="201F1E"/>
          <w:lang w:val="es-MX"/>
        </w:rPr>
      </w:pPr>
    </w:p>
    <w:p w:rsidR="00227C91" w:rsidP="000037B4" w:rsidRDefault="00227C91" w14:paraId="5B9A4DED" w14:textId="77777777">
      <w:pPr>
        <w:spacing w:after="0"/>
        <w:rPr>
          <w:rFonts w:ascii="Arial" w:hAnsi="Arial" w:eastAsia="Geomanist Light" w:cs="Arial"/>
          <w:color w:val="201F1E"/>
          <w:lang w:val="es-MX"/>
        </w:rPr>
      </w:pPr>
    </w:p>
    <w:p w:rsidR="00227C91" w:rsidP="000037B4" w:rsidRDefault="00227C91" w14:paraId="76B202C6" w14:textId="77777777">
      <w:pPr>
        <w:spacing w:after="0"/>
        <w:rPr>
          <w:rFonts w:ascii="Arial" w:hAnsi="Arial" w:eastAsia="Geomanist Light" w:cs="Arial"/>
          <w:color w:val="201F1E"/>
          <w:lang w:val="es-MX"/>
        </w:rPr>
      </w:pPr>
    </w:p>
    <w:p w:rsidR="00227C91" w:rsidP="000037B4" w:rsidRDefault="00227C91" w14:paraId="6A71D6DB" w14:textId="77777777">
      <w:pPr>
        <w:spacing w:after="0"/>
        <w:rPr>
          <w:rFonts w:ascii="Arial" w:hAnsi="Arial" w:eastAsia="Geomanist Light" w:cs="Arial"/>
          <w:color w:val="201F1E"/>
          <w:lang w:val="es-MX"/>
        </w:rPr>
      </w:pPr>
    </w:p>
    <w:p w:rsidR="00227C91" w:rsidP="000037B4" w:rsidRDefault="00227C91" w14:paraId="10539C18" w14:textId="77777777">
      <w:pPr>
        <w:spacing w:after="0"/>
        <w:rPr>
          <w:rFonts w:ascii="Arial" w:hAnsi="Arial" w:eastAsia="Geomanist Light" w:cs="Arial"/>
          <w:color w:val="201F1E"/>
          <w:lang w:val="es-MX"/>
        </w:rPr>
      </w:pPr>
    </w:p>
    <w:p w:rsidR="00227C91" w:rsidP="000037B4" w:rsidRDefault="00227C91" w14:paraId="49FCD4A4" w14:textId="77777777">
      <w:pPr>
        <w:spacing w:after="0"/>
        <w:rPr>
          <w:rFonts w:ascii="Arial" w:hAnsi="Arial" w:eastAsia="Geomanist Light" w:cs="Arial"/>
          <w:color w:val="201F1E"/>
          <w:lang w:val="es-MX"/>
        </w:rPr>
      </w:pPr>
    </w:p>
    <w:p w:rsidR="00227C91" w:rsidP="000037B4" w:rsidRDefault="00227C91" w14:paraId="6FC2005F" w14:textId="77777777">
      <w:pPr>
        <w:spacing w:after="0"/>
        <w:rPr>
          <w:rFonts w:ascii="Arial" w:hAnsi="Arial" w:eastAsia="Geomanist Light" w:cs="Arial"/>
          <w:color w:val="201F1E"/>
          <w:lang w:val="es-MX"/>
        </w:rPr>
      </w:pPr>
    </w:p>
    <w:p w:rsidR="00227C91" w:rsidP="000037B4" w:rsidRDefault="00227C91" w14:paraId="760DE3D5" w14:textId="77777777">
      <w:pPr>
        <w:spacing w:after="0"/>
        <w:rPr>
          <w:rFonts w:ascii="Arial" w:hAnsi="Arial" w:eastAsia="Geomanist Light" w:cs="Arial"/>
          <w:color w:val="201F1E"/>
          <w:lang w:val="es-MX"/>
        </w:rPr>
      </w:pPr>
    </w:p>
    <w:p w:rsidR="00227C91" w:rsidP="000037B4" w:rsidRDefault="00227C91" w14:paraId="709BD074" w14:textId="77777777">
      <w:pPr>
        <w:spacing w:after="0"/>
        <w:rPr>
          <w:rFonts w:ascii="Arial" w:hAnsi="Arial" w:eastAsia="Geomanist Light" w:cs="Arial"/>
          <w:color w:val="201F1E"/>
          <w:lang w:val="es-MX"/>
        </w:rPr>
      </w:pPr>
    </w:p>
    <w:p w:rsidR="00227C91" w:rsidP="000037B4" w:rsidRDefault="00227C91" w14:paraId="1962597B" w14:textId="77777777">
      <w:pPr>
        <w:spacing w:after="0"/>
        <w:rPr>
          <w:rFonts w:ascii="Arial" w:hAnsi="Arial" w:eastAsia="Geomanist Light" w:cs="Arial"/>
          <w:color w:val="201F1E"/>
          <w:lang w:val="es-MX"/>
        </w:rPr>
      </w:pPr>
    </w:p>
    <w:p w:rsidR="00227C91" w:rsidP="000037B4" w:rsidRDefault="00227C91" w14:paraId="082131A0" w14:textId="77777777">
      <w:pPr>
        <w:spacing w:after="0"/>
        <w:rPr>
          <w:rFonts w:ascii="Arial" w:hAnsi="Arial" w:eastAsia="Geomanist Light" w:cs="Arial"/>
          <w:color w:val="201F1E"/>
          <w:lang w:val="es-MX"/>
        </w:rPr>
      </w:pPr>
    </w:p>
    <w:p w:rsidR="00227C91" w:rsidP="000037B4" w:rsidRDefault="00227C91" w14:paraId="5E01D95A" w14:textId="77777777">
      <w:pPr>
        <w:spacing w:after="0"/>
        <w:rPr>
          <w:rFonts w:ascii="Arial" w:hAnsi="Arial" w:eastAsia="Geomanist Light" w:cs="Arial"/>
          <w:color w:val="201F1E"/>
          <w:lang w:val="es-MX"/>
        </w:rPr>
      </w:pPr>
    </w:p>
    <w:p w:rsidR="00227C91" w:rsidP="000037B4" w:rsidRDefault="00227C91" w14:paraId="7504400D" w14:textId="77777777">
      <w:pPr>
        <w:spacing w:after="0"/>
        <w:rPr>
          <w:rFonts w:ascii="Arial" w:hAnsi="Arial" w:eastAsia="Geomanist Light" w:cs="Arial"/>
          <w:color w:val="201F1E"/>
          <w:lang w:val="es-MX"/>
        </w:rPr>
      </w:pPr>
    </w:p>
    <w:p w:rsidR="00227C91" w:rsidP="000037B4" w:rsidRDefault="00227C91" w14:paraId="6C00B5C1" w14:textId="77777777">
      <w:pPr>
        <w:spacing w:after="0"/>
        <w:rPr>
          <w:rFonts w:ascii="Arial" w:hAnsi="Arial" w:eastAsia="Geomanist Light" w:cs="Arial"/>
          <w:color w:val="201F1E"/>
          <w:lang w:val="es-MX"/>
        </w:rPr>
      </w:pPr>
    </w:p>
    <w:p w:rsidR="00227C91" w:rsidP="000037B4" w:rsidRDefault="00227C91" w14:paraId="0E573BF0" w14:textId="77777777">
      <w:pPr>
        <w:spacing w:after="0"/>
        <w:rPr>
          <w:rFonts w:ascii="Arial" w:hAnsi="Arial" w:eastAsia="Geomanist Light" w:cs="Arial"/>
          <w:color w:val="201F1E"/>
          <w:lang w:val="es-MX"/>
        </w:rPr>
      </w:pPr>
    </w:p>
    <w:p w:rsidR="00227C91" w:rsidP="000037B4" w:rsidRDefault="00227C91" w14:paraId="65E5405B" w14:textId="77777777">
      <w:pPr>
        <w:spacing w:after="0"/>
        <w:rPr>
          <w:rFonts w:ascii="Arial" w:hAnsi="Arial" w:eastAsia="Geomanist Light" w:cs="Arial"/>
          <w:color w:val="201F1E"/>
          <w:lang w:val="es-MX"/>
        </w:rPr>
      </w:pPr>
    </w:p>
    <w:p w:rsidR="00227C91" w:rsidP="000037B4" w:rsidRDefault="00227C91" w14:paraId="65753E34" w14:textId="77777777">
      <w:pPr>
        <w:spacing w:after="0"/>
        <w:rPr>
          <w:rFonts w:ascii="Arial" w:hAnsi="Arial" w:eastAsia="Geomanist Light" w:cs="Arial"/>
          <w:color w:val="201F1E"/>
          <w:lang w:val="es-MX"/>
        </w:rPr>
      </w:pPr>
    </w:p>
    <w:p w:rsidR="00227C91" w:rsidP="000037B4" w:rsidRDefault="00227C91" w14:paraId="00D06030" w14:textId="77777777">
      <w:pPr>
        <w:spacing w:after="0"/>
        <w:rPr>
          <w:rFonts w:ascii="Arial" w:hAnsi="Arial" w:eastAsia="Geomanist Light" w:cs="Arial"/>
          <w:color w:val="201F1E"/>
          <w:lang w:val="es-MX"/>
        </w:rPr>
      </w:pPr>
    </w:p>
    <w:p w:rsidR="00227C91" w:rsidP="000037B4" w:rsidRDefault="00227C91" w14:paraId="016C4349" w14:textId="77777777">
      <w:pPr>
        <w:spacing w:after="0"/>
        <w:rPr>
          <w:rFonts w:ascii="Arial" w:hAnsi="Arial" w:eastAsia="Geomanist Light" w:cs="Arial"/>
          <w:color w:val="201F1E"/>
          <w:lang w:val="es-MX"/>
        </w:rPr>
      </w:pPr>
    </w:p>
    <w:p w:rsidR="00227C91" w:rsidP="000037B4" w:rsidRDefault="00227C91" w14:paraId="7E72AECC" w14:textId="77777777">
      <w:pPr>
        <w:spacing w:after="0"/>
        <w:rPr>
          <w:rFonts w:ascii="Arial" w:hAnsi="Arial" w:eastAsia="Geomanist Light" w:cs="Arial"/>
          <w:color w:val="201F1E"/>
          <w:lang w:val="es-MX"/>
        </w:rPr>
      </w:pPr>
    </w:p>
    <w:p w:rsidR="00227C91" w:rsidP="000037B4" w:rsidRDefault="00227C91" w14:paraId="348878D0" w14:textId="77777777">
      <w:pPr>
        <w:spacing w:after="0"/>
        <w:rPr>
          <w:rFonts w:ascii="Arial" w:hAnsi="Arial" w:eastAsia="Geomanist Light" w:cs="Arial"/>
          <w:color w:val="201F1E"/>
          <w:lang w:val="es-MX"/>
        </w:rPr>
      </w:pPr>
    </w:p>
    <w:p w:rsidR="00227C91" w:rsidP="000037B4" w:rsidRDefault="00227C91" w14:paraId="0AF525D3" w14:textId="77777777">
      <w:pPr>
        <w:spacing w:after="0"/>
        <w:rPr>
          <w:rFonts w:ascii="Arial" w:hAnsi="Arial" w:eastAsia="Geomanist Light" w:cs="Arial"/>
          <w:color w:val="201F1E"/>
          <w:lang w:val="es-MX"/>
        </w:rPr>
      </w:pPr>
    </w:p>
    <w:p w:rsidR="00227C91" w:rsidP="000037B4" w:rsidRDefault="00227C91" w14:paraId="42B1FD2D" w14:textId="77777777">
      <w:pPr>
        <w:spacing w:after="0"/>
        <w:rPr>
          <w:rFonts w:ascii="Arial" w:hAnsi="Arial" w:eastAsia="Geomanist Light" w:cs="Arial"/>
          <w:color w:val="201F1E"/>
          <w:lang w:val="es-MX"/>
        </w:rPr>
      </w:pPr>
    </w:p>
    <w:p w:rsidR="00227C91" w:rsidP="000037B4" w:rsidRDefault="00227C91" w14:paraId="5F6B0137" w14:textId="77777777">
      <w:pPr>
        <w:spacing w:after="0"/>
        <w:rPr>
          <w:rFonts w:ascii="Arial" w:hAnsi="Arial" w:eastAsia="Geomanist Light" w:cs="Arial"/>
          <w:color w:val="201F1E"/>
          <w:lang w:val="es-MX"/>
        </w:rPr>
      </w:pPr>
    </w:p>
    <w:p w:rsidR="00227C91" w:rsidP="000037B4" w:rsidRDefault="00227C91" w14:paraId="3FCF0DA1" w14:textId="77777777">
      <w:pPr>
        <w:spacing w:after="0"/>
        <w:rPr>
          <w:rFonts w:ascii="Arial" w:hAnsi="Arial" w:eastAsia="Geomanist Light" w:cs="Arial"/>
          <w:color w:val="201F1E"/>
          <w:lang w:val="es-MX"/>
        </w:rPr>
      </w:pPr>
    </w:p>
    <w:p w:rsidR="00227C91" w:rsidP="000037B4" w:rsidRDefault="00227C91" w14:paraId="1E91E665" w14:textId="77777777">
      <w:pPr>
        <w:spacing w:after="0"/>
        <w:rPr>
          <w:rFonts w:ascii="Arial" w:hAnsi="Arial" w:eastAsia="Geomanist Light" w:cs="Arial"/>
          <w:color w:val="201F1E"/>
          <w:lang w:val="es-MX"/>
        </w:rPr>
      </w:pPr>
    </w:p>
    <w:p w:rsidRPr="00262D58" w:rsidR="000037B4" w:rsidP="000037B4" w:rsidRDefault="000037B4" w14:paraId="4197F240" w14:textId="054AB86D">
      <w:pPr>
        <w:spacing w:after="0"/>
        <w:rPr>
          <w:rFonts w:ascii="Arial" w:hAnsi="Arial" w:eastAsia="Geomanist Light" w:cs="Arial"/>
          <w:color w:val="201F1E"/>
          <w:lang w:val="es-MX"/>
        </w:rPr>
      </w:pPr>
      <w:r w:rsidRPr="00262D58">
        <w:rPr>
          <w:rFonts w:ascii="Arial" w:hAnsi="Arial" w:eastAsia="Geomanist Light" w:cs="Arial"/>
          <w:color w:val="201F1E"/>
          <w:lang w:val="es-MX"/>
        </w:rPr>
        <w:t xml:space="preserve">Bogotá D.C., </w:t>
      </w:r>
      <w:r w:rsidRPr="005664C4" w:rsidR="005664C4">
        <w:rPr>
          <w:rFonts w:ascii="Arial" w:hAnsi="Arial" w:eastAsia="Geomanist Light" w:cs="Arial"/>
          <w:color w:val="201F1E"/>
          <w:lang w:val="es-MX"/>
        </w:rPr>
        <w:t>14 de Julio de 2023</w:t>
      </w:r>
    </w:p>
    <w:p w:rsidR="000037B4" w:rsidP="000037B4" w:rsidRDefault="000037B4" w14:paraId="7D355697" w14:textId="77777777">
      <w:pPr>
        <w:spacing w:after="0"/>
        <w:rPr>
          <w:rFonts w:ascii="Arial" w:hAnsi="Arial" w:eastAsia="Times New Roman" w:cs="Arial"/>
          <w:lang w:val="es-MX" w:eastAsia="es-ES"/>
        </w:rPr>
      </w:pPr>
    </w:p>
    <w:p w:rsidRPr="00262D58" w:rsidR="005664C4" w:rsidP="005664C4" w:rsidRDefault="005664C4" w14:paraId="5A0C0108" w14:textId="7084D705">
      <w:pPr>
        <w:spacing w:after="0"/>
        <w:jc w:val="right"/>
        <w:rPr>
          <w:rFonts w:ascii="Arial" w:hAnsi="Arial" w:eastAsia="Times New Roman" w:cs="Arial"/>
          <w:lang w:val="es-MX" w:eastAsia="es-ES"/>
        </w:rPr>
      </w:pPr>
      <w:r>
        <w:rPr>
          <w:rFonts w:ascii="Arial" w:hAnsi="Arial" w:eastAsia="Times New Roman" w:cs="Arial"/>
          <w:noProof/>
          <w:lang w:val="es-MX" w:eastAsia="es-ES"/>
        </w:rPr>
        <w:drawing>
          <wp:inline distT="0" distB="0" distL="0" distR="0" wp14:anchorId="754CD2AF" wp14:editId="7EED4BE0">
            <wp:extent cx="2952750" cy="685800"/>
            <wp:effectExtent l="0" t="0" r="0" b="0"/>
            <wp:docPr id="762907928" name="Picture 762907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685800"/>
                    </a:xfrm>
                    <a:prstGeom prst="rect">
                      <a:avLst/>
                    </a:prstGeom>
                    <a:noFill/>
                    <a:ln>
                      <a:noFill/>
                    </a:ln>
                  </pic:spPr>
                </pic:pic>
              </a:graphicData>
            </a:graphic>
          </wp:inline>
        </w:drawing>
      </w:r>
    </w:p>
    <w:p w:rsidRPr="00262D58" w:rsidR="000037B4" w:rsidP="000037B4" w:rsidRDefault="000037B4" w14:paraId="0247DACA" w14:textId="77777777">
      <w:pPr>
        <w:spacing w:after="0"/>
        <w:contextualSpacing/>
        <w:jc w:val="both"/>
        <w:rPr>
          <w:rFonts w:ascii="Arial" w:hAnsi="Arial" w:eastAsia="Calibri" w:cs="Arial"/>
          <w:lang w:val="es-ES_tradnl" w:eastAsia="es-ES_tradnl"/>
        </w:rPr>
      </w:pPr>
    </w:p>
    <w:p w:rsidRPr="00262D58" w:rsidR="000037B4" w:rsidP="000037B4" w:rsidRDefault="000037B4" w14:paraId="19A13BA5" w14:textId="77777777">
      <w:pPr>
        <w:contextualSpacing/>
        <w:jc w:val="both"/>
        <w:rPr>
          <w:rFonts w:ascii="Arial" w:hAnsi="Arial" w:eastAsia="Calibri" w:cs="Arial"/>
          <w:lang w:eastAsia="es-ES_tradnl"/>
        </w:rPr>
      </w:pPr>
      <w:r w:rsidRPr="00262D58">
        <w:rPr>
          <w:rFonts w:ascii="Arial" w:hAnsi="Arial" w:eastAsia="Calibri" w:cs="Arial"/>
          <w:lang w:eastAsia="es-ES_tradnl"/>
        </w:rPr>
        <w:t>Doctora</w:t>
      </w:r>
    </w:p>
    <w:p w:rsidRPr="00262D58" w:rsidR="000037B4" w:rsidP="000037B4" w:rsidRDefault="000037B4" w14:paraId="5979EEA0" w14:textId="77777777">
      <w:pPr>
        <w:contextualSpacing/>
        <w:jc w:val="both"/>
        <w:rPr>
          <w:rFonts w:ascii="Arial" w:hAnsi="Arial" w:eastAsia="Calibri" w:cs="Arial"/>
          <w:b/>
          <w:lang w:eastAsia="es-ES_tradnl"/>
        </w:rPr>
      </w:pPr>
      <w:r w:rsidRPr="00262D58">
        <w:rPr>
          <w:rFonts w:ascii="Arial" w:hAnsi="Arial" w:eastAsia="Calibri" w:cs="Arial"/>
          <w:b/>
          <w:lang w:eastAsia="es-ES_tradnl"/>
        </w:rPr>
        <w:t xml:space="preserve">Gabriela </w:t>
      </w:r>
      <w:proofErr w:type="spellStart"/>
      <w:r w:rsidRPr="00262D58">
        <w:rPr>
          <w:rFonts w:ascii="Arial" w:hAnsi="Arial" w:eastAsia="Calibri" w:cs="Arial"/>
          <w:b/>
          <w:lang w:eastAsia="es-ES_tradnl"/>
        </w:rPr>
        <w:t>Posso</w:t>
      </w:r>
      <w:proofErr w:type="spellEnd"/>
      <w:r w:rsidRPr="00262D58">
        <w:rPr>
          <w:rFonts w:ascii="Arial" w:hAnsi="Arial" w:eastAsia="Calibri" w:cs="Arial"/>
          <w:b/>
          <w:lang w:eastAsia="es-ES_tradnl"/>
        </w:rPr>
        <w:t xml:space="preserve"> Restrepo</w:t>
      </w:r>
    </w:p>
    <w:p w:rsidRPr="00262D58" w:rsidR="000037B4" w:rsidP="000037B4" w:rsidRDefault="000037B4" w14:paraId="35C45E1F" w14:textId="77777777">
      <w:pPr>
        <w:contextualSpacing/>
        <w:jc w:val="both"/>
        <w:rPr>
          <w:rFonts w:ascii="Arial" w:hAnsi="Arial" w:eastAsia="Geomanist Light" w:cs="Arial"/>
          <w:color w:val="000000" w:themeColor="text1"/>
          <w:lang w:val="es-MX"/>
        </w:rPr>
      </w:pPr>
      <w:r w:rsidRPr="00262D58">
        <w:rPr>
          <w:rFonts w:ascii="Arial" w:hAnsi="Arial" w:eastAsia="Geomanist Light" w:cs="Arial"/>
          <w:color w:val="000000" w:themeColor="text1"/>
          <w:lang w:val="es-MX"/>
        </w:rPr>
        <w:t>Consejera Presidencial para la Juventud - Colombia Joven</w:t>
      </w:r>
    </w:p>
    <w:p w:rsidRPr="00262D58" w:rsidR="000037B4" w:rsidP="000037B4" w:rsidRDefault="000037B4" w14:paraId="495B979D" w14:textId="77777777">
      <w:pPr>
        <w:contextualSpacing/>
        <w:jc w:val="both"/>
        <w:rPr>
          <w:rFonts w:ascii="Arial" w:hAnsi="Arial" w:eastAsia="Calibri" w:cs="Arial"/>
          <w:lang w:eastAsia="es-ES_tradnl"/>
        </w:rPr>
      </w:pPr>
      <w:r w:rsidRPr="00262D58">
        <w:rPr>
          <w:rFonts w:ascii="Arial" w:hAnsi="Arial" w:eastAsia="Geomanist Light" w:cs="Arial"/>
          <w:color w:val="000000" w:themeColor="text1"/>
          <w:lang w:val="es-MX"/>
        </w:rPr>
        <w:t>Bogotá D.C.</w:t>
      </w:r>
      <w:r w:rsidRPr="00262D58">
        <w:rPr>
          <w:rFonts w:ascii="Arial" w:hAnsi="Arial" w:eastAsia="Calibri" w:cs="Arial"/>
          <w:lang w:eastAsia="es-ES_tradnl"/>
        </w:rPr>
        <w:t xml:space="preserve">  </w:t>
      </w:r>
    </w:p>
    <w:p w:rsidRPr="00262D58" w:rsidR="000037B4" w:rsidP="000037B4" w:rsidRDefault="000037B4" w14:paraId="59D43F65" w14:textId="77777777">
      <w:pPr>
        <w:contextualSpacing/>
        <w:jc w:val="both"/>
        <w:rPr>
          <w:rFonts w:ascii="Arial" w:hAnsi="Arial" w:eastAsia="Calibri" w:cs="Arial"/>
          <w:lang w:val="es-ES_tradnl" w:eastAsia="es-ES_tradnl"/>
        </w:rPr>
      </w:pPr>
    </w:p>
    <w:p w:rsidRPr="00262D58" w:rsidR="000037B4" w:rsidP="000037B4" w:rsidRDefault="000037B4" w14:paraId="3E90EBF8" w14:textId="77777777">
      <w:pPr>
        <w:contextualSpacing/>
        <w:rPr>
          <w:rFonts w:ascii="Arial" w:hAnsi="Arial" w:eastAsia="Calibri" w:cs="Arial"/>
          <w:b/>
          <w:lang w:val="es-ES_tradnl" w:eastAsia="es-ES_tradnl"/>
        </w:rPr>
      </w:pPr>
    </w:p>
    <w:p w:rsidRPr="00262D58" w:rsidR="000037B4" w:rsidP="000037B4" w:rsidRDefault="000037B4" w14:paraId="58B9609C" w14:textId="77777777">
      <w:pPr>
        <w:ind w:left="2124" w:firstLine="570"/>
        <w:contextualSpacing/>
        <w:rPr>
          <w:rFonts w:ascii="Arial" w:hAnsi="Arial" w:eastAsia="Calibri" w:cs="Arial"/>
          <w:b/>
          <w:lang w:val="es-ES_tradnl" w:eastAsia="es-ES_tradnl"/>
        </w:rPr>
      </w:pPr>
      <w:r w:rsidRPr="00262D58">
        <w:rPr>
          <w:rFonts w:ascii="Arial" w:hAnsi="Arial" w:eastAsia="Calibri" w:cs="Arial"/>
          <w:b/>
          <w:lang w:val="es-ES_tradnl" w:eastAsia="es-ES_tradnl"/>
        </w:rPr>
        <w:t>Concepto C – 345 de 2023</w:t>
      </w:r>
    </w:p>
    <w:p w:rsidRPr="00262D58" w:rsidR="000037B4" w:rsidP="000037B4" w:rsidRDefault="000037B4" w14:paraId="5ABC2081" w14:textId="77777777">
      <w:pPr>
        <w:contextualSpacing/>
        <w:jc w:val="both"/>
        <w:rPr>
          <w:rFonts w:ascii="Arial" w:hAnsi="Arial" w:eastAsia="Calibri" w:cs="Arial"/>
          <w:lang w:val="es-ES_tradnl" w:eastAsia="es-ES_tradnl"/>
        </w:rPr>
      </w:pPr>
    </w:p>
    <w:tbl>
      <w:tblPr>
        <w:tblStyle w:val="TableGrid"/>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5E53FE" w:rsidR="000037B4" w:rsidTr="005131A0" w14:paraId="4EB6D609" w14:textId="77777777">
        <w:tc>
          <w:tcPr>
            <w:tcW w:w="2689" w:type="dxa"/>
          </w:tcPr>
          <w:p w:rsidRPr="00262D58" w:rsidR="000037B4" w:rsidP="005131A0" w:rsidRDefault="000037B4" w14:paraId="7E37DAEA" w14:textId="77777777">
            <w:pPr>
              <w:contextualSpacing/>
              <w:jc w:val="both"/>
              <w:rPr>
                <w:rFonts w:ascii="Arial" w:hAnsi="Arial" w:eastAsia="Calibri" w:cs="Arial"/>
                <w:lang w:val="es-ES_tradnl" w:eastAsia="es-ES_tradnl"/>
              </w:rPr>
            </w:pPr>
            <w:r w:rsidRPr="00262D58">
              <w:rPr>
                <w:rFonts w:ascii="Arial" w:hAnsi="Arial" w:eastAsia="Calibri" w:cs="Arial"/>
                <w:b/>
                <w:lang w:val="es-ES_tradnl" w:eastAsia="es-ES_tradnl"/>
              </w:rPr>
              <w:t>Temas:</w:t>
            </w:r>
            <w:r w:rsidRPr="00262D58">
              <w:rPr>
                <w:rFonts w:ascii="Arial" w:hAnsi="Arial" w:eastAsia="Calibri" w:cs="Arial"/>
                <w:lang w:val="es-ES_tradnl" w:eastAsia="es-ES_tradnl"/>
              </w:rPr>
              <w:t xml:space="preserve">                                      </w:t>
            </w:r>
          </w:p>
        </w:tc>
        <w:tc>
          <w:tcPr>
            <w:tcW w:w="6237" w:type="dxa"/>
          </w:tcPr>
          <w:p w:rsidRPr="00262D58" w:rsidR="000037B4" w:rsidP="005131A0" w:rsidRDefault="000037B4" w14:paraId="3FD62BFC" w14:textId="77777777">
            <w:pPr>
              <w:spacing w:after="120"/>
              <w:contextualSpacing/>
              <w:jc w:val="both"/>
              <w:rPr>
                <w:rFonts w:ascii="Arial" w:hAnsi="Arial" w:eastAsia="Calibri" w:cs="Arial"/>
                <w:lang w:val="es-MX" w:eastAsia="es-ES_tradnl"/>
              </w:rPr>
            </w:pPr>
            <w:r w:rsidRPr="00262D58">
              <w:rPr>
                <w:rFonts w:ascii="Arial" w:hAnsi="Arial" w:eastAsia="Calibri" w:cs="Arial"/>
                <w:lang w:val="es-MX" w:eastAsia="es-ES_tradnl"/>
              </w:rPr>
              <w:t xml:space="preserve">LEY DE GARANTÍAS ELECTORALES </w:t>
            </w:r>
            <w:r w:rsidRPr="005E53FE">
              <w:rPr>
                <w:rFonts w:ascii="Arial" w:hAnsi="Arial" w:eastAsia="Calibri" w:cs="Arial"/>
                <w:bCs/>
                <w:lang w:val="es-MX" w:eastAsia="es-ES_tradnl"/>
              </w:rPr>
              <w:t>‒</w:t>
            </w:r>
            <w:r w:rsidRPr="00262D58">
              <w:rPr>
                <w:rFonts w:ascii="Arial" w:hAnsi="Arial" w:eastAsia="Calibri" w:cs="Arial"/>
                <w:lang w:val="es-MX" w:eastAsia="es-ES_tradnl"/>
              </w:rPr>
              <w:t xml:space="preserve"> Finalidad / LEY DE GARANTÍAS ELECTORALES </w:t>
            </w:r>
            <w:r w:rsidRPr="005E53FE">
              <w:rPr>
                <w:rFonts w:ascii="Arial" w:hAnsi="Arial" w:eastAsia="Calibri" w:cs="Arial"/>
                <w:bCs/>
                <w:lang w:val="es-MX" w:eastAsia="es-ES_tradnl"/>
              </w:rPr>
              <w:t>‒</w:t>
            </w:r>
            <w:r w:rsidRPr="00262D58">
              <w:rPr>
                <w:rFonts w:ascii="Arial" w:hAnsi="Arial" w:eastAsia="Calibri" w:cs="Arial"/>
                <w:lang w:val="es-MX" w:eastAsia="es-ES_tradnl"/>
              </w:rPr>
              <w:t xml:space="preserve"> Tipos de restricciones </w:t>
            </w:r>
            <w:r w:rsidRPr="005E53FE">
              <w:rPr>
                <w:rFonts w:ascii="Arial" w:hAnsi="Arial" w:eastAsia="Calibri" w:cs="Arial"/>
                <w:bCs/>
                <w:lang w:val="es-MX" w:eastAsia="es-ES_tradnl"/>
              </w:rPr>
              <w:t>‒</w:t>
            </w:r>
            <w:r w:rsidRPr="00262D58">
              <w:rPr>
                <w:rFonts w:ascii="Arial" w:hAnsi="Arial" w:eastAsia="Calibri" w:cs="Arial"/>
                <w:lang w:val="es-MX" w:eastAsia="es-ES_tradnl"/>
              </w:rPr>
              <w:t xml:space="preserve"> Ámbito temporal / LEY DE GARANTÍAS ELECTORALES ─ Prohibición </w:t>
            </w:r>
            <w:r w:rsidRPr="005E53FE">
              <w:rPr>
                <w:rFonts w:ascii="Arial" w:hAnsi="Arial" w:eastAsia="Calibri" w:cs="Arial"/>
                <w:bCs/>
                <w:lang w:val="es-MX" w:eastAsia="es-ES_tradnl"/>
              </w:rPr>
              <w:t>‒</w:t>
            </w:r>
            <w:r w:rsidRPr="00262D58">
              <w:rPr>
                <w:rFonts w:ascii="Arial" w:hAnsi="Arial" w:eastAsia="Calibri" w:cs="Arial"/>
                <w:lang w:val="es-MX" w:eastAsia="es-ES_tradnl"/>
              </w:rPr>
              <w:t xml:space="preserve"> Contratación directa </w:t>
            </w:r>
            <w:r w:rsidRPr="005E53FE">
              <w:rPr>
                <w:rFonts w:ascii="Arial" w:hAnsi="Arial" w:eastAsia="Calibri" w:cs="Arial"/>
                <w:bCs/>
                <w:lang w:val="es-MX" w:eastAsia="es-ES_tradnl"/>
              </w:rPr>
              <w:t>‒</w:t>
            </w:r>
            <w:r w:rsidRPr="00262D58">
              <w:rPr>
                <w:rFonts w:ascii="Arial" w:hAnsi="Arial" w:eastAsia="Calibri" w:cs="Arial"/>
                <w:lang w:val="es-MX" w:eastAsia="es-ES_tradnl"/>
              </w:rPr>
              <w:t xml:space="preserve"> Alcance / LEY DE GARANTÍAS ELECTORALES ─ Prohibición </w:t>
            </w:r>
            <w:r w:rsidRPr="005E53FE">
              <w:rPr>
                <w:rFonts w:ascii="Arial" w:hAnsi="Arial" w:eastAsia="Calibri" w:cs="Arial"/>
                <w:bCs/>
                <w:lang w:val="es-MX" w:eastAsia="es-ES_tradnl"/>
              </w:rPr>
              <w:t>‒</w:t>
            </w:r>
            <w:r w:rsidRPr="00262D58">
              <w:rPr>
                <w:rFonts w:ascii="Arial" w:hAnsi="Arial" w:eastAsia="Calibri" w:cs="Arial"/>
                <w:lang w:val="es-MX" w:eastAsia="es-ES_tradnl"/>
              </w:rPr>
              <w:t xml:space="preserve"> Contratación directa </w:t>
            </w:r>
            <w:r w:rsidRPr="005E53FE">
              <w:rPr>
                <w:rFonts w:ascii="Arial" w:hAnsi="Arial" w:eastAsia="Calibri" w:cs="Arial"/>
                <w:bCs/>
                <w:lang w:val="es-MX" w:eastAsia="es-ES_tradnl"/>
              </w:rPr>
              <w:t>‒</w:t>
            </w:r>
            <w:r w:rsidRPr="00262D58">
              <w:rPr>
                <w:rFonts w:ascii="Arial" w:hAnsi="Arial" w:eastAsia="Calibri" w:cs="Arial"/>
                <w:lang w:val="es-MX" w:eastAsia="es-ES_tradnl"/>
              </w:rPr>
              <w:t xml:space="preserve"> Excepciones / LEY DE GARANTÍAS ELECTORALES </w:t>
            </w:r>
            <w:r w:rsidRPr="005E53FE">
              <w:rPr>
                <w:rFonts w:ascii="Arial" w:hAnsi="Arial" w:eastAsia="Calibri" w:cs="Arial"/>
                <w:bCs/>
                <w:lang w:val="es-MX" w:eastAsia="es-ES_tradnl"/>
              </w:rPr>
              <w:t>‒</w:t>
            </w:r>
            <w:r w:rsidRPr="00262D58">
              <w:rPr>
                <w:rFonts w:ascii="Arial" w:hAnsi="Arial" w:eastAsia="Calibri" w:cs="Arial"/>
                <w:lang w:val="es-MX" w:eastAsia="es-ES_tradnl"/>
              </w:rPr>
              <w:t xml:space="preserve"> Prohibición del artículo 33 </w:t>
            </w:r>
            <w:r w:rsidRPr="005E53FE">
              <w:rPr>
                <w:rFonts w:ascii="Arial" w:hAnsi="Arial" w:eastAsia="Calibri" w:cs="Arial"/>
                <w:bCs/>
                <w:lang w:val="es-MX" w:eastAsia="es-ES_tradnl"/>
              </w:rPr>
              <w:t>‒</w:t>
            </w:r>
            <w:r w:rsidRPr="00262D58">
              <w:rPr>
                <w:rFonts w:ascii="Arial" w:hAnsi="Arial" w:eastAsia="Calibri" w:cs="Arial"/>
                <w:lang w:val="es-MX" w:eastAsia="es-ES_tradnl"/>
              </w:rPr>
              <w:t xml:space="preserve"> Destinatarios / LEY DE GARANTÍAS ELECTORALES </w:t>
            </w:r>
            <w:r w:rsidRPr="005E53FE">
              <w:rPr>
                <w:rFonts w:ascii="Arial" w:hAnsi="Arial" w:eastAsia="Calibri" w:cs="Arial"/>
                <w:bCs/>
                <w:lang w:val="es-MX" w:eastAsia="es-ES_tradnl"/>
              </w:rPr>
              <w:t>‒</w:t>
            </w:r>
            <w:r w:rsidRPr="00262D58">
              <w:rPr>
                <w:rFonts w:ascii="Arial" w:hAnsi="Arial" w:eastAsia="Calibri" w:cs="Arial"/>
                <w:lang w:val="es-MX" w:eastAsia="es-ES_tradnl"/>
              </w:rPr>
              <w:t xml:space="preserve"> Prohibición por elección de cargos populares – Convenios y contratos interadministrativos – Definición – Criterio orgánico / ENTES UNIVERSITARIOS AUTÓNOMOS – Establecimientos públicos de educación superior – Diferencia – Ley de Garantías – Parágrafo del artículo 38 – Alcance</w:t>
            </w:r>
          </w:p>
          <w:p w:rsidRPr="00262D58" w:rsidR="000037B4" w:rsidP="005131A0" w:rsidRDefault="000037B4" w14:paraId="16622875" w14:textId="77777777">
            <w:pPr>
              <w:spacing w:after="120"/>
              <w:contextualSpacing/>
              <w:jc w:val="both"/>
              <w:rPr>
                <w:rFonts w:ascii="Arial" w:hAnsi="Arial" w:eastAsia="Calibri" w:cs="Arial"/>
                <w:sz w:val="12"/>
                <w:szCs w:val="12"/>
                <w:lang w:val="es-ES_tradnl" w:eastAsia="es-ES_tradnl"/>
              </w:rPr>
            </w:pPr>
          </w:p>
        </w:tc>
      </w:tr>
      <w:tr w:rsidRPr="005E53FE" w:rsidR="000037B4" w:rsidTr="005131A0" w14:paraId="0F93A85F" w14:textId="77777777">
        <w:trPr>
          <w:trHeight w:val="227"/>
        </w:trPr>
        <w:tc>
          <w:tcPr>
            <w:tcW w:w="2689" w:type="dxa"/>
          </w:tcPr>
          <w:p w:rsidRPr="00262D58" w:rsidR="000037B4" w:rsidP="005131A0" w:rsidRDefault="000037B4" w14:paraId="573E06B0" w14:textId="77777777">
            <w:pPr>
              <w:contextualSpacing/>
              <w:jc w:val="both"/>
              <w:rPr>
                <w:rFonts w:ascii="Arial" w:hAnsi="Arial" w:eastAsia="Calibri" w:cs="Arial"/>
                <w:b/>
                <w:lang w:val="es-ES_tradnl" w:eastAsia="es-ES_tradnl"/>
              </w:rPr>
            </w:pPr>
            <w:r w:rsidRPr="00262D58">
              <w:rPr>
                <w:rFonts w:ascii="Arial" w:hAnsi="Arial" w:eastAsia="Calibri" w:cs="Arial"/>
                <w:b/>
                <w:lang w:val="es-ES_tradnl" w:eastAsia="es-ES_tradnl"/>
              </w:rPr>
              <w:t>Radicación:</w:t>
            </w:r>
            <w:r w:rsidRPr="00262D58">
              <w:rPr>
                <w:rFonts w:ascii="Arial" w:hAnsi="Arial" w:eastAsia="Calibri" w:cs="Arial"/>
                <w:lang w:val="es-ES_tradnl" w:eastAsia="es-ES_tradnl"/>
              </w:rPr>
              <w:t xml:space="preserve">                             </w:t>
            </w:r>
          </w:p>
        </w:tc>
        <w:tc>
          <w:tcPr>
            <w:tcW w:w="6237" w:type="dxa"/>
          </w:tcPr>
          <w:p w:rsidRPr="00262D58" w:rsidR="000037B4" w:rsidP="005131A0" w:rsidRDefault="000037B4" w14:paraId="01936B9A" w14:textId="77777777">
            <w:pPr>
              <w:contextualSpacing/>
              <w:jc w:val="both"/>
              <w:rPr>
                <w:rFonts w:ascii="Arial" w:hAnsi="Arial" w:eastAsia="Calibri" w:cs="Arial"/>
                <w:lang w:val="es-ES_tradnl" w:eastAsia="es-ES_tradnl"/>
              </w:rPr>
            </w:pPr>
            <w:r w:rsidRPr="00262D58">
              <w:rPr>
                <w:rFonts w:ascii="Arial" w:hAnsi="Arial" w:eastAsia="Calibri" w:cs="Arial"/>
                <w:lang w:val="es-ES_tradnl" w:eastAsia="es-ES_tradnl"/>
              </w:rPr>
              <w:t xml:space="preserve">Respuesta a consulta </w:t>
            </w:r>
            <w:proofErr w:type="spellStart"/>
            <w:r w:rsidRPr="00262D58">
              <w:rPr>
                <w:rFonts w:ascii="Arial" w:hAnsi="Arial" w:eastAsia="Calibri" w:cs="Arial"/>
                <w:lang w:val="es-ES_tradnl" w:eastAsia="es-ES_tradnl"/>
              </w:rPr>
              <w:t>P20230707013054</w:t>
            </w:r>
            <w:proofErr w:type="spellEnd"/>
          </w:p>
        </w:tc>
      </w:tr>
    </w:tbl>
    <w:p w:rsidRPr="00262D58" w:rsidR="000037B4" w:rsidP="000037B4" w:rsidRDefault="000037B4" w14:paraId="2EAF0B8C" w14:textId="77777777">
      <w:pPr>
        <w:contextualSpacing/>
        <w:jc w:val="both"/>
        <w:rPr>
          <w:rFonts w:ascii="Arial" w:hAnsi="Arial" w:eastAsia="Calibri" w:cs="Arial"/>
          <w:lang w:val="es-ES_tradnl" w:eastAsia="es-ES_tradnl"/>
        </w:rPr>
      </w:pPr>
    </w:p>
    <w:p w:rsidRPr="00262D58" w:rsidR="000037B4" w:rsidP="000037B4" w:rsidRDefault="000037B4" w14:paraId="0C5AC055" w14:textId="77777777">
      <w:pPr>
        <w:contextualSpacing/>
        <w:jc w:val="both"/>
        <w:rPr>
          <w:rFonts w:ascii="Arial" w:hAnsi="Arial" w:eastAsia="Calibri" w:cs="Arial"/>
          <w:lang w:val="es-ES_tradnl" w:eastAsia="es-ES_tradnl"/>
        </w:rPr>
      </w:pPr>
    </w:p>
    <w:p w:rsidRPr="00262D58" w:rsidR="000037B4" w:rsidP="000037B4" w:rsidRDefault="000037B4" w14:paraId="10913D22" w14:textId="77777777">
      <w:pPr>
        <w:contextualSpacing/>
        <w:jc w:val="both"/>
        <w:rPr>
          <w:rFonts w:ascii="Arial" w:hAnsi="Arial" w:eastAsia="Calibri" w:cs="Arial"/>
          <w:lang w:val="es-ES" w:eastAsia="es-ES"/>
        </w:rPr>
      </w:pPr>
      <w:r w:rsidRPr="00262D58">
        <w:rPr>
          <w:rFonts w:ascii="Arial" w:hAnsi="Arial" w:eastAsia="Calibri" w:cs="Arial"/>
          <w:lang w:val="es-ES" w:eastAsia="es-ES"/>
        </w:rPr>
        <w:t xml:space="preserve">Respetada doctora </w:t>
      </w:r>
      <w:proofErr w:type="spellStart"/>
      <w:r w:rsidRPr="00262D58">
        <w:rPr>
          <w:rFonts w:ascii="Arial" w:hAnsi="Arial" w:eastAsia="Times New Roman" w:cs="Arial"/>
          <w:lang w:eastAsia="es-ES"/>
        </w:rPr>
        <w:t>Posso</w:t>
      </w:r>
      <w:proofErr w:type="spellEnd"/>
      <w:r w:rsidRPr="00262D58">
        <w:rPr>
          <w:rFonts w:ascii="Arial" w:hAnsi="Arial" w:eastAsia="Times New Roman" w:cs="Arial"/>
          <w:lang w:eastAsia="es-ES"/>
        </w:rPr>
        <w:t xml:space="preserve"> Restrepo</w:t>
      </w:r>
      <w:r w:rsidRPr="00262D58">
        <w:rPr>
          <w:rFonts w:ascii="Arial" w:hAnsi="Arial" w:eastAsia="Calibri" w:cs="Arial"/>
          <w:lang w:val="es-ES" w:eastAsia="es-ES"/>
        </w:rPr>
        <w:t xml:space="preserve">: </w:t>
      </w:r>
    </w:p>
    <w:p w:rsidRPr="00262D58" w:rsidR="000037B4" w:rsidP="000037B4" w:rsidRDefault="000037B4" w14:paraId="2EE2FEAF" w14:textId="77777777">
      <w:pPr>
        <w:spacing w:line="276" w:lineRule="auto"/>
        <w:contextualSpacing/>
        <w:jc w:val="both"/>
        <w:rPr>
          <w:rFonts w:ascii="Arial" w:hAnsi="Arial" w:eastAsia="Calibri" w:cs="Arial"/>
          <w:szCs w:val="24"/>
          <w:lang w:val="es-ES_tradnl" w:eastAsia="es-ES_tradnl"/>
        </w:rPr>
      </w:pPr>
    </w:p>
    <w:bookmarkEnd w:id="0"/>
    <w:bookmarkEnd w:id="1"/>
    <w:p w:rsidRPr="00262D58" w:rsidR="000037B4" w:rsidP="000037B4" w:rsidRDefault="000037B4" w14:paraId="555139AE" w14:textId="77777777">
      <w:pPr>
        <w:spacing w:after="0" w:line="276" w:lineRule="auto"/>
        <w:jc w:val="both"/>
        <w:rPr>
          <w:rFonts w:ascii="Arial" w:hAnsi="Arial" w:eastAsia="Calibri" w:cs="Arial"/>
          <w:color w:val="000000" w:themeColor="text1"/>
          <w:lang w:val="es-ES_tradnl"/>
        </w:rPr>
      </w:pPr>
      <w:r w:rsidRPr="00262D58">
        <w:rPr>
          <w:rFonts w:ascii="Arial" w:hAnsi="Arial" w:eastAsia="Calibri" w:cs="Arial"/>
          <w:color w:val="000000" w:themeColor="text1"/>
          <w:lang w:val="es-ES_tradnl"/>
        </w:rPr>
        <w:t>En ejercicio de la competencia otorgada por el numeral 8 del artículo 11 y el numeral 5 del artículo 3 del Decreto Ley 4170 de 2011</w:t>
      </w:r>
      <w:bookmarkStart w:name="_Hlk99120496" w:id="10"/>
      <w:r w:rsidRPr="00262D58">
        <w:rPr>
          <w:rFonts w:ascii="Arial" w:hAnsi="Arial" w:eastAsia="Arial MT" w:cs="Arial"/>
          <w:lang w:val="es-ES"/>
        </w:rPr>
        <w:t xml:space="preserve">, </w:t>
      </w:r>
      <w:bookmarkEnd w:id="10"/>
      <w:r w:rsidRPr="00262D58">
        <w:rPr>
          <w:rFonts w:ascii="Arial" w:hAnsi="Arial" w:eastAsia="Calibri" w:cs="Arial"/>
          <w:color w:val="000000" w:themeColor="text1"/>
          <w:lang w:val="es-ES_tradnl"/>
        </w:rPr>
        <w:t>la Agencia Nacional de Contratación Pública – Colombia Compra Eficiente responde la consulta radicada el 7 de julio de 2023.</w:t>
      </w:r>
    </w:p>
    <w:p w:rsidRPr="00262D58" w:rsidR="000037B4" w:rsidP="000037B4" w:rsidRDefault="000037B4" w14:paraId="281EAFF3" w14:textId="77777777">
      <w:pPr>
        <w:spacing w:after="0" w:line="276" w:lineRule="auto"/>
        <w:jc w:val="both"/>
        <w:rPr>
          <w:rFonts w:ascii="Arial" w:hAnsi="Arial" w:eastAsia="Calibri" w:cs="Arial"/>
          <w:b/>
          <w:color w:val="000000" w:themeColor="text1"/>
          <w:lang w:val="es-ES_tradnl"/>
        </w:rPr>
      </w:pPr>
    </w:p>
    <w:p w:rsidRPr="00262D58" w:rsidR="000037B4" w:rsidP="000037B4" w:rsidRDefault="000037B4" w14:paraId="3C50D671" w14:textId="77777777">
      <w:pPr>
        <w:pStyle w:val="ListParagraph"/>
        <w:numPr>
          <w:ilvl w:val="0"/>
          <w:numId w:val="6"/>
        </w:numPr>
        <w:tabs>
          <w:tab w:val="left" w:pos="0"/>
          <w:tab w:val="left" w:pos="142"/>
          <w:tab w:val="left" w:pos="284"/>
        </w:tabs>
        <w:spacing w:after="0" w:line="276" w:lineRule="auto"/>
        <w:ind w:left="0" w:firstLine="0"/>
        <w:jc w:val="both"/>
        <w:rPr>
          <w:rFonts w:ascii="Arial" w:hAnsi="Arial" w:eastAsia="Calibri" w:cs="Arial"/>
          <w:b/>
          <w:color w:val="000000" w:themeColor="text1"/>
          <w:lang w:val="es-ES_tradnl"/>
        </w:rPr>
      </w:pPr>
      <w:r w:rsidRPr="00262D58">
        <w:rPr>
          <w:rFonts w:ascii="Arial" w:hAnsi="Arial" w:eastAsia="Calibri" w:cs="Arial"/>
          <w:b/>
          <w:color w:val="000000" w:themeColor="text1"/>
          <w:lang w:val="es-ES_tradnl"/>
        </w:rPr>
        <w:t xml:space="preserve">Problemas planteados </w:t>
      </w:r>
    </w:p>
    <w:p w:rsidRPr="00262D58" w:rsidR="000037B4" w:rsidP="000037B4" w:rsidRDefault="000037B4" w14:paraId="043F8CBD" w14:textId="77777777">
      <w:pPr>
        <w:tabs>
          <w:tab w:val="left" w:pos="426"/>
        </w:tabs>
        <w:spacing w:after="0" w:line="276" w:lineRule="auto"/>
        <w:jc w:val="both"/>
        <w:rPr>
          <w:rFonts w:ascii="Arial" w:hAnsi="Arial" w:eastAsia="Calibri" w:cs="Arial"/>
          <w:b/>
          <w:color w:val="000000" w:themeColor="text1"/>
          <w:lang w:val="es-ES_tradnl"/>
        </w:rPr>
      </w:pPr>
    </w:p>
    <w:p w:rsidRPr="00262D58" w:rsidR="000037B4" w:rsidP="000037B4" w:rsidRDefault="000037B4" w14:paraId="1506E06A" w14:textId="77777777">
      <w:pPr>
        <w:spacing w:after="0" w:line="276" w:lineRule="auto"/>
        <w:jc w:val="both"/>
        <w:rPr>
          <w:rFonts w:ascii="Arial" w:hAnsi="Arial" w:cs="Arial"/>
          <w:color w:val="000000" w:themeColor="text1"/>
          <w:lang w:val="es-ES_tradnl"/>
        </w:rPr>
      </w:pPr>
      <w:bookmarkStart w:name="_Hlk132728388" w:id="11"/>
      <w:r w:rsidRPr="00262D58">
        <w:rPr>
          <w:rFonts w:ascii="Arial" w:hAnsi="Arial" w:cs="Arial"/>
          <w:color w:val="000000" w:themeColor="text1"/>
          <w:lang w:val="es-ES_tradnl"/>
        </w:rPr>
        <w:t>Usted realiza las siguientes preguntas:</w:t>
      </w:r>
      <w:bookmarkEnd w:id="11"/>
      <w:r w:rsidRPr="00262D58">
        <w:rPr>
          <w:rFonts w:ascii="Arial" w:hAnsi="Arial" w:cs="Arial"/>
          <w:color w:val="000000" w:themeColor="text1"/>
        </w:rPr>
        <w:t xml:space="preserve"> </w:t>
      </w:r>
      <w:bookmarkStart w:name="_Hlk132728466" w:id="12"/>
      <w:bookmarkStart w:name="_Hlk134095577" w:id="13"/>
      <w:bookmarkStart w:name="_Hlk140073018" w:id="14"/>
      <w:r w:rsidRPr="00262D58">
        <w:rPr>
          <w:rFonts w:ascii="Arial" w:hAnsi="Arial" w:cs="Arial"/>
          <w:color w:val="000000" w:themeColor="text1"/>
          <w:lang w:val="es-ES_tradnl"/>
        </w:rPr>
        <w:t xml:space="preserve">i) </w:t>
      </w:r>
      <w:bookmarkEnd w:id="12"/>
      <w:bookmarkEnd w:id="13"/>
      <w:r w:rsidRPr="00262D58">
        <w:rPr>
          <w:rFonts w:ascii="Arial" w:hAnsi="Arial" w:cs="Arial"/>
          <w:color w:val="000000" w:themeColor="text1"/>
          <w:lang w:val="es-ES_tradnl"/>
        </w:rPr>
        <w:t xml:space="preserve">“¿Debe entenderse como sometida a las limitaciones establecidas en el parágrafo del artículo 38 de la ley 996 del 2005, a una universidad pública adscrita a una entidad territorial, como la gobernación?”, </w:t>
      </w:r>
      <w:proofErr w:type="spellStart"/>
      <w:r w:rsidRPr="00262D58">
        <w:rPr>
          <w:rFonts w:ascii="Arial" w:hAnsi="Arial" w:cs="Arial"/>
          <w:color w:val="000000" w:themeColor="text1"/>
          <w:lang w:val="es-ES_tradnl"/>
        </w:rPr>
        <w:t>ii</w:t>
      </w:r>
      <w:proofErr w:type="spellEnd"/>
      <w:r w:rsidRPr="00262D58">
        <w:rPr>
          <w:rFonts w:ascii="Arial" w:hAnsi="Arial" w:cs="Arial"/>
          <w:color w:val="000000" w:themeColor="text1"/>
          <w:lang w:val="es-ES_tradnl"/>
        </w:rPr>
        <w:t>) “¿Cuál sería la naturaleza jurídica de la entidad universitaria adscrita a entidad territorial? ¿Debe entenderse como entidad descentralizada y por tanto sometida a la restricción establecida en el parágrafo del artículo 38 de la ley 996 del 2005?”</w:t>
      </w:r>
      <w:bookmarkEnd w:id="14"/>
      <w:r w:rsidRPr="00262D58">
        <w:rPr>
          <w:rFonts w:ascii="Arial" w:hAnsi="Arial" w:cs="Arial"/>
          <w:color w:val="000000" w:themeColor="text1"/>
          <w:lang w:val="es-ES_tradnl"/>
        </w:rPr>
        <w:t xml:space="preserve"> y </w:t>
      </w:r>
      <w:proofErr w:type="spellStart"/>
      <w:r w:rsidRPr="00262D58">
        <w:rPr>
          <w:rFonts w:ascii="Arial" w:hAnsi="Arial" w:cs="Arial"/>
          <w:color w:val="000000" w:themeColor="text1"/>
          <w:lang w:val="es-ES_tradnl"/>
        </w:rPr>
        <w:t>iii</w:t>
      </w:r>
      <w:proofErr w:type="spellEnd"/>
      <w:r w:rsidRPr="00262D58">
        <w:rPr>
          <w:rFonts w:ascii="Arial" w:hAnsi="Arial" w:cs="Arial"/>
          <w:color w:val="000000" w:themeColor="text1"/>
          <w:lang w:val="es-ES_tradnl"/>
        </w:rPr>
        <w:t xml:space="preserve">) </w:t>
      </w:r>
      <w:bookmarkStart w:name="_Hlk140075848" w:id="15"/>
      <w:r w:rsidRPr="00262D58">
        <w:rPr>
          <w:rFonts w:ascii="Arial" w:hAnsi="Arial" w:cs="Arial"/>
          <w:color w:val="000000" w:themeColor="text1"/>
          <w:lang w:val="es-ES_tradnl"/>
        </w:rPr>
        <w:t>“¿Puede una entidad del orden nacional, no sometida a la restricción establecida en el parágrafo del artículo 38 de la ley 996 del 2005, suscribir un contrato interadministrativo con una universidad pública adscrita a una entidad territorial como las gobernaciones?”</w:t>
      </w:r>
      <w:bookmarkEnd w:id="15"/>
      <w:r w:rsidRPr="00262D58">
        <w:rPr>
          <w:rFonts w:ascii="Arial" w:hAnsi="Arial" w:cs="Arial"/>
          <w:color w:val="000000" w:themeColor="text1"/>
          <w:lang w:val="es-ES_tradnl"/>
        </w:rPr>
        <w:t>.</w:t>
      </w:r>
    </w:p>
    <w:p w:rsidRPr="00262D58" w:rsidR="000037B4" w:rsidP="000037B4" w:rsidRDefault="000037B4" w14:paraId="43DC0D5C" w14:textId="77777777">
      <w:pPr>
        <w:spacing w:after="0" w:line="276" w:lineRule="auto"/>
        <w:ind w:right="709"/>
        <w:jc w:val="both"/>
        <w:rPr>
          <w:rFonts w:ascii="Arial" w:hAnsi="Arial" w:cs="Arial"/>
          <w:color w:val="000000" w:themeColor="text1"/>
          <w:sz w:val="21"/>
          <w:szCs w:val="21"/>
        </w:rPr>
      </w:pPr>
    </w:p>
    <w:p w:rsidRPr="00262D58" w:rsidR="000037B4" w:rsidP="000037B4" w:rsidRDefault="000037B4" w14:paraId="6BF96DDE" w14:textId="77777777">
      <w:pPr>
        <w:pStyle w:val="ListParagraph"/>
        <w:numPr>
          <w:ilvl w:val="0"/>
          <w:numId w:val="6"/>
        </w:numPr>
        <w:tabs>
          <w:tab w:val="left" w:pos="0"/>
          <w:tab w:val="left" w:pos="284"/>
        </w:tabs>
        <w:spacing w:after="0" w:line="240" w:lineRule="auto"/>
        <w:ind w:left="0" w:firstLine="0"/>
        <w:jc w:val="both"/>
        <w:rPr>
          <w:rFonts w:ascii="Arial" w:hAnsi="Arial" w:eastAsia="Calibri" w:cs="Arial"/>
          <w:b/>
          <w:color w:val="000000" w:themeColor="text1"/>
          <w:lang w:val="es-ES_tradnl"/>
        </w:rPr>
      </w:pPr>
      <w:r w:rsidRPr="00262D58">
        <w:rPr>
          <w:rFonts w:ascii="Arial" w:hAnsi="Arial" w:eastAsia="Calibri" w:cs="Arial"/>
          <w:b/>
          <w:color w:val="000000" w:themeColor="text1"/>
          <w:lang w:val="es-ES_tradnl"/>
        </w:rPr>
        <w:t>Consideraciones</w:t>
      </w:r>
    </w:p>
    <w:p w:rsidRPr="00262D58" w:rsidR="000037B4" w:rsidP="000037B4" w:rsidRDefault="000037B4" w14:paraId="5AF8C99E" w14:textId="77777777">
      <w:pPr>
        <w:spacing w:after="0" w:line="276" w:lineRule="auto"/>
        <w:jc w:val="both"/>
        <w:rPr>
          <w:rFonts w:ascii="Arial" w:hAnsi="Arial" w:eastAsia="Calibri" w:cs="Arial"/>
          <w:color w:val="000000" w:themeColor="text1"/>
          <w:lang w:val="es-ES"/>
        </w:rPr>
      </w:pPr>
    </w:p>
    <w:p w:rsidRPr="00262D58" w:rsidR="000037B4" w:rsidP="000037B4" w:rsidRDefault="000037B4" w14:paraId="155BA8DD" w14:textId="77777777">
      <w:pPr>
        <w:spacing w:line="276" w:lineRule="auto"/>
        <w:jc w:val="both"/>
        <w:rPr>
          <w:rFonts w:ascii="Arial" w:hAnsi="Arial" w:cs="Arial"/>
          <w:color w:val="000000" w:themeColor="text1"/>
          <w:lang w:val="es-ES"/>
        </w:rPr>
      </w:pPr>
      <w:r w:rsidRPr="00262D58">
        <w:rPr>
          <w:rFonts w:ascii="Arial" w:hAnsi="Arial" w:cs="Arial"/>
        </w:rPr>
        <w:t>L</w:t>
      </w:r>
      <w:r w:rsidRPr="00262D58">
        <w:rPr>
          <w:rFonts w:ascii="Arial" w:hAnsi="Arial" w:eastAsia="Calibri" w:cs="Arial"/>
        </w:rPr>
        <w:t xml:space="preserve">a Subdirección resolverá la petición conforme a las normas generales en materia de contratación estatal. Con este objetivo se abordarán </w:t>
      </w:r>
      <w:r w:rsidRPr="00262D58">
        <w:rPr>
          <w:rFonts w:ascii="Arial" w:hAnsi="Arial" w:eastAsia="Calibri" w:cs="Arial"/>
          <w:lang w:val="es-ES"/>
        </w:rPr>
        <w:t>los siguientes temas:</w:t>
      </w:r>
      <w:r w:rsidRPr="00262D58">
        <w:rPr>
          <w:rFonts w:ascii="Arial" w:hAnsi="Arial" w:cs="Arial"/>
          <w:color w:val="000000" w:themeColor="text1"/>
          <w:lang w:val="es-ES"/>
        </w:rPr>
        <w:t xml:space="preserve"> </w:t>
      </w:r>
      <w:r w:rsidRPr="00262D58">
        <w:rPr>
          <w:rFonts w:ascii="Arial" w:hAnsi="Arial" w:cs="Arial"/>
          <w:color w:val="000000" w:themeColor="text1"/>
          <w:lang w:val="es-ES_tradnl"/>
        </w:rPr>
        <w:t xml:space="preserve">i) definición y finalidad de la Ley de Garantías Electorales, </w:t>
      </w:r>
      <w:proofErr w:type="spellStart"/>
      <w:r w:rsidRPr="00262D58">
        <w:rPr>
          <w:rFonts w:ascii="Arial" w:hAnsi="Arial" w:cs="Arial"/>
          <w:color w:val="000000" w:themeColor="text1"/>
          <w:lang w:val="es-ES_tradnl"/>
        </w:rPr>
        <w:t>ii</w:t>
      </w:r>
      <w:proofErr w:type="spellEnd"/>
      <w:r w:rsidRPr="00262D58">
        <w:rPr>
          <w:rFonts w:ascii="Arial" w:hAnsi="Arial" w:cs="Arial"/>
          <w:color w:val="000000" w:themeColor="text1"/>
          <w:lang w:val="es-ES_tradnl"/>
        </w:rPr>
        <w:t xml:space="preserve">) restricciones para elecciones presidenciales, </w:t>
      </w:r>
      <w:proofErr w:type="spellStart"/>
      <w:r w:rsidRPr="00262D58">
        <w:rPr>
          <w:rFonts w:ascii="Arial" w:hAnsi="Arial" w:cs="Arial"/>
          <w:color w:val="000000" w:themeColor="text1"/>
          <w:lang w:val="es-ES_tradnl"/>
        </w:rPr>
        <w:t>iii</w:t>
      </w:r>
      <w:proofErr w:type="spellEnd"/>
      <w:r w:rsidRPr="00262D58">
        <w:rPr>
          <w:rFonts w:ascii="Arial" w:hAnsi="Arial" w:cs="Arial"/>
          <w:color w:val="000000" w:themeColor="text1"/>
          <w:lang w:val="es-ES_tradnl"/>
        </w:rPr>
        <w:t xml:space="preserve">) destinatarios de la prohibición del artículo 33 de la Ley 996 de 2005, </w:t>
      </w:r>
      <w:proofErr w:type="spellStart"/>
      <w:r w:rsidRPr="00262D58">
        <w:rPr>
          <w:rFonts w:ascii="Arial" w:hAnsi="Arial" w:cs="Arial"/>
          <w:color w:val="000000" w:themeColor="text1"/>
          <w:lang w:val="es-ES_tradnl"/>
        </w:rPr>
        <w:t>iv</w:t>
      </w:r>
      <w:proofErr w:type="spellEnd"/>
      <w:r w:rsidRPr="00262D58">
        <w:rPr>
          <w:rFonts w:ascii="Arial" w:hAnsi="Arial" w:cs="Arial"/>
          <w:color w:val="000000" w:themeColor="text1"/>
          <w:lang w:val="es-ES_tradnl"/>
        </w:rPr>
        <w:t xml:space="preserve">) restricciones en los comicios para cargos de elección popular y v) diferencia entre los entes universitarios autónomos y los establecimientos públicos de educación superior para efectos de la Ley de Garantías.   </w:t>
      </w:r>
    </w:p>
    <w:p w:rsidRPr="00262D58" w:rsidR="000037B4" w:rsidP="000037B4" w:rsidRDefault="000037B4" w14:paraId="7869E06D" w14:textId="58389C67">
      <w:pPr>
        <w:spacing w:before="120" w:after="0" w:line="276" w:lineRule="auto"/>
        <w:ind w:firstLine="709"/>
        <w:jc w:val="both"/>
        <w:rPr>
          <w:rFonts w:ascii="Arial" w:hAnsi="Arial" w:eastAsia="Calibri" w:cs="Arial"/>
          <w:color w:val="000000" w:themeColor="text1"/>
          <w:lang w:val="es-ES"/>
        </w:rPr>
      </w:pPr>
      <w:r w:rsidRPr="00262D58">
        <w:rPr>
          <w:rFonts w:ascii="Arial" w:hAnsi="Arial" w:eastAsia="Calibri" w:cs="Arial"/>
          <w:color w:val="000000" w:themeColor="text1"/>
          <w:lang w:val="es-ES"/>
        </w:rPr>
        <w:t>La Agencia Nacional de Contratación Pública – Colombia Compra Eficiente, en los Conceptos</w:t>
      </w:r>
      <w:r w:rsidRPr="00262D58">
        <w:rPr>
          <w:rFonts w:ascii="Arial" w:hAnsi="Arial" w:eastAsia="Calibri" w:cs="Arial"/>
          <w:color w:val="000000" w:themeColor="text1"/>
          <w:lang w:val="es-MX" w:eastAsia="en-GB"/>
        </w:rPr>
        <w:t xml:space="preserve"> </w:t>
      </w:r>
      <w:r w:rsidRPr="00262D58">
        <w:rPr>
          <w:rStyle w:val="normaltextrun"/>
          <w:rFonts w:ascii="Arial" w:hAnsi="Arial" w:cs="Arial"/>
          <w:color w:val="000000"/>
          <w:shd w:val="clear" w:color="auto" w:fill="FFFFFF"/>
          <w:lang w:val="es-ES"/>
        </w:rPr>
        <w:t xml:space="preserve">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C-675 del 6 de enero de 2022, C-677 del 4 de diciembre de 2021, C-695 del 22 de diciembre de 2021, C-699 del 6 de enero de 2022, C-700 del 6 de enero de 2021, C-723 del 28 de diciembre de 2021, </w:t>
      </w:r>
      <w:r w:rsidRPr="00262D58">
        <w:rPr>
          <w:rStyle w:val="normaltextrun"/>
          <w:rFonts w:ascii="Arial" w:hAnsi="Arial" w:cs="Arial"/>
          <w:color w:val="000000"/>
          <w:shd w:val="clear" w:color="auto" w:fill="FFFFFF"/>
        </w:rPr>
        <w:t>C-715 del 21 de enero de 2022, C-718 del 24 de enero de 2022 y C-726 del 24 de enero de 2022, C-002 del 15 de febrero de 2022, C</w:t>
      </w:r>
      <w:r w:rsidR="00FB2C86">
        <w:rPr>
          <w:rStyle w:val="normaltextrun"/>
          <w:rFonts w:ascii="Arial" w:hAnsi="Arial" w:cs="Arial"/>
          <w:color w:val="000000"/>
          <w:shd w:val="clear" w:color="auto" w:fill="FFFFFF"/>
        </w:rPr>
        <w:t>–</w:t>
      </w:r>
      <w:r w:rsidRPr="00262D58">
        <w:rPr>
          <w:rStyle w:val="normaltextrun"/>
          <w:rFonts w:ascii="Arial" w:hAnsi="Arial" w:cs="Arial"/>
          <w:color w:val="000000"/>
          <w:shd w:val="clear" w:color="auto" w:fill="FFFFFF"/>
        </w:rPr>
        <w:t>005 del 16 de febrero de 2022, C-009 del 15 de febrero de 2022, C-014 del 18 de febrero de 2022, C-022 del 21 de febrero de 2022, C-023 del 22 de febrero de 2022, C-008 del 24 de febrero de 2022, C-045 del 3 de marzo de 2022, C-054 del 7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 C-134 del 1° de abril de 2022, C-164 del 22 de marzo de 2022, C-170 del 5 de abril de 2022, C-175 del 17 de mayo de 2022, C-329 del 24 de mayo de 2022, C-027 del 22 de marzo de 2023, C-049 del 13 de abril de 2023, C-075 del 25 de abril de 2023, C-076 del 25 de abril de 2023, C-098 del 4 de mayo de 2023, C-105 del 14 de junio de 2023, C-107 del 8 de mayo de 2023, C-115 del 8 de junio de 2023, C-116 del 8 de junio de 2023, C-118 del 9 de junio de 2023, C-134 del 26 de mayo de 2023, C-145 del 18 de mayo de 2023 y C-149 del 1° de junio de 2023, se ha pronunciado sobre la aplicación de la Ley de garantías</w:t>
      </w:r>
      <w:r w:rsidRPr="00262D58">
        <w:rPr>
          <w:rStyle w:val="FootnoteReference"/>
          <w:rFonts w:ascii="Arial" w:hAnsi="Arial" w:eastAsia="Calibri" w:cs="Arial"/>
        </w:rPr>
        <w:footnoteReference w:id="2"/>
      </w:r>
      <w:r w:rsidRPr="00262D58">
        <w:rPr>
          <w:rStyle w:val="normaltextrun"/>
          <w:rFonts w:ascii="Arial" w:hAnsi="Arial" w:cs="Arial"/>
          <w:color w:val="000000"/>
          <w:shd w:val="clear" w:color="auto" w:fill="FFFFFF"/>
        </w:rPr>
        <w:t xml:space="preserve">. </w:t>
      </w:r>
      <w:r w:rsidRPr="00262D58">
        <w:rPr>
          <w:rFonts w:ascii="Arial" w:hAnsi="Arial" w:eastAsia="Calibri" w:cs="Arial"/>
          <w:color w:val="000000" w:themeColor="text1"/>
          <w:lang w:val="es-ES_tradnl"/>
        </w:rPr>
        <w:t xml:space="preserve">La tesis propuesta en estos conceptos se reitera a continuación y se complementa en lo pertinente. </w:t>
      </w:r>
    </w:p>
    <w:p w:rsidRPr="00262D58" w:rsidR="000037B4" w:rsidP="000037B4" w:rsidRDefault="000037B4" w14:paraId="10D3B401" w14:textId="77777777">
      <w:pPr>
        <w:spacing w:after="0" w:line="276" w:lineRule="auto"/>
        <w:contextualSpacing/>
        <w:jc w:val="both"/>
        <w:rPr>
          <w:rFonts w:ascii="Arial" w:hAnsi="Arial" w:eastAsia="Times New Roman" w:cs="Arial"/>
          <w:b/>
          <w:szCs w:val="24"/>
          <w:lang w:eastAsia="es-ES_tradnl"/>
        </w:rPr>
      </w:pPr>
    </w:p>
    <w:p w:rsidRPr="00262D58" w:rsidR="000037B4" w:rsidP="000037B4" w:rsidRDefault="000037B4" w14:paraId="24AD4E53" w14:textId="77777777">
      <w:pPr>
        <w:spacing w:after="0" w:line="276" w:lineRule="auto"/>
        <w:contextualSpacing/>
        <w:jc w:val="both"/>
        <w:rPr>
          <w:rFonts w:ascii="Arial" w:hAnsi="Arial" w:eastAsia="Calibri" w:cs="Arial"/>
          <w:b/>
        </w:rPr>
      </w:pPr>
      <w:r w:rsidRPr="00262D58">
        <w:rPr>
          <w:rFonts w:ascii="Arial" w:hAnsi="Arial" w:eastAsia="Times New Roman" w:cs="Arial"/>
          <w:b/>
          <w:szCs w:val="24"/>
          <w:lang w:eastAsia="es-ES_tradnl"/>
        </w:rPr>
        <w:t xml:space="preserve">2.1. </w:t>
      </w:r>
      <w:r w:rsidRPr="00262D58">
        <w:rPr>
          <w:rFonts w:ascii="Arial" w:hAnsi="Arial" w:eastAsia="Calibri" w:cs="Arial"/>
          <w:b/>
        </w:rPr>
        <w:t>Definición y finalidad de la Ley de Garantías Electorales: alcance de las restricciones</w:t>
      </w:r>
    </w:p>
    <w:p w:rsidRPr="00262D58" w:rsidR="000037B4" w:rsidP="000037B4" w:rsidRDefault="000037B4" w14:paraId="27A29654" w14:textId="77777777">
      <w:pPr>
        <w:tabs>
          <w:tab w:val="left" w:pos="426"/>
        </w:tabs>
        <w:spacing w:after="0" w:line="276" w:lineRule="auto"/>
        <w:ind w:firstLine="709"/>
        <w:contextualSpacing/>
        <w:jc w:val="both"/>
        <w:rPr>
          <w:rFonts w:ascii="Arial" w:hAnsi="Arial" w:eastAsia="Calibri" w:cs="Arial"/>
        </w:rPr>
      </w:pPr>
    </w:p>
    <w:p w:rsidRPr="00262D58" w:rsidR="000037B4" w:rsidP="000037B4" w:rsidRDefault="000037B4" w14:paraId="236DD5A1" w14:textId="77777777">
      <w:pPr>
        <w:tabs>
          <w:tab w:val="left" w:pos="426"/>
        </w:tabs>
        <w:spacing w:after="120" w:line="276" w:lineRule="auto"/>
        <w:jc w:val="both"/>
        <w:rPr>
          <w:rFonts w:ascii="Arial" w:hAnsi="Arial" w:eastAsia="Times New Roman" w:cs="Arial"/>
          <w:lang w:eastAsia="es-CO"/>
        </w:rPr>
      </w:pPr>
      <w:r w:rsidRPr="00262D58">
        <w:rPr>
          <w:rFonts w:ascii="Arial" w:hAnsi="Arial" w:eastAsia="Calibri" w:cs="Arial"/>
        </w:rPr>
        <w:t>El ordenamiento jurídico colombiano contempla previsiones claras para evitar la obtención de beneficios personales en asuntos propios de la administración pública</w:t>
      </w:r>
      <w:r w:rsidRPr="00262D58">
        <w:rPr>
          <w:rFonts w:ascii="Arial" w:hAnsi="Arial" w:eastAsia="Calibri" w:cs="Arial"/>
          <w:i/>
        </w:rPr>
        <w:t xml:space="preserve">. </w:t>
      </w:r>
      <w:r w:rsidRPr="00262D58">
        <w:rPr>
          <w:rFonts w:ascii="Arial" w:hAnsi="Arial" w:eastAsia="Calibri" w:cs="Arial"/>
        </w:rPr>
        <w:t>Por ejemplo, el artículo 127 de la Constitución Política establece una prohibición contractual a los servidores públicos y en cuanto a aspectos políticos consagra restricciones a ciertos empleados del Estado, incluso en época no electoral</w:t>
      </w:r>
      <w:r w:rsidRPr="00262D58">
        <w:rPr>
          <w:rFonts w:ascii="Arial" w:hAnsi="Arial" w:eastAsia="Calibri" w:cs="Arial"/>
          <w:vertAlign w:val="superscript"/>
        </w:rPr>
        <w:footnoteReference w:id="3"/>
      </w:r>
      <w:r w:rsidRPr="00262D58">
        <w:rPr>
          <w:rFonts w:ascii="Arial" w:hAnsi="Arial" w:eastAsia="Calibri" w:cs="Arial"/>
        </w:rPr>
        <w:t xml:space="preserve">. </w:t>
      </w:r>
    </w:p>
    <w:p w:rsidRPr="00262D58" w:rsidR="000037B4" w:rsidP="000037B4" w:rsidRDefault="000037B4" w14:paraId="47A95568" w14:textId="77777777">
      <w:pPr>
        <w:tabs>
          <w:tab w:val="left" w:pos="426"/>
        </w:tabs>
        <w:spacing w:after="0" w:line="276" w:lineRule="auto"/>
        <w:ind w:firstLine="709"/>
        <w:jc w:val="both"/>
        <w:rPr>
          <w:rFonts w:ascii="Arial" w:hAnsi="Arial" w:eastAsia="Times New Roman" w:cs="Arial"/>
          <w:lang w:val="es-MX" w:eastAsia="es-CO"/>
        </w:rPr>
      </w:pPr>
      <w:r w:rsidRPr="00262D58">
        <w:rPr>
          <w:rFonts w:ascii="Arial" w:hAnsi="Arial" w:eastAsia="Times New Roman" w:cs="Arial"/>
          <w:lang w:eastAsia="es-CO"/>
        </w:rPr>
        <w:t>En el mismo sentido</w:t>
      </w:r>
      <w:r w:rsidRPr="00262D58">
        <w:rPr>
          <w:rFonts w:ascii="Arial" w:hAnsi="Arial" w:eastAsia="Times New Roman" w:cs="Arial"/>
          <w:lang w:val="es-MX" w:eastAsia="es-CO"/>
        </w:rPr>
        <w:t xml:space="preserve">, </w:t>
      </w:r>
      <w:bookmarkStart w:name="_Hlk99576829" w:id="16"/>
      <w:r w:rsidRPr="00262D58">
        <w:rPr>
          <w:rFonts w:ascii="Arial" w:hAnsi="Arial" w:eastAsia="Times New Roman" w:cs="Arial"/>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262D58">
        <w:rPr>
          <w:rFonts w:ascii="Arial" w:hAnsi="Arial" w:eastAsia="Times New Roman" w:cs="Arial"/>
          <w:vertAlign w:val="superscript"/>
          <w:lang w:val="es-MX" w:eastAsia="es-CO"/>
        </w:rPr>
        <w:footnoteReference w:id="4"/>
      </w:r>
      <w:r w:rsidRPr="00262D58">
        <w:rPr>
          <w:rFonts w:ascii="Arial" w:hAnsi="Arial" w:eastAsia="Times New Roman" w:cs="Arial"/>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262D58">
        <w:rPr>
          <w:rFonts w:ascii="Arial" w:hAnsi="Arial" w:eastAsia="Calibri" w:cs="Arial"/>
          <w:lang w:val="es-ES_tradnl"/>
        </w:rPr>
        <w:t xml:space="preserve"> </w:t>
      </w:r>
      <w:bookmarkEnd w:id="16"/>
      <w:r w:rsidRPr="00262D58">
        <w:rPr>
          <w:rFonts w:ascii="Arial" w:hAnsi="Arial" w:eastAsia="Times New Roman" w:cs="Arial"/>
          <w:lang w:val="es-MX" w:eastAsia="es-CO"/>
        </w:rPr>
        <w:t>En armonía con lo anterior, la Corte Constitucional ha abordado la definición de la Ley de Garantías Electorales. De esta manera, explica que tiene como propósito:</w:t>
      </w:r>
    </w:p>
    <w:p w:rsidRPr="00262D58" w:rsidR="000037B4" w:rsidP="000037B4" w:rsidRDefault="000037B4" w14:paraId="463E6167" w14:textId="77777777">
      <w:pPr>
        <w:spacing w:after="0" w:line="276" w:lineRule="auto"/>
        <w:ind w:right="709"/>
        <w:contextualSpacing/>
        <w:jc w:val="both"/>
        <w:rPr>
          <w:rFonts w:ascii="Arial" w:hAnsi="Arial" w:eastAsia="Times New Roman" w:cs="Arial"/>
          <w:sz w:val="21"/>
          <w:szCs w:val="21"/>
          <w:lang w:val="es-ES" w:eastAsia="es-CO"/>
        </w:rPr>
      </w:pPr>
    </w:p>
    <w:p w:rsidRPr="00262D58" w:rsidR="000037B4" w:rsidP="000037B4" w:rsidRDefault="000037B4" w14:paraId="622B9876" w14:textId="77777777">
      <w:pPr>
        <w:spacing w:after="0" w:line="240" w:lineRule="auto"/>
        <w:ind w:left="709" w:right="709"/>
        <w:contextualSpacing/>
        <w:jc w:val="both"/>
        <w:rPr>
          <w:rFonts w:ascii="Arial" w:hAnsi="Arial" w:eastAsia="Times New Roman" w:cs="Arial"/>
          <w:sz w:val="21"/>
          <w:szCs w:val="21"/>
          <w:lang w:val="es-MX" w:eastAsia="es-CO"/>
        </w:rPr>
      </w:pPr>
      <w:r w:rsidRPr="00262D58">
        <w:rPr>
          <w:rFonts w:ascii="Arial" w:hAnsi="Arial" w:eastAsia="Times New Roman" w:cs="Arial"/>
          <w:sz w:val="21"/>
          <w:szCs w:val="21"/>
          <w:lang w:val="es-ES" w:eastAsia="es-CO"/>
        </w:rPr>
        <w:t xml:space="preserve">“[…] </w:t>
      </w:r>
      <w:r w:rsidRPr="00262D58">
        <w:rPr>
          <w:rFonts w:ascii="Arial" w:hAnsi="Arial" w:eastAsia="Times New Roman" w:cs="Arial"/>
          <w:sz w:val="21"/>
          <w:szCs w:val="21"/>
          <w:lang w:val="es-MX" w:eastAsia="es-CO"/>
        </w:rPr>
        <w:t>la definición de reglas claras que permitan acceder a los canales de expresión democrática de manera efectiva e igualitaria. El objetivo de una ley de garantías es definir esas reglas.</w:t>
      </w:r>
    </w:p>
    <w:p w:rsidRPr="00262D58" w:rsidR="000037B4" w:rsidP="000037B4" w:rsidRDefault="000037B4" w14:paraId="3D84E439" w14:textId="77777777">
      <w:pPr>
        <w:spacing w:after="0" w:line="240" w:lineRule="auto"/>
        <w:ind w:left="709" w:right="709"/>
        <w:contextualSpacing/>
        <w:jc w:val="both"/>
        <w:rPr>
          <w:rFonts w:ascii="Arial" w:hAnsi="Arial" w:eastAsia="Times New Roman" w:cs="Arial"/>
          <w:sz w:val="21"/>
          <w:szCs w:val="21"/>
          <w:lang w:val="es-MX" w:eastAsia="es-CO"/>
        </w:rPr>
      </w:pPr>
      <w:r w:rsidRPr="00262D58">
        <w:rPr>
          <w:rFonts w:ascii="Arial" w:hAnsi="Arial" w:eastAsia="Times New Roman" w:cs="Arial"/>
          <w:sz w:val="21"/>
          <w:szCs w:val="21"/>
          <w:lang w:val="es-MX" w:eastAsia="es-CO"/>
        </w:rPr>
        <w:t xml:space="preserve">[…] </w:t>
      </w:r>
    </w:p>
    <w:p w:rsidRPr="00262D58" w:rsidR="000037B4" w:rsidP="000037B4" w:rsidRDefault="000037B4" w14:paraId="2E343420" w14:textId="77777777">
      <w:pPr>
        <w:spacing w:after="0" w:line="240" w:lineRule="auto"/>
        <w:ind w:right="709"/>
        <w:contextualSpacing/>
        <w:jc w:val="both"/>
        <w:rPr>
          <w:rFonts w:ascii="Arial" w:hAnsi="Arial" w:eastAsia="Times New Roman" w:cs="Arial"/>
          <w:sz w:val="12"/>
          <w:szCs w:val="12"/>
          <w:lang w:val="es-MX" w:eastAsia="es-CO"/>
        </w:rPr>
      </w:pPr>
    </w:p>
    <w:p w:rsidRPr="00262D58" w:rsidR="000037B4" w:rsidP="000037B4" w:rsidRDefault="000037B4" w14:paraId="23C08C2A" w14:textId="77777777">
      <w:pPr>
        <w:spacing w:after="0" w:line="240" w:lineRule="auto"/>
        <w:ind w:left="709" w:right="709"/>
        <w:contextualSpacing/>
        <w:jc w:val="both"/>
        <w:rPr>
          <w:rFonts w:ascii="Arial" w:hAnsi="Arial" w:eastAsia="Times New Roman" w:cs="Arial"/>
          <w:sz w:val="21"/>
          <w:szCs w:val="21"/>
          <w:lang w:val="es-MX" w:eastAsia="es-CO"/>
        </w:rPr>
      </w:pPr>
      <w:r w:rsidRPr="00262D58">
        <w:rPr>
          <w:rFonts w:ascii="Arial" w:hAnsi="Arial" w:eastAsia="Times New Roman" w:cs="Arial"/>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262D58">
        <w:rPr>
          <w:rFonts w:ascii="Arial" w:hAnsi="Arial" w:eastAsia="Calibri" w:cs="Arial"/>
          <w:sz w:val="20"/>
          <w:szCs w:val="20"/>
          <w:vertAlign w:val="superscript"/>
          <w:lang w:val="es-MX"/>
        </w:rPr>
        <w:footnoteReference w:id="5"/>
      </w:r>
    </w:p>
    <w:p w:rsidRPr="00262D58" w:rsidR="000037B4" w:rsidP="000037B4" w:rsidRDefault="000037B4" w14:paraId="2CCDE740" w14:textId="77777777">
      <w:pPr>
        <w:spacing w:after="0" w:line="276" w:lineRule="auto"/>
        <w:ind w:left="709" w:right="709"/>
        <w:contextualSpacing/>
        <w:jc w:val="both"/>
        <w:rPr>
          <w:rFonts w:ascii="Arial" w:hAnsi="Arial" w:eastAsia="Times New Roman" w:cs="Arial"/>
          <w:sz w:val="21"/>
          <w:szCs w:val="21"/>
          <w:lang w:val="es-MX" w:eastAsia="es-CO"/>
        </w:rPr>
      </w:pPr>
    </w:p>
    <w:p w:rsidRPr="00262D58" w:rsidR="000037B4" w:rsidP="000037B4" w:rsidRDefault="000037B4" w14:paraId="722D3A5E" w14:textId="77777777">
      <w:pPr>
        <w:spacing w:after="0" w:line="276" w:lineRule="auto"/>
        <w:ind w:firstLine="709"/>
        <w:jc w:val="both"/>
        <w:rPr>
          <w:rFonts w:ascii="Arial" w:hAnsi="Arial" w:eastAsia="Times New Roman" w:cs="Arial"/>
          <w:lang w:val="es-MX" w:eastAsia="es-CO"/>
        </w:rPr>
      </w:pPr>
      <w:bookmarkStart w:name="_Hlk78818186" w:id="17"/>
      <w:r w:rsidRPr="00262D58">
        <w:rPr>
          <w:rFonts w:ascii="Arial" w:hAnsi="Arial" w:eastAsia="Times New Roman" w:cs="Arial"/>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7"/>
      <w:r w:rsidRPr="00262D58">
        <w:rPr>
          <w:rFonts w:ascii="Arial" w:hAnsi="Arial" w:eastAsia="Times New Roman" w:cs="Arial"/>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rsidRPr="00262D58" w:rsidR="000037B4" w:rsidP="000037B4" w:rsidRDefault="000037B4" w14:paraId="4C252A39" w14:textId="77777777">
      <w:pPr>
        <w:spacing w:after="0" w:line="276" w:lineRule="auto"/>
        <w:ind w:firstLine="709"/>
        <w:contextualSpacing/>
        <w:jc w:val="both"/>
        <w:rPr>
          <w:rFonts w:ascii="Arial" w:hAnsi="Arial" w:eastAsia="Times New Roman" w:cs="Arial"/>
          <w:lang w:val="es-MX" w:eastAsia="es-CO"/>
        </w:rPr>
      </w:pPr>
    </w:p>
    <w:p w:rsidRPr="00262D58" w:rsidR="000037B4" w:rsidP="000037B4" w:rsidRDefault="000037B4" w14:paraId="48D1B322" w14:textId="77777777">
      <w:pPr>
        <w:spacing w:after="0" w:line="240" w:lineRule="auto"/>
        <w:ind w:left="709" w:right="709"/>
        <w:contextualSpacing/>
        <w:jc w:val="both"/>
        <w:rPr>
          <w:rFonts w:ascii="Arial" w:hAnsi="Arial" w:eastAsia="Times New Roman" w:cs="Arial"/>
          <w:sz w:val="21"/>
          <w:szCs w:val="21"/>
          <w:lang w:val="es-MX" w:eastAsia="es-CO"/>
        </w:rPr>
      </w:pPr>
      <w:r w:rsidRPr="00262D58">
        <w:rPr>
          <w:rFonts w:ascii="Arial" w:hAnsi="Arial" w:eastAsia="Times New Roman" w:cs="Arial"/>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262D58">
        <w:rPr>
          <w:rFonts w:ascii="Arial" w:hAnsi="Arial" w:eastAsia="Times New Roman" w:cs="Arial"/>
          <w:sz w:val="21"/>
          <w:szCs w:val="21"/>
          <w:lang w:val="es-MX" w:eastAsia="es-CO"/>
        </w:rPr>
        <w:t>legis</w:t>
      </w:r>
      <w:proofErr w:type="spellEnd"/>
      <w:r w:rsidRPr="00262D58">
        <w:rPr>
          <w:rFonts w:ascii="Arial" w:hAnsi="Arial" w:eastAsia="Times New Roman" w:cs="Arial"/>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Pr="00262D58" w:rsidR="000037B4" w:rsidP="000037B4" w:rsidRDefault="000037B4" w14:paraId="2FD204CE" w14:textId="77777777">
      <w:pPr>
        <w:spacing w:after="0" w:line="240" w:lineRule="auto"/>
        <w:ind w:right="709"/>
        <w:contextualSpacing/>
        <w:jc w:val="both"/>
        <w:rPr>
          <w:rFonts w:ascii="Arial" w:hAnsi="Arial" w:eastAsia="Times New Roman" w:cs="Arial"/>
          <w:sz w:val="12"/>
          <w:szCs w:val="12"/>
          <w:lang w:val="es-MX" w:eastAsia="es-CO"/>
        </w:rPr>
      </w:pPr>
    </w:p>
    <w:p w:rsidRPr="00262D58" w:rsidR="000037B4" w:rsidP="000037B4" w:rsidRDefault="000037B4" w14:paraId="270F2A6E" w14:textId="77777777">
      <w:pPr>
        <w:spacing w:after="0" w:line="240" w:lineRule="auto"/>
        <w:ind w:left="709" w:right="709"/>
        <w:contextualSpacing/>
        <w:jc w:val="both"/>
        <w:rPr>
          <w:rFonts w:ascii="Arial" w:hAnsi="Arial" w:eastAsia="Times New Roman" w:cs="Arial"/>
          <w:sz w:val="21"/>
          <w:szCs w:val="21"/>
          <w:lang w:val="es-MX" w:eastAsia="es-CO"/>
        </w:rPr>
      </w:pPr>
      <w:r w:rsidRPr="00262D58">
        <w:rPr>
          <w:rFonts w:ascii="Arial" w:hAnsi="Arial" w:eastAsia="Times New Roman" w:cs="Arial"/>
          <w:sz w:val="21"/>
          <w:szCs w:val="21"/>
          <w:lang w:val="es-MX" w:eastAsia="es-CO"/>
        </w:rPr>
        <w:t>La jurisprudencia de la Corte Constitucional</w:t>
      </w:r>
      <w:r w:rsidRPr="00262D58">
        <w:rPr>
          <w:rFonts w:ascii="Arial" w:hAnsi="Arial" w:eastAsia="Times New Roman" w:cs="Arial"/>
          <w:sz w:val="21"/>
          <w:szCs w:val="21"/>
          <w:vertAlign w:val="superscript"/>
          <w:lang w:val="es-MX" w:eastAsia="es-CO"/>
        </w:rPr>
        <w:footnoteReference w:id="6"/>
      </w:r>
      <w:r w:rsidRPr="00262D58">
        <w:rPr>
          <w:rFonts w:ascii="Arial" w:hAnsi="Arial" w:eastAsia="Times New Roman" w:cs="Arial"/>
          <w:sz w:val="21"/>
          <w:szCs w:val="21"/>
          <w:lang w:val="es-MX" w:eastAsia="es-CO"/>
        </w:rPr>
        <w:t> y del Consejo de Estado</w:t>
      </w:r>
      <w:r w:rsidRPr="00262D58">
        <w:rPr>
          <w:rFonts w:ascii="Arial" w:hAnsi="Arial" w:eastAsia="Times New Roman" w:cs="Arial"/>
          <w:sz w:val="21"/>
          <w:szCs w:val="21"/>
          <w:vertAlign w:val="superscript"/>
          <w:lang w:val="es-MX" w:eastAsia="es-CO"/>
        </w:rPr>
        <w:footnoteReference w:id="7"/>
      </w:r>
      <w:r w:rsidRPr="00262D58">
        <w:rPr>
          <w:rFonts w:ascii="Arial" w:hAnsi="Arial" w:eastAsia="Times New Roman" w:cs="Arial"/>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262D58">
        <w:rPr>
          <w:rFonts w:ascii="Arial" w:hAnsi="Arial" w:eastAsia="Times New Roman" w:cs="Arial"/>
          <w:vertAlign w:val="superscript"/>
          <w:lang w:val="es-MX" w:eastAsia="es-CO"/>
        </w:rPr>
        <w:footnoteReference w:id="8"/>
      </w:r>
      <w:r w:rsidRPr="00262D58">
        <w:rPr>
          <w:rFonts w:ascii="Arial" w:hAnsi="Arial" w:eastAsia="Times New Roman" w:cs="Arial"/>
          <w:sz w:val="21"/>
          <w:szCs w:val="21"/>
          <w:lang w:val="es-MX" w:eastAsia="es-CO"/>
        </w:rPr>
        <w:t>.</w:t>
      </w:r>
    </w:p>
    <w:p w:rsidRPr="00262D58" w:rsidR="000037B4" w:rsidP="000037B4" w:rsidRDefault="000037B4" w14:paraId="0BDB7E67" w14:textId="77777777">
      <w:pPr>
        <w:spacing w:after="0" w:line="276" w:lineRule="auto"/>
        <w:ind w:right="709"/>
        <w:contextualSpacing/>
        <w:jc w:val="both"/>
        <w:rPr>
          <w:rFonts w:ascii="Arial" w:hAnsi="Arial" w:eastAsia="Times New Roman" w:cs="Arial"/>
          <w:sz w:val="21"/>
          <w:szCs w:val="21"/>
          <w:lang w:val="es-MX" w:eastAsia="es-CO"/>
        </w:rPr>
      </w:pPr>
    </w:p>
    <w:p w:rsidRPr="00262D58" w:rsidR="000037B4" w:rsidP="000037B4" w:rsidRDefault="000037B4" w14:paraId="7E8CF0FC" w14:textId="77777777">
      <w:pPr>
        <w:spacing w:after="120" w:line="276" w:lineRule="auto"/>
        <w:jc w:val="both"/>
        <w:rPr>
          <w:rFonts w:ascii="Arial" w:hAnsi="Arial" w:eastAsia="Arial" w:cs="Arial"/>
          <w:lang w:val="es-ES" w:eastAsia="es-ES" w:bidi="es-ES"/>
        </w:rPr>
      </w:pPr>
      <w:r w:rsidRPr="00262D58">
        <w:rPr>
          <w:rFonts w:ascii="Arial" w:hAnsi="Arial" w:eastAsia="Times New Roman" w:cs="Arial"/>
          <w:lang w:val="es-MX" w:eastAsia="es-CO"/>
        </w:rPr>
        <w:tab/>
      </w:r>
      <w:r w:rsidRPr="00262D58">
        <w:rPr>
          <w:rFonts w:ascii="Arial" w:hAnsi="Arial" w:eastAsia="Times New Roman" w:cs="Arial"/>
          <w:lang w:val="es-MX" w:eastAsia="es-CO"/>
        </w:rPr>
        <w:t>De</w:t>
      </w:r>
      <w:r w:rsidRPr="00262D58">
        <w:rPr>
          <w:rFonts w:ascii="Arial" w:hAnsi="Arial" w:eastAsia="Arial" w:cs="Arial"/>
          <w:lang w:val="es-ES" w:eastAsia="es-ES" w:bidi="es-ES"/>
        </w:rPr>
        <w:t xml:space="preserve"> conformidad con lo anterior, </w:t>
      </w:r>
      <w:bookmarkStart w:name="_Hlk77236098" w:id="18"/>
      <w:bookmarkStart w:name="_Hlk100679383" w:id="19"/>
      <w:r w:rsidRPr="00262D58">
        <w:rPr>
          <w:rFonts w:ascii="Arial" w:hAnsi="Arial" w:eastAsia="Arial" w:cs="Arial"/>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8"/>
    </w:p>
    <w:p w:rsidRPr="00262D58" w:rsidR="000037B4" w:rsidP="000037B4" w:rsidRDefault="000037B4" w14:paraId="0005DCE6" w14:textId="77777777">
      <w:pPr>
        <w:spacing w:after="120" w:line="276" w:lineRule="auto"/>
        <w:ind w:firstLine="708"/>
        <w:jc w:val="both"/>
        <w:rPr>
          <w:rFonts w:ascii="Arial" w:hAnsi="Arial" w:eastAsia="Calibri" w:cs="Arial"/>
        </w:rPr>
      </w:pPr>
      <w:r w:rsidRPr="00262D58">
        <w:rPr>
          <w:rFonts w:ascii="Arial" w:hAnsi="Arial" w:eastAsia="Calibri" w:cs="Arial"/>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262D58">
        <w:rPr>
          <w:rFonts w:ascii="Arial" w:hAnsi="Arial" w:eastAsia="Calibri" w:cs="Arial"/>
          <w:vertAlign w:val="superscript"/>
        </w:rPr>
        <w:footnoteReference w:id="9"/>
      </w:r>
      <w:r w:rsidRPr="00262D58">
        <w:rPr>
          <w:rFonts w:ascii="Arial" w:hAnsi="Arial" w:eastAsia="Calibri" w:cs="Arial"/>
        </w:rPr>
        <w:t>.</w:t>
      </w:r>
    </w:p>
    <w:p w:rsidRPr="00262D58" w:rsidR="000037B4" w:rsidP="000037B4" w:rsidRDefault="000037B4" w14:paraId="7BF82603" w14:textId="77777777">
      <w:pPr>
        <w:widowControl w:val="0"/>
        <w:autoSpaceDE w:val="0"/>
        <w:autoSpaceDN w:val="0"/>
        <w:spacing w:after="0" w:line="276" w:lineRule="auto"/>
        <w:ind w:right="113" w:firstLine="708"/>
        <w:contextualSpacing/>
        <w:jc w:val="both"/>
        <w:rPr>
          <w:rFonts w:ascii="Arial" w:hAnsi="Arial" w:eastAsia="Arial" w:cs="Arial"/>
          <w:lang w:val="es-ES" w:eastAsia="es-ES" w:bidi="es-ES"/>
        </w:rPr>
      </w:pPr>
      <w:r w:rsidRPr="00262D58">
        <w:rPr>
          <w:rFonts w:ascii="Arial" w:hAnsi="Arial" w:eastAsia="Calibri"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w:t>
      </w:r>
      <w:r w:rsidRPr="00262D58">
        <w:rPr>
          <w:rFonts w:ascii="Arial" w:hAnsi="Arial" w:eastAsia="Calibri"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62D58">
        <w:rPr>
          <w:rFonts w:ascii="Arial" w:hAnsi="Arial" w:eastAsia="Calibri" w:cs="Arial"/>
          <w:sz w:val="19"/>
          <w:szCs w:val="19"/>
        </w:rPr>
        <w:t>”</w:t>
      </w:r>
      <w:bookmarkEnd w:id="19"/>
      <w:r w:rsidRPr="00262D58">
        <w:rPr>
          <w:rFonts w:ascii="Arial" w:hAnsi="Arial" w:eastAsia="Calibri" w:cs="Arial"/>
          <w:sz w:val="19"/>
          <w:szCs w:val="19"/>
          <w:vertAlign w:val="superscript"/>
        </w:rPr>
        <w:footnoteReference w:id="10"/>
      </w:r>
      <w:r w:rsidRPr="00262D58">
        <w:rPr>
          <w:rFonts w:ascii="Arial" w:hAnsi="Arial" w:eastAsia="Calibri" w:cs="Arial"/>
          <w:lang w:val="es-MX"/>
        </w:rPr>
        <w:t>.</w:t>
      </w:r>
      <w:r w:rsidRPr="00262D58">
        <w:rPr>
          <w:rFonts w:ascii="Arial" w:hAnsi="Arial" w:eastAsia="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rsidRPr="00262D58" w:rsidR="000037B4" w:rsidP="000037B4" w:rsidRDefault="000037B4" w14:paraId="79D745B6" w14:textId="77777777">
      <w:pPr>
        <w:widowControl w:val="0"/>
        <w:autoSpaceDE w:val="0"/>
        <w:autoSpaceDN w:val="0"/>
        <w:spacing w:after="0" w:line="276" w:lineRule="auto"/>
        <w:ind w:left="805" w:right="812"/>
        <w:contextualSpacing/>
        <w:jc w:val="both"/>
        <w:rPr>
          <w:rFonts w:ascii="Arial" w:hAnsi="Arial" w:eastAsia="Arial" w:cs="Arial"/>
          <w:lang w:val="es-ES" w:eastAsia="es-ES" w:bidi="es-ES"/>
        </w:rPr>
      </w:pPr>
    </w:p>
    <w:p w:rsidRPr="00262D58" w:rsidR="000037B4" w:rsidP="000037B4" w:rsidRDefault="000037B4" w14:paraId="529A5239" w14:textId="77777777">
      <w:pPr>
        <w:widowControl w:val="0"/>
        <w:autoSpaceDE w:val="0"/>
        <w:autoSpaceDN w:val="0"/>
        <w:spacing w:after="0" w:line="240" w:lineRule="auto"/>
        <w:ind w:left="709" w:right="709"/>
        <w:contextualSpacing/>
        <w:jc w:val="both"/>
        <w:rPr>
          <w:rFonts w:ascii="Arial" w:hAnsi="Arial" w:eastAsia="Arial" w:cs="Arial"/>
          <w:sz w:val="21"/>
          <w:szCs w:val="21"/>
          <w:lang w:val="es-ES" w:eastAsia="es-ES" w:bidi="es-ES"/>
        </w:rPr>
      </w:pPr>
      <w:r w:rsidRPr="00262D58">
        <w:rPr>
          <w:rFonts w:ascii="Arial" w:hAnsi="Arial" w:eastAsia="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name="_Hlk76109421" w:id="22"/>
      <w:r w:rsidRPr="00262D58">
        <w:rPr>
          <w:rFonts w:ascii="Arial" w:hAnsi="Arial" w:eastAsia="Arial" w:cs="Arial"/>
          <w:sz w:val="21"/>
          <w:szCs w:val="21"/>
          <w:lang w:val="es-ES" w:eastAsia="es-ES" w:bidi="es-ES"/>
        </w:rPr>
        <w:t>se integran parcialmente</w:t>
      </w:r>
      <w:bookmarkEnd w:id="22"/>
      <w:r w:rsidRPr="00262D58">
        <w:rPr>
          <w:rFonts w:ascii="Arial" w:hAnsi="Arial" w:eastAsia="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w:t>
      </w:r>
      <w:proofErr w:type="gramStart"/>
      <w:r w:rsidRPr="00262D58">
        <w:rPr>
          <w:rFonts w:ascii="Arial" w:hAnsi="Arial" w:eastAsia="Arial" w:cs="Arial"/>
          <w:sz w:val="21"/>
          <w:szCs w:val="21"/>
          <w:lang w:val="es-ES" w:eastAsia="es-ES" w:bidi="es-ES"/>
        </w:rPr>
        <w:t>Presidente</w:t>
      </w:r>
      <w:proofErr w:type="gramEnd"/>
      <w:r w:rsidRPr="00262D58">
        <w:rPr>
          <w:rFonts w:ascii="Arial" w:hAnsi="Arial" w:eastAsia="Arial" w:cs="Arial"/>
          <w:sz w:val="21"/>
          <w:szCs w:val="21"/>
          <w:lang w:val="es-ES" w:eastAsia="es-ES" w:bidi="es-ES"/>
        </w:rPr>
        <w:t xml:space="preserve"> de la República, a las autoridades territoriales allí mencionadas sólo se aplican las restricciones contenidas en el parágrafo del artículo 38”.</w:t>
      </w:r>
      <w:r w:rsidRPr="00262D58">
        <w:rPr>
          <w:rFonts w:ascii="Arial" w:hAnsi="Arial" w:eastAsia="Arial" w:cs="Arial"/>
          <w:sz w:val="21"/>
          <w:szCs w:val="21"/>
          <w:vertAlign w:val="superscript"/>
          <w:lang w:val="es-ES" w:eastAsia="es-ES" w:bidi="es-ES"/>
        </w:rPr>
        <w:footnoteReference w:id="11"/>
      </w:r>
    </w:p>
    <w:p w:rsidRPr="00262D58" w:rsidR="000037B4" w:rsidP="000037B4" w:rsidRDefault="000037B4" w14:paraId="05513F55" w14:textId="77777777">
      <w:pPr>
        <w:widowControl w:val="0"/>
        <w:autoSpaceDE w:val="0"/>
        <w:autoSpaceDN w:val="0"/>
        <w:spacing w:after="0" w:line="276" w:lineRule="auto"/>
        <w:contextualSpacing/>
        <w:rPr>
          <w:rFonts w:ascii="Arial" w:hAnsi="Arial" w:eastAsia="Arial" w:cs="Arial"/>
          <w:lang w:val="es-ES" w:eastAsia="es-ES" w:bidi="es-ES"/>
        </w:rPr>
      </w:pPr>
    </w:p>
    <w:p w:rsidRPr="00262D58" w:rsidR="000037B4" w:rsidP="000037B4" w:rsidRDefault="000037B4" w14:paraId="18F76591" w14:textId="77777777">
      <w:pPr>
        <w:spacing w:after="120" w:line="276" w:lineRule="auto"/>
        <w:ind w:firstLine="709"/>
        <w:jc w:val="both"/>
        <w:rPr>
          <w:rFonts w:ascii="Arial" w:hAnsi="Arial" w:eastAsia="Arial" w:cs="Arial"/>
          <w:lang w:val="es-ES" w:eastAsia="es-ES" w:bidi="es-ES"/>
        </w:rPr>
      </w:pPr>
      <w:r w:rsidRPr="00262D58">
        <w:rPr>
          <w:rFonts w:ascii="Arial" w:hAnsi="Arial" w:eastAsia="Arial" w:cs="Arial"/>
          <w:lang w:val="es-ES" w:eastAsia="es-ES" w:bidi="es-ES"/>
        </w:rPr>
        <w:t xml:space="preserve">De conformidad con lo anterior, </w:t>
      </w:r>
      <w:bookmarkStart w:name="_Hlk77236420" w:id="23"/>
      <w:bookmarkStart w:name="_Hlk78818435" w:id="24"/>
      <w:bookmarkStart w:name="_Hlk75780333" w:id="25"/>
      <w:r w:rsidRPr="00262D58">
        <w:rPr>
          <w:rFonts w:ascii="Arial" w:hAnsi="Arial" w:eastAsia="Arial" w:cs="Arial"/>
          <w:lang w:val="es-ES" w:eastAsia="es-ES" w:bidi="es-ES"/>
        </w:rPr>
        <w:t xml:space="preserve">la Ley 996 de 2005 establece dos (2) tipos de restricciones en materia de contratación, las cuales coinciden parcialmente. </w:t>
      </w:r>
      <w:r w:rsidRPr="00262D58">
        <w:rPr>
          <w:rFonts w:ascii="Arial" w:hAnsi="Arial" w:eastAsia="Arial" w:cs="Arial"/>
          <w:i/>
          <w:lang w:val="es-ES" w:eastAsia="es-ES" w:bidi="es-ES"/>
        </w:rPr>
        <w:t>En primer lugar</w:t>
      </w:r>
      <w:r w:rsidRPr="00262D58">
        <w:rPr>
          <w:rFonts w:ascii="Arial" w:hAnsi="Arial" w:eastAsia="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262D58">
        <w:rPr>
          <w:rFonts w:ascii="Arial" w:hAnsi="Arial" w:eastAsia="Arial" w:cs="Arial"/>
          <w:i/>
          <w:lang w:val="es-ES" w:eastAsia="es-ES" w:bidi="es-ES"/>
        </w:rPr>
        <w:t>En segundo lugar</w:t>
      </w:r>
      <w:r w:rsidRPr="00262D58">
        <w:rPr>
          <w:rFonts w:ascii="Arial" w:hAnsi="Arial" w:eastAsia="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3"/>
    </w:p>
    <w:bookmarkEnd w:id="24"/>
    <w:p w:rsidRPr="00262D58" w:rsidR="000037B4" w:rsidP="000037B4" w:rsidRDefault="000037B4" w14:paraId="66001C4D" w14:textId="77777777">
      <w:pPr>
        <w:spacing w:after="120" w:line="276" w:lineRule="auto"/>
        <w:ind w:firstLine="709"/>
        <w:jc w:val="both"/>
        <w:rPr>
          <w:rFonts w:ascii="Arial" w:hAnsi="Arial" w:eastAsia="Arial" w:cs="Arial"/>
          <w:lang w:val="es-ES" w:eastAsia="es-ES" w:bidi="es-ES"/>
        </w:rPr>
      </w:pPr>
      <w:r w:rsidRPr="00262D58">
        <w:rPr>
          <w:rFonts w:ascii="Arial" w:hAnsi="Arial" w:eastAsia="Arial" w:cs="Arial"/>
          <w:lang w:val="es-ES" w:eastAsia="es-ES" w:bidi="es-ES"/>
        </w:rPr>
        <w:t xml:space="preserve">Ambas restricciones no son excluyentes, lo que permite concluir que en el período preelectoral para elección de </w:t>
      </w:r>
      <w:proofErr w:type="gramStart"/>
      <w:r w:rsidRPr="00262D58">
        <w:rPr>
          <w:rFonts w:ascii="Arial" w:hAnsi="Arial" w:eastAsia="Arial" w:cs="Arial"/>
          <w:lang w:val="es-ES" w:eastAsia="es-ES" w:bidi="es-ES"/>
        </w:rPr>
        <w:t>Presidente</w:t>
      </w:r>
      <w:proofErr w:type="gramEnd"/>
      <w:r w:rsidRPr="00262D58">
        <w:rPr>
          <w:rFonts w:ascii="Arial" w:hAnsi="Arial" w:eastAsia="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262D58">
        <w:rPr>
          <w:rFonts w:ascii="Arial" w:hAnsi="Arial" w:eastAsia="Arial" w:cs="Arial"/>
          <w:lang w:val="es-ES" w:eastAsia="es-ES" w:bidi="es-ES"/>
        </w:rPr>
        <w:t>Presidente</w:t>
      </w:r>
      <w:proofErr w:type="gramEnd"/>
      <w:r w:rsidRPr="00262D58">
        <w:rPr>
          <w:rFonts w:ascii="Arial" w:hAnsi="Arial" w:eastAsia="Arial" w:cs="Arial"/>
          <w:lang w:val="es-ES" w:eastAsia="es-ES" w:bidi="es-ES"/>
        </w:rPr>
        <w:t xml:space="preserve"> de la República, las autoridades allí mencionadas sólo deben aplicar las restricciones contenidas en el parágrafo del artículo 38.</w:t>
      </w:r>
    </w:p>
    <w:bookmarkEnd w:id="25"/>
    <w:p w:rsidRPr="00262D58" w:rsidR="000037B4" w:rsidP="000037B4" w:rsidRDefault="000037B4" w14:paraId="2D4AB1C1" w14:textId="77777777">
      <w:pPr>
        <w:spacing w:after="0" w:line="276" w:lineRule="auto"/>
        <w:ind w:firstLine="708"/>
        <w:jc w:val="both"/>
        <w:rPr>
          <w:rFonts w:ascii="Arial" w:hAnsi="Arial" w:eastAsia="Arial" w:cs="Arial"/>
          <w:lang w:val="es-ES" w:eastAsia="es-ES" w:bidi="es-ES"/>
        </w:rPr>
      </w:pPr>
      <w:r w:rsidRPr="00262D58">
        <w:rPr>
          <w:rFonts w:ascii="Arial" w:hAnsi="Arial" w:eastAsia="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262D58">
        <w:rPr>
          <w:rFonts w:ascii="Arial" w:hAnsi="Arial" w:eastAsia="Arial" w:cs="Arial"/>
          <w:lang w:val="es-ES" w:eastAsia="es-ES" w:bidi="es-ES"/>
        </w:rPr>
        <w:t>Presidente</w:t>
      </w:r>
      <w:proofErr w:type="gramEnd"/>
      <w:r w:rsidRPr="00262D58">
        <w:rPr>
          <w:rFonts w:ascii="Arial" w:hAnsi="Arial" w:eastAsia="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rsidRPr="00262D58" w:rsidR="000037B4" w:rsidP="000037B4" w:rsidRDefault="000037B4" w14:paraId="259215A7" w14:textId="77777777">
      <w:pPr>
        <w:spacing w:after="0" w:line="276" w:lineRule="auto"/>
        <w:contextualSpacing/>
        <w:jc w:val="both"/>
        <w:rPr>
          <w:rFonts w:ascii="Arial" w:hAnsi="Arial" w:eastAsia="Times New Roman" w:cs="Arial"/>
          <w:lang w:val="es-ES" w:eastAsia="es-CO"/>
        </w:rPr>
      </w:pPr>
    </w:p>
    <w:p w:rsidRPr="00262D58" w:rsidR="000037B4" w:rsidP="000037B4" w:rsidRDefault="000037B4" w14:paraId="705567A7" w14:textId="77777777">
      <w:pPr>
        <w:spacing w:after="0" w:line="276" w:lineRule="auto"/>
        <w:contextualSpacing/>
        <w:jc w:val="both"/>
        <w:rPr>
          <w:rFonts w:ascii="Arial" w:hAnsi="Arial" w:eastAsia="Times New Roman" w:cs="Arial"/>
          <w:b/>
          <w:lang w:val="es-ES" w:eastAsia="es-CO"/>
        </w:rPr>
      </w:pPr>
      <w:r w:rsidRPr="00262D58">
        <w:rPr>
          <w:rFonts w:ascii="Arial" w:hAnsi="Arial" w:eastAsia="Times New Roman" w:cs="Arial"/>
          <w:b/>
          <w:lang w:val="es-ES" w:eastAsia="es-CO"/>
        </w:rPr>
        <w:t xml:space="preserve">2.2. </w:t>
      </w:r>
      <w:r w:rsidRPr="00262D58">
        <w:rPr>
          <w:rFonts w:ascii="Arial" w:hAnsi="Arial" w:eastAsia="Times New Roman" w:cs="Arial"/>
          <w:b/>
          <w:lang w:val="es-MX" w:eastAsia="es-CO"/>
        </w:rPr>
        <w:t>Restricciones en elecciones presidenciales: prohibición del artículo 33 de la Ley 996 de 2005</w:t>
      </w:r>
    </w:p>
    <w:p w:rsidRPr="00262D58" w:rsidR="000037B4" w:rsidP="000037B4" w:rsidRDefault="000037B4" w14:paraId="17767685" w14:textId="77777777">
      <w:pPr>
        <w:spacing w:after="0" w:line="276" w:lineRule="auto"/>
        <w:contextualSpacing/>
        <w:jc w:val="both"/>
        <w:rPr>
          <w:rFonts w:ascii="Arial" w:hAnsi="Arial" w:eastAsia="Times New Roman" w:cs="Arial"/>
          <w:lang w:val="es-MX" w:eastAsia="x-none"/>
        </w:rPr>
      </w:pPr>
    </w:p>
    <w:p w:rsidRPr="00262D58" w:rsidR="000037B4" w:rsidP="000037B4" w:rsidRDefault="000037B4" w14:paraId="36AD81BE" w14:textId="77777777">
      <w:pPr>
        <w:spacing w:after="0" w:line="276" w:lineRule="auto"/>
        <w:contextualSpacing/>
        <w:jc w:val="both"/>
        <w:rPr>
          <w:rFonts w:ascii="Arial" w:hAnsi="Arial" w:eastAsia="Times New Roman" w:cs="Arial"/>
          <w:lang w:val="es-MX" w:eastAsia="es-CO"/>
        </w:rPr>
      </w:pPr>
      <w:r w:rsidRPr="00262D58">
        <w:rPr>
          <w:rFonts w:ascii="Arial" w:hAnsi="Arial" w:eastAsia="Times New Roman" w:cs="Arial"/>
          <w:lang w:val="es-MX" w:eastAsia="x-none"/>
        </w:rPr>
        <w:t xml:space="preserve">El ámbito material de la prohibición contenida </w:t>
      </w:r>
      <w:bookmarkStart w:name="_Hlk75628761" w:id="26"/>
      <w:r w:rsidRPr="00262D58">
        <w:rPr>
          <w:rFonts w:ascii="Arial" w:hAnsi="Arial" w:eastAsia="Times New Roman" w:cs="Arial"/>
          <w:lang w:val="es-MX" w:eastAsia="x-none"/>
        </w:rPr>
        <w:t xml:space="preserve">en el artículo 33 de la Ley 996 de 2005 </w:t>
      </w:r>
      <w:bookmarkEnd w:id="26"/>
      <w:r w:rsidRPr="00262D58">
        <w:rPr>
          <w:rFonts w:ascii="Arial" w:hAnsi="Arial" w:eastAsia="Times New Roman" w:cs="Arial"/>
          <w:lang w:val="es-MX" w:eastAsia="x-none"/>
        </w:rPr>
        <w:t xml:space="preserve">está delimitado por la expresión </w:t>
      </w:r>
      <w:r w:rsidRPr="00262D58">
        <w:rPr>
          <w:rFonts w:ascii="Arial" w:hAnsi="Arial" w:eastAsia="Calibri" w:cs="Arial"/>
          <w:sz w:val="20"/>
          <w:szCs w:val="20"/>
          <w:lang w:val="es-MX"/>
        </w:rPr>
        <w:t>“</w:t>
      </w:r>
      <w:r w:rsidRPr="00262D58">
        <w:rPr>
          <w:rFonts w:ascii="Arial" w:hAnsi="Arial" w:eastAsia="Times New Roman" w:cs="Arial"/>
          <w:lang w:val="es-MX" w:eastAsia="x-none"/>
        </w:rPr>
        <w:t>queda prohibida la contratación directa</w:t>
      </w:r>
      <w:r w:rsidRPr="00262D58">
        <w:rPr>
          <w:rFonts w:ascii="Arial" w:hAnsi="Arial" w:eastAsia="Calibri" w:cs="Arial"/>
          <w:sz w:val="20"/>
          <w:szCs w:val="20"/>
          <w:lang w:val="es-MX"/>
        </w:rPr>
        <w:t>”</w:t>
      </w:r>
      <w:r w:rsidRPr="00262D58">
        <w:rPr>
          <w:rFonts w:ascii="Arial" w:hAnsi="Arial" w:eastAsia="Times New Roman" w:cs="Arial"/>
          <w:lang w:val="es-MX" w:eastAsia="x-none"/>
        </w:rPr>
        <w:t>.</w:t>
      </w:r>
      <w:r w:rsidRPr="00262D58">
        <w:rPr>
          <w:rFonts w:ascii="Arial" w:hAnsi="Arial" w:eastAsia="Times New Roman" w:cs="Arial"/>
          <w:lang w:val="es-MX" w:eastAsia="es-CO"/>
        </w:rPr>
        <w:t xml:space="preserve"> A propósito de </w:t>
      </w:r>
      <w:r w:rsidRPr="00262D58">
        <w:rPr>
          <w:rFonts w:ascii="Arial" w:hAnsi="Arial" w:eastAsia="Times New Roman" w:cs="Arial"/>
          <w:lang w:eastAsia="es-CO"/>
        </w:rPr>
        <w:t>esta restricción de la Ley de Garantías Electorales, la Sala de Consulta y Servicio Civil del Consejo de Estado ha considerado que:</w:t>
      </w:r>
    </w:p>
    <w:p w:rsidRPr="00262D58" w:rsidR="000037B4" w:rsidP="000037B4" w:rsidRDefault="000037B4" w14:paraId="39571D0E" w14:textId="77777777">
      <w:pPr>
        <w:spacing w:after="0" w:line="276" w:lineRule="auto"/>
        <w:ind w:left="708" w:right="709"/>
        <w:contextualSpacing/>
        <w:jc w:val="both"/>
        <w:rPr>
          <w:rFonts w:ascii="Arial" w:hAnsi="Arial" w:eastAsia="Calibri" w:cs="Arial"/>
          <w:sz w:val="21"/>
          <w:szCs w:val="21"/>
          <w:lang w:val="es-MX"/>
        </w:rPr>
      </w:pPr>
    </w:p>
    <w:p w:rsidRPr="00262D58" w:rsidR="000037B4" w:rsidP="000037B4" w:rsidRDefault="000037B4" w14:paraId="5E02836B" w14:textId="77777777">
      <w:pPr>
        <w:spacing w:after="0" w:line="240" w:lineRule="auto"/>
        <w:ind w:left="709" w:right="709"/>
        <w:contextualSpacing/>
        <w:jc w:val="both"/>
        <w:rPr>
          <w:rFonts w:ascii="Arial" w:hAnsi="Arial" w:eastAsia="Calibri" w:cs="Arial"/>
          <w:sz w:val="21"/>
          <w:szCs w:val="21"/>
          <w:lang w:val="es-MX"/>
        </w:rPr>
      </w:pPr>
      <w:r w:rsidRPr="00262D58">
        <w:rPr>
          <w:rFonts w:ascii="Arial" w:hAnsi="Arial" w:eastAsia="Calibri"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262D58">
        <w:rPr>
          <w:rFonts w:ascii="Arial" w:hAnsi="Arial" w:eastAsia="Times New Roman" w:cs="Arial"/>
          <w:vertAlign w:val="superscript"/>
          <w:lang w:eastAsia="es-CO"/>
        </w:rPr>
        <w:footnoteReference w:id="12"/>
      </w:r>
      <w:r w:rsidRPr="00262D58">
        <w:rPr>
          <w:rFonts w:ascii="Arial" w:hAnsi="Arial" w:eastAsia="Calibri" w:cs="Arial"/>
          <w:sz w:val="21"/>
          <w:szCs w:val="21"/>
          <w:lang w:val="es-MX"/>
        </w:rPr>
        <w:t>.</w:t>
      </w:r>
    </w:p>
    <w:p w:rsidRPr="00262D58" w:rsidR="000037B4" w:rsidP="000037B4" w:rsidRDefault="000037B4" w14:paraId="217877D7" w14:textId="77777777">
      <w:pPr>
        <w:spacing w:after="0" w:line="240" w:lineRule="auto"/>
        <w:ind w:left="709" w:right="709"/>
        <w:contextualSpacing/>
        <w:jc w:val="both"/>
        <w:rPr>
          <w:rFonts w:ascii="Arial" w:hAnsi="Arial" w:eastAsia="Calibri" w:cs="Arial"/>
          <w:sz w:val="12"/>
          <w:szCs w:val="12"/>
          <w:lang w:val="es-MX"/>
        </w:rPr>
      </w:pPr>
    </w:p>
    <w:p w:rsidRPr="00262D58" w:rsidR="000037B4" w:rsidP="000037B4" w:rsidRDefault="000037B4" w14:paraId="259A3006" w14:textId="77777777">
      <w:pPr>
        <w:spacing w:after="0" w:line="240" w:lineRule="auto"/>
        <w:ind w:left="708" w:right="709"/>
        <w:contextualSpacing/>
        <w:jc w:val="both"/>
        <w:rPr>
          <w:rFonts w:ascii="Arial" w:hAnsi="Arial" w:eastAsia="Calibri" w:cs="Arial"/>
          <w:sz w:val="21"/>
          <w:szCs w:val="21"/>
          <w:lang w:val="es-MX"/>
        </w:rPr>
      </w:pPr>
      <w:r w:rsidRPr="00262D58">
        <w:rPr>
          <w:rFonts w:ascii="Arial" w:hAnsi="Arial" w:eastAsia="Calibri" w:cs="Arial"/>
          <w:sz w:val="21"/>
          <w:szCs w:val="21"/>
          <w:lang w:val="es-MX"/>
        </w:rPr>
        <w:t xml:space="preserve">Esta Sala ha entendido </w:t>
      </w:r>
      <w:proofErr w:type="gramStart"/>
      <w:r w:rsidRPr="00262D58">
        <w:rPr>
          <w:rFonts w:ascii="Arial" w:hAnsi="Arial" w:eastAsia="Calibri" w:cs="Arial"/>
          <w:sz w:val="21"/>
          <w:szCs w:val="21"/>
          <w:lang w:val="es-MX"/>
        </w:rPr>
        <w:t>que</w:t>
      </w:r>
      <w:proofErr w:type="gramEnd"/>
      <w:r w:rsidRPr="00262D58">
        <w:rPr>
          <w:rFonts w:ascii="Arial" w:hAnsi="Arial" w:eastAsia="Calibri" w:cs="Arial"/>
          <w:sz w:val="21"/>
          <w:szCs w:val="21"/>
          <w:lang w:val="es-MX"/>
        </w:rPr>
        <w:t xml:space="preserve"> para los efectos de la ley de garantías, y dada su finalidad, el enunciado ´contratación directa´ es sinónimo </w:t>
      </w:r>
      <w:bookmarkStart w:name="_Hlk75741738" w:id="27"/>
      <w:r w:rsidRPr="00262D58">
        <w:rPr>
          <w:rFonts w:ascii="Arial" w:hAnsi="Arial" w:eastAsia="Calibri" w:cs="Arial"/>
          <w:sz w:val="21"/>
          <w:szCs w:val="21"/>
          <w:lang w:val="es-MX"/>
        </w:rPr>
        <w:t xml:space="preserve">de cualquier sistema que no implique convocatoria pública y posibilidad de pluralidad de oferentes, </w:t>
      </w:r>
      <w:bookmarkEnd w:id="27"/>
      <w:r w:rsidRPr="00262D58">
        <w:rPr>
          <w:rFonts w:ascii="Arial" w:hAnsi="Arial" w:eastAsia="Calibri" w:cs="Arial"/>
          <w:sz w:val="21"/>
          <w:szCs w:val="21"/>
          <w:lang w:val="es-MX"/>
        </w:rPr>
        <w:t>y que, además, no necesariamente hace referencia al procedimiento especial regulado por la ley de contratación estatal, sino a cualquier otro que prescinda de un proceso de licitación pública o concurso</w:t>
      </w:r>
      <w:r w:rsidRPr="00262D58">
        <w:rPr>
          <w:rFonts w:ascii="Arial" w:hAnsi="Arial" w:eastAsia="Times New Roman" w:cs="Arial"/>
          <w:sz w:val="21"/>
          <w:szCs w:val="21"/>
          <w:vertAlign w:val="superscript"/>
          <w:lang w:val="es-MX"/>
        </w:rPr>
        <w:footnoteReference w:id="13"/>
      </w:r>
      <w:r w:rsidRPr="00262D58">
        <w:rPr>
          <w:rFonts w:ascii="Arial" w:hAnsi="Arial" w:eastAsia="Times New Roman" w:cs="Arial"/>
          <w:sz w:val="21"/>
          <w:szCs w:val="21"/>
          <w:vertAlign w:val="superscript"/>
          <w:lang w:val="es-MX"/>
        </w:rPr>
        <w:t>.</w:t>
      </w:r>
      <w:r w:rsidRPr="00262D58">
        <w:rPr>
          <w:rFonts w:ascii="Arial" w:hAnsi="Arial" w:eastAsia="Calibri"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262D58">
        <w:rPr>
          <w:rFonts w:ascii="Arial" w:hAnsi="Arial" w:eastAsia="Times New Roman" w:cs="Arial"/>
          <w:vertAlign w:val="superscript"/>
          <w:lang w:eastAsia="es-CO"/>
        </w:rPr>
        <w:footnoteReference w:id="14"/>
      </w:r>
      <w:r w:rsidRPr="00262D58">
        <w:rPr>
          <w:rFonts w:ascii="Arial" w:hAnsi="Arial" w:eastAsia="Calibri" w:cs="Arial"/>
          <w:sz w:val="21"/>
          <w:szCs w:val="21"/>
          <w:lang w:val="es-MX"/>
        </w:rPr>
        <w:t xml:space="preserve"> .</w:t>
      </w:r>
    </w:p>
    <w:p w:rsidRPr="00262D58" w:rsidR="000037B4" w:rsidP="000037B4" w:rsidRDefault="000037B4" w14:paraId="27312382" w14:textId="77777777">
      <w:pPr>
        <w:shd w:val="clear" w:color="auto" w:fill="FFFFFF"/>
        <w:spacing w:after="0" w:line="276" w:lineRule="auto"/>
        <w:ind w:firstLine="709"/>
        <w:contextualSpacing/>
        <w:jc w:val="both"/>
        <w:rPr>
          <w:rFonts w:ascii="Arial" w:hAnsi="Arial" w:eastAsia="Times New Roman" w:cs="Arial"/>
          <w:lang w:eastAsia="x-none"/>
        </w:rPr>
      </w:pPr>
    </w:p>
    <w:p w:rsidRPr="00262D58" w:rsidR="000037B4" w:rsidP="000037B4" w:rsidRDefault="000037B4" w14:paraId="232BF716" w14:textId="77777777">
      <w:pPr>
        <w:spacing w:after="120" w:line="276" w:lineRule="auto"/>
        <w:ind w:firstLine="709"/>
        <w:jc w:val="both"/>
        <w:rPr>
          <w:rFonts w:ascii="Arial" w:hAnsi="Arial" w:eastAsia="Times New Roman" w:cs="Arial"/>
          <w:lang w:eastAsia="x-none"/>
        </w:rPr>
      </w:pPr>
      <w:bookmarkStart w:name="_Hlk94521748" w:id="29"/>
      <w:r w:rsidRPr="00262D58">
        <w:rPr>
          <w:rFonts w:ascii="Arial" w:hAnsi="Arial" w:eastAsia="Times New Roman" w:cs="Arial"/>
          <w:lang w:eastAsia="x-none"/>
        </w:rPr>
        <w:t xml:space="preserve">De conformidad con el citado concepto, </w:t>
      </w:r>
      <w:bookmarkStart w:name="_Hlk78818702" w:id="30"/>
      <w:r w:rsidRPr="00262D58">
        <w:rPr>
          <w:rFonts w:ascii="Arial" w:hAnsi="Arial" w:eastAsia="Times New Roman" w:cs="Arial"/>
          <w:lang w:eastAsia="x-none"/>
        </w:rPr>
        <w:t xml:space="preserve">la prohibición del artículo 33 de la Ley de Garantías Electorales se refiere a </w:t>
      </w:r>
      <w:r w:rsidRPr="00262D58">
        <w:rPr>
          <w:rFonts w:ascii="Arial" w:hAnsi="Arial" w:eastAsia="Times New Roman" w:cs="Arial"/>
          <w:sz w:val="19"/>
          <w:szCs w:val="19"/>
          <w:lang w:eastAsia="en-GB"/>
        </w:rPr>
        <w:t>“</w:t>
      </w:r>
      <w:r w:rsidRPr="00262D58">
        <w:rPr>
          <w:rFonts w:ascii="Arial" w:hAnsi="Arial" w:eastAsia="Times New Roman" w:cs="Arial"/>
          <w:lang w:eastAsia="x-none"/>
        </w:rPr>
        <w:t>cualquier sistema que no implique convocatoria pública y posibilidad de pluralidad de oferentes</w:t>
      </w:r>
      <w:r w:rsidRPr="00262D58">
        <w:rPr>
          <w:rFonts w:ascii="Arial" w:hAnsi="Arial" w:eastAsia="Times New Roman" w:cs="Arial"/>
          <w:lang w:eastAsia="en-GB"/>
        </w:rPr>
        <w:t>”</w:t>
      </w:r>
      <w:r w:rsidRPr="00262D58">
        <w:rPr>
          <w:rFonts w:ascii="Arial" w:hAnsi="Arial" w:eastAsia="Times New Roman" w:cs="Arial"/>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9"/>
      <w:bookmarkEnd w:id="30"/>
      <w:r w:rsidRPr="00262D58">
        <w:rPr>
          <w:rFonts w:ascii="Arial" w:hAnsi="Arial" w:eastAsia="Times New Roman" w:cs="Arial"/>
          <w:lang w:eastAsia="x-none"/>
        </w:rPr>
        <w:t>Esta posición es congruente con la expedición de la Ley 1150 de 2007 que, entre otras reformas, introdujo la selección abreviada, rediseñó el concurso de méritos</w:t>
      </w:r>
      <w:r w:rsidRPr="00262D58">
        <w:rPr>
          <w:rFonts w:ascii="Arial" w:hAnsi="Arial" w:eastAsia="Times New Roman" w:cs="Arial"/>
          <w:vertAlign w:val="superscript"/>
          <w:lang w:val="en-GB" w:eastAsia="x-none"/>
        </w:rPr>
        <w:footnoteReference w:id="15"/>
      </w:r>
      <w:r w:rsidRPr="00262D58">
        <w:rPr>
          <w:rFonts w:ascii="Arial" w:hAnsi="Arial" w:eastAsia="Times New Roman" w:cs="Arial"/>
          <w:lang w:eastAsia="x-none"/>
        </w:rPr>
        <w:t xml:space="preserve"> y sistematizó las causales de contratación directa</w:t>
      </w:r>
      <w:r w:rsidRPr="00262D58">
        <w:rPr>
          <w:rFonts w:ascii="Arial" w:hAnsi="Arial" w:eastAsia="Times New Roman" w:cs="Arial"/>
          <w:vertAlign w:val="superscript"/>
          <w:lang w:val="en-GB" w:eastAsia="x-none"/>
        </w:rPr>
        <w:footnoteReference w:id="16"/>
      </w:r>
      <w:r w:rsidRPr="00262D58">
        <w:rPr>
          <w:rFonts w:ascii="Arial" w:hAnsi="Arial" w:eastAsia="Times New Roman" w:cs="Arial"/>
          <w:lang w:eastAsia="x-none"/>
        </w:rPr>
        <w:t xml:space="preserve">. </w:t>
      </w:r>
    </w:p>
    <w:p w:rsidRPr="00262D58" w:rsidR="000037B4" w:rsidP="000037B4" w:rsidRDefault="000037B4" w14:paraId="68B2DE0F" w14:textId="77777777">
      <w:pPr>
        <w:spacing w:after="120" w:line="276" w:lineRule="auto"/>
        <w:ind w:firstLine="709"/>
        <w:jc w:val="both"/>
        <w:rPr>
          <w:rFonts w:ascii="Arial" w:hAnsi="Arial" w:eastAsia="Times New Roman" w:cs="Arial"/>
          <w:lang w:val="es-MX" w:eastAsia="x-none"/>
        </w:rPr>
      </w:pPr>
      <w:r w:rsidRPr="00262D58">
        <w:rPr>
          <w:rFonts w:ascii="Arial" w:hAnsi="Arial" w:eastAsia="Times New Roman" w:cs="Arial"/>
          <w:lang w:eastAsia="x-none"/>
        </w:rPr>
        <w:t xml:space="preserve">De esta forma, se ha depurado la noción de </w:t>
      </w:r>
      <w:r w:rsidRPr="00262D58">
        <w:rPr>
          <w:rFonts w:ascii="Arial" w:hAnsi="Arial" w:eastAsia="Times New Roman" w:cs="Arial"/>
          <w:sz w:val="19"/>
          <w:szCs w:val="19"/>
          <w:lang w:eastAsia="en-GB"/>
        </w:rPr>
        <w:t>“</w:t>
      </w:r>
      <w:r w:rsidRPr="00262D58">
        <w:rPr>
          <w:rFonts w:ascii="Arial" w:hAnsi="Arial" w:eastAsia="Times New Roman" w:cs="Arial"/>
          <w:lang w:eastAsia="x-none"/>
        </w:rPr>
        <w:t>contratación directa</w:t>
      </w:r>
      <w:r w:rsidRPr="00262D58">
        <w:rPr>
          <w:rFonts w:ascii="Arial" w:hAnsi="Arial" w:eastAsia="Times New Roman" w:cs="Arial"/>
          <w:lang w:eastAsia="en-GB"/>
        </w:rPr>
        <w:t>”</w:t>
      </w:r>
      <w:r w:rsidRPr="00262D58">
        <w:rPr>
          <w:rFonts w:ascii="Arial" w:hAnsi="Arial" w:eastAsia="Times New Roman"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262D58">
        <w:rPr>
          <w:rFonts w:ascii="Arial" w:hAnsi="Arial" w:eastAsia="Times New Roman" w:cs="Arial"/>
          <w:vertAlign w:val="superscript"/>
          <w:lang w:val="en-GB" w:eastAsia="x-none"/>
        </w:rPr>
        <w:footnoteReference w:id="17"/>
      </w:r>
      <w:r w:rsidRPr="00262D58">
        <w:rPr>
          <w:rFonts w:ascii="Arial" w:hAnsi="Arial" w:eastAsia="Times New Roman" w:cs="Arial"/>
          <w:lang w:eastAsia="x-none"/>
        </w:rPr>
        <w:t>, han establecido sistemas de contratación que implican convocatoria pública y participación de varios oferentes</w:t>
      </w:r>
      <w:r w:rsidRPr="00262D58">
        <w:rPr>
          <w:rFonts w:ascii="Arial" w:hAnsi="Arial" w:eastAsia="Times New Roman" w:cs="Arial"/>
          <w:lang w:eastAsia="en-GB"/>
        </w:rPr>
        <w:t>”</w:t>
      </w:r>
      <w:r w:rsidRPr="00262D58">
        <w:rPr>
          <w:rFonts w:ascii="Arial" w:hAnsi="Arial" w:eastAsia="Times New Roman" w:cs="Arial"/>
          <w:lang w:eastAsia="x-none"/>
        </w:rPr>
        <w:t xml:space="preserve">. </w:t>
      </w:r>
    </w:p>
    <w:p w:rsidRPr="00262D58" w:rsidR="000037B4" w:rsidP="000037B4" w:rsidRDefault="000037B4" w14:paraId="30FDC1D6" w14:textId="77777777">
      <w:pPr>
        <w:spacing w:after="120" w:line="276" w:lineRule="auto"/>
        <w:ind w:firstLine="709"/>
        <w:jc w:val="both"/>
        <w:rPr>
          <w:rFonts w:ascii="Arial" w:hAnsi="Arial" w:eastAsia="Times New Roman" w:cs="Arial"/>
          <w:lang w:val="es-MX" w:eastAsia="es-CO"/>
        </w:rPr>
      </w:pPr>
      <w:r w:rsidRPr="00262D58">
        <w:rPr>
          <w:rFonts w:ascii="Arial" w:hAnsi="Arial" w:eastAsia="Times New Roman" w:cs="Arial"/>
          <w:lang w:val="es-MX" w:eastAsia="x-none"/>
        </w:rPr>
        <w:t>E</w:t>
      </w:r>
      <w:r w:rsidRPr="00262D58">
        <w:rPr>
          <w:rFonts w:ascii="Arial" w:hAnsi="Arial" w:eastAsia="Times New Roman" w:cs="Arial"/>
          <w:lang w:eastAsia="x-none"/>
        </w:rPr>
        <w:t xml:space="preserve">n efecto, vale la pena mencionar que, </w:t>
      </w:r>
      <w:bookmarkStart w:name="_Hlk75636073" w:id="31"/>
      <w:r w:rsidRPr="00262D58">
        <w:rPr>
          <w:rFonts w:ascii="Arial" w:hAnsi="Arial" w:eastAsia="Times New Roman"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1"/>
      <w:r w:rsidRPr="00262D58">
        <w:rPr>
          <w:rFonts w:ascii="Arial" w:hAnsi="Arial" w:eastAsia="Times New Roman" w:cs="Arial"/>
          <w:vertAlign w:val="superscript"/>
          <w:lang w:eastAsia="x-none"/>
        </w:rPr>
        <w:footnoteReference w:id="18"/>
      </w:r>
      <w:r w:rsidRPr="00262D58">
        <w:rPr>
          <w:rFonts w:ascii="Arial" w:hAnsi="Arial" w:eastAsia="Times New Roman" w:cs="Arial"/>
          <w:lang w:eastAsia="x-none"/>
        </w:rPr>
        <w:t xml:space="preserve">. </w:t>
      </w:r>
    </w:p>
    <w:p w:rsidRPr="00262D58" w:rsidR="000037B4" w:rsidP="000037B4" w:rsidRDefault="000037B4" w14:paraId="12020729" w14:textId="77777777">
      <w:pPr>
        <w:spacing w:after="120" w:line="276" w:lineRule="auto"/>
        <w:ind w:firstLine="709"/>
        <w:jc w:val="both"/>
        <w:rPr>
          <w:rFonts w:ascii="Arial" w:hAnsi="Arial" w:eastAsia="Times New Roman" w:cs="Arial"/>
          <w:lang w:val="es-MX" w:eastAsia="es-CO"/>
        </w:rPr>
      </w:pPr>
      <w:r w:rsidRPr="00262D58">
        <w:rPr>
          <w:rFonts w:ascii="Arial" w:hAnsi="Arial" w:eastAsia="Times New Roman" w:cs="Arial"/>
          <w:lang w:val="es-MX" w:eastAsia="es-CO"/>
        </w:rPr>
        <w:t>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rsidRPr="00262D58" w:rsidR="000037B4" w:rsidP="000037B4" w:rsidRDefault="000037B4" w14:paraId="72D97041" w14:textId="77777777">
      <w:pPr>
        <w:spacing w:after="120" w:line="276" w:lineRule="auto"/>
        <w:ind w:firstLine="709"/>
        <w:jc w:val="both"/>
        <w:rPr>
          <w:rFonts w:ascii="Arial" w:hAnsi="Arial" w:eastAsia="Times New Roman" w:cs="Arial"/>
          <w:lang w:val="es-MX" w:eastAsia="x-none"/>
        </w:rPr>
      </w:pPr>
      <w:bookmarkStart w:name="_Hlk78818796" w:id="32"/>
      <w:r w:rsidRPr="00262D58">
        <w:rPr>
          <w:rFonts w:ascii="Arial" w:hAnsi="Arial" w:eastAsia="Times New Roman" w:cs="Arial"/>
          <w:lang w:val="es-MX" w:eastAsia="x-none"/>
        </w:rPr>
        <w:t xml:space="preserve"> Así las cosas, </w:t>
      </w:r>
      <w:bookmarkStart w:name="_Hlk99577798" w:id="33"/>
      <w:r w:rsidRPr="00262D58">
        <w:rPr>
          <w:rFonts w:ascii="Arial" w:hAnsi="Arial" w:eastAsia="Times New Roman" w:cs="Arial"/>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262D58">
        <w:rPr>
          <w:rFonts w:ascii="Arial" w:hAnsi="Arial" w:eastAsia="Times New Roman" w:cs="Arial"/>
          <w:vertAlign w:val="superscript"/>
          <w:lang w:eastAsia="x-none"/>
        </w:rPr>
        <w:footnoteReference w:id="19"/>
      </w:r>
      <w:r w:rsidRPr="00262D58">
        <w:rPr>
          <w:rFonts w:ascii="Arial" w:hAnsi="Arial" w:eastAsia="Times New Roman" w:cs="Arial"/>
          <w:lang w:val="es-MX" w:eastAsia="x-none"/>
        </w:rPr>
        <w:t>.</w:t>
      </w:r>
      <w:r w:rsidRPr="00262D58">
        <w:rPr>
          <w:rFonts w:ascii="Arial" w:hAnsi="Arial" w:eastAsia="Times New Roman" w:cs="Arial"/>
          <w:vertAlign w:val="superscript"/>
          <w:lang w:eastAsia="x-none"/>
        </w:rPr>
        <w:t xml:space="preserve"> </w:t>
      </w:r>
    </w:p>
    <w:bookmarkEnd w:id="32"/>
    <w:p w:rsidRPr="00262D58" w:rsidR="000037B4" w:rsidP="000037B4" w:rsidRDefault="000037B4" w14:paraId="1AB46EF1" w14:textId="77777777">
      <w:pPr>
        <w:spacing w:after="120" w:line="276" w:lineRule="auto"/>
        <w:ind w:firstLine="709"/>
        <w:jc w:val="both"/>
        <w:rPr>
          <w:rFonts w:ascii="Arial" w:hAnsi="Arial" w:eastAsia="Times New Roman" w:cs="Arial"/>
          <w:lang w:eastAsia="x-none"/>
        </w:rPr>
      </w:pPr>
      <w:r w:rsidRPr="00262D58">
        <w:rPr>
          <w:rFonts w:ascii="Arial" w:hAnsi="Arial" w:eastAsia="Times New Roman" w:cs="Arial"/>
          <w:lang w:val="es-MX" w:eastAsia="x-none"/>
        </w:rPr>
        <w:t>De lo anterior se desprende que la restricción aplica, sin perjuicio de las excepciones establecidas en la misma ley, para celebrar cualquier contrato de forma directa, esto es, sin que exista un proceso abierto y competitivo.</w:t>
      </w:r>
      <w:r w:rsidRPr="00262D58">
        <w:rPr>
          <w:rFonts w:ascii="Arial" w:hAnsi="Arial" w:eastAsia="Times New Roman" w:cs="Arial"/>
          <w:lang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sistemas.</w:t>
      </w:r>
    </w:p>
    <w:p w:rsidRPr="00262D58" w:rsidR="000037B4" w:rsidP="000037B4" w:rsidRDefault="000037B4" w14:paraId="1710DACF" w14:textId="77777777">
      <w:pPr>
        <w:spacing w:after="120" w:line="276" w:lineRule="auto"/>
        <w:ind w:firstLine="709"/>
        <w:jc w:val="both"/>
        <w:rPr>
          <w:rFonts w:ascii="Arial" w:hAnsi="Arial" w:eastAsia="Times New Roman" w:cs="Arial"/>
          <w:lang w:val="es-MX" w:eastAsia="x-none"/>
        </w:rPr>
      </w:pPr>
      <w:bookmarkStart w:name="_Hlk77237094" w:id="34"/>
      <w:bookmarkEnd w:id="33"/>
      <w:r w:rsidRPr="00262D58">
        <w:rPr>
          <w:rFonts w:ascii="Arial" w:hAnsi="Arial" w:eastAsia="Times New Roman" w:cs="Arial"/>
          <w:lang w:val="es-MX" w:eastAsia="es-CO"/>
        </w:rPr>
        <w:t xml:space="preserve">Como en otras oportunidades lo ha manifestado esta Agencia, las prórrogas, modificaciones o adiciones de los contratos suscritos antes de la </w:t>
      </w:r>
      <w:proofErr w:type="gramStart"/>
      <w:r w:rsidRPr="00262D58">
        <w:rPr>
          <w:rFonts w:ascii="Arial" w:hAnsi="Arial" w:eastAsia="Times New Roman" w:cs="Arial"/>
          <w:lang w:val="es-MX" w:eastAsia="es-CO"/>
        </w:rPr>
        <w:t>entrada en vigencia</w:t>
      </w:r>
      <w:proofErr w:type="gramEnd"/>
      <w:r w:rsidRPr="00262D58">
        <w:rPr>
          <w:rFonts w:ascii="Arial" w:hAnsi="Arial" w:eastAsia="Times New Roman" w:cs="Arial"/>
          <w:lang w:val="es-MX"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4"/>
    </w:p>
    <w:p w:rsidRPr="00262D58" w:rsidR="000037B4" w:rsidP="000037B4" w:rsidRDefault="000037B4" w14:paraId="7CA70712" w14:textId="77777777">
      <w:pPr>
        <w:spacing w:after="120" w:line="276" w:lineRule="auto"/>
        <w:ind w:firstLine="709"/>
        <w:jc w:val="both"/>
        <w:rPr>
          <w:rFonts w:ascii="Arial" w:hAnsi="Arial" w:eastAsia="Times New Roman" w:cs="Arial"/>
          <w:lang w:val="es-MX" w:eastAsia="es-CO"/>
        </w:rPr>
      </w:pPr>
      <w:r w:rsidRPr="00262D58">
        <w:rPr>
          <w:rFonts w:ascii="Arial" w:hAnsi="Arial" w:eastAsia="Times New Roman" w:cs="Arial"/>
          <w:lang w:val="es-MX" w:eastAsia="x-none"/>
        </w:rPr>
        <w:t xml:space="preserve">De otro lado, </w:t>
      </w:r>
      <w:bookmarkStart w:name="_Hlk99577887" w:id="35"/>
      <w:bookmarkStart w:name="_Hlk100679762" w:id="36"/>
      <w:r w:rsidRPr="00262D58">
        <w:rPr>
          <w:rFonts w:ascii="Arial" w:hAnsi="Arial" w:eastAsia="Times New Roman" w:cs="Arial"/>
          <w:lang w:val="es-MX" w:eastAsia="x-none"/>
        </w:rPr>
        <w:t xml:space="preserve">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262D58">
        <w:rPr>
          <w:rFonts w:ascii="Arial" w:hAnsi="Arial" w:eastAsia="Times New Roman" w:cs="Arial"/>
          <w:lang w:val="es-MX" w:eastAsia="x-none"/>
        </w:rPr>
        <w:t>ii</w:t>
      </w:r>
      <w:proofErr w:type="spellEnd"/>
      <w:r w:rsidRPr="00262D58">
        <w:rPr>
          <w:rFonts w:ascii="Arial" w:hAnsi="Arial" w:eastAsia="Times New Roman" w:cs="Arial"/>
          <w:lang w:val="es-MX" w:eastAsia="x-none"/>
        </w:rPr>
        <w:t xml:space="preserve">) los contratos de crédito público; </w:t>
      </w:r>
      <w:proofErr w:type="spellStart"/>
      <w:r w:rsidRPr="00262D58">
        <w:rPr>
          <w:rFonts w:ascii="Arial" w:hAnsi="Arial" w:eastAsia="Times New Roman" w:cs="Arial"/>
          <w:lang w:val="es-MX" w:eastAsia="x-none"/>
        </w:rPr>
        <w:t>iii</w:t>
      </w:r>
      <w:proofErr w:type="spellEnd"/>
      <w:r w:rsidRPr="00262D58">
        <w:rPr>
          <w:rFonts w:ascii="Arial" w:hAnsi="Arial" w:eastAsia="Times New Roman" w:cs="Arial"/>
          <w:lang w:val="es-MX" w:eastAsia="x-none"/>
        </w:rPr>
        <w:t xml:space="preserve">) los requeridos para cubrir las emergencias educativas, sanitarias y desastres; </w:t>
      </w:r>
      <w:proofErr w:type="spellStart"/>
      <w:r w:rsidRPr="00262D58">
        <w:rPr>
          <w:rFonts w:ascii="Arial" w:hAnsi="Arial" w:eastAsia="Times New Roman" w:cs="Arial"/>
          <w:lang w:val="es-MX" w:eastAsia="x-none"/>
        </w:rPr>
        <w:t>iv</w:t>
      </w:r>
      <w:proofErr w:type="spellEnd"/>
      <w:r w:rsidRPr="00262D58">
        <w:rPr>
          <w:rFonts w:ascii="Arial" w:hAnsi="Arial" w:eastAsia="Times New Roman" w:cs="Arial"/>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262D58">
        <w:rPr>
          <w:rFonts w:ascii="Arial" w:hAnsi="Arial" w:eastAsia="Times New Roman" w:cs="Arial"/>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35"/>
    </w:p>
    <w:bookmarkEnd w:id="36"/>
    <w:p w:rsidRPr="00262D58" w:rsidR="000037B4" w:rsidP="000037B4" w:rsidRDefault="000037B4" w14:paraId="2EC72F82" w14:textId="77777777">
      <w:pPr>
        <w:spacing w:after="0" w:line="276" w:lineRule="auto"/>
        <w:ind w:firstLine="708"/>
        <w:jc w:val="both"/>
        <w:rPr>
          <w:rFonts w:ascii="Arial" w:hAnsi="Arial" w:eastAsia="Times New Roman" w:cs="Arial"/>
          <w:lang w:val="es-MX" w:eastAsia="x-none"/>
        </w:rPr>
      </w:pPr>
      <w:r w:rsidRPr="00262D58">
        <w:rPr>
          <w:rFonts w:ascii="Arial" w:hAnsi="Arial" w:eastAsia="Times New Roman" w:cs="Arial"/>
          <w:lang w:val="es-MX" w:eastAsia="x-none"/>
        </w:rPr>
        <w:t>En esta labor es importante tener en cuenta, como lo anotó la Corte Constitucional, en Sentencia C-1153 de noviembre 11 de 2005</w:t>
      </w:r>
      <w:r w:rsidRPr="00262D58">
        <w:rPr>
          <w:rFonts w:ascii="Arial" w:hAnsi="Arial" w:eastAsia="Calibri" w:cs="Arial"/>
          <w:sz w:val="24"/>
          <w:lang w:val="es-MX"/>
        </w:rPr>
        <w:t>,</w:t>
      </w:r>
      <w:r w:rsidRPr="00262D58">
        <w:rPr>
          <w:rFonts w:ascii="Arial" w:hAnsi="Arial" w:eastAsia="Times New Roman" w:cs="Arial"/>
          <w:lang w:val="es-MX" w:eastAsia="x-none"/>
        </w:rPr>
        <w:t xml:space="preserve"> </w:t>
      </w:r>
      <w:bookmarkStart w:name="_Hlk74309042" w:id="37"/>
      <w:r w:rsidRPr="00262D58">
        <w:rPr>
          <w:rFonts w:ascii="Arial" w:hAnsi="Arial" w:eastAsia="Times New Roman" w:cs="Arial"/>
          <w:lang w:val="es-MX" w:eastAsia="x-none"/>
        </w:rPr>
        <w:t>que “</w:t>
      </w:r>
      <w:bookmarkEnd w:id="37"/>
      <w:r w:rsidRPr="00262D58">
        <w:rPr>
          <w:rFonts w:ascii="Arial" w:hAnsi="Arial" w:eastAsia="Times New Roman" w:cs="Arial"/>
          <w:lang w:val="es-MX" w:eastAsia="x-none"/>
        </w:rPr>
        <w:t xml:space="preserve">si bien la limitación garantiza la igualdad de condiciones, también es necesario que tal limitación que pretende la igualdad </w:t>
      </w:r>
      <w:bookmarkStart w:name="_Hlk75768308" w:id="38"/>
      <w:r w:rsidRPr="00262D58">
        <w:rPr>
          <w:rFonts w:ascii="Arial" w:hAnsi="Arial" w:eastAsia="Times New Roman" w:cs="Arial"/>
          <w:lang w:val="es-MX" w:eastAsia="x-none"/>
        </w:rPr>
        <w:t>no termine yendo en detrimento de intereses públicos, cuya garantía está en cabeza del ejecutivo, como son los inmersos en las excepciones para la prohibición de contratación”</w:t>
      </w:r>
      <w:r w:rsidRPr="00262D58">
        <w:rPr>
          <w:rFonts w:ascii="Arial" w:hAnsi="Arial" w:eastAsia="Calibri" w:cs="Arial"/>
          <w:vertAlign w:val="superscript"/>
          <w:lang w:val="es-MX"/>
        </w:rPr>
        <w:footnoteReference w:id="20"/>
      </w:r>
      <w:r w:rsidRPr="00262D58">
        <w:rPr>
          <w:rFonts w:ascii="Arial" w:hAnsi="Arial" w:eastAsia="Times New Roman" w:cs="Arial"/>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name="_Hlk75783800" w:id="39"/>
      <w:bookmarkEnd w:id="38"/>
    </w:p>
    <w:p w:rsidRPr="00262D58" w:rsidR="000037B4" w:rsidP="000037B4" w:rsidRDefault="000037B4" w14:paraId="2A764C58" w14:textId="77777777">
      <w:pPr>
        <w:spacing w:after="0" w:line="276" w:lineRule="auto"/>
        <w:ind w:firstLine="708"/>
        <w:jc w:val="both"/>
        <w:rPr>
          <w:rFonts w:ascii="Arial" w:hAnsi="Arial" w:eastAsia="Times New Roman" w:cs="Arial"/>
          <w:lang w:val="es-MX" w:eastAsia="x-none"/>
        </w:rPr>
      </w:pPr>
    </w:p>
    <w:p w:rsidRPr="00262D58" w:rsidR="000037B4" w:rsidP="000037B4" w:rsidRDefault="000037B4" w14:paraId="175B95B3" w14:textId="77777777">
      <w:pPr>
        <w:spacing w:after="0" w:line="276" w:lineRule="auto"/>
        <w:jc w:val="both"/>
        <w:rPr>
          <w:rFonts w:ascii="Arial" w:hAnsi="Arial" w:eastAsia="Times New Roman" w:cs="Arial"/>
          <w:b/>
          <w:lang w:val="es-MX" w:eastAsia="x-none"/>
        </w:rPr>
      </w:pPr>
      <w:r w:rsidRPr="00262D58">
        <w:rPr>
          <w:rFonts w:ascii="Arial" w:hAnsi="Arial" w:eastAsia="Times New Roman" w:cs="Arial"/>
          <w:b/>
          <w:lang w:val="es-MX" w:eastAsia="x-none"/>
        </w:rPr>
        <w:t>2.3.  Destinatarios de la restricción del artículo 33 de la Ley 996 de 2005</w:t>
      </w:r>
    </w:p>
    <w:p w:rsidRPr="00262D58" w:rsidR="000037B4" w:rsidP="000037B4" w:rsidRDefault="000037B4" w14:paraId="2F8AC3AD" w14:textId="77777777">
      <w:pPr>
        <w:spacing w:after="0" w:line="276" w:lineRule="auto"/>
        <w:jc w:val="both"/>
        <w:rPr>
          <w:rFonts w:ascii="Arial" w:hAnsi="Arial" w:eastAsia="Times New Roman" w:cs="Arial"/>
          <w:lang w:val="es-MX" w:eastAsia="x-none"/>
        </w:rPr>
      </w:pPr>
    </w:p>
    <w:p w:rsidRPr="00262D58" w:rsidR="000037B4" w:rsidP="000037B4" w:rsidRDefault="000037B4" w14:paraId="7981A0E8" w14:textId="77777777">
      <w:pPr>
        <w:spacing w:after="0" w:line="276" w:lineRule="auto"/>
        <w:jc w:val="both"/>
        <w:rPr>
          <w:rFonts w:ascii="Arial" w:hAnsi="Arial" w:eastAsia="Times New Roman" w:cs="Arial"/>
          <w:lang w:val="es-MX" w:eastAsia="x-none"/>
        </w:rPr>
      </w:pPr>
      <w:bookmarkStart w:name="_Hlk99578018" w:id="40"/>
      <w:r w:rsidRPr="00262D58">
        <w:rPr>
          <w:rFonts w:ascii="Arial" w:hAnsi="Arial" w:eastAsia="Times New Roman" w:cs="Arial"/>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262D58">
        <w:rPr>
          <w:rFonts w:ascii="Arial" w:hAnsi="Arial" w:eastAsia="Calibri" w:cs="Arial"/>
          <w:sz w:val="24"/>
          <w:lang w:val="es-MX"/>
        </w:rPr>
        <w:t xml:space="preserve"> </w:t>
      </w:r>
      <w:r w:rsidRPr="00262D58">
        <w:rPr>
          <w:rFonts w:ascii="Arial" w:hAnsi="Arial" w:eastAsia="Times New Roman" w:cs="Arial"/>
          <w:lang w:val="es-MX" w:eastAsia="x-none"/>
        </w:rPr>
        <w:t>En efecto, como ha sostenido el Consejo de Estado, el vocablo “todos” utilizado por el legislador comprende</w:t>
      </w:r>
      <w:r w:rsidRPr="00262D58">
        <w:rPr>
          <w:rFonts w:ascii="Arial" w:hAnsi="Arial" w:eastAsia="Calibri" w:cs="Arial"/>
          <w:sz w:val="24"/>
          <w:lang w:val="es-MX"/>
        </w:rPr>
        <w:t xml:space="preserve"> </w:t>
      </w:r>
      <w:r w:rsidRPr="00262D58">
        <w:rPr>
          <w:rFonts w:ascii="Arial" w:hAnsi="Arial" w:eastAsia="Times New Roman" w:cs="Arial"/>
          <w:lang w:val="es-MX" w:eastAsia="x-none"/>
        </w:rPr>
        <w:t>a la totalidad de los entes del Estado, sin distinción del régimen jurídico, forma de organización o naturaleza, su pertenencia a una u otra rama del poder público o su autonomía</w:t>
      </w:r>
      <w:bookmarkEnd w:id="39"/>
      <w:r w:rsidRPr="00262D58">
        <w:rPr>
          <w:rFonts w:ascii="Arial" w:hAnsi="Arial" w:eastAsia="Times New Roman" w:cs="Arial"/>
          <w:lang w:val="es-MX" w:eastAsia="x-none"/>
        </w:rPr>
        <w:t xml:space="preserve">, e incluso si las entidades estatales tienen régimen especial de contratación y están exceptuadas del ámbito de aplicación del Estatuto General de Contratación de la Administración Pública. </w:t>
      </w:r>
      <w:bookmarkEnd w:id="40"/>
      <w:r w:rsidRPr="00262D58">
        <w:rPr>
          <w:rFonts w:ascii="Arial" w:hAnsi="Arial" w:eastAsia="Times New Roman" w:cs="Arial"/>
          <w:lang w:val="es-MX" w:eastAsia="x-none"/>
        </w:rPr>
        <w:t xml:space="preserve">El Consejo de Estado, en Concepto con radicado 1727 de fecha 20 de febrero de 2006, consideró que: </w:t>
      </w:r>
    </w:p>
    <w:p w:rsidRPr="00262D58" w:rsidR="000037B4" w:rsidP="000037B4" w:rsidRDefault="000037B4" w14:paraId="7D06D50C" w14:textId="77777777">
      <w:pPr>
        <w:spacing w:after="0" w:line="276" w:lineRule="auto"/>
        <w:ind w:firstLine="708"/>
        <w:contextualSpacing/>
        <w:jc w:val="both"/>
        <w:rPr>
          <w:rFonts w:ascii="Arial" w:hAnsi="Arial" w:eastAsia="Times New Roman" w:cs="Arial"/>
          <w:lang w:val="es-MX" w:eastAsia="x-none"/>
        </w:rPr>
      </w:pPr>
    </w:p>
    <w:p w:rsidRPr="00262D58" w:rsidR="000037B4" w:rsidP="000037B4" w:rsidRDefault="000037B4" w14:paraId="0A281570" w14:textId="77777777">
      <w:pPr>
        <w:spacing w:after="0" w:line="240" w:lineRule="auto"/>
        <w:ind w:left="708" w:right="709"/>
        <w:contextualSpacing/>
        <w:jc w:val="both"/>
        <w:rPr>
          <w:rFonts w:ascii="Arial" w:hAnsi="Arial" w:eastAsia="Times New Roman" w:cs="Arial"/>
          <w:sz w:val="21"/>
          <w:szCs w:val="21"/>
          <w:lang w:val="es-MX" w:eastAsia="es-CO"/>
        </w:rPr>
      </w:pPr>
      <w:r w:rsidRPr="00262D58">
        <w:rPr>
          <w:rFonts w:ascii="Arial" w:hAnsi="Arial" w:eastAsia="Times New Roman" w:cs="Arial"/>
          <w:sz w:val="21"/>
          <w:szCs w:val="21"/>
          <w:lang w:val="es-MX" w:eastAsia="x-none"/>
        </w:rPr>
        <w:t xml:space="preserve">“El artículo 33 de la ley 996 de 2005, </w:t>
      </w:r>
      <w:bookmarkStart w:name="_Hlk75787147" w:id="41"/>
      <w:r w:rsidRPr="00262D58">
        <w:rPr>
          <w:rFonts w:ascii="Arial" w:hAnsi="Arial" w:eastAsia="Times New Roman" w:cs="Arial"/>
          <w:sz w:val="21"/>
          <w:szCs w:val="21"/>
          <w:lang w:val="es-MX" w:eastAsia="x-none"/>
        </w:rPr>
        <w:t xml:space="preserve">efectivamente se aplica </w:t>
      </w:r>
      <w:bookmarkStart w:name="_Hlk76074089" w:id="42"/>
      <w:r w:rsidRPr="00262D58">
        <w:rPr>
          <w:rFonts w:ascii="Arial" w:hAnsi="Arial" w:eastAsia="Times New Roman" w:cs="Arial"/>
          <w:sz w:val="21"/>
          <w:szCs w:val="21"/>
          <w:lang w:val="es-MX" w:eastAsia="x-none"/>
        </w:rPr>
        <w:t>incluso a las entidades estatales con régimen especial de contratación y que están exceptuadas del ámbito de aplicación del Estatuto General de Contratación de la Administración Pública</w:t>
      </w:r>
      <w:bookmarkEnd w:id="42"/>
      <w:r w:rsidRPr="00262D58">
        <w:rPr>
          <w:rFonts w:ascii="Arial" w:hAnsi="Arial" w:eastAsia="Times New Roman" w:cs="Arial"/>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262D58">
        <w:rPr>
          <w:rFonts w:ascii="Arial" w:hAnsi="Arial" w:eastAsia="Times New Roman" w:cs="Arial"/>
          <w:sz w:val="21"/>
          <w:szCs w:val="21"/>
          <w:vertAlign w:val="superscript"/>
          <w:lang w:val="es-MX" w:eastAsia="x-none"/>
        </w:rPr>
        <w:footnoteReference w:id="21"/>
      </w:r>
      <w:r w:rsidRPr="00262D58">
        <w:rPr>
          <w:rFonts w:ascii="Arial" w:hAnsi="Arial" w:eastAsia="Times New Roman" w:cs="Arial"/>
          <w:sz w:val="21"/>
          <w:szCs w:val="21"/>
          <w:lang w:val="es-MX" w:eastAsia="x-none"/>
        </w:rPr>
        <w:t>.</w:t>
      </w:r>
      <w:r w:rsidRPr="00262D58">
        <w:rPr>
          <w:rFonts w:ascii="Arial" w:hAnsi="Arial" w:eastAsia="Times New Roman" w:cs="Arial"/>
          <w:sz w:val="21"/>
          <w:szCs w:val="21"/>
          <w:lang w:val="es-MX" w:eastAsia="es-CO"/>
        </w:rPr>
        <w:t xml:space="preserve"> </w:t>
      </w:r>
    </w:p>
    <w:p w:rsidRPr="00262D58" w:rsidR="000037B4" w:rsidP="000037B4" w:rsidRDefault="000037B4" w14:paraId="3ECB28B4" w14:textId="77777777">
      <w:pPr>
        <w:spacing w:after="0" w:line="276" w:lineRule="auto"/>
        <w:ind w:firstLine="708"/>
        <w:contextualSpacing/>
        <w:jc w:val="both"/>
        <w:rPr>
          <w:rFonts w:ascii="Arial" w:hAnsi="Arial" w:eastAsia="Times New Roman" w:cs="Arial"/>
          <w:lang w:val="es-MX" w:eastAsia="es-CO"/>
        </w:rPr>
      </w:pPr>
    </w:p>
    <w:p w:rsidRPr="00262D58" w:rsidR="000037B4" w:rsidP="000037B4" w:rsidRDefault="000037B4" w14:paraId="12E55204" w14:textId="77777777">
      <w:pPr>
        <w:spacing w:after="0" w:line="276" w:lineRule="auto"/>
        <w:ind w:firstLine="708"/>
        <w:contextualSpacing/>
        <w:jc w:val="both"/>
        <w:rPr>
          <w:rFonts w:ascii="Arial" w:hAnsi="Arial" w:eastAsia="Calibri" w:cs="Arial"/>
          <w:lang w:val="es-MX"/>
        </w:rPr>
      </w:pPr>
      <w:r w:rsidRPr="00262D58">
        <w:rPr>
          <w:rFonts w:ascii="Arial" w:hAnsi="Arial" w:eastAsia="Times New Roman" w:cs="Arial"/>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name="_Hlk75758868" w:id="43"/>
      <w:bookmarkStart w:name="_Hlk75741220" w:id="44"/>
      <w:r w:rsidRPr="00262D58">
        <w:rPr>
          <w:rFonts w:ascii="Arial" w:hAnsi="Arial" w:eastAsia="Calibri" w:cs="Arial"/>
          <w:sz w:val="24"/>
          <w:vertAlign w:val="superscript"/>
          <w:lang w:val="es-MX"/>
        </w:rPr>
        <w:footnoteReference w:id="22"/>
      </w:r>
      <w:bookmarkEnd w:id="43"/>
      <w:bookmarkEnd w:id="44"/>
      <w:r w:rsidRPr="00262D58">
        <w:rPr>
          <w:rFonts w:ascii="Arial" w:hAnsi="Arial" w:eastAsia="Times New Roman" w:cs="Arial"/>
          <w:lang w:val="es-MX" w:eastAsia="x-none"/>
        </w:rPr>
        <w:t>.</w:t>
      </w:r>
      <w:r w:rsidRPr="00262D58">
        <w:rPr>
          <w:rFonts w:ascii="Arial" w:hAnsi="Arial" w:eastAsia="Calibri" w:cs="Arial"/>
          <w:lang w:val="es-MX"/>
        </w:rPr>
        <w:t xml:space="preserve"> Sin embargo, debe precisarse el siguiente aspecto que distinguió la Sala de Consulta y Servicio Civil:</w:t>
      </w:r>
    </w:p>
    <w:p w:rsidRPr="00262D58" w:rsidR="000037B4" w:rsidP="000037B4" w:rsidRDefault="000037B4" w14:paraId="02882804" w14:textId="77777777">
      <w:pPr>
        <w:spacing w:after="0" w:line="276" w:lineRule="auto"/>
        <w:contextualSpacing/>
        <w:jc w:val="both"/>
        <w:rPr>
          <w:rFonts w:ascii="Arial" w:hAnsi="Arial" w:eastAsia="Calibri" w:cs="Arial"/>
          <w:lang w:val="es-MX"/>
        </w:rPr>
      </w:pPr>
    </w:p>
    <w:p w:rsidRPr="00262D58" w:rsidR="000037B4" w:rsidP="000037B4" w:rsidRDefault="000037B4" w14:paraId="3C73DCA6" w14:textId="77777777">
      <w:pPr>
        <w:spacing w:after="0" w:line="240" w:lineRule="auto"/>
        <w:ind w:left="708" w:right="709"/>
        <w:contextualSpacing/>
        <w:jc w:val="both"/>
        <w:rPr>
          <w:rFonts w:ascii="Arial" w:hAnsi="Arial" w:eastAsia="Calibri" w:cs="Arial"/>
          <w:sz w:val="21"/>
          <w:szCs w:val="21"/>
          <w:lang w:val="es-MX"/>
        </w:rPr>
      </w:pPr>
      <w:bookmarkStart w:name="_Hlk75811446" w:id="46"/>
      <w:r w:rsidRPr="00262D58">
        <w:rPr>
          <w:rFonts w:ascii="Arial" w:hAnsi="Arial" w:eastAsia="Calibri"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6"/>
      <w:r w:rsidRPr="00262D58">
        <w:rPr>
          <w:rFonts w:ascii="Arial" w:hAnsi="Arial" w:eastAsia="Calibri" w:cs="Arial"/>
          <w:sz w:val="21"/>
          <w:szCs w:val="21"/>
          <w:lang w:val="es-MX"/>
        </w:rPr>
        <w:t>”</w:t>
      </w:r>
      <w:r w:rsidRPr="00262D58">
        <w:rPr>
          <w:rFonts w:ascii="Arial" w:hAnsi="Arial" w:eastAsia="Calibri" w:cs="Arial"/>
          <w:sz w:val="24"/>
          <w:vertAlign w:val="superscript"/>
          <w:lang w:val="es-MX"/>
        </w:rPr>
        <w:footnoteReference w:id="23"/>
      </w:r>
      <w:r w:rsidRPr="00262D58">
        <w:rPr>
          <w:rFonts w:ascii="Arial" w:hAnsi="Arial" w:eastAsia="Times New Roman" w:cs="Arial"/>
          <w:lang w:val="es-MX" w:eastAsia="x-none"/>
        </w:rPr>
        <w:t>.</w:t>
      </w:r>
    </w:p>
    <w:p w:rsidRPr="00262D58" w:rsidR="000037B4" w:rsidP="000037B4" w:rsidRDefault="000037B4" w14:paraId="43E492D1" w14:textId="77777777">
      <w:pPr>
        <w:spacing w:after="0" w:line="276" w:lineRule="auto"/>
        <w:contextualSpacing/>
        <w:jc w:val="both"/>
        <w:rPr>
          <w:rFonts w:ascii="Arial" w:hAnsi="Arial" w:eastAsia="Calibri" w:cs="Arial"/>
          <w:lang w:val="es-MX"/>
        </w:rPr>
      </w:pPr>
    </w:p>
    <w:p w:rsidRPr="00262D58" w:rsidR="000037B4" w:rsidP="000037B4" w:rsidRDefault="000037B4" w14:paraId="32E1237C" w14:textId="77777777">
      <w:pPr>
        <w:spacing w:after="120" w:line="276" w:lineRule="auto"/>
        <w:ind w:firstLine="709"/>
        <w:jc w:val="both"/>
        <w:rPr>
          <w:rFonts w:ascii="Arial" w:hAnsi="Arial" w:eastAsia="Times New Roman" w:cs="Arial"/>
          <w:lang w:val="es-MX" w:eastAsia="x-none"/>
        </w:rPr>
      </w:pPr>
      <w:r w:rsidRPr="00262D58">
        <w:rPr>
          <w:rFonts w:ascii="Arial" w:hAnsi="Arial" w:eastAsia="Calibri" w:cs="Arial"/>
          <w:lang w:val="es-MX"/>
        </w:rPr>
        <w:t>Aplicando este razonamiento,</w:t>
      </w:r>
      <w:bookmarkStart w:name="_Hlk75811096" w:id="47"/>
      <w:r w:rsidRPr="00262D58">
        <w:rPr>
          <w:rFonts w:ascii="Arial" w:hAnsi="Arial" w:eastAsia="Calibri" w:cs="Arial"/>
          <w:lang w:val="es-MX"/>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7"/>
      <w:r w:rsidRPr="00262D58">
        <w:rPr>
          <w:rFonts w:ascii="Arial" w:hAnsi="Arial" w:eastAsia="Calibri" w:cs="Arial"/>
          <w:lang w:val="es-MX"/>
        </w:rPr>
        <w:t>”</w:t>
      </w:r>
      <w:r w:rsidRPr="00262D58">
        <w:rPr>
          <w:rFonts w:ascii="Arial" w:hAnsi="Arial" w:eastAsia="Calibri" w:cs="Arial"/>
          <w:sz w:val="24"/>
          <w:vertAlign w:val="superscript"/>
          <w:lang w:val="es-MX"/>
        </w:rPr>
        <w:t xml:space="preserve"> </w:t>
      </w:r>
      <w:r w:rsidRPr="00262D58">
        <w:rPr>
          <w:rFonts w:ascii="Arial" w:hAnsi="Arial" w:eastAsia="Calibri" w:cs="Arial"/>
          <w:vertAlign w:val="superscript"/>
          <w:lang w:val="es-MX"/>
        </w:rPr>
        <w:footnoteReference w:id="24"/>
      </w:r>
      <w:r w:rsidRPr="00262D58">
        <w:rPr>
          <w:rFonts w:ascii="Arial" w:hAnsi="Arial" w:eastAsia="Calibri" w:cs="Arial"/>
          <w:lang w:val="es-MX"/>
        </w:rPr>
        <w:t>.</w:t>
      </w:r>
    </w:p>
    <w:p w:rsidRPr="00262D58" w:rsidR="000037B4" w:rsidP="000037B4" w:rsidRDefault="000037B4" w14:paraId="021B116F" w14:textId="77777777">
      <w:pPr>
        <w:spacing w:after="0" w:line="276" w:lineRule="auto"/>
        <w:ind w:firstLine="708"/>
        <w:jc w:val="both"/>
        <w:rPr>
          <w:rFonts w:ascii="Arial" w:hAnsi="Arial" w:eastAsia="Times New Roman" w:cs="Arial"/>
          <w:lang w:val="es-MX" w:eastAsia="x-none"/>
        </w:rPr>
      </w:pPr>
      <w:bookmarkStart w:name="_Hlk77237229" w:id="48"/>
      <w:bookmarkEnd w:id="41"/>
      <w:r w:rsidRPr="00262D58">
        <w:rPr>
          <w:rFonts w:ascii="Arial" w:hAnsi="Arial" w:eastAsia="Calibri" w:cs="Arial"/>
          <w:lang w:val="es-MX"/>
        </w:rPr>
        <w:t>Por lo tanto, la restricción prevista en la Ley 996 de 200</w:t>
      </w:r>
      <w:bookmarkStart w:name="_Hlk75741539" w:id="49"/>
      <w:r w:rsidRPr="00262D58">
        <w:rPr>
          <w:rFonts w:ascii="Arial" w:hAnsi="Arial" w:eastAsia="Calibri" w:cs="Arial"/>
          <w:lang w:val="es-MX"/>
        </w:rPr>
        <w:t xml:space="preserve">5, </w:t>
      </w:r>
      <w:r w:rsidRPr="00262D58">
        <w:rPr>
          <w:rFonts w:ascii="Arial" w:hAnsi="Arial" w:eastAsia="Times New Roman" w:cs="Arial"/>
          <w:lang w:val="es-MX"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48"/>
    <w:bookmarkEnd w:id="49"/>
    <w:p w:rsidRPr="00262D58" w:rsidR="000037B4" w:rsidP="000037B4" w:rsidRDefault="000037B4" w14:paraId="63788A71" w14:textId="77777777">
      <w:pPr>
        <w:spacing w:after="0" w:line="276" w:lineRule="auto"/>
        <w:jc w:val="both"/>
        <w:rPr>
          <w:rFonts w:ascii="Arial" w:hAnsi="Arial" w:eastAsia="Calibri" w:cs="Arial"/>
          <w:lang w:val="es-MX"/>
        </w:rPr>
      </w:pPr>
    </w:p>
    <w:p w:rsidRPr="00262D58" w:rsidR="000037B4" w:rsidP="000037B4" w:rsidRDefault="000037B4" w14:paraId="2263F6F5" w14:textId="77777777">
      <w:pPr>
        <w:spacing w:after="0" w:line="276" w:lineRule="auto"/>
        <w:jc w:val="both"/>
        <w:rPr>
          <w:rFonts w:ascii="Arial" w:hAnsi="Arial" w:eastAsia="Calibri" w:cs="Arial"/>
          <w:b/>
          <w:lang w:val="es-MX"/>
        </w:rPr>
      </w:pPr>
      <w:bookmarkStart w:name="_Hlk75784645" w:id="50"/>
      <w:r w:rsidRPr="00262D58">
        <w:rPr>
          <w:rFonts w:ascii="Arial" w:hAnsi="Arial" w:eastAsia="Calibri" w:cs="Arial"/>
          <w:b/>
          <w:lang w:val="es-MX"/>
        </w:rPr>
        <w:t xml:space="preserve">2.4. </w:t>
      </w:r>
      <w:bookmarkStart w:name="_Hlk77153296" w:id="51"/>
      <w:r w:rsidRPr="00262D58">
        <w:rPr>
          <w:rFonts w:ascii="Arial" w:hAnsi="Arial" w:eastAsia="Times New Roman" w:cs="Arial"/>
          <w:b/>
          <w:lang w:val="es-MX" w:eastAsia="es-CO"/>
        </w:rPr>
        <w:t xml:space="preserve">Restricciones </w:t>
      </w:r>
      <w:bookmarkStart w:name="_Hlk75643279" w:id="52"/>
      <w:r w:rsidRPr="00262D58">
        <w:rPr>
          <w:rFonts w:ascii="Arial" w:hAnsi="Arial" w:eastAsia="Times New Roman" w:cs="Arial"/>
          <w:b/>
          <w:lang w:val="es-MX" w:eastAsia="es-CO"/>
        </w:rPr>
        <w:t xml:space="preserve">para la celebración de contratos y convenios interadministrativos en los comicios para cargos de elección popular </w:t>
      </w:r>
    </w:p>
    <w:p w:rsidRPr="00262D58" w:rsidR="000037B4" w:rsidP="000037B4" w:rsidRDefault="000037B4" w14:paraId="7005E0AE" w14:textId="77777777">
      <w:pPr>
        <w:tabs>
          <w:tab w:val="left" w:pos="426"/>
        </w:tabs>
        <w:spacing w:after="0" w:line="276" w:lineRule="auto"/>
        <w:jc w:val="both"/>
        <w:rPr>
          <w:rFonts w:ascii="Arial" w:hAnsi="Arial" w:eastAsia="Calibri" w:cs="Arial"/>
        </w:rPr>
      </w:pPr>
      <w:bookmarkStart w:name="_Hlk88210558" w:id="53"/>
      <w:bookmarkEnd w:id="51"/>
      <w:bookmarkEnd w:id="52"/>
    </w:p>
    <w:p w:rsidRPr="00262D58" w:rsidR="000037B4" w:rsidP="000037B4" w:rsidRDefault="000037B4" w14:paraId="2C895E96" w14:textId="77777777">
      <w:pPr>
        <w:tabs>
          <w:tab w:val="left" w:pos="426"/>
        </w:tabs>
        <w:spacing w:after="120" w:line="276" w:lineRule="auto"/>
        <w:jc w:val="both"/>
        <w:rPr>
          <w:rFonts w:ascii="Arial" w:hAnsi="Arial" w:eastAsia="Calibri" w:cs="Arial"/>
        </w:rPr>
      </w:pPr>
      <w:r w:rsidRPr="00262D58">
        <w:rPr>
          <w:rFonts w:ascii="Arial" w:hAnsi="Arial" w:eastAsia="Calibri" w:cs="Arial"/>
        </w:rPr>
        <w:t xml:space="preserve">El parágrafo del artículo 38 de la Ley 996 de 2005 dispone que “[l]os Gobernadores, </w:t>
      </w:r>
      <w:proofErr w:type="gramStart"/>
      <w:r w:rsidRPr="00262D58">
        <w:rPr>
          <w:rFonts w:ascii="Arial" w:hAnsi="Arial" w:eastAsia="Calibri" w:cs="Arial"/>
        </w:rPr>
        <w:t>Alcaldes</w:t>
      </w:r>
      <w:proofErr w:type="gramEnd"/>
      <w:r w:rsidRPr="00262D58">
        <w:rPr>
          <w:rFonts w:ascii="Arial" w:hAnsi="Arial" w:eastAsia="Calibri" w:cs="Arial"/>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262D58">
        <w:rPr>
          <w:rFonts w:ascii="Arial" w:hAnsi="Arial" w:eastAsia="Times New Roman" w:cs="Arial"/>
          <w:lang w:val="es-MX" w:eastAsia="x-none"/>
        </w:rPr>
        <w:t xml:space="preserve"> </w:t>
      </w:r>
      <w:bookmarkStart w:name="_Hlk99578153" w:id="54"/>
      <w:bookmarkEnd w:id="53"/>
      <w:r w:rsidRPr="00262D58">
        <w:rPr>
          <w:rFonts w:ascii="Arial" w:hAnsi="Arial" w:eastAsia="Times New Roman" w:cs="Arial"/>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54"/>
      <w:r w:rsidRPr="00262D58">
        <w:rPr>
          <w:rFonts w:ascii="Arial" w:hAnsi="Arial" w:eastAsia="Times New Roman" w:cs="Arial"/>
          <w:vertAlign w:val="superscript"/>
          <w:lang w:val="es-MX" w:eastAsia="x-none"/>
        </w:rPr>
        <w:footnoteReference w:id="25"/>
      </w:r>
      <w:r w:rsidRPr="00262D58">
        <w:rPr>
          <w:rFonts w:ascii="Arial" w:hAnsi="Arial" w:eastAsia="Times New Roman" w:cs="Arial"/>
          <w:lang w:val="es-MX" w:eastAsia="x-none"/>
        </w:rPr>
        <w:t>.</w:t>
      </w:r>
      <w:r w:rsidRPr="00262D58">
        <w:rPr>
          <w:rFonts w:ascii="Arial" w:hAnsi="Arial" w:eastAsia="Calibri" w:cs="Arial"/>
          <w:sz w:val="24"/>
          <w:lang w:val="es-MX"/>
        </w:rPr>
        <w:t xml:space="preserve"> </w:t>
      </w:r>
    </w:p>
    <w:p w:rsidRPr="00262D58" w:rsidR="000037B4" w:rsidP="000037B4" w:rsidRDefault="000037B4" w14:paraId="2CFE5F35" w14:textId="77777777">
      <w:pPr>
        <w:widowControl w:val="0"/>
        <w:autoSpaceDE w:val="0"/>
        <w:autoSpaceDN w:val="0"/>
        <w:spacing w:after="120" w:line="276" w:lineRule="auto"/>
        <w:ind w:firstLine="707"/>
        <w:jc w:val="both"/>
        <w:rPr>
          <w:rFonts w:ascii="Arial" w:hAnsi="Arial" w:eastAsia="Arial" w:cs="Arial"/>
          <w:lang w:val="es-ES" w:eastAsia="es-ES" w:bidi="es-ES"/>
        </w:rPr>
      </w:pPr>
      <w:r w:rsidRPr="00262D58">
        <w:rPr>
          <w:rFonts w:ascii="Arial" w:hAnsi="Arial" w:eastAsia="Calibri" w:cs="Arial"/>
          <w:lang w:eastAsia="es-ES" w:bidi="es-ES"/>
        </w:rPr>
        <w:t xml:space="preserve">Ahora bien, </w:t>
      </w:r>
      <w:bookmarkStart w:name="_Hlk78820161" w:id="55"/>
      <w:r w:rsidRPr="00262D58">
        <w:rPr>
          <w:rFonts w:ascii="Arial" w:hAnsi="Arial" w:eastAsia="Calibri" w:cs="Arial"/>
          <w:lang w:eastAsia="es-ES" w:bidi="es-ES"/>
        </w:rPr>
        <w:t xml:space="preserve">para determinar el alcance de la prohibición consagrada por la Ley de Garantías Electorales, conviene precisar la tipología de convenios o contratos interadministrativos. </w:t>
      </w:r>
      <w:r w:rsidRPr="00262D58">
        <w:rPr>
          <w:rFonts w:ascii="Arial" w:hAnsi="Arial" w:eastAsia="Arial" w:cs="Arial"/>
          <w:lang w:val="es-ES" w:eastAsia="es-ES" w:bidi="es-ES"/>
        </w:rPr>
        <w:t>Aunque la ley no la definió ni desarrolló, el Decreto 1082 de 2015 califica a los convenios o contratos interadministrativos como aquella contratación entre entidades estatales</w:t>
      </w:r>
      <w:r w:rsidRPr="00262D58">
        <w:rPr>
          <w:rFonts w:ascii="Arial" w:hAnsi="Arial" w:eastAsia="Arial" w:cs="Arial"/>
          <w:vertAlign w:val="superscript"/>
          <w:lang w:val="es-ES" w:eastAsia="es-ES" w:bidi="es-ES"/>
        </w:rPr>
        <w:footnoteReference w:id="26"/>
      </w:r>
      <w:r w:rsidRPr="00262D58">
        <w:rPr>
          <w:rFonts w:ascii="Arial" w:hAnsi="Arial" w:eastAsia="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262D58">
        <w:rPr>
          <w:rFonts w:ascii="Arial" w:hAnsi="Arial" w:eastAsia="Arial" w:cs="Arial"/>
          <w:spacing w:val="-6"/>
          <w:lang w:val="es-ES" w:eastAsia="es-ES" w:bidi="es-ES"/>
        </w:rPr>
        <w:t xml:space="preserve"> </w:t>
      </w:r>
      <w:r w:rsidRPr="00262D58">
        <w:rPr>
          <w:rFonts w:ascii="Arial" w:hAnsi="Arial" w:eastAsia="Arial" w:cs="Arial"/>
          <w:lang w:val="es-ES" w:eastAsia="es-ES" w:bidi="es-ES"/>
        </w:rPr>
        <w:t>estatales.</w:t>
      </w:r>
    </w:p>
    <w:p w:rsidRPr="00262D58" w:rsidR="000037B4" w:rsidP="000037B4" w:rsidRDefault="000037B4" w14:paraId="35974F5E" w14:textId="77777777">
      <w:pPr>
        <w:widowControl w:val="0"/>
        <w:autoSpaceDE w:val="0"/>
        <w:autoSpaceDN w:val="0"/>
        <w:spacing w:before="117" w:after="120" w:line="276" w:lineRule="auto"/>
        <w:ind w:firstLine="707"/>
        <w:jc w:val="both"/>
        <w:rPr>
          <w:rFonts w:ascii="Arial" w:hAnsi="Arial" w:eastAsia="Calibri" w:cs="Arial"/>
          <w:lang w:val="es-ES"/>
        </w:rPr>
      </w:pPr>
      <w:bookmarkStart w:name="_Hlk78820654" w:id="56"/>
      <w:bookmarkEnd w:id="55"/>
      <w:r w:rsidRPr="00262D58">
        <w:rPr>
          <w:rFonts w:ascii="Arial" w:hAnsi="Arial" w:eastAsia="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 De esta manera, sin perjuicio de lo dispuesto en el artículo 56 de la Ley 2195 de 2022, el literal c) del artículo 2.4 de la Ley 1150 de 2007 dispone que “</w:t>
      </w:r>
      <w:r w:rsidRPr="00262D58">
        <w:rPr>
          <w:rFonts w:ascii="Arial" w:hAnsi="Arial" w:eastAsia="Arial" w:cs="Arial"/>
          <w:lang w:eastAsia="es-ES" w:bidi="es-ES"/>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rsidRPr="00262D58" w:rsidR="000037B4" w:rsidP="000037B4" w:rsidRDefault="000037B4" w14:paraId="08CC9E32" w14:textId="77777777">
      <w:pPr>
        <w:widowControl w:val="0"/>
        <w:autoSpaceDE w:val="0"/>
        <w:autoSpaceDN w:val="0"/>
        <w:spacing w:before="121" w:after="120" w:line="276" w:lineRule="auto"/>
        <w:ind w:firstLine="707"/>
        <w:jc w:val="both"/>
        <w:rPr>
          <w:rFonts w:ascii="Arial" w:hAnsi="Arial" w:eastAsia="Arial" w:cs="Arial"/>
          <w:lang w:val="es-ES" w:eastAsia="es-ES" w:bidi="es-ES"/>
        </w:rPr>
      </w:pPr>
      <w:bookmarkStart w:name="_Hlk99578261" w:id="57"/>
      <w:bookmarkEnd w:id="56"/>
      <w:r w:rsidRPr="00262D58">
        <w:rPr>
          <w:rFonts w:ascii="Arial" w:hAnsi="Arial" w:eastAsia="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262D58">
        <w:rPr>
          <w:rFonts w:ascii="Arial" w:hAnsi="Arial" w:eastAsia="Arial" w:cs="Arial"/>
          <w:vertAlign w:val="superscript"/>
          <w:lang w:val="es-ES" w:eastAsia="es-ES" w:bidi="es-ES"/>
        </w:rPr>
        <w:footnoteReference w:id="27"/>
      </w:r>
      <w:r w:rsidRPr="00262D58">
        <w:rPr>
          <w:rFonts w:ascii="Arial" w:hAnsi="Arial" w:eastAsia="Arial" w:cs="Arial"/>
          <w:lang w:val="es-ES" w:eastAsia="es-ES" w:bidi="es-ES"/>
        </w:rPr>
        <w:t>. Nótese que, en este caso, lo que cambia es la modalidad de selección y no la naturaleza de contrato</w:t>
      </w:r>
      <w:r w:rsidRPr="00262D58">
        <w:rPr>
          <w:rFonts w:ascii="Arial" w:hAnsi="Arial" w:eastAsia="Arial" w:cs="Arial"/>
          <w:spacing w:val="-18"/>
          <w:lang w:val="es-ES" w:eastAsia="es-ES" w:bidi="es-ES"/>
        </w:rPr>
        <w:t xml:space="preserve"> </w:t>
      </w:r>
      <w:r w:rsidRPr="00262D58">
        <w:rPr>
          <w:rFonts w:ascii="Arial" w:hAnsi="Arial" w:eastAsia="Arial" w:cs="Arial"/>
          <w:lang w:val="es-ES" w:eastAsia="es-ES" w:bidi="es-ES"/>
        </w:rPr>
        <w:t>interadministrativo.</w:t>
      </w:r>
    </w:p>
    <w:bookmarkEnd w:id="57"/>
    <w:p w:rsidRPr="00262D58" w:rsidR="000037B4" w:rsidP="000037B4" w:rsidRDefault="000037B4" w14:paraId="2CDD9DDC" w14:textId="77777777">
      <w:pPr>
        <w:widowControl w:val="0"/>
        <w:autoSpaceDE w:val="0"/>
        <w:autoSpaceDN w:val="0"/>
        <w:spacing w:before="114" w:after="0" w:line="276" w:lineRule="auto"/>
        <w:ind w:firstLine="707"/>
        <w:jc w:val="both"/>
        <w:rPr>
          <w:rFonts w:ascii="Arial" w:hAnsi="Arial" w:eastAsia="Arial" w:cs="Arial"/>
          <w:lang w:val="es-ES" w:eastAsia="es-ES" w:bidi="es-ES"/>
        </w:rPr>
      </w:pPr>
      <w:r w:rsidRPr="00262D58">
        <w:rPr>
          <w:rFonts w:ascii="Arial" w:hAnsi="Arial" w:eastAsia="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262D58">
        <w:rPr>
          <w:rFonts w:ascii="Arial" w:hAnsi="Arial" w:eastAsia="Arial" w:cs="Arial"/>
          <w:spacing w:val="-13"/>
          <w:lang w:val="es-ES" w:eastAsia="es-ES" w:bidi="es-ES"/>
        </w:rPr>
        <w:t xml:space="preserve"> </w:t>
      </w:r>
      <w:r w:rsidRPr="00262D58">
        <w:rPr>
          <w:rFonts w:ascii="Arial" w:hAnsi="Arial" w:eastAsia="Arial" w:cs="Arial"/>
          <w:lang w:val="es-ES" w:eastAsia="es-ES" w:bidi="es-ES"/>
        </w:rPr>
        <w:t>que:</w:t>
      </w:r>
    </w:p>
    <w:p w:rsidRPr="00262D58" w:rsidR="000037B4" w:rsidP="000037B4" w:rsidRDefault="000037B4" w14:paraId="4CFDD584" w14:textId="77777777">
      <w:pPr>
        <w:widowControl w:val="0"/>
        <w:autoSpaceDE w:val="0"/>
        <w:autoSpaceDN w:val="0"/>
        <w:spacing w:after="0" w:line="276" w:lineRule="auto"/>
        <w:ind w:firstLine="707"/>
        <w:contextualSpacing/>
        <w:jc w:val="both"/>
        <w:rPr>
          <w:rFonts w:ascii="Arial" w:hAnsi="Arial" w:eastAsia="Arial" w:cs="Arial"/>
          <w:lang w:val="es-ES" w:eastAsia="es-ES" w:bidi="es-ES"/>
        </w:rPr>
      </w:pPr>
    </w:p>
    <w:p w:rsidRPr="00262D58" w:rsidR="000037B4" w:rsidP="000037B4" w:rsidRDefault="000037B4" w14:paraId="40F50591" w14:textId="77777777">
      <w:pPr>
        <w:spacing w:after="0" w:line="240" w:lineRule="auto"/>
        <w:ind w:left="709" w:right="709"/>
        <w:contextualSpacing/>
        <w:jc w:val="both"/>
        <w:rPr>
          <w:rFonts w:ascii="Arial" w:hAnsi="Arial" w:eastAsia="Calibri" w:cs="Arial"/>
          <w:sz w:val="21"/>
          <w:lang w:val="es-MX"/>
        </w:rPr>
      </w:pPr>
      <w:r w:rsidRPr="00262D58">
        <w:rPr>
          <w:rFonts w:ascii="Arial" w:hAnsi="Arial" w:eastAsia="Calibri"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262D58">
        <w:rPr>
          <w:rFonts w:ascii="Arial" w:hAnsi="Arial" w:eastAsia="Calibri" w:cs="Arial"/>
          <w:sz w:val="21"/>
          <w:lang w:val="es-MX"/>
        </w:rPr>
        <w:t>ii</w:t>
      </w:r>
      <w:proofErr w:type="spellEnd"/>
      <w:r w:rsidRPr="00262D58">
        <w:rPr>
          <w:rFonts w:ascii="Arial" w:hAnsi="Arial" w:eastAsia="Calibri" w:cs="Arial"/>
          <w:sz w:val="21"/>
          <w:lang w:val="es-MX"/>
        </w:rPr>
        <w:t>) tienen como fuente la autonomía contractual; (</w:t>
      </w:r>
      <w:proofErr w:type="spellStart"/>
      <w:r w:rsidRPr="00262D58">
        <w:rPr>
          <w:rFonts w:ascii="Arial" w:hAnsi="Arial" w:eastAsia="Calibri" w:cs="Arial"/>
          <w:sz w:val="21"/>
          <w:lang w:val="es-MX"/>
        </w:rPr>
        <w:t>iii</w:t>
      </w:r>
      <w:proofErr w:type="spellEnd"/>
      <w:r w:rsidRPr="00262D58">
        <w:rPr>
          <w:rFonts w:ascii="Arial" w:hAnsi="Arial" w:eastAsia="Calibri" w:cs="Arial"/>
          <w:sz w:val="21"/>
          <w:lang w:val="es-MX"/>
        </w:rPr>
        <w:t>) son contratos nominados puesto que están mencionados en la ley; (</w:t>
      </w:r>
      <w:proofErr w:type="spellStart"/>
      <w:r w:rsidRPr="00262D58">
        <w:rPr>
          <w:rFonts w:ascii="Arial" w:hAnsi="Arial" w:eastAsia="Calibri" w:cs="Arial"/>
          <w:sz w:val="21"/>
          <w:lang w:val="es-MX"/>
        </w:rPr>
        <w:t>iv</w:t>
      </w:r>
      <w:proofErr w:type="spellEnd"/>
      <w:r w:rsidRPr="00262D58">
        <w:rPr>
          <w:rFonts w:ascii="Arial" w:hAnsi="Arial" w:eastAsia="Calibri" w:cs="Arial"/>
          <w:sz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262D58">
        <w:rPr>
          <w:rFonts w:ascii="Arial" w:hAnsi="Arial" w:eastAsia="Calibri" w:cs="Arial"/>
          <w:sz w:val="21"/>
          <w:lang w:val="es-MX"/>
        </w:rPr>
        <w:t>vii</w:t>
      </w:r>
      <w:proofErr w:type="spellEnd"/>
      <w:r w:rsidRPr="00262D58">
        <w:rPr>
          <w:rFonts w:ascii="Arial" w:hAnsi="Arial" w:eastAsia="Calibri" w:cs="Arial"/>
          <w:sz w:val="21"/>
          <w:lang w:val="es-MX"/>
        </w:rPr>
        <w:t>) persiguen  una finalidad común a través de la realización de intereses compartidos entre las entidades vinculadas; (</w:t>
      </w:r>
      <w:proofErr w:type="spellStart"/>
      <w:r w:rsidRPr="00262D58">
        <w:rPr>
          <w:rFonts w:ascii="Arial" w:hAnsi="Arial" w:eastAsia="Calibri" w:cs="Arial"/>
          <w:sz w:val="21"/>
          <w:lang w:val="es-MX"/>
        </w:rPr>
        <w:t>viii</w:t>
      </w:r>
      <w:proofErr w:type="spellEnd"/>
      <w:r w:rsidRPr="00262D58">
        <w:rPr>
          <w:rFonts w:ascii="Arial" w:hAnsi="Arial" w:eastAsia="Calibri" w:cs="Arial"/>
          <w:sz w:val="21"/>
          <w:lang w:val="es-MX"/>
        </w:rPr>
        <w:t>) la acción mediante la cual se deben ventilar las diferencias que sobre el particular surjan es la de controversias contractuales”</w:t>
      </w:r>
      <w:r w:rsidRPr="00262D58">
        <w:rPr>
          <w:rFonts w:ascii="Arial" w:hAnsi="Arial" w:eastAsia="Calibri" w:cs="Arial"/>
          <w:sz w:val="21"/>
          <w:vertAlign w:val="superscript"/>
          <w:lang w:val="es-MX"/>
        </w:rPr>
        <w:footnoteReference w:id="28"/>
      </w:r>
      <w:r w:rsidRPr="00262D58">
        <w:rPr>
          <w:rFonts w:ascii="Arial" w:hAnsi="Arial" w:eastAsia="Calibri" w:cs="Arial"/>
          <w:sz w:val="21"/>
          <w:lang w:val="es-MX"/>
        </w:rPr>
        <w:t>.</w:t>
      </w:r>
    </w:p>
    <w:p w:rsidRPr="00262D58" w:rsidR="000037B4" w:rsidP="000037B4" w:rsidRDefault="000037B4" w14:paraId="12E352A3" w14:textId="77777777">
      <w:pPr>
        <w:spacing w:after="0" w:line="276" w:lineRule="auto"/>
        <w:ind w:left="709" w:right="709"/>
        <w:contextualSpacing/>
        <w:jc w:val="both"/>
        <w:rPr>
          <w:rFonts w:ascii="Arial" w:hAnsi="Arial" w:eastAsia="Calibri" w:cs="Arial"/>
          <w:lang w:val="es-MX"/>
        </w:rPr>
      </w:pPr>
    </w:p>
    <w:p w:rsidRPr="00262D58" w:rsidR="000037B4" w:rsidP="000037B4" w:rsidRDefault="000037B4" w14:paraId="35E5EB37" w14:textId="77777777">
      <w:pPr>
        <w:widowControl w:val="0"/>
        <w:autoSpaceDE w:val="0"/>
        <w:autoSpaceDN w:val="0"/>
        <w:spacing w:after="120" w:line="276" w:lineRule="auto"/>
        <w:ind w:firstLine="707"/>
        <w:jc w:val="both"/>
        <w:rPr>
          <w:rFonts w:ascii="Arial" w:hAnsi="Arial" w:eastAsia="Arial" w:cs="Arial"/>
          <w:lang w:val="es-ES" w:eastAsia="es-ES" w:bidi="es-ES"/>
        </w:rPr>
      </w:pPr>
      <w:r w:rsidRPr="00262D58">
        <w:rPr>
          <w:rFonts w:ascii="Arial" w:hAnsi="Arial" w:eastAsia="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rsidRPr="00262D58" w:rsidR="000037B4" w:rsidP="000037B4" w:rsidRDefault="000037B4" w14:paraId="507D7911" w14:textId="77777777">
      <w:pPr>
        <w:widowControl w:val="0"/>
        <w:autoSpaceDE w:val="0"/>
        <w:autoSpaceDN w:val="0"/>
        <w:spacing w:before="119" w:after="120" w:line="276" w:lineRule="auto"/>
        <w:ind w:firstLine="707"/>
        <w:jc w:val="both"/>
        <w:rPr>
          <w:rFonts w:ascii="Arial" w:hAnsi="Arial" w:eastAsia="Arial" w:cs="Arial"/>
          <w:lang w:val="es-ES" w:eastAsia="es-ES" w:bidi="es-ES"/>
        </w:rPr>
      </w:pPr>
      <w:r w:rsidRPr="00262D58">
        <w:rPr>
          <w:rFonts w:ascii="Arial" w:hAnsi="Arial" w:eastAsia="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262D58">
        <w:rPr>
          <w:rFonts w:ascii="Arial" w:hAnsi="Arial" w:eastAsia="Arial" w:cs="Arial"/>
          <w:spacing w:val="-3"/>
          <w:lang w:val="es-ES" w:eastAsia="es-ES" w:bidi="es-ES"/>
        </w:rPr>
        <w:t xml:space="preserve"> </w:t>
      </w:r>
      <w:r w:rsidRPr="00262D58">
        <w:rPr>
          <w:rFonts w:ascii="Arial" w:hAnsi="Arial" w:eastAsia="Arial" w:cs="Arial"/>
          <w:lang w:val="es-ES" w:eastAsia="es-ES" w:bidi="es-ES"/>
        </w:rPr>
        <w:t>estatales.</w:t>
      </w:r>
    </w:p>
    <w:p w:rsidRPr="00262D58" w:rsidR="000037B4" w:rsidP="000037B4" w:rsidRDefault="000037B4" w14:paraId="789A6414" w14:textId="77777777">
      <w:pPr>
        <w:widowControl w:val="0"/>
        <w:autoSpaceDE w:val="0"/>
        <w:autoSpaceDN w:val="0"/>
        <w:spacing w:before="120" w:after="120" w:line="276" w:lineRule="auto"/>
        <w:ind w:firstLine="709"/>
        <w:jc w:val="both"/>
        <w:rPr>
          <w:rFonts w:ascii="Arial" w:hAnsi="Arial" w:eastAsia="Arial" w:cs="Arial"/>
          <w:lang w:val="es-ES" w:eastAsia="es-ES" w:bidi="es-ES"/>
        </w:rPr>
      </w:pPr>
      <w:r w:rsidRPr="00262D58">
        <w:rPr>
          <w:rFonts w:ascii="Arial" w:hAnsi="Arial" w:eastAsia="Arial" w:cs="Arial"/>
          <w:lang w:val="es-ES"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w:t>
      </w:r>
      <w:proofErr w:type="spellStart"/>
      <w:r w:rsidRPr="00262D58">
        <w:rPr>
          <w:rFonts w:ascii="Arial" w:hAnsi="Arial" w:eastAsia="Arial" w:cs="Arial"/>
          <w:lang w:val="es-ES" w:eastAsia="es-ES" w:bidi="es-ES"/>
        </w:rPr>
        <w:t>EGCAP</w:t>
      </w:r>
      <w:proofErr w:type="spellEnd"/>
      <w:r w:rsidRPr="00262D58">
        <w:rPr>
          <w:rFonts w:ascii="Arial" w:hAnsi="Arial" w:eastAsia="Arial" w:cs="Arial"/>
          <w:lang w:val="es-ES" w:eastAsia="es-ES" w:bidi="es-ES"/>
        </w:rPr>
        <w:t xml:space="preserve">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262D58">
        <w:rPr>
          <w:rFonts w:ascii="Arial" w:hAnsi="Arial" w:eastAsia="Arial" w:cs="Arial"/>
          <w:spacing w:val="-4"/>
          <w:lang w:val="es-ES" w:eastAsia="es-ES" w:bidi="es-ES"/>
        </w:rPr>
        <w:t xml:space="preserve"> </w:t>
      </w:r>
      <w:r w:rsidRPr="00262D58">
        <w:rPr>
          <w:rFonts w:ascii="Arial" w:hAnsi="Arial" w:eastAsia="Arial" w:cs="Arial"/>
          <w:lang w:val="es-ES" w:eastAsia="es-ES" w:bidi="es-ES"/>
        </w:rPr>
        <w:t>estatales.</w:t>
      </w:r>
    </w:p>
    <w:p w:rsidRPr="00262D58" w:rsidR="000037B4" w:rsidP="000037B4" w:rsidRDefault="000037B4" w14:paraId="55FE4A7A" w14:textId="77777777">
      <w:pPr>
        <w:widowControl w:val="0"/>
        <w:autoSpaceDE w:val="0"/>
        <w:autoSpaceDN w:val="0"/>
        <w:spacing w:before="122" w:after="120" w:line="276" w:lineRule="auto"/>
        <w:ind w:firstLine="708"/>
        <w:jc w:val="both"/>
        <w:rPr>
          <w:rFonts w:ascii="Arial" w:hAnsi="Arial" w:eastAsia="Arial" w:cs="Arial"/>
          <w:lang w:val="es-ES" w:eastAsia="es-ES" w:bidi="es-ES"/>
        </w:rPr>
      </w:pPr>
      <w:r w:rsidRPr="00262D58">
        <w:rPr>
          <w:rFonts w:ascii="Arial" w:hAnsi="Arial" w:eastAsia="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rsidRPr="00262D58" w:rsidR="000037B4" w:rsidP="000037B4" w:rsidRDefault="000037B4" w14:paraId="177C03DD" w14:textId="77777777">
      <w:pPr>
        <w:widowControl w:val="0"/>
        <w:autoSpaceDE w:val="0"/>
        <w:autoSpaceDN w:val="0"/>
        <w:spacing w:after="120" w:line="276" w:lineRule="auto"/>
        <w:ind w:firstLine="708"/>
        <w:jc w:val="both"/>
        <w:rPr>
          <w:rFonts w:ascii="Arial" w:hAnsi="Arial" w:eastAsia="Calibri" w:cs="Arial"/>
          <w:lang w:eastAsia="es-ES" w:bidi="es-ES"/>
        </w:rPr>
      </w:pPr>
      <w:r w:rsidRPr="00262D58">
        <w:rPr>
          <w:rFonts w:ascii="Arial" w:hAnsi="Arial" w:eastAsia="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262D58">
        <w:rPr>
          <w:rFonts w:ascii="Arial" w:hAnsi="Arial" w:eastAsia="Arial" w:cs="Arial"/>
          <w:spacing w:val="-4"/>
          <w:lang w:val="es-ES" w:eastAsia="es-ES" w:bidi="es-ES"/>
        </w:rPr>
        <w:t xml:space="preserve"> </w:t>
      </w:r>
      <w:r w:rsidRPr="00262D58">
        <w:rPr>
          <w:rFonts w:ascii="Arial" w:hAnsi="Arial" w:eastAsia="Arial" w:cs="Arial"/>
          <w:lang w:val="es-ES" w:eastAsia="es-ES" w:bidi="es-ES"/>
        </w:rPr>
        <w:t>[…]”</w:t>
      </w:r>
      <w:r w:rsidRPr="00262D58">
        <w:rPr>
          <w:rFonts w:ascii="Arial" w:hAnsi="Arial" w:eastAsia="Arial" w:cs="Arial"/>
          <w:vertAlign w:val="superscript"/>
          <w:lang w:val="es-ES" w:eastAsia="es-ES" w:bidi="es-ES"/>
        </w:rPr>
        <w:footnoteReference w:id="29"/>
      </w:r>
      <w:r w:rsidRPr="00262D58">
        <w:rPr>
          <w:rFonts w:ascii="Arial" w:hAnsi="Arial" w:eastAsia="Arial" w:cs="Arial"/>
          <w:lang w:val="es-ES" w:eastAsia="es-ES" w:bidi="es-ES"/>
        </w:rPr>
        <w:t>.</w:t>
      </w:r>
      <w:bookmarkStart w:name="_Hlk77171241" w:id="58"/>
    </w:p>
    <w:p w:rsidRPr="00262D58" w:rsidR="000037B4" w:rsidP="000037B4" w:rsidRDefault="000037B4" w14:paraId="0BACEB16" w14:textId="77777777">
      <w:pPr>
        <w:widowControl w:val="0"/>
        <w:autoSpaceDE w:val="0"/>
        <w:autoSpaceDN w:val="0"/>
        <w:spacing w:after="0" w:line="276" w:lineRule="auto"/>
        <w:ind w:firstLine="709"/>
        <w:contextualSpacing/>
        <w:jc w:val="both"/>
        <w:rPr>
          <w:rFonts w:ascii="Arial" w:hAnsi="Arial" w:eastAsia="Arial" w:cs="Arial"/>
          <w:lang w:val="es-ES" w:eastAsia="es-ES" w:bidi="es-ES"/>
        </w:rPr>
      </w:pPr>
      <w:r w:rsidRPr="00262D58">
        <w:rPr>
          <w:rFonts w:ascii="Arial" w:hAnsi="Arial" w:eastAsia="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rsidRPr="00262D58" w:rsidR="000037B4" w:rsidP="000037B4" w:rsidRDefault="000037B4" w14:paraId="03C36E82" w14:textId="77777777">
      <w:pPr>
        <w:widowControl w:val="0"/>
        <w:autoSpaceDE w:val="0"/>
        <w:autoSpaceDN w:val="0"/>
        <w:spacing w:after="0" w:line="276" w:lineRule="auto"/>
        <w:ind w:firstLine="709"/>
        <w:contextualSpacing/>
        <w:jc w:val="both"/>
        <w:rPr>
          <w:rFonts w:ascii="Arial" w:hAnsi="Arial" w:eastAsia="Arial" w:cs="Arial"/>
          <w:lang w:val="es-ES" w:eastAsia="es-ES" w:bidi="es-ES"/>
        </w:rPr>
      </w:pPr>
    </w:p>
    <w:p w:rsidRPr="00262D58" w:rsidR="000037B4" w:rsidP="000037B4" w:rsidRDefault="000037B4" w14:paraId="7B731796" w14:textId="77777777">
      <w:pPr>
        <w:spacing w:after="0" w:line="240" w:lineRule="auto"/>
        <w:ind w:left="709" w:right="709"/>
        <w:contextualSpacing/>
        <w:jc w:val="both"/>
        <w:rPr>
          <w:rFonts w:ascii="Arial" w:hAnsi="Arial" w:eastAsia="Calibri" w:cs="Arial"/>
          <w:sz w:val="21"/>
          <w:szCs w:val="21"/>
          <w:lang w:val="es-ES_tradnl"/>
        </w:rPr>
      </w:pPr>
      <w:r w:rsidRPr="00262D58">
        <w:rPr>
          <w:rFonts w:ascii="Arial" w:hAnsi="Arial" w:eastAsia="Calibri" w:cs="Arial"/>
          <w:sz w:val="21"/>
          <w:szCs w:val="21"/>
          <w:lang w:val="es-ES_tradnl"/>
        </w:rPr>
        <w:t>“La Sala de Consulta y Servicio Civil</w:t>
      </w:r>
      <w:r w:rsidRPr="00262D58">
        <w:rPr>
          <w:rFonts w:ascii="Arial" w:hAnsi="Arial" w:eastAsia="Calibri" w:cs="Arial"/>
          <w:sz w:val="21"/>
          <w:szCs w:val="21"/>
          <w:vertAlign w:val="superscript"/>
          <w:lang w:val="es-ES_tradnl"/>
        </w:rPr>
        <w:footnoteReference w:id="30"/>
      </w:r>
      <w:r w:rsidRPr="00262D58">
        <w:rPr>
          <w:rFonts w:ascii="Arial" w:hAnsi="Arial" w:eastAsia="Calibri" w:cs="Arial"/>
          <w:sz w:val="21"/>
          <w:szCs w:val="21"/>
          <w:lang w:val="es-ES_tradnl"/>
        </w:rPr>
        <w:t xml:space="preserve"> de esta Corporación se ha referido a los </w:t>
      </w:r>
      <w:r w:rsidRPr="00262D58">
        <w:rPr>
          <w:rFonts w:ascii="Arial" w:hAnsi="Arial" w:eastAsia="Calibri" w:cs="Arial"/>
          <w:i/>
          <w:sz w:val="21"/>
          <w:szCs w:val="21"/>
          <w:lang w:val="es-ES_tradnl"/>
        </w:rPr>
        <w:t>“convenios interadministrativos”</w:t>
      </w:r>
      <w:r w:rsidRPr="00262D58">
        <w:rPr>
          <w:rFonts w:ascii="Arial" w:hAnsi="Arial" w:eastAsia="Calibri" w:cs="Arial"/>
          <w:sz w:val="21"/>
          <w:szCs w:val="21"/>
          <w:lang w:val="es-ES_tradnl"/>
        </w:rPr>
        <w:t xml:space="preserve"> a los cuales alude el artículo 95 de la Ley 489 de 1998, calificándolos de </w:t>
      </w:r>
      <w:r w:rsidRPr="00262D58">
        <w:rPr>
          <w:rFonts w:ascii="Arial" w:hAnsi="Arial" w:eastAsia="Calibri" w:cs="Arial"/>
          <w:i/>
          <w:sz w:val="21"/>
          <w:szCs w:val="21"/>
          <w:lang w:val="es-ES_tradnl"/>
        </w:rPr>
        <w:t xml:space="preserve">“puros” </w:t>
      </w:r>
      <w:r w:rsidRPr="00262D58">
        <w:rPr>
          <w:rFonts w:ascii="Arial" w:hAnsi="Arial" w:eastAsia="Calibri" w:cs="Arial"/>
          <w:sz w:val="21"/>
          <w:szCs w:val="21"/>
          <w:lang w:val="es-ES_tradnl"/>
        </w:rPr>
        <w:t xml:space="preserve">y entendiendo que estos, además de perseguir la finalidad de cooperación antes indicada, no implican intereses contrapuestos ni tampoco se circunscriben a un </w:t>
      </w:r>
      <w:r w:rsidRPr="00262D58">
        <w:rPr>
          <w:rFonts w:ascii="Arial" w:hAnsi="Arial" w:eastAsia="Calibri" w:cs="Arial"/>
          <w:i/>
          <w:sz w:val="21"/>
          <w:szCs w:val="21"/>
          <w:lang w:val="es-ES_tradnl"/>
        </w:rPr>
        <w:t>“intercambio patrimonial”</w:t>
      </w:r>
      <w:r w:rsidRPr="00262D58">
        <w:rPr>
          <w:rFonts w:ascii="Arial" w:hAnsi="Arial" w:eastAsia="Calibri" w:cs="Arial"/>
          <w:sz w:val="21"/>
          <w:szCs w:val="21"/>
          <w:lang w:val="es-ES_tradnl"/>
        </w:rPr>
        <w:t>. Sin perjuicio de lo anterior, en otra oportunidad, la misma Sala</w:t>
      </w:r>
      <w:r w:rsidRPr="00262D58">
        <w:rPr>
          <w:rFonts w:ascii="Arial" w:hAnsi="Arial" w:eastAsia="Calibri" w:cs="Arial"/>
          <w:sz w:val="21"/>
          <w:szCs w:val="21"/>
          <w:vertAlign w:val="superscript"/>
          <w:lang w:val="es-ES_tradnl"/>
        </w:rPr>
        <w:footnoteReference w:id="31"/>
      </w:r>
      <w:r w:rsidRPr="00262D58">
        <w:rPr>
          <w:rFonts w:ascii="Arial" w:hAnsi="Arial" w:eastAsia="Calibri" w:cs="Arial"/>
          <w:sz w:val="21"/>
          <w:szCs w:val="21"/>
          <w:lang w:val="es-ES_tradnl"/>
        </w:rPr>
        <w:t xml:space="preserve"> había indicado que, si bien en dichos convenios no se daba un </w:t>
      </w:r>
      <w:r w:rsidRPr="00262D58">
        <w:rPr>
          <w:rFonts w:ascii="Arial" w:hAnsi="Arial" w:eastAsia="Calibri" w:cs="Arial"/>
          <w:i/>
          <w:sz w:val="21"/>
          <w:szCs w:val="21"/>
          <w:lang w:val="es-ES_tradnl"/>
        </w:rPr>
        <w:t>“verdadero intercambio de bienes o servicios (contrato conmutativo)”</w:t>
      </w:r>
      <w:r w:rsidRPr="00262D58">
        <w:rPr>
          <w:rFonts w:ascii="Arial" w:hAnsi="Arial" w:eastAsia="Calibri" w:cs="Arial"/>
          <w:sz w:val="21"/>
          <w:szCs w:val="21"/>
          <w:lang w:val="es-ES_tradnl"/>
        </w:rPr>
        <w:t>, ello no impedía que se conviniera una remuneración a cargo de alguna(s) entidad(es).</w:t>
      </w:r>
    </w:p>
    <w:p w:rsidRPr="00262D58" w:rsidR="000037B4" w:rsidP="000037B4" w:rsidRDefault="000037B4" w14:paraId="095CD5B3" w14:textId="77777777">
      <w:pPr>
        <w:spacing w:after="0" w:line="240" w:lineRule="auto"/>
        <w:ind w:left="709" w:right="709"/>
        <w:contextualSpacing/>
        <w:jc w:val="both"/>
        <w:rPr>
          <w:rFonts w:ascii="Arial" w:hAnsi="Arial" w:eastAsia="Calibri" w:cs="Arial"/>
          <w:sz w:val="12"/>
          <w:szCs w:val="12"/>
          <w:lang w:val="es-ES_tradnl"/>
        </w:rPr>
      </w:pPr>
    </w:p>
    <w:p w:rsidRPr="00262D58" w:rsidR="000037B4" w:rsidP="000037B4" w:rsidRDefault="000037B4" w14:paraId="497EDF69" w14:textId="77777777">
      <w:pPr>
        <w:widowControl w:val="0"/>
        <w:autoSpaceDE w:val="0"/>
        <w:autoSpaceDN w:val="0"/>
        <w:spacing w:after="0" w:line="240" w:lineRule="auto"/>
        <w:ind w:left="709" w:right="709"/>
        <w:contextualSpacing/>
        <w:jc w:val="both"/>
        <w:rPr>
          <w:rFonts w:ascii="Arial" w:hAnsi="Arial" w:eastAsia="Arial" w:cs="Arial"/>
          <w:sz w:val="21"/>
          <w:szCs w:val="21"/>
          <w:lang w:val="es-ES" w:eastAsia="es-ES" w:bidi="es-ES"/>
        </w:rPr>
      </w:pPr>
      <w:r w:rsidRPr="00262D58">
        <w:rPr>
          <w:rFonts w:ascii="Arial" w:hAnsi="Arial" w:eastAsia="Arial" w:cs="Arial"/>
          <w:sz w:val="21"/>
          <w:szCs w:val="21"/>
          <w:lang w:val="es-ES_tradnl" w:eastAsia="es-ES" w:bidi="es-ES"/>
        </w:rPr>
        <w:t xml:space="preserve">Lo expuesto evidencia que, en general, las interpretaciones en torno a los </w:t>
      </w:r>
      <w:r w:rsidRPr="00262D58">
        <w:rPr>
          <w:rFonts w:ascii="Arial" w:hAnsi="Arial" w:eastAsia="Arial" w:cs="Arial"/>
          <w:i/>
          <w:sz w:val="21"/>
          <w:szCs w:val="21"/>
          <w:lang w:val="es-ES_tradnl" w:eastAsia="es-ES" w:bidi="es-ES"/>
        </w:rPr>
        <w:t>“convenios interadministrativos”</w:t>
      </w:r>
      <w:r w:rsidRPr="00262D58">
        <w:rPr>
          <w:rFonts w:ascii="Arial" w:hAnsi="Arial" w:eastAsia="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w:t>
      </w:r>
      <w:proofErr w:type="spellStart"/>
      <w:r w:rsidRPr="00262D58">
        <w:rPr>
          <w:rFonts w:ascii="Arial" w:hAnsi="Arial" w:eastAsia="Arial" w:cs="Arial"/>
          <w:sz w:val="21"/>
          <w:szCs w:val="21"/>
          <w:lang w:val="es-ES_tradnl" w:eastAsia="es-ES" w:bidi="es-ES"/>
        </w:rPr>
        <w:t>EGCAP</w:t>
      </w:r>
      <w:proofErr w:type="spellEnd"/>
      <w:r w:rsidRPr="00262D58">
        <w:rPr>
          <w:rFonts w:ascii="Arial" w:hAnsi="Arial" w:eastAsia="Arial" w:cs="Arial"/>
          <w:sz w:val="21"/>
          <w:szCs w:val="21"/>
          <w:lang w:val="es-ES_tradnl" w:eastAsia="es-ES" w:bidi="es-ES"/>
        </w:rPr>
        <w:t>, las cuales tienen por objeto prestaciones patrimoniales”</w:t>
      </w:r>
      <w:r w:rsidRPr="00262D58">
        <w:rPr>
          <w:rFonts w:ascii="Arial" w:hAnsi="Arial" w:eastAsia="Arial" w:cs="Arial"/>
          <w:sz w:val="21"/>
          <w:szCs w:val="21"/>
          <w:vertAlign w:val="superscript"/>
          <w:lang w:val="es-ES_tradnl" w:eastAsia="es-ES" w:bidi="es-ES"/>
        </w:rPr>
        <w:footnoteReference w:id="32"/>
      </w:r>
      <w:r w:rsidRPr="00262D58">
        <w:rPr>
          <w:rFonts w:ascii="Arial" w:hAnsi="Arial" w:eastAsia="Arial" w:cs="Arial"/>
          <w:sz w:val="21"/>
          <w:szCs w:val="21"/>
          <w:lang w:val="es-ES_tradnl" w:eastAsia="es-ES" w:bidi="es-ES"/>
        </w:rPr>
        <w:t xml:space="preserve"> </w:t>
      </w:r>
      <w:r w:rsidRPr="00262D58">
        <w:rPr>
          <w:rFonts w:ascii="Arial" w:hAnsi="Arial" w:eastAsia="Arial" w:cs="Arial"/>
          <w:sz w:val="21"/>
          <w:szCs w:val="21"/>
          <w:vertAlign w:val="superscript"/>
          <w:lang w:val="es-ES_tradnl" w:eastAsia="es-ES" w:bidi="es-ES"/>
        </w:rPr>
        <w:footnoteReference w:id="33"/>
      </w:r>
      <w:r w:rsidRPr="00262D58">
        <w:rPr>
          <w:rFonts w:ascii="Arial" w:hAnsi="Arial" w:eastAsia="Arial" w:cs="Arial"/>
          <w:sz w:val="21"/>
          <w:szCs w:val="21"/>
          <w:lang w:val="es-ES_tradnl" w:eastAsia="es-ES" w:bidi="es-ES"/>
        </w:rPr>
        <w:t>.</w:t>
      </w:r>
    </w:p>
    <w:p w:rsidRPr="00262D58" w:rsidR="000037B4" w:rsidP="000037B4" w:rsidRDefault="000037B4" w14:paraId="234D9F81" w14:textId="77777777">
      <w:pPr>
        <w:widowControl w:val="0"/>
        <w:autoSpaceDE w:val="0"/>
        <w:autoSpaceDN w:val="0"/>
        <w:spacing w:after="0" w:line="276" w:lineRule="auto"/>
        <w:contextualSpacing/>
        <w:jc w:val="both"/>
        <w:rPr>
          <w:rFonts w:ascii="Arial" w:hAnsi="Arial" w:eastAsia="Arial" w:cs="Arial"/>
          <w:lang w:val="es-ES" w:eastAsia="es-ES" w:bidi="es-ES"/>
        </w:rPr>
      </w:pPr>
    </w:p>
    <w:p w:rsidRPr="00262D58" w:rsidR="000037B4" w:rsidP="000037B4" w:rsidRDefault="000037B4" w14:paraId="73ECE1F7" w14:textId="77777777">
      <w:pPr>
        <w:widowControl w:val="0"/>
        <w:autoSpaceDE w:val="0"/>
        <w:autoSpaceDN w:val="0"/>
        <w:spacing w:after="120" w:line="276" w:lineRule="auto"/>
        <w:jc w:val="both"/>
        <w:rPr>
          <w:rFonts w:ascii="Arial" w:hAnsi="Arial" w:eastAsia="Arial" w:cs="Arial"/>
          <w:lang w:val="es-ES" w:eastAsia="es-ES" w:bidi="es-ES"/>
        </w:rPr>
      </w:pPr>
      <w:r w:rsidRPr="00262D58">
        <w:rPr>
          <w:rFonts w:ascii="Arial" w:hAnsi="Arial" w:eastAsia="Arial" w:cs="Arial"/>
          <w:lang w:val="es-ES" w:eastAsia="es-ES" w:bidi="es-ES"/>
        </w:rPr>
        <w:tab/>
      </w:r>
      <w:r w:rsidRPr="00262D58">
        <w:rPr>
          <w:rFonts w:ascii="Arial" w:hAnsi="Arial" w:eastAsia="Arial" w:cs="Arial"/>
          <w:lang w:val="es-ES" w:eastAsia="es-ES" w:bidi="es-ES"/>
        </w:rPr>
        <w:t>Vale la pena reiterar que el legislador y el ordenamiento jurídico, en general, en distintas ocasiones utiliza de forma indistinta los conceptos de contrato o convenio para referirse a la misma institución jurídica</w:t>
      </w:r>
      <w:r w:rsidRPr="00262D58">
        <w:rPr>
          <w:rFonts w:ascii="Arial" w:hAnsi="Arial" w:eastAsia="Arial" w:cs="Arial"/>
          <w:vertAlign w:val="superscript"/>
          <w:lang w:val="es-ES" w:eastAsia="es-ES" w:bidi="es-ES"/>
        </w:rPr>
        <w:footnoteReference w:id="34"/>
      </w:r>
      <w:r w:rsidRPr="00262D58">
        <w:rPr>
          <w:rFonts w:ascii="Arial" w:hAnsi="Arial" w:eastAsia="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262D58">
        <w:rPr>
          <w:rFonts w:ascii="Arial" w:hAnsi="Arial" w:eastAsia="Arial" w:cs="Arial"/>
          <w:vertAlign w:val="superscript"/>
          <w:lang w:val="es-ES" w:eastAsia="es-ES" w:bidi="es-ES"/>
        </w:rPr>
        <w:footnoteReference w:id="35"/>
      </w:r>
      <w:r w:rsidRPr="00262D58">
        <w:rPr>
          <w:rFonts w:ascii="Arial" w:hAnsi="Arial" w:eastAsia="Arial" w:cs="Arial"/>
          <w:lang w:val="es-ES" w:eastAsia="es-ES" w:bidi="es-ES"/>
        </w:rPr>
        <w:t>.</w:t>
      </w:r>
    </w:p>
    <w:p w:rsidRPr="00262D58" w:rsidR="000037B4" w:rsidP="000037B4" w:rsidRDefault="000037B4" w14:paraId="61A5B338" w14:textId="77777777">
      <w:pPr>
        <w:widowControl w:val="0"/>
        <w:autoSpaceDE w:val="0"/>
        <w:autoSpaceDN w:val="0"/>
        <w:spacing w:after="0" w:line="276" w:lineRule="auto"/>
        <w:contextualSpacing/>
        <w:jc w:val="both"/>
        <w:rPr>
          <w:rFonts w:ascii="Arial" w:hAnsi="Arial" w:eastAsia="Arial" w:cs="Arial"/>
          <w:lang w:val="es-ES" w:eastAsia="es-ES" w:bidi="es-ES"/>
        </w:rPr>
      </w:pPr>
      <w:r w:rsidRPr="00262D58">
        <w:rPr>
          <w:rFonts w:ascii="Arial" w:hAnsi="Arial" w:eastAsia="Arial" w:cs="Arial"/>
          <w:lang w:val="es-ES" w:eastAsia="es-ES" w:bidi="es-ES"/>
        </w:rPr>
        <w:tab/>
      </w:r>
      <w:r w:rsidRPr="00262D58">
        <w:rPr>
          <w:rFonts w:ascii="Arial" w:hAnsi="Arial" w:eastAsia="Arial" w:cs="Arial"/>
          <w:lang w:val="es-ES" w:eastAsia="es-ES" w:bidi="es-ES"/>
        </w:rPr>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rsidRPr="00262D58" w:rsidR="000037B4" w:rsidP="000037B4" w:rsidRDefault="000037B4" w14:paraId="2CD95A2A" w14:textId="77777777">
      <w:pPr>
        <w:widowControl w:val="0"/>
        <w:autoSpaceDE w:val="0"/>
        <w:autoSpaceDN w:val="0"/>
        <w:spacing w:after="0" w:line="276" w:lineRule="auto"/>
        <w:contextualSpacing/>
        <w:jc w:val="both"/>
        <w:rPr>
          <w:rFonts w:ascii="Arial" w:hAnsi="Arial" w:eastAsia="Arial" w:cs="Arial"/>
          <w:lang w:val="es-ES" w:eastAsia="es-ES" w:bidi="es-ES"/>
        </w:rPr>
      </w:pPr>
    </w:p>
    <w:p w:rsidRPr="00262D58" w:rsidR="000037B4" w:rsidP="000037B4" w:rsidRDefault="000037B4" w14:paraId="2964C989" w14:textId="77777777">
      <w:pPr>
        <w:spacing w:after="120" w:line="240" w:lineRule="auto"/>
        <w:ind w:left="709" w:right="709"/>
        <w:contextualSpacing/>
        <w:jc w:val="both"/>
        <w:rPr>
          <w:rFonts w:ascii="Arial" w:hAnsi="Arial" w:eastAsia="Calibri" w:cs="Arial"/>
          <w:sz w:val="21"/>
          <w:szCs w:val="21"/>
          <w:lang w:val="es-MX"/>
        </w:rPr>
      </w:pPr>
      <w:r w:rsidRPr="00262D58">
        <w:rPr>
          <w:rFonts w:ascii="Arial" w:hAnsi="Arial" w:eastAsia="Calibri"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262D58">
        <w:rPr>
          <w:rFonts w:ascii="Arial" w:hAnsi="Arial" w:eastAsia="Calibri"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rsidRPr="00262D58" w:rsidR="000037B4" w:rsidP="000037B4" w:rsidRDefault="000037B4" w14:paraId="1A94632A" w14:textId="77777777">
      <w:pPr>
        <w:spacing w:after="120" w:line="240" w:lineRule="auto"/>
        <w:ind w:left="709" w:right="709"/>
        <w:contextualSpacing/>
        <w:jc w:val="both"/>
        <w:rPr>
          <w:rFonts w:ascii="Arial" w:hAnsi="Arial" w:eastAsia="Calibri" w:cs="Arial"/>
          <w:sz w:val="12"/>
          <w:szCs w:val="12"/>
          <w:lang w:val="es-MX"/>
        </w:rPr>
      </w:pPr>
    </w:p>
    <w:p w:rsidRPr="00262D58" w:rsidR="000037B4" w:rsidP="000037B4" w:rsidRDefault="000037B4" w14:paraId="49AD064B" w14:textId="77777777">
      <w:pPr>
        <w:spacing w:after="120" w:line="240" w:lineRule="auto"/>
        <w:ind w:left="709" w:right="709"/>
        <w:contextualSpacing/>
        <w:jc w:val="both"/>
        <w:rPr>
          <w:rFonts w:ascii="Arial" w:hAnsi="Arial" w:eastAsia="Calibri" w:cs="Arial"/>
          <w:sz w:val="21"/>
          <w:szCs w:val="21"/>
          <w:lang w:val="es-MX"/>
        </w:rPr>
      </w:pPr>
      <w:r w:rsidRPr="00262D58">
        <w:rPr>
          <w:rFonts w:ascii="Arial" w:hAnsi="Arial" w:eastAsia="Calibri"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rsidRPr="00262D58" w:rsidR="000037B4" w:rsidP="000037B4" w:rsidRDefault="000037B4" w14:paraId="0DD74264" w14:textId="77777777">
      <w:pPr>
        <w:spacing w:after="120" w:line="240" w:lineRule="auto"/>
        <w:ind w:left="709" w:right="709"/>
        <w:contextualSpacing/>
        <w:jc w:val="both"/>
        <w:rPr>
          <w:rFonts w:ascii="Arial" w:hAnsi="Arial" w:eastAsia="Calibri" w:cs="Arial"/>
          <w:sz w:val="12"/>
          <w:szCs w:val="12"/>
          <w:lang w:val="es-MX"/>
        </w:rPr>
      </w:pPr>
    </w:p>
    <w:p w:rsidRPr="00262D58" w:rsidR="000037B4" w:rsidP="000037B4" w:rsidRDefault="000037B4" w14:paraId="161AB353" w14:textId="77777777">
      <w:pPr>
        <w:spacing w:after="0" w:line="240" w:lineRule="auto"/>
        <w:ind w:left="709" w:right="709"/>
        <w:contextualSpacing/>
        <w:jc w:val="both"/>
        <w:rPr>
          <w:rFonts w:ascii="Arial" w:hAnsi="Arial" w:eastAsia="Calibri" w:cs="Arial"/>
          <w:sz w:val="24"/>
          <w:lang w:val="es-MX"/>
        </w:rPr>
      </w:pPr>
      <w:r w:rsidRPr="00262D58">
        <w:rPr>
          <w:rFonts w:ascii="Arial" w:hAnsi="Arial" w:eastAsia="Calibri"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rsidRPr="00262D58" w:rsidR="000037B4" w:rsidP="000037B4" w:rsidRDefault="000037B4" w14:paraId="195E2516" w14:textId="77777777">
      <w:pPr>
        <w:widowControl w:val="0"/>
        <w:autoSpaceDE w:val="0"/>
        <w:autoSpaceDN w:val="0"/>
        <w:spacing w:after="0" w:line="276" w:lineRule="auto"/>
        <w:contextualSpacing/>
        <w:jc w:val="both"/>
        <w:rPr>
          <w:rFonts w:ascii="Arial" w:hAnsi="Arial" w:eastAsia="Arial" w:cs="Arial"/>
          <w:lang w:val="es-ES" w:eastAsia="es-ES" w:bidi="es-ES"/>
        </w:rPr>
      </w:pPr>
    </w:p>
    <w:p w:rsidRPr="00262D58" w:rsidR="000037B4" w:rsidP="000037B4" w:rsidRDefault="000037B4" w14:paraId="4BC17DBB" w14:textId="77777777">
      <w:pPr>
        <w:widowControl w:val="0"/>
        <w:autoSpaceDE w:val="0"/>
        <w:autoSpaceDN w:val="0"/>
        <w:spacing w:after="120" w:line="276" w:lineRule="auto"/>
        <w:jc w:val="both"/>
        <w:rPr>
          <w:rFonts w:ascii="Arial" w:hAnsi="Arial" w:eastAsia="Calibri" w:cs="Arial"/>
          <w:lang w:eastAsia="es-ES" w:bidi="es-ES"/>
        </w:rPr>
      </w:pPr>
      <w:r w:rsidRPr="00262D58">
        <w:rPr>
          <w:rFonts w:ascii="Arial" w:hAnsi="Arial" w:eastAsia="Arial" w:cs="Arial"/>
          <w:sz w:val="25"/>
          <w:lang w:val="es-ES" w:eastAsia="es-ES" w:bidi="es-ES"/>
        </w:rPr>
        <w:tab/>
      </w:r>
      <w:r w:rsidRPr="00262D58">
        <w:rPr>
          <w:rFonts w:ascii="Arial" w:hAnsi="Arial" w:eastAsia="Arial"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58"/>
    </w:p>
    <w:p w:rsidRPr="00262D58" w:rsidR="000037B4" w:rsidP="000037B4" w:rsidRDefault="000037B4" w14:paraId="59014660" w14:textId="77777777">
      <w:pPr>
        <w:tabs>
          <w:tab w:val="left" w:pos="426"/>
        </w:tabs>
        <w:spacing w:after="120" w:line="276" w:lineRule="auto"/>
        <w:ind w:firstLine="709"/>
        <w:jc w:val="both"/>
        <w:rPr>
          <w:rFonts w:ascii="Arial" w:hAnsi="Arial" w:eastAsia="Times New Roman" w:cs="Arial"/>
          <w:lang w:val="es-MX" w:eastAsia="es-CO"/>
        </w:rPr>
      </w:pPr>
      <w:r w:rsidRPr="00262D58">
        <w:rPr>
          <w:rFonts w:ascii="Arial" w:hAnsi="Arial" w:eastAsia="Times New Roman" w:cs="Arial"/>
          <w:lang w:eastAsia="es-CO"/>
        </w:rPr>
        <w:t xml:space="preserve">Se observa entonces que </w:t>
      </w:r>
      <w:r w:rsidRPr="00262D58">
        <w:rPr>
          <w:rFonts w:ascii="Arial" w:hAnsi="Arial" w:eastAsia="Times New Roman" w:cs="Arial"/>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262D58">
        <w:rPr>
          <w:rFonts w:ascii="Arial" w:hAnsi="Arial" w:eastAsia="Times New Roman" w:cs="Arial"/>
          <w:i/>
          <w:lang w:val="es-MX" w:eastAsia="es-CO"/>
        </w:rPr>
        <w:t>ibidem</w:t>
      </w:r>
      <w:r w:rsidRPr="00262D58">
        <w:rPr>
          <w:rFonts w:ascii="Arial" w:hAnsi="Arial" w:eastAsia="Times New Roman" w:cs="Arial"/>
          <w:lang w:val="es-MX" w:eastAsia="es-CO"/>
        </w:rPr>
        <w:t xml:space="preserve">,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 </w:t>
      </w:r>
    </w:p>
    <w:p w:rsidRPr="00262D58" w:rsidR="000037B4" w:rsidP="000037B4" w:rsidRDefault="000037B4" w14:paraId="20F5A9BE" w14:textId="77777777">
      <w:pPr>
        <w:widowControl w:val="0"/>
        <w:autoSpaceDE w:val="0"/>
        <w:autoSpaceDN w:val="0"/>
        <w:spacing w:after="0" w:line="276" w:lineRule="auto"/>
        <w:ind w:firstLine="709"/>
        <w:contextualSpacing/>
        <w:jc w:val="both"/>
        <w:rPr>
          <w:rFonts w:ascii="Arial" w:hAnsi="Arial" w:eastAsia="Calibri" w:cs="Arial"/>
          <w:lang w:eastAsia="es-ES" w:bidi="es-ES"/>
        </w:rPr>
      </w:pPr>
      <w:bookmarkStart w:name="_Hlk77154098" w:id="59"/>
      <w:r w:rsidRPr="00262D58">
        <w:rPr>
          <w:rFonts w:ascii="Arial" w:hAnsi="Arial" w:eastAsia="Times New Roman" w:cs="Arial"/>
          <w:lang w:val="es-ES" w:eastAsia="es-CO" w:bidi="es-ES"/>
        </w:rPr>
        <w:t>En todo caso</w:t>
      </w:r>
      <w:r w:rsidRPr="00262D58">
        <w:rPr>
          <w:rFonts w:ascii="Arial" w:hAnsi="Arial" w:eastAsia="Arial" w:cs="Arial"/>
          <w:lang w:val="es-ES" w:eastAsia="es-ES" w:bidi="es-ES"/>
        </w:rPr>
        <w:t xml:space="preserve">, es importante resaltar que la Sala de Consulta y Servicio Civil del Consejo de Estado se ha pronunciado en el sentido de que </w:t>
      </w:r>
      <w:bookmarkStart w:name="_Hlk78820889" w:id="60"/>
      <w:r w:rsidRPr="00262D58">
        <w:rPr>
          <w:rFonts w:ascii="Arial" w:hAnsi="Arial" w:eastAsia="Arial" w:cs="Arial"/>
          <w:lang w:val="es-ES" w:eastAsia="es-ES" w:bidi="es-ES"/>
        </w:rPr>
        <w:t>no se les aplica la restricción contemplada en el artículo 38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60"/>
      <w:r w:rsidRPr="00262D58">
        <w:rPr>
          <w:rFonts w:ascii="Arial" w:hAnsi="Arial" w:eastAsia="Arial" w:cs="Arial"/>
          <w:vertAlign w:val="superscript"/>
          <w:lang w:val="es-ES" w:eastAsia="es-ES" w:bidi="es-ES"/>
        </w:rPr>
        <w:footnoteReference w:id="36"/>
      </w:r>
      <w:r w:rsidRPr="00262D58">
        <w:rPr>
          <w:rFonts w:ascii="Arial" w:hAnsi="Arial" w:eastAsia="Calibri" w:cs="Arial"/>
          <w:lang w:eastAsia="es-ES" w:bidi="es-ES"/>
        </w:rPr>
        <w:t>.</w:t>
      </w:r>
      <w:bookmarkEnd w:id="59"/>
    </w:p>
    <w:p w:rsidRPr="00262D58" w:rsidR="000037B4" w:rsidP="000037B4" w:rsidRDefault="000037B4" w14:paraId="0B7DA1D6" w14:textId="77777777">
      <w:pPr>
        <w:widowControl w:val="0"/>
        <w:autoSpaceDE w:val="0"/>
        <w:autoSpaceDN w:val="0"/>
        <w:spacing w:after="0" w:line="276" w:lineRule="auto"/>
        <w:contextualSpacing/>
        <w:jc w:val="both"/>
        <w:rPr>
          <w:rFonts w:ascii="Arial" w:hAnsi="Arial" w:eastAsia="Calibri" w:cs="Arial"/>
          <w:lang w:eastAsia="es-ES" w:bidi="es-ES"/>
        </w:rPr>
      </w:pPr>
    </w:p>
    <w:p w:rsidRPr="00262D58" w:rsidR="000037B4" w:rsidP="000037B4" w:rsidRDefault="000037B4" w14:paraId="6DB650FA" w14:textId="77777777">
      <w:pPr>
        <w:widowControl w:val="0"/>
        <w:autoSpaceDE w:val="0"/>
        <w:autoSpaceDN w:val="0"/>
        <w:spacing w:after="0" w:line="276" w:lineRule="auto"/>
        <w:contextualSpacing/>
        <w:jc w:val="both"/>
        <w:rPr>
          <w:rFonts w:ascii="Arial" w:hAnsi="Arial" w:eastAsia="Calibri" w:cs="Arial"/>
          <w:b/>
          <w:lang w:eastAsia="es-ES" w:bidi="es-ES"/>
        </w:rPr>
      </w:pPr>
      <w:r w:rsidRPr="00262D58">
        <w:rPr>
          <w:rFonts w:ascii="Arial" w:hAnsi="Arial" w:eastAsia="Calibri" w:cs="Arial"/>
          <w:b/>
          <w:lang w:eastAsia="es-ES" w:bidi="es-ES"/>
        </w:rPr>
        <w:t xml:space="preserve">2.5. </w:t>
      </w:r>
      <w:bookmarkStart w:name="_Hlk140072906" w:id="61"/>
      <w:r w:rsidRPr="00262D58">
        <w:rPr>
          <w:rFonts w:ascii="Arial" w:hAnsi="Arial" w:eastAsia="Calibri" w:cs="Arial"/>
          <w:b/>
          <w:lang w:eastAsia="es-ES" w:bidi="es-ES"/>
        </w:rPr>
        <w:t xml:space="preserve">Diferencia entre los </w:t>
      </w:r>
      <w:bookmarkStart w:name="_Hlk140076306" w:id="62"/>
      <w:r w:rsidRPr="00262D58">
        <w:rPr>
          <w:rFonts w:ascii="Arial" w:hAnsi="Arial" w:eastAsia="Calibri" w:cs="Arial"/>
          <w:b/>
          <w:lang w:eastAsia="es-ES" w:bidi="es-ES"/>
        </w:rPr>
        <w:t>entes universitarios autónomos y los establecimientos públicos de educación superior</w:t>
      </w:r>
      <w:bookmarkEnd w:id="61"/>
      <w:bookmarkEnd w:id="62"/>
      <w:r w:rsidRPr="00262D58">
        <w:rPr>
          <w:rFonts w:ascii="Arial" w:hAnsi="Arial" w:eastAsia="Calibri" w:cs="Arial"/>
          <w:b/>
          <w:lang w:eastAsia="es-ES" w:bidi="es-ES"/>
        </w:rPr>
        <w:t>: impacto de la distinción para efectos de la Ley de Garantías</w:t>
      </w:r>
    </w:p>
    <w:p w:rsidRPr="00262D58" w:rsidR="000037B4" w:rsidP="000037B4" w:rsidRDefault="000037B4" w14:paraId="064D768B" w14:textId="77777777">
      <w:pPr>
        <w:widowControl w:val="0"/>
        <w:autoSpaceDE w:val="0"/>
        <w:autoSpaceDN w:val="0"/>
        <w:spacing w:after="0" w:line="276" w:lineRule="auto"/>
        <w:contextualSpacing/>
        <w:jc w:val="both"/>
        <w:rPr>
          <w:rFonts w:ascii="Arial" w:hAnsi="Arial" w:eastAsia="Calibri" w:cs="Arial"/>
          <w:lang w:eastAsia="es-ES" w:bidi="es-ES"/>
        </w:rPr>
      </w:pPr>
    </w:p>
    <w:p w:rsidRPr="00262D58" w:rsidR="000037B4" w:rsidP="000037B4" w:rsidRDefault="000037B4" w14:paraId="64C95F60" w14:textId="77777777">
      <w:pPr>
        <w:spacing w:line="276" w:lineRule="auto"/>
        <w:jc w:val="both"/>
        <w:rPr>
          <w:rFonts w:ascii="Arial" w:hAnsi="Arial" w:cs="Arial"/>
          <w:lang w:val="es-ES_tradnl"/>
        </w:rPr>
      </w:pPr>
      <w:r w:rsidRPr="00262D58">
        <w:rPr>
          <w:rFonts w:ascii="Arial" w:hAnsi="Arial" w:cs="Arial"/>
          <w:lang w:val="es-ES_tradnl"/>
        </w:rPr>
        <w:t>El artículo 69 de la Constitución Política de 1991 consagra, por una parte, una garantía de autonomía para que las universidades establezcan sus directivas y sus estatutos de acuerdo con la ley y, por otra, la posibilidad de que cuenten con un régimen especial que corresponde dictar al Congreso de la República</w:t>
      </w:r>
      <w:r w:rsidRPr="00262D58">
        <w:rPr>
          <w:rFonts w:ascii="Arial" w:hAnsi="Arial" w:cs="Arial"/>
          <w:vertAlign w:val="superscript"/>
          <w:lang w:val="es-ES_tradnl"/>
        </w:rPr>
        <w:footnoteReference w:id="37"/>
      </w:r>
      <w:r w:rsidRPr="00262D58">
        <w:rPr>
          <w:rFonts w:ascii="Arial" w:hAnsi="Arial" w:cs="Arial"/>
          <w:lang w:val="es-ES_tradnl"/>
        </w:rPr>
        <w:t>. Para estos efectos, el artículo 57 de la Ley 30 de 1992 establece el carácter autónomo de las universidades estatales u oficiales, el cual comprende –entre otros aspectos– la especialidad del régimen contractual</w:t>
      </w:r>
      <w:r w:rsidRPr="00262D58">
        <w:rPr>
          <w:rStyle w:val="FootnoteReference"/>
          <w:rFonts w:ascii="Arial" w:hAnsi="Arial" w:cs="Arial"/>
          <w:lang w:val="es-ES_tradnl"/>
        </w:rPr>
        <w:footnoteReference w:id="38"/>
      </w:r>
      <w:r w:rsidRPr="00262D58">
        <w:rPr>
          <w:rFonts w:ascii="Arial" w:hAnsi="Arial" w:cs="Arial"/>
          <w:lang w:val="es-ES_tradnl"/>
        </w:rPr>
        <w:t>. Por ello, el artículo 93 dispone que los contratos que celebren las universidades estatales u oficiales se regirán por las normas del derecho privado</w:t>
      </w:r>
      <w:r w:rsidRPr="00262D58">
        <w:rPr>
          <w:rStyle w:val="FootnoteReference"/>
          <w:rFonts w:ascii="Arial" w:hAnsi="Arial" w:cs="Arial"/>
          <w:lang w:val="es-ES_tradnl"/>
        </w:rPr>
        <w:footnoteReference w:id="39"/>
      </w:r>
      <w:r w:rsidRPr="00262D58">
        <w:rPr>
          <w:rFonts w:ascii="Arial" w:hAnsi="Arial" w:cs="Arial"/>
          <w:lang w:val="es-ES_tradnl"/>
        </w:rPr>
        <w:t xml:space="preserve">. </w:t>
      </w:r>
    </w:p>
    <w:p w:rsidRPr="00262D58" w:rsidR="000037B4" w:rsidP="000037B4" w:rsidRDefault="000037B4" w14:paraId="1C5CDE83" w14:textId="77777777">
      <w:pPr>
        <w:spacing w:after="0" w:line="276" w:lineRule="auto"/>
        <w:ind w:firstLine="708"/>
        <w:jc w:val="both"/>
        <w:rPr>
          <w:rFonts w:ascii="Arial" w:hAnsi="Arial" w:cs="Arial"/>
          <w:lang w:val="es-ES_tradnl"/>
        </w:rPr>
      </w:pPr>
      <w:r w:rsidRPr="00262D58">
        <w:rPr>
          <w:rFonts w:ascii="Arial" w:hAnsi="Arial" w:cs="Arial"/>
          <w:lang w:val="es-ES_tradnl"/>
        </w:rPr>
        <w:t xml:space="preserve">Si bien el artículo 39 de la Ley 489 de 1998 dispone que “la Administración Pública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 el artículo 40 </w:t>
      </w:r>
      <w:r w:rsidRPr="00262D58">
        <w:rPr>
          <w:rFonts w:ascii="Arial" w:hAnsi="Arial" w:cs="Arial"/>
          <w:i/>
          <w:lang w:val="es-ES_tradnl"/>
        </w:rPr>
        <w:t>ibidem</w:t>
      </w:r>
      <w:r w:rsidRPr="00262D58">
        <w:rPr>
          <w:rFonts w:ascii="Arial" w:hAnsi="Arial" w:cs="Arial"/>
          <w:lang w:val="es-ES_tradnl"/>
        </w:rPr>
        <w:t xml:space="preserve"> ratifica la </w:t>
      </w:r>
      <w:proofErr w:type="spellStart"/>
      <w:r w:rsidRPr="00262D58">
        <w:rPr>
          <w:rFonts w:ascii="Arial" w:hAnsi="Arial" w:cs="Arial"/>
          <w:lang w:val="es-ES_tradnl"/>
        </w:rPr>
        <w:t>automía</w:t>
      </w:r>
      <w:proofErr w:type="spellEnd"/>
      <w:r w:rsidRPr="00262D58">
        <w:rPr>
          <w:rFonts w:ascii="Arial" w:hAnsi="Arial" w:cs="Arial"/>
          <w:lang w:val="es-ES_tradnl"/>
        </w:rPr>
        <w:t xml:space="preserve"> y la especialidad de las universidades estatales u oficiales al </w:t>
      </w:r>
      <w:proofErr w:type="spellStart"/>
      <w:r w:rsidRPr="00262D58">
        <w:rPr>
          <w:rFonts w:ascii="Arial" w:hAnsi="Arial" w:cs="Arial"/>
          <w:lang w:val="es-ES_tradnl"/>
        </w:rPr>
        <w:t>precribir</w:t>
      </w:r>
      <w:proofErr w:type="spellEnd"/>
      <w:r w:rsidRPr="00262D58">
        <w:rPr>
          <w:rFonts w:ascii="Arial" w:hAnsi="Arial" w:cs="Arial"/>
          <w:lang w:val="es-ES_tradnl"/>
        </w:rPr>
        <w:t xml:space="preserve"> lo siguiente: “El Banco de la República, los entes universitarios autónomos, las corporaciones autónomas regionales, la Comisión Nacional de Televisión y los demás organismos y entidades con régimen especial otorgado por la Constitución Política se sujetan a las disposiciones que para ellos establezcan las respectivas leyes”. Al respecto, en la Sentencia C-1019 de 2012, la Corte Constitucional considera que:</w:t>
      </w:r>
    </w:p>
    <w:p w:rsidRPr="00262D58" w:rsidR="000037B4" w:rsidP="000037B4" w:rsidRDefault="000037B4" w14:paraId="31D10C00" w14:textId="77777777">
      <w:pPr>
        <w:spacing w:after="0" w:line="276" w:lineRule="auto"/>
        <w:ind w:firstLine="708"/>
        <w:jc w:val="both"/>
        <w:rPr>
          <w:rFonts w:ascii="Arial" w:hAnsi="Arial" w:cs="Arial"/>
          <w:lang w:val="es-ES_tradnl"/>
        </w:rPr>
      </w:pPr>
    </w:p>
    <w:p w:rsidRPr="00262D58" w:rsidR="000037B4" w:rsidP="000037B4" w:rsidRDefault="000037B4" w14:paraId="3BC62F9F" w14:textId="77777777">
      <w:pPr>
        <w:pStyle w:val="BodyText"/>
        <w:spacing w:after="120"/>
        <w:ind w:left="709" w:right="709"/>
        <w:jc w:val="both"/>
        <w:rPr>
          <w:sz w:val="21"/>
          <w:szCs w:val="21"/>
        </w:rPr>
      </w:pPr>
      <w:r w:rsidRPr="00262D58">
        <w:rPr>
          <w:sz w:val="21"/>
          <w:szCs w:val="21"/>
        </w:rPr>
        <w:t>“El régimen especial de las universidades públicas y oficiales se justifica en el hecho de que estas instituciones manejan recursos públicos y a que a través suyo se promueve directamente el servicio público de la educación, por lo cual es fundamental establecer canales de articulación con el Estado y la sociedad en aras de que esta misión se cumpla adecuadamente. Además, como entes públicos, a las universidades se les</w:t>
      </w:r>
      <w:r w:rsidRPr="00262D58">
        <w:rPr>
          <w:spacing w:val="49"/>
          <w:sz w:val="21"/>
          <w:szCs w:val="21"/>
        </w:rPr>
        <w:t xml:space="preserve"> </w:t>
      </w:r>
      <w:r w:rsidRPr="00262D58">
        <w:rPr>
          <w:sz w:val="21"/>
          <w:szCs w:val="21"/>
        </w:rPr>
        <w:t>exige el cumplimiento de la obligación de colaboración armónica consagrado en el artículo 113 de la C.P. para el cumplimiento de las funciones del Estado.</w:t>
      </w:r>
    </w:p>
    <w:p w:rsidRPr="00262D58" w:rsidR="000037B4" w:rsidP="000037B4" w:rsidRDefault="000037B4" w14:paraId="3D1DB583" w14:textId="77777777">
      <w:pPr>
        <w:pStyle w:val="BodyText"/>
        <w:spacing w:before="120"/>
        <w:ind w:left="709" w:right="709"/>
        <w:jc w:val="both"/>
        <w:rPr>
          <w:sz w:val="21"/>
          <w:szCs w:val="21"/>
        </w:rPr>
      </w:pPr>
      <w:r w:rsidRPr="00262D58">
        <w:rPr>
          <w:sz w:val="21"/>
          <w:szCs w:val="21"/>
        </w:rPr>
        <w:t>Aunque se establezca la participación de representantes del Estado en sus órganos de gobierno, la normatividad y la jurisprudencia han reconocido que lo anterior no significa que dichas instituciones hagan parte de la administración central o descentralizada, o se conviertan por ello en órganos dependientes y bajo el control de tutela del Estado, ‘pues las universidades estatales por su carácter de entes autónomos no conforman ninguna de las ramas del poder ni pueden formar parte de la administración nacional’</w:t>
      </w:r>
      <w:r w:rsidRPr="00262D58">
        <w:rPr>
          <w:rStyle w:val="FootnoteReference"/>
          <w:sz w:val="21"/>
          <w:szCs w:val="21"/>
        </w:rPr>
        <w:footnoteReference w:id="40"/>
      </w:r>
      <w:r w:rsidRPr="00262D58">
        <w:rPr>
          <w:sz w:val="21"/>
          <w:szCs w:val="21"/>
        </w:rPr>
        <w:t>. De esta manera se pretende preservar a las universidades públicas y oficiales, de las injerencias e interferencias arbitrarias e indebidas del poder</w:t>
      </w:r>
      <w:r w:rsidRPr="00262D58">
        <w:rPr>
          <w:spacing w:val="-6"/>
          <w:sz w:val="21"/>
          <w:szCs w:val="21"/>
        </w:rPr>
        <w:t xml:space="preserve"> </w:t>
      </w:r>
      <w:r w:rsidRPr="00262D58">
        <w:rPr>
          <w:sz w:val="21"/>
          <w:szCs w:val="21"/>
        </w:rPr>
        <w:t>político”</w:t>
      </w:r>
      <w:r w:rsidRPr="00262D58">
        <w:rPr>
          <w:rStyle w:val="FootnoteReference"/>
          <w:sz w:val="21"/>
          <w:szCs w:val="21"/>
        </w:rPr>
        <w:footnoteReference w:id="41"/>
      </w:r>
      <w:r w:rsidRPr="00262D58">
        <w:rPr>
          <w:sz w:val="21"/>
          <w:szCs w:val="21"/>
        </w:rPr>
        <w:t>.</w:t>
      </w:r>
    </w:p>
    <w:p w:rsidRPr="00262D58" w:rsidR="000037B4" w:rsidP="000037B4" w:rsidRDefault="000037B4" w14:paraId="37C938C2" w14:textId="77777777">
      <w:pPr>
        <w:pStyle w:val="BodyText"/>
        <w:spacing w:line="276" w:lineRule="auto"/>
        <w:ind w:left="709" w:right="709"/>
        <w:jc w:val="both"/>
      </w:pPr>
    </w:p>
    <w:p w:rsidRPr="00262D58" w:rsidR="000037B4" w:rsidP="000037B4" w:rsidRDefault="000037B4" w14:paraId="3D933FF8" w14:textId="77777777">
      <w:pPr>
        <w:spacing w:after="0" w:line="276" w:lineRule="auto"/>
        <w:ind w:firstLine="708"/>
        <w:jc w:val="both"/>
        <w:rPr>
          <w:rFonts w:ascii="Arial" w:hAnsi="Arial" w:cs="Arial"/>
        </w:rPr>
      </w:pPr>
      <w:r w:rsidRPr="00262D58">
        <w:rPr>
          <w:rFonts w:ascii="Arial" w:hAnsi="Arial" w:cs="Arial"/>
        </w:rPr>
        <w:t>En armonía con lo anterior, los entes universitarios autónomos no hacen parte de la rama ejecutiva, ni pueden, por tanto, considerarse entidades territoriales ni descentralizadas, sino que gozan de un régimen especial. Lo anterior fue explicado por el Consejo de Estado de la siguiente manera:</w:t>
      </w:r>
    </w:p>
    <w:p w:rsidRPr="00262D58" w:rsidR="000037B4" w:rsidP="000037B4" w:rsidRDefault="000037B4" w14:paraId="5509F099" w14:textId="77777777">
      <w:pPr>
        <w:pStyle w:val="BodyText"/>
      </w:pPr>
    </w:p>
    <w:p w:rsidRPr="00262D58" w:rsidR="000037B4" w:rsidP="000037B4" w:rsidRDefault="000037B4" w14:paraId="795FFFCF" w14:textId="77777777">
      <w:pPr>
        <w:pStyle w:val="BodyText"/>
        <w:ind w:left="709" w:right="709"/>
        <w:jc w:val="both"/>
        <w:rPr>
          <w:sz w:val="21"/>
          <w:szCs w:val="21"/>
        </w:rPr>
      </w:pPr>
      <w:r w:rsidRPr="00262D58">
        <w:rPr>
          <w:sz w:val="21"/>
          <w:szCs w:val="21"/>
        </w:rPr>
        <w:t>“Ahora bien, en la disposición legal [art. 57 de la Ley 30/92] se menciona que las universidades estatales u oficiales están vinculadas al Ministerio de Educación Nacional en lo que se refiere a las políticas y planeación del sector educativo, en donde la jurisprudencia constitucional ha dejado en claro que es únicamente para efectos de coordinar y planear el desarrollo de directrices educativas, y no como organismos supeditados al poder ejecutivo, de manera que deben actuar con independencia del mismo, sin estar sujetas a un control de tutela como el concebido para los establecimientos públicos, concepto que por sí mismo niega la autonomía.</w:t>
      </w:r>
    </w:p>
    <w:p w:rsidRPr="00262D58" w:rsidR="000037B4" w:rsidP="000037B4" w:rsidRDefault="000037B4" w14:paraId="72E5AD6B" w14:textId="77777777">
      <w:pPr>
        <w:pStyle w:val="BodyText"/>
        <w:spacing w:before="1" w:after="120"/>
        <w:ind w:left="709" w:right="709"/>
        <w:rPr>
          <w:sz w:val="21"/>
          <w:szCs w:val="21"/>
        </w:rPr>
      </w:pPr>
      <w:r w:rsidRPr="00262D58">
        <w:rPr>
          <w:sz w:val="21"/>
          <w:szCs w:val="21"/>
        </w:rPr>
        <w:t>[…]</w:t>
      </w:r>
    </w:p>
    <w:p w:rsidRPr="00262D58" w:rsidR="000037B4" w:rsidP="000037B4" w:rsidRDefault="000037B4" w14:paraId="703AE092" w14:textId="77777777">
      <w:pPr>
        <w:pStyle w:val="BodyText"/>
        <w:spacing w:after="120"/>
        <w:ind w:left="709" w:right="709"/>
        <w:jc w:val="both"/>
        <w:rPr>
          <w:sz w:val="21"/>
          <w:szCs w:val="21"/>
        </w:rPr>
      </w:pPr>
      <w:r w:rsidRPr="00262D58">
        <w:rPr>
          <w:sz w:val="21"/>
          <w:szCs w:val="21"/>
        </w:rPr>
        <w:t>La situación se modificó con el actual marco constitucional en donde se estableció [art. 69] la garantía a la autonomía universitaria, para que pudieran darse sus directivas y regirse por sus propios estatutos, de acuerdo con el régimen especial que previera la Ley para las universidades del Estado, por lo cual se despojaban del control de tutela que ejercía el ejecutivo sobre ellas, con el fin de garantizar la independencia académica en la educación superior, sin ningún tipo de injerencia del poder público.</w:t>
      </w:r>
    </w:p>
    <w:p w:rsidRPr="00262D58" w:rsidR="000037B4" w:rsidP="000037B4" w:rsidRDefault="000037B4" w14:paraId="1DC6473D" w14:textId="77777777">
      <w:pPr>
        <w:pStyle w:val="BodyText"/>
        <w:ind w:left="709" w:right="709"/>
        <w:jc w:val="both"/>
        <w:rPr>
          <w:sz w:val="21"/>
          <w:szCs w:val="21"/>
        </w:rPr>
      </w:pPr>
      <w:r w:rsidRPr="00262D58">
        <w:rPr>
          <w:sz w:val="21"/>
          <w:szCs w:val="21"/>
        </w:rPr>
        <w:t>Lo anterior hizo que dejaran de pertenecer a la rama ejecutiva y por supuesto no hicieran parte de las demás [legislativa y judicial], al convertirse en organismos autónomos que cumplen funciones estatales de trascendental importancia para la nación, sin perder la calidad de entidades públicas […]”</w:t>
      </w:r>
      <w:r w:rsidRPr="00262D58">
        <w:rPr>
          <w:rStyle w:val="FootnoteReference"/>
        </w:rPr>
        <w:footnoteReference w:id="42"/>
      </w:r>
      <w:r w:rsidRPr="00262D58">
        <w:rPr>
          <w:sz w:val="21"/>
          <w:szCs w:val="21"/>
        </w:rPr>
        <w:t>.</w:t>
      </w:r>
    </w:p>
    <w:p w:rsidRPr="00262D58" w:rsidR="000037B4" w:rsidP="000037B4" w:rsidRDefault="000037B4" w14:paraId="5AA7AEEC" w14:textId="77777777">
      <w:pPr>
        <w:pStyle w:val="BodyText"/>
        <w:ind w:left="748" w:right="535"/>
        <w:jc w:val="both"/>
        <w:rPr>
          <w:sz w:val="21"/>
          <w:szCs w:val="21"/>
        </w:rPr>
      </w:pPr>
    </w:p>
    <w:p w:rsidRPr="00262D58" w:rsidR="000037B4" w:rsidP="000037B4" w:rsidRDefault="000037B4" w14:paraId="6DEE83AD" w14:textId="77777777">
      <w:pPr>
        <w:pStyle w:val="BodyText"/>
        <w:spacing w:line="276" w:lineRule="auto"/>
        <w:ind w:right="108" w:firstLine="709"/>
        <w:jc w:val="both"/>
      </w:pPr>
      <w:r w:rsidRPr="00262D58">
        <w:t>De este modo, la diferenciación entre universidades públicas y entidades descentralizadas radica, entre otras cosas, en la autonomía de la que gozan aquellas. Esto en la medida en que a las universidades públicas no les aplica un elemento característico de la descentralización, denominado control de tutela. Sobre este aspecto, en la Sentencia C–727 del 21 de junio de 2000, la Corte Constitucional señaló lo siguiente:</w:t>
      </w:r>
    </w:p>
    <w:p w:rsidRPr="00262D58" w:rsidR="000037B4" w:rsidP="000037B4" w:rsidRDefault="000037B4" w14:paraId="723E6BEC" w14:textId="77777777">
      <w:pPr>
        <w:pStyle w:val="BodyText"/>
        <w:spacing w:line="276" w:lineRule="auto"/>
        <w:ind w:left="180" w:right="108" w:firstLine="528"/>
        <w:jc w:val="both"/>
      </w:pPr>
    </w:p>
    <w:p w:rsidRPr="00262D58" w:rsidR="000037B4" w:rsidP="000037B4" w:rsidRDefault="000037B4" w14:paraId="5FBF221C" w14:textId="77777777">
      <w:pPr>
        <w:pStyle w:val="BodyText"/>
        <w:ind w:left="709" w:right="709"/>
        <w:jc w:val="both"/>
        <w:rPr>
          <w:sz w:val="21"/>
          <w:szCs w:val="21"/>
        </w:rPr>
      </w:pPr>
      <w:r w:rsidRPr="00262D58">
        <w:rPr>
          <w:sz w:val="21"/>
          <w:szCs w:val="21"/>
        </w:rPr>
        <w:t>“La descentralización es una forma de organización administrativa propia de los Estados de forma unitaria, que atenúa la centralización permitiendo la transferencia de competencias a organismos distintos del poder central, que adquieren autonomía en la gestión de las respectivas funciones. No obstante, esta transferencia no implica la ruptura total del vínculo entre el poder central y la entidad descentralizada, sino que, en aras de garantizar el principio de coordinación que gobierna la función administrativa, dicho vínculo permanece vigente a través del llamado control de tutela, existente en nuestra organización administrativa respecto de los entes funcionalmente descentralizados, con definidos perfiles jurídicos, desde la reforma constitucional y administrativa operada en</w:t>
      </w:r>
      <w:r w:rsidRPr="00262D58">
        <w:rPr>
          <w:spacing w:val="-4"/>
          <w:sz w:val="21"/>
          <w:szCs w:val="21"/>
        </w:rPr>
        <w:t xml:space="preserve"> </w:t>
      </w:r>
      <w:r w:rsidRPr="00262D58">
        <w:rPr>
          <w:sz w:val="21"/>
          <w:szCs w:val="21"/>
        </w:rPr>
        <w:t>1968”.</w:t>
      </w:r>
    </w:p>
    <w:p w:rsidRPr="00262D58" w:rsidR="000037B4" w:rsidP="000037B4" w:rsidRDefault="000037B4" w14:paraId="428C833C" w14:textId="77777777">
      <w:pPr>
        <w:spacing w:after="0" w:line="276" w:lineRule="auto"/>
        <w:ind w:left="709" w:firstLine="708"/>
        <w:jc w:val="both"/>
        <w:rPr>
          <w:rFonts w:ascii="Arial" w:hAnsi="Arial" w:cs="Arial"/>
        </w:rPr>
      </w:pPr>
    </w:p>
    <w:p w:rsidRPr="00262D58" w:rsidR="000037B4" w:rsidP="000037B4" w:rsidRDefault="000037B4" w14:paraId="23936054" w14:textId="77777777">
      <w:pPr>
        <w:widowControl w:val="0"/>
        <w:autoSpaceDE w:val="0"/>
        <w:autoSpaceDN w:val="0"/>
        <w:spacing w:after="120" w:line="276" w:lineRule="auto"/>
        <w:ind w:firstLine="709"/>
        <w:jc w:val="both"/>
        <w:rPr>
          <w:rFonts w:ascii="Arial" w:hAnsi="Arial" w:cs="Arial"/>
          <w:color w:val="000000"/>
        </w:rPr>
      </w:pPr>
      <w:r w:rsidRPr="00262D58">
        <w:rPr>
          <w:rFonts w:ascii="Arial" w:hAnsi="Arial" w:cs="Arial"/>
        </w:rPr>
        <w:t xml:space="preserve">En suma, la descentralización involucra el ejercicio de un control de tutela que no puede aplicarse a los entes universitarios autónomos, motivo por el cual, si bien son entes del Estado, no son ni pueden ser asimiladas a entidades descentralizadas. </w:t>
      </w:r>
      <w:r w:rsidRPr="00262D58">
        <w:rPr>
          <w:rFonts w:ascii="Arial" w:hAnsi="Arial" w:cs="Arial"/>
          <w:color w:val="000000" w:themeColor="text1"/>
          <w:lang w:eastAsia="es-ES_tradnl"/>
        </w:rPr>
        <w:t>Sin embargo, es preciso advertir que no todas las instituciones públicas de educación superior tienen la naturaleza de entes universitarios autónomos, pues el parágrafo 1 del artículo 57 de la Ley 30 de 1992 establece que las “</w:t>
      </w:r>
      <w:r w:rsidRPr="00262D58">
        <w:rPr>
          <w:rFonts w:ascii="Arial" w:hAnsi="Arial" w:cs="Arial"/>
          <w:color w:val="000000"/>
        </w:rPr>
        <w:t>Las instituciones estatales u oficiales de Educación Superior que no tengan el carácter de universidad […] deberán organizarse como Establecimientos Públicos del orden Nacional, Departamental, Distrital o Municipal”. Esto es congruente con el artículo 18 de la Ley 749 de 2002, “por la cual se organiza el servicio público de la educación superior en las modalidades de formación técnica profesional y tecnológica, y se dictan otras disposiciones”, el cual dispone que “Las instituciones técnicas profesionales y tecnológicas de educación superior estatales u oficiales, son establecimientos públicos de conformidad con el artículo 57 de la Ley 30 de 1992”.</w:t>
      </w:r>
    </w:p>
    <w:p w:rsidRPr="00262D58" w:rsidR="000037B4" w:rsidP="000037B4" w:rsidRDefault="000037B4" w14:paraId="67E32D96" w14:textId="77777777">
      <w:pPr>
        <w:pStyle w:val="NormalWeb"/>
        <w:spacing w:before="0" w:beforeAutospacing="0" w:after="120" w:afterAutospacing="0" w:line="276" w:lineRule="auto"/>
        <w:ind w:firstLine="708"/>
        <w:jc w:val="both"/>
        <w:rPr>
          <w:rFonts w:ascii="Arial" w:hAnsi="Arial" w:cs="Arial"/>
          <w:color w:val="000000"/>
          <w:sz w:val="22"/>
          <w:szCs w:val="22"/>
        </w:rPr>
      </w:pPr>
      <w:r w:rsidRPr="00262D58">
        <w:rPr>
          <w:rFonts w:ascii="Arial" w:hAnsi="Arial" w:cs="Arial"/>
          <w:color w:val="000000" w:themeColor="text1"/>
          <w:sz w:val="22"/>
          <w:szCs w:val="22"/>
          <w:lang w:eastAsia="es-ES_tradnl"/>
        </w:rPr>
        <w:t xml:space="preserve">Los establecimientos públicos </w:t>
      </w:r>
      <w:r w:rsidRPr="00262D58">
        <w:rPr>
          <w:rFonts w:ascii="Arial" w:hAnsi="Arial" w:cs="Arial"/>
          <w:color w:val="000000"/>
          <w:sz w:val="22"/>
          <w:szCs w:val="22"/>
        </w:rPr>
        <w:t xml:space="preserve">están definidos por el artículo 70 de la Ley 489 de 1998 como “[…] organismos encargados principalmente de atender funciones administrativas y de prestar servicios públicos conforme a las reglas del Derecho Público”. La norma citada establece la personería jurídica, la autonomía administrativa y financiera y patrimonio independiente como atributos de este tipo de entidades. Por su parte, al definir las entidades descentralizadas, el artículo 68 </w:t>
      </w:r>
      <w:r w:rsidRPr="00262D58">
        <w:rPr>
          <w:rFonts w:ascii="Arial" w:hAnsi="Arial" w:cs="Arial"/>
          <w:i/>
          <w:color w:val="000000"/>
          <w:sz w:val="22"/>
          <w:szCs w:val="22"/>
        </w:rPr>
        <w:t>ibidem</w:t>
      </w:r>
      <w:r w:rsidRPr="00262D58">
        <w:rPr>
          <w:rFonts w:ascii="Arial" w:hAnsi="Arial" w:cs="Arial"/>
          <w:color w:val="000000"/>
          <w:sz w:val="22"/>
          <w:szCs w:val="22"/>
        </w:rPr>
        <w:t xml:space="preserve"> contempla a los establecimientos públicos, por lo que “[…] aun cuando gozan de autonomía administrativa están sujetas al control político y a la suprema dirección del órgano de la administración al cual están adscritas”. De allí se desprende que, a diferencia de los entes universitarios autónomos, las instituciones de educación superior constituidas como establecimientos públicos son consideradas entidades descentralizadas, por lo que no están excluidos del control de tutela. </w:t>
      </w:r>
    </w:p>
    <w:p w:rsidRPr="00262D58" w:rsidR="000037B4" w:rsidP="000037B4" w:rsidRDefault="000037B4" w14:paraId="1158C0BE" w14:textId="77777777">
      <w:pPr>
        <w:pStyle w:val="NormalWeb"/>
        <w:spacing w:before="0" w:beforeAutospacing="0" w:after="120" w:afterAutospacing="0" w:line="276" w:lineRule="auto"/>
        <w:ind w:firstLine="708"/>
        <w:jc w:val="both"/>
        <w:rPr>
          <w:rFonts w:ascii="Arial" w:hAnsi="Arial" w:cs="Arial"/>
          <w:color w:val="000000" w:themeColor="text1"/>
          <w:sz w:val="22"/>
          <w:szCs w:val="22"/>
          <w:lang w:eastAsia="es-ES_tradnl"/>
        </w:rPr>
      </w:pPr>
      <w:bookmarkStart w:name="_Hlk140076470" w:id="63"/>
      <w:r w:rsidRPr="00262D58">
        <w:rPr>
          <w:rFonts w:ascii="Arial" w:hAnsi="Arial" w:cs="Arial"/>
          <w:color w:val="000000"/>
          <w:sz w:val="22"/>
          <w:szCs w:val="22"/>
        </w:rPr>
        <w:t xml:space="preserve">En cuanto al régimen contractual de los establecimientos públicos, el artículo 81 de la Ley 489 de 1998 prescribe que “Los contratos que celebren […] se rigen por las normas del Estatuto Contractual de las entidades estatales contenido en la Ley 80 de 1993 y las disposiciones que lo complementen, adicionen o modifiquen, sin perjuicio de lo dispuesto en las normas especiales”. </w:t>
      </w:r>
      <w:r w:rsidRPr="00262D58">
        <w:rPr>
          <w:rFonts w:ascii="Arial" w:hAnsi="Arial" w:cs="Arial"/>
          <w:color w:val="000000" w:themeColor="text1"/>
          <w:sz w:val="22"/>
          <w:szCs w:val="22"/>
          <w:lang w:eastAsia="es-ES_tradnl"/>
        </w:rPr>
        <w:t>Esto es concordante con el literal a) del numeral 1 del artículo 2 de la Ley 80 de 1993, pues al enlistar a los establecimientos públicos como entidades estatales, las incluye en el ámbito de aplicación del Estatuto General de Contratación de la Administración Pública</w:t>
      </w:r>
      <w:r w:rsidRPr="00262D58">
        <w:rPr>
          <w:rStyle w:val="FootnoteReference"/>
          <w:rFonts w:ascii="Arial" w:hAnsi="Arial" w:cs="Arial"/>
          <w:color w:val="000000" w:themeColor="text1"/>
          <w:sz w:val="22"/>
          <w:szCs w:val="22"/>
          <w:lang w:eastAsia="es-ES_tradnl"/>
        </w:rPr>
        <w:footnoteReference w:id="43"/>
      </w:r>
      <w:r w:rsidRPr="00262D58">
        <w:rPr>
          <w:rFonts w:ascii="Arial" w:hAnsi="Arial" w:cs="Arial"/>
          <w:color w:val="000000" w:themeColor="text1"/>
          <w:sz w:val="22"/>
          <w:szCs w:val="22"/>
          <w:lang w:eastAsia="es-ES_tradnl"/>
        </w:rPr>
        <w:t>. Así, el régimen contractual constituye otra importante diferencia entre los entes universitarios autónomos y los establecimientos públicos de educación superior: mientras los primeros son de régimen especial conforme al precitado artículo 93 de la Ley 30 de 1992, que aplica únicamente a las “</w:t>
      </w:r>
      <w:r w:rsidRPr="00262D58">
        <w:rPr>
          <w:rFonts w:ascii="Arial" w:hAnsi="Arial" w:cs="Arial"/>
          <w:sz w:val="22"/>
          <w:szCs w:val="22"/>
        </w:rPr>
        <w:t>universidades</w:t>
      </w:r>
      <w:r w:rsidRPr="00262D58">
        <w:rPr>
          <w:rFonts w:ascii="Arial" w:hAnsi="Arial" w:cs="Arial"/>
          <w:color w:val="000000" w:themeColor="text1"/>
          <w:sz w:val="22"/>
          <w:szCs w:val="22"/>
          <w:lang w:eastAsia="es-ES_tradnl"/>
        </w:rPr>
        <w:t xml:space="preserve"> estatales u oficiales”, las entidades de que trata el parágrafo 1 del artículo 57 </w:t>
      </w:r>
      <w:r w:rsidRPr="00262D58">
        <w:rPr>
          <w:rFonts w:ascii="Arial" w:hAnsi="Arial" w:cs="Arial"/>
          <w:i/>
          <w:color w:val="000000" w:themeColor="text1"/>
          <w:sz w:val="22"/>
          <w:szCs w:val="22"/>
          <w:lang w:eastAsia="es-ES_tradnl"/>
        </w:rPr>
        <w:t>ibidem</w:t>
      </w:r>
      <w:r w:rsidRPr="00262D58">
        <w:rPr>
          <w:rFonts w:ascii="Arial" w:hAnsi="Arial" w:cs="Arial"/>
          <w:color w:val="000000" w:themeColor="text1"/>
          <w:sz w:val="22"/>
          <w:szCs w:val="22"/>
          <w:lang w:eastAsia="es-ES_tradnl"/>
        </w:rPr>
        <w:t xml:space="preserve"> están sometidas a las reglas generales del sistema de compras públicas.</w:t>
      </w:r>
    </w:p>
    <w:bookmarkEnd w:id="63"/>
    <w:p w:rsidRPr="00262D58" w:rsidR="000037B4" w:rsidP="000037B4" w:rsidRDefault="000037B4" w14:paraId="14E6E60F" w14:textId="77777777">
      <w:pPr>
        <w:pStyle w:val="NormalWeb"/>
        <w:spacing w:before="0" w:beforeAutospacing="0" w:after="120" w:afterAutospacing="0" w:line="276" w:lineRule="auto"/>
        <w:ind w:firstLine="708"/>
        <w:jc w:val="both"/>
        <w:rPr>
          <w:rFonts w:ascii="Arial" w:hAnsi="Arial" w:cs="Arial"/>
          <w:color w:val="000000"/>
          <w:sz w:val="22"/>
          <w:szCs w:val="22"/>
        </w:rPr>
      </w:pPr>
      <w:r w:rsidRPr="00262D58">
        <w:rPr>
          <w:rFonts w:ascii="Arial" w:hAnsi="Arial" w:cs="Arial"/>
          <w:color w:val="000000"/>
          <w:sz w:val="22"/>
          <w:szCs w:val="22"/>
        </w:rPr>
        <w:t xml:space="preserve">Lo anterior resulta relevante para efectos de la consulta, pues determina el alcance de las prohibiciones contenidas en la Ley de Garantías Electorales. De acuerdo con lo explicado sobre las restricciones contractuales establecidas por la Ley 996 de 2005, tanto </w:t>
      </w:r>
      <w:r w:rsidRPr="00262D58">
        <w:rPr>
          <w:rFonts w:ascii="Arial" w:hAnsi="Arial" w:cs="Arial"/>
          <w:color w:val="000000" w:themeColor="text1"/>
          <w:sz w:val="22"/>
          <w:szCs w:val="22"/>
          <w:lang w:eastAsia="es-ES_tradnl"/>
        </w:rPr>
        <w:t xml:space="preserve">los entes </w:t>
      </w:r>
      <w:bookmarkStart w:name="_Hlk140072798" w:id="64"/>
      <w:r w:rsidRPr="00262D58">
        <w:rPr>
          <w:rFonts w:ascii="Arial" w:hAnsi="Arial" w:cs="Arial"/>
          <w:color w:val="000000" w:themeColor="text1"/>
          <w:sz w:val="22"/>
          <w:szCs w:val="22"/>
          <w:lang w:eastAsia="es-ES_tradnl"/>
        </w:rPr>
        <w:t>universitarios autónomos como los establecimientos públicos de educación superior</w:t>
      </w:r>
      <w:bookmarkEnd w:id="64"/>
      <w:r w:rsidRPr="00262D58">
        <w:rPr>
          <w:rFonts w:ascii="Arial" w:hAnsi="Arial" w:cs="Arial"/>
          <w:color w:val="000000"/>
          <w:sz w:val="22"/>
          <w:szCs w:val="22"/>
        </w:rPr>
        <w:t xml:space="preserve"> se encuentran dentro del ámbito material de la restricción del artículo 33, pues ambos son “entes del Estado”. Por lo demás,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262D58">
        <w:rPr>
          <w:rFonts w:ascii="Arial" w:hAnsi="Arial" w:cs="Arial"/>
          <w:i/>
          <w:color w:val="000000"/>
          <w:sz w:val="22"/>
          <w:szCs w:val="22"/>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262D58">
        <w:rPr>
          <w:rFonts w:ascii="Arial" w:hAnsi="Arial" w:cs="Arial"/>
          <w:color w:val="000000"/>
          <w:sz w:val="22"/>
          <w:szCs w:val="22"/>
        </w:rPr>
        <w:t>”</w:t>
      </w:r>
      <w:r w:rsidRPr="00262D58">
        <w:rPr>
          <w:rStyle w:val="FootnoteReference"/>
          <w:rFonts w:ascii="Arial" w:hAnsi="Arial" w:cs="Arial"/>
          <w:color w:val="000000"/>
          <w:sz w:val="22"/>
          <w:szCs w:val="22"/>
        </w:rPr>
        <w:footnoteReference w:id="44"/>
      </w:r>
      <w:r w:rsidRPr="00262D58">
        <w:rPr>
          <w:rFonts w:ascii="Arial" w:hAnsi="Arial" w:cs="Arial"/>
          <w:color w:val="000000"/>
          <w:sz w:val="22"/>
          <w:szCs w:val="22"/>
        </w:rPr>
        <w:t xml:space="preserve"> (Énfasis fuera de texto). En consecuencia, salvo las excepciones previstas en la norma, durante la vigencia de la prohibición del artículo 33 de la Ley 996 de 2005 está restringida a cualquier modalidad de selección que excluya la pluralidad de oferentes en la suscripción de contratos. </w:t>
      </w:r>
    </w:p>
    <w:p w:rsidRPr="00262D58" w:rsidR="000037B4" w:rsidP="000037B4" w:rsidRDefault="000037B4" w14:paraId="7914874A" w14:textId="77777777">
      <w:pPr>
        <w:pStyle w:val="NormalWeb"/>
        <w:spacing w:before="0" w:beforeAutospacing="0" w:after="120" w:afterAutospacing="0" w:line="276" w:lineRule="auto"/>
        <w:ind w:firstLine="708"/>
        <w:jc w:val="both"/>
        <w:rPr>
          <w:rFonts w:ascii="Arial" w:hAnsi="Arial" w:cs="Arial"/>
          <w:color w:val="000000"/>
          <w:sz w:val="22"/>
          <w:szCs w:val="22"/>
        </w:rPr>
      </w:pPr>
      <w:r w:rsidRPr="00262D58">
        <w:rPr>
          <w:rFonts w:ascii="Arial" w:hAnsi="Arial" w:cs="Arial"/>
          <w:color w:val="000000"/>
          <w:sz w:val="22"/>
          <w:szCs w:val="22"/>
        </w:rPr>
        <w:t xml:space="preserve">Sin embargo, </w:t>
      </w:r>
      <w:bookmarkStart w:name="_Hlk140076705" w:id="65"/>
      <w:r w:rsidRPr="00262D58">
        <w:rPr>
          <w:rFonts w:ascii="Arial" w:hAnsi="Arial" w:cs="Arial"/>
          <w:color w:val="000000"/>
          <w:sz w:val="22"/>
          <w:szCs w:val="22"/>
        </w:rPr>
        <w:t xml:space="preserve">la diferencia en la naturaleza jurídica de ambos tipos de entidades hace que la conclusión sobre sobre la aplicabilidad del artículo 38 </w:t>
      </w:r>
      <w:r w:rsidRPr="00262D58">
        <w:rPr>
          <w:rFonts w:ascii="Arial" w:hAnsi="Arial" w:cs="Arial"/>
          <w:i/>
          <w:color w:val="000000"/>
          <w:sz w:val="22"/>
          <w:szCs w:val="22"/>
        </w:rPr>
        <w:t>ibidem</w:t>
      </w:r>
      <w:r w:rsidRPr="00262D58">
        <w:rPr>
          <w:rFonts w:ascii="Arial" w:hAnsi="Arial" w:cs="Arial"/>
          <w:color w:val="000000"/>
          <w:sz w:val="22"/>
          <w:szCs w:val="22"/>
        </w:rPr>
        <w:t xml:space="preserve"> sea una para los entes universitarios autónomos y otra para los establecimientos públicos de educación superior. Conforme se explicó </w:t>
      </w:r>
      <w:r w:rsidRPr="00262D58">
        <w:rPr>
          <w:rFonts w:ascii="Arial" w:hAnsi="Arial" w:cs="Arial"/>
          <w:i/>
          <w:color w:val="000000"/>
          <w:sz w:val="22"/>
          <w:szCs w:val="22"/>
        </w:rPr>
        <w:t>ut supra</w:t>
      </w:r>
      <w:r w:rsidRPr="00262D58">
        <w:rPr>
          <w:rFonts w:ascii="Arial" w:hAnsi="Arial" w:cs="Arial"/>
          <w:color w:val="000000"/>
          <w:sz w:val="22"/>
          <w:szCs w:val="22"/>
        </w:rPr>
        <w:t xml:space="preserve">, la restricción del parágrafo del artículo 38 de la Ley de Garantías tiene como destinatarios a los entes territoriales y sus entidades descentralizadas, lo que excluye de la prohibición a los entes universitarios autónomos, los cuales no son considerados entidades descentralizadas ni mucho menos entidades territoriales. </w:t>
      </w:r>
    </w:p>
    <w:p w:rsidRPr="00262D58" w:rsidR="000037B4" w:rsidP="000037B4" w:rsidRDefault="000037B4" w14:paraId="23972AC7" w14:textId="77777777">
      <w:pPr>
        <w:pStyle w:val="NormalWeb"/>
        <w:spacing w:before="0" w:beforeAutospacing="0" w:after="0" w:afterAutospacing="0" w:line="276" w:lineRule="auto"/>
        <w:ind w:firstLine="708"/>
        <w:jc w:val="both"/>
        <w:rPr>
          <w:rFonts w:ascii="Arial" w:hAnsi="Arial" w:cs="Arial"/>
          <w:color w:val="000000"/>
          <w:sz w:val="22"/>
          <w:szCs w:val="22"/>
        </w:rPr>
      </w:pPr>
      <w:r w:rsidRPr="00262D58">
        <w:rPr>
          <w:rFonts w:ascii="Arial" w:hAnsi="Arial" w:cs="Arial"/>
          <w:color w:val="000000"/>
          <w:sz w:val="22"/>
          <w:szCs w:val="22"/>
        </w:rPr>
        <w:t xml:space="preserve">Caso contrario ocurre con las instituciones de educación superior constituidas como establecimientos públicos, pues son entidades descentralizadas de acuerdo con el parágrafo 1 del artículo 57 de la Ley 30 de 1992 y el artículo 68 de la Ley 489 de 1998, por lo que pueden estar adscritas a los órdenes nacional, departamental, distrital o municipal. En este contexto, los establecimientos públicos de educación superior de estos tres (3) últimos niveles estarían cobijados por la restricción del artículo 38 de la Ley 996 de 2005 al ser entidades descentralizadas del nivel territorial, sujetos a los que expresamente alude el texto de la prohibición como destinatarios de esta. </w:t>
      </w:r>
      <w:r w:rsidRPr="00262D58">
        <w:rPr>
          <w:rFonts w:ascii="Arial" w:hAnsi="Arial" w:cs="Arial"/>
          <w:color w:val="000000" w:themeColor="text1"/>
          <w:sz w:val="22"/>
          <w:szCs w:val="22"/>
          <w:lang w:eastAsia="es-ES_tradnl"/>
        </w:rPr>
        <w:t xml:space="preserve">Por tanto, los </w:t>
      </w:r>
      <w:r w:rsidRPr="00262D58">
        <w:rPr>
          <w:rFonts w:ascii="Arial" w:hAnsi="Arial" w:cs="Arial"/>
          <w:color w:val="000000"/>
          <w:sz w:val="22"/>
          <w:szCs w:val="22"/>
        </w:rPr>
        <w:t>establecimientos públicos de educación superior del nivel</w:t>
      </w:r>
      <w:r w:rsidRPr="00262D58">
        <w:rPr>
          <w:rFonts w:ascii="Arial" w:hAnsi="Arial" w:cs="Arial"/>
          <w:color w:val="000000" w:themeColor="text1"/>
          <w:sz w:val="22"/>
          <w:szCs w:val="22"/>
          <w:lang w:eastAsia="es-ES_tradnl"/>
        </w:rPr>
        <w:t xml:space="preserve"> territorial, dada su calidad de entidades descentralizadas de los órdenes departamental, municipal o distrital, tienen restringida la celebración de contratos o convenios interadministrativos en los que se destinen recursos públicos, durante los cuatro (4) meses anteriores a elecciones.   </w:t>
      </w:r>
    </w:p>
    <w:bookmarkEnd w:id="50"/>
    <w:bookmarkEnd w:id="65"/>
    <w:p w:rsidRPr="00262D58" w:rsidR="000037B4" w:rsidP="000037B4" w:rsidRDefault="000037B4" w14:paraId="7950E8BC" w14:textId="77777777">
      <w:pPr>
        <w:spacing w:after="0" w:line="276" w:lineRule="auto"/>
        <w:jc w:val="both"/>
        <w:rPr>
          <w:rFonts w:ascii="Arial" w:hAnsi="Arial" w:cs="Arial"/>
          <w:color w:val="000000" w:themeColor="text1"/>
          <w:lang w:eastAsia="es-MX"/>
        </w:rPr>
      </w:pPr>
    </w:p>
    <w:p w:rsidRPr="00262D58" w:rsidR="000037B4" w:rsidP="000037B4" w:rsidRDefault="000037B4" w14:paraId="2FFD6956" w14:textId="77777777">
      <w:pPr>
        <w:tabs>
          <w:tab w:val="left" w:pos="0"/>
        </w:tabs>
        <w:spacing w:after="0"/>
        <w:jc w:val="both"/>
        <w:rPr>
          <w:rFonts w:ascii="Arial" w:hAnsi="Arial" w:eastAsia="Calibri" w:cs="Arial"/>
          <w:b/>
          <w:color w:val="000000" w:themeColor="text1"/>
          <w:lang w:val="es-ES_tradnl"/>
        </w:rPr>
      </w:pPr>
      <w:r w:rsidRPr="00262D58">
        <w:rPr>
          <w:rFonts w:ascii="Arial" w:hAnsi="Arial" w:eastAsia="Calibri" w:cs="Arial"/>
          <w:b/>
          <w:color w:val="000000" w:themeColor="text1"/>
          <w:lang w:val="es-ES_tradnl"/>
        </w:rPr>
        <w:t>3. Respuesta</w:t>
      </w:r>
    </w:p>
    <w:p w:rsidRPr="00262D58" w:rsidR="000037B4" w:rsidP="000037B4" w:rsidRDefault="000037B4" w14:paraId="27BED798" w14:textId="77777777">
      <w:pPr>
        <w:spacing w:after="0" w:line="276" w:lineRule="auto"/>
        <w:ind w:firstLine="709"/>
        <w:jc w:val="both"/>
        <w:rPr>
          <w:rFonts w:ascii="Arial" w:hAnsi="Arial" w:eastAsia="Times New Roman" w:cs="Arial"/>
          <w:lang w:eastAsia="es-CO"/>
        </w:rPr>
      </w:pPr>
      <w:bookmarkStart w:name="_Hlk131064197" w:id="66"/>
    </w:p>
    <w:p w:rsidRPr="00262D58" w:rsidR="000037B4" w:rsidP="000037B4" w:rsidRDefault="000037B4" w14:paraId="5F61A368" w14:textId="77777777">
      <w:pPr>
        <w:spacing w:after="120" w:line="240" w:lineRule="auto"/>
        <w:ind w:left="709" w:right="709"/>
        <w:jc w:val="both"/>
        <w:rPr>
          <w:rFonts w:ascii="Arial" w:hAnsi="Arial" w:cs="Arial"/>
          <w:color w:val="000000" w:themeColor="text1"/>
          <w:sz w:val="21"/>
          <w:szCs w:val="21"/>
          <w:lang w:val="es-ES_tradnl"/>
        </w:rPr>
      </w:pPr>
      <w:r w:rsidRPr="00262D58">
        <w:rPr>
          <w:rFonts w:ascii="Arial" w:hAnsi="Arial" w:cs="Arial"/>
          <w:color w:val="000000" w:themeColor="text1"/>
          <w:sz w:val="21"/>
          <w:szCs w:val="21"/>
          <w:lang w:val="es-ES_tradnl"/>
        </w:rPr>
        <w:t>i) “¿Debe entenderse como sometida a las limitaciones establecidas en el parágrafo del artículo 38 de la ley 996 del 2005, a una universidad pública adscrita a una entidad territorial, como la gobernación?”.</w:t>
      </w:r>
    </w:p>
    <w:p w:rsidRPr="00262D58" w:rsidR="000037B4" w:rsidP="000037B4" w:rsidRDefault="000037B4" w14:paraId="3FC6A7AB" w14:textId="77777777">
      <w:pPr>
        <w:spacing w:after="0" w:line="240" w:lineRule="auto"/>
        <w:ind w:left="709" w:right="709"/>
        <w:jc w:val="both"/>
        <w:rPr>
          <w:rFonts w:ascii="Arial" w:hAnsi="Arial" w:cs="Arial"/>
          <w:color w:val="000000" w:themeColor="text1"/>
          <w:sz w:val="21"/>
          <w:szCs w:val="21"/>
          <w:lang w:val="es-ES_tradnl"/>
        </w:rPr>
      </w:pPr>
      <w:proofErr w:type="spellStart"/>
      <w:r w:rsidRPr="00262D58">
        <w:rPr>
          <w:rFonts w:ascii="Arial" w:hAnsi="Arial" w:cs="Arial"/>
          <w:color w:val="000000" w:themeColor="text1"/>
          <w:sz w:val="21"/>
          <w:szCs w:val="21"/>
          <w:lang w:val="es-ES_tradnl"/>
        </w:rPr>
        <w:t>ii</w:t>
      </w:r>
      <w:proofErr w:type="spellEnd"/>
      <w:r w:rsidRPr="00262D58">
        <w:rPr>
          <w:rFonts w:ascii="Arial" w:hAnsi="Arial" w:cs="Arial"/>
          <w:color w:val="000000" w:themeColor="text1"/>
          <w:sz w:val="21"/>
          <w:szCs w:val="21"/>
          <w:lang w:val="es-ES_tradnl"/>
        </w:rPr>
        <w:t>) “¿Cuál sería la naturaleza jurídica de la entidad universitaria adscrita a entidad territorial? ¿Debe entenderse como entidad descentralizada y por tanto sometida a la restricción establecida en el parágrafo del artículo 38 de la ley 996 del 2005?”.</w:t>
      </w:r>
    </w:p>
    <w:p w:rsidRPr="00262D58" w:rsidR="000037B4" w:rsidP="000037B4" w:rsidRDefault="000037B4" w14:paraId="431B31A0" w14:textId="77777777">
      <w:pPr>
        <w:spacing w:after="0" w:line="276" w:lineRule="auto"/>
        <w:jc w:val="both"/>
        <w:rPr>
          <w:rFonts w:ascii="Arial" w:hAnsi="Arial" w:cs="Arial"/>
          <w:color w:val="000000" w:themeColor="text1"/>
          <w:lang w:val="es-ES_tradnl"/>
        </w:rPr>
      </w:pPr>
    </w:p>
    <w:p w:rsidRPr="00262D58" w:rsidR="000037B4" w:rsidP="000037B4" w:rsidRDefault="000037B4" w14:paraId="054B8D30" w14:textId="77777777">
      <w:pPr>
        <w:spacing w:after="120" w:line="276" w:lineRule="auto"/>
        <w:jc w:val="both"/>
        <w:rPr>
          <w:rFonts w:ascii="Arial" w:hAnsi="Arial" w:eastAsia="Arial" w:cs="Arial"/>
          <w:lang w:val="es-ES" w:eastAsia="es-ES" w:bidi="es-ES"/>
        </w:rPr>
      </w:pPr>
      <w:r w:rsidRPr="00262D58">
        <w:rPr>
          <w:rFonts w:ascii="Arial" w:hAnsi="Arial" w:eastAsia="Arial" w:cs="Arial"/>
          <w:lang w:val="es-ES" w:eastAsia="es-ES" w:bidi="es-ES"/>
        </w:rPr>
        <w:t>De acuerdo con la interpretación de las normas generales del sistema de compras públicas</w:t>
      </w:r>
      <w:r w:rsidRPr="00262D58">
        <w:rPr>
          <w:rFonts w:ascii="Arial" w:hAnsi="Arial" w:eastAsia="Calibri" w:cs="Arial"/>
        </w:rPr>
        <w:t xml:space="preserve">,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w:t>
      </w:r>
      <w:r w:rsidRPr="00262D58">
        <w:rPr>
          <w:rFonts w:ascii="Arial" w:hAnsi="Arial" w:eastAsia="Calibri" w:cs="Arial"/>
          <w:lang w:val="es-MX"/>
        </w:rPr>
        <w:t>celebrar convenios interadministrativos para la ejecución de recursos públicos […]”</w:t>
      </w:r>
      <w:r w:rsidRPr="00262D58">
        <w:rPr>
          <w:rFonts w:ascii="Arial" w:hAnsi="Arial" w:eastAsia="Arial" w:cs="Arial"/>
          <w:lang w:val="es-ES" w:eastAsia="es-ES" w:bidi="es-ES"/>
        </w:rPr>
        <w:t>dentro de los cuatro (4) meses anteriores a la respectiva jornada de votaciones.</w:t>
      </w:r>
    </w:p>
    <w:p w:rsidRPr="00262D58" w:rsidR="000037B4" w:rsidP="000037B4" w:rsidRDefault="000037B4" w14:paraId="3E74178B" w14:textId="77777777">
      <w:pPr>
        <w:spacing w:after="120" w:line="276" w:lineRule="auto"/>
        <w:ind w:firstLine="708"/>
        <w:jc w:val="both"/>
        <w:rPr>
          <w:rFonts w:ascii="Arial" w:hAnsi="Arial" w:cs="Arial"/>
          <w:color w:val="000000"/>
          <w:lang w:eastAsia="es-CO"/>
        </w:rPr>
      </w:pPr>
      <w:r w:rsidRPr="00262D58">
        <w:rPr>
          <w:rFonts w:ascii="Arial" w:hAnsi="Arial" w:cs="Arial"/>
          <w:lang w:val="es-ES_tradnl"/>
        </w:rPr>
        <w:t xml:space="preserve">El artículo 69 de la Constitución Política de 1991 consagra, por una parte, una garantía de autonomía para que las universidades establezcan sus directivas y sus estatutos de acuerdo con la ley y, por otra, la posibilidad de que cuenten con un régimen especial que corresponde dictar al Congreso de la República. Para estos efectos, el artículo 57 de la Ley 30 de 1992 establece el carácter autónomo de las universidades estatales u oficiales. </w:t>
      </w:r>
      <w:r w:rsidRPr="00262D58">
        <w:rPr>
          <w:rFonts w:ascii="Arial" w:hAnsi="Arial" w:cs="Arial"/>
        </w:rPr>
        <w:t>En armonía con lo anterior, estas no hacen parte de la rama ejecutiva, ni pueden, por tanto, considerarse entidades territoriales ni descentralizadas, sino que gozan de un régimen especial.</w:t>
      </w:r>
      <w:r w:rsidRPr="00262D58">
        <w:rPr>
          <w:rFonts w:ascii="Arial" w:hAnsi="Arial" w:cs="Arial"/>
          <w:lang w:val="es-ES_tradnl"/>
        </w:rPr>
        <w:t xml:space="preserve"> Considerando que </w:t>
      </w:r>
      <w:r w:rsidRPr="00262D58">
        <w:rPr>
          <w:rFonts w:ascii="Arial" w:hAnsi="Arial" w:cs="Arial"/>
          <w:color w:val="000000"/>
          <w:lang w:eastAsia="es-CO"/>
        </w:rPr>
        <w:t>el parágrafo</w:t>
      </w:r>
      <w:r w:rsidRPr="00262D58">
        <w:rPr>
          <w:rFonts w:ascii="Arial" w:hAnsi="Arial" w:cs="Arial"/>
          <w:color w:val="000000"/>
        </w:rPr>
        <w:t xml:space="preserve"> </w:t>
      </w:r>
      <w:r w:rsidRPr="00262D58">
        <w:rPr>
          <w:rFonts w:ascii="Arial" w:hAnsi="Arial" w:cs="Arial"/>
          <w:color w:val="000000"/>
          <w:lang w:eastAsia="es-CO"/>
        </w:rPr>
        <w:t>del artículo 38</w:t>
      </w:r>
      <w:r w:rsidRPr="00262D58">
        <w:rPr>
          <w:rFonts w:ascii="Arial" w:hAnsi="Arial" w:cs="Arial"/>
          <w:color w:val="000000"/>
        </w:rPr>
        <w:t xml:space="preserve"> de la Ley de Garantías</w:t>
      </w:r>
      <w:r w:rsidRPr="00262D58">
        <w:rPr>
          <w:rFonts w:ascii="Arial" w:hAnsi="Arial" w:cs="Arial"/>
          <w:color w:val="000000"/>
          <w:lang w:eastAsia="es-CO"/>
        </w:rPr>
        <w:t xml:space="preserve"> tiene como destinatarios a los entes territoriales y sus entidades descentralizadas, la norma los excluye de la prohibición.</w:t>
      </w:r>
    </w:p>
    <w:p w:rsidRPr="00262D58" w:rsidR="000037B4" w:rsidP="000037B4" w:rsidRDefault="000037B4" w14:paraId="06B816AD" w14:textId="77777777">
      <w:pPr>
        <w:widowControl w:val="0"/>
        <w:autoSpaceDE w:val="0"/>
        <w:autoSpaceDN w:val="0"/>
        <w:spacing w:after="120" w:line="276" w:lineRule="auto"/>
        <w:ind w:firstLine="709"/>
        <w:jc w:val="both"/>
        <w:rPr>
          <w:rFonts w:ascii="Arial" w:hAnsi="Arial" w:cs="Arial"/>
          <w:color w:val="000000"/>
        </w:rPr>
      </w:pPr>
      <w:r w:rsidRPr="00262D58">
        <w:rPr>
          <w:rFonts w:ascii="Arial" w:hAnsi="Arial" w:cs="Arial"/>
          <w:color w:val="000000" w:themeColor="text1"/>
          <w:lang w:eastAsia="es-ES_tradnl"/>
        </w:rPr>
        <w:t>Sin embargo, es preciso advertir que no todas las instituciones públicas de educación superior tienen la naturaleza de entes universitarios autónomos, pues el parágrafo 1 del artículo 57 de la Ley 30 de 1992 establece que las “</w:t>
      </w:r>
      <w:r w:rsidRPr="00262D58">
        <w:rPr>
          <w:rFonts w:ascii="Arial" w:hAnsi="Arial" w:cs="Arial"/>
          <w:color w:val="000000"/>
        </w:rPr>
        <w:t>Las instituciones estatales u oficiales de Educación Superior que no tengan el carácter de universidad […] deberán organizarse como Establecimientos Públicos del orden Nacional, Departamental, Distrital o Municipal”. Esto es congruente con el artículo 18 de la Ley 749 de 2002, “por la cual se organiza el servicio público de la educación superior en las modalidades de formación técnica profesional y tecnológica, y se dictan otras disposiciones”, el cual dispone que “Las instituciones técnicas profesionales y tecnológicas de educación superior estatales u oficiales, son establecimientos públicos de conformidad con el artículo 57 de la Ley 30 de 1992”.</w:t>
      </w:r>
    </w:p>
    <w:p w:rsidRPr="00262D58" w:rsidR="000037B4" w:rsidP="000037B4" w:rsidRDefault="000037B4" w14:paraId="5F4AA2E4" w14:textId="77777777">
      <w:pPr>
        <w:spacing w:after="120" w:line="276" w:lineRule="auto"/>
        <w:ind w:firstLine="708"/>
        <w:jc w:val="both"/>
        <w:rPr>
          <w:rFonts w:ascii="Arial" w:hAnsi="Arial" w:cs="Arial"/>
          <w:color w:val="000000"/>
          <w:lang w:eastAsia="es-CO"/>
        </w:rPr>
      </w:pPr>
      <w:r w:rsidRPr="00262D58">
        <w:rPr>
          <w:rFonts w:ascii="Arial" w:hAnsi="Arial" w:cs="Arial"/>
          <w:color w:val="000000" w:themeColor="text1"/>
          <w:lang w:eastAsia="es-ES_tradnl"/>
        </w:rPr>
        <w:t xml:space="preserve">Los establecimientos públicos </w:t>
      </w:r>
      <w:r w:rsidRPr="00262D58">
        <w:rPr>
          <w:rFonts w:ascii="Arial" w:hAnsi="Arial" w:cs="Arial"/>
          <w:color w:val="000000"/>
        </w:rPr>
        <w:t>están</w:t>
      </w:r>
      <w:r w:rsidRPr="00262D58">
        <w:rPr>
          <w:rFonts w:ascii="Arial" w:hAnsi="Arial" w:cs="Arial"/>
          <w:color w:val="000000"/>
          <w:lang w:eastAsia="es-CO"/>
        </w:rPr>
        <w:t xml:space="preserve"> definidos por el artículo 70 de la Ley 489 de 1998 como </w:t>
      </w:r>
      <w:r w:rsidRPr="00262D58">
        <w:rPr>
          <w:rFonts w:ascii="Arial" w:hAnsi="Arial" w:cs="Arial"/>
          <w:color w:val="000000"/>
        </w:rPr>
        <w:t>“</w:t>
      </w:r>
      <w:r w:rsidRPr="00262D58">
        <w:rPr>
          <w:rFonts w:ascii="Arial" w:hAnsi="Arial" w:cs="Arial"/>
          <w:color w:val="000000"/>
          <w:lang w:eastAsia="es-CO"/>
        </w:rPr>
        <w:t xml:space="preserve">[…] organismos encargados principalmente de atender funciones administrativas y de prestar servicios públicos conforme a las reglas del Derecho Público”. </w:t>
      </w:r>
      <w:r w:rsidRPr="00262D58">
        <w:rPr>
          <w:rFonts w:ascii="Arial" w:hAnsi="Arial" w:cs="Arial"/>
          <w:color w:val="000000"/>
        </w:rPr>
        <w:t>La norma citada</w:t>
      </w:r>
      <w:r w:rsidRPr="00262D58">
        <w:rPr>
          <w:rFonts w:ascii="Arial" w:hAnsi="Arial" w:cs="Arial"/>
          <w:color w:val="000000"/>
          <w:lang w:eastAsia="es-CO"/>
        </w:rPr>
        <w:t xml:space="preserve"> establece la personería jurídica, la autonomía administrativa y financiera y patrimonio independiente</w:t>
      </w:r>
      <w:r w:rsidRPr="00262D58">
        <w:rPr>
          <w:rFonts w:ascii="Arial" w:hAnsi="Arial" w:cs="Arial"/>
          <w:color w:val="000000"/>
        </w:rPr>
        <w:t xml:space="preserve"> </w:t>
      </w:r>
      <w:r w:rsidRPr="00262D58">
        <w:rPr>
          <w:rFonts w:ascii="Arial" w:hAnsi="Arial" w:cs="Arial"/>
          <w:color w:val="000000"/>
          <w:lang w:eastAsia="es-CO"/>
        </w:rPr>
        <w:t>como atributos de este tipo de entidades. Por su parte, al definir las entidades descentralizadas</w:t>
      </w:r>
      <w:r w:rsidRPr="00262D58">
        <w:rPr>
          <w:rFonts w:ascii="Arial" w:hAnsi="Arial" w:cs="Arial"/>
          <w:color w:val="000000"/>
        </w:rPr>
        <w:t xml:space="preserve">, </w:t>
      </w:r>
      <w:r w:rsidRPr="00262D58">
        <w:rPr>
          <w:rFonts w:ascii="Arial" w:hAnsi="Arial" w:cs="Arial"/>
          <w:color w:val="000000"/>
          <w:lang w:eastAsia="es-CO"/>
        </w:rPr>
        <w:t xml:space="preserve">el artículo 68 </w:t>
      </w:r>
      <w:r w:rsidRPr="00262D58">
        <w:rPr>
          <w:rFonts w:ascii="Arial" w:hAnsi="Arial" w:cs="Arial"/>
          <w:i/>
          <w:color w:val="000000"/>
        </w:rPr>
        <w:t>ibidem</w:t>
      </w:r>
      <w:r w:rsidRPr="00262D58">
        <w:rPr>
          <w:rFonts w:ascii="Arial" w:hAnsi="Arial" w:cs="Arial"/>
          <w:color w:val="000000"/>
        </w:rPr>
        <w:t xml:space="preserve"> </w:t>
      </w:r>
      <w:r w:rsidRPr="00262D58">
        <w:rPr>
          <w:rFonts w:ascii="Arial" w:hAnsi="Arial" w:cs="Arial"/>
          <w:color w:val="000000"/>
          <w:lang w:eastAsia="es-CO"/>
        </w:rPr>
        <w:t xml:space="preserve">contempla a los establecimientos públicos, </w:t>
      </w:r>
      <w:r w:rsidRPr="00262D58">
        <w:rPr>
          <w:rFonts w:ascii="Arial" w:hAnsi="Arial" w:cs="Arial"/>
          <w:color w:val="000000"/>
        </w:rPr>
        <w:t>por lo</w:t>
      </w:r>
      <w:r w:rsidRPr="00262D58">
        <w:rPr>
          <w:rFonts w:ascii="Arial" w:hAnsi="Arial" w:cs="Arial"/>
          <w:color w:val="000000"/>
          <w:lang w:eastAsia="es-CO"/>
        </w:rPr>
        <w:t xml:space="preserve"> que </w:t>
      </w:r>
      <w:r w:rsidRPr="00262D58">
        <w:rPr>
          <w:rFonts w:ascii="Arial" w:hAnsi="Arial" w:cs="Arial"/>
          <w:color w:val="000000"/>
        </w:rPr>
        <w:t>“</w:t>
      </w:r>
      <w:r w:rsidRPr="00262D58">
        <w:rPr>
          <w:rFonts w:ascii="Arial" w:hAnsi="Arial" w:cs="Arial"/>
          <w:color w:val="000000"/>
          <w:lang w:eastAsia="es-CO"/>
        </w:rPr>
        <w:t xml:space="preserve">[…] </w:t>
      </w:r>
      <w:r w:rsidRPr="00262D58">
        <w:rPr>
          <w:rFonts w:ascii="Arial" w:hAnsi="Arial" w:cs="Arial"/>
          <w:color w:val="000000"/>
        </w:rPr>
        <w:t xml:space="preserve">aun cuando gozan de autonomía administrativa </w:t>
      </w:r>
      <w:r w:rsidRPr="00262D58">
        <w:rPr>
          <w:rFonts w:ascii="Arial" w:hAnsi="Arial" w:cs="Arial"/>
          <w:color w:val="000000"/>
          <w:lang w:eastAsia="es-CO"/>
        </w:rPr>
        <w:t xml:space="preserve">están sujetas al control político y a la suprema dirección del órgano de la administración al cual están adscritas”. </w:t>
      </w:r>
    </w:p>
    <w:p w:rsidRPr="00262D58" w:rsidR="000037B4" w:rsidP="000037B4" w:rsidRDefault="000037B4" w14:paraId="4D57FFEF" w14:textId="77777777">
      <w:pPr>
        <w:spacing w:after="0" w:line="276" w:lineRule="auto"/>
        <w:ind w:firstLine="708"/>
        <w:jc w:val="both"/>
        <w:rPr>
          <w:rFonts w:ascii="Arial" w:hAnsi="Arial" w:cs="Arial"/>
          <w:color w:val="000000" w:themeColor="text1"/>
          <w:lang w:eastAsia="es-ES_tradnl"/>
        </w:rPr>
      </w:pPr>
      <w:r w:rsidRPr="00262D58">
        <w:rPr>
          <w:rFonts w:ascii="Arial" w:hAnsi="Arial" w:cs="Arial"/>
          <w:color w:val="000000"/>
          <w:lang w:eastAsia="es-CO"/>
        </w:rPr>
        <w:t xml:space="preserve">De </w:t>
      </w:r>
      <w:r w:rsidRPr="00262D58">
        <w:rPr>
          <w:rFonts w:ascii="Arial" w:hAnsi="Arial" w:cs="Arial"/>
          <w:color w:val="000000"/>
        </w:rPr>
        <w:t>allí se desprende que</w:t>
      </w:r>
      <w:r w:rsidRPr="00262D58">
        <w:rPr>
          <w:rFonts w:ascii="Arial" w:hAnsi="Arial" w:cs="Arial"/>
          <w:color w:val="000000"/>
          <w:lang w:eastAsia="es-CO"/>
        </w:rPr>
        <w:t xml:space="preserve">, a diferencia </w:t>
      </w:r>
      <w:r w:rsidRPr="00262D58">
        <w:rPr>
          <w:rFonts w:ascii="Arial" w:hAnsi="Arial" w:cs="Arial"/>
          <w:color w:val="000000"/>
        </w:rPr>
        <w:t>de los entes universitarios autónomos</w:t>
      </w:r>
      <w:r w:rsidRPr="00262D58">
        <w:rPr>
          <w:rFonts w:ascii="Arial" w:hAnsi="Arial" w:cs="Arial"/>
          <w:color w:val="000000"/>
          <w:lang w:eastAsia="es-CO"/>
        </w:rPr>
        <w:t xml:space="preserve">, las instituciones de educación superior constituidas como establecimientos públicos son consideradas entidades descentralizadas, </w:t>
      </w:r>
      <w:r w:rsidRPr="00262D58">
        <w:rPr>
          <w:rFonts w:ascii="Arial" w:hAnsi="Arial" w:cs="Arial"/>
          <w:color w:val="000000"/>
        </w:rPr>
        <w:t>por lo que pueden estar adscritas</w:t>
      </w:r>
      <w:r w:rsidRPr="00262D58">
        <w:rPr>
          <w:rFonts w:ascii="Arial" w:hAnsi="Arial" w:cs="Arial"/>
          <w:color w:val="000000"/>
          <w:lang w:eastAsia="es-CO"/>
        </w:rPr>
        <w:t xml:space="preserve"> </w:t>
      </w:r>
      <w:r w:rsidRPr="00262D58">
        <w:rPr>
          <w:rFonts w:ascii="Arial" w:hAnsi="Arial" w:cs="Arial"/>
          <w:color w:val="000000"/>
        </w:rPr>
        <w:t xml:space="preserve">a </w:t>
      </w:r>
      <w:r w:rsidRPr="00262D58">
        <w:rPr>
          <w:rFonts w:ascii="Arial" w:hAnsi="Arial" w:cs="Arial"/>
          <w:color w:val="000000"/>
          <w:lang w:eastAsia="es-CO"/>
        </w:rPr>
        <w:t>los órdenes nacional, departamental, distrital o municipal</w:t>
      </w:r>
      <w:r w:rsidRPr="00262D58">
        <w:rPr>
          <w:rFonts w:ascii="Arial" w:hAnsi="Arial" w:cs="Arial"/>
          <w:color w:val="000000"/>
        </w:rPr>
        <w:t>. En este contexto,</w:t>
      </w:r>
      <w:r w:rsidRPr="00262D58">
        <w:rPr>
          <w:rFonts w:ascii="Arial" w:hAnsi="Arial" w:cs="Arial"/>
          <w:color w:val="000000"/>
          <w:lang w:eastAsia="es-CO"/>
        </w:rPr>
        <w:t xml:space="preserve"> </w:t>
      </w:r>
      <w:r w:rsidRPr="00262D58">
        <w:rPr>
          <w:rFonts w:ascii="Arial" w:hAnsi="Arial" w:cs="Arial"/>
          <w:color w:val="000000"/>
        </w:rPr>
        <w:t xml:space="preserve">los </w:t>
      </w:r>
      <w:r w:rsidRPr="00262D58">
        <w:rPr>
          <w:rFonts w:ascii="Arial" w:hAnsi="Arial" w:cs="Arial"/>
          <w:color w:val="000000"/>
          <w:lang w:eastAsia="es-CO"/>
        </w:rPr>
        <w:t>establecimientos públicos de educación superior de estos tres</w:t>
      </w:r>
      <w:r w:rsidRPr="00262D58">
        <w:rPr>
          <w:rFonts w:ascii="Arial" w:hAnsi="Arial" w:cs="Arial"/>
          <w:color w:val="000000"/>
        </w:rPr>
        <w:t xml:space="preserve"> (3)</w:t>
      </w:r>
      <w:r w:rsidRPr="00262D58">
        <w:rPr>
          <w:rFonts w:ascii="Arial" w:hAnsi="Arial" w:cs="Arial"/>
          <w:color w:val="000000"/>
          <w:lang w:eastAsia="es-CO"/>
        </w:rPr>
        <w:t xml:space="preserve"> últimos </w:t>
      </w:r>
      <w:r w:rsidRPr="00262D58">
        <w:rPr>
          <w:rFonts w:ascii="Arial" w:hAnsi="Arial" w:cs="Arial"/>
          <w:color w:val="000000"/>
        </w:rPr>
        <w:t>niveles</w:t>
      </w:r>
      <w:r w:rsidRPr="00262D58">
        <w:rPr>
          <w:rFonts w:ascii="Arial" w:hAnsi="Arial" w:cs="Arial"/>
          <w:color w:val="000000"/>
          <w:lang w:eastAsia="es-CO"/>
        </w:rPr>
        <w:t xml:space="preserve"> estarían cobijados por la restricción del artículo 38</w:t>
      </w:r>
      <w:r w:rsidRPr="00262D58">
        <w:rPr>
          <w:rFonts w:ascii="Arial" w:hAnsi="Arial" w:cs="Arial"/>
          <w:color w:val="000000"/>
        </w:rPr>
        <w:t xml:space="preserve"> de la Ley 996 de 2005</w:t>
      </w:r>
      <w:r w:rsidRPr="00262D58">
        <w:rPr>
          <w:rFonts w:ascii="Arial" w:hAnsi="Arial" w:cs="Arial"/>
          <w:color w:val="000000"/>
          <w:lang w:eastAsia="es-CO"/>
        </w:rPr>
        <w:t xml:space="preserve"> al ser entidades descentralizadas del nivel territorial, sujetos a los que expresamente alude el texto de l</w:t>
      </w:r>
      <w:r w:rsidRPr="00262D58">
        <w:rPr>
          <w:rFonts w:ascii="Arial" w:hAnsi="Arial" w:cs="Arial"/>
          <w:color w:val="000000"/>
        </w:rPr>
        <w:t>a prohibición</w:t>
      </w:r>
      <w:r w:rsidRPr="00262D58">
        <w:rPr>
          <w:rFonts w:ascii="Arial" w:hAnsi="Arial" w:cs="Arial"/>
          <w:color w:val="000000"/>
          <w:lang w:eastAsia="es-CO"/>
        </w:rPr>
        <w:t xml:space="preserve"> como destinatarios de </w:t>
      </w:r>
      <w:r w:rsidRPr="00262D58">
        <w:rPr>
          <w:rFonts w:ascii="Arial" w:hAnsi="Arial" w:cs="Arial"/>
          <w:color w:val="000000"/>
        </w:rPr>
        <w:t>esta</w:t>
      </w:r>
      <w:r w:rsidRPr="00262D58">
        <w:rPr>
          <w:rFonts w:ascii="Arial" w:hAnsi="Arial" w:cs="Arial"/>
          <w:color w:val="000000"/>
          <w:lang w:eastAsia="es-CO"/>
        </w:rPr>
        <w:t xml:space="preserve">. </w:t>
      </w:r>
      <w:r w:rsidRPr="00262D58">
        <w:rPr>
          <w:rFonts w:ascii="Arial" w:hAnsi="Arial" w:cs="Arial"/>
          <w:color w:val="000000" w:themeColor="text1"/>
          <w:lang w:eastAsia="es-ES_tradnl"/>
        </w:rPr>
        <w:t xml:space="preserve">Por tanto, los </w:t>
      </w:r>
      <w:r w:rsidRPr="00262D58">
        <w:rPr>
          <w:rFonts w:ascii="Arial" w:hAnsi="Arial" w:cs="Arial"/>
          <w:color w:val="000000"/>
          <w:lang w:eastAsia="es-CO"/>
        </w:rPr>
        <w:t>establecimientos públicos de educación superior</w:t>
      </w:r>
      <w:r w:rsidRPr="00262D58">
        <w:rPr>
          <w:rFonts w:ascii="Arial" w:hAnsi="Arial" w:cs="Arial"/>
          <w:color w:val="000000"/>
        </w:rPr>
        <w:t xml:space="preserve"> del nivel</w:t>
      </w:r>
      <w:r w:rsidRPr="00262D58">
        <w:rPr>
          <w:rFonts w:ascii="Arial" w:hAnsi="Arial" w:cs="Arial"/>
          <w:color w:val="000000" w:themeColor="text1"/>
          <w:lang w:eastAsia="es-ES_tradnl"/>
        </w:rPr>
        <w:t xml:space="preserve"> territorial, dada su calidad de entidades descentralizadas de los órdenes departamental, municipal o distrital, tienen restringida la celebración de contratos o convenios interadministrativos en los que se destinen recursos públicos, durante los cuatro (4) meses anteriores a elecciones.   </w:t>
      </w:r>
    </w:p>
    <w:p w:rsidRPr="00262D58" w:rsidR="000037B4" w:rsidP="000037B4" w:rsidRDefault="000037B4" w14:paraId="44025E5F" w14:textId="77777777">
      <w:pPr>
        <w:spacing w:after="0" w:line="276" w:lineRule="auto"/>
        <w:ind w:firstLine="709"/>
        <w:jc w:val="both"/>
        <w:rPr>
          <w:rFonts w:ascii="Arial" w:hAnsi="Arial" w:eastAsia="Times New Roman" w:cs="Arial"/>
          <w:lang w:eastAsia="es-CO"/>
        </w:rPr>
      </w:pPr>
    </w:p>
    <w:p w:rsidRPr="00262D58" w:rsidR="000037B4" w:rsidP="000037B4" w:rsidRDefault="000037B4" w14:paraId="29EB4797" w14:textId="77777777">
      <w:pPr>
        <w:spacing w:after="0" w:line="240" w:lineRule="auto"/>
        <w:ind w:left="709" w:right="709"/>
        <w:jc w:val="both"/>
        <w:rPr>
          <w:rFonts w:ascii="Arial" w:hAnsi="Arial" w:cs="Arial"/>
          <w:color w:val="000000" w:themeColor="text1"/>
          <w:sz w:val="21"/>
          <w:szCs w:val="21"/>
          <w:lang w:val="es-ES_tradnl"/>
        </w:rPr>
      </w:pPr>
      <w:proofErr w:type="spellStart"/>
      <w:r w:rsidRPr="00262D58">
        <w:rPr>
          <w:rFonts w:ascii="Arial" w:hAnsi="Arial" w:cs="Arial"/>
          <w:color w:val="000000" w:themeColor="text1"/>
          <w:sz w:val="21"/>
          <w:szCs w:val="21"/>
          <w:lang w:val="es-ES_tradnl"/>
        </w:rPr>
        <w:t>iii</w:t>
      </w:r>
      <w:proofErr w:type="spellEnd"/>
      <w:r w:rsidRPr="00262D58">
        <w:rPr>
          <w:rFonts w:ascii="Arial" w:hAnsi="Arial" w:cs="Arial"/>
          <w:color w:val="000000" w:themeColor="text1"/>
          <w:sz w:val="21"/>
          <w:szCs w:val="21"/>
          <w:lang w:val="es-ES_tradnl"/>
        </w:rPr>
        <w:t>) “¿Puede una entidad del orden nacional, no sometida a la restricción establecida en el parágrafo del artículo 38 de la ley 996 del 2005, suscribir un contrato interadministrativo con una universidad pública adscrita a una entidad territorial como las gobernaciones?”.</w:t>
      </w:r>
    </w:p>
    <w:p w:rsidRPr="00262D58" w:rsidR="000037B4" w:rsidP="000037B4" w:rsidRDefault="000037B4" w14:paraId="422646F8" w14:textId="77777777">
      <w:pPr>
        <w:spacing w:after="0" w:line="276" w:lineRule="auto"/>
        <w:jc w:val="both"/>
        <w:rPr>
          <w:rFonts w:ascii="Arial" w:hAnsi="Arial" w:cs="Arial"/>
          <w:color w:val="000000" w:themeColor="text1"/>
          <w:lang w:val="es-ES_tradnl"/>
        </w:rPr>
      </w:pPr>
    </w:p>
    <w:p w:rsidRPr="00262D58" w:rsidR="000037B4" w:rsidP="00A4398A" w:rsidRDefault="002A42B3" w14:paraId="517D6D23" w14:textId="35601CBB">
      <w:pPr>
        <w:widowControl w:val="0"/>
        <w:autoSpaceDE w:val="0"/>
        <w:autoSpaceDN w:val="0"/>
        <w:spacing w:after="120" w:line="276" w:lineRule="auto"/>
        <w:jc w:val="both"/>
        <w:rPr>
          <w:rFonts w:ascii="Arial" w:hAnsi="Arial" w:eastAsia="Arial" w:cs="Arial"/>
          <w:lang w:val="es-ES" w:eastAsia="es-ES" w:bidi="es-ES"/>
        </w:rPr>
      </w:pPr>
      <w:r>
        <w:rPr>
          <w:rFonts w:ascii="Arial" w:hAnsi="Arial" w:eastAsia="Arial" w:cs="Arial"/>
          <w:lang w:val="es-ES" w:eastAsia="es-ES" w:bidi="es-ES"/>
        </w:rPr>
        <w:t xml:space="preserve">    </w:t>
      </w:r>
      <w:r w:rsidRPr="00262D58" w:rsidR="000037B4">
        <w:rPr>
          <w:rFonts w:ascii="Arial" w:hAnsi="Arial" w:eastAsia="Arial" w:cs="Arial"/>
          <w:lang w:val="es-ES" w:eastAsia="es-ES" w:bidi="es-ES"/>
        </w:rPr>
        <w:t xml:space="preserve">Conforme a la explicación precedente, lo que define los contratos o convenios interadministrativos es la naturaleza de las partes, de manera que están determinados por un criterio orgánico, en el sentido de que lo serán aquellos celebrados entre entidades estatales. </w:t>
      </w:r>
      <w:r w:rsidRPr="00262D58" w:rsidR="000037B4">
        <w:rPr>
          <w:rFonts w:ascii="Arial" w:hAnsi="Arial" w:eastAsia="Times New Roman" w:cs="Arial"/>
          <w:lang w:eastAsia="es-CO"/>
        </w:rPr>
        <w:t xml:space="preserve">Se observa entonces que </w:t>
      </w:r>
      <w:r w:rsidRPr="00262D58" w:rsidR="000037B4">
        <w:rPr>
          <w:rFonts w:ascii="Arial" w:hAnsi="Arial" w:eastAsia="Times New Roman" w:cs="Arial"/>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262D58" w:rsidR="000037B4">
        <w:rPr>
          <w:rFonts w:ascii="Arial" w:hAnsi="Arial" w:eastAsia="Times New Roman" w:cs="Arial"/>
          <w:i/>
          <w:lang w:val="es-MX" w:eastAsia="es-CO"/>
        </w:rPr>
        <w:t>ibidem</w:t>
      </w:r>
      <w:r w:rsidRPr="00262D58" w:rsidR="000037B4">
        <w:rPr>
          <w:rFonts w:ascii="Arial" w:hAnsi="Arial" w:eastAsia="Times New Roman" w:cs="Arial"/>
          <w:lang w:val="es-MX" w:eastAsia="es-CO"/>
        </w:rPr>
        <w:t>,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bookmarkEnd w:id="66"/>
    <w:p w:rsidRPr="00262D58" w:rsidR="000037B4" w:rsidP="000037B4" w:rsidRDefault="000037B4" w14:paraId="53D0B7C6" w14:textId="77777777">
      <w:pPr>
        <w:pBdr>
          <w:top w:val="nil"/>
          <w:left w:val="nil"/>
          <w:bottom w:val="nil"/>
          <w:right w:val="nil"/>
          <w:between w:val="nil"/>
        </w:pBdr>
        <w:spacing w:after="0" w:line="276" w:lineRule="auto"/>
        <w:jc w:val="both"/>
        <w:rPr>
          <w:rFonts w:ascii="Arial" w:hAnsi="Arial" w:eastAsia="Arial" w:cs="Arial"/>
          <w:color w:val="000000"/>
        </w:rPr>
      </w:pPr>
    </w:p>
    <w:p w:rsidRPr="00262D58" w:rsidR="000037B4" w:rsidP="000037B4" w:rsidRDefault="000037B4" w14:paraId="0926FB87" w14:textId="77777777">
      <w:pPr>
        <w:widowControl w:val="0"/>
        <w:autoSpaceDE w:val="0"/>
        <w:autoSpaceDN w:val="0"/>
        <w:spacing w:after="0" w:line="276" w:lineRule="auto"/>
        <w:jc w:val="both"/>
        <w:rPr>
          <w:rFonts w:ascii="Arial" w:hAnsi="Arial" w:cs="Arial"/>
          <w:color w:val="000000" w:themeColor="text1"/>
          <w:lang w:val="es-ES_tradnl" w:bidi="es-ES"/>
        </w:rPr>
      </w:pPr>
      <w:r w:rsidRPr="00262D58">
        <w:rPr>
          <w:rFonts w:ascii="Arial" w:hAnsi="Arial" w:cs="Arial"/>
          <w:color w:val="000000" w:themeColor="text1"/>
          <w:lang w:val="es-ES_tradnl"/>
        </w:rPr>
        <w:t>Este concepto tiene el alcance previsto en el artículo 28 del Código de Procedimiento Administrativo y de lo Contencioso Administrativo.</w:t>
      </w:r>
    </w:p>
    <w:p w:rsidRPr="00262D58" w:rsidR="000037B4" w:rsidP="000037B4" w:rsidRDefault="000037B4" w14:paraId="378C204B" w14:textId="77777777">
      <w:pPr>
        <w:widowControl w:val="0"/>
        <w:autoSpaceDE w:val="0"/>
        <w:autoSpaceDN w:val="0"/>
        <w:spacing w:after="0" w:line="276" w:lineRule="auto"/>
        <w:jc w:val="both"/>
        <w:rPr>
          <w:rFonts w:ascii="Arial" w:hAnsi="Arial" w:cs="Arial"/>
          <w:color w:val="000000" w:themeColor="text1"/>
          <w:lang w:val="es-ES_tradnl" w:bidi="es-ES"/>
        </w:rPr>
      </w:pPr>
    </w:p>
    <w:p w:rsidRPr="00262D58" w:rsidR="000037B4" w:rsidP="000037B4" w:rsidRDefault="000037B4" w14:paraId="15BFA435" w14:textId="77777777">
      <w:pPr>
        <w:tabs>
          <w:tab w:val="left" w:pos="426"/>
        </w:tabs>
        <w:spacing w:line="276" w:lineRule="auto"/>
        <w:jc w:val="both"/>
        <w:rPr>
          <w:rFonts w:ascii="Arial" w:hAnsi="Arial" w:eastAsia="Times New Roman" w:cs="Arial"/>
          <w:color w:val="000000" w:themeColor="text1"/>
        </w:rPr>
      </w:pPr>
      <w:r w:rsidRPr="00262D58">
        <w:rPr>
          <w:rFonts w:ascii="Arial" w:hAnsi="Arial" w:eastAsia="Times New Roman" w:cs="Arial"/>
          <w:color w:val="000000" w:themeColor="text1"/>
        </w:rPr>
        <w:t>Atentamente,</w:t>
      </w:r>
    </w:p>
    <w:p w:rsidRPr="00262D58" w:rsidR="000037B4" w:rsidP="000037B4" w:rsidRDefault="00095EA1" w14:paraId="740B3940" w14:textId="2E6C0EA6">
      <w:pPr>
        <w:jc w:val="center"/>
        <w:rPr>
          <w:rFonts w:ascii="Arial" w:hAnsi="Arial" w:eastAsia="Times New Roman" w:cs="Arial"/>
          <w:lang w:eastAsia="es-CO"/>
        </w:rPr>
      </w:pPr>
      <w:r>
        <w:rPr>
          <w:noProof/>
        </w:rPr>
        <w:drawing>
          <wp:inline distT="0" distB="0" distL="0" distR="0" wp14:anchorId="027AB71F" wp14:editId="38CFD84F">
            <wp:extent cx="3152775" cy="1209675"/>
            <wp:effectExtent l="0" t="0" r="9525" b="9525"/>
            <wp:docPr id="1367666717" name="Picture 136766671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5E53FE" w:rsidR="000037B4" w:rsidTr="005131A0" w14:paraId="7AE009B5" w14:textId="77777777">
        <w:trPr>
          <w:trHeight w:val="409"/>
        </w:trPr>
        <w:tc>
          <w:tcPr>
            <w:tcW w:w="817" w:type="dxa"/>
            <w:tcBorders>
              <w:top w:val="nil"/>
              <w:left w:val="nil"/>
              <w:bottom w:val="nil"/>
              <w:right w:val="nil"/>
            </w:tcBorders>
            <w:vAlign w:val="center"/>
            <w:hideMark/>
          </w:tcPr>
          <w:p w:rsidRPr="00262D58" w:rsidR="000037B4" w:rsidP="005131A0" w:rsidRDefault="000037B4" w14:paraId="6DA04EB3" w14:textId="77777777">
            <w:pPr>
              <w:spacing w:after="0" w:line="240" w:lineRule="auto"/>
              <w:jc w:val="both"/>
              <w:rPr>
                <w:rFonts w:ascii="Arial" w:hAnsi="Arial" w:cs="Arial"/>
                <w:sz w:val="16"/>
                <w:szCs w:val="16"/>
              </w:rPr>
            </w:pPr>
            <w:r w:rsidRPr="00262D58">
              <w:rPr>
                <w:rFonts w:ascii="Arial" w:hAnsi="Arial"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262D58" w:rsidR="000037B4" w:rsidP="005131A0" w:rsidRDefault="000037B4" w14:paraId="39F80C02" w14:textId="77777777">
            <w:pPr>
              <w:spacing w:after="0" w:line="240" w:lineRule="auto"/>
              <w:jc w:val="both"/>
              <w:rPr>
                <w:rFonts w:ascii="Arial" w:hAnsi="Arial" w:cs="Arial"/>
                <w:sz w:val="16"/>
                <w:szCs w:val="16"/>
              </w:rPr>
            </w:pPr>
            <w:r w:rsidRPr="00262D58">
              <w:rPr>
                <w:rFonts w:ascii="Arial" w:hAnsi="Arial" w:cs="Arial"/>
                <w:sz w:val="16"/>
                <w:szCs w:val="16"/>
              </w:rPr>
              <w:t>Juan David Montoya Penagos</w:t>
            </w:r>
          </w:p>
          <w:p w:rsidRPr="00262D58" w:rsidR="000037B4" w:rsidP="005131A0" w:rsidRDefault="000037B4" w14:paraId="7BF1809D" w14:textId="77777777">
            <w:pPr>
              <w:spacing w:after="0" w:line="240" w:lineRule="auto"/>
              <w:jc w:val="both"/>
              <w:rPr>
                <w:rFonts w:ascii="Arial" w:hAnsi="Arial" w:cs="Arial"/>
                <w:sz w:val="16"/>
                <w:szCs w:val="16"/>
              </w:rPr>
            </w:pPr>
            <w:r w:rsidRPr="00262D58">
              <w:rPr>
                <w:rFonts w:ascii="Arial" w:hAnsi="Arial" w:cs="Arial"/>
                <w:sz w:val="16"/>
                <w:szCs w:val="16"/>
              </w:rPr>
              <w:t>Contratista de la Subdirección de Gestión Contractual</w:t>
            </w:r>
          </w:p>
        </w:tc>
      </w:tr>
      <w:tr w:rsidRPr="005E53FE" w:rsidR="000037B4" w:rsidTr="005131A0" w14:paraId="1B48CF70" w14:textId="77777777">
        <w:trPr>
          <w:trHeight w:val="409"/>
        </w:trPr>
        <w:tc>
          <w:tcPr>
            <w:tcW w:w="817" w:type="dxa"/>
            <w:tcBorders>
              <w:top w:val="nil"/>
              <w:left w:val="nil"/>
              <w:right w:val="nil"/>
            </w:tcBorders>
            <w:vAlign w:val="center"/>
          </w:tcPr>
          <w:p w:rsidRPr="00262D58" w:rsidR="000037B4" w:rsidP="005131A0" w:rsidRDefault="000037B4" w14:paraId="7FE15C90" w14:textId="77777777">
            <w:pPr>
              <w:jc w:val="both"/>
              <w:rPr>
                <w:rFonts w:ascii="Arial" w:hAnsi="Arial" w:cs="Arial"/>
                <w:sz w:val="16"/>
                <w:szCs w:val="16"/>
              </w:rPr>
            </w:pPr>
            <w:r w:rsidRPr="00262D58">
              <w:rPr>
                <w:rFonts w:ascii="Arial" w:hAnsi="Arial"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262D58" w:rsidR="000037B4" w:rsidP="005131A0" w:rsidRDefault="000037B4" w14:paraId="03A8EB3D" w14:textId="77777777">
            <w:pPr>
              <w:spacing w:after="0" w:line="240" w:lineRule="auto"/>
              <w:jc w:val="both"/>
              <w:rPr>
                <w:rFonts w:ascii="Arial" w:hAnsi="Arial" w:cs="Arial"/>
                <w:sz w:val="16"/>
                <w:szCs w:val="16"/>
              </w:rPr>
            </w:pPr>
            <w:r w:rsidRPr="00262D58">
              <w:rPr>
                <w:rFonts w:ascii="Arial" w:hAnsi="Arial" w:cs="Arial"/>
                <w:sz w:val="16"/>
                <w:szCs w:val="16"/>
              </w:rPr>
              <w:t>Alejandro Sarmiento Cantillo</w:t>
            </w:r>
          </w:p>
          <w:p w:rsidRPr="00262D58" w:rsidR="000037B4" w:rsidP="005131A0" w:rsidRDefault="000037B4" w14:paraId="02553E6F" w14:textId="77777777">
            <w:pPr>
              <w:spacing w:after="0" w:line="240" w:lineRule="auto"/>
              <w:jc w:val="both"/>
              <w:rPr>
                <w:rFonts w:ascii="Arial" w:hAnsi="Arial" w:cs="Arial"/>
                <w:sz w:val="16"/>
                <w:szCs w:val="16"/>
              </w:rPr>
            </w:pPr>
            <w:r w:rsidRPr="00262D58">
              <w:rPr>
                <w:rFonts w:ascii="Arial" w:hAnsi="Arial" w:cs="Arial"/>
                <w:sz w:val="16"/>
                <w:szCs w:val="16"/>
              </w:rPr>
              <w:t xml:space="preserve">Gestor </w:t>
            </w:r>
            <w:proofErr w:type="spellStart"/>
            <w:r w:rsidRPr="00262D58">
              <w:rPr>
                <w:rFonts w:ascii="Arial" w:hAnsi="Arial" w:cs="Arial"/>
                <w:sz w:val="16"/>
                <w:szCs w:val="16"/>
              </w:rPr>
              <w:t>T1</w:t>
            </w:r>
            <w:proofErr w:type="spellEnd"/>
            <w:r w:rsidRPr="00262D58">
              <w:rPr>
                <w:rFonts w:ascii="Arial" w:hAnsi="Arial" w:cs="Arial"/>
                <w:sz w:val="16"/>
                <w:szCs w:val="16"/>
              </w:rPr>
              <w:t xml:space="preserve"> </w:t>
            </w:r>
            <w:r w:rsidRPr="00CE2FC4">
              <w:rPr>
                <w:rFonts w:ascii="Arial" w:hAnsi="Arial" w:cs="Arial"/>
                <w:sz w:val="16"/>
                <w:szCs w:val="16"/>
              </w:rPr>
              <w:t>‒</w:t>
            </w:r>
            <w:r w:rsidRPr="00262D58">
              <w:rPr>
                <w:rFonts w:ascii="Arial" w:hAnsi="Arial" w:cs="Arial"/>
                <w:sz w:val="16"/>
                <w:szCs w:val="16"/>
              </w:rPr>
              <w:t xml:space="preserve"> 15 de la Subdirección de Gestión Contractual</w:t>
            </w:r>
          </w:p>
        </w:tc>
      </w:tr>
      <w:tr w:rsidRPr="005E53FE" w:rsidR="000037B4" w:rsidTr="005131A0" w14:paraId="482568C3" w14:textId="77777777">
        <w:trPr>
          <w:trHeight w:val="389"/>
        </w:trPr>
        <w:tc>
          <w:tcPr>
            <w:tcW w:w="817" w:type="dxa"/>
            <w:tcBorders>
              <w:top w:val="nil"/>
              <w:left w:val="nil"/>
              <w:bottom w:val="nil"/>
              <w:right w:val="nil"/>
            </w:tcBorders>
            <w:vAlign w:val="center"/>
            <w:hideMark/>
          </w:tcPr>
          <w:p w:rsidRPr="00262D58" w:rsidR="000037B4" w:rsidP="005131A0" w:rsidRDefault="000037B4" w14:paraId="534ACE7C" w14:textId="77777777">
            <w:pPr>
              <w:spacing w:after="0" w:line="240" w:lineRule="auto"/>
              <w:jc w:val="both"/>
              <w:rPr>
                <w:rFonts w:ascii="Arial" w:hAnsi="Arial" w:cs="Arial"/>
                <w:sz w:val="16"/>
                <w:szCs w:val="16"/>
              </w:rPr>
            </w:pPr>
            <w:r w:rsidRPr="00262D58">
              <w:rPr>
                <w:rFonts w:ascii="Arial" w:hAnsi="Arial"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262D58" w:rsidR="000037B4" w:rsidP="005131A0" w:rsidRDefault="000037B4" w14:paraId="77E050DF" w14:textId="77777777">
            <w:pPr>
              <w:spacing w:after="0" w:line="240" w:lineRule="auto"/>
              <w:jc w:val="both"/>
              <w:rPr>
                <w:rFonts w:ascii="Arial" w:hAnsi="Arial" w:cs="Arial"/>
                <w:sz w:val="16"/>
                <w:szCs w:val="16"/>
              </w:rPr>
            </w:pPr>
            <w:r w:rsidRPr="00262D58">
              <w:rPr>
                <w:rFonts w:ascii="Arial" w:hAnsi="Arial" w:cs="Arial"/>
                <w:sz w:val="16"/>
                <w:szCs w:val="16"/>
              </w:rPr>
              <w:t xml:space="preserve">Nohelia del Carmen </w:t>
            </w:r>
            <w:proofErr w:type="spellStart"/>
            <w:r w:rsidRPr="00262D58">
              <w:rPr>
                <w:rFonts w:ascii="Arial" w:hAnsi="Arial" w:cs="Arial"/>
                <w:sz w:val="16"/>
                <w:szCs w:val="16"/>
              </w:rPr>
              <w:t>Zawady</w:t>
            </w:r>
            <w:proofErr w:type="spellEnd"/>
            <w:r w:rsidRPr="00262D58">
              <w:rPr>
                <w:rFonts w:ascii="Arial" w:hAnsi="Arial" w:cs="Arial"/>
                <w:sz w:val="16"/>
                <w:szCs w:val="16"/>
              </w:rPr>
              <w:t xml:space="preserve"> Palacio</w:t>
            </w:r>
          </w:p>
          <w:p w:rsidRPr="00262D58" w:rsidR="000037B4" w:rsidP="005131A0" w:rsidRDefault="000037B4" w14:paraId="738B7571" w14:textId="77777777">
            <w:pPr>
              <w:spacing w:after="0" w:line="240" w:lineRule="auto"/>
              <w:jc w:val="both"/>
              <w:rPr>
                <w:rFonts w:ascii="Arial" w:hAnsi="Arial" w:cs="Arial"/>
                <w:sz w:val="16"/>
                <w:szCs w:val="16"/>
              </w:rPr>
            </w:pPr>
            <w:r w:rsidRPr="00262D58">
              <w:rPr>
                <w:rFonts w:ascii="Arial" w:hAnsi="Arial" w:cs="Arial"/>
                <w:sz w:val="16"/>
                <w:szCs w:val="16"/>
              </w:rPr>
              <w:t xml:space="preserve">Subdirectora de Gestión Contractual </w:t>
            </w:r>
            <w:proofErr w:type="spellStart"/>
            <w:r w:rsidRPr="00262D58">
              <w:rPr>
                <w:rFonts w:ascii="Arial" w:hAnsi="Arial" w:cs="Arial"/>
                <w:sz w:val="16"/>
                <w:szCs w:val="16"/>
              </w:rPr>
              <w:t>ANCP</w:t>
            </w:r>
            <w:proofErr w:type="spellEnd"/>
            <w:r w:rsidRPr="00262D58">
              <w:rPr>
                <w:rFonts w:ascii="Arial" w:hAnsi="Arial" w:cs="Arial"/>
                <w:sz w:val="16"/>
                <w:szCs w:val="16"/>
              </w:rPr>
              <w:t xml:space="preserve"> – </w:t>
            </w:r>
            <w:proofErr w:type="spellStart"/>
            <w:r w:rsidRPr="00262D58">
              <w:rPr>
                <w:rFonts w:ascii="Arial" w:hAnsi="Arial" w:cs="Arial"/>
                <w:sz w:val="16"/>
                <w:szCs w:val="16"/>
              </w:rPr>
              <w:t>CCE</w:t>
            </w:r>
            <w:proofErr w:type="spellEnd"/>
          </w:p>
        </w:tc>
      </w:tr>
      <w:bookmarkEnd w:id="2"/>
    </w:tbl>
    <w:p w:rsidRPr="00262D58" w:rsidR="000037B4" w:rsidP="000037B4" w:rsidRDefault="000037B4" w14:paraId="5E30CC4B" w14:textId="77777777">
      <w:pPr>
        <w:tabs>
          <w:tab w:val="left" w:pos="0"/>
        </w:tabs>
        <w:spacing w:line="276" w:lineRule="auto"/>
        <w:contextualSpacing/>
        <w:jc w:val="both"/>
        <w:rPr>
          <w:rFonts w:ascii="Arial" w:hAnsi="Arial" w:cs="Arial"/>
          <w:lang w:val="es-MX"/>
        </w:rPr>
      </w:pPr>
    </w:p>
    <w:p w:rsidRPr="00262D58" w:rsidR="000037B4" w:rsidP="000037B4" w:rsidRDefault="000037B4" w14:paraId="111A2FB7" w14:textId="77777777">
      <w:pPr>
        <w:rPr>
          <w:rFonts w:ascii="Arial" w:hAnsi="Arial" w:cs="Arial"/>
        </w:rPr>
      </w:pPr>
    </w:p>
    <w:p w:rsidRPr="00262D58" w:rsidR="00127233" w:rsidP="00E53AA4" w:rsidRDefault="00E245AB" w14:paraId="0F293BF4" w14:textId="4E630EB9">
      <w:pPr>
        <w:rPr>
          <w:rFonts w:ascii="Arial" w:hAnsi="Arial" w:cs="Arial"/>
        </w:rPr>
      </w:pPr>
      <w:r w:rsidRPr="00262D58">
        <w:rPr>
          <w:rFonts w:ascii="Arial" w:hAnsi="Arial" w:cs="Arial"/>
        </w:rPr>
        <w:t xml:space="preserve"> </w:t>
      </w:r>
    </w:p>
    <w:sectPr w:rsidRPr="00262D58" w:rsidR="00127233"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5CA8" w:rsidP="004A1847" w:rsidRDefault="008E5CA8" w14:paraId="3828E947" w14:textId="77777777">
      <w:pPr>
        <w:spacing w:after="0" w:line="240" w:lineRule="auto"/>
      </w:pPr>
      <w:r>
        <w:separator/>
      </w:r>
    </w:p>
  </w:endnote>
  <w:endnote w:type="continuationSeparator" w:id="0">
    <w:p w:rsidR="008E5CA8" w:rsidP="004A1847" w:rsidRDefault="008E5CA8" w14:paraId="104C6267" w14:textId="77777777">
      <w:pPr>
        <w:spacing w:after="0" w:line="240" w:lineRule="auto"/>
      </w:pPr>
      <w:r>
        <w:continuationSeparator/>
      </w:r>
    </w:p>
  </w:endnote>
  <w:endnote w:type="continuationNotice" w:id="1">
    <w:p w:rsidR="008E5CA8" w:rsidRDefault="008E5CA8" w14:paraId="6E8FFCD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entury Gothic">
    <w:altName w:val="Calibri"/>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A1847" w:rsidRDefault="009419F9" w14:paraId="18911A32" w14:textId="3BA5BB2D">
    <w:pPr>
      <w:pStyle w:val="Footer"/>
    </w:pPr>
    <w:r>
      <w:rPr>
        <w:noProof/>
      </w:rPr>
      <w:drawing>
        <wp:inline distT="0" distB="0" distL="0" distR="0" wp14:anchorId="600A8696" wp14:editId="357635FE">
          <wp:extent cx="5612130" cy="650240"/>
          <wp:effectExtent l="0" t="0" r="7620" b="0"/>
          <wp:docPr id="1013471023" name="Picture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Picture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Footer"/>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Footer"/>
            <w:jc w:val="center"/>
            <w:rPr>
              <w:rFonts w:ascii="Century Gothic" w:hAnsi="Century Gothic"/>
              <w:sz w:val="16"/>
              <w:szCs w:val="16"/>
            </w:rPr>
          </w:pPr>
          <w:r w:rsidRPr="003F3941">
            <w:rPr>
              <w:rFonts w:ascii="Century Gothic" w:hAnsi="Century Gothic"/>
              <w:sz w:val="16"/>
              <w:szCs w:val="16"/>
            </w:rPr>
            <w:t xml:space="preserve">CÓDIGO: </w:t>
          </w:r>
          <w:proofErr w:type="spellStart"/>
          <w:r w:rsidRPr="003F3941">
            <w:rPr>
              <w:rFonts w:ascii="Century Gothic" w:hAnsi="Century Gothic" w:eastAsia="Geo" w:cs="Geo"/>
              <w:b/>
              <w:color w:val="000000"/>
              <w:sz w:val="16"/>
              <w:szCs w:val="16"/>
              <w:lang w:eastAsia="es-CO"/>
            </w:rPr>
            <w:t>CCE</w:t>
          </w:r>
          <w:proofErr w:type="spellEnd"/>
          <w:r w:rsidRPr="003F3941">
            <w:rPr>
              <w:rFonts w:ascii="Century Gothic" w:hAnsi="Century Gothic" w:eastAsia="Geo" w:cs="Geo"/>
              <w:b/>
              <w:color w:val="000000"/>
              <w:sz w:val="16"/>
              <w:szCs w:val="16"/>
              <w:lang w:eastAsia="es-CO"/>
            </w:rPr>
            <w:t>-</w:t>
          </w:r>
          <w:proofErr w:type="spellStart"/>
          <w:r w:rsidR="00B72CD3">
            <w:rPr>
              <w:rFonts w:ascii="Century Gothic" w:hAnsi="Century Gothic" w:eastAsia="Geo" w:cs="Geo"/>
              <w:b/>
              <w:color w:val="000000"/>
              <w:sz w:val="16"/>
              <w:szCs w:val="16"/>
              <w:lang w:eastAsia="es-CO"/>
            </w:rPr>
            <w:t>REC</w:t>
          </w:r>
          <w:proofErr w:type="spellEnd"/>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Footer"/>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Footer"/>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5CA8" w:rsidP="004A1847" w:rsidRDefault="008E5CA8" w14:paraId="14DD285E" w14:textId="77777777">
      <w:pPr>
        <w:spacing w:after="0" w:line="240" w:lineRule="auto"/>
      </w:pPr>
      <w:r>
        <w:separator/>
      </w:r>
    </w:p>
  </w:footnote>
  <w:footnote w:type="continuationSeparator" w:id="0">
    <w:p w:rsidR="008E5CA8" w:rsidP="004A1847" w:rsidRDefault="008E5CA8" w14:paraId="71D04B88" w14:textId="77777777">
      <w:pPr>
        <w:spacing w:after="0" w:line="240" w:lineRule="auto"/>
      </w:pPr>
      <w:r>
        <w:continuationSeparator/>
      </w:r>
    </w:p>
  </w:footnote>
  <w:footnote w:type="continuationNotice" w:id="1">
    <w:p w:rsidR="008E5CA8" w:rsidRDefault="008E5CA8" w14:paraId="00137AC6" w14:textId="77777777">
      <w:pPr>
        <w:spacing w:after="0" w:line="240" w:lineRule="auto"/>
      </w:pPr>
    </w:p>
  </w:footnote>
  <w:footnote w:id="2">
    <w:p w:rsidRPr="00262D58" w:rsidR="000037B4" w:rsidP="000037B4" w:rsidRDefault="000037B4" w14:paraId="325151E8" w14:textId="77777777">
      <w:pPr>
        <w:pStyle w:val="FootnoteText"/>
        <w:ind w:firstLine="708"/>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262D58">
          <w:rPr>
            <w:rStyle w:val="Hyperlink"/>
            <w:rFonts w:ascii="Arial" w:hAnsi="Arial" w:cs="Arial"/>
            <w:sz w:val="16"/>
            <w:szCs w:val="16"/>
          </w:rPr>
          <w:t>https://relatoria.colombiacompra.gov.co/busqueda/conceptos</w:t>
        </w:r>
      </w:hyperlink>
      <w:r w:rsidRPr="00262D58">
        <w:rPr>
          <w:rStyle w:val="Hyperlink"/>
          <w:rFonts w:ascii="Arial" w:hAnsi="Arial" w:cs="Arial"/>
          <w:sz w:val="16"/>
          <w:szCs w:val="16"/>
        </w:rPr>
        <w:t xml:space="preserve">. </w:t>
      </w:r>
      <w:r w:rsidRPr="00262D58">
        <w:rPr>
          <w:rFonts w:ascii="Arial" w:hAnsi="Arial" w:cs="Arial"/>
          <w:sz w:val="16"/>
          <w:szCs w:val="16"/>
          <w:shd w:val="clear" w:color="auto" w:fill="E6E6E6"/>
        </w:rPr>
        <w:t xml:space="preserve"> </w:t>
      </w:r>
    </w:p>
  </w:footnote>
  <w:footnote w:id="3">
    <w:p w:rsidRPr="00262D58" w:rsidR="000037B4" w:rsidP="000037B4" w:rsidRDefault="000037B4" w14:paraId="74C0020D" w14:textId="77777777">
      <w:pPr>
        <w:pStyle w:val="FootnoteText"/>
        <w:ind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rsidRPr="00262D58" w:rsidR="000037B4" w:rsidP="000037B4" w:rsidRDefault="000037B4" w14:paraId="051BA596" w14:textId="77777777">
      <w:pPr>
        <w:pStyle w:val="FootnoteText"/>
        <w:ind w:firstLine="709"/>
        <w:contextualSpacing/>
        <w:jc w:val="both"/>
        <w:rPr>
          <w:rFonts w:ascii="Arial" w:hAnsi="Arial" w:cs="Arial"/>
          <w:sz w:val="16"/>
          <w:szCs w:val="16"/>
        </w:rPr>
      </w:pPr>
      <w:r w:rsidRPr="00262D58">
        <w:rPr>
          <w:rFonts w:ascii="Arial" w:hAnsi="Arial"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4">
    <w:p w:rsidRPr="00262D58" w:rsidR="000037B4" w:rsidP="000037B4" w:rsidRDefault="000037B4" w14:paraId="10AC1E86" w14:textId="77777777">
      <w:pPr>
        <w:pStyle w:val="FootnoteText"/>
        <w:ind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Gaceta del Congreso de la República No. 71 del 2005.</w:t>
      </w:r>
    </w:p>
  </w:footnote>
  <w:footnote w:id="5">
    <w:p w:rsidR="000037B4" w:rsidP="000037B4" w:rsidRDefault="000037B4" w14:paraId="361BA28B" w14:textId="77777777">
      <w:pPr>
        <w:pStyle w:val="FootnoteText"/>
        <w:ind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Corte Constitucional, Sentencia C- 1153 de 2005, </w:t>
      </w:r>
      <w:proofErr w:type="spellStart"/>
      <w:r w:rsidRPr="00262D58">
        <w:rPr>
          <w:rFonts w:ascii="Arial" w:hAnsi="Arial" w:cs="Arial"/>
          <w:sz w:val="16"/>
          <w:szCs w:val="16"/>
        </w:rPr>
        <w:t>M.P</w:t>
      </w:r>
      <w:proofErr w:type="spellEnd"/>
      <w:r w:rsidRPr="00262D58">
        <w:rPr>
          <w:rFonts w:ascii="Arial" w:hAnsi="Arial" w:cs="Arial"/>
          <w:sz w:val="16"/>
          <w:szCs w:val="16"/>
        </w:rPr>
        <w:t>. Marco Gerardo Monroy Cabra.</w:t>
      </w:r>
    </w:p>
    <w:p w:rsidRPr="00C744C3" w:rsidR="000037B4" w:rsidP="000037B4" w:rsidRDefault="000037B4" w14:paraId="70C7F7EE" w14:textId="77777777">
      <w:pPr>
        <w:pStyle w:val="FootnoteText"/>
        <w:ind w:firstLine="709"/>
        <w:contextualSpacing/>
        <w:jc w:val="both"/>
        <w:rPr>
          <w:rFonts w:ascii="Arial" w:hAnsi="Arial" w:cs="Arial"/>
          <w:sz w:val="16"/>
          <w:szCs w:val="16"/>
        </w:rPr>
      </w:pPr>
    </w:p>
  </w:footnote>
  <w:footnote w:id="6">
    <w:p w:rsidRPr="00C744C3" w:rsidR="000037B4" w:rsidP="00262D58" w:rsidRDefault="000037B4" w14:paraId="15A5D3C7" w14:textId="4327E8D2">
      <w:pPr>
        <w:pStyle w:val="FootnoteText"/>
        <w:ind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Corte Constitucional. Sentencias: C-233 de 4 de abril de 2002, expediente: D-3704; C-551 de 9 de julio de 2003, expediente: </w:t>
      </w:r>
      <w:proofErr w:type="spellStart"/>
      <w:r w:rsidRPr="00262D58">
        <w:rPr>
          <w:rFonts w:ascii="Arial" w:hAnsi="Arial" w:cs="Arial"/>
          <w:sz w:val="16"/>
          <w:szCs w:val="16"/>
        </w:rPr>
        <w:t>CRF</w:t>
      </w:r>
      <w:proofErr w:type="spellEnd"/>
      <w:r w:rsidRPr="00262D58">
        <w:rPr>
          <w:rFonts w:ascii="Arial" w:hAnsi="Arial" w:cs="Arial"/>
          <w:sz w:val="16"/>
          <w:szCs w:val="16"/>
        </w:rPr>
        <w:t xml:space="preserve">-001 de 9 de julio de 2003; C-652 de 5 de agosto de 2003, expediente: D-4330; C-353 de 20 de mayo de 2009, expediente: D-7518, C-541 de 30 de junio de 2010, expediente: </w:t>
      </w:r>
      <w:proofErr w:type="spellStart"/>
      <w:r w:rsidRPr="00262D58">
        <w:rPr>
          <w:rFonts w:ascii="Arial" w:hAnsi="Arial" w:cs="Arial"/>
          <w:sz w:val="16"/>
          <w:szCs w:val="16"/>
        </w:rPr>
        <w:t>DD7966</w:t>
      </w:r>
      <w:proofErr w:type="spellEnd"/>
      <w:r w:rsidRPr="00262D58">
        <w:rPr>
          <w:rFonts w:ascii="Arial" w:hAnsi="Arial" w:cs="Arial"/>
          <w:sz w:val="16"/>
          <w:szCs w:val="16"/>
        </w:rPr>
        <w:t>; entre otras.</w:t>
      </w:r>
    </w:p>
  </w:footnote>
  <w:footnote w:id="7">
    <w:p w:rsidRPr="00C744C3" w:rsidR="000037B4" w:rsidP="00262D58" w:rsidRDefault="000037B4" w14:paraId="643F2F4D" w14:textId="1AEDC087">
      <w:pPr>
        <w:pStyle w:val="FootnoteText"/>
        <w:ind w:firstLine="709"/>
        <w:contextualSpacing/>
        <w:jc w:val="both"/>
        <w:rPr>
          <w:rFonts w:ascii="Arial" w:hAnsi="Arial" w:cs="Arial"/>
          <w:sz w:val="16"/>
          <w:szCs w:val="16"/>
          <w:lang w:val="es-CO"/>
        </w:rPr>
      </w:pPr>
      <w:r w:rsidRPr="00262D58">
        <w:rPr>
          <w:rStyle w:val="FootnoteReference"/>
          <w:rFonts w:ascii="Arial" w:hAnsi="Arial" w:cs="Arial"/>
          <w:sz w:val="16"/>
          <w:szCs w:val="16"/>
        </w:rPr>
        <w:footnoteRef/>
      </w:r>
      <w:r w:rsidRPr="00262D58">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rsidRPr="00C744C3" w:rsidR="000037B4" w:rsidP="00262D58" w:rsidRDefault="000037B4" w14:paraId="48594C91" w14:textId="5854CC71">
      <w:pPr>
        <w:pStyle w:val="FootnoteText"/>
        <w:ind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Consejo de Estado, Sala de Consulta y Servicio Civil de fecha 24 de julio de 2013, radicado 2166, </w:t>
      </w:r>
      <w:proofErr w:type="gramStart"/>
      <w:r w:rsidRPr="00262D58">
        <w:rPr>
          <w:rFonts w:ascii="Arial" w:hAnsi="Arial" w:cs="Arial"/>
          <w:sz w:val="16"/>
          <w:szCs w:val="16"/>
        </w:rPr>
        <w:t>Consejero</w:t>
      </w:r>
      <w:proofErr w:type="gramEnd"/>
      <w:r w:rsidRPr="00262D58">
        <w:rPr>
          <w:rFonts w:ascii="Arial" w:hAnsi="Arial" w:cs="Arial"/>
          <w:sz w:val="16"/>
          <w:szCs w:val="16"/>
        </w:rPr>
        <w:t xml:space="preserve"> Ponente: Álvaro </w:t>
      </w:r>
      <w:proofErr w:type="spellStart"/>
      <w:r w:rsidRPr="00262D58">
        <w:rPr>
          <w:rFonts w:ascii="Arial" w:hAnsi="Arial" w:cs="Arial"/>
          <w:sz w:val="16"/>
          <w:szCs w:val="16"/>
        </w:rPr>
        <w:t>Namén</w:t>
      </w:r>
      <w:proofErr w:type="spellEnd"/>
      <w:r w:rsidRPr="00262D58">
        <w:rPr>
          <w:rFonts w:ascii="Arial" w:hAnsi="Arial" w:cs="Arial"/>
          <w:sz w:val="16"/>
          <w:szCs w:val="16"/>
        </w:rPr>
        <w:t xml:space="preserve"> Vargas.  </w:t>
      </w:r>
    </w:p>
  </w:footnote>
  <w:footnote w:id="9">
    <w:p w:rsidRPr="00262D58" w:rsidR="000037B4" w:rsidP="000037B4" w:rsidRDefault="000037B4" w14:paraId="059D2F2A" w14:textId="77777777">
      <w:pPr>
        <w:spacing w:after="0" w:line="240" w:lineRule="auto"/>
        <w:ind w:firstLine="709"/>
        <w:contextualSpacing/>
        <w:jc w:val="both"/>
        <w:rPr>
          <w:rFonts w:ascii="Arial" w:hAnsi="Arial" w:eastAsia="Times New Roman"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w:t>
      </w:r>
      <w:bookmarkStart w:name="33" w:id="20"/>
      <w:r w:rsidRPr="00262D58">
        <w:rPr>
          <w:rFonts w:ascii="Arial" w:hAnsi="Arial" w:eastAsia="Calibri" w:cs="Arial"/>
          <w:color w:val="000000"/>
          <w:sz w:val="16"/>
          <w:szCs w:val="16"/>
        </w:rPr>
        <w:t>“</w:t>
      </w:r>
      <w:r w:rsidRPr="00262D58">
        <w:rPr>
          <w:rFonts w:ascii="Arial" w:hAnsi="Arial" w:eastAsia="Times New Roman" w:cs="Arial"/>
          <w:sz w:val="16"/>
          <w:szCs w:val="16"/>
        </w:rPr>
        <w:t>Artículo 33. Restricciones a la contratación pública.</w:t>
      </w:r>
      <w:bookmarkEnd w:id="20"/>
      <w:r w:rsidRPr="00262D58">
        <w:rPr>
          <w:rFonts w:ascii="Arial" w:hAnsi="Arial" w:eastAsia="Times New Roman" w:cs="Arial"/>
          <w:sz w:val="16"/>
          <w:szCs w:val="16"/>
        </w:rPr>
        <w:t> Durante los cuatro (4) meses anteriores a la elección presidencial y hasta la realización de la elección en la segunda vuelta, si fuere el caso, queda prohibida la contratación directa por parte de todos los entes del Estado.</w:t>
      </w:r>
    </w:p>
    <w:p w:rsidRPr="00262D58" w:rsidR="000037B4" w:rsidP="000037B4" w:rsidRDefault="000037B4" w14:paraId="7A270D89" w14:textId="77777777">
      <w:pPr>
        <w:spacing w:after="0" w:line="240" w:lineRule="auto"/>
        <w:ind w:firstLine="709"/>
        <w:contextualSpacing/>
        <w:jc w:val="both"/>
        <w:rPr>
          <w:rFonts w:ascii="Arial" w:hAnsi="Arial" w:eastAsia="Times New Roman" w:cs="Arial"/>
          <w:sz w:val="16"/>
          <w:szCs w:val="16"/>
        </w:rPr>
      </w:pPr>
      <w:r w:rsidRPr="00262D58">
        <w:rPr>
          <w:rFonts w:ascii="Arial" w:hAnsi="Arial" w:eastAsia="Times New Roman" w:cs="Arial"/>
          <w:sz w:val="16"/>
          <w:szCs w:val="16"/>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262D58">
        <w:rPr>
          <w:rFonts w:ascii="Arial" w:hAnsi="Arial" w:eastAsia="Calibri" w:cs="Arial"/>
          <w:color w:val="000000"/>
          <w:sz w:val="16"/>
          <w:szCs w:val="16"/>
        </w:rPr>
        <w:t>”</w:t>
      </w:r>
      <w:r w:rsidRPr="00262D58">
        <w:rPr>
          <w:rFonts w:ascii="Arial" w:hAnsi="Arial" w:eastAsia="Times New Roman" w:cs="Arial"/>
          <w:sz w:val="16"/>
          <w:szCs w:val="16"/>
        </w:rPr>
        <w:t>.</w:t>
      </w:r>
    </w:p>
  </w:footnote>
  <w:footnote w:id="10">
    <w:p w:rsidRPr="00262D58" w:rsidR="000037B4" w:rsidP="000037B4" w:rsidRDefault="000037B4" w14:paraId="473F3236" w14:textId="77777777">
      <w:pPr>
        <w:pStyle w:val="NormalWeb"/>
        <w:spacing w:before="0" w:beforeAutospacing="0" w:after="0" w:afterAutospacing="0"/>
        <w:ind w:firstLine="709"/>
        <w:contextualSpacing/>
        <w:jc w:val="both"/>
        <w:rPr>
          <w:rFonts w:ascii="Arial" w:hAnsi="Arial" w:cs="Arial"/>
          <w:sz w:val="16"/>
          <w:szCs w:val="16"/>
          <w:lang w:val="es-MX"/>
        </w:rPr>
      </w:pPr>
      <w:r w:rsidRPr="00262D58">
        <w:rPr>
          <w:rStyle w:val="FootnoteReference"/>
          <w:rFonts w:ascii="Arial" w:hAnsi="Arial" w:cs="Arial"/>
          <w:sz w:val="16"/>
          <w:szCs w:val="16"/>
        </w:rPr>
        <w:footnoteRef/>
      </w:r>
      <w:r w:rsidRPr="00262D58">
        <w:rPr>
          <w:rFonts w:ascii="Arial" w:hAnsi="Arial" w:cs="Arial"/>
          <w:sz w:val="16"/>
          <w:szCs w:val="16"/>
        </w:rPr>
        <w:t xml:space="preserve"> </w:t>
      </w:r>
      <w:bookmarkStart w:name="38" w:id="21"/>
      <w:r w:rsidRPr="00262D58">
        <w:rPr>
          <w:rFonts w:ascii="Arial" w:hAnsi="Arial" w:eastAsia="Calibri" w:cs="Arial"/>
          <w:color w:val="000000"/>
          <w:sz w:val="16"/>
          <w:szCs w:val="16"/>
        </w:rPr>
        <w:t>“</w:t>
      </w:r>
      <w:r w:rsidRPr="00262D58">
        <w:rPr>
          <w:rFonts w:ascii="Arial" w:hAnsi="Arial" w:cs="Arial"/>
          <w:sz w:val="16"/>
          <w:szCs w:val="16"/>
          <w:lang w:val="es-MX"/>
        </w:rPr>
        <w:t>Artículo 38. Prohibiciones para los servidores públicos. A los empleados del Estado les está prohibido:</w:t>
      </w:r>
      <w:bookmarkEnd w:id="21"/>
    </w:p>
    <w:p w:rsidRPr="00262D58" w:rsidR="000037B4" w:rsidP="000037B4" w:rsidRDefault="000037B4" w14:paraId="5E761BC1" w14:textId="77777777">
      <w:pPr>
        <w:pStyle w:val="NormalWeb"/>
        <w:spacing w:before="0" w:beforeAutospacing="0" w:after="0" w:afterAutospacing="0"/>
        <w:ind w:firstLine="709"/>
        <w:contextualSpacing/>
        <w:jc w:val="both"/>
        <w:rPr>
          <w:rFonts w:ascii="Arial" w:hAnsi="Arial" w:cs="Arial"/>
          <w:sz w:val="16"/>
          <w:szCs w:val="16"/>
          <w:lang w:val="es-MX"/>
        </w:rPr>
      </w:pPr>
      <w:r w:rsidRPr="00262D58">
        <w:rPr>
          <w:rFonts w:ascii="Arial" w:hAnsi="Arial" w:cs="Arial"/>
          <w:sz w:val="16"/>
          <w:szCs w:val="16"/>
          <w:lang w:val="es-MX"/>
        </w:rPr>
        <w:t>[…]</w:t>
      </w:r>
    </w:p>
    <w:p w:rsidRPr="00262D58" w:rsidR="000037B4" w:rsidP="000037B4" w:rsidRDefault="000037B4" w14:paraId="7413A8A8" w14:textId="77777777">
      <w:pPr>
        <w:pStyle w:val="NormalWeb"/>
        <w:spacing w:before="0" w:beforeAutospacing="0" w:after="0" w:afterAutospacing="0"/>
        <w:ind w:firstLine="709"/>
        <w:contextualSpacing/>
        <w:jc w:val="both"/>
        <w:rPr>
          <w:rFonts w:ascii="Arial" w:hAnsi="Arial" w:cs="Arial"/>
          <w:sz w:val="16"/>
          <w:szCs w:val="16"/>
          <w:lang w:val="es-MX"/>
        </w:rPr>
      </w:pPr>
      <w:r w:rsidRPr="00262D58">
        <w:rPr>
          <w:rStyle w:val="baj"/>
          <w:rFonts w:ascii="Arial" w:hAnsi="Arial" w:cs="Arial"/>
          <w:sz w:val="16"/>
          <w:szCs w:val="16"/>
          <w:lang w:val="es-MX"/>
        </w:rPr>
        <w:t>Parágrafo.</w:t>
      </w:r>
      <w:r w:rsidRPr="00262D58">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62D58">
        <w:rPr>
          <w:rFonts w:ascii="Arial" w:hAnsi="Arial" w:eastAsia="Calibri" w:cs="Arial"/>
          <w:color w:val="000000"/>
          <w:sz w:val="16"/>
          <w:szCs w:val="16"/>
        </w:rPr>
        <w:t>”</w:t>
      </w:r>
      <w:r w:rsidRPr="00262D58">
        <w:rPr>
          <w:rFonts w:ascii="Arial" w:hAnsi="Arial" w:cs="Arial"/>
          <w:sz w:val="16"/>
          <w:szCs w:val="16"/>
          <w:lang w:val="es-MX"/>
        </w:rPr>
        <w:t>.</w:t>
      </w:r>
    </w:p>
  </w:footnote>
  <w:footnote w:id="11">
    <w:p w:rsidRPr="00262D58" w:rsidR="000037B4" w:rsidP="000037B4" w:rsidRDefault="000037B4" w14:paraId="313A244D" w14:textId="77777777">
      <w:pPr>
        <w:spacing w:after="0" w:line="240" w:lineRule="auto"/>
        <w:ind w:left="100" w:right="244" w:firstLine="709"/>
        <w:contextualSpacing/>
        <w:jc w:val="both"/>
        <w:rPr>
          <w:rFonts w:ascii="Arial" w:hAnsi="Arial" w:cs="Arial"/>
          <w:sz w:val="16"/>
          <w:szCs w:val="16"/>
          <w:lang w:val="es-ES"/>
        </w:rPr>
      </w:pPr>
      <w:r w:rsidRPr="00262D58">
        <w:rPr>
          <w:rStyle w:val="FootnoteReference"/>
          <w:rFonts w:ascii="Arial" w:hAnsi="Arial" w:cs="Arial"/>
          <w:sz w:val="16"/>
          <w:szCs w:val="16"/>
        </w:rPr>
        <w:footnoteRef/>
      </w:r>
      <w:r w:rsidRPr="00262D58">
        <w:rPr>
          <w:rFonts w:ascii="Arial" w:hAnsi="Arial" w:cs="Arial"/>
          <w:sz w:val="16"/>
          <w:szCs w:val="16"/>
        </w:rPr>
        <w:t xml:space="preserve"> Consejo de Estado. Sala de Consulta y Servicio Civil. Concepto del 17 de febrero de 2015. C.P. William Zambrano Cetina. Radicación No. 11001-03-06-000-2015-00164-00(2269).</w:t>
      </w:r>
    </w:p>
  </w:footnote>
  <w:footnote w:id="12">
    <w:p w:rsidRPr="00262D58" w:rsidR="000037B4" w:rsidP="000037B4" w:rsidRDefault="000037B4" w14:paraId="1E8F6DC6" w14:textId="77777777">
      <w:pPr>
        <w:pStyle w:val="FootnoteText"/>
        <w:ind w:right="51"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w:t>
      </w:r>
      <w:r w:rsidRPr="00262D58">
        <w:rPr>
          <w:rFonts w:ascii="Arial" w:hAnsi="Arial" w:cs="Arial"/>
          <w:sz w:val="16"/>
          <w:szCs w:val="16"/>
          <w:lang w:val="es-ES"/>
        </w:rPr>
        <w:t xml:space="preserve">[25] </w:t>
      </w:r>
      <w:r w:rsidRPr="00262D58">
        <w:rPr>
          <w:rFonts w:ascii="Arial" w:hAnsi="Arial" w:cs="Arial"/>
          <w:sz w:val="16"/>
          <w:szCs w:val="16"/>
        </w:rPr>
        <w:t>Cfr. Consejo de Estado. Sección Tercera. Sentencia de 3 de diciembre de 2007. Radicados: 24.715, 25.206, 25.409, 24.524, 27.834, 25.410, 26.105, 28.244, 31.447 -acumulados-”.</w:t>
      </w:r>
    </w:p>
  </w:footnote>
  <w:footnote w:id="13">
    <w:p w:rsidRPr="00262D58" w:rsidR="000037B4" w:rsidP="000037B4" w:rsidRDefault="000037B4" w14:paraId="7F73098F" w14:textId="77777777">
      <w:pPr>
        <w:pStyle w:val="FootnoteText"/>
        <w:ind w:right="51"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w:t>
      </w:r>
      <w:bookmarkStart w:name="_Hlk74294506" w:id="28"/>
      <w:r w:rsidRPr="00262D58">
        <w:rPr>
          <w:rFonts w:ascii="Arial" w:hAnsi="Arial" w:cs="Arial"/>
          <w:sz w:val="16"/>
          <w:szCs w:val="16"/>
        </w:rPr>
        <w:t>“</w:t>
      </w:r>
      <w:r w:rsidRPr="00262D58">
        <w:rPr>
          <w:rFonts w:ascii="Arial" w:hAnsi="Arial" w:cs="Arial"/>
          <w:sz w:val="16"/>
          <w:szCs w:val="16"/>
          <w:lang w:val="es-ES"/>
        </w:rPr>
        <w:t xml:space="preserve">[26] </w:t>
      </w:r>
      <w:bookmarkEnd w:id="28"/>
      <w:r w:rsidRPr="00262D58">
        <w:rPr>
          <w:rFonts w:ascii="Arial" w:hAnsi="Arial" w:cs="Arial"/>
          <w:sz w:val="16"/>
          <w:szCs w:val="16"/>
        </w:rPr>
        <w:t>Al respecto ver el concepto 1712 de 2 de febrero de 2006. Consejo de Estado Sala de Consulta y Servicio Civil”.</w:t>
      </w:r>
    </w:p>
  </w:footnote>
  <w:footnote w:id="14">
    <w:p w:rsidRPr="00262D58" w:rsidR="000037B4" w:rsidP="000037B4" w:rsidRDefault="000037B4" w14:paraId="7B42C1D6" w14:textId="77777777">
      <w:pPr>
        <w:pStyle w:val="FootnoteText"/>
        <w:ind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Consejo de Estado. Sala de Consulta y Servicio Civil. Concepto del 2 de septiembre de 2013. Radicación número: 11001-03-06-000-2013-00412-00 (2168). Consejero Ponente: Álvaro </w:t>
      </w:r>
      <w:proofErr w:type="spellStart"/>
      <w:r w:rsidRPr="00262D58">
        <w:rPr>
          <w:rFonts w:ascii="Arial" w:hAnsi="Arial" w:cs="Arial"/>
          <w:sz w:val="16"/>
          <w:szCs w:val="16"/>
        </w:rPr>
        <w:t>Namén</w:t>
      </w:r>
      <w:proofErr w:type="spellEnd"/>
      <w:r w:rsidRPr="00262D58">
        <w:rPr>
          <w:rFonts w:ascii="Arial" w:hAnsi="Arial" w:cs="Arial"/>
          <w:sz w:val="16"/>
          <w:szCs w:val="16"/>
        </w:rPr>
        <w:t xml:space="preserve"> Vargas.</w:t>
      </w:r>
    </w:p>
  </w:footnote>
  <w:footnote w:id="15">
    <w:p w:rsidRPr="00262D58" w:rsidR="000037B4" w:rsidP="000037B4" w:rsidRDefault="000037B4" w14:paraId="4B131791" w14:textId="77777777">
      <w:pPr>
        <w:pStyle w:val="FootnoteText"/>
        <w:ind w:firstLine="709"/>
        <w:contextualSpacing/>
        <w:jc w:val="both"/>
        <w:rPr>
          <w:rFonts w:ascii="Arial" w:hAnsi="Arial" w:cs="Arial"/>
          <w:sz w:val="16"/>
          <w:szCs w:val="16"/>
          <w:lang w:val="es-ES"/>
        </w:rPr>
      </w:pPr>
      <w:r w:rsidRPr="00262D58">
        <w:rPr>
          <w:rStyle w:val="FootnoteReference"/>
          <w:rFonts w:ascii="Arial" w:hAnsi="Arial" w:cs="Arial"/>
          <w:sz w:val="16"/>
          <w:szCs w:val="16"/>
        </w:rPr>
        <w:footnoteRef/>
      </w:r>
      <w:r w:rsidRPr="00262D58">
        <w:rPr>
          <w:rFonts w:ascii="Arial" w:hAnsi="Arial" w:cs="Arial"/>
          <w:sz w:val="16"/>
          <w:szCs w:val="16"/>
        </w:rPr>
        <w:t xml:space="preserve"> </w:t>
      </w:r>
      <w:r w:rsidRPr="00262D58">
        <w:rPr>
          <w:rFonts w:ascii="Arial" w:hAnsi="Arial" w:cs="Arial"/>
          <w:sz w:val="16"/>
          <w:szCs w:val="16"/>
          <w:lang w:val="es-ES"/>
        </w:rPr>
        <w:t xml:space="preserve">Artículo 2. </w:t>
      </w:r>
    </w:p>
  </w:footnote>
  <w:footnote w:id="16">
    <w:p w:rsidRPr="00262D58" w:rsidR="000037B4" w:rsidP="000037B4" w:rsidRDefault="000037B4" w14:paraId="367BF403" w14:textId="77777777">
      <w:pPr>
        <w:pStyle w:val="FootnoteText"/>
        <w:ind w:firstLine="709"/>
        <w:contextualSpacing/>
        <w:jc w:val="both"/>
        <w:rPr>
          <w:rFonts w:ascii="Arial" w:hAnsi="Arial" w:cs="Arial"/>
          <w:sz w:val="16"/>
          <w:szCs w:val="16"/>
          <w:lang w:val="es-ES"/>
        </w:rPr>
      </w:pPr>
      <w:r w:rsidRPr="00262D58">
        <w:rPr>
          <w:rStyle w:val="FootnoteReference"/>
          <w:rFonts w:ascii="Arial" w:hAnsi="Arial" w:cs="Arial"/>
          <w:sz w:val="16"/>
          <w:szCs w:val="16"/>
        </w:rPr>
        <w:footnoteRef/>
      </w:r>
      <w:r w:rsidRPr="00262D58">
        <w:rPr>
          <w:rFonts w:ascii="Arial" w:hAnsi="Arial" w:cs="Arial"/>
          <w:sz w:val="16"/>
          <w:szCs w:val="16"/>
        </w:rPr>
        <w:t xml:space="preserve"> </w:t>
      </w:r>
      <w:r w:rsidRPr="00262D58">
        <w:rPr>
          <w:rFonts w:ascii="Arial" w:hAnsi="Arial" w:cs="Arial"/>
          <w:i/>
          <w:sz w:val="16"/>
          <w:szCs w:val="16"/>
          <w:lang w:val="es-ES"/>
        </w:rPr>
        <w:t>Ídem</w:t>
      </w:r>
      <w:r w:rsidRPr="00262D58">
        <w:rPr>
          <w:rFonts w:ascii="Arial" w:hAnsi="Arial" w:cs="Arial"/>
          <w:sz w:val="16"/>
          <w:szCs w:val="16"/>
          <w:lang w:val="es-ES"/>
        </w:rPr>
        <w:t>.</w:t>
      </w:r>
    </w:p>
  </w:footnote>
  <w:footnote w:id="17">
    <w:p w:rsidRPr="00262D58" w:rsidR="000037B4" w:rsidP="000037B4" w:rsidRDefault="000037B4" w14:paraId="4C4CE4DD" w14:textId="77777777">
      <w:pPr>
        <w:pStyle w:val="FootnoteText"/>
        <w:ind w:firstLine="709"/>
        <w:contextualSpacing/>
        <w:jc w:val="both"/>
        <w:rPr>
          <w:rFonts w:ascii="Arial" w:hAnsi="Arial" w:cs="Arial"/>
          <w:sz w:val="16"/>
          <w:szCs w:val="16"/>
          <w:lang w:val="es-ES"/>
        </w:rPr>
      </w:pPr>
      <w:r w:rsidRPr="00262D58">
        <w:rPr>
          <w:rStyle w:val="FootnoteReference"/>
          <w:rFonts w:ascii="Arial" w:hAnsi="Arial" w:cs="Arial"/>
          <w:sz w:val="16"/>
          <w:szCs w:val="16"/>
        </w:rPr>
        <w:footnoteRef/>
      </w:r>
      <w:r w:rsidRPr="00262D58">
        <w:rPr>
          <w:rStyle w:val="FootnoteReference"/>
          <w:rFonts w:ascii="Arial" w:hAnsi="Arial" w:cs="Arial"/>
          <w:sz w:val="16"/>
          <w:szCs w:val="16"/>
        </w:rPr>
        <w:t xml:space="preserve"> </w:t>
      </w:r>
      <w:r w:rsidRPr="00262D58">
        <w:rPr>
          <w:rFonts w:ascii="Arial" w:hAnsi="Arial" w:cs="Arial"/>
          <w:sz w:val="16"/>
          <w:szCs w:val="16"/>
          <w:lang w:val="es-ES"/>
        </w:rPr>
        <w:t xml:space="preserve">“[…] A este respecto, cabe recordar que el artículo 860 del Código de Comercio regula la licitación en el derecho privado”. </w:t>
      </w:r>
    </w:p>
  </w:footnote>
  <w:footnote w:id="18">
    <w:p w:rsidRPr="00262D58" w:rsidR="000037B4" w:rsidP="000037B4" w:rsidRDefault="000037B4" w14:paraId="3CF4E0F4" w14:textId="77777777">
      <w:pPr>
        <w:shd w:val="clear" w:color="auto" w:fill="FFFFFF"/>
        <w:spacing w:after="0" w:line="240" w:lineRule="auto"/>
        <w:ind w:firstLine="709"/>
        <w:contextualSpacing/>
        <w:jc w:val="both"/>
        <w:rPr>
          <w:rFonts w:ascii="Arial" w:hAnsi="Arial" w:cs="Arial"/>
          <w:sz w:val="16"/>
          <w:szCs w:val="16"/>
          <w:lang w:val="es-ES"/>
        </w:rPr>
      </w:pPr>
      <w:r w:rsidRPr="00262D58">
        <w:rPr>
          <w:rStyle w:val="FootnoteReference"/>
          <w:rFonts w:ascii="Arial" w:hAnsi="Arial" w:cs="Arial"/>
          <w:sz w:val="16"/>
          <w:szCs w:val="16"/>
        </w:rPr>
        <w:footnoteRef/>
      </w:r>
      <w:r w:rsidRPr="00262D58">
        <w:rPr>
          <w:rStyle w:val="FootnoteReference"/>
          <w:rFonts w:ascii="Arial" w:hAnsi="Arial" w:cs="Arial"/>
          <w:sz w:val="16"/>
          <w:szCs w:val="16"/>
        </w:rPr>
        <w:t xml:space="preserve"> </w:t>
      </w:r>
      <w:r w:rsidRPr="00262D58">
        <w:rPr>
          <w:rFonts w:ascii="Arial" w:hAnsi="Arial" w:cs="Arial"/>
          <w:sz w:val="16"/>
          <w:szCs w:val="16"/>
          <w:lang w:val="es-ES"/>
        </w:rPr>
        <w:t xml:space="preserve">Consejo de Estado. Sala de Consulta y Servicio Civil, Concepto de 8 de mayo de 2018. Radicación Número: 11001-03-06-000-2018-00095-00(2382). Consejero Ponente: Álvaro </w:t>
      </w:r>
      <w:proofErr w:type="spellStart"/>
      <w:r w:rsidRPr="00262D58">
        <w:rPr>
          <w:rFonts w:ascii="Arial" w:hAnsi="Arial" w:cs="Arial"/>
          <w:sz w:val="16"/>
          <w:szCs w:val="16"/>
          <w:lang w:val="es-ES"/>
        </w:rPr>
        <w:t>Namén</w:t>
      </w:r>
      <w:proofErr w:type="spellEnd"/>
      <w:r w:rsidRPr="00262D58">
        <w:rPr>
          <w:rFonts w:ascii="Arial" w:hAnsi="Arial" w:cs="Arial"/>
          <w:sz w:val="16"/>
          <w:szCs w:val="16"/>
          <w:lang w:val="es-ES"/>
        </w:rPr>
        <w:t xml:space="preserve"> Vargas.</w:t>
      </w:r>
    </w:p>
  </w:footnote>
  <w:footnote w:id="19">
    <w:p w:rsidRPr="00262D58" w:rsidR="000037B4" w:rsidP="000037B4" w:rsidRDefault="000037B4" w14:paraId="1966D559" w14:textId="77777777">
      <w:pPr>
        <w:pStyle w:val="FootnoteText"/>
        <w:ind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Consejo de Estado. Sala de Consulta y Servicio Civil. Concepto del 08 de mayo de 2018. </w:t>
      </w:r>
      <w:proofErr w:type="spellStart"/>
      <w:r w:rsidRPr="00262D58">
        <w:rPr>
          <w:rFonts w:ascii="Arial" w:hAnsi="Arial" w:cs="Arial"/>
          <w:sz w:val="16"/>
          <w:szCs w:val="16"/>
        </w:rPr>
        <w:t>Exp</w:t>
      </w:r>
      <w:proofErr w:type="spellEnd"/>
      <w:r w:rsidRPr="00262D58">
        <w:rPr>
          <w:rFonts w:ascii="Arial" w:hAnsi="Arial" w:cs="Arial"/>
          <w:sz w:val="16"/>
          <w:szCs w:val="16"/>
        </w:rPr>
        <w:t xml:space="preserve">. 2.382. C.P. Álvaro </w:t>
      </w:r>
      <w:proofErr w:type="spellStart"/>
      <w:r w:rsidRPr="00262D58">
        <w:rPr>
          <w:rFonts w:ascii="Arial" w:hAnsi="Arial" w:cs="Arial"/>
          <w:sz w:val="16"/>
          <w:szCs w:val="16"/>
        </w:rPr>
        <w:t>Namén</w:t>
      </w:r>
      <w:proofErr w:type="spellEnd"/>
      <w:r w:rsidRPr="00262D58">
        <w:rPr>
          <w:rFonts w:ascii="Arial" w:hAnsi="Arial" w:cs="Arial"/>
          <w:sz w:val="16"/>
          <w:szCs w:val="16"/>
        </w:rPr>
        <w:t xml:space="preserve"> Vargas.</w:t>
      </w:r>
    </w:p>
  </w:footnote>
  <w:footnote w:id="20">
    <w:p w:rsidRPr="00262D58" w:rsidR="000037B4" w:rsidP="000037B4" w:rsidRDefault="000037B4" w14:paraId="19136F9B" w14:textId="77777777">
      <w:pPr>
        <w:pStyle w:val="FootnoteText"/>
        <w:ind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La Corte Constitucional mediante Sentencia C-1153-05 de 11 de noviembre de 2005, Magistrado Ponente Marco Gerardo Monroy Cabra, efectuó el Control constitucional al Proyecto de Ley Estatutaria </w:t>
      </w:r>
      <w:proofErr w:type="spellStart"/>
      <w:r w:rsidRPr="00262D58">
        <w:rPr>
          <w:rFonts w:ascii="Arial" w:hAnsi="Arial" w:cs="Arial"/>
          <w:sz w:val="16"/>
          <w:szCs w:val="16"/>
        </w:rPr>
        <w:t>N°</w:t>
      </w:r>
      <w:proofErr w:type="spellEnd"/>
      <w:r w:rsidRPr="00262D58">
        <w:rPr>
          <w:rFonts w:ascii="Arial" w:hAnsi="Arial" w:cs="Arial"/>
          <w:sz w:val="16"/>
          <w:szCs w:val="16"/>
        </w:rPr>
        <w:t xml:space="preserve"> 216/05 Senado, </w:t>
      </w:r>
      <w:proofErr w:type="spellStart"/>
      <w:r w:rsidRPr="00262D58">
        <w:rPr>
          <w:rFonts w:ascii="Arial" w:hAnsi="Arial" w:cs="Arial"/>
          <w:sz w:val="16"/>
          <w:szCs w:val="16"/>
        </w:rPr>
        <w:t>N°</w:t>
      </w:r>
      <w:proofErr w:type="spellEnd"/>
      <w:r w:rsidRPr="00262D58">
        <w:rPr>
          <w:rFonts w:ascii="Arial" w:hAnsi="Arial" w:cs="Arial"/>
          <w:sz w:val="16"/>
          <w:szCs w:val="16"/>
        </w:rPr>
        <w:t xml:space="preserve"> 235-Cámara que dio lugar a la Ley de Garantías Electorales.</w:t>
      </w:r>
    </w:p>
  </w:footnote>
  <w:footnote w:id="21">
    <w:p w:rsidRPr="00262D58" w:rsidR="000037B4" w:rsidP="000037B4" w:rsidRDefault="000037B4" w14:paraId="19AD5099" w14:textId="77777777">
      <w:pPr>
        <w:spacing w:after="0" w:line="240" w:lineRule="auto"/>
        <w:ind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rsidRPr="00262D58" w:rsidR="000037B4" w:rsidP="000037B4" w:rsidRDefault="000037B4" w14:paraId="28F9B568" w14:textId="77777777">
      <w:pPr>
        <w:pStyle w:val="FootnoteText"/>
        <w:ind w:right="51"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w:t>
      </w:r>
      <w:bookmarkStart w:name="_Hlk75633115" w:id="45"/>
      <w:r w:rsidRPr="00262D58">
        <w:rPr>
          <w:rFonts w:ascii="Arial" w:hAnsi="Arial" w:cs="Arial"/>
          <w:sz w:val="16"/>
          <w:szCs w:val="16"/>
        </w:rPr>
        <w:t xml:space="preserve">Consejo de Estado. Sala de Consulta y Servicio Civil. Concepto </w:t>
      </w:r>
      <w:bookmarkEnd w:id="45"/>
      <w:r w:rsidRPr="00262D58">
        <w:rPr>
          <w:rFonts w:ascii="Arial" w:hAnsi="Arial" w:cs="Arial"/>
          <w:sz w:val="16"/>
          <w:szCs w:val="16"/>
        </w:rPr>
        <w:t>de 6 de abril de 2006. Radicación Número: 11001-03-06-000-2006-00038-00(1738). Consejero Ponente: Enrique José Arboleda Perdomo:</w:t>
      </w:r>
      <w:r w:rsidRPr="00262D58">
        <w:rPr>
          <w:rFonts w:ascii="Arial" w:hAnsi="Arial" w:eastAsia="Times New Roman" w:cs="Arial"/>
          <w:sz w:val="16"/>
          <w:szCs w:val="16"/>
          <w:lang w:eastAsia="x-none"/>
        </w:rPr>
        <w:t xml:space="preserve"> “</w:t>
      </w:r>
      <w:r w:rsidRPr="00262D58">
        <w:rPr>
          <w:rFonts w:ascii="Arial" w:hAnsi="Arial" w:cs="Arial"/>
          <w:sz w:val="16"/>
          <w:szCs w:val="16"/>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262D58">
        <w:rPr>
          <w:rFonts w:ascii="Arial" w:hAnsi="Arial" w:eastAsia="Times New Roman" w:cs="Arial"/>
          <w:sz w:val="16"/>
          <w:szCs w:val="16"/>
          <w:lang w:eastAsia="x-none"/>
        </w:rPr>
        <w:t>”.</w:t>
      </w:r>
    </w:p>
  </w:footnote>
  <w:footnote w:id="23">
    <w:p w:rsidRPr="00262D58" w:rsidR="000037B4" w:rsidP="000037B4" w:rsidRDefault="000037B4" w14:paraId="0EB116A0" w14:textId="77777777">
      <w:pPr>
        <w:pStyle w:val="FootnoteText"/>
        <w:ind w:right="51"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Consejo de Estado. Sala de Consulta y Servicio Civil. Concepto de 6 de abril de 2006. Radicación Número: 11001-03-06-000-2006-00038-00(1738). Consejero Ponente: Enrique José Arboleda Perdomo.</w:t>
      </w:r>
    </w:p>
  </w:footnote>
  <w:footnote w:id="24">
    <w:p w:rsidRPr="00262D58" w:rsidR="000037B4" w:rsidP="000037B4" w:rsidRDefault="000037B4" w14:paraId="3ABDA24F" w14:textId="77777777">
      <w:pPr>
        <w:pStyle w:val="FootnoteText"/>
        <w:ind w:right="51"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Consejo de Estado. Sala de Consulta y Servicio Civil, ídem.</w:t>
      </w:r>
    </w:p>
  </w:footnote>
  <w:footnote w:id="25">
    <w:p w:rsidRPr="00262D58" w:rsidR="000037B4" w:rsidP="000037B4" w:rsidRDefault="000037B4" w14:paraId="180894A8" w14:textId="77777777">
      <w:pPr>
        <w:pStyle w:val="FootnoteText"/>
        <w:ind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Consejo de Estado. Sala de Consulta y Servicio Civil. Concepto de 20 de febrero </w:t>
      </w:r>
      <w:proofErr w:type="spellStart"/>
      <w:r w:rsidRPr="00262D58">
        <w:rPr>
          <w:rFonts w:ascii="Arial" w:hAnsi="Arial" w:cs="Arial"/>
          <w:sz w:val="16"/>
          <w:szCs w:val="16"/>
        </w:rPr>
        <w:t>de2006</w:t>
      </w:r>
      <w:proofErr w:type="spellEnd"/>
      <w:r w:rsidRPr="00262D58">
        <w:rPr>
          <w:rFonts w:ascii="Arial" w:hAnsi="Arial" w:cs="Arial"/>
          <w:sz w:val="16"/>
          <w:szCs w:val="16"/>
        </w:rPr>
        <w:t>. Radicación 11001-03-06-000-2006-00023-00(1724). Consejero Ponente: Flavio Augusto Rodríguez Arce.</w:t>
      </w:r>
    </w:p>
  </w:footnote>
  <w:footnote w:id="26">
    <w:p w:rsidRPr="00262D58" w:rsidR="000037B4" w:rsidP="000037B4" w:rsidRDefault="000037B4" w14:paraId="1C3BB059" w14:textId="77777777">
      <w:pPr>
        <w:spacing w:after="0" w:line="240" w:lineRule="auto"/>
        <w:ind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Decreto 1082 de 2015: “Artículo 2.2.1.2.1.4.4. Convenios o contratos interadministrativos. La modalidad de selección para la contratación entre Entidades Estatales es la contratación directa; </w:t>
      </w:r>
      <w:proofErr w:type="gramStart"/>
      <w:r w:rsidRPr="00262D58">
        <w:rPr>
          <w:rFonts w:ascii="Arial" w:hAnsi="Arial" w:cs="Arial"/>
          <w:sz w:val="16"/>
          <w:szCs w:val="16"/>
        </w:rPr>
        <w:t>y</w:t>
      </w:r>
      <w:proofErr w:type="gramEnd"/>
      <w:r w:rsidRPr="00262D58">
        <w:rPr>
          <w:rFonts w:ascii="Arial" w:hAnsi="Arial" w:cs="Arial"/>
          <w:sz w:val="16"/>
          <w:szCs w:val="16"/>
        </w:rPr>
        <w:t xml:space="preserve"> en consecuencia, le es aplicable lo establecido en el artículo 2.2.1.2.1.4.1 del presente decreto.</w:t>
      </w:r>
    </w:p>
    <w:p w:rsidRPr="00262D58" w:rsidR="000037B4" w:rsidP="000037B4" w:rsidRDefault="000037B4" w14:paraId="38E90C77" w14:textId="77777777">
      <w:pPr>
        <w:spacing w:after="0" w:line="240" w:lineRule="auto"/>
        <w:ind w:firstLine="709"/>
        <w:contextualSpacing/>
        <w:jc w:val="both"/>
        <w:rPr>
          <w:rFonts w:ascii="Arial" w:hAnsi="Arial" w:cs="Arial"/>
          <w:sz w:val="16"/>
          <w:szCs w:val="16"/>
        </w:rPr>
      </w:pPr>
      <w:r w:rsidRPr="00262D58">
        <w:rPr>
          <w:rFonts w:ascii="Arial" w:hAnsi="Arial"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262D58">
        <w:rPr>
          <w:rFonts w:ascii="Arial" w:hAnsi="Arial" w:cs="Arial"/>
          <w:spacing w:val="-1"/>
          <w:sz w:val="16"/>
          <w:szCs w:val="16"/>
        </w:rPr>
        <w:t xml:space="preserve"> </w:t>
      </w:r>
      <w:r w:rsidRPr="00262D58">
        <w:rPr>
          <w:rFonts w:ascii="Arial" w:hAnsi="Arial" w:cs="Arial"/>
          <w:sz w:val="16"/>
          <w:szCs w:val="16"/>
        </w:rPr>
        <w:t>Estatales”.</w:t>
      </w:r>
    </w:p>
  </w:footnote>
  <w:footnote w:id="27">
    <w:p w:rsidRPr="00262D58" w:rsidR="000037B4" w:rsidP="000037B4" w:rsidRDefault="000037B4" w14:paraId="5F900BAB" w14:textId="77777777">
      <w:pPr>
        <w:spacing w:after="0" w:line="240" w:lineRule="auto"/>
        <w:ind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262D58">
        <w:rPr>
          <w:rFonts w:ascii="Arial" w:hAnsi="Arial" w:cs="Arial"/>
          <w:spacing w:val="-6"/>
          <w:sz w:val="16"/>
          <w:szCs w:val="16"/>
        </w:rPr>
        <w:t xml:space="preserve"> </w:t>
      </w:r>
      <w:r w:rsidRPr="00262D58">
        <w:rPr>
          <w:rFonts w:ascii="Arial" w:hAnsi="Arial" w:cs="Arial"/>
          <w:sz w:val="16"/>
          <w:szCs w:val="16"/>
        </w:rPr>
        <w:t>artículo”.</w:t>
      </w:r>
    </w:p>
  </w:footnote>
  <w:footnote w:id="28">
    <w:p w:rsidRPr="00262D58" w:rsidR="000037B4" w:rsidP="000037B4" w:rsidRDefault="000037B4" w14:paraId="341C822D" w14:textId="77777777">
      <w:pPr>
        <w:spacing w:after="0" w:line="240" w:lineRule="auto"/>
        <w:ind w:right="454"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position w:val="7"/>
          <w:sz w:val="16"/>
          <w:szCs w:val="16"/>
        </w:rPr>
        <w:t xml:space="preserve"> </w:t>
      </w:r>
      <w:r w:rsidRPr="00262D58">
        <w:rPr>
          <w:rFonts w:ascii="Arial" w:hAnsi="Arial" w:cs="Arial"/>
          <w:sz w:val="16"/>
          <w:szCs w:val="16"/>
        </w:rPr>
        <w:t>Consejo de Estado. Sección Tercera. Sentencia del 23 de junio de 2010. Radicación No. 66001-23-31-000-1998-00261-01(17.860). Consejero Ponente: Mauricio Fajardo Gómez.</w:t>
      </w:r>
    </w:p>
  </w:footnote>
  <w:footnote w:id="29">
    <w:p w:rsidRPr="00262D58" w:rsidR="000037B4" w:rsidP="000037B4" w:rsidRDefault="000037B4" w14:paraId="44BAD722" w14:textId="77777777">
      <w:pPr>
        <w:spacing w:after="0" w:line="240" w:lineRule="auto"/>
        <w:ind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Consejo de Estado. Sección Tercera. Subsección C. Sentencia del 11 de diciembre de 2019. </w:t>
      </w:r>
      <w:proofErr w:type="spellStart"/>
      <w:r w:rsidRPr="00262D58">
        <w:rPr>
          <w:rFonts w:ascii="Arial" w:hAnsi="Arial" w:cs="Arial"/>
          <w:sz w:val="16"/>
          <w:szCs w:val="16"/>
        </w:rPr>
        <w:t>Exp</w:t>
      </w:r>
      <w:proofErr w:type="spellEnd"/>
      <w:r w:rsidRPr="00262D58">
        <w:rPr>
          <w:rFonts w:ascii="Arial" w:hAnsi="Arial" w:cs="Arial"/>
          <w:sz w:val="16"/>
          <w:szCs w:val="16"/>
        </w:rPr>
        <w:t>. 46.986. C.P. Jaime Enrique Rodríguez Navas.</w:t>
      </w:r>
    </w:p>
  </w:footnote>
  <w:footnote w:id="30">
    <w:p w:rsidRPr="00262D58" w:rsidR="000037B4" w:rsidP="000037B4" w:rsidRDefault="000037B4" w14:paraId="4EDC0493" w14:textId="77777777">
      <w:pPr>
        <w:pStyle w:val="FootnoteText"/>
        <w:ind w:firstLine="708"/>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[Referencia propia de la cita] “CE. </w:t>
      </w:r>
      <w:proofErr w:type="spellStart"/>
      <w:r w:rsidRPr="00262D58">
        <w:rPr>
          <w:rFonts w:ascii="Arial" w:hAnsi="Arial" w:cs="Arial"/>
          <w:sz w:val="16"/>
          <w:szCs w:val="16"/>
        </w:rPr>
        <w:t>SCSC</w:t>
      </w:r>
      <w:proofErr w:type="spellEnd"/>
      <w:r w:rsidRPr="00262D58">
        <w:rPr>
          <w:rFonts w:ascii="Arial" w:hAnsi="Arial" w:cs="Arial"/>
          <w:sz w:val="16"/>
          <w:szCs w:val="16"/>
        </w:rPr>
        <w:t>. Concepto de 1 de noviembre de 2016 [Rad. 11001-03-06-000-2016-00125-00(2305)]. MP. Germán Alberto Bula Escobar”.</w:t>
      </w:r>
    </w:p>
  </w:footnote>
  <w:footnote w:id="31">
    <w:p w:rsidRPr="00262D58" w:rsidR="000037B4" w:rsidP="000037B4" w:rsidRDefault="000037B4" w14:paraId="69A85158" w14:textId="77777777">
      <w:pPr>
        <w:pStyle w:val="FootnoteText"/>
        <w:ind w:firstLine="708"/>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[Referencia propia de la cita] “CE. </w:t>
      </w:r>
      <w:proofErr w:type="spellStart"/>
      <w:r w:rsidRPr="00262D58">
        <w:rPr>
          <w:rFonts w:ascii="Arial" w:hAnsi="Arial" w:cs="Arial"/>
          <w:sz w:val="16"/>
          <w:szCs w:val="16"/>
        </w:rPr>
        <w:t>SCSC</w:t>
      </w:r>
      <w:proofErr w:type="spellEnd"/>
      <w:r w:rsidRPr="00262D58">
        <w:rPr>
          <w:rFonts w:ascii="Arial" w:hAnsi="Arial" w:cs="Arial"/>
          <w:sz w:val="16"/>
          <w:szCs w:val="16"/>
        </w:rPr>
        <w:t xml:space="preserve">. Concepto de 30 de abril de 2008 [Rad. 11001-03-06-000-2008-00013-00(1881)]. MP. Enrique José Arboleda Perdomo. En esta oportunidad, la Sala indicó que el contenido </w:t>
      </w:r>
      <w:r w:rsidRPr="00262D58">
        <w:rPr>
          <w:rFonts w:ascii="Arial" w:hAnsi="Arial" w:cs="Arial"/>
          <w:i/>
          <w:sz w:val="16"/>
          <w:szCs w:val="16"/>
        </w:rPr>
        <w:t>“obligacional”</w:t>
      </w:r>
      <w:r w:rsidRPr="00262D58">
        <w:rPr>
          <w:rFonts w:ascii="Arial" w:hAnsi="Arial" w:cs="Arial"/>
          <w:sz w:val="16"/>
          <w:szCs w:val="16"/>
        </w:rPr>
        <w:t xml:space="preserve"> de los convenios se estructura definiendo el resultado querido por las partes y los medios que cada entidad despliega para la obtención del respectivo objeto”.</w:t>
      </w:r>
    </w:p>
  </w:footnote>
  <w:footnote w:id="32">
    <w:p w:rsidRPr="00262D58" w:rsidR="000037B4" w:rsidP="000037B4" w:rsidRDefault="000037B4" w14:paraId="794583EB" w14:textId="77777777">
      <w:pPr>
        <w:pStyle w:val="FootnoteText"/>
        <w:ind w:firstLine="708"/>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[Referencia propia de la cita] “La normativa vigente del </w:t>
      </w:r>
      <w:proofErr w:type="spellStart"/>
      <w:r w:rsidRPr="00262D58">
        <w:rPr>
          <w:rFonts w:ascii="Arial" w:hAnsi="Arial" w:cs="Arial"/>
          <w:sz w:val="16"/>
          <w:szCs w:val="16"/>
        </w:rPr>
        <w:t>EGCAP</w:t>
      </w:r>
      <w:proofErr w:type="spellEnd"/>
      <w:r w:rsidRPr="00262D58">
        <w:rPr>
          <w:rFonts w:ascii="Arial" w:hAnsi="Arial" w:cs="Arial"/>
          <w:sz w:val="16"/>
          <w:szCs w:val="16"/>
        </w:rPr>
        <w:t xml:space="preserve"> </w:t>
      </w:r>
      <w:r w:rsidRPr="00262D58">
        <w:rPr>
          <w:rFonts w:ascii="Arial" w:hAnsi="Arial" w:cs="Arial"/>
          <w:i/>
          <w:sz w:val="16"/>
          <w:szCs w:val="16"/>
        </w:rPr>
        <w:t>[literal c) del numeral 4. del artículo 2 de la Ley 1150/07]</w:t>
      </w:r>
      <w:r w:rsidRPr="00262D58">
        <w:rPr>
          <w:rFonts w:ascii="Arial" w:hAnsi="Arial" w:cs="Arial"/>
          <w:sz w:val="16"/>
          <w:szCs w:val="16"/>
        </w:rPr>
        <w:t xml:space="preserve"> se refiere a </w:t>
      </w:r>
      <w:r w:rsidRPr="00262D58">
        <w:rPr>
          <w:rFonts w:ascii="Arial" w:hAnsi="Arial" w:cs="Arial"/>
          <w:i/>
          <w:sz w:val="16"/>
          <w:szCs w:val="16"/>
        </w:rPr>
        <w:t>“contratos interadministrativos”</w:t>
      </w:r>
      <w:r w:rsidRPr="00262D58">
        <w:rPr>
          <w:rFonts w:ascii="Arial" w:hAnsi="Arial"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3">
    <w:p w:rsidRPr="00262D58" w:rsidR="000037B4" w:rsidP="000037B4" w:rsidRDefault="000037B4" w14:paraId="7AE2BE3C" w14:textId="77777777">
      <w:pPr>
        <w:pStyle w:val="FootnoteText"/>
        <w:ind w:firstLine="708"/>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262D58">
        <w:rPr>
          <w:rFonts w:ascii="Arial" w:hAnsi="Arial" w:cs="Arial"/>
          <w:sz w:val="16"/>
          <w:szCs w:val="16"/>
        </w:rPr>
        <w:t>Exp</w:t>
      </w:r>
      <w:proofErr w:type="spellEnd"/>
      <w:r w:rsidRPr="00262D58">
        <w:rPr>
          <w:rFonts w:ascii="Arial" w:hAnsi="Arial" w:cs="Arial"/>
          <w:sz w:val="16"/>
          <w:szCs w:val="16"/>
        </w:rPr>
        <w:t xml:space="preserve">. 2.257. </w:t>
      </w:r>
      <w:proofErr w:type="spellStart"/>
      <w:r w:rsidRPr="00262D58">
        <w:rPr>
          <w:rFonts w:ascii="Arial" w:hAnsi="Arial" w:cs="Arial"/>
          <w:sz w:val="16"/>
          <w:szCs w:val="16"/>
        </w:rPr>
        <w:t>M.P</w:t>
      </w:r>
      <w:proofErr w:type="spellEnd"/>
      <w:r w:rsidRPr="00262D58">
        <w:rPr>
          <w:rFonts w:ascii="Arial" w:hAnsi="Arial" w:cs="Arial"/>
          <w:sz w:val="16"/>
          <w:szCs w:val="16"/>
        </w:rPr>
        <w:t xml:space="preserve">. Álvaro </w:t>
      </w:r>
      <w:proofErr w:type="spellStart"/>
      <w:r w:rsidRPr="00262D58">
        <w:rPr>
          <w:rFonts w:ascii="Arial" w:hAnsi="Arial" w:cs="Arial"/>
          <w:sz w:val="16"/>
          <w:szCs w:val="16"/>
        </w:rPr>
        <w:t>Namén</w:t>
      </w:r>
      <w:proofErr w:type="spellEnd"/>
      <w:r w:rsidRPr="00262D58">
        <w:rPr>
          <w:rFonts w:ascii="Arial" w:hAnsi="Arial" w:cs="Arial"/>
          <w:sz w:val="16"/>
          <w:szCs w:val="16"/>
        </w:rPr>
        <w:t xml:space="preserve"> Vargas).</w:t>
      </w:r>
    </w:p>
  </w:footnote>
  <w:footnote w:id="34">
    <w:p w:rsidRPr="00262D58" w:rsidR="000037B4" w:rsidP="000037B4" w:rsidRDefault="000037B4" w14:paraId="67A90B57" w14:textId="77777777">
      <w:pPr>
        <w:pStyle w:val="FootnoteText"/>
        <w:ind w:firstLine="708"/>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Es lo que sucede, por ejemplo, con el Decreto 092 de 2017, que en su desarrollo hace referencia tanto a los “contratos” como a los “convenios”. </w:t>
      </w:r>
    </w:p>
  </w:footnote>
  <w:footnote w:id="35">
    <w:p w:rsidRPr="00262D58" w:rsidR="000037B4" w:rsidP="000037B4" w:rsidRDefault="000037B4" w14:paraId="5B24F912" w14:textId="77777777">
      <w:pPr>
        <w:pStyle w:val="FootnoteText"/>
        <w:ind w:firstLine="708"/>
        <w:contextualSpacing/>
        <w:jc w:val="both"/>
        <w:rPr>
          <w:rFonts w:ascii="Arial" w:hAnsi="Arial" w:cs="Arial"/>
          <w:sz w:val="16"/>
          <w:szCs w:val="16"/>
          <w:lang w:val="es-CO"/>
        </w:rPr>
      </w:pPr>
      <w:r w:rsidRPr="00262D58">
        <w:rPr>
          <w:rStyle w:val="FootnoteReference"/>
          <w:rFonts w:ascii="Arial" w:hAnsi="Arial" w:cs="Arial"/>
          <w:sz w:val="16"/>
          <w:szCs w:val="16"/>
        </w:rPr>
        <w:footnoteRef/>
      </w:r>
      <w:r w:rsidRPr="00262D58">
        <w:rPr>
          <w:rFonts w:ascii="Arial" w:hAnsi="Arial" w:cs="Arial"/>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w:t>
      </w:r>
      <w:proofErr w:type="spellStart"/>
      <w:r w:rsidRPr="00262D58">
        <w:rPr>
          <w:rFonts w:ascii="Arial" w:hAnsi="Arial" w:cs="Arial"/>
          <w:sz w:val="16"/>
          <w:szCs w:val="16"/>
        </w:rPr>
        <w:t>M.P</w:t>
      </w:r>
      <w:proofErr w:type="spellEnd"/>
      <w:r w:rsidRPr="00262D58">
        <w:rPr>
          <w:rFonts w:ascii="Arial" w:hAnsi="Arial" w:cs="Arial"/>
          <w:sz w:val="16"/>
          <w:szCs w:val="16"/>
        </w:rPr>
        <w:t>. Alberto Rojas Ríos).</w:t>
      </w:r>
    </w:p>
  </w:footnote>
  <w:footnote w:id="36">
    <w:p w:rsidRPr="00262D58" w:rsidR="000037B4" w:rsidP="000037B4" w:rsidRDefault="000037B4" w14:paraId="34741A08" w14:textId="77777777">
      <w:pPr>
        <w:pStyle w:val="FootnoteText"/>
        <w:ind w:firstLine="709"/>
        <w:contextualSpacing/>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Consejo de Estado. Sala de Consulta y Servicio Civil. Concepto del 15 de noviembre de 2007. Expediente número 1863. Consejero Ponente: Luis Fernando Álvarez Jaramillo.</w:t>
      </w:r>
    </w:p>
  </w:footnote>
  <w:footnote w:id="37">
    <w:p w:rsidRPr="00262D58" w:rsidR="000037B4" w:rsidP="000037B4" w:rsidRDefault="000037B4" w14:paraId="65176D5C" w14:textId="77777777">
      <w:pPr>
        <w:spacing w:after="0" w:line="240" w:lineRule="auto"/>
        <w:ind w:right="114" w:firstLine="708"/>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“Artículo 69. Se garantiza la autonomía universitaria. Las universidades podrán darse sus directivas y regirse por sus</w:t>
      </w:r>
      <w:r w:rsidRPr="00262D58">
        <w:rPr>
          <w:rFonts w:ascii="Arial" w:hAnsi="Arial" w:cs="Arial"/>
          <w:spacing w:val="-2"/>
          <w:sz w:val="16"/>
          <w:szCs w:val="16"/>
        </w:rPr>
        <w:t xml:space="preserve"> </w:t>
      </w:r>
      <w:r w:rsidRPr="00262D58">
        <w:rPr>
          <w:rFonts w:ascii="Arial" w:hAnsi="Arial" w:cs="Arial"/>
          <w:sz w:val="16"/>
          <w:szCs w:val="16"/>
        </w:rPr>
        <w:t>propios</w:t>
      </w:r>
      <w:r w:rsidRPr="00262D58">
        <w:rPr>
          <w:rFonts w:ascii="Arial" w:hAnsi="Arial" w:cs="Arial"/>
          <w:spacing w:val="-2"/>
          <w:sz w:val="16"/>
          <w:szCs w:val="16"/>
        </w:rPr>
        <w:t xml:space="preserve"> </w:t>
      </w:r>
      <w:r w:rsidRPr="00262D58">
        <w:rPr>
          <w:rFonts w:ascii="Arial" w:hAnsi="Arial" w:cs="Arial"/>
          <w:sz w:val="16"/>
          <w:szCs w:val="16"/>
        </w:rPr>
        <w:t>estatutos,</w:t>
      </w:r>
      <w:r w:rsidRPr="00262D58">
        <w:rPr>
          <w:rFonts w:ascii="Arial" w:hAnsi="Arial" w:cs="Arial"/>
          <w:spacing w:val="-4"/>
          <w:sz w:val="16"/>
          <w:szCs w:val="16"/>
        </w:rPr>
        <w:t xml:space="preserve"> </w:t>
      </w:r>
      <w:r w:rsidRPr="00262D58">
        <w:rPr>
          <w:rFonts w:ascii="Arial" w:hAnsi="Arial" w:cs="Arial"/>
          <w:sz w:val="16"/>
          <w:szCs w:val="16"/>
        </w:rPr>
        <w:t>de</w:t>
      </w:r>
      <w:r w:rsidRPr="00262D58">
        <w:rPr>
          <w:rFonts w:ascii="Arial" w:hAnsi="Arial" w:cs="Arial"/>
          <w:spacing w:val="-4"/>
          <w:sz w:val="16"/>
          <w:szCs w:val="16"/>
        </w:rPr>
        <w:t xml:space="preserve"> </w:t>
      </w:r>
      <w:r w:rsidRPr="00262D58">
        <w:rPr>
          <w:rFonts w:ascii="Arial" w:hAnsi="Arial" w:cs="Arial"/>
          <w:sz w:val="16"/>
          <w:szCs w:val="16"/>
        </w:rPr>
        <w:t>acuerdo</w:t>
      </w:r>
      <w:r w:rsidRPr="00262D58">
        <w:rPr>
          <w:rFonts w:ascii="Arial" w:hAnsi="Arial" w:cs="Arial"/>
          <w:spacing w:val="-4"/>
          <w:sz w:val="16"/>
          <w:szCs w:val="16"/>
        </w:rPr>
        <w:t xml:space="preserve"> </w:t>
      </w:r>
      <w:r w:rsidRPr="00262D58">
        <w:rPr>
          <w:rFonts w:ascii="Arial" w:hAnsi="Arial" w:cs="Arial"/>
          <w:sz w:val="16"/>
          <w:szCs w:val="16"/>
        </w:rPr>
        <w:t>con</w:t>
      </w:r>
      <w:r w:rsidRPr="00262D58">
        <w:rPr>
          <w:rFonts w:ascii="Arial" w:hAnsi="Arial" w:cs="Arial"/>
          <w:spacing w:val="-1"/>
          <w:sz w:val="16"/>
          <w:szCs w:val="16"/>
        </w:rPr>
        <w:t xml:space="preserve"> </w:t>
      </w:r>
      <w:r w:rsidRPr="00262D58">
        <w:rPr>
          <w:rFonts w:ascii="Arial" w:hAnsi="Arial" w:cs="Arial"/>
          <w:sz w:val="16"/>
          <w:szCs w:val="16"/>
        </w:rPr>
        <w:t>la</w:t>
      </w:r>
      <w:r w:rsidRPr="00262D58">
        <w:rPr>
          <w:rFonts w:ascii="Arial" w:hAnsi="Arial" w:cs="Arial"/>
          <w:spacing w:val="-1"/>
          <w:sz w:val="16"/>
          <w:szCs w:val="16"/>
        </w:rPr>
        <w:t xml:space="preserve"> </w:t>
      </w:r>
      <w:r w:rsidRPr="00262D58">
        <w:rPr>
          <w:rFonts w:ascii="Arial" w:hAnsi="Arial" w:cs="Arial"/>
          <w:sz w:val="16"/>
          <w:szCs w:val="16"/>
        </w:rPr>
        <w:t>ley.</w:t>
      </w:r>
      <w:r w:rsidRPr="00262D58">
        <w:rPr>
          <w:rFonts w:ascii="Arial" w:hAnsi="Arial" w:cs="Arial"/>
          <w:spacing w:val="-2"/>
          <w:sz w:val="16"/>
          <w:szCs w:val="16"/>
        </w:rPr>
        <w:t xml:space="preserve"> </w:t>
      </w:r>
      <w:r w:rsidRPr="00262D58">
        <w:rPr>
          <w:rFonts w:ascii="Arial" w:hAnsi="Arial" w:cs="Arial"/>
          <w:sz w:val="16"/>
          <w:szCs w:val="16"/>
        </w:rPr>
        <w:t>La</w:t>
      </w:r>
      <w:r w:rsidRPr="00262D58">
        <w:rPr>
          <w:rFonts w:ascii="Arial" w:hAnsi="Arial" w:cs="Arial"/>
          <w:spacing w:val="-1"/>
          <w:sz w:val="16"/>
          <w:szCs w:val="16"/>
        </w:rPr>
        <w:t xml:space="preserve"> </w:t>
      </w:r>
      <w:r w:rsidRPr="00262D58">
        <w:rPr>
          <w:rFonts w:ascii="Arial" w:hAnsi="Arial" w:cs="Arial"/>
          <w:sz w:val="16"/>
          <w:szCs w:val="16"/>
        </w:rPr>
        <w:t>ley</w:t>
      </w:r>
      <w:r w:rsidRPr="00262D58">
        <w:rPr>
          <w:rFonts w:ascii="Arial" w:hAnsi="Arial" w:cs="Arial"/>
          <w:spacing w:val="-5"/>
          <w:sz w:val="16"/>
          <w:szCs w:val="16"/>
        </w:rPr>
        <w:t xml:space="preserve"> </w:t>
      </w:r>
      <w:r w:rsidRPr="00262D58">
        <w:rPr>
          <w:rFonts w:ascii="Arial" w:hAnsi="Arial" w:cs="Arial"/>
          <w:sz w:val="16"/>
          <w:szCs w:val="16"/>
        </w:rPr>
        <w:t>establecerá</w:t>
      </w:r>
      <w:r w:rsidRPr="00262D58">
        <w:rPr>
          <w:rFonts w:ascii="Arial" w:hAnsi="Arial" w:cs="Arial"/>
          <w:spacing w:val="-1"/>
          <w:sz w:val="16"/>
          <w:szCs w:val="16"/>
        </w:rPr>
        <w:t xml:space="preserve"> </w:t>
      </w:r>
      <w:r w:rsidRPr="00262D58">
        <w:rPr>
          <w:rFonts w:ascii="Arial" w:hAnsi="Arial" w:cs="Arial"/>
          <w:sz w:val="16"/>
          <w:szCs w:val="16"/>
        </w:rPr>
        <w:t>un</w:t>
      </w:r>
      <w:r w:rsidRPr="00262D58">
        <w:rPr>
          <w:rFonts w:ascii="Arial" w:hAnsi="Arial" w:cs="Arial"/>
          <w:spacing w:val="-1"/>
          <w:sz w:val="16"/>
          <w:szCs w:val="16"/>
        </w:rPr>
        <w:t xml:space="preserve"> </w:t>
      </w:r>
      <w:r w:rsidRPr="00262D58">
        <w:rPr>
          <w:rFonts w:ascii="Arial" w:hAnsi="Arial" w:cs="Arial"/>
          <w:sz w:val="16"/>
          <w:szCs w:val="16"/>
        </w:rPr>
        <w:t>régimen</w:t>
      </w:r>
      <w:r w:rsidRPr="00262D58">
        <w:rPr>
          <w:rFonts w:ascii="Arial" w:hAnsi="Arial" w:cs="Arial"/>
          <w:spacing w:val="-4"/>
          <w:sz w:val="16"/>
          <w:szCs w:val="16"/>
        </w:rPr>
        <w:t xml:space="preserve"> </w:t>
      </w:r>
      <w:r w:rsidRPr="00262D58">
        <w:rPr>
          <w:rFonts w:ascii="Arial" w:hAnsi="Arial" w:cs="Arial"/>
          <w:sz w:val="16"/>
          <w:szCs w:val="16"/>
        </w:rPr>
        <w:t>especial</w:t>
      </w:r>
      <w:r w:rsidRPr="00262D58">
        <w:rPr>
          <w:rFonts w:ascii="Arial" w:hAnsi="Arial" w:cs="Arial"/>
          <w:spacing w:val="-5"/>
          <w:sz w:val="16"/>
          <w:szCs w:val="16"/>
        </w:rPr>
        <w:t xml:space="preserve"> </w:t>
      </w:r>
      <w:r w:rsidRPr="00262D58">
        <w:rPr>
          <w:rFonts w:ascii="Arial" w:hAnsi="Arial" w:cs="Arial"/>
          <w:sz w:val="16"/>
          <w:szCs w:val="16"/>
        </w:rPr>
        <w:t>para</w:t>
      </w:r>
      <w:r w:rsidRPr="00262D58">
        <w:rPr>
          <w:rFonts w:ascii="Arial" w:hAnsi="Arial" w:cs="Arial"/>
          <w:spacing w:val="-1"/>
          <w:sz w:val="16"/>
          <w:szCs w:val="16"/>
        </w:rPr>
        <w:t xml:space="preserve"> </w:t>
      </w:r>
      <w:r w:rsidRPr="00262D58">
        <w:rPr>
          <w:rFonts w:ascii="Arial" w:hAnsi="Arial" w:cs="Arial"/>
          <w:sz w:val="16"/>
          <w:szCs w:val="16"/>
        </w:rPr>
        <w:t>las</w:t>
      </w:r>
      <w:r w:rsidRPr="00262D58">
        <w:rPr>
          <w:rFonts w:ascii="Arial" w:hAnsi="Arial" w:cs="Arial"/>
          <w:spacing w:val="-5"/>
          <w:sz w:val="16"/>
          <w:szCs w:val="16"/>
        </w:rPr>
        <w:t xml:space="preserve"> </w:t>
      </w:r>
      <w:r w:rsidRPr="00262D58">
        <w:rPr>
          <w:rFonts w:ascii="Arial" w:hAnsi="Arial" w:cs="Arial"/>
          <w:sz w:val="16"/>
          <w:szCs w:val="16"/>
        </w:rPr>
        <w:t>universidades</w:t>
      </w:r>
      <w:r w:rsidRPr="00262D58">
        <w:rPr>
          <w:rFonts w:ascii="Arial" w:hAnsi="Arial" w:cs="Arial"/>
          <w:spacing w:val="-2"/>
          <w:sz w:val="16"/>
          <w:szCs w:val="16"/>
        </w:rPr>
        <w:t xml:space="preserve"> </w:t>
      </w:r>
      <w:r w:rsidRPr="00262D58">
        <w:rPr>
          <w:rFonts w:ascii="Arial" w:hAnsi="Arial" w:cs="Arial"/>
          <w:sz w:val="16"/>
          <w:szCs w:val="16"/>
        </w:rPr>
        <w:t>del</w:t>
      </w:r>
      <w:r w:rsidRPr="00262D58">
        <w:rPr>
          <w:rFonts w:ascii="Arial" w:hAnsi="Arial" w:cs="Arial"/>
          <w:spacing w:val="-3"/>
          <w:sz w:val="16"/>
          <w:szCs w:val="16"/>
        </w:rPr>
        <w:t xml:space="preserve"> </w:t>
      </w:r>
      <w:r w:rsidRPr="00262D58">
        <w:rPr>
          <w:rFonts w:ascii="Arial" w:hAnsi="Arial" w:cs="Arial"/>
          <w:sz w:val="16"/>
          <w:szCs w:val="16"/>
        </w:rPr>
        <w:t>Estado».</w:t>
      </w:r>
    </w:p>
  </w:footnote>
  <w:footnote w:id="38">
    <w:p w:rsidRPr="00262D58" w:rsidR="000037B4" w:rsidP="000037B4" w:rsidRDefault="000037B4" w14:paraId="4ECB5510" w14:textId="77777777">
      <w:pPr>
        <w:pStyle w:val="FootnoteText"/>
        <w:ind w:firstLine="708"/>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En lo pertinente, dispone que “Las universidades estatales u oficiales deben organizarse como entes universitarios autónomos, con régimen especial y vinculados al Ministerio de Educación Nacional en lo que se refiere a las políticas y la planeación del sector educativo.</w:t>
      </w:r>
    </w:p>
    <w:p w:rsidRPr="00262D58" w:rsidR="000037B4" w:rsidP="000037B4" w:rsidRDefault="000037B4" w14:paraId="698B1D34" w14:textId="77777777">
      <w:pPr>
        <w:pStyle w:val="FootnoteText"/>
        <w:ind w:firstLine="708"/>
        <w:jc w:val="both"/>
        <w:rPr>
          <w:rFonts w:ascii="Arial" w:hAnsi="Arial" w:cs="Arial"/>
          <w:sz w:val="16"/>
          <w:szCs w:val="16"/>
        </w:rPr>
      </w:pPr>
      <w:r w:rsidRPr="00262D58">
        <w:rPr>
          <w:rFonts w:ascii="Arial" w:hAnsi="Arial" w:cs="Arial"/>
          <w:sz w:val="16"/>
          <w:szCs w:val="16"/>
        </w:rPr>
        <w:t>Los entes universitarios autónomos tendrán las siguientes características: Personería jurídica, autonomía académica, administrativa y financiera, patrimonio independiente y podrán elaborar y manejar su presupuesto de acuerdo con las funciones que le corresponden.</w:t>
      </w:r>
    </w:p>
    <w:p w:rsidRPr="00262D58" w:rsidR="000037B4" w:rsidP="000037B4" w:rsidRDefault="000037B4" w14:paraId="18EC3E4B" w14:textId="77777777">
      <w:pPr>
        <w:pStyle w:val="FootnoteText"/>
        <w:jc w:val="both"/>
        <w:rPr>
          <w:rFonts w:ascii="Arial" w:hAnsi="Arial" w:cs="Arial"/>
          <w:sz w:val="16"/>
          <w:szCs w:val="16"/>
          <w:lang w:val="es-CO"/>
        </w:rPr>
      </w:pPr>
      <w:r w:rsidRPr="00262D58">
        <w:rPr>
          <w:rFonts w:ascii="Arial" w:hAnsi="Arial" w:cs="Arial"/>
          <w:sz w:val="16"/>
          <w:szCs w:val="16"/>
        </w:rPr>
        <w:tab/>
      </w:r>
      <w:r w:rsidRPr="00262D58">
        <w:rPr>
          <w:rFonts w:ascii="Arial" w:hAnsi="Arial" w:cs="Arial"/>
          <w:sz w:val="16"/>
          <w:szCs w:val="16"/>
          <w:lang w:val="es-CO"/>
        </w:rPr>
        <w:t xml:space="preserve">El carácter especial del régimen de las universidades estatales u </w:t>
      </w:r>
      <w:proofErr w:type="gramStart"/>
      <w:r w:rsidRPr="00262D58">
        <w:rPr>
          <w:rFonts w:ascii="Arial" w:hAnsi="Arial" w:cs="Arial"/>
          <w:sz w:val="16"/>
          <w:szCs w:val="16"/>
          <w:lang w:val="es-CO"/>
        </w:rPr>
        <w:t>oficiales,</w:t>
      </w:r>
      <w:proofErr w:type="gramEnd"/>
      <w:r w:rsidRPr="00262D58">
        <w:rPr>
          <w:rFonts w:ascii="Arial" w:hAnsi="Arial" w:cs="Arial"/>
          <w:sz w:val="16"/>
          <w:szCs w:val="16"/>
          <w:lang w:val="es-CO"/>
        </w:rPr>
        <w:t xml:space="preserve"> comprenderá la organización y elección de directivas, del personal docente y administrativo, el sistema de las universidades estatales u oficiales, el régimen financiero, el régimen de contratación y control fiscal y su propia seguridad social en salud, de acuerdo con la presente ley».</w:t>
      </w:r>
    </w:p>
  </w:footnote>
  <w:footnote w:id="39">
    <w:p w:rsidRPr="00262D58" w:rsidR="000037B4" w:rsidP="000037B4" w:rsidRDefault="000037B4" w14:paraId="3A1E7406" w14:textId="77777777">
      <w:pPr>
        <w:pStyle w:val="FootnoteText"/>
        <w:ind w:firstLine="708"/>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w:t>
      </w:r>
      <w:r w:rsidRPr="00262D58">
        <w:rPr>
          <w:rFonts w:ascii="Arial" w:hAnsi="Arial" w:cs="Arial"/>
          <w:spacing w:val="-16"/>
          <w:sz w:val="16"/>
          <w:szCs w:val="16"/>
        </w:rPr>
        <w:t xml:space="preserve"> </w:t>
      </w:r>
      <w:r w:rsidRPr="00262D58">
        <w:rPr>
          <w:rFonts w:ascii="Arial" w:hAnsi="Arial" w:cs="Arial"/>
          <w:sz w:val="16"/>
          <w:szCs w:val="16"/>
        </w:rPr>
        <w:t>contratos».</w:t>
      </w:r>
    </w:p>
  </w:footnote>
  <w:footnote w:id="40">
    <w:p w:rsidRPr="00262D58" w:rsidR="000037B4" w:rsidP="000037B4" w:rsidRDefault="000037B4" w14:paraId="3D55ED89" w14:textId="77777777">
      <w:pPr>
        <w:spacing w:after="0" w:line="240" w:lineRule="auto"/>
        <w:ind w:firstLine="708"/>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Corte Constitucional. Sentencia C-121 de 2003. </w:t>
      </w:r>
      <w:proofErr w:type="spellStart"/>
      <w:r w:rsidRPr="00262D58">
        <w:rPr>
          <w:rFonts w:ascii="Arial" w:hAnsi="Arial" w:cs="Arial"/>
          <w:sz w:val="16"/>
          <w:szCs w:val="16"/>
        </w:rPr>
        <w:t>M.P</w:t>
      </w:r>
      <w:proofErr w:type="spellEnd"/>
      <w:r w:rsidRPr="00262D58">
        <w:rPr>
          <w:rFonts w:ascii="Arial" w:hAnsi="Arial" w:cs="Arial"/>
          <w:sz w:val="16"/>
          <w:szCs w:val="16"/>
        </w:rPr>
        <w:t>. Clara Inés Vargas Hernández.</w:t>
      </w:r>
    </w:p>
  </w:footnote>
  <w:footnote w:id="41">
    <w:p w:rsidRPr="00262D58" w:rsidR="000037B4" w:rsidP="000037B4" w:rsidRDefault="000037B4" w14:paraId="24867511" w14:textId="77777777">
      <w:pPr>
        <w:spacing w:after="0" w:line="240" w:lineRule="auto"/>
        <w:ind w:left="-1" w:right="110" w:firstLine="709"/>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Corte</w:t>
      </w:r>
      <w:r w:rsidRPr="00262D58">
        <w:rPr>
          <w:rFonts w:ascii="Arial" w:hAnsi="Arial" w:cs="Arial"/>
          <w:spacing w:val="10"/>
          <w:sz w:val="16"/>
          <w:szCs w:val="16"/>
        </w:rPr>
        <w:t xml:space="preserve"> </w:t>
      </w:r>
      <w:r w:rsidRPr="00262D58">
        <w:rPr>
          <w:rFonts w:ascii="Arial" w:hAnsi="Arial" w:cs="Arial"/>
          <w:sz w:val="16"/>
          <w:szCs w:val="16"/>
        </w:rPr>
        <w:t>Constitucional.</w:t>
      </w:r>
      <w:r w:rsidRPr="00262D58">
        <w:rPr>
          <w:rFonts w:ascii="Arial" w:hAnsi="Arial" w:cs="Arial"/>
          <w:spacing w:val="11"/>
          <w:sz w:val="16"/>
          <w:szCs w:val="16"/>
        </w:rPr>
        <w:t xml:space="preserve"> </w:t>
      </w:r>
      <w:r w:rsidRPr="00262D58">
        <w:rPr>
          <w:rFonts w:ascii="Arial" w:hAnsi="Arial" w:cs="Arial"/>
          <w:sz w:val="16"/>
          <w:szCs w:val="16"/>
        </w:rPr>
        <w:t>Sentencia</w:t>
      </w:r>
      <w:r w:rsidRPr="00262D58">
        <w:rPr>
          <w:rFonts w:ascii="Arial" w:hAnsi="Arial" w:cs="Arial"/>
          <w:spacing w:val="10"/>
          <w:sz w:val="16"/>
          <w:szCs w:val="16"/>
        </w:rPr>
        <w:t xml:space="preserve"> </w:t>
      </w:r>
      <w:r w:rsidRPr="00262D58">
        <w:rPr>
          <w:rFonts w:ascii="Arial" w:hAnsi="Arial" w:cs="Arial"/>
          <w:sz w:val="16"/>
          <w:szCs w:val="16"/>
        </w:rPr>
        <w:t>C-1019</w:t>
      </w:r>
      <w:r w:rsidRPr="00262D58">
        <w:rPr>
          <w:rFonts w:ascii="Arial" w:hAnsi="Arial" w:cs="Arial"/>
          <w:spacing w:val="10"/>
          <w:sz w:val="16"/>
          <w:szCs w:val="16"/>
        </w:rPr>
        <w:t xml:space="preserve"> </w:t>
      </w:r>
      <w:r w:rsidRPr="00262D58">
        <w:rPr>
          <w:rFonts w:ascii="Arial" w:hAnsi="Arial" w:cs="Arial"/>
          <w:sz w:val="16"/>
          <w:szCs w:val="16"/>
        </w:rPr>
        <w:t>del</w:t>
      </w:r>
      <w:r w:rsidRPr="00262D58">
        <w:rPr>
          <w:rFonts w:ascii="Arial" w:hAnsi="Arial" w:cs="Arial"/>
          <w:spacing w:val="9"/>
          <w:sz w:val="16"/>
          <w:szCs w:val="16"/>
        </w:rPr>
        <w:t xml:space="preserve"> </w:t>
      </w:r>
      <w:r w:rsidRPr="00262D58">
        <w:rPr>
          <w:rFonts w:ascii="Arial" w:hAnsi="Arial" w:cs="Arial"/>
          <w:sz w:val="16"/>
          <w:szCs w:val="16"/>
        </w:rPr>
        <w:t>28</w:t>
      </w:r>
      <w:r w:rsidRPr="00262D58">
        <w:rPr>
          <w:rFonts w:ascii="Arial" w:hAnsi="Arial" w:cs="Arial"/>
          <w:spacing w:val="10"/>
          <w:sz w:val="16"/>
          <w:szCs w:val="16"/>
        </w:rPr>
        <w:t xml:space="preserve"> </w:t>
      </w:r>
      <w:r w:rsidRPr="00262D58">
        <w:rPr>
          <w:rFonts w:ascii="Arial" w:hAnsi="Arial" w:cs="Arial"/>
          <w:sz w:val="16"/>
          <w:szCs w:val="16"/>
        </w:rPr>
        <w:t>de</w:t>
      </w:r>
      <w:r w:rsidRPr="00262D58">
        <w:rPr>
          <w:rFonts w:ascii="Arial" w:hAnsi="Arial" w:cs="Arial"/>
          <w:spacing w:val="10"/>
          <w:sz w:val="16"/>
          <w:szCs w:val="16"/>
        </w:rPr>
        <w:t xml:space="preserve"> </w:t>
      </w:r>
      <w:r w:rsidRPr="00262D58">
        <w:rPr>
          <w:rFonts w:ascii="Arial" w:hAnsi="Arial" w:cs="Arial"/>
          <w:sz w:val="16"/>
          <w:szCs w:val="16"/>
        </w:rPr>
        <w:t>noviembre</w:t>
      </w:r>
      <w:r w:rsidRPr="00262D58">
        <w:rPr>
          <w:rFonts w:ascii="Arial" w:hAnsi="Arial" w:cs="Arial"/>
          <w:spacing w:val="10"/>
          <w:sz w:val="16"/>
          <w:szCs w:val="16"/>
        </w:rPr>
        <w:t xml:space="preserve"> </w:t>
      </w:r>
      <w:r w:rsidRPr="00262D58">
        <w:rPr>
          <w:rFonts w:ascii="Arial" w:hAnsi="Arial" w:cs="Arial"/>
          <w:sz w:val="16"/>
          <w:szCs w:val="16"/>
        </w:rPr>
        <w:t>de</w:t>
      </w:r>
      <w:r w:rsidRPr="00262D58">
        <w:rPr>
          <w:rFonts w:ascii="Arial" w:hAnsi="Arial" w:cs="Arial"/>
          <w:spacing w:val="10"/>
          <w:sz w:val="16"/>
          <w:szCs w:val="16"/>
        </w:rPr>
        <w:t xml:space="preserve"> </w:t>
      </w:r>
      <w:r w:rsidRPr="00262D58">
        <w:rPr>
          <w:rFonts w:ascii="Arial" w:hAnsi="Arial" w:cs="Arial"/>
          <w:sz w:val="16"/>
          <w:szCs w:val="16"/>
        </w:rPr>
        <w:t>2012.</w:t>
      </w:r>
      <w:r w:rsidRPr="00262D58">
        <w:rPr>
          <w:rFonts w:ascii="Arial" w:hAnsi="Arial" w:cs="Arial"/>
          <w:spacing w:val="10"/>
          <w:sz w:val="16"/>
          <w:szCs w:val="16"/>
        </w:rPr>
        <w:t xml:space="preserve"> </w:t>
      </w:r>
      <w:proofErr w:type="spellStart"/>
      <w:r w:rsidRPr="00262D58">
        <w:rPr>
          <w:rFonts w:ascii="Arial" w:hAnsi="Arial" w:cs="Arial"/>
          <w:sz w:val="16"/>
          <w:szCs w:val="16"/>
        </w:rPr>
        <w:t>M.P</w:t>
      </w:r>
      <w:proofErr w:type="spellEnd"/>
      <w:r w:rsidRPr="00262D58">
        <w:rPr>
          <w:rFonts w:ascii="Arial" w:hAnsi="Arial" w:cs="Arial"/>
          <w:sz w:val="16"/>
          <w:szCs w:val="16"/>
        </w:rPr>
        <w:t>.</w:t>
      </w:r>
      <w:r w:rsidRPr="00262D58">
        <w:rPr>
          <w:rFonts w:ascii="Arial" w:hAnsi="Arial" w:cs="Arial"/>
          <w:spacing w:val="10"/>
          <w:sz w:val="16"/>
          <w:szCs w:val="16"/>
        </w:rPr>
        <w:t xml:space="preserve"> </w:t>
      </w:r>
      <w:r w:rsidRPr="00262D58">
        <w:rPr>
          <w:rFonts w:ascii="Arial" w:hAnsi="Arial" w:cs="Arial"/>
          <w:sz w:val="16"/>
          <w:szCs w:val="16"/>
        </w:rPr>
        <w:t>Mauricio</w:t>
      </w:r>
      <w:r w:rsidRPr="00262D58">
        <w:rPr>
          <w:rFonts w:ascii="Arial" w:hAnsi="Arial" w:cs="Arial"/>
          <w:spacing w:val="8"/>
          <w:sz w:val="16"/>
          <w:szCs w:val="16"/>
        </w:rPr>
        <w:t xml:space="preserve"> </w:t>
      </w:r>
      <w:r w:rsidRPr="00262D58">
        <w:rPr>
          <w:rFonts w:ascii="Arial" w:hAnsi="Arial" w:cs="Arial"/>
          <w:sz w:val="16"/>
          <w:szCs w:val="16"/>
        </w:rPr>
        <w:t>González Cuervo.</w:t>
      </w:r>
    </w:p>
  </w:footnote>
  <w:footnote w:id="42">
    <w:p w:rsidRPr="00262D58" w:rsidR="000037B4" w:rsidP="000037B4" w:rsidRDefault="000037B4" w14:paraId="5545CDEA" w14:textId="77777777">
      <w:pPr>
        <w:pStyle w:val="FootnoteText"/>
        <w:ind w:firstLine="708"/>
        <w:jc w:val="both"/>
        <w:rPr>
          <w:rFonts w:ascii="Arial" w:hAnsi="Arial" w:cs="Arial"/>
          <w:sz w:val="16"/>
          <w:szCs w:val="16"/>
          <w:lang w:val="es-ES_tradnl"/>
        </w:rPr>
      </w:pPr>
      <w:r w:rsidRPr="00262D58">
        <w:rPr>
          <w:rStyle w:val="FootnoteReference"/>
          <w:rFonts w:ascii="Arial" w:hAnsi="Arial" w:cs="Arial"/>
          <w:sz w:val="16"/>
          <w:szCs w:val="16"/>
        </w:rPr>
        <w:footnoteRef/>
      </w:r>
      <w:r w:rsidRPr="00262D58">
        <w:rPr>
          <w:rFonts w:ascii="Arial" w:hAnsi="Arial" w:cs="Arial"/>
          <w:sz w:val="16"/>
          <w:szCs w:val="16"/>
        </w:rPr>
        <w:t xml:space="preserve"> CONSEJO DE ESTADO. Sección Cuarta. Sentencia del 16 de diciembre de 2008. </w:t>
      </w:r>
      <w:proofErr w:type="spellStart"/>
      <w:r w:rsidRPr="00262D58">
        <w:rPr>
          <w:rFonts w:ascii="Arial" w:hAnsi="Arial" w:cs="Arial"/>
          <w:sz w:val="16"/>
          <w:szCs w:val="16"/>
        </w:rPr>
        <w:t>Exp</w:t>
      </w:r>
      <w:proofErr w:type="spellEnd"/>
      <w:r w:rsidRPr="00262D58">
        <w:rPr>
          <w:rFonts w:ascii="Arial" w:hAnsi="Arial" w:cs="Arial"/>
          <w:sz w:val="16"/>
          <w:szCs w:val="16"/>
        </w:rPr>
        <w:t>. 16.297. C.P. Martha Teresa Briceño de Valencia</w:t>
      </w:r>
    </w:p>
  </w:footnote>
  <w:footnote w:id="43">
    <w:p w:rsidRPr="00262D58" w:rsidR="000037B4" w:rsidP="000037B4" w:rsidRDefault="000037B4" w14:paraId="71F96172" w14:textId="77777777">
      <w:pPr>
        <w:pStyle w:val="FootnoteText"/>
        <w:ind w:firstLine="709"/>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“Artículo </w:t>
      </w:r>
      <w:proofErr w:type="spellStart"/>
      <w:r w:rsidRPr="00262D58">
        <w:rPr>
          <w:rFonts w:ascii="Arial" w:hAnsi="Arial" w:cs="Arial"/>
          <w:sz w:val="16"/>
          <w:szCs w:val="16"/>
        </w:rPr>
        <w:t>2o</w:t>
      </w:r>
      <w:proofErr w:type="spellEnd"/>
      <w:r w:rsidRPr="00262D58">
        <w:rPr>
          <w:rFonts w:ascii="Arial" w:hAnsi="Arial" w:cs="Arial"/>
          <w:sz w:val="16"/>
          <w:szCs w:val="16"/>
        </w:rPr>
        <w:t>. De la definición de entidades, servidores y servicios públicos. Para los solos efectos de esta ley:</w:t>
      </w:r>
    </w:p>
    <w:p w:rsidRPr="00262D58" w:rsidR="000037B4" w:rsidP="000037B4" w:rsidRDefault="000037B4" w14:paraId="071C51A5" w14:textId="77777777">
      <w:pPr>
        <w:pStyle w:val="FootnoteText"/>
        <w:ind w:firstLine="708"/>
        <w:jc w:val="both"/>
        <w:rPr>
          <w:rFonts w:ascii="Arial" w:hAnsi="Arial" w:cs="Arial"/>
          <w:sz w:val="16"/>
          <w:szCs w:val="16"/>
        </w:rPr>
      </w:pPr>
      <w:proofErr w:type="spellStart"/>
      <w:r w:rsidRPr="00262D58">
        <w:rPr>
          <w:rFonts w:ascii="Arial" w:hAnsi="Arial" w:cs="Arial"/>
          <w:sz w:val="16"/>
          <w:szCs w:val="16"/>
        </w:rPr>
        <w:t>1o</w:t>
      </w:r>
      <w:proofErr w:type="spellEnd"/>
      <w:r w:rsidRPr="00262D58">
        <w:rPr>
          <w:rFonts w:ascii="Arial" w:hAnsi="Arial" w:cs="Arial"/>
          <w:sz w:val="16"/>
          <w:szCs w:val="16"/>
        </w:rPr>
        <w:t>. Se denominan entidades estatales:</w:t>
      </w:r>
    </w:p>
    <w:p w:rsidRPr="00262D58" w:rsidR="000037B4" w:rsidP="000037B4" w:rsidRDefault="000037B4" w14:paraId="6474EAE6" w14:textId="77777777">
      <w:pPr>
        <w:pStyle w:val="FootnoteText"/>
        <w:jc w:val="both"/>
        <w:rPr>
          <w:rFonts w:ascii="Arial" w:hAnsi="Arial" w:cs="Arial"/>
          <w:sz w:val="16"/>
          <w:szCs w:val="16"/>
        </w:rPr>
      </w:pPr>
      <w:r w:rsidRPr="00262D58">
        <w:rPr>
          <w:rFonts w:ascii="Arial" w:hAnsi="Arial" w:cs="Arial"/>
          <w:sz w:val="16"/>
          <w:szCs w:val="16"/>
        </w:rPr>
        <w:t xml:space="preserve"> </w:t>
      </w:r>
      <w:r w:rsidRPr="00262D58">
        <w:rPr>
          <w:rFonts w:ascii="Arial" w:hAnsi="Arial" w:cs="Arial"/>
          <w:sz w:val="16"/>
          <w:szCs w:val="16"/>
        </w:rPr>
        <w:tab/>
      </w:r>
      <w:r w:rsidRPr="00262D58">
        <w:rPr>
          <w:rFonts w:ascii="Arial" w:hAnsi="Arial" w:cs="Arial"/>
          <w:sz w:val="16"/>
          <w:szCs w:val="16"/>
        </w:rPr>
        <w:t xml:space="preserve">a) La Nación, las regiones, los departamentos, las provincias, el distrito capital y los distritos especiales, las áreas metropolitanas, las asociaciones de municipios, los territorios indígenas y los municipios; </w:t>
      </w:r>
      <w:r w:rsidRPr="00262D58">
        <w:rPr>
          <w:rFonts w:ascii="Arial" w:hAnsi="Arial" w:cs="Arial"/>
          <w:i/>
          <w:sz w:val="16"/>
          <w:szCs w:val="16"/>
          <w:u w:val="single"/>
        </w:rPr>
        <w:t>los establecimientos públicos</w:t>
      </w:r>
      <w:r w:rsidRPr="00262D58">
        <w:rPr>
          <w:rFonts w:ascii="Arial" w:hAnsi="Arial" w:cs="Arial"/>
          <w:sz w:val="16"/>
          <w:szCs w:val="16"/>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[Énfasis fuera de texto].</w:t>
      </w:r>
    </w:p>
  </w:footnote>
  <w:footnote w:id="44">
    <w:p w:rsidRPr="00262D58" w:rsidR="000037B4" w:rsidP="000037B4" w:rsidRDefault="000037B4" w14:paraId="74647017" w14:textId="77777777">
      <w:pPr>
        <w:pStyle w:val="FootnoteText"/>
        <w:ind w:firstLine="708"/>
        <w:jc w:val="both"/>
        <w:rPr>
          <w:rFonts w:ascii="Arial" w:hAnsi="Arial" w:cs="Arial"/>
          <w:sz w:val="16"/>
          <w:szCs w:val="16"/>
        </w:rPr>
      </w:pPr>
      <w:r w:rsidRPr="00262D58">
        <w:rPr>
          <w:rStyle w:val="FootnoteReference"/>
          <w:rFonts w:ascii="Arial" w:hAnsi="Arial" w:cs="Arial"/>
          <w:sz w:val="16"/>
          <w:szCs w:val="16"/>
        </w:rPr>
        <w:footnoteRef/>
      </w:r>
      <w:r w:rsidRPr="00262D58">
        <w:rPr>
          <w:rFonts w:ascii="Arial" w:hAnsi="Arial" w:cs="Arial"/>
          <w:sz w:val="16"/>
          <w:szCs w:val="16"/>
        </w:rPr>
        <w:t xml:space="preserve"> CONSEJO DE ESTADO. Sala de Consulta y Servicio Civil. Concepto del 27 de abril de 2006. </w:t>
      </w:r>
      <w:proofErr w:type="spellStart"/>
      <w:r w:rsidRPr="00262D58">
        <w:rPr>
          <w:rFonts w:ascii="Arial" w:hAnsi="Arial" w:cs="Arial"/>
          <w:sz w:val="16"/>
          <w:szCs w:val="16"/>
        </w:rPr>
        <w:t>Rad:1712</w:t>
      </w:r>
      <w:proofErr w:type="spellEnd"/>
      <w:r w:rsidRPr="00262D58">
        <w:rPr>
          <w:rFonts w:ascii="Arial" w:hAnsi="Arial" w:cs="Arial"/>
          <w:sz w:val="16"/>
          <w:szCs w:val="16"/>
        </w:rPr>
        <w:t>.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61B09" w14:paraId="6ED12154" w14:textId="43B6B0B6">
    <w:pPr>
      <w:pStyle w:val="Header"/>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Picture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Picture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Picture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Picture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Header"/>
    </w:pPr>
  </w:p>
  <w:p w:rsidR="00756841" w:rsidRDefault="00756841" w14:paraId="1BE2B9AE" w14:textId="4B94DB3B">
    <w:pPr>
      <w:pStyle w:val="Header"/>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 xml:space="preserve">FORMATO </w:t>
    </w:r>
    <w:proofErr w:type="spellStart"/>
    <w:r w:rsidRPr="004A305D">
      <w:rPr>
        <w:rFonts w:ascii="Century Gothic" w:hAnsi="Century Gothic"/>
        <w:color w:val="002060"/>
        <w:sz w:val="16"/>
        <w:szCs w:val="16"/>
      </w:rPr>
      <w:t>PQRSD</w:t>
    </w:r>
    <w:proofErr w:type="spellEnd"/>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proofErr w:type="spellStart"/>
    <w:r w:rsidRPr="004A305D">
      <w:rPr>
        <w:rFonts w:ascii="Century Gothic" w:hAnsi="Century Gothic" w:eastAsia="Geo" w:cs="Geo"/>
        <w:bCs/>
        <w:color w:val="000000"/>
        <w:sz w:val="16"/>
        <w:szCs w:val="16"/>
        <w:lang w:eastAsia="es-CO"/>
      </w:rPr>
      <w:t>CCE</w:t>
    </w:r>
    <w:proofErr w:type="spellEnd"/>
    <w:r w:rsidRPr="004A305D">
      <w:rPr>
        <w:rFonts w:ascii="Century Gothic" w:hAnsi="Century Gothic" w:eastAsia="Geo" w:cs="Geo"/>
        <w:bCs/>
        <w:color w:val="000000"/>
        <w:sz w:val="16"/>
        <w:szCs w:val="16"/>
        <w:lang w:eastAsia="es-CO"/>
      </w:rPr>
      <w:t>-</w:t>
    </w:r>
    <w:proofErr w:type="spellStart"/>
    <w:r w:rsidR="00CB6357">
      <w:rPr>
        <w:rFonts w:ascii="Century Gothic" w:hAnsi="Century Gothic" w:eastAsia="Geo" w:cs="Geo"/>
        <w:bCs/>
        <w:color w:val="000000"/>
        <w:sz w:val="16"/>
        <w:szCs w:val="16"/>
        <w:lang w:eastAsia="es-CO"/>
      </w:rPr>
      <w:t>REC</w:t>
    </w:r>
    <w:proofErr w:type="spellEnd"/>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53754198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7B4"/>
    <w:rsid w:val="00095EA1"/>
    <w:rsid w:val="000A683E"/>
    <w:rsid w:val="000B19B9"/>
    <w:rsid w:val="000D0334"/>
    <w:rsid w:val="000F6486"/>
    <w:rsid w:val="00125105"/>
    <w:rsid w:val="00127233"/>
    <w:rsid w:val="001E23EB"/>
    <w:rsid w:val="001E4177"/>
    <w:rsid w:val="00227C91"/>
    <w:rsid w:val="00262D58"/>
    <w:rsid w:val="002951A0"/>
    <w:rsid w:val="002962BC"/>
    <w:rsid w:val="002A093D"/>
    <w:rsid w:val="002A42B3"/>
    <w:rsid w:val="002A49AC"/>
    <w:rsid w:val="002A64FD"/>
    <w:rsid w:val="002C7A84"/>
    <w:rsid w:val="00326022"/>
    <w:rsid w:val="003448F4"/>
    <w:rsid w:val="003A779E"/>
    <w:rsid w:val="003D0F4D"/>
    <w:rsid w:val="003E0499"/>
    <w:rsid w:val="003F3941"/>
    <w:rsid w:val="00400548"/>
    <w:rsid w:val="004A1847"/>
    <w:rsid w:val="004A305D"/>
    <w:rsid w:val="004E7C7F"/>
    <w:rsid w:val="004F21C4"/>
    <w:rsid w:val="004F685F"/>
    <w:rsid w:val="0050639C"/>
    <w:rsid w:val="005131A0"/>
    <w:rsid w:val="005566E8"/>
    <w:rsid w:val="005664C4"/>
    <w:rsid w:val="00574867"/>
    <w:rsid w:val="005B2B2C"/>
    <w:rsid w:val="005C5CDC"/>
    <w:rsid w:val="005D476C"/>
    <w:rsid w:val="00603555"/>
    <w:rsid w:val="006219F8"/>
    <w:rsid w:val="00665D70"/>
    <w:rsid w:val="00706C16"/>
    <w:rsid w:val="00756841"/>
    <w:rsid w:val="007649AB"/>
    <w:rsid w:val="007833AC"/>
    <w:rsid w:val="007B7171"/>
    <w:rsid w:val="007C3DC2"/>
    <w:rsid w:val="007C6A1C"/>
    <w:rsid w:val="007E5497"/>
    <w:rsid w:val="00806F5F"/>
    <w:rsid w:val="00820278"/>
    <w:rsid w:val="008843B6"/>
    <w:rsid w:val="00891928"/>
    <w:rsid w:val="008A446D"/>
    <w:rsid w:val="008E5CA8"/>
    <w:rsid w:val="008F0EA7"/>
    <w:rsid w:val="00923EEF"/>
    <w:rsid w:val="009419F9"/>
    <w:rsid w:val="00961B09"/>
    <w:rsid w:val="00965334"/>
    <w:rsid w:val="0097093E"/>
    <w:rsid w:val="009C71FA"/>
    <w:rsid w:val="009C72E7"/>
    <w:rsid w:val="00A17F13"/>
    <w:rsid w:val="00A20739"/>
    <w:rsid w:val="00A254FA"/>
    <w:rsid w:val="00A33C78"/>
    <w:rsid w:val="00A4398A"/>
    <w:rsid w:val="00AB0ADB"/>
    <w:rsid w:val="00AD7C15"/>
    <w:rsid w:val="00B72CD3"/>
    <w:rsid w:val="00B72FFF"/>
    <w:rsid w:val="00BD7F72"/>
    <w:rsid w:val="00C04FB3"/>
    <w:rsid w:val="00C330EB"/>
    <w:rsid w:val="00C744C3"/>
    <w:rsid w:val="00C754BE"/>
    <w:rsid w:val="00CB6357"/>
    <w:rsid w:val="00CC1B26"/>
    <w:rsid w:val="00CC41D2"/>
    <w:rsid w:val="00D22603"/>
    <w:rsid w:val="00D423A2"/>
    <w:rsid w:val="00D63AC2"/>
    <w:rsid w:val="00D7383B"/>
    <w:rsid w:val="00DA231B"/>
    <w:rsid w:val="00E16408"/>
    <w:rsid w:val="00E20894"/>
    <w:rsid w:val="00E245AB"/>
    <w:rsid w:val="00E50AFE"/>
    <w:rsid w:val="00E53AA4"/>
    <w:rsid w:val="00E771DC"/>
    <w:rsid w:val="00E8772A"/>
    <w:rsid w:val="00E90F6B"/>
    <w:rsid w:val="00E92C27"/>
    <w:rsid w:val="00EA0E3D"/>
    <w:rsid w:val="00EE1AA8"/>
    <w:rsid w:val="00F204AB"/>
    <w:rsid w:val="00F31EDC"/>
    <w:rsid w:val="00F415E1"/>
    <w:rsid w:val="00F5664F"/>
    <w:rsid w:val="00F76AFC"/>
    <w:rsid w:val="00F77F12"/>
    <w:rsid w:val="00FB2C86"/>
    <w:rsid w:val="00FB5DD1"/>
    <w:rsid w:val="00FC2B5D"/>
    <w:rsid w:val="00FE25CE"/>
    <w:rsid w:val="00FF1449"/>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AE0F013-3003-4BE2-9115-F42A83D3F9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styleId="HeaderChar" w:customStyle="1">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styleId="FooterChar" w:customStyle="1">
    <w:name w:val="Footer Char"/>
    <w:basedOn w:val="DefaultParagraphFont"/>
    <w:link w:val="Footer"/>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FootnoteTextChar" w:customStyle="1">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styleId="TextonotapieCar1" w:customStyle="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symbol,Footnote,Ref. de nota al pie2,F"/>
    <w:basedOn w:val="DefaultParagraphFont"/>
    <w:link w:val="Appelnotedebasde"/>
    <w:uiPriority w:val="99"/>
    <w:unhideWhenUsed/>
    <w:qFormat/>
    <w:rsid w:val="006219F8"/>
    <w:rPr>
      <w:vertAlign w:val="superscript"/>
    </w:rPr>
  </w:style>
  <w:style w:type="character" w:styleId="normaltextrun" w:customStyle="1">
    <w:name w:val="normaltextrun"/>
    <w:basedOn w:val="DefaultParagraphFont"/>
    <w:rsid w:val="006219F8"/>
  </w:style>
  <w:style w:type="table" w:styleId="TableGrid">
    <w:name w:val="Table Grid"/>
    <w:basedOn w:val="Table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1"/>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itleChar" w:customStyle="1">
    <w:name w:val="Title Char"/>
    <w:basedOn w:val="DefaultParagraphFont"/>
    <w:link w:val="Title"/>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DefaultParagraphFont"/>
    <w:rsid w:val="00DA231B"/>
  </w:style>
  <w:style w:type="character" w:styleId="Hyperlink">
    <w:name w:val="Hyperlink"/>
    <w:basedOn w:val="DefaultParagraphFont"/>
    <w:uiPriority w:val="99"/>
    <w:semiHidden/>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styleId="Appelnotedebasde" w:customStyle="1">
    <w:name w:val="Appel note de bas de..."/>
    <w:basedOn w:val="Normal"/>
    <w:link w:val="FootnoteReference"/>
    <w:uiPriority w:val="99"/>
    <w:rsid w:val="000037B4"/>
    <w:pPr>
      <w:spacing w:line="240" w:lineRule="exact"/>
    </w:pPr>
    <w:rPr>
      <w:vertAlign w:val="superscript"/>
    </w:rPr>
  </w:style>
  <w:style w:type="paragraph" w:styleId="NormalWeb">
    <w:name w:val="Normal (Web)"/>
    <w:basedOn w:val="Normal"/>
    <w:link w:val="NormalWebChar"/>
    <w:uiPriority w:val="99"/>
    <w:unhideWhenUsed/>
    <w:rsid w:val="000037B4"/>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WebChar" w:customStyle="1">
    <w:name w:val="Normal (Web) Char"/>
    <w:link w:val="NormalWeb"/>
    <w:uiPriority w:val="99"/>
    <w:rsid w:val="000037B4"/>
    <w:rPr>
      <w:rFonts w:ascii="Times New Roman" w:hAnsi="Times New Roman" w:eastAsia="Times New Roman" w:cs="Times New Roman"/>
      <w:sz w:val="24"/>
      <w:szCs w:val="24"/>
      <w:lang w:eastAsia="es-CO"/>
    </w:rPr>
  </w:style>
  <w:style w:type="character" w:styleId="baj" w:customStyle="1">
    <w:name w:val="b_aj"/>
    <w:basedOn w:val="DefaultParagraphFont"/>
    <w:rsid w:val="000037B4"/>
  </w:style>
  <w:style w:type="character" w:styleId="ListParagraphChar" w:customStyle="1">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1"/>
    <w:qFormat/>
    <w:locked/>
    <w:rsid w:val="000037B4"/>
    <w:rPr>
      <w:rFonts w:ascii="Geomanist Light" w:hAnsi="Geomanist Light"/>
      <w:lang w:val="es-ES"/>
    </w:rPr>
  </w:style>
  <w:style w:type="paragraph" w:styleId="BodyText">
    <w:name w:val="Body Text"/>
    <w:basedOn w:val="Normal"/>
    <w:link w:val="BodyTextChar"/>
    <w:uiPriority w:val="1"/>
    <w:qFormat/>
    <w:rsid w:val="000037B4"/>
    <w:pPr>
      <w:widowControl w:val="0"/>
      <w:autoSpaceDE w:val="0"/>
      <w:autoSpaceDN w:val="0"/>
      <w:spacing w:after="0" w:line="240" w:lineRule="auto"/>
    </w:pPr>
    <w:rPr>
      <w:rFonts w:ascii="Arial" w:hAnsi="Arial" w:eastAsia="Arial" w:cs="Arial"/>
      <w:lang w:val="es-ES" w:eastAsia="es-ES" w:bidi="es-ES"/>
    </w:rPr>
  </w:style>
  <w:style w:type="character" w:styleId="BodyTextChar" w:customStyle="1">
    <w:name w:val="Body Text Char"/>
    <w:basedOn w:val="DefaultParagraphFont"/>
    <w:link w:val="BodyText"/>
    <w:uiPriority w:val="1"/>
    <w:rsid w:val="000037B4"/>
    <w:rPr>
      <w:rFonts w:ascii="Arial" w:hAnsi="Arial" w:eastAsia="Arial" w:cs="Arial"/>
      <w:lang w:val="es-ES" w:eastAsia="es-ES" w:bidi="es-ES"/>
    </w:rPr>
  </w:style>
  <w:style w:type="paragraph" w:styleId="Revision">
    <w:name w:val="Revision"/>
    <w:hidden/>
    <w:uiPriority w:val="99"/>
    <w:semiHidden/>
    <w:rsid w:val="00C744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6368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8DC30BE1-D967-4B7A-B762-CAE146AEE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10659</Words>
  <Characters>60759</Characters>
  <Application>Microsoft Office Word</Application>
  <DocSecurity>4</DocSecurity>
  <Lines>506</Lines>
  <Paragraphs>142</Paragraphs>
  <ScaleCrop>false</ScaleCrop>
  <Company/>
  <LinksUpToDate>false</LinksUpToDate>
  <CharactersWithSpaces>71276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10</cp:revision>
  <cp:lastPrinted>2023-01-10T21:18:00Z</cp:lastPrinted>
  <dcterms:created xsi:type="dcterms:W3CDTF">2023-07-14T16:29:00Z</dcterms:created>
  <dcterms:modified xsi:type="dcterms:W3CDTF">2023-08-16T17:45:00Z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