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11DA" w14:textId="77777777" w:rsidR="00DD05CB" w:rsidRPr="00E7680F" w:rsidRDefault="00DD05CB" w:rsidP="00DD05CB">
      <w:pPr>
        <w:spacing w:after="0"/>
        <w:jc w:val="both"/>
        <w:rPr>
          <w:rFonts w:ascii="Arial" w:eastAsia="Calibri" w:hAnsi="Arial" w:cs="Arial"/>
          <w:b/>
          <w:bCs/>
          <w:color w:val="000000" w:themeColor="text1"/>
        </w:rPr>
      </w:pPr>
      <w:bookmarkStart w:id="0" w:name="_Hlk96417464"/>
      <w:bookmarkStart w:id="1" w:name="_Hlk120036210"/>
      <w:bookmarkStart w:id="2" w:name="_Hlk98867631"/>
      <w:bookmarkStart w:id="3" w:name="_Hlk99546921"/>
      <w:bookmarkStart w:id="4" w:name="_Hlk34951122"/>
      <w:r w:rsidRPr="00E7680F">
        <w:rPr>
          <w:rFonts w:ascii="Arial" w:eastAsia="Calibri" w:hAnsi="Arial" w:cs="Arial"/>
          <w:b/>
          <w:bCs/>
          <w:color w:val="000000" w:themeColor="text1"/>
        </w:rPr>
        <w:t xml:space="preserve">ACUERDOS COMERCIALES – Fuentes – Aplicabilidad – Incorporación </w:t>
      </w:r>
    </w:p>
    <w:p w14:paraId="3B8195DD" w14:textId="77777777" w:rsidR="00DD05CB" w:rsidRDefault="00DD05CB" w:rsidP="00DD05CB">
      <w:pPr>
        <w:spacing w:after="0"/>
        <w:jc w:val="both"/>
        <w:rPr>
          <w:rFonts w:ascii="Arial" w:eastAsia="Calibri" w:hAnsi="Arial" w:cs="Arial"/>
          <w:bCs/>
          <w:color w:val="000000" w:themeColor="text1"/>
          <w:sz w:val="20"/>
          <w:szCs w:val="20"/>
        </w:rPr>
      </w:pPr>
    </w:p>
    <w:p w14:paraId="755F0591" w14:textId="77777777" w:rsidR="00DD05CB" w:rsidRPr="00E7680F" w:rsidRDefault="00DD05CB" w:rsidP="00DD05CB">
      <w:pPr>
        <w:spacing w:after="0"/>
        <w:jc w:val="both"/>
        <w:rPr>
          <w:rFonts w:ascii="Arial" w:eastAsia="Calibri" w:hAnsi="Arial" w:cs="Arial"/>
          <w:bCs/>
          <w:color w:val="000000" w:themeColor="text1"/>
          <w:sz w:val="20"/>
          <w:szCs w:val="20"/>
        </w:rPr>
      </w:pPr>
      <w:r w:rsidRPr="00924BBB">
        <w:rPr>
          <w:rFonts w:ascii="Arial" w:eastAsia="Calibri" w:hAnsi="Arial" w:cs="Arial"/>
          <w:bCs/>
          <w:color w:val="000000" w:themeColor="text1"/>
          <w:sz w:val="20"/>
          <w:szCs w:val="20"/>
        </w:rPr>
        <w:t>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w:t>
      </w:r>
      <w:r w:rsidRPr="00E7680F">
        <w:rPr>
          <w:rFonts w:ascii="Arial" w:eastAsia="Calibri" w:hAnsi="Arial" w:cs="Arial"/>
          <w:bCs/>
          <w:color w:val="000000" w:themeColor="text1"/>
          <w:sz w:val="20"/>
          <w:szCs w:val="20"/>
        </w:rPr>
        <w:t xml:space="preserve"> incumplimiento de dichas obligaciones. </w:t>
      </w:r>
    </w:p>
    <w:p w14:paraId="5965740D" w14:textId="77777777" w:rsidR="00DD05CB" w:rsidRDefault="00DD05CB" w:rsidP="00DD05CB">
      <w:pPr>
        <w:spacing w:after="0"/>
        <w:jc w:val="both"/>
        <w:rPr>
          <w:rFonts w:ascii="Arial" w:eastAsia="Calibri" w:hAnsi="Arial" w:cs="Arial"/>
          <w:bCs/>
          <w:color w:val="000000" w:themeColor="text1"/>
          <w:sz w:val="20"/>
          <w:szCs w:val="20"/>
        </w:rPr>
      </w:pPr>
    </w:p>
    <w:p w14:paraId="2421F19D" w14:textId="77777777" w:rsidR="00DD05CB" w:rsidRPr="00E7680F" w:rsidRDefault="00DD05CB" w:rsidP="00DD05CB">
      <w:pPr>
        <w:spacing w:after="0"/>
        <w:jc w:val="both"/>
        <w:rPr>
          <w:rFonts w:ascii="Arial" w:eastAsia="Calibri" w:hAnsi="Arial" w:cs="Arial"/>
          <w:bCs/>
          <w:color w:val="000000" w:themeColor="text1"/>
          <w:sz w:val="20"/>
          <w:szCs w:val="20"/>
        </w:rPr>
      </w:pPr>
      <w:r w:rsidRPr="00E7680F">
        <w:rPr>
          <w:rFonts w:ascii="Arial" w:eastAsia="Calibri" w:hAnsi="Arial" w:cs="Arial"/>
          <w:bCs/>
          <w:color w:val="000000" w:themeColor="text1"/>
          <w:sz w:val="20"/>
          <w:szCs w:val="20"/>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jurídico colombiano por una ley de la República. </w:t>
      </w:r>
    </w:p>
    <w:p w14:paraId="453ED42C" w14:textId="77777777" w:rsidR="00DD05CB" w:rsidRDefault="00DD05CB" w:rsidP="00DD05CB">
      <w:pPr>
        <w:spacing w:after="0" w:line="240" w:lineRule="auto"/>
        <w:contextualSpacing/>
        <w:jc w:val="both"/>
        <w:rPr>
          <w:rFonts w:ascii="Arial" w:eastAsia="Calibri" w:hAnsi="Arial" w:cs="Arial"/>
        </w:rPr>
      </w:pPr>
    </w:p>
    <w:p w14:paraId="165E8869" w14:textId="77777777" w:rsidR="00DD05CB" w:rsidRPr="00B951A3" w:rsidRDefault="00DD05CB" w:rsidP="00DD05CB">
      <w:pPr>
        <w:spacing w:after="0" w:line="240" w:lineRule="auto"/>
        <w:contextualSpacing/>
        <w:jc w:val="both"/>
        <w:rPr>
          <w:rFonts w:ascii="Arial" w:eastAsia="Calibri" w:hAnsi="Arial" w:cs="Arial"/>
          <w:b/>
          <w:bCs/>
        </w:rPr>
      </w:pPr>
      <w:r w:rsidRPr="00B951A3">
        <w:rPr>
          <w:rFonts w:ascii="Arial" w:eastAsia="Calibri" w:hAnsi="Arial" w:cs="Arial"/>
          <w:b/>
          <w:bCs/>
        </w:rPr>
        <w:t xml:space="preserve">ACUERDOS COMERCIALES ― Entidades estatales ― Deber de verificación </w:t>
      </w:r>
    </w:p>
    <w:p w14:paraId="43A3D140" w14:textId="77777777" w:rsidR="00DD05CB" w:rsidRPr="00B951A3" w:rsidRDefault="00DD05CB" w:rsidP="00DD05CB">
      <w:pPr>
        <w:spacing w:after="0" w:line="240" w:lineRule="auto"/>
        <w:contextualSpacing/>
        <w:jc w:val="both"/>
        <w:rPr>
          <w:rFonts w:ascii="Arial" w:eastAsia="Calibri" w:hAnsi="Arial" w:cs="Arial"/>
        </w:rPr>
      </w:pPr>
    </w:p>
    <w:p w14:paraId="7E9F6B6C" w14:textId="77777777" w:rsidR="00DD05CB" w:rsidRPr="00B951A3" w:rsidRDefault="00DD05CB" w:rsidP="00DD05CB">
      <w:pPr>
        <w:spacing w:after="0" w:line="240" w:lineRule="auto"/>
        <w:contextualSpacing/>
        <w:jc w:val="both"/>
        <w:rPr>
          <w:rFonts w:ascii="Arial" w:eastAsia="Calibri" w:hAnsi="Arial" w:cs="Arial"/>
          <w:sz w:val="20"/>
          <w:szCs w:val="20"/>
        </w:rPr>
      </w:pPr>
      <w:r w:rsidRPr="00B951A3">
        <w:rPr>
          <w:rFonts w:ascii="Arial" w:eastAsia="Calibri" w:hAnsi="Arial" w:cs="Arial"/>
          <w:sz w:val="20"/>
          <w:szCs w:val="20"/>
        </w:rPr>
        <w:t xml:space="preserve">[…]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Pr="00B951A3">
        <w:rPr>
          <w:rFonts w:ascii="Arial" w:eastAsia="Calibri" w:hAnsi="Arial" w:cs="Arial"/>
          <w:sz w:val="20"/>
          <w:szCs w:val="20"/>
        </w:rPr>
        <w:t>ii</w:t>
      </w:r>
      <w:proofErr w:type="spellEnd"/>
      <w:r w:rsidRPr="00B951A3">
        <w:rPr>
          <w:rFonts w:ascii="Arial" w:eastAsia="Calibri" w:hAnsi="Arial" w:cs="Arial"/>
          <w:sz w:val="20"/>
          <w:szCs w:val="20"/>
        </w:rPr>
        <w:t xml:space="preserve">) los valores (umbrales) a partir de los cuales el Acuerdo Comercial es aplicable al proceso de contratación; y, </w:t>
      </w:r>
      <w:proofErr w:type="spellStart"/>
      <w:r w:rsidRPr="00B951A3">
        <w:rPr>
          <w:rFonts w:ascii="Arial" w:eastAsia="Calibri" w:hAnsi="Arial" w:cs="Arial"/>
          <w:sz w:val="20"/>
          <w:szCs w:val="20"/>
        </w:rPr>
        <w:t>iii</w:t>
      </w:r>
      <w:proofErr w:type="spellEnd"/>
      <w:r w:rsidRPr="00B951A3">
        <w:rPr>
          <w:rFonts w:ascii="Arial" w:eastAsia="Calibri" w:hAnsi="Arial" w:cs="Arial"/>
          <w:sz w:val="20"/>
          <w:szCs w:val="20"/>
        </w:rPr>
        <w:t>) las excepciones a la aplicación del acuerdo comercial.</w:t>
      </w:r>
    </w:p>
    <w:p w14:paraId="44E91302" w14:textId="77777777" w:rsidR="00DD05CB" w:rsidRDefault="00DD05CB" w:rsidP="00DD05CB">
      <w:pPr>
        <w:spacing w:after="0" w:line="240" w:lineRule="auto"/>
        <w:contextualSpacing/>
        <w:jc w:val="both"/>
        <w:rPr>
          <w:rFonts w:ascii="Arial" w:eastAsia="Calibri" w:hAnsi="Arial" w:cs="Arial"/>
        </w:rPr>
      </w:pPr>
    </w:p>
    <w:p w14:paraId="3C8B0879" w14:textId="77777777" w:rsidR="00DD05CB" w:rsidRPr="002A42C5" w:rsidRDefault="00DD05CB" w:rsidP="00DD05CB">
      <w:pPr>
        <w:tabs>
          <w:tab w:val="left" w:pos="442"/>
        </w:tabs>
        <w:spacing w:after="0" w:line="240" w:lineRule="auto"/>
        <w:contextualSpacing/>
        <w:jc w:val="both"/>
        <w:rPr>
          <w:rFonts w:ascii="Arial" w:eastAsia="Calibri" w:hAnsi="Arial" w:cs="Arial"/>
          <w:b/>
          <w:bCs/>
        </w:rPr>
      </w:pPr>
      <w:r w:rsidRPr="002A42C5">
        <w:rPr>
          <w:rFonts w:ascii="Arial" w:eastAsia="Calibri" w:hAnsi="Arial" w:cs="Arial"/>
          <w:b/>
          <w:bCs/>
        </w:rPr>
        <w:t>COLOMBIA COMPRA EFICIENTE – Decreto Ley 4170 de 2011 – Naturaleza jurídica – Objeto</w:t>
      </w:r>
    </w:p>
    <w:p w14:paraId="3CD0CE24" w14:textId="77777777" w:rsidR="00DD05CB" w:rsidRPr="002A42C5" w:rsidRDefault="00DD05CB" w:rsidP="00DD05CB">
      <w:pPr>
        <w:tabs>
          <w:tab w:val="left" w:pos="442"/>
        </w:tabs>
        <w:spacing w:after="0" w:line="240" w:lineRule="auto"/>
        <w:contextualSpacing/>
        <w:jc w:val="both"/>
        <w:rPr>
          <w:rFonts w:ascii="Arial" w:eastAsia="Calibri" w:hAnsi="Arial" w:cs="Arial"/>
        </w:rPr>
      </w:pPr>
    </w:p>
    <w:p w14:paraId="31812028" w14:textId="77777777" w:rsidR="00DD05CB" w:rsidRPr="002A42C5" w:rsidRDefault="00DD05CB" w:rsidP="00DD05CB">
      <w:pPr>
        <w:tabs>
          <w:tab w:val="left" w:pos="442"/>
        </w:tabs>
        <w:spacing w:after="0" w:line="240" w:lineRule="auto"/>
        <w:contextualSpacing/>
        <w:jc w:val="both"/>
        <w:rPr>
          <w:rFonts w:ascii="Arial" w:eastAsia="Calibri" w:hAnsi="Arial" w:cs="Arial"/>
          <w:sz w:val="20"/>
          <w:szCs w:val="20"/>
        </w:rPr>
      </w:pPr>
      <w:r w:rsidRPr="002A42C5">
        <w:rPr>
          <w:rFonts w:ascii="Arial" w:eastAsia="Calibri" w:hAnsi="Arial" w:cs="Arial"/>
          <w:sz w:val="20"/>
          <w:szCs w:val="20"/>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w:t>
      </w:r>
      <w:r>
        <w:rPr>
          <w:rFonts w:ascii="Arial" w:eastAsia="Calibri" w:hAnsi="Arial" w:cs="Arial"/>
          <w:sz w:val="20"/>
          <w:szCs w:val="20"/>
        </w:rPr>
        <w:t>“</w:t>
      </w:r>
      <w:r w:rsidRPr="002A42C5">
        <w:rPr>
          <w:rFonts w:ascii="Arial" w:eastAsia="Calibri" w:hAnsi="Arial" w:cs="Arial"/>
          <w:sz w:val="20"/>
          <w:szCs w:val="20"/>
        </w:rPr>
        <w:t>difundir las normas, reglas, procedimientos, medios tecnológicos y mejores prácticas para las compras y la contratación pública</w:t>
      </w:r>
      <w:r>
        <w:rPr>
          <w:rFonts w:ascii="Arial" w:eastAsia="Calibri" w:hAnsi="Arial" w:cs="Arial"/>
          <w:sz w:val="20"/>
          <w:szCs w:val="20"/>
        </w:rPr>
        <w:t>”</w:t>
      </w:r>
      <w:r w:rsidRPr="002A42C5">
        <w:rPr>
          <w:rFonts w:ascii="Arial" w:eastAsia="Calibri" w:hAnsi="Arial" w:cs="Arial"/>
          <w:sz w:val="20"/>
          <w:szCs w:val="20"/>
        </w:rPr>
        <w:t xml:space="preserve">, de conformidad con el numeral 10 del artículo 3 del Decreto Ley 4170 de 2011. […] En este contexto, concretamente el numeral 2 del artículo 3 del Decreto Ley 4170 de 2011 señala que una de las funciones de la Agencia Nacional de Contratación Pública es </w:t>
      </w:r>
      <w:r>
        <w:rPr>
          <w:rFonts w:ascii="Arial" w:eastAsia="Calibri" w:hAnsi="Arial" w:cs="Arial"/>
          <w:sz w:val="20"/>
          <w:szCs w:val="20"/>
        </w:rPr>
        <w:t>“</w:t>
      </w:r>
      <w:r w:rsidRPr="002A42C5">
        <w:rPr>
          <w:rFonts w:ascii="Arial" w:eastAsia="Calibri" w:hAnsi="Arial" w:cs="Arial"/>
          <w:sz w:val="20"/>
          <w:szCs w:val="20"/>
        </w:rPr>
        <w:t>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Pr>
          <w:rFonts w:ascii="Arial" w:eastAsia="Calibri" w:hAnsi="Arial" w:cs="Arial"/>
          <w:sz w:val="20"/>
          <w:szCs w:val="20"/>
        </w:rPr>
        <w:t>”</w:t>
      </w:r>
      <w:r w:rsidRPr="002A42C5">
        <w:rPr>
          <w:rFonts w:ascii="Arial" w:eastAsia="Calibri" w:hAnsi="Arial" w:cs="Arial"/>
          <w:sz w:val="20"/>
          <w:szCs w:val="20"/>
        </w:rPr>
        <w:t>.</w:t>
      </w:r>
    </w:p>
    <w:p w14:paraId="41BB79A5" w14:textId="77777777" w:rsidR="00DD05CB" w:rsidRDefault="00DD05CB" w:rsidP="00DD05CB">
      <w:pPr>
        <w:spacing w:after="0" w:line="240" w:lineRule="auto"/>
        <w:contextualSpacing/>
        <w:jc w:val="both"/>
        <w:rPr>
          <w:rFonts w:ascii="Arial" w:eastAsia="Calibri" w:hAnsi="Arial" w:cs="Arial"/>
        </w:rPr>
      </w:pPr>
    </w:p>
    <w:p w14:paraId="503683FC" w14:textId="77777777" w:rsidR="00DD05CB" w:rsidRPr="00DE6E86" w:rsidRDefault="00DD05CB" w:rsidP="00DD05CB">
      <w:pPr>
        <w:spacing w:after="0" w:line="240" w:lineRule="auto"/>
        <w:contextualSpacing/>
        <w:jc w:val="both"/>
        <w:rPr>
          <w:rFonts w:ascii="Arial" w:eastAsia="Calibri" w:hAnsi="Arial" w:cs="Arial"/>
          <w:b/>
          <w:bCs/>
        </w:rPr>
      </w:pPr>
      <w:r w:rsidRPr="00DE6E86">
        <w:rPr>
          <w:rFonts w:ascii="Arial" w:eastAsia="Calibri" w:hAnsi="Arial" w:cs="Arial"/>
          <w:b/>
          <w:bCs/>
        </w:rPr>
        <w:t>COLOMBIA COMPRA EFICIENTE – Funciones – Expedición de guías y manuales – Obligatoriedad de sus actos</w:t>
      </w:r>
    </w:p>
    <w:p w14:paraId="56723A9B" w14:textId="77777777" w:rsidR="00DD05CB" w:rsidRDefault="00DD05CB" w:rsidP="00DD05CB">
      <w:pPr>
        <w:spacing w:after="0" w:line="240" w:lineRule="auto"/>
        <w:contextualSpacing/>
        <w:jc w:val="both"/>
        <w:rPr>
          <w:rFonts w:ascii="Arial" w:eastAsia="Calibri" w:hAnsi="Arial" w:cs="Arial"/>
        </w:rPr>
      </w:pPr>
    </w:p>
    <w:p w14:paraId="773F20E6" w14:textId="77777777" w:rsidR="00DD05CB" w:rsidRPr="00B030AD" w:rsidRDefault="00DD05CB" w:rsidP="00DD05CB">
      <w:pPr>
        <w:spacing w:after="0" w:line="240" w:lineRule="auto"/>
        <w:jc w:val="both"/>
        <w:rPr>
          <w:rFonts w:ascii="Arial" w:eastAsia="Calibri" w:hAnsi="Arial" w:cs="Arial"/>
          <w:sz w:val="20"/>
          <w:szCs w:val="20"/>
        </w:rPr>
      </w:pPr>
      <w:r w:rsidRPr="00B030AD">
        <w:rPr>
          <w:rFonts w:ascii="Arial" w:eastAsia="Calibri" w:hAnsi="Arial" w:cs="Arial"/>
          <w:sz w:val="20"/>
          <w:szCs w:val="20"/>
        </w:rPr>
        <w:t>En ejercicio de estas competencias conferidas por el Decreto Ley 4170 de 2011, Colombia Compra Eficiente ha expedido Guías, Manuales y Circulares, los cuales pueden ser calificados como herramientas de apoyo a los partícipes de la contratación pública.</w:t>
      </w:r>
    </w:p>
    <w:p w14:paraId="4BDE1A87" w14:textId="77777777" w:rsidR="00DD05CB" w:rsidRDefault="00DD05CB" w:rsidP="00DD05CB">
      <w:pPr>
        <w:spacing w:after="0" w:line="240" w:lineRule="auto"/>
        <w:contextualSpacing/>
        <w:jc w:val="both"/>
        <w:rPr>
          <w:rFonts w:ascii="Arial" w:eastAsia="Calibri" w:hAnsi="Arial" w:cs="Arial"/>
        </w:rPr>
      </w:pPr>
      <w:r>
        <w:rPr>
          <w:rFonts w:ascii="Arial" w:eastAsia="Calibri" w:hAnsi="Arial" w:cs="Arial"/>
        </w:rPr>
        <w:t>[…]</w:t>
      </w:r>
    </w:p>
    <w:p w14:paraId="22AC9A5E" w14:textId="77777777" w:rsidR="00DD05CB" w:rsidRPr="006E77F2" w:rsidRDefault="00DD05CB" w:rsidP="00DD05CB">
      <w:pPr>
        <w:spacing w:after="0" w:line="240" w:lineRule="auto"/>
        <w:contextualSpacing/>
        <w:jc w:val="both"/>
        <w:rPr>
          <w:rFonts w:ascii="Arial" w:eastAsia="Calibri" w:hAnsi="Arial" w:cs="Arial"/>
        </w:rPr>
      </w:pPr>
      <w:r>
        <w:rPr>
          <w:rFonts w:ascii="Arial" w:eastAsia="Calibri" w:hAnsi="Arial" w:cs="Arial"/>
        </w:rPr>
        <w:lastRenderedPageBreak/>
        <w:t xml:space="preserve">[…] </w:t>
      </w:r>
      <w:r w:rsidRPr="006E77F2">
        <w:rPr>
          <w:rFonts w:ascii="Arial" w:eastAsia="Calibri" w:hAnsi="Arial" w:cs="Arial"/>
        </w:rPr>
        <w:t>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52AABC26" w14:textId="77777777" w:rsidR="00DD05CB" w:rsidRPr="006E77F2" w:rsidRDefault="00DD05CB" w:rsidP="00DD05CB">
      <w:pPr>
        <w:spacing w:after="0" w:line="240" w:lineRule="auto"/>
        <w:contextualSpacing/>
        <w:jc w:val="both"/>
        <w:rPr>
          <w:rFonts w:ascii="Arial" w:eastAsia="Calibri" w:hAnsi="Arial" w:cs="Arial"/>
        </w:rPr>
      </w:pPr>
    </w:p>
    <w:p w14:paraId="7B00D9E3" w14:textId="77777777" w:rsidR="00DD05CB" w:rsidRDefault="00DD05CB" w:rsidP="00DD05CB">
      <w:pPr>
        <w:spacing w:after="0" w:line="240" w:lineRule="auto"/>
        <w:contextualSpacing/>
        <w:jc w:val="both"/>
        <w:rPr>
          <w:rFonts w:ascii="Arial" w:eastAsia="Calibri" w:hAnsi="Arial" w:cs="Arial"/>
        </w:rPr>
      </w:pPr>
      <w:r w:rsidRPr="006E77F2">
        <w:rPr>
          <w:rFonts w:ascii="Arial" w:eastAsia="Calibri" w:hAnsi="Arial" w:cs="Arial"/>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6AB3E2BB" w14:textId="77777777" w:rsidR="00DD05CB" w:rsidRDefault="00DD05CB" w:rsidP="00DD05CB">
      <w:pPr>
        <w:spacing w:after="0" w:line="240" w:lineRule="auto"/>
        <w:contextualSpacing/>
        <w:jc w:val="both"/>
        <w:rPr>
          <w:rFonts w:ascii="Arial" w:eastAsia="Calibri" w:hAnsi="Arial" w:cs="Arial"/>
        </w:rPr>
      </w:pPr>
    </w:p>
    <w:p w14:paraId="120E1726" w14:textId="77777777" w:rsidR="00DD05CB" w:rsidRDefault="00DD05CB" w:rsidP="00DD05CB">
      <w:pPr>
        <w:spacing w:after="0" w:line="240" w:lineRule="auto"/>
        <w:contextualSpacing/>
        <w:jc w:val="both"/>
        <w:rPr>
          <w:rFonts w:ascii="Arial" w:eastAsia="Calibri" w:hAnsi="Arial" w:cs="Arial"/>
          <w:b/>
          <w:bCs/>
        </w:rPr>
      </w:pPr>
      <w:r>
        <w:rPr>
          <w:rFonts w:ascii="Arial" w:eastAsia="Calibri" w:hAnsi="Arial" w:cs="Arial"/>
          <w:b/>
          <w:bCs/>
        </w:rPr>
        <w:t>MANUAL DE ACUERDOS COMERCIALES – Alcance</w:t>
      </w:r>
    </w:p>
    <w:p w14:paraId="419ABFE8" w14:textId="77777777" w:rsidR="00DD05CB" w:rsidRPr="00F224B2" w:rsidRDefault="00DD05CB" w:rsidP="00DD05CB">
      <w:pPr>
        <w:spacing w:after="0" w:line="240" w:lineRule="auto"/>
        <w:contextualSpacing/>
        <w:jc w:val="both"/>
        <w:rPr>
          <w:rFonts w:ascii="Arial" w:eastAsia="Calibri" w:hAnsi="Arial" w:cs="Arial"/>
          <w:b/>
          <w:bCs/>
        </w:rPr>
      </w:pPr>
    </w:p>
    <w:p w14:paraId="68C0FC79" w14:textId="77777777" w:rsidR="00DD05CB" w:rsidRPr="00F54F0F" w:rsidRDefault="00DD05CB" w:rsidP="00DD05CB">
      <w:pPr>
        <w:spacing w:after="0" w:line="240" w:lineRule="auto"/>
        <w:contextualSpacing/>
        <w:jc w:val="both"/>
        <w:rPr>
          <w:rFonts w:ascii="Arial" w:eastAsia="Calibri" w:hAnsi="Arial" w:cs="Arial"/>
          <w:sz w:val="20"/>
          <w:szCs w:val="20"/>
        </w:rPr>
      </w:pPr>
      <w:r w:rsidRPr="00F54F0F">
        <w:rPr>
          <w:rFonts w:ascii="Arial" w:eastAsia="Calibri" w:hAnsi="Arial" w:cs="Arial"/>
          <w:sz w:val="20"/>
          <w:szCs w:val="20"/>
        </w:rPr>
        <w:t xml:space="preserve">[…] tratándose del Manual para el manejo de los Acuerdos Comerciales en Procesos de Contratación, como lo indicó esta Subdirección en el Concepto con radicado No. 2201913000008425 del 13 de noviembre de 2019, </w:t>
      </w:r>
      <w:r>
        <w:rPr>
          <w:rFonts w:ascii="Arial" w:eastAsia="Calibri" w:hAnsi="Arial" w:cs="Arial"/>
          <w:sz w:val="20"/>
          <w:szCs w:val="20"/>
        </w:rPr>
        <w:t>“</w:t>
      </w:r>
      <w:r w:rsidRPr="00F54F0F">
        <w:rPr>
          <w:rFonts w:ascii="Arial" w:eastAsia="Calibri" w:hAnsi="Arial" w:cs="Arial"/>
          <w:sz w:val="20"/>
          <w:szCs w:val="20"/>
        </w:rPr>
        <w:t>Las entidades estatales pueden hacer uso del “Manual para el manejo de los Acuerdos Comerciales en Procesos de Contratación”, expedido por Colombia Compra Eficiente como herramienta orientadora para conocer la cobertura de los Acuerdos Comerciales y los plazos correspondientes, sin embargo, el uso del manual no exime a la entidad del deber de conocer y aplicar cada Acuerdo Comercial</w:t>
      </w:r>
      <w:r>
        <w:rPr>
          <w:rFonts w:ascii="Arial" w:eastAsia="Calibri" w:hAnsi="Arial" w:cs="Arial"/>
          <w:sz w:val="20"/>
          <w:szCs w:val="20"/>
        </w:rPr>
        <w:t>”</w:t>
      </w:r>
      <w:r w:rsidRPr="00F54F0F">
        <w:rPr>
          <w:rFonts w:ascii="Arial" w:eastAsia="Calibri" w:hAnsi="Arial" w:cs="Arial"/>
          <w:sz w:val="20"/>
          <w:szCs w:val="20"/>
        </w:rPr>
        <w:t xml:space="preserve">. En otras palabras, el Manual es una herramienta de orientación, pero no exime a las entidades estatales de verificar la cobertura y aplicar los acuerdos comerciales que resulten obligatorios en el correspondiente procedimiento de selección. Lo anterior guarda consonancia con los artículos 2.2.1.2.4.1.1. y 2.2.1.2.4.1.2. del Decreto 1082 de 2015, que disponen, respectivamente, que: </w:t>
      </w:r>
      <w:r>
        <w:rPr>
          <w:rFonts w:ascii="Arial" w:eastAsia="Calibri" w:hAnsi="Arial" w:cs="Arial"/>
          <w:sz w:val="20"/>
          <w:szCs w:val="20"/>
        </w:rPr>
        <w:t>“</w:t>
      </w:r>
      <w:r w:rsidRPr="00F54F0F">
        <w:rPr>
          <w:rFonts w:ascii="Arial" w:eastAsia="Calibri" w:hAnsi="Arial" w:cs="Arial"/>
          <w:sz w:val="20"/>
          <w:szCs w:val="20"/>
        </w:rPr>
        <w:t>Las Entidades Estatales deben adelantar los Procesos de Contratación de acuerdo con lo previsto en los Acuerdos Comerciales, cuando estos les sean aplicables</w:t>
      </w:r>
      <w:r>
        <w:rPr>
          <w:rFonts w:ascii="Arial" w:eastAsia="Calibri" w:hAnsi="Arial" w:cs="Arial"/>
          <w:sz w:val="20"/>
          <w:szCs w:val="20"/>
        </w:rPr>
        <w:t>”</w:t>
      </w:r>
      <w:r w:rsidRPr="00F54F0F">
        <w:rPr>
          <w:rFonts w:ascii="Arial" w:eastAsia="Calibri" w:hAnsi="Arial" w:cs="Arial"/>
          <w:sz w:val="20"/>
          <w:szCs w:val="20"/>
        </w:rPr>
        <w:t xml:space="preserve"> y que </w:t>
      </w:r>
      <w:r>
        <w:rPr>
          <w:rFonts w:ascii="Arial" w:eastAsia="Calibri" w:hAnsi="Arial" w:cs="Arial"/>
          <w:sz w:val="20"/>
          <w:szCs w:val="20"/>
        </w:rPr>
        <w:t>“</w:t>
      </w:r>
      <w:r w:rsidRPr="00F54F0F">
        <w:rPr>
          <w:rFonts w:ascii="Arial" w:eastAsia="Calibri" w:hAnsi="Arial" w:cs="Arial"/>
          <w:sz w:val="20"/>
          <w:szCs w:val="20"/>
        </w:rPr>
        <w:t>Si un mismo Proceso de Contratación está sometido a varios Acuerdos Comerciales, la Entidad Estatal debe adoptar las medidas necesarias para el cumplimiento de la totalidad de los compromisos previstos en los Acuerdos Comerciales</w:t>
      </w:r>
      <w:r>
        <w:rPr>
          <w:rFonts w:ascii="Arial" w:eastAsia="Calibri" w:hAnsi="Arial" w:cs="Arial"/>
          <w:sz w:val="20"/>
          <w:szCs w:val="20"/>
        </w:rPr>
        <w:t>”</w:t>
      </w:r>
      <w:r w:rsidRPr="00F54F0F">
        <w:rPr>
          <w:rFonts w:ascii="Arial" w:eastAsia="Calibri" w:hAnsi="Arial" w:cs="Arial"/>
          <w:sz w:val="20"/>
          <w:szCs w:val="20"/>
        </w:rPr>
        <w:t>. De esta manera, las entidades estatales y los procesos contractuales cubiertos por los tratados suscritos entre Colombia y otros Estados son aquellos que aparecen en sus listas. Por ello, la determinación de si tales acuerdos comerciales aplican o no en un determinado procedimiento de selección corresponde realizarlo a cada entidad estatal, consultando el ámbito de cobertura de cada Acuerdo Comercial.</w:t>
      </w:r>
    </w:p>
    <w:p w14:paraId="4EA29BF4" w14:textId="77777777" w:rsidR="00DD05CB" w:rsidRDefault="00DD05CB" w:rsidP="00DD05CB">
      <w:pPr>
        <w:spacing w:after="0" w:line="240" w:lineRule="auto"/>
        <w:contextualSpacing/>
        <w:jc w:val="both"/>
        <w:rPr>
          <w:rFonts w:ascii="Arial" w:eastAsia="Calibri" w:hAnsi="Arial" w:cs="Arial"/>
        </w:rPr>
      </w:pPr>
    </w:p>
    <w:p w14:paraId="4F45ABFE" w14:textId="77777777" w:rsidR="00DD05CB" w:rsidRDefault="00DD05CB" w:rsidP="00DD05CB">
      <w:pPr>
        <w:spacing w:after="0" w:line="240" w:lineRule="auto"/>
        <w:contextualSpacing/>
        <w:jc w:val="both"/>
        <w:rPr>
          <w:rFonts w:ascii="Arial" w:eastAsia="Calibri" w:hAnsi="Arial" w:cs="Arial"/>
        </w:rPr>
      </w:pPr>
    </w:p>
    <w:p w14:paraId="3EE40CA2" w14:textId="77777777" w:rsidR="00DD05CB" w:rsidRDefault="00DD05CB" w:rsidP="00DD05CB">
      <w:pPr>
        <w:spacing w:after="0" w:line="240" w:lineRule="auto"/>
        <w:contextualSpacing/>
        <w:jc w:val="both"/>
        <w:rPr>
          <w:rFonts w:ascii="Arial" w:eastAsia="Calibri" w:hAnsi="Arial" w:cs="Arial"/>
        </w:rPr>
      </w:pPr>
    </w:p>
    <w:p w14:paraId="4DC58921" w14:textId="77777777" w:rsidR="00DD05CB" w:rsidRDefault="00DD05CB" w:rsidP="00DD05CB">
      <w:pPr>
        <w:spacing w:after="0" w:line="240" w:lineRule="auto"/>
        <w:contextualSpacing/>
        <w:jc w:val="both"/>
        <w:rPr>
          <w:rFonts w:ascii="Arial" w:eastAsia="Calibri" w:hAnsi="Arial" w:cs="Arial"/>
        </w:rPr>
      </w:pPr>
    </w:p>
    <w:p w14:paraId="2E2A8E82" w14:textId="77777777" w:rsidR="00DD05CB" w:rsidRDefault="00DD05CB" w:rsidP="00DD05CB">
      <w:pPr>
        <w:spacing w:after="0" w:line="240" w:lineRule="auto"/>
        <w:contextualSpacing/>
        <w:jc w:val="both"/>
        <w:rPr>
          <w:rFonts w:ascii="Arial" w:eastAsia="Calibri" w:hAnsi="Arial" w:cs="Arial"/>
        </w:rPr>
      </w:pPr>
    </w:p>
    <w:p w14:paraId="31A9CAB3" w14:textId="77777777" w:rsidR="00DD05CB" w:rsidRDefault="00DD05CB" w:rsidP="00DD05CB">
      <w:pPr>
        <w:spacing w:after="0" w:line="240" w:lineRule="auto"/>
        <w:contextualSpacing/>
        <w:jc w:val="both"/>
        <w:rPr>
          <w:rFonts w:ascii="Arial" w:eastAsia="Calibri" w:hAnsi="Arial" w:cs="Arial"/>
        </w:rPr>
      </w:pPr>
    </w:p>
    <w:p w14:paraId="59D1F4B7" w14:textId="77777777" w:rsidR="00DD05CB" w:rsidRDefault="00DD05CB" w:rsidP="00DD05CB">
      <w:pPr>
        <w:spacing w:after="0" w:line="240" w:lineRule="auto"/>
        <w:contextualSpacing/>
        <w:jc w:val="both"/>
        <w:rPr>
          <w:rFonts w:ascii="Arial" w:eastAsia="Calibri" w:hAnsi="Arial" w:cs="Arial"/>
        </w:rPr>
      </w:pPr>
    </w:p>
    <w:p w14:paraId="66A5F974" w14:textId="77777777" w:rsidR="00DD05CB" w:rsidRDefault="00DD05CB" w:rsidP="00DD05CB">
      <w:pPr>
        <w:spacing w:after="0" w:line="240" w:lineRule="auto"/>
        <w:contextualSpacing/>
        <w:jc w:val="both"/>
        <w:rPr>
          <w:rFonts w:ascii="Arial" w:eastAsia="Calibri" w:hAnsi="Arial" w:cs="Arial"/>
        </w:rPr>
      </w:pPr>
    </w:p>
    <w:p w14:paraId="085FC357" w14:textId="77777777" w:rsidR="00DD05CB" w:rsidRDefault="00DD05CB" w:rsidP="00DD05CB">
      <w:pPr>
        <w:spacing w:after="0" w:line="240" w:lineRule="auto"/>
        <w:contextualSpacing/>
        <w:jc w:val="both"/>
        <w:rPr>
          <w:rFonts w:ascii="Arial" w:eastAsia="Calibri" w:hAnsi="Arial" w:cs="Arial"/>
        </w:rPr>
      </w:pPr>
    </w:p>
    <w:p w14:paraId="5CD59F2B" w14:textId="77777777" w:rsidR="00DD05CB" w:rsidRDefault="00DD05CB" w:rsidP="00DD05CB">
      <w:pPr>
        <w:spacing w:after="0" w:line="240" w:lineRule="auto"/>
        <w:contextualSpacing/>
        <w:jc w:val="both"/>
        <w:rPr>
          <w:rFonts w:ascii="Arial" w:eastAsia="Calibri" w:hAnsi="Arial" w:cs="Arial"/>
        </w:rPr>
      </w:pPr>
    </w:p>
    <w:p w14:paraId="0A48282A" w14:textId="77777777" w:rsidR="00DD05CB" w:rsidRDefault="00DD05CB" w:rsidP="00DD05CB">
      <w:pPr>
        <w:spacing w:after="0" w:line="240" w:lineRule="auto"/>
        <w:contextualSpacing/>
        <w:jc w:val="both"/>
        <w:rPr>
          <w:rFonts w:ascii="Arial" w:eastAsia="Calibri" w:hAnsi="Arial" w:cs="Arial"/>
        </w:rPr>
      </w:pPr>
    </w:p>
    <w:p w14:paraId="0D398A2F" w14:textId="77777777" w:rsidR="00DD05CB" w:rsidRDefault="00DD05CB" w:rsidP="00DD05CB">
      <w:pPr>
        <w:spacing w:after="0" w:line="240" w:lineRule="auto"/>
        <w:contextualSpacing/>
        <w:jc w:val="both"/>
        <w:rPr>
          <w:rFonts w:ascii="Arial" w:eastAsia="Calibri" w:hAnsi="Arial" w:cs="Arial"/>
        </w:rPr>
      </w:pPr>
    </w:p>
    <w:p w14:paraId="7376E604" w14:textId="77777777" w:rsidR="00DD05CB" w:rsidRDefault="00DD05CB" w:rsidP="00DD05CB">
      <w:pPr>
        <w:spacing w:after="0" w:line="240" w:lineRule="auto"/>
        <w:contextualSpacing/>
        <w:jc w:val="both"/>
        <w:rPr>
          <w:rFonts w:ascii="Arial" w:eastAsia="Calibri" w:hAnsi="Arial" w:cs="Arial"/>
        </w:rPr>
      </w:pPr>
    </w:p>
    <w:p w14:paraId="33632974" w14:textId="77777777" w:rsidR="00DD05CB" w:rsidRDefault="00DD05CB" w:rsidP="00DD05CB">
      <w:pPr>
        <w:spacing w:after="0" w:line="240" w:lineRule="auto"/>
        <w:contextualSpacing/>
        <w:jc w:val="both"/>
        <w:rPr>
          <w:rFonts w:ascii="Arial" w:eastAsia="Calibri" w:hAnsi="Arial" w:cs="Arial"/>
        </w:rPr>
      </w:pPr>
    </w:p>
    <w:p w14:paraId="7E3A26AC" w14:textId="77777777" w:rsidR="00DD05CB" w:rsidRPr="00D36629" w:rsidRDefault="00DD05CB" w:rsidP="00DD05CB">
      <w:pPr>
        <w:spacing w:after="0" w:line="240" w:lineRule="auto"/>
        <w:contextualSpacing/>
        <w:jc w:val="both"/>
        <w:rPr>
          <w:rFonts w:ascii="Arial" w:eastAsia="Calibri" w:hAnsi="Arial" w:cs="Arial"/>
        </w:rPr>
      </w:pPr>
    </w:p>
    <w:p w14:paraId="7853EBD7" w14:textId="3CB18FB6" w:rsidR="00DA16CD" w:rsidRDefault="0086488B" w:rsidP="0086488B">
      <w:pPr>
        <w:jc w:val="right"/>
        <w:rPr>
          <w:rFonts w:ascii="Arial" w:eastAsia="Geomanist Light" w:hAnsi="Arial" w:cs="Arial"/>
          <w:color w:val="000000" w:themeColor="text1"/>
          <w:lang w:val="es-MX"/>
        </w:rPr>
      </w:pPr>
      <w:r>
        <w:rPr>
          <w:noProof/>
          <w14:ligatures w14:val="standardContextual"/>
        </w:rPr>
        <w:lastRenderedPageBreak/>
        <w:drawing>
          <wp:inline distT="0" distB="0" distL="0" distR="0" wp14:anchorId="02E3192E" wp14:editId="1AA4DB4F">
            <wp:extent cx="2543175" cy="733425"/>
            <wp:effectExtent l="0" t="0" r="9525" b="9525"/>
            <wp:docPr id="20946639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63978" name="Imagen 1" descr="Texto&#10;&#10;Descripción generada automáticamente"/>
                    <pic:cNvPicPr/>
                  </pic:nvPicPr>
                  <pic:blipFill>
                    <a:blip r:embed="rId9"/>
                    <a:stretch>
                      <a:fillRect/>
                    </a:stretch>
                  </pic:blipFill>
                  <pic:spPr>
                    <a:xfrm>
                      <a:off x="0" y="0"/>
                      <a:ext cx="2543175" cy="733425"/>
                    </a:xfrm>
                    <a:prstGeom prst="rect">
                      <a:avLst/>
                    </a:prstGeom>
                  </pic:spPr>
                </pic:pic>
              </a:graphicData>
            </a:graphic>
          </wp:inline>
        </w:drawing>
      </w:r>
    </w:p>
    <w:p w14:paraId="17EA8508" w14:textId="7981818D" w:rsidR="00DD05CB" w:rsidRPr="00D36629" w:rsidRDefault="00DD05CB" w:rsidP="00DD05CB">
      <w:pPr>
        <w:rPr>
          <w:rFonts w:ascii="Arial" w:eastAsia="Geomanist Light" w:hAnsi="Arial" w:cs="Arial"/>
          <w:color w:val="201F1E"/>
          <w:lang w:val="es-MX"/>
        </w:rPr>
      </w:pPr>
      <w:r w:rsidRPr="00D36629">
        <w:rPr>
          <w:rFonts w:ascii="Arial" w:eastAsia="Geomanist Light" w:hAnsi="Arial" w:cs="Arial"/>
          <w:color w:val="000000" w:themeColor="text1"/>
          <w:lang w:val="es-MX"/>
        </w:rPr>
        <w:t>Bogotá D.C., </w:t>
      </w:r>
      <w:r w:rsidRPr="00D36629">
        <w:rPr>
          <w:rFonts w:ascii="Arial" w:eastAsia="Geomanist Light" w:hAnsi="Arial" w:cs="Arial"/>
          <w:color w:val="201F1E"/>
          <w:lang w:val="es-MX"/>
        </w:rPr>
        <w:t>[Día] de [</w:t>
      </w:r>
      <w:proofErr w:type="spellStart"/>
      <w:r w:rsidRPr="00D36629">
        <w:rPr>
          <w:rFonts w:ascii="Arial" w:eastAsia="Geomanist Light" w:hAnsi="Arial" w:cs="Arial"/>
          <w:color w:val="201F1E"/>
          <w:lang w:val="es-MX"/>
        </w:rPr>
        <w:t>Mes.NombreCapitalizado</w:t>
      </w:r>
      <w:proofErr w:type="spellEnd"/>
      <w:r w:rsidRPr="00D36629">
        <w:rPr>
          <w:rFonts w:ascii="Arial" w:eastAsia="Geomanist Light" w:hAnsi="Arial" w:cs="Arial"/>
          <w:color w:val="201F1E"/>
          <w:lang w:val="es-MX"/>
        </w:rPr>
        <w:t>] de [Año]</w:t>
      </w:r>
    </w:p>
    <w:p w14:paraId="1AFE30CA" w14:textId="77777777" w:rsidR="00DD05CB" w:rsidRPr="00D36629" w:rsidRDefault="00DD05CB" w:rsidP="00DD05CB">
      <w:pPr>
        <w:spacing w:after="0" w:line="240" w:lineRule="auto"/>
        <w:contextualSpacing/>
        <w:jc w:val="both"/>
        <w:rPr>
          <w:rFonts w:ascii="Arial" w:eastAsia="Calibri" w:hAnsi="Arial" w:cs="Arial"/>
        </w:rPr>
      </w:pPr>
    </w:p>
    <w:p w14:paraId="24A287A8" w14:textId="77777777" w:rsidR="00DD05CB" w:rsidRPr="00D36629" w:rsidRDefault="00DD05CB" w:rsidP="00DD05CB">
      <w:pPr>
        <w:spacing w:after="0" w:line="276" w:lineRule="auto"/>
        <w:contextualSpacing/>
        <w:jc w:val="both"/>
        <w:rPr>
          <w:rFonts w:ascii="Arial" w:eastAsia="Calibri" w:hAnsi="Arial" w:cs="Arial"/>
        </w:rPr>
      </w:pPr>
      <w:r w:rsidRPr="00D36629">
        <w:rPr>
          <w:rFonts w:ascii="Arial" w:eastAsia="Calibri" w:hAnsi="Arial" w:cs="Arial"/>
        </w:rPr>
        <w:t>Señor</w:t>
      </w:r>
    </w:p>
    <w:p w14:paraId="0A3AFC72" w14:textId="77777777" w:rsidR="00DD05CB" w:rsidRPr="00D36629" w:rsidRDefault="00DD05CB" w:rsidP="00DD05CB">
      <w:pPr>
        <w:spacing w:after="0" w:line="276" w:lineRule="auto"/>
        <w:contextualSpacing/>
        <w:jc w:val="both"/>
        <w:rPr>
          <w:rFonts w:ascii="Arial" w:eastAsia="Calibri" w:hAnsi="Arial" w:cs="Arial"/>
          <w:b/>
          <w:bCs/>
        </w:rPr>
      </w:pPr>
      <w:proofErr w:type="spellStart"/>
      <w:r w:rsidRPr="00D36629">
        <w:rPr>
          <w:rFonts w:ascii="Arial" w:eastAsia="Calibri" w:hAnsi="Arial" w:cs="Arial"/>
          <w:b/>
          <w:bCs/>
        </w:rPr>
        <w:t>Jhonatan</w:t>
      </w:r>
      <w:proofErr w:type="spellEnd"/>
      <w:r w:rsidRPr="00D36629">
        <w:rPr>
          <w:rFonts w:ascii="Arial" w:eastAsia="Calibri" w:hAnsi="Arial" w:cs="Arial"/>
          <w:b/>
          <w:bCs/>
        </w:rPr>
        <w:t xml:space="preserve"> Daniel Alejandro Sánchez Murcia</w:t>
      </w:r>
    </w:p>
    <w:p w14:paraId="13F34EAC" w14:textId="77777777" w:rsidR="00DD05CB" w:rsidRPr="00D36629" w:rsidRDefault="00DD05CB" w:rsidP="00DD05CB">
      <w:pPr>
        <w:spacing w:after="0" w:line="276" w:lineRule="auto"/>
        <w:contextualSpacing/>
        <w:jc w:val="both"/>
        <w:rPr>
          <w:rFonts w:ascii="Arial" w:eastAsia="Calibri" w:hAnsi="Arial" w:cs="Arial"/>
        </w:rPr>
      </w:pPr>
      <w:r w:rsidRPr="00D36629">
        <w:rPr>
          <w:rFonts w:ascii="Arial" w:eastAsia="Calibri" w:hAnsi="Arial" w:cs="Arial"/>
        </w:rPr>
        <w:t>Asesor Jurídico</w:t>
      </w:r>
    </w:p>
    <w:p w14:paraId="781DEB3B" w14:textId="77777777" w:rsidR="00DD05CB" w:rsidRPr="00D36629" w:rsidRDefault="00DD05CB" w:rsidP="00DD05CB">
      <w:pPr>
        <w:spacing w:after="0" w:line="276" w:lineRule="auto"/>
        <w:contextualSpacing/>
        <w:jc w:val="both"/>
        <w:rPr>
          <w:rFonts w:ascii="Arial" w:eastAsia="Calibri" w:hAnsi="Arial" w:cs="Arial"/>
        </w:rPr>
      </w:pPr>
      <w:r w:rsidRPr="00D36629">
        <w:rPr>
          <w:rFonts w:ascii="Arial" w:eastAsia="Calibri" w:hAnsi="Arial" w:cs="Arial"/>
        </w:rPr>
        <w:t>Comisión Nacional del Servicio Civil</w:t>
      </w:r>
    </w:p>
    <w:p w14:paraId="2ED632F7" w14:textId="77777777" w:rsidR="00DD05CB" w:rsidRPr="00D36629" w:rsidRDefault="00DD05CB" w:rsidP="00DD05CB">
      <w:pPr>
        <w:spacing w:after="0" w:line="276" w:lineRule="auto"/>
        <w:contextualSpacing/>
        <w:jc w:val="both"/>
        <w:rPr>
          <w:rFonts w:ascii="Arial" w:eastAsia="Calibri" w:hAnsi="Arial" w:cs="Arial"/>
        </w:rPr>
      </w:pPr>
      <w:r w:rsidRPr="00D36629">
        <w:rPr>
          <w:rFonts w:ascii="Arial" w:eastAsia="Calibri" w:hAnsi="Arial" w:cs="Arial"/>
        </w:rPr>
        <w:t xml:space="preserve">Bogotá D.C </w:t>
      </w:r>
    </w:p>
    <w:p w14:paraId="6A6E035F" w14:textId="77777777" w:rsidR="00DD05CB" w:rsidRPr="00D36629" w:rsidRDefault="00DD05CB" w:rsidP="00DD05CB">
      <w:pPr>
        <w:spacing w:after="0" w:line="276" w:lineRule="auto"/>
        <w:contextualSpacing/>
        <w:jc w:val="both"/>
        <w:rPr>
          <w:rFonts w:ascii="Arial" w:eastAsia="Calibri" w:hAnsi="Arial" w:cs="Arial"/>
        </w:rPr>
      </w:pPr>
    </w:p>
    <w:p w14:paraId="198444F5" w14:textId="77777777" w:rsidR="00DD05CB" w:rsidRPr="00D36629" w:rsidRDefault="00DD05CB" w:rsidP="00DD05CB">
      <w:pPr>
        <w:spacing w:after="0" w:line="240" w:lineRule="auto"/>
        <w:contextualSpacing/>
        <w:jc w:val="both"/>
        <w:rPr>
          <w:rFonts w:ascii="Arial" w:eastAsia="Calibri" w:hAnsi="Arial" w:cs="Arial"/>
        </w:rPr>
      </w:pPr>
      <w:r w:rsidRPr="00D36629">
        <w:rPr>
          <w:rFonts w:ascii="Arial" w:eastAsia="Calibri" w:hAnsi="Arial" w:cs="Arial"/>
        </w:rPr>
        <w:t xml:space="preserve">                                            </w:t>
      </w:r>
      <w:r w:rsidRPr="00D36629">
        <w:rPr>
          <w:rFonts w:ascii="Arial" w:eastAsia="Calibri" w:hAnsi="Arial" w:cs="Arial"/>
          <w:b/>
        </w:rPr>
        <w:t>Concepto C–238 de 2023</w:t>
      </w:r>
    </w:p>
    <w:p w14:paraId="02561EA2" w14:textId="77777777" w:rsidR="00DD05CB" w:rsidRPr="00D36629" w:rsidRDefault="00DD05CB" w:rsidP="00DD05CB">
      <w:pPr>
        <w:spacing w:after="0" w:line="240" w:lineRule="auto"/>
        <w:contextualSpacing/>
        <w:jc w:val="both"/>
        <w:rPr>
          <w:rFonts w:ascii="Arial" w:eastAsia="Calibri" w:hAnsi="Arial" w:cs="Arial"/>
          <w:b/>
        </w:rPr>
      </w:pPr>
    </w:p>
    <w:p w14:paraId="3CE1E619" w14:textId="77777777" w:rsidR="00DD05CB" w:rsidRPr="00D36629" w:rsidRDefault="00DD05CB" w:rsidP="00DD05CB">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05CB" w:rsidRPr="00D36629" w14:paraId="2394A0D1" w14:textId="77777777" w:rsidTr="00AA350A">
        <w:trPr>
          <w:trHeight w:val="485"/>
        </w:trPr>
        <w:tc>
          <w:tcPr>
            <w:tcW w:w="2689" w:type="dxa"/>
            <w:hideMark/>
          </w:tcPr>
          <w:p w14:paraId="41451E3B" w14:textId="77777777" w:rsidR="00DD05CB" w:rsidRPr="00F7076B" w:rsidRDefault="00DD05CB" w:rsidP="00AA350A">
            <w:pPr>
              <w:rPr>
                <w:rFonts w:ascii="Arial" w:eastAsia="Calibri" w:hAnsi="Arial" w:cs="Arial"/>
                <w:noProof/>
                <w:lang w:val="es-ES_tradnl"/>
              </w:rPr>
            </w:pPr>
            <w:r w:rsidRPr="00F7076B">
              <w:rPr>
                <w:rFonts w:ascii="Arial" w:eastAsia="Calibri" w:hAnsi="Arial" w:cs="Arial"/>
                <w:b/>
                <w:noProof/>
                <w:lang w:val="es-ES_tradnl"/>
              </w:rPr>
              <w:t>Temas:</w:t>
            </w:r>
            <w:r w:rsidRPr="00F7076B">
              <w:rPr>
                <w:rFonts w:ascii="Arial" w:eastAsia="Calibri" w:hAnsi="Arial" w:cs="Arial"/>
                <w:noProof/>
                <w:lang w:val="es-ES_tradnl"/>
              </w:rPr>
              <w:t xml:space="preserve">        </w:t>
            </w:r>
          </w:p>
        </w:tc>
        <w:tc>
          <w:tcPr>
            <w:tcW w:w="6237" w:type="dxa"/>
            <w:hideMark/>
          </w:tcPr>
          <w:p w14:paraId="13A5A36A" w14:textId="77777777" w:rsidR="00DD05CB" w:rsidRPr="00F7076B" w:rsidRDefault="00DD05CB" w:rsidP="00AA350A">
            <w:pPr>
              <w:spacing w:line="276" w:lineRule="auto"/>
              <w:jc w:val="both"/>
              <w:rPr>
                <w:rFonts w:ascii="Arial" w:eastAsia="Times New Roman" w:hAnsi="Arial" w:cs="Arial"/>
                <w:lang w:val="es-ES_tradnl" w:eastAsia="es-ES_tradnl"/>
              </w:rPr>
            </w:pPr>
            <w:r w:rsidRPr="00F7076B">
              <w:rPr>
                <w:rFonts w:ascii="Arial" w:eastAsia="Times New Roman" w:hAnsi="Arial" w:cs="Arial"/>
                <w:lang w:val="es-ES_tradnl" w:eastAsia="es-ES_tradnl"/>
              </w:rPr>
              <w:t>ACUERDOS COMERCIALES – Fuentes – Aplicabilidad – Incorporación / ACUERDOS COMERCIALES – Entidades estatales – Deber de verificación / COLOMBIA COMPRA EFICIENTE – Decreto Ley 4170 de 2011 – Naturaleza jurídica – Objeto / COLOMBIA COMPRA EFICIENTE – Funciones – Expedición de guías y manuales – Obligatoriedad de sus actos / MANUAL DE ACUERDOS COMERCIALES – Alcance</w:t>
            </w:r>
          </w:p>
          <w:p w14:paraId="547AD526" w14:textId="77777777" w:rsidR="00DD05CB" w:rsidRPr="00F7076B" w:rsidRDefault="00DD05CB" w:rsidP="00AA350A">
            <w:pPr>
              <w:jc w:val="both"/>
              <w:rPr>
                <w:rFonts w:ascii="Arial" w:eastAsia="Calibri" w:hAnsi="Arial" w:cs="Arial"/>
                <w:b/>
                <w:bCs/>
                <w:lang w:val="es-MX"/>
              </w:rPr>
            </w:pPr>
          </w:p>
          <w:p w14:paraId="07500320" w14:textId="77777777" w:rsidR="00DD05CB" w:rsidRPr="00F7076B" w:rsidRDefault="00DD05CB" w:rsidP="00AA350A">
            <w:pPr>
              <w:ind w:right="703"/>
              <w:jc w:val="both"/>
              <w:rPr>
                <w:rFonts w:ascii="Arial" w:eastAsia="Calibri" w:hAnsi="Arial" w:cs="Arial"/>
                <w:bCs/>
                <w:lang w:val="es-MX"/>
              </w:rPr>
            </w:pPr>
          </w:p>
        </w:tc>
      </w:tr>
      <w:tr w:rsidR="00DD05CB" w:rsidRPr="00D36629" w14:paraId="6467471A" w14:textId="77777777" w:rsidTr="00AA350A">
        <w:tc>
          <w:tcPr>
            <w:tcW w:w="2689" w:type="dxa"/>
          </w:tcPr>
          <w:p w14:paraId="17EA42A0" w14:textId="77777777" w:rsidR="00DD05CB" w:rsidRPr="00D36629" w:rsidRDefault="00DD05CB" w:rsidP="00AA350A">
            <w:pPr>
              <w:rPr>
                <w:rFonts w:ascii="Arial" w:eastAsia="Calibri" w:hAnsi="Arial" w:cs="Arial"/>
                <w:b/>
                <w:noProof/>
                <w:lang w:val="es-ES_tradnl"/>
              </w:rPr>
            </w:pPr>
            <w:r w:rsidRPr="00D36629">
              <w:rPr>
                <w:rFonts w:ascii="Arial" w:eastAsia="Calibri" w:hAnsi="Arial" w:cs="Arial"/>
                <w:b/>
                <w:noProof/>
                <w:lang w:val="es-ES_tradnl"/>
              </w:rPr>
              <w:t>Radicación:</w:t>
            </w:r>
            <w:r w:rsidRPr="00D36629">
              <w:rPr>
                <w:rFonts w:ascii="Arial" w:eastAsia="Calibri" w:hAnsi="Arial" w:cs="Arial"/>
                <w:noProof/>
                <w:lang w:val="es-ES_tradnl"/>
              </w:rPr>
              <w:t xml:space="preserve">                              </w:t>
            </w:r>
          </w:p>
        </w:tc>
        <w:tc>
          <w:tcPr>
            <w:tcW w:w="6237" w:type="dxa"/>
          </w:tcPr>
          <w:p w14:paraId="110ABFA8" w14:textId="77777777" w:rsidR="00DD05CB" w:rsidRPr="00D36629" w:rsidRDefault="00DD05CB" w:rsidP="00AA350A">
            <w:pPr>
              <w:jc w:val="both"/>
              <w:rPr>
                <w:rFonts w:ascii="Arial" w:eastAsia="Calibri" w:hAnsi="Arial" w:cs="Arial"/>
                <w:noProof/>
                <w:lang w:val="es-ES_tradnl"/>
              </w:rPr>
            </w:pPr>
            <w:r w:rsidRPr="00D36629">
              <w:rPr>
                <w:rFonts w:ascii="Arial" w:eastAsia="Calibri" w:hAnsi="Arial" w:cs="Arial"/>
                <w:noProof/>
                <w:lang w:val="es-ES_tradnl"/>
              </w:rPr>
              <w:t>Respuesta a consulta P20230523011509</w:t>
            </w:r>
            <w:r w:rsidRPr="00D36629">
              <w:rPr>
                <w:rFonts w:ascii="Arial" w:eastAsia="Calibri" w:hAnsi="Arial" w:cs="Arial"/>
                <w:noProof/>
                <w:lang w:val="es-ES_tradnl"/>
              </w:rPr>
              <w:tab/>
            </w:r>
            <w:r w:rsidRPr="00D36629">
              <w:rPr>
                <w:rFonts w:ascii="Arial" w:eastAsia="Calibri" w:hAnsi="Arial" w:cs="Arial"/>
                <w:noProof/>
                <w:lang w:val="es-ES_tradnl"/>
              </w:rPr>
              <w:tab/>
            </w:r>
            <w:r w:rsidRPr="00D36629">
              <w:rPr>
                <w:rFonts w:ascii="Arial" w:eastAsia="Calibri" w:hAnsi="Arial" w:cs="Arial"/>
                <w:noProof/>
                <w:lang w:val="es-ES_tradnl"/>
              </w:rPr>
              <w:tab/>
            </w:r>
          </w:p>
        </w:tc>
      </w:tr>
    </w:tbl>
    <w:p w14:paraId="691F9DB0" w14:textId="77777777" w:rsidR="00DD05CB" w:rsidRPr="00D36629" w:rsidRDefault="00DD05CB" w:rsidP="00DD05CB">
      <w:pPr>
        <w:spacing w:after="0" w:line="240" w:lineRule="auto"/>
        <w:contextualSpacing/>
        <w:jc w:val="both"/>
        <w:rPr>
          <w:rFonts w:ascii="Arial" w:eastAsia="Calibri" w:hAnsi="Arial" w:cs="Arial"/>
        </w:rPr>
      </w:pPr>
    </w:p>
    <w:p w14:paraId="7CF162B1" w14:textId="77777777" w:rsidR="00DD05CB" w:rsidRPr="00D36629" w:rsidRDefault="00DD05CB" w:rsidP="00DD05CB">
      <w:pPr>
        <w:spacing w:after="0" w:line="240" w:lineRule="auto"/>
        <w:contextualSpacing/>
        <w:jc w:val="both"/>
        <w:rPr>
          <w:rFonts w:ascii="Arial" w:eastAsia="Calibri" w:hAnsi="Arial" w:cs="Arial"/>
        </w:rPr>
      </w:pPr>
    </w:p>
    <w:p w14:paraId="536426DF" w14:textId="77777777" w:rsidR="00DD05CB" w:rsidRPr="00D36629" w:rsidRDefault="00DD05CB" w:rsidP="00DD05CB">
      <w:pPr>
        <w:spacing w:after="0" w:line="276" w:lineRule="auto"/>
        <w:contextualSpacing/>
        <w:jc w:val="both"/>
        <w:rPr>
          <w:rFonts w:ascii="Arial" w:eastAsia="Calibri" w:hAnsi="Arial" w:cs="Arial"/>
        </w:rPr>
      </w:pPr>
      <w:r w:rsidRPr="00D36629">
        <w:rPr>
          <w:rFonts w:ascii="Arial" w:eastAsia="Calibri" w:hAnsi="Arial" w:cs="Arial"/>
        </w:rPr>
        <w:t>Estimado señor Sánchez Murcia:</w:t>
      </w:r>
    </w:p>
    <w:p w14:paraId="44341B8B" w14:textId="77777777" w:rsidR="00DD05CB" w:rsidRPr="00D36629" w:rsidRDefault="00DD05CB" w:rsidP="00DD05CB">
      <w:pPr>
        <w:spacing w:after="0" w:line="276" w:lineRule="auto"/>
        <w:ind w:firstLine="709"/>
        <w:contextualSpacing/>
        <w:jc w:val="both"/>
        <w:rPr>
          <w:rFonts w:ascii="Arial" w:eastAsia="Calibri" w:hAnsi="Arial" w:cs="Arial"/>
        </w:rPr>
      </w:pPr>
    </w:p>
    <w:p w14:paraId="1E1177DE" w14:textId="77777777" w:rsidR="00DD05CB" w:rsidRPr="00D36629" w:rsidRDefault="00DD05CB" w:rsidP="00DD05CB">
      <w:pPr>
        <w:spacing w:after="0" w:line="276" w:lineRule="auto"/>
        <w:contextualSpacing/>
        <w:jc w:val="both"/>
        <w:rPr>
          <w:rFonts w:ascii="Arial" w:eastAsia="Calibri" w:hAnsi="Arial" w:cs="Arial"/>
        </w:rPr>
      </w:pPr>
      <w:r w:rsidRPr="00D36629">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recibida el 19 de mayo de 2023. </w:t>
      </w:r>
    </w:p>
    <w:p w14:paraId="1F30475B" w14:textId="77777777" w:rsidR="00DD05CB" w:rsidRPr="00D36629" w:rsidRDefault="00DD05CB" w:rsidP="00DD05CB">
      <w:pPr>
        <w:spacing w:after="0" w:line="276" w:lineRule="auto"/>
        <w:contextualSpacing/>
        <w:jc w:val="both"/>
        <w:rPr>
          <w:rFonts w:ascii="Arial" w:eastAsia="Calibri" w:hAnsi="Arial" w:cs="Arial"/>
        </w:rPr>
      </w:pPr>
    </w:p>
    <w:p w14:paraId="1A2E4162" w14:textId="77777777" w:rsidR="00DD05CB" w:rsidRPr="00D36629" w:rsidRDefault="00DD05CB" w:rsidP="00DD05CB">
      <w:pPr>
        <w:tabs>
          <w:tab w:val="left" w:pos="284"/>
        </w:tabs>
        <w:spacing w:after="0" w:line="276" w:lineRule="auto"/>
        <w:contextualSpacing/>
        <w:jc w:val="both"/>
        <w:rPr>
          <w:rFonts w:ascii="Arial" w:eastAsia="Calibri" w:hAnsi="Arial" w:cs="Arial"/>
          <w:b/>
        </w:rPr>
      </w:pPr>
      <w:r w:rsidRPr="00D36629">
        <w:rPr>
          <w:rFonts w:ascii="Arial" w:eastAsia="Calibri" w:hAnsi="Arial" w:cs="Arial"/>
          <w:b/>
        </w:rPr>
        <w:t xml:space="preserve">1. Problema planteado </w:t>
      </w:r>
    </w:p>
    <w:p w14:paraId="7B8EFF79" w14:textId="77777777" w:rsidR="00DD05CB" w:rsidRPr="00D36629" w:rsidRDefault="00DD05CB" w:rsidP="00DD05CB">
      <w:pPr>
        <w:tabs>
          <w:tab w:val="left" w:pos="284"/>
        </w:tabs>
        <w:spacing w:after="0" w:line="276" w:lineRule="auto"/>
        <w:ind w:firstLine="709"/>
        <w:contextualSpacing/>
        <w:jc w:val="both"/>
        <w:rPr>
          <w:rFonts w:ascii="Arial" w:eastAsia="Calibri" w:hAnsi="Arial" w:cs="Arial"/>
          <w:b/>
        </w:rPr>
      </w:pPr>
    </w:p>
    <w:p w14:paraId="37EBD1F9" w14:textId="77777777" w:rsidR="00DD05CB" w:rsidRPr="00D36629" w:rsidRDefault="00DD05CB" w:rsidP="00DD05CB">
      <w:pPr>
        <w:spacing w:after="0" w:line="276" w:lineRule="auto"/>
        <w:contextualSpacing/>
        <w:jc w:val="both"/>
        <w:rPr>
          <w:rFonts w:ascii="Arial" w:eastAsia="Calibri" w:hAnsi="Arial" w:cs="Arial"/>
        </w:rPr>
      </w:pPr>
      <w:bookmarkStart w:id="5" w:name="_Hlk58917991"/>
      <w:bookmarkStart w:id="6" w:name="_Hlk56103000"/>
      <w:r w:rsidRPr="00D36629">
        <w:rPr>
          <w:rFonts w:ascii="Arial" w:eastAsia="Calibri" w:hAnsi="Arial" w:cs="Arial"/>
        </w:rPr>
        <w:t xml:space="preserve">Usted plantea respecto del “MANUAL PARA EL MANEJO DE LOS ACUERDOS COMERCIALES EN PROCESOS DE CONTRATACIÓN”, la siguiente consulta: </w:t>
      </w:r>
      <w:bookmarkStart w:id="7" w:name="_Hlk116284008"/>
    </w:p>
    <w:p w14:paraId="6CE31199" w14:textId="77777777" w:rsidR="00DD05CB" w:rsidRPr="00D36629" w:rsidRDefault="00DD05CB" w:rsidP="00DD05CB">
      <w:pPr>
        <w:spacing w:after="0" w:line="276" w:lineRule="auto"/>
        <w:contextualSpacing/>
        <w:jc w:val="both"/>
        <w:rPr>
          <w:rFonts w:ascii="Arial" w:eastAsia="Calibri" w:hAnsi="Arial" w:cs="Arial"/>
        </w:rPr>
      </w:pPr>
    </w:p>
    <w:p w14:paraId="5E271A1C" w14:textId="77777777" w:rsidR="00DD05CB" w:rsidRPr="008F420D" w:rsidRDefault="00DD05CB" w:rsidP="00DD05CB">
      <w:pPr>
        <w:spacing w:before="120" w:after="0" w:line="240" w:lineRule="auto"/>
        <w:ind w:left="709" w:right="709"/>
        <w:contextualSpacing/>
        <w:jc w:val="both"/>
        <w:rPr>
          <w:rFonts w:ascii="Arial" w:eastAsia="Calibri" w:hAnsi="Arial" w:cs="Arial"/>
          <w:sz w:val="21"/>
          <w:szCs w:val="21"/>
          <w:lang w:val="es-MX"/>
        </w:rPr>
      </w:pPr>
      <w:bookmarkStart w:id="8" w:name="_Hlk133573383"/>
      <w:r w:rsidRPr="00D36629">
        <w:rPr>
          <w:rFonts w:ascii="Arial" w:eastAsia="Calibri" w:hAnsi="Arial" w:cs="Arial"/>
          <w:sz w:val="21"/>
          <w:szCs w:val="21"/>
          <w:lang w:val="es-MX"/>
        </w:rPr>
        <w:t xml:space="preserve">“[…] </w:t>
      </w:r>
      <w:r>
        <w:rPr>
          <w:rFonts w:ascii="Arial" w:eastAsia="Calibri" w:hAnsi="Arial" w:cs="Arial"/>
          <w:sz w:val="21"/>
          <w:szCs w:val="21"/>
          <w:lang w:val="es-MX"/>
        </w:rPr>
        <w:t xml:space="preserve">mediante el Anexo 1 del referido manual, Colombia Compra Eficiente puso a disposición de las Entidades Estatales del nivel nacional, la lista de las </w:t>
      </w:r>
      <w:r>
        <w:rPr>
          <w:rFonts w:ascii="Arial" w:eastAsia="Calibri" w:hAnsi="Arial" w:cs="Arial"/>
          <w:sz w:val="21"/>
          <w:szCs w:val="21"/>
          <w:lang w:val="es-MX"/>
        </w:rPr>
        <w:lastRenderedPageBreak/>
        <w:t>Entidades Estatales obligadas por cada Acuerdo Comercial y la lista de las Entidades Estatales especiales para las cuales el valor del Proceso de Contratación es diferente, a partir del cual el Acuerdo es aplicable.</w:t>
      </w:r>
    </w:p>
    <w:p w14:paraId="1D218402" w14:textId="77777777" w:rsidR="00DD05CB" w:rsidRDefault="00DD05CB" w:rsidP="00DD05CB">
      <w:pPr>
        <w:spacing w:before="120"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Teniendo en cuenta las características de la CNSC, se hace necesario elevar la presente consulta, frente a la obligatoriedad de la aplicación de los Acuerdos Comerciales en los procesos de contratación que desarrolla la COMISIÓN, toda vez que al hacer un análisis del Anexo No. 0 del Manual para el manejo de los acuerdos comerciales en procesos de contratación, se evidencia que la COMISIÓN no se encuentra taxativamente mencionada dentro de las Entidades Estatales que deben suscribir los acuerdos allí descritos, dado que es un órgano autónomo, independiente y no hace parte de ninguna de las ramas del poder público.</w:t>
      </w:r>
    </w:p>
    <w:p w14:paraId="29D2006B" w14:textId="77777777" w:rsidR="00DD05CB" w:rsidRDefault="00DD05CB" w:rsidP="00DD05CB">
      <w:pPr>
        <w:spacing w:before="120"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la consulta también está relacionada con la disposición del referido Anexo No. 1 en lo correspondiente a los países que conforman el “</w:t>
      </w:r>
      <w:proofErr w:type="spellStart"/>
      <w:r>
        <w:rPr>
          <w:rFonts w:ascii="Arial" w:eastAsia="Calibri" w:hAnsi="Arial" w:cs="Arial"/>
          <w:sz w:val="21"/>
          <w:szCs w:val="21"/>
          <w:lang w:val="es-MX"/>
        </w:rPr>
        <w:t>Triangulo</w:t>
      </w:r>
      <w:proofErr w:type="spellEnd"/>
      <w:r>
        <w:rPr>
          <w:rFonts w:ascii="Arial" w:eastAsia="Calibri" w:hAnsi="Arial" w:cs="Arial"/>
          <w:sz w:val="21"/>
          <w:szCs w:val="21"/>
          <w:lang w:val="es-MX"/>
        </w:rPr>
        <w:t xml:space="preserve"> Norte” toda vez que para países como el Salvador y Guatemala los acuerdos comerciales son de obligatorios para </w:t>
      </w:r>
      <w:r>
        <w:rPr>
          <w:rFonts w:ascii="Arial" w:eastAsia="Calibri" w:hAnsi="Arial" w:cs="Arial"/>
          <w:i/>
          <w:iCs/>
          <w:sz w:val="21"/>
          <w:szCs w:val="21"/>
          <w:lang w:val="es-MX"/>
        </w:rPr>
        <w:t>“</w:t>
      </w:r>
      <w:r>
        <w:rPr>
          <w:rFonts w:ascii="Arial" w:eastAsia="Calibri" w:hAnsi="Arial" w:cs="Arial"/>
          <w:i/>
          <w:iCs/>
          <w:sz w:val="21"/>
          <w:szCs w:val="21"/>
          <w:u w:val="single"/>
          <w:lang w:val="es-MX"/>
        </w:rPr>
        <w:t>todas las Entidades Estatales</w:t>
      </w:r>
      <w:r>
        <w:rPr>
          <w:rFonts w:ascii="Arial" w:eastAsia="Calibri" w:hAnsi="Arial" w:cs="Arial"/>
          <w:sz w:val="21"/>
          <w:szCs w:val="21"/>
          <w:lang w:val="es-MX"/>
        </w:rPr>
        <w:t xml:space="preserve"> excepto las </w:t>
      </w:r>
      <w:r>
        <w:rPr>
          <w:rFonts w:ascii="Arial" w:eastAsia="Calibri" w:hAnsi="Arial" w:cs="Arial"/>
          <w:i/>
          <w:iCs/>
          <w:sz w:val="21"/>
          <w:szCs w:val="21"/>
          <w:lang w:val="es-MX"/>
        </w:rPr>
        <w:t>Entidades Estatales con régimen de contratación especial (distinto al Estatuto General de Contratación de la Administración Pública”.</w:t>
      </w:r>
      <w:r w:rsidRPr="00D36629">
        <w:rPr>
          <w:rFonts w:ascii="Arial" w:eastAsia="Calibri" w:hAnsi="Arial" w:cs="Arial"/>
          <w:sz w:val="21"/>
          <w:szCs w:val="21"/>
          <w:lang w:val="es-MX"/>
        </w:rPr>
        <w:t xml:space="preserve"> </w:t>
      </w:r>
    </w:p>
    <w:p w14:paraId="7866CB7B" w14:textId="77777777" w:rsidR="00DD05CB" w:rsidRPr="00D36629" w:rsidRDefault="00DD05CB" w:rsidP="00DD05CB">
      <w:pPr>
        <w:spacing w:before="120"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Es por ello </w:t>
      </w:r>
      <w:proofErr w:type="gramStart"/>
      <w:r>
        <w:rPr>
          <w:rFonts w:ascii="Arial" w:eastAsia="Calibri" w:hAnsi="Arial" w:cs="Arial"/>
          <w:sz w:val="21"/>
          <w:szCs w:val="21"/>
          <w:lang w:val="es-MX"/>
        </w:rPr>
        <w:t>que</w:t>
      </w:r>
      <w:proofErr w:type="gramEnd"/>
      <w:r>
        <w:rPr>
          <w:rFonts w:ascii="Arial" w:eastAsia="Calibri" w:hAnsi="Arial" w:cs="Arial"/>
          <w:sz w:val="21"/>
          <w:szCs w:val="21"/>
          <w:lang w:val="es-MX"/>
        </w:rPr>
        <w:t xml:space="preserve"> agradecemos a la Agencia Nacional de Contratación-Colombia Compra Eficiente, resolver la presente consulta, toda vez que resulta indispensable para la Comisión Nacional del Servicio Civil CNSC, establecer con exactitud los Acuerdos Comerciales que son aplicables en sus procesos de contratación.” </w:t>
      </w:r>
      <w:r w:rsidRPr="00D36629">
        <w:rPr>
          <w:rFonts w:ascii="Arial" w:eastAsia="Calibri" w:hAnsi="Arial" w:cs="Arial"/>
          <w:sz w:val="21"/>
          <w:szCs w:val="21"/>
          <w:lang w:val="es-MX"/>
        </w:rPr>
        <w:t>[sic]</w:t>
      </w:r>
      <w:r>
        <w:rPr>
          <w:rFonts w:ascii="Arial" w:eastAsia="Calibri" w:hAnsi="Arial" w:cs="Arial"/>
          <w:sz w:val="21"/>
          <w:szCs w:val="21"/>
          <w:lang w:val="es-MX"/>
        </w:rPr>
        <w:t xml:space="preserve"> [Énfasis propio]</w:t>
      </w:r>
    </w:p>
    <w:p w14:paraId="1A9919E2" w14:textId="77777777" w:rsidR="00DD05CB" w:rsidRPr="00D36629" w:rsidRDefault="00DD05CB" w:rsidP="00DD05CB">
      <w:pPr>
        <w:spacing w:after="0" w:line="276" w:lineRule="auto"/>
        <w:ind w:left="709" w:right="709"/>
        <w:jc w:val="both"/>
        <w:rPr>
          <w:rFonts w:ascii="Arial" w:eastAsia="Calibri" w:hAnsi="Arial" w:cs="Arial"/>
          <w:lang w:val="es-ES"/>
        </w:rPr>
      </w:pPr>
    </w:p>
    <w:bookmarkEnd w:id="5"/>
    <w:bookmarkEnd w:id="6"/>
    <w:bookmarkEnd w:id="7"/>
    <w:bookmarkEnd w:id="8"/>
    <w:p w14:paraId="7E82B1AA" w14:textId="77777777" w:rsidR="00DD05CB" w:rsidRPr="00D36629" w:rsidRDefault="00DD05CB" w:rsidP="00DD05CB">
      <w:pPr>
        <w:tabs>
          <w:tab w:val="left" w:pos="284"/>
        </w:tabs>
        <w:spacing w:after="0" w:line="276" w:lineRule="auto"/>
        <w:contextualSpacing/>
        <w:jc w:val="both"/>
        <w:rPr>
          <w:rFonts w:ascii="Arial" w:eastAsia="Calibri" w:hAnsi="Arial" w:cs="Arial"/>
          <w:b/>
        </w:rPr>
      </w:pPr>
      <w:r w:rsidRPr="00D36629">
        <w:rPr>
          <w:rFonts w:ascii="Arial" w:eastAsia="Calibri" w:hAnsi="Arial" w:cs="Arial"/>
          <w:b/>
        </w:rPr>
        <w:t>2. Consideraciones</w:t>
      </w:r>
    </w:p>
    <w:p w14:paraId="76E6BA4B" w14:textId="77777777" w:rsidR="00DD05CB" w:rsidRPr="00D36629" w:rsidRDefault="00DD05CB" w:rsidP="00DD05CB">
      <w:pPr>
        <w:tabs>
          <w:tab w:val="left" w:pos="284"/>
        </w:tabs>
        <w:spacing w:after="0" w:line="276" w:lineRule="auto"/>
        <w:contextualSpacing/>
        <w:jc w:val="both"/>
        <w:rPr>
          <w:rFonts w:ascii="Arial" w:eastAsia="Calibri" w:hAnsi="Arial" w:cs="Arial"/>
          <w:b/>
        </w:rPr>
      </w:pPr>
    </w:p>
    <w:p w14:paraId="0C85D30C" w14:textId="77777777" w:rsidR="00DD05CB" w:rsidRPr="00D36629" w:rsidRDefault="00DD05CB" w:rsidP="00DD05CB">
      <w:pPr>
        <w:spacing w:after="120" w:line="276" w:lineRule="auto"/>
        <w:jc w:val="both"/>
        <w:rPr>
          <w:rFonts w:ascii="Arial" w:eastAsia="Calibri" w:hAnsi="Arial" w:cs="Arial"/>
          <w:lang w:val="es-ES"/>
        </w:rPr>
      </w:pPr>
      <w:r w:rsidRPr="00D36629">
        <w:rPr>
          <w:rFonts w:ascii="Arial" w:eastAsia="Calibri" w:hAnsi="Arial"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D36629">
        <w:rPr>
          <w:rFonts w:ascii="Arial" w:eastAsia="Calibri" w:hAnsi="Arial" w:cs="Arial"/>
          <w:lang w:val="es-ES"/>
        </w:rPr>
        <w:t xml:space="preserve"> </w:t>
      </w:r>
      <w:bookmarkStart w:id="9" w:name="_Hlk61701014"/>
      <w:bookmarkStart w:id="10" w:name="_Hlk62136649"/>
      <w:r w:rsidRPr="00D36629">
        <w:rPr>
          <w:rFonts w:ascii="Arial" w:eastAsia="Calibri" w:hAnsi="Arial" w:cs="Arial"/>
          <w:lang w:val="es-ES"/>
        </w:rPr>
        <w:t xml:space="preserve">Es necesario tener en cuenta que </w:t>
      </w:r>
      <w:bookmarkStart w:id="11" w:name="_Hlk61026958"/>
      <w:r w:rsidRPr="00D36629">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36629">
        <w:rPr>
          <w:rFonts w:ascii="Arial" w:eastAsia="Calibri" w:hAnsi="Arial" w:cs="Arial"/>
          <w:bCs/>
          <w:lang w:val="es-MX"/>
        </w:rPr>
        <w:t xml:space="preserve"> de todos los partícipes de la contratación estatal.</w:t>
      </w:r>
    </w:p>
    <w:p w14:paraId="04FE3A52" w14:textId="77777777" w:rsidR="00DD05CB" w:rsidRPr="00D90EF5" w:rsidRDefault="00DD05CB" w:rsidP="00DD05CB">
      <w:pPr>
        <w:spacing w:after="120" w:line="276" w:lineRule="auto"/>
        <w:ind w:firstLine="708"/>
        <w:jc w:val="both"/>
        <w:rPr>
          <w:rFonts w:ascii="Arial" w:eastAsia="Calibri" w:hAnsi="Arial" w:cs="Arial"/>
          <w:lang w:val="es-ES"/>
        </w:rPr>
      </w:pPr>
      <w:r w:rsidRPr="00D36629">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36629">
        <w:rPr>
          <w:rFonts w:ascii="Arial" w:eastAsia="Calibri" w:hAnsi="Arial" w:cs="Arial"/>
          <w:vertAlign w:val="superscript"/>
          <w:lang w:val="es-ES"/>
        </w:rPr>
        <w:footnoteReference w:id="1"/>
      </w:r>
      <w:r w:rsidRPr="00D36629">
        <w:rPr>
          <w:rFonts w:ascii="Arial" w:eastAsia="Calibri" w:hAnsi="Arial" w:cs="Arial"/>
          <w:lang w:val="es-ES"/>
        </w:rPr>
        <w:t xml:space="preserve">. Esta </w:t>
      </w:r>
      <w:r w:rsidRPr="00D36629">
        <w:rPr>
          <w:rFonts w:ascii="Arial" w:eastAsia="Calibri" w:hAnsi="Arial" w:cs="Arial"/>
          <w:lang w:val="es-ES"/>
        </w:rPr>
        <w:lastRenderedPageBreak/>
        <w:t xml:space="preserve">competencia de interpretación de normas generales, por definición, no puede extenderse a la </w:t>
      </w:r>
      <w:r w:rsidRPr="00D90EF5">
        <w:rPr>
          <w:rFonts w:ascii="Arial" w:eastAsia="Calibri" w:hAnsi="Arial" w:cs="Arial"/>
          <w:lang w:val="es-ES"/>
        </w:rPr>
        <w:t>resolución de controversias, ni a brindar asesorías sobre casos puntuales.</w:t>
      </w:r>
      <w:bookmarkEnd w:id="9"/>
      <w:bookmarkEnd w:id="11"/>
    </w:p>
    <w:bookmarkEnd w:id="10"/>
    <w:p w14:paraId="28100FCB" w14:textId="77777777" w:rsidR="00DD05CB" w:rsidRPr="00D90EF5" w:rsidRDefault="00DD05CB" w:rsidP="00DD05CB">
      <w:pPr>
        <w:spacing w:before="120" w:after="120" w:line="276" w:lineRule="auto"/>
        <w:ind w:firstLine="709"/>
        <w:jc w:val="both"/>
        <w:rPr>
          <w:rFonts w:ascii="Arial" w:eastAsia="Calibri" w:hAnsi="Arial" w:cs="Arial"/>
          <w:highlight w:val="yellow"/>
          <w:lang w:val="es-ES_tradnl" w:eastAsia="es-MX"/>
        </w:rPr>
      </w:pPr>
      <w:r w:rsidRPr="00D90EF5">
        <w:rPr>
          <w:rFonts w:ascii="Arial" w:eastAsia="Calibri" w:hAnsi="Arial" w:cs="Arial"/>
          <w:lang w:val="es-MX"/>
        </w:rPr>
        <w:t xml:space="preserve">Sin perjuicio de lo anterior, </w:t>
      </w:r>
      <w:r w:rsidRPr="00D90EF5">
        <w:rPr>
          <w:rFonts w:ascii="Arial" w:eastAsia="Calibri" w:hAnsi="Arial" w:cs="Arial"/>
          <w:lang w:val="es-ES"/>
        </w:rPr>
        <w:t>la Subdirección de Gestión Contractual dentro de los límites de sus atribuciones, resolverá la consulta conforme a las normas generales en materia de contratación estatal</w:t>
      </w:r>
      <w:r w:rsidRPr="00D90EF5">
        <w:rPr>
          <w:rFonts w:ascii="Arial" w:eastAsia="Calibri" w:hAnsi="Arial" w:cs="Arial"/>
          <w:lang w:val="es-ES_tradnl" w:eastAsia="es-MX"/>
        </w:rPr>
        <w:t xml:space="preserve">. Con este objetivo, se analizarán los siguientes temas: i) la contratación pública y los tratados internacionales, </w:t>
      </w:r>
      <w:proofErr w:type="spellStart"/>
      <w:r w:rsidRPr="00D90EF5">
        <w:rPr>
          <w:rFonts w:ascii="Arial" w:eastAsia="Calibri" w:hAnsi="Arial" w:cs="Arial"/>
          <w:lang w:val="es-ES_tradnl" w:eastAsia="es-MX"/>
        </w:rPr>
        <w:t>ii</w:t>
      </w:r>
      <w:proofErr w:type="spellEnd"/>
      <w:r w:rsidRPr="00D90EF5">
        <w:rPr>
          <w:rFonts w:ascii="Arial" w:eastAsia="Calibri" w:hAnsi="Arial" w:cs="Arial"/>
          <w:lang w:val="es-ES_tradnl" w:eastAsia="es-MX"/>
        </w:rPr>
        <w:t xml:space="preserve">) </w:t>
      </w:r>
      <w:r w:rsidRPr="00D90EF5">
        <w:rPr>
          <w:rFonts w:ascii="Arial" w:hAnsi="Arial" w:cs="Arial"/>
          <w:bCs/>
        </w:rPr>
        <w:t>vinculatoriedad de las Guías, Manuales y Circulares de Colombia Compra Eficiente</w:t>
      </w:r>
      <w:r w:rsidRPr="00D90EF5">
        <w:rPr>
          <w:rFonts w:ascii="Arial" w:eastAsia="Calibri" w:hAnsi="Arial" w:cs="Arial"/>
          <w:lang w:val="es-ES_tradnl" w:eastAsia="es-MX"/>
        </w:rPr>
        <w:t xml:space="preserve">, y </w:t>
      </w:r>
      <w:proofErr w:type="spellStart"/>
      <w:r w:rsidRPr="00D90EF5">
        <w:rPr>
          <w:rFonts w:ascii="Arial" w:eastAsia="Calibri" w:hAnsi="Arial" w:cs="Arial"/>
          <w:lang w:val="es-ES_tradnl" w:eastAsia="es-MX"/>
        </w:rPr>
        <w:t>iii</w:t>
      </w:r>
      <w:proofErr w:type="spellEnd"/>
      <w:r w:rsidRPr="00D90EF5">
        <w:rPr>
          <w:rFonts w:ascii="Arial" w:eastAsia="Calibri" w:hAnsi="Arial" w:cs="Arial"/>
          <w:lang w:val="es-ES_tradnl" w:eastAsia="es-MX"/>
        </w:rPr>
        <w:t xml:space="preserve">) obligatoriedad de los instrumentos y herramientas expedidas por Colombia Compra Eficiente </w:t>
      </w:r>
    </w:p>
    <w:p w14:paraId="0B3A9479" w14:textId="77777777" w:rsidR="00DD05CB" w:rsidRPr="00D36629" w:rsidRDefault="00DD05CB" w:rsidP="00DD05CB">
      <w:pPr>
        <w:spacing w:after="0" w:line="276" w:lineRule="auto"/>
        <w:ind w:firstLine="709"/>
        <w:jc w:val="both"/>
        <w:rPr>
          <w:rFonts w:ascii="Arial" w:eastAsia="Arial" w:hAnsi="Arial" w:cs="Arial"/>
          <w:lang w:val="es-MX" w:eastAsia="es-ES_tradnl"/>
        </w:rPr>
      </w:pPr>
      <w:r w:rsidRPr="00C62FF4">
        <w:rPr>
          <w:rFonts w:ascii="Arial" w:eastAsia="Times New Roman" w:hAnsi="Arial" w:cs="Arial"/>
          <w:lang w:eastAsia="es-ES_tradnl"/>
        </w:rPr>
        <w:t xml:space="preserve">La Agencia Nacional de Contratación Pública – Colombia Compra Eficiente se pronunció sobre  los tratados o acuerdos comerciales en la contratación estatal en los conceptos con radicado No. 2201913000006925 del 17 de septiembre de 2019, 2201913000008236 del 6 de noviembre de 2019, 2201913000008425 del 13 de noviembre de 2019, C–360 del 16 de julio de 2020, C–417 del 16 de julio de 2020, C–611 del 2 de octubre de 2020, C–613 del 26 de octubre de 2020, C–694 del 26 de noviembre de 2020, C–755 del 6 de enero de 2021 y C–285 del 11 de junio de 2021, de igual forma se ha pronunciado sobre la naturaleza de las guías y los manuales en los Conceptos C-451 del 31 de agosto de 2021, C-519 del 23 de septiembre de 2021, C-117 del 24 de marzo de 2022 y C-149 del 5 de abril de 2022, refiriéndose específicamente al </w:t>
      </w:r>
      <w:r>
        <w:rPr>
          <w:rFonts w:ascii="Arial" w:eastAsia="Times New Roman" w:hAnsi="Arial" w:cs="Arial"/>
          <w:lang w:eastAsia="es-ES_tradnl"/>
        </w:rPr>
        <w:t>“</w:t>
      </w:r>
      <w:r w:rsidRPr="00C62FF4">
        <w:rPr>
          <w:rFonts w:ascii="Arial" w:eastAsia="Times New Roman" w:hAnsi="Arial" w:cs="Arial"/>
          <w:lang w:eastAsia="es-ES_tradnl"/>
        </w:rPr>
        <w:t>Manual para el manejo de los Acuerdos Comerciales en Procesos de Contratación</w:t>
      </w:r>
      <w:r>
        <w:rPr>
          <w:rFonts w:ascii="Arial" w:eastAsia="Times New Roman" w:hAnsi="Arial" w:cs="Arial"/>
          <w:lang w:eastAsia="es-ES_tradnl"/>
        </w:rPr>
        <w:t>”</w:t>
      </w:r>
      <w:r w:rsidRPr="00C62FF4">
        <w:rPr>
          <w:rFonts w:ascii="Arial" w:eastAsia="Times New Roman" w:hAnsi="Arial" w:cs="Arial"/>
          <w:lang w:eastAsia="es-ES_tradnl"/>
        </w:rPr>
        <w:t xml:space="preserve"> en los Conceptos C-124 del 5 de abril de 2021, C-</w:t>
      </w:r>
      <w:r>
        <w:rPr>
          <w:rFonts w:ascii="Arial" w:eastAsia="Times New Roman" w:hAnsi="Arial" w:cs="Arial"/>
          <w:lang w:eastAsia="es-ES_tradnl"/>
        </w:rPr>
        <w:t>191 del 12 de abril</w:t>
      </w:r>
      <w:r w:rsidRPr="00C62FF4">
        <w:rPr>
          <w:rFonts w:ascii="Arial" w:eastAsia="Times New Roman" w:hAnsi="Arial" w:cs="Arial"/>
          <w:lang w:eastAsia="es-ES_tradnl"/>
        </w:rPr>
        <w:t xml:space="preserve"> de 2022</w:t>
      </w:r>
      <w:r>
        <w:rPr>
          <w:rFonts w:ascii="Arial" w:eastAsia="Times New Roman" w:hAnsi="Arial" w:cs="Arial"/>
          <w:lang w:eastAsia="es-ES_tradnl"/>
        </w:rPr>
        <w:t>,</w:t>
      </w:r>
      <w:r w:rsidRPr="00C62FF4">
        <w:rPr>
          <w:rFonts w:ascii="Arial" w:eastAsia="Times New Roman" w:hAnsi="Arial" w:cs="Arial"/>
          <w:lang w:eastAsia="es-ES_tradnl"/>
        </w:rPr>
        <w:t xml:space="preserve"> C-117 de 24 de marzo de 2022 y C-383 del 15 de junio de 2022. </w:t>
      </w:r>
      <w:r w:rsidRPr="00D36629">
        <w:rPr>
          <w:rFonts w:ascii="Arial" w:eastAsia="Calibri" w:hAnsi="Arial" w:cs="Arial"/>
          <w:lang w:val="es-ES_tradnl" w:eastAsia="es-ES_tradnl"/>
        </w:rPr>
        <w:t>Algunas de las consideraciones de estos conceptos se reiteran y se complementan en lo pertinente, teniendo en cuenta lo consultado.</w:t>
      </w:r>
    </w:p>
    <w:p w14:paraId="615EA27F" w14:textId="77777777" w:rsidR="00DD05CB" w:rsidRPr="00D36629" w:rsidRDefault="00DD05CB" w:rsidP="00DD05CB">
      <w:pPr>
        <w:spacing w:after="0" w:line="276" w:lineRule="auto"/>
        <w:ind w:firstLine="709"/>
        <w:jc w:val="both"/>
        <w:rPr>
          <w:rFonts w:ascii="Arial" w:eastAsia="Times New Roman" w:hAnsi="Arial" w:cs="Arial"/>
          <w:b/>
          <w:bCs/>
          <w:iCs/>
          <w:szCs w:val="24"/>
          <w:lang w:val="es-ES_tradnl" w:eastAsia="es-ES_tradnl"/>
        </w:rPr>
      </w:pPr>
    </w:p>
    <w:p w14:paraId="068CD95A" w14:textId="77777777" w:rsidR="00DD05CB" w:rsidRPr="00D36629" w:rsidRDefault="00DD05CB" w:rsidP="00DD05CB">
      <w:pPr>
        <w:spacing w:after="0" w:line="276" w:lineRule="auto"/>
        <w:jc w:val="both"/>
        <w:rPr>
          <w:rFonts w:ascii="Arial" w:eastAsia="Times New Roman" w:hAnsi="Arial" w:cs="Arial"/>
          <w:b/>
          <w:bCs/>
          <w:iCs/>
          <w:szCs w:val="24"/>
          <w:lang w:val="es-ES_tradnl" w:eastAsia="es-ES_tradnl"/>
        </w:rPr>
      </w:pPr>
      <w:r w:rsidRPr="00D36629">
        <w:rPr>
          <w:rFonts w:ascii="Arial" w:eastAsia="Times New Roman" w:hAnsi="Arial" w:cs="Arial"/>
          <w:b/>
          <w:bCs/>
          <w:iCs/>
          <w:szCs w:val="24"/>
          <w:lang w:val="es-ES_tradnl" w:eastAsia="es-ES_tradnl"/>
        </w:rPr>
        <w:t>2.1.</w:t>
      </w:r>
      <w:r>
        <w:rPr>
          <w:rFonts w:ascii="Arial" w:eastAsia="Times New Roman" w:hAnsi="Arial" w:cs="Arial"/>
          <w:b/>
          <w:bCs/>
          <w:iCs/>
          <w:szCs w:val="24"/>
          <w:lang w:val="es-ES_tradnl" w:eastAsia="es-ES_tradnl"/>
        </w:rPr>
        <w:t xml:space="preserve"> La contratación pública y los tratados internacionales. </w:t>
      </w:r>
    </w:p>
    <w:p w14:paraId="647B04CB" w14:textId="77777777" w:rsidR="00DD05CB" w:rsidRPr="00D36629" w:rsidRDefault="00DD05CB" w:rsidP="00DD05CB">
      <w:pPr>
        <w:spacing w:after="0" w:line="240" w:lineRule="auto"/>
        <w:ind w:firstLine="709"/>
        <w:jc w:val="both"/>
        <w:rPr>
          <w:rFonts w:ascii="Arial" w:eastAsia="Times New Roman" w:hAnsi="Arial" w:cs="Arial"/>
          <w:iCs/>
          <w:szCs w:val="24"/>
          <w:lang w:val="es-ES_tradnl" w:eastAsia="es-ES_tradnl"/>
        </w:rPr>
      </w:pPr>
    </w:p>
    <w:p w14:paraId="5E73DB4D" w14:textId="77777777" w:rsidR="00DD05CB" w:rsidRDefault="00DD05CB" w:rsidP="00DD05CB">
      <w:pPr>
        <w:spacing w:after="0" w:line="276" w:lineRule="auto"/>
        <w:jc w:val="both"/>
        <w:rPr>
          <w:rFonts w:ascii="Arial" w:eastAsia="Calibri" w:hAnsi="Arial" w:cs="Arial"/>
          <w:color w:val="000000" w:themeColor="text1"/>
          <w:lang w:val="es-ES"/>
        </w:rPr>
      </w:pPr>
      <w:r w:rsidRPr="5BAED725">
        <w:rPr>
          <w:rFonts w:ascii="Arial" w:eastAsia="Times New Roman" w:hAnsi="Arial" w:cs="Arial"/>
          <w:lang w:val="es-ES" w:eastAsia="es-ES"/>
        </w:rPr>
        <w:t xml:space="preserve">El derecho de la contratación estatal ha dejado de ser un fenómeno estrictamente doméstico. Desde hace varias décadas existen instrumentos normativos, buenas prácticas y </w:t>
      </w:r>
      <w:proofErr w:type="spellStart"/>
      <w:r w:rsidRPr="5BAED725">
        <w:rPr>
          <w:rFonts w:ascii="Arial" w:eastAsia="Times New Roman" w:hAnsi="Arial" w:cs="Arial"/>
          <w:i/>
          <w:lang w:val="es-ES" w:eastAsia="es-ES"/>
        </w:rPr>
        <w:t>sofl</w:t>
      </w:r>
      <w:proofErr w:type="spellEnd"/>
      <w:r w:rsidRPr="5BAED725">
        <w:rPr>
          <w:rFonts w:ascii="Arial" w:eastAsia="Times New Roman" w:hAnsi="Arial" w:cs="Arial"/>
          <w:i/>
          <w:lang w:val="es-ES" w:eastAsia="es-ES"/>
        </w:rPr>
        <w:t xml:space="preserve"> </w:t>
      </w:r>
      <w:proofErr w:type="spellStart"/>
      <w:r w:rsidRPr="5BAED725">
        <w:rPr>
          <w:rFonts w:ascii="Arial" w:eastAsia="Times New Roman" w:hAnsi="Arial" w:cs="Arial"/>
          <w:i/>
          <w:lang w:val="es-ES" w:eastAsia="es-ES"/>
        </w:rPr>
        <w:t>law</w:t>
      </w:r>
      <w:proofErr w:type="spellEnd"/>
      <w:r w:rsidRPr="5BAED725">
        <w:rPr>
          <w:rFonts w:ascii="Arial" w:eastAsia="Times New Roman" w:hAnsi="Arial" w:cs="Arial"/>
          <w:i/>
          <w:lang w:val="es-ES" w:eastAsia="es-ES"/>
        </w:rPr>
        <w:t xml:space="preserve"> </w:t>
      </w:r>
      <w:r w:rsidRPr="5BAED725">
        <w:rPr>
          <w:rFonts w:ascii="Arial" w:eastAsia="Times New Roman" w:hAnsi="Arial" w:cs="Arial"/>
          <w:lang w:val="es-ES" w:eastAsia="es-ES"/>
        </w:rPr>
        <w:t xml:space="preserve">que hacen parte del “nuevo sistema de fuentes” de la contratación pública en diversos ordenamientos jurídicos en el mundo. La transformación de los sistemas locales ha sido de tal magnitud y tan evidente resuelta la existencia de un orden institucional que| </w:t>
      </w:r>
      <w:r w:rsidRPr="5BAED725">
        <w:rPr>
          <w:rFonts w:ascii="Arial" w:eastAsia="Times New Roman" w:hAnsi="Arial" w:cs="Arial"/>
          <w:lang w:val="es-ES" w:eastAsia="es-ES"/>
        </w:rPr>
        <w:lastRenderedPageBreak/>
        <w:t>la doctrina se refirió, hace más de dos décadas, a este cuerpo de normas e ideas sobre la contratación estatal como “una forma global”</w:t>
      </w:r>
      <w:r w:rsidRPr="5BAED725">
        <w:rPr>
          <w:rStyle w:val="Refdenotaalpie"/>
          <w:rFonts w:ascii="Arial" w:eastAsia="Calibri" w:hAnsi="Arial" w:cs="Arial"/>
          <w:color w:val="000000" w:themeColor="text1"/>
          <w:lang w:val="es-ES"/>
        </w:rPr>
        <w:footnoteReference w:id="2"/>
      </w:r>
      <w:r w:rsidRPr="5BAED725">
        <w:rPr>
          <w:rFonts w:ascii="Arial" w:eastAsia="Times New Roman" w:hAnsi="Arial" w:cs="Arial"/>
          <w:lang w:val="es-ES" w:eastAsia="es-ES"/>
        </w:rPr>
        <w:t xml:space="preserve"> o, incluso, una “revolución global”</w:t>
      </w:r>
      <w:r w:rsidRPr="5BAED725">
        <w:rPr>
          <w:rStyle w:val="Refdenotaalpie"/>
          <w:rFonts w:ascii="Arial" w:eastAsia="Calibri" w:hAnsi="Arial" w:cs="Arial"/>
          <w:color w:val="000000" w:themeColor="text1"/>
          <w:lang w:val="es-ES"/>
        </w:rPr>
        <w:footnoteReference w:id="3"/>
      </w:r>
      <w:r w:rsidRPr="5BAED725">
        <w:rPr>
          <w:rFonts w:ascii="Arial" w:eastAsia="Calibri" w:hAnsi="Arial" w:cs="Arial"/>
          <w:color w:val="000000" w:themeColor="text1"/>
          <w:lang w:val="es-ES"/>
        </w:rPr>
        <w:t>.</w:t>
      </w:r>
    </w:p>
    <w:p w14:paraId="1DB106F8" w14:textId="77777777" w:rsidR="00DD05CB" w:rsidRDefault="00DD05CB" w:rsidP="00DD05CB">
      <w:pPr>
        <w:spacing w:before="120" w:after="0" w:line="276" w:lineRule="auto"/>
        <w:jc w:val="both"/>
        <w:rPr>
          <w:rFonts w:ascii="Arial" w:eastAsia="Calibri" w:hAnsi="Arial" w:cs="Arial"/>
          <w:bCs/>
          <w:color w:val="000000" w:themeColor="text1"/>
          <w:lang w:val="es-ES_tradnl"/>
        </w:rPr>
      </w:pPr>
      <w:r>
        <w:rPr>
          <w:rFonts w:ascii="Arial" w:eastAsia="Times New Roman" w:hAnsi="Arial" w:cs="Arial"/>
          <w:iCs/>
          <w:szCs w:val="24"/>
          <w:lang w:val="es-ES_tradnl" w:eastAsia="es-ES_tradnl"/>
        </w:rPr>
        <w:tab/>
        <w:t>Esta revolución global en materia de contratación estatal es un fenómeno jurídico, en alguna medida imbricado con el fenómeno más amplio de la globalización, en el cual se cuentas actores diversos, como la Comisión de la Naciones Unidas para el Derecho Mercantil, que cuenta con una ley modelo en materia de contratación pública</w:t>
      </w:r>
      <w:r w:rsidRPr="00E7680F">
        <w:rPr>
          <w:rStyle w:val="Refdenotaalpie"/>
          <w:rFonts w:ascii="Arial" w:eastAsia="Calibri" w:hAnsi="Arial" w:cs="Arial"/>
          <w:bCs/>
          <w:color w:val="000000" w:themeColor="text1"/>
          <w:lang w:val="es-ES_tradnl"/>
        </w:rPr>
        <w:footnoteReference w:id="4"/>
      </w:r>
      <w:r w:rsidRPr="00E7680F">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los organismos multilaterales de crédito que han actuado como catalizadores de reforma de los sistemas locales</w:t>
      </w:r>
      <w:r w:rsidRPr="00E7680F">
        <w:rPr>
          <w:rStyle w:val="Refdenotaalpie"/>
          <w:rFonts w:ascii="Arial" w:eastAsia="Calibri" w:hAnsi="Arial" w:cs="Arial"/>
          <w:bCs/>
          <w:color w:val="000000" w:themeColor="text1"/>
          <w:lang w:val="es-ES_tradnl"/>
        </w:rPr>
        <w:footnoteReference w:id="5"/>
      </w:r>
      <w:r w:rsidRPr="00E7680F">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De igual forma, la liberación de los mercados de contratación mediante acuerdos plurilaterales de comercio como el Acuerdo sobre Contratación Pública de la OMC, acuerdos regionales como la Unión Europea, o acuerdos bilaterales de comercio con capítulos de contratación estatal, tienen importantes efectos para el asunto analizado en este concepto.</w:t>
      </w:r>
    </w:p>
    <w:p w14:paraId="2B652472" w14:textId="77777777" w:rsidR="00DD05CB" w:rsidRDefault="00DD05CB" w:rsidP="00DD05CB">
      <w:pPr>
        <w:spacing w:before="120" w:after="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b/>
        <w:t>Los tratados bilaterales de comercio con capítulos sobre contratación pública, son hoy en día una realidad en el ordenamiento jurídico colombiano y las normas de contratación nacionales, como el Estatuto General de Contratación de la Administración Pública –Ley 80 de 1993, Ley 1150 de 2007 y demás normas complementarias–, deben ser aplicadas en la práctica con la debida observancia de las obligaciones internacionales del Estado, so pena de causar responsabilidad por incumplimiento de dichas obligaciones.</w:t>
      </w:r>
    </w:p>
    <w:p w14:paraId="623406C6" w14:textId="77777777" w:rsidR="00DD05CB" w:rsidRDefault="00DD05CB" w:rsidP="00DD05CB">
      <w:pPr>
        <w:spacing w:before="120" w:after="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b/>
        <w:t>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 nuestro ordenamiento jurídico por una ley de la República</w:t>
      </w:r>
      <w:r w:rsidRPr="00E7680F">
        <w:rPr>
          <w:rStyle w:val="Refdenotaalpie"/>
          <w:rFonts w:ascii="Arial" w:eastAsia="Calibri" w:hAnsi="Arial" w:cs="Arial"/>
          <w:bCs/>
          <w:color w:val="000000" w:themeColor="text1"/>
          <w:lang w:val="es-ES_tradnl"/>
        </w:rPr>
        <w:footnoteReference w:id="6"/>
      </w:r>
      <w:r w:rsidRPr="00E7680F">
        <w:rPr>
          <w:rFonts w:ascii="Arial" w:eastAsia="Calibri" w:hAnsi="Arial" w:cs="Arial"/>
          <w:bCs/>
          <w:color w:val="000000" w:themeColor="text1"/>
          <w:lang w:val="es-ES_tradnl"/>
        </w:rPr>
        <w:t>.</w:t>
      </w:r>
    </w:p>
    <w:p w14:paraId="00F4C036"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lastRenderedPageBreak/>
        <w:tab/>
        <w:t xml:space="preserve">Uno de los aspectos que presenta mayor complejidad a nivel internacional en materia de contratación pública se refiere al concepto de contratación pública cubierta. Esto es, las transacciones que se entienden comprometidas dentro del acuerdo, y a las cuales deben, en consecuencia, aplicarse los estándares de protección acordados. Para poder determinar qué es </w:t>
      </w:r>
      <w:r>
        <w:rPr>
          <w:rFonts w:ascii="Arial" w:eastAsia="Times New Roman" w:hAnsi="Arial" w:cs="Arial"/>
          <w:i/>
          <w:szCs w:val="24"/>
          <w:lang w:val="es-ES_tradnl" w:eastAsia="es-ES_tradnl"/>
        </w:rPr>
        <w:t xml:space="preserve">contratación cubierta </w:t>
      </w:r>
      <w:r>
        <w:rPr>
          <w:rFonts w:ascii="Arial" w:eastAsia="Times New Roman" w:hAnsi="Arial" w:cs="Arial"/>
          <w:iCs/>
          <w:szCs w:val="24"/>
          <w:lang w:val="es-ES_tradnl" w:eastAsia="es-ES_tradnl"/>
        </w:rPr>
        <w:t>es necesario revisar el instrumento normativo preciso cuya protección se invoca –el tratado– y determinar si la transacción que se alega como cubierta lo está o no.</w:t>
      </w:r>
    </w:p>
    <w:p w14:paraId="487E88C5" w14:textId="77777777" w:rsidR="00DD05CB" w:rsidRPr="00F037E3"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ab/>
        <w:t xml:space="preserve">Por </w:t>
      </w:r>
      <w:r w:rsidRPr="00F037E3">
        <w:rPr>
          <w:rFonts w:ascii="Arial" w:eastAsia="Times New Roman" w:hAnsi="Arial" w:cs="Arial"/>
          <w:iCs/>
          <w:szCs w:val="24"/>
          <w:lang w:val="es-ES_tradnl" w:eastAsia="es-ES_tradnl"/>
        </w:rPr>
        <w:t xml:space="preserve">esta razón, las Entidades Estatales tienen la obligación de identificar los Acuerdo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Entidades Estatales incluidas en el acuerdo comercial; </w:t>
      </w:r>
      <w:proofErr w:type="spellStart"/>
      <w:r w:rsidRPr="00F037E3">
        <w:rPr>
          <w:rFonts w:ascii="Arial" w:eastAsia="Times New Roman" w:hAnsi="Arial" w:cs="Arial"/>
          <w:iCs/>
          <w:szCs w:val="24"/>
          <w:lang w:val="es-ES_tradnl" w:eastAsia="es-ES_tradnl"/>
        </w:rPr>
        <w:t>ii</w:t>
      </w:r>
      <w:proofErr w:type="spellEnd"/>
      <w:r w:rsidRPr="00F037E3">
        <w:rPr>
          <w:rFonts w:ascii="Arial" w:eastAsia="Times New Roman" w:hAnsi="Arial" w:cs="Arial"/>
          <w:iCs/>
          <w:szCs w:val="24"/>
          <w:lang w:val="es-ES_tradnl" w:eastAsia="es-ES_tradnl"/>
        </w:rPr>
        <w:t xml:space="preserve">) los valores a partir de los cuales el Acuerdo Comercial es aplicable al proceso de contratación y </w:t>
      </w:r>
      <w:proofErr w:type="spellStart"/>
      <w:r w:rsidRPr="00F037E3">
        <w:rPr>
          <w:rFonts w:ascii="Arial" w:eastAsia="Times New Roman" w:hAnsi="Arial" w:cs="Arial"/>
          <w:iCs/>
          <w:szCs w:val="24"/>
          <w:lang w:val="es-ES_tradnl" w:eastAsia="es-ES_tradnl"/>
        </w:rPr>
        <w:t>iii</w:t>
      </w:r>
      <w:proofErr w:type="spellEnd"/>
      <w:r w:rsidRPr="00F037E3">
        <w:rPr>
          <w:rFonts w:ascii="Arial" w:eastAsia="Times New Roman" w:hAnsi="Arial" w:cs="Arial"/>
          <w:iCs/>
          <w:szCs w:val="24"/>
          <w:lang w:val="es-ES_tradnl" w:eastAsia="es-ES_tradnl"/>
        </w:rPr>
        <w:t>) las excepciones a la aplicación del acuerdo comercial.</w:t>
      </w:r>
    </w:p>
    <w:p w14:paraId="3951CD67" w14:textId="77777777" w:rsidR="00DD05CB" w:rsidRPr="00F037E3" w:rsidRDefault="00DD05CB" w:rsidP="00DD05CB">
      <w:pPr>
        <w:spacing w:before="120" w:after="0" w:line="276" w:lineRule="auto"/>
        <w:jc w:val="both"/>
        <w:rPr>
          <w:rFonts w:ascii="Arial" w:eastAsia="Times New Roman" w:hAnsi="Arial" w:cs="Arial"/>
          <w:iCs/>
          <w:szCs w:val="24"/>
          <w:lang w:val="es-ES_tradnl" w:eastAsia="es-ES_tradnl"/>
        </w:rPr>
      </w:pPr>
      <w:r w:rsidRPr="00F037E3">
        <w:rPr>
          <w:rFonts w:ascii="Arial" w:eastAsia="Times New Roman" w:hAnsi="Arial" w:cs="Arial"/>
          <w:iCs/>
          <w:szCs w:val="24"/>
          <w:lang w:val="es-ES_tradnl" w:eastAsia="es-ES_tradnl"/>
        </w:rPr>
        <w:tab/>
        <w:t>En suma, la finalidad de celebrar acuerdos comerciales es el cumplimiento recíproco de las obligaciones que estos contienen. Por ello, dependiendo del tratado y su contenido, se podrá determinar específicamente el tipo de obligaciones que Colombia tendrá que cumplir.</w:t>
      </w:r>
    </w:p>
    <w:p w14:paraId="1241B393" w14:textId="77777777" w:rsidR="00DD05CB" w:rsidRPr="00F037E3" w:rsidRDefault="00DD05CB" w:rsidP="00DD05CB">
      <w:pPr>
        <w:spacing w:before="120" w:after="0" w:line="276" w:lineRule="auto"/>
        <w:jc w:val="both"/>
        <w:rPr>
          <w:rFonts w:ascii="Arial" w:eastAsia="Times New Roman" w:hAnsi="Arial" w:cs="Arial"/>
          <w:iCs/>
          <w:szCs w:val="24"/>
          <w:lang w:val="es-ES_tradnl" w:eastAsia="es-ES_tradnl"/>
        </w:rPr>
      </w:pPr>
      <w:r w:rsidRPr="00F037E3">
        <w:rPr>
          <w:rFonts w:ascii="Arial" w:eastAsia="Times New Roman" w:hAnsi="Arial" w:cs="Arial"/>
          <w:iCs/>
          <w:szCs w:val="24"/>
          <w:lang w:val="es-ES_tradnl" w:eastAsia="es-ES_tradnl"/>
        </w:rPr>
        <w:tab/>
        <w:t>Por otro lado, se destaca que los Acuerdos Comerciales contemplan excepciones a la aplicación de los compromisos y obligaciones contenidos en estos, por tanto, si un Proceso de Contratación se encuentra cobijado en una excepción, las obligaciones y compromisos del correspondiente Acuerdo Comercial no lo regirán. Las excepciones no aplican de manera uniforme a todas las entidades y a todos los acuerdos comerciales; por tanto, para determinar las excepciones aplicables a cada Acuerdo Comercial y a cada entidad, durante la etapa de planeación del proceso de selección, las entidades deben consultar la cobertura del acuerdo comercial y si existen excepciones aplicables a su Proceso de Contratación particular.</w:t>
      </w:r>
    </w:p>
    <w:p w14:paraId="7D92C8FE" w14:textId="77777777" w:rsidR="00DD05CB" w:rsidRPr="00F037E3" w:rsidRDefault="00DD05CB" w:rsidP="00DD05CB">
      <w:pPr>
        <w:spacing w:before="120" w:after="0" w:line="276" w:lineRule="auto"/>
        <w:jc w:val="both"/>
        <w:rPr>
          <w:rFonts w:ascii="Arial" w:eastAsia="Times New Roman" w:hAnsi="Arial" w:cs="Arial"/>
          <w:iCs/>
          <w:szCs w:val="24"/>
          <w:lang w:val="es-ES_tradnl" w:eastAsia="es-ES_tradnl"/>
        </w:rPr>
      </w:pPr>
      <w:r w:rsidRPr="00F037E3">
        <w:rPr>
          <w:rFonts w:ascii="Arial" w:eastAsia="Times New Roman" w:hAnsi="Arial" w:cs="Arial"/>
          <w:iCs/>
          <w:szCs w:val="24"/>
          <w:lang w:val="es-ES_tradnl" w:eastAsia="es-ES_tradnl"/>
        </w:rPr>
        <w:tab/>
        <w:t xml:space="preserve">En este marco, la Agencia Nacional de Contratación Pública – Colombia Compra Eficiente expidió el “Manual para el manejo de los Acuerdos Comerciales en Procesos de Contratación”, con el fin de lograr que las Entidades Estatales cumplan, en la práctica, de manera sencilla con las obligaciones internacionales adquiridas por el Estado. Este Manual, sin introducir ninguna modificación o restricción a los tratados, condensa y explica los deberes internacionales del Estado colombiano que deben iluminar la actuación de las </w:t>
      </w:r>
      <w:r w:rsidRPr="00F037E3">
        <w:rPr>
          <w:rFonts w:ascii="Arial" w:eastAsia="Times New Roman" w:hAnsi="Arial" w:cs="Arial"/>
          <w:iCs/>
          <w:szCs w:val="24"/>
          <w:lang w:val="es-ES_tradnl" w:eastAsia="es-ES_tradnl"/>
        </w:rPr>
        <w:lastRenderedPageBreak/>
        <w:t>Entidades Estatales contratantes y por tanto, el “Manual para el manejo de los Acuerdos Comerciales en Procesos de Contratación”, se constituye como una herramienta orientadora para conocer la cobertura de los Acuerdos Comerciales y los plazos correspondientes. Sin embargo, el uso del manual no exime a la entidad del deber de conocer y aplicar cada Acuerdo Comercial, según corresponda.</w:t>
      </w:r>
    </w:p>
    <w:p w14:paraId="0335BA21"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p>
    <w:p w14:paraId="3F322F39" w14:textId="77777777" w:rsidR="00DD05CB" w:rsidRPr="00F037E3" w:rsidRDefault="00DD05CB" w:rsidP="00DD05CB">
      <w:pPr>
        <w:spacing w:before="120" w:after="0" w:line="276" w:lineRule="auto"/>
        <w:ind w:firstLine="708"/>
        <w:jc w:val="both"/>
        <w:rPr>
          <w:rFonts w:ascii="Arial" w:eastAsia="Times New Roman" w:hAnsi="Arial" w:cs="Arial"/>
          <w:iCs/>
          <w:szCs w:val="24"/>
          <w:lang w:val="es-ES_tradnl" w:eastAsia="es-ES_tradnl"/>
        </w:rPr>
      </w:pPr>
      <w:r w:rsidRPr="00A261FE">
        <w:rPr>
          <w:rFonts w:ascii="Arial" w:hAnsi="Arial" w:cs="Arial"/>
        </w:rPr>
        <w:t>De igual forma, el ordenamiento jurídico colombiano, respecto a las compras públicas, en el artículo 2.2.1.2.4.1.1 del Decreto 1082 de 2015, dispuso que: «Las Entidades Estatales deben adelantar los Procesos de Contratación de acuerdo con lo previsto en los Acuerdos Comerciales, cuando estos les sean aplicables», y por tanto, con base en lo dispuesto en el artículo en mención, la obligatoriedad de aplicar los tratados está sometido al cumplimiento de los requisitos legales de incorporación en el derecho nacional y no a su consagración en el Manual de Acuerdos Comerciales expedido por la Agencia</w:t>
      </w:r>
    </w:p>
    <w:p w14:paraId="034A7022" w14:textId="77777777" w:rsidR="00DD05CB" w:rsidRPr="00F037E3" w:rsidRDefault="00DD05CB" w:rsidP="00DD05CB">
      <w:pPr>
        <w:spacing w:before="120" w:after="0" w:line="276" w:lineRule="auto"/>
        <w:jc w:val="both"/>
        <w:rPr>
          <w:rFonts w:ascii="Arial" w:eastAsia="Times New Roman" w:hAnsi="Arial" w:cs="Arial"/>
          <w:iCs/>
          <w:szCs w:val="24"/>
          <w:lang w:val="es-ES_tradnl" w:eastAsia="es-ES_tradnl"/>
        </w:rPr>
      </w:pPr>
      <w:r w:rsidRPr="00F037E3">
        <w:rPr>
          <w:rFonts w:ascii="Arial" w:eastAsia="Times New Roman" w:hAnsi="Arial" w:cs="Arial"/>
          <w:iCs/>
          <w:szCs w:val="24"/>
          <w:lang w:val="es-ES_tradnl" w:eastAsia="es-ES_tradnl"/>
        </w:rPr>
        <w:tab/>
        <w:t>Así las cosas, en el Anexo 1 del “Manual para el manejo de los Acuerdos Comerciales en Procesos de Contratación” se encuentran listadas las excepciones que aplican por cada Acuerdo Comercial a las entidades del nivel nacional cubiertas por dichos acuerdos. El Anexo 2, contiene las excepciones a la aplicación de los Acuerdo Comerciales para las entidades del nivel departamental y, el Anexo 3, las aplicables a las entidades del nivel municipal. Finalmente, el Anexo 4 establece el listado de excepciones a la aplicación de los compromisos y obligaciones contenidos en los Acuerdos Comerciales, constituyéndose este como el anexo al cual pueden remitirse las entidades para conocer a qué hacen referencia los números relacionados en los Anexos 1, 2 y 3.</w:t>
      </w:r>
    </w:p>
    <w:p w14:paraId="59BC8B56" w14:textId="77777777" w:rsidR="00DD05CB" w:rsidRPr="00F037E3" w:rsidRDefault="00DD05CB" w:rsidP="00DD05CB">
      <w:pPr>
        <w:spacing w:before="120" w:after="0" w:line="276" w:lineRule="auto"/>
        <w:jc w:val="both"/>
        <w:rPr>
          <w:rFonts w:ascii="Arial" w:eastAsia="Times New Roman" w:hAnsi="Arial" w:cs="Arial"/>
          <w:iCs/>
          <w:szCs w:val="24"/>
          <w:lang w:val="es-ES_tradnl" w:eastAsia="es-ES_tradnl"/>
        </w:rPr>
      </w:pPr>
      <w:r w:rsidRPr="00F037E3">
        <w:rPr>
          <w:rFonts w:ascii="Arial" w:eastAsia="Times New Roman" w:hAnsi="Arial" w:cs="Arial"/>
          <w:iCs/>
          <w:szCs w:val="24"/>
          <w:lang w:val="es-ES_tradnl" w:eastAsia="es-ES_tradnl"/>
        </w:rPr>
        <w:tab/>
        <w:t xml:space="preserve">En consecuencia, </w:t>
      </w:r>
      <w:r w:rsidRPr="00F037E3">
        <w:rPr>
          <w:rFonts w:ascii="Arial" w:hAnsi="Arial" w:cs="Arial"/>
        </w:rPr>
        <w:t>cada Entidad Estatal dependiendo del tratado y su contenido, deberá determinar específicamente el tipo de obligaciones que rigen los Procesos de Contratación, para lo cual debe determinar si es una de las entidades cubiertas por el acuerdo, si el proceso se encuentra dentro de umbrales para su aplicación, así como si existen excepciones que conlleven que algún Acuerdo Comercial no sea aplicable.</w:t>
      </w:r>
    </w:p>
    <w:p w14:paraId="313A4AEC" w14:textId="77777777" w:rsidR="00DD05CB" w:rsidRPr="00F037E3" w:rsidRDefault="00DD05CB" w:rsidP="00DD05CB">
      <w:pPr>
        <w:spacing w:after="0" w:line="276" w:lineRule="auto"/>
        <w:jc w:val="both"/>
        <w:rPr>
          <w:rFonts w:ascii="Arial" w:eastAsia="Times New Roman" w:hAnsi="Arial" w:cs="Arial"/>
          <w:iCs/>
          <w:szCs w:val="24"/>
          <w:lang w:val="es-ES_tradnl" w:eastAsia="es-ES_tradnl"/>
        </w:rPr>
      </w:pPr>
    </w:p>
    <w:p w14:paraId="245900B3" w14:textId="77777777" w:rsidR="00DD05CB" w:rsidRPr="00F037E3" w:rsidRDefault="00DD05CB" w:rsidP="00DD05CB">
      <w:pPr>
        <w:spacing w:after="0" w:line="276" w:lineRule="auto"/>
        <w:jc w:val="both"/>
        <w:rPr>
          <w:rFonts w:ascii="Arial" w:eastAsia="Times New Roman" w:hAnsi="Arial" w:cs="Arial"/>
          <w:b/>
          <w:bCs/>
          <w:iCs/>
          <w:szCs w:val="24"/>
          <w:lang w:val="es-ES_tradnl" w:eastAsia="es-ES_tradnl"/>
        </w:rPr>
      </w:pPr>
      <w:r w:rsidRPr="00F037E3">
        <w:rPr>
          <w:rFonts w:ascii="Arial" w:eastAsia="Times New Roman" w:hAnsi="Arial" w:cs="Arial"/>
          <w:b/>
          <w:bCs/>
          <w:iCs/>
          <w:szCs w:val="24"/>
          <w:lang w:val="es-ES_tradnl" w:eastAsia="es-ES_tradnl"/>
        </w:rPr>
        <w:t>2.2. Vinculatoriedad de las Guías, Manuales y Circulares de Colombia Compra Eficiente. Reiteración de línea</w:t>
      </w:r>
    </w:p>
    <w:p w14:paraId="057C9904" w14:textId="77777777" w:rsidR="00DD05CB" w:rsidRPr="00F037E3" w:rsidRDefault="00DD05CB" w:rsidP="00DD05CB">
      <w:pPr>
        <w:spacing w:after="0" w:line="276" w:lineRule="auto"/>
        <w:jc w:val="both"/>
        <w:rPr>
          <w:rFonts w:ascii="Arial" w:eastAsia="Times New Roman" w:hAnsi="Arial" w:cs="Arial"/>
          <w:iCs/>
          <w:szCs w:val="24"/>
          <w:lang w:val="es-ES_tradnl" w:eastAsia="es-ES_tradnl"/>
        </w:rPr>
      </w:pPr>
    </w:p>
    <w:p w14:paraId="1806D498" w14:textId="77777777" w:rsidR="00DD05CB" w:rsidRPr="00230DE3" w:rsidRDefault="00DD05CB" w:rsidP="00DD05CB">
      <w:pPr>
        <w:spacing w:after="0" w:line="276" w:lineRule="auto"/>
        <w:jc w:val="both"/>
        <w:rPr>
          <w:rFonts w:ascii="Arial" w:eastAsia="Times New Roman" w:hAnsi="Arial" w:cs="Arial"/>
          <w:i/>
          <w:szCs w:val="24"/>
          <w:lang w:val="es-ES_tradnl" w:eastAsia="es-ES_tradnl"/>
        </w:rPr>
      </w:pPr>
      <w:r w:rsidRPr="00F037E3">
        <w:rPr>
          <w:rFonts w:ascii="Arial" w:eastAsia="Times New Roman" w:hAnsi="Arial" w:cs="Arial"/>
          <w:iCs/>
          <w:szCs w:val="24"/>
          <w:lang w:val="es-ES_tradnl" w:eastAsia="es-ES_tradnl"/>
        </w:rPr>
        <w:t>La Agencia Nacional de Contratación Pública – Colombia Compra Eficiente fue creada por el Decreto Ley 4170 de 2011, como una Unida Administrativa Especial, descentralizada de la Rama Ejecutiva del orden nacional, adscrita al Departamento Naci</w:t>
      </w:r>
      <w:r>
        <w:rPr>
          <w:rFonts w:ascii="Arial" w:eastAsia="Times New Roman" w:hAnsi="Arial" w:cs="Arial"/>
          <w:iCs/>
          <w:szCs w:val="24"/>
          <w:lang w:val="es-ES_tradnl" w:eastAsia="es-ES_tradnl"/>
        </w:rPr>
        <w:t xml:space="preserve">onal de Planeación. El objetivo fijado para esta entidad, según el Legislador, es servir como ente rector de la política de compra y contratación del Estado, esto, al ser consciente de la necesidad de contar en la estructura del Estado con un órgano técnico especializado que asumiera la tarea de formular políticas públicas, normas y unificar los Procesos de Contratación estatal, </w:t>
      </w:r>
      <w:r>
        <w:rPr>
          <w:rFonts w:ascii="Arial" w:eastAsia="Times New Roman" w:hAnsi="Arial" w:cs="Arial"/>
          <w:iCs/>
          <w:szCs w:val="24"/>
          <w:lang w:val="es-ES_tradnl" w:eastAsia="es-ES_tradnl"/>
        </w:rPr>
        <w:lastRenderedPageBreak/>
        <w:t>facultándola para “difundir las normas, reglas, procedimientos, medios tecnológicos y mejores prácticas para las compras y la contratación pública”</w:t>
      </w:r>
      <w:r>
        <w:rPr>
          <w:rStyle w:val="Refdenotaalpie"/>
          <w:rFonts w:ascii="Arial" w:eastAsia="Times New Roman" w:hAnsi="Arial" w:cs="Arial"/>
          <w:iCs/>
          <w:szCs w:val="24"/>
          <w:lang w:val="es-ES_tradnl" w:eastAsia="es-ES_tradnl"/>
        </w:rPr>
        <w:footnoteReference w:id="7"/>
      </w:r>
      <w:r>
        <w:rPr>
          <w:rFonts w:ascii="Arial" w:eastAsia="Times New Roman" w:hAnsi="Arial" w:cs="Arial"/>
          <w:iCs/>
          <w:szCs w:val="24"/>
          <w:lang w:val="es-ES_tradnl" w:eastAsia="es-ES_tradnl"/>
        </w:rPr>
        <w:t>.</w:t>
      </w:r>
    </w:p>
    <w:p w14:paraId="59169027"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ab/>
        <w:t>En este contexto, concretamente el numeral 2 del artículo 3 del Decreto Ley 4170 de 2011, dispuso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De igual forma, el numeral 5 del mismo artículo otorga la facultad para expedir circulares externas en materia de compras y contratación pública.</w:t>
      </w:r>
    </w:p>
    <w:p w14:paraId="51A50634"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ab/>
        <w:t>En ejercicio de estas competencias, Colombia Compra Eficiente ha expedido Guías, Manuales y Circulares que pueden ser calificados como herramientas de apoyo a los partícipes de la contratación pública. A pesar de que el Decreto Ley 4170 de 2011 no contiene de manera expresa los vocablos Guía o Manual, esta Agencia a partir del año 2013, los ha expedido como instrumentos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42EBD128"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ab/>
        <w:t>Bajo las denominaciones de guías, manuales, instructivos y protocolos muchas entidades del Estado han adoptado herramientas e instrumentos para definir criterios técnicos, fijar procedimientos, estandarizar procesos y establecer metodologías, aunque no existe un significado unívoco que defina cada herramienta</w:t>
      </w:r>
      <w:r w:rsidRPr="00E7680F">
        <w:rPr>
          <w:rStyle w:val="Refdenotaalpie"/>
          <w:rFonts w:ascii="Arial" w:hAnsi="Arial" w:cs="Arial"/>
        </w:rPr>
        <w:footnoteReference w:id="8"/>
      </w:r>
      <w:r w:rsidRPr="00E7680F">
        <w:rPr>
          <w:rFonts w:ascii="Arial" w:hAnsi="Arial" w:cs="Arial"/>
        </w:rPr>
        <w:t>.</w:t>
      </w:r>
    </w:p>
    <w:p w14:paraId="6BC3C452"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lastRenderedPageBreak/>
        <w:tab/>
        <w:t>Dentro del funcionamiento interno de esta Agencia, los Manuales han sido entendidos como documentos que tratan de manera general aspectos fundamentales y elementales de un tema. Su contenido tiende a ser teórico y su finalidad es aclarar los puntos más importantes del asunto abordado. Por ejemplo, Colombia Compra Eficiente ha elaborado manuales para determinar y verificar los requisitos habilitantes o para el manejo de los Acuerdos Comerciales en los Procesos de Contratación.</w:t>
      </w:r>
    </w:p>
    <w:p w14:paraId="504F60FE" w14:textId="77777777" w:rsidR="00DD05CB" w:rsidRDefault="00DD05CB" w:rsidP="00DD05CB">
      <w:pPr>
        <w:spacing w:before="120" w:after="0" w:line="276" w:lineRule="auto"/>
        <w:jc w:val="both"/>
        <w:rPr>
          <w:rFonts w:ascii="Arial" w:eastAsia="Times New Roman" w:hAnsi="Arial" w:cs="Arial"/>
          <w:iCs/>
          <w:szCs w:val="24"/>
          <w:lang w:val="es-ES_tradnl" w:eastAsia="es-ES_tradnl"/>
        </w:rPr>
      </w:pPr>
      <w:r>
        <w:rPr>
          <w:rFonts w:ascii="Arial" w:eastAsia="Times New Roman" w:hAnsi="Arial" w:cs="Arial"/>
          <w:iCs/>
          <w:szCs w:val="24"/>
          <w:lang w:val="es-ES_tradnl" w:eastAsia="es-ES_tradnl"/>
        </w:rPr>
        <w:tab/>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guías para la liquidación de los contratos estatales, la cual fija un procedimiento para el efecto.</w:t>
      </w:r>
    </w:p>
    <w:p w14:paraId="1048DCFF" w14:textId="77777777" w:rsidR="00DD05CB" w:rsidRPr="00D36629" w:rsidRDefault="00DD05CB" w:rsidP="00DD05CB">
      <w:pPr>
        <w:spacing w:after="0" w:line="276" w:lineRule="auto"/>
        <w:jc w:val="both"/>
        <w:rPr>
          <w:rFonts w:ascii="Arial" w:eastAsia="Times New Roman" w:hAnsi="Arial" w:cs="Arial"/>
          <w:iCs/>
          <w:szCs w:val="24"/>
          <w:lang w:val="es-ES_tradnl" w:eastAsia="es-ES_tradnl"/>
        </w:rPr>
      </w:pPr>
    </w:p>
    <w:p w14:paraId="5652EB9E" w14:textId="77777777" w:rsidR="00DD05CB" w:rsidRPr="00D36629" w:rsidRDefault="00DD05CB" w:rsidP="00DD05CB">
      <w:pPr>
        <w:spacing w:line="276" w:lineRule="auto"/>
        <w:contextualSpacing/>
        <w:jc w:val="both"/>
        <w:rPr>
          <w:rFonts w:ascii="Arial" w:hAnsi="Arial" w:cs="Arial"/>
          <w:b/>
          <w:lang w:val="es-ES" w:eastAsia="es-CO"/>
        </w:rPr>
      </w:pPr>
      <w:r w:rsidRPr="00D36629">
        <w:rPr>
          <w:rFonts w:ascii="Arial" w:eastAsia="Times New Roman" w:hAnsi="Arial" w:cs="Arial"/>
          <w:b/>
          <w:bCs/>
          <w:iCs/>
          <w:szCs w:val="24"/>
          <w:lang w:val="es-ES_tradnl" w:eastAsia="es-ES_tradnl"/>
        </w:rPr>
        <w:t>2.</w:t>
      </w:r>
      <w:r>
        <w:rPr>
          <w:rFonts w:ascii="Arial" w:eastAsia="Times New Roman" w:hAnsi="Arial" w:cs="Arial"/>
          <w:b/>
          <w:bCs/>
          <w:iCs/>
          <w:szCs w:val="24"/>
          <w:lang w:val="es-ES_tradnl" w:eastAsia="es-ES_tradnl"/>
        </w:rPr>
        <w:t>3</w:t>
      </w:r>
      <w:r w:rsidRPr="00D36629">
        <w:rPr>
          <w:rFonts w:ascii="Arial" w:eastAsia="Times New Roman" w:hAnsi="Arial" w:cs="Arial"/>
          <w:b/>
          <w:bCs/>
          <w:iCs/>
          <w:szCs w:val="24"/>
          <w:lang w:val="es-ES_tradnl" w:eastAsia="es-ES_tradnl"/>
        </w:rPr>
        <w:t xml:space="preserve">. </w:t>
      </w:r>
      <w:r>
        <w:rPr>
          <w:rFonts w:ascii="Arial" w:hAnsi="Arial" w:cs="Arial"/>
          <w:b/>
          <w:bCs/>
          <w:lang w:val="es-MX" w:eastAsia="es-CO"/>
        </w:rPr>
        <w:t>Obligatoriedad de los instrumentos y herramientas expedidas por Colombia Compra Eficiente</w:t>
      </w:r>
      <w:r w:rsidRPr="00D36629">
        <w:rPr>
          <w:rFonts w:ascii="Arial" w:hAnsi="Arial" w:cs="Arial"/>
          <w:b/>
          <w:bCs/>
          <w:lang w:val="es-MX" w:eastAsia="es-CO"/>
        </w:rPr>
        <w:t>. Reiteración de línea</w:t>
      </w:r>
    </w:p>
    <w:p w14:paraId="4625E317" w14:textId="77777777" w:rsidR="00DD05CB" w:rsidRPr="00D36629" w:rsidRDefault="00DD05CB" w:rsidP="00DD05CB">
      <w:pPr>
        <w:spacing w:after="0" w:line="276" w:lineRule="auto"/>
        <w:contextualSpacing/>
        <w:jc w:val="both"/>
        <w:rPr>
          <w:rFonts w:ascii="Arial" w:hAnsi="Arial" w:cs="Arial"/>
          <w:bCs/>
          <w:lang w:val="es-MX" w:eastAsia="x-none"/>
        </w:rPr>
      </w:pPr>
    </w:p>
    <w:p w14:paraId="3685C944" w14:textId="77777777" w:rsidR="00DD05CB" w:rsidRDefault="00DD05CB" w:rsidP="00DD05CB">
      <w:pPr>
        <w:spacing w:after="0" w:line="276" w:lineRule="auto"/>
        <w:contextualSpacing/>
        <w:jc w:val="both"/>
        <w:rPr>
          <w:rFonts w:ascii="Arial" w:hAnsi="Arial" w:cs="Arial"/>
          <w:bCs/>
          <w:lang w:val="es-MX" w:eastAsia="x-none"/>
        </w:rPr>
      </w:pPr>
      <w:r>
        <w:rPr>
          <w:rFonts w:ascii="Arial" w:hAnsi="Arial" w:cs="Arial"/>
          <w:bCs/>
          <w:lang w:val="es-MX" w:eastAsia="x-none"/>
        </w:rPr>
        <w:t>Para el año 2016, frente a los documentos indicados, se sostuvo que los Manuales y Guías como instrumentos o herramientas de buenas prácticas y facilitadores de la comprensión de la normativa del Sistema de Compra Pública, sólo eran obligatorios cuando se acogían a través de una circular, de manera que si las Entidades Estatales se apartaban de esas buenas prácticas, tenía una carga de argumentación que debía quedar consignada de manera expresa en los Documentos del Proceso.</w:t>
      </w:r>
    </w:p>
    <w:p w14:paraId="4586FC5C" w14:textId="77777777" w:rsidR="00DD05CB" w:rsidRDefault="00DD05CB" w:rsidP="00DD05CB">
      <w:pPr>
        <w:spacing w:before="120" w:after="120" w:line="276" w:lineRule="auto"/>
        <w:ind w:firstLine="709"/>
        <w:jc w:val="both"/>
        <w:rPr>
          <w:rFonts w:ascii="Arial" w:hAnsi="Arial" w:cs="Arial"/>
          <w:lang w:val="es-MX" w:eastAsia="x-none"/>
        </w:rPr>
      </w:pPr>
      <w:bookmarkStart w:id="12" w:name="_Hlk94521748"/>
      <w:r>
        <w:rPr>
          <w:rFonts w:ascii="Arial" w:hAnsi="Arial" w:cs="Arial"/>
          <w:lang w:val="es-MX" w:eastAsia="x-none"/>
        </w:rPr>
        <w:t>Las circulares externas, al ser actos administrativos generales, eran obligatorias siempre que se hubieran publicado en el Diario Oficial, en ese sentido, las directrices, manuales, guías o lineamientos que se adopten por circular o cualquier otro acto administrativo vinculante eran de carácter obligatorio para los partícipes del Sistema de Compra Pública</w:t>
      </w:r>
      <w:r w:rsidRPr="00E7680F">
        <w:rPr>
          <w:rStyle w:val="Refdenotaalpie"/>
          <w:rFonts w:ascii="Arial" w:hAnsi="Arial" w:cs="Arial"/>
        </w:rPr>
        <w:footnoteReference w:id="9"/>
      </w:r>
      <w:r w:rsidRPr="00E7680F">
        <w:rPr>
          <w:rFonts w:ascii="Arial" w:hAnsi="Arial" w:cs="Arial"/>
        </w:rPr>
        <w:t>.</w:t>
      </w:r>
      <w:r>
        <w:rPr>
          <w:rFonts w:ascii="Arial" w:hAnsi="Arial" w:cs="Arial"/>
        </w:rPr>
        <w:t xml:space="preserve"> 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w:t>
      </w:r>
      <w:r>
        <w:rPr>
          <w:rFonts w:ascii="Arial" w:hAnsi="Arial" w:cs="Arial"/>
        </w:rPr>
        <w:lastRenderedPageBreak/>
        <w:t>guía o manual su aplicación era facultativa, y por tanto su rango normativo no pasaba de ser una recomendación de buenas prácticas administrativas.</w:t>
      </w:r>
    </w:p>
    <w:p w14:paraId="668C3A46"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t>Ahora bien, en el 2017 la Subdirección de Gestión Contractual acogió un enfoque sustantivo sobre el carácter obligatorio de los actos expedidos por la entidad. Esto quiere decir que con independencia de la forma que adopte la directriz, su carácter obligatorio o no, está determinado por la existencia de una competencia legal o reglamentaria para regular el asunto en concreto. En otras palabras, lo que define la obligatoriedad de determinado acto que expida la entidad no es que se adopte mediante circular externa, sino que el contenido sea de aquellos cuya regulación haya sido encargada por el Legislador o el Presidente de la República a la Agencia Nacional de Contratación Pública. Lo anterior, hace referencia a la competencia, como uno de los elementos que caracteriza a los actos administrativos.</w:t>
      </w:r>
    </w:p>
    <w:p w14:paraId="2CA47C01"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t>Además, para que un acto expedido por esta entidad sea obligatorio, debe reunir todos los demás elementos de un acto administrativo, entendido este, desde su concepción clásica, como la manifestación unilateral de la voluntad de la Administración, en ejercicio de la función administrativa, con la potencialidad de producir efectos jurídicos. Este enfoque sustantivo o material en relación con la obligatoriedad de las Circulares, Guías, Manuales o Documentos Tipo, se corresponde al entendimiento que la jurisprudencia del Consejo de Estado ha tenido para determinar si está ante un acto de la administración controlable por la Jurisdicción Contenciosa Administrativa, esto es, si está en presencia de un acto administrativo.</w:t>
      </w:r>
    </w:p>
    <w:p w14:paraId="3D35ED68"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t xml:space="preserve">Ahora bien, el Consejo de Estado señaló sobre la naturaleza jurídica de los Manuales y Guías expedidos por Colombia Compra Eficiente, que se trata de normas de carácter general, impersonal y abstracto, cuya finalidad es dar un mayor nivel de detalle a todas las normas a las que están subordinadas, de forma que sea posible su aplicación. Sostuvo además,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 Política. </w:t>
      </w:r>
    </w:p>
    <w:p w14:paraId="58E18DB7"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t>El Alto Tribunal Administrativo, en concordancia con el criterio sustantivo o material de identificación de los actos administrativos antes expuesto, reiteró que estos pueden estar revestidos de distintas formas, como decretos, resoluciones, reglamentos, acuerdo, manuales o circulares. En consecuencia, no es el nombre otorgado lo que genera la naturaleza de acto administrativo, sino su contenido reglamentario o normativo de obligatoria aplicación, y ello es predicable, incluso, de los manuales expedidos por las distintas autoridades administrativas.</w:t>
      </w:r>
    </w:p>
    <w:p w14:paraId="600684A3"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lastRenderedPageBreak/>
        <w:t>De esta forma, los manuales, guías o circulares frente a los que existe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751B5547"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el manejo de los Acuerdos Comerciales en los Procesos de Contratación. Estos instrumentos o herramientas quedan en el ámbito de normas de apoyo y de buenas prácticas para los partícipes del Sistema de Compra Pública, de donde no se puede derivar obligatoriedad.</w:t>
      </w:r>
    </w:p>
    <w:p w14:paraId="34A36C7F" w14:textId="77777777" w:rsidR="00DD05CB" w:rsidRDefault="00DD05CB" w:rsidP="00DD05CB">
      <w:pPr>
        <w:spacing w:after="120" w:line="276" w:lineRule="auto"/>
        <w:ind w:firstLine="709"/>
        <w:jc w:val="both"/>
        <w:rPr>
          <w:rFonts w:ascii="Arial" w:hAnsi="Arial" w:cs="Arial"/>
          <w:lang w:val="es-MX" w:eastAsia="x-none"/>
        </w:rPr>
      </w:pPr>
      <w:r>
        <w:rPr>
          <w:rFonts w:ascii="Arial" w:hAnsi="Arial" w:cs="Arial"/>
          <w:lang w:val="es-MX" w:eastAsia="x-none"/>
        </w:rPr>
        <w:t>En ese sentido, la obligatoriedad de los instrumentos expedidos por Colombia Compra Eficiente no depende de la forma mediante la cual se adopten, pues las guías, manuales o circulares podrán ser de obligatoria observancia o de mera pauta, para fomentar las buenas prácticas administrativas, dependiendo de si existe una norma de rango legal o reglamentaria, diferente a la del Decreto Ley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producir normas, es decir, no será obligatoria, y, en consecuencia, no será vinculante para sus destinatarios, con independencia del nombre que tenga.</w:t>
      </w:r>
    </w:p>
    <w:p w14:paraId="7C860698" w14:textId="77777777" w:rsidR="00DD05CB" w:rsidRDefault="00DD05CB" w:rsidP="00DD05CB">
      <w:pPr>
        <w:spacing w:after="120" w:line="276" w:lineRule="auto"/>
        <w:ind w:firstLine="709"/>
        <w:jc w:val="both"/>
        <w:rPr>
          <w:rFonts w:ascii="Arial" w:eastAsia="Calibri" w:hAnsi="Arial" w:cs="Arial"/>
          <w:bCs/>
          <w:color w:val="000000" w:themeColor="text1"/>
          <w:lang w:val="es-ES_tradnl"/>
        </w:rPr>
      </w:pPr>
      <w:r>
        <w:rPr>
          <w:rFonts w:ascii="Arial" w:hAnsi="Arial" w:cs="Arial"/>
          <w:lang w:val="es-MX" w:eastAsia="x-none"/>
        </w:rPr>
        <w:t xml:space="preserve">Ahora bien, tratándose del “Manual para el manejo de los Acuerdos Comerciales en Procesos de Contratación”, como lo indicó esta Subdirección en el Concepto con radicado No. </w:t>
      </w:r>
      <w:r w:rsidRPr="00E7680F">
        <w:rPr>
          <w:rFonts w:ascii="Arial" w:eastAsia="Calibri" w:hAnsi="Arial" w:cs="Arial"/>
          <w:bCs/>
          <w:color w:val="000000" w:themeColor="text1"/>
          <w:lang w:val="es-ES_tradnl"/>
        </w:rPr>
        <w:t>2201913000008425</w:t>
      </w:r>
      <w:r>
        <w:rPr>
          <w:rFonts w:ascii="Arial" w:eastAsia="Calibri" w:hAnsi="Arial" w:cs="Arial"/>
          <w:bCs/>
          <w:color w:val="000000" w:themeColor="text1"/>
          <w:lang w:val="es-ES_tradnl"/>
        </w:rPr>
        <w:t xml:space="preserve"> del 13 de noviembre de 20219, “Las entidades estatales pueden hacer uso del manual para el manejo de los Acuerdos Comerciales en Procesos de Contratación” expedido por Colombia Compra Eficiente como herramienta orientadora para conocer la cobertura de los Acuerdo Comerciales y los plazos correspondientes, sin embargo, el uso del manual no exime a la entidad del deber de conocer y aplicar cada Acuerdo Comercial”. En otras palabras, el Manual es una herramienta de orientación, pero no exime a las Entidades Estatales del deber de verificar la cobertura y aplicar los acuerdos comerciales que resulten obligatorios en el correspondiente procedimiento de selección.</w:t>
      </w:r>
    </w:p>
    <w:p w14:paraId="3CB7F9D8" w14:textId="77777777" w:rsidR="00DD05CB" w:rsidRDefault="00DD05CB" w:rsidP="00DD05CB">
      <w:pPr>
        <w:spacing w:after="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Lo anterior guarda consonancia con los artículos </w:t>
      </w:r>
      <w:r w:rsidRPr="00E7680F">
        <w:rPr>
          <w:rFonts w:ascii="Arial" w:eastAsia="Calibri" w:hAnsi="Arial" w:cs="Arial"/>
          <w:bCs/>
          <w:color w:val="000000" w:themeColor="text1"/>
          <w:lang w:val="es-ES_tradnl"/>
        </w:rPr>
        <w:t>2.2.1.2.4.1.1. y 2.2.1.2.4.1.2.</w:t>
      </w:r>
      <w:r>
        <w:rPr>
          <w:rFonts w:ascii="Arial" w:eastAsia="Calibri" w:hAnsi="Arial" w:cs="Arial"/>
          <w:bCs/>
          <w:color w:val="000000" w:themeColor="text1"/>
          <w:lang w:val="es-ES_tradnl"/>
        </w:rPr>
        <w:t xml:space="preserve"> del Decreto 1082 de 2015, que disponen, respectivamente, que: “Las Entidades Estatales deben adelantar los Procesos de Contratación de acuerdo con lo previsto en los Acuerdos </w:t>
      </w:r>
      <w:r>
        <w:rPr>
          <w:rFonts w:ascii="Arial" w:eastAsia="Calibri" w:hAnsi="Arial" w:cs="Arial"/>
          <w:bCs/>
          <w:color w:val="000000" w:themeColor="text1"/>
          <w:lang w:val="es-ES_tradnl"/>
        </w:rPr>
        <w:lastRenderedPageBreak/>
        <w:t>Comerciales, cuando estos les sean aplicables” y que “Si un mismo Proceso de Contratación está sometido a varios Acuerdo Comerciales, la Entidad Estatal debe adoptar las medidas necesarias para el cumplimiento de la totalidad de los compromisos previstos en los Acuerdos Comerciales”. De esta manera, las Entidades Estatales y los procesos contractuales cubiertos por los tratados suscritos entre Colombia y otros Estados, son aquellos que aparecen en sus listas. Por ello, la determinación de si tales Acuerdos Comerciales aplican o no a un proceso contractual, corresponderá a las Entidades Estatales.</w:t>
      </w:r>
    </w:p>
    <w:bookmarkEnd w:id="12"/>
    <w:p w14:paraId="78F89A6C" w14:textId="77777777" w:rsidR="00DD05CB" w:rsidRDefault="00DD05CB" w:rsidP="00DD05CB">
      <w:pPr>
        <w:spacing w:after="0" w:line="276" w:lineRule="auto"/>
        <w:contextualSpacing/>
        <w:jc w:val="both"/>
        <w:rPr>
          <w:rFonts w:ascii="Arial" w:eastAsia="Calibri" w:hAnsi="Arial" w:cs="Arial"/>
          <w:b/>
        </w:rPr>
      </w:pPr>
    </w:p>
    <w:p w14:paraId="744921F5" w14:textId="77777777" w:rsidR="00DD05CB" w:rsidRPr="00D36629" w:rsidRDefault="00DD05CB" w:rsidP="00DD05CB">
      <w:pPr>
        <w:spacing w:after="0" w:line="276" w:lineRule="auto"/>
        <w:contextualSpacing/>
        <w:jc w:val="both"/>
        <w:rPr>
          <w:rFonts w:ascii="Arial" w:eastAsia="Calibri" w:hAnsi="Arial" w:cs="Arial"/>
          <w:b/>
        </w:rPr>
      </w:pPr>
      <w:r w:rsidRPr="00D36629">
        <w:rPr>
          <w:rFonts w:ascii="Arial" w:eastAsia="Calibri" w:hAnsi="Arial" w:cs="Arial"/>
          <w:b/>
        </w:rPr>
        <w:t>3. Respuesta</w:t>
      </w:r>
    </w:p>
    <w:p w14:paraId="34A8B69B" w14:textId="77777777" w:rsidR="00DD05CB" w:rsidRPr="00D36629" w:rsidRDefault="00DD05CB" w:rsidP="00DD05CB">
      <w:pPr>
        <w:spacing w:after="0" w:line="276" w:lineRule="auto"/>
        <w:contextualSpacing/>
        <w:jc w:val="both"/>
        <w:rPr>
          <w:rFonts w:ascii="Arial" w:eastAsia="Calibri" w:hAnsi="Arial" w:cs="Arial"/>
        </w:rPr>
      </w:pPr>
      <w:bookmarkStart w:id="13" w:name="_Hlk57650395"/>
    </w:p>
    <w:p w14:paraId="477222DD" w14:textId="77777777" w:rsidR="00DD05CB" w:rsidRPr="008F420D" w:rsidRDefault="00DD05CB" w:rsidP="00DD05CB">
      <w:pPr>
        <w:spacing w:before="120" w:after="0" w:line="240" w:lineRule="auto"/>
        <w:ind w:left="709" w:right="709"/>
        <w:contextualSpacing/>
        <w:jc w:val="both"/>
        <w:rPr>
          <w:rFonts w:ascii="Arial" w:eastAsia="Calibri" w:hAnsi="Arial" w:cs="Arial"/>
          <w:sz w:val="21"/>
          <w:szCs w:val="21"/>
          <w:lang w:val="es-MX"/>
        </w:rPr>
      </w:pPr>
      <w:r w:rsidRPr="00D36629">
        <w:rPr>
          <w:rFonts w:ascii="Arial" w:eastAsia="Calibri" w:hAnsi="Arial" w:cs="Arial"/>
          <w:sz w:val="21"/>
          <w:szCs w:val="21"/>
          <w:lang w:val="es-MX"/>
        </w:rPr>
        <w:t xml:space="preserve">“[…] </w:t>
      </w:r>
      <w:r>
        <w:rPr>
          <w:rFonts w:ascii="Arial" w:eastAsia="Calibri" w:hAnsi="Arial" w:cs="Arial"/>
          <w:sz w:val="21"/>
          <w:szCs w:val="21"/>
          <w:lang w:val="es-MX"/>
        </w:rPr>
        <w:t>mediante el Anexo 1 del referido manual, Colombia Compra Eficiente puso a disposición de las Entidades Estatales del nivel nacional, la lista de las Entidades Estatales obligadas por cada Acuerdo Comercial y la lista de las Entidades Estatales especiales para las cuales el valor del Proceso de Contratación es diferente, a partir del cual el Acuerdo es aplicable.</w:t>
      </w:r>
    </w:p>
    <w:p w14:paraId="00B047DD" w14:textId="77777777" w:rsidR="00DD05CB" w:rsidRDefault="00DD05CB" w:rsidP="00DD05CB">
      <w:pPr>
        <w:spacing w:before="120"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Teniendo en cuenta las características de la CNSC, se hace necesario elevar la presente consulta, frente a la obligatoriedad de la aplicación de los Acuerdos Comerciales en los procesos de contratación que desarrolla la COMISIÓN, toda vez que al hacer un análisis del Anexo No. 0 del Manual para el manejo de los acuerdos comerciales en procesos de contratación, se evidencia que la COMISIÓN no se encuentra taxativamente mencionada dentro de las Entidades Estatales que deben suscribir los acuerdos allí descritos, dado que es un órgano autónomo, independiente y no hace parte de ninguna de las ramas del poder público.</w:t>
      </w:r>
    </w:p>
    <w:p w14:paraId="05C19905" w14:textId="77777777" w:rsidR="00DD05CB" w:rsidRDefault="00DD05CB" w:rsidP="00DD05CB">
      <w:pPr>
        <w:spacing w:before="120"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la consulta también está relacionada con la disposición del referido Anexo No. 1 en lo correspondiente a los países que conforman el “</w:t>
      </w:r>
      <w:proofErr w:type="spellStart"/>
      <w:r>
        <w:rPr>
          <w:rFonts w:ascii="Arial" w:eastAsia="Calibri" w:hAnsi="Arial" w:cs="Arial"/>
          <w:sz w:val="21"/>
          <w:szCs w:val="21"/>
          <w:lang w:val="es-MX"/>
        </w:rPr>
        <w:t>Triangulo</w:t>
      </w:r>
      <w:proofErr w:type="spellEnd"/>
      <w:r>
        <w:rPr>
          <w:rFonts w:ascii="Arial" w:eastAsia="Calibri" w:hAnsi="Arial" w:cs="Arial"/>
          <w:sz w:val="21"/>
          <w:szCs w:val="21"/>
          <w:lang w:val="es-MX"/>
        </w:rPr>
        <w:t xml:space="preserve"> Norte” toda vez que para países como el Salvador y Guatemala los acuerdos comerciales son de obligatorios para </w:t>
      </w:r>
      <w:r>
        <w:rPr>
          <w:rFonts w:ascii="Arial" w:eastAsia="Calibri" w:hAnsi="Arial" w:cs="Arial"/>
          <w:i/>
          <w:iCs/>
          <w:sz w:val="21"/>
          <w:szCs w:val="21"/>
          <w:lang w:val="es-MX"/>
        </w:rPr>
        <w:t>“</w:t>
      </w:r>
      <w:r>
        <w:rPr>
          <w:rFonts w:ascii="Arial" w:eastAsia="Calibri" w:hAnsi="Arial" w:cs="Arial"/>
          <w:i/>
          <w:iCs/>
          <w:sz w:val="21"/>
          <w:szCs w:val="21"/>
          <w:u w:val="single"/>
          <w:lang w:val="es-MX"/>
        </w:rPr>
        <w:t>todas las Entidades Estatales</w:t>
      </w:r>
      <w:r>
        <w:rPr>
          <w:rFonts w:ascii="Arial" w:eastAsia="Calibri" w:hAnsi="Arial" w:cs="Arial"/>
          <w:sz w:val="21"/>
          <w:szCs w:val="21"/>
          <w:lang w:val="es-MX"/>
        </w:rPr>
        <w:t xml:space="preserve"> excepto las </w:t>
      </w:r>
      <w:r>
        <w:rPr>
          <w:rFonts w:ascii="Arial" w:eastAsia="Calibri" w:hAnsi="Arial" w:cs="Arial"/>
          <w:i/>
          <w:iCs/>
          <w:sz w:val="21"/>
          <w:szCs w:val="21"/>
          <w:lang w:val="es-MX"/>
        </w:rPr>
        <w:t>Entidades Estatales con régimen de contratación especial (distinto al Estatuto General de Contratación de la Administración Pública”.</w:t>
      </w:r>
      <w:r w:rsidRPr="00D36629">
        <w:rPr>
          <w:rFonts w:ascii="Arial" w:eastAsia="Calibri" w:hAnsi="Arial" w:cs="Arial"/>
          <w:sz w:val="21"/>
          <w:szCs w:val="21"/>
          <w:lang w:val="es-MX"/>
        </w:rPr>
        <w:t xml:space="preserve"> </w:t>
      </w:r>
    </w:p>
    <w:p w14:paraId="6F17FCFA" w14:textId="77777777" w:rsidR="00DD05CB" w:rsidRPr="00D36629" w:rsidRDefault="00DD05CB" w:rsidP="00DD05CB">
      <w:pPr>
        <w:spacing w:before="120"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Es por ello </w:t>
      </w:r>
      <w:proofErr w:type="gramStart"/>
      <w:r>
        <w:rPr>
          <w:rFonts w:ascii="Arial" w:eastAsia="Calibri" w:hAnsi="Arial" w:cs="Arial"/>
          <w:sz w:val="21"/>
          <w:szCs w:val="21"/>
          <w:lang w:val="es-MX"/>
        </w:rPr>
        <w:t>que</w:t>
      </w:r>
      <w:proofErr w:type="gramEnd"/>
      <w:r>
        <w:rPr>
          <w:rFonts w:ascii="Arial" w:eastAsia="Calibri" w:hAnsi="Arial" w:cs="Arial"/>
          <w:sz w:val="21"/>
          <w:szCs w:val="21"/>
          <w:lang w:val="es-MX"/>
        </w:rPr>
        <w:t xml:space="preserve"> agradecemos a la Agencia Nacional de Contratación-Colombia Compra Eficiente, resolver la presente consulta, toda vez que resulta indispensable para la Comisión Nacional del Servicio Civil CNSC, establecer con exactitud los Acuerdos Comerciales que son aplicables en sus procesos de contratación.” </w:t>
      </w:r>
      <w:r w:rsidRPr="00D36629">
        <w:rPr>
          <w:rFonts w:ascii="Arial" w:eastAsia="Calibri" w:hAnsi="Arial" w:cs="Arial"/>
          <w:sz w:val="21"/>
          <w:szCs w:val="21"/>
          <w:lang w:val="es-MX"/>
        </w:rPr>
        <w:t>[sic]</w:t>
      </w:r>
      <w:r>
        <w:rPr>
          <w:rFonts w:ascii="Arial" w:eastAsia="Calibri" w:hAnsi="Arial" w:cs="Arial"/>
          <w:sz w:val="21"/>
          <w:szCs w:val="21"/>
          <w:lang w:val="es-MX"/>
        </w:rPr>
        <w:t xml:space="preserve"> [Énfasis propio]</w:t>
      </w:r>
    </w:p>
    <w:p w14:paraId="0650F5F2" w14:textId="77777777" w:rsidR="00DD05CB" w:rsidRPr="00D36629" w:rsidRDefault="00DD05CB" w:rsidP="00DD05CB">
      <w:pPr>
        <w:shd w:val="clear" w:color="auto" w:fill="FFFFFF"/>
        <w:spacing w:after="0" w:line="276" w:lineRule="auto"/>
        <w:jc w:val="both"/>
        <w:rPr>
          <w:rFonts w:ascii="Arial" w:hAnsi="Arial" w:cs="Arial"/>
        </w:rPr>
      </w:pPr>
    </w:p>
    <w:p w14:paraId="6AF80786" w14:textId="77777777" w:rsidR="00DD05CB" w:rsidRDefault="00DD05CB" w:rsidP="00DD05CB">
      <w:pPr>
        <w:widowControl w:val="0"/>
        <w:autoSpaceDE w:val="0"/>
        <w:autoSpaceDN w:val="0"/>
        <w:spacing w:beforeLines="120" w:before="288" w:after="0" w:line="276" w:lineRule="auto"/>
        <w:contextualSpacing/>
        <w:jc w:val="both"/>
        <w:rPr>
          <w:rFonts w:ascii="Arial" w:eastAsia="Calibri" w:hAnsi="Arial" w:cs="Arial"/>
        </w:rPr>
      </w:pPr>
      <w:r>
        <w:rPr>
          <w:rFonts w:ascii="Arial" w:eastAsia="Calibri" w:hAnsi="Arial" w:cs="Arial"/>
        </w:rPr>
        <w:t xml:space="preserve">Como se indicó en el considerando de este concepto, los Acuerdos Comerciales son tratados internacionales celebrados entre Estados e incorporados a los ordenamientos nacionales, cuyo contenido consagra derechos y obligaciones en distintas materias, entre estas las compras públicas. Por esta razón, las Entidades Estatales tienen la obligación de identificar los Acuerdo Comerciales aplicables a sus Procesos de Contratación, y de esta </w:t>
      </w:r>
      <w:r>
        <w:rPr>
          <w:rFonts w:ascii="Arial" w:eastAsia="Calibri" w:hAnsi="Arial" w:cs="Arial"/>
        </w:rPr>
        <w:lastRenderedPageBreak/>
        <w:t xml:space="preserve">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Pr>
          <w:rFonts w:ascii="Arial" w:eastAsia="Calibri" w:hAnsi="Arial" w:cs="Arial"/>
        </w:rPr>
        <w:t>ii</w:t>
      </w:r>
      <w:proofErr w:type="spellEnd"/>
      <w:r>
        <w:rPr>
          <w:rFonts w:ascii="Arial" w:eastAsia="Calibri" w:hAnsi="Arial" w:cs="Arial"/>
        </w:rPr>
        <w:t xml:space="preserve">) los valores a partir de los cuales el Acuerdo Comercial es aplicable al Proceso de Contratación –umbrales–; y </w:t>
      </w:r>
      <w:proofErr w:type="spellStart"/>
      <w:r>
        <w:rPr>
          <w:rFonts w:ascii="Arial" w:eastAsia="Calibri" w:hAnsi="Arial" w:cs="Arial"/>
        </w:rPr>
        <w:t>iii</w:t>
      </w:r>
      <w:proofErr w:type="spellEnd"/>
      <w:r>
        <w:rPr>
          <w:rFonts w:ascii="Arial" w:eastAsia="Calibri" w:hAnsi="Arial" w:cs="Arial"/>
        </w:rPr>
        <w:t>) las excepciones a la aplicación del Acuerdo Comercial.</w:t>
      </w:r>
    </w:p>
    <w:p w14:paraId="48458BE0" w14:textId="77777777" w:rsidR="00DD05CB" w:rsidRDefault="00DD05CB" w:rsidP="00DD05CB">
      <w:pPr>
        <w:spacing w:before="120" w:after="120" w:line="276" w:lineRule="auto"/>
        <w:ind w:firstLine="709"/>
        <w:jc w:val="both"/>
        <w:rPr>
          <w:rFonts w:ascii="Arial" w:eastAsia="Calibri" w:hAnsi="Arial" w:cs="Arial"/>
        </w:rPr>
      </w:pPr>
      <w:r>
        <w:rPr>
          <w:rFonts w:ascii="Arial" w:eastAsia="Calibri" w:hAnsi="Arial" w:cs="Arial"/>
        </w:rPr>
        <w:t>Adicionalmente, resulta a bien recalcar que el “Manual para el manejo de los Acuerdos Comerciales en Procesos de Contratación” expedido por la Agencia Nacional de Contratación Pública – Colombia Compra Eficiente, constituye una herramienta orientadora para conocer la cobertura, excepciones y los plazos correspondientes contemplados en los Acuerdos Comerciales. Sin embargo, el uso de dicho manual no exime a la entidad de deber de conocer y aplicar cada Acuerdo Comercial.</w:t>
      </w:r>
    </w:p>
    <w:p w14:paraId="2F13F54E" w14:textId="77777777" w:rsidR="00DD05CB" w:rsidRDefault="00DD05CB" w:rsidP="00DD05CB">
      <w:pPr>
        <w:widowControl w:val="0"/>
        <w:autoSpaceDE w:val="0"/>
        <w:autoSpaceDN w:val="0"/>
        <w:spacing w:after="0" w:line="276" w:lineRule="auto"/>
        <w:contextualSpacing/>
        <w:jc w:val="both"/>
        <w:rPr>
          <w:rFonts w:ascii="Arial" w:eastAsia="Calibri" w:hAnsi="Arial" w:cs="Arial"/>
        </w:rPr>
      </w:pPr>
      <w:r>
        <w:rPr>
          <w:rFonts w:ascii="Arial" w:eastAsia="Calibri" w:hAnsi="Arial" w:cs="Arial"/>
        </w:rPr>
        <w:tab/>
        <w:t xml:space="preserve">Finalmente, para los efectos es importante indicar que en caso de que existan dudas sobre la interpretación o alcance de un Acuerdo Comercial, le sugerimos dirigirse a la Oficina de Asuntos Legales Internacionales del Ministerio de Comercio, Industria y Turismo, por ser el competente para resolver dichos asuntos, en virtud de las facultades que le otorgó el Legislador a través del artículo 10 del Decreto Ley 210 de 2003, compilado con el Decreto </w:t>
      </w:r>
      <w:r w:rsidRPr="00B05540">
        <w:rPr>
          <w:rFonts w:ascii="Arial" w:eastAsia="Calibri" w:hAnsi="Arial" w:cs="Arial"/>
        </w:rPr>
        <w:t xml:space="preserve">1074 </w:t>
      </w:r>
      <w:r>
        <w:rPr>
          <w:rFonts w:ascii="Arial" w:eastAsia="Calibri" w:hAnsi="Arial" w:cs="Arial"/>
        </w:rPr>
        <w:t>de</w:t>
      </w:r>
      <w:r w:rsidRPr="00B05540">
        <w:rPr>
          <w:rFonts w:ascii="Arial" w:eastAsia="Calibri" w:hAnsi="Arial" w:cs="Arial"/>
        </w:rPr>
        <w:t xml:space="preserve"> 2015</w:t>
      </w:r>
      <w:r>
        <w:rPr>
          <w:rFonts w:ascii="Arial" w:eastAsia="Calibri" w:hAnsi="Arial" w:cs="Arial"/>
        </w:rPr>
        <w:t>.</w:t>
      </w:r>
    </w:p>
    <w:p w14:paraId="2BB67E83" w14:textId="77777777" w:rsidR="00DD05CB" w:rsidRDefault="00DD05CB" w:rsidP="00DD05CB">
      <w:pPr>
        <w:widowControl w:val="0"/>
        <w:autoSpaceDE w:val="0"/>
        <w:autoSpaceDN w:val="0"/>
        <w:spacing w:after="0" w:line="276" w:lineRule="auto"/>
        <w:contextualSpacing/>
        <w:jc w:val="both"/>
        <w:rPr>
          <w:rFonts w:ascii="Arial" w:eastAsia="Calibri" w:hAnsi="Arial" w:cs="Arial"/>
        </w:rPr>
      </w:pPr>
    </w:p>
    <w:p w14:paraId="132044E1" w14:textId="77777777" w:rsidR="00DD05CB" w:rsidRDefault="00DD05CB" w:rsidP="00DD05CB">
      <w:pPr>
        <w:widowControl w:val="0"/>
        <w:autoSpaceDE w:val="0"/>
        <w:autoSpaceDN w:val="0"/>
        <w:spacing w:after="0" w:line="276" w:lineRule="auto"/>
        <w:contextualSpacing/>
        <w:jc w:val="both"/>
        <w:rPr>
          <w:rFonts w:ascii="Arial" w:eastAsia="Calibri" w:hAnsi="Arial" w:cs="Arial"/>
        </w:rPr>
      </w:pPr>
    </w:p>
    <w:p w14:paraId="57FF24AF" w14:textId="77777777" w:rsidR="00DD05CB" w:rsidRPr="00D36629" w:rsidRDefault="00DD05CB" w:rsidP="00DD05CB">
      <w:pPr>
        <w:widowControl w:val="0"/>
        <w:autoSpaceDE w:val="0"/>
        <w:autoSpaceDN w:val="0"/>
        <w:spacing w:after="0" w:line="276" w:lineRule="auto"/>
        <w:contextualSpacing/>
        <w:jc w:val="both"/>
        <w:rPr>
          <w:rFonts w:ascii="Arial" w:eastAsia="Times New Roman" w:hAnsi="Arial" w:cs="Arial"/>
          <w:lang w:eastAsia="es-ES_tradnl"/>
        </w:rPr>
      </w:pPr>
      <w:r w:rsidRPr="00D36629">
        <w:rPr>
          <w:rFonts w:ascii="Arial" w:eastAsia="Calibri" w:hAnsi="Arial" w:cs="Arial"/>
        </w:rPr>
        <w:t>Este concepto tiene el alcance previsto en el artículo 28 del Código de Procedimiento Administrativo y de lo Contencioso Administrativo</w:t>
      </w:r>
      <w:r w:rsidRPr="00D36629">
        <w:rPr>
          <w:rFonts w:ascii="Arial" w:eastAsia="Calibri" w:hAnsi="Arial" w:cs="Arial"/>
          <w:noProof/>
          <w:lang w:eastAsia="es-CO"/>
        </w:rPr>
        <mc:AlternateContent>
          <mc:Choice Requires="wps">
            <w:drawing>
              <wp:anchor distT="0" distB="0" distL="114300" distR="114300" simplePos="0" relativeHeight="251658240" behindDoc="0" locked="0" layoutInCell="1" allowOverlap="1" wp14:anchorId="7A662BB4" wp14:editId="3CA793C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4FB9EC"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D36629">
        <w:rPr>
          <w:rFonts w:ascii="Arial" w:eastAsia="Calibri" w:hAnsi="Arial" w:cs="Arial"/>
        </w:rPr>
        <w:t xml:space="preserve"> y las expresiones utilizadas con mayúscula inicial deben ser entendidas con el significado que les otorga el artículo 2.2.1.1.1.3.1 del Decreto 1082 de 2015.</w:t>
      </w:r>
    </w:p>
    <w:p w14:paraId="722F2935" w14:textId="77777777" w:rsidR="00DD05CB" w:rsidRPr="00D36629" w:rsidRDefault="00DD05CB" w:rsidP="00DD05CB">
      <w:pPr>
        <w:spacing w:after="120" w:line="276" w:lineRule="auto"/>
        <w:jc w:val="both"/>
        <w:rPr>
          <w:rFonts w:ascii="Arial" w:eastAsia="Times New Roman" w:hAnsi="Arial" w:cs="Arial"/>
          <w:lang w:eastAsia="es-ES_tradnl"/>
        </w:rPr>
      </w:pPr>
    </w:p>
    <w:p w14:paraId="164CDC14" w14:textId="77777777" w:rsidR="00DD05CB" w:rsidRPr="00D36629" w:rsidRDefault="00DD05CB" w:rsidP="00DD05CB">
      <w:pPr>
        <w:spacing w:after="200" w:line="276" w:lineRule="auto"/>
        <w:jc w:val="both"/>
        <w:rPr>
          <w:rFonts w:ascii="Arial" w:eastAsia="Times New Roman" w:hAnsi="Arial" w:cs="Arial"/>
          <w:lang w:eastAsia="es-CO"/>
        </w:rPr>
      </w:pPr>
      <w:r w:rsidRPr="00D36629">
        <w:rPr>
          <w:rFonts w:ascii="Arial" w:eastAsia="Times New Roman" w:hAnsi="Arial" w:cs="Arial"/>
          <w:lang w:eastAsia="es-CO"/>
        </w:rPr>
        <w:t>Atentamente,</w:t>
      </w:r>
    </w:p>
    <w:p w14:paraId="1DA3AEA1" w14:textId="2D0C4FD6" w:rsidR="00DD05CB" w:rsidRPr="00D36629" w:rsidRDefault="0086488B" w:rsidP="00DD05CB">
      <w:pPr>
        <w:spacing w:after="200" w:line="276" w:lineRule="auto"/>
        <w:jc w:val="center"/>
        <w:rPr>
          <w:rFonts w:ascii="Arial" w:eastAsia="Calibri" w:hAnsi="Arial" w:cs="Arial"/>
          <w:b/>
          <w:bCs/>
          <w:sz w:val="20"/>
          <w:szCs w:val="20"/>
          <w:lang w:val="es-MX"/>
        </w:rPr>
      </w:pPr>
      <w:bookmarkStart w:id="14" w:name="_Hlk130981267"/>
      <w:bookmarkEnd w:id="0"/>
      <w:bookmarkEnd w:id="13"/>
      <w:r>
        <w:rPr>
          <w:rFonts w:ascii="Arial" w:hAnsi="Arial" w:cs="Arial"/>
          <w:b/>
          <w:bCs/>
          <w:noProof/>
          <w:sz w:val="20"/>
          <w:szCs w:val="20"/>
          <w:shd w:val="clear" w:color="auto" w:fill="FFFFFF"/>
          <w:lang w:val="es-MX"/>
        </w:rPr>
        <w:drawing>
          <wp:inline distT="0" distB="0" distL="0" distR="0" wp14:anchorId="194F892A" wp14:editId="071789C0">
            <wp:extent cx="3152775" cy="1207770"/>
            <wp:effectExtent l="0" t="0" r="9525" b="0"/>
            <wp:docPr id="5897374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Calibri" w:hAnsi="Calibri" w:cs="Calibri"/>
          <w:color w:val="000000"/>
          <w:shd w:val="clear" w:color="auto" w:fill="FFFFFF"/>
        </w:rPr>
        <w:br/>
      </w:r>
      <w:r w:rsidR="00DD05CB" w:rsidRPr="00D36629">
        <w:rPr>
          <w:rFonts w:ascii="Arial" w:hAnsi="Arial" w:cs="Arial"/>
          <w:b/>
          <w:bCs/>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57"/>
      </w:tblGrid>
      <w:tr w:rsidR="00DD05CB" w:rsidRPr="00D36629" w14:paraId="2BB9B40B" w14:textId="77777777" w:rsidTr="00AA350A">
        <w:trPr>
          <w:trHeight w:val="315"/>
        </w:trPr>
        <w:tc>
          <w:tcPr>
            <w:tcW w:w="855" w:type="dxa"/>
            <w:vAlign w:val="center"/>
            <w:hideMark/>
          </w:tcPr>
          <w:p w14:paraId="2B6F1548"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t>Elaboró:</w:t>
            </w:r>
          </w:p>
        </w:tc>
        <w:tc>
          <w:tcPr>
            <w:tcW w:w="4957" w:type="dxa"/>
            <w:tcBorders>
              <w:top w:val="nil"/>
              <w:left w:val="nil"/>
              <w:bottom w:val="dotted" w:sz="4" w:space="0" w:color="7F7F7F"/>
              <w:right w:val="nil"/>
            </w:tcBorders>
            <w:vAlign w:val="center"/>
            <w:hideMark/>
          </w:tcPr>
          <w:p w14:paraId="5F9026DF"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t>Nasly Yeana Mosquera Rivas</w:t>
            </w:r>
          </w:p>
          <w:p w14:paraId="3830304C"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t>Analista T2–06 de la Subdirección de Gestión Contractual</w:t>
            </w:r>
          </w:p>
        </w:tc>
      </w:tr>
      <w:tr w:rsidR="00DD05CB" w:rsidRPr="00D36629" w14:paraId="7EDE370D" w14:textId="77777777" w:rsidTr="00AA350A">
        <w:trPr>
          <w:trHeight w:val="330"/>
        </w:trPr>
        <w:tc>
          <w:tcPr>
            <w:tcW w:w="855" w:type="dxa"/>
            <w:vAlign w:val="center"/>
            <w:hideMark/>
          </w:tcPr>
          <w:p w14:paraId="0E3CDB12"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t>Revisó:</w:t>
            </w:r>
          </w:p>
        </w:tc>
        <w:tc>
          <w:tcPr>
            <w:tcW w:w="4957" w:type="dxa"/>
            <w:tcBorders>
              <w:top w:val="dotted" w:sz="4" w:space="0" w:color="7F7F7F"/>
              <w:left w:val="nil"/>
              <w:bottom w:val="dotted" w:sz="4" w:space="0" w:color="7F7F7F"/>
              <w:right w:val="nil"/>
            </w:tcBorders>
            <w:vAlign w:val="center"/>
            <w:hideMark/>
          </w:tcPr>
          <w:p w14:paraId="4FAD098B" w14:textId="77777777" w:rsidR="00DD05CB" w:rsidRPr="00D36629" w:rsidRDefault="00DD05CB" w:rsidP="00AA350A">
            <w:pPr>
              <w:rPr>
                <w:rFonts w:ascii="Arial" w:eastAsia="Times New Roman" w:hAnsi="Arial" w:cs="Arial"/>
                <w:sz w:val="16"/>
                <w:szCs w:val="16"/>
                <w:lang w:eastAsia="es-ES"/>
              </w:rPr>
            </w:pPr>
            <w:r>
              <w:rPr>
                <w:rFonts w:ascii="Arial" w:eastAsia="Times New Roman" w:hAnsi="Arial" w:cs="Arial"/>
                <w:sz w:val="16"/>
                <w:szCs w:val="16"/>
                <w:lang w:eastAsia="es-ES"/>
              </w:rPr>
              <w:t>Diana Carolina Armenta Celis</w:t>
            </w:r>
          </w:p>
          <w:p w14:paraId="3C5408B1" w14:textId="77777777" w:rsidR="00DD05CB" w:rsidRPr="00D36629" w:rsidRDefault="00DD05CB" w:rsidP="00AA350A">
            <w:pPr>
              <w:rPr>
                <w:rFonts w:ascii="Arial" w:eastAsia="Times New Roman" w:hAnsi="Arial" w:cs="Arial"/>
                <w:sz w:val="16"/>
                <w:szCs w:val="16"/>
                <w:lang w:eastAsia="es-ES"/>
              </w:rPr>
            </w:pPr>
            <w:r>
              <w:rPr>
                <w:rFonts w:ascii="Arial" w:eastAsia="Times New Roman" w:hAnsi="Arial" w:cs="Arial"/>
                <w:sz w:val="16"/>
                <w:szCs w:val="16"/>
                <w:lang w:eastAsia="es-ES"/>
              </w:rPr>
              <w:lastRenderedPageBreak/>
              <w:t xml:space="preserve">Contratista </w:t>
            </w:r>
            <w:r w:rsidRPr="00D36629">
              <w:rPr>
                <w:rFonts w:ascii="Arial" w:eastAsia="Times New Roman" w:hAnsi="Arial" w:cs="Arial"/>
                <w:sz w:val="16"/>
                <w:szCs w:val="16"/>
                <w:lang w:eastAsia="es-ES"/>
              </w:rPr>
              <w:t>de la Subdirección de Gestión Contractual</w:t>
            </w:r>
          </w:p>
        </w:tc>
      </w:tr>
      <w:tr w:rsidR="00DD05CB" w:rsidRPr="00D36629" w14:paraId="0EA0B3BE" w14:textId="77777777" w:rsidTr="00AA350A">
        <w:trPr>
          <w:trHeight w:val="300"/>
        </w:trPr>
        <w:tc>
          <w:tcPr>
            <w:tcW w:w="855" w:type="dxa"/>
            <w:vAlign w:val="center"/>
            <w:hideMark/>
          </w:tcPr>
          <w:p w14:paraId="2DF2FC3D"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lastRenderedPageBreak/>
              <w:t>Aprobó:</w:t>
            </w:r>
          </w:p>
        </w:tc>
        <w:tc>
          <w:tcPr>
            <w:tcW w:w="4957" w:type="dxa"/>
            <w:tcBorders>
              <w:top w:val="dotted" w:sz="4" w:space="0" w:color="7F7F7F"/>
              <w:left w:val="nil"/>
              <w:bottom w:val="dotted" w:sz="4" w:space="0" w:color="7F7F7F"/>
              <w:right w:val="nil"/>
            </w:tcBorders>
            <w:vAlign w:val="center"/>
            <w:hideMark/>
          </w:tcPr>
          <w:p w14:paraId="5DC37637"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t xml:space="preserve">Nohelia del Carmen </w:t>
            </w:r>
            <w:proofErr w:type="spellStart"/>
            <w:r w:rsidRPr="00D36629">
              <w:rPr>
                <w:rFonts w:ascii="Arial" w:eastAsia="Times New Roman" w:hAnsi="Arial" w:cs="Arial"/>
                <w:sz w:val="16"/>
                <w:szCs w:val="16"/>
                <w:lang w:eastAsia="es-ES"/>
              </w:rPr>
              <w:t>Zawady</w:t>
            </w:r>
            <w:proofErr w:type="spellEnd"/>
            <w:r w:rsidRPr="00D36629">
              <w:rPr>
                <w:rFonts w:ascii="Arial" w:eastAsia="Times New Roman" w:hAnsi="Arial" w:cs="Arial"/>
                <w:sz w:val="16"/>
                <w:szCs w:val="16"/>
                <w:lang w:eastAsia="es-ES"/>
              </w:rPr>
              <w:t xml:space="preserve"> Palacio</w:t>
            </w:r>
          </w:p>
          <w:p w14:paraId="2E9B15D1" w14:textId="77777777" w:rsidR="00DD05CB" w:rsidRPr="00D36629" w:rsidRDefault="00DD05CB" w:rsidP="00AA350A">
            <w:pPr>
              <w:rPr>
                <w:rFonts w:ascii="Arial" w:eastAsia="Times New Roman" w:hAnsi="Arial" w:cs="Arial"/>
                <w:sz w:val="16"/>
                <w:szCs w:val="16"/>
                <w:lang w:eastAsia="es-ES"/>
              </w:rPr>
            </w:pPr>
            <w:r w:rsidRPr="00D36629">
              <w:rPr>
                <w:rFonts w:ascii="Arial" w:eastAsia="Times New Roman" w:hAnsi="Arial" w:cs="Arial"/>
                <w:sz w:val="16"/>
                <w:szCs w:val="16"/>
                <w:lang w:eastAsia="es-ES"/>
              </w:rPr>
              <w:t>Subdirectora de Gestión Contractual ANCP – CCE</w:t>
            </w:r>
          </w:p>
        </w:tc>
      </w:tr>
      <w:bookmarkEnd w:id="1"/>
      <w:bookmarkEnd w:id="2"/>
      <w:bookmarkEnd w:id="3"/>
      <w:bookmarkEnd w:id="4"/>
      <w:bookmarkEnd w:id="14"/>
    </w:tbl>
    <w:p w14:paraId="6BC27C47" w14:textId="77777777" w:rsidR="00DD05CB" w:rsidRDefault="00DD05CB" w:rsidP="0086488B"/>
    <w:sectPr w:rsidR="00DD05CB" w:rsidSect="00923EEF">
      <w:headerReference w:type="default" r:id="rId11"/>
      <w:footerReference w:type="default" r:id="rId12"/>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E854" w14:textId="77777777" w:rsidR="00DD05CB" w:rsidRDefault="00DD05CB" w:rsidP="00DD05CB">
      <w:pPr>
        <w:spacing w:after="0" w:line="240" w:lineRule="auto"/>
      </w:pPr>
      <w:r>
        <w:separator/>
      </w:r>
    </w:p>
  </w:endnote>
  <w:endnote w:type="continuationSeparator" w:id="0">
    <w:p w14:paraId="4FC33317" w14:textId="77777777" w:rsidR="00DD05CB" w:rsidRDefault="00DD05CB" w:rsidP="00DD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Bold">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17F0" w14:textId="77777777" w:rsidR="004A1847" w:rsidRDefault="00DD05CB">
    <w:pPr>
      <w:pStyle w:val="Piedepgina"/>
    </w:pPr>
    <w:r>
      <w:rPr>
        <w:noProof/>
      </w:rPr>
      <w:drawing>
        <wp:inline distT="0" distB="0" distL="0" distR="0" wp14:anchorId="39530015" wp14:editId="403703D0">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199A28C4" wp14:editId="4A1AB7C0">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6E267749"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A6845F4" w14:textId="77777777" w:rsidR="00FC2B5D" w:rsidRPr="003F3941" w:rsidRDefault="00DD05CB"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D506D8C" w14:textId="77777777" w:rsidR="00FC2B5D" w:rsidRPr="003F3941" w:rsidRDefault="00DD05CB"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1874769" w14:textId="77777777" w:rsidR="00FC2B5D" w:rsidRPr="003F3941" w:rsidRDefault="00DD05CB"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CB5FC9" w14:textId="77777777" w:rsidR="00FC2B5D" w:rsidRPr="003F3941" w:rsidRDefault="00DD05CB"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54BB207B" w14:textId="77777777" w:rsidR="006219F8" w:rsidRDefault="006F3581"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4825" w14:textId="77777777" w:rsidR="00DD05CB" w:rsidRDefault="00DD05CB" w:rsidP="00DD05CB">
      <w:pPr>
        <w:spacing w:after="0" w:line="240" w:lineRule="auto"/>
      </w:pPr>
      <w:r>
        <w:separator/>
      </w:r>
    </w:p>
  </w:footnote>
  <w:footnote w:type="continuationSeparator" w:id="0">
    <w:p w14:paraId="13AABE7E" w14:textId="77777777" w:rsidR="00DD05CB" w:rsidRDefault="00DD05CB" w:rsidP="00DD05CB">
      <w:pPr>
        <w:spacing w:after="0" w:line="240" w:lineRule="auto"/>
      </w:pPr>
      <w:r>
        <w:continuationSeparator/>
      </w:r>
    </w:p>
  </w:footnote>
  <w:footnote w:id="1">
    <w:p w14:paraId="7524537B" w14:textId="77777777" w:rsidR="00DD05CB" w:rsidRPr="00085FDB" w:rsidRDefault="00DD05CB" w:rsidP="00DD05CB">
      <w:pPr>
        <w:pStyle w:val="Textonotapie"/>
        <w:ind w:firstLine="708"/>
        <w:jc w:val="both"/>
        <w:rPr>
          <w:rFonts w:ascii="Arial" w:hAnsi="Arial" w:cs="Arial"/>
          <w:sz w:val="18"/>
          <w:szCs w:val="18"/>
        </w:rPr>
      </w:pPr>
      <w:r w:rsidRPr="00085FDB">
        <w:rPr>
          <w:rStyle w:val="Refdenotaalpie"/>
          <w:rFonts w:ascii="Arial" w:hAnsi="Arial" w:cs="Arial"/>
          <w:sz w:val="18"/>
          <w:szCs w:val="18"/>
        </w:rPr>
        <w:footnoteRef/>
      </w:r>
      <w:r w:rsidRPr="00085FDB">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85FDB">
        <w:rPr>
          <w:rFonts w:ascii="Arial" w:hAnsi="Arial" w:cs="Arial"/>
          <w:i/>
          <w:iCs/>
          <w:sz w:val="18"/>
          <w:szCs w:val="18"/>
        </w:rPr>
        <w:t xml:space="preserve">ibidem </w:t>
      </w:r>
      <w:r w:rsidRPr="00085FDB">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DA38375" w14:textId="77777777" w:rsidR="00DD05CB" w:rsidRPr="00085FDB" w:rsidRDefault="00DD05CB" w:rsidP="00DD05CB">
      <w:pPr>
        <w:pStyle w:val="Textonotapie"/>
        <w:ind w:firstLine="708"/>
        <w:jc w:val="both"/>
        <w:rPr>
          <w:rFonts w:ascii="Arial" w:hAnsi="Arial" w:cs="Arial"/>
          <w:sz w:val="18"/>
          <w:szCs w:val="18"/>
          <w:lang w:val="es-ES"/>
        </w:rPr>
      </w:pPr>
    </w:p>
  </w:footnote>
  <w:footnote w:id="2">
    <w:p w14:paraId="54F6D706" w14:textId="77777777" w:rsidR="00DD05CB" w:rsidRPr="00085FDB" w:rsidRDefault="00DD05CB" w:rsidP="00DD05CB">
      <w:pPr>
        <w:pStyle w:val="Textonotapie"/>
        <w:ind w:firstLine="708"/>
        <w:jc w:val="both"/>
        <w:rPr>
          <w:rFonts w:ascii="Arial" w:hAnsi="Arial" w:cs="Arial"/>
          <w:sz w:val="18"/>
          <w:szCs w:val="18"/>
          <w:lang w:val="en-US"/>
        </w:rPr>
      </w:pPr>
      <w:r w:rsidRPr="00085FDB">
        <w:rPr>
          <w:rStyle w:val="Refdenotaalpie"/>
          <w:rFonts w:ascii="Arial" w:hAnsi="Arial" w:cs="Arial"/>
          <w:sz w:val="18"/>
          <w:szCs w:val="18"/>
        </w:rPr>
        <w:footnoteRef/>
      </w:r>
      <w:r w:rsidRPr="00085FDB">
        <w:rPr>
          <w:rFonts w:ascii="Arial" w:hAnsi="Arial" w:cs="Arial"/>
          <w:sz w:val="18"/>
          <w:szCs w:val="18"/>
          <w:lang w:val="en-US"/>
        </w:rPr>
        <w:t xml:space="preserve"> DON WALLACE. </w:t>
      </w:r>
      <w:r w:rsidRPr="00085FDB">
        <w:rPr>
          <w:rFonts w:ascii="Arial" w:hAnsi="Arial" w:cs="Arial"/>
          <w:i/>
          <w:iCs/>
          <w:sz w:val="18"/>
          <w:szCs w:val="18"/>
          <w:lang w:val="en-US"/>
        </w:rPr>
        <w:t>The changing world of national procurement systems: global reformation.</w:t>
      </w:r>
      <w:r w:rsidRPr="00085FDB">
        <w:rPr>
          <w:rFonts w:ascii="Arial" w:hAnsi="Arial" w:cs="Arial"/>
          <w:sz w:val="18"/>
          <w:szCs w:val="18"/>
          <w:lang w:val="en-US"/>
        </w:rPr>
        <w:t xml:space="preserve"> Public procurement law review 4.2, 1995: 57-62.</w:t>
      </w:r>
    </w:p>
    <w:p w14:paraId="1CA3F1E0" w14:textId="77777777" w:rsidR="00DD05CB" w:rsidRPr="00085FDB" w:rsidRDefault="00DD05CB" w:rsidP="00DD05CB">
      <w:pPr>
        <w:pStyle w:val="Textonotapie"/>
        <w:jc w:val="both"/>
        <w:rPr>
          <w:rFonts w:ascii="Arial" w:hAnsi="Arial" w:cs="Arial"/>
          <w:sz w:val="18"/>
          <w:szCs w:val="18"/>
          <w:lang w:val="en-US"/>
        </w:rPr>
      </w:pPr>
    </w:p>
  </w:footnote>
  <w:footnote w:id="3">
    <w:p w14:paraId="5882D90B" w14:textId="77777777" w:rsidR="00DD05CB" w:rsidRPr="00085FDB" w:rsidRDefault="00DD05CB" w:rsidP="00DD05CB">
      <w:pPr>
        <w:pStyle w:val="Textonotapie"/>
        <w:ind w:firstLine="708"/>
        <w:jc w:val="both"/>
        <w:rPr>
          <w:rFonts w:ascii="Arial" w:hAnsi="Arial" w:cs="Arial"/>
          <w:sz w:val="18"/>
          <w:szCs w:val="18"/>
          <w:lang w:val="en-US"/>
        </w:rPr>
      </w:pPr>
      <w:r w:rsidRPr="00085FDB">
        <w:rPr>
          <w:rStyle w:val="Refdenotaalpie"/>
          <w:rFonts w:ascii="Arial" w:hAnsi="Arial" w:cs="Arial"/>
          <w:sz w:val="18"/>
          <w:szCs w:val="18"/>
        </w:rPr>
        <w:footnoteRef/>
      </w:r>
      <w:r w:rsidRPr="00085FDB">
        <w:rPr>
          <w:rFonts w:ascii="Arial" w:hAnsi="Arial" w:cs="Arial"/>
          <w:sz w:val="18"/>
          <w:szCs w:val="18"/>
          <w:lang w:val="en-US"/>
        </w:rPr>
        <w:t xml:space="preserve"> SUE ARROWSMITH; LINARELLI, John; WALLACE, Don. Regulation public procurement-national and international perspectives. Kluwer Law International BV, 2000.</w:t>
      </w:r>
    </w:p>
    <w:p w14:paraId="2ECD5D74" w14:textId="77777777" w:rsidR="00DD05CB" w:rsidRPr="00085FDB" w:rsidRDefault="00DD05CB" w:rsidP="00DD05CB">
      <w:pPr>
        <w:pStyle w:val="Textonotapie"/>
        <w:ind w:firstLine="708"/>
        <w:jc w:val="both"/>
        <w:rPr>
          <w:rFonts w:ascii="Arial" w:hAnsi="Arial" w:cs="Arial"/>
          <w:sz w:val="18"/>
          <w:szCs w:val="18"/>
          <w:lang w:val="en-US"/>
        </w:rPr>
      </w:pPr>
    </w:p>
  </w:footnote>
  <w:footnote w:id="4">
    <w:p w14:paraId="1786F88B" w14:textId="77777777" w:rsidR="00DD05CB" w:rsidRPr="00085FDB" w:rsidRDefault="00DD05CB" w:rsidP="00DD05CB">
      <w:pPr>
        <w:pStyle w:val="Textonotapie"/>
        <w:ind w:firstLine="708"/>
        <w:jc w:val="both"/>
        <w:rPr>
          <w:rFonts w:ascii="Arial" w:hAnsi="Arial" w:cs="Arial"/>
          <w:sz w:val="18"/>
          <w:szCs w:val="18"/>
          <w:lang w:val="en-US"/>
        </w:rPr>
      </w:pPr>
      <w:r w:rsidRPr="00085FDB">
        <w:rPr>
          <w:rStyle w:val="Refdenotaalpie"/>
          <w:rFonts w:ascii="Arial" w:hAnsi="Arial" w:cs="Arial"/>
          <w:sz w:val="18"/>
          <w:szCs w:val="18"/>
        </w:rPr>
        <w:footnoteRef/>
      </w:r>
      <w:r w:rsidRPr="00085FDB">
        <w:rPr>
          <w:rFonts w:ascii="Arial" w:hAnsi="Arial" w:cs="Arial"/>
          <w:sz w:val="18"/>
          <w:szCs w:val="18"/>
          <w:lang w:val="en-US"/>
        </w:rPr>
        <w:t xml:space="preserve"> SUE ARROWSMITH. Public procurement: An appraisal of the UNCITRAL model law as a global standard. </w:t>
      </w:r>
      <w:r w:rsidRPr="00085FDB">
        <w:rPr>
          <w:rFonts w:ascii="Arial" w:hAnsi="Arial" w:cs="Arial"/>
          <w:i/>
          <w:iCs/>
          <w:sz w:val="18"/>
          <w:szCs w:val="18"/>
          <w:lang w:val="en-US"/>
        </w:rPr>
        <w:t>International &amp; Comparative Law Quarterly</w:t>
      </w:r>
      <w:r w:rsidRPr="00085FDB">
        <w:rPr>
          <w:rFonts w:ascii="Arial" w:hAnsi="Arial" w:cs="Arial"/>
          <w:sz w:val="18"/>
          <w:szCs w:val="18"/>
          <w:lang w:val="en-US"/>
        </w:rPr>
        <w:t>, 2004, vol. 53, no 1, p. 17-46.</w:t>
      </w:r>
    </w:p>
    <w:p w14:paraId="2FF9B853" w14:textId="77777777" w:rsidR="00DD05CB" w:rsidRPr="00085FDB" w:rsidRDefault="00DD05CB" w:rsidP="00DD05CB">
      <w:pPr>
        <w:pStyle w:val="Textonotapie"/>
        <w:ind w:firstLine="708"/>
        <w:jc w:val="both"/>
        <w:rPr>
          <w:rFonts w:ascii="Arial" w:hAnsi="Arial" w:cs="Arial"/>
          <w:sz w:val="18"/>
          <w:szCs w:val="18"/>
          <w:lang w:val="en-US"/>
        </w:rPr>
      </w:pPr>
    </w:p>
  </w:footnote>
  <w:footnote w:id="5">
    <w:p w14:paraId="1A211B1A" w14:textId="77777777" w:rsidR="00DD05CB" w:rsidRPr="00085FDB" w:rsidRDefault="00DD05CB" w:rsidP="00DD05CB">
      <w:pPr>
        <w:pStyle w:val="Textonotapie"/>
        <w:ind w:firstLine="708"/>
        <w:jc w:val="both"/>
        <w:rPr>
          <w:rFonts w:ascii="Arial" w:hAnsi="Arial" w:cs="Arial"/>
          <w:sz w:val="18"/>
          <w:szCs w:val="18"/>
          <w:lang w:val="es-ES"/>
        </w:rPr>
      </w:pPr>
      <w:r w:rsidRPr="00085FDB">
        <w:rPr>
          <w:rStyle w:val="Refdenotaalpie"/>
          <w:rFonts w:ascii="Arial" w:hAnsi="Arial" w:cs="Arial"/>
          <w:sz w:val="18"/>
          <w:szCs w:val="18"/>
        </w:rPr>
        <w:footnoteRef/>
      </w:r>
      <w:r w:rsidRPr="00085FDB">
        <w:rPr>
          <w:rFonts w:ascii="Arial" w:hAnsi="Arial" w:cs="Arial"/>
          <w:sz w:val="18"/>
          <w:szCs w:val="18"/>
          <w:lang w:val="en-US"/>
        </w:rPr>
        <w:t xml:space="preserve"> SOPE WILLIAMS-ELEGBE. The World Bank's influence on procurement reform in Africa. </w:t>
      </w:r>
      <w:r w:rsidRPr="00085FDB">
        <w:rPr>
          <w:rFonts w:ascii="Arial" w:hAnsi="Arial" w:cs="Arial"/>
          <w:i/>
          <w:iCs/>
          <w:sz w:val="18"/>
          <w:szCs w:val="18"/>
          <w:lang w:val="en-US"/>
        </w:rPr>
        <w:t>African Journal of International and Comparative Law</w:t>
      </w:r>
      <w:r w:rsidRPr="00085FDB">
        <w:rPr>
          <w:rFonts w:ascii="Arial" w:hAnsi="Arial" w:cs="Arial"/>
          <w:sz w:val="18"/>
          <w:szCs w:val="18"/>
          <w:lang w:val="en-US"/>
        </w:rPr>
        <w:t xml:space="preserve">, 2013, vol. 21, no 1, p. 95-119; SOPE WILLIAMS-ELEGBE. Public Procurement and Multilateral Development Banks: Law, Practice and Problems. </w:t>
      </w:r>
      <w:r w:rsidRPr="00085FDB">
        <w:rPr>
          <w:rFonts w:ascii="Arial" w:hAnsi="Arial" w:cs="Arial"/>
          <w:sz w:val="18"/>
          <w:szCs w:val="18"/>
          <w:lang w:val="es-ES"/>
        </w:rPr>
        <w:t>Bloomsbury Publishing, 2017.</w:t>
      </w:r>
    </w:p>
    <w:p w14:paraId="03196AD9" w14:textId="77777777" w:rsidR="00DD05CB" w:rsidRPr="00085FDB" w:rsidRDefault="00DD05CB" w:rsidP="00DD05CB">
      <w:pPr>
        <w:pStyle w:val="Textonotapie"/>
        <w:ind w:firstLine="708"/>
        <w:jc w:val="both"/>
        <w:rPr>
          <w:rFonts w:ascii="Arial" w:hAnsi="Arial" w:cs="Arial"/>
          <w:sz w:val="18"/>
          <w:szCs w:val="18"/>
          <w:lang w:val="es-ES"/>
        </w:rPr>
      </w:pPr>
    </w:p>
  </w:footnote>
  <w:footnote w:id="6">
    <w:p w14:paraId="0124B55E" w14:textId="77777777" w:rsidR="00DD05CB" w:rsidRPr="00085FDB" w:rsidRDefault="00DD05CB" w:rsidP="00DD05CB">
      <w:pPr>
        <w:pStyle w:val="Textonotapie"/>
        <w:ind w:firstLine="709"/>
        <w:jc w:val="both"/>
        <w:rPr>
          <w:rFonts w:ascii="Arial" w:hAnsi="Arial" w:cs="Arial"/>
          <w:sz w:val="18"/>
          <w:szCs w:val="18"/>
        </w:rPr>
      </w:pPr>
      <w:r w:rsidRPr="00085FDB">
        <w:rPr>
          <w:rStyle w:val="Refdenotaalpie"/>
          <w:rFonts w:ascii="Arial" w:hAnsi="Arial" w:cs="Arial"/>
          <w:sz w:val="18"/>
          <w:szCs w:val="18"/>
        </w:rPr>
        <w:footnoteRef/>
      </w:r>
      <w:r w:rsidRPr="00085FDB">
        <w:rPr>
          <w:rFonts w:ascii="Arial" w:hAnsi="Arial" w:cs="Arial"/>
          <w:sz w:val="18"/>
          <w:szCs w:val="18"/>
        </w:rPr>
        <w:t xml:space="preserve"> La Constitución Política, en el artículo 189, numeral 2, dispone que el Presidente de la República debe: “Dirigir las relaciones internacionales. Nombrar a los agentes diplomáticos y consulares, recibir a los agentes respectivos y celebrar con otros Estados y entidades de derecho internacional tratados o convenios que se someterán a la aprobación del Congreso”. Así mismo, en el artículo 150, numeral 16, establece que el Congreso de la Republica debe: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footnote>
  <w:footnote w:id="7">
    <w:p w14:paraId="784E82E8" w14:textId="77777777" w:rsidR="00DD05CB" w:rsidRPr="00085FDB" w:rsidRDefault="00DD05CB" w:rsidP="00DD05CB">
      <w:pPr>
        <w:pStyle w:val="Textonotapie"/>
        <w:ind w:firstLine="708"/>
        <w:jc w:val="both"/>
        <w:rPr>
          <w:rFonts w:ascii="Arial" w:hAnsi="Arial" w:cs="Arial"/>
          <w:sz w:val="18"/>
          <w:szCs w:val="18"/>
          <w:lang w:val="es-CO"/>
        </w:rPr>
      </w:pPr>
      <w:r w:rsidRPr="00085FDB">
        <w:rPr>
          <w:rStyle w:val="Refdenotaalpie"/>
          <w:rFonts w:ascii="Arial" w:hAnsi="Arial" w:cs="Arial"/>
          <w:sz w:val="18"/>
          <w:szCs w:val="18"/>
        </w:rPr>
        <w:footnoteRef/>
      </w:r>
      <w:r w:rsidRPr="00085FDB">
        <w:rPr>
          <w:rFonts w:ascii="Arial" w:hAnsi="Arial" w:cs="Arial"/>
          <w:sz w:val="18"/>
          <w:szCs w:val="18"/>
        </w:rPr>
        <w:t xml:space="preserve"> Numeral 10 del artículo 3 del Decreto Ley 4170 de 2011.</w:t>
      </w:r>
    </w:p>
  </w:footnote>
  <w:footnote w:id="8">
    <w:p w14:paraId="7700F21D" w14:textId="77777777" w:rsidR="00DD05CB" w:rsidRPr="00085FDB" w:rsidRDefault="00DD05CB" w:rsidP="00DD05CB">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085FDB">
        <w:rPr>
          <w:rStyle w:val="Refdenotaalpie"/>
          <w:rFonts w:ascii="Arial" w:hAnsi="Arial" w:cs="Arial"/>
          <w:sz w:val="18"/>
          <w:szCs w:val="18"/>
        </w:rPr>
        <w:footnoteRef/>
      </w:r>
      <w:r w:rsidRPr="00085FDB">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085FDB">
        <w:rPr>
          <w:rFonts w:ascii="Arial" w:hAnsi="Arial" w:cs="Arial"/>
          <w:sz w:val="18"/>
          <w:szCs w:val="18"/>
        </w:rPr>
        <w:tab/>
        <w:t>relacionada con los procedimientos de la entidad”: https://www.colciencias.gov.co/sites/default/files/ckeditor_files/G102PR01-procedimiento-elaboracion- control.pdf</w:t>
      </w:r>
    </w:p>
    <w:p w14:paraId="7A5528A9" w14:textId="77777777" w:rsidR="00DD05CB" w:rsidRPr="00085FDB" w:rsidRDefault="00DD05CB" w:rsidP="00DD05CB">
      <w:pPr>
        <w:ind w:firstLine="408"/>
        <w:jc w:val="both"/>
        <w:rPr>
          <w:rFonts w:ascii="Arial" w:hAnsi="Arial" w:cs="Arial"/>
          <w:sz w:val="18"/>
          <w:szCs w:val="18"/>
        </w:rPr>
      </w:pPr>
      <w:r w:rsidRPr="00085FDB">
        <w:rPr>
          <w:rFonts w:ascii="Arial" w:eastAsiaTheme="minorEastAsia" w:hAnsi="Arial" w:cs="Arial"/>
          <w:sz w:val="18"/>
          <w:szCs w:val="18"/>
          <w:lang w:eastAsia="es-CO"/>
        </w:rPr>
        <w:tab/>
      </w:r>
      <w:r w:rsidRPr="00085FDB">
        <w:rPr>
          <w:rFonts w:ascii="Arial" w:hAnsi="Arial" w:cs="Arial"/>
          <w:sz w:val="18"/>
          <w:szCs w:val="18"/>
        </w:rPr>
        <w:t xml:space="preserve">Para la Autoridad Nacional de Licencias Ambientales los manuales y guías </w:t>
      </w:r>
      <w:r w:rsidRPr="00085FDB">
        <w:rPr>
          <w:rFonts w:ascii="Arial" w:hAnsi="Arial" w:cs="Arial"/>
          <w:sz w:val="18"/>
          <w:szCs w:val="18"/>
          <w:lang w:val="es-MX"/>
        </w:rPr>
        <w:t>“</w:t>
      </w:r>
      <w:r w:rsidRPr="00085FDB">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085FDB">
          <w:rPr>
            <w:rFonts w:ascii="Arial" w:hAnsi="Arial" w:cs="Arial"/>
            <w:sz w:val="18"/>
            <w:szCs w:val="18"/>
          </w:rPr>
          <w:t>http://portal.anla.gov.co/manuales-y-guias</w:t>
        </w:r>
      </w:hyperlink>
    </w:p>
    <w:p w14:paraId="3005CB6A" w14:textId="77777777" w:rsidR="00DD05CB" w:rsidRPr="00085FDB" w:rsidRDefault="00DD05CB" w:rsidP="00DD05CB">
      <w:pPr>
        <w:pStyle w:val="Textonotapie"/>
        <w:jc w:val="both"/>
        <w:rPr>
          <w:rFonts w:ascii="Arial" w:hAnsi="Arial" w:cs="Arial"/>
          <w:sz w:val="18"/>
          <w:szCs w:val="18"/>
        </w:rPr>
      </w:pPr>
    </w:p>
  </w:footnote>
  <w:footnote w:id="9">
    <w:p w14:paraId="69596A43" w14:textId="77777777" w:rsidR="00DD05CB" w:rsidRPr="00085FDB" w:rsidRDefault="00DD05CB" w:rsidP="00DD05CB">
      <w:pPr>
        <w:tabs>
          <w:tab w:val="left" w:pos="4805"/>
          <w:tab w:val="left" w:pos="8980"/>
        </w:tabs>
        <w:ind w:firstLine="707"/>
        <w:jc w:val="both"/>
        <w:rPr>
          <w:rFonts w:ascii="Arial" w:hAnsi="Arial" w:cs="Arial"/>
          <w:sz w:val="18"/>
          <w:szCs w:val="18"/>
        </w:rPr>
      </w:pPr>
      <w:r w:rsidRPr="00085FDB">
        <w:rPr>
          <w:rStyle w:val="Refdenotaalpie"/>
          <w:rFonts w:ascii="Arial" w:hAnsi="Arial" w:cs="Arial"/>
          <w:sz w:val="18"/>
          <w:szCs w:val="18"/>
        </w:rPr>
        <w:footnoteRef/>
      </w:r>
      <w:r w:rsidRPr="00085FDB">
        <w:rPr>
          <w:rFonts w:ascii="Arial" w:hAnsi="Arial" w:cs="Arial"/>
          <w:sz w:val="18"/>
          <w:szCs w:val="18"/>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 Disponible </w:t>
      </w:r>
      <w:r w:rsidRPr="00085FDB">
        <w:rPr>
          <w:rFonts w:ascii="Arial" w:hAnsi="Arial" w:cs="Arial"/>
          <w:spacing w:val="-6"/>
          <w:sz w:val="18"/>
          <w:szCs w:val="18"/>
        </w:rPr>
        <w:t xml:space="preserve">en: </w:t>
      </w:r>
      <w:hyperlink r:id="rId2">
        <w:r w:rsidRPr="00085FDB">
          <w:rPr>
            <w:rFonts w:ascii="Arial" w:hAnsi="Arial" w:cs="Arial"/>
            <w:sz w:val="18"/>
            <w:szCs w:val="18"/>
          </w:rPr>
          <w:t>https://www.colombiacompra.gov.co/sites/cce_public/files/cce_circulares/cce_circular_unica.pdf</w:t>
        </w:r>
      </w:hyperlink>
      <w:r w:rsidRPr="00085FDB">
        <w:rPr>
          <w:rFonts w:ascii="Arial" w:hAnsi="Arial" w:cs="Arial"/>
          <w:sz w:val="18"/>
          <w:szCs w:val="18"/>
        </w:rPr>
        <w:t xml:space="preserve"> </w:t>
      </w:r>
    </w:p>
    <w:p w14:paraId="264E747E" w14:textId="77777777" w:rsidR="00DD05CB" w:rsidRPr="00085FDB" w:rsidRDefault="00DD05CB" w:rsidP="00DD05CB">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CBAF" w14:textId="77777777" w:rsidR="00756841" w:rsidRDefault="00DD05CB">
    <w:pPr>
      <w:pStyle w:val="Encabezado"/>
    </w:pPr>
    <w:r>
      <w:rPr>
        <w:noProof/>
      </w:rPr>
      <w:drawing>
        <wp:anchor distT="0" distB="0" distL="114300" distR="114300" simplePos="0" relativeHeight="251659264" behindDoc="1" locked="0" layoutInCell="1" allowOverlap="1" wp14:anchorId="2AD94A67" wp14:editId="6D0809B0">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68688E96" wp14:editId="0E32EED5">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530108CA" wp14:editId="69BB1C0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A30036D" wp14:editId="2F004B3C">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33ADBE1C" w14:textId="77777777" w:rsidR="00756841" w:rsidRDefault="006F3581">
    <w:pPr>
      <w:pStyle w:val="Encabezado"/>
    </w:pPr>
  </w:p>
  <w:p w14:paraId="2B63013B" w14:textId="77777777" w:rsidR="00756841" w:rsidRDefault="006F3581">
    <w:pPr>
      <w:pStyle w:val="Encabezado"/>
    </w:pPr>
  </w:p>
  <w:p w14:paraId="1032EBBC" w14:textId="77777777" w:rsidR="004A305D" w:rsidRPr="004A305D" w:rsidRDefault="00DD05CB"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C8A40B9" w14:textId="77777777" w:rsidR="004A305D" w:rsidRPr="004A305D" w:rsidRDefault="00DD05CB"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2EE1C03E" w14:textId="77777777" w:rsidR="004A305D" w:rsidRPr="004A305D" w:rsidRDefault="00DD05CB"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2598C57E" w14:textId="77777777" w:rsidR="008A446D" w:rsidRDefault="006F35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CB"/>
    <w:rsid w:val="0086488B"/>
    <w:rsid w:val="00DA16CD"/>
    <w:rsid w:val="00DD05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A6C4"/>
  <w15:chartTrackingRefBased/>
  <w15:docId w15:val="{9A4B9D90-8CB7-45CC-95EE-D93FF8CD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C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5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05CB"/>
    <w:rPr>
      <w:kern w:val="0"/>
      <w14:ligatures w14:val="none"/>
    </w:rPr>
  </w:style>
  <w:style w:type="paragraph" w:styleId="Piedepgina">
    <w:name w:val="footer"/>
    <w:basedOn w:val="Normal"/>
    <w:link w:val="PiedepginaCar"/>
    <w:uiPriority w:val="99"/>
    <w:unhideWhenUsed/>
    <w:rsid w:val="00DD05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05CB"/>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05C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05CB"/>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D05CB"/>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D05CB"/>
    <w:rPr>
      <w:vertAlign w:val="superscript"/>
    </w:rPr>
  </w:style>
  <w:style w:type="table" w:styleId="Tablaconcuadrcula">
    <w:name w:val="Table Grid"/>
    <w:basedOn w:val="Tablanormal"/>
    <w:uiPriority w:val="39"/>
    <w:rsid w:val="00DD05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DD05CB"/>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39"/>
    <w:rsid w:val="00DD05CB"/>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D05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F80BBB-4728-4465-9E88-E6F734E4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8275A-B96E-4B68-9FBF-993D4C4A3E37}">
  <ds:schemaRefs>
    <ds:schemaRef ds:uri="http://schemas.microsoft.com/sharepoint/v3/contenttype/forms"/>
  </ds:schemaRefs>
</ds:datastoreItem>
</file>

<file path=customXml/itemProps3.xml><?xml version="1.0" encoding="utf-8"?>
<ds:datastoreItem xmlns:ds="http://schemas.openxmlformats.org/officeDocument/2006/customXml" ds:itemID="{CF927F55-6495-468B-B842-DEFC04EF4E16}">
  <ds:schemaRefs>
    <ds:schemaRef ds:uri="http://purl.org/dc/elements/1.1/"/>
    <ds:schemaRef ds:uri="http://schemas.microsoft.com/office/2006/documentManagement/types"/>
    <ds:schemaRef ds:uri="9d85dbaf-23eb-4e57-a637-93dcacc8b1a1"/>
    <ds:schemaRef ds:uri="http://purl.org/dc/dcmitype/"/>
    <ds:schemaRef ds:uri="http://schemas.openxmlformats.org/package/2006/metadata/core-properties"/>
    <ds:schemaRef ds:uri="http://schemas.microsoft.com/office/infopath/2007/PartnerControls"/>
    <ds:schemaRef ds:uri="a6cb9e4b-f1d1-4245-83ec-6cad768d538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5367</Words>
  <Characters>29521</Characters>
  <Application>Microsoft Office Word</Application>
  <DocSecurity>0</DocSecurity>
  <Lines>246</Lines>
  <Paragraphs>69</Paragraphs>
  <ScaleCrop>false</ScaleCrop>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2023-07-06T21:02:00Z</dcterms:created>
  <dcterms:modified xsi:type="dcterms:W3CDTF">2023-07-06T21:02:00Z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