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E648B" w:rsidR="00F136B4" w:rsidP="00F136B4" w:rsidRDefault="00F136B4" w14:paraId="2FA4C7A3" w14:textId="77777777">
      <w:pPr>
        <w:contextualSpacing/>
        <w:jc w:val="both"/>
        <w:rPr>
          <w:rFonts w:ascii="Arial" w:hAnsi="Arial" w:eastAsia="Arial" w:cs="Arial"/>
          <w:b/>
          <w:lang w:val="es-ES_tradnl"/>
        </w:rPr>
      </w:pPr>
      <w:bookmarkStart w:name="_Hlk96417464" w:id="0"/>
      <w:bookmarkStart w:name="_Hlk120036210" w:id="1"/>
      <w:bookmarkStart w:name="_Hlk98867631" w:id="2"/>
      <w:bookmarkStart w:name="_Hlk99546921" w:id="3"/>
      <w:bookmarkStart w:name="_Hlk34951122" w:id="4"/>
      <w:r w:rsidRPr="00DE648B">
        <w:rPr>
          <w:rFonts w:ascii="Arial" w:hAnsi="Arial" w:cs="Arial"/>
          <w:b/>
          <w:bCs/>
          <w:lang w:val="es-ES_tradnl" w:eastAsia="es-CO"/>
        </w:rPr>
        <w:t xml:space="preserve">LEY DE GARANTÍAS ELECTORALES </w:t>
      </w:r>
      <w:r w:rsidRPr="00DE648B">
        <w:rPr>
          <w:rFonts w:ascii="Arial" w:hAnsi="Arial" w:eastAsia="Calibri" w:cs="Arial"/>
          <w:b/>
          <w:lang w:val="es-ES_tradnl"/>
        </w:rPr>
        <w:t xml:space="preserve">– </w:t>
      </w:r>
      <w:bookmarkStart w:name="_Hlk97713315" w:id="5"/>
      <w:r w:rsidRPr="00DE648B">
        <w:rPr>
          <w:rFonts w:ascii="Arial" w:hAnsi="Arial" w:eastAsia="Arial" w:cs="Arial"/>
          <w:b/>
          <w:lang w:val="es-ES_tradnl"/>
        </w:rPr>
        <w:t xml:space="preserve">Definición </w:t>
      </w:r>
      <w:r w:rsidRPr="00DE648B">
        <w:rPr>
          <w:rFonts w:ascii="Arial" w:hAnsi="Arial" w:eastAsia="Calibri" w:cs="Arial"/>
          <w:b/>
          <w:lang w:val="es-ES_tradnl"/>
        </w:rPr>
        <w:t>– Finalidad</w:t>
      </w:r>
      <w:r w:rsidRPr="00DE648B">
        <w:rPr>
          <w:rFonts w:ascii="Arial" w:hAnsi="Arial" w:eastAsia="Calibri" w:cs="Arial"/>
          <w:b/>
          <w:bCs/>
          <w:lang w:val="es-ES_tradnl"/>
        </w:rPr>
        <w:t xml:space="preserve"> </w:t>
      </w:r>
    </w:p>
    <w:bookmarkEnd w:id="5"/>
    <w:p w:rsidRPr="00DE648B" w:rsidR="00F136B4" w:rsidP="00F136B4" w:rsidRDefault="00F136B4" w14:paraId="5F8B8A2F" w14:textId="77777777">
      <w:pPr>
        <w:contextualSpacing/>
        <w:jc w:val="both"/>
        <w:rPr>
          <w:rFonts w:ascii="Arial" w:hAnsi="Arial" w:cs="Arial"/>
          <w:b/>
          <w:sz w:val="21"/>
          <w:szCs w:val="21"/>
          <w:lang w:val="es-ES_tradnl" w:eastAsia="es-CO"/>
        </w:rPr>
      </w:pPr>
    </w:p>
    <w:p w:rsidRPr="00DE648B" w:rsidR="00F136B4" w:rsidP="59F2599F" w:rsidRDefault="00F136B4" w14:paraId="07412257" w14:textId="77777777" w14:noSpellErr="1">
      <w:pPr>
        <w:tabs>
          <w:tab w:val="left" w:pos="426"/>
        </w:tabs>
        <w:spacing/>
        <w:contextualSpacing/>
        <w:jc w:val="both"/>
        <w:rPr>
          <w:rFonts w:ascii="Arial" w:hAnsi="Arial" w:eastAsia="Arial" w:cs="Arial"/>
          <w:sz w:val="20"/>
          <w:szCs w:val="20"/>
          <w:lang w:val="es-ES"/>
        </w:rPr>
      </w:pPr>
      <w:r w:rsidRPr="59F2599F" w:rsidR="00F136B4">
        <w:rPr>
          <w:rFonts w:ascii="Arial" w:hAnsi="Arial" w:eastAsia="Calibri" w:cs="Arial"/>
          <w:noProof/>
          <w:sz w:val="20"/>
          <w:szCs w:val="20"/>
          <w:lang w:val="es-ES"/>
        </w:rPr>
        <w:t xml:space="preserve">[…] </w:t>
      </w:r>
      <w:r w:rsidRPr="59F2599F" w:rsidR="00F136B4">
        <w:rPr>
          <w:rFonts w:ascii="Arial" w:hAnsi="Arial" w:cs="Arial"/>
          <w:sz w:val="20"/>
          <w:szCs w:val="20"/>
          <w:lang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sidRPr="59F2599F" w:rsidR="00F136B4">
        <w:rPr>
          <w:rFonts w:ascii="Arial" w:hAnsi="Arial" w:eastAsia="Calibri" w:cs="Arial"/>
          <w:noProof/>
          <w:sz w:val="20"/>
          <w:szCs w:val="20"/>
          <w:lang w:val="es-ES"/>
        </w:rPr>
        <w:t xml:space="preserve"> </w:t>
      </w:r>
      <w:r w:rsidRPr="59F2599F" w:rsidR="00F136B4">
        <w:rPr>
          <w:rFonts w:ascii="Arial" w:hAnsi="Arial" w:eastAsia="Arial" w:cs="Arial"/>
          <w:sz w:val="20"/>
          <w:szCs w:val="20"/>
          <w:lang w:val="es-ES"/>
        </w:rPr>
        <w:t>[…]</w:t>
      </w:r>
    </w:p>
    <w:p w:rsidRPr="00DE648B" w:rsidR="00F136B4" w:rsidP="59F2599F" w:rsidRDefault="00F136B4" w14:paraId="68CF2158" w14:textId="77777777" w14:noSpellErr="1">
      <w:pPr>
        <w:tabs>
          <w:tab w:val="left" w:pos="426"/>
        </w:tabs>
        <w:spacing/>
        <w:contextualSpacing/>
        <w:jc w:val="both"/>
        <w:rPr>
          <w:rFonts w:ascii="Arial" w:hAnsi="Arial" w:eastAsia="Arial" w:cs="Arial"/>
          <w:sz w:val="20"/>
          <w:szCs w:val="20"/>
          <w:lang w:val="es-ES"/>
        </w:rPr>
      </w:pPr>
    </w:p>
    <w:p w:rsidRPr="00DE648B" w:rsidR="00F136B4" w:rsidP="59F2599F" w:rsidRDefault="00F136B4" w14:paraId="6D3F2095" w14:textId="77777777" w14:noSpellErr="1">
      <w:pPr>
        <w:tabs>
          <w:tab w:val="left" w:pos="426"/>
        </w:tabs>
        <w:spacing/>
        <w:contextualSpacing/>
        <w:jc w:val="both"/>
        <w:rPr>
          <w:rFonts w:ascii="Arial" w:hAnsi="Arial" w:cs="Arial"/>
          <w:sz w:val="20"/>
          <w:szCs w:val="20"/>
          <w:lang w:eastAsia="es-CO"/>
        </w:rPr>
      </w:pPr>
      <w:r w:rsidRPr="59F2599F" w:rsidR="00F136B4">
        <w:rPr>
          <w:rFonts w:ascii="Arial" w:hAnsi="Arial" w:cs="Arial"/>
          <w:sz w:val="20"/>
          <w:szCs w:val="20"/>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rsidRPr="00DE648B" w:rsidR="00BB002F" w:rsidP="00BB002F" w:rsidRDefault="00BB002F" w14:paraId="3B8B791C" w14:textId="77777777">
      <w:pPr>
        <w:spacing w:after="0" w:line="240" w:lineRule="auto"/>
        <w:contextualSpacing/>
        <w:jc w:val="both"/>
        <w:rPr>
          <w:rFonts w:ascii="Arial" w:hAnsi="Arial" w:eastAsia="Calibri" w:cs="Arial"/>
        </w:rPr>
      </w:pPr>
    </w:p>
    <w:p w:rsidRPr="00DE648B" w:rsidR="00F57AE5" w:rsidP="00F57AE5" w:rsidRDefault="00F57AE5" w14:paraId="08F566A5" w14:textId="77777777">
      <w:pPr>
        <w:tabs>
          <w:tab w:val="left" w:pos="426"/>
        </w:tabs>
        <w:contextualSpacing/>
        <w:jc w:val="both"/>
        <w:rPr>
          <w:rFonts w:ascii="Arial" w:hAnsi="Arial" w:eastAsia="Calibri" w:cs="Arial"/>
          <w:b/>
          <w:bCs/>
          <w:noProof/>
        </w:rPr>
      </w:pPr>
      <w:r w:rsidRPr="00DE648B">
        <w:rPr>
          <w:rFonts w:ascii="Arial" w:hAnsi="Arial" w:eastAsia="Calibri" w:cs="Arial"/>
          <w:b/>
          <w:bCs/>
          <w:noProof/>
        </w:rPr>
        <w:t>LEY DE GARANTÍAS ELECTORALES ‒ Prohibición por elección de cargos populares – Convenios y contratos interadministrativos – Parágrafo del artículo 38</w:t>
      </w:r>
    </w:p>
    <w:p w:rsidRPr="00DE648B" w:rsidR="00F57AE5" w:rsidP="00F57AE5" w:rsidRDefault="00F57AE5" w14:paraId="496F8F0C" w14:textId="77777777">
      <w:pPr>
        <w:tabs>
          <w:tab w:val="left" w:pos="426"/>
        </w:tabs>
        <w:contextualSpacing/>
        <w:jc w:val="both"/>
        <w:rPr>
          <w:rFonts w:ascii="Arial" w:hAnsi="Arial" w:eastAsia="Calibri" w:cs="Arial"/>
          <w:bCs/>
          <w:sz w:val="21"/>
          <w:szCs w:val="21"/>
        </w:rPr>
      </w:pPr>
    </w:p>
    <w:p w:rsidRPr="00DE648B" w:rsidR="00F57AE5" w:rsidP="59F2599F" w:rsidRDefault="00F57AE5" w14:paraId="57CFA7A9" w14:textId="77777777" w14:noSpellErr="1">
      <w:pPr>
        <w:tabs>
          <w:tab w:val="left" w:pos="426"/>
        </w:tabs>
        <w:spacing/>
        <w:contextualSpacing/>
        <w:jc w:val="both"/>
        <w:rPr>
          <w:rFonts w:ascii="Arial" w:hAnsi="Arial" w:cs="Arial"/>
          <w:sz w:val="20"/>
          <w:szCs w:val="20"/>
          <w:lang w:eastAsia="x-none"/>
        </w:rPr>
      </w:pPr>
      <w:r w:rsidRPr="59F2599F" w:rsidR="00F57AE5">
        <w:rPr>
          <w:rFonts w:ascii="Arial" w:hAnsi="Arial" w:eastAsia="Calibri" w:cs="Arial"/>
          <w:sz w:val="20"/>
          <w:szCs w:val="20"/>
        </w:rPr>
        <w:t xml:space="preserve">El parágrafo del artículo 38 de la Ley 996 de 2005 dispone que “[l]os Gobernadores, </w:t>
      </w:r>
      <w:r w:rsidRPr="59F2599F" w:rsidR="00F57AE5">
        <w:rPr>
          <w:rFonts w:ascii="Arial" w:hAnsi="Arial" w:eastAsia="Calibri" w:cs="Arial"/>
          <w:sz w:val="20"/>
          <w:szCs w:val="20"/>
        </w:rPr>
        <w:t>Alcaldes</w:t>
      </w:r>
      <w:r w:rsidRPr="59F2599F" w:rsidR="00F57AE5">
        <w:rPr>
          <w:rFonts w:ascii="Arial" w:hAnsi="Arial" w:eastAsia="Calibri" w:cs="Arial"/>
          <w:sz w:val="20"/>
          <w:szCs w:val="20"/>
        </w:rPr>
        <w:t xml:space="preserve"> Municipales y/o Distritales, </w:t>
      </w:r>
      <w:r w:rsidRPr="59F2599F" w:rsidR="00F57AE5">
        <w:rPr>
          <w:rFonts w:ascii="Arial" w:hAnsi="Arial" w:eastAsia="Calibri" w:cs="Arial"/>
          <w:sz w:val="20"/>
          <w:szCs w:val="20"/>
        </w:rPr>
        <w:t>Secretarios</w:t>
      </w:r>
      <w:r w:rsidRPr="59F2599F" w:rsidR="00F57AE5">
        <w:rPr>
          <w:rFonts w:ascii="Arial" w:hAnsi="Arial" w:eastAsia="Calibri" w:cs="Arial"/>
          <w:sz w:val="20"/>
          <w:szCs w:val="20"/>
        </w:rPr>
        <w:t>, Gerentes y directores de Entidades Descentralizadas del orden Municipal, Departamental o Distrital, dentro de los cuatro (4) meses anteriores a las elecciones, no podrán celebrar convenios interadministrativos para la ejecución de recursos públicos”.</w:t>
      </w:r>
      <w:r w:rsidRPr="59F2599F" w:rsidR="00F57AE5">
        <w:rPr>
          <w:rFonts w:ascii="Arial" w:hAnsi="Arial" w:cs="Arial"/>
          <w:sz w:val="20"/>
          <w:szCs w:val="20"/>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rsidRPr="00DE648B" w:rsidR="00F57AE5" w:rsidP="59F2599F" w:rsidRDefault="00F57AE5" w14:paraId="545FD23D" w14:textId="77777777" w14:noSpellErr="1">
      <w:pPr>
        <w:spacing w:after="0" w:line="240" w:lineRule="auto"/>
        <w:contextualSpacing/>
        <w:jc w:val="both"/>
        <w:rPr>
          <w:rFonts w:ascii="Arial" w:hAnsi="Arial" w:eastAsia="Calibri" w:cs="Arial"/>
          <w:sz w:val="20"/>
          <w:szCs w:val="20"/>
        </w:rPr>
      </w:pPr>
    </w:p>
    <w:p w:rsidRPr="00DE648B" w:rsidR="00F57AE5" w:rsidP="59F2599F" w:rsidRDefault="00F57AE5" w14:paraId="7B1151D0" w14:textId="77777777" w14:noSpellErr="1">
      <w:pPr>
        <w:widowControl w:val="0"/>
        <w:autoSpaceDE w:val="0"/>
        <w:autoSpaceDN w:val="0"/>
        <w:spacing/>
        <w:contextualSpacing/>
        <w:jc w:val="both"/>
        <w:rPr>
          <w:rFonts w:ascii="Arial" w:hAnsi="Arial" w:eastAsia="Arial" w:cs="Arial"/>
          <w:sz w:val="20"/>
          <w:szCs w:val="20"/>
          <w:lang w:val="es-ES" w:eastAsia="es-ES" w:bidi="es-ES"/>
        </w:rPr>
      </w:pPr>
      <w:r w:rsidRPr="59F2599F" w:rsidR="00F57AE5">
        <w:rPr>
          <w:rFonts w:ascii="Arial" w:hAnsi="Arial" w:eastAsia="Arial" w:cs="Arial"/>
          <w:sz w:val="20"/>
          <w:szCs w:val="20"/>
          <w:lang w:val="es-ES" w:eastAsia="es-ES" w:bidi="es-ES"/>
        </w:rPr>
        <w:t xml:space="preserve">Aunque la ley no la definió ni desarrolló, el Decreto 1082 de 2015 califica a los convenios o contratos interadministrativos como aquella contratación entre entidades estatales. </w:t>
      </w:r>
      <w:r w:rsidRPr="59F2599F" w:rsidR="00F57AE5">
        <w:rPr>
          <w:rFonts w:ascii="Arial" w:hAnsi="Arial" w:eastAsia="Arial" w:cs="Arial"/>
          <w:sz w:val="20"/>
          <w:szCs w:val="20"/>
          <w:lang w:val="es-ES" w:eastAsia="es-ES" w:bidi="es-ES"/>
        </w:rPr>
        <w:t>De acuerdo con lo anterior, el contrato o el convenio interadministrativo es el acuerdo donde concurre la voluntad de dos o más personas jurídicas de derecho público con la finalidad de cumplir, en el marco de sus objetivos misionales y sus competencias, con los fines del Estado.</w:t>
      </w:r>
      <w:r w:rsidRPr="59F2599F" w:rsidR="00F57AE5">
        <w:rPr>
          <w:rFonts w:ascii="Arial" w:hAnsi="Arial" w:eastAsia="Arial" w:cs="Arial"/>
          <w:sz w:val="20"/>
          <w:szCs w:val="20"/>
          <w:lang w:val="es-ES" w:eastAsia="es-ES" w:bidi="es-ES"/>
        </w:rPr>
        <w:t xml:space="preserve"> Es decir, los contratos o convenios interadministrativos están determinados por un criterio orgánico, pues es necesario que los extremos de la relación contractual sean entidades</w:t>
      </w:r>
      <w:r w:rsidRPr="59F2599F" w:rsidR="00F57AE5">
        <w:rPr>
          <w:rFonts w:ascii="Arial" w:hAnsi="Arial" w:eastAsia="Arial" w:cs="Arial"/>
          <w:spacing w:val="-6"/>
          <w:sz w:val="20"/>
          <w:szCs w:val="20"/>
          <w:lang w:val="es-ES" w:eastAsia="es-ES" w:bidi="es-ES"/>
        </w:rPr>
        <w:t xml:space="preserve"> </w:t>
      </w:r>
      <w:r w:rsidRPr="59F2599F" w:rsidR="00F57AE5">
        <w:rPr>
          <w:rFonts w:ascii="Arial" w:hAnsi="Arial" w:eastAsia="Arial" w:cs="Arial"/>
          <w:sz w:val="20"/>
          <w:szCs w:val="20"/>
          <w:lang w:val="es-ES" w:eastAsia="es-ES" w:bidi="es-ES"/>
        </w:rPr>
        <w:t>estatales.</w:t>
      </w:r>
    </w:p>
    <w:p w:rsidRPr="00DE648B" w:rsidR="00F57AE5" w:rsidP="00F57AE5" w:rsidRDefault="00F57AE5" w14:paraId="627C88BA" w14:textId="77777777">
      <w:pPr>
        <w:spacing w:after="0" w:line="240" w:lineRule="auto"/>
        <w:contextualSpacing/>
        <w:jc w:val="both"/>
        <w:rPr>
          <w:rFonts w:ascii="Arial" w:hAnsi="Arial" w:eastAsia="Calibri" w:cs="Arial"/>
          <w:sz w:val="20"/>
          <w:szCs w:val="20"/>
        </w:rPr>
      </w:pPr>
      <w:r w:rsidRPr="00DE648B">
        <w:rPr>
          <w:rFonts w:ascii="Arial" w:hAnsi="Arial" w:eastAsia="Calibri" w:cs="Arial"/>
          <w:sz w:val="20"/>
          <w:szCs w:val="20"/>
        </w:rPr>
        <w:t>[…]</w:t>
      </w:r>
    </w:p>
    <w:p w:rsidRPr="00DE648B" w:rsidR="00F57AE5" w:rsidP="00F57AE5" w:rsidRDefault="00F57AE5" w14:paraId="5E9644A0" w14:textId="77777777">
      <w:pPr>
        <w:spacing w:after="0" w:line="240" w:lineRule="auto"/>
        <w:contextualSpacing/>
        <w:jc w:val="both"/>
        <w:rPr>
          <w:rFonts w:ascii="Arial" w:hAnsi="Arial" w:eastAsia="Times New Roman" w:cs="Arial"/>
          <w:iCs/>
          <w:sz w:val="20"/>
          <w:szCs w:val="20"/>
          <w:lang w:val="es-ES_tradnl" w:eastAsia="es-ES_tradnl"/>
        </w:rPr>
      </w:pPr>
      <w:r w:rsidRPr="00DE648B">
        <w:rPr>
          <w:rFonts w:ascii="Arial" w:hAnsi="Arial" w:eastAsia="Calibri" w:cs="Arial"/>
          <w:sz w:val="20"/>
          <w:szCs w:val="20"/>
        </w:rPr>
        <w:t xml:space="preserve">[…] </w:t>
      </w:r>
      <w:r w:rsidRPr="00DE648B">
        <w:rPr>
          <w:rFonts w:ascii="Arial" w:hAnsi="Arial" w:eastAsia="Times New Roman" w:cs="Arial"/>
          <w:iCs/>
          <w:sz w:val="20"/>
          <w:szCs w:val="20"/>
          <w:lang w:val="es-ES_tradnl" w:eastAsia="es-ES_tradnl"/>
        </w:rPr>
        <w:t>lo que define los contratos o convenios interadministrativos es la naturaleza de las partes, de manera que están determinados por un criterio orgánico, en el sentido de que lo serán aquellos celebrados entre entidades estatales. Además, no existe una diferencia en los conceptos de contrato y convenio, por lo que se asimilaron para la aplicación de la Ley de Garantías Electorales.</w:t>
      </w:r>
    </w:p>
    <w:p w:rsidRPr="00DE648B" w:rsidR="00F57AE5" w:rsidP="59F2599F" w:rsidRDefault="00F57AE5" w14:paraId="45D38E08" w14:textId="77777777" w14:noSpellErr="1">
      <w:pPr>
        <w:spacing w:after="0" w:line="240" w:lineRule="auto"/>
        <w:contextualSpacing/>
        <w:jc w:val="both"/>
        <w:rPr>
          <w:rFonts w:ascii="Arial" w:hAnsi="Arial" w:eastAsia="Calibri" w:cs="Arial"/>
          <w:sz w:val="20"/>
          <w:szCs w:val="20"/>
        </w:rPr>
      </w:pPr>
      <w:r w:rsidRPr="59F2599F" w:rsidR="00F57AE5">
        <w:rPr>
          <w:rFonts w:ascii="Arial" w:hAnsi="Arial" w:eastAsia="Calibri" w:cs="Arial"/>
          <w:sz w:val="20"/>
          <w:szCs w:val="20"/>
        </w:rPr>
        <w:t>[…]</w:t>
      </w:r>
    </w:p>
    <w:p w:rsidRPr="00DE648B" w:rsidR="00F57AE5" w:rsidP="59F2599F" w:rsidRDefault="00F57AE5" w14:paraId="5FFCB5ED" w14:textId="77777777" w14:noSpellErr="1">
      <w:pPr>
        <w:tabs>
          <w:tab w:val="left" w:pos="426"/>
        </w:tabs>
        <w:spacing/>
        <w:contextualSpacing/>
        <w:jc w:val="both"/>
        <w:rPr>
          <w:rFonts w:ascii="Arial" w:hAnsi="Arial" w:eastAsia="Calibri" w:cs="Arial"/>
          <w:sz w:val="20"/>
          <w:szCs w:val="20"/>
        </w:rPr>
      </w:pPr>
      <w:r w:rsidRPr="59F2599F" w:rsidR="00F57AE5">
        <w:rPr>
          <w:rFonts w:ascii="Arial" w:hAnsi="Arial" w:cs="Arial"/>
          <w:sz w:val="20"/>
          <w:szCs w:val="20"/>
        </w:rPr>
        <w:t xml:space="preserve">[…] </w:t>
      </w:r>
      <w:r w:rsidRPr="59F2599F" w:rsidR="00F57AE5">
        <w:rPr>
          <w:rFonts w:ascii="Arial" w:hAnsi="Arial" w:cs="Arial"/>
          <w:sz w:val="20"/>
          <w:szCs w:val="20"/>
          <w:lang w:eastAsia="es-CO"/>
        </w:rPr>
        <w:t xml:space="preserve">las restricciones contractuales establecidas en el parágrafo del artículo 38 de la Ley 996 de 2005 prohíbe a los alcaldes, gobernadores, secretarios, gerentes y directores de las entidades </w:t>
      </w:r>
      <w:r w:rsidRPr="59F2599F" w:rsidR="00F57AE5">
        <w:rPr>
          <w:rFonts w:ascii="Arial" w:hAnsi="Arial" w:cs="Arial"/>
          <w:sz w:val="20"/>
          <w:szCs w:val="20"/>
          <w:lang w:eastAsia="es-CO"/>
        </w:rPr>
        <w:t>del orden municipal, departamental o distrital celebrar convenios y contratos interadministrativos para la ejecución de recursos públicos. En este sentido, si una o ambas partes de la relación contractual es una de las entidades descritas en el parágrafo ibidem,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p>
    <w:p w:rsidRPr="00DE648B" w:rsidR="00EA6B06" w:rsidP="00BB002F" w:rsidRDefault="00EA6B06" w14:paraId="0863CE1B" w14:textId="77777777">
      <w:pPr>
        <w:spacing w:after="0" w:line="240" w:lineRule="auto"/>
        <w:contextualSpacing/>
        <w:jc w:val="both"/>
        <w:rPr>
          <w:rFonts w:ascii="Arial" w:hAnsi="Arial" w:eastAsia="Calibri" w:cs="Arial"/>
        </w:rPr>
      </w:pPr>
    </w:p>
    <w:p w:rsidRPr="00DE648B" w:rsidR="00EA6B06" w:rsidP="00BB002F" w:rsidRDefault="00F57AE5" w14:paraId="65F0EC8F" w14:textId="10C28E2C">
      <w:pPr>
        <w:spacing w:after="0" w:line="240" w:lineRule="auto"/>
        <w:contextualSpacing/>
        <w:jc w:val="both"/>
        <w:rPr>
          <w:rFonts w:ascii="Arial" w:hAnsi="Arial" w:eastAsia="Calibri" w:cs="Arial"/>
          <w:b/>
          <w:bCs/>
        </w:rPr>
      </w:pPr>
      <w:r w:rsidRPr="00DE648B">
        <w:rPr>
          <w:rFonts w:ascii="Arial" w:hAnsi="Arial" w:eastAsia="Calibri" w:cs="Arial"/>
          <w:b/>
          <w:bCs/>
        </w:rPr>
        <w:t>ENTIDADES DESCENTRALIZADAS – Aplicación – Ley de garantías</w:t>
      </w:r>
    </w:p>
    <w:p w:rsidRPr="00DE648B" w:rsidR="00EA6B06" w:rsidP="00BB002F" w:rsidRDefault="00EA6B06" w14:paraId="0AA7E162" w14:textId="77777777">
      <w:pPr>
        <w:spacing w:after="0" w:line="240" w:lineRule="auto"/>
        <w:contextualSpacing/>
        <w:jc w:val="both"/>
        <w:rPr>
          <w:rFonts w:ascii="Arial" w:hAnsi="Arial" w:eastAsia="Calibri" w:cs="Arial"/>
        </w:rPr>
      </w:pPr>
    </w:p>
    <w:p w:rsidRPr="00DE648B" w:rsidR="00DE648B" w:rsidP="00DE648B" w:rsidRDefault="00DE648B" w14:paraId="0A1520E3" w14:textId="77777777">
      <w:pPr>
        <w:spacing w:after="0" w:line="240" w:lineRule="auto"/>
        <w:jc w:val="both"/>
        <w:rPr>
          <w:rFonts w:ascii="Arial" w:hAnsi="Arial" w:cs="Arial"/>
          <w:sz w:val="20"/>
          <w:szCs w:val="20"/>
        </w:rPr>
      </w:pPr>
      <w:r w:rsidRPr="00DE648B">
        <w:rPr>
          <w:rFonts w:ascii="Arial" w:hAnsi="Arial" w:cs="Arial"/>
          <w:sz w:val="20"/>
          <w:szCs w:val="20"/>
        </w:rPr>
        <w:t xml:space="preserve">[…] la Ley 996 de 2005 introdujo restricciones que se dirigen específicamente a dos (2) tipos de campañas electorales, siendo estas: i) las presidenciales donde se restringe la contratación directa por parte de todos los entes del Estado –artículo 33 de la ley 996 de 2005–, y </w:t>
      </w:r>
      <w:proofErr w:type="spellStart"/>
      <w:r w:rsidRPr="00DE648B">
        <w:rPr>
          <w:rFonts w:ascii="Arial" w:hAnsi="Arial" w:cs="Arial"/>
          <w:sz w:val="20"/>
          <w:szCs w:val="20"/>
        </w:rPr>
        <w:t>ii</w:t>
      </w:r>
      <w:proofErr w:type="spellEnd"/>
      <w:r w:rsidRPr="00DE648B">
        <w:rPr>
          <w:rFonts w:ascii="Arial" w:hAnsi="Arial" w:cs="Arial"/>
          <w:sz w:val="20"/>
          <w:szCs w:val="20"/>
        </w:rPr>
        <w:t>) las demás que se adelanten para la elección de los demás cargos de elección popular, tanto del nivel nacional como territorial, en el que se prohíbe a los gobernadores, alcaldes municipales o distritales, secretarios, gerentes y directores de entidades descentralizadas del orden municipal, departamental o distrital “celebrar convenios interadministrativos […]” –artículo 38 de la Ley 996 de 2005–.</w:t>
      </w:r>
    </w:p>
    <w:p w:rsidRPr="00DE648B" w:rsidR="00DE648B" w:rsidP="00DE648B" w:rsidRDefault="00DE648B" w14:paraId="679B53F8" w14:textId="77777777">
      <w:pPr>
        <w:spacing w:after="0" w:line="240" w:lineRule="auto"/>
        <w:jc w:val="both"/>
        <w:rPr>
          <w:rFonts w:ascii="Arial" w:hAnsi="Arial" w:cs="Arial"/>
          <w:sz w:val="20"/>
          <w:szCs w:val="20"/>
        </w:rPr>
      </w:pPr>
    </w:p>
    <w:p w:rsidRPr="00DE648B" w:rsidR="00DE648B" w:rsidP="00DE648B" w:rsidRDefault="00DE648B" w14:paraId="4CF13114" w14:textId="77777777">
      <w:pPr>
        <w:spacing w:after="0" w:line="240" w:lineRule="auto"/>
        <w:jc w:val="both"/>
        <w:rPr>
          <w:rFonts w:ascii="Arial" w:hAnsi="Arial" w:cs="Arial"/>
          <w:sz w:val="20"/>
          <w:szCs w:val="20"/>
        </w:rPr>
      </w:pPr>
      <w:r w:rsidRPr="00DE648B">
        <w:rPr>
          <w:rFonts w:ascii="Arial" w:hAnsi="Arial" w:cs="Arial"/>
          <w:sz w:val="20"/>
          <w:szCs w:val="20"/>
        </w:rPr>
        <w:t>En ese orden, a las entidades descentralizadas, categoría dentro de las que se encuentran las sociedades de economía mixta y las empresas industriales y comerciales del Estado, les serán aplicables las restricciones dispuestas en la Ley de Garantías Electorales, según la contienda electoral vigente. Es decir, de acuerdo con el análisis precedente, no podrán realizar contrataciones directas durante los comicios presidenciales, o suscribir convenios y/o contratos interadministrativos en el transcurso de las demás elecciones de cargos populares, en los términos dispuestos en los artículos 33 y 38 de la Ley 996 de 2005.</w:t>
      </w:r>
    </w:p>
    <w:p w:rsidRPr="00DE648B" w:rsidR="00EA6B06" w:rsidP="00BB002F" w:rsidRDefault="00EA6B06" w14:paraId="3547D26B" w14:textId="77777777">
      <w:pPr>
        <w:spacing w:after="0" w:line="240" w:lineRule="auto"/>
        <w:contextualSpacing/>
        <w:jc w:val="both"/>
        <w:rPr>
          <w:rFonts w:ascii="Arial" w:hAnsi="Arial" w:eastAsia="Calibri" w:cs="Arial"/>
        </w:rPr>
      </w:pPr>
    </w:p>
    <w:p w:rsidRPr="00DE648B" w:rsidR="00EA6B06" w:rsidP="00BB002F" w:rsidRDefault="00EA6B06" w14:paraId="45896BD8" w14:textId="77777777">
      <w:pPr>
        <w:spacing w:after="0" w:line="240" w:lineRule="auto"/>
        <w:contextualSpacing/>
        <w:jc w:val="both"/>
        <w:rPr>
          <w:rFonts w:ascii="Arial" w:hAnsi="Arial" w:eastAsia="Calibri" w:cs="Arial"/>
        </w:rPr>
      </w:pPr>
    </w:p>
    <w:p w:rsidRPr="00DE648B" w:rsidR="00EA6B06" w:rsidP="00BB002F" w:rsidRDefault="00EA6B06" w14:paraId="128C0572" w14:textId="77777777">
      <w:pPr>
        <w:spacing w:after="0" w:line="240" w:lineRule="auto"/>
        <w:contextualSpacing/>
        <w:jc w:val="both"/>
        <w:rPr>
          <w:rFonts w:ascii="Arial" w:hAnsi="Arial" w:eastAsia="Calibri" w:cs="Arial"/>
        </w:rPr>
      </w:pPr>
    </w:p>
    <w:p w:rsidRPr="00DE648B" w:rsidR="00EA6B06" w:rsidP="00BB002F" w:rsidRDefault="00EA6B06" w14:paraId="09A264E7" w14:textId="77777777">
      <w:pPr>
        <w:spacing w:after="0" w:line="240" w:lineRule="auto"/>
        <w:contextualSpacing/>
        <w:jc w:val="both"/>
        <w:rPr>
          <w:rFonts w:ascii="Arial" w:hAnsi="Arial" w:eastAsia="Calibri" w:cs="Arial"/>
        </w:rPr>
      </w:pPr>
    </w:p>
    <w:p w:rsidRPr="00DE648B" w:rsidR="00DE648B" w:rsidP="11BFC551" w:rsidRDefault="00DE648B" w14:paraId="42A3C6D6" w14:noSpellErr="1" w14:textId="0A546A3F">
      <w:pPr>
        <w:pStyle w:val="Normal"/>
        <w:spacing w:after="0" w:line="240" w:lineRule="auto"/>
        <w:contextualSpacing/>
        <w:jc w:val="both"/>
        <w:rPr>
          <w:rFonts w:ascii="Arial" w:hAnsi="Arial" w:eastAsia="Calibri" w:cs="Arial"/>
        </w:rPr>
      </w:pPr>
    </w:p>
    <w:p w:rsidRPr="00DE648B" w:rsidR="00BB002F" w:rsidP="00BB002F" w:rsidRDefault="00BB002F" w14:paraId="70B1F2D9" w14:textId="4C6CEC1A">
      <w:pPr>
        <w:rPr>
          <w:rFonts w:ascii="Arial" w:hAnsi="Arial" w:eastAsia="Geomanist Light" w:cs="Arial"/>
          <w:color w:val="201F1E"/>
          <w:lang w:val="es-MX"/>
        </w:rPr>
      </w:pPr>
      <w:r w:rsidRPr="00DE648B">
        <w:rPr>
          <w:rFonts w:ascii="Arial" w:hAnsi="Arial" w:eastAsia="Geomanist Light" w:cs="Arial"/>
          <w:color w:val="000000" w:themeColor="text1"/>
          <w:lang w:val="es-MX"/>
        </w:rPr>
        <w:t>Bogotá D.C., </w:t>
      </w:r>
      <w:r w:rsidRPr="00DE648B" w:rsidR="0018128C">
        <w:rPr>
          <w:rFonts w:ascii="Arial" w:hAnsi="Arial" w:eastAsia="Geomanist Light" w:cs="Arial"/>
          <w:color w:val="201F1E"/>
          <w:lang w:val="es-MX"/>
        </w:rPr>
        <w:t>22 de junio de 2023</w:t>
      </w:r>
    </w:p>
    <w:p w:rsidRPr="00DE648B" w:rsidR="00BB002F" w:rsidP="00BB002F" w:rsidRDefault="00BB002F" w14:paraId="75BE5A34" w14:textId="77777777" w14:noSpellErr="1">
      <w:pPr>
        <w:spacing w:after="0" w:line="240" w:lineRule="auto"/>
        <w:contextualSpacing/>
        <w:jc w:val="both"/>
        <w:rPr>
          <w:rFonts w:ascii="Arial" w:hAnsi="Arial" w:eastAsia="Calibri" w:cs="Arial"/>
        </w:rPr>
      </w:pPr>
    </w:p>
    <w:p w:rsidR="11BFC551" w:rsidP="11BFC551" w:rsidRDefault="11BFC551" w14:paraId="09CD69B6" w14:textId="38B91438">
      <w:pPr>
        <w:pStyle w:val="Normal"/>
        <w:spacing w:after="0" w:line="240" w:lineRule="auto"/>
        <w:contextualSpacing/>
        <w:jc w:val="both"/>
        <w:rPr>
          <w:rFonts w:ascii="Arial" w:hAnsi="Arial" w:eastAsia="Calibri" w:cs="Arial"/>
        </w:rPr>
      </w:pPr>
    </w:p>
    <w:p w:rsidR="796E3FF0" w:rsidP="11BFC551" w:rsidRDefault="796E3FF0" w14:paraId="51EE8C26" w14:textId="7B0D4972">
      <w:pPr>
        <w:pStyle w:val="Normal"/>
        <w:spacing w:after="0" w:line="240" w:lineRule="auto"/>
        <w:contextualSpacing/>
        <w:jc w:val="right"/>
      </w:pPr>
      <w:r w:rsidR="796E3FF0">
        <w:drawing>
          <wp:inline wp14:editId="40D6885D" wp14:anchorId="5AE1B381">
            <wp:extent cx="2823927" cy="723900"/>
            <wp:effectExtent l="0" t="0" r="0" b="0"/>
            <wp:docPr id="1674467499" name="" title=""/>
            <wp:cNvGraphicFramePr>
              <a:graphicFrameLocks noChangeAspect="1"/>
            </wp:cNvGraphicFramePr>
            <a:graphic>
              <a:graphicData uri="http://schemas.openxmlformats.org/drawingml/2006/picture">
                <pic:pic>
                  <pic:nvPicPr>
                    <pic:cNvPr id="0" name=""/>
                    <pic:cNvPicPr/>
                  </pic:nvPicPr>
                  <pic:blipFill>
                    <a:blip r:embed="R4fffbaa44cd14d50">
                      <a:extLst>
                        <a:ext xmlns:a="http://schemas.openxmlformats.org/drawingml/2006/main" uri="{28A0092B-C50C-407E-A947-70E740481C1C}">
                          <a14:useLocalDpi val="0"/>
                        </a:ext>
                      </a:extLst>
                    </a:blip>
                    <a:stretch>
                      <a:fillRect/>
                    </a:stretch>
                  </pic:blipFill>
                  <pic:spPr>
                    <a:xfrm>
                      <a:off x="0" y="0"/>
                      <a:ext cx="2823927" cy="723900"/>
                    </a:xfrm>
                    <a:prstGeom prst="rect">
                      <a:avLst/>
                    </a:prstGeom>
                  </pic:spPr>
                </pic:pic>
              </a:graphicData>
            </a:graphic>
          </wp:inline>
        </w:drawing>
      </w:r>
    </w:p>
    <w:p w:rsidR="11BFC551" w:rsidP="11BFC551" w:rsidRDefault="11BFC551" w14:paraId="280FE07D" w14:textId="728798A8">
      <w:pPr>
        <w:pStyle w:val="Normal"/>
        <w:spacing w:after="0" w:line="240" w:lineRule="auto"/>
        <w:contextualSpacing/>
        <w:jc w:val="both"/>
        <w:rPr>
          <w:rFonts w:ascii="Arial" w:hAnsi="Arial" w:eastAsia="Calibri" w:cs="Arial"/>
        </w:rPr>
      </w:pPr>
    </w:p>
    <w:p w:rsidRPr="00DE648B" w:rsidR="00BB002F" w:rsidP="00BB002F" w:rsidRDefault="00BB002F" w14:paraId="229761F9" w14:textId="77777777">
      <w:pPr>
        <w:spacing w:after="0" w:line="276" w:lineRule="auto"/>
        <w:contextualSpacing/>
        <w:jc w:val="both"/>
        <w:rPr>
          <w:rFonts w:ascii="Arial" w:hAnsi="Arial" w:eastAsia="Calibri" w:cs="Arial"/>
        </w:rPr>
      </w:pPr>
      <w:r w:rsidRPr="00DE648B">
        <w:rPr>
          <w:rFonts w:ascii="Arial" w:hAnsi="Arial" w:eastAsia="Calibri" w:cs="Arial"/>
        </w:rPr>
        <w:t>Señor</w:t>
      </w:r>
    </w:p>
    <w:p w:rsidRPr="00DE648B" w:rsidR="00BB002F" w:rsidP="00BB002F" w:rsidRDefault="00BB002F" w14:paraId="24964249" w14:textId="77777777">
      <w:pPr>
        <w:spacing w:after="0" w:line="276" w:lineRule="auto"/>
        <w:contextualSpacing/>
        <w:jc w:val="both"/>
        <w:rPr>
          <w:rFonts w:ascii="Arial" w:hAnsi="Arial" w:eastAsia="Calibri" w:cs="Arial"/>
          <w:b/>
          <w:bCs/>
        </w:rPr>
      </w:pPr>
      <w:r w:rsidRPr="00DE648B">
        <w:rPr>
          <w:rFonts w:ascii="Arial" w:hAnsi="Arial" w:eastAsia="Calibri" w:cs="Arial"/>
          <w:b/>
          <w:bCs/>
        </w:rPr>
        <w:t>Calos David Santamaría Sepúlveda</w:t>
      </w:r>
    </w:p>
    <w:p w:rsidRPr="00DE648B" w:rsidR="00BB002F" w:rsidP="00BB002F" w:rsidRDefault="00BB002F" w14:paraId="3379A02B" w14:textId="77777777">
      <w:pPr>
        <w:spacing w:after="0" w:line="276" w:lineRule="auto"/>
        <w:contextualSpacing/>
        <w:jc w:val="both"/>
        <w:rPr>
          <w:rFonts w:ascii="Arial" w:hAnsi="Arial" w:eastAsia="Calibri" w:cs="Arial"/>
        </w:rPr>
      </w:pPr>
      <w:r w:rsidRPr="00DE648B">
        <w:rPr>
          <w:rFonts w:ascii="Arial" w:hAnsi="Arial" w:eastAsia="Calibri" w:cs="Arial"/>
        </w:rPr>
        <w:t>Bucaramanga, Santander</w:t>
      </w:r>
    </w:p>
    <w:p w:rsidRPr="00DE648B" w:rsidR="00BB002F" w:rsidP="00BB002F" w:rsidRDefault="00BB002F" w14:paraId="5C026D8F" w14:textId="77777777">
      <w:pPr>
        <w:spacing w:after="0" w:line="240" w:lineRule="auto"/>
        <w:contextualSpacing/>
        <w:jc w:val="both"/>
        <w:rPr>
          <w:rFonts w:ascii="Arial" w:hAnsi="Arial" w:eastAsia="Calibri" w:cs="Arial"/>
        </w:rPr>
      </w:pPr>
    </w:p>
    <w:p w:rsidRPr="00DE648B" w:rsidR="00BB002F" w:rsidP="00BB002F" w:rsidRDefault="00BB002F" w14:paraId="6431DBEB" w14:textId="77777777">
      <w:pPr>
        <w:spacing w:after="0" w:line="240" w:lineRule="auto"/>
        <w:contextualSpacing/>
        <w:jc w:val="both"/>
        <w:rPr>
          <w:rFonts w:ascii="Arial" w:hAnsi="Arial" w:eastAsia="Calibri" w:cs="Arial"/>
        </w:rPr>
      </w:pPr>
      <w:r w:rsidRPr="00DE648B">
        <w:rPr>
          <w:rFonts w:ascii="Arial" w:hAnsi="Arial" w:eastAsia="Calibri" w:cs="Arial"/>
        </w:rPr>
        <w:t xml:space="preserve">                                            </w:t>
      </w:r>
      <w:r w:rsidRPr="00DE648B">
        <w:rPr>
          <w:rFonts w:ascii="Arial" w:hAnsi="Arial" w:eastAsia="Calibri" w:cs="Arial"/>
          <w:b/>
        </w:rPr>
        <w:t>Concepto C–241 de 2023</w:t>
      </w:r>
    </w:p>
    <w:p w:rsidRPr="00DE648B" w:rsidR="00BB002F" w:rsidP="00BB002F" w:rsidRDefault="00BB002F" w14:paraId="67CE9F75" w14:textId="77777777">
      <w:pPr>
        <w:spacing w:after="0" w:line="240" w:lineRule="auto"/>
        <w:contextualSpacing/>
        <w:jc w:val="both"/>
        <w:rPr>
          <w:rFonts w:ascii="Arial" w:hAnsi="Arial" w:eastAsia="Calibri" w:cs="Arial"/>
          <w:b/>
        </w:rPr>
      </w:pPr>
    </w:p>
    <w:p w:rsidRPr="00DE648B" w:rsidR="00BB002F" w:rsidP="00BB002F" w:rsidRDefault="00BB002F" w14:paraId="7CC84A94" w14:textId="77777777">
      <w:pPr>
        <w:spacing w:after="0" w:line="240" w:lineRule="auto"/>
        <w:contextualSpacing/>
        <w:jc w:val="both"/>
        <w:rPr>
          <w:rFonts w:ascii="Arial" w:hAnsi="Arial" w:eastAsia="Calibri" w:cs="Arial"/>
          <w:b/>
        </w:rPr>
      </w:pPr>
    </w:p>
    <w:tbl>
      <w:tblPr>
        <w:tblStyle w:val="Tablaconcuadrcula11"/>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DE648B" w:rsidR="00BB002F" w:rsidTr="00C422B4" w14:paraId="29B75C41" w14:textId="77777777">
        <w:trPr>
          <w:trHeight w:val="485"/>
        </w:trPr>
        <w:tc>
          <w:tcPr>
            <w:tcW w:w="2689" w:type="dxa"/>
            <w:hideMark/>
          </w:tcPr>
          <w:p w:rsidRPr="00DE648B" w:rsidR="00BB002F" w:rsidP="00BB002F" w:rsidRDefault="00BB002F" w14:paraId="2AE2125E" w14:textId="77777777">
            <w:pPr>
              <w:rPr>
                <w:rFonts w:ascii="Arial" w:hAnsi="Arial" w:eastAsia="Calibri" w:cs="Arial"/>
                <w:noProof/>
                <w:lang w:val="es-ES_tradnl"/>
              </w:rPr>
            </w:pPr>
            <w:r w:rsidRPr="00DE648B">
              <w:rPr>
                <w:rFonts w:ascii="Arial" w:hAnsi="Arial" w:eastAsia="Calibri" w:cs="Arial"/>
                <w:b/>
                <w:noProof/>
                <w:lang w:val="es-ES_tradnl"/>
              </w:rPr>
              <w:t>Temas:</w:t>
            </w:r>
            <w:r w:rsidRPr="00DE648B">
              <w:rPr>
                <w:rFonts w:ascii="Arial" w:hAnsi="Arial" w:eastAsia="Calibri" w:cs="Arial"/>
                <w:noProof/>
                <w:lang w:val="es-ES_tradnl"/>
              </w:rPr>
              <w:t xml:space="preserve">        </w:t>
            </w:r>
          </w:p>
        </w:tc>
        <w:tc>
          <w:tcPr>
            <w:tcW w:w="6237" w:type="dxa"/>
            <w:hideMark/>
          </w:tcPr>
          <w:p w:rsidRPr="00DE648B" w:rsidR="00BB002F" w:rsidP="00BB002F" w:rsidRDefault="00BB002F" w14:paraId="3DE76AB4" w14:textId="1FE8DEE2">
            <w:pPr>
              <w:spacing w:line="276" w:lineRule="auto"/>
              <w:jc w:val="both"/>
              <w:rPr>
                <w:rFonts w:ascii="Arial" w:hAnsi="Arial" w:eastAsia="Times New Roman" w:cs="Arial"/>
                <w:lang w:val="es-ES_tradnl" w:eastAsia="es-ES_tradnl"/>
              </w:rPr>
            </w:pPr>
            <w:r w:rsidRPr="00DE648B">
              <w:rPr>
                <w:rFonts w:ascii="Arial" w:hAnsi="Arial" w:eastAsia="Times New Roman" w:cs="Arial"/>
                <w:lang w:val="es-ES_tradnl" w:eastAsia="es-ES_tradnl"/>
              </w:rPr>
              <w:t>LEY DE GARA</w:t>
            </w:r>
            <w:r w:rsidRPr="00DE648B" w:rsidR="006B2172">
              <w:rPr>
                <w:rFonts w:ascii="Arial" w:hAnsi="Arial" w:eastAsia="Times New Roman" w:cs="Arial"/>
                <w:lang w:val="es-ES_tradnl" w:eastAsia="es-ES_tradnl"/>
              </w:rPr>
              <w:t>N</w:t>
            </w:r>
            <w:r w:rsidRPr="00DE648B">
              <w:rPr>
                <w:rFonts w:ascii="Arial" w:hAnsi="Arial" w:eastAsia="Times New Roman" w:cs="Arial"/>
                <w:lang w:val="es-ES_tradnl" w:eastAsia="es-ES_tradnl"/>
              </w:rPr>
              <w:t>TÍAS ELECTORALES – Definición – Finalidad / LEY DE GARANTÍAS ELECTORALES – Prohibición por elección de cargos populares – Convenios y contratos interadministrativos – Parágrafo del artículo 38</w:t>
            </w:r>
            <w:r w:rsidRPr="00DE648B" w:rsidR="006B2172">
              <w:rPr>
                <w:rFonts w:ascii="Arial" w:hAnsi="Arial" w:eastAsia="Times New Roman" w:cs="Arial"/>
                <w:lang w:val="es-ES_tradnl" w:eastAsia="es-ES_tradnl"/>
              </w:rPr>
              <w:t xml:space="preserve"> / ENTIDADES DESCENTRALIZADAS – Aplicación – Ley de garantías</w:t>
            </w:r>
          </w:p>
          <w:p w:rsidRPr="00DE648B" w:rsidR="00BB002F" w:rsidP="00BB002F" w:rsidRDefault="00BB002F" w14:paraId="71F54AF6" w14:textId="77777777">
            <w:pPr>
              <w:jc w:val="both"/>
              <w:rPr>
                <w:rFonts w:ascii="Arial" w:hAnsi="Arial" w:eastAsia="Calibri" w:cs="Arial"/>
                <w:b/>
                <w:bCs/>
                <w:lang w:val="es-MX"/>
              </w:rPr>
            </w:pPr>
          </w:p>
          <w:p w:rsidRPr="00DE648B" w:rsidR="00BB002F" w:rsidP="00BB002F" w:rsidRDefault="00BB002F" w14:paraId="6A49BBD2" w14:textId="77777777">
            <w:pPr>
              <w:ind w:right="703"/>
              <w:jc w:val="both"/>
              <w:rPr>
                <w:rFonts w:ascii="Arial" w:hAnsi="Arial" w:eastAsia="Calibri" w:cs="Arial"/>
                <w:bCs/>
                <w:lang w:val="es-MX"/>
              </w:rPr>
            </w:pPr>
          </w:p>
        </w:tc>
      </w:tr>
      <w:tr w:rsidRPr="00DE648B" w:rsidR="00BB002F" w:rsidTr="00C422B4" w14:paraId="35BFB2B9" w14:textId="77777777">
        <w:tc>
          <w:tcPr>
            <w:tcW w:w="2689" w:type="dxa"/>
          </w:tcPr>
          <w:p w:rsidRPr="00DE648B" w:rsidR="00BB002F" w:rsidP="00BB002F" w:rsidRDefault="00BB002F" w14:paraId="7A5AF1D7" w14:textId="77777777">
            <w:pPr>
              <w:rPr>
                <w:rFonts w:ascii="Arial" w:hAnsi="Arial" w:eastAsia="Calibri" w:cs="Arial"/>
                <w:b/>
                <w:noProof/>
                <w:lang w:val="es-ES_tradnl"/>
              </w:rPr>
            </w:pPr>
            <w:r w:rsidRPr="00DE648B">
              <w:rPr>
                <w:rFonts w:ascii="Arial" w:hAnsi="Arial" w:eastAsia="Calibri" w:cs="Arial"/>
                <w:b/>
                <w:noProof/>
                <w:lang w:val="es-ES_tradnl"/>
              </w:rPr>
              <w:t>Radicación:</w:t>
            </w:r>
            <w:r w:rsidRPr="00DE648B">
              <w:rPr>
                <w:rFonts w:ascii="Arial" w:hAnsi="Arial" w:eastAsia="Calibri" w:cs="Arial"/>
                <w:noProof/>
                <w:lang w:val="es-ES_tradnl"/>
              </w:rPr>
              <w:t xml:space="preserve">                              </w:t>
            </w:r>
          </w:p>
        </w:tc>
        <w:tc>
          <w:tcPr>
            <w:tcW w:w="6237" w:type="dxa"/>
          </w:tcPr>
          <w:p w:rsidRPr="00DE648B" w:rsidR="00BB002F" w:rsidP="00BB002F" w:rsidRDefault="00BB002F" w14:paraId="0DFCC935" w14:textId="77777777">
            <w:pPr>
              <w:jc w:val="both"/>
              <w:rPr>
                <w:rFonts w:ascii="Arial" w:hAnsi="Arial" w:eastAsia="Calibri" w:cs="Arial"/>
                <w:noProof/>
                <w:lang w:val="es-ES_tradnl"/>
              </w:rPr>
            </w:pPr>
            <w:r w:rsidRPr="00DE648B">
              <w:rPr>
                <w:rFonts w:ascii="Arial" w:hAnsi="Arial" w:eastAsia="Calibri" w:cs="Arial"/>
                <w:noProof/>
                <w:lang w:val="es-ES_tradnl"/>
              </w:rPr>
              <w:t>Respuesta a consulta P20230523011538</w:t>
            </w:r>
            <w:r w:rsidRPr="00DE648B">
              <w:rPr>
                <w:rFonts w:ascii="Arial" w:hAnsi="Arial" w:eastAsia="Calibri" w:cs="Arial"/>
                <w:noProof/>
                <w:lang w:val="es-ES_tradnl"/>
              </w:rPr>
              <w:tab/>
            </w:r>
            <w:r w:rsidRPr="00DE648B">
              <w:rPr>
                <w:rFonts w:ascii="Arial" w:hAnsi="Arial" w:eastAsia="Calibri" w:cs="Arial"/>
                <w:noProof/>
                <w:lang w:val="es-ES_tradnl"/>
              </w:rPr>
              <w:tab/>
            </w:r>
          </w:p>
        </w:tc>
      </w:tr>
    </w:tbl>
    <w:p w:rsidRPr="00DE648B" w:rsidR="00BB002F" w:rsidP="00BB002F" w:rsidRDefault="00BB002F" w14:paraId="16382D17" w14:textId="77777777">
      <w:pPr>
        <w:spacing w:after="0" w:line="240" w:lineRule="auto"/>
        <w:contextualSpacing/>
        <w:jc w:val="both"/>
        <w:rPr>
          <w:rFonts w:ascii="Arial" w:hAnsi="Arial" w:eastAsia="Calibri" w:cs="Arial"/>
        </w:rPr>
      </w:pPr>
    </w:p>
    <w:p w:rsidRPr="00DE648B" w:rsidR="00BB002F" w:rsidP="00BB002F" w:rsidRDefault="00BB002F" w14:paraId="04268295" w14:textId="77777777">
      <w:pPr>
        <w:spacing w:after="0" w:line="240" w:lineRule="auto"/>
        <w:contextualSpacing/>
        <w:jc w:val="both"/>
        <w:rPr>
          <w:rFonts w:ascii="Arial" w:hAnsi="Arial" w:eastAsia="Calibri" w:cs="Arial"/>
        </w:rPr>
      </w:pPr>
    </w:p>
    <w:p w:rsidRPr="00DE648B" w:rsidR="00BB002F" w:rsidP="00BB002F" w:rsidRDefault="00BB002F" w14:paraId="546C3C95" w14:textId="3DD4BA7E">
      <w:pPr>
        <w:spacing w:after="0" w:line="276" w:lineRule="auto"/>
        <w:contextualSpacing/>
        <w:jc w:val="both"/>
        <w:rPr>
          <w:rFonts w:ascii="Arial" w:hAnsi="Arial" w:eastAsia="Calibri" w:cs="Arial"/>
        </w:rPr>
      </w:pPr>
      <w:r w:rsidRPr="00DE648B">
        <w:rPr>
          <w:rFonts w:ascii="Arial" w:hAnsi="Arial" w:eastAsia="Calibri" w:cs="Arial"/>
        </w:rPr>
        <w:t xml:space="preserve">Estimado señor </w:t>
      </w:r>
      <w:r w:rsidRPr="00DE648B" w:rsidR="006B2172">
        <w:rPr>
          <w:rFonts w:ascii="Arial" w:hAnsi="Arial" w:eastAsia="Calibri" w:cs="Arial"/>
        </w:rPr>
        <w:t>Santamaría</w:t>
      </w:r>
      <w:r w:rsidRPr="00DE648B">
        <w:rPr>
          <w:rFonts w:ascii="Arial" w:hAnsi="Arial" w:eastAsia="Calibri" w:cs="Arial"/>
        </w:rPr>
        <w:t>:</w:t>
      </w:r>
    </w:p>
    <w:p w:rsidRPr="00DE648B" w:rsidR="00BB002F" w:rsidP="00BB002F" w:rsidRDefault="00BB002F" w14:paraId="575D11A5" w14:textId="77777777">
      <w:pPr>
        <w:spacing w:after="0" w:line="276" w:lineRule="auto"/>
        <w:ind w:firstLine="709"/>
        <w:contextualSpacing/>
        <w:jc w:val="both"/>
        <w:rPr>
          <w:rFonts w:ascii="Arial" w:hAnsi="Arial" w:eastAsia="Calibri" w:cs="Arial"/>
        </w:rPr>
      </w:pPr>
    </w:p>
    <w:p w:rsidRPr="00DE648B" w:rsidR="00BB002F" w:rsidP="00BB002F" w:rsidRDefault="00BB002F" w14:paraId="287AC7E6" w14:textId="77777777">
      <w:pPr>
        <w:spacing w:after="0" w:line="276" w:lineRule="auto"/>
        <w:contextualSpacing/>
        <w:jc w:val="both"/>
        <w:rPr>
          <w:rFonts w:ascii="Arial" w:hAnsi="Arial" w:eastAsia="Calibri" w:cs="Arial"/>
        </w:rPr>
      </w:pPr>
      <w:r w:rsidRPr="00DE648B">
        <w:rPr>
          <w:rFonts w:ascii="Arial" w:hAnsi="Arial" w:eastAsia="Calibri" w:cs="Arial"/>
        </w:rPr>
        <w:t xml:space="preserve">En ejercicio de la competencia otorgada por el numeral 8 del artículo 11 y el numeral 5 del artículo 3 del Decreto Ley 4170 de 2011, la Agencia Nacional de Contratación Pública – Colombia Compra Eficiente responde su consulta recibida el 19 de mayo de 2023. </w:t>
      </w:r>
    </w:p>
    <w:p w:rsidRPr="00DE648B" w:rsidR="00BB002F" w:rsidP="00BB002F" w:rsidRDefault="00BB002F" w14:paraId="09539E0C" w14:textId="77777777">
      <w:pPr>
        <w:spacing w:after="0" w:line="276" w:lineRule="auto"/>
        <w:contextualSpacing/>
        <w:jc w:val="both"/>
        <w:rPr>
          <w:rFonts w:ascii="Arial" w:hAnsi="Arial" w:eastAsia="Calibri" w:cs="Arial"/>
        </w:rPr>
      </w:pPr>
    </w:p>
    <w:p w:rsidRPr="00DE648B" w:rsidR="00BB002F" w:rsidP="00BB002F" w:rsidRDefault="00BB002F" w14:paraId="67E2DD84" w14:textId="77777777">
      <w:pPr>
        <w:tabs>
          <w:tab w:val="left" w:pos="284"/>
        </w:tabs>
        <w:spacing w:after="0" w:line="276" w:lineRule="auto"/>
        <w:contextualSpacing/>
        <w:jc w:val="both"/>
        <w:rPr>
          <w:rFonts w:ascii="Arial" w:hAnsi="Arial" w:eastAsia="Calibri" w:cs="Arial"/>
          <w:b/>
        </w:rPr>
      </w:pPr>
      <w:r w:rsidRPr="00DE648B">
        <w:rPr>
          <w:rFonts w:ascii="Arial" w:hAnsi="Arial" w:eastAsia="Calibri" w:cs="Arial"/>
          <w:b/>
        </w:rPr>
        <w:t xml:space="preserve">1. Problema planteado </w:t>
      </w:r>
    </w:p>
    <w:p w:rsidRPr="00DE648B" w:rsidR="00BB002F" w:rsidP="00BB002F" w:rsidRDefault="00BB002F" w14:paraId="055902C6" w14:textId="77777777">
      <w:pPr>
        <w:tabs>
          <w:tab w:val="left" w:pos="284"/>
        </w:tabs>
        <w:spacing w:after="0" w:line="276" w:lineRule="auto"/>
        <w:ind w:firstLine="709"/>
        <w:contextualSpacing/>
        <w:jc w:val="both"/>
        <w:rPr>
          <w:rFonts w:ascii="Arial" w:hAnsi="Arial" w:eastAsia="Calibri" w:cs="Arial"/>
          <w:b/>
        </w:rPr>
      </w:pPr>
    </w:p>
    <w:p w:rsidRPr="00DE648B" w:rsidR="00BB002F" w:rsidP="00BB002F" w:rsidRDefault="00BB002F" w14:paraId="42CC1609" w14:textId="77777777">
      <w:pPr>
        <w:spacing w:after="0" w:line="276" w:lineRule="auto"/>
        <w:contextualSpacing/>
        <w:jc w:val="both"/>
        <w:rPr>
          <w:rFonts w:ascii="Arial" w:hAnsi="Arial" w:eastAsia="Calibri" w:cs="Arial"/>
        </w:rPr>
      </w:pPr>
      <w:bookmarkStart w:name="_Hlk58917991" w:id="6"/>
      <w:bookmarkStart w:name="_Hlk56103000" w:id="7"/>
      <w:r w:rsidRPr="00DE648B">
        <w:rPr>
          <w:rFonts w:ascii="Arial" w:hAnsi="Arial" w:eastAsia="Calibri" w:cs="Arial"/>
        </w:rPr>
        <w:t xml:space="preserve">Usted plantea respecto de la Ley de Garantías Electorales –Ley 996 de 2005–, la siguiente consulta: </w:t>
      </w:r>
      <w:bookmarkStart w:name="_Hlk116284008" w:id="8"/>
    </w:p>
    <w:p w:rsidRPr="00DE648B" w:rsidR="00BB002F" w:rsidP="00BB002F" w:rsidRDefault="00BB002F" w14:paraId="2A762246" w14:textId="77777777">
      <w:pPr>
        <w:spacing w:after="0" w:line="276" w:lineRule="auto"/>
        <w:contextualSpacing/>
        <w:jc w:val="both"/>
        <w:rPr>
          <w:rFonts w:ascii="Arial" w:hAnsi="Arial" w:eastAsia="Calibri" w:cs="Arial"/>
        </w:rPr>
      </w:pPr>
    </w:p>
    <w:p w:rsidRPr="00DE648B" w:rsidR="00BB002F" w:rsidP="00BB002F" w:rsidRDefault="00BB002F" w14:paraId="110DAA74" w14:textId="77777777">
      <w:pPr>
        <w:spacing w:before="120" w:after="0" w:line="240" w:lineRule="auto"/>
        <w:ind w:left="709" w:right="709"/>
        <w:contextualSpacing/>
        <w:jc w:val="both"/>
        <w:rPr>
          <w:rFonts w:ascii="Arial" w:hAnsi="Arial" w:eastAsia="Calibri" w:cs="Arial"/>
          <w:sz w:val="21"/>
          <w:szCs w:val="21"/>
          <w:lang w:val="es-MX"/>
        </w:rPr>
      </w:pPr>
      <w:bookmarkStart w:name="_Hlk133573383" w:id="9"/>
      <w:r w:rsidRPr="00DE648B">
        <w:rPr>
          <w:rFonts w:ascii="Arial" w:hAnsi="Arial" w:eastAsia="Calibri" w:cs="Arial"/>
          <w:sz w:val="21"/>
          <w:szCs w:val="21"/>
          <w:lang w:val="es-MX"/>
        </w:rPr>
        <w:t>“1. ¿Las entidades estatales pueden contratar directamente 4 meses antes de las elecciones regionales? ¿o esta prohibición se predica únicamente de celebrar convenios interadministrativos?</w:t>
      </w:r>
    </w:p>
    <w:p w:rsidRPr="00DE648B" w:rsidR="00BB002F" w:rsidP="00BB002F" w:rsidRDefault="00BB002F" w14:paraId="5450E182" w14:textId="77777777">
      <w:pPr>
        <w:spacing w:before="120" w:after="0" w:line="276" w:lineRule="auto"/>
        <w:ind w:left="709" w:right="709"/>
        <w:jc w:val="both"/>
        <w:rPr>
          <w:rFonts w:ascii="Arial" w:hAnsi="Arial" w:eastAsia="Calibri" w:cs="Arial"/>
          <w:sz w:val="21"/>
          <w:szCs w:val="21"/>
          <w:lang w:val="es-MX"/>
        </w:rPr>
      </w:pPr>
      <w:r w:rsidRPr="00DE648B">
        <w:rPr>
          <w:rFonts w:ascii="Arial" w:hAnsi="Arial" w:eastAsia="Calibri" w:cs="Arial"/>
          <w:sz w:val="21"/>
          <w:szCs w:val="21"/>
          <w:lang w:val="es-MX"/>
        </w:rPr>
        <w:t>2. ¿Existe prohibición alguna para las entidades territoriales de economía mixta o sujetas al régimen de contratación privada limitación alguna para realizar contratación en modalidad directa durante el periodo previo a las elecciones regionales?</w:t>
      </w:r>
    </w:p>
    <w:p w:rsidRPr="00DE648B" w:rsidR="00BB002F" w:rsidP="00BB002F" w:rsidRDefault="00BB002F" w14:paraId="3DE80900" w14:textId="77777777">
      <w:pPr>
        <w:spacing w:before="120" w:after="0" w:line="276" w:lineRule="auto"/>
        <w:ind w:left="709" w:right="709"/>
        <w:jc w:val="both"/>
        <w:rPr>
          <w:rFonts w:ascii="Arial" w:hAnsi="Arial" w:eastAsia="Calibri" w:cs="Arial"/>
          <w:sz w:val="21"/>
          <w:szCs w:val="21"/>
          <w:lang w:val="es-MX"/>
        </w:rPr>
      </w:pPr>
      <w:r w:rsidRPr="00DE648B">
        <w:rPr>
          <w:rFonts w:ascii="Arial" w:hAnsi="Arial" w:eastAsia="Calibri" w:cs="Arial"/>
          <w:sz w:val="21"/>
          <w:szCs w:val="21"/>
          <w:lang w:val="es-MX"/>
        </w:rPr>
        <w:t>3. ¿Transmilenio al ser una empresa industrial y comercial del estado tiene limitación alguna para realizar contratación en modalidad directa?</w:t>
      </w:r>
    </w:p>
    <w:p w:rsidRPr="00DE648B" w:rsidR="00BB002F" w:rsidP="00BB002F" w:rsidRDefault="00BB002F" w14:paraId="09AE1780" w14:textId="77777777">
      <w:pPr>
        <w:spacing w:before="120" w:after="0" w:line="276" w:lineRule="auto"/>
        <w:ind w:left="709" w:right="709"/>
        <w:jc w:val="both"/>
        <w:rPr>
          <w:rFonts w:ascii="Arial" w:hAnsi="Arial" w:eastAsia="Calibri" w:cs="Arial"/>
          <w:sz w:val="21"/>
          <w:szCs w:val="21"/>
          <w:lang w:val="es-MX"/>
        </w:rPr>
      </w:pPr>
      <w:r w:rsidRPr="00DE648B">
        <w:rPr>
          <w:rFonts w:ascii="Arial" w:hAnsi="Arial" w:eastAsia="Calibri" w:cs="Arial"/>
          <w:sz w:val="21"/>
          <w:szCs w:val="21"/>
          <w:lang w:val="es-MX"/>
        </w:rPr>
        <w:t>4. Las Gobernaciones Departamentales y Alcaldías Municipales que limitaciones tiene para la modalidad de contratación directa.</w:t>
      </w:r>
    </w:p>
    <w:p w:rsidRPr="00DE648B" w:rsidR="00BB002F" w:rsidP="00BB002F" w:rsidRDefault="00BB002F" w14:paraId="76C83C73" w14:textId="77777777">
      <w:pPr>
        <w:spacing w:before="120" w:after="0" w:line="276" w:lineRule="auto"/>
        <w:ind w:left="709" w:right="709"/>
        <w:jc w:val="both"/>
        <w:rPr>
          <w:rFonts w:ascii="Arial" w:hAnsi="Arial" w:eastAsia="Calibri" w:cs="Arial"/>
          <w:sz w:val="21"/>
          <w:szCs w:val="21"/>
          <w:lang w:val="es-MX"/>
        </w:rPr>
      </w:pPr>
      <w:r w:rsidRPr="00DE648B">
        <w:rPr>
          <w:rFonts w:ascii="Arial" w:hAnsi="Arial" w:eastAsia="Calibri" w:cs="Arial"/>
          <w:sz w:val="21"/>
          <w:szCs w:val="21"/>
          <w:lang w:val="es-MX"/>
        </w:rPr>
        <w:t>5. De existir alguna prohibición sírvase indicarla, explicarla y sustentarla”. [sic]</w:t>
      </w:r>
    </w:p>
    <w:p w:rsidRPr="00DE648B" w:rsidR="00BB002F" w:rsidP="00BB002F" w:rsidRDefault="00BB002F" w14:paraId="7AC3F565" w14:textId="77777777">
      <w:pPr>
        <w:spacing w:after="0" w:line="276" w:lineRule="auto"/>
        <w:ind w:left="709" w:right="709"/>
        <w:jc w:val="both"/>
        <w:rPr>
          <w:rFonts w:ascii="Arial" w:hAnsi="Arial" w:eastAsia="Calibri" w:cs="Arial"/>
          <w:lang w:val="es-ES"/>
        </w:rPr>
      </w:pPr>
    </w:p>
    <w:bookmarkEnd w:id="6"/>
    <w:bookmarkEnd w:id="7"/>
    <w:bookmarkEnd w:id="8"/>
    <w:bookmarkEnd w:id="9"/>
    <w:p w:rsidRPr="00DE648B" w:rsidR="00BB002F" w:rsidP="00BB002F" w:rsidRDefault="00BB002F" w14:paraId="4AAA1A01" w14:textId="77777777">
      <w:pPr>
        <w:tabs>
          <w:tab w:val="left" w:pos="284"/>
        </w:tabs>
        <w:spacing w:after="0" w:line="276" w:lineRule="auto"/>
        <w:contextualSpacing/>
        <w:jc w:val="both"/>
        <w:rPr>
          <w:rFonts w:ascii="Arial" w:hAnsi="Arial" w:eastAsia="Calibri" w:cs="Arial"/>
          <w:b/>
        </w:rPr>
      </w:pPr>
      <w:r w:rsidRPr="00DE648B">
        <w:rPr>
          <w:rFonts w:ascii="Arial" w:hAnsi="Arial" w:eastAsia="Calibri" w:cs="Arial"/>
          <w:b/>
        </w:rPr>
        <w:t>2. Consideraciones</w:t>
      </w:r>
    </w:p>
    <w:p w:rsidRPr="00DE648B" w:rsidR="00BB002F" w:rsidP="00BB002F" w:rsidRDefault="00BB002F" w14:paraId="7AB46B02" w14:textId="77777777">
      <w:pPr>
        <w:tabs>
          <w:tab w:val="left" w:pos="284"/>
        </w:tabs>
        <w:spacing w:after="0" w:line="276" w:lineRule="auto"/>
        <w:contextualSpacing/>
        <w:jc w:val="both"/>
        <w:rPr>
          <w:rFonts w:ascii="Arial" w:hAnsi="Arial" w:eastAsia="Calibri" w:cs="Arial"/>
          <w:b/>
        </w:rPr>
      </w:pPr>
    </w:p>
    <w:p w:rsidRPr="00DE648B" w:rsidR="00BB002F" w:rsidP="00BB002F" w:rsidRDefault="00BB002F" w14:paraId="767A12FA" w14:textId="77777777">
      <w:pPr>
        <w:spacing w:after="120" w:line="276" w:lineRule="auto"/>
        <w:jc w:val="both"/>
        <w:rPr>
          <w:rFonts w:ascii="Arial" w:hAnsi="Arial" w:eastAsia="Calibri" w:cs="Arial"/>
          <w:lang w:val="es-ES"/>
        </w:rPr>
      </w:pPr>
      <w:r w:rsidRPr="00DE648B">
        <w:rPr>
          <w:rFonts w:ascii="Arial" w:hAnsi="Arial" w:eastAsia="Calibri" w:cs="Arial"/>
          <w:bCs/>
          <w:lang w:val="es-MX"/>
        </w:rPr>
        <w:t>En ejercicio de las competencias establecidas en los artículos 3, numeral 5° y 11, numeral 8° del Decreto 4170 de 2011, la Agencia Nacional de Contratación Pública – Colombia Compra Eficiente resuelve consultas sobre los asuntos de su competencia, esto es, sobre las temáticas de la contratación estatal relacionados en los artículos citados.</w:t>
      </w:r>
      <w:r w:rsidRPr="00DE648B">
        <w:rPr>
          <w:rFonts w:ascii="Arial" w:hAnsi="Arial" w:eastAsia="Calibri" w:cs="Arial"/>
          <w:lang w:val="es-ES"/>
        </w:rPr>
        <w:t xml:space="preserve"> </w:t>
      </w:r>
      <w:bookmarkStart w:name="_Hlk61701014" w:id="10"/>
      <w:bookmarkStart w:name="_Hlk62136649" w:id="11"/>
      <w:r w:rsidRPr="00DE648B">
        <w:rPr>
          <w:rFonts w:ascii="Arial" w:hAnsi="Arial" w:eastAsia="Calibri" w:cs="Arial"/>
          <w:lang w:val="es-ES"/>
        </w:rPr>
        <w:t xml:space="preserve">Es necesario tener en cuenta que </w:t>
      </w:r>
      <w:bookmarkStart w:name="_Hlk61026958" w:id="12"/>
      <w:r w:rsidRPr="00DE648B">
        <w:rPr>
          <w:rFonts w:ascii="Arial" w:hAnsi="Arial" w:eastAsia="Calibri"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DE648B">
        <w:rPr>
          <w:rFonts w:ascii="Arial" w:hAnsi="Arial" w:eastAsia="Calibri" w:cs="Arial"/>
          <w:bCs/>
          <w:lang w:val="es-MX"/>
        </w:rPr>
        <w:t xml:space="preserve"> de todos los partícipes de la contratación estatal.</w:t>
      </w:r>
    </w:p>
    <w:p w:rsidRPr="00DE648B" w:rsidR="00BB002F" w:rsidP="00BB002F" w:rsidRDefault="00BB002F" w14:paraId="4436E659" w14:textId="77777777">
      <w:pPr>
        <w:spacing w:after="120" w:line="276" w:lineRule="auto"/>
        <w:ind w:firstLine="708"/>
        <w:jc w:val="both"/>
        <w:rPr>
          <w:rFonts w:ascii="Arial" w:hAnsi="Arial" w:eastAsia="Calibri" w:cs="Arial"/>
          <w:lang w:val="es-ES"/>
        </w:rPr>
      </w:pPr>
      <w:r w:rsidRPr="00DE648B">
        <w:rPr>
          <w:rFonts w:ascii="Arial" w:hAnsi="Arial" w:eastAsia="Calibri"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DE648B">
        <w:rPr>
          <w:rFonts w:ascii="Arial" w:hAnsi="Arial" w:eastAsia="Calibri" w:cs="Arial"/>
          <w:vertAlign w:val="superscript"/>
          <w:lang w:val="es-ES"/>
        </w:rPr>
        <w:footnoteReference w:id="1"/>
      </w:r>
      <w:r w:rsidRPr="00DE648B">
        <w:rPr>
          <w:rFonts w:ascii="Arial" w:hAnsi="Arial" w:eastAsia="Calibri" w:cs="Arial"/>
          <w:lang w:val="es-ES"/>
        </w:rPr>
        <w:t>. Esta competencia de interpretación de normas generales, por definición, no puede extenderse a la resolución de controversias, ni a brindar asesorías sobre casos puntuales.</w:t>
      </w:r>
      <w:bookmarkEnd w:id="10"/>
      <w:bookmarkEnd w:id="12"/>
    </w:p>
    <w:bookmarkEnd w:id="11"/>
    <w:p w:rsidRPr="00DE648B" w:rsidR="00BB002F" w:rsidP="00BB002F" w:rsidRDefault="00BB002F" w14:paraId="092FC2F8" w14:textId="77777777">
      <w:pPr>
        <w:spacing w:before="120" w:after="120" w:line="276" w:lineRule="auto"/>
        <w:ind w:firstLine="709"/>
        <w:jc w:val="both"/>
        <w:rPr>
          <w:rFonts w:ascii="Arial" w:hAnsi="Arial" w:eastAsia="Calibri" w:cs="Arial"/>
          <w:highlight w:val="yellow"/>
          <w:lang w:val="es-ES_tradnl" w:eastAsia="es-MX"/>
        </w:rPr>
      </w:pPr>
      <w:r w:rsidRPr="00DE648B">
        <w:rPr>
          <w:rFonts w:ascii="Arial" w:hAnsi="Arial" w:eastAsia="Calibri" w:cs="Arial"/>
          <w:lang w:val="es-MX"/>
        </w:rPr>
        <w:t xml:space="preserve">Sin perjuicio de lo anterior, </w:t>
      </w:r>
      <w:r w:rsidRPr="00DE648B">
        <w:rPr>
          <w:rFonts w:ascii="Arial" w:hAnsi="Arial" w:eastAsia="Calibri" w:cs="Arial"/>
          <w:lang w:val="es-ES"/>
        </w:rPr>
        <w:t>la Subdirección de Gestión Contractual dentro de los límites de sus atribuciones, resolverá la consulta conforme a las normas generales en materia de contratación estatal</w:t>
      </w:r>
      <w:r w:rsidRPr="00DE648B">
        <w:rPr>
          <w:rFonts w:ascii="Arial" w:hAnsi="Arial" w:eastAsia="Calibri" w:cs="Arial"/>
          <w:lang w:val="es-ES_tradnl" w:eastAsia="es-MX"/>
        </w:rPr>
        <w:t xml:space="preserve">. Con este objetivo, se analizarán los siguientes temas: i) definición y finalidad de la Ley de Garantías Electorales, </w:t>
      </w:r>
      <w:proofErr w:type="spellStart"/>
      <w:r w:rsidRPr="00DE648B">
        <w:rPr>
          <w:rFonts w:ascii="Arial" w:hAnsi="Arial" w:eastAsia="Calibri" w:cs="Arial"/>
          <w:lang w:val="es-ES_tradnl" w:eastAsia="es-MX"/>
        </w:rPr>
        <w:t>ii</w:t>
      </w:r>
      <w:proofErr w:type="spellEnd"/>
      <w:r w:rsidRPr="00DE648B">
        <w:rPr>
          <w:rFonts w:ascii="Arial" w:hAnsi="Arial" w:eastAsia="Calibri" w:cs="Arial"/>
          <w:lang w:val="es-ES_tradnl" w:eastAsia="es-MX"/>
        </w:rPr>
        <w:t xml:space="preserve">) </w:t>
      </w:r>
      <w:r w:rsidRPr="00DE648B">
        <w:rPr>
          <w:rFonts w:ascii="Arial" w:hAnsi="Arial" w:cs="Arial"/>
          <w:bCs/>
        </w:rPr>
        <w:t>restricciones para elecciones presidenciales</w:t>
      </w:r>
      <w:r w:rsidRPr="00DE648B">
        <w:rPr>
          <w:rFonts w:ascii="Arial" w:hAnsi="Arial" w:eastAsia="Calibri" w:cs="Arial"/>
          <w:lang w:val="es-ES_tradnl" w:eastAsia="es-MX"/>
        </w:rPr>
        <w:t xml:space="preserve">, </w:t>
      </w:r>
      <w:proofErr w:type="spellStart"/>
      <w:r w:rsidRPr="00DE648B">
        <w:rPr>
          <w:rFonts w:ascii="Arial" w:hAnsi="Arial" w:eastAsia="Calibri" w:cs="Arial"/>
          <w:lang w:val="es-ES_tradnl" w:eastAsia="es-MX"/>
        </w:rPr>
        <w:t>iii</w:t>
      </w:r>
      <w:proofErr w:type="spellEnd"/>
      <w:r w:rsidRPr="00DE648B">
        <w:rPr>
          <w:rFonts w:ascii="Arial" w:hAnsi="Arial" w:eastAsia="Calibri" w:cs="Arial"/>
          <w:lang w:val="es-ES_tradnl" w:eastAsia="es-MX"/>
        </w:rPr>
        <w:t xml:space="preserve">) restricciones para la celebración de contratos y convenios interadministrativos en los comicios para cargos de elección popular y, </w:t>
      </w:r>
      <w:proofErr w:type="spellStart"/>
      <w:r w:rsidRPr="00DE648B">
        <w:rPr>
          <w:rFonts w:ascii="Arial" w:hAnsi="Arial" w:eastAsia="Calibri" w:cs="Arial"/>
          <w:lang w:val="es-ES_tradnl" w:eastAsia="es-MX"/>
        </w:rPr>
        <w:t>iv</w:t>
      </w:r>
      <w:proofErr w:type="spellEnd"/>
      <w:r w:rsidRPr="00DE648B">
        <w:rPr>
          <w:rFonts w:ascii="Arial" w:hAnsi="Arial" w:eastAsia="Calibri" w:cs="Arial"/>
          <w:lang w:val="es-ES_tradnl" w:eastAsia="es-MX"/>
        </w:rPr>
        <w:t>) aplicación de la Ley de Garantías a las entidades descentralizadas.</w:t>
      </w:r>
    </w:p>
    <w:p w:rsidRPr="00DE648B" w:rsidR="00BB002F" w:rsidP="00BB002F" w:rsidRDefault="00BB002F" w14:paraId="08576762" w14:textId="77777777">
      <w:pPr>
        <w:spacing w:after="0" w:line="276" w:lineRule="auto"/>
        <w:ind w:firstLine="709"/>
        <w:jc w:val="both"/>
        <w:rPr>
          <w:rFonts w:ascii="Arial" w:hAnsi="Arial" w:eastAsia="Arial" w:cs="Arial"/>
          <w:lang w:val="es-MX" w:eastAsia="es-ES_tradnl"/>
        </w:rPr>
      </w:pPr>
      <w:r w:rsidRPr="00DE648B">
        <w:rPr>
          <w:rFonts w:ascii="Arial" w:hAnsi="Arial" w:eastAsia="Times New Roman" w:cs="Arial"/>
          <w:lang w:eastAsia="es-ES_tradnl"/>
        </w:rPr>
        <w:t xml:space="preserve">La Agencia Nacional de Contratación Pública – Colombia Compra Eficiente </w:t>
      </w:r>
      <w:r w:rsidRPr="00DE648B">
        <w:rPr>
          <w:rFonts w:ascii="Arial" w:hAnsi="Arial" w:eastAsia="Arial" w:cs="Arial"/>
          <w:lang w:val="es-MX" w:eastAsia="es-ES_tradnl"/>
        </w:rPr>
        <w:t xml:space="preserve">ha analizado diferentes aspectos de la Ley 996 de 2005 en los conceptos con número de radicado </w:t>
      </w:r>
      <w:r w:rsidRPr="00DE648B">
        <w:rPr>
          <w:rFonts w:ascii="Arial" w:hAnsi="Arial" w:eastAsia="Calibri" w:cs="Arial"/>
          <w:bCs/>
        </w:rPr>
        <w:t>C-099 del 22 de marzo de 2022, C-102 del 22 de marzo de 2022, C-107 del 18 de marzo de 2022, C-111 del 22 de marzo de 2022. C-115 del 22 de marzo de 2022, C-116 del 18 de marzo de 2022, C-127 del 22 de marzo de 2022, C-164 del 22 de marzo de 2022, C-118 del 09 de mayo de 2023, C-134 del 26 de mayo de 2023y y C-149 del 01 de junio de 2023</w:t>
      </w:r>
      <w:r w:rsidRPr="00DE648B">
        <w:rPr>
          <w:rFonts w:ascii="Arial" w:hAnsi="Arial" w:eastAsia="Calibri" w:cs="Arial"/>
          <w:bCs/>
          <w:vertAlign w:val="superscript"/>
        </w:rPr>
        <w:footnoteReference w:id="2"/>
      </w:r>
      <w:r w:rsidRPr="00DE648B">
        <w:rPr>
          <w:rFonts w:ascii="Arial" w:hAnsi="Arial" w:eastAsia="Calibri" w:cs="Arial"/>
          <w:lang w:val="es-ES_tradnl"/>
        </w:rPr>
        <w:t>.</w:t>
      </w:r>
      <w:r w:rsidRPr="00DE648B">
        <w:rPr>
          <w:rFonts w:ascii="Arial" w:hAnsi="Arial" w:eastAsia="Arial" w:cs="Arial"/>
          <w:lang w:val="es-MX" w:eastAsia="es-ES_tradnl"/>
        </w:rPr>
        <w:t xml:space="preserve"> </w:t>
      </w:r>
      <w:r w:rsidRPr="00DE648B">
        <w:rPr>
          <w:rFonts w:ascii="Arial" w:hAnsi="Arial" w:eastAsia="Calibri" w:cs="Arial"/>
          <w:lang w:val="es-ES_tradnl" w:eastAsia="es-ES_tradnl"/>
        </w:rPr>
        <w:t>Algunas de las consideraciones de estos conceptos se reiteran y se complementan en lo pertinente, teniendo en cuenta lo consultado.</w:t>
      </w:r>
    </w:p>
    <w:p w:rsidRPr="00DE648B" w:rsidR="00BB002F" w:rsidP="00BB002F" w:rsidRDefault="00BB002F" w14:paraId="1C25D26D" w14:textId="77777777">
      <w:pPr>
        <w:spacing w:after="0" w:line="276" w:lineRule="auto"/>
        <w:ind w:firstLine="709"/>
        <w:jc w:val="both"/>
        <w:rPr>
          <w:rFonts w:ascii="Arial" w:hAnsi="Arial" w:eastAsia="Times New Roman" w:cs="Arial"/>
          <w:b/>
          <w:bCs/>
          <w:iCs/>
          <w:szCs w:val="24"/>
          <w:lang w:val="es-ES_tradnl" w:eastAsia="es-ES_tradnl"/>
        </w:rPr>
      </w:pPr>
    </w:p>
    <w:p w:rsidRPr="00DE648B" w:rsidR="00BB002F" w:rsidP="00BB002F" w:rsidRDefault="00BB002F" w14:paraId="72065F6F" w14:textId="799CE3EB">
      <w:pPr>
        <w:spacing w:after="0" w:line="276" w:lineRule="auto"/>
        <w:jc w:val="both"/>
        <w:rPr>
          <w:rFonts w:ascii="Arial" w:hAnsi="Arial" w:eastAsia="Times New Roman" w:cs="Arial"/>
          <w:b/>
          <w:bCs/>
          <w:iCs/>
          <w:szCs w:val="24"/>
          <w:lang w:val="es-ES_tradnl" w:eastAsia="es-ES_tradnl"/>
        </w:rPr>
      </w:pPr>
      <w:r w:rsidRPr="00DE648B">
        <w:rPr>
          <w:rFonts w:ascii="Arial" w:hAnsi="Arial" w:eastAsia="Times New Roman" w:cs="Arial"/>
          <w:b/>
          <w:bCs/>
          <w:iCs/>
          <w:szCs w:val="24"/>
          <w:lang w:val="es-ES_tradnl" w:eastAsia="es-ES_tradnl"/>
        </w:rPr>
        <w:t>2.1. Definición y finalidad de la Ley de Garantías Electorales. Reiteración de línea</w:t>
      </w:r>
      <w:r w:rsidRPr="00DE648B" w:rsidR="00441562">
        <w:rPr>
          <w:rFonts w:ascii="Arial" w:hAnsi="Arial" w:eastAsia="Times New Roman" w:cs="Arial"/>
          <w:b/>
          <w:bCs/>
          <w:iCs/>
          <w:szCs w:val="24"/>
          <w:lang w:val="es-ES_tradnl" w:eastAsia="es-ES_tradnl"/>
        </w:rPr>
        <w:t>.</w:t>
      </w:r>
    </w:p>
    <w:p w:rsidRPr="00DE648B" w:rsidR="00BB002F" w:rsidP="00BB002F" w:rsidRDefault="00BB002F" w14:paraId="79881C3B" w14:textId="77777777">
      <w:pPr>
        <w:spacing w:after="0" w:line="240" w:lineRule="auto"/>
        <w:ind w:firstLine="709"/>
        <w:jc w:val="both"/>
        <w:rPr>
          <w:rFonts w:ascii="Arial" w:hAnsi="Arial" w:eastAsia="Times New Roman" w:cs="Arial"/>
          <w:iCs/>
          <w:szCs w:val="24"/>
          <w:lang w:val="es-ES_tradnl" w:eastAsia="es-ES_tradnl"/>
        </w:rPr>
      </w:pPr>
    </w:p>
    <w:p w:rsidRPr="00DE648B" w:rsidR="00BB002F" w:rsidP="00BB002F" w:rsidRDefault="00BB002F" w14:paraId="75B00DD3" w14:textId="77777777">
      <w:pPr>
        <w:spacing w:after="0" w:line="276" w:lineRule="auto"/>
        <w:jc w:val="both"/>
        <w:rPr>
          <w:rFonts w:ascii="Arial" w:hAnsi="Arial" w:eastAsia="Times New Roman" w:cs="Arial"/>
          <w:iCs/>
          <w:szCs w:val="24"/>
          <w:lang w:val="es-ES_tradnl" w:eastAsia="es-ES_tradnl"/>
        </w:rPr>
      </w:pPr>
      <w:r w:rsidRPr="00DE648B">
        <w:rPr>
          <w:rFonts w:ascii="Arial" w:hAnsi="Arial" w:eastAsia="Times New Roman" w:cs="Arial"/>
          <w:iCs/>
          <w:szCs w:val="24"/>
          <w:lang w:val="es-ES_tradnl" w:eastAsia="es-ES_tradnl"/>
        </w:rPr>
        <w:t>El ordenamiento jurídico colombiano contempla previsiones claras para evitar la obtención de beneficios personales en asuntos propios de la administración pública. Por ejemplo, el artículo 127 de la Constitución Política, establece una prohibición contractual a los servidores públicos y en cuento a aspectos políticos, consagra restricciones a ciertos empleados del Estado, incluso en época no electoral</w:t>
      </w:r>
      <w:r w:rsidRPr="00DE648B">
        <w:rPr>
          <w:rFonts w:ascii="Arial" w:hAnsi="Arial" w:eastAsia="Calibri" w:cs="Arial"/>
          <w:bCs/>
          <w:vertAlign w:val="superscript"/>
          <w:lang w:val="es-MX"/>
        </w:rPr>
        <w:footnoteReference w:id="3"/>
      </w:r>
      <w:r w:rsidRPr="00DE648B">
        <w:rPr>
          <w:rFonts w:ascii="Arial" w:hAnsi="Arial" w:eastAsia="Calibri" w:cs="Arial"/>
          <w:bCs/>
          <w:lang w:val="es-MX"/>
        </w:rPr>
        <w:t>.</w:t>
      </w:r>
    </w:p>
    <w:p w:rsidRPr="00DE648B" w:rsidR="00BB002F" w:rsidP="00BB002F" w:rsidRDefault="00BB002F" w14:paraId="7E0F445F" w14:textId="77777777">
      <w:pPr>
        <w:spacing w:before="120" w:after="0" w:line="276" w:lineRule="auto"/>
        <w:ind w:firstLine="709"/>
        <w:jc w:val="both"/>
        <w:rPr>
          <w:rFonts w:ascii="Arial" w:hAnsi="Arial" w:eastAsia="Times New Roman" w:cs="Arial"/>
          <w:iCs/>
          <w:szCs w:val="24"/>
          <w:lang w:val="es-ES_tradnl" w:eastAsia="es-ES_tradnl"/>
        </w:rPr>
      </w:pPr>
      <w:r w:rsidRPr="00DE648B">
        <w:rPr>
          <w:rFonts w:ascii="Arial" w:hAnsi="Arial" w:eastAsia="Times New Roman" w:cs="Arial"/>
          <w:iCs/>
          <w:szCs w:val="24"/>
          <w:lang w:val="es-ES_tradnl" w:eastAsia="es-ES_tradnl"/>
        </w:rPr>
        <w:t xml:space="preserve">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w:t>
      </w:r>
      <w:r w:rsidRPr="00DE648B">
        <w:rPr>
          <w:rFonts w:ascii="Arial" w:hAnsi="Arial" w:eastAsia="Times New Roman" w:cs="Arial"/>
          <w:iCs/>
          <w:szCs w:val="24"/>
          <w:lang w:val="es-ES_tradnl" w:eastAsia="es-ES_tradnl"/>
        </w:rPr>
        <w:t>elección presidencial</w:t>
      </w:r>
      <w:r w:rsidRPr="00DE648B">
        <w:rPr>
          <w:rFonts w:ascii="Arial" w:hAnsi="Arial" w:cs="Arial"/>
          <w:bCs/>
          <w:vertAlign w:val="superscript"/>
          <w:lang w:eastAsia="es-CO"/>
        </w:rPr>
        <w:footnoteReference w:id="4"/>
      </w:r>
      <w:r w:rsidRPr="00DE648B">
        <w:rPr>
          <w:rFonts w:ascii="Arial" w:hAnsi="Arial" w:cs="Arial"/>
          <w:bCs/>
          <w:lang w:eastAsia="es-CO"/>
        </w:rPr>
        <w:t>. En esta medida, introduce limitaciones para realizar nombramientos, postulaciones, contrataciones o cualquier otro tipo de actividad que implique destinación de recursos públicos bajo el devenir propio de las entidades estatales. En armonía con lo anterior, la Corte Constitucional ha abordado la definición de la Ley de Garantías Electorales. De esta manera, explica que tiene como propósito:</w:t>
      </w:r>
    </w:p>
    <w:p w:rsidRPr="00DE648B" w:rsidR="00BB002F" w:rsidP="00BB002F" w:rsidRDefault="00BB002F" w14:paraId="2ABEDFEF" w14:textId="77777777">
      <w:pPr>
        <w:spacing w:after="0" w:line="240" w:lineRule="auto"/>
        <w:ind w:left="709" w:right="709"/>
        <w:contextualSpacing/>
        <w:jc w:val="both"/>
        <w:rPr>
          <w:rFonts w:ascii="Arial" w:hAnsi="Arial" w:cs="Arial"/>
          <w:sz w:val="21"/>
          <w:szCs w:val="21"/>
          <w:lang w:val="es-ES" w:eastAsia="es-CO"/>
        </w:rPr>
      </w:pPr>
    </w:p>
    <w:p w:rsidRPr="00DE648B" w:rsidR="00BB002F" w:rsidP="00BB002F" w:rsidRDefault="00BB002F" w14:paraId="77A18B31" w14:textId="77777777">
      <w:pPr>
        <w:spacing w:after="0" w:line="240" w:lineRule="auto"/>
        <w:ind w:left="709" w:right="709"/>
        <w:contextualSpacing/>
        <w:jc w:val="both"/>
        <w:rPr>
          <w:rFonts w:ascii="Arial" w:hAnsi="Arial" w:cs="Arial"/>
          <w:bCs/>
          <w:sz w:val="21"/>
          <w:szCs w:val="21"/>
          <w:lang w:val="es-MX" w:eastAsia="es-CO"/>
        </w:rPr>
      </w:pPr>
      <w:r w:rsidRPr="00DE648B">
        <w:rPr>
          <w:rFonts w:ascii="Arial" w:hAnsi="Arial" w:cs="Arial"/>
          <w:sz w:val="21"/>
          <w:szCs w:val="21"/>
          <w:lang w:val="es-ES" w:eastAsia="es-CO"/>
        </w:rPr>
        <w:t xml:space="preserve">“[…] </w:t>
      </w:r>
      <w:r w:rsidRPr="00DE648B">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rsidRPr="00DE648B" w:rsidR="00BB002F" w:rsidP="00BB002F" w:rsidRDefault="00BB002F" w14:paraId="0B65DFEC" w14:textId="77777777">
      <w:pPr>
        <w:spacing w:before="120" w:after="120" w:line="276" w:lineRule="auto"/>
        <w:ind w:left="709" w:right="709"/>
        <w:jc w:val="both"/>
        <w:rPr>
          <w:rFonts w:ascii="Arial" w:hAnsi="Arial" w:cs="Arial"/>
          <w:bCs/>
          <w:sz w:val="21"/>
          <w:szCs w:val="21"/>
          <w:lang w:val="es-MX" w:eastAsia="es-CO"/>
        </w:rPr>
      </w:pPr>
      <w:r w:rsidRPr="00DE648B">
        <w:rPr>
          <w:rFonts w:ascii="Arial" w:hAnsi="Arial" w:cs="Arial"/>
          <w:bCs/>
          <w:sz w:val="21"/>
          <w:szCs w:val="21"/>
          <w:lang w:val="es-MX" w:eastAsia="es-CO"/>
        </w:rPr>
        <w:t xml:space="preserve">[…] </w:t>
      </w:r>
    </w:p>
    <w:p w:rsidRPr="00DE648B" w:rsidR="00BB002F" w:rsidP="00BB002F" w:rsidRDefault="00BB002F" w14:paraId="5E4C23CB" w14:textId="77777777">
      <w:pPr>
        <w:spacing w:after="0" w:line="240" w:lineRule="auto"/>
        <w:ind w:left="709" w:right="709"/>
        <w:contextualSpacing/>
        <w:jc w:val="both"/>
        <w:rPr>
          <w:rFonts w:ascii="Arial" w:hAnsi="Arial" w:cs="Arial"/>
          <w:bCs/>
          <w:sz w:val="21"/>
          <w:szCs w:val="21"/>
          <w:lang w:val="es-MX" w:eastAsia="es-CO"/>
        </w:rPr>
      </w:pPr>
      <w:r w:rsidRPr="00DE648B">
        <w:rPr>
          <w:rFonts w:ascii="Arial"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DE648B">
        <w:rPr>
          <w:rFonts w:ascii="Arial" w:hAnsi="Arial" w:eastAsia="Calibri" w:cs="Arial"/>
          <w:sz w:val="21"/>
          <w:szCs w:val="21"/>
          <w:vertAlign w:val="superscript"/>
          <w:lang w:val="es-MX"/>
        </w:rPr>
        <w:footnoteReference w:id="5"/>
      </w:r>
      <w:r w:rsidRPr="00DE648B">
        <w:rPr>
          <w:rFonts w:ascii="Arial" w:hAnsi="Arial" w:cs="Arial"/>
          <w:bCs/>
          <w:sz w:val="21"/>
          <w:szCs w:val="21"/>
          <w:lang w:val="es-MX" w:eastAsia="es-CO"/>
        </w:rPr>
        <w:t>”.</w:t>
      </w:r>
    </w:p>
    <w:p w:rsidRPr="00DE648B" w:rsidR="00BB002F" w:rsidP="00BB002F" w:rsidRDefault="00BB002F" w14:paraId="2A061264" w14:textId="77777777">
      <w:pPr>
        <w:spacing w:after="0" w:line="276" w:lineRule="auto"/>
        <w:ind w:left="708" w:right="709"/>
        <w:contextualSpacing/>
        <w:jc w:val="both"/>
        <w:rPr>
          <w:rFonts w:ascii="Arial" w:hAnsi="Arial" w:cs="Arial"/>
          <w:bCs/>
          <w:lang w:val="es-MX" w:eastAsia="es-CO"/>
        </w:rPr>
      </w:pPr>
    </w:p>
    <w:p w:rsidRPr="00DE648B" w:rsidR="00BB002F" w:rsidP="00BB002F" w:rsidRDefault="00BB002F" w14:paraId="45FC5288" w14:textId="77777777">
      <w:pPr>
        <w:spacing w:after="0" w:line="276" w:lineRule="auto"/>
        <w:contextualSpacing/>
        <w:jc w:val="both"/>
        <w:rPr>
          <w:rFonts w:ascii="Arial" w:hAnsi="Arial" w:cs="Arial"/>
          <w:bCs/>
          <w:lang w:val="es-MX" w:eastAsia="es-CO"/>
        </w:rPr>
      </w:pPr>
      <w:r w:rsidRPr="00DE648B">
        <w:rPr>
          <w:rFonts w:ascii="Arial" w:hAnsi="Arial" w:cs="Arial"/>
          <w:bCs/>
          <w:lang w:val="es-MX" w:eastAsia="es-CO"/>
        </w:rPr>
        <w:tab/>
      </w:r>
      <w:r w:rsidRPr="00DE648B">
        <w:rPr>
          <w:rFonts w:ascii="Arial" w:hAnsi="Arial" w:cs="Arial"/>
          <w:bCs/>
          <w:lang w:val="es-MX" w:eastAsia="es-CO"/>
        </w:rPr>
        <w:t xml:space="preserve">En ese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electorales. Por ello, varias de las disposiciones de la Ley 996 de 2005, al contener normas prohibitivas, no admiten una interpretación amplia, sino que deben interpretarse restrictivamente. En efecto, la Sala de Consulta y Servicio del Consejo de Estado, precisó lo siguiente: </w:t>
      </w:r>
    </w:p>
    <w:p w:rsidRPr="00DE648B" w:rsidR="00BB002F" w:rsidP="00BB002F" w:rsidRDefault="00BB002F" w14:paraId="7BF6FAD4" w14:textId="77777777">
      <w:pPr>
        <w:spacing w:after="0" w:line="240" w:lineRule="auto"/>
        <w:ind w:left="709" w:right="709"/>
        <w:contextualSpacing/>
        <w:jc w:val="both"/>
        <w:rPr>
          <w:rFonts w:ascii="Arial" w:hAnsi="Arial" w:cs="Arial"/>
          <w:bCs/>
          <w:sz w:val="21"/>
          <w:szCs w:val="21"/>
          <w:lang w:val="es-MX" w:eastAsia="es-CO"/>
        </w:rPr>
      </w:pPr>
    </w:p>
    <w:p w:rsidRPr="00DE648B" w:rsidR="00BB002F" w:rsidP="00BB002F" w:rsidRDefault="00BB002F" w14:paraId="4D018589" w14:textId="77777777">
      <w:pPr>
        <w:spacing w:after="0" w:line="240" w:lineRule="auto"/>
        <w:ind w:left="709" w:right="709"/>
        <w:contextualSpacing/>
        <w:jc w:val="both"/>
        <w:rPr>
          <w:rFonts w:ascii="Arial" w:hAnsi="Arial" w:cs="Arial"/>
          <w:bCs/>
          <w:sz w:val="21"/>
          <w:szCs w:val="21"/>
          <w:lang w:val="es-MX" w:eastAsia="es-CO"/>
        </w:rPr>
      </w:pPr>
      <w:r w:rsidRPr="00DE648B">
        <w:rPr>
          <w:rFonts w:ascii="Arial"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DE648B">
        <w:rPr>
          <w:rFonts w:ascii="Arial" w:hAnsi="Arial" w:cs="Arial"/>
          <w:bCs/>
          <w:sz w:val="21"/>
          <w:szCs w:val="21"/>
          <w:lang w:val="es-MX" w:eastAsia="es-CO"/>
        </w:rPr>
        <w:t>legis</w:t>
      </w:r>
      <w:proofErr w:type="spellEnd"/>
      <w:r w:rsidRPr="00DE648B">
        <w:rPr>
          <w:rFonts w:ascii="Arial"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rsidRPr="00DE648B" w:rsidR="00BB002F" w:rsidP="00BB002F" w:rsidRDefault="00BB002F" w14:paraId="4E6CAF9C" w14:textId="77777777">
      <w:pPr>
        <w:spacing w:after="0" w:line="240" w:lineRule="auto"/>
        <w:ind w:left="709" w:right="709"/>
        <w:contextualSpacing/>
        <w:jc w:val="both"/>
        <w:rPr>
          <w:rFonts w:ascii="Arial" w:hAnsi="Arial" w:cs="Arial"/>
          <w:bCs/>
          <w:sz w:val="21"/>
          <w:szCs w:val="21"/>
          <w:lang w:val="es-MX" w:eastAsia="es-CO"/>
        </w:rPr>
      </w:pPr>
    </w:p>
    <w:p w:rsidRPr="00DE648B" w:rsidR="00BB002F" w:rsidP="00BB002F" w:rsidRDefault="00BB002F" w14:paraId="3A99E184" w14:textId="77777777">
      <w:pPr>
        <w:spacing w:after="0" w:line="240" w:lineRule="auto"/>
        <w:ind w:left="709" w:right="709"/>
        <w:contextualSpacing/>
        <w:jc w:val="both"/>
        <w:rPr>
          <w:rFonts w:ascii="Arial" w:hAnsi="Arial" w:cs="Arial"/>
          <w:bCs/>
          <w:sz w:val="21"/>
          <w:szCs w:val="21"/>
          <w:lang w:val="es-MX" w:eastAsia="es-CO"/>
        </w:rPr>
      </w:pPr>
      <w:r w:rsidRPr="00DE648B">
        <w:rPr>
          <w:rFonts w:ascii="Arial" w:hAnsi="Arial" w:cs="Arial"/>
          <w:bCs/>
          <w:sz w:val="21"/>
          <w:szCs w:val="21"/>
          <w:lang w:val="es-MX" w:eastAsia="es-CO"/>
        </w:rPr>
        <w:t>La jurisprudencia de la Corte Constitucional</w:t>
      </w:r>
      <w:r w:rsidRPr="00DE648B">
        <w:rPr>
          <w:rFonts w:ascii="Arial" w:hAnsi="Arial" w:cs="Arial"/>
          <w:bCs/>
          <w:sz w:val="21"/>
          <w:szCs w:val="21"/>
          <w:vertAlign w:val="superscript"/>
          <w:lang w:val="es-MX" w:eastAsia="es-CO"/>
        </w:rPr>
        <w:footnoteReference w:id="6"/>
      </w:r>
      <w:r w:rsidRPr="00DE648B">
        <w:rPr>
          <w:rFonts w:ascii="Arial" w:hAnsi="Arial" w:cs="Arial"/>
          <w:bCs/>
          <w:sz w:val="21"/>
          <w:szCs w:val="21"/>
          <w:lang w:val="es-MX" w:eastAsia="es-CO"/>
        </w:rPr>
        <w:t> y del Consejo de Estado</w:t>
      </w:r>
      <w:r w:rsidRPr="00DE648B">
        <w:rPr>
          <w:rFonts w:ascii="Arial" w:hAnsi="Arial" w:cs="Arial"/>
          <w:bCs/>
          <w:sz w:val="21"/>
          <w:szCs w:val="21"/>
          <w:vertAlign w:val="superscript"/>
          <w:lang w:val="es-MX" w:eastAsia="es-CO"/>
        </w:rPr>
        <w:footnoteReference w:id="7"/>
      </w:r>
      <w:r w:rsidRPr="00DE648B">
        <w:rPr>
          <w:rFonts w:ascii="Arial"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DE648B">
        <w:rPr>
          <w:rFonts w:ascii="Arial" w:hAnsi="Arial" w:cs="Arial"/>
          <w:bCs/>
          <w:sz w:val="21"/>
          <w:szCs w:val="21"/>
          <w:vertAlign w:val="superscript"/>
          <w:lang w:val="es-MX" w:eastAsia="es-CO"/>
        </w:rPr>
        <w:footnoteReference w:id="8"/>
      </w:r>
      <w:r w:rsidRPr="00DE648B">
        <w:rPr>
          <w:rFonts w:ascii="Arial" w:hAnsi="Arial" w:cs="Arial"/>
          <w:bCs/>
          <w:sz w:val="21"/>
          <w:szCs w:val="21"/>
          <w:lang w:val="es-MX" w:eastAsia="es-CO"/>
        </w:rPr>
        <w:t>”.</w:t>
      </w:r>
    </w:p>
    <w:p w:rsidRPr="00DE648B" w:rsidR="00BB002F" w:rsidP="00BB002F" w:rsidRDefault="00BB002F" w14:paraId="3C6D69BB" w14:textId="77777777">
      <w:pPr>
        <w:spacing w:after="0" w:line="276" w:lineRule="auto"/>
        <w:ind w:right="709"/>
        <w:contextualSpacing/>
        <w:jc w:val="both"/>
        <w:rPr>
          <w:rFonts w:ascii="Arial" w:hAnsi="Arial" w:cs="Arial"/>
          <w:bCs/>
          <w:color w:val="FF0000"/>
          <w:lang w:val="es-MX" w:eastAsia="es-CO"/>
        </w:rPr>
      </w:pPr>
    </w:p>
    <w:p w:rsidRPr="00DE648B" w:rsidR="00BB002F" w:rsidP="00BB002F" w:rsidRDefault="00BB002F" w14:paraId="4C7E1089" w14:textId="77777777">
      <w:pPr>
        <w:spacing w:after="0" w:line="276" w:lineRule="auto"/>
        <w:contextualSpacing/>
        <w:jc w:val="both"/>
        <w:rPr>
          <w:rFonts w:ascii="Arial" w:hAnsi="Arial" w:cs="Arial"/>
          <w:bCs/>
          <w:lang w:val="es-MX" w:eastAsia="es-CO"/>
        </w:rPr>
      </w:pPr>
      <w:r w:rsidRPr="00DE648B">
        <w:rPr>
          <w:rFonts w:ascii="Arial" w:hAnsi="Arial" w:cs="Arial"/>
          <w:bCs/>
          <w:color w:val="FF0000"/>
          <w:lang w:val="es-MX" w:eastAsia="es-CO"/>
        </w:rPr>
        <w:tab/>
      </w:r>
      <w:r w:rsidRPr="00DE648B">
        <w:rPr>
          <w:rFonts w:ascii="Arial" w:hAnsi="Arial" w:cs="Arial"/>
          <w:bCs/>
          <w:lang w:val="es-MX" w:eastAsia="es-CO"/>
        </w:rPr>
        <w:t>De conformidad con lo anterior, 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alteren las condiciones de igualdad entre los candidatos. Específicamente, las restricciones consagradas en la citada ley se dirigen a dos (2) tipo de campañas electorales claramente diferenciadas: las presidenciales y las demás que se adelanten para la elección de los demás cargos de elección popular, tanto a nivel nacional como territorial.</w:t>
      </w:r>
    </w:p>
    <w:p w:rsidRPr="00DE648B" w:rsidR="00BB002F" w:rsidP="00BB002F" w:rsidRDefault="00BB002F" w14:paraId="1B4D3D4D" w14:textId="77777777">
      <w:pPr>
        <w:spacing w:before="120" w:after="0" w:line="276" w:lineRule="auto"/>
        <w:ind w:firstLine="709"/>
        <w:jc w:val="both"/>
        <w:rPr>
          <w:rFonts w:ascii="Arial" w:hAnsi="Arial" w:eastAsia="Times New Roman" w:cs="Arial"/>
          <w:iCs/>
          <w:szCs w:val="24"/>
          <w:lang w:val="es-ES_tradnl" w:eastAsia="es-ES_tradnl"/>
        </w:rPr>
      </w:pPr>
      <w:r w:rsidRPr="00DE648B">
        <w:rPr>
          <w:rFonts w:ascii="Arial" w:hAnsi="Arial" w:eastAsia="Times New Roman" w:cs="Arial"/>
          <w:iCs/>
          <w:szCs w:val="24"/>
          <w:lang w:val="es-ES_tradnl" w:eastAsia="es-ES_tradnl"/>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DE648B">
        <w:rPr>
          <w:rFonts w:ascii="Arial" w:hAnsi="Arial" w:eastAsia="Calibri" w:cs="Arial"/>
          <w:bCs/>
          <w:vertAlign w:val="superscript"/>
        </w:rPr>
        <w:footnoteReference w:id="9"/>
      </w:r>
      <w:r w:rsidRPr="00DE648B">
        <w:rPr>
          <w:rFonts w:ascii="Arial" w:hAnsi="Arial" w:eastAsia="Times New Roman" w:cs="Arial"/>
          <w:iCs/>
          <w:szCs w:val="24"/>
          <w:lang w:val="es-ES_tradnl" w:eastAsia="es-ES_tradnl"/>
        </w:rPr>
        <w:t>”</w:t>
      </w:r>
      <w:r w:rsidRPr="00DE648B">
        <w:rPr>
          <w:rFonts w:ascii="Arial" w:hAnsi="Arial" w:eastAsia="Calibri" w:cs="Arial"/>
        </w:rPr>
        <w:t>.</w:t>
      </w:r>
    </w:p>
    <w:p w:rsidRPr="00DE648B" w:rsidR="00BB002F" w:rsidP="00BB002F" w:rsidRDefault="00BB002F" w14:paraId="7D356B2A" w14:textId="77777777">
      <w:pPr>
        <w:spacing w:before="120" w:after="0" w:line="276" w:lineRule="auto"/>
        <w:ind w:firstLine="709"/>
        <w:jc w:val="both"/>
        <w:rPr>
          <w:rFonts w:ascii="Arial" w:hAnsi="Arial" w:eastAsia="Times New Roman" w:cs="Arial"/>
          <w:iCs/>
          <w:szCs w:val="24"/>
          <w:lang w:val="es-ES_tradnl" w:eastAsia="es-ES_tradnl"/>
        </w:rPr>
      </w:pPr>
      <w:r w:rsidRPr="00DE648B">
        <w:rPr>
          <w:rFonts w:ascii="Arial" w:hAnsi="Arial" w:eastAsia="Times New Roman" w:cs="Arial"/>
          <w:iCs/>
          <w:szCs w:val="24"/>
          <w:lang w:val="es-ES_tradnl" w:eastAsia="es-ES_tradnl"/>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DE648B">
        <w:rPr>
          <w:rFonts w:ascii="Arial" w:hAnsi="Arial" w:eastAsia="Calibri" w:cs="Arial"/>
          <w:bCs/>
          <w:vertAlign w:val="superscript"/>
        </w:rPr>
        <w:t xml:space="preserve"> </w:t>
      </w:r>
      <w:r w:rsidRPr="00DE648B">
        <w:rPr>
          <w:rFonts w:ascii="Arial" w:hAnsi="Arial" w:eastAsia="Calibri" w:cs="Arial"/>
          <w:bCs/>
          <w:vertAlign w:val="superscript"/>
        </w:rPr>
        <w:footnoteReference w:id="10"/>
      </w:r>
      <w:r w:rsidRPr="00DE648B">
        <w:rPr>
          <w:rFonts w:ascii="Arial" w:hAnsi="Arial" w:eastAsia="Calibri" w:cs="Arial"/>
        </w:rPr>
        <w:t>”.</w:t>
      </w:r>
    </w:p>
    <w:p w:rsidRPr="00DE648B" w:rsidR="00BB002F" w:rsidP="00BB002F" w:rsidRDefault="00BB002F" w14:paraId="055D334E" w14:textId="77777777">
      <w:pPr>
        <w:spacing w:before="120" w:after="0" w:line="276" w:lineRule="auto"/>
        <w:ind w:firstLine="709"/>
        <w:jc w:val="both"/>
        <w:rPr>
          <w:rFonts w:ascii="Arial" w:hAnsi="Arial" w:eastAsia="Times New Roman" w:cs="Arial"/>
          <w:iCs/>
          <w:szCs w:val="24"/>
          <w:lang w:val="es-ES_tradnl" w:eastAsia="es-ES_tradnl"/>
        </w:rPr>
      </w:pPr>
      <w:r w:rsidRPr="00DE648B">
        <w:rPr>
          <w:rFonts w:ascii="Arial" w:hAnsi="Arial" w:eastAsia="Times New Roman" w:cs="Arial"/>
          <w:iCs/>
          <w:szCs w:val="24"/>
          <w:lang w:val="es-ES_tradnl" w:eastAsia="es-ES_tradnl"/>
        </w:rPr>
        <w:t>La Sala de Consulta y Servicio Civil del Consejo de Estado ha aclarado la distinción en la aplicación de las prohibiciones de la Ley 996 de 2005, dependiendo del tipo de elección que se trate. Sobre el particular, consideró:</w:t>
      </w:r>
    </w:p>
    <w:p w:rsidRPr="00DE648B" w:rsidR="00BB002F" w:rsidP="00BB002F" w:rsidRDefault="00BB002F" w14:paraId="6385F35A" w14:textId="77777777">
      <w:pPr>
        <w:widowControl w:val="0"/>
        <w:autoSpaceDE w:val="0"/>
        <w:autoSpaceDN w:val="0"/>
        <w:spacing w:after="0" w:line="240" w:lineRule="auto"/>
        <w:ind w:left="709" w:right="709"/>
        <w:contextualSpacing/>
        <w:jc w:val="both"/>
        <w:rPr>
          <w:rFonts w:ascii="Arial" w:hAnsi="Arial" w:eastAsia="Arial" w:cs="Arial"/>
          <w:sz w:val="21"/>
          <w:szCs w:val="21"/>
          <w:lang w:val="es-ES" w:eastAsia="es-ES" w:bidi="es-ES"/>
        </w:rPr>
      </w:pPr>
    </w:p>
    <w:p w:rsidRPr="00DE648B" w:rsidR="00BB002F" w:rsidP="00BB002F" w:rsidRDefault="00BB002F" w14:paraId="24D5B07E" w14:textId="77777777">
      <w:pPr>
        <w:widowControl w:val="0"/>
        <w:autoSpaceDE w:val="0"/>
        <w:autoSpaceDN w:val="0"/>
        <w:spacing w:after="0" w:line="240" w:lineRule="auto"/>
        <w:ind w:left="709" w:right="709"/>
        <w:contextualSpacing/>
        <w:jc w:val="both"/>
        <w:rPr>
          <w:rFonts w:ascii="Arial" w:hAnsi="Arial" w:eastAsia="Arial" w:cs="Arial"/>
          <w:sz w:val="21"/>
          <w:szCs w:val="21"/>
          <w:lang w:val="es-ES" w:eastAsia="es-ES" w:bidi="es-ES"/>
        </w:rPr>
      </w:pPr>
      <w:r w:rsidRPr="00DE648B">
        <w:rPr>
          <w:rFonts w:ascii="Arial" w:hAnsi="Arial" w:eastAsia="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name="_Hlk76109421" w:id="15"/>
      <w:r w:rsidRPr="00DE648B">
        <w:rPr>
          <w:rFonts w:ascii="Arial" w:hAnsi="Arial" w:eastAsia="Arial" w:cs="Arial"/>
          <w:sz w:val="21"/>
          <w:szCs w:val="21"/>
          <w:lang w:val="es-ES" w:eastAsia="es-ES" w:bidi="es-ES"/>
        </w:rPr>
        <w:t>se integran parcialmente</w:t>
      </w:r>
      <w:bookmarkEnd w:id="15"/>
      <w:r w:rsidRPr="00DE648B">
        <w:rPr>
          <w:rFonts w:ascii="Arial" w:hAnsi="Arial" w:eastAsia="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DE648B">
        <w:rPr>
          <w:rFonts w:ascii="Arial" w:hAnsi="Arial" w:eastAsia="Arial" w:cs="Arial"/>
          <w:bCs/>
          <w:i/>
          <w:iCs/>
          <w:sz w:val="21"/>
          <w:szCs w:val="21"/>
          <w:u w:val="single"/>
          <w:lang w:val="es-ES" w:eastAsia="es-ES" w:bidi="es-ES"/>
        </w:rPr>
        <w:t xml:space="preserve">En cambio, para elecciones en general, excluyendo las correspondientes a Presidente de la República, a las autoridades territoriales allí mencionadas sólo se aplican las </w:t>
      </w:r>
      <w:r w:rsidRPr="00DE648B">
        <w:rPr>
          <w:rFonts w:ascii="Arial" w:hAnsi="Arial" w:eastAsia="Arial" w:cs="Arial"/>
          <w:bCs/>
          <w:i/>
          <w:iCs/>
          <w:sz w:val="21"/>
          <w:szCs w:val="21"/>
          <w:u w:val="single"/>
          <w:lang w:val="es-ES" w:eastAsia="es-ES" w:bidi="es-ES"/>
        </w:rPr>
        <w:t>restricciones contenidas en el parágrafo del artículo 38</w:t>
      </w:r>
      <w:r w:rsidRPr="00DE648B">
        <w:rPr>
          <w:rFonts w:ascii="Arial" w:hAnsi="Arial" w:eastAsia="Arial" w:cs="Arial"/>
          <w:sz w:val="21"/>
          <w:szCs w:val="21"/>
          <w:vertAlign w:val="superscript"/>
          <w:lang w:val="es-ES" w:eastAsia="es-ES" w:bidi="es-ES"/>
        </w:rPr>
        <w:footnoteReference w:id="11"/>
      </w:r>
      <w:r w:rsidRPr="00DE648B">
        <w:rPr>
          <w:rFonts w:ascii="Arial" w:hAnsi="Arial" w:eastAsia="Arial" w:cs="Arial"/>
          <w:sz w:val="21"/>
          <w:szCs w:val="21"/>
          <w:lang w:val="es-ES" w:eastAsia="es-ES" w:bidi="es-ES"/>
        </w:rPr>
        <w:t>”. [Énfasis fuera de texto]</w:t>
      </w:r>
    </w:p>
    <w:p w:rsidRPr="00DE648B" w:rsidR="00BB002F" w:rsidP="00BB002F" w:rsidRDefault="00BB002F" w14:paraId="34E0A1B9" w14:textId="77777777">
      <w:pPr>
        <w:spacing w:after="0" w:line="276" w:lineRule="auto"/>
        <w:ind w:firstLine="709"/>
        <w:jc w:val="both"/>
        <w:rPr>
          <w:rFonts w:ascii="Arial" w:hAnsi="Arial" w:eastAsia="Times New Roman" w:cs="Arial"/>
          <w:i/>
          <w:szCs w:val="24"/>
          <w:lang w:val="es-ES_tradnl" w:eastAsia="es-ES_tradnl"/>
        </w:rPr>
      </w:pPr>
    </w:p>
    <w:p w:rsidRPr="00DE648B" w:rsidR="00BB002F" w:rsidP="00BB002F" w:rsidRDefault="00BB002F" w14:paraId="28A908C8" w14:textId="77777777">
      <w:pPr>
        <w:spacing w:after="0" w:line="276" w:lineRule="auto"/>
        <w:ind w:firstLine="709"/>
        <w:jc w:val="both"/>
        <w:rPr>
          <w:rFonts w:ascii="Arial" w:hAnsi="Arial" w:cs="Arial"/>
        </w:rPr>
      </w:pPr>
      <w:r w:rsidRPr="00DE648B">
        <w:rPr>
          <w:rFonts w:ascii="Arial" w:hAnsi="Arial" w:eastAsia="Times New Roman" w:cs="Arial"/>
          <w:iCs/>
          <w:szCs w:val="24"/>
          <w:lang w:val="es-ES_tradnl" w:eastAsia="es-ES_tradnl"/>
        </w:rPr>
        <w:t xml:space="preserve">De conformidad con lo anterior, la Ley 996 de 2005 establece dos (2) tipos de restricciones en materia de contratación, las cuales coinciden parcialmente. </w:t>
      </w:r>
      <w:r w:rsidRPr="00DE648B">
        <w:rPr>
          <w:rFonts w:ascii="Arial" w:hAnsi="Arial" w:eastAsia="Times New Roman" w:cs="Arial"/>
          <w:i/>
          <w:szCs w:val="24"/>
          <w:lang w:val="es-ES_tradnl" w:eastAsia="es-ES_tradnl"/>
        </w:rPr>
        <w:t xml:space="preserve">En primer lugar, </w:t>
      </w:r>
      <w:r w:rsidRPr="00DE648B">
        <w:rPr>
          <w:rFonts w:ascii="Arial" w:hAnsi="Arial" w:eastAsia="Times New Roman" w:cs="Arial"/>
          <w:iCs/>
          <w:szCs w:val="24"/>
          <w:lang w:val="es-ES_tradnl" w:eastAsia="es-ES_tradnl"/>
        </w:rPr>
        <w:t>la del artículo 33, que opera solo respecto de las elecciones presidenciales, en virtud de la cual queda proscrita la contratación directa dentro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a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Y</w:t>
      </w:r>
      <w:r w:rsidRPr="00DE648B">
        <w:rPr>
          <w:rFonts w:ascii="Arial" w:hAnsi="Arial" w:cs="Arial"/>
          <w:i/>
          <w:iCs/>
        </w:rPr>
        <w:t xml:space="preserve"> en segundo lugar, </w:t>
      </w:r>
      <w:r w:rsidRPr="00DE648B">
        <w:rPr>
          <w:rFonts w:ascii="Arial" w:hAnsi="Arial" w:cs="Arial"/>
        </w:rPr>
        <w:t>también se encuentra la prohibición de contienda electoral, y que prohíbe la celebración de convenios interadministrativos que impliquen la ejecución de recursos públicos dentro de los cuatro (4) meses anteriores a la respectiva jornada de votaciones.</w:t>
      </w:r>
    </w:p>
    <w:p w:rsidRPr="00DE648B" w:rsidR="00BB002F" w:rsidP="00BB002F" w:rsidRDefault="00BB002F" w14:paraId="77C29A93" w14:textId="77777777">
      <w:pPr>
        <w:spacing w:before="120" w:after="0" w:line="276" w:lineRule="auto"/>
        <w:ind w:firstLine="709"/>
        <w:jc w:val="both"/>
        <w:rPr>
          <w:rFonts w:ascii="Arial" w:hAnsi="Arial" w:eastAsia="Times New Roman" w:cs="Arial"/>
          <w:i/>
          <w:szCs w:val="24"/>
          <w:lang w:val="es-ES_tradnl" w:eastAsia="es-ES_tradnl"/>
        </w:rPr>
      </w:pPr>
      <w:r w:rsidRPr="00DE648B">
        <w:rPr>
          <w:rFonts w:ascii="Arial" w:hAnsi="Arial" w:eastAsia="Times New Roman" w:cs="Arial"/>
          <w:iCs/>
          <w:szCs w:val="24"/>
          <w:lang w:val="es-ES_tradnl" w:eastAsia="es-ES_tradnl"/>
        </w:rPr>
        <w:t xml:space="preserve">Ambas restricciones no son excluyentes, lo que permite concluir que en el período preelectoral para elección del Presidente de la República, a todos los entes del Estado, incluidos los territoriales, aplican las restricciones del artículo 33 de la Ley 996 de 2005 con sus excepciones, así como las del parágrafo del artículo 38 </w:t>
      </w:r>
      <w:r w:rsidRPr="00DE648B">
        <w:rPr>
          <w:rFonts w:ascii="Arial" w:hAnsi="Arial" w:eastAsia="Times New Roman" w:cs="Arial"/>
          <w:i/>
          <w:szCs w:val="24"/>
          <w:lang w:val="es-ES_tradnl" w:eastAsia="es-ES_tradnl"/>
        </w:rPr>
        <w:t>ibidem</w:t>
      </w:r>
      <w:r w:rsidRPr="00DE648B">
        <w:rPr>
          <w:rFonts w:ascii="Arial" w:hAnsi="Arial" w:eastAsia="Times New Roman" w:cs="Arial"/>
          <w:iCs/>
          <w:szCs w:val="24"/>
          <w:lang w:val="es-ES_tradnl" w:eastAsia="es-ES_tradnl"/>
        </w:rPr>
        <w:t xml:space="preserve">. En cambio, tratándose de elecciones en general, excluyendo las correspondientes al Presidente de la República, las autoridades allí mencionadas sólo deben aplicar las restricciones contenidas en el parágrafo del artículo 38 </w:t>
      </w:r>
      <w:r w:rsidRPr="00DE648B">
        <w:rPr>
          <w:rFonts w:ascii="Arial" w:hAnsi="Arial" w:eastAsia="Times New Roman" w:cs="Arial"/>
          <w:i/>
          <w:szCs w:val="24"/>
          <w:lang w:val="es-ES_tradnl" w:eastAsia="es-ES_tradnl"/>
        </w:rPr>
        <w:t>ibidem</w:t>
      </w:r>
      <w:r w:rsidRPr="00DE648B">
        <w:rPr>
          <w:rFonts w:ascii="Arial" w:hAnsi="Arial" w:eastAsia="Times New Roman" w:cs="Arial"/>
          <w:iCs/>
          <w:szCs w:val="24"/>
          <w:lang w:val="es-ES_tradnl" w:eastAsia="es-ES_tradnl"/>
        </w:rPr>
        <w:t>. Restricción en la que enfatizaremos, según el objeto bajo consulta.</w:t>
      </w:r>
    </w:p>
    <w:p w:rsidRPr="00DE648B" w:rsidR="00BB002F" w:rsidP="00BB002F" w:rsidRDefault="00BB002F" w14:paraId="7FB0E2E6" w14:textId="77777777">
      <w:pPr>
        <w:spacing w:after="0" w:line="276" w:lineRule="auto"/>
        <w:jc w:val="both"/>
        <w:rPr>
          <w:rFonts w:ascii="Arial" w:hAnsi="Arial" w:eastAsia="Times New Roman" w:cs="Arial"/>
          <w:iCs/>
          <w:szCs w:val="24"/>
          <w:lang w:val="es-ES_tradnl" w:eastAsia="es-ES_tradnl"/>
        </w:rPr>
      </w:pPr>
    </w:p>
    <w:p w:rsidRPr="00DE648B" w:rsidR="00BB002F" w:rsidP="00BB002F" w:rsidRDefault="00BB002F" w14:paraId="3FFD882B" w14:textId="77777777">
      <w:pPr>
        <w:spacing w:line="276" w:lineRule="auto"/>
        <w:contextualSpacing/>
        <w:jc w:val="both"/>
        <w:rPr>
          <w:rFonts w:ascii="Arial" w:hAnsi="Arial" w:cs="Arial"/>
          <w:b/>
          <w:lang w:val="es-ES" w:eastAsia="es-CO"/>
        </w:rPr>
      </w:pPr>
      <w:r w:rsidRPr="00DE648B">
        <w:rPr>
          <w:rFonts w:ascii="Arial" w:hAnsi="Arial" w:eastAsia="Times New Roman" w:cs="Arial"/>
          <w:b/>
          <w:bCs/>
          <w:iCs/>
          <w:szCs w:val="24"/>
          <w:lang w:val="es-ES_tradnl" w:eastAsia="es-ES_tradnl"/>
        </w:rPr>
        <w:t xml:space="preserve">2.2. </w:t>
      </w:r>
      <w:r w:rsidRPr="00DE648B">
        <w:rPr>
          <w:rFonts w:ascii="Arial" w:hAnsi="Arial" w:cs="Arial"/>
          <w:b/>
          <w:bCs/>
          <w:lang w:val="es-MX" w:eastAsia="es-CO"/>
        </w:rPr>
        <w:t>Restricciones en elecciones presidenciales: prohibición del artículo 33 de la Ley 996 de 2005. Reiteración de línea</w:t>
      </w:r>
    </w:p>
    <w:p w:rsidRPr="00DE648B" w:rsidR="00BB002F" w:rsidP="00BB002F" w:rsidRDefault="00BB002F" w14:paraId="7C5DA1C6" w14:textId="77777777">
      <w:pPr>
        <w:spacing w:after="0" w:line="276" w:lineRule="auto"/>
        <w:contextualSpacing/>
        <w:jc w:val="both"/>
        <w:rPr>
          <w:rFonts w:ascii="Arial" w:hAnsi="Arial" w:cs="Arial"/>
          <w:bCs/>
          <w:lang w:val="es-MX" w:eastAsia="x-none"/>
        </w:rPr>
      </w:pPr>
    </w:p>
    <w:p w:rsidRPr="00DE648B" w:rsidR="00BB002F" w:rsidP="00BB002F" w:rsidRDefault="00BB002F" w14:paraId="2F142610" w14:textId="77777777">
      <w:pPr>
        <w:spacing w:after="0" w:line="276" w:lineRule="auto"/>
        <w:contextualSpacing/>
        <w:jc w:val="both"/>
        <w:rPr>
          <w:rFonts w:ascii="Arial" w:hAnsi="Arial" w:cs="Arial"/>
          <w:bCs/>
          <w:lang w:val="es-MX" w:eastAsia="es-CO"/>
        </w:rPr>
      </w:pPr>
      <w:r w:rsidRPr="00DE648B">
        <w:rPr>
          <w:rFonts w:ascii="Arial" w:hAnsi="Arial" w:cs="Arial"/>
          <w:bCs/>
          <w:lang w:val="es-MX" w:eastAsia="x-none"/>
        </w:rPr>
        <w:t xml:space="preserve">El ámbito material de la prohibición contenida </w:t>
      </w:r>
      <w:bookmarkStart w:name="_Hlk75628761" w:id="16"/>
      <w:r w:rsidRPr="00DE648B">
        <w:rPr>
          <w:rFonts w:ascii="Arial" w:hAnsi="Arial" w:cs="Arial"/>
          <w:bCs/>
          <w:lang w:val="es-MX" w:eastAsia="x-none"/>
        </w:rPr>
        <w:t xml:space="preserve">en el artículo 33 de la Ley 996 de 2005 </w:t>
      </w:r>
      <w:bookmarkEnd w:id="16"/>
      <w:r w:rsidRPr="00DE648B">
        <w:rPr>
          <w:rFonts w:ascii="Arial" w:hAnsi="Arial" w:cs="Arial"/>
          <w:bCs/>
          <w:lang w:val="es-MX" w:eastAsia="x-none"/>
        </w:rPr>
        <w:t xml:space="preserve">está delimitado por la expresión </w:t>
      </w:r>
      <w:r w:rsidRPr="00DE648B">
        <w:rPr>
          <w:rFonts w:ascii="Arial" w:hAnsi="Arial" w:eastAsia="Calibri" w:cs="Arial"/>
          <w:bCs/>
          <w:lang w:val="es-MX"/>
        </w:rPr>
        <w:t>“</w:t>
      </w:r>
      <w:r w:rsidRPr="00DE648B">
        <w:rPr>
          <w:rFonts w:ascii="Arial" w:hAnsi="Arial" w:cs="Arial"/>
          <w:bCs/>
          <w:lang w:val="es-MX" w:eastAsia="x-none"/>
        </w:rPr>
        <w:t>queda prohibida la contratación directa</w:t>
      </w:r>
      <w:r w:rsidRPr="00DE648B">
        <w:rPr>
          <w:rFonts w:ascii="Arial" w:hAnsi="Arial" w:eastAsia="Calibri" w:cs="Arial"/>
          <w:lang w:val="es-MX"/>
        </w:rPr>
        <w:t>”</w:t>
      </w:r>
      <w:r w:rsidRPr="00DE648B">
        <w:rPr>
          <w:rFonts w:ascii="Arial" w:hAnsi="Arial" w:cs="Arial"/>
          <w:bCs/>
          <w:lang w:val="es-MX" w:eastAsia="x-none"/>
        </w:rPr>
        <w:t>.</w:t>
      </w:r>
      <w:r w:rsidRPr="00DE648B">
        <w:rPr>
          <w:rFonts w:ascii="Arial" w:hAnsi="Arial" w:cs="Arial"/>
          <w:lang w:val="es-MX" w:eastAsia="es-CO"/>
        </w:rPr>
        <w:t xml:space="preserve"> A propósito de esta restricción de la Ley de Garantías Electorales, la Sala de Consulta y Servicio Civil del Consejo de Estado ha considerado que:</w:t>
      </w:r>
    </w:p>
    <w:p w:rsidRPr="00DE648B" w:rsidR="00BB002F" w:rsidP="00BB002F" w:rsidRDefault="00BB002F" w14:paraId="3304F47A" w14:textId="77777777">
      <w:pPr>
        <w:spacing w:after="0" w:line="276" w:lineRule="auto"/>
        <w:ind w:left="708" w:right="709"/>
        <w:contextualSpacing/>
        <w:jc w:val="both"/>
        <w:rPr>
          <w:rFonts w:ascii="Arial" w:hAnsi="Arial" w:eastAsia="Calibri" w:cs="Arial"/>
          <w:lang w:val="es-MX"/>
        </w:rPr>
      </w:pPr>
    </w:p>
    <w:p w:rsidRPr="00DE648B" w:rsidR="00BB002F" w:rsidP="00BB002F" w:rsidRDefault="00BB002F" w14:paraId="6023BCCB" w14:textId="77777777">
      <w:pPr>
        <w:spacing w:after="0" w:line="240" w:lineRule="auto"/>
        <w:ind w:left="709" w:right="709"/>
        <w:contextualSpacing/>
        <w:jc w:val="both"/>
        <w:rPr>
          <w:rFonts w:ascii="Arial" w:hAnsi="Arial" w:eastAsia="Calibri" w:cs="Arial"/>
          <w:sz w:val="21"/>
          <w:szCs w:val="21"/>
          <w:lang w:val="es-MX"/>
        </w:rPr>
      </w:pPr>
      <w:r w:rsidRPr="00DE648B">
        <w:rPr>
          <w:rFonts w:ascii="Arial" w:hAnsi="Arial" w:eastAsia="Calibri" w:cs="Arial"/>
          <w:sz w:val="21"/>
          <w:szCs w:val="21"/>
          <w:lang w:val="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DE648B">
        <w:rPr>
          <w:rFonts w:ascii="Arial" w:hAnsi="Arial" w:cs="Arial"/>
          <w:sz w:val="21"/>
          <w:szCs w:val="21"/>
          <w:vertAlign w:val="superscript"/>
          <w:lang w:val="es-MX" w:eastAsia="es-CO"/>
        </w:rPr>
        <w:footnoteReference w:id="12"/>
      </w:r>
      <w:r w:rsidRPr="00DE648B">
        <w:rPr>
          <w:rFonts w:ascii="Arial" w:hAnsi="Arial" w:eastAsia="Calibri" w:cs="Arial"/>
          <w:sz w:val="21"/>
          <w:szCs w:val="21"/>
          <w:lang w:val="es-MX"/>
        </w:rPr>
        <w:t>.</w:t>
      </w:r>
    </w:p>
    <w:p w:rsidRPr="00DE648B" w:rsidR="00BB002F" w:rsidP="00BB002F" w:rsidRDefault="00BB002F" w14:paraId="560E94BB" w14:textId="77777777">
      <w:pPr>
        <w:spacing w:after="0" w:line="240" w:lineRule="auto"/>
        <w:ind w:left="709" w:right="709"/>
        <w:contextualSpacing/>
        <w:jc w:val="both"/>
        <w:rPr>
          <w:rFonts w:ascii="Arial" w:hAnsi="Arial" w:eastAsia="Calibri" w:cs="Arial"/>
          <w:sz w:val="21"/>
          <w:szCs w:val="21"/>
          <w:lang w:val="es-MX"/>
        </w:rPr>
      </w:pPr>
    </w:p>
    <w:p w:rsidRPr="00DE648B" w:rsidR="00BB002F" w:rsidP="00BB002F" w:rsidRDefault="00BB002F" w14:paraId="086CB3BC" w14:textId="77777777">
      <w:pPr>
        <w:spacing w:after="0" w:line="240" w:lineRule="auto"/>
        <w:ind w:left="709" w:right="709"/>
        <w:contextualSpacing/>
        <w:jc w:val="both"/>
        <w:rPr>
          <w:rFonts w:ascii="Arial" w:hAnsi="Arial" w:eastAsia="Calibri" w:cs="Arial"/>
          <w:sz w:val="21"/>
          <w:szCs w:val="21"/>
          <w:lang w:val="es-MX"/>
        </w:rPr>
      </w:pPr>
      <w:r w:rsidRPr="00DE648B">
        <w:rPr>
          <w:rFonts w:ascii="Arial" w:hAnsi="Arial" w:eastAsia="Calibri" w:cs="Arial"/>
          <w:sz w:val="21"/>
          <w:szCs w:val="21"/>
          <w:lang w:val="es-MX"/>
        </w:rPr>
        <w:t xml:space="preserve">Esta Sala ha entendido que para los efectos de la ley de garantías, y dada su finalidad, el enunciado ´contratación directa´ es sinónimo </w:t>
      </w:r>
      <w:bookmarkStart w:name="_Hlk75741738" w:id="17"/>
      <w:r w:rsidRPr="00DE648B">
        <w:rPr>
          <w:rFonts w:ascii="Arial" w:hAnsi="Arial" w:eastAsia="Calibri" w:cs="Arial"/>
          <w:sz w:val="21"/>
          <w:szCs w:val="21"/>
          <w:lang w:val="es-MX"/>
        </w:rPr>
        <w:t xml:space="preserve">de cualquier sistema que no implique convocatoria pública y posibilidad de pluralidad de oferentes, </w:t>
      </w:r>
      <w:bookmarkEnd w:id="17"/>
      <w:r w:rsidRPr="00DE648B">
        <w:rPr>
          <w:rFonts w:ascii="Arial" w:hAnsi="Arial" w:eastAsia="Calibri" w:cs="Arial"/>
          <w:sz w:val="21"/>
          <w:szCs w:val="21"/>
          <w:lang w:val="es-MX"/>
        </w:rPr>
        <w:t>y que, además, no necesariamente hace referencia al procedimiento especial regulado por la ley de contratación estatal, sino a cualquier otro que prescinda de un proceso de licitación pública o concurso</w:t>
      </w:r>
      <w:r w:rsidRPr="00DE648B">
        <w:rPr>
          <w:rFonts w:ascii="Arial" w:hAnsi="Arial" w:cs="Arial"/>
          <w:sz w:val="21"/>
          <w:szCs w:val="21"/>
          <w:vertAlign w:val="superscript"/>
          <w:lang w:val="es-MX"/>
        </w:rPr>
        <w:footnoteReference w:id="13"/>
      </w:r>
      <w:r w:rsidRPr="00DE648B">
        <w:rPr>
          <w:rFonts w:ascii="Arial" w:hAnsi="Arial" w:cs="Arial"/>
          <w:sz w:val="21"/>
          <w:szCs w:val="21"/>
          <w:vertAlign w:val="superscript"/>
          <w:lang w:val="es-MX"/>
        </w:rPr>
        <w:t>.</w:t>
      </w:r>
      <w:r w:rsidRPr="00DE648B">
        <w:rPr>
          <w:rFonts w:ascii="Arial" w:hAnsi="Arial" w:eastAsia="Calibri"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DE648B">
        <w:rPr>
          <w:rFonts w:ascii="Arial" w:hAnsi="Arial" w:cs="Arial"/>
          <w:sz w:val="21"/>
          <w:szCs w:val="21"/>
          <w:vertAlign w:val="superscript"/>
          <w:lang w:val="es-MX" w:eastAsia="es-CO"/>
        </w:rPr>
        <w:footnoteReference w:id="14"/>
      </w:r>
      <w:r w:rsidRPr="00DE648B">
        <w:rPr>
          <w:rFonts w:ascii="Arial" w:hAnsi="Arial" w:eastAsia="Calibri" w:cs="Arial"/>
          <w:sz w:val="21"/>
          <w:szCs w:val="21"/>
          <w:lang w:val="es-MX"/>
        </w:rPr>
        <w:t>”.</w:t>
      </w:r>
    </w:p>
    <w:p w:rsidRPr="00DE648B" w:rsidR="00BB002F" w:rsidP="00BB002F" w:rsidRDefault="00BB002F" w14:paraId="4D37F90E" w14:textId="77777777">
      <w:pPr>
        <w:shd w:val="clear" w:color="auto" w:fill="FFFFFF"/>
        <w:spacing w:after="0" w:line="276" w:lineRule="auto"/>
        <w:ind w:firstLine="709"/>
        <w:contextualSpacing/>
        <w:jc w:val="both"/>
        <w:rPr>
          <w:rFonts w:ascii="Arial" w:hAnsi="Arial" w:cs="Arial"/>
          <w:lang w:val="es-MX" w:eastAsia="x-none"/>
        </w:rPr>
      </w:pPr>
    </w:p>
    <w:p w:rsidRPr="00DE648B" w:rsidR="00BB002F" w:rsidP="00BB002F" w:rsidRDefault="00BB002F" w14:paraId="775A6C0B" w14:textId="77777777">
      <w:pPr>
        <w:spacing w:after="120" w:line="276" w:lineRule="auto"/>
        <w:ind w:firstLine="709"/>
        <w:jc w:val="both"/>
        <w:rPr>
          <w:rFonts w:ascii="Arial" w:hAnsi="Arial" w:cs="Arial"/>
          <w:bCs/>
          <w:lang w:val="es-MX" w:eastAsia="x-none"/>
        </w:rPr>
      </w:pPr>
      <w:bookmarkStart w:name="_Hlk94521748" w:id="19"/>
      <w:r w:rsidRPr="00DE648B">
        <w:rPr>
          <w:rFonts w:ascii="Arial" w:hAnsi="Arial" w:cs="Arial"/>
          <w:lang w:val="es-MX" w:eastAsia="x-none"/>
        </w:rPr>
        <w:t xml:space="preserve">De conformidad con el citado concepto, </w:t>
      </w:r>
      <w:bookmarkStart w:name="_Hlk78818702" w:id="20"/>
      <w:r w:rsidRPr="00DE648B">
        <w:rPr>
          <w:rFonts w:ascii="Arial" w:hAnsi="Arial" w:cs="Arial"/>
          <w:lang w:val="es-MX" w:eastAsia="x-none"/>
        </w:rPr>
        <w:t xml:space="preserve">la prohibición del artículo 33 de la Ley de Garantías Electorales se refiere a </w:t>
      </w:r>
      <w:r w:rsidRPr="00DE648B">
        <w:rPr>
          <w:rFonts w:ascii="Arial" w:hAnsi="Arial" w:cs="Arial"/>
          <w:lang w:val="es-MX"/>
        </w:rPr>
        <w:t>“</w:t>
      </w:r>
      <w:r w:rsidRPr="00DE648B">
        <w:rPr>
          <w:rFonts w:ascii="Arial" w:hAnsi="Arial" w:cs="Arial"/>
          <w:lang w:val="es-MX" w:eastAsia="x-none"/>
        </w:rPr>
        <w:t>cualquier sistema que no implique convocatoria pública y posibilidad de pluralidad de oferentes</w:t>
      </w:r>
      <w:r w:rsidRPr="00DE648B">
        <w:rPr>
          <w:rFonts w:ascii="Arial" w:hAnsi="Arial" w:cs="Arial"/>
          <w:lang w:val="es-MX"/>
        </w:rPr>
        <w:t>”</w:t>
      </w:r>
      <w:r w:rsidRPr="00DE648B">
        <w:rPr>
          <w:rFonts w:ascii="Arial" w:hAnsi="Arial" w:cs="Arial"/>
          <w:lang w:val="es-MX" w:eastAsia="x-none"/>
        </w:rPr>
        <w:t xml:space="preserve">,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w:t>
      </w:r>
      <w:bookmarkEnd w:id="19"/>
      <w:bookmarkEnd w:id="20"/>
      <w:r w:rsidRPr="00DE648B">
        <w:rPr>
          <w:rFonts w:ascii="Arial" w:hAnsi="Arial" w:cs="Arial"/>
          <w:lang w:val="es-MX" w:eastAsia="x-none"/>
        </w:rPr>
        <w:t>Esta posición es congruente con la expedición de la Ley 1150 de 2007 que, entre otras reformas, introdujo la selección abreviada, rediseñó el concurso de méritos</w:t>
      </w:r>
      <w:r w:rsidRPr="00DE648B">
        <w:rPr>
          <w:rFonts w:ascii="Arial" w:hAnsi="Arial" w:cs="Arial"/>
          <w:vertAlign w:val="superscript"/>
          <w:lang w:val="en-GB" w:eastAsia="x-none"/>
        </w:rPr>
        <w:footnoteReference w:id="15"/>
      </w:r>
      <w:r w:rsidRPr="00DE648B">
        <w:rPr>
          <w:rFonts w:ascii="Arial" w:hAnsi="Arial" w:cs="Arial"/>
          <w:lang w:val="es-MX" w:eastAsia="x-none"/>
        </w:rPr>
        <w:t xml:space="preserve"> y sistematizó las causales de contratación directa</w:t>
      </w:r>
      <w:r w:rsidRPr="00DE648B">
        <w:rPr>
          <w:rFonts w:ascii="Arial" w:hAnsi="Arial" w:cs="Arial"/>
          <w:vertAlign w:val="superscript"/>
          <w:lang w:val="en-GB" w:eastAsia="x-none"/>
        </w:rPr>
        <w:footnoteReference w:id="16"/>
      </w:r>
      <w:r w:rsidRPr="00DE648B">
        <w:rPr>
          <w:rFonts w:ascii="Arial" w:hAnsi="Arial" w:cs="Arial"/>
          <w:lang w:val="es-MX" w:eastAsia="x-none"/>
        </w:rPr>
        <w:t xml:space="preserve">, además lo es con la posterior creación de la modalidad de mínima cuantía establecida actualmente en el numeral 5, del artículo 2, de la Ley 1150 de 2007, de acuerdo con las modificaciones realizadas por las leyes posteriores. </w:t>
      </w:r>
    </w:p>
    <w:p w:rsidRPr="00DE648B" w:rsidR="00BB002F" w:rsidP="00BB002F" w:rsidRDefault="00BB002F" w14:paraId="62EFD9A8" w14:textId="77777777">
      <w:pPr>
        <w:spacing w:after="120" w:line="276" w:lineRule="auto"/>
        <w:ind w:firstLine="709"/>
        <w:jc w:val="both"/>
        <w:rPr>
          <w:rFonts w:ascii="Arial" w:hAnsi="Arial" w:cs="Arial"/>
          <w:lang w:val="es-MX" w:eastAsia="x-none"/>
        </w:rPr>
      </w:pPr>
      <w:r w:rsidRPr="00DE648B">
        <w:rPr>
          <w:rFonts w:ascii="Arial" w:hAnsi="Arial" w:cs="Arial"/>
          <w:lang w:val="es-MX" w:eastAsia="x-none"/>
        </w:rPr>
        <w:t xml:space="preserve">De esta forma, con fundamento en la evolución de la normativa sobre la contratación pública, se ha depurado la noción de </w:t>
      </w:r>
      <w:r w:rsidRPr="00DE648B">
        <w:rPr>
          <w:rFonts w:ascii="Arial" w:hAnsi="Arial" w:cs="Arial"/>
          <w:lang w:val="es-MX"/>
        </w:rPr>
        <w:t>“</w:t>
      </w:r>
      <w:r w:rsidRPr="00DE648B">
        <w:rPr>
          <w:rFonts w:ascii="Arial" w:hAnsi="Arial" w:cs="Arial"/>
          <w:lang w:val="es-MX" w:eastAsia="x-none"/>
        </w:rPr>
        <w:t>contratación directa</w:t>
      </w:r>
      <w:r w:rsidRPr="00DE648B">
        <w:rPr>
          <w:rFonts w:ascii="Arial" w:hAnsi="Arial" w:cs="Arial"/>
          <w:lang w:val="es-MX"/>
        </w:rPr>
        <w:t>”</w:t>
      </w:r>
      <w:r w:rsidRPr="00DE648B">
        <w:rPr>
          <w:rFonts w:ascii="Arial" w:hAnsi="Arial" w:cs="Arial"/>
          <w:lang w:val="es-MX"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DE648B">
        <w:rPr>
          <w:rFonts w:ascii="Arial" w:hAnsi="Arial" w:cs="Arial"/>
          <w:vertAlign w:val="superscript"/>
          <w:lang w:val="en-GB" w:eastAsia="x-none"/>
        </w:rPr>
        <w:footnoteReference w:id="17"/>
      </w:r>
      <w:r w:rsidRPr="00DE648B">
        <w:rPr>
          <w:rFonts w:ascii="Arial" w:hAnsi="Arial" w:cs="Arial"/>
          <w:lang w:val="es-MX" w:eastAsia="x-none"/>
        </w:rPr>
        <w:t>, han establecido sistemas de contratación que implican convocatoria pública y participación de varios oferentes”.</w:t>
      </w:r>
    </w:p>
    <w:p w:rsidRPr="00DE648B" w:rsidR="00BB002F" w:rsidP="00BB002F" w:rsidRDefault="00BB002F" w14:paraId="267DDF05" w14:textId="77777777">
      <w:pPr>
        <w:spacing w:after="120" w:line="276" w:lineRule="auto"/>
        <w:ind w:firstLine="709"/>
        <w:jc w:val="both"/>
        <w:rPr>
          <w:rFonts w:ascii="Arial" w:hAnsi="Arial" w:cs="Arial"/>
          <w:bCs/>
          <w:lang w:val="es-MX" w:eastAsia="es-CO"/>
        </w:rPr>
      </w:pPr>
      <w:r w:rsidRPr="00DE648B">
        <w:rPr>
          <w:rFonts w:ascii="Arial" w:hAnsi="Arial" w:cs="Arial"/>
          <w:bCs/>
          <w:lang w:val="es-MX" w:eastAsia="x-none"/>
        </w:rPr>
        <w:t>E</w:t>
      </w:r>
      <w:r w:rsidRPr="00DE648B">
        <w:rPr>
          <w:rFonts w:ascii="Arial" w:hAnsi="Arial" w:cs="Arial"/>
          <w:lang w:val="es-MX" w:eastAsia="x-none"/>
        </w:rPr>
        <w:t xml:space="preserve">n efecto, vale la pena mencionar que, </w:t>
      </w:r>
      <w:bookmarkStart w:name="_Hlk75636073" w:id="21"/>
      <w:r w:rsidRPr="00DE648B">
        <w:rPr>
          <w:rFonts w:ascii="Arial" w:hAnsi="Arial" w:cs="Arial"/>
          <w:lang w:val="es-MX"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1"/>
      <w:r w:rsidRPr="00DE648B">
        <w:rPr>
          <w:rFonts w:ascii="Arial" w:hAnsi="Arial" w:cs="Arial"/>
          <w:vertAlign w:val="superscript"/>
          <w:lang w:val="es-MX" w:eastAsia="x-none"/>
        </w:rPr>
        <w:footnoteReference w:id="18"/>
      </w:r>
      <w:r w:rsidRPr="00DE648B">
        <w:rPr>
          <w:rFonts w:ascii="Arial" w:hAnsi="Arial" w:cs="Arial"/>
          <w:lang w:val="es-MX" w:eastAsia="x-none"/>
        </w:rPr>
        <w:t xml:space="preserve">. </w:t>
      </w:r>
    </w:p>
    <w:p w:rsidRPr="00DE648B" w:rsidR="00BB002F" w:rsidP="00BB002F" w:rsidRDefault="00BB002F" w14:paraId="45E18640" w14:textId="77777777">
      <w:pPr>
        <w:spacing w:after="120" w:line="276" w:lineRule="auto"/>
        <w:ind w:firstLine="709"/>
        <w:jc w:val="both"/>
        <w:rPr>
          <w:rFonts w:ascii="Arial" w:hAnsi="Arial" w:cs="Arial"/>
          <w:bCs/>
          <w:lang w:val="es-MX" w:eastAsia="es-CO"/>
        </w:rPr>
      </w:pPr>
      <w:r w:rsidRPr="00DE648B">
        <w:rPr>
          <w:rFonts w:ascii="Arial" w:hAnsi="Arial" w:cs="Arial"/>
          <w:bCs/>
          <w:lang w:val="es-MX" w:eastAsia="es-CO"/>
        </w:rPr>
        <w:t>Como se advierte de lo anterior, el Consejo de Estado realiza una interpretación amplia de la contratación directa, para efectos de aplicar las restricciones establecidas en la Ley de Garantías Electorales,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rsidRPr="00DE648B" w:rsidR="00BB002F" w:rsidP="00BB002F" w:rsidRDefault="00BB002F" w14:paraId="77E8315E" w14:textId="77777777">
      <w:pPr>
        <w:spacing w:after="120" w:line="276" w:lineRule="auto"/>
        <w:ind w:firstLine="709"/>
        <w:jc w:val="both"/>
        <w:rPr>
          <w:rFonts w:ascii="Arial" w:hAnsi="Arial" w:cs="Arial"/>
          <w:bCs/>
          <w:lang w:val="es-MX" w:eastAsia="x-none"/>
        </w:rPr>
      </w:pPr>
      <w:bookmarkStart w:name="_Hlk78818796" w:id="22"/>
      <w:r w:rsidRPr="00DE648B">
        <w:rPr>
          <w:rFonts w:ascii="Arial" w:hAnsi="Arial" w:cs="Arial"/>
          <w:bCs/>
          <w:lang w:val="es-MX" w:eastAsia="x-none"/>
        </w:rPr>
        <w:t xml:space="preserve">Así las cosas, </w:t>
      </w:r>
      <w:bookmarkStart w:name="_Hlk99577798" w:id="23"/>
      <w:r w:rsidRPr="00DE648B">
        <w:rPr>
          <w:rFonts w:ascii="Arial" w:hAnsi="Arial" w:cs="Arial"/>
          <w:bCs/>
          <w:lang w:val="es-MX" w:eastAsia="x-none"/>
        </w:rPr>
        <w:t>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DE648B">
        <w:rPr>
          <w:rFonts w:ascii="Arial" w:hAnsi="Arial" w:cs="Arial"/>
          <w:vertAlign w:val="superscript"/>
          <w:lang w:val="es-MX" w:eastAsia="x-none"/>
        </w:rPr>
        <w:footnoteReference w:id="19"/>
      </w:r>
      <w:r w:rsidRPr="00DE648B">
        <w:rPr>
          <w:rFonts w:ascii="Arial" w:hAnsi="Arial" w:cs="Arial"/>
          <w:bCs/>
          <w:lang w:val="es-MX" w:eastAsia="x-none"/>
        </w:rPr>
        <w:t>.</w:t>
      </w:r>
      <w:r w:rsidRPr="00DE648B">
        <w:rPr>
          <w:rFonts w:ascii="Arial" w:hAnsi="Arial" w:cs="Arial"/>
          <w:vertAlign w:val="superscript"/>
          <w:lang w:val="es-MX" w:eastAsia="x-none"/>
        </w:rPr>
        <w:t xml:space="preserve"> </w:t>
      </w:r>
    </w:p>
    <w:bookmarkEnd w:id="22"/>
    <w:p w:rsidRPr="00DE648B" w:rsidR="00BB002F" w:rsidP="00BB002F" w:rsidRDefault="00BB002F" w14:paraId="21BAE779" w14:textId="77777777">
      <w:pPr>
        <w:spacing w:after="0" w:line="276" w:lineRule="auto"/>
        <w:ind w:firstLine="709"/>
        <w:jc w:val="both"/>
        <w:rPr>
          <w:rFonts w:ascii="Arial" w:hAnsi="Arial" w:cs="Arial"/>
          <w:lang w:val="es-MX" w:eastAsia="x-none"/>
        </w:rPr>
      </w:pPr>
      <w:r w:rsidRPr="00DE648B">
        <w:rPr>
          <w:rFonts w:ascii="Arial" w:hAnsi="Arial" w:cs="Arial"/>
          <w:bCs/>
          <w:lang w:val="es-MX" w:eastAsia="x-none"/>
        </w:rPr>
        <w:t>De lo anterior se desprende que la restricción aplica, sin perjuicio de las excepciones establecidas en la misma ley, para celebrar cualquier contrato de forma directa, esto es, sin que exista un proceso abierto y competitivo.</w:t>
      </w:r>
      <w:r w:rsidRPr="00DE648B">
        <w:rPr>
          <w:rFonts w:ascii="Arial" w:hAnsi="Arial" w:cs="Arial"/>
          <w:lang w:val="es-MX"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sistemas.</w:t>
      </w:r>
    </w:p>
    <w:bookmarkEnd w:id="23"/>
    <w:p w:rsidRPr="00DE648B" w:rsidR="00BB002F" w:rsidP="00BB002F" w:rsidRDefault="00BB002F" w14:paraId="1A4EDE68" w14:textId="77777777">
      <w:pPr>
        <w:spacing w:after="0" w:line="276" w:lineRule="auto"/>
        <w:jc w:val="both"/>
        <w:rPr>
          <w:rFonts w:ascii="Arial" w:hAnsi="Arial" w:eastAsia="Times New Roman" w:cs="Arial"/>
          <w:b/>
          <w:bCs/>
          <w:iCs/>
          <w:szCs w:val="24"/>
          <w:lang w:val="es-ES_tradnl" w:eastAsia="es-ES_tradnl"/>
        </w:rPr>
      </w:pPr>
    </w:p>
    <w:p w:rsidRPr="00DE648B" w:rsidR="00BB002F" w:rsidP="00BB002F" w:rsidRDefault="00BB002F" w14:paraId="5EB70044" w14:textId="02D60AAC">
      <w:pPr>
        <w:spacing w:after="0" w:line="276" w:lineRule="auto"/>
        <w:jc w:val="both"/>
        <w:rPr>
          <w:rFonts w:ascii="Arial" w:hAnsi="Arial" w:eastAsia="Times New Roman" w:cs="Arial"/>
          <w:b/>
          <w:bCs/>
          <w:iCs/>
          <w:szCs w:val="24"/>
          <w:lang w:val="es-ES_tradnl" w:eastAsia="es-ES_tradnl"/>
        </w:rPr>
      </w:pPr>
      <w:r w:rsidRPr="00DE648B">
        <w:rPr>
          <w:rFonts w:ascii="Arial" w:hAnsi="Arial" w:eastAsia="Times New Roman" w:cs="Arial"/>
          <w:b/>
          <w:bCs/>
          <w:iCs/>
          <w:szCs w:val="24"/>
          <w:lang w:val="es-ES_tradnl" w:eastAsia="es-ES_tradnl"/>
        </w:rPr>
        <w:t xml:space="preserve">2.3. Restricciones para la celebración de contratos y convenios interadministrativos en los </w:t>
      </w:r>
      <w:bookmarkStart w:name="_Hlk133573167" w:id="24"/>
      <w:r w:rsidRPr="00DE648B">
        <w:rPr>
          <w:rFonts w:ascii="Arial" w:hAnsi="Arial" w:eastAsia="Times New Roman" w:cs="Arial"/>
          <w:b/>
          <w:bCs/>
          <w:iCs/>
          <w:szCs w:val="24"/>
          <w:lang w:val="es-ES_tradnl" w:eastAsia="es-ES_tradnl"/>
        </w:rPr>
        <w:t>comicios para cargos de elección popular</w:t>
      </w:r>
      <w:bookmarkEnd w:id="24"/>
      <w:r w:rsidRPr="00DE648B">
        <w:rPr>
          <w:rFonts w:ascii="Arial" w:hAnsi="Arial" w:eastAsia="Times New Roman" w:cs="Arial"/>
          <w:b/>
          <w:bCs/>
          <w:iCs/>
          <w:szCs w:val="24"/>
          <w:lang w:val="es-ES_tradnl" w:eastAsia="es-ES_tradnl"/>
        </w:rPr>
        <w:t>. Reiteración de línea</w:t>
      </w:r>
      <w:r w:rsidRPr="00DE648B" w:rsidR="00441562">
        <w:rPr>
          <w:rFonts w:ascii="Arial" w:hAnsi="Arial" w:eastAsia="Times New Roman" w:cs="Arial"/>
          <w:b/>
          <w:bCs/>
          <w:iCs/>
          <w:szCs w:val="24"/>
          <w:lang w:val="es-ES_tradnl" w:eastAsia="es-ES_tradnl"/>
        </w:rPr>
        <w:t>.</w:t>
      </w:r>
    </w:p>
    <w:p w:rsidRPr="00DE648B" w:rsidR="00BB002F" w:rsidP="00BB002F" w:rsidRDefault="00BB002F" w14:paraId="2D920B4B" w14:textId="77777777">
      <w:pPr>
        <w:spacing w:after="0" w:line="276" w:lineRule="auto"/>
        <w:jc w:val="both"/>
        <w:rPr>
          <w:rFonts w:ascii="Arial" w:hAnsi="Arial" w:eastAsia="Times New Roman" w:cs="Arial"/>
          <w:iCs/>
          <w:szCs w:val="24"/>
          <w:lang w:val="es-ES_tradnl" w:eastAsia="es-ES_tradnl"/>
        </w:rPr>
      </w:pPr>
    </w:p>
    <w:p w:rsidRPr="00DE648B" w:rsidR="00BB002F" w:rsidP="00BB002F" w:rsidRDefault="00BB002F" w14:paraId="56C806E0" w14:textId="77777777">
      <w:pPr>
        <w:spacing w:after="0" w:line="276" w:lineRule="auto"/>
        <w:jc w:val="both"/>
        <w:rPr>
          <w:rFonts w:ascii="Arial" w:hAnsi="Arial" w:eastAsia="Times New Roman" w:cs="Arial"/>
          <w:iCs/>
          <w:szCs w:val="24"/>
          <w:lang w:val="es-ES_tradnl" w:eastAsia="es-ES_tradnl"/>
        </w:rPr>
      </w:pPr>
      <w:r w:rsidRPr="00DE648B">
        <w:rPr>
          <w:rFonts w:ascii="Arial" w:hAnsi="Arial" w:eastAsia="Times New Roman" w:cs="Arial"/>
          <w:iCs/>
          <w:szCs w:val="24"/>
          <w:lang w:val="es-ES_tradnl" w:eastAsia="es-ES_tradnl"/>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contratos interadministrativos para la ejecución de recursos públicos”.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DE648B">
        <w:rPr>
          <w:rFonts w:ascii="Arial" w:hAnsi="Arial" w:cs="Arial"/>
          <w:bCs/>
          <w:iCs/>
          <w:vertAlign w:val="superscript"/>
          <w:lang w:eastAsia="x-none"/>
        </w:rPr>
        <w:footnoteReference w:id="20"/>
      </w:r>
      <w:r w:rsidRPr="00DE648B">
        <w:rPr>
          <w:rFonts w:ascii="Arial" w:hAnsi="Arial" w:cs="Arial"/>
          <w:bCs/>
          <w:iCs/>
          <w:lang w:eastAsia="x-none"/>
        </w:rPr>
        <w:t>.</w:t>
      </w:r>
    </w:p>
    <w:p w:rsidRPr="00DE648B" w:rsidR="00BB002F" w:rsidP="00BB002F" w:rsidRDefault="00BB002F" w14:paraId="52BC95EB" w14:textId="77777777">
      <w:pPr>
        <w:spacing w:before="120" w:after="0" w:line="276" w:lineRule="auto"/>
        <w:ind w:firstLine="709"/>
        <w:jc w:val="both"/>
        <w:rPr>
          <w:rFonts w:ascii="Arial" w:hAnsi="Arial" w:eastAsia="Times New Roman" w:cs="Arial"/>
          <w:iCs/>
          <w:szCs w:val="24"/>
          <w:lang w:val="es-ES_tradnl" w:eastAsia="es-ES_tradnl"/>
        </w:rPr>
      </w:pPr>
      <w:r w:rsidRPr="00DE648B">
        <w:rPr>
          <w:rFonts w:ascii="Arial" w:hAnsi="Arial" w:eastAsia="Times New Roman" w:cs="Arial"/>
          <w:iCs/>
          <w:szCs w:val="24"/>
          <w:lang w:val="es-ES_tradnl" w:eastAsia="es-ES_tradnl"/>
        </w:rPr>
        <w:t>Ahora bien,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w:t>
      </w:r>
      <w:r w:rsidRPr="00DE648B">
        <w:rPr>
          <w:rFonts w:ascii="Arial" w:hAnsi="Arial" w:eastAsia="Arial" w:cs="Arial"/>
          <w:vertAlign w:val="superscript"/>
          <w:lang w:val="es-ES" w:eastAsia="es-ES" w:bidi="es-ES"/>
        </w:rPr>
        <w:footnoteReference w:id="21"/>
      </w:r>
      <w:r w:rsidRPr="00DE648B">
        <w:rPr>
          <w:rFonts w:ascii="Arial" w:hAnsi="Arial" w:eastAsia="Arial"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rsidRPr="00DE648B" w:rsidR="00BB002F" w:rsidP="00BB002F" w:rsidRDefault="00BB002F" w14:paraId="27D02A58" w14:textId="77777777">
      <w:pPr>
        <w:spacing w:before="120" w:after="0" w:line="276" w:lineRule="auto"/>
        <w:ind w:firstLine="709"/>
        <w:jc w:val="both"/>
        <w:rPr>
          <w:rFonts w:ascii="Arial" w:hAnsi="Arial" w:eastAsia="Times New Roman" w:cs="Arial"/>
          <w:iCs/>
          <w:szCs w:val="24"/>
          <w:lang w:val="es-ES_tradnl" w:eastAsia="es-ES_tradnl"/>
        </w:rPr>
      </w:pPr>
      <w:r w:rsidRPr="00DE648B">
        <w:rPr>
          <w:rFonts w:ascii="Arial" w:hAnsi="Arial" w:eastAsia="Times New Roman" w:cs="Arial"/>
          <w:iCs/>
          <w:szCs w:val="24"/>
          <w:lang w:val="es-ES_tradnl" w:eastAsia="es-ES_tradnl"/>
        </w:rPr>
        <w:t xml:space="preserve">Si bien los contratos o convenios interadministrativos están previstos en la Ley 80 de 1993, en la Ley 1150 de 2007 y el Decreto 1082 de 2015, no quiere decir que solo pueden celebrarse entre entidades estatales que apliquen el régimen de contratación allí previsto, pues una entidad estatal sometida a la Ley 80 de 1993, puede celebrar esta clase de convenios y/o contratos con una entidad estatal de régimen especial y no por ello pierde su calidad de interadministrativo. </w:t>
      </w:r>
    </w:p>
    <w:p w:rsidRPr="00DE648B" w:rsidR="00BB002F" w:rsidP="00BB002F" w:rsidRDefault="00BB002F" w14:paraId="77F540DD" w14:textId="77777777">
      <w:pPr>
        <w:spacing w:before="120" w:after="0" w:line="276" w:lineRule="auto"/>
        <w:ind w:firstLine="709"/>
        <w:jc w:val="both"/>
        <w:rPr>
          <w:rFonts w:ascii="Arial" w:hAnsi="Arial" w:eastAsia="Times New Roman" w:cs="Arial"/>
          <w:iCs/>
          <w:szCs w:val="24"/>
          <w:lang w:val="es-ES_tradnl" w:eastAsia="es-ES_tradnl"/>
        </w:rPr>
      </w:pPr>
      <w:r w:rsidRPr="00DE648B">
        <w:rPr>
          <w:rFonts w:ascii="Arial" w:hAnsi="Arial" w:eastAsia="Times New Roman" w:cs="Arial"/>
          <w:iCs/>
          <w:szCs w:val="24"/>
          <w:lang w:val="es-ES_tradnl" w:eastAsia="es-ES_tradnl"/>
        </w:rPr>
        <w:t>La Corte Constitucional expresó en la Sentencia C-671 de 2015 que “Lo que hace interadministrativo a un contrato o convenio no es el procedimiento de selección aplicable, sino la calidad de los sujetos contratantes, esto es que las dos partes de la redacción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rsidRPr="00DE648B" w:rsidR="00BB002F" w:rsidP="00BB002F" w:rsidRDefault="00BB002F" w14:paraId="16C668C1" w14:textId="77777777">
      <w:pPr>
        <w:widowControl w:val="0"/>
        <w:autoSpaceDE w:val="0"/>
        <w:autoSpaceDN w:val="0"/>
        <w:spacing w:after="0" w:line="276" w:lineRule="auto"/>
        <w:ind w:firstLine="707"/>
        <w:contextualSpacing/>
        <w:jc w:val="both"/>
        <w:rPr>
          <w:rFonts w:ascii="Arial" w:hAnsi="Arial" w:eastAsia="Arial" w:cs="Arial"/>
          <w:lang w:val="es-ES" w:eastAsia="es-ES" w:bidi="es-ES"/>
        </w:rPr>
      </w:pPr>
    </w:p>
    <w:p w:rsidRPr="00DE648B" w:rsidR="00BB002F" w:rsidP="00BB002F" w:rsidRDefault="00BB002F" w14:paraId="54AD815D" w14:textId="77777777">
      <w:pPr>
        <w:spacing w:after="0" w:line="240" w:lineRule="auto"/>
        <w:ind w:left="709" w:right="709"/>
        <w:contextualSpacing/>
        <w:jc w:val="both"/>
        <w:rPr>
          <w:rFonts w:ascii="Arial" w:hAnsi="Arial" w:eastAsia="Calibri" w:cs="Arial"/>
          <w:sz w:val="21"/>
          <w:lang w:val="es-MX"/>
        </w:rPr>
      </w:pPr>
      <w:r w:rsidRPr="00DE648B">
        <w:rPr>
          <w:rFonts w:ascii="Arial" w:hAnsi="Arial" w:eastAsia="Calibri"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DE648B">
        <w:rPr>
          <w:rFonts w:ascii="Arial" w:hAnsi="Arial" w:eastAsia="Calibri" w:cs="Arial"/>
          <w:sz w:val="21"/>
          <w:lang w:val="es-MX"/>
        </w:rPr>
        <w:t>ii</w:t>
      </w:r>
      <w:proofErr w:type="spellEnd"/>
      <w:r w:rsidRPr="00DE648B">
        <w:rPr>
          <w:rFonts w:ascii="Arial" w:hAnsi="Arial" w:eastAsia="Calibri" w:cs="Arial"/>
          <w:sz w:val="21"/>
          <w:lang w:val="es-MX"/>
        </w:rPr>
        <w:t>) tienen como fuente la autonomía contractual; (</w:t>
      </w:r>
      <w:proofErr w:type="spellStart"/>
      <w:r w:rsidRPr="00DE648B">
        <w:rPr>
          <w:rFonts w:ascii="Arial" w:hAnsi="Arial" w:eastAsia="Calibri" w:cs="Arial"/>
          <w:sz w:val="21"/>
          <w:lang w:val="es-MX"/>
        </w:rPr>
        <w:t>iii</w:t>
      </w:r>
      <w:proofErr w:type="spellEnd"/>
      <w:r w:rsidRPr="00DE648B">
        <w:rPr>
          <w:rFonts w:ascii="Arial" w:hAnsi="Arial" w:eastAsia="Calibri" w:cs="Arial"/>
          <w:sz w:val="21"/>
          <w:lang w:val="es-MX"/>
        </w:rPr>
        <w:t>) son contratos nominados puesto que están mencionados en la ley; (</w:t>
      </w:r>
      <w:proofErr w:type="spellStart"/>
      <w:r w:rsidRPr="00DE648B">
        <w:rPr>
          <w:rFonts w:ascii="Arial" w:hAnsi="Arial" w:eastAsia="Calibri" w:cs="Arial"/>
          <w:sz w:val="21"/>
          <w:lang w:val="es-MX"/>
        </w:rPr>
        <w:t>iv</w:t>
      </w:r>
      <w:proofErr w:type="spellEnd"/>
      <w:r w:rsidRPr="00DE648B">
        <w:rPr>
          <w:rFonts w:ascii="Arial" w:hAnsi="Arial" w:eastAsia="Calibri" w:cs="Arial"/>
          <w:sz w:val="21"/>
          <w:lang w:val="es-MX"/>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DE648B">
        <w:rPr>
          <w:rFonts w:ascii="Arial" w:hAnsi="Arial" w:eastAsia="Calibri" w:cs="Arial"/>
          <w:sz w:val="21"/>
          <w:lang w:val="es-MX"/>
        </w:rPr>
        <w:t>vii</w:t>
      </w:r>
      <w:proofErr w:type="spellEnd"/>
      <w:r w:rsidRPr="00DE648B">
        <w:rPr>
          <w:rFonts w:ascii="Arial" w:hAnsi="Arial" w:eastAsia="Calibri" w:cs="Arial"/>
          <w:sz w:val="21"/>
          <w:lang w:val="es-MX"/>
        </w:rPr>
        <w:t>) persiguen  una finalidad común a través de la realización de intereses compartidos entre las entidades vinculadas; (</w:t>
      </w:r>
      <w:proofErr w:type="spellStart"/>
      <w:r w:rsidRPr="00DE648B">
        <w:rPr>
          <w:rFonts w:ascii="Arial" w:hAnsi="Arial" w:eastAsia="Calibri" w:cs="Arial"/>
          <w:sz w:val="21"/>
          <w:lang w:val="es-MX"/>
        </w:rPr>
        <w:t>viii</w:t>
      </w:r>
      <w:proofErr w:type="spellEnd"/>
      <w:r w:rsidRPr="00DE648B">
        <w:rPr>
          <w:rFonts w:ascii="Arial" w:hAnsi="Arial" w:eastAsia="Calibri" w:cs="Arial"/>
          <w:sz w:val="21"/>
          <w:lang w:val="es-MX"/>
        </w:rPr>
        <w:t>) la acción mediante la cual se deben ventilar las diferencias que sobre el particular surjan es la de controversias contractuales</w:t>
      </w:r>
      <w:r w:rsidRPr="00DE648B">
        <w:rPr>
          <w:rFonts w:ascii="Arial" w:hAnsi="Arial" w:eastAsia="Calibri" w:cs="Arial"/>
          <w:sz w:val="21"/>
          <w:vertAlign w:val="superscript"/>
          <w:lang w:val="es-MX"/>
        </w:rPr>
        <w:footnoteReference w:id="22"/>
      </w:r>
      <w:r w:rsidRPr="00DE648B">
        <w:rPr>
          <w:rFonts w:ascii="Arial" w:hAnsi="Arial" w:eastAsia="Calibri" w:cs="Arial"/>
          <w:sz w:val="21"/>
          <w:lang w:val="es-MX"/>
        </w:rPr>
        <w:t>”.</w:t>
      </w:r>
    </w:p>
    <w:p w:rsidRPr="00DE648B" w:rsidR="00BB002F" w:rsidP="00BB002F" w:rsidRDefault="00BB002F" w14:paraId="1F48B10B" w14:textId="77777777">
      <w:pPr>
        <w:spacing w:after="0" w:line="276" w:lineRule="auto"/>
        <w:ind w:firstLine="709"/>
        <w:jc w:val="both"/>
        <w:rPr>
          <w:rFonts w:ascii="Arial" w:hAnsi="Arial" w:eastAsia="Times New Roman" w:cs="Arial"/>
          <w:iCs/>
          <w:szCs w:val="24"/>
          <w:lang w:val="es-ES_tradnl" w:eastAsia="es-ES_tradnl"/>
        </w:rPr>
      </w:pPr>
    </w:p>
    <w:p w:rsidRPr="00DE648B" w:rsidR="00BB002F" w:rsidP="00BB002F" w:rsidRDefault="00BB002F" w14:paraId="42BCA7D2" w14:textId="77777777">
      <w:pPr>
        <w:spacing w:after="0" w:line="276" w:lineRule="auto"/>
        <w:ind w:firstLine="709"/>
        <w:jc w:val="both"/>
        <w:rPr>
          <w:rFonts w:ascii="Arial" w:hAnsi="Arial" w:eastAsia="Times New Roman" w:cs="Arial"/>
          <w:iCs/>
          <w:szCs w:val="24"/>
          <w:lang w:val="es-ES_tradnl" w:eastAsia="es-ES_tradnl"/>
        </w:rPr>
      </w:pPr>
      <w:r w:rsidRPr="00DE648B">
        <w:rPr>
          <w:rFonts w:ascii="Arial" w:hAnsi="Arial" w:eastAsia="Times New Roman" w:cs="Arial"/>
          <w:iCs/>
          <w:szCs w:val="24"/>
          <w:lang w:val="es-ES_tradnl" w:eastAsia="es-ES_tradnl"/>
        </w:rPr>
        <w:t xml:space="preserve">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w:t>
      </w:r>
      <w:r w:rsidRPr="00DE648B">
        <w:rPr>
          <w:rFonts w:ascii="Arial" w:hAnsi="Arial" w:eastAsia="Times New Roman" w:cs="Arial"/>
          <w:iCs/>
          <w:szCs w:val="24"/>
          <w:lang w:val="es-ES_tradnl" w:eastAsia="es-ES_tradnl"/>
        </w:rPr>
        <w:t>Pública establece la contratación directa como la modalidad de selección aplicable, por regla general, a la celebración de los contratos interadministrativos.</w:t>
      </w:r>
    </w:p>
    <w:p w:rsidRPr="00DE648B" w:rsidR="00BB002F" w:rsidP="00BB002F" w:rsidRDefault="00BB002F" w14:paraId="5A7EFF4D" w14:textId="1FE98B84">
      <w:pPr>
        <w:spacing w:before="120" w:after="0" w:line="276" w:lineRule="auto"/>
        <w:ind w:firstLine="709"/>
        <w:jc w:val="both"/>
        <w:rPr>
          <w:rFonts w:ascii="Arial" w:hAnsi="Arial" w:eastAsia="Times New Roman" w:cs="Arial"/>
          <w:iCs/>
          <w:szCs w:val="24"/>
          <w:lang w:val="es-ES_tradnl" w:eastAsia="es-ES_tradnl"/>
        </w:rPr>
      </w:pPr>
      <w:r w:rsidRPr="00DE648B">
        <w:rPr>
          <w:rFonts w:ascii="Arial" w:hAnsi="Arial" w:eastAsia="Times New Roman" w:cs="Arial"/>
          <w:iCs/>
          <w:szCs w:val="24"/>
          <w:lang w:val="es-ES_tradnl" w:eastAsia="es-ES_tradnl"/>
        </w:rPr>
        <w:t xml:space="preserve">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celebren un negocio jurídico. No obstante, es </w:t>
      </w:r>
      <w:r w:rsidRPr="00DE648B" w:rsidR="00441562">
        <w:rPr>
          <w:rFonts w:ascii="Arial" w:hAnsi="Arial" w:eastAsia="Times New Roman" w:cs="Arial"/>
          <w:iCs/>
          <w:szCs w:val="24"/>
          <w:lang w:val="es-ES_tradnl" w:eastAsia="es-ES_tradnl"/>
        </w:rPr>
        <w:t xml:space="preserve">viable </w:t>
      </w:r>
      <w:r w:rsidRPr="00DE648B">
        <w:rPr>
          <w:rFonts w:ascii="Arial" w:hAnsi="Arial" w:eastAsia="Times New Roman" w:cs="Arial"/>
          <w:iCs/>
          <w:szCs w:val="24"/>
          <w:lang w:val="es-ES_tradnl" w:eastAsia="es-ES_tradnl"/>
        </w:rPr>
        <w:t>que se celebren contratos interadministrativos en el marco de un proceso donde sea posible la participación de los interesados en ofertar, es decir, a través de las otras modalidades de selección previstas en la Ley 1150 de 2007 diferentes a la contratación directa, pues, como se indicó, la existencia de un contrato interadministrativo no está determinada por la modalidad de selección, sino entre otras cosas, por la calidad de las partes que lo suscriben, es decir, debe tratarse de entidades estatales.</w:t>
      </w:r>
    </w:p>
    <w:p w:rsidRPr="00DE648B" w:rsidR="00BB002F" w:rsidP="00BB002F" w:rsidRDefault="00BB002F" w14:paraId="551508E9" w14:textId="56BBCBD7">
      <w:pPr>
        <w:spacing w:before="120" w:after="0" w:line="276" w:lineRule="auto"/>
        <w:jc w:val="both"/>
        <w:rPr>
          <w:rFonts w:ascii="Arial" w:hAnsi="Arial" w:eastAsia="Times New Roman" w:cs="Arial"/>
          <w:iCs/>
          <w:szCs w:val="24"/>
          <w:lang w:val="es-ES_tradnl" w:eastAsia="es-ES_tradnl"/>
        </w:rPr>
      </w:pPr>
      <w:r w:rsidRPr="00DE648B">
        <w:rPr>
          <w:rFonts w:ascii="Arial" w:hAnsi="Arial" w:eastAsia="Times New Roman" w:cs="Arial"/>
          <w:iCs/>
          <w:szCs w:val="24"/>
          <w:lang w:val="es-ES_tradnl" w:eastAsia="es-ES_tradnl"/>
        </w:rPr>
        <w:tab/>
      </w:r>
      <w:r w:rsidRPr="00DE648B">
        <w:rPr>
          <w:rFonts w:ascii="Arial" w:hAnsi="Arial" w:eastAsia="Times New Roman" w:cs="Arial"/>
          <w:iCs/>
          <w:szCs w:val="24"/>
          <w:lang w:val="es-ES_tradnl" w:eastAsia="es-ES_tradnl"/>
        </w:rPr>
        <w:t>Además, es necesario tener en cuenta que para que un contrato o convenio interadministrativo exista debe cumplir con los siguientes elementos: acuerdo sobre el objeto y la contraprestación elev</w:t>
      </w:r>
      <w:r w:rsidRPr="00DE648B" w:rsidR="00441562">
        <w:rPr>
          <w:rFonts w:ascii="Arial" w:hAnsi="Arial" w:eastAsia="Times New Roman" w:cs="Arial"/>
          <w:iCs/>
          <w:szCs w:val="24"/>
          <w:lang w:val="es-ES_tradnl" w:eastAsia="es-ES_tradnl"/>
        </w:rPr>
        <w:t>ado</w:t>
      </w:r>
      <w:r w:rsidRPr="00DE648B">
        <w:rPr>
          <w:rFonts w:ascii="Arial" w:hAnsi="Arial" w:eastAsia="Times New Roman" w:cs="Arial"/>
          <w:iCs/>
          <w:szCs w:val="24"/>
          <w:lang w:val="es-ES_tradnl" w:eastAsia="es-ES_tradnl"/>
        </w:rPr>
        <w:t xml:space="preserve"> a escrito. Por otra parte, si bien actualmente el Estatuto General de Contratación de la Administración Pública hace referencia de manera expresa al contrato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 </w:t>
      </w:r>
    </w:p>
    <w:p w:rsidRPr="00DE648B" w:rsidR="00BB002F" w:rsidP="00BB002F" w:rsidRDefault="00BB002F" w14:paraId="2303A79E" w14:textId="77777777">
      <w:pPr>
        <w:spacing w:before="120" w:after="0" w:line="276" w:lineRule="auto"/>
        <w:jc w:val="both"/>
        <w:rPr>
          <w:rFonts w:ascii="Arial" w:hAnsi="Arial" w:eastAsia="Times New Roman" w:cs="Arial"/>
          <w:iCs/>
          <w:szCs w:val="24"/>
          <w:lang w:val="es-ES_tradnl" w:eastAsia="es-ES_tradnl"/>
        </w:rPr>
      </w:pPr>
      <w:r w:rsidRPr="00DE648B">
        <w:rPr>
          <w:rFonts w:ascii="Arial" w:hAnsi="Arial" w:eastAsia="Times New Roman" w:cs="Arial"/>
          <w:iCs/>
          <w:szCs w:val="24"/>
          <w:lang w:val="es-ES_tradnl" w:eastAsia="es-ES_tradnl"/>
        </w:rPr>
        <w:tab/>
      </w:r>
      <w:r w:rsidRPr="00DE648B">
        <w:rPr>
          <w:rFonts w:ascii="Arial" w:hAnsi="Arial" w:eastAsia="Times New Roman" w:cs="Arial"/>
          <w:iCs/>
          <w:szCs w:val="24"/>
          <w:lang w:val="es-ES_tradnl" w:eastAsia="es-ES_tradnl"/>
        </w:rPr>
        <w:t>Resulta a bien destacar que el Decreto 1082 de 2015 dispone que los convenios o contratos interadministrativos, así denominados en su artículo 2.2.1.2.1.4.4, se contratan directamente, por lo que no hay lugar a dudas que representan lo mismo en la medida que concurran entidades estatales en el acuerdo de voluntades. De este modo, es posible concluir que en la contratación estatal no existen mayores diferencias entre el convenio y contrato y, dando aplicación al derecho privado y a la definición contenida en el Código Civil, puede afirmarse que se trata de figuras equivalentes.</w:t>
      </w:r>
    </w:p>
    <w:p w:rsidRPr="00DE648B" w:rsidR="00BB002F" w:rsidP="00BB002F" w:rsidRDefault="00BB002F" w14:paraId="5E420B20" w14:textId="77777777">
      <w:pPr>
        <w:spacing w:before="120" w:after="0" w:line="276" w:lineRule="auto"/>
        <w:ind w:firstLine="709"/>
        <w:jc w:val="both"/>
        <w:rPr>
          <w:rFonts w:ascii="Arial" w:hAnsi="Arial" w:eastAsia="Times New Roman" w:cs="Arial"/>
          <w:iCs/>
          <w:szCs w:val="24"/>
          <w:lang w:val="es-ES_tradnl" w:eastAsia="es-ES_tradnl"/>
        </w:rPr>
      </w:pPr>
      <w:r w:rsidRPr="00DE648B">
        <w:rPr>
          <w:rFonts w:ascii="Arial" w:hAnsi="Arial" w:eastAsia="Times New Roman" w:cs="Arial"/>
          <w:iCs/>
          <w:szCs w:val="24"/>
          <w:lang w:val="es-ES_tradnl" w:eastAsia="es-ES_tradnl"/>
        </w:rPr>
        <w:t xml:space="preserve">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w:t>
      </w:r>
      <w:r w:rsidRPr="00DE648B">
        <w:rPr>
          <w:rFonts w:ascii="Arial" w:hAnsi="Arial" w:eastAsia="Times New Roman" w:cs="Arial"/>
          <w:iCs/>
          <w:szCs w:val="24"/>
          <w:lang w:val="es-ES_tradnl" w:eastAsia="es-ES_tradnl"/>
        </w:rPr>
        <w:t>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 […]</w:t>
      </w:r>
      <w:r w:rsidRPr="00DE648B">
        <w:rPr>
          <w:rFonts w:ascii="Arial" w:hAnsi="Arial" w:eastAsia="Arial" w:cs="Arial"/>
          <w:vertAlign w:val="superscript"/>
        </w:rPr>
        <w:footnoteReference w:id="23"/>
      </w:r>
      <w:r w:rsidRPr="00DE648B">
        <w:rPr>
          <w:rFonts w:ascii="Arial" w:hAnsi="Arial" w:eastAsia="Arial" w:cs="Arial"/>
          <w:lang w:val="es-ES_tradnl" w:eastAsia="es-ES" w:bidi="es-ES"/>
        </w:rPr>
        <w:t>”.</w:t>
      </w:r>
    </w:p>
    <w:p w:rsidRPr="00DE648B" w:rsidR="00BB002F" w:rsidP="00BB002F" w:rsidRDefault="00BB002F" w14:paraId="26B1A358" w14:textId="77777777">
      <w:pPr>
        <w:spacing w:before="120" w:after="0" w:line="276" w:lineRule="auto"/>
        <w:ind w:firstLine="709"/>
        <w:jc w:val="both"/>
        <w:rPr>
          <w:rFonts w:ascii="Arial" w:hAnsi="Arial" w:eastAsia="Times New Roman" w:cs="Arial"/>
          <w:iCs/>
          <w:szCs w:val="24"/>
          <w:lang w:val="es-ES_tradnl" w:eastAsia="es-ES_tradnl"/>
        </w:rPr>
      </w:pPr>
      <w:r w:rsidRPr="00DE648B">
        <w:rPr>
          <w:rFonts w:ascii="Arial" w:hAnsi="Arial" w:eastAsia="Times New Roman" w:cs="Arial"/>
          <w:iCs/>
          <w:szCs w:val="24"/>
          <w:lang w:val="es-ES_tradnl" w:eastAsia="es-ES_tradnl"/>
        </w:rPr>
        <w:t>Sin perjuicio de lo anterior, debe tenerse en cuenta que cierto sector de la doctrina y la jurisprudencia han establecido algunas diferencias o caracterización de los contratos interadministrativos frente a los convenios interadministrativos de que trata el artículo 95 de la Ley 489 de 1998. Por ejemplo, en Sentencia del 14 de junio de 2019, el Consejo de Estado señaló:</w:t>
      </w:r>
    </w:p>
    <w:p w:rsidRPr="00DE648B" w:rsidR="00BB002F" w:rsidP="00BB002F" w:rsidRDefault="00BB002F" w14:paraId="07D41CD9" w14:textId="77777777">
      <w:pPr>
        <w:spacing w:after="0" w:line="240" w:lineRule="auto"/>
        <w:ind w:left="709" w:right="709"/>
        <w:jc w:val="both"/>
        <w:rPr>
          <w:rFonts w:ascii="Arial" w:hAnsi="Arial" w:eastAsia="Calibri" w:cs="Arial"/>
          <w:sz w:val="21"/>
          <w:szCs w:val="21"/>
          <w:lang w:val="es-ES_tradnl"/>
        </w:rPr>
      </w:pPr>
    </w:p>
    <w:p w:rsidRPr="00DE648B" w:rsidR="00BB002F" w:rsidP="00BB002F" w:rsidRDefault="00BB002F" w14:paraId="6F6354F2" w14:textId="77777777">
      <w:pPr>
        <w:spacing w:after="0" w:line="240" w:lineRule="auto"/>
        <w:ind w:left="709" w:right="709"/>
        <w:jc w:val="both"/>
        <w:rPr>
          <w:rFonts w:ascii="Arial" w:hAnsi="Arial" w:eastAsia="Calibri" w:cs="Arial"/>
          <w:sz w:val="21"/>
          <w:szCs w:val="21"/>
          <w:lang w:val="es-ES_tradnl"/>
        </w:rPr>
      </w:pPr>
      <w:r w:rsidRPr="00DE648B">
        <w:rPr>
          <w:rFonts w:ascii="Arial" w:hAnsi="Arial" w:eastAsia="Calibri" w:cs="Arial"/>
          <w:sz w:val="21"/>
          <w:szCs w:val="21"/>
          <w:lang w:val="es-ES_tradnl"/>
        </w:rPr>
        <w:t>“La Sala de Consulta y Servicio Civil</w:t>
      </w:r>
      <w:r w:rsidRPr="00DE648B">
        <w:rPr>
          <w:rFonts w:ascii="Arial" w:hAnsi="Arial" w:eastAsia="Calibri" w:cs="Arial"/>
          <w:sz w:val="21"/>
          <w:szCs w:val="21"/>
          <w:vertAlign w:val="superscript"/>
          <w:lang w:eastAsia="es-ES_tradnl"/>
        </w:rPr>
        <w:footnoteReference w:id="24"/>
      </w:r>
      <w:r w:rsidRPr="00DE648B">
        <w:rPr>
          <w:rFonts w:ascii="Arial" w:hAnsi="Arial" w:eastAsia="Calibri" w:cs="Arial"/>
          <w:sz w:val="21"/>
          <w:szCs w:val="21"/>
          <w:lang w:val="es-ES_tradnl"/>
        </w:rPr>
        <w:t xml:space="preserve"> de esta Corporación se ha referido a los </w:t>
      </w:r>
      <w:r w:rsidRPr="00DE648B">
        <w:rPr>
          <w:rFonts w:ascii="Arial" w:hAnsi="Arial" w:eastAsia="Calibri" w:cs="Arial"/>
          <w:i/>
          <w:sz w:val="21"/>
          <w:szCs w:val="21"/>
          <w:lang w:val="es-ES_tradnl"/>
        </w:rPr>
        <w:t>“convenios interadministrativos”</w:t>
      </w:r>
      <w:r w:rsidRPr="00DE648B">
        <w:rPr>
          <w:rFonts w:ascii="Arial" w:hAnsi="Arial" w:eastAsia="Calibri" w:cs="Arial"/>
          <w:sz w:val="21"/>
          <w:szCs w:val="21"/>
          <w:lang w:val="es-ES_tradnl"/>
        </w:rPr>
        <w:t xml:space="preserve"> a los cuales alude el artículo 95 de la Ley 489 de 1998, calificándolos de </w:t>
      </w:r>
      <w:r w:rsidRPr="00DE648B">
        <w:rPr>
          <w:rFonts w:ascii="Arial" w:hAnsi="Arial" w:eastAsia="Calibri" w:cs="Arial"/>
          <w:i/>
          <w:sz w:val="21"/>
          <w:szCs w:val="21"/>
          <w:lang w:val="es-ES_tradnl"/>
        </w:rPr>
        <w:t xml:space="preserve">“puros” </w:t>
      </w:r>
      <w:r w:rsidRPr="00DE648B">
        <w:rPr>
          <w:rFonts w:ascii="Arial" w:hAnsi="Arial" w:eastAsia="Calibri" w:cs="Arial"/>
          <w:sz w:val="21"/>
          <w:szCs w:val="21"/>
          <w:lang w:val="es-ES_tradnl"/>
        </w:rPr>
        <w:t xml:space="preserve">y entendiendo que estos, además de perseguir la finalidad de cooperación antes indicada, no implican intereses contrapuestos ni tampoco se circunscriben a un </w:t>
      </w:r>
      <w:r w:rsidRPr="00DE648B">
        <w:rPr>
          <w:rFonts w:ascii="Arial" w:hAnsi="Arial" w:eastAsia="Calibri" w:cs="Arial"/>
          <w:i/>
          <w:sz w:val="21"/>
          <w:szCs w:val="21"/>
          <w:lang w:val="es-ES_tradnl"/>
        </w:rPr>
        <w:t>“intercambio patrimonial”</w:t>
      </w:r>
      <w:r w:rsidRPr="00DE648B">
        <w:rPr>
          <w:rFonts w:ascii="Arial" w:hAnsi="Arial" w:eastAsia="Calibri" w:cs="Arial"/>
          <w:sz w:val="21"/>
          <w:szCs w:val="21"/>
          <w:lang w:val="es-ES_tradnl"/>
        </w:rPr>
        <w:t>. Sin perjuicio de lo anterior, en otra oportunidad, la misma Sala</w:t>
      </w:r>
      <w:r w:rsidRPr="00DE648B">
        <w:rPr>
          <w:rFonts w:ascii="Arial" w:hAnsi="Arial" w:eastAsia="Calibri" w:cs="Arial"/>
          <w:sz w:val="21"/>
          <w:szCs w:val="21"/>
          <w:vertAlign w:val="superscript"/>
          <w:lang w:eastAsia="es-ES_tradnl"/>
        </w:rPr>
        <w:footnoteReference w:id="25"/>
      </w:r>
      <w:r w:rsidRPr="00DE648B">
        <w:rPr>
          <w:rFonts w:ascii="Arial" w:hAnsi="Arial" w:eastAsia="Calibri" w:cs="Arial"/>
          <w:sz w:val="21"/>
          <w:szCs w:val="21"/>
          <w:lang w:val="es-ES_tradnl"/>
        </w:rPr>
        <w:t xml:space="preserve"> había indicado que, si bien en dichos convenios no se daba un </w:t>
      </w:r>
      <w:r w:rsidRPr="00DE648B">
        <w:rPr>
          <w:rFonts w:ascii="Arial" w:hAnsi="Arial" w:eastAsia="Calibri" w:cs="Arial"/>
          <w:i/>
          <w:sz w:val="21"/>
          <w:szCs w:val="21"/>
          <w:lang w:val="es-ES_tradnl"/>
        </w:rPr>
        <w:t>“verdadero intercambio de bienes o servicios (contrato conmutativo)”</w:t>
      </w:r>
      <w:r w:rsidRPr="00DE648B">
        <w:rPr>
          <w:rFonts w:ascii="Arial" w:hAnsi="Arial" w:eastAsia="Calibri" w:cs="Arial"/>
          <w:sz w:val="21"/>
          <w:szCs w:val="21"/>
          <w:lang w:val="es-ES_tradnl"/>
        </w:rPr>
        <w:t>, ello no impedía que se conviniera una remuneración a cargo de alguna(s) entidad(es).</w:t>
      </w:r>
    </w:p>
    <w:p w:rsidRPr="00DE648B" w:rsidR="00BB002F" w:rsidP="00BB002F" w:rsidRDefault="00BB002F" w14:paraId="50BEB6E2" w14:textId="77777777">
      <w:pPr>
        <w:widowControl w:val="0"/>
        <w:autoSpaceDE w:val="0"/>
        <w:autoSpaceDN w:val="0"/>
        <w:spacing w:before="120" w:after="0" w:line="240" w:lineRule="auto"/>
        <w:ind w:left="709" w:right="709"/>
        <w:jc w:val="both"/>
        <w:rPr>
          <w:rFonts w:ascii="Arial" w:hAnsi="Arial" w:eastAsia="Arial" w:cs="Arial"/>
          <w:sz w:val="21"/>
          <w:szCs w:val="21"/>
          <w:lang w:val="es-ES_tradnl" w:eastAsia="es-ES" w:bidi="es-ES"/>
        </w:rPr>
      </w:pPr>
      <w:r w:rsidRPr="00DE648B">
        <w:rPr>
          <w:rFonts w:ascii="Arial" w:hAnsi="Arial" w:eastAsia="Arial" w:cs="Arial"/>
          <w:sz w:val="21"/>
          <w:szCs w:val="21"/>
          <w:lang w:val="es-ES_tradnl" w:eastAsia="es-ES" w:bidi="es-ES"/>
        </w:rPr>
        <w:t xml:space="preserve">Lo expuesto evidencia que, en general, las interpretaciones en torno a los </w:t>
      </w:r>
      <w:r w:rsidRPr="00DE648B">
        <w:rPr>
          <w:rFonts w:ascii="Arial" w:hAnsi="Arial" w:eastAsia="Arial" w:cs="Arial"/>
          <w:i/>
          <w:sz w:val="21"/>
          <w:szCs w:val="21"/>
          <w:lang w:val="es-ES_tradnl" w:eastAsia="es-ES" w:bidi="es-ES"/>
        </w:rPr>
        <w:t>“convenios interadministrativos”</w:t>
      </w:r>
      <w:r w:rsidRPr="00DE648B">
        <w:rPr>
          <w:rFonts w:ascii="Arial" w:hAnsi="Arial" w:eastAsia="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w:t>
      </w:r>
      <w:r w:rsidRPr="00DE648B">
        <w:rPr>
          <w:rFonts w:ascii="Arial" w:hAnsi="Arial" w:eastAsia="Arial" w:cs="Arial"/>
          <w:sz w:val="21"/>
          <w:szCs w:val="21"/>
          <w:lang w:val="es-ES_tradnl" w:eastAsia="es-ES" w:bidi="es-ES"/>
        </w:rPr>
        <w:t>prestaciones patrimoniales</w:t>
      </w:r>
      <w:r w:rsidRPr="00DE648B">
        <w:rPr>
          <w:rFonts w:ascii="Arial" w:hAnsi="Arial" w:eastAsia="Arial" w:cs="Arial"/>
          <w:sz w:val="21"/>
          <w:szCs w:val="21"/>
          <w:vertAlign w:val="superscript"/>
          <w:lang w:eastAsia="es-ES_tradnl"/>
        </w:rPr>
        <w:footnoteReference w:id="26"/>
      </w:r>
      <w:r w:rsidRPr="00DE648B">
        <w:rPr>
          <w:rFonts w:ascii="Arial" w:hAnsi="Arial" w:eastAsia="Arial" w:cs="Arial"/>
          <w:sz w:val="21"/>
          <w:szCs w:val="21"/>
          <w:lang w:val="es-ES_tradnl" w:eastAsia="es-ES" w:bidi="es-ES"/>
        </w:rPr>
        <w:t xml:space="preserve"> </w:t>
      </w:r>
      <w:r w:rsidRPr="00DE648B">
        <w:rPr>
          <w:rFonts w:ascii="Arial" w:hAnsi="Arial" w:eastAsia="Arial" w:cs="Arial"/>
          <w:sz w:val="21"/>
          <w:szCs w:val="21"/>
          <w:vertAlign w:val="superscript"/>
          <w:lang w:eastAsia="es-ES_tradnl"/>
        </w:rPr>
        <w:footnoteReference w:id="27"/>
      </w:r>
      <w:r w:rsidRPr="00DE648B">
        <w:rPr>
          <w:rFonts w:ascii="Arial" w:hAnsi="Arial" w:eastAsia="Arial" w:cs="Arial"/>
          <w:sz w:val="21"/>
          <w:szCs w:val="21"/>
          <w:lang w:val="es-ES_tradnl" w:eastAsia="es-ES" w:bidi="es-ES"/>
        </w:rPr>
        <w:t>”. [Énfasis propio]</w:t>
      </w:r>
    </w:p>
    <w:p w:rsidRPr="00DE648B" w:rsidR="00BB002F" w:rsidP="00BB002F" w:rsidRDefault="00BB002F" w14:paraId="3F7AD664" w14:textId="77777777">
      <w:pPr>
        <w:spacing w:after="0" w:line="276" w:lineRule="auto"/>
        <w:ind w:firstLine="709"/>
        <w:jc w:val="both"/>
        <w:rPr>
          <w:rFonts w:ascii="Arial" w:hAnsi="Arial" w:eastAsia="Times New Roman" w:cs="Arial"/>
          <w:iCs/>
          <w:szCs w:val="24"/>
          <w:lang w:val="es-ES_tradnl" w:eastAsia="es-ES_tradnl"/>
        </w:rPr>
      </w:pPr>
    </w:p>
    <w:p w:rsidRPr="00DE648B" w:rsidR="00BB002F" w:rsidP="00BB002F" w:rsidRDefault="00BB002F" w14:paraId="667F8F72" w14:textId="77777777">
      <w:pPr>
        <w:spacing w:after="0" w:line="276" w:lineRule="auto"/>
        <w:ind w:firstLine="709"/>
        <w:jc w:val="both"/>
        <w:rPr>
          <w:rFonts w:ascii="Arial" w:hAnsi="Arial" w:eastAsia="Times New Roman" w:cs="Arial"/>
          <w:iCs/>
          <w:szCs w:val="24"/>
          <w:lang w:val="es-ES_tradnl" w:eastAsia="es-ES_tradnl"/>
        </w:rPr>
      </w:pPr>
      <w:r w:rsidRPr="00DE648B">
        <w:rPr>
          <w:rFonts w:ascii="Arial" w:hAnsi="Arial" w:eastAsia="Times New Roman" w:cs="Arial"/>
          <w:iCs/>
          <w:szCs w:val="24"/>
          <w:lang w:val="es-ES_tradnl" w:eastAsia="es-ES_tradnl"/>
        </w:rPr>
        <w:t>En ese orden, debe advertirse que el ordenamiento jurídico en distintas ocasiones utiliza de forma indistinta los conceptos de contrato o convenio para referirse a la misma institución jurídica</w:t>
      </w:r>
      <w:r w:rsidRPr="00DE648B">
        <w:rPr>
          <w:rFonts w:ascii="Arial" w:hAnsi="Arial" w:eastAsia="Arial" w:cs="Arial"/>
          <w:vertAlign w:val="superscript"/>
        </w:rPr>
        <w:footnoteReference w:id="28"/>
      </w:r>
      <w:r w:rsidRPr="00DE648B">
        <w:rPr>
          <w:rFonts w:ascii="Arial" w:hAnsi="Arial" w:eastAsia="Arial" w:cs="Arial"/>
          <w:lang w:val="es-ES_tradnl" w:eastAsia="es-ES" w:bidi="es-ES"/>
        </w:rPr>
        <w:t>. Incluso la Corte Constitucional explica la posibilidad de celebrar convenios interadministrativos de forma directa, con fundamento en la causal establecida en la Ley 1150 de 2007 respecto a los contratos interadministrativos</w:t>
      </w:r>
      <w:r w:rsidRPr="00DE648B">
        <w:rPr>
          <w:rFonts w:ascii="Arial" w:hAnsi="Arial" w:eastAsia="Arial" w:cs="Arial"/>
          <w:vertAlign w:val="superscript"/>
        </w:rPr>
        <w:footnoteReference w:id="29"/>
      </w:r>
      <w:r w:rsidRPr="00DE648B">
        <w:rPr>
          <w:rFonts w:ascii="Arial" w:hAnsi="Arial" w:eastAsia="Arial" w:cs="Arial"/>
          <w:lang w:val="es-ES_tradnl" w:eastAsia="es-ES" w:bidi="es-ES"/>
        </w:rPr>
        <w:t>.</w:t>
      </w:r>
    </w:p>
    <w:p w:rsidRPr="00DE648B" w:rsidR="00BB002F" w:rsidP="00BB002F" w:rsidRDefault="00BB002F" w14:paraId="46AEEF71" w14:textId="77777777">
      <w:pPr>
        <w:spacing w:before="120" w:after="0" w:line="276" w:lineRule="auto"/>
        <w:ind w:firstLine="709"/>
        <w:jc w:val="both"/>
        <w:rPr>
          <w:rFonts w:ascii="Arial" w:hAnsi="Arial" w:eastAsia="Times New Roman" w:cs="Arial"/>
          <w:iCs/>
          <w:szCs w:val="24"/>
          <w:lang w:val="es-ES_tradnl" w:eastAsia="es-ES_tradnl"/>
        </w:rPr>
      </w:pPr>
      <w:r w:rsidRPr="00DE648B">
        <w:rPr>
          <w:rFonts w:ascii="Arial" w:hAnsi="Arial" w:eastAsia="Times New Roman" w:cs="Arial"/>
          <w:iCs/>
          <w:szCs w:val="24"/>
          <w:lang w:val="es-ES_tradnl" w:eastAsia="es-ES_tradnl"/>
        </w:rPr>
        <w:t xml:space="preserve">Corolario de lo anterior, se colige que lo que define los contratos o convenios interadministrativos es la naturaleza de las partes, de manera que están determinados por un criterio orgánico, en el sentido de que lo serán aquellos celebrados entre entidades estatales. Además, no existe una diferencia en los conceptos de contrato y convenio, por lo que se asimilaron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 </w:t>
      </w:r>
    </w:p>
    <w:p w:rsidRPr="00DE648B" w:rsidR="00BB002F" w:rsidP="00BB002F" w:rsidRDefault="00BB002F" w14:paraId="40249286" w14:textId="77777777">
      <w:pPr>
        <w:spacing w:before="120" w:after="0" w:line="276" w:lineRule="auto"/>
        <w:ind w:firstLine="709"/>
        <w:jc w:val="both"/>
        <w:rPr>
          <w:rFonts w:ascii="Arial" w:hAnsi="Arial" w:eastAsia="Times New Roman" w:cs="Arial"/>
          <w:iCs/>
          <w:szCs w:val="24"/>
          <w:lang w:val="es-ES_tradnl" w:eastAsia="es-ES_tradnl"/>
        </w:rPr>
      </w:pPr>
      <w:r w:rsidRPr="00DE648B">
        <w:rPr>
          <w:rFonts w:ascii="Arial" w:hAnsi="Arial" w:eastAsia="Times New Roman" w:cs="Arial"/>
          <w:iCs/>
          <w:szCs w:val="24"/>
          <w:lang w:val="es-ES_tradnl" w:eastAsia="es-ES_tradnl"/>
        </w:rPr>
        <w:t xml:space="preserve">En conclusión y conforme a todo lo expuesto, debe aclararse que para los comicios que se celebrarán este año, aplicarán las restricciones contractuales establecidas en el parágrafo del artículo 38 de la Ley 996 de 2005 que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de las entidades descritas en el parágrafo </w:t>
      </w:r>
      <w:r w:rsidRPr="00DE648B">
        <w:rPr>
          <w:rFonts w:ascii="Arial" w:hAnsi="Arial" w:eastAsia="Times New Roman" w:cs="Arial"/>
          <w:i/>
          <w:szCs w:val="24"/>
          <w:lang w:val="es-ES_tradnl" w:eastAsia="es-ES_tradnl"/>
        </w:rPr>
        <w:t xml:space="preserve">ibidem, </w:t>
      </w:r>
      <w:r w:rsidRPr="00DE648B">
        <w:rPr>
          <w:rFonts w:ascii="Arial" w:hAnsi="Arial" w:eastAsia="Times New Roman" w:cs="Arial"/>
          <w:iCs/>
          <w:szCs w:val="24"/>
          <w:lang w:val="es-ES_tradnl" w:eastAsia="es-ES_tradnl"/>
        </w:rPr>
        <w:t>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p>
    <w:p w:rsidRPr="00DE648B" w:rsidR="00BB002F" w:rsidP="00BB002F" w:rsidRDefault="00BB002F" w14:paraId="5615FBAA" w14:textId="77777777">
      <w:pPr>
        <w:spacing w:after="0" w:line="276" w:lineRule="auto"/>
        <w:ind w:firstLine="709"/>
        <w:jc w:val="both"/>
        <w:rPr>
          <w:rFonts w:ascii="Arial" w:hAnsi="Arial" w:eastAsia="Times New Roman" w:cs="Arial"/>
          <w:iCs/>
          <w:szCs w:val="24"/>
          <w:lang w:val="es-ES_tradnl" w:eastAsia="es-ES_tradnl"/>
        </w:rPr>
      </w:pPr>
    </w:p>
    <w:p w:rsidRPr="00DE648B" w:rsidR="00BB002F" w:rsidP="00BB002F" w:rsidRDefault="00BB002F" w14:paraId="2464928F" w14:textId="77777777">
      <w:pPr>
        <w:spacing w:after="0" w:line="276" w:lineRule="auto"/>
        <w:jc w:val="both"/>
        <w:rPr>
          <w:rFonts w:ascii="Arial" w:hAnsi="Arial" w:eastAsia="Times New Roman" w:cs="Arial"/>
          <w:b/>
          <w:bCs/>
          <w:iCs/>
          <w:szCs w:val="24"/>
          <w:lang w:val="es-ES_tradnl" w:eastAsia="es-ES_tradnl"/>
        </w:rPr>
      </w:pPr>
      <w:r w:rsidRPr="00DE648B">
        <w:rPr>
          <w:rFonts w:ascii="Arial" w:hAnsi="Arial" w:eastAsia="Times New Roman" w:cs="Arial"/>
          <w:b/>
          <w:bCs/>
          <w:iCs/>
          <w:szCs w:val="24"/>
          <w:lang w:val="es-ES_tradnl" w:eastAsia="es-ES_tradnl"/>
        </w:rPr>
        <w:t>2.4. Aplicabilidad de la restricción establecida en el artículo 38 de la Ley 996 de 2005 a las entidades descentralizadas del orden territorial</w:t>
      </w:r>
    </w:p>
    <w:p w:rsidRPr="00DE648B" w:rsidR="00BB002F" w:rsidP="00BB002F" w:rsidRDefault="00BB002F" w14:paraId="41573DB5" w14:textId="77777777">
      <w:pPr>
        <w:spacing w:after="0" w:line="276" w:lineRule="auto"/>
        <w:jc w:val="both"/>
        <w:rPr>
          <w:rFonts w:ascii="Arial" w:hAnsi="Arial" w:eastAsia="Times New Roman" w:cs="Arial"/>
          <w:iCs/>
          <w:szCs w:val="24"/>
          <w:lang w:val="es-ES_tradnl" w:eastAsia="es-ES_tradnl"/>
        </w:rPr>
      </w:pPr>
    </w:p>
    <w:p w:rsidRPr="00DE648B" w:rsidR="00BB002F" w:rsidP="00BB002F" w:rsidRDefault="00BB002F" w14:paraId="4AE726B7" w14:textId="77777777">
      <w:pPr>
        <w:spacing w:after="0" w:line="276" w:lineRule="auto"/>
        <w:jc w:val="both"/>
        <w:rPr>
          <w:rFonts w:ascii="Arial" w:hAnsi="Arial" w:eastAsia="Times New Roman" w:cs="Arial"/>
          <w:iCs/>
          <w:szCs w:val="24"/>
          <w:lang w:val="es-ES_tradnl" w:eastAsia="es-ES_tradnl"/>
        </w:rPr>
      </w:pPr>
      <w:r w:rsidRPr="00DE648B">
        <w:rPr>
          <w:rFonts w:ascii="Arial" w:hAnsi="Arial" w:eastAsia="Times New Roman" w:cs="Arial"/>
          <w:iCs/>
          <w:szCs w:val="24"/>
          <w:lang w:val="es-ES_tradnl" w:eastAsia="es-ES_tradnl"/>
        </w:rPr>
        <w:t xml:space="preserve">El artículo 2 de la Ley 80 de 1993, establece mediante tres (3) numerales, lo que se entiende por Entidades Estatales, servidores públicos y servicios. Al respecto, resulta particularmente relevante lo dispuesto en el literal a) del numeral 1 </w:t>
      </w:r>
      <w:r w:rsidRPr="00DE648B">
        <w:rPr>
          <w:rFonts w:ascii="Arial" w:hAnsi="Arial" w:eastAsia="Times New Roman" w:cs="Arial"/>
          <w:i/>
          <w:szCs w:val="24"/>
          <w:lang w:val="es-ES_tradnl" w:eastAsia="es-ES_tradnl"/>
        </w:rPr>
        <w:t xml:space="preserve">ibidem, </w:t>
      </w:r>
      <w:r w:rsidRPr="00DE648B">
        <w:rPr>
          <w:rFonts w:ascii="Arial" w:hAnsi="Arial" w:eastAsia="Times New Roman" w:cs="Arial"/>
          <w:iCs/>
          <w:szCs w:val="24"/>
          <w:lang w:val="es-ES_tradnl" w:eastAsia="es-ES_tradnl"/>
        </w:rPr>
        <w:t>que reza:</w:t>
      </w:r>
    </w:p>
    <w:p w:rsidRPr="00DE648B" w:rsidR="00BB002F" w:rsidP="00BB002F" w:rsidRDefault="00BB002F" w14:paraId="20C50BC8" w14:textId="77777777">
      <w:pPr>
        <w:spacing w:after="0" w:line="276" w:lineRule="auto"/>
        <w:jc w:val="both"/>
        <w:rPr>
          <w:rFonts w:ascii="Arial" w:hAnsi="Arial" w:eastAsia="Times New Roman" w:cs="Arial"/>
          <w:iCs/>
          <w:szCs w:val="24"/>
          <w:lang w:val="es-ES_tradnl" w:eastAsia="es-ES_tradnl"/>
        </w:rPr>
      </w:pPr>
    </w:p>
    <w:p w:rsidRPr="00DE648B" w:rsidR="00BB002F" w:rsidP="00BB002F" w:rsidRDefault="00BB002F" w14:paraId="4261AE34" w14:textId="77777777">
      <w:pPr>
        <w:spacing w:after="0" w:line="240" w:lineRule="auto"/>
        <w:ind w:left="709" w:right="709"/>
        <w:jc w:val="both"/>
        <w:rPr>
          <w:rFonts w:ascii="Arial" w:hAnsi="Arial" w:eastAsia="Times New Roman" w:cs="Arial"/>
          <w:color w:val="000000" w:themeColor="text1"/>
          <w:sz w:val="21"/>
          <w:szCs w:val="21"/>
          <w:lang w:val="es-ES" w:eastAsia="es-ES_tradnl"/>
        </w:rPr>
      </w:pPr>
      <w:r w:rsidRPr="00DE648B">
        <w:rPr>
          <w:rFonts w:ascii="Arial" w:hAnsi="Arial" w:cs="Arial"/>
          <w:color w:val="000000"/>
          <w:sz w:val="21"/>
          <w:szCs w:val="21"/>
        </w:rPr>
        <w:t>“Artículo 2o. De la definición de entidades, servidores y servicios públicos. Para los solos efectos de esta ley: </w:t>
      </w:r>
    </w:p>
    <w:p w:rsidRPr="00DE648B" w:rsidR="00BB002F" w:rsidP="00BB002F" w:rsidRDefault="00BB002F" w14:paraId="3864E3B9" w14:textId="77777777">
      <w:pPr>
        <w:spacing w:before="120" w:after="0" w:line="240" w:lineRule="auto"/>
        <w:ind w:left="709" w:right="709"/>
        <w:jc w:val="both"/>
        <w:rPr>
          <w:rFonts w:ascii="Arial" w:hAnsi="Arial" w:cs="Arial"/>
          <w:color w:val="000000"/>
          <w:sz w:val="21"/>
          <w:szCs w:val="21"/>
        </w:rPr>
      </w:pPr>
      <w:r w:rsidRPr="00DE648B">
        <w:rPr>
          <w:rFonts w:ascii="Arial" w:hAnsi="Arial" w:cs="Arial"/>
          <w:color w:val="000000"/>
          <w:sz w:val="21"/>
          <w:szCs w:val="21"/>
        </w:rPr>
        <w:t>1o. Se denominan entidades estatales: </w:t>
      </w:r>
    </w:p>
    <w:p w:rsidRPr="00DE648B" w:rsidR="00BB002F" w:rsidP="00BB002F" w:rsidRDefault="00BB002F" w14:paraId="1180FA17" w14:textId="77777777">
      <w:pPr>
        <w:spacing w:after="0" w:line="240" w:lineRule="auto"/>
        <w:ind w:left="709" w:right="709"/>
        <w:jc w:val="both"/>
        <w:rPr>
          <w:rFonts w:ascii="Arial" w:hAnsi="Arial" w:cs="Arial"/>
          <w:color w:val="000000"/>
          <w:sz w:val="21"/>
          <w:szCs w:val="21"/>
        </w:rPr>
      </w:pPr>
    </w:p>
    <w:p w:rsidRPr="00DE648B" w:rsidR="00BB002F" w:rsidP="00BB002F" w:rsidRDefault="00BB002F" w14:paraId="1C06FB95" w14:textId="77777777">
      <w:pPr>
        <w:spacing w:after="0" w:line="240" w:lineRule="auto"/>
        <w:ind w:left="709" w:right="709"/>
        <w:jc w:val="both"/>
        <w:rPr>
          <w:rFonts w:ascii="Arial" w:hAnsi="Arial" w:cs="Arial"/>
          <w:color w:val="000000"/>
          <w:sz w:val="21"/>
          <w:szCs w:val="21"/>
        </w:rPr>
      </w:pPr>
      <w:r w:rsidRPr="00DE648B">
        <w:rPr>
          <w:rFonts w:ascii="Arial" w:hAnsi="Arial" w:cs="Arial"/>
          <w:color w:val="000000"/>
          <w:sz w:val="21"/>
          <w:szCs w:val="21"/>
        </w:rPr>
        <w:t xml:space="preserve">a) La Nación, las regiones, los departamentos, las provincias, el distrito capital y los distritos especiales, las áreas metropolitanas, las asociaciones de municipios, los territorios indígenas y los municipios; los establecimientos públicos, </w:t>
      </w:r>
      <w:r w:rsidRPr="00DE648B">
        <w:rPr>
          <w:rFonts w:ascii="Arial" w:hAnsi="Arial" w:cs="Arial"/>
          <w:i/>
          <w:iCs/>
          <w:color w:val="000000"/>
          <w:sz w:val="21"/>
          <w:szCs w:val="21"/>
        </w:rPr>
        <w:t>las empresas industriales y comerciales del Estado, las sociedades de economía mixta en las que el Estado tenga participación superior al cincuenta por ciento (50%),</w:t>
      </w:r>
      <w:r w:rsidRPr="00DE648B">
        <w:rPr>
          <w:rFonts w:ascii="Arial" w:hAnsi="Arial" w:cs="Arial"/>
          <w:color w:val="000000"/>
          <w:sz w:val="21"/>
          <w:szCs w:val="21"/>
        </w:rPr>
        <w:t xml:space="preserve"> así como las entidades descentralizadas indirectas y las demás personas jurídicas en las que exista dicha participación pública mayoritaria, cualquiera sea la denominación que ellas adopten, en todos los órdenes y niveles</w:t>
      </w:r>
      <w:r w:rsidRPr="00DE648B">
        <w:rPr>
          <w:rFonts w:ascii="Arial" w:hAnsi="Arial" w:cs="Arial"/>
          <w:i/>
          <w:iCs/>
          <w:color w:val="000000"/>
          <w:sz w:val="21"/>
          <w:szCs w:val="21"/>
        </w:rPr>
        <w:t> </w:t>
      </w:r>
      <w:r w:rsidRPr="00DE648B">
        <w:rPr>
          <w:rFonts w:ascii="Arial" w:hAnsi="Arial" w:cs="Arial"/>
          <w:color w:val="000000"/>
          <w:sz w:val="21"/>
          <w:szCs w:val="21"/>
        </w:rPr>
        <w:t>[...]”</w:t>
      </w:r>
      <w:r w:rsidRPr="00DE648B">
        <w:rPr>
          <w:rFonts w:ascii="Arial" w:hAnsi="Arial" w:cs="Arial"/>
          <w:i/>
          <w:iCs/>
          <w:color w:val="000000"/>
          <w:sz w:val="21"/>
          <w:szCs w:val="21"/>
        </w:rPr>
        <w:t xml:space="preserve"> </w:t>
      </w:r>
      <w:r w:rsidRPr="00DE648B">
        <w:rPr>
          <w:rFonts w:ascii="Arial" w:hAnsi="Arial" w:cs="Arial"/>
          <w:color w:val="000000"/>
          <w:sz w:val="21"/>
          <w:szCs w:val="21"/>
        </w:rPr>
        <w:t xml:space="preserve">[Énfasis fuera de texto] </w:t>
      </w:r>
    </w:p>
    <w:p w:rsidRPr="00DE648B" w:rsidR="00BB002F" w:rsidP="00BB002F" w:rsidRDefault="00BB002F" w14:paraId="52EE3195" w14:textId="77777777">
      <w:pPr>
        <w:spacing w:after="0" w:line="240" w:lineRule="auto"/>
        <w:jc w:val="both"/>
        <w:rPr>
          <w:rFonts w:ascii="Arial" w:hAnsi="Arial" w:eastAsia="Times New Roman" w:cs="Arial"/>
          <w:iCs/>
          <w:szCs w:val="24"/>
          <w:lang w:val="es-ES_tradnl" w:eastAsia="es-ES_tradnl"/>
        </w:rPr>
      </w:pPr>
    </w:p>
    <w:p w:rsidRPr="00DE648B" w:rsidR="00BB002F" w:rsidP="00517973" w:rsidRDefault="00BB002F" w14:paraId="16F112A6" w14:textId="77777777">
      <w:pPr>
        <w:spacing w:after="0" w:line="276" w:lineRule="auto"/>
        <w:ind w:firstLine="708"/>
        <w:jc w:val="both"/>
        <w:rPr>
          <w:rFonts w:ascii="Arial" w:hAnsi="Arial" w:eastAsia="Times New Roman" w:cs="Arial"/>
          <w:color w:val="000000" w:themeColor="text1"/>
          <w:lang w:val="es-ES" w:eastAsia="es-ES_tradnl"/>
        </w:rPr>
      </w:pPr>
      <w:r w:rsidRPr="00DE648B">
        <w:rPr>
          <w:rFonts w:ascii="Arial" w:hAnsi="Arial" w:eastAsia="Times New Roman" w:cs="Arial"/>
          <w:iCs/>
          <w:szCs w:val="24"/>
          <w:lang w:val="es-ES_tradnl" w:eastAsia="es-ES_tradnl"/>
        </w:rPr>
        <w:t>Conforme se aprecia, esta norma hace alusión a una serie de personas jurídicas públicas en ubicadas en distintos órdenes y niveles de la Administración Pública, a efectos de predicar respecto de estas la calidad de Entidades Estatales. Dicha calidad, de conformidad con lo establecido en el artículo 1° de la Ley 80 de 1993, en principio, implica que el régimen contractual aplicable a los sujetos referidos en la norma sea el Estatuto General de Contratación de la Administración Pública</w:t>
      </w:r>
      <w:r w:rsidRPr="00DE648B">
        <w:rPr>
          <w:rFonts w:ascii="Arial" w:hAnsi="Arial" w:eastAsia="Times New Roman" w:cs="Arial"/>
          <w:color w:val="000000" w:themeColor="text1"/>
          <w:vertAlign w:val="superscript"/>
          <w:lang w:val="es-ES" w:eastAsia="es-ES_tradnl"/>
        </w:rPr>
        <w:footnoteReference w:id="30"/>
      </w:r>
      <w:r w:rsidRPr="00DE648B">
        <w:rPr>
          <w:rFonts w:ascii="Arial" w:hAnsi="Arial" w:eastAsia="Times New Roman" w:cs="Arial"/>
          <w:color w:val="000000" w:themeColor="text1"/>
          <w:lang w:val="es-ES" w:eastAsia="es-ES_tradnl"/>
        </w:rPr>
        <w:t>.</w:t>
      </w:r>
    </w:p>
    <w:p w:rsidRPr="00DE648B" w:rsidR="00BB002F" w:rsidP="00BB002F" w:rsidRDefault="00BB002F" w14:paraId="396524E6" w14:textId="77777777">
      <w:pPr>
        <w:spacing w:before="120" w:after="120" w:line="276" w:lineRule="auto"/>
        <w:jc w:val="both"/>
        <w:rPr>
          <w:rFonts w:ascii="Arial" w:hAnsi="Arial" w:eastAsia="Times New Roman" w:cs="Arial"/>
          <w:color w:val="000000" w:themeColor="text1"/>
          <w:lang w:val="es-ES" w:eastAsia="es-ES_tradnl"/>
        </w:rPr>
      </w:pPr>
      <w:r w:rsidRPr="00DE648B">
        <w:rPr>
          <w:rFonts w:ascii="Arial" w:hAnsi="Arial" w:eastAsia="Times New Roman" w:cs="Arial"/>
          <w:iCs/>
          <w:szCs w:val="24"/>
          <w:lang w:val="es-ES_tradnl" w:eastAsia="es-ES_tradnl"/>
        </w:rPr>
        <w:tab/>
      </w:r>
      <w:r w:rsidRPr="00DE648B">
        <w:rPr>
          <w:rFonts w:ascii="Arial" w:hAnsi="Arial" w:eastAsia="Times New Roman" w:cs="Arial"/>
          <w:iCs/>
          <w:szCs w:val="24"/>
          <w:lang w:val="es-ES_tradnl" w:eastAsia="es-ES_tradnl"/>
        </w:rPr>
        <w:t>De acuerdo con lo anterior, resulta claro que entidades como la Nación, los departamentos, municipios, establecimientos públicos y asociaciones de municipios, obedecen a la noción de Entidades Estatales establecida por el literal a) del artículo 2.1 de la Ley 80 de 1993, de lo que se colige que se encuentran regidas por el régimen de contratación pública. En principio, lo mismo podría predicarse de las entidades como empresas industriales y comerciales del Estado y las sociedades de economía mixta en las que el Estado tenga una participación superior al cincuenta por ciento (50%)</w:t>
      </w:r>
      <w:r w:rsidRPr="00DE648B">
        <w:rPr>
          <w:rFonts w:ascii="Arial" w:hAnsi="Arial" w:eastAsia="Times New Roman" w:cs="Arial"/>
          <w:color w:val="000000" w:themeColor="text1"/>
          <w:lang w:val="es-ES" w:eastAsia="es-ES_tradnl"/>
        </w:rPr>
        <w:t>, las entidades descentralizadas indirectas y las demás personas jurídicas en las que exista una participación pública mayoritaria.</w:t>
      </w:r>
    </w:p>
    <w:p w:rsidRPr="00DE648B" w:rsidR="00BB002F" w:rsidP="00BB002F" w:rsidRDefault="00BB002F" w14:paraId="7845670A" w14:textId="77777777">
      <w:pPr>
        <w:spacing w:before="120" w:after="0" w:line="276" w:lineRule="auto"/>
        <w:jc w:val="both"/>
        <w:rPr>
          <w:rFonts w:ascii="Arial" w:hAnsi="Arial" w:eastAsia="Times New Roman" w:cs="Arial"/>
          <w:lang w:val="es-ES_tradnl" w:eastAsia="es-MX"/>
        </w:rPr>
      </w:pPr>
      <w:r w:rsidRPr="00DE648B">
        <w:rPr>
          <w:rFonts w:ascii="Arial" w:hAnsi="Arial" w:eastAsia="Times New Roman" w:cs="Arial"/>
          <w:iCs/>
          <w:szCs w:val="24"/>
          <w:lang w:val="es-ES_tradnl" w:eastAsia="es-ES_tradnl"/>
        </w:rPr>
        <w:tab/>
      </w:r>
      <w:r w:rsidRPr="00DE648B">
        <w:rPr>
          <w:rFonts w:ascii="Arial" w:hAnsi="Arial" w:eastAsia="Times New Roman" w:cs="Arial"/>
          <w:iCs/>
          <w:szCs w:val="24"/>
          <w:lang w:val="es-ES_tradnl" w:eastAsia="es-ES_tradnl"/>
        </w:rPr>
        <w:t>Ahora bien, resulta pertinente realizar las siguientes precisiones sobre las sociedades de economía mixta y las empresas industriales y comerciales del Estado. En el caso de las primeras, esto es las sociedades de economía mixta, el artículo 97 de la Ley 489 de 1998 las define como organismos autorizados por la ley, constituidos como sociedades comerciales, con aportes de capital público y privado que desarrollan actividades de naturaleza industrial o comercial conforme a las reglas del derecho privado, salvo las excepciones que consagra la ley. En este sentido, la misma ley, en sus artículos 38 y 68, clasifica a las sociedades de economía mixta como entidades descentralizadas por servicios, con personería jurídica autonomía administrativa y patrimonio propio</w:t>
      </w:r>
      <w:r w:rsidRPr="00DE648B">
        <w:rPr>
          <w:rFonts w:ascii="Arial" w:hAnsi="Arial" w:eastAsia="Times New Roman" w:cs="Arial"/>
          <w:vertAlign w:val="superscript"/>
          <w:lang w:val="es-ES_tradnl" w:eastAsia="es-MX"/>
        </w:rPr>
        <w:footnoteReference w:id="31"/>
      </w:r>
      <w:r w:rsidRPr="00DE648B">
        <w:rPr>
          <w:rFonts w:ascii="Arial" w:hAnsi="Arial" w:eastAsia="Times New Roman" w:cs="Arial"/>
          <w:lang w:val="es-ES_tradnl" w:eastAsia="es-MX"/>
        </w:rPr>
        <w:t>, que pueden ser del orden nacional, departamental o municipal, según su órgano de creación</w:t>
      </w:r>
      <w:r w:rsidRPr="00DE648B">
        <w:rPr>
          <w:rFonts w:ascii="Arial" w:hAnsi="Arial" w:eastAsia="Times New Roman" w:cs="Arial"/>
          <w:vertAlign w:val="superscript"/>
          <w:lang w:val="es-ES_tradnl" w:eastAsia="es-MX"/>
        </w:rPr>
        <w:footnoteReference w:id="32"/>
      </w:r>
      <w:r w:rsidRPr="00DE648B">
        <w:rPr>
          <w:rFonts w:ascii="Arial" w:hAnsi="Arial" w:eastAsia="Times New Roman" w:cs="Arial"/>
          <w:lang w:val="es-ES_tradnl" w:eastAsia="es-MX"/>
        </w:rPr>
        <w:t>.</w:t>
      </w:r>
    </w:p>
    <w:p w:rsidRPr="00DE648B" w:rsidR="00BB002F" w:rsidP="00BB002F" w:rsidRDefault="00BB002F" w14:paraId="198EE285" w14:textId="77777777">
      <w:pPr>
        <w:spacing w:before="120" w:after="0" w:line="276" w:lineRule="auto"/>
        <w:jc w:val="both"/>
        <w:rPr>
          <w:rFonts w:ascii="Arial" w:hAnsi="Arial" w:eastAsia="Times New Roman" w:cs="Arial"/>
          <w:lang w:val="es-ES_tradnl" w:eastAsia="es-MX"/>
        </w:rPr>
      </w:pPr>
      <w:r w:rsidRPr="00DE648B">
        <w:rPr>
          <w:rFonts w:ascii="Arial" w:hAnsi="Arial" w:eastAsia="Times New Roman" w:cs="Arial"/>
          <w:lang w:val="es-ES_tradnl" w:eastAsia="es-MX"/>
        </w:rPr>
        <w:tab/>
      </w:r>
      <w:r w:rsidRPr="00DE648B">
        <w:rPr>
          <w:rFonts w:ascii="Arial" w:hAnsi="Arial" w:eastAsia="Times New Roman" w:cs="Arial"/>
          <w:lang w:val="es-ES_tradnl" w:eastAsia="es-MX"/>
        </w:rPr>
        <w:t>En lo concerniente a las segundas, es decir, las empresas industriales y comerciales del Estado, se tiene que estas también se encuentran inmersas en la categoría de entidades descentralizadas por servicios, las cuales –sin perjuicio del control de tutela– tienen personería jurídica, autonomía administrativa y patrimonio propio. Estas entidades, como su nombre lo indican se caracterizan por desarrollar actividades de carácter industrial o comercial. Así, por ejemplo, son empresas industriales y comerciales del Estado la Imprenta Nacional de Colombia, Coljuegos, Indumil, la Caja Promotora de Vivienda Militar y de Policía, Colpensiones, entre otras.</w:t>
      </w:r>
    </w:p>
    <w:p w:rsidRPr="00DE648B" w:rsidR="00BB002F" w:rsidP="00BB002F" w:rsidRDefault="00BB002F" w14:paraId="1994D3C6" w14:textId="77777777">
      <w:pPr>
        <w:spacing w:before="120" w:after="0" w:line="276" w:lineRule="auto"/>
        <w:jc w:val="both"/>
        <w:rPr>
          <w:rFonts w:ascii="Arial" w:hAnsi="Arial" w:eastAsia="Times New Roman" w:cs="Arial"/>
          <w:iCs/>
          <w:szCs w:val="24"/>
          <w:lang w:val="es-ES_tradnl" w:eastAsia="es-ES_tradnl"/>
        </w:rPr>
      </w:pPr>
      <w:r w:rsidRPr="00DE648B">
        <w:rPr>
          <w:rFonts w:ascii="Arial" w:hAnsi="Arial" w:eastAsia="Times New Roman" w:cs="Arial"/>
          <w:lang w:val="es-ES_tradnl" w:eastAsia="es-MX"/>
        </w:rPr>
        <w:tab/>
      </w:r>
      <w:r w:rsidRPr="00DE648B">
        <w:rPr>
          <w:rFonts w:ascii="Arial" w:hAnsi="Arial" w:eastAsia="Times New Roman" w:cs="Arial"/>
          <w:lang w:val="es-ES_tradnl" w:eastAsia="es-MX"/>
        </w:rPr>
        <w:t xml:space="preserve">Bajo esa línea y teniendo en cuenta el objeto bajo consulta, como se indicó anteriormente, la Ley 996 de 2005 introdujo restricciones que se dirigen específicamente a dos (2) tipos de campañas electorales, siendo estas: i) las presidenciales donde se restringe la contratación directa por parte de todos los entes del Estado –artículo 33 de la ley 996 de 2005–, y </w:t>
      </w:r>
      <w:proofErr w:type="spellStart"/>
      <w:r w:rsidRPr="00DE648B">
        <w:rPr>
          <w:rFonts w:ascii="Arial" w:hAnsi="Arial" w:eastAsia="Times New Roman" w:cs="Arial"/>
          <w:lang w:val="es-ES_tradnl" w:eastAsia="es-MX"/>
        </w:rPr>
        <w:t>ii</w:t>
      </w:r>
      <w:proofErr w:type="spellEnd"/>
      <w:r w:rsidRPr="00DE648B">
        <w:rPr>
          <w:rFonts w:ascii="Arial" w:hAnsi="Arial" w:eastAsia="Times New Roman" w:cs="Arial"/>
          <w:lang w:val="es-ES_tradnl" w:eastAsia="es-MX"/>
        </w:rPr>
        <w:t xml:space="preserve">) las demás que se adelanten para la elección de los demás cargos de elección popular, tanto del nivel nacional como territorial, en el que se prohíbe a los gobernadores, alcaldes municipales o </w:t>
      </w:r>
      <w:r w:rsidRPr="00DE648B">
        <w:rPr>
          <w:rFonts w:ascii="Arial" w:hAnsi="Arial" w:eastAsia="Calibri" w:cs="Arial"/>
        </w:rPr>
        <w:t>distritales, secretarios, gerentes y directores de entidades descentralizadas del orden municipal, departamental o distrital “celebrar convenios interadministrativos</w:t>
      </w:r>
      <w:r w:rsidRPr="00DE648B">
        <w:rPr>
          <w:rFonts w:ascii="Arial" w:hAnsi="Arial" w:eastAsia="Times New Roman" w:cs="Arial"/>
          <w:iCs/>
          <w:szCs w:val="24"/>
          <w:lang w:val="es-ES_tradnl" w:eastAsia="es-ES_tradnl"/>
        </w:rPr>
        <w:t xml:space="preserve"> […]” –artículo 38 de la Ley 996 de 2005–.</w:t>
      </w:r>
    </w:p>
    <w:p w:rsidRPr="00DE648B" w:rsidR="00BB002F" w:rsidP="00BB002F" w:rsidRDefault="00BB002F" w14:paraId="7D8D0308" w14:textId="77777777">
      <w:pPr>
        <w:spacing w:before="120" w:after="0" w:line="276" w:lineRule="auto"/>
        <w:jc w:val="both"/>
        <w:rPr>
          <w:rFonts w:ascii="Arial" w:hAnsi="Arial" w:eastAsia="Times New Roman" w:cs="Arial"/>
          <w:iCs/>
          <w:szCs w:val="24"/>
          <w:lang w:val="es-ES_tradnl" w:eastAsia="es-ES_tradnl"/>
        </w:rPr>
      </w:pPr>
      <w:r w:rsidRPr="00DE648B">
        <w:rPr>
          <w:rFonts w:ascii="Arial" w:hAnsi="Arial" w:eastAsia="Times New Roman" w:cs="Arial"/>
          <w:iCs/>
          <w:szCs w:val="24"/>
          <w:lang w:val="es-ES_tradnl" w:eastAsia="es-ES_tradnl"/>
        </w:rPr>
        <w:tab/>
      </w:r>
      <w:r w:rsidRPr="00DE648B">
        <w:rPr>
          <w:rFonts w:ascii="Arial" w:hAnsi="Arial" w:eastAsia="Times New Roman" w:cs="Arial"/>
          <w:iCs/>
          <w:szCs w:val="24"/>
          <w:lang w:val="es-ES_tradnl" w:eastAsia="es-ES_tradnl"/>
        </w:rPr>
        <w:t>En ese orden, a las entidades descentralizadas, categoría dentro de las que se encuentran las sociedades de economía mixta y las empresas industriales y comerciales del Estado, les serán aplicables las restricciones dispuestas en la Ley de Garantías Electorales, según la contienda electoral vigente. Es decir, de acuerdo con el análisis precedente, no podrán realizar contrataciones directas durante los comicios presidenciales, o suscribir convenios y/o contratos interadministrativos en el transcurso de las demás elecciones de cargos populares, en los términos dispuestos en los artículos 33 y 38 de la Ley 996 de 2005.</w:t>
      </w:r>
    </w:p>
    <w:p w:rsidRPr="00DE648B" w:rsidR="00BB002F" w:rsidP="00BB002F" w:rsidRDefault="00BB002F" w14:paraId="25BA3B46" w14:textId="77777777">
      <w:pPr>
        <w:tabs>
          <w:tab w:val="left" w:pos="708"/>
          <w:tab w:val="left" w:pos="1416"/>
          <w:tab w:val="left" w:pos="2124"/>
          <w:tab w:val="left" w:pos="2832"/>
          <w:tab w:val="left" w:pos="3540"/>
          <w:tab w:val="left" w:pos="4248"/>
          <w:tab w:val="left" w:pos="4956"/>
          <w:tab w:val="left" w:pos="5664"/>
          <w:tab w:val="left" w:pos="6372"/>
          <w:tab w:val="left" w:pos="7080"/>
          <w:tab w:val="left" w:pos="8087"/>
        </w:tabs>
        <w:spacing w:before="120" w:after="0" w:line="276" w:lineRule="auto"/>
        <w:jc w:val="both"/>
        <w:rPr>
          <w:rFonts w:ascii="Arial" w:hAnsi="Arial" w:eastAsia="Times New Roman" w:cs="Arial"/>
          <w:iCs/>
          <w:lang w:val="es-ES_tradnl" w:eastAsia="es-ES_tradnl"/>
        </w:rPr>
      </w:pPr>
      <w:r w:rsidRPr="00DE648B">
        <w:rPr>
          <w:rFonts w:ascii="Arial" w:hAnsi="Arial" w:eastAsia="Times New Roman" w:cs="Arial"/>
          <w:iCs/>
          <w:szCs w:val="24"/>
          <w:lang w:val="es-ES_tradnl" w:eastAsia="es-ES_tradnl"/>
        </w:rPr>
        <w:tab/>
      </w:r>
      <w:r w:rsidRPr="00DE648B">
        <w:rPr>
          <w:rFonts w:ascii="Arial" w:hAnsi="Arial" w:eastAsia="Times New Roman" w:cs="Arial"/>
          <w:iCs/>
          <w:lang w:val="es-ES_tradnl" w:eastAsia="es-ES_tradnl"/>
        </w:rPr>
        <w:t>Sin embargo, el Consejo de Estado mediante Concepto con radicado 1738 de 6 de abril de 2006,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name="_Hlk75758868" w:id="25"/>
      <w:bookmarkStart w:name="_Hlk75741220" w:id="26"/>
      <w:r w:rsidRPr="00DE648B">
        <w:rPr>
          <w:rFonts w:ascii="Arial" w:hAnsi="Arial" w:eastAsia="Calibri" w:cs="Arial"/>
          <w:vertAlign w:val="superscript"/>
          <w:lang w:val="es-MX"/>
        </w:rPr>
        <w:t xml:space="preserve"> </w:t>
      </w:r>
      <w:r w:rsidRPr="00DE648B">
        <w:rPr>
          <w:rFonts w:ascii="Arial" w:hAnsi="Arial" w:eastAsia="Calibri" w:cs="Arial"/>
          <w:vertAlign w:val="superscript"/>
          <w:lang w:val="es-MX"/>
        </w:rPr>
        <w:footnoteReference w:id="33"/>
      </w:r>
      <w:bookmarkEnd w:id="25"/>
      <w:bookmarkEnd w:id="26"/>
      <w:r w:rsidRPr="00DE648B">
        <w:rPr>
          <w:rFonts w:ascii="Arial" w:hAnsi="Arial" w:eastAsia="Times New Roman" w:cs="Arial"/>
          <w:bCs/>
          <w:lang w:val="es-MX" w:eastAsia="x-none"/>
        </w:rPr>
        <w:t>.</w:t>
      </w:r>
      <w:r w:rsidRPr="00DE648B">
        <w:rPr>
          <w:rFonts w:ascii="Arial" w:hAnsi="Arial" w:eastAsia="Times New Roman" w:cs="Arial"/>
          <w:iCs/>
          <w:lang w:val="es-ES_tradnl" w:eastAsia="es-ES_tradnl"/>
        </w:rPr>
        <w:tab/>
      </w:r>
    </w:p>
    <w:p w:rsidRPr="00DE648B" w:rsidR="00BB002F" w:rsidP="0023079F" w:rsidRDefault="00BB002F" w14:paraId="7480BF86" w14:textId="0472425C">
      <w:pPr>
        <w:tabs>
          <w:tab w:val="left" w:pos="708"/>
          <w:tab w:val="left" w:pos="1416"/>
          <w:tab w:val="left" w:pos="2124"/>
          <w:tab w:val="left" w:pos="2832"/>
          <w:tab w:val="left" w:pos="3540"/>
          <w:tab w:val="left" w:pos="4248"/>
          <w:tab w:val="left" w:pos="4956"/>
          <w:tab w:val="left" w:pos="5664"/>
          <w:tab w:val="left" w:pos="6372"/>
          <w:tab w:val="left" w:pos="7080"/>
          <w:tab w:val="left" w:pos="8087"/>
        </w:tabs>
        <w:spacing w:before="120" w:after="0" w:line="276" w:lineRule="auto"/>
        <w:jc w:val="both"/>
        <w:rPr>
          <w:rFonts w:ascii="Arial" w:hAnsi="Arial" w:eastAsia="Times New Roman" w:cs="Arial"/>
          <w:iCs/>
          <w:lang w:val="es-ES_tradnl" w:eastAsia="es-ES_tradnl"/>
        </w:rPr>
      </w:pPr>
      <w:r w:rsidRPr="00DE648B">
        <w:rPr>
          <w:rFonts w:ascii="Arial" w:hAnsi="Arial" w:eastAsia="Times New Roman" w:cs="Arial"/>
          <w:iCs/>
          <w:lang w:val="es-ES_tradnl" w:eastAsia="es-ES_tradnl"/>
        </w:rPr>
        <w:tab/>
      </w:r>
      <w:r w:rsidRPr="00DE648B">
        <w:rPr>
          <w:rFonts w:ascii="Arial" w:hAnsi="Arial" w:eastAsia="Times New Roman" w:cs="Arial"/>
          <w:iCs/>
          <w:lang w:val="es-ES_tradnl" w:eastAsia="es-ES_tradnl"/>
        </w:rPr>
        <w:t>En conclusión, las restricciones</w:t>
      </w:r>
      <w:r w:rsidRPr="00DE648B" w:rsidR="00D97D02">
        <w:rPr>
          <w:rFonts w:ascii="Arial" w:hAnsi="Arial" w:eastAsia="Times New Roman" w:cs="Arial"/>
          <w:iCs/>
          <w:lang w:val="es-ES_tradnl" w:eastAsia="es-ES_tradnl"/>
        </w:rPr>
        <w:t xml:space="preserve"> contractuales previstas en la Ley 996 de 2005 aplican diferentes tipos de entidades estatales de diferentes ordenes y niveles. En particular, la prohibición prevista en el inciso primero del parágrafo del artículo 38 aplica a las</w:t>
      </w:r>
      <w:r w:rsidRPr="00DE648B" w:rsidR="00D97D02">
        <w:rPr>
          <w:rFonts w:ascii="Arial" w:hAnsi="Arial" w:cs="Arial"/>
          <w:color w:val="000000"/>
        </w:rPr>
        <w:t xml:space="preserve"> entidades territoriales y sus entes descentralizados del municipal, departamental o distrital. Esto significa que, las sociedades de economía mixta y las empresas industriales y comerciales del Estado</w:t>
      </w:r>
      <w:r w:rsidRPr="00DE648B" w:rsidR="0023079F">
        <w:rPr>
          <w:rFonts w:ascii="Arial" w:hAnsi="Arial" w:cs="Arial"/>
          <w:color w:val="000000"/>
        </w:rPr>
        <w:t xml:space="preserve">, del orden municipal, departamental o distrital tienen restringida </w:t>
      </w:r>
      <w:r w:rsidRPr="00DE648B" w:rsidR="0023079F">
        <w:rPr>
          <w:rFonts w:ascii="Arial" w:hAnsi="Arial" w:cs="Arial"/>
          <w:color w:val="000000"/>
        </w:rPr>
        <w:t>la celebración de nuevos convenios o contratos interadministrativos durante los cuatro meses previos a las elecciones de cargos de elección popular.</w:t>
      </w:r>
      <w:r w:rsidRPr="00DE648B" w:rsidR="00D97D02">
        <w:rPr>
          <w:rFonts w:ascii="Arial" w:hAnsi="Arial" w:cs="Arial"/>
          <w:color w:val="000000"/>
          <w:sz w:val="20"/>
          <w:szCs w:val="20"/>
        </w:rPr>
        <w:t xml:space="preserve"> </w:t>
      </w:r>
    </w:p>
    <w:p w:rsidRPr="00DE648B" w:rsidR="00BB002F" w:rsidP="00BB002F" w:rsidRDefault="00BB002F" w14:paraId="0A406262" w14:textId="77777777">
      <w:pPr>
        <w:spacing w:after="0" w:line="276" w:lineRule="auto"/>
        <w:jc w:val="both"/>
        <w:rPr>
          <w:rFonts w:ascii="Arial" w:hAnsi="Arial" w:eastAsia="Times New Roman" w:cs="Arial"/>
          <w:iCs/>
          <w:szCs w:val="24"/>
          <w:lang w:val="es-ES_tradnl" w:eastAsia="es-ES_tradnl"/>
        </w:rPr>
      </w:pPr>
    </w:p>
    <w:p w:rsidRPr="00DE648B" w:rsidR="00BB002F" w:rsidP="00BB002F" w:rsidRDefault="00BB002F" w14:paraId="630AEFE3" w14:textId="77777777">
      <w:pPr>
        <w:spacing w:after="0" w:line="276" w:lineRule="auto"/>
        <w:contextualSpacing/>
        <w:jc w:val="both"/>
        <w:rPr>
          <w:rFonts w:ascii="Arial" w:hAnsi="Arial" w:eastAsia="Calibri" w:cs="Arial"/>
          <w:b/>
        </w:rPr>
      </w:pPr>
      <w:r w:rsidRPr="00DE648B">
        <w:rPr>
          <w:rFonts w:ascii="Arial" w:hAnsi="Arial" w:eastAsia="Calibri" w:cs="Arial"/>
          <w:b/>
        </w:rPr>
        <w:t>3. Respuesta</w:t>
      </w:r>
    </w:p>
    <w:p w:rsidRPr="00DE648B" w:rsidR="00BB002F" w:rsidP="00BB002F" w:rsidRDefault="00BB002F" w14:paraId="35A1D0B3" w14:textId="77777777">
      <w:pPr>
        <w:spacing w:after="0" w:line="276" w:lineRule="auto"/>
        <w:contextualSpacing/>
        <w:jc w:val="both"/>
        <w:rPr>
          <w:rFonts w:ascii="Arial" w:hAnsi="Arial" w:eastAsia="Calibri" w:cs="Arial"/>
        </w:rPr>
      </w:pPr>
      <w:bookmarkStart w:name="_Hlk57650395" w:id="28"/>
    </w:p>
    <w:p w:rsidRPr="00DE648B" w:rsidR="00BB002F" w:rsidP="00BB002F" w:rsidRDefault="00BB002F" w14:paraId="1BD038D3" w14:textId="67200A24">
      <w:pPr>
        <w:spacing w:before="120" w:after="0" w:line="240" w:lineRule="auto"/>
        <w:ind w:left="709" w:right="709"/>
        <w:contextualSpacing/>
        <w:jc w:val="both"/>
        <w:rPr>
          <w:rFonts w:ascii="Arial" w:hAnsi="Arial" w:eastAsia="Calibri" w:cs="Arial"/>
          <w:sz w:val="21"/>
          <w:szCs w:val="21"/>
          <w:lang w:val="es-MX"/>
        </w:rPr>
      </w:pPr>
      <w:r w:rsidRPr="00DE648B">
        <w:rPr>
          <w:rFonts w:ascii="Arial" w:hAnsi="Arial" w:eastAsia="Calibri" w:cs="Arial"/>
          <w:sz w:val="21"/>
          <w:szCs w:val="21"/>
          <w:lang w:val="es-MX"/>
        </w:rPr>
        <w:t>“1. ¿Las entidades estatales pueden contratar directamente 4 meses antes de las elecciones regionales? ¿o esta prohibición se predica únicamente de celebrar convenios interadministrativos?</w:t>
      </w:r>
    </w:p>
    <w:p w:rsidRPr="00DE648B" w:rsidR="0023079F" w:rsidP="00BB002F" w:rsidRDefault="0023079F" w14:paraId="5331F299" w14:textId="208C4AC5">
      <w:pPr>
        <w:spacing w:before="120" w:after="0" w:line="240" w:lineRule="auto"/>
        <w:ind w:left="709" w:right="709"/>
        <w:contextualSpacing/>
        <w:jc w:val="both"/>
        <w:rPr>
          <w:rFonts w:ascii="Arial" w:hAnsi="Arial" w:eastAsia="Calibri" w:cs="Arial"/>
          <w:sz w:val="21"/>
          <w:szCs w:val="21"/>
          <w:lang w:val="es-MX"/>
        </w:rPr>
      </w:pPr>
    </w:p>
    <w:p w:rsidRPr="00DE648B" w:rsidR="0023079F" w:rsidP="00BB002F" w:rsidRDefault="0023079F" w14:paraId="411D1F63" w14:textId="1BBDD9FC">
      <w:pPr>
        <w:spacing w:before="120" w:after="0" w:line="240" w:lineRule="auto"/>
        <w:ind w:left="709" w:right="709"/>
        <w:contextualSpacing/>
        <w:jc w:val="both"/>
        <w:rPr>
          <w:rFonts w:ascii="Arial" w:hAnsi="Arial" w:eastAsia="Calibri" w:cs="Arial"/>
          <w:sz w:val="21"/>
          <w:szCs w:val="21"/>
          <w:lang w:val="es-MX"/>
        </w:rPr>
      </w:pPr>
      <w:r w:rsidRPr="00DE648B">
        <w:rPr>
          <w:rFonts w:ascii="Arial" w:hAnsi="Arial" w:eastAsia="Calibri" w:cs="Arial"/>
          <w:sz w:val="21"/>
          <w:szCs w:val="21"/>
          <w:lang w:val="es-MX"/>
        </w:rPr>
        <w:t>(…)</w:t>
      </w:r>
    </w:p>
    <w:p w:rsidRPr="00DE648B" w:rsidR="00BB002F" w:rsidP="00BB002F" w:rsidRDefault="00BB002F" w14:paraId="1E20A94E" w14:textId="77777777">
      <w:pPr>
        <w:spacing w:before="120" w:after="0" w:line="276" w:lineRule="auto"/>
        <w:ind w:left="709" w:right="709"/>
        <w:jc w:val="both"/>
        <w:rPr>
          <w:rFonts w:ascii="Arial" w:hAnsi="Arial" w:eastAsia="Calibri" w:cs="Arial"/>
          <w:sz w:val="21"/>
          <w:szCs w:val="21"/>
          <w:lang w:val="es-MX"/>
        </w:rPr>
      </w:pPr>
      <w:r w:rsidRPr="00DE648B">
        <w:rPr>
          <w:rFonts w:ascii="Arial" w:hAnsi="Arial" w:eastAsia="Calibri" w:cs="Arial"/>
          <w:sz w:val="21"/>
          <w:szCs w:val="21"/>
          <w:lang w:val="es-MX"/>
        </w:rPr>
        <w:t>4. Las Gobernaciones Departamentales y Alcaldías Municipales que limitaciones tiene para la modalidad de contratación directa.</w:t>
      </w:r>
    </w:p>
    <w:p w:rsidRPr="00DE648B" w:rsidR="00BB002F" w:rsidP="00BB002F" w:rsidRDefault="00BB002F" w14:paraId="660BE715" w14:textId="77777777">
      <w:pPr>
        <w:spacing w:before="120" w:after="120"/>
        <w:ind w:left="709" w:right="709"/>
        <w:jc w:val="both"/>
        <w:rPr>
          <w:rFonts w:ascii="Arial" w:hAnsi="Arial" w:cs="Arial"/>
        </w:rPr>
      </w:pPr>
      <w:r w:rsidRPr="00DE648B">
        <w:rPr>
          <w:rFonts w:ascii="Arial" w:hAnsi="Arial" w:eastAsia="Calibri" w:cs="Arial"/>
          <w:sz w:val="21"/>
          <w:szCs w:val="21"/>
          <w:lang w:val="es-MX"/>
        </w:rPr>
        <w:t>5. De existir alguna prohibición sírvase indicarla, explicarla y sustentarla”.</w:t>
      </w:r>
    </w:p>
    <w:p w:rsidRPr="00DE648B" w:rsidR="00BB002F" w:rsidP="00BB002F" w:rsidRDefault="00BB002F" w14:paraId="71ACF0FC" w14:textId="77777777">
      <w:pPr>
        <w:spacing w:after="0"/>
        <w:rPr>
          <w:rFonts w:ascii="Arial" w:hAnsi="Arial" w:cs="Arial"/>
        </w:rPr>
      </w:pPr>
    </w:p>
    <w:p w:rsidRPr="00DE648B" w:rsidR="00BB002F" w:rsidP="00BB002F" w:rsidRDefault="00BB002F" w14:paraId="12A5E404" w14:textId="77777777">
      <w:pPr>
        <w:spacing w:after="0" w:line="276" w:lineRule="auto"/>
        <w:jc w:val="both"/>
        <w:rPr>
          <w:rFonts w:ascii="Arial" w:hAnsi="Arial" w:eastAsia="Arial" w:cs="Arial"/>
          <w:lang w:val="es-ES" w:eastAsia="es-ES" w:bidi="es-ES"/>
        </w:rPr>
      </w:pPr>
      <w:r w:rsidRPr="00DE648B">
        <w:rPr>
          <w:rFonts w:ascii="Arial" w:hAnsi="Arial" w:eastAsia="Arial" w:cs="Arial"/>
          <w:lang w:val="es-MX"/>
        </w:rPr>
        <w:t xml:space="preserve">De acuerdo con la interpretación de las normas generales del sistema de compras y contratación pública, </w:t>
      </w:r>
      <w:r w:rsidRPr="00DE648B">
        <w:rPr>
          <w:rFonts w:ascii="Arial" w:hAnsi="Arial" w:eastAsia="Arial" w:cs="Arial"/>
          <w:lang w:val="es-ES" w:eastAsia="es-ES" w:bidi="es-ES"/>
        </w:rPr>
        <w:t>la Ley de Garantías Electorales consagra una serie de restricciones que se dirigen a dos (2) tipos de campañas electorales claramente diferenciadas: las presidenciales y las demás que se adelanten para la elección de los demás cargos de elección popular, tanto a nivel nacional como territorial.</w:t>
      </w:r>
    </w:p>
    <w:p w:rsidRPr="00DE648B" w:rsidR="00BB002F" w:rsidP="00BB002F" w:rsidRDefault="00BB002F" w14:paraId="012939A9" w14:textId="77777777">
      <w:pPr>
        <w:spacing w:before="120" w:after="120" w:line="276" w:lineRule="auto"/>
        <w:ind w:firstLine="709"/>
        <w:jc w:val="both"/>
        <w:rPr>
          <w:rFonts w:ascii="Arial" w:hAnsi="Arial" w:cs="Arial"/>
          <w:bCs/>
          <w:lang w:val="es-ES_tradnl" w:eastAsia="es-CO"/>
        </w:rPr>
      </w:pPr>
      <w:r w:rsidRPr="00DE648B">
        <w:rPr>
          <w:rFonts w:ascii="Arial" w:hAnsi="Arial" w:cs="Arial"/>
          <w:bCs/>
          <w:lang w:val="es-ES_tradnl" w:eastAsia="es-CO"/>
        </w:rPr>
        <w:t xml:space="preserve">Por un lado, el artículo 33 de la Ley 996 de 2005 establece una restricción en atención a la cual, durante los cuatro meses anteriores a la elección presidencial y hasta la realización de la elección en la segunda vuelta, si fuere el caso, está prohibida la contratación directa por parte de todos las Entidades Estatales. </w:t>
      </w:r>
      <w:r w:rsidRPr="00DE648B">
        <w:rPr>
          <w:rFonts w:ascii="Arial" w:hAnsi="Arial" w:cs="Arial"/>
          <w:bCs/>
          <w:lang w:val="es-MX" w:eastAsia="es-CO"/>
        </w:rPr>
        <w:t>Los destinatarios de la prohibición son “todos los entes del Estado”, expresión que contempla a los diferentes organismos o entidades autorizadas por la ley para suscribir contratos. En efecto, como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rsidRPr="00DE648B" w:rsidR="00BB002F" w:rsidP="00BB002F" w:rsidRDefault="00BB002F" w14:paraId="2595B175" w14:textId="77777777">
      <w:pPr>
        <w:spacing w:after="120" w:line="276" w:lineRule="auto"/>
        <w:ind w:firstLine="709"/>
        <w:jc w:val="both"/>
        <w:rPr>
          <w:rFonts w:ascii="Arial" w:hAnsi="Arial" w:cs="Arial"/>
          <w:bCs/>
          <w:lang w:val="es-ES_tradnl" w:eastAsia="es-CO" w:bidi="es-ES"/>
        </w:rPr>
      </w:pPr>
      <w:r w:rsidRPr="00DE648B">
        <w:rPr>
          <w:rFonts w:ascii="Arial" w:hAnsi="Arial" w:cs="Arial"/>
          <w:bCs/>
          <w:lang w:val="es-MX" w:eastAsia="es-CO"/>
        </w:rPr>
        <w:t xml:space="preserve">De otro lado, el parágrafo del artículo 38 de la Ley de Garantías Electorales, establece una restricción en virtud de la cual, durante el periodo de cuatro (4) meses anteriores a cualquier jornada de elecciones, las entidades territoriales no pueden suscribir convenios interadministrativos que impliquen la ejecución de recursos públicos. Para determinar el alcance de la prohibición consagrada por la Ley de Garantías Electorales, conviene precisar la tipología de convenios o contratos interadministrativos. </w:t>
      </w:r>
      <w:r w:rsidRPr="00DE648B">
        <w:rPr>
          <w:rFonts w:ascii="Arial" w:hAnsi="Arial" w:cs="Arial"/>
          <w:bCs/>
          <w:lang w:val="es-ES_tradnl" w:eastAsia="es-CO" w:bidi="es-ES"/>
        </w:rPr>
        <w:t xml:space="preserve">Aunque la ley no la definió ni desarrolló, el Decreto 1082 de 2015 califica a los convenios o contratos </w:t>
      </w:r>
      <w:r w:rsidRPr="00DE648B">
        <w:rPr>
          <w:rFonts w:ascii="Arial" w:hAnsi="Arial" w:cs="Arial"/>
          <w:bCs/>
          <w:lang w:val="es-ES_tradnl" w:eastAsia="es-CO" w:bidi="es-ES"/>
        </w:rPr>
        <w:t>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rsidRPr="00DE648B" w:rsidR="00BB002F" w:rsidP="00BB002F" w:rsidRDefault="00BB002F" w14:paraId="7AC59DA8" w14:textId="77777777">
      <w:pPr>
        <w:spacing w:after="0" w:line="276" w:lineRule="auto"/>
        <w:ind w:firstLine="709"/>
        <w:jc w:val="both"/>
        <w:rPr>
          <w:rFonts w:ascii="Arial" w:hAnsi="Arial" w:eastAsia="Calibri" w:cs="Arial"/>
          <w:color w:val="000000" w:themeColor="text1"/>
          <w:lang w:val="es-MX"/>
        </w:rPr>
      </w:pPr>
      <w:r w:rsidRPr="00DE648B">
        <w:rPr>
          <w:rFonts w:ascii="Arial" w:hAnsi="Arial" w:eastAsia="Times New Roman" w:cs="Arial"/>
          <w:bCs/>
          <w:lang w:val="es-MX" w:eastAsia="es-CO"/>
        </w:rPr>
        <w:t xml:space="preserve">En este sentido y teniendo en cuenta que para los comicios de este año rigen las restricciones contractuales señaladas en </w:t>
      </w:r>
      <w:r w:rsidRPr="00DE648B">
        <w:rPr>
          <w:rFonts w:ascii="Arial" w:hAnsi="Arial" w:cs="Arial"/>
          <w:bCs/>
          <w:lang w:val="es-MX" w:eastAsia="es-CO"/>
        </w:rPr>
        <w:t>el parágrafo del artículo 38 de la Ley 996 de 2005</w:t>
      </w:r>
      <w:r w:rsidRPr="00DE648B">
        <w:rPr>
          <w:rFonts w:ascii="Arial" w:hAnsi="Arial" w:eastAsia="Times New Roman" w:cs="Arial"/>
          <w:bCs/>
          <w:lang w:val="es-MX" w:eastAsia="es-CO"/>
        </w:rPr>
        <w:t>, los entes territoriales no podrán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 De esta manera, la prohibición aplica a todos los contratos interadministrativos con independencia de que estén o no precedidos de un procedimiento de selección con pluralidad de oferentes. Esto por cuanto, como se indicó, el contrato o convenio interadministrativo no se define por la modalidad de selección, sino por la naturaleza pública de quienes lo celebran, es decir, por un criterio orgánico.</w:t>
      </w:r>
      <w:r w:rsidRPr="00DE648B">
        <w:rPr>
          <w:rFonts w:ascii="Arial" w:hAnsi="Arial" w:eastAsia="Calibri" w:cs="Arial"/>
          <w:color w:val="000000" w:themeColor="text1"/>
          <w:lang w:val="es-MX"/>
        </w:rPr>
        <w:t>  </w:t>
      </w:r>
    </w:p>
    <w:p w:rsidRPr="00DE648B" w:rsidR="00BB002F" w:rsidP="00BB002F" w:rsidRDefault="00BB002F" w14:paraId="0A3E3EAB" w14:textId="77777777">
      <w:pPr>
        <w:spacing w:after="0" w:line="276" w:lineRule="auto"/>
        <w:ind w:left="709" w:right="709"/>
        <w:jc w:val="both"/>
        <w:rPr>
          <w:rFonts w:ascii="Arial" w:hAnsi="Arial" w:eastAsia="Calibri" w:cs="Arial"/>
          <w:sz w:val="21"/>
          <w:szCs w:val="21"/>
          <w:lang w:val="es-MX"/>
        </w:rPr>
      </w:pPr>
    </w:p>
    <w:p w:rsidRPr="00DE648B" w:rsidR="00BB002F" w:rsidP="00BB002F" w:rsidRDefault="00BB002F" w14:paraId="10F6CEF6" w14:textId="77777777">
      <w:pPr>
        <w:spacing w:after="0" w:line="276" w:lineRule="auto"/>
        <w:ind w:left="709" w:right="709"/>
        <w:jc w:val="both"/>
        <w:rPr>
          <w:rFonts w:ascii="Arial" w:hAnsi="Arial" w:eastAsia="Calibri" w:cs="Arial"/>
          <w:sz w:val="21"/>
          <w:szCs w:val="21"/>
          <w:lang w:val="es-MX"/>
        </w:rPr>
      </w:pPr>
      <w:r w:rsidRPr="00DE648B">
        <w:rPr>
          <w:rFonts w:ascii="Arial" w:hAnsi="Arial" w:eastAsia="Calibri" w:cs="Arial"/>
          <w:sz w:val="21"/>
          <w:szCs w:val="21"/>
          <w:lang w:val="es-MX"/>
        </w:rPr>
        <w:t>“2. ¿Existe prohibición alguna para las entidades territoriales de economía mixta o sujetas al régimen de contratación privada limitación alguna para realizar contratación en modalidad directa durante el periodo previo a las elecciones regionales?</w:t>
      </w:r>
    </w:p>
    <w:p w:rsidRPr="00DE648B" w:rsidR="00BB002F" w:rsidP="00BB002F" w:rsidRDefault="00BB002F" w14:paraId="676E669E" w14:textId="77777777">
      <w:pPr>
        <w:spacing w:before="120" w:after="0" w:line="276" w:lineRule="auto"/>
        <w:ind w:left="709" w:right="709"/>
        <w:jc w:val="both"/>
        <w:rPr>
          <w:rFonts w:ascii="Arial" w:hAnsi="Arial" w:eastAsia="Calibri" w:cs="Arial"/>
          <w:sz w:val="21"/>
          <w:szCs w:val="21"/>
          <w:lang w:val="es-MX"/>
        </w:rPr>
      </w:pPr>
      <w:r w:rsidRPr="00DE648B">
        <w:rPr>
          <w:rFonts w:ascii="Arial" w:hAnsi="Arial" w:eastAsia="Calibri" w:cs="Arial"/>
          <w:sz w:val="21"/>
          <w:szCs w:val="21"/>
          <w:lang w:val="es-MX"/>
        </w:rPr>
        <w:t>3. ¿Transmilenio al ser una empresa industrial y comercial del estado tiene limitación alguna para realizar contratación en modalidad directa?”</w:t>
      </w:r>
    </w:p>
    <w:p w:rsidRPr="00DE648B" w:rsidR="00BB002F" w:rsidP="00BB002F" w:rsidRDefault="00BB002F" w14:paraId="11639E88" w14:textId="77777777">
      <w:pPr>
        <w:spacing w:before="120" w:after="0"/>
        <w:rPr>
          <w:rFonts w:ascii="Arial" w:hAnsi="Arial" w:cs="Arial"/>
        </w:rPr>
      </w:pPr>
    </w:p>
    <w:p w:rsidRPr="00DE648B" w:rsidR="00BB002F" w:rsidP="00517973" w:rsidRDefault="00B92C7B" w14:paraId="75D10D35" w14:textId="7792DE6F">
      <w:pPr>
        <w:spacing w:after="0" w:line="276" w:lineRule="auto"/>
        <w:ind w:firstLine="708"/>
        <w:jc w:val="both"/>
        <w:rPr>
          <w:rFonts w:ascii="Arial" w:hAnsi="Arial" w:eastAsia="Times New Roman" w:cs="Arial"/>
          <w:iCs/>
          <w:szCs w:val="24"/>
          <w:lang w:val="es-ES_tradnl" w:eastAsia="es-ES_tradnl"/>
        </w:rPr>
      </w:pPr>
      <w:r w:rsidRPr="00DE648B">
        <w:rPr>
          <w:rFonts w:ascii="Arial" w:hAnsi="Arial" w:cs="Arial"/>
        </w:rPr>
        <w:t xml:space="preserve">De acuerdo con lo antes </w:t>
      </w:r>
      <w:r w:rsidRPr="00DE648B" w:rsidR="00C234B7">
        <w:rPr>
          <w:rFonts w:ascii="Arial" w:hAnsi="Arial" w:cs="Arial"/>
        </w:rPr>
        <w:t>manifestado, las</w:t>
      </w:r>
      <w:r w:rsidRPr="00DE648B">
        <w:rPr>
          <w:rFonts w:ascii="Arial" w:hAnsi="Arial" w:eastAsia="Times New Roman" w:cs="Arial"/>
          <w:iCs/>
          <w:szCs w:val="24"/>
          <w:lang w:val="es-ES_tradnl" w:eastAsia="es-ES_tradnl"/>
        </w:rPr>
        <w:t xml:space="preserve"> restricciones contractuales previstas en la Ley 996 de 2023 le son aplicables a </w:t>
      </w:r>
      <w:r w:rsidRPr="00DE648B" w:rsidR="00BB002F">
        <w:rPr>
          <w:rFonts w:ascii="Arial" w:hAnsi="Arial" w:eastAsia="Times New Roman" w:cs="Arial"/>
          <w:iCs/>
          <w:szCs w:val="24"/>
          <w:lang w:val="es-ES_tradnl" w:eastAsia="es-ES_tradnl"/>
        </w:rPr>
        <w:t>entidades descentralizadas</w:t>
      </w:r>
      <w:r w:rsidRPr="00DE648B">
        <w:rPr>
          <w:rFonts w:ascii="Arial" w:hAnsi="Arial" w:eastAsia="Times New Roman" w:cs="Arial"/>
          <w:iCs/>
          <w:szCs w:val="24"/>
          <w:lang w:val="es-ES_tradnl" w:eastAsia="es-ES_tradnl"/>
        </w:rPr>
        <w:t xml:space="preserve"> como</w:t>
      </w:r>
      <w:r w:rsidRPr="00DE648B" w:rsidR="00BB002F">
        <w:rPr>
          <w:rFonts w:ascii="Arial" w:hAnsi="Arial" w:eastAsia="Times New Roman" w:cs="Arial"/>
          <w:iCs/>
          <w:szCs w:val="24"/>
          <w:lang w:val="es-ES_tradnl" w:eastAsia="es-ES_tradnl"/>
        </w:rPr>
        <w:t xml:space="preserve"> las sociedades de economía mixta y las empresas industriales y comerciales del Estado, según la contienda electoral vigente. </w:t>
      </w:r>
      <w:r w:rsidRPr="00DE648B">
        <w:rPr>
          <w:rFonts w:ascii="Arial" w:hAnsi="Arial" w:eastAsia="Times New Roman" w:cs="Arial"/>
          <w:iCs/>
          <w:szCs w:val="24"/>
          <w:lang w:val="es-ES_tradnl" w:eastAsia="es-ES_tradnl"/>
        </w:rPr>
        <w:t xml:space="preserve">En atención a esto, ambos tipos de entidades </w:t>
      </w:r>
      <w:r w:rsidRPr="00DE648B" w:rsidR="00BB002F">
        <w:rPr>
          <w:rFonts w:ascii="Arial" w:hAnsi="Arial" w:eastAsia="Times New Roman" w:cs="Arial"/>
          <w:iCs/>
          <w:szCs w:val="24"/>
          <w:lang w:val="es-ES_tradnl" w:eastAsia="es-ES_tradnl"/>
        </w:rPr>
        <w:t>no podrán realizar contrataciones directas durante</w:t>
      </w:r>
      <w:r w:rsidRPr="00DE648B">
        <w:rPr>
          <w:rFonts w:ascii="Arial" w:hAnsi="Arial" w:eastAsia="Times New Roman" w:cs="Arial"/>
          <w:iCs/>
          <w:szCs w:val="24"/>
          <w:lang w:val="es-ES_tradnl" w:eastAsia="es-ES_tradnl"/>
        </w:rPr>
        <w:t xml:space="preserve"> los cuatro meses previos a</w:t>
      </w:r>
      <w:r w:rsidRPr="00DE648B" w:rsidR="00BB002F">
        <w:rPr>
          <w:rFonts w:ascii="Arial" w:hAnsi="Arial" w:eastAsia="Times New Roman" w:cs="Arial"/>
          <w:iCs/>
          <w:szCs w:val="24"/>
          <w:lang w:val="es-ES_tradnl" w:eastAsia="es-ES_tradnl"/>
        </w:rPr>
        <w:t xml:space="preserve"> los comicios presidenciales</w:t>
      </w:r>
      <w:r w:rsidRPr="00DE648B">
        <w:rPr>
          <w:rFonts w:ascii="Arial" w:hAnsi="Arial" w:eastAsia="Times New Roman" w:cs="Arial"/>
          <w:iCs/>
          <w:szCs w:val="24"/>
          <w:lang w:val="es-ES_tradnl" w:eastAsia="es-ES_tradnl"/>
        </w:rPr>
        <w:t xml:space="preserve">. Del mismo modo, las sociedades de economía mixta y empresas industriales y comerciales del Estado del orden departamental, municipal y distrital tienen restringida la suscripción de </w:t>
      </w:r>
      <w:r w:rsidRPr="00DE648B" w:rsidR="00BB002F">
        <w:rPr>
          <w:rFonts w:ascii="Arial" w:hAnsi="Arial" w:eastAsia="Times New Roman" w:cs="Arial"/>
          <w:iCs/>
          <w:szCs w:val="24"/>
          <w:lang w:val="es-ES_tradnl" w:eastAsia="es-ES_tradnl"/>
        </w:rPr>
        <w:t>convenios y/o contratos interadministrativos</w:t>
      </w:r>
      <w:r w:rsidRPr="00DE648B">
        <w:rPr>
          <w:rFonts w:ascii="Arial" w:hAnsi="Arial" w:eastAsia="Times New Roman" w:cs="Arial"/>
          <w:iCs/>
          <w:szCs w:val="24"/>
          <w:lang w:val="es-ES_tradnl" w:eastAsia="es-ES_tradnl"/>
        </w:rPr>
        <w:t xml:space="preserve"> dentro de los cuatro meses</w:t>
      </w:r>
      <w:r w:rsidRPr="00DE648B" w:rsidR="00BB002F">
        <w:rPr>
          <w:rFonts w:ascii="Arial" w:hAnsi="Arial" w:eastAsia="Times New Roman" w:cs="Arial"/>
          <w:iCs/>
          <w:szCs w:val="24"/>
          <w:lang w:val="es-ES_tradnl" w:eastAsia="es-ES_tradnl"/>
        </w:rPr>
        <w:t xml:space="preserve"> </w:t>
      </w:r>
      <w:r w:rsidRPr="00DE648B">
        <w:rPr>
          <w:rFonts w:ascii="Arial" w:hAnsi="Arial" w:eastAsia="Times New Roman" w:cs="Arial"/>
          <w:iCs/>
          <w:szCs w:val="24"/>
          <w:lang w:val="es-ES_tradnl" w:eastAsia="es-ES_tradnl"/>
        </w:rPr>
        <w:t>previos a las</w:t>
      </w:r>
      <w:r w:rsidRPr="00DE648B" w:rsidR="00BB002F">
        <w:rPr>
          <w:rFonts w:ascii="Arial" w:hAnsi="Arial" w:eastAsia="Times New Roman" w:cs="Arial"/>
          <w:iCs/>
          <w:szCs w:val="24"/>
          <w:lang w:val="es-ES_tradnl" w:eastAsia="es-ES_tradnl"/>
        </w:rPr>
        <w:t xml:space="preserve"> elecciones de cargos</w:t>
      </w:r>
      <w:r w:rsidRPr="00DE648B">
        <w:rPr>
          <w:rFonts w:ascii="Arial" w:hAnsi="Arial" w:eastAsia="Times New Roman" w:cs="Arial"/>
          <w:iCs/>
          <w:szCs w:val="24"/>
          <w:lang w:val="es-ES_tradnl" w:eastAsia="es-ES_tradnl"/>
        </w:rPr>
        <w:t xml:space="preserve"> de elección popular.</w:t>
      </w:r>
      <w:r w:rsidRPr="00DE648B" w:rsidR="00BB002F">
        <w:rPr>
          <w:rFonts w:ascii="Arial" w:hAnsi="Arial" w:eastAsia="Times New Roman" w:cs="Arial"/>
          <w:iCs/>
          <w:szCs w:val="24"/>
          <w:lang w:val="es-ES_tradnl" w:eastAsia="es-ES_tradnl"/>
        </w:rPr>
        <w:t>, en los términos dispuestos en los artículos 33 y 38 de la Ley 996 de 2005.</w:t>
      </w:r>
    </w:p>
    <w:p w:rsidRPr="00DE648B" w:rsidR="00BB002F" w:rsidP="00BB002F" w:rsidRDefault="00BB002F" w14:paraId="6FF4A6EF" w14:textId="746D2C01">
      <w:pPr>
        <w:spacing w:before="120" w:after="0" w:line="276" w:lineRule="auto"/>
        <w:ind w:firstLine="709"/>
        <w:jc w:val="both"/>
        <w:rPr>
          <w:rFonts w:ascii="Arial" w:hAnsi="Arial" w:eastAsia="Calibri" w:cs="Arial"/>
          <w:lang w:val="es-MX"/>
        </w:rPr>
      </w:pPr>
      <w:r w:rsidRPr="00DE648B">
        <w:rPr>
          <w:rFonts w:ascii="Arial" w:hAnsi="Arial" w:eastAsia="Calibri" w:cs="Arial"/>
          <w:bCs/>
          <w:lang w:val="es-MX" w:eastAsia="es-CO"/>
        </w:rPr>
        <w:t xml:space="preserve">Bajo estas consideraciones, corresponde a cada entidad pública, en ejercicio de su competencia y previa valoración de los elementos fácticos y jurídicos determinar si es </w:t>
      </w:r>
      <w:r w:rsidRPr="00DE648B">
        <w:rPr>
          <w:rFonts w:ascii="Arial" w:hAnsi="Arial" w:eastAsia="Calibri" w:cs="Arial"/>
          <w:bCs/>
          <w:lang w:val="es-MX" w:eastAsia="es-CO"/>
        </w:rPr>
        <w:t>procedente o no la celebración de un determinado contrato durante la vigencia de la Ley de Garantías Electorales. Lo anterior en razón a que,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DE648B">
        <w:rPr>
          <w:rFonts w:ascii="Arial" w:hAnsi="Arial" w:cs="Arial"/>
          <w:bCs/>
          <w:lang w:val="es-ES"/>
        </w:rPr>
        <w:t xml:space="preserve"> </w:t>
      </w:r>
    </w:p>
    <w:p w:rsidRPr="00DE648B" w:rsidR="00BB002F" w:rsidP="00BB002F" w:rsidRDefault="00BB002F" w14:paraId="17B50242" w14:textId="77777777">
      <w:pPr>
        <w:shd w:val="clear" w:color="auto" w:fill="FFFFFF"/>
        <w:spacing w:after="0" w:line="276" w:lineRule="auto"/>
        <w:jc w:val="both"/>
        <w:rPr>
          <w:rFonts w:ascii="Arial" w:hAnsi="Arial" w:cs="Arial"/>
        </w:rPr>
      </w:pPr>
    </w:p>
    <w:p w:rsidRPr="00DE648B" w:rsidR="00BB002F" w:rsidP="00BB002F" w:rsidRDefault="00BB002F" w14:paraId="162452F4" w14:textId="77777777">
      <w:pPr>
        <w:widowControl w:val="0"/>
        <w:autoSpaceDE w:val="0"/>
        <w:autoSpaceDN w:val="0"/>
        <w:spacing w:after="0" w:line="276" w:lineRule="auto"/>
        <w:contextualSpacing/>
        <w:jc w:val="both"/>
        <w:rPr>
          <w:rFonts w:ascii="Arial" w:hAnsi="Arial" w:eastAsia="Times New Roman" w:cs="Arial"/>
          <w:lang w:eastAsia="es-ES_tradnl"/>
        </w:rPr>
      </w:pPr>
      <w:r w:rsidRPr="00DE648B">
        <w:rPr>
          <w:rFonts w:ascii="Arial" w:hAnsi="Arial" w:eastAsia="Calibri" w:cs="Arial"/>
        </w:rPr>
        <w:t>Este concepto tiene el alcance previsto en el artículo 28 del Código de Procedimiento Administrativo y de lo Contencioso Administrativo</w:t>
      </w:r>
      <w:r w:rsidRPr="00DE648B">
        <w:rPr>
          <w:rFonts w:ascii="Arial" w:hAnsi="Arial" w:eastAsia="Calibri" w:cs="Arial"/>
          <w:noProof/>
          <w:lang w:eastAsia="es-CO"/>
        </w:rPr>
        <mc:AlternateContent>
          <mc:Choice Requires="wps">
            <w:drawing>
              <wp:anchor distT="0" distB="0" distL="114300" distR="114300" simplePos="0" relativeHeight="251658240" behindDoc="0" locked="0" layoutInCell="1" allowOverlap="1" wp14:anchorId="1AE6786E" wp14:editId="16A6DCA5">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w14:anchorId="1F5BA727">
              <v:line id="Conector recto 2"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4D986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w10:wrap anchorx="page"/>
              </v:line>
            </w:pict>
          </mc:Fallback>
        </mc:AlternateContent>
      </w:r>
      <w:r w:rsidRPr="00DE648B">
        <w:rPr>
          <w:rFonts w:ascii="Arial" w:hAnsi="Arial" w:eastAsia="Calibri" w:cs="Arial"/>
        </w:rPr>
        <w:t xml:space="preserve"> y las expresiones utilizadas con mayúscula inicial deben ser entendidas con el significado que les otorga el artículo 2.2.1.1.1.3.1 del Decreto 1082 de 2015.</w:t>
      </w:r>
    </w:p>
    <w:p w:rsidRPr="00DE648B" w:rsidR="00BB002F" w:rsidP="00BB002F" w:rsidRDefault="00BB002F" w14:paraId="0A8F1E3B" w14:textId="77777777">
      <w:pPr>
        <w:spacing w:after="120" w:line="276" w:lineRule="auto"/>
        <w:jc w:val="both"/>
        <w:rPr>
          <w:rFonts w:ascii="Arial" w:hAnsi="Arial" w:eastAsia="Times New Roman" w:cs="Arial"/>
          <w:lang w:eastAsia="es-ES_tradnl"/>
        </w:rPr>
      </w:pPr>
    </w:p>
    <w:p w:rsidRPr="00DE648B" w:rsidR="00BB002F" w:rsidP="00BB002F" w:rsidRDefault="00BB002F" w14:paraId="2F876AC4" w14:textId="77777777">
      <w:pPr>
        <w:spacing w:after="200" w:line="276" w:lineRule="auto"/>
        <w:jc w:val="both"/>
        <w:rPr>
          <w:rFonts w:ascii="Arial" w:hAnsi="Arial" w:eastAsia="Times New Roman" w:cs="Arial"/>
          <w:lang w:eastAsia="es-CO"/>
        </w:rPr>
      </w:pPr>
      <w:r w:rsidRPr="00DE648B">
        <w:rPr>
          <w:rFonts w:ascii="Arial" w:hAnsi="Arial" w:eastAsia="Times New Roman" w:cs="Arial"/>
          <w:lang w:eastAsia="es-CO"/>
        </w:rPr>
        <w:t>Atentamente,</w:t>
      </w:r>
    </w:p>
    <w:p w:rsidRPr="00DE648B" w:rsidR="00BB002F" w:rsidP="00BB002F" w:rsidRDefault="0042471D" w14:paraId="7917B6EB" w14:textId="2D69B8BF">
      <w:pPr>
        <w:spacing w:after="200" w:line="276" w:lineRule="auto"/>
        <w:jc w:val="center"/>
        <w:rPr>
          <w:rFonts w:ascii="Arial" w:hAnsi="Arial" w:eastAsia="Calibri" w:cs="Arial"/>
          <w:b/>
          <w:bCs/>
          <w:sz w:val="20"/>
          <w:szCs w:val="20"/>
          <w:lang w:val="es-MX"/>
        </w:rPr>
      </w:pPr>
      <w:bookmarkStart w:name="_Hlk130981267" w:id="29"/>
      <w:bookmarkEnd w:id="0"/>
      <w:bookmarkEnd w:id="28"/>
      <w:r>
        <w:rPr>
          <w:rFonts w:ascii="Arial" w:hAnsi="Arial" w:cs="Arial"/>
          <w:b/>
          <w:bCs/>
          <w:noProof/>
          <w:sz w:val="20"/>
          <w:szCs w:val="20"/>
          <w:shd w:val="clear" w:color="auto" w:fill="FFFFFF"/>
          <w:lang w:val="es-MX"/>
        </w:rPr>
        <w:drawing>
          <wp:inline distT="0" distB="0" distL="0" distR="0" wp14:anchorId="718993C6" wp14:editId="6022AD93">
            <wp:extent cx="3152775" cy="1207770"/>
            <wp:effectExtent l="0" t="0" r="9525" b="0"/>
            <wp:docPr id="53494672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75" cy="1207770"/>
                    </a:xfrm>
                    <a:prstGeom prst="rect">
                      <a:avLst/>
                    </a:prstGeom>
                    <a:noFill/>
                    <a:ln>
                      <a:noFill/>
                    </a:ln>
                  </pic:spPr>
                </pic:pic>
              </a:graphicData>
            </a:graphic>
          </wp:inline>
        </w:drawing>
      </w:r>
      <w:r>
        <w:rPr>
          <w:rFonts w:ascii="Calibri" w:hAnsi="Calibri" w:cs="Calibri"/>
          <w:color w:val="000000"/>
          <w:shd w:val="clear" w:color="auto" w:fill="FFFFFF"/>
        </w:rPr>
        <w:br/>
      </w:r>
      <w:r w:rsidRPr="00DE648B" w:rsidR="00BB002F">
        <w:rPr>
          <w:rFonts w:ascii="Arial" w:hAnsi="Arial" w:cs="Arial"/>
          <w:b/>
          <w:bCs/>
          <w:sz w:val="20"/>
          <w:szCs w:val="20"/>
          <w:shd w:val="clear" w:color="auto" w:fill="FFFFFF"/>
          <w:lang w:val="es-MX"/>
        </w:rPr>
        <w:br/>
      </w:r>
    </w:p>
    <w:tbl>
      <w:tblPr>
        <w:tblStyle w:val="Tablaconcuadrcula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5"/>
        <w:gridCol w:w="4957"/>
      </w:tblGrid>
      <w:tr w:rsidRPr="00DE648B" w:rsidR="00BB002F" w:rsidTr="00517973" w14:paraId="798D9446" w14:textId="77777777">
        <w:trPr>
          <w:trHeight w:val="315"/>
        </w:trPr>
        <w:tc>
          <w:tcPr>
            <w:tcW w:w="855" w:type="dxa"/>
            <w:vAlign w:val="center"/>
            <w:hideMark/>
          </w:tcPr>
          <w:p w:rsidRPr="00DE648B" w:rsidR="00BB002F" w:rsidP="00BB002F" w:rsidRDefault="00BB002F" w14:paraId="1DD14DC9" w14:textId="77777777">
            <w:pPr>
              <w:rPr>
                <w:rFonts w:ascii="Arial" w:hAnsi="Arial" w:eastAsia="Times New Roman" w:cs="Arial"/>
                <w:sz w:val="16"/>
                <w:szCs w:val="16"/>
                <w:lang w:eastAsia="es-ES"/>
              </w:rPr>
            </w:pPr>
            <w:r w:rsidRPr="00DE648B">
              <w:rPr>
                <w:rFonts w:ascii="Arial" w:hAnsi="Arial" w:eastAsia="Times New Roman" w:cs="Arial"/>
                <w:sz w:val="16"/>
                <w:szCs w:val="16"/>
                <w:lang w:eastAsia="es-ES"/>
              </w:rPr>
              <w:t>Elaboró:</w:t>
            </w:r>
          </w:p>
        </w:tc>
        <w:tc>
          <w:tcPr>
            <w:tcW w:w="4957" w:type="dxa"/>
            <w:tcBorders>
              <w:top w:val="nil"/>
              <w:left w:val="nil"/>
              <w:bottom w:val="dotted" w:color="7F7F7F" w:sz="4" w:space="0"/>
              <w:right w:val="nil"/>
            </w:tcBorders>
            <w:vAlign w:val="center"/>
            <w:hideMark/>
          </w:tcPr>
          <w:p w:rsidRPr="00DE648B" w:rsidR="00BB002F" w:rsidP="00BB002F" w:rsidRDefault="00BB002F" w14:paraId="01A1C79A" w14:textId="77777777">
            <w:pPr>
              <w:rPr>
                <w:rFonts w:ascii="Arial" w:hAnsi="Arial" w:eastAsia="Times New Roman" w:cs="Arial"/>
                <w:sz w:val="16"/>
                <w:szCs w:val="16"/>
                <w:lang w:eastAsia="es-ES"/>
              </w:rPr>
            </w:pPr>
            <w:r w:rsidRPr="00DE648B">
              <w:rPr>
                <w:rFonts w:ascii="Arial" w:hAnsi="Arial" w:eastAsia="Times New Roman" w:cs="Arial"/>
                <w:sz w:val="16"/>
                <w:szCs w:val="16"/>
                <w:lang w:eastAsia="es-ES"/>
              </w:rPr>
              <w:t>Nasly Yeana Mosquera Rivas</w:t>
            </w:r>
          </w:p>
          <w:p w:rsidRPr="00DE648B" w:rsidR="00BB002F" w:rsidP="00BB002F" w:rsidRDefault="00BB002F" w14:paraId="36731F89" w14:textId="77777777">
            <w:pPr>
              <w:rPr>
                <w:rFonts w:ascii="Arial" w:hAnsi="Arial" w:eastAsia="Times New Roman" w:cs="Arial"/>
                <w:sz w:val="16"/>
                <w:szCs w:val="16"/>
                <w:lang w:eastAsia="es-ES"/>
              </w:rPr>
            </w:pPr>
            <w:r w:rsidRPr="00DE648B">
              <w:rPr>
                <w:rFonts w:ascii="Arial" w:hAnsi="Arial" w:eastAsia="Times New Roman" w:cs="Arial"/>
                <w:sz w:val="16"/>
                <w:szCs w:val="16"/>
                <w:lang w:eastAsia="es-ES"/>
              </w:rPr>
              <w:t>Analista T2–06 de la Subdirección de Gestión Contractual</w:t>
            </w:r>
          </w:p>
        </w:tc>
      </w:tr>
      <w:tr w:rsidRPr="00DE648B" w:rsidR="00BB002F" w:rsidTr="00517973" w14:paraId="1D9D6888" w14:textId="77777777">
        <w:trPr>
          <w:trHeight w:val="330"/>
        </w:trPr>
        <w:tc>
          <w:tcPr>
            <w:tcW w:w="855" w:type="dxa"/>
            <w:vAlign w:val="center"/>
            <w:hideMark/>
          </w:tcPr>
          <w:p w:rsidRPr="00DE648B" w:rsidR="00BB002F" w:rsidP="00BB002F" w:rsidRDefault="00BB002F" w14:paraId="477E2E00" w14:textId="77777777">
            <w:pPr>
              <w:rPr>
                <w:rFonts w:ascii="Arial" w:hAnsi="Arial" w:eastAsia="Times New Roman" w:cs="Arial"/>
                <w:sz w:val="16"/>
                <w:szCs w:val="16"/>
                <w:lang w:eastAsia="es-ES"/>
              </w:rPr>
            </w:pPr>
            <w:r w:rsidRPr="00DE648B">
              <w:rPr>
                <w:rFonts w:ascii="Arial" w:hAnsi="Arial" w:eastAsia="Times New Roman" w:cs="Arial"/>
                <w:sz w:val="16"/>
                <w:szCs w:val="16"/>
                <w:lang w:eastAsia="es-ES"/>
              </w:rPr>
              <w:t>Revisó:</w:t>
            </w:r>
          </w:p>
        </w:tc>
        <w:tc>
          <w:tcPr>
            <w:tcW w:w="4957" w:type="dxa"/>
            <w:tcBorders>
              <w:top w:val="dotted" w:color="7F7F7F" w:sz="4" w:space="0"/>
              <w:left w:val="nil"/>
              <w:bottom w:val="dotted" w:color="7F7F7F" w:sz="4" w:space="0"/>
              <w:right w:val="nil"/>
            </w:tcBorders>
            <w:vAlign w:val="center"/>
            <w:hideMark/>
          </w:tcPr>
          <w:p w:rsidRPr="00DE648B" w:rsidR="00BB002F" w:rsidP="00BB002F" w:rsidRDefault="00BB002F" w14:paraId="4EB7977B" w14:textId="77777777">
            <w:pPr>
              <w:rPr>
                <w:rFonts w:ascii="Arial" w:hAnsi="Arial" w:eastAsia="Times New Roman" w:cs="Arial"/>
                <w:sz w:val="16"/>
                <w:szCs w:val="16"/>
                <w:lang w:eastAsia="es-ES"/>
              </w:rPr>
            </w:pPr>
            <w:r w:rsidRPr="00DE648B">
              <w:rPr>
                <w:rFonts w:ascii="Arial" w:hAnsi="Arial" w:eastAsia="Times New Roman" w:cs="Arial"/>
                <w:sz w:val="16"/>
                <w:szCs w:val="16"/>
                <w:lang w:eastAsia="es-ES"/>
              </w:rPr>
              <w:t>Alejandro Sarmiento Cantillo</w:t>
            </w:r>
          </w:p>
          <w:p w:rsidRPr="00DE648B" w:rsidR="00BB002F" w:rsidP="00BB002F" w:rsidRDefault="00BB002F" w14:paraId="743B2F95" w14:textId="77777777">
            <w:pPr>
              <w:rPr>
                <w:rFonts w:ascii="Arial" w:hAnsi="Arial" w:eastAsia="Times New Roman" w:cs="Arial"/>
                <w:sz w:val="16"/>
                <w:szCs w:val="16"/>
                <w:lang w:eastAsia="es-ES"/>
              </w:rPr>
            </w:pPr>
            <w:r w:rsidRPr="00DE648B">
              <w:rPr>
                <w:rFonts w:ascii="Arial" w:hAnsi="Arial" w:eastAsia="Times New Roman" w:cs="Arial"/>
                <w:sz w:val="16"/>
                <w:szCs w:val="16"/>
                <w:lang w:eastAsia="es-ES"/>
              </w:rPr>
              <w:t>Gestor T1–15 de la Subdirección de Gestión Contractual</w:t>
            </w:r>
          </w:p>
        </w:tc>
      </w:tr>
      <w:tr w:rsidRPr="00DE648B" w:rsidR="00BB002F" w:rsidTr="00517973" w14:paraId="1CE2A447" w14:textId="77777777">
        <w:trPr>
          <w:trHeight w:val="300"/>
        </w:trPr>
        <w:tc>
          <w:tcPr>
            <w:tcW w:w="855" w:type="dxa"/>
            <w:vAlign w:val="center"/>
            <w:hideMark/>
          </w:tcPr>
          <w:p w:rsidRPr="00DE648B" w:rsidR="00BB002F" w:rsidP="00BB002F" w:rsidRDefault="00BB002F" w14:paraId="3ABFF78F" w14:textId="77777777">
            <w:pPr>
              <w:rPr>
                <w:rFonts w:ascii="Arial" w:hAnsi="Arial" w:eastAsia="Times New Roman" w:cs="Arial"/>
                <w:sz w:val="16"/>
                <w:szCs w:val="16"/>
                <w:lang w:eastAsia="es-ES"/>
              </w:rPr>
            </w:pPr>
            <w:r w:rsidRPr="00DE648B">
              <w:rPr>
                <w:rFonts w:ascii="Arial" w:hAnsi="Arial" w:eastAsia="Times New Roman" w:cs="Arial"/>
                <w:sz w:val="16"/>
                <w:szCs w:val="16"/>
                <w:lang w:eastAsia="es-ES"/>
              </w:rPr>
              <w:t>Aprobó:</w:t>
            </w:r>
          </w:p>
        </w:tc>
        <w:tc>
          <w:tcPr>
            <w:tcW w:w="4957" w:type="dxa"/>
            <w:tcBorders>
              <w:top w:val="dotted" w:color="7F7F7F" w:sz="4" w:space="0"/>
              <w:left w:val="nil"/>
              <w:bottom w:val="dotted" w:color="7F7F7F" w:sz="4" w:space="0"/>
              <w:right w:val="nil"/>
            </w:tcBorders>
            <w:vAlign w:val="center"/>
            <w:hideMark/>
          </w:tcPr>
          <w:p w:rsidRPr="00DE648B" w:rsidR="00BB002F" w:rsidP="00BB002F" w:rsidRDefault="00BB002F" w14:paraId="7188EDBB" w14:textId="77777777">
            <w:pPr>
              <w:rPr>
                <w:rFonts w:ascii="Arial" w:hAnsi="Arial" w:eastAsia="Times New Roman" w:cs="Arial"/>
                <w:sz w:val="16"/>
                <w:szCs w:val="16"/>
                <w:lang w:eastAsia="es-ES"/>
              </w:rPr>
            </w:pPr>
            <w:r w:rsidRPr="00DE648B">
              <w:rPr>
                <w:rFonts w:ascii="Arial" w:hAnsi="Arial" w:eastAsia="Times New Roman" w:cs="Arial"/>
                <w:sz w:val="16"/>
                <w:szCs w:val="16"/>
                <w:lang w:eastAsia="es-ES"/>
              </w:rPr>
              <w:t xml:space="preserve">Nohelia del Carmen </w:t>
            </w:r>
            <w:proofErr w:type="spellStart"/>
            <w:r w:rsidRPr="00DE648B">
              <w:rPr>
                <w:rFonts w:ascii="Arial" w:hAnsi="Arial" w:eastAsia="Times New Roman" w:cs="Arial"/>
                <w:sz w:val="16"/>
                <w:szCs w:val="16"/>
                <w:lang w:eastAsia="es-ES"/>
              </w:rPr>
              <w:t>Zawady</w:t>
            </w:r>
            <w:proofErr w:type="spellEnd"/>
            <w:r w:rsidRPr="00DE648B">
              <w:rPr>
                <w:rFonts w:ascii="Arial" w:hAnsi="Arial" w:eastAsia="Times New Roman" w:cs="Arial"/>
                <w:sz w:val="16"/>
                <w:szCs w:val="16"/>
                <w:lang w:eastAsia="es-ES"/>
              </w:rPr>
              <w:t xml:space="preserve"> Palacio</w:t>
            </w:r>
          </w:p>
          <w:p w:rsidRPr="00DE648B" w:rsidR="00BB002F" w:rsidP="00BB002F" w:rsidRDefault="00BB002F" w14:paraId="2D151566" w14:textId="77777777">
            <w:pPr>
              <w:rPr>
                <w:rFonts w:ascii="Arial" w:hAnsi="Arial" w:eastAsia="Times New Roman" w:cs="Arial"/>
                <w:sz w:val="16"/>
                <w:szCs w:val="16"/>
                <w:lang w:eastAsia="es-ES"/>
              </w:rPr>
            </w:pPr>
            <w:r w:rsidRPr="00DE648B">
              <w:rPr>
                <w:rFonts w:ascii="Arial" w:hAnsi="Arial" w:eastAsia="Times New Roman" w:cs="Arial"/>
                <w:sz w:val="16"/>
                <w:szCs w:val="16"/>
                <w:lang w:eastAsia="es-ES"/>
              </w:rPr>
              <w:t>Subdirectora de Gestión Contractual ANCP – CCE</w:t>
            </w:r>
          </w:p>
        </w:tc>
      </w:tr>
      <w:bookmarkEnd w:id="1"/>
      <w:bookmarkEnd w:id="2"/>
      <w:bookmarkEnd w:id="3"/>
      <w:bookmarkEnd w:id="29"/>
    </w:tbl>
    <w:p w:rsidRPr="00DE648B" w:rsidR="00BB002F" w:rsidP="00BB002F" w:rsidRDefault="00BB002F" w14:paraId="3DC4F070" w14:textId="77777777">
      <w:pPr>
        <w:rPr>
          <w:rFonts w:ascii="Arial" w:hAnsi="Arial" w:cs="Arial"/>
        </w:rPr>
      </w:pPr>
    </w:p>
    <w:p w:rsidRPr="00DE648B" w:rsidR="00BB002F" w:rsidP="00BB002F" w:rsidRDefault="00BB002F" w14:paraId="4748DED1" w14:textId="77777777">
      <w:pPr>
        <w:spacing w:after="0" w:line="240" w:lineRule="auto"/>
        <w:rPr>
          <w:rFonts w:ascii="Arial" w:hAnsi="Arial" w:cs="Arial"/>
          <w:b/>
          <w:color w:val="404040" w:themeColor="text1" w:themeTint="BF"/>
          <w:lang w:val="es-ES"/>
        </w:rPr>
      </w:pPr>
    </w:p>
    <w:bookmarkEnd w:id="4"/>
    <w:p w:rsidRPr="00DE648B" w:rsidR="00051716" w:rsidP="00DE74DD" w:rsidRDefault="00051716" w14:paraId="60683612" w14:textId="77777777">
      <w:pPr>
        <w:rPr>
          <w:rFonts w:ascii="Arial" w:hAnsi="Arial" w:cs="Arial"/>
        </w:rPr>
      </w:pPr>
    </w:p>
    <w:sectPr w:rsidRPr="00DE648B" w:rsidR="00051716" w:rsidSect="00923EEF">
      <w:headerReference w:type="default" r:id="rId11"/>
      <w:footerReference w:type="default" r:id="rId12"/>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6877" w:rsidP="004A1847" w:rsidRDefault="00596877" w14:paraId="43BF55C2" w14:textId="77777777">
      <w:pPr>
        <w:spacing w:after="0" w:line="240" w:lineRule="auto"/>
      </w:pPr>
      <w:r>
        <w:separator/>
      </w:r>
    </w:p>
  </w:endnote>
  <w:endnote w:type="continuationSeparator" w:id="0">
    <w:p w:rsidR="00596877" w:rsidP="004A1847" w:rsidRDefault="00596877" w14:paraId="1278958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62368336">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3F78C75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5E0DB946">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6039C9C7">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1</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6877" w:rsidP="004A1847" w:rsidRDefault="00596877" w14:paraId="7D958870" w14:textId="77777777">
      <w:pPr>
        <w:spacing w:after="0" w:line="240" w:lineRule="auto"/>
      </w:pPr>
      <w:r>
        <w:separator/>
      </w:r>
    </w:p>
  </w:footnote>
  <w:footnote w:type="continuationSeparator" w:id="0">
    <w:p w:rsidR="00596877" w:rsidP="004A1847" w:rsidRDefault="00596877" w14:paraId="5846EF29" w14:textId="77777777">
      <w:pPr>
        <w:spacing w:after="0" w:line="240" w:lineRule="auto"/>
      </w:pPr>
      <w:r>
        <w:continuationSeparator/>
      </w:r>
    </w:p>
  </w:footnote>
  <w:footnote w:id="1">
    <w:p w:rsidRPr="00517973" w:rsidR="00BB002F" w:rsidP="0076622B" w:rsidRDefault="00BB002F" w14:paraId="32894690" w14:textId="77777777">
      <w:pPr>
        <w:pStyle w:val="Textonotapie"/>
        <w:ind w:firstLine="708"/>
        <w:jc w:val="both"/>
        <w:rPr>
          <w:rFonts w:ascii="Century Gothic" w:hAnsi="Century Gothic" w:cs="Arial"/>
          <w:sz w:val="18"/>
          <w:szCs w:val="18"/>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La Agencia Nacional de Contratación Pública </w:t>
      </w:r>
      <w:r w:rsidRPr="00517973">
        <w:rPr>
          <w:rFonts w:ascii="Arial" w:hAnsi="Arial" w:cs="Arial"/>
          <w:sz w:val="18"/>
          <w:szCs w:val="18"/>
        </w:rPr>
        <w:t>‒</w:t>
      </w:r>
      <w:r w:rsidRPr="00517973">
        <w:rPr>
          <w:rFonts w:ascii="Century Gothic" w:hAnsi="Century Gothic" w:cs="Arial"/>
          <w:sz w:val="18"/>
          <w:szCs w:val="18"/>
        </w:rPr>
        <w:t xml:space="preserve"> Colombia Compra Eficiente fue creada por el Decreto Ley 4170 de 2011. Su objetivo es servir como ente rector de la pol</w:t>
      </w:r>
      <w:r w:rsidRPr="00517973">
        <w:rPr>
          <w:rFonts w:ascii="Century Gothic" w:hAnsi="Century Gothic" w:cs="Century Gothic"/>
          <w:sz w:val="18"/>
          <w:szCs w:val="18"/>
        </w:rPr>
        <w:t>í</w:t>
      </w:r>
      <w:r w:rsidRPr="00517973">
        <w:rPr>
          <w:rFonts w:ascii="Century Gothic" w:hAnsi="Century Gothic" w:cs="Arial"/>
          <w:sz w:val="18"/>
          <w:szCs w:val="18"/>
        </w:rPr>
        <w:t>tica de compras y contrataci</w:t>
      </w:r>
      <w:r w:rsidRPr="00517973">
        <w:rPr>
          <w:rFonts w:ascii="Century Gothic" w:hAnsi="Century Gothic" w:cs="Century Gothic"/>
          <w:sz w:val="18"/>
          <w:szCs w:val="18"/>
        </w:rPr>
        <w:t>ó</w:t>
      </w:r>
      <w:r w:rsidRPr="00517973">
        <w:rPr>
          <w:rFonts w:ascii="Century Gothic" w:hAnsi="Century Gothic" w:cs="Arial"/>
          <w:sz w:val="18"/>
          <w:szCs w:val="18"/>
        </w:rPr>
        <w:t xml:space="preserve">n del Estado. Para tales fines, como </w:t>
      </w:r>
      <w:r w:rsidRPr="00517973">
        <w:rPr>
          <w:rFonts w:ascii="Century Gothic" w:hAnsi="Century Gothic" w:cs="Century Gothic"/>
          <w:sz w:val="18"/>
          <w:szCs w:val="18"/>
        </w:rPr>
        <w:t>ó</w:t>
      </w:r>
      <w:r w:rsidRPr="00517973">
        <w:rPr>
          <w:rFonts w:ascii="Century Gothic" w:hAnsi="Century Gothic" w:cs="Arial"/>
          <w:sz w:val="18"/>
          <w:szCs w:val="18"/>
        </w:rPr>
        <w:t>rgano t</w:t>
      </w:r>
      <w:r w:rsidRPr="00517973">
        <w:rPr>
          <w:rFonts w:ascii="Century Gothic" w:hAnsi="Century Gothic" w:cs="Century Gothic"/>
          <w:sz w:val="18"/>
          <w:szCs w:val="18"/>
        </w:rPr>
        <w:t>é</w:t>
      </w:r>
      <w:r w:rsidRPr="00517973">
        <w:rPr>
          <w:rFonts w:ascii="Century Gothic" w:hAnsi="Century Gothic" w:cs="Arial"/>
          <w:sz w:val="18"/>
          <w:szCs w:val="18"/>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517973">
        <w:rPr>
          <w:rFonts w:ascii="Century Gothic" w:hAnsi="Century Gothic" w:cs="Arial"/>
          <w:i/>
          <w:iCs/>
          <w:sz w:val="18"/>
          <w:szCs w:val="18"/>
        </w:rPr>
        <w:t xml:space="preserve">ibidem </w:t>
      </w:r>
      <w:r w:rsidRPr="00517973">
        <w:rPr>
          <w:rFonts w:ascii="Century Gothic" w:hAnsi="Century Gothic" w:cs="Arial"/>
          <w:sz w:val="18"/>
          <w:szCs w:val="18"/>
        </w:rPr>
        <w:t>señala, de manera precisa, las funciones de Colombia Compra Eficiente. Concretamente, el numeral 5º de este artículo establece que le corresponde a esta entidad: “[a]</w:t>
      </w:r>
      <w:proofErr w:type="spellStart"/>
      <w:r w:rsidRPr="00517973">
        <w:rPr>
          <w:rFonts w:ascii="Century Gothic" w:hAnsi="Century Gothic" w:cs="Arial"/>
          <w:sz w:val="18"/>
          <w:szCs w:val="18"/>
        </w:rPr>
        <w:t>bsolver</w:t>
      </w:r>
      <w:proofErr w:type="spellEnd"/>
      <w:r w:rsidRPr="00517973">
        <w:rPr>
          <w:rFonts w:ascii="Century Gothic" w:hAnsi="Century Gothic" w:cs="Arial"/>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517973">
        <w:rPr>
          <w:rFonts w:ascii="Century Gothic" w:hAnsi="Century Gothic" w:cs="Arial"/>
          <w:sz w:val="18"/>
          <w:szCs w:val="18"/>
        </w:rPr>
        <w:t>bsolver</w:t>
      </w:r>
      <w:proofErr w:type="spellEnd"/>
      <w:r w:rsidRPr="00517973">
        <w:rPr>
          <w:rFonts w:ascii="Century Gothic" w:hAnsi="Century Gothic" w:cs="Arial"/>
          <w:sz w:val="18"/>
          <w:szCs w:val="18"/>
        </w:rPr>
        <w:t xml:space="preserve"> consultas sobre la aplicación de normas de carácter general”.</w:t>
      </w:r>
    </w:p>
    <w:p w:rsidRPr="00517973" w:rsidR="00BB002F" w:rsidP="0076622B" w:rsidRDefault="00BB002F" w14:paraId="5764CE37" w14:textId="77777777">
      <w:pPr>
        <w:pStyle w:val="Textonotapie"/>
        <w:ind w:firstLine="708"/>
        <w:jc w:val="both"/>
        <w:rPr>
          <w:rFonts w:ascii="Century Gothic" w:hAnsi="Century Gothic" w:cs="Arial"/>
          <w:sz w:val="18"/>
          <w:szCs w:val="18"/>
          <w:lang w:val="es-ES"/>
        </w:rPr>
      </w:pPr>
    </w:p>
  </w:footnote>
  <w:footnote w:id="2">
    <w:p w:rsidRPr="00517973" w:rsidR="00BB002F" w:rsidP="0076622B" w:rsidRDefault="00BB002F" w14:paraId="5147EDE5" w14:textId="77777777">
      <w:pPr>
        <w:pStyle w:val="Textonotapie"/>
        <w:ind w:firstLine="708"/>
        <w:jc w:val="both"/>
        <w:rPr>
          <w:rFonts w:ascii="Century Gothic" w:hAnsi="Century Gothic" w:cs="Arial"/>
          <w:sz w:val="18"/>
          <w:szCs w:val="18"/>
          <w:lang w:val="es-CO"/>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Colombia Compra Eficiente, también se pronunció sobre la Ley 996 de 2005 en los Conceptos C-074 del 17 de marzo de 2021, C-075 del 16 de marzo de 2021, C-227 de 2021 del 5 de mayo de 2021, C-259 del 2 de junio de 2021, C-296 del 22 de junio de 2021,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y C-098 del 9 de marzo de 2022.</w:t>
      </w:r>
    </w:p>
  </w:footnote>
  <w:footnote w:id="3">
    <w:p w:rsidRPr="00517973" w:rsidR="00BB002F" w:rsidP="0076622B" w:rsidRDefault="00BB002F" w14:paraId="4F7E42D5" w14:textId="77777777">
      <w:pPr>
        <w:pStyle w:val="Textonotapie"/>
        <w:ind w:firstLine="709"/>
        <w:contextualSpacing/>
        <w:jc w:val="both"/>
        <w:rPr>
          <w:rFonts w:ascii="Century Gothic" w:hAnsi="Century Gothic" w:cs="Arial"/>
          <w:sz w:val="18"/>
          <w:szCs w:val="18"/>
        </w:rPr>
      </w:pPr>
    </w:p>
    <w:p w:rsidRPr="00517973" w:rsidR="00BB002F" w:rsidP="0076622B" w:rsidRDefault="00BB002F" w14:paraId="7DC340E7" w14:textId="02E543B5">
      <w:pPr>
        <w:pStyle w:val="Textonotapie"/>
        <w:ind w:firstLine="709"/>
        <w:contextualSpacing/>
        <w:jc w:val="both"/>
        <w:rPr>
          <w:rFonts w:ascii="Century Gothic" w:hAnsi="Century Gothic" w:cs="Arial"/>
          <w:sz w:val="18"/>
          <w:szCs w:val="18"/>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rsidRPr="00517973" w:rsidR="0076622B" w:rsidP="0076622B" w:rsidRDefault="0076622B" w14:paraId="27166563" w14:textId="77777777">
      <w:pPr>
        <w:pStyle w:val="Textonotapie"/>
        <w:spacing w:before="120" w:after="120"/>
        <w:ind w:firstLine="709"/>
        <w:contextualSpacing/>
        <w:jc w:val="both"/>
        <w:rPr>
          <w:rFonts w:ascii="Century Gothic" w:hAnsi="Century Gothic" w:cs="Arial"/>
          <w:sz w:val="18"/>
          <w:szCs w:val="18"/>
        </w:rPr>
      </w:pPr>
    </w:p>
    <w:p w:rsidRPr="00517973" w:rsidR="00BB002F" w:rsidP="0076622B" w:rsidRDefault="00BB002F" w14:paraId="469DCC83" w14:textId="7142B493">
      <w:pPr>
        <w:pStyle w:val="Textonotapie"/>
        <w:spacing w:before="120"/>
        <w:ind w:firstLine="709"/>
        <w:contextualSpacing/>
        <w:jc w:val="both"/>
        <w:rPr>
          <w:rFonts w:ascii="Century Gothic" w:hAnsi="Century Gothic" w:cs="Arial"/>
          <w:sz w:val="18"/>
          <w:szCs w:val="18"/>
        </w:rPr>
      </w:pPr>
      <w:r w:rsidRPr="00517973">
        <w:rPr>
          <w:rFonts w:ascii="Century Gothic" w:hAnsi="Century Gothic" w:cs="Arial"/>
          <w:sz w:val="18"/>
          <w:szCs w:val="18"/>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rsidRPr="00517973" w:rsidR="00BB002F" w:rsidP="0076622B" w:rsidRDefault="00BB002F" w14:paraId="2EBB9B54" w14:textId="77777777">
      <w:pPr>
        <w:pStyle w:val="Textonotapie"/>
        <w:ind w:firstLine="709"/>
        <w:contextualSpacing/>
        <w:jc w:val="both"/>
        <w:rPr>
          <w:rFonts w:ascii="Century Gothic" w:hAnsi="Century Gothic" w:cs="Arial"/>
          <w:sz w:val="18"/>
          <w:szCs w:val="18"/>
        </w:rPr>
      </w:pPr>
    </w:p>
  </w:footnote>
  <w:footnote w:id="4">
    <w:p w:rsidRPr="00517973" w:rsidR="00BB002F" w:rsidP="0076622B" w:rsidRDefault="00BB002F" w14:paraId="6E42A1E8" w14:textId="77777777">
      <w:pPr>
        <w:pStyle w:val="Textonotapie"/>
        <w:ind w:firstLine="709"/>
        <w:contextualSpacing/>
        <w:jc w:val="both"/>
        <w:rPr>
          <w:rFonts w:ascii="Century Gothic" w:hAnsi="Century Gothic" w:cs="Arial"/>
          <w:sz w:val="18"/>
          <w:szCs w:val="18"/>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Gaceta del Congreso de la República No. 71 del 2005.</w:t>
      </w:r>
    </w:p>
    <w:p w:rsidRPr="00517973" w:rsidR="0076622B" w:rsidP="0076622B" w:rsidRDefault="0076622B" w14:paraId="5FD2154C" w14:textId="77777777">
      <w:pPr>
        <w:pStyle w:val="Textonotapie"/>
        <w:ind w:firstLine="709"/>
        <w:contextualSpacing/>
        <w:jc w:val="both"/>
        <w:rPr>
          <w:rFonts w:ascii="Century Gothic" w:hAnsi="Century Gothic" w:cs="Arial"/>
          <w:sz w:val="18"/>
          <w:szCs w:val="18"/>
        </w:rPr>
      </w:pPr>
    </w:p>
  </w:footnote>
  <w:footnote w:id="5">
    <w:p w:rsidRPr="00517973" w:rsidR="00BB002F" w:rsidP="0076622B" w:rsidRDefault="00BB002F" w14:paraId="0D4A2A8F" w14:textId="77777777">
      <w:pPr>
        <w:pStyle w:val="Textonotapie"/>
        <w:ind w:firstLine="709"/>
        <w:contextualSpacing/>
        <w:jc w:val="both"/>
        <w:rPr>
          <w:rFonts w:ascii="Century Gothic" w:hAnsi="Century Gothic" w:cs="Arial"/>
          <w:sz w:val="18"/>
          <w:szCs w:val="18"/>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Corte Constitucional, Sentencia C- 1153 de 2005, M.P. Marco Gerardo Monroy Cabra.</w:t>
      </w:r>
    </w:p>
    <w:p w:rsidRPr="00517973" w:rsidR="00BB002F" w:rsidP="0076622B" w:rsidRDefault="00BB002F" w14:paraId="714F6B5D" w14:textId="77777777">
      <w:pPr>
        <w:pStyle w:val="Textonotapie"/>
        <w:ind w:firstLine="709"/>
        <w:contextualSpacing/>
        <w:jc w:val="both"/>
        <w:rPr>
          <w:rFonts w:ascii="Century Gothic" w:hAnsi="Century Gothic" w:cs="Arial"/>
          <w:sz w:val="18"/>
          <w:szCs w:val="18"/>
        </w:rPr>
      </w:pPr>
    </w:p>
  </w:footnote>
  <w:footnote w:id="6">
    <w:p w:rsidRPr="00517973" w:rsidR="00BB002F" w:rsidP="0076622B" w:rsidRDefault="00BB002F" w14:paraId="0ED6D090" w14:textId="77777777">
      <w:pPr>
        <w:pStyle w:val="Textonotapie"/>
        <w:ind w:firstLine="709"/>
        <w:contextualSpacing/>
        <w:jc w:val="both"/>
        <w:rPr>
          <w:rFonts w:ascii="Century Gothic" w:hAnsi="Century Gothic" w:cs="Arial"/>
          <w:sz w:val="18"/>
          <w:szCs w:val="18"/>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rsidRPr="00517973" w:rsidR="00BB002F" w:rsidP="0076622B" w:rsidRDefault="00BB002F" w14:paraId="620BEEDD" w14:textId="77777777">
      <w:pPr>
        <w:pStyle w:val="Textonotapie"/>
        <w:ind w:firstLine="709"/>
        <w:contextualSpacing/>
        <w:jc w:val="both"/>
        <w:rPr>
          <w:rFonts w:ascii="Century Gothic" w:hAnsi="Century Gothic" w:cs="Arial"/>
          <w:sz w:val="18"/>
          <w:szCs w:val="18"/>
        </w:rPr>
      </w:pPr>
    </w:p>
  </w:footnote>
  <w:footnote w:id="7">
    <w:p w:rsidRPr="00517973" w:rsidR="00BB002F" w:rsidP="0076622B" w:rsidRDefault="00BB002F" w14:paraId="7ED78A38" w14:textId="77777777">
      <w:pPr>
        <w:pStyle w:val="Textonotapie"/>
        <w:ind w:firstLine="709"/>
        <w:contextualSpacing/>
        <w:jc w:val="both"/>
        <w:rPr>
          <w:rFonts w:ascii="Century Gothic" w:hAnsi="Century Gothic" w:cs="Arial"/>
          <w:sz w:val="18"/>
          <w:szCs w:val="18"/>
          <w:lang w:val="es-CO"/>
        </w:rPr>
      </w:pPr>
      <w:r w:rsidRPr="00517973">
        <w:rPr>
          <w:rStyle w:val="Refdenotaalpie"/>
          <w:rFonts w:ascii="Century Gothic" w:hAnsi="Century Gothic" w:cs="Arial"/>
          <w:sz w:val="18"/>
          <w:szCs w:val="18"/>
        </w:rPr>
        <w:footnoteRef/>
      </w:r>
      <w:r w:rsidRPr="00517973">
        <w:rPr>
          <w:rFonts w:ascii="Century Gothic" w:hAnsi="Century Gothic"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rsidRPr="00517973" w:rsidR="00BB002F" w:rsidP="0076622B" w:rsidRDefault="00BB002F" w14:paraId="2DDE82CD" w14:textId="77777777">
      <w:pPr>
        <w:pStyle w:val="Textonotapie"/>
        <w:ind w:firstLine="709"/>
        <w:contextualSpacing/>
        <w:jc w:val="both"/>
        <w:rPr>
          <w:rFonts w:ascii="Century Gothic" w:hAnsi="Century Gothic" w:cs="Arial"/>
          <w:sz w:val="18"/>
          <w:szCs w:val="18"/>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Consejo de Estado, Sala de Consulta y Servicio Civil de fecha 24 de julio de 2013, radicado 2166, Consejero Ponente: Álvaro </w:t>
      </w:r>
      <w:proofErr w:type="spellStart"/>
      <w:r w:rsidRPr="00517973">
        <w:rPr>
          <w:rFonts w:ascii="Century Gothic" w:hAnsi="Century Gothic" w:cs="Arial"/>
          <w:sz w:val="18"/>
          <w:szCs w:val="18"/>
        </w:rPr>
        <w:t>Namén</w:t>
      </w:r>
      <w:proofErr w:type="spellEnd"/>
      <w:r w:rsidRPr="00517973">
        <w:rPr>
          <w:rFonts w:ascii="Century Gothic" w:hAnsi="Century Gothic" w:cs="Arial"/>
          <w:sz w:val="18"/>
          <w:szCs w:val="18"/>
        </w:rPr>
        <w:t xml:space="preserve"> Vargas. </w:t>
      </w:r>
    </w:p>
    <w:p w:rsidRPr="00517973" w:rsidR="00BB002F" w:rsidP="0076622B" w:rsidRDefault="00BB002F" w14:paraId="4C4CC112" w14:textId="77777777">
      <w:pPr>
        <w:pStyle w:val="Textonotapie"/>
        <w:ind w:firstLine="709"/>
        <w:contextualSpacing/>
        <w:jc w:val="both"/>
        <w:rPr>
          <w:rFonts w:ascii="Century Gothic" w:hAnsi="Century Gothic" w:cs="Arial"/>
          <w:sz w:val="18"/>
          <w:szCs w:val="18"/>
        </w:rPr>
      </w:pPr>
      <w:r w:rsidRPr="00517973">
        <w:rPr>
          <w:rFonts w:ascii="Century Gothic" w:hAnsi="Century Gothic" w:cs="Arial"/>
          <w:sz w:val="18"/>
          <w:szCs w:val="18"/>
        </w:rPr>
        <w:t xml:space="preserve"> </w:t>
      </w:r>
    </w:p>
  </w:footnote>
  <w:footnote w:id="9">
    <w:p w:rsidRPr="00517973" w:rsidR="00BB002F" w:rsidP="0076622B" w:rsidRDefault="00BB002F" w14:paraId="3797BE22" w14:textId="77777777">
      <w:pPr>
        <w:spacing w:line="240" w:lineRule="auto"/>
        <w:ind w:firstLine="709"/>
        <w:contextualSpacing/>
        <w:jc w:val="both"/>
        <w:rPr>
          <w:rFonts w:ascii="Century Gothic" w:hAnsi="Century Gothic" w:cs="Arial"/>
          <w:sz w:val="18"/>
          <w:szCs w:val="18"/>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w:t>
      </w:r>
      <w:bookmarkStart w:name="33" w:id="13"/>
      <w:r w:rsidRPr="00517973">
        <w:rPr>
          <w:rFonts w:ascii="Century Gothic" w:hAnsi="Century Gothic" w:eastAsia="Calibri" w:cs="Arial"/>
          <w:color w:val="000000"/>
          <w:sz w:val="18"/>
          <w:szCs w:val="18"/>
        </w:rPr>
        <w:t>“</w:t>
      </w:r>
      <w:r w:rsidRPr="00517973">
        <w:rPr>
          <w:rFonts w:ascii="Century Gothic" w:hAnsi="Century Gothic" w:cs="Arial"/>
          <w:sz w:val="18"/>
          <w:szCs w:val="18"/>
        </w:rPr>
        <w:t>Artículo 33. Restricciones a la contratación pública.</w:t>
      </w:r>
      <w:bookmarkEnd w:id="13"/>
      <w:r w:rsidRPr="00517973">
        <w:rPr>
          <w:rFonts w:ascii="Century Gothic" w:hAnsi="Century Gothic" w:cs="Arial"/>
          <w:sz w:val="18"/>
          <w:szCs w:val="18"/>
        </w:rPr>
        <w:t> Durante los cuatro (4) meses anteriores a la elección presidencial y hasta la realización de la elección en la segunda vuelta, si fuere el caso, queda prohibida la contratación directa por parte de todos los entes del Estado.</w:t>
      </w:r>
    </w:p>
    <w:p w:rsidRPr="00517973" w:rsidR="00BB002F" w:rsidP="0076622B" w:rsidRDefault="00BB002F" w14:paraId="5365FC16" w14:textId="77777777">
      <w:pPr>
        <w:spacing w:line="240" w:lineRule="auto"/>
        <w:ind w:firstLine="709"/>
        <w:contextualSpacing/>
        <w:jc w:val="both"/>
        <w:rPr>
          <w:rFonts w:ascii="Century Gothic" w:hAnsi="Century Gothic" w:cs="Arial"/>
          <w:sz w:val="18"/>
          <w:szCs w:val="18"/>
        </w:rPr>
      </w:pPr>
    </w:p>
    <w:p w:rsidRPr="00517973" w:rsidR="00BB002F" w:rsidP="0076622B" w:rsidRDefault="00BB002F" w14:paraId="0A84BAC0" w14:textId="77777777">
      <w:pPr>
        <w:spacing w:after="0" w:line="240" w:lineRule="auto"/>
        <w:ind w:firstLine="709"/>
        <w:contextualSpacing/>
        <w:jc w:val="both"/>
        <w:rPr>
          <w:rFonts w:ascii="Century Gothic" w:hAnsi="Century Gothic" w:cs="Arial"/>
          <w:sz w:val="18"/>
          <w:szCs w:val="18"/>
        </w:rPr>
      </w:pPr>
      <w:r w:rsidRPr="00517973">
        <w:rPr>
          <w:rFonts w:ascii="Century Gothic" w:hAnsi="Century Gothic" w:cs="Arial"/>
          <w:sz w:val="18"/>
          <w:szCs w:val="18"/>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w:t>
      </w:r>
    </w:p>
  </w:footnote>
  <w:footnote w:id="10">
    <w:p w:rsidRPr="00517973" w:rsidR="00BB002F" w:rsidP="0076622B" w:rsidRDefault="00BB002F" w14:paraId="20FD1AAA" w14:textId="77777777">
      <w:pPr>
        <w:pStyle w:val="NormalWeb"/>
        <w:spacing w:after="0" w:line="240" w:lineRule="auto"/>
        <w:ind w:firstLine="709"/>
        <w:contextualSpacing/>
        <w:jc w:val="both"/>
        <w:rPr>
          <w:rFonts w:ascii="Century Gothic" w:hAnsi="Century Gothic" w:cs="Arial"/>
          <w:sz w:val="18"/>
          <w:szCs w:val="18"/>
        </w:rPr>
      </w:pPr>
    </w:p>
    <w:p w:rsidRPr="00517973" w:rsidR="00BB002F" w:rsidP="0076622B" w:rsidRDefault="00BB002F" w14:paraId="28F4A71A" w14:textId="77777777">
      <w:pPr>
        <w:pStyle w:val="NormalWeb"/>
        <w:spacing w:after="0" w:line="240" w:lineRule="auto"/>
        <w:ind w:firstLine="709"/>
        <w:contextualSpacing/>
        <w:jc w:val="both"/>
        <w:rPr>
          <w:rFonts w:ascii="Century Gothic" w:hAnsi="Century Gothic" w:cs="Arial"/>
          <w:sz w:val="18"/>
          <w:szCs w:val="18"/>
          <w:lang w:val="es-MX"/>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w:t>
      </w:r>
      <w:bookmarkStart w:name="38" w:id="14"/>
      <w:r w:rsidRPr="00517973">
        <w:rPr>
          <w:rFonts w:ascii="Century Gothic" w:hAnsi="Century Gothic" w:eastAsia="Calibri" w:cs="Arial"/>
          <w:color w:val="000000"/>
          <w:sz w:val="18"/>
          <w:szCs w:val="18"/>
        </w:rPr>
        <w:t>“</w:t>
      </w:r>
      <w:r w:rsidRPr="00517973">
        <w:rPr>
          <w:rFonts w:ascii="Century Gothic" w:hAnsi="Century Gothic" w:cs="Arial"/>
          <w:sz w:val="18"/>
          <w:szCs w:val="18"/>
          <w:lang w:val="es-MX"/>
        </w:rPr>
        <w:t>Artículo 38. Prohibiciones para los servidores públicos. A los empleados del Estado les está prohibido:</w:t>
      </w:r>
      <w:bookmarkEnd w:id="14"/>
    </w:p>
    <w:p w:rsidRPr="00517973" w:rsidR="00BB002F" w:rsidP="0076622B" w:rsidRDefault="00BB002F" w14:paraId="4CBB64E4" w14:textId="77777777">
      <w:pPr>
        <w:pStyle w:val="NormalWeb"/>
        <w:spacing w:after="0" w:line="240" w:lineRule="auto"/>
        <w:ind w:firstLine="709"/>
        <w:contextualSpacing/>
        <w:jc w:val="both"/>
        <w:rPr>
          <w:rFonts w:ascii="Century Gothic" w:hAnsi="Century Gothic" w:cs="Arial"/>
          <w:sz w:val="18"/>
          <w:szCs w:val="18"/>
          <w:lang w:val="es-MX"/>
        </w:rPr>
      </w:pPr>
      <w:r w:rsidRPr="00517973">
        <w:rPr>
          <w:rFonts w:ascii="Century Gothic" w:hAnsi="Century Gothic" w:cs="Arial"/>
          <w:sz w:val="18"/>
          <w:szCs w:val="18"/>
          <w:lang w:val="es-MX"/>
        </w:rPr>
        <w:t>[…]</w:t>
      </w:r>
    </w:p>
    <w:p w:rsidRPr="00517973" w:rsidR="00BB002F" w:rsidP="0076622B" w:rsidRDefault="00BB002F" w14:paraId="4C1A4D81" w14:textId="77777777">
      <w:pPr>
        <w:pStyle w:val="NormalWeb"/>
        <w:spacing w:after="0" w:line="240" w:lineRule="auto"/>
        <w:ind w:firstLine="709"/>
        <w:contextualSpacing/>
        <w:jc w:val="both"/>
        <w:rPr>
          <w:rFonts w:ascii="Century Gothic" w:hAnsi="Century Gothic" w:eastAsia="Calibri" w:cs="Arial"/>
          <w:color w:val="000000"/>
          <w:sz w:val="18"/>
          <w:szCs w:val="18"/>
        </w:rPr>
      </w:pPr>
      <w:r w:rsidRPr="00517973">
        <w:rPr>
          <w:rStyle w:val="baj"/>
          <w:rFonts w:ascii="Century Gothic" w:hAnsi="Century Gothic" w:cs="Arial"/>
          <w:sz w:val="18"/>
          <w:szCs w:val="18"/>
          <w:lang w:val="es-MX"/>
        </w:rPr>
        <w:t>Parágrafo.</w:t>
      </w:r>
      <w:r w:rsidRPr="00517973">
        <w:rPr>
          <w:rFonts w:ascii="Century Gothic" w:hAnsi="Century Gothic"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17973">
        <w:rPr>
          <w:rFonts w:ascii="Century Gothic" w:hAnsi="Century Gothic" w:eastAsia="Calibri" w:cs="Arial"/>
          <w:color w:val="000000"/>
          <w:sz w:val="18"/>
          <w:szCs w:val="18"/>
        </w:rPr>
        <w:t>”.</w:t>
      </w:r>
    </w:p>
    <w:p w:rsidRPr="00517973" w:rsidR="00BB002F" w:rsidP="0076622B" w:rsidRDefault="00BB002F" w14:paraId="281C1D10" w14:textId="77777777">
      <w:pPr>
        <w:pStyle w:val="NormalWeb"/>
        <w:spacing w:after="0" w:line="240" w:lineRule="auto"/>
        <w:ind w:firstLine="709"/>
        <w:contextualSpacing/>
        <w:jc w:val="both"/>
        <w:rPr>
          <w:rFonts w:ascii="Century Gothic" w:hAnsi="Century Gothic" w:cs="Arial"/>
          <w:sz w:val="18"/>
          <w:szCs w:val="18"/>
          <w:lang w:val="es-MX"/>
        </w:rPr>
      </w:pPr>
    </w:p>
  </w:footnote>
  <w:footnote w:id="11">
    <w:p w:rsidRPr="00517973" w:rsidR="00BB002F" w:rsidP="0076622B" w:rsidRDefault="00BB002F" w14:paraId="5993C86D" w14:textId="77777777">
      <w:pPr>
        <w:spacing w:line="240" w:lineRule="auto"/>
        <w:ind w:left="100" w:right="244" w:firstLine="709"/>
        <w:contextualSpacing/>
        <w:jc w:val="both"/>
        <w:rPr>
          <w:rFonts w:ascii="Century Gothic" w:hAnsi="Century Gothic" w:cs="Arial"/>
          <w:sz w:val="18"/>
          <w:szCs w:val="18"/>
          <w:lang w:val="es-ES"/>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Consejo de Estado. Sala de Consulta y Servicio Civil. Concepto del 17 de febrero de 2015. C.P. William Zambrano Cetina. Radicación No. 11001-03-06-000-2015-00164-00(2269).</w:t>
      </w:r>
    </w:p>
  </w:footnote>
  <w:footnote w:id="12">
    <w:p w:rsidRPr="00517973" w:rsidR="00BB002F" w:rsidP="0076622B" w:rsidRDefault="00BB002F" w14:paraId="157CE0BB" w14:textId="77777777">
      <w:pPr>
        <w:pStyle w:val="Textonotapie"/>
        <w:ind w:right="51" w:firstLine="709"/>
        <w:contextualSpacing/>
        <w:jc w:val="both"/>
        <w:rPr>
          <w:rFonts w:ascii="Century Gothic" w:hAnsi="Century Gothic" w:cs="Arial"/>
          <w:sz w:val="18"/>
          <w:szCs w:val="18"/>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w:t>
      </w:r>
      <w:r w:rsidRPr="00517973">
        <w:rPr>
          <w:rFonts w:ascii="Century Gothic" w:hAnsi="Century Gothic" w:cs="Arial"/>
          <w:sz w:val="18"/>
          <w:szCs w:val="18"/>
          <w:lang w:val="es-ES"/>
        </w:rPr>
        <w:t xml:space="preserve">[25] </w:t>
      </w:r>
      <w:r w:rsidRPr="00517973">
        <w:rPr>
          <w:rFonts w:ascii="Century Gothic" w:hAnsi="Century Gothic" w:cs="Arial"/>
          <w:sz w:val="18"/>
          <w:szCs w:val="18"/>
        </w:rPr>
        <w:t>Cfr. Consejo de Estado. Sección Tercera. Sentencia de 3 de diciembre de 2007. Radicados: 24.715, 25.206, 25.409, 24.524, 27.834, 25.410, 26.105, 28.244, 31.447 -acumulados-”.</w:t>
      </w:r>
    </w:p>
  </w:footnote>
  <w:footnote w:id="13">
    <w:p w:rsidRPr="00517973" w:rsidR="00BB002F" w:rsidP="0076622B" w:rsidRDefault="00BB002F" w14:paraId="72C62552" w14:textId="77777777">
      <w:pPr>
        <w:pStyle w:val="Textonotapie"/>
        <w:ind w:right="51" w:firstLine="709"/>
        <w:contextualSpacing/>
        <w:jc w:val="both"/>
        <w:rPr>
          <w:rFonts w:ascii="Century Gothic" w:hAnsi="Century Gothic" w:cs="Arial"/>
          <w:sz w:val="18"/>
          <w:szCs w:val="18"/>
        </w:rPr>
      </w:pPr>
    </w:p>
    <w:p w:rsidRPr="00517973" w:rsidR="00BB002F" w:rsidP="0076622B" w:rsidRDefault="00BB002F" w14:paraId="3692AE41" w14:textId="77777777">
      <w:pPr>
        <w:pStyle w:val="Textonotapie"/>
        <w:ind w:right="51" w:firstLine="709"/>
        <w:contextualSpacing/>
        <w:jc w:val="both"/>
        <w:rPr>
          <w:rFonts w:ascii="Century Gothic" w:hAnsi="Century Gothic" w:cs="Arial"/>
          <w:sz w:val="18"/>
          <w:szCs w:val="18"/>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w:t>
      </w:r>
      <w:bookmarkStart w:name="_Hlk74294506" w:id="18"/>
      <w:r w:rsidRPr="00517973">
        <w:rPr>
          <w:rFonts w:ascii="Century Gothic" w:hAnsi="Century Gothic" w:cs="Arial"/>
          <w:sz w:val="18"/>
          <w:szCs w:val="18"/>
        </w:rPr>
        <w:t>“</w:t>
      </w:r>
      <w:r w:rsidRPr="00517973">
        <w:rPr>
          <w:rFonts w:ascii="Century Gothic" w:hAnsi="Century Gothic" w:cs="Arial"/>
          <w:sz w:val="18"/>
          <w:szCs w:val="18"/>
          <w:lang w:val="es-ES"/>
        </w:rPr>
        <w:t xml:space="preserve">[26] </w:t>
      </w:r>
      <w:bookmarkEnd w:id="18"/>
      <w:r w:rsidRPr="00517973">
        <w:rPr>
          <w:rFonts w:ascii="Century Gothic" w:hAnsi="Century Gothic" w:cs="Arial"/>
          <w:sz w:val="18"/>
          <w:szCs w:val="18"/>
        </w:rPr>
        <w:t>Al respecto ver el concepto 1712 de 2 de febrero de 2006. Consejo de Estado Sala de Consulta y Servicio Civil”.</w:t>
      </w:r>
    </w:p>
    <w:p w:rsidRPr="00517973" w:rsidR="00BB002F" w:rsidP="0076622B" w:rsidRDefault="00BB002F" w14:paraId="3433CA02" w14:textId="77777777">
      <w:pPr>
        <w:pStyle w:val="Textonotapie"/>
        <w:ind w:right="51" w:firstLine="709"/>
        <w:contextualSpacing/>
        <w:jc w:val="both"/>
        <w:rPr>
          <w:rFonts w:ascii="Century Gothic" w:hAnsi="Century Gothic" w:cs="Arial"/>
          <w:sz w:val="18"/>
          <w:szCs w:val="18"/>
        </w:rPr>
      </w:pPr>
    </w:p>
  </w:footnote>
  <w:footnote w:id="14">
    <w:p w:rsidRPr="00517973" w:rsidR="00BB002F" w:rsidP="0076622B" w:rsidRDefault="00BB002F" w14:paraId="41D972C3" w14:textId="77777777">
      <w:pPr>
        <w:pStyle w:val="Textonotapie"/>
        <w:ind w:firstLine="709"/>
        <w:contextualSpacing/>
        <w:jc w:val="both"/>
        <w:rPr>
          <w:rFonts w:ascii="Century Gothic" w:hAnsi="Century Gothic" w:cs="Arial"/>
          <w:sz w:val="18"/>
          <w:szCs w:val="18"/>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Consejo de Estado. Sala de Consulta y Servicio Civil. Concepto del 2 de septiembre de 2013. Radicación número: 11001-03-06-000-2013-00412-00 (2168). Consejero Ponente: Álvaro </w:t>
      </w:r>
      <w:proofErr w:type="spellStart"/>
      <w:r w:rsidRPr="00517973">
        <w:rPr>
          <w:rFonts w:ascii="Century Gothic" w:hAnsi="Century Gothic" w:cs="Arial"/>
          <w:sz w:val="18"/>
          <w:szCs w:val="18"/>
        </w:rPr>
        <w:t>Namén</w:t>
      </w:r>
      <w:proofErr w:type="spellEnd"/>
      <w:r w:rsidRPr="00517973">
        <w:rPr>
          <w:rFonts w:ascii="Century Gothic" w:hAnsi="Century Gothic" w:cs="Arial"/>
          <w:sz w:val="18"/>
          <w:szCs w:val="18"/>
        </w:rPr>
        <w:t xml:space="preserve"> Vargas.</w:t>
      </w:r>
    </w:p>
  </w:footnote>
  <w:footnote w:id="15">
    <w:p w:rsidRPr="00517973" w:rsidR="00BB002F" w:rsidP="0076622B" w:rsidRDefault="00BB002F" w14:paraId="4E1479FB" w14:textId="77777777">
      <w:pPr>
        <w:pStyle w:val="Textonotapie"/>
        <w:ind w:firstLine="709"/>
        <w:contextualSpacing/>
        <w:jc w:val="both"/>
        <w:rPr>
          <w:rFonts w:ascii="Century Gothic" w:hAnsi="Century Gothic" w:cs="Arial"/>
          <w:sz w:val="18"/>
          <w:szCs w:val="18"/>
          <w:lang w:val="es-ES"/>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w:t>
      </w:r>
      <w:r w:rsidRPr="00517973">
        <w:rPr>
          <w:rFonts w:ascii="Century Gothic" w:hAnsi="Century Gothic" w:cs="Arial"/>
          <w:sz w:val="18"/>
          <w:szCs w:val="18"/>
          <w:lang w:val="es-ES"/>
        </w:rPr>
        <w:t>Artículo 2.</w:t>
      </w:r>
    </w:p>
    <w:p w:rsidRPr="00517973" w:rsidR="00BB002F" w:rsidP="0076622B" w:rsidRDefault="00BB002F" w14:paraId="0298758B" w14:textId="77777777">
      <w:pPr>
        <w:pStyle w:val="Textonotapie"/>
        <w:ind w:firstLine="709"/>
        <w:contextualSpacing/>
        <w:jc w:val="both"/>
        <w:rPr>
          <w:rFonts w:ascii="Century Gothic" w:hAnsi="Century Gothic" w:cs="Arial"/>
          <w:sz w:val="18"/>
          <w:szCs w:val="18"/>
          <w:lang w:val="es-ES"/>
        </w:rPr>
      </w:pPr>
      <w:r w:rsidRPr="00517973">
        <w:rPr>
          <w:rFonts w:ascii="Century Gothic" w:hAnsi="Century Gothic" w:cs="Arial"/>
          <w:sz w:val="18"/>
          <w:szCs w:val="18"/>
          <w:lang w:val="es-ES"/>
        </w:rPr>
        <w:t xml:space="preserve"> </w:t>
      </w:r>
    </w:p>
  </w:footnote>
  <w:footnote w:id="16">
    <w:p w:rsidRPr="00517973" w:rsidR="00BB002F" w:rsidP="0076622B" w:rsidRDefault="00BB002F" w14:paraId="2DE2036E" w14:textId="77777777">
      <w:pPr>
        <w:pStyle w:val="Textonotapie"/>
        <w:ind w:firstLine="709"/>
        <w:contextualSpacing/>
        <w:jc w:val="both"/>
        <w:rPr>
          <w:rFonts w:ascii="Century Gothic" w:hAnsi="Century Gothic" w:cs="Arial"/>
          <w:sz w:val="18"/>
          <w:szCs w:val="18"/>
          <w:lang w:val="es-ES"/>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w:t>
      </w:r>
      <w:r w:rsidRPr="00517973">
        <w:rPr>
          <w:rFonts w:ascii="Century Gothic" w:hAnsi="Century Gothic" w:cs="Arial"/>
          <w:i/>
          <w:sz w:val="18"/>
          <w:szCs w:val="18"/>
          <w:lang w:val="es-ES"/>
        </w:rPr>
        <w:t>Ídem</w:t>
      </w:r>
      <w:r w:rsidRPr="00517973">
        <w:rPr>
          <w:rFonts w:ascii="Century Gothic" w:hAnsi="Century Gothic" w:cs="Arial"/>
          <w:sz w:val="18"/>
          <w:szCs w:val="18"/>
          <w:lang w:val="es-ES"/>
        </w:rPr>
        <w:t>.</w:t>
      </w:r>
    </w:p>
    <w:p w:rsidRPr="00517973" w:rsidR="00BB002F" w:rsidP="0076622B" w:rsidRDefault="00BB002F" w14:paraId="52AA53B3" w14:textId="77777777">
      <w:pPr>
        <w:pStyle w:val="Textonotapie"/>
        <w:ind w:firstLine="709"/>
        <w:contextualSpacing/>
        <w:jc w:val="both"/>
        <w:rPr>
          <w:rFonts w:ascii="Century Gothic" w:hAnsi="Century Gothic" w:cs="Arial"/>
          <w:sz w:val="18"/>
          <w:szCs w:val="18"/>
          <w:lang w:val="es-ES"/>
        </w:rPr>
      </w:pPr>
    </w:p>
  </w:footnote>
  <w:footnote w:id="17">
    <w:p w:rsidRPr="00517973" w:rsidR="00BB002F" w:rsidP="0076622B" w:rsidRDefault="00BB002F" w14:paraId="6B59E878" w14:textId="77777777">
      <w:pPr>
        <w:pStyle w:val="Textonotapie"/>
        <w:ind w:firstLine="709"/>
        <w:contextualSpacing/>
        <w:jc w:val="both"/>
        <w:rPr>
          <w:rFonts w:ascii="Century Gothic" w:hAnsi="Century Gothic" w:cs="Arial"/>
          <w:sz w:val="18"/>
          <w:szCs w:val="18"/>
          <w:lang w:val="es-ES"/>
        </w:rPr>
      </w:pPr>
      <w:r w:rsidRPr="00517973">
        <w:rPr>
          <w:rStyle w:val="Refdenotaalpie"/>
          <w:rFonts w:ascii="Century Gothic" w:hAnsi="Century Gothic" w:cs="Arial"/>
          <w:sz w:val="18"/>
          <w:szCs w:val="18"/>
        </w:rPr>
        <w:footnoteRef/>
      </w:r>
      <w:r w:rsidRPr="00517973">
        <w:rPr>
          <w:rStyle w:val="Refdenotaalpie"/>
          <w:rFonts w:ascii="Century Gothic" w:hAnsi="Century Gothic" w:cs="Arial"/>
          <w:sz w:val="18"/>
          <w:szCs w:val="18"/>
        </w:rPr>
        <w:t xml:space="preserve"> </w:t>
      </w:r>
      <w:r w:rsidRPr="00517973">
        <w:rPr>
          <w:rFonts w:ascii="Century Gothic" w:hAnsi="Century Gothic" w:cs="Arial"/>
          <w:sz w:val="18"/>
          <w:szCs w:val="18"/>
          <w:lang w:val="es-ES"/>
        </w:rPr>
        <w:t>“[…] A este respecto, cabe recordar que el artículo 860 del Código de Comercio regula la licitación en el derecho privado”.</w:t>
      </w:r>
    </w:p>
    <w:p w:rsidRPr="00517973" w:rsidR="00BB002F" w:rsidP="0076622B" w:rsidRDefault="00BB002F" w14:paraId="733839C1" w14:textId="77777777">
      <w:pPr>
        <w:pStyle w:val="Textonotapie"/>
        <w:ind w:firstLine="709"/>
        <w:contextualSpacing/>
        <w:jc w:val="both"/>
        <w:rPr>
          <w:rFonts w:ascii="Century Gothic" w:hAnsi="Century Gothic" w:cs="Arial"/>
          <w:sz w:val="18"/>
          <w:szCs w:val="18"/>
          <w:lang w:val="es-ES"/>
        </w:rPr>
      </w:pPr>
      <w:r w:rsidRPr="00517973">
        <w:rPr>
          <w:rFonts w:ascii="Century Gothic" w:hAnsi="Century Gothic" w:cs="Arial"/>
          <w:sz w:val="18"/>
          <w:szCs w:val="18"/>
          <w:lang w:val="es-ES"/>
        </w:rPr>
        <w:t xml:space="preserve"> </w:t>
      </w:r>
    </w:p>
  </w:footnote>
  <w:footnote w:id="18">
    <w:p w:rsidRPr="00517973" w:rsidR="00BB002F" w:rsidP="0076622B" w:rsidRDefault="00BB002F" w14:paraId="4F0C8C2F" w14:textId="77777777">
      <w:pPr>
        <w:shd w:val="clear" w:color="auto" w:fill="FFFFFF"/>
        <w:spacing w:line="240" w:lineRule="auto"/>
        <w:ind w:firstLine="709"/>
        <w:contextualSpacing/>
        <w:jc w:val="both"/>
        <w:rPr>
          <w:rFonts w:ascii="Century Gothic" w:hAnsi="Century Gothic" w:cs="Arial"/>
          <w:sz w:val="18"/>
          <w:szCs w:val="18"/>
          <w:lang w:val="es-ES"/>
        </w:rPr>
      </w:pPr>
      <w:r w:rsidRPr="00517973">
        <w:rPr>
          <w:rStyle w:val="Refdenotaalpie"/>
          <w:rFonts w:ascii="Century Gothic" w:hAnsi="Century Gothic" w:cs="Arial"/>
          <w:sz w:val="18"/>
          <w:szCs w:val="18"/>
        </w:rPr>
        <w:footnoteRef/>
      </w:r>
      <w:r w:rsidRPr="00517973">
        <w:rPr>
          <w:rStyle w:val="Refdenotaalpie"/>
          <w:rFonts w:ascii="Century Gothic" w:hAnsi="Century Gothic" w:cs="Arial"/>
          <w:sz w:val="18"/>
          <w:szCs w:val="18"/>
        </w:rPr>
        <w:t xml:space="preserve"> </w:t>
      </w:r>
      <w:r w:rsidRPr="00517973">
        <w:rPr>
          <w:rFonts w:ascii="Century Gothic" w:hAnsi="Century Gothic" w:cs="Arial"/>
          <w:sz w:val="18"/>
          <w:szCs w:val="18"/>
          <w:lang w:val="es-ES"/>
        </w:rPr>
        <w:t xml:space="preserve">Consejo de Estado. Sala de Consulta y Servicio Civil, Concepto de 8 de mayo de 2018. Radicación Número: 11001-03-06-000-2018-00095-00(2382). Consejero Ponente: Álvaro </w:t>
      </w:r>
      <w:proofErr w:type="spellStart"/>
      <w:r w:rsidRPr="00517973">
        <w:rPr>
          <w:rFonts w:ascii="Century Gothic" w:hAnsi="Century Gothic" w:cs="Arial"/>
          <w:sz w:val="18"/>
          <w:szCs w:val="18"/>
          <w:lang w:val="es-ES"/>
        </w:rPr>
        <w:t>Namén</w:t>
      </w:r>
      <w:proofErr w:type="spellEnd"/>
      <w:r w:rsidRPr="00517973">
        <w:rPr>
          <w:rFonts w:ascii="Century Gothic" w:hAnsi="Century Gothic" w:cs="Arial"/>
          <w:sz w:val="18"/>
          <w:szCs w:val="18"/>
          <w:lang w:val="es-ES"/>
        </w:rPr>
        <w:t xml:space="preserve"> Vargas.</w:t>
      </w:r>
    </w:p>
  </w:footnote>
  <w:footnote w:id="19">
    <w:p w:rsidRPr="00517973" w:rsidR="00BB002F" w:rsidP="0076622B" w:rsidRDefault="00BB002F" w14:paraId="2F6AD6A5" w14:textId="77777777">
      <w:pPr>
        <w:pStyle w:val="Textonotapie"/>
        <w:ind w:firstLine="709"/>
        <w:contextualSpacing/>
        <w:jc w:val="both"/>
        <w:rPr>
          <w:rFonts w:ascii="Century Gothic" w:hAnsi="Century Gothic" w:cs="Arial"/>
          <w:sz w:val="18"/>
          <w:szCs w:val="18"/>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Consejo de Estado. Sala de Consulta y Servicio Civil. Concepto del 08 de mayo de 2018. </w:t>
      </w:r>
      <w:proofErr w:type="spellStart"/>
      <w:r w:rsidRPr="00517973">
        <w:rPr>
          <w:rFonts w:ascii="Century Gothic" w:hAnsi="Century Gothic" w:cs="Arial"/>
          <w:sz w:val="18"/>
          <w:szCs w:val="18"/>
        </w:rPr>
        <w:t>Exp</w:t>
      </w:r>
      <w:proofErr w:type="spellEnd"/>
      <w:r w:rsidRPr="00517973">
        <w:rPr>
          <w:rFonts w:ascii="Century Gothic" w:hAnsi="Century Gothic" w:cs="Arial"/>
          <w:sz w:val="18"/>
          <w:szCs w:val="18"/>
        </w:rPr>
        <w:t xml:space="preserve">. 2.382. C.P. Álvaro </w:t>
      </w:r>
      <w:proofErr w:type="spellStart"/>
      <w:r w:rsidRPr="00517973">
        <w:rPr>
          <w:rFonts w:ascii="Century Gothic" w:hAnsi="Century Gothic" w:cs="Arial"/>
          <w:sz w:val="18"/>
          <w:szCs w:val="18"/>
        </w:rPr>
        <w:t>Namén</w:t>
      </w:r>
      <w:proofErr w:type="spellEnd"/>
      <w:r w:rsidRPr="00517973">
        <w:rPr>
          <w:rFonts w:ascii="Century Gothic" w:hAnsi="Century Gothic" w:cs="Arial"/>
          <w:sz w:val="18"/>
          <w:szCs w:val="18"/>
        </w:rPr>
        <w:t xml:space="preserve"> Vargas.</w:t>
      </w:r>
    </w:p>
    <w:p w:rsidRPr="00517973" w:rsidR="00BB002F" w:rsidP="0076622B" w:rsidRDefault="00BB002F" w14:paraId="30B93D2D" w14:textId="77777777">
      <w:pPr>
        <w:pStyle w:val="Textonotapie"/>
        <w:ind w:firstLine="709"/>
        <w:contextualSpacing/>
        <w:jc w:val="both"/>
        <w:rPr>
          <w:rFonts w:ascii="Century Gothic" w:hAnsi="Century Gothic" w:cs="Arial"/>
          <w:sz w:val="18"/>
          <w:szCs w:val="18"/>
        </w:rPr>
      </w:pPr>
    </w:p>
  </w:footnote>
  <w:footnote w:id="20">
    <w:p w:rsidRPr="00517973" w:rsidR="00BB002F" w:rsidP="0076622B" w:rsidRDefault="00BB002F" w14:paraId="4D6CBAE4" w14:textId="77777777">
      <w:pPr>
        <w:pStyle w:val="Textonotapie"/>
        <w:ind w:firstLine="709"/>
        <w:contextualSpacing/>
        <w:jc w:val="both"/>
        <w:rPr>
          <w:rFonts w:ascii="Century Gothic" w:hAnsi="Century Gothic" w:cs="Arial"/>
          <w:sz w:val="18"/>
          <w:szCs w:val="18"/>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Consejo de Estado. Sala de Consulta y Servicio Civil. Concepto de 20 de febrero de2006. Radicación 11001-03-06-000-2006-00023-00(1724). Consejero Ponente: Flavio Augusto Rodríguez Arce.</w:t>
      </w:r>
    </w:p>
    <w:p w:rsidRPr="00517973" w:rsidR="00BB002F" w:rsidP="0076622B" w:rsidRDefault="00BB002F" w14:paraId="5F4AAAF9" w14:textId="77777777">
      <w:pPr>
        <w:pStyle w:val="Textonotapie"/>
        <w:ind w:firstLine="709"/>
        <w:contextualSpacing/>
        <w:jc w:val="both"/>
        <w:rPr>
          <w:rFonts w:ascii="Century Gothic" w:hAnsi="Century Gothic" w:cs="Arial"/>
          <w:sz w:val="18"/>
          <w:szCs w:val="18"/>
        </w:rPr>
      </w:pPr>
    </w:p>
  </w:footnote>
  <w:footnote w:id="21">
    <w:p w:rsidRPr="00517973" w:rsidR="00BB002F" w:rsidP="0076622B" w:rsidRDefault="00BB002F" w14:paraId="4E8DECBF" w14:textId="77777777">
      <w:pPr>
        <w:spacing w:line="240" w:lineRule="auto"/>
        <w:ind w:firstLine="709"/>
        <w:contextualSpacing/>
        <w:jc w:val="both"/>
        <w:rPr>
          <w:rFonts w:ascii="Century Gothic" w:hAnsi="Century Gothic" w:cs="Arial"/>
          <w:sz w:val="18"/>
          <w:szCs w:val="18"/>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rsidRPr="00517973" w:rsidR="00BB002F" w:rsidP="0076622B" w:rsidRDefault="00BB002F" w14:paraId="35C03082" w14:textId="77777777">
      <w:pPr>
        <w:spacing w:line="240" w:lineRule="auto"/>
        <w:ind w:firstLine="709"/>
        <w:contextualSpacing/>
        <w:jc w:val="both"/>
        <w:rPr>
          <w:rFonts w:ascii="Century Gothic" w:hAnsi="Century Gothic" w:cs="Arial"/>
          <w:sz w:val="18"/>
          <w:szCs w:val="18"/>
        </w:rPr>
      </w:pPr>
    </w:p>
    <w:p w:rsidRPr="00517973" w:rsidR="00BB002F" w:rsidP="0076622B" w:rsidRDefault="00BB002F" w14:paraId="2911ABE4" w14:textId="77777777">
      <w:pPr>
        <w:spacing w:line="240" w:lineRule="auto"/>
        <w:ind w:firstLine="709"/>
        <w:contextualSpacing/>
        <w:jc w:val="both"/>
        <w:rPr>
          <w:rFonts w:ascii="Century Gothic" w:hAnsi="Century Gothic" w:cs="Arial"/>
          <w:sz w:val="18"/>
          <w:szCs w:val="18"/>
        </w:rPr>
      </w:pPr>
      <w:r w:rsidRPr="00517973">
        <w:rPr>
          <w:rFonts w:ascii="Century Gothic" w:hAnsi="Century Gothic"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517973">
        <w:rPr>
          <w:rFonts w:ascii="Century Gothic" w:hAnsi="Century Gothic" w:cs="Arial"/>
          <w:spacing w:val="-1"/>
          <w:sz w:val="18"/>
          <w:szCs w:val="18"/>
        </w:rPr>
        <w:t xml:space="preserve"> </w:t>
      </w:r>
      <w:r w:rsidRPr="00517973">
        <w:rPr>
          <w:rFonts w:ascii="Century Gothic" w:hAnsi="Century Gothic" w:cs="Arial"/>
          <w:sz w:val="18"/>
          <w:szCs w:val="18"/>
        </w:rPr>
        <w:t>Estatales”.</w:t>
      </w:r>
    </w:p>
    <w:p w:rsidRPr="00517973" w:rsidR="00BB002F" w:rsidP="0076622B" w:rsidRDefault="00BB002F" w14:paraId="25FC1A4E" w14:textId="77777777">
      <w:pPr>
        <w:spacing w:line="240" w:lineRule="auto"/>
        <w:ind w:firstLine="709"/>
        <w:contextualSpacing/>
        <w:jc w:val="both"/>
        <w:rPr>
          <w:rFonts w:ascii="Century Gothic" w:hAnsi="Century Gothic" w:cs="Arial"/>
          <w:sz w:val="18"/>
          <w:szCs w:val="18"/>
        </w:rPr>
      </w:pPr>
    </w:p>
  </w:footnote>
  <w:footnote w:id="22">
    <w:p w:rsidRPr="00517973" w:rsidR="00BB002F" w:rsidP="0076622B" w:rsidRDefault="00BB002F" w14:paraId="5389D8F5" w14:textId="77777777">
      <w:pPr>
        <w:spacing w:line="240" w:lineRule="auto"/>
        <w:ind w:right="454" w:firstLine="709"/>
        <w:contextualSpacing/>
        <w:jc w:val="both"/>
        <w:rPr>
          <w:rFonts w:ascii="Century Gothic" w:hAnsi="Century Gothic" w:cs="Arial"/>
          <w:sz w:val="18"/>
          <w:szCs w:val="18"/>
        </w:rPr>
      </w:pPr>
      <w:r w:rsidRPr="00517973">
        <w:rPr>
          <w:rStyle w:val="Refdenotaalpie"/>
          <w:rFonts w:ascii="Century Gothic" w:hAnsi="Century Gothic" w:cs="Arial"/>
          <w:sz w:val="18"/>
          <w:szCs w:val="18"/>
        </w:rPr>
        <w:footnoteRef/>
      </w:r>
      <w:r w:rsidRPr="00517973">
        <w:rPr>
          <w:rFonts w:ascii="Century Gothic" w:hAnsi="Century Gothic" w:cs="Arial"/>
          <w:position w:val="7"/>
          <w:sz w:val="18"/>
          <w:szCs w:val="18"/>
        </w:rPr>
        <w:t xml:space="preserve"> </w:t>
      </w:r>
      <w:r w:rsidRPr="00517973">
        <w:rPr>
          <w:rFonts w:ascii="Century Gothic" w:hAnsi="Century Gothic" w:cs="Arial"/>
          <w:sz w:val="18"/>
          <w:szCs w:val="18"/>
        </w:rPr>
        <w:t>Consejo de Estado. Sección Tercera. Sentencia del 23 de junio de 2010. Radicación No. 66001-23-31-000-1998-00261-01(17.860). Consejero Ponente: Mauricio Fajardo Gómez.</w:t>
      </w:r>
    </w:p>
  </w:footnote>
  <w:footnote w:id="23">
    <w:p w:rsidRPr="00517973" w:rsidR="00BB002F" w:rsidP="0076622B" w:rsidRDefault="00BB002F" w14:paraId="6A5518CD" w14:textId="77777777">
      <w:pPr>
        <w:spacing w:after="0" w:line="240" w:lineRule="auto"/>
        <w:ind w:firstLine="709"/>
        <w:jc w:val="both"/>
        <w:rPr>
          <w:rFonts w:ascii="Century Gothic" w:hAnsi="Century Gothic" w:cs="Arial"/>
          <w:sz w:val="18"/>
          <w:szCs w:val="18"/>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Consejo de Estado. Sección Tercera. Subsección C. Sentencia del 11 de diciembre de 2019. </w:t>
      </w:r>
      <w:proofErr w:type="spellStart"/>
      <w:r w:rsidRPr="00517973">
        <w:rPr>
          <w:rFonts w:ascii="Century Gothic" w:hAnsi="Century Gothic" w:cs="Arial"/>
          <w:sz w:val="18"/>
          <w:szCs w:val="18"/>
        </w:rPr>
        <w:t>Exp</w:t>
      </w:r>
      <w:proofErr w:type="spellEnd"/>
      <w:r w:rsidRPr="00517973">
        <w:rPr>
          <w:rFonts w:ascii="Century Gothic" w:hAnsi="Century Gothic" w:cs="Arial"/>
          <w:sz w:val="18"/>
          <w:szCs w:val="18"/>
        </w:rPr>
        <w:t>. 46.986. C.P. Jaime Enrique Rodríguez Navas.</w:t>
      </w:r>
    </w:p>
    <w:p w:rsidRPr="00517973" w:rsidR="00BB002F" w:rsidP="0076622B" w:rsidRDefault="00BB002F" w14:paraId="5DA55C98" w14:textId="77777777">
      <w:pPr>
        <w:spacing w:after="0" w:line="240" w:lineRule="auto"/>
        <w:ind w:firstLine="709"/>
        <w:jc w:val="both"/>
        <w:rPr>
          <w:rFonts w:ascii="Century Gothic" w:hAnsi="Century Gothic" w:cs="Arial"/>
          <w:sz w:val="18"/>
          <w:szCs w:val="18"/>
        </w:rPr>
      </w:pPr>
    </w:p>
  </w:footnote>
  <w:footnote w:id="24">
    <w:p w:rsidRPr="00517973" w:rsidR="00BB002F" w:rsidP="0076622B" w:rsidRDefault="00BB002F" w14:paraId="2BDE112E" w14:textId="77777777">
      <w:pPr>
        <w:pStyle w:val="Textonotapie"/>
        <w:ind w:firstLine="709"/>
        <w:jc w:val="both"/>
        <w:rPr>
          <w:rFonts w:ascii="Century Gothic" w:hAnsi="Century Gothic" w:cs="Arial"/>
          <w:sz w:val="18"/>
          <w:szCs w:val="18"/>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[Referencia propia de la cita] “CE. SCSC. Concepto de 1 de noviembre de 2016 [Rad. 11001-03-06-000-2016-00125-00(2305)]. MP. Germán Alberto Bula Escobar”.</w:t>
      </w:r>
    </w:p>
    <w:p w:rsidRPr="00517973" w:rsidR="00BB002F" w:rsidP="0076622B" w:rsidRDefault="00BB002F" w14:paraId="0145E303" w14:textId="77777777">
      <w:pPr>
        <w:pStyle w:val="Textonotapie"/>
        <w:ind w:firstLine="709"/>
        <w:jc w:val="both"/>
        <w:rPr>
          <w:rFonts w:ascii="Century Gothic" w:hAnsi="Century Gothic" w:cs="Arial"/>
          <w:sz w:val="18"/>
          <w:szCs w:val="18"/>
        </w:rPr>
      </w:pPr>
    </w:p>
  </w:footnote>
  <w:footnote w:id="25">
    <w:p w:rsidRPr="00517973" w:rsidR="00BB002F" w:rsidP="0076622B" w:rsidRDefault="00BB002F" w14:paraId="7122A0A3" w14:textId="77777777">
      <w:pPr>
        <w:pStyle w:val="Textonotapie"/>
        <w:ind w:firstLine="709"/>
        <w:jc w:val="both"/>
        <w:rPr>
          <w:rFonts w:ascii="Century Gothic" w:hAnsi="Century Gothic" w:cs="Arial"/>
          <w:sz w:val="18"/>
          <w:szCs w:val="18"/>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[Referencia propia de la cita] “CE. SCSC. Concepto de 30 de abril de 2008 [Rad. 11001-03-06-000-2008-00013-00(1881)]. MP. Enrique José Arboleda Perdomo. En esta oportunidad, la Sala indicó que el contenido </w:t>
      </w:r>
      <w:r w:rsidRPr="00517973">
        <w:rPr>
          <w:rFonts w:ascii="Century Gothic" w:hAnsi="Century Gothic" w:cs="Arial"/>
          <w:i/>
          <w:sz w:val="18"/>
          <w:szCs w:val="18"/>
        </w:rPr>
        <w:t>“obligacional”</w:t>
      </w:r>
      <w:r w:rsidRPr="00517973">
        <w:rPr>
          <w:rFonts w:ascii="Century Gothic" w:hAnsi="Century Gothic" w:cs="Arial"/>
          <w:sz w:val="18"/>
          <w:szCs w:val="18"/>
        </w:rPr>
        <w:t xml:space="preserve"> de los convenios se estructura definiendo el resultado querido por las partes y los medios que cada entidad despliega para la obtención del respectivo objeto”.</w:t>
      </w:r>
    </w:p>
  </w:footnote>
  <w:footnote w:id="26">
    <w:p w:rsidRPr="00517973" w:rsidR="00BB002F" w:rsidP="0076622B" w:rsidRDefault="00BB002F" w14:paraId="5879700C" w14:textId="77777777">
      <w:pPr>
        <w:pStyle w:val="Textonotapie"/>
        <w:ind w:firstLine="709"/>
        <w:jc w:val="both"/>
        <w:rPr>
          <w:rFonts w:ascii="Century Gothic" w:hAnsi="Century Gothic" w:cs="Arial"/>
          <w:sz w:val="18"/>
          <w:szCs w:val="18"/>
        </w:rPr>
      </w:pPr>
    </w:p>
    <w:p w:rsidRPr="00517973" w:rsidR="00BB002F" w:rsidP="0076622B" w:rsidRDefault="00BB002F" w14:paraId="45CC51DA" w14:textId="77777777">
      <w:pPr>
        <w:pStyle w:val="Textonotapie"/>
        <w:ind w:firstLine="709"/>
        <w:jc w:val="both"/>
        <w:rPr>
          <w:rFonts w:ascii="Century Gothic" w:hAnsi="Century Gothic" w:cs="Arial"/>
          <w:sz w:val="18"/>
          <w:szCs w:val="18"/>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[Referencia propia de la cita] “La normativa vigente del EGCAP </w:t>
      </w:r>
      <w:r w:rsidRPr="00517973">
        <w:rPr>
          <w:rFonts w:ascii="Century Gothic" w:hAnsi="Century Gothic" w:cs="Arial"/>
          <w:i/>
          <w:sz w:val="18"/>
          <w:szCs w:val="18"/>
        </w:rPr>
        <w:t>[literal c) del numeral 4. del artículo 2 de la Ley 1150/07]</w:t>
      </w:r>
      <w:r w:rsidRPr="00517973">
        <w:rPr>
          <w:rFonts w:ascii="Century Gothic" w:hAnsi="Century Gothic" w:cs="Arial"/>
          <w:sz w:val="18"/>
          <w:szCs w:val="18"/>
        </w:rPr>
        <w:t xml:space="preserve"> se refiere a </w:t>
      </w:r>
      <w:r w:rsidRPr="00517973">
        <w:rPr>
          <w:rFonts w:ascii="Century Gothic" w:hAnsi="Century Gothic" w:cs="Arial"/>
          <w:i/>
          <w:sz w:val="18"/>
          <w:szCs w:val="18"/>
        </w:rPr>
        <w:t>“contratos interadministrativos”</w:t>
      </w:r>
      <w:r w:rsidRPr="00517973">
        <w:rPr>
          <w:rFonts w:ascii="Century Gothic" w:hAnsi="Century Gothic" w:cs="Arial"/>
          <w:sz w:val="18"/>
          <w:szCs w:val="18"/>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rsidRPr="00517973" w:rsidR="00BB002F" w:rsidP="0076622B" w:rsidRDefault="00BB002F" w14:paraId="4A6CFBB3" w14:textId="77777777">
      <w:pPr>
        <w:pStyle w:val="Textonotapie"/>
        <w:ind w:firstLine="709"/>
        <w:jc w:val="both"/>
        <w:rPr>
          <w:rFonts w:ascii="Century Gothic" w:hAnsi="Century Gothic" w:cs="Arial"/>
          <w:sz w:val="18"/>
          <w:szCs w:val="18"/>
        </w:rPr>
      </w:pPr>
    </w:p>
  </w:footnote>
  <w:footnote w:id="27">
    <w:p w:rsidRPr="00517973" w:rsidR="00BB002F" w:rsidP="0076622B" w:rsidRDefault="00BB002F" w14:paraId="5200E442" w14:textId="77777777">
      <w:pPr>
        <w:pStyle w:val="Textonotapie"/>
        <w:ind w:firstLine="709"/>
        <w:jc w:val="both"/>
        <w:rPr>
          <w:rFonts w:ascii="Century Gothic" w:hAnsi="Century Gothic" w:cs="Arial"/>
          <w:sz w:val="18"/>
          <w:szCs w:val="18"/>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517973">
        <w:rPr>
          <w:rFonts w:ascii="Century Gothic" w:hAnsi="Century Gothic" w:cs="Arial"/>
          <w:sz w:val="18"/>
          <w:szCs w:val="18"/>
        </w:rPr>
        <w:t>Exp</w:t>
      </w:r>
      <w:proofErr w:type="spellEnd"/>
      <w:r w:rsidRPr="00517973">
        <w:rPr>
          <w:rFonts w:ascii="Century Gothic" w:hAnsi="Century Gothic" w:cs="Arial"/>
          <w:sz w:val="18"/>
          <w:szCs w:val="18"/>
        </w:rPr>
        <w:t xml:space="preserve">. 2.257. M.P. Álvaro </w:t>
      </w:r>
      <w:proofErr w:type="spellStart"/>
      <w:r w:rsidRPr="00517973">
        <w:rPr>
          <w:rFonts w:ascii="Century Gothic" w:hAnsi="Century Gothic" w:cs="Arial"/>
          <w:sz w:val="18"/>
          <w:szCs w:val="18"/>
        </w:rPr>
        <w:t>Namén</w:t>
      </w:r>
      <w:proofErr w:type="spellEnd"/>
      <w:r w:rsidRPr="00517973">
        <w:rPr>
          <w:rFonts w:ascii="Century Gothic" w:hAnsi="Century Gothic" w:cs="Arial"/>
          <w:sz w:val="18"/>
          <w:szCs w:val="18"/>
        </w:rPr>
        <w:t xml:space="preserve"> Vargas).</w:t>
      </w:r>
    </w:p>
    <w:p w:rsidRPr="00517973" w:rsidR="00BB002F" w:rsidP="0076622B" w:rsidRDefault="00BB002F" w14:paraId="074196D7" w14:textId="77777777">
      <w:pPr>
        <w:pStyle w:val="Textonotapie"/>
        <w:ind w:firstLine="709"/>
        <w:jc w:val="both"/>
        <w:rPr>
          <w:rFonts w:ascii="Century Gothic" w:hAnsi="Century Gothic" w:cs="Arial"/>
          <w:sz w:val="18"/>
          <w:szCs w:val="18"/>
        </w:rPr>
      </w:pPr>
    </w:p>
  </w:footnote>
  <w:footnote w:id="28">
    <w:p w:rsidRPr="00517973" w:rsidR="00BB002F" w:rsidP="0076622B" w:rsidRDefault="00BB002F" w14:paraId="7A4467EE" w14:textId="77777777">
      <w:pPr>
        <w:pStyle w:val="Textonotapie"/>
        <w:ind w:firstLine="709"/>
        <w:jc w:val="both"/>
        <w:rPr>
          <w:rFonts w:ascii="Century Gothic" w:hAnsi="Century Gothic" w:cs="Arial"/>
          <w:sz w:val="18"/>
          <w:szCs w:val="18"/>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Es lo que sucede, por ejemplo, con el Decreto 092 de 2017, que en su desarrollo hace referencia tanto a los “contratos” como a los “convenios”. </w:t>
      </w:r>
    </w:p>
    <w:p w:rsidRPr="00517973" w:rsidR="00BB002F" w:rsidP="0076622B" w:rsidRDefault="00BB002F" w14:paraId="2D540DA6" w14:textId="77777777">
      <w:pPr>
        <w:pStyle w:val="Textonotapie"/>
        <w:ind w:firstLine="709"/>
        <w:jc w:val="both"/>
        <w:rPr>
          <w:rFonts w:ascii="Century Gothic" w:hAnsi="Century Gothic" w:cs="Arial"/>
          <w:sz w:val="18"/>
          <w:szCs w:val="18"/>
          <w:lang w:val="es-CO"/>
        </w:rPr>
      </w:pPr>
    </w:p>
  </w:footnote>
  <w:footnote w:id="29">
    <w:p w:rsidRPr="00517973" w:rsidR="00BB002F" w:rsidP="0076622B" w:rsidRDefault="00BB002F" w14:paraId="0C9C5A45" w14:textId="77777777">
      <w:pPr>
        <w:pStyle w:val="Textonotapie"/>
        <w:ind w:firstLine="709"/>
        <w:jc w:val="both"/>
        <w:rPr>
          <w:rFonts w:ascii="Century Gothic" w:hAnsi="Century Gothic" w:cs="Arial"/>
          <w:sz w:val="18"/>
          <w:szCs w:val="18"/>
          <w:lang w:val="es-CO"/>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0">
    <w:p w:rsidRPr="00517973" w:rsidR="00BB002F" w:rsidP="0076622B" w:rsidRDefault="00BB002F" w14:paraId="653FCF0C" w14:textId="180DB31D">
      <w:pPr>
        <w:spacing w:after="0" w:line="240" w:lineRule="auto"/>
        <w:ind w:firstLine="708"/>
        <w:jc w:val="both"/>
        <w:rPr>
          <w:rFonts w:ascii="Century Gothic" w:hAnsi="Century Gothic" w:cs="Arial"/>
          <w:sz w:val="18"/>
          <w:szCs w:val="18"/>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Ley 80 de 1993: </w:t>
      </w:r>
      <w:r w:rsidRPr="00517973" w:rsidR="000239B8">
        <w:rPr>
          <w:rFonts w:ascii="Century Gothic" w:hAnsi="Century Gothic" w:cs="Arial"/>
          <w:sz w:val="18"/>
          <w:szCs w:val="18"/>
        </w:rPr>
        <w:t>“</w:t>
      </w:r>
      <w:r w:rsidRPr="00517973">
        <w:rPr>
          <w:rFonts w:ascii="Century Gothic" w:hAnsi="Century Gothic" w:cs="Arial"/>
          <w:sz w:val="18"/>
          <w:szCs w:val="18"/>
        </w:rPr>
        <w:t>Artículo 1o. Del objeto. La presente ley tiene por objeto disponer las reglas y principios que rigen los contratos de las entidades estatales</w:t>
      </w:r>
      <w:r w:rsidRPr="00517973" w:rsidR="000239B8">
        <w:rPr>
          <w:rFonts w:ascii="Century Gothic" w:hAnsi="Century Gothic" w:cs="Arial"/>
          <w:sz w:val="18"/>
          <w:szCs w:val="18"/>
        </w:rPr>
        <w:t>”</w:t>
      </w:r>
      <w:r w:rsidRPr="00517973">
        <w:rPr>
          <w:rFonts w:ascii="Century Gothic" w:hAnsi="Century Gothic" w:cs="Arial"/>
          <w:sz w:val="18"/>
          <w:szCs w:val="18"/>
        </w:rPr>
        <w:t xml:space="preserve">. </w:t>
      </w:r>
    </w:p>
  </w:footnote>
  <w:footnote w:id="31">
    <w:p w:rsidRPr="00517973" w:rsidR="00BB002F" w:rsidP="0076622B" w:rsidRDefault="00BB002F" w14:paraId="5BF6F239" w14:textId="1C3993BB">
      <w:pPr>
        <w:pStyle w:val="paragraph"/>
        <w:spacing w:before="0" w:beforeAutospacing="0" w:after="0" w:afterAutospacing="0"/>
        <w:ind w:firstLine="709"/>
        <w:jc w:val="both"/>
        <w:textAlignment w:val="baseline"/>
        <w:rPr>
          <w:rFonts w:ascii="Century Gothic" w:hAnsi="Century Gothic" w:cs="Arial"/>
          <w:color w:val="000000" w:themeColor="text1"/>
          <w:sz w:val="18"/>
          <w:szCs w:val="18"/>
        </w:rPr>
      </w:pPr>
      <w:r w:rsidRPr="00517973">
        <w:rPr>
          <w:rStyle w:val="Refdenotaalpie"/>
          <w:rFonts w:ascii="Century Gothic" w:hAnsi="Century Gothic" w:cs="Arial"/>
          <w:color w:val="000000" w:themeColor="text1"/>
          <w:sz w:val="18"/>
          <w:szCs w:val="18"/>
        </w:rPr>
        <w:footnoteRef/>
      </w:r>
      <w:r w:rsidRPr="00517973">
        <w:rPr>
          <w:rFonts w:ascii="Century Gothic" w:hAnsi="Century Gothic" w:cs="Arial"/>
          <w:color w:val="000000" w:themeColor="text1"/>
          <w:sz w:val="18"/>
          <w:szCs w:val="18"/>
        </w:rPr>
        <w:t xml:space="preserve"> </w:t>
      </w:r>
      <w:r w:rsidRPr="00517973">
        <w:rPr>
          <w:rFonts w:ascii="Century Gothic" w:hAnsi="Century Gothic" w:cs="Arial"/>
          <w:color w:val="000000" w:themeColor="text1"/>
          <w:sz w:val="18"/>
          <w:szCs w:val="18"/>
          <w:lang w:val="es-ES"/>
        </w:rPr>
        <w:t xml:space="preserve">Ley 489 de 1998, artículo 38, numeral 2, literal f, y artículo 68, numeral 2: </w:t>
      </w:r>
      <w:r w:rsidRPr="00517973" w:rsidR="000239B8">
        <w:rPr>
          <w:rFonts w:ascii="Century Gothic" w:hAnsi="Century Gothic" w:cs="Arial"/>
          <w:color w:val="000000" w:themeColor="text1"/>
          <w:sz w:val="18"/>
          <w:szCs w:val="18"/>
          <w:lang w:val="es-ES"/>
        </w:rPr>
        <w:t>“</w:t>
      </w:r>
      <w:r w:rsidRPr="00517973">
        <w:rPr>
          <w:rFonts w:ascii="Century Gothic" w:hAnsi="Century Gothic" w:cs="Arial"/>
          <w:color w:val="000000" w:themeColor="text1"/>
          <w:sz w:val="18"/>
          <w:szCs w:val="18"/>
          <w:lang w:val="es-ES"/>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517973" w:rsidR="000239B8">
        <w:rPr>
          <w:rFonts w:ascii="Century Gothic" w:hAnsi="Century Gothic" w:cs="Arial"/>
          <w:color w:val="000000" w:themeColor="text1"/>
          <w:sz w:val="18"/>
          <w:szCs w:val="18"/>
          <w:lang w:val="es-ES"/>
        </w:rPr>
        <w:t>”</w:t>
      </w:r>
      <w:r w:rsidRPr="00517973">
        <w:rPr>
          <w:rFonts w:ascii="Century Gothic" w:hAnsi="Century Gothic" w:cs="Arial"/>
          <w:color w:val="000000" w:themeColor="text1"/>
          <w:sz w:val="18"/>
          <w:szCs w:val="18"/>
          <w:lang w:val="es-ES"/>
        </w:rPr>
        <w:t>.</w:t>
      </w:r>
      <w:r w:rsidRPr="00517973">
        <w:rPr>
          <w:rFonts w:ascii="Century Gothic" w:hAnsi="Century Gothic" w:cs="Arial"/>
          <w:color w:val="000000" w:themeColor="text1"/>
          <w:sz w:val="18"/>
          <w:szCs w:val="18"/>
        </w:rPr>
        <w:t>  </w:t>
      </w:r>
    </w:p>
    <w:p w:rsidRPr="00517973" w:rsidR="00BB002F" w:rsidP="0076622B" w:rsidRDefault="00BB002F" w14:paraId="2BB76002" w14:textId="77777777">
      <w:pPr>
        <w:pStyle w:val="paragraph"/>
        <w:spacing w:before="0" w:beforeAutospacing="0" w:after="0" w:afterAutospacing="0"/>
        <w:ind w:firstLine="709"/>
        <w:jc w:val="both"/>
        <w:textAlignment w:val="baseline"/>
        <w:rPr>
          <w:rFonts w:ascii="Century Gothic" w:hAnsi="Century Gothic" w:cs="Arial"/>
          <w:color w:val="000000" w:themeColor="text1"/>
          <w:sz w:val="18"/>
          <w:szCs w:val="18"/>
        </w:rPr>
      </w:pPr>
    </w:p>
  </w:footnote>
  <w:footnote w:id="32">
    <w:p w:rsidRPr="00517973" w:rsidR="00BB002F" w:rsidP="0076622B" w:rsidRDefault="00BB002F" w14:paraId="34EAE466" w14:textId="40A10C37">
      <w:pPr>
        <w:spacing w:after="0" w:line="240" w:lineRule="auto"/>
        <w:ind w:firstLine="709"/>
        <w:jc w:val="both"/>
        <w:rPr>
          <w:rFonts w:ascii="Century Gothic" w:hAnsi="Century Gothic" w:eastAsia="Times New Roman" w:cs="Arial"/>
          <w:color w:val="000000" w:themeColor="text1"/>
          <w:sz w:val="18"/>
          <w:szCs w:val="18"/>
          <w:lang w:eastAsia="es-MX"/>
        </w:rPr>
      </w:pPr>
      <w:r w:rsidRPr="00517973">
        <w:rPr>
          <w:rStyle w:val="Refdenotaalpie"/>
          <w:rFonts w:ascii="Century Gothic" w:hAnsi="Century Gothic" w:cs="Arial"/>
          <w:color w:val="000000" w:themeColor="text1"/>
          <w:sz w:val="18"/>
          <w:szCs w:val="18"/>
        </w:rPr>
        <w:footnoteRef/>
      </w:r>
      <w:r w:rsidRPr="00517973">
        <w:rPr>
          <w:rFonts w:ascii="Century Gothic" w:hAnsi="Century Gothic" w:eastAsia="Times New Roman" w:cs="Arial"/>
          <w:color w:val="000000" w:themeColor="text1"/>
          <w:sz w:val="18"/>
          <w:szCs w:val="18"/>
          <w:lang w:val="es-ES" w:eastAsia="es-MX"/>
        </w:rPr>
        <w:t xml:space="preserve"> Así lo establece la Constitución Política, en el artículo 150, numeral 7, así como en el artículo 300, numeral 7 y en el artículo 313, numeral 6.</w:t>
      </w:r>
    </w:p>
    <w:p w:rsidRPr="00517973" w:rsidR="00BB002F" w:rsidP="0076622B" w:rsidRDefault="00BB002F" w14:paraId="3248F552" w14:textId="77777777">
      <w:pPr>
        <w:pStyle w:val="Textonotapie"/>
        <w:ind w:firstLine="709"/>
        <w:jc w:val="both"/>
        <w:rPr>
          <w:rFonts w:ascii="Century Gothic" w:hAnsi="Century Gothic" w:cs="Arial"/>
          <w:sz w:val="18"/>
          <w:szCs w:val="18"/>
          <w:lang w:val="es-ES"/>
        </w:rPr>
      </w:pPr>
    </w:p>
  </w:footnote>
  <w:footnote w:id="33">
    <w:p w:rsidRPr="00517973" w:rsidR="00BB002F" w:rsidP="0076622B" w:rsidRDefault="00BB002F" w14:paraId="33F82395" w14:textId="4DC60455">
      <w:pPr>
        <w:pStyle w:val="Textonotapie"/>
        <w:ind w:right="51" w:firstLine="709"/>
        <w:contextualSpacing/>
        <w:jc w:val="both"/>
        <w:rPr>
          <w:rFonts w:ascii="Century Gothic" w:hAnsi="Century Gothic" w:cs="Arial"/>
          <w:sz w:val="18"/>
          <w:szCs w:val="18"/>
        </w:rPr>
      </w:pPr>
      <w:r w:rsidRPr="00517973">
        <w:rPr>
          <w:rStyle w:val="Refdenotaalpie"/>
          <w:rFonts w:ascii="Century Gothic" w:hAnsi="Century Gothic" w:cs="Arial"/>
          <w:sz w:val="18"/>
          <w:szCs w:val="18"/>
        </w:rPr>
        <w:footnoteRef/>
      </w:r>
      <w:r w:rsidRPr="00517973">
        <w:rPr>
          <w:rFonts w:ascii="Century Gothic" w:hAnsi="Century Gothic" w:cs="Arial"/>
          <w:sz w:val="18"/>
          <w:szCs w:val="18"/>
        </w:rPr>
        <w:t xml:space="preserve"> </w:t>
      </w:r>
      <w:bookmarkStart w:name="_Hlk75633115" w:id="27"/>
      <w:r w:rsidRPr="00517973">
        <w:rPr>
          <w:rFonts w:ascii="Century Gothic" w:hAnsi="Century Gothic" w:cs="Arial"/>
          <w:sz w:val="18"/>
          <w:szCs w:val="18"/>
        </w:rPr>
        <w:t xml:space="preserve">Consejo de Estado. Sala de Consulta y Servicio Civil. Concepto </w:t>
      </w:r>
      <w:bookmarkEnd w:id="27"/>
      <w:r w:rsidRPr="00517973">
        <w:rPr>
          <w:rFonts w:ascii="Century Gothic" w:hAnsi="Century Gothic" w:cs="Arial"/>
          <w:sz w:val="18"/>
          <w:szCs w:val="18"/>
        </w:rPr>
        <w:t>de 6 de abril de 2006. Radicación Número: 11001-03-06-000-2006-00038-00(1738). Consejero Ponente: Enrique José Arboleda Perdomo:</w:t>
      </w:r>
      <w:r w:rsidRPr="00517973">
        <w:rPr>
          <w:rFonts w:ascii="Century Gothic" w:hAnsi="Century Gothic" w:eastAsia="Times New Roman" w:cs="Arial"/>
          <w:bCs/>
          <w:sz w:val="18"/>
          <w:szCs w:val="18"/>
          <w:lang w:eastAsia="x-none"/>
        </w:rPr>
        <w:t xml:space="preserve"> </w:t>
      </w:r>
      <w:r w:rsidRPr="00517973" w:rsidR="00CB590B">
        <w:rPr>
          <w:rFonts w:ascii="Century Gothic" w:hAnsi="Century Gothic" w:eastAsia="Times New Roman" w:cs="Arial"/>
          <w:bCs/>
          <w:sz w:val="18"/>
          <w:szCs w:val="18"/>
          <w:lang w:eastAsia="x-none"/>
        </w:rPr>
        <w:t>“</w:t>
      </w:r>
      <w:r w:rsidRPr="00517973">
        <w:rPr>
          <w:rFonts w:ascii="Century Gothic" w:hAnsi="Century Gothic" w:cs="Arial"/>
          <w:sz w:val="18"/>
          <w:szCs w:val="18"/>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517973" w:rsidR="00CB590B">
        <w:rPr>
          <w:rFonts w:ascii="Century Gothic" w:hAnsi="Century Gothic" w:eastAsia="Times New Roman" w:cs="Arial"/>
          <w:bCs/>
          <w:sz w:val="18"/>
          <w:szCs w:val="18"/>
          <w:lang w:eastAsia="x-none"/>
        </w:rPr>
        <w:t>”</w:t>
      </w:r>
      <w:r w:rsidRPr="00517973">
        <w:rPr>
          <w:rFonts w:ascii="Century Gothic" w:hAnsi="Century Gothic" w:eastAsia="Times New Roman" w:cs="Arial"/>
          <w:bCs/>
          <w:sz w:val="18"/>
          <w:szCs w:val="18"/>
          <w:lang w:eastAsia="x-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961B09" w14:paraId="6ED12154" w14:textId="43B6B0B6">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67DABC48">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4A305D" w:rsidRDefault="004A305D" w14:paraId="7B0A8834" w14:textId="37E5E71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13</w:t>
    </w:r>
  </w:p>
  <w:p w:rsidRPr="004A305D" w:rsidR="004A305D" w:rsidP="004A305D" w:rsidRDefault="004A305D" w14:paraId="5E18350A" w14:textId="3833E343">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sidR="00CB6357">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sidR="00CB6357">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sidR="00961B09">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sidR="00961B09">
      <w:rPr>
        <w:rFonts w:ascii="Century Gothic" w:hAnsi="Century Gothic" w:eastAsia="Geo" w:cs="Geo"/>
        <w:sz w:val="16"/>
        <w:szCs w:val="16"/>
        <w:lang w:eastAsia="es-CO"/>
      </w:rPr>
      <w:t>3</w:t>
    </w:r>
  </w:p>
  <w:p w:rsidR="008A446D" w:rsidRDefault="008A446D" w14:paraId="1FD1C243" w14:textId="6D74A3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2"/>
  </w:num>
  <w:num w:numId="2" w16cid:durableId="19822139">
    <w:abstractNumId w:val="0"/>
  </w:num>
  <w:num w:numId="3" w16cid:durableId="876742304">
    <w:abstractNumId w:val="1"/>
  </w:num>
  <w:num w:numId="4" w16cid:durableId="245186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1CDA"/>
    <w:rsid w:val="000239B8"/>
    <w:rsid w:val="00051716"/>
    <w:rsid w:val="00055C84"/>
    <w:rsid w:val="000A683E"/>
    <w:rsid w:val="000B19B9"/>
    <w:rsid w:val="000D0334"/>
    <w:rsid w:val="000F4941"/>
    <w:rsid w:val="000F6486"/>
    <w:rsid w:val="001152D6"/>
    <w:rsid w:val="00127233"/>
    <w:rsid w:val="0013202F"/>
    <w:rsid w:val="00133110"/>
    <w:rsid w:val="0018128C"/>
    <w:rsid w:val="001D0D37"/>
    <w:rsid w:val="001E4177"/>
    <w:rsid w:val="00221A79"/>
    <w:rsid w:val="00226F1F"/>
    <w:rsid w:val="0023065E"/>
    <w:rsid w:val="0023079F"/>
    <w:rsid w:val="00290832"/>
    <w:rsid w:val="002951A0"/>
    <w:rsid w:val="002962BC"/>
    <w:rsid w:val="002A06EA"/>
    <w:rsid w:val="002A42A7"/>
    <w:rsid w:val="002A49AC"/>
    <w:rsid w:val="002A64FD"/>
    <w:rsid w:val="002A735B"/>
    <w:rsid w:val="002C1CEF"/>
    <w:rsid w:val="002C7A84"/>
    <w:rsid w:val="002D4656"/>
    <w:rsid w:val="00327BC0"/>
    <w:rsid w:val="00346D68"/>
    <w:rsid w:val="00347151"/>
    <w:rsid w:val="003817AF"/>
    <w:rsid w:val="003A779E"/>
    <w:rsid w:val="003B0F50"/>
    <w:rsid w:val="003B4D24"/>
    <w:rsid w:val="003D0F4D"/>
    <w:rsid w:val="003E0499"/>
    <w:rsid w:val="003F3941"/>
    <w:rsid w:val="00403B81"/>
    <w:rsid w:val="004131CB"/>
    <w:rsid w:val="004206BB"/>
    <w:rsid w:val="0042471D"/>
    <w:rsid w:val="00424B66"/>
    <w:rsid w:val="00434B44"/>
    <w:rsid w:val="00441562"/>
    <w:rsid w:val="0045490C"/>
    <w:rsid w:val="004A1847"/>
    <w:rsid w:val="004A305D"/>
    <w:rsid w:val="004A79BC"/>
    <w:rsid w:val="004F21C4"/>
    <w:rsid w:val="004F685F"/>
    <w:rsid w:val="00503E39"/>
    <w:rsid w:val="00506438"/>
    <w:rsid w:val="00517973"/>
    <w:rsid w:val="00525FA8"/>
    <w:rsid w:val="005323C9"/>
    <w:rsid w:val="00544456"/>
    <w:rsid w:val="005557F3"/>
    <w:rsid w:val="005566E8"/>
    <w:rsid w:val="00574867"/>
    <w:rsid w:val="00580CB9"/>
    <w:rsid w:val="00596877"/>
    <w:rsid w:val="00597315"/>
    <w:rsid w:val="005C5CDC"/>
    <w:rsid w:val="005D476C"/>
    <w:rsid w:val="006206EF"/>
    <w:rsid w:val="006219F8"/>
    <w:rsid w:val="0062434D"/>
    <w:rsid w:val="006321FC"/>
    <w:rsid w:val="00636095"/>
    <w:rsid w:val="00665D70"/>
    <w:rsid w:val="00675E54"/>
    <w:rsid w:val="006A366E"/>
    <w:rsid w:val="006A5192"/>
    <w:rsid w:val="006B2172"/>
    <w:rsid w:val="00706C16"/>
    <w:rsid w:val="00743148"/>
    <w:rsid w:val="00751949"/>
    <w:rsid w:val="00756841"/>
    <w:rsid w:val="007649AB"/>
    <w:rsid w:val="0076622B"/>
    <w:rsid w:val="007676DB"/>
    <w:rsid w:val="007833AC"/>
    <w:rsid w:val="007C3D54"/>
    <w:rsid w:val="007C3DC2"/>
    <w:rsid w:val="007C40D7"/>
    <w:rsid w:val="007E5497"/>
    <w:rsid w:val="007F1E36"/>
    <w:rsid w:val="00804823"/>
    <w:rsid w:val="00806F5F"/>
    <w:rsid w:val="00820278"/>
    <w:rsid w:val="00831F84"/>
    <w:rsid w:val="00836BD3"/>
    <w:rsid w:val="008843B6"/>
    <w:rsid w:val="00891928"/>
    <w:rsid w:val="0089229C"/>
    <w:rsid w:val="008A446D"/>
    <w:rsid w:val="008C1FFF"/>
    <w:rsid w:val="008C5387"/>
    <w:rsid w:val="008E3E2C"/>
    <w:rsid w:val="008F0EA7"/>
    <w:rsid w:val="008F4863"/>
    <w:rsid w:val="00923EEF"/>
    <w:rsid w:val="009419F9"/>
    <w:rsid w:val="00955E67"/>
    <w:rsid w:val="00961B09"/>
    <w:rsid w:val="00965334"/>
    <w:rsid w:val="0097093E"/>
    <w:rsid w:val="009A1045"/>
    <w:rsid w:val="009C71FA"/>
    <w:rsid w:val="009C72E7"/>
    <w:rsid w:val="009E3B00"/>
    <w:rsid w:val="00A068DD"/>
    <w:rsid w:val="00A11FDC"/>
    <w:rsid w:val="00A17F13"/>
    <w:rsid w:val="00A20739"/>
    <w:rsid w:val="00A33C78"/>
    <w:rsid w:val="00A469F2"/>
    <w:rsid w:val="00A81ED4"/>
    <w:rsid w:val="00AA683D"/>
    <w:rsid w:val="00AB0ADB"/>
    <w:rsid w:val="00AD6F46"/>
    <w:rsid w:val="00B42DA4"/>
    <w:rsid w:val="00B72CD3"/>
    <w:rsid w:val="00B72FFF"/>
    <w:rsid w:val="00B92C7B"/>
    <w:rsid w:val="00B9673E"/>
    <w:rsid w:val="00BB002F"/>
    <w:rsid w:val="00BC32B5"/>
    <w:rsid w:val="00BC6EFE"/>
    <w:rsid w:val="00BD7F72"/>
    <w:rsid w:val="00BF7112"/>
    <w:rsid w:val="00C00145"/>
    <w:rsid w:val="00C07742"/>
    <w:rsid w:val="00C234B7"/>
    <w:rsid w:val="00C330EB"/>
    <w:rsid w:val="00C34575"/>
    <w:rsid w:val="00C60595"/>
    <w:rsid w:val="00C754BE"/>
    <w:rsid w:val="00C85ACE"/>
    <w:rsid w:val="00C87D67"/>
    <w:rsid w:val="00C955F9"/>
    <w:rsid w:val="00CB590B"/>
    <w:rsid w:val="00CB6357"/>
    <w:rsid w:val="00CC1B26"/>
    <w:rsid w:val="00CE394B"/>
    <w:rsid w:val="00CF616B"/>
    <w:rsid w:val="00D02031"/>
    <w:rsid w:val="00D423A2"/>
    <w:rsid w:val="00D63AC2"/>
    <w:rsid w:val="00D7383B"/>
    <w:rsid w:val="00D90538"/>
    <w:rsid w:val="00D97D02"/>
    <w:rsid w:val="00DC02EF"/>
    <w:rsid w:val="00DC31FF"/>
    <w:rsid w:val="00DE648B"/>
    <w:rsid w:val="00DE74DD"/>
    <w:rsid w:val="00DF4444"/>
    <w:rsid w:val="00E16408"/>
    <w:rsid w:val="00E20894"/>
    <w:rsid w:val="00E245AB"/>
    <w:rsid w:val="00E50AFE"/>
    <w:rsid w:val="00E532C0"/>
    <w:rsid w:val="00E771DC"/>
    <w:rsid w:val="00E8772A"/>
    <w:rsid w:val="00E90F6B"/>
    <w:rsid w:val="00E92C27"/>
    <w:rsid w:val="00EA0E3D"/>
    <w:rsid w:val="00EA6B06"/>
    <w:rsid w:val="00ED4C58"/>
    <w:rsid w:val="00EE1AA8"/>
    <w:rsid w:val="00F00A71"/>
    <w:rsid w:val="00F136B4"/>
    <w:rsid w:val="00F31EDC"/>
    <w:rsid w:val="00F5664F"/>
    <w:rsid w:val="00F57AE5"/>
    <w:rsid w:val="00F642DA"/>
    <w:rsid w:val="00F74158"/>
    <w:rsid w:val="00F76AFC"/>
    <w:rsid w:val="00FB5DD1"/>
    <w:rsid w:val="00FB6ACF"/>
    <w:rsid w:val="00FC2B5D"/>
    <w:rsid w:val="00FD5CE7"/>
    <w:rsid w:val="00FF1449"/>
    <w:rsid w:val="11BFC551"/>
    <w:rsid w:val="303F01AD"/>
    <w:rsid w:val="59F2599F"/>
    <w:rsid w:val="796E3F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Hipervnculo">
    <w:name w:val="Hyperlink"/>
    <w:basedOn w:val="Fuentedeprrafopredeter"/>
    <w:uiPriority w:val="99"/>
    <w:unhideWhenUsed/>
    <w:rsid w:val="002C1CEF"/>
    <w:rPr>
      <w:color w:val="0563C1" w:themeColor="hyperlink"/>
      <w:u w:val="single"/>
    </w:rPr>
  </w:style>
  <w:style w:type="paragraph" w:styleId="Appelnotedebasde" w:customStyle="1">
    <w:name w:val="Appel note de bas de..."/>
    <w:basedOn w:val="Normal"/>
    <w:link w:val="Refdenotaalpie"/>
    <w:uiPriority w:val="99"/>
    <w:rsid w:val="002C1CEF"/>
    <w:pPr>
      <w:spacing w:line="240" w:lineRule="exact"/>
    </w:pPr>
    <w:rPr>
      <w:vertAlign w:val="superscript"/>
    </w:rPr>
  </w:style>
  <w:style w:type="paragraph" w:styleId="Sinespaciado">
    <w:name w:val="No Spacing"/>
    <w:aliases w:val="No Indent"/>
    <w:link w:val="SinespaciadoCar"/>
    <w:uiPriority w:val="3"/>
    <w:qFormat/>
    <w:rsid w:val="002C1CEF"/>
    <w:pPr>
      <w:spacing w:after="0" w:line="240" w:lineRule="auto"/>
    </w:pPr>
    <w:rPr>
      <w:sz w:val="24"/>
      <w:lang w:val="es-MX"/>
    </w:rPr>
  </w:style>
  <w:style w:type="character" w:styleId="SinespaciadoCar" w:customStyle="1">
    <w:name w:val="Sin espaciado Car"/>
    <w:aliases w:val="No Indent Car"/>
    <w:link w:val="Sinespaciado"/>
    <w:uiPriority w:val="3"/>
    <w:rsid w:val="002C1CEF"/>
    <w:rPr>
      <w:sz w:val="24"/>
      <w:lang w:val="es-MX"/>
    </w:rPr>
  </w:style>
  <w:style w:type="paragraph" w:styleId="paragraph" w:customStyle="1">
    <w:name w:val="paragraph"/>
    <w:basedOn w:val="Normal"/>
    <w:rsid w:val="00BF7112"/>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eop" w:customStyle="1">
    <w:name w:val="eop"/>
    <w:basedOn w:val="Fuentedeprrafopredeter"/>
    <w:rsid w:val="00BF7112"/>
  </w:style>
  <w:style w:type="paragraph" w:styleId="NormalWeb">
    <w:name w:val="Normal (Web)"/>
    <w:basedOn w:val="Normal"/>
    <w:link w:val="NormalWebCar"/>
    <w:uiPriority w:val="99"/>
    <w:unhideWhenUsed/>
    <w:rsid w:val="00BB002F"/>
    <w:rPr>
      <w:rFonts w:ascii="Times New Roman" w:hAnsi="Times New Roman" w:cs="Times New Roman"/>
      <w:sz w:val="24"/>
      <w:szCs w:val="24"/>
    </w:rPr>
  </w:style>
  <w:style w:type="table" w:styleId="Tablaconcuadrcula1" w:customStyle="1">
    <w:name w:val="Tabla con cuadrícula1"/>
    <w:basedOn w:val="Tablanormal"/>
    <w:next w:val="Tablaconcuadrcula"/>
    <w:uiPriority w:val="39"/>
    <w:rsid w:val="00BB002F"/>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1" w:customStyle="1">
    <w:name w:val="Tabla con cuadrícula11"/>
    <w:basedOn w:val="Tablanormal"/>
    <w:next w:val="Tablaconcuadrcula"/>
    <w:uiPriority w:val="39"/>
    <w:rsid w:val="00BB002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j" w:customStyle="1">
    <w:name w:val="b_aj"/>
    <w:basedOn w:val="Fuentedeprrafopredeter"/>
    <w:rsid w:val="00BB002F"/>
  </w:style>
  <w:style w:type="character" w:styleId="NormalWebCar" w:customStyle="1">
    <w:name w:val="Normal (Web) Car"/>
    <w:link w:val="NormalWeb"/>
    <w:uiPriority w:val="99"/>
    <w:rsid w:val="00BB002F"/>
    <w:rPr>
      <w:rFonts w:ascii="Times New Roman" w:hAnsi="Times New Roman" w:cs="Times New Roman"/>
      <w:sz w:val="24"/>
      <w:szCs w:val="24"/>
    </w:rPr>
  </w:style>
  <w:style w:type="paragraph" w:styleId="Revisin">
    <w:name w:val="Revision"/>
    <w:hidden/>
    <w:uiPriority w:val="99"/>
    <w:semiHidden/>
    <w:rsid w:val="00441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520269">
      <w:bodyDiv w:val="1"/>
      <w:marLeft w:val="0"/>
      <w:marRight w:val="0"/>
      <w:marTop w:val="0"/>
      <w:marBottom w:val="0"/>
      <w:divBdr>
        <w:top w:val="none" w:sz="0" w:space="0" w:color="auto"/>
        <w:left w:val="none" w:sz="0" w:space="0" w:color="auto"/>
        <w:bottom w:val="none" w:sz="0" w:space="0" w:color="auto"/>
        <w:right w:val="none" w:sz="0" w:space="0" w:color="auto"/>
      </w:divBdr>
      <w:divsChild>
        <w:div w:id="586118445">
          <w:marLeft w:val="0"/>
          <w:marRight w:val="0"/>
          <w:marTop w:val="0"/>
          <w:marBottom w:val="0"/>
          <w:divBdr>
            <w:top w:val="none" w:sz="0" w:space="0" w:color="auto"/>
            <w:left w:val="none" w:sz="0" w:space="0" w:color="auto"/>
            <w:bottom w:val="none" w:sz="0" w:space="0" w:color="auto"/>
            <w:right w:val="none" w:sz="0" w:space="0" w:color="auto"/>
          </w:divBdr>
          <w:divsChild>
            <w:div w:id="784420437">
              <w:marLeft w:val="0"/>
              <w:marRight w:val="0"/>
              <w:marTop w:val="0"/>
              <w:marBottom w:val="0"/>
              <w:divBdr>
                <w:top w:val="none" w:sz="0" w:space="0" w:color="auto"/>
                <w:left w:val="none" w:sz="0" w:space="0" w:color="auto"/>
                <w:bottom w:val="none" w:sz="0" w:space="0" w:color="auto"/>
                <w:right w:val="none" w:sz="0" w:space="0" w:color="auto"/>
              </w:divBdr>
            </w:div>
          </w:divsChild>
        </w:div>
        <w:div w:id="990257858">
          <w:marLeft w:val="0"/>
          <w:marRight w:val="0"/>
          <w:marTop w:val="0"/>
          <w:marBottom w:val="0"/>
          <w:divBdr>
            <w:top w:val="none" w:sz="0" w:space="0" w:color="auto"/>
            <w:left w:val="none" w:sz="0" w:space="0" w:color="auto"/>
            <w:bottom w:val="none" w:sz="0" w:space="0" w:color="auto"/>
            <w:right w:val="none" w:sz="0" w:space="0" w:color="auto"/>
          </w:divBdr>
          <w:divsChild>
            <w:div w:id="1620599832">
              <w:marLeft w:val="0"/>
              <w:marRight w:val="0"/>
              <w:marTop w:val="0"/>
              <w:marBottom w:val="0"/>
              <w:divBdr>
                <w:top w:val="none" w:sz="0" w:space="0" w:color="auto"/>
                <w:left w:val="none" w:sz="0" w:space="0" w:color="auto"/>
                <w:bottom w:val="none" w:sz="0" w:space="0" w:color="auto"/>
                <w:right w:val="none" w:sz="0" w:space="0" w:color="auto"/>
              </w:divBdr>
            </w:div>
            <w:div w:id="395978506">
              <w:marLeft w:val="0"/>
              <w:marRight w:val="0"/>
              <w:marTop w:val="0"/>
              <w:marBottom w:val="0"/>
              <w:divBdr>
                <w:top w:val="none" w:sz="0" w:space="0" w:color="auto"/>
                <w:left w:val="none" w:sz="0" w:space="0" w:color="auto"/>
                <w:bottom w:val="none" w:sz="0" w:space="0" w:color="auto"/>
                <w:right w:val="none" w:sz="0" w:space="0" w:color="auto"/>
              </w:divBdr>
            </w:div>
          </w:divsChild>
        </w:div>
        <w:div w:id="1234319654">
          <w:marLeft w:val="0"/>
          <w:marRight w:val="0"/>
          <w:marTop w:val="0"/>
          <w:marBottom w:val="0"/>
          <w:divBdr>
            <w:top w:val="none" w:sz="0" w:space="0" w:color="auto"/>
            <w:left w:val="none" w:sz="0" w:space="0" w:color="auto"/>
            <w:bottom w:val="none" w:sz="0" w:space="0" w:color="auto"/>
            <w:right w:val="none" w:sz="0" w:space="0" w:color="auto"/>
          </w:divBdr>
          <w:divsChild>
            <w:div w:id="258754353">
              <w:marLeft w:val="0"/>
              <w:marRight w:val="0"/>
              <w:marTop w:val="0"/>
              <w:marBottom w:val="0"/>
              <w:divBdr>
                <w:top w:val="none" w:sz="0" w:space="0" w:color="auto"/>
                <w:left w:val="none" w:sz="0" w:space="0" w:color="auto"/>
                <w:bottom w:val="none" w:sz="0" w:space="0" w:color="auto"/>
                <w:right w:val="none" w:sz="0" w:space="0" w:color="auto"/>
              </w:divBdr>
            </w:div>
          </w:divsChild>
        </w:div>
        <w:div w:id="1968971611">
          <w:marLeft w:val="0"/>
          <w:marRight w:val="0"/>
          <w:marTop w:val="0"/>
          <w:marBottom w:val="0"/>
          <w:divBdr>
            <w:top w:val="none" w:sz="0" w:space="0" w:color="auto"/>
            <w:left w:val="none" w:sz="0" w:space="0" w:color="auto"/>
            <w:bottom w:val="none" w:sz="0" w:space="0" w:color="auto"/>
            <w:right w:val="none" w:sz="0" w:space="0" w:color="auto"/>
          </w:divBdr>
          <w:divsChild>
            <w:div w:id="179009616">
              <w:marLeft w:val="0"/>
              <w:marRight w:val="0"/>
              <w:marTop w:val="0"/>
              <w:marBottom w:val="0"/>
              <w:divBdr>
                <w:top w:val="none" w:sz="0" w:space="0" w:color="auto"/>
                <w:left w:val="none" w:sz="0" w:space="0" w:color="auto"/>
                <w:bottom w:val="none" w:sz="0" w:space="0" w:color="auto"/>
                <w:right w:val="none" w:sz="0" w:space="0" w:color="auto"/>
              </w:divBdr>
            </w:div>
            <w:div w:id="1078358577">
              <w:marLeft w:val="0"/>
              <w:marRight w:val="0"/>
              <w:marTop w:val="0"/>
              <w:marBottom w:val="0"/>
              <w:divBdr>
                <w:top w:val="none" w:sz="0" w:space="0" w:color="auto"/>
                <w:left w:val="none" w:sz="0" w:space="0" w:color="auto"/>
                <w:bottom w:val="none" w:sz="0" w:space="0" w:color="auto"/>
                <w:right w:val="none" w:sz="0" w:space="0" w:color="auto"/>
              </w:divBdr>
            </w:div>
          </w:divsChild>
        </w:div>
        <w:div w:id="1958369351">
          <w:marLeft w:val="0"/>
          <w:marRight w:val="0"/>
          <w:marTop w:val="0"/>
          <w:marBottom w:val="0"/>
          <w:divBdr>
            <w:top w:val="none" w:sz="0" w:space="0" w:color="auto"/>
            <w:left w:val="none" w:sz="0" w:space="0" w:color="auto"/>
            <w:bottom w:val="none" w:sz="0" w:space="0" w:color="auto"/>
            <w:right w:val="none" w:sz="0" w:space="0" w:color="auto"/>
          </w:divBdr>
          <w:divsChild>
            <w:div w:id="172840552">
              <w:marLeft w:val="0"/>
              <w:marRight w:val="0"/>
              <w:marTop w:val="0"/>
              <w:marBottom w:val="0"/>
              <w:divBdr>
                <w:top w:val="none" w:sz="0" w:space="0" w:color="auto"/>
                <w:left w:val="none" w:sz="0" w:space="0" w:color="auto"/>
                <w:bottom w:val="none" w:sz="0" w:space="0" w:color="auto"/>
                <w:right w:val="none" w:sz="0" w:space="0" w:color="auto"/>
              </w:divBdr>
            </w:div>
          </w:divsChild>
        </w:div>
        <w:div w:id="562715461">
          <w:marLeft w:val="0"/>
          <w:marRight w:val="0"/>
          <w:marTop w:val="0"/>
          <w:marBottom w:val="0"/>
          <w:divBdr>
            <w:top w:val="none" w:sz="0" w:space="0" w:color="auto"/>
            <w:left w:val="none" w:sz="0" w:space="0" w:color="auto"/>
            <w:bottom w:val="none" w:sz="0" w:space="0" w:color="auto"/>
            <w:right w:val="none" w:sz="0" w:space="0" w:color="auto"/>
          </w:divBdr>
          <w:divsChild>
            <w:div w:id="754017347">
              <w:marLeft w:val="0"/>
              <w:marRight w:val="0"/>
              <w:marTop w:val="0"/>
              <w:marBottom w:val="0"/>
              <w:divBdr>
                <w:top w:val="none" w:sz="0" w:space="0" w:color="auto"/>
                <w:left w:val="none" w:sz="0" w:space="0" w:color="auto"/>
                <w:bottom w:val="none" w:sz="0" w:space="0" w:color="auto"/>
                <w:right w:val="none" w:sz="0" w:space="0" w:color="auto"/>
              </w:divBdr>
            </w:div>
            <w:div w:id="19507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6.png" Id="R4fffbaa44cd14d50"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9d85dbaf-23eb-4e57-a637-93dcacc8b1a1"/>
    <ds:schemaRef ds:uri="http://schemas.microsoft.com/office/2006/documentManagement/types"/>
    <ds:schemaRef ds:uri="http://www.w3.org/XML/1998/namespace"/>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a6cb9e4b-f1d1-4245-83ec-6cad768d538a"/>
    <ds:schemaRef ds:uri="http://schemas.microsoft.com/office/2006/metadata/properties"/>
  </ds:schemaRefs>
</ds:datastoreItem>
</file>

<file path=customXml/itemProps3.xml><?xml version="1.0" encoding="utf-8"?>
<ds:datastoreItem xmlns:ds="http://schemas.openxmlformats.org/officeDocument/2006/customXml" ds:itemID="{1B5AAD8E-2A33-49F6-88EE-BAF8D8E31E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Johanna Ovalle Clavijo</lastModifiedBy>
  <revision>4</revision>
  <lastPrinted>2023-01-10T21:18:00.0000000Z</lastPrinted>
  <dcterms:created xsi:type="dcterms:W3CDTF">2023-07-07T13:17:00.0000000Z</dcterms:created>
  <dcterms:modified xsi:type="dcterms:W3CDTF">2023-08-29T19:12:10.5909903Z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