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0E4A6E" w:rsidR="00921960" w:rsidP="00921960" w:rsidRDefault="00921960" w14:paraId="70921027" w14:textId="77777777">
      <w:pPr>
        <w:tabs>
          <w:tab w:val="left" w:pos="426"/>
        </w:tabs>
        <w:spacing w:after="0" w:line="240" w:lineRule="auto"/>
        <w:contextualSpacing/>
        <w:jc w:val="both"/>
        <w:rPr>
          <w:rFonts w:ascii="Arial" w:hAnsi="Arial" w:eastAsia="Calibri" w:cs="Arial"/>
          <w:b/>
          <w:bCs/>
          <w:lang w:val="es-MX"/>
        </w:rPr>
      </w:pPr>
      <w:bookmarkStart w:name="_Hlk77152637" w:id="0"/>
      <w:bookmarkStart w:name="_Hlk77157066" w:id="1"/>
      <w:bookmarkStart w:name="_Hlk78821436" w:id="2"/>
      <w:r w:rsidRPr="000E4A6E">
        <w:rPr>
          <w:rFonts w:ascii="Arial" w:hAnsi="Arial" w:eastAsia="Calibri" w:cs="Arial"/>
          <w:b/>
          <w:bCs/>
          <w:lang w:val="es-MX"/>
        </w:rPr>
        <w:t>LEY DE GARANTÍAS ELECTORALES ‒ Finalidad</w:t>
      </w:r>
    </w:p>
    <w:p w:rsidRPr="000E4A6E" w:rsidR="00921960" w:rsidP="00921960" w:rsidRDefault="00921960" w14:paraId="2E8290B2" w14:textId="77777777">
      <w:pPr>
        <w:tabs>
          <w:tab w:val="left" w:pos="426"/>
        </w:tabs>
        <w:spacing w:after="0" w:line="240" w:lineRule="auto"/>
        <w:contextualSpacing/>
        <w:jc w:val="both"/>
        <w:rPr>
          <w:rFonts w:ascii="Arial" w:hAnsi="Arial" w:eastAsia="Calibri" w:cs="Arial"/>
          <w:b/>
          <w:bCs/>
          <w:sz w:val="20"/>
          <w:szCs w:val="20"/>
          <w:lang w:val="es-MX"/>
        </w:rPr>
      </w:pPr>
    </w:p>
    <w:p w:rsidRPr="000E4A6E" w:rsidR="00921960" w:rsidP="00921960" w:rsidRDefault="00921960" w14:paraId="61F5BF20" w14:textId="77777777">
      <w:pPr>
        <w:tabs>
          <w:tab w:val="left" w:pos="426"/>
        </w:tabs>
        <w:spacing w:after="0" w:line="240" w:lineRule="auto"/>
        <w:contextualSpacing/>
        <w:jc w:val="both"/>
        <w:rPr>
          <w:rFonts w:ascii="Arial" w:hAnsi="Arial" w:eastAsia="Times New Roman" w:cs="Arial"/>
          <w:bCs/>
          <w:sz w:val="20"/>
          <w:szCs w:val="20"/>
          <w:lang w:val="es-MX" w:eastAsia="es-CO"/>
        </w:rPr>
      </w:pPr>
      <w:r w:rsidRPr="000E4A6E">
        <w:rPr>
          <w:rFonts w:ascii="Arial" w:hAnsi="Arial" w:eastAsia="Calibri" w:cs="Arial"/>
          <w:noProof/>
          <w:sz w:val="20"/>
          <w:szCs w:val="20"/>
          <w:lang w:val="es-ES_tradnl"/>
        </w:rPr>
        <w:t xml:space="preserve">[…], </w:t>
      </w:r>
      <w:r w:rsidRPr="000E4A6E">
        <w:rPr>
          <w:rFonts w:ascii="Arial" w:hAnsi="Arial" w:eastAsia="Times New Roman" w:cs="Arial"/>
          <w:bCs/>
          <w:sz w:val="20"/>
          <w:szCs w:val="20"/>
          <w:lang w:val="es-MX" w:eastAsia="es-CO"/>
        </w:rPr>
        <w:t>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 En esta medida, introduce limitaciones para realizar nombramientos, postulaciones, contrataciones o cualquier otro tipo de actividad que implique destinación de recursos públicos bajo el devenir propio de las entidades estatales.</w:t>
      </w:r>
    </w:p>
    <w:p w:rsidRPr="000E4A6E" w:rsidR="00921960" w:rsidP="00921960" w:rsidRDefault="00921960" w14:paraId="2BB20CE3" w14:textId="77777777">
      <w:pPr>
        <w:tabs>
          <w:tab w:val="left" w:pos="426"/>
        </w:tabs>
        <w:spacing w:after="0" w:line="240" w:lineRule="auto"/>
        <w:contextualSpacing/>
        <w:jc w:val="both"/>
        <w:rPr>
          <w:rFonts w:ascii="Arial" w:hAnsi="Arial" w:eastAsia="Calibri" w:cs="Arial"/>
          <w:b/>
          <w:bCs/>
          <w:sz w:val="20"/>
          <w:szCs w:val="20"/>
          <w:lang w:val="es-MX"/>
        </w:rPr>
      </w:pPr>
    </w:p>
    <w:p w:rsidRPr="000E4A6E" w:rsidR="00921960" w:rsidP="00921960" w:rsidRDefault="00921960" w14:paraId="68A52745" w14:textId="77777777">
      <w:pPr>
        <w:tabs>
          <w:tab w:val="left" w:pos="426"/>
        </w:tabs>
        <w:spacing w:after="0" w:line="240" w:lineRule="auto"/>
        <w:contextualSpacing/>
        <w:jc w:val="both"/>
        <w:rPr>
          <w:rFonts w:ascii="Arial" w:hAnsi="Arial" w:eastAsia="Calibri" w:cs="Arial"/>
          <w:b/>
          <w:bCs/>
          <w:lang w:val="es-MX"/>
        </w:rPr>
      </w:pPr>
      <w:r w:rsidRPr="000E4A6E">
        <w:rPr>
          <w:rFonts w:ascii="Arial" w:hAnsi="Arial" w:eastAsia="Calibri" w:cs="Arial"/>
          <w:b/>
          <w:bCs/>
          <w:lang w:val="es-MX"/>
        </w:rPr>
        <w:t>LEY DE GARANTÍAS ELECTORALES ‒</w:t>
      </w:r>
      <w:bookmarkEnd w:id="0"/>
      <w:r w:rsidRPr="000E4A6E">
        <w:rPr>
          <w:rFonts w:ascii="Arial" w:hAnsi="Arial" w:eastAsia="Calibri" w:cs="Arial"/>
          <w:b/>
          <w:bCs/>
          <w:lang w:val="es-MX"/>
        </w:rPr>
        <w:t xml:space="preserve"> Tipos de restricciones </w:t>
      </w:r>
      <w:bookmarkStart w:name="_Hlk77157034" w:id="3"/>
      <w:r w:rsidRPr="000E4A6E">
        <w:rPr>
          <w:rFonts w:ascii="Arial" w:hAnsi="Arial" w:eastAsia="Calibri" w:cs="Arial"/>
          <w:b/>
          <w:bCs/>
          <w:lang w:val="es-MX"/>
        </w:rPr>
        <w:t xml:space="preserve">‒ </w:t>
      </w:r>
      <w:bookmarkStart w:name="_Hlk77153098" w:id="4"/>
      <w:bookmarkEnd w:id="3"/>
      <w:r w:rsidRPr="000E4A6E">
        <w:rPr>
          <w:rFonts w:ascii="Arial" w:hAnsi="Arial" w:eastAsia="Calibri" w:cs="Arial"/>
          <w:b/>
          <w:bCs/>
          <w:lang w:val="es-MX"/>
        </w:rPr>
        <w:t xml:space="preserve">Ámbito temporal </w:t>
      </w:r>
      <w:bookmarkEnd w:id="4"/>
    </w:p>
    <w:p w:rsidRPr="000E4A6E" w:rsidR="00921960" w:rsidP="00921960" w:rsidRDefault="00921960" w14:paraId="22E074DC" w14:textId="77777777">
      <w:pPr>
        <w:tabs>
          <w:tab w:val="left" w:pos="426"/>
        </w:tabs>
        <w:spacing w:after="0" w:line="240" w:lineRule="auto"/>
        <w:contextualSpacing/>
        <w:jc w:val="both"/>
        <w:rPr>
          <w:rFonts w:ascii="Arial" w:hAnsi="Arial" w:eastAsia="Calibri" w:cs="Arial"/>
          <w:b/>
          <w:bCs/>
          <w:sz w:val="20"/>
          <w:szCs w:val="20"/>
          <w:lang w:val="es-MX"/>
        </w:rPr>
      </w:pPr>
    </w:p>
    <w:bookmarkEnd w:id="1"/>
    <w:p w:rsidRPr="000E4A6E" w:rsidR="00921960" w:rsidP="00921960" w:rsidRDefault="00921960" w14:paraId="17EFD9E4" w14:textId="77777777">
      <w:pPr>
        <w:spacing w:after="0" w:line="240" w:lineRule="auto"/>
        <w:contextualSpacing/>
        <w:jc w:val="both"/>
        <w:rPr>
          <w:rFonts w:ascii="Arial" w:hAnsi="Arial" w:eastAsia="Arial" w:cs="Arial"/>
          <w:sz w:val="20"/>
          <w:szCs w:val="20"/>
          <w:lang w:val="es-ES" w:eastAsia="es-ES" w:bidi="es-ES"/>
        </w:rPr>
      </w:pPr>
      <w:r w:rsidRPr="000E4A6E">
        <w:rPr>
          <w:rFonts w:ascii="Arial" w:hAnsi="Arial" w:eastAsia="Calibri" w:cs="Arial"/>
          <w:noProof/>
          <w:sz w:val="20"/>
          <w:szCs w:val="20"/>
          <w:lang w:val="es-ES_tradnl"/>
        </w:rPr>
        <w:t xml:space="preserve">[…] </w:t>
      </w:r>
      <w:bookmarkStart w:name="_Hlk77165666" w:id="5"/>
      <w:r w:rsidRPr="000E4A6E">
        <w:rPr>
          <w:rFonts w:ascii="Arial" w:hAnsi="Arial" w:eastAsia="Arial" w:cs="Arial"/>
          <w:sz w:val="20"/>
          <w:szCs w:val="20"/>
          <w:lang w:val="es-ES" w:eastAsia="es-ES" w:bidi="es-ES"/>
        </w:rPr>
        <w:t xml:space="preserve">la Ley 996 de 2005 establece dos (2) tipos de restricciones en materia de contratación, las cuales coinciden parcialmente. </w:t>
      </w:r>
      <w:r w:rsidRPr="000E4A6E">
        <w:rPr>
          <w:rFonts w:ascii="Arial" w:hAnsi="Arial" w:eastAsia="Arial" w:cs="Arial"/>
          <w:i/>
          <w:iCs/>
          <w:sz w:val="20"/>
          <w:szCs w:val="20"/>
          <w:lang w:val="es-ES" w:eastAsia="es-ES" w:bidi="es-ES"/>
        </w:rPr>
        <w:t>En primer lugar</w:t>
      </w:r>
      <w:r w:rsidRPr="000E4A6E">
        <w:rPr>
          <w:rFonts w:ascii="Arial" w:hAnsi="Arial" w:eastAsia="Arial" w:cs="Arial"/>
          <w:sz w:val="20"/>
          <w:szCs w:val="20"/>
          <w:lang w:val="es-ES" w:eastAsia="es-ES" w:bidi="es-ES"/>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w:t>
      </w:r>
      <w:r w:rsidRPr="000E4A6E">
        <w:rPr>
          <w:rFonts w:ascii="Arial" w:hAnsi="Arial" w:eastAsia="Arial" w:cs="Arial"/>
          <w:i/>
          <w:iCs/>
          <w:sz w:val="20"/>
          <w:szCs w:val="20"/>
          <w:lang w:val="es-ES" w:eastAsia="es-ES" w:bidi="es-ES"/>
        </w:rPr>
        <w:t>En segundo lugar</w:t>
      </w:r>
      <w:r w:rsidRPr="000E4A6E">
        <w:rPr>
          <w:rFonts w:ascii="Arial" w:hAnsi="Arial" w:eastAsia="Arial" w:cs="Arial"/>
          <w:sz w:val="20"/>
          <w:szCs w:val="20"/>
          <w:lang w:val="es-ES" w:eastAsia="es-ES" w:bidi="es-ES"/>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p>
    <w:bookmarkEnd w:id="5"/>
    <w:p w:rsidRPr="000E4A6E" w:rsidR="00921960" w:rsidP="00921960" w:rsidRDefault="00921960" w14:paraId="0D0C1C87" w14:textId="77777777">
      <w:pPr>
        <w:tabs>
          <w:tab w:val="left" w:pos="426"/>
        </w:tabs>
        <w:spacing w:after="0" w:line="240" w:lineRule="auto"/>
        <w:contextualSpacing/>
        <w:jc w:val="both"/>
        <w:rPr>
          <w:rFonts w:ascii="Arial" w:hAnsi="Arial" w:eastAsia="Calibri" w:cs="Arial"/>
          <w:sz w:val="20"/>
          <w:szCs w:val="20"/>
          <w:lang w:val="es-MX"/>
        </w:rPr>
      </w:pPr>
    </w:p>
    <w:p w:rsidRPr="000E4A6E" w:rsidR="00921960" w:rsidP="00921960" w:rsidRDefault="00921960" w14:paraId="24AF2CBA" w14:textId="77777777">
      <w:pPr>
        <w:tabs>
          <w:tab w:val="left" w:pos="426"/>
        </w:tabs>
        <w:spacing w:after="0" w:line="240" w:lineRule="auto"/>
        <w:contextualSpacing/>
        <w:jc w:val="both"/>
        <w:rPr>
          <w:rFonts w:ascii="Arial" w:hAnsi="Arial" w:eastAsia="Calibri" w:cs="Arial"/>
          <w:b/>
          <w:bCs/>
          <w:lang w:val="es-MX"/>
        </w:rPr>
      </w:pPr>
      <w:r w:rsidRPr="000E4A6E">
        <w:rPr>
          <w:rFonts w:ascii="Arial" w:hAnsi="Arial" w:eastAsia="Calibri" w:cs="Arial"/>
          <w:b/>
          <w:bCs/>
          <w:lang w:val="es-MX"/>
        </w:rPr>
        <w:t xml:space="preserve">LEY DE GARANTÍAS ELECTORALES ‒ Prohibición por elección de cargos populares – Convenios y contratos interadministrativos </w:t>
      </w:r>
      <w:r w:rsidRPr="000E4A6E">
        <w:rPr>
          <w:rFonts w:ascii="Arial" w:hAnsi="Arial" w:eastAsia="Calibri" w:cs="Arial"/>
          <w:b/>
          <w:lang w:val="es-MX"/>
        </w:rPr>
        <w:t>– Definición – Criterio orgánico</w:t>
      </w:r>
    </w:p>
    <w:p w:rsidRPr="000E4A6E" w:rsidR="00921960" w:rsidP="00921960" w:rsidRDefault="00921960" w14:paraId="6F53B28F" w14:textId="77777777">
      <w:pPr>
        <w:tabs>
          <w:tab w:val="left" w:pos="426"/>
        </w:tabs>
        <w:spacing w:after="0" w:line="240" w:lineRule="auto"/>
        <w:contextualSpacing/>
        <w:jc w:val="both"/>
        <w:rPr>
          <w:rFonts w:ascii="Arial" w:hAnsi="Arial" w:eastAsia="Calibri" w:cs="Arial"/>
          <w:sz w:val="20"/>
          <w:szCs w:val="20"/>
          <w:lang w:val="es-MX"/>
        </w:rPr>
      </w:pPr>
    </w:p>
    <w:p w:rsidRPr="000E4A6E" w:rsidR="00921960" w:rsidP="00921960" w:rsidRDefault="00921960" w14:paraId="78F613BA" w14:textId="77777777">
      <w:pPr>
        <w:tabs>
          <w:tab w:val="left" w:pos="426"/>
        </w:tabs>
        <w:spacing w:after="0" w:line="240" w:lineRule="auto"/>
        <w:contextualSpacing/>
        <w:jc w:val="both"/>
        <w:rPr>
          <w:rFonts w:ascii="Arial" w:hAnsi="Arial" w:eastAsia="Calibri" w:cs="Arial"/>
          <w:sz w:val="20"/>
          <w:szCs w:val="20"/>
          <w:lang w:val="es-MX"/>
        </w:rPr>
      </w:pPr>
      <w:r w:rsidRPr="000E4A6E">
        <w:rPr>
          <w:rFonts w:ascii="Arial" w:hAnsi="Arial" w:eastAsia="Calibri" w:cs="Arial"/>
          <w:sz w:val="20"/>
          <w:szCs w:val="20"/>
          <w:lang w:val="es-MX"/>
        </w:rPr>
        <w:t xml:space="preserve">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 </w:t>
      </w:r>
    </w:p>
    <w:p w:rsidRPr="000E4A6E" w:rsidR="00921960" w:rsidP="00921960" w:rsidRDefault="00921960" w14:paraId="135FC979" w14:textId="77777777">
      <w:pPr>
        <w:tabs>
          <w:tab w:val="left" w:pos="426"/>
        </w:tabs>
        <w:spacing w:after="0" w:line="240" w:lineRule="auto"/>
        <w:contextualSpacing/>
        <w:jc w:val="both"/>
        <w:rPr>
          <w:rFonts w:ascii="Arial" w:hAnsi="Arial" w:eastAsia="Calibri" w:cs="Arial"/>
          <w:sz w:val="20"/>
          <w:szCs w:val="20"/>
          <w:lang w:val="es-MX"/>
        </w:rPr>
      </w:pPr>
    </w:p>
    <w:p w:rsidRPr="000E4A6E" w:rsidR="00921960" w:rsidP="00921960" w:rsidRDefault="00921960" w14:paraId="5CC0E705" w14:textId="77777777">
      <w:pPr>
        <w:widowControl w:val="0"/>
        <w:autoSpaceDE w:val="0"/>
        <w:autoSpaceDN w:val="0"/>
        <w:spacing w:after="0" w:line="240" w:lineRule="auto"/>
        <w:contextualSpacing/>
        <w:jc w:val="both"/>
        <w:rPr>
          <w:rFonts w:ascii="Arial" w:hAnsi="Arial" w:eastAsia="Arial" w:cs="Arial"/>
          <w:sz w:val="20"/>
          <w:szCs w:val="20"/>
          <w:lang w:val="es-ES" w:eastAsia="es-ES" w:bidi="es-ES"/>
        </w:rPr>
      </w:pPr>
      <w:r w:rsidRPr="000E4A6E">
        <w:rPr>
          <w:rFonts w:ascii="Arial" w:hAnsi="Arial" w:eastAsia="Calibri" w:cs="Arial"/>
          <w:sz w:val="20"/>
          <w:szCs w:val="20"/>
          <w:lang w:val="es-MX"/>
        </w:rPr>
        <w:t xml:space="preserve">[…] </w:t>
      </w:r>
      <w:r w:rsidRPr="000E4A6E">
        <w:rPr>
          <w:rFonts w:ascii="Arial" w:hAnsi="Arial" w:eastAsia="Calibri" w:cs="Arial"/>
          <w:bCs/>
          <w:sz w:val="20"/>
          <w:szCs w:val="20"/>
          <w:lang w:eastAsia="es-ES" w:bidi="es-ES"/>
        </w:rPr>
        <w:t xml:space="preserve">para determinar el alcance de la prohibición consagrada por la Ley de Garantías Electorales, conviene precisar la tipología de convenios o contratos interadministrativos. </w:t>
      </w:r>
      <w:r w:rsidRPr="000E4A6E">
        <w:rPr>
          <w:rFonts w:ascii="Arial" w:hAnsi="Arial" w:eastAsia="Arial" w:cs="Arial"/>
          <w:sz w:val="20"/>
          <w:szCs w:val="20"/>
          <w:lang w:val="es-ES" w:eastAsia="es-ES" w:bidi="es-ES"/>
        </w:rPr>
        <w:t>Aunque la ley no la definió ni desarrolló, el Decreto 1082 de 2015 califica a los convenios o contratos interadministrativos como aquella contratación entre entidades estatales.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w:t>
      </w:r>
      <w:r w:rsidRPr="000E4A6E">
        <w:rPr>
          <w:rFonts w:ascii="Arial" w:hAnsi="Arial" w:eastAsia="Arial" w:cs="Arial"/>
          <w:spacing w:val="-6"/>
          <w:sz w:val="20"/>
          <w:szCs w:val="20"/>
          <w:lang w:val="es-ES" w:eastAsia="es-ES" w:bidi="es-ES"/>
        </w:rPr>
        <w:t xml:space="preserve"> </w:t>
      </w:r>
      <w:r w:rsidRPr="000E4A6E">
        <w:rPr>
          <w:rFonts w:ascii="Arial" w:hAnsi="Arial" w:eastAsia="Arial" w:cs="Arial"/>
          <w:sz w:val="20"/>
          <w:szCs w:val="20"/>
          <w:lang w:val="es-ES" w:eastAsia="es-ES" w:bidi="es-ES"/>
        </w:rPr>
        <w:t>estatales.</w:t>
      </w:r>
      <w:bookmarkEnd w:id="2"/>
    </w:p>
    <w:p w:rsidRPr="000E4A6E" w:rsidR="00921960" w:rsidP="00921960" w:rsidRDefault="00921960" w14:paraId="6F6B9044" w14:textId="77777777">
      <w:pPr>
        <w:spacing w:after="0"/>
        <w:rPr>
          <w:rFonts w:ascii="Arial" w:hAnsi="Arial" w:eastAsia="Geomanist Light" w:cs="Arial"/>
          <w:color w:val="000000" w:themeColor="text1"/>
          <w:lang w:val="es-MX"/>
        </w:rPr>
      </w:pPr>
    </w:p>
    <w:p w:rsidRPr="000E4A6E" w:rsidR="00921960" w:rsidP="00921960" w:rsidRDefault="00921960" w14:paraId="0C8A7EA9" w14:textId="77777777">
      <w:pPr>
        <w:spacing w:after="0"/>
        <w:rPr>
          <w:rFonts w:ascii="Arial" w:hAnsi="Arial" w:eastAsia="Geomanist Light" w:cs="Arial"/>
          <w:color w:val="000000" w:themeColor="text1"/>
          <w:lang w:val="es-MX"/>
        </w:rPr>
      </w:pPr>
    </w:p>
    <w:p w:rsidRPr="000E4A6E" w:rsidR="00921960" w:rsidP="2241472F" w:rsidRDefault="00921960" w14:paraId="2D7A46DE" w14:noSpellErr="1" w14:textId="7F9A2455">
      <w:pPr>
        <w:pStyle w:val="Normal"/>
        <w:spacing w:after="0"/>
        <w:rPr>
          <w:rFonts w:ascii="Arial" w:hAnsi="Arial" w:cs="Arial"/>
          <w:lang w:val="es-MX"/>
        </w:rPr>
      </w:pPr>
    </w:p>
    <w:p w:rsidR="2241472F" w:rsidP="2241472F" w:rsidRDefault="2241472F" w14:paraId="7F524BE3" w14:textId="5956C211">
      <w:pPr>
        <w:pStyle w:val="Normal"/>
        <w:spacing w:after="0"/>
        <w:rPr>
          <w:rFonts w:ascii="Arial" w:hAnsi="Arial" w:cs="Arial"/>
          <w:lang w:val="es-MX"/>
        </w:rPr>
      </w:pPr>
    </w:p>
    <w:p w:rsidR="2241472F" w:rsidP="2241472F" w:rsidRDefault="2241472F" w14:paraId="2E73AC6D" w14:textId="1D1F3990">
      <w:pPr>
        <w:pStyle w:val="Normal"/>
        <w:spacing w:after="0"/>
        <w:rPr>
          <w:rFonts w:ascii="Arial" w:hAnsi="Arial" w:cs="Arial"/>
          <w:lang w:val="es-MX"/>
        </w:rPr>
      </w:pPr>
    </w:p>
    <w:p w:rsidR="2241472F" w:rsidP="2241472F" w:rsidRDefault="2241472F" w14:paraId="6035095D" w14:textId="4D900DF1">
      <w:pPr>
        <w:pStyle w:val="Normal"/>
        <w:spacing w:after="0"/>
        <w:rPr>
          <w:rFonts w:ascii="Arial" w:hAnsi="Arial" w:cs="Arial"/>
          <w:lang w:val="es-MX"/>
        </w:rPr>
      </w:pPr>
    </w:p>
    <w:p w:rsidR="2241472F" w:rsidP="2241472F" w:rsidRDefault="2241472F" w14:paraId="020131FC" w14:textId="0BE4786B">
      <w:pPr>
        <w:pStyle w:val="Normal"/>
        <w:spacing w:after="0"/>
        <w:rPr>
          <w:rFonts w:ascii="Arial" w:hAnsi="Arial" w:cs="Arial"/>
          <w:lang w:val="es-MX"/>
        </w:rPr>
      </w:pPr>
    </w:p>
    <w:p w:rsidR="2241472F" w:rsidP="2241472F" w:rsidRDefault="2241472F" w14:paraId="056FAFE5" w14:textId="0A3406FE">
      <w:pPr>
        <w:pStyle w:val="Normal"/>
        <w:spacing w:after="0"/>
        <w:rPr>
          <w:rFonts w:ascii="Arial" w:hAnsi="Arial" w:cs="Arial"/>
          <w:lang w:val="es-MX"/>
        </w:rPr>
      </w:pPr>
    </w:p>
    <w:p w:rsidR="2241472F" w:rsidP="2241472F" w:rsidRDefault="2241472F" w14:paraId="5C1F65E9" w14:textId="2E19A125">
      <w:pPr>
        <w:pStyle w:val="Normal"/>
        <w:spacing w:after="0"/>
        <w:rPr>
          <w:rFonts w:ascii="Arial" w:hAnsi="Arial" w:cs="Arial"/>
          <w:lang w:val="es-MX"/>
        </w:rPr>
      </w:pPr>
    </w:p>
    <w:p w:rsidR="2241472F" w:rsidP="2241472F" w:rsidRDefault="2241472F" w14:paraId="2E49D2E6" w14:textId="3C9CD3C6">
      <w:pPr>
        <w:pStyle w:val="Normal"/>
        <w:spacing w:after="0"/>
        <w:rPr>
          <w:rFonts w:ascii="Arial" w:hAnsi="Arial" w:cs="Arial"/>
          <w:lang w:val="es-MX"/>
        </w:rPr>
      </w:pPr>
    </w:p>
    <w:p w:rsidRPr="000E4A6E" w:rsidR="00921960" w:rsidP="00E245AB" w:rsidRDefault="00921960" w14:paraId="085F64F3" w14:textId="77777777">
      <w:pPr>
        <w:spacing w:after="0"/>
        <w:rPr>
          <w:rFonts w:ascii="Arial" w:hAnsi="Arial" w:cs="Arial"/>
          <w:lang w:val="es-MX"/>
        </w:rPr>
      </w:pPr>
    </w:p>
    <w:p w:rsidRPr="000E4A6E" w:rsidR="00921960" w:rsidP="00E245AB" w:rsidRDefault="00921960" w14:paraId="5F73A887" w14:textId="77777777">
      <w:pPr>
        <w:spacing w:after="0"/>
        <w:rPr>
          <w:rFonts w:ascii="Arial" w:hAnsi="Arial" w:cs="Arial"/>
          <w:lang w:val="es-MX"/>
        </w:rPr>
      </w:pPr>
    </w:p>
    <w:p w:rsidRPr="000E4A6E" w:rsidR="00E245AB" w:rsidP="00E245AB" w:rsidRDefault="00E245AB" w14:paraId="3FE2184B" w14:textId="04BC3B1E">
      <w:pPr>
        <w:spacing w:after="0"/>
        <w:rPr>
          <w:rFonts w:ascii="Arial" w:hAnsi="Arial" w:cs="Arial"/>
        </w:rPr>
      </w:pPr>
      <w:r w:rsidRPr="000E4A6E">
        <w:rPr>
          <w:rFonts w:ascii="Arial" w:hAnsi="Arial" w:cs="Arial"/>
        </w:rPr>
        <w:t xml:space="preserve">Bogotá D.C., </w:t>
      </w:r>
      <w:r w:rsidR="009E3F61">
        <w:rPr>
          <w:rFonts w:ascii="Arial" w:hAnsi="Arial" w:cs="Arial"/>
        </w:rPr>
        <w:t>07 de julio del 2023</w:t>
      </w:r>
    </w:p>
    <w:p w:rsidRPr="000E4A6E" w:rsidR="00E245AB" w:rsidP="00E245AB" w:rsidRDefault="00E245AB" w14:paraId="5FCADBF9" w14:textId="77777777">
      <w:pPr>
        <w:spacing w:after="0"/>
        <w:rPr>
          <w:rFonts w:ascii="Arial" w:hAnsi="Arial" w:cs="Arial"/>
        </w:rPr>
      </w:pPr>
    </w:p>
    <w:p w:rsidRPr="000E4A6E" w:rsidR="00E245AB" w:rsidP="00172AB5" w:rsidRDefault="00172AB5" w14:paraId="0465BA6D" w14:textId="0B905CEB">
      <w:pPr>
        <w:spacing w:after="0"/>
        <w:jc w:val="right"/>
        <w:rPr>
          <w:rFonts w:ascii="Arial" w:hAnsi="Arial" w:cs="Arial"/>
        </w:rPr>
      </w:pPr>
      <w:r>
        <w:rPr>
          <w:rFonts w:ascii="Arial" w:hAnsi="Arial" w:cs="Arial"/>
          <w:noProof/>
        </w:rPr>
        <w:drawing>
          <wp:inline distT="0" distB="0" distL="0" distR="0" wp14:anchorId="3C4962B0" wp14:editId="5BE3380B">
            <wp:extent cx="3037193" cy="754661"/>
            <wp:effectExtent l="0" t="0" r="0" b="7620"/>
            <wp:docPr id="39819971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199713" name="Imagen 1" descr="Texto&#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3055967" cy="759326"/>
                    </a:xfrm>
                    <a:prstGeom prst="rect">
                      <a:avLst/>
                    </a:prstGeom>
                  </pic:spPr>
                </pic:pic>
              </a:graphicData>
            </a:graphic>
          </wp:inline>
        </w:drawing>
      </w:r>
    </w:p>
    <w:p w:rsidRPr="000E4A6E" w:rsidR="00505E36" w:rsidP="00505E36" w:rsidRDefault="00505E36" w14:paraId="188C5F85" w14:textId="77777777">
      <w:pPr>
        <w:spacing w:after="0"/>
        <w:rPr>
          <w:rFonts w:ascii="Arial" w:hAnsi="Arial" w:eastAsia="Geomanist Light" w:cs="Arial"/>
          <w:color w:val="201F1E"/>
          <w:lang w:val="es-MX"/>
        </w:rPr>
      </w:pPr>
      <w:r w:rsidRPr="000E4A6E">
        <w:rPr>
          <w:rFonts w:ascii="Arial" w:hAnsi="Arial" w:cs="Arial"/>
          <w:lang w:val="es-MX"/>
        </w:rPr>
        <w:t>Señor:</w:t>
      </w:r>
    </w:p>
    <w:p w:rsidRPr="000E4A6E" w:rsidR="00505E36" w:rsidP="00505E36" w:rsidRDefault="007E2316" w14:paraId="5C393C51" w14:textId="32CA398B">
      <w:pPr>
        <w:spacing w:after="0" w:line="276" w:lineRule="auto"/>
        <w:rPr>
          <w:rFonts w:ascii="Arial" w:hAnsi="Arial" w:cs="Arial"/>
          <w:b/>
          <w:bCs/>
          <w:lang w:val="es-MX"/>
        </w:rPr>
      </w:pPr>
      <w:r w:rsidRPr="000E4A6E">
        <w:rPr>
          <w:rFonts w:ascii="Arial" w:hAnsi="Arial" w:cs="Arial"/>
          <w:b/>
          <w:bCs/>
          <w:lang w:val="es-MX"/>
        </w:rPr>
        <w:t>Helder German Pardo Buitrago</w:t>
      </w:r>
    </w:p>
    <w:p w:rsidRPr="000E4A6E" w:rsidR="00505E36" w:rsidP="00505E36" w:rsidRDefault="00A5352F" w14:paraId="1ACBE8D0" w14:textId="6EDA853C">
      <w:pPr>
        <w:spacing w:after="0" w:line="276" w:lineRule="auto"/>
        <w:rPr>
          <w:rFonts w:ascii="Arial" w:hAnsi="Arial" w:cs="Arial"/>
          <w:lang w:val="es-MX"/>
        </w:rPr>
      </w:pPr>
      <w:r w:rsidRPr="000E4A6E">
        <w:rPr>
          <w:rFonts w:ascii="Arial" w:hAnsi="Arial" w:cs="Arial"/>
          <w:lang w:val="es-MX"/>
        </w:rPr>
        <w:t>Villavicencio, Meta</w:t>
      </w:r>
    </w:p>
    <w:p w:rsidRPr="000E4A6E" w:rsidR="00505E36" w:rsidP="00505E36" w:rsidRDefault="00505E36" w14:paraId="1BAF30EE" w14:textId="77777777">
      <w:pPr>
        <w:spacing w:after="0" w:line="276" w:lineRule="auto"/>
        <w:rPr>
          <w:rFonts w:ascii="Arial" w:hAnsi="Arial" w:cs="Arial"/>
          <w:lang w:val="es-MX"/>
        </w:rPr>
      </w:pPr>
    </w:p>
    <w:p w:rsidRPr="000E4A6E" w:rsidR="00505E36" w:rsidP="00505E36" w:rsidRDefault="00505E36" w14:paraId="2AF4EB3C" w14:textId="77777777">
      <w:pPr>
        <w:spacing w:after="0" w:line="276" w:lineRule="auto"/>
        <w:rPr>
          <w:rFonts w:ascii="Arial" w:hAnsi="Arial" w:cs="Arial"/>
          <w:lang w:val="es-MX"/>
        </w:rPr>
      </w:pPr>
    </w:p>
    <w:p w:rsidRPr="000E4A6E" w:rsidR="00505E36" w:rsidP="00505E36" w:rsidRDefault="00505E36" w14:paraId="10F12F4C" w14:textId="4A1198D7">
      <w:pPr>
        <w:spacing w:after="0" w:line="276" w:lineRule="auto"/>
        <w:ind w:left="2832"/>
        <w:rPr>
          <w:rFonts w:ascii="Arial" w:hAnsi="Arial" w:eastAsia="Calibri" w:cs="Arial"/>
          <w:b/>
          <w:bCs/>
          <w:lang w:val="es-ES"/>
        </w:rPr>
      </w:pPr>
      <w:r w:rsidRPr="000E4A6E">
        <w:rPr>
          <w:rFonts w:ascii="Arial" w:hAnsi="Arial" w:eastAsia="Calibri" w:cs="Arial"/>
          <w:b/>
          <w:bCs/>
          <w:lang w:val="es-ES"/>
        </w:rPr>
        <w:t>Concepto C-</w:t>
      </w:r>
      <w:r w:rsidRPr="000E4A6E" w:rsidR="00073939">
        <w:rPr>
          <w:rFonts w:ascii="Arial" w:hAnsi="Arial" w:cs="Arial"/>
        </w:rPr>
        <w:t xml:space="preserve"> </w:t>
      </w:r>
      <w:r w:rsidRPr="000E4A6E" w:rsidR="00073939">
        <w:rPr>
          <w:rFonts w:ascii="Arial" w:hAnsi="Arial" w:eastAsia="Calibri" w:cs="Arial"/>
          <w:b/>
          <w:bCs/>
          <w:lang w:val="es-ES"/>
        </w:rPr>
        <w:t xml:space="preserve">247 </w:t>
      </w:r>
      <w:r w:rsidRPr="000E4A6E">
        <w:rPr>
          <w:rFonts w:ascii="Arial" w:hAnsi="Arial" w:eastAsia="Calibri" w:cs="Arial"/>
          <w:b/>
          <w:bCs/>
          <w:lang w:val="es-ES"/>
        </w:rPr>
        <w:t>del 2023</w:t>
      </w:r>
    </w:p>
    <w:p w:rsidRPr="000E4A6E" w:rsidR="00505E36" w:rsidP="00505E36" w:rsidRDefault="00505E36" w14:paraId="0FB02990" w14:textId="77777777">
      <w:pPr>
        <w:spacing w:after="0" w:line="276" w:lineRule="auto"/>
        <w:jc w:val="both"/>
        <w:rPr>
          <w:rFonts w:ascii="Arial" w:hAnsi="Arial" w:eastAsia="Calibri" w:cs="Arial"/>
          <w:lang w:val="es-ES"/>
        </w:rPr>
      </w:pPr>
    </w:p>
    <w:tbl>
      <w:tblPr>
        <w:tblStyle w:val="Tablaconcuadrcula"/>
        <w:tblW w:w="8075"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838"/>
        <w:gridCol w:w="6237"/>
      </w:tblGrid>
      <w:tr w:rsidRPr="000E4A6E" w:rsidR="00505E36" w:rsidTr="006E21C7" w14:paraId="668B0CC2" w14:textId="77777777">
        <w:trPr>
          <w:jc w:val="right"/>
        </w:trPr>
        <w:tc>
          <w:tcPr>
            <w:tcW w:w="1838" w:type="dxa"/>
          </w:tcPr>
          <w:p w:rsidRPr="000E4A6E" w:rsidR="00505E36" w:rsidP="006E21C7" w:rsidRDefault="00505E36" w14:paraId="74374091" w14:textId="77777777">
            <w:pPr>
              <w:spacing w:line="276" w:lineRule="auto"/>
              <w:jc w:val="center"/>
              <w:rPr>
                <w:rFonts w:ascii="Arial" w:hAnsi="Arial" w:eastAsia="Calibri" w:cs="Arial"/>
                <w:lang w:val="es-ES_tradnl"/>
              </w:rPr>
            </w:pPr>
            <w:r w:rsidRPr="000E4A6E">
              <w:rPr>
                <w:rFonts w:ascii="Arial" w:hAnsi="Arial" w:eastAsia="Calibri" w:cs="Arial"/>
                <w:b/>
                <w:lang w:val="es-ES_tradnl"/>
              </w:rPr>
              <w:t>Temas:</w:t>
            </w:r>
          </w:p>
        </w:tc>
        <w:tc>
          <w:tcPr>
            <w:tcW w:w="6237" w:type="dxa"/>
          </w:tcPr>
          <w:p w:rsidRPr="000E4A6E" w:rsidR="00505E36" w:rsidP="00C75AB3" w:rsidRDefault="00C75AB3" w14:paraId="06B4F0EB" w14:textId="4AEB57E8">
            <w:pPr>
              <w:spacing w:after="120"/>
              <w:contextualSpacing/>
              <w:jc w:val="both"/>
              <w:rPr>
                <w:rFonts w:ascii="Arial" w:hAnsi="Arial" w:eastAsia="Calibri" w:cs="Arial"/>
                <w:bCs/>
                <w:lang w:val="es-MX" w:eastAsia="es-ES_tradnl"/>
              </w:rPr>
            </w:pPr>
            <w:r w:rsidRPr="000E4A6E">
              <w:rPr>
                <w:rFonts w:ascii="Arial" w:hAnsi="Arial" w:eastAsia="Calibri" w:cs="Arial"/>
                <w:bCs/>
                <w:lang w:val="es-MX" w:eastAsia="es-ES_tradnl"/>
              </w:rPr>
              <w:t>LEY DE GARANTÍAS ELECTORALES ‒ Finalidad / LEY DE GARANTÍAS ELECTORALES ‒ Tipos de restricciones ‒ Ámbito temporal / LEY DE GARANTÍAS ELECTORALES ‒ Prohibición por elección de cargos populares – Convenios y contratos interadministrativos – Definición – Criterio orgánico</w:t>
            </w:r>
          </w:p>
        </w:tc>
      </w:tr>
      <w:tr w:rsidRPr="000E4A6E" w:rsidR="00505E36" w:rsidTr="006E21C7" w14:paraId="64AE63CB" w14:textId="77777777">
        <w:trPr>
          <w:jc w:val="right"/>
        </w:trPr>
        <w:tc>
          <w:tcPr>
            <w:tcW w:w="1838" w:type="dxa"/>
          </w:tcPr>
          <w:p w:rsidRPr="000E4A6E" w:rsidR="00505E36" w:rsidP="006E21C7" w:rsidRDefault="00505E36" w14:paraId="7F7560D0" w14:textId="77777777">
            <w:pPr>
              <w:spacing w:line="276" w:lineRule="auto"/>
              <w:jc w:val="center"/>
              <w:rPr>
                <w:rFonts w:ascii="Arial" w:hAnsi="Arial" w:eastAsia="Calibri" w:cs="Arial"/>
                <w:b/>
                <w:lang w:val="es-ES"/>
              </w:rPr>
            </w:pPr>
            <w:r w:rsidRPr="000E4A6E">
              <w:rPr>
                <w:rFonts w:ascii="Arial" w:hAnsi="Arial" w:eastAsia="Calibri" w:cs="Arial"/>
                <w:b/>
                <w:lang w:val="es-ES"/>
              </w:rPr>
              <w:t>Radicación:</w:t>
            </w:r>
          </w:p>
        </w:tc>
        <w:tc>
          <w:tcPr>
            <w:tcW w:w="6237" w:type="dxa"/>
          </w:tcPr>
          <w:p w:rsidRPr="000E4A6E" w:rsidR="00505E36" w:rsidP="006E21C7" w:rsidRDefault="00505E36" w14:paraId="551012CF" w14:textId="11C30E74">
            <w:pPr>
              <w:spacing w:line="276" w:lineRule="auto"/>
              <w:jc w:val="both"/>
              <w:rPr>
                <w:rFonts w:ascii="Arial" w:hAnsi="Arial" w:eastAsia="Calibri" w:cs="Arial"/>
                <w:lang w:val="es-ES"/>
              </w:rPr>
            </w:pPr>
            <w:r w:rsidRPr="000E4A6E">
              <w:rPr>
                <w:rFonts w:ascii="Arial" w:hAnsi="Arial" w:eastAsia="Calibri" w:cs="Arial"/>
                <w:lang w:val="es-ES"/>
              </w:rPr>
              <w:t xml:space="preserve">Respuesta a consulta </w:t>
            </w:r>
            <w:r w:rsidRPr="000E4A6E" w:rsidR="00E740AF">
              <w:rPr>
                <w:rFonts w:ascii="Arial" w:hAnsi="Arial" w:eastAsia="Calibri" w:cs="Arial"/>
                <w:lang w:val="es-ES"/>
              </w:rPr>
              <w:t xml:space="preserve">Nro. </w:t>
            </w:r>
            <w:r w:rsidRPr="000E4A6E" w:rsidR="006F3ECB">
              <w:rPr>
                <w:rFonts w:ascii="Arial" w:hAnsi="Arial" w:eastAsia="Calibri" w:cs="Arial"/>
                <w:lang w:val="es-ES"/>
              </w:rPr>
              <w:t>P20230524011572</w:t>
            </w:r>
            <w:r w:rsidRPr="000E4A6E" w:rsidR="005E514B">
              <w:rPr>
                <w:rFonts w:ascii="Arial" w:hAnsi="Arial" w:eastAsia="Calibri" w:cs="Arial"/>
                <w:lang w:val="es-ES"/>
              </w:rPr>
              <w:t xml:space="preserve"> </w:t>
            </w:r>
            <w:r w:rsidRPr="000E4A6E" w:rsidR="001D2BBE">
              <w:rPr>
                <w:rFonts w:ascii="Arial" w:hAnsi="Arial" w:eastAsia="Calibri" w:cs="Arial"/>
                <w:lang w:val="es-ES"/>
              </w:rPr>
              <w:t>acumulada con el radicado Nro. P20230524011595.</w:t>
            </w:r>
          </w:p>
        </w:tc>
      </w:tr>
    </w:tbl>
    <w:p w:rsidRPr="000E4A6E" w:rsidR="00505E36" w:rsidP="00505E36" w:rsidRDefault="00505E36" w14:paraId="11373F5C" w14:textId="77777777">
      <w:pPr>
        <w:spacing w:line="276" w:lineRule="auto"/>
        <w:jc w:val="both"/>
        <w:rPr>
          <w:rFonts w:ascii="Arial" w:hAnsi="Arial" w:eastAsia="Calibri" w:cs="Arial"/>
          <w:lang w:val="es-ES_tradnl"/>
        </w:rPr>
      </w:pPr>
    </w:p>
    <w:p w:rsidRPr="000E4A6E" w:rsidR="00505E36" w:rsidP="00505E36" w:rsidRDefault="00505E36" w14:paraId="0F867362" w14:textId="02AB8D24">
      <w:pPr>
        <w:spacing w:line="276" w:lineRule="auto"/>
        <w:jc w:val="both"/>
        <w:rPr>
          <w:rFonts w:ascii="Arial" w:hAnsi="Arial" w:eastAsia="Calibri" w:cs="Arial"/>
          <w:bCs/>
          <w:lang w:val="es-ES_tradnl"/>
        </w:rPr>
      </w:pPr>
      <w:r w:rsidRPr="000E4A6E">
        <w:rPr>
          <w:rFonts w:ascii="Arial" w:hAnsi="Arial" w:eastAsia="Calibri" w:cs="Arial"/>
          <w:lang w:val="es-ES_tradnl"/>
        </w:rPr>
        <w:t xml:space="preserve">Estimado señor </w:t>
      </w:r>
      <w:r w:rsidRPr="000E4A6E" w:rsidR="002D21F3">
        <w:rPr>
          <w:rFonts w:ascii="Arial" w:hAnsi="Arial" w:cs="Arial"/>
          <w:lang w:val="es-MX"/>
        </w:rPr>
        <w:t>Pardo Buitrago</w:t>
      </w:r>
      <w:r w:rsidRPr="000E4A6E">
        <w:rPr>
          <w:rFonts w:ascii="Arial" w:hAnsi="Arial" w:eastAsia="Calibri" w:cs="Arial"/>
          <w:bCs/>
          <w:lang w:val="es-ES_tradnl"/>
        </w:rPr>
        <w:t>:</w:t>
      </w:r>
    </w:p>
    <w:p w:rsidRPr="000E4A6E" w:rsidR="00505E36" w:rsidP="00505E36" w:rsidRDefault="00505E36" w14:paraId="34052A9A" w14:textId="4E1DB8AF">
      <w:pPr>
        <w:spacing w:after="0" w:line="276" w:lineRule="auto"/>
        <w:jc w:val="both"/>
        <w:rPr>
          <w:rFonts w:ascii="Arial" w:hAnsi="Arial" w:eastAsia="Calibri" w:cs="Arial"/>
          <w:lang w:val="es-ES"/>
        </w:rPr>
      </w:pPr>
      <w:r w:rsidRPr="000E4A6E">
        <w:rPr>
          <w:rFonts w:ascii="Arial" w:hAnsi="Arial" w:eastAsia="Calibri" w:cs="Arial"/>
          <w:lang w:val="es-ES"/>
        </w:rPr>
        <w:t xml:space="preserve">En ejercicio de la competencia otorgada por el numeral 8° del artículo 11 y el numeral 5° del artículo 3 del Decreto Ley 4170 de 2011, la Agencia Nacional de Contratación Pública ― Colombia Compra Eficiente responde su consulta del </w:t>
      </w:r>
      <w:r w:rsidRPr="000E4A6E" w:rsidR="002D21F3">
        <w:rPr>
          <w:rFonts w:ascii="Arial" w:hAnsi="Arial" w:eastAsia="Calibri" w:cs="Arial"/>
          <w:lang w:val="es-ES"/>
        </w:rPr>
        <w:t>24 de mayo del 2023</w:t>
      </w:r>
      <w:r w:rsidRPr="000E4A6E">
        <w:rPr>
          <w:rFonts w:ascii="Arial" w:hAnsi="Arial" w:eastAsia="Calibri" w:cs="Arial"/>
          <w:lang w:val="es-ES"/>
        </w:rPr>
        <w:t>.</w:t>
      </w:r>
    </w:p>
    <w:p w:rsidRPr="000E4A6E" w:rsidR="00505E36" w:rsidP="00505E36" w:rsidRDefault="00505E36" w14:paraId="45403208" w14:textId="77777777">
      <w:pPr>
        <w:spacing w:after="0" w:line="276" w:lineRule="auto"/>
        <w:jc w:val="both"/>
        <w:rPr>
          <w:rFonts w:ascii="Arial" w:hAnsi="Arial" w:eastAsia="Calibri" w:cs="Arial"/>
          <w:lang w:val="es-ES"/>
        </w:rPr>
      </w:pPr>
    </w:p>
    <w:p w:rsidRPr="000E4A6E" w:rsidR="00505E36" w:rsidP="00505E36" w:rsidRDefault="00505E36" w14:paraId="4ACC3FD0" w14:textId="77777777">
      <w:pPr>
        <w:pStyle w:val="Prrafodelista"/>
        <w:numPr>
          <w:ilvl w:val="0"/>
          <w:numId w:val="6"/>
        </w:numPr>
        <w:tabs>
          <w:tab w:val="left" w:pos="0"/>
          <w:tab w:val="left" w:pos="142"/>
          <w:tab w:val="left" w:pos="284"/>
        </w:tabs>
        <w:spacing w:after="0" w:line="276" w:lineRule="auto"/>
        <w:ind w:left="0" w:firstLine="0"/>
        <w:jc w:val="both"/>
        <w:rPr>
          <w:rFonts w:ascii="Arial" w:hAnsi="Arial" w:eastAsia="Calibri" w:cs="Arial"/>
          <w:b/>
          <w:lang w:val="es-ES_tradnl"/>
        </w:rPr>
      </w:pPr>
      <w:r w:rsidRPr="000E4A6E">
        <w:rPr>
          <w:rFonts w:ascii="Arial" w:hAnsi="Arial" w:eastAsia="Calibri" w:cs="Arial"/>
          <w:b/>
          <w:lang w:val="es-ES_tradnl"/>
        </w:rPr>
        <w:t xml:space="preserve">Problema planteado </w:t>
      </w:r>
    </w:p>
    <w:p w:rsidRPr="000E4A6E" w:rsidR="00505E36" w:rsidP="00505E36" w:rsidRDefault="00505E36" w14:paraId="18B8DF6A" w14:textId="77777777">
      <w:pPr>
        <w:pStyle w:val="Prrafodelista"/>
        <w:tabs>
          <w:tab w:val="left" w:pos="0"/>
          <w:tab w:val="left" w:pos="142"/>
          <w:tab w:val="left" w:pos="284"/>
        </w:tabs>
        <w:spacing w:after="0" w:line="276" w:lineRule="auto"/>
        <w:ind w:left="0"/>
        <w:jc w:val="both"/>
        <w:rPr>
          <w:rFonts w:ascii="Arial" w:hAnsi="Arial" w:eastAsia="Calibri" w:cs="Arial"/>
          <w:b/>
          <w:lang w:val="es-ES_tradnl"/>
        </w:rPr>
      </w:pPr>
    </w:p>
    <w:p w:rsidRPr="000E4A6E" w:rsidR="00505E36" w:rsidP="00505E36" w:rsidRDefault="00505E36" w14:paraId="075F989D" w14:textId="02169FF8">
      <w:pPr>
        <w:spacing w:after="0" w:line="276" w:lineRule="auto"/>
        <w:jc w:val="both"/>
        <w:rPr>
          <w:rFonts w:ascii="Arial" w:hAnsi="Arial" w:cs="Arial"/>
          <w:lang w:val="es-ES_tradnl"/>
        </w:rPr>
      </w:pPr>
      <w:r w:rsidRPr="000E4A6E">
        <w:rPr>
          <w:rFonts w:ascii="Arial" w:hAnsi="Arial" w:cs="Arial"/>
          <w:lang w:val="es-ES_tradnl"/>
        </w:rPr>
        <w:t xml:space="preserve">Respecto a </w:t>
      </w:r>
      <w:r w:rsidRPr="000E4A6E" w:rsidR="001622A3">
        <w:rPr>
          <w:rFonts w:ascii="Arial" w:hAnsi="Arial" w:cs="Arial"/>
          <w:lang w:val="es-ES_tradnl"/>
        </w:rPr>
        <w:t xml:space="preserve">la </w:t>
      </w:r>
      <w:r w:rsidR="00805BD6">
        <w:rPr>
          <w:rFonts w:ascii="Arial" w:hAnsi="Arial" w:cs="Arial"/>
          <w:lang w:val="es-ES_tradnl"/>
        </w:rPr>
        <w:t>L</w:t>
      </w:r>
      <w:r w:rsidRPr="000E4A6E" w:rsidR="001622A3">
        <w:rPr>
          <w:rFonts w:ascii="Arial" w:hAnsi="Arial" w:cs="Arial"/>
          <w:lang w:val="es-ES_tradnl"/>
        </w:rPr>
        <w:t>ey de garantías</w:t>
      </w:r>
      <w:r w:rsidR="003400F9">
        <w:rPr>
          <w:rFonts w:ascii="Arial" w:hAnsi="Arial" w:cs="Arial"/>
          <w:lang w:val="es-ES_tradnl"/>
        </w:rPr>
        <w:t xml:space="preserve"> para el año 2023</w:t>
      </w:r>
      <w:r w:rsidRPr="000E4A6E">
        <w:rPr>
          <w:rFonts w:ascii="Arial" w:hAnsi="Arial" w:cs="Arial"/>
          <w:lang w:val="es-ES_tradnl"/>
        </w:rPr>
        <w:t xml:space="preserve">, usted realiza la siguiente consulta: </w:t>
      </w:r>
    </w:p>
    <w:p w:rsidRPr="000E4A6E" w:rsidR="00505E36" w:rsidP="00505E36" w:rsidRDefault="00505E36" w14:paraId="796E6DDD" w14:textId="77777777">
      <w:pPr>
        <w:spacing w:after="0" w:line="276" w:lineRule="auto"/>
        <w:jc w:val="both"/>
        <w:rPr>
          <w:rFonts w:ascii="Arial" w:hAnsi="Arial" w:cs="Arial"/>
          <w:lang w:val="es-ES_tradnl"/>
        </w:rPr>
      </w:pPr>
    </w:p>
    <w:p w:rsidRPr="000E4A6E" w:rsidR="0031689B" w:rsidP="0031689B" w:rsidRDefault="00B44C5A" w14:paraId="6CAB4DDA" w14:textId="557BC91D">
      <w:pPr>
        <w:pStyle w:val="Prrafodelista"/>
        <w:numPr>
          <w:ilvl w:val="0"/>
          <w:numId w:val="7"/>
        </w:numPr>
        <w:spacing w:after="0" w:line="240" w:lineRule="auto"/>
        <w:ind w:left="1069" w:right="709"/>
        <w:jc w:val="both"/>
        <w:rPr>
          <w:rFonts w:ascii="Arial" w:hAnsi="Arial" w:cs="Arial"/>
          <w:sz w:val="21"/>
          <w:szCs w:val="21"/>
          <w:lang w:val="es-ES_tradnl"/>
        </w:rPr>
      </w:pPr>
      <w:r>
        <w:rPr>
          <w:rFonts w:ascii="Arial" w:hAnsi="Arial" w:cs="Arial"/>
          <w:sz w:val="21"/>
          <w:szCs w:val="21"/>
          <w:lang w:val="es-ES_tradnl"/>
        </w:rPr>
        <w:t>“</w:t>
      </w:r>
      <w:r w:rsidRPr="000E4A6E" w:rsidR="0000549A">
        <w:rPr>
          <w:rFonts w:ascii="Arial" w:hAnsi="Arial" w:cs="Arial"/>
          <w:sz w:val="21"/>
          <w:szCs w:val="21"/>
          <w:lang w:val="es-ES_tradnl"/>
        </w:rPr>
        <w:t xml:space="preserve">Una vez entrada en Vigencia la Ley de Garantías el próximo 30 de </w:t>
      </w:r>
      <w:proofErr w:type="gramStart"/>
      <w:r w:rsidRPr="000E4A6E" w:rsidR="0000549A">
        <w:rPr>
          <w:rFonts w:ascii="Arial" w:hAnsi="Arial" w:cs="Arial"/>
          <w:sz w:val="21"/>
          <w:szCs w:val="21"/>
          <w:lang w:val="es-ES_tradnl"/>
        </w:rPr>
        <w:t>Junio</w:t>
      </w:r>
      <w:proofErr w:type="gramEnd"/>
      <w:r w:rsidRPr="000E4A6E" w:rsidR="0000549A">
        <w:rPr>
          <w:rFonts w:ascii="Arial" w:hAnsi="Arial" w:cs="Arial"/>
          <w:sz w:val="21"/>
          <w:szCs w:val="21"/>
          <w:lang w:val="es-ES_tradnl"/>
        </w:rPr>
        <w:t xml:space="preserve"> del 2023, las entidades del Orden Nacional, Distrital, Departamento y Municipal Pueden Seguir Realizando Contratación Directa, más explícitamente Contratos de Prestación de Servicios.</w:t>
      </w:r>
    </w:p>
    <w:p w:rsidRPr="000E4A6E" w:rsidR="0031689B" w:rsidP="0031689B" w:rsidRDefault="0031689B" w14:paraId="53656AD4" w14:textId="77777777">
      <w:pPr>
        <w:pStyle w:val="Prrafodelista"/>
        <w:spacing w:after="0" w:line="240" w:lineRule="auto"/>
        <w:ind w:left="1069" w:right="709"/>
        <w:jc w:val="both"/>
        <w:rPr>
          <w:rFonts w:ascii="Arial" w:hAnsi="Arial" w:cs="Arial"/>
          <w:sz w:val="21"/>
          <w:szCs w:val="21"/>
          <w:lang w:val="es-ES_tradnl"/>
        </w:rPr>
      </w:pPr>
    </w:p>
    <w:p w:rsidRPr="000E4A6E" w:rsidR="007D126A" w:rsidP="007D126A" w:rsidRDefault="0031689B" w14:paraId="2FB18186" w14:textId="77777777">
      <w:pPr>
        <w:pStyle w:val="Prrafodelista"/>
        <w:numPr>
          <w:ilvl w:val="0"/>
          <w:numId w:val="7"/>
        </w:numPr>
        <w:spacing w:after="0" w:line="240" w:lineRule="auto"/>
        <w:ind w:left="1069" w:right="709"/>
        <w:jc w:val="both"/>
        <w:rPr>
          <w:rFonts w:ascii="Arial" w:hAnsi="Arial" w:cs="Arial"/>
          <w:sz w:val="21"/>
          <w:szCs w:val="21"/>
          <w:lang w:val="es-ES_tradnl"/>
        </w:rPr>
      </w:pPr>
      <w:r w:rsidRPr="000E4A6E">
        <w:rPr>
          <w:rFonts w:ascii="Arial" w:hAnsi="Arial" w:cs="Arial"/>
          <w:sz w:val="21"/>
          <w:szCs w:val="21"/>
          <w:lang w:val="es-ES_tradnl"/>
        </w:rPr>
        <w:t>Si en la vigencia de la Ley de Garantías, se pueden realizar modificaciones, en tiempo y dinero a los contratos sin importar su naturaleza.</w:t>
      </w:r>
    </w:p>
    <w:p w:rsidRPr="000E4A6E" w:rsidR="007D126A" w:rsidP="007D126A" w:rsidRDefault="007D126A" w14:paraId="47C2C839" w14:textId="77777777">
      <w:pPr>
        <w:pStyle w:val="Prrafodelista"/>
        <w:rPr>
          <w:rFonts w:ascii="Arial" w:hAnsi="Arial" w:cs="Arial"/>
          <w:sz w:val="21"/>
          <w:szCs w:val="21"/>
          <w:lang w:val="es-ES_tradnl"/>
        </w:rPr>
      </w:pPr>
    </w:p>
    <w:p w:rsidRPr="000E4A6E" w:rsidR="0031689B" w:rsidP="007D126A" w:rsidRDefault="007D126A" w14:paraId="0C14E813" w14:textId="00B55DA2">
      <w:pPr>
        <w:pStyle w:val="Prrafodelista"/>
        <w:numPr>
          <w:ilvl w:val="0"/>
          <w:numId w:val="7"/>
        </w:numPr>
        <w:spacing w:after="0" w:line="240" w:lineRule="auto"/>
        <w:ind w:left="1069" w:right="709"/>
        <w:jc w:val="both"/>
        <w:rPr>
          <w:rFonts w:ascii="Arial" w:hAnsi="Arial" w:cs="Arial"/>
          <w:sz w:val="21"/>
          <w:szCs w:val="21"/>
          <w:lang w:val="es-ES_tradnl"/>
        </w:rPr>
      </w:pPr>
      <w:r w:rsidRPr="000E4A6E">
        <w:rPr>
          <w:rFonts w:ascii="Arial" w:hAnsi="Arial" w:cs="Arial"/>
          <w:sz w:val="21"/>
          <w:szCs w:val="21"/>
          <w:lang w:val="es-ES_tradnl"/>
        </w:rPr>
        <w:t>Si un contratista de Prestación de Servicios Puede realizar cesión de su contrato, durante la Ley de Garantías</w:t>
      </w:r>
      <w:r w:rsidRPr="000E4A6E" w:rsidR="006B6115">
        <w:rPr>
          <w:rFonts w:ascii="Arial" w:hAnsi="Arial" w:cs="Arial"/>
          <w:sz w:val="21"/>
          <w:szCs w:val="21"/>
          <w:lang w:val="es-ES_tradnl"/>
        </w:rPr>
        <w:t>.”</w:t>
      </w:r>
      <w:r w:rsidR="00B44C5A">
        <w:rPr>
          <w:rFonts w:ascii="Arial" w:hAnsi="Arial" w:cs="Arial"/>
          <w:sz w:val="21"/>
          <w:szCs w:val="21"/>
          <w:lang w:val="es-ES_tradnl"/>
        </w:rPr>
        <w:t xml:space="preserve"> (SIC)</w:t>
      </w:r>
    </w:p>
    <w:p w:rsidRPr="000E4A6E" w:rsidR="001654F1" w:rsidP="001654F1" w:rsidRDefault="001654F1" w14:paraId="0A54FE7C" w14:textId="77777777">
      <w:pPr>
        <w:spacing w:after="0" w:line="240" w:lineRule="auto"/>
        <w:ind w:right="709"/>
        <w:jc w:val="both"/>
        <w:rPr>
          <w:rFonts w:ascii="Arial" w:hAnsi="Arial" w:cs="Arial"/>
          <w:sz w:val="21"/>
          <w:szCs w:val="21"/>
          <w:lang w:val="es-ES_tradnl"/>
        </w:rPr>
      </w:pPr>
    </w:p>
    <w:p w:rsidRPr="000E4A6E" w:rsidR="001654F1" w:rsidP="001654F1" w:rsidRDefault="001654F1" w14:paraId="41FD5BC3" w14:textId="7FCB2976">
      <w:pPr>
        <w:pStyle w:val="Prrafodelista"/>
        <w:numPr>
          <w:ilvl w:val="0"/>
          <w:numId w:val="6"/>
        </w:numPr>
        <w:tabs>
          <w:tab w:val="left" w:pos="0"/>
          <w:tab w:val="left" w:pos="284"/>
        </w:tabs>
        <w:spacing w:after="0" w:line="276" w:lineRule="auto"/>
        <w:ind w:left="360"/>
        <w:jc w:val="both"/>
        <w:rPr>
          <w:rFonts w:ascii="Arial" w:hAnsi="Arial" w:eastAsia="Calibri" w:cs="Arial"/>
          <w:b/>
          <w:lang w:val="es-ES_tradnl"/>
        </w:rPr>
      </w:pPr>
      <w:r w:rsidRPr="000E4A6E">
        <w:rPr>
          <w:rFonts w:ascii="Arial" w:hAnsi="Arial" w:eastAsia="Calibri" w:cs="Arial"/>
          <w:b/>
          <w:lang w:val="es-ES_tradnl"/>
        </w:rPr>
        <w:t>Consideraciones</w:t>
      </w:r>
    </w:p>
    <w:p w:rsidRPr="000E4A6E" w:rsidR="001654F1" w:rsidP="001654F1" w:rsidRDefault="001654F1" w14:paraId="2FB61F95" w14:textId="77777777">
      <w:pPr>
        <w:pStyle w:val="Prrafodelista"/>
        <w:tabs>
          <w:tab w:val="left" w:pos="0"/>
          <w:tab w:val="left" w:pos="284"/>
        </w:tabs>
        <w:spacing w:after="0" w:line="276" w:lineRule="auto"/>
        <w:ind w:left="0"/>
        <w:contextualSpacing w:val="0"/>
        <w:jc w:val="both"/>
        <w:rPr>
          <w:rFonts w:ascii="Arial" w:hAnsi="Arial" w:eastAsia="Calibri" w:cs="Arial"/>
          <w:b/>
          <w:lang w:val="es-ES_tradnl"/>
        </w:rPr>
      </w:pPr>
    </w:p>
    <w:p w:rsidRPr="000E4A6E" w:rsidR="001654F1" w:rsidP="001654F1" w:rsidRDefault="001654F1" w14:paraId="78E66580" w14:textId="77777777">
      <w:pPr>
        <w:spacing w:after="120" w:line="276" w:lineRule="auto"/>
        <w:jc w:val="both"/>
        <w:rPr>
          <w:rFonts w:ascii="Arial" w:hAnsi="Arial" w:cs="Arial"/>
          <w:lang w:val="es-ES"/>
        </w:rPr>
      </w:pPr>
      <w:r w:rsidRPr="000E4A6E">
        <w:rPr>
          <w:rFonts w:ascii="Arial" w:hAnsi="Arial" w:cs="Arial"/>
        </w:rPr>
        <w:t>En ejercicio de las competencias establecidas en los artículos 3, numeral 5° y 11, numeral 8° del Decreto Ley 4170 de 2011, la Agencia Nacional de Contratación Pública – Colombia Compra Eficiente resuelve las consultas sobre los asuntos de su competencia, esto es, sobre las temáticas de la contratación estatal y compras públicas relacionadas en los artículos citados</w:t>
      </w:r>
      <w:bookmarkStart w:name="_Hlk61701014" w:id="6"/>
      <w:bookmarkStart w:name="_Hlk62136649" w:id="7"/>
      <w:r w:rsidRPr="000E4A6E">
        <w:rPr>
          <w:rFonts w:ascii="Arial" w:hAnsi="Arial" w:cs="Arial"/>
        </w:rPr>
        <w:t xml:space="preserve">. </w:t>
      </w:r>
      <w:r w:rsidRPr="000E4A6E">
        <w:rPr>
          <w:rFonts w:ascii="Arial" w:hAnsi="Arial" w:cs="Arial"/>
          <w:lang w:val="es-ES"/>
        </w:rPr>
        <w:t xml:space="preserve">Es necesario tener en cuenta que </w:t>
      </w:r>
      <w:bookmarkStart w:name="_Hlk61026958" w:id="8"/>
      <w:r w:rsidRPr="000E4A6E">
        <w:rPr>
          <w:rFonts w:ascii="Arial" w:hAnsi="Arial" w:cs="Arial"/>
          <w:lang w:val="es-ES"/>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0E4A6E">
        <w:rPr>
          <w:rFonts w:ascii="Arial" w:hAnsi="Arial" w:cs="Arial"/>
        </w:rPr>
        <w:t xml:space="preserve"> de todos los partícipes de la contratación estatal.</w:t>
      </w:r>
      <w:r w:rsidRPr="000E4A6E">
        <w:rPr>
          <w:rFonts w:ascii="Arial" w:hAnsi="Arial" w:cs="Arial"/>
          <w:lang w:val="es-ES"/>
        </w:rPr>
        <w:t xml:space="preserve"> </w:t>
      </w:r>
      <w:bookmarkEnd w:id="6"/>
      <w:bookmarkEnd w:id="7"/>
      <w:bookmarkEnd w:id="8"/>
    </w:p>
    <w:p w:rsidRPr="000E4A6E" w:rsidR="001654F1" w:rsidP="001654F1" w:rsidRDefault="001654F1" w14:paraId="39D0DF8E" w14:textId="77777777">
      <w:pPr>
        <w:spacing w:after="120" w:line="276" w:lineRule="auto"/>
        <w:ind w:firstLine="708"/>
        <w:jc w:val="both"/>
        <w:rPr>
          <w:rFonts w:ascii="Arial" w:hAnsi="Arial" w:cs="Arial"/>
          <w:lang w:val="es-ES"/>
        </w:rPr>
      </w:pPr>
      <w:r w:rsidRPr="000E4A6E">
        <w:rPr>
          <w:rFonts w:ascii="Arial" w:hAnsi="Arial" w:eastAsia="Calibri" w:cs="Arial"/>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0E4A6E">
        <w:rPr>
          <w:rFonts w:ascii="Arial" w:hAnsi="Arial" w:eastAsia="Calibri" w:cs="Arial"/>
          <w:vertAlign w:val="superscript"/>
          <w:lang w:val="es-ES"/>
        </w:rPr>
        <w:footnoteReference w:id="2"/>
      </w:r>
      <w:r w:rsidRPr="000E4A6E">
        <w:rPr>
          <w:rFonts w:ascii="Arial" w:hAnsi="Arial" w:eastAsia="Calibri" w:cs="Arial"/>
          <w:lang w:val="es-ES"/>
        </w:rPr>
        <w:t xml:space="preserve">.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contractuales de donde surge la inquietud. Por lo anterior, previo concepto de sus órganos asesores, la solución de estos temas corresponde a la Entidad que suscribió el contrato y, en caso de conflicto, a las autoridades judiciales, fiscales y disciplinarias. </w:t>
      </w:r>
    </w:p>
    <w:p w:rsidRPr="000E4A6E" w:rsidR="001654F1" w:rsidP="001654F1" w:rsidRDefault="001654F1" w14:paraId="1D1D0E66" w14:textId="750A1697">
      <w:pPr>
        <w:spacing w:before="120" w:after="120" w:line="276" w:lineRule="auto"/>
        <w:ind w:firstLine="709"/>
        <w:jc w:val="both"/>
        <w:rPr>
          <w:rFonts w:ascii="Arial" w:hAnsi="Arial" w:eastAsia="Calibri" w:cs="Arial"/>
          <w:lang w:val="es-ES_tradnl" w:eastAsia="es-MX"/>
        </w:rPr>
      </w:pPr>
      <w:r w:rsidRPr="000E4A6E">
        <w:rPr>
          <w:rFonts w:ascii="Arial" w:hAnsi="Arial" w:eastAsia="Calibri" w:cs="Arial"/>
          <w:color w:val="000000"/>
          <w:lang w:val="es-MX"/>
        </w:rPr>
        <w:t xml:space="preserve">Sin perjuicio de lo anterior, </w:t>
      </w:r>
      <w:r w:rsidRPr="000E4A6E">
        <w:rPr>
          <w:rFonts w:ascii="Arial" w:hAnsi="Arial" w:eastAsia="Calibri" w:cs="Arial"/>
          <w:color w:val="000000"/>
          <w:lang w:val="es-ES"/>
        </w:rPr>
        <w:t xml:space="preserve">la Subdirección de Gestión Contractual –dentro de los límites de sus atribuciones, esto es, </w:t>
      </w:r>
      <w:bookmarkStart w:name="_Hlk61025408" w:id="9"/>
      <w:r w:rsidRPr="000E4A6E">
        <w:rPr>
          <w:rFonts w:ascii="Arial" w:hAnsi="Arial" w:eastAsia="Calibri" w:cs="Arial"/>
          <w:color w:val="000000"/>
          <w:lang w:val="es-ES"/>
        </w:rPr>
        <w:t>haciendo abstracción del caso particular expuesto por el peticionari</w:t>
      </w:r>
      <w:bookmarkEnd w:id="9"/>
      <w:r w:rsidRPr="000E4A6E">
        <w:rPr>
          <w:rFonts w:ascii="Arial" w:hAnsi="Arial" w:eastAsia="Calibri" w:cs="Arial"/>
          <w:color w:val="000000"/>
          <w:lang w:val="es-ES"/>
        </w:rPr>
        <w:t>o– resolverá la consulta conforme a las normas generales en materia de contratación estatal</w:t>
      </w:r>
      <w:r w:rsidRPr="000E4A6E">
        <w:rPr>
          <w:rFonts w:ascii="Arial" w:hAnsi="Arial" w:eastAsia="Calibri" w:cs="Arial"/>
          <w:lang w:val="es-ES_tradnl" w:eastAsia="es-MX"/>
        </w:rPr>
        <w:t xml:space="preserve">. Con este objetivo se analizarán los siguientes temas: </w:t>
      </w:r>
      <w:r w:rsidRPr="000E4A6E" w:rsidR="005960B4">
        <w:rPr>
          <w:rFonts w:ascii="Arial" w:hAnsi="Arial" w:cs="Arial"/>
          <w:color w:val="000000" w:themeColor="text1"/>
          <w:lang w:val="es-ES_tradnl"/>
        </w:rPr>
        <w:t xml:space="preserve">i) definición y finalidad de la Ley de Garantías Electorales: alcance de las restricciones; </w:t>
      </w:r>
      <w:r w:rsidR="00C33C7F">
        <w:rPr>
          <w:rFonts w:ascii="Arial" w:hAnsi="Arial" w:cs="Arial"/>
          <w:color w:val="000000" w:themeColor="text1"/>
          <w:lang w:val="es-ES_tradnl"/>
        </w:rPr>
        <w:t>y</w:t>
      </w:r>
      <w:r w:rsidRPr="000E4A6E" w:rsidR="005960B4">
        <w:rPr>
          <w:rFonts w:ascii="Arial" w:hAnsi="Arial" w:cs="Arial"/>
          <w:color w:val="000000" w:themeColor="text1"/>
          <w:lang w:val="es-ES_tradnl"/>
        </w:rPr>
        <w:t xml:space="preserve"> </w:t>
      </w:r>
      <w:proofErr w:type="spellStart"/>
      <w:r w:rsidRPr="000E4A6E" w:rsidR="005960B4">
        <w:rPr>
          <w:rFonts w:ascii="Arial" w:hAnsi="Arial" w:cs="Arial"/>
          <w:color w:val="000000" w:themeColor="text1"/>
          <w:lang w:val="es-ES_tradnl"/>
        </w:rPr>
        <w:t>ii</w:t>
      </w:r>
      <w:proofErr w:type="spellEnd"/>
      <w:r w:rsidRPr="000E4A6E" w:rsidR="005960B4">
        <w:rPr>
          <w:rFonts w:ascii="Arial" w:hAnsi="Arial" w:cs="Arial"/>
          <w:color w:val="000000" w:themeColor="text1"/>
          <w:lang w:val="es-ES_tradnl"/>
        </w:rPr>
        <w:t xml:space="preserve">) </w:t>
      </w:r>
      <w:r w:rsidRPr="000E4A6E" w:rsidR="00362870">
        <w:rPr>
          <w:rFonts w:ascii="Arial" w:hAnsi="Arial" w:cs="Arial"/>
          <w:color w:val="000000" w:themeColor="text1"/>
          <w:lang w:val="es-ES_tradnl"/>
        </w:rPr>
        <w:t>Restricciones para la celebración de contratos y convenios interadministrativos</w:t>
      </w:r>
      <w:r w:rsidRPr="002A7405" w:rsidR="002A7405">
        <w:rPr>
          <w:rFonts w:ascii="Arial" w:hAnsi="Arial" w:cs="Arial"/>
          <w:color w:val="000000" w:themeColor="text1"/>
          <w:lang w:val="es-ES_tradnl"/>
        </w:rPr>
        <w:t xml:space="preserve"> en los comicios para cargos de elección popular</w:t>
      </w:r>
      <w:r w:rsidR="002A7405">
        <w:rPr>
          <w:rFonts w:ascii="Arial" w:hAnsi="Arial" w:cs="Arial"/>
          <w:color w:val="000000" w:themeColor="text1"/>
          <w:lang w:val="es-ES_tradnl"/>
        </w:rPr>
        <w:t>.</w:t>
      </w:r>
    </w:p>
    <w:p w:rsidRPr="000E4A6E" w:rsidR="003A1A76" w:rsidP="00905809" w:rsidRDefault="001654F1" w14:paraId="1F0E8DD7" w14:textId="2094D35E">
      <w:pPr>
        <w:spacing w:after="0" w:line="276" w:lineRule="auto"/>
        <w:ind w:firstLine="709"/>
        <w:jc w:val="both"/>
        <w:rPr>
          <w:rFonts w:ascii="Arial" w:hAnsi="Arial" w:eastAsia="Calibri" w:cs="Arial"/>
          <w:lang w:val="es-ES_tradnl" w:eastAsia="es-ES_tradnl"/>
        </w:rPr>
      </w:pPr>
      <w:r w:rsidRPr="000E4A6E">
        <w:rPr>
          <w:rFonts w:ascii="Arial" w:hAnsi="Arial" w:eastAsia="Calibri" w:cs="Arial"/>
          <w:color w:val="000000"/>
        </w:rPr>
        <w:t xml:space="preserve"> </w:t>
      </w:r>
      <w:r w:rsidRPr="000E4A6E">
        <w:rPr>
          <w:rFonts w:ascii="Arial" w:hAnsi="Arial" w:eastAsia="Calibri" w:cs="Arial"/>
        </w:rPr>
        <w:t>La Agencia Nacional de Contratación Pública – Colombia Compra Eficiente –en adelante la ANCP-CCE–</w:t>
      </w:r>
      <w:r w:rsidRPr="000E4A6E" w:rsidR="002A1542">
        <w:rPr>
          <w:rFonts w:ascii="Arial" w:hAnsi="Arial" w:eastAsia="Calibri" w:cs="Arial"/>
        </w:rPr>
        <w:t xml:space="preserve"> </w:t>
      </w:r>
      <w:r w:rsidRPr="000E4A6E" w:rsidR="002A1542">
        <w:rPr>
          <w:rFonts w:ascii="Arial" w:hAnsi="Arial" w:eastAsia="Calibri" w:cs="Arial"/>
          <w:lang w:val="es-ES_tradnl"/>
        </w:rPr>
        <w:t>ha impartido lineamientos sobre la aplicación de la Ley 996 de 2005</w:t>
      </w:r>
      <w:r w:rsidRPr="000E4A6E" w:rsidR="002411F2">
        <w:rPr>
          <w:rFonts w:ascii="Arial" w:hAnsi="Arial" w:eastAsia="Calibri" w:cs="Arial"/>
          <w:lang w:val="es-ES_tradnl"/>
        </w:rPr>
        <w:t xml:space="preserve">, </w:t>
      </w:r>
      <w:r w:rsidRPr="000E4A6E" w:rsidR="002A1542">
        <w:rPr>
          <w:rFonts w:ascii="Arial" w:hAnsi="Arial" w:eastAsia="Calibri" w:cs="Arial"/>
          <w:lang w:val="es-ES_tradnl"/>
        </w:rPr>
        <w:t>en los conceptos</w:t>
      </w:r>
      <w:r w:rsidRPr="000E4A6E" w:rsidR="002411F2">
        <w:rPr>
          <w:rFonts w:ascii="Arial" w:hAnsi="Arial" w:eastAsia="Arial" w:cs="Arial"/>
          <w:lang w:val="es-MX" w:eastAsia="es-ES_tradnl"/>
        </w:rPr>
        <w:t xml:space="preserve"> Nro. </w:t>
      </w:r>
      <w:r w:rsidRPr="000E4A6E" w:rsidR="003C2907">
        <w:rPr>
          <w:rFonts w:ascii="Arial" w:hAnsi="Arial" w:eastAsia="Calibri" w:cs="Arial"/>
          <w:lang w:val="es-ES_tradnl"/>
        </w:rPr>
        <w:t>4201912000004632 del 6 de agosto de 2019, 2201913000005655 del 8 de agosto de 2019, 2201913000006283 del 27 de agosto de 2019, 2201913000006521 del 3 de septiembre de 2019, 2201913000006634 del 6 de septiembre de 2019, 2201913000006639 del 9 de septiembre de 2019, 2201913000007430 del 7 de octubre de 2019, 2201913000007565 del 10 de octubre de 2019, 2201913000008259 del 6 de noviembre de 2019</w:t>
      </w:r>
      <w:r w:rsidRPr="000E4A6E" w:rsidR="00937249">
        <w:rPr>
          <w:rFonts w:ascii="Arial" w:hAnsi="Arial" w:eastAsia="Calibri" w:cs="Arial"/>
          <w:bCs/>
          <w:lang w:val="es-MX"/>
        </w:rPr>
        <w:t>,</w:t>
      </w:r>
      <w:r w:rsidRPr="000E4A6E" w:rsidR="00E3521F">
        <w:rPr>
          <w:rFonts w:ascii="Arial" w:hAnsi="Arial" w:eastAsia="Calibri" w:cs="Arial"/>
          <w:bCs/>
          <w:lang w:val="es-MX"/>
        </w:rPr>
        <w:t xml:space="preserve"> C-</w:t>
      </w:r>
      <w:r w:rsidRPr="000E4A6E" w:rsidR="00807506">
        <w:rPr>
          <w:rFonts w:ascii="Arial" w:hAnsi="Arial" w:eastAsia="Calibri" w:cs="Arial"/>
          <w:bCs/>
          <w:lang w:val="es-MX"/>
        </w:rPr>
        <w:t>073 del 15 de marzo del 2023,</w:t>
      </w:r>
      <w:r w:rsidRPr="000E4A6E" w:rsidR="00251F26">
        <w:rPr>
          <w:rFonts w:ascii="Arial" w:hAnsi="Arial" w:eastAsia="Calibri" w:cs="Arial"/>
          <w:bCs/>
          <w:lang w:val="es-MX"/>
        </w:rPr>
        <w:t xml:space="preserve"> C-027 del 22 de marzo del 2023, </w:t>
      </w:r>
      <w:r w:rsidRPr="000E4A6E" w:rsidR="007470FF">
        <w:rPr>
          <w:rFonts w:ascii="Arial" w:hAnsi="Arial" w:eastAsia="Calibri" w:cs="Arial"/>
          <w:bCs/>
          <w:lang w:val="es-MX"/>
        </w:rPr>
        <w:t xml:space="preserve">C-049 del 13 de abril de 2023, </w:t>
      </w:r>
      <w:r w:rsidRPr="000E4A6E" w:rsidR="005F3AD5">
        <w:rPr>
          <w:rFonts w:ascii="Arial" w:hAnsi="Arial" w:eastAsia="Calibri" w:cs="Arial"/>
          <w:bCs/>
          <w:lang w:val="es-MX"/>
        </w:rPr>
        <w:t xml:space="preserve">C-052 del 21 de abril del 2023, </w:t>
      </w:r>
      <w:r w:rsidRPr="000E4A6E" w:rsidR="00C13453">
        <w:rPr>
          <w:rFonts w:ascii="Arial" w:hAnsi="Arial" w:eastAsia="Calibri" w:cs="Arial"/>
          <w:bCs/>
          <w:lang w:val="es-MX"/>
        </w:rPr>
        <w:t>C-076 del 24 de abril del 2023,</w:t>
      </w:r>
      <w:r w:rsidRPr="000E4A6E" w:rsidR="00BB5225">
        <w:rPr>
          <w:rFonts w:ascii="Arial" w:hAnsi="Arial" w:eastAsia="Calibri" w:cs="Arial"/>
          <w:bCs/>
          <w:lang w:val="es-MX"/>
        </w:rPr>
        <w:t>C-</w:t>
      </w:r>
      <w:r w:rsidRPr="000E4A6E" w:rsidR="002C3137">
        <w:rPr>
          <w:rFonts w:ascii="Arial" w:hAnsi="Arial" w:eastAsia="Calibri" w:cs="Arial"/>
          <w:bCs/>
          <w:lang w:val="es-MX"/>
        </w:rPr>
        <w:t>075 del 25 de abril del 2023,</w:t>
      </w:r>
      <w:r w:rsidRPr="000E4A6E" w:rsidR="00C13453">
        <w:rPr>
          <w:rFonts w:ascii="Arial" w:hAnsi="Arial" w:eastAsia="Calibri" w:cs="Arial"/>
          <w:bCs/>
          <w:lang w:val="es-MX"/>
        </w:rPr>
        <w:t xml:space="preserve"> </w:t>
      </w:r>
      <w:r w:rsidRPr="000E4A6E" w:rsidR="005929A7">
        <w:rPr>
          <w:rFonts w:ascii="Arial" w:hAnsi="Arial" w:eastAsia="Calibri" w:cs="Arial"/>
          <w:bCs/>
          <w:lang w:val="es-MX"/>
        </w:rPr>
        <w:t xml:space="preserve">C-098 del 04 de mayo del 2023, </w:t>
      </w:r>
      <w:r w:rsidRPr="000E4A6E" w:rsidR="001A6353">
        <w:rPr>
          <w:rFonts w:ascii="Arial" w:hAnsi="Arial" w:eastAsia="Calibri" w:cs="Arial"/>
          <w:bCs/>
          <w:lang w:val="es-MX"/>
        </w:rPr>
        <w:t>C-</w:t>
      </w:r>
      <w:r w:rsidRPr="000E4A6E" w:rsidR="00912A86">
        <w:rPr>
          <w:rFonts w:ascii="Arial" w:hAnsi="Arial" w:eastAsia="Calibri" w:cs="Arial"/>
          <w:bCs/>
          <w:lang w:val="es-MX"/>
        </w:rPr>
        <w:t xml:space="preserve">107 del 08 de mayo del 2023, </w:t>
      </w:r>
      <w:r w:rsidRPr="000E4A6E" w:rsidR="00993A2B">
        <w:rPr>
          <w:rFonts w:ascii="Arial" w:hAnsi="Arial" w:eastAsia="Calibri" w:cs="Arial"/>
          <w:bCs/>
          <w:lang w:val="es-MX"/>
        </w:rPr>
        <w:t xml:space="preserve">C-115 del 08 de mayo del 2023, </w:t>
      </w:r>
      <w:r w:rsidRPr="000E4A6E" w:rsidR="007470FF">
        <w:rPr>
          <w:rFonts w:ascii="Arial" w:hAnsi="Arial" w:eastAsia="Calibri" w:cs="Arial"/>
          <w:bCs/>
          <w:lang w:val="es-MX"/>
        </w:rPr>
        <w:t>C-116 del 8 de mayo de 2023,</w:t>
      </w:r>
      <w:r w:rsidRPr="000E4A6E" w:rsidR="00876A1D">
        <w:rPr>
          <w:rFonts w:ascii="Arial" w:hAnsi="Arial" w:eastAsia="Calibri" w:cs="Arial"/>
          <w:bCs/>
          <w:lang w:val="es-MX"/>
        </w:rPr>
        <w:t xml:space="preserve"> C-118 del 09 de mayo del 2023, </w:t>
      </w:r>
      <w:r w:rsidRPr="000E4A6E" w:rsidR="007470FF">
        <w:rPr>
          <w:rFonts w:ascii="Arial" w:hAnsi="Arial" w:eastAsia="Calibri" w:cs="Arial"/>
          <w:bCs/>
          <w:lang w:val="es-MX"/>
        </w:rPr>
        <w:t>C-14</w:t>
      </w:r>
      <w:r w:rsidRPr="000E4A6E" w:rsidR="0011151C">
        <w:rPr>
          <w:rFonts w:ascii="Arial" w:hAnsi="Arial" w:eastAsia="Calibri" w:cs="Arial"/>
          <w:bCs/>
          <w:lang w:val="es-MX"/>
        </w:rPr>
        <w:t xml:space="preserve">5 </w:t>
      </w:r>
      <w:r w:rsidRPr="000E4A6E" w:rsidR="007470FF">
        <w:rPr>
          <w:rFonts w:ascii="Arial" w:hAnsi="Arial" w:eastAsia="Calibri" w:cs="Arial"/>
          <w:bCs/>
          <w:lang w:val="es-MX"/>
        </w:rPr>
        <w:t>del 18 de mayo del 2023</w:t>
      </w:r>
      <w:r w:rsidRPr="000E4A6E" w:rsidR="00CA4B18">
        <w:rPr>
          <w:rFonts w:ascii="Arial" w:hAnsi="Arial" w:eastAsia="Calibri" w:cs="Arial"/>
          <w:bCs/>
          <w:lang w:val="es-MX"/>
        </w:rPr>
        <w:t>,</w:t>
      </w:r>
      <w:r w:rsidRPr="000E4A6E" w:rsidR="00FC4C17">
        <w:rPr>
          <w:rFonts w:ascii="Arial" w:hAnsi="Arial" w:eastAsia="Calibri" w:cs="Arial"/>
          <w:bCs/>
          <w:lang w:val="es-MX"/>
        </w:rPr>
        <w:t xml:space="preserve"> C-243 del 30 de mayo del 2023 y </w:t>
      </w:r>
      <w:r w:rsidRPr="000E4A6E" w:rsidR="00CA4B18">
        <w:rPr>
          <w:rFonts w:ascii="Arial" w:hAnsi="Arial" w:eastAsia="Calibri" w:cs="Arial"/>
          <w:bCs/>
          <w:lang w:val="es-MX"/>
        </w:rPr>
        <w:t xml:space="preserve">C-149 del </w:t>
      </w:r>
      <w:r w:rsidRPr="000E4A6E" w:rsidR="00FC4C17">
        <w:rPr>
          <w:rFonts w:ascii="Arial" w:hAnsi="Arial" w:eastAsia="Calibri" w:cs="Arial"/>
          <w:bCs/>
          <w:lang w:val="es-MX"/>
        </w:rPr>
        <w:t>01 de junio del 2023</w:t>
      </w:r>
      <w:r w:rsidRPr="000E4A6E" w:rsidR="00767381">
        <w:rPr>
          <w:rFonts w:ascii="Arial" w:hAnsi="Arial" w:eastAsia="Calibri" w:cs="Arial"/>
          <w:bCs/>
          <w:lang w:val="es-MX"/>
        </w:rPr>
        <w:t>.</w:t>
      </w:r>
      <w:r w:rsidRPr="000E4A6E" w:rsidR="00805E4D">
        <w:rPr>
          <w:rStyle w:val="Refdenotaalpie"/>
          <w:rFonts w:ascii="Arial" w:hAnsi="Arial" w:eastAsia="Calibri" w:cs="Arial"/>
          <w:bCs/>
          <w:lang w:val="es-MX"/>
        </w:rPr>
        <w:footnoteReference w:id="3"/>
      </w:r>
      <w:r w:rsidRPr="000E4A6E" w:rsidR="00767381">
        <w:rPr>
          <w:rFonts w:ascii="Arial" w:hAnsi="Arial" w:eastAsia="Calibri" w:cs="Arial"/>
          <w:lang w:val="es-MX" w:eastAsia="es-ES_tradnl"/>
        </w:rPr>
        <w:t xml:space="preserve"> </w:t>
      </w:r>
      <w:r w:rsidRPr="000E4A6E">
        <w:rPr>
          <w:rFonts w:ascii="Arial" w:hAnsi="Arial" w:eastAsia="Calibri" w:cs="Arial"/>
          <w:lang w:val="es-ES_tradnl" w:eastAsia="es-ES_tradnl"/>
        </w:rPr>
        <w:t>Algunas de las consideraciones de estos conceptos se reiteran y se complementan en lo pertinente, teniendo en cuenta lo consultado.</w:t>
      </w:r>
    </w:p>
    <w:p w:rsidRPr="000E4A6E" w:rsidR="000E141A" w:rsidP="00905809" w:rsidRDefault="000E141A" w14:paraId="7E702882" w14:textId="77777777">
      <w:pPr>
        <w:spacing w:after="0" w:line="276" w:lineRule="auto"/>
        <w:ind w:firstLine="709"/>
        <w:jc w:val="both"/>
        <w:rPr>
          <w:rFonts w:ascii="Arial" w:hAnsi="Arial" w:eastAsia="Calibri" w:cs="Arial"/>
          <w:lang w:val="es-ES_tradnl" w:eastAsia="es-ES_tradnl"/>
        </w:rPr>
      </w:pPr>
    </w:p>
    <w:p w:rsidRPr="000E4A6E" w:rsidR="000E141A" w:rsidP="000E141A" w:rsidRDefault="000E141A" w14:paraId="7FD4A0FF" w14:textId="6CFCE7E9">
      <w:pPr>
        <w:tabs>
          <w:tab w:val="left" w:pos="426"/>
        </w:tabs>
        <w:spacing w:after="0" w:line="276" w:lineRule="auto"/>
        <w:contextualSpacing/>
        <w:jc w:val="both"/>
        <w:rPr>
          <w:rFonts w:ascii="Arial" w:hAnsi="Arial" w:eastAsia="Calibri" w:cs="Arial"/>
          <w:b/>
          <w:bCs/>
        </w:rPr>
      </w:pPr>
      <w:r w:rsidRPr="000E4A6E">
        <w:rPr>
          <w:rFonts w:ascii="Arial" w:hAnsi="Arial" w:eastAsia="Calibri" w:cs="Arial"/>
          <w:b/>
          <w:bCs/>
        </w:rPr>
        <w:t>2.</w:t>
      </w:r>
      <w:r w:rsidRPr="000E4A6E" w:rsidR="00AE0B3D">
        <w:rPr>
          <w:rFonts w:ascii="Arial" w:hAnsi="Arial" w:eastAsia="Calibri" w:cs="Arial"/>
          <w:b/>
          <w:bCs/>
        </w:rPr>
        <w:t>1</w:t>
      </w:r>
      <w:r w:rsidRPr="000E4A6E">
        <w:rPr>
          <w:rFonts w:ascii="Arial" w:hAnsi="Arial" w:eastAsia="Calibri" w:cs="Arial"/>
          <w:b/>
          <w:bCs/>
        </w:rPr>
        <w:t>. Definición y finalidad de la Ley de Garantías Electorales: alcance de las restricciones</w:t>
      </w:r>
    </w:p>
    <w:p w:rsidRPr="000E4A6E" w:rsidR="000E141A" w:rsidP="000E141A" w:rsidRDefault="000E141A" w14:paraId="1B314190" w14:textId="77777777">
      <w:pPr>
        <w:tabs>
          <w:tab w:val="left" w:pos="426"/>
        </w:tabs>
        <w:spacing w:after="0" w:line="276" w:lineRule="auto"/>
        <w:ind w:firstLine="709"/>
        <w:contextualSpacing/>
        <w:jc w:val="both"/>
        <w:rPr>
          <w:rFonts w:ascii="Arial" w:hAnsi="Arial" w:eastAsia="Calibri" w:cs="Arial"/>
          <w:bCs/>
        </w:rPr>
      </w:pPr>
    </w:p>
    <w:p w:rsidRPr="000E4A6E" w:rsidR="000E141A" w:rsidP="000E141A" w:rsidRDefault="000E141A" w14:paraId="4BACEC95" w14:textId="77777777">
      <w:pPr>
        <w:tabs>
          <w:tab w:val="left" w:pos="426"/>
        </w:tabs>
        <w:spacing w:after="120" w:line="276" w:lineRule="auto"/>
        <w:jc w:val="both"/>
        <w:rPr>
          <w:rFonts w:ascii="Arial" w:hAnsi="Arial" w:eastAsia="Times New Roman" w:cs="Arial"/>
          <w:bCs/>
          <w:lang w:eastAsia="es-CO"/>
        </w:rPr>
      </w:pPr>
      <w:r w:rsidRPr="000E4A6E">
        <w:rPr>
          <w:rFonts w:ascii="Arial" w:hAnsi="Arial" w:eastAsia="Calibri" w:cs="Arial"/>
          <w:bCs/>
        </w:rPr>
        <w:t>El ordenamiento jurídico colombiano contempla previsiones claras para evitar la obtención de beneficios personales en asuntos propios de la administración pública</w:t>
      </w:r>
      <w:r w:rsidRPr="000E4A6E">
        <w:rPr>
          <w:rFonts w:ascii="Arial" w:hAnsi="Arial" w:eastAsia="Calibri" w:cs="Arial"/>
          <w:bCs/>
          <w:i/>
          <w:iCs/>
        </w:rPr>
        <w:t xml:space="preserve">. </w:t>
      </w:r>
      <w:r w:rsidRPr="000E4A6E">
        <w:rPr>
          <w:rFonts w:ascii="Arial" w:hAnsi="Arial" w:eastAsia="Calibri" w:cs="Arial"/>
          <w:bCs/>
        </w:rPr>
        <w:t>Por ejemplo, el artículo 127 de la Constitución Política establece una prohibición contractual a los servidores públicos y en cuanto a aspectos políticos consagra restricciones a ciertos empleados del Estado, incluso en época no electoral</w:t>
      </w:r>
      <w:r w:rsidRPr="000E4A6E">
        <w:rPr>
          <w:rFonts w:ascii="Arial" w:hAnsi="Arial" w:eastAsia="Calibri" w:cs="Arial"/>
          <w:bCs/>
          <w:vertAlign w:val="superscript"/>
        </w:rPr>
        <w:footnoteReference w:id="4"/>
      </w:r>
      <w:r w:rsidRPr="000E4A6E">
        <w:rPr>
          <w:rFonts w:ascii="Arial" w:hAnsi="Arial" w:eastAsia="Calibri" w:cs="Arial"/>
          <w:bCs/>
        </w:rPr>
        <w:t xml:space="preserve">. </w:t>
      </w:r>
    </w:p>
    <w:p w:rsidRPr="000E4A6E" w:rsidR="000E141A" w:rsidP="000E141A" w:rsidRDefault="000E141A" w14:paraId="43FCDD9B" w14:textId="77777777">
      <w:pPr>
        <w:tabs>
          <w:tab w:val="left" w:pos="426"/>
        </w:tabs>
        <w:spacing w:after="0" w:line="276" w:lineRule="auto"/>
        <w:ind w:firstLine="709"/>
        <w:jc w:val="both"/>
        <w:rPr>
          <w:rFonts w:ascii="Arial" w:hAnsi="Arial" w:eastAsia="Times New Roman" w:cs="Arial"/>
          <w:bCs/>
          <w:lang w:val="es-MX" w:eastAsia="es-CO"/>
        </w:rPr>
      </w:pPr>
      <w:r w:rsidRPr="000E4A6E">
        <w:rPr>
          <w:rFonts w:ascii="Arial" w:hAnsi="Arial" w:eastAsia="Times New Roman" w:cs="Arial"/>
          <w:bCs/>
          <w:lang w:eastAsia="es-CO"/>
        </w:rPr>
        <w:t>En el mismo sentido</w:t>
      </w:r>
      <w:r w:rsidRPr="000E4A6E">
        <w:rPr>
          <w:rFonts w:ascii="Arial" w:hAnsi="Arial" w:eastAsia="Times New Roman" w:cs="Arial"/>
          <w:bCs/>
          <w:lang w:val="es-MX" w:eastAsia="es-CO"/>
        </w:rPr>
        <w:t xml:space="preserve">, </w:t>
      </w:r>
      <w:bookmarkStart w:name="_Hlk99576829" w:id="10"/>
      <w:r w:rsidRPr="000E4A6E">
        <w:rPr>
          <w:rFonts w:ascii="Arial" w:hAnsi="Arial" w:eastAsia="Times New Roman" w:cs="Arial"/>
          <w:bCs/>
          <w:lang w:val="es-MX" w:eastAsia="es-CO"/>
        </w:rPr>
        <w:t>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r w:rsidRPr="000E4A6E">
        <w:rPr>
          <w:rFonts w:ascii="Arial" w:hAnsi="Arial" w:eastAsia="Times New Roman" w:cs="Arial"/>
          <w:bCs/>
          <w:vertAlign w:val="superscript"/>
          <w:lang w:val="es-MX" w:eastAsia="es-CO"/>
        </w:rPr>
        <w:footnoteReference w:id="5"/>
      </w:r>
      <w:r w:rsidRPr="000E4A6E">
        <w:rPr>
          <w:rFonts w:ascii="Arial" w:hAnsi="Arial" w:eastAsia="Times New Roman" w:cs="Arial"/>
          <w:bCs/>
          <w:lang w:val="es-MX" w:eastAsia="es-CO"/>
        </w:rPr>
        <w:t xml:space="preserve">. En esta medida, introduce limitaciones para realizar nombramientos, postulaciones, contrataciones o cualquier otro tipo de actividad que implique destinación de </w:t>
      </w:r>
      <w:r w:rsidRPr="000E4A6E">
        <w:rPr>
          <w:rFonts w:ascii="Arial" w:hAnsi="Arial" w:eastAsia="Times New Roman" w:cs="Arial"/>
          <w:bCs/>
          <w:lang w:val="es-MX" w:eastAsia="es-CO"/>
        </w:rPr>
        <w:t>recursos públicos bajo el devenir propio de las entidades estatales.</w:t>
      </w:r>
      <w:r w:rsidRPr="000E4A6E">
        <w:rPr>
          <w:rFonts w:ascii="Arial" w:hAnsi="Arial" w:eastAsia="Calibri" w:cs="Arial"/>
          <w:noProof/>
          <w:lang w:val="es-ES_tradnl"/>
        </w:rPr>
        <w:t xml:space="preserve"> </w:t>
      </w:r>
      <w:bookmarkEnd w:id="10"/>
      <w:r w:rsidRPr="000E4A6E">
        <w:rPr>
          <w:rFonts w:ascii="Arial" w:hAnsi="Arial" w:eastAsia="Times New Roman" w:cs="Arial"/>
          <w:bCs/>
          <w:lang w:val="es-MX" w:eastAsia="es-CO"/>
        </w:rPr>
        <w:t>En armonía con lo anterior, la Corte Constitucional ha abordado la definición de la Ley de Garantías Electorales. De esta manera, explica que tiene como propósito:</w:t>
      </w:r>
    </w:p>
    <w:p w:rsidRPr="000E4A6E" w:rsidR="000E141A" w:rsidP="000E141A" w:rsidRDefault="000E141A" w14:paraId="56CE561A" w14:textId="77777777">
      <w:pPr>
        <w:spacing w:after="0" w:line="276" w:lineRule="auto"/>
        <w:ind w:right="709"/>
        <w:contextualSpacing/>
        <w:jc w:val="both"/>
        <w:rPr>
          <w:rFonts w:ascii="Arial" w:hAnsi="Arial" w:eastAsia="Times New Roman" w:cs="Arial"/>
          <w:sz w:val="21"/>
          <w:szCs w:val="21"/>
          <w:lang w:val="es-ES" w:eastAsia="es-CO"/>
        </w:rPr>
      </w:pPr>
    </w:p>
    <w:p w:rsidRPr="000E4A6E" w:rsidR="000E141A" w:rsidP="003A4043" w:rsidRDefault="000E141A" w14:paraId="44CA18A2" w14:textId="77777777">
      <w:pPr>
        <w:spacing w:after="0" w:line="240" w:lineRule="auto"/>
        <w:ind w:left="709" w:right="709"/>
        <w:contextualSpacing/>
        <w:jc w:val="both"/>
        <w:rPr>
          <w:rFonts w:ascii="Arial" w:hAnsi="Arial" w:eastAsia="Times New Roman" w:cs="Arial"/>
          <w:bCs/>
          <w:sz w:val="21"/>
          <w:szCs w:val="21"/>
          <w:lang w:val="es-MX" w:eastAsia="es-CO"/>
        </w:rPr>
      </w:pPr>
      <w:r w:rsidRPr="000E4A6E">
        <w:rPr>
          <w:rFonts w:ascii="Arial" w:hAnsi="Arial" w:eastAsia="Times New Roman" w:cs="Arial"/>
          <w:sz w:val="21"/>
          <w:szCs w:val="21"/>
          <w:lang w:val="es-ES" w:eastAsia="es-CO"/>
        </w:rPr>
        <w:t xml:space="preserve">“[…] </w:t>
      </w:r>
      <w:r w:rsidRPr="000E4A6E">
        <w:rPr>
          <w:rFonts w:ascii="Arial" w:hAnsi="Arial" w:eastAsia="Times New Roman" w:cs="Arial"/>
          <w:bCs/>
          <w:sz w:val="21"/>
          <w:szCs w:val="21"/>
          <w:lang w:val="es-MX" w:eastAsia="es-CO"/>
        </w:rPr>
        <w:t>la definición de reglas claras que permitan acceder a los canales de expresión democrática de manera efectiva e igualitaria. El objetivo de una ley de garantías es definir esas reglas.</w:t>
      </w:r>
    </w:p>
    <w:p w:rsidRPr="000E4A6E" w:rsidR="000E141A" w:rsidP="003A4043" w:rsidRDefault="000E141A" w14:paraId="181FDBFD" w14:textId="77777777">
      <w:pPr>
        <w:spacing w:after="0" w:line="240" w:lineRule="auto"/>
        <w:ind w:left="709" w:right="709"/>
        <w:contextualSpacing/>
        <w:jc w:val="both"/>
        <w:rPr>
          <w:rFonts w:ascii="Arial" w:hAnsi="Arial" w:eastAsia="Times New Roman" w:cs="Arial"/>
          <w:bCs/>
          <w:sz w:val="21"/>
          <w:szCs w:val="21"/>
          <w:lang w:val="es-MX" w:eastAsia="es-CO"/>
        </w:rPr>
      </w:pPr>
      <w:r w:rsidRPr="000E4A6E">
        <w:rPr>
          <w:rFonts w:ascii="Arial" w:hAnsi="Arial" w:eastAsia="Times New Roman" w:cs="Arial"/>
          <w:bCs/>
          <w:sz w:val="21"/>
          <w:szCs w:val="21"/>
          <w:lang w:val="es-MX" w:eastAsia="es-CO"/>
        </w:rPr>
        <w:t xml:space="preserve">[…] </w:t>
      </w:r>
    </w:p>
    <w:p w:rsidRPr="000E4A6E" w:rsidR="000E141A" w:rsidP="003A4043" w:rsidRDefault="000E141A" w14:paraId="19474A49" w14:textId="77777777">
      <w:pPr>
        <w:spacing w:after="0" w:line="240" w:lineRule="auto"/>
        <w:ind w:right="709"/>
        <w:contextualSpacing/>
        <w:jc w:val="both"/>
        <w:rPr>
          <w:rFonts w:ascii="Arial" w:hAnsi="Arial" w:eastAsia="Times New Roman" w:cs="Arial"/>
          <w:bCs/>
          <w:sz w:val="21"/>
          <w:szCs w:val="21"/>
          <w:lang w:val="es-MX" w:eastAsia="es-CO"/>
        </w:rPr>
      </w:pPr>
    </w:p>
    <w:p w:rsidRPr="000E4A6E" w:rsidR="000E141A" w:rsidP="003A4043" w:rsidRDefault="000E141A" w14:paraId="5EF99009" w14:textId="77777777">
      <w:pPr>
        <w:spacing w:after="0" w:line="240" w:lineRule="auto"/>
        <w:ind w:left="709" w:right="709"/>
        <w:contextualSpacing/>
        <w:jc w:val="both"/>
        <w:rPr>
          <w:rFonts w:ascii="Arial" w:hAnsi="Arial" w:eastAsia="Times New Roman" w:cs="Arial"/>
          <w:bCs/>
          <w:sz w:val="21"/>
          <w:szCs w:val="21"/>
          <w:lang w:val="es-MX" w:eastAsia="es-CO"/>
        </w:rPr>
      </w:pPr>
      <w:r w:rsidRPr="000E4A6E">
        <w:rPr>
          <w:rFonts w:ascii="Arial" w:hAnsi="Arial" w:eastAsia="Times New Roman" w:cs="Arial"/>
          <w:bCs/>
          <w:sz w:val="21"/>
          <w:szCs w:val="21"/>
          <w:lang w:val="es-MX" w:eastAsia="es-CO"/>
        </w:rPr>
        <w:t>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r w:rsidRPr="000E4A6E">
        <w:rPr>
          <w:rFonts w:ascii="Arial" w:hAnsi="Arial" w:eastAsia="Calibri" w:cs="Arial"/>
          <w:sz w:val="20"/>
          <w:szCs w:val="20"/>
          <w:vertAlign w:val="superscript"/>
          <w:lang w:val="es-MX"/>
        </w:rPr>
        <w:footnoteReference w:id="6"/>
      </w:r>
    </w:p>
    <w:p w:rsidRPr="000E4A6E" w:rsidR="000E141A" w:rsidP="000E141A" w:rsidRDefault="000E141A" w14:paraId="271787FB" w14:textId="77777777">
      <w:pPr>
        <w:spacing w:after="0" w:line="276" w:lineRule="auto"/>
        <w:ind w:left="709" w:right="709"/>
        <w:contextualSpacing/>
        <w:jc w:val="both"/>
        <w:rPr>
          <w:rFonts w:ascii="Arial" w:hAnsi="Arial" w:eastAsia="Times New Roman" w:cs="Arial"/>
          <w:bCs/>
          <w:sz w:val="21"/>
          <w:szCs w:val="21"/>
          <w:lang w:val="es-MX" w:eastAsia="es-CO"/>
        </w:rPr>
      </w:pPr>
    </w:p>
    <w:p w:rsidRPr="000E4A6E" w:rsidR="000E141A" w:rsidP="000E141A" w:rsidRDefault="000E141A" w14:paraId="4CC87270" w14:textId="77777777">
      <w:pPr>
        <w:spacing w:after="0" w:line="276" w:lineRule="auto"/>
        <w:ind w:firstLine="709"/>
        <w:jc w:val="both"/>
        <w:rPr>
          <w:rFonts w:ascii="Arial" w:hAnsi="Arial" w:eastAsia="Times New Roman" w:cs="Arial"/>
          <w:bCs/>
          <w:lang w:val="es-MX" w:eastAsia="es-CO"/>
        </w:rPr>
      </w:pPr>
      <w:bookmarkStart w:name="_Hlk78818186" w:id="11"/>
      <w:r w:rsidRPr="000E4A6E">
        <w:rPr>
          <w:rFonts w:ascii="Arial" w:hAnsi="Arial" w:eastAsia="Times New Roman" w:cs="Arial"/>
          <w:bCs/>
          <w:lang w:val="es-MX" w:eastAsia="es-CO"/>
        </w:rPr>
        <w:t xml:space="preserve">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 </w:t>
      </w:r>
      <w:bookmarkEnd w:id="11"/>
      <w:r w:rsidRPr="000E4A6E">
        <w:rPr>
          <w:rFonts w:ascii="Arial" w:hAnsi="Arial" w:eastAsia="Times New Roman" w:cs="Arial"/>
          <w:bCs/>
          <w:lang w:val="es-MX" w:eastAsia="es-CO"/>
        </w:rPr>
        <w:t>Por ello, varias de las disposiciones de la Ley 996 de 2005, al contener normas prohibitivas, no admiten una interpretación amplia, sino que deben interpretarse restrictivamente. En efecto, la Sala de Consulta y Servicio Civil del Consejo de Estado, precisó lo siguiente:</w:t>
      </w:r>
    </w:p>
    <w:p w:rsidRPr="000E4A6E" w:rsidR="000E141A" w:rsidP="000E141A" w:rsidRDefault="000E141A" w14:paraId="40DB0CC0" w14:textId="77777777">
      <w:pPr>
        <w:spacing w:after="0" w:line="276" w:lineRule="auto"/>
        <w:ind w:firstLine="709"/>
        <w:contextualSpacing/>
        <w:jc w:val="both"/>
        <w:rPr>
          <w:rFonts w:ascii="Arial" w:hAnsi="Arial" w:eastAsia="Times New Roman" w:cs="Arial"/>
          <w:bCs/>
          <w:lang w:val="es-MX" w:eastAsia="es-CO"/>
        </w:rPr>
      </w:pPr>
    </w:p>
    <w:p w:rsidRPr="000E4A6E" w:rsidR="000E141A" w:rsidP="000E141A" w:rsidRDefault="000E141A" w14:paraId="2E850854" w14:textId="77777777">
      <w:pPr>
        <w:spacing w:after="0" w:line="240" w:lineRule="auto"/>
        <w:ind w:left="709" w:right="709"/>
        <w:contextualSpacing/>
        <w:jc w:val="both"/>
        <w:rPr>
          <w:rFonts w:ascii="Arial" w:hAnsi="Arial" w:eastAsia="Times New Roman" w:cs="Arial"/>
          <w:bCs/>
          <w:sz w:val="21"/>
          <w:szCs w:val="21"/>
          <w:lang w:val="es-MX" w:eastAsia="es-CO"/>
        </w:rPr>
      </w:pPr>
      <w:r w:rsidRPr="000E4A6E">
        <w:rPr>
          <w:rFonts w:ascii="Arial" w:hAnsi="Arial" w:eastAsia="Times New Roman" w:cs="Arial"/>
          <w:bCs/>
          <w:sz w:val="21"/>
          <w:szCs w:val="21"/>
          <w:lang w:val="es-MX" w:eastAsia="es-CO"/>
        </w:rPr>
        <w:t xml:space="preserve">“No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w:t>
      </w:r>
      <w:proofErr w:type="spellStart"/>
      <w:r w:rsidRPr="000E4A6E">
        <w:rPr>
          <w:rFonts w:ascii="Arial" w:hAnsi="Arial" w:eastAsia="Times New Roman" w:cs="Arial"/>
          <w:bCs/>
          <w:sz w:val="21"/>
          <w:szCs w:val="21"/>
          <w:lang w:val="es-MX" w:eastAsia="es-CO"/>
        </w:rPr>
        <w:t>legis</w:t>
      </w:r>
      <w:proofErr w:type="spellEnd"/>
      <w:r w:rsidRPr="000E4A6E">
        <w:rPr>
          <w:rFonts w:ascii="Arial" w:hAnsi="Arial" w:eastAsia="Times New Roman" w:cs="Arial"/>
          <w:bCs/>
          <w:sz w:val="21"/>
          <w:szCs w:val="21"/>
          <w:lang w:val="es-MX" w:eastAsia="es-CO"/>
        </w:rPr>
        <w:t xml:space="preserve">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rsidRPr="000E4A6E" w:rsidR="000E141A" w:rsidP="000E141A" w:rsidRDefault="000E141A" w14:paraId="409D4B8B" w14:textId="77777777">
      <w:pPr>
        <w:spacing w:after="0" w:line="240" w:lineRule="auto"/>
        <w:ind w:left="709" w:right="709"/>
        <w:contextualSpacing/>
        <w:jc w:val="both"/>
        <w:rPr>
          <w:rFonts w:ascii="Arial" w:hAnsi="Arial" w:eastAsia="Times New Roman" w:cs="Arial"/>
          <w:bCs/>
          <w:sz w:val="21"/>
          <w:szCs w:val="21"/>
          <w:lang w:val="es-MX" w:eastAsia="es-CO"/>
        </w:rPr>
      </w:pPr>
    </w:p>
    <w:p w:rsidRPr="000E4A6E" w:rsidR="000E141A" w:rsidP="000E141A" w:rsidRDefault="000E141A" w14:paraId="6D67E2D8" w14:textId="77777777">
      <w:pPr>
        <w:spacing w:after="0" w:line="240" w:lineRule="auto"/>
        <w:ind w:left="709" w:right="709"/>
        <w:contextualSpacing/>
        <w:jc w:val="both"/>
        <w:rPr>
          <w:rFonts w:ascii="Arial" w:hAnsi="Arial" w:eastAsia="Times New Roman" w:cs="Arial"/>
          <w:bCs/>
          <w:sz w:val="21"/>
          <w:szCs w:val="21"/>
          <w:lang w:val="es-MX" w:eastAsia="es-CO"/>
        </w:rPr>
      </w:pPr>
      <w:r w:rsidRPr="000E4A6E">
        <w:rPr>
          <w:rFonts w:ascii="Arial" w:hAnsi="Arial" w:eastAsia="Times New Roman" w:cs="Arial"/>
          <w:bCs/>
          <w:sz w:val="21"/>
          <w:szCs w:val="21"/>
          <w:lang w:val="es-MX" w:eastAsia="es-CO"/>
        </w:rPr>
        <w:t>La jurisprudencia de la Corte Constitucional</w:t>
      </w:r>
      <w:r w:rsidRPr="000E4A6E">
        <w:rPr>
          <w:rFonts w:ascii="Arial" w:hAnsi="Arial" w:eastAsia="Times New Roman" w:cs="Arial"/>
          <w:bCs/>
          <w:sz w:val="21"/>
          <w:szCs w:val="21"/>
          <w:vertAlign w:val="superscript"/>
          <w:lang w:val="es-MX" w:eastAsia="es-CO"/>
        </w:rPr>
        <w:footnoteReference w:id="7"/>
      </w:r>
      <w:r w:rsidRPr="000E4A6E">
        <w:rPr>
          <w:rFonts w:ascii="Arial" w:hAnsi="Arial" w:eastAsia="Times New Roman" w:cs="Arial"/>
          <w:bCs/>
          <w:sz w:val="21"/>
          <w:szCs w:val="21"/>
          <w:lang w:val="es-MX" w:eastAsia="es-CO"/>
        </w:rPr>
        <w:t> y del Consejo de Estado</w:t>
      </w:r>
      <w:r w:rsidRPr="000E4A6E">
        <w:rPr>
          <w:rFonts w:ascii="Arial" w:hAnsi="Arial" w:eastAsia="Times New Roman" w:cs="Arial"/>
          <w:bCs/>
          <w:sz w:val="21"/>
          <w:szCs w:val="21"/>
          <w:vertAlign w:val="superscript"/>
          <w:lang w:val="es-MX" w:eastAsia="es-CO"/>
        </w:rPr>
        <w:footnoteReference w:id="8"/>
      </w:r>
      <w:r w:rsidRPr="000E4A6E">
        <w:rPr>
          <w:rFonts w:ascii="Arial" w:hAnsi="Arial" w:eastAsia="Times New Roman" w:cs="Arial"/>
          <w:bCs/>
          <w:sz w:val="21"/>
          <w:szCs w:val="21"/>
          <w:lang w:val="es-MX" w:eastAsia="es-CO"/>
        </w:rPr>
        <w:t xml:space="preserve">, coinciden en que las normas que establecen prohibiciones deben estar de manera explícita </w:t>
      </w:r>
      <w:r w:rsidRPr="000E4A6E">
        <w:rPr>
          <w:rFonts w:ascii="Arial" w:hAnsi="Arial" w:eastAsia="Times New Roman" w:cs="Arial"/>
          <w:bCs/>
          <w:sz w:val="21"/>
          <w:szCs w:val="21"/>
          <w:lang w:val="es-MX" w:eastAsia="es-CO"/>
        </w:rPr>
        <w:t>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Pr="000E4A6E">
        <w:rPr>
          <w:rFonts w:ascii="Arial" w:hAnsi="Arial" w:eastAsia="Times New Roman" w:cs="Arial"/>
          <w:bCs/>
          <w:vertAlign w:val="superscript"/>
          <w:lang w:val="es-MX" w:eastAsia="es-CO"/>
        </w:rPr>
        <w:footnoteReference w:id="9"/>
      </w:r>
      <w:r w:rsidRPr="000E4A6E">
        <w:rPr>
          <w:rFonts w:ascii="Arial" w:hAnsi="Arial" w:eastAsia="Times New Roman" w:cs="Arial"/>
          <w:bCs/>
          <w:sz w:val="21"/>
          <w:szCs w:val="21"/>
          <w:lang w:val="es-MX" w:eastAsia="es-CO"/>
        </w:rPr>
        <w:t>.</w:t>
      </w:r>
    </w:p>
    <w:p w:rsidRPr="000E4A6E" w:rsidR="000E141A" w:rsidP="000E141A" w:rsidRDefault="000E141A" w14:paraId="45766005" w14:textId="77777777">
      <w:pPr>
        <w:spacing w:after="0" w:line="276" w:lineRule="auto"/>
        <w:ind w:right="709"/>
        <w:contextualSpacing/>
        <w:jc w:val="both"/>
        <w:rPr>
          <w:rFonts w:ascii="Arial" w:hAnsi="Arial" w:eastAsia="Times New Roman" w:cs="Arial"/>
          <w:bCs/>
          <w:sz w:val="21"/>
          <w:szCs w:val="21"/>
          <w:lang w:val="es-MX" w:eastAsia="es-CO"/>
        </w:rPr>
      </w:pPr>
    </w:p>
    <w:p w:rsidRPr="000E4A6E" w:rsidR="000E141A" w:rsidP="000E141A" w:rsidRDefault="000E141A" w14:paraId="694E7ADA" w14:textId="77777777">
      <w:pPr>
        <w:spacing w:after="120" w:line="276" w:lineRule="auto"/>
        <w:jc w:val="both"/>
        <w:rPr>
          <w:rFonts w:ascii="Arial" w:hAnsi="Arial" w:eastAsia="Arial" w:cs="Arial"/>
          <w:lang w:val="es-ES" w:eastAsia="es-ES" w:bidi="es-ES"/>
        </w:rPr>
      </w:pPr>
      <w:r w:rsidRPr="000E4A6E">
        <w:rPr>
          <w:rFonts w:ascii="Arial" w:hAnsi="Arial" w:eastAsia="Times New Roman" w:cs="Arial"/>
          <w:bCs/>
          <w:lang w:val="es-MX" w:eastAsia="es-CO"/>
        </w:rPr>
        <w:tab/>
      </w:r>
      <w:r w:rsidRPr="000E4A6E">
        <w:rPr>
          <w:rFonts w:ascii="Arial" w:hAnsi="Arial" w:eastAsia="Times New Roman" w:cs="Arial"/>
          <w:bCs/>
          <w:lang w:val="es-MX" w:eastAsia="es-CO"/>
        </w:rPr>
        <w:t>De</w:t>
      </w:r>
      <w:r w:rsidRPr="000E4A6E">
        <w:rPr>
          <w:rFonts w:ascii="Arial" w:hAnsi="Arial" w:eastAsia="Arial" w:cs="Arial"/>
          <w:lang w:val="es-ES" w:eastAsia="es-ES" w:bidi="es-ES"/>
        </w:rPr>
        <w:t xml:space="preserve"> conformidad con lo anterior, </w:t>
      </w:r>
      <w:bookmarkStart w:name="_Hlk77236098" w:id="12"/>
      <w:bookmarkStart w:name="_Hlk100679383" w:id="13"/>
      <w:r w:rsidRPr="000E4A6E">
        <w:rPr>
          <w:rFonts w:ascii="Arial" w:hAnsi="Arial" w:eastAsia="Arial" w:cs="Arial"/>
          <w:lang w:val="es-ES" w:eastAsia="es-ES" w:bidi="es-ES"/>
        </w:rPr>
        <w:t>la Ley de Garantías Electorales fijó una serie de regulaciones y prohibiciones dirigidas a los servidores públicos. Con la finalidad de preservar la igualdad entre los candidatos en las elecciones, aumentó las garantías en materia de contratación, de forma que no exista siquiera sospecha de que, por ese medio, en los periodos previos a la contienda electoral, se altere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territorial.</w:t>
      </w:r>
      <w:bookmarkEnd w:id="12"/>
    </w:p>
    <w:p w:rsidRPr="000E4A6E" w:rsidR="000E141A" w:rsidP="000E141A" w:rsidRDefault="000E141A" w14:paraId="02CBF1A3" w14:textId="77777777">
      <w:pPr>
        <w:spacing w:after="120" w:line="276" w:lineRule="auto"/>
        <w:ind w:firstLine="708"/>
        <w:jc w:val="both"/>
        <w:rPr>
          <w:rFonts w:ascii="Arial" w:hAnsi="Arial" w:eastAsia="Calibri" w:cs="Arial"/>
        </w:rPr>
      </w:pPr>
      <w:r w:rsidRPr="000E4A6E">
        <w:rPr>
          <w:rFonts w:ascii="Arial" w:hAnsi="Arial" w:eastAsia="Calibri" w:cs="Arial"/>
        </w:rPr>
        <w:t xml:space="preserve">Por un lado, el artículo 33 de la Ley 996 de 2005 prohíbe </w:t>
      </w:r>
      <w:r w:rsidRPr="000E4A6E">
        <w:rPr>
          <w:rFonts w:ascii="Arial" w:hAnsi="Arial" w:eastAsia="Calibri" w:cs="Arial"/>
          <w:bCs/>
        </w:rPr>
        <w:t xml:space="preserve">“[…] </w:t>
      </w:r>
      <w:r w:rsidRPr="000E4A6E">
        <w:rPr>
          <w:rFonts w:ascii="Arial" w:hAnsi="Arial" w:eastAsia="Calibri" w:cs="Arial"/>
        </w:rPr>
        <w:t>la contratación directa por parte de todos los entes del Estado</w:t>
      </w:r>
      <w:r w:rsidRPr="000E4A6E">
        <w:rPr>
          <w:rFonts w:ascii="Arial" w:hAnsi="Arial" w:eastAsia="Calibri" w:cs="Arial"/>
          <w:bCs/>
        </w:rPr>
        <w:t>”</w:t>
      </w:r>
      <w:r w:rsidRPr="000E4A6E">
        <w:rPr>
          <w:rFonts w:ascii="Arial" w:hAnsi="Arial" w:eastAsia="Calibri" w:cs="Arial"/>
        </w:rPr>
        <w:t xml:space="preserve"> durante los cuatro (4) meses anteriores a las elecciones presidenciales, salvo </w:t>
      </w:r>
      <w:r w:rsidRPr="000E4A6E">
        <w:rPr>
          <w:rFonts w:ascii="Arial" w:hAnsi="Arial" w:eastAsia="Calibri" w:cs="Arial"/>
          <w:bCs/>
        </w:rPr>
        <w:t xml:space="preserve">“[…] </w:t>
      </w:r>
      <w:r w:rsidRPr="000E4A6E">
        <w:rPr>
          <w:rFonts w:ascii="Arial" w:hAnsi="Arial" w:eastAsia="Calibri" w:cs="Arial"/>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0E4A6E">
        <w:rPr>
          <w:rFonts w:ascii="Arial" w:hAnsi="Arial" w:eastAsia="Calibri" w:cs="Arial"/>
          <w:bCs/>
        </w:rPr>
        <w:t>”</w:t>
      </w:r>
      <w:r w:rsidRPr="000E4A6E">
        <w:rPr>
          <w:rFonts w:ascii="Arial" w:hAnsi="Arial" w:eastAsia="Calibri" w:cs="Arial"/>
          <w:bCs/>
          <w:vertAlign w:val="superscript"/>
        </w:rPr>
        <w:footnoteReference w:id="10"/>
      </w:r>
      <w:r w:rsidRPr="000E4A6E">
        <w:rPr>
          <w:rFonts w:ascii="Arial" w:hAnsi="Arial" w:eastAsia="Calibri" w:cs="Arial"/>
        </w:rPr>
        <w:t>.</w:t>
      </w:r>
    </w:p>
    <w:p w:rsidRPr="000E4A6E" w:rsidR="000E141A" w:rsidP="000E141A" w:rsidRDefault="000E141A" w14:paraId="6501B807" w14:textId="77777777">
      <w:pPr>
        <w:widowControl w:val="0"/>
        <w:autoSpaceDE w:val="0"/>
        <w:autoSpaceDN w:val="0"/>
        <w:spacing w:after="0" w:line="276" w:lineRule="auto"/>
        <w:ind w:right="113" w:firstLine="708"/>
        <w:contextualSpacing/>
        <w:jc w:val="both"/>
        <w:rPr>
          <w:rFonts w:ascii="Arial" w:hAnsi="Arial" w:eastAsia="Arial" w:cs="Arial"/>
          <w:lang w:val="es-ES" w:eastAsia="es-ES" w:bidi="es-ES"/>
        </w:rPr>
      </w:pPr>
      <w:r w:rsidRPr="000E4A6E">
        <w:rPr>
          <w:rFonts w:ascii="Arial" w:hAnsi="Arial" w:eastAsia="Calibri" w:cs="Arial"/>
        </w:rPr>
        <w:t xml:space="preserve">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w:t>
      </w:r>
      <w:r w:rsidRPr="000E4A6E">
        <w:rPr>
          <w:rFonts w:ascii="Arial" w:hAnsi="Arial" w:eastAsia="Calibri" w:cs="Arial"/>
          <w:bCs/>
        </w:rPr>
        <w:t xml:space="preserve">“[…] </w:t>
      </w:r>
      <w:r w:rsidRPr="000E4A6E">
        <w:rPr>
          <w:rFonts w:ascii="Arial" w:hAnsi="Arial" w:eastAsia="Calibri" w:cs="Arial"/>
          <w:lang w:val="es-MX"/>
        </w:rPr>
        <w:t xml:space="preserve">celebrar convenios interadministrativos para la ejecución de recursos públicos, ni participar, promover y destinar recursos públicos de las entidades a su cargo, como tampoco de las que participen como miembros de sus juntas directivas, en o para reuniones de carácter </w:t>
      </w:r>
      <w:r w:rsidRPr="000E4A6E">
        <w:rPr>
          <w:rFonts w:ascii="Arial" w:hAnsi="Arial" w:eastAsia="Calibri" w:cs="Arial"/>
          <w:lang w:val="es-MX"/>
        </w:rPr>
        <w:t>proselitista</w:t>
      </w:r>
      <w:r w:rsidRPr="000E4A6E">
        <w:rPr>
          <w:rFonts w:ascii="Arial" w:hAnsi="Arial" w:eastAsia="Calibri" w:cs="Arial"/>
          <w:bCs/>
          <w:sz w:val="19"/>
          <w:szCs w:val="19"/>
        </w:rPr>
        <w:t>”</w:t>
      </w:r>
      <w:bookmarkEnd w:id="13"/>
      <w:r w:rsidRPr="000E4A6E">
        <w:rPr>
          <w:rFonts w:ascii="Arial" w:hAnsi="Arial" w:eastAsia="Calibri" w:cs="Arial"/>
          <w:bCs/>
          <w:sz w:val="19"/>
          <w:szCs w:val="19"/>
          <w:vertAlign w:val="superscript"/>
        </w:rPr>
        <w:footnoteReference w:id="11"/>
      </w:r>
      <w:r w:rsidRPr="000E4A6E">
        <w:rPr>
          <w:rFonts w:ascii="Arial" w:hAnsi="Arial" w:eastAsia="Calibri" w:cs="Arial"/>
          <w:lang w:val="es-MX"/>
        </w:rPr>
        <w:t>.</w:t>
      </w:r>
      <w:r w:rsidRPr="000E4A6E">
        <w:rPr>
          <w:rFonts w:ascii="Arial" w:hAnsi="Arial" w:eastAsia="Arial" w:cs="Arial"/>
          <w:lang w:val="es-ES" w:eastAsia="es-ES" w:bidi="es-ES"/>
        </w:rPr>
        <w:t xml:space="preserve"> La Sala de Consulta y Servicio Civil del Consejo de Estado ha aclarado la distinción en la aplicación de las prohibiciones de la Ley 996 de 2005, dependiendo del tipo de elección que se trate. Al respecto, considera que:</w:t>
      </w:r>
    </w:p>
    <w:p w:rsidRPr="000E4A6E" w:rsidR="000E141A" w:rsidP="000E141A" w:rsidRDefault="000E141A" w14:paraId="0DFDDF22" w14:textId="77777777">
      <w:pPr>
        <w:widowControl w:val="0"/>
        <w:autoSpaceDE w:val="0"/>
        <w:autoSpaceDN w:val="0"/>
        <w:spacing w:after="0" w:line="276" w:lineRule="auto"/>
        <w:ind w:left="805" w:right="812"/>
        <w:contextualSpacing/>
        <w:jc w:val="both"/>
        <w:rPr>
          <w:rFonts w:ascii="Arial" w:hAnsi="Arial" w:eastAsia="Arial" w:cs="Arial"/>
          <w:lang w:val="es-ES" w:eastAsia="es-ES" w:bidi="es-ES"/>
        </w:rPr>
      </w:pPr>
    </w:p>
    <w:p w:rsidRPr="000E4A6E" w:rsidR="000E141A" w:rsidP="000E141A" w:rsidRDefault="000E141A" w14:paraId="5F65C5C2" w14:textId="77777777">
      <w:pPr>
        <w:widowControl w:val="0"/>
        <w:autoSpaceDE w:val="0"/>
        <w:autoSpaceDN w:val="0"/>
        <w:spacing w:after="0" w:line="240" w:lineRule="auto"/>
        <w:ind w:left="709" w:right="709"/>
        <w:contextualSpacing/>
        <w:jc w:val="both"/>
        <w:rPr>
          <w:rFonts w:ascii="Arial" w:hAnsi="Arial" w:eastAsia="Arial" w:cs="Arial"/>
          <w:sz w:val="21"/>
          <w:szCs w:val="21"/>
          <w:lang w:val="es-ES" w:eastAsia="es-ES" w:bidi="es-ES"/>
        </w:rPr>
      </w:pPr>
      <w:r w:rsidRPr="000E4A6E">
        <w:rPr>
          <w:rFonts w:ascii="Arial" w:hAnsi="Arial" w:eastAsia="Arial" w:cs="Arial"/>
          <w:sz w:val="21"/>
          <w:szCs w:val="21"/>
          <w:lang w:val="es-ES" w:eastAsia="es-ES" w:bidi="es-ES"/>
        </w:rPr>
        <w:t xml:space="preserve">“La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w:t>
      </w:r>
      <w:bookmarkStart w:name="_Hlk76109421" w:id="16"/>
      <w:r w:rsidRPr="000E4A6E">
        <w:rPr>
          <w:rFonts w:ascii="Arial" w:hAnsi="Arial" w:eastAsia="Arial" w:cs="Arial"/>
          <w:sz w:val="21"/>
          <w:szCs w:val="21"/>
          <w:lang w:val="es-ES" w:eastAsia="es-ES" w:bidi="es-ES"/>
        </w:rPr>
        <w:t>se integran parcialmente</w:t>
      </w:r>
      <w:bookmarkEnd w:id="16"/>
      <w:r w:rsidRPr="000E4A6E">
        <w:rPr>
          <w:rFonts w:ascii="Arial" w:hAnsi="Arial" w:eastAsia="Arial" w:cs="Arial"/>
          <w:sz w:val="21"/>
          <w:szCs w:val="21"/>
          <w:lang w:val="es-ES" w:eastAsia="es-ES" w:bidi="es-ES"/>
        </w:rPr>
        <w:t xml:space="preserve">, lo que permite concluir que en periodo preelectoral para elección de Presidente de la República, a todos los entes del Estado, incluidos los territoriales, se aplican las restricciones de los artículos 32 y 33 con sus excepciones, así como las del parágrafo del artículo 38. </w:t>
      </w:r>
      <w:r w:rsidRPr="000E4A6E">
        <w:rPr>
          <w:rFonts w:ascii="Arial" w:hAnsi="Arial" w:eastAsia="Arial" w:cs="Arial"/>
          <w:bCs/>
          <w:sz w:val="21"/>
          <w:szCs w:val="21"/>
          <w:lang w:val="es-ES" w:eastAsia="es-ES" w:bidi="es-ES"/>
        </w:rPr>
        <w:t xml:space="preserve">En cambio, para elecciones en general, excluyendo las correspondientes a </w:t>
      </w:r>
      <w:proofErr w:type="gramStart"/>
      <w:r w:rsidRPr="000E4A6E">
        <w:rPr>
          <w:rFonts w:ascii="Arial" w:hAnsi="Arial" w:eastAsia="Arial" w:cs="Arial"/>
          <w:bCs/>
          <w:sz w:val="21"/>
          <w:szCs w:val="21"/>
          <w:lang w:val="es-ES" w:eastAsia="es-ES" w:bidi="es-ES"/>
        </w:rPr>
        <w:t>Presidente</w:t>
      </w:r>
      <w:proofErr w:type="gramEnd"/>
      <w:r w:rsidRPr="000E4A6E">
        <w:rPr>
          <w:rFonts w:ascii="Arial" w:hAnsi="Arial" w:eastAsia="Arial" w:cs="Arial"/>
          <w:bCs/>
          <w:sz w:val="21"/>
          <w:szCs w:val="21"/>
          <w:lang w:val="es-ES" w:eastAsia="es-ES" w:bidi="es-ES"/>
        </w:rPr>
        <w:t xml:space="preserve"> de la República, a las autoridades territoriales allí mencionadas sólo se aplican las restricciones contenidas en el parágrafo del artículo 38”</w:t>
      </w:r>
      <w:r w:rsidRPr="000E4A6E">
        <w:rPr>
          <w:rFonts w:ascii="Arial" w:hAnsi="Arial" w:eastAsia="Arial" w:cs="Arial"/>
          <w:sz w:val="21"/>
          <w:szCs w:val="21"/>
          <w:lang w:val="es-ES" w:eastAsia="es-ES" w:bidi="es-ES"/>
        </w:rPr>
        <w:t>.</w:t>
      </w:r>
      <w:r w:rsidRPr="000E4A6E">
        <w:rPr>
          <w:rFonts w:ascii="Arial" w:hAnsi="Arial" w:eastAsia="Arial" w:cs="Arial"/>
          <w:sz w:val="21"/>
          <w:szCs w:val="21"/>
          <w:vertAlign w:val="superscript"/>
          <w:lang w:val="es-ES" w:eastAsia="es-ES" w:bidi="es-ES"/>
        </w:rPr>
        <w:footnoteReference w:id="12"/>
      </w:r>
    </w:p>
    <w:p w:rsidRPr="000E4A6E" w:rsidR="000E141A" w:rsidP="000E141A" w:rsidRDefault="000E141A" w14:paraId="5E609C56" w14:textId="77777777">
      <w:pPr>
        <w:widowControl w:val="0"/>
        <w:autoSpaceDE w:val="0"/>
        <w:autoSpaceDN w:val="0"/>
        <w:spacing w:after="0" w:line="276" w:lineRule="auto"/>
        <w:contextualSpacing/>
        <w:rPr>
          <w:rFonts w:ascii="Arial" w:hAnsi="Arial" w:eastAsia="Arial" w:cs="Arial"/>
          <w:lang w:val="es-ES" w:eastAsia="es-ES" w:bidi="es-ES"/>
        </w:rPr>
      </w:pPr>
    </w:p>
    <w:p w:rsidRPr="000E4A6E" w:rsidR="000E141A" w:rsidP="000E141A" w:rsidRDefault="000E141A" w14:paraId="3B5A688F" w14:textId="77777777">
      <w:pPr>
        <w:spacing w:after="120" w:line="276" w:lineRule="auto"/>
        <w:ind w:firstLine="709"/>
        <w:jc w:val="both"/>
        <w:rPr>
          <w:rFonts w:ascii="Arial" w:hAnsi="Arial" w:eastAsia="Arial" w:cs="Arial"/>
          <w:lang w:val="es-ES" w:eastAsia="es-ES" w:bidi="es-ES"/>
        </w:rPr>
      </w:pPr>
      <w:r w:rsidRPr="000E4A6E">
        <w:rPr>
          <w:rFonts w:ascii="Arial" w:hAnsi="Arial" w:eastAsia="Arial" w:cs="Arial"/>
          <w:lang w:val="es-ES" w:eastAsia="es-ES" w:bidi="es-ES"/>
        </w:rPr>
        <w:t xml:space="preserve">De conformidad con lo anterior, </w:t>
      </w:r>
      <w:bookmarkStart w:name="_Hlk77236420" w:id="17"/>
      <w:bookmarkStart w:name="_Hlk78818435" w:id="18"/>
      <w:bookmarkStart w:name="_Hlk75780333" w:id="19"/>
      <w:r w:rsidRPr="000E4A6E">
        <w:rPr>
          <w:rFonts w:ascii="Arial" w:hAnsi="Arial" w:eastAsia="Arial" w:cs="Arial"/>
          <w:lang w:val="es-ES" w:eastAsia="es-ES" w:bidi="es-ES"/>
        </w:rPr>
        <w:t xml:space="preserve">la Ley 996 de 2005 establece dos (2) tipos de restricciones en materia de contratación, las cuales coinciden parcialmente. </w:t>
      </w:r>
      <w:r w:rsidRPr="000E4A6E">
        <w:rPr>
          <w:rFonts w:ascii="Arial" w:hAnsi="Arial" w:eastAsia="Arial" w:cs="Arial"/>
          <w:i/>
          <w:iCs/>
          <w:lang w:val="es-ES" w:eastAsia="es-ES" w:bidi="es-ES"/>
        </w:rPr>
        <w:t>En primer lugar</w:t>
      </w:r>
      <w:r w:rsidRPr="000E4A6E">
        <w:rPr>
          <w:rFonts w:ascii="Arial" w:hAnsi="Arial" w:eastAsia="Arial" w:cs="Arial"/>
          <w:lang w:val="es-ES" w:eastAsia="es-ES" w:bidi="es-ES"/>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w:t>
      </w:r>
      <w:r w:rsidRPr="000E4A6E">
        <w:rPr>
          <w:rFonts w:ascii="Arial" w:hAnsi="Arial" w:eastAsia="Arial" w:cs="Arial"/>
          <w:i/>
          <w:iCs/>
          <w:lang w:val="es-ES" w:eastAsia="es-ES" w:bidi="es-ES"/>
        </w:rPr>
        <w:t>En segundo lugar</w:t>
      </w:r>
      <w:r w:rsidRPr="000E4A6E">
        <w:rPr>
          <w:rFonts w:ascii="Arial" w:hAnsi="Arial" w:eastAsia="Arial" w:cs="Arial"/>
          <w:lang w:val="es-ES" w:eastAsia="es-ES" w:bidi="es-ES"/>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bookmarkEnd w:id="17"/>
    </w:p>
    <w:bookmarkEnd w:id="18"/>
    <w:p w:rsidRPr="000E4A6E" w:rsidR="000E141A" w:rsidP="000E141A" w:rsidRDefault="000E141A" w14:paraId="1669FD35" w14:textId="77777777">
      <w:pPr>
        <w:spacing w:after="120" w:line="276" w:lineRule="auto"/>
        <w:ind w:firstLine="709"/>
        <w:jc w:val="both"/>
        <w:rPr>
          <w:rFonts w:ascii="Arial" w:hAnsi="Arial" w:eastAsia="Arial" w:cs="Arial"/>
          <w:lang w:val="es-ES" w:eastAsia="es-ES" w:bidi="es-ES"/>
        </w:rPr>
      </w:pPr>
      <w:r w:rsidRPr="000E4A6E">
        <w:rPr>
          <w:rFonts w:ascii="Arial" w:hAnsi="Arial" w:eastAsia="Arial" w:cs="Arial"/>
          <w:lang w:val="es-ES" w:eastAsia="es-ES" w:bidi="es-ES"/>
        </w:rPr>
        <w:t xml:space="preserve">Ambas restricciones no son excluyentes, lo que permite concluir que en el período preelectoral para elección de </w:t>
      </w:r>
      <w:proofErr w:type="gramStart"/>
      <w:r w:rsidRPr="000E4A6E">
        <w:rPr>
          <w:rFonts w:ascii="Arial" w:hAnsi="Arial" w:eastAsia="Arial" w:cs="Arial"/>
          <w:lang w:val="es-ES" w:eastAsia="es-ES" w:bidi="es-ES"/>
        </w:rPr>
        <w:t>Presidente</w:t>
      </w:r>
      <w:proofErr w:type="gramEnd"/>
      <w:r w:rsidRPr="000E4A6E">
        <w:rPr>
          <w:rFonts w:ascii="Arial" w:hAnsi="Arial" w:eastAsia="Arial" w:cs="Arial"/>
          <w:lang w:val="es-ES" w:eastAsia="es-ES" w:bidi="es-ES"/>
        </w:rPr>
        <w:t xml:space="preserve"> de la República, a todos los entes del Estado, </w:t>
      </w:r>
      <w:r w:rsidRPr="000E4A6E">
        <w:rPr>
          <w:rFonts w:ascii="Arial" w:hAnsi="Arial" w:eastAsia="Arial" w:cs="Arial"/>
          <w:lang w:val="es-ES" w:eastAsia="es-ES" w:bidi="es-ES"/>
        </w:rPr>
        <w:t xml:space="preserve">incluidos los territoriales, aplican las restricciones del artículo 33 con sus excepciones, así como las del parágrafo del artículo 38. En cambio, tratándose de elecciones en general, excluyendo las correspondientes al </w:t>
      </w:r>
      <w:proofErr w:type="gramStart"/>
      <w:r w:rsidRPr="000E4A6E">
        <w:rPr>
          <w:rFonts w:ascii="Arial" w:hAnsi="Arial" w:eastAsia="Arial" w:cs="Arial"/>
          <w:lang w:val="es-ES" w:eastAsia="es-ES" w:bidi="es-ES"/>
        </w:rPr>
        <w:t>Presidente</w:t>
      </w:r>
      <w:proofErr w:type="gramEnd"/>
      <w:r w:rsidRPr="000E4A6E">
        <w:rPr>
          <w:rFonts w:ascii="Arial" w:hAnsi="Arial" w:eastAsia="Arial" w:cs="Arial"/>
          <w:lang w:val="es-ES" w:eastAsia="es-ES" w:bidi="es-ES"/>
        </w:rPr>
        <w:t xml:space="preserve"> de la República, las autoridades allí mencionadas sólo deben aplicar las restricciones contenidas en el parágrafo del artículo 38.</w:t>
      </w:r>
    </w:p>
    <w:bookmarkEnd w:id="19"/>
    <w:p w:rsidRPr="000E4A6E" w:rsidR="000E141A" w:rsidP="000E141A" w:rsidRDefault="000E141A" w14:paraId="7B23AA20" w14:textId="77777777">
      <w:pPr>
        <w:spacing w:after="0" w:line="276" w:lineRule="auto"/>
        <w:ind w:firstLine="708"/>
        <w:jc w:val="both"/>
        <w:rPr>
          <w:rFonts w:ascii="Arial" w:hAnsi="Arial" w:eastAsia="Arial" w:cs="Arial"/>
          <w:lang w:val="es-ES" w:eastAsia="es-ES" w:bidi="es-ES"/>
        </w:rPr>
      </w:pPr>
      <w:r w:rsidRPr="000E4A6E">
        <w:rPr>
          <w:rFonts w:ascii="Arial" w:hAnsi="Arial" w:eastAsia="Arial" w:cs="Arial"/>
          <w:lang w:val="es-ES" w:eastAsia="es-ES" w:bidi="es-ES"/>
        </w:rPr>
        <w:t xml:space="preserve">La Corte Constitucional, en la Sentencia C-1153 del 11 de noviembre de 2005, señaló que, para que la garantía sea plena, era necesario que la prohibición se aplicara para el </w:t>
      </w:r>
      <w:proofErr w:type="gramStart"/>
      <w:r w:rsidRPr="000E4A6E">
        <w:rPr>
          <w:rFonts w:ascii="Arial" w:hAnsi="Arial" w:eastAsia="Arial" w:cs="Arial"/>
          <w:lang w:val="es-ES" w:eastAsia="es-ES" w:bidi="es-ES"/>
        </w:rPr>
        <w:t>Presidente</w:t>
      </w:r>
      <w:proofErr w:type="gramEnd"/>
      <w:r w:rsidRPr="000E4A6E">
        <w:rPr>
          <w:rFonts w:ascii="Arial" w:hAnsi="Arial" w:eastAsia="Arial" w:cs="Arial"/>
          <w:lang w:val="es-ES" w:eastAsia="es-ES" w:bidi="es-ES"/>
        </w:rPr>
        <w:t xml:space="preserve"> o el Vicepresidente desde que éstos –estando en ejercicio de su cargo– manifiesten el interés de ser candidato presidencial, lo cual debe ocurrir seis meses antes de la elección en primera vuelta, de acuerdo con el artículo 9 de la Ley 996 de 2005. Sin embargo, el condicionamiento impuesto por la Corte Constitucional, relacionado con el momento en que estas restricciones empiezan a regir para el Presidente y el Vicepresidente de la República, ha perdido vigencia ante la prohibición de la reelección presidencial, restablecida por el Acto Legislativo 2 de 2015, excepto para el Vicepresidente que no haya ejercido la presidencia o que la haya ejercido por un tiempo inferior a tres (3) meses durante el respectivo cuatrienio, en forma continua o discontinua, conforme al artículo 197 de la Constitución Política.  </w:t>
      </w:r>
    </w:p>
    <w:p w:rsidRPr="000E4A6E" w:rsidR="000E141A" w:rsidP="000E141A" w:rsidRDefault="000E141A" w14:paraId="4E9CEC34" w14:textId="77777777">
      <w:pPr>
        <w:spacing w:after="0" w:line="276" w:lineRule="auto"/>
        <w:jc w:val="both"/>
        <w:rPr>
          <w:rFonts w:ascii="Arial" w:hAnsi="Arial" w:eastAsia="Calibri" w:cs="Arial"/>
          <w:lang w:val="es-MX"/>
        </w:rPr>
      </w:pPr>
    </w:p>
    <w:p w:rsidRPr="000E4A6E" w:rsidR="000E141A" w:rsidP="000E141A" w:rsidRDefault="000E141A" w14:paraId="751E5FFA" w14:textId="44DC3CBE">
      <w:pPr>
        <w:spacing w:after="0" w:line="276" w:lineRule="auto"/>
        <w:jc w:val="both"/>
        <w:rPr>
          <w:rFonts w:ascii="Arial" w:hAnsi="Arial" w:eastAsia="Calibri" w:cs="Arial"/>
          <w:b/>
          <w:bCs/>
          <w:lang w:val="es-MX"/>
        </w:rPr>
      </w:pPr>
      <w:bookmarkStart w:name="_Hlk75784645" w:id="20"/>
      <w:r w:rsidRPr="000E4A6E">
        <w:rPr>
          <w:rFonts w:ascii="Arial" w:hAnsi="Arial" w:eastAsia="Calibri" w:cs="Arial"/>
          <w:b/>
          <w:bCs/>
          <w:lang w:val="es-MX"/>
        </w:rPr>
        <w:t>2.</w:t>
      </w:r>
      <w:r w:rsidR="008E7EC9">
        <w:rPr>
          <w:rFonts w:ascii="Arial" w:hAnsi="Arial" w:eastAsia="Calibri" w:cs="Arial"/>
          <w:b/>
          <w:bCs/>
          <w:lang w:val="es-MX"/>
        </w:rPr>
        <w:t>2</w:t>
      </w:r>
      <w:r w:rsidRPr="000E4A6E">
        <w:rPr>
          <w:rFonts w:ascii="Arial" w:hAnsi="Arial" w:eastAsia="Calibri" w:cs="Arial"/>
          <w:b/>
          <w:bCs/>
          <w:lang w:val="es-MX"/>
        </w:rPr>
        <w:t xml:space="preserve">. </w:t>
      </w:r>
      <w:bookmarkStart w:name="_Hlk77153296" w:id="21"/>
      <w:r w:rsidRPr="000E4A6E">
        <w:rPr>
          <w:rFonts w:ascii="Arial" w:hAnsi="Arial" w:eastAsia="Times New Roman" w:cs="Arial"/>
          <w:b/>
          <w:bCs/>
          <w:lang w:val="es-MX" w:eastAsia="es-CO"/>
        </w:rPr>
        <w:t xml:space="preserve">Restricciones </w:t>
      </w:r>
      <w:bookmarkStart w:name="_Hlk75643279" w:id="22"/>
      <w:r w:rsidRPr="000E4A6E">
        <w:rPr>
          <w:rFonts w:ascii="Arial" w:hAnsi="Arial" w:eastAsia="Times New Roman" w:cs="Arial"/>
          <w:b/>
          <w:bCs/>
          <w:lang w:val="es-MX" w:eastAsia="es-CO"/>
        </w:rPr>
        <w:t xml:space="preserve">para la celebración de contratos y convenios interadministrativos en los comicios para cargos de elección popular </w:t>
      </w:r>
    </w:p>
    <w:p w:rsidRPr="000E4A6E" w:rsidR="000E141A" w:rsidP="000E141A" w:rsidRDefault="000E141A" w14:paraId="2954F8E7" w14:textId="77777777">
      <w:pPr>
        <w:tabs>
          <w:tab w:val="left" w:pos="426"/>
        </w:tabs>
        <w:spacing w:after="0" w:line="276" w:lineRule="auto"/>
        <w:jc w:val="both"/>
        <w:rPr>
          <w:rFonts w:ascii="Arial" w:hAnsi="Arial" w:eastAsia="Calibri" w:cs="Arial"/>
          <w:bCs/>
        </w:rPr>
      </w:pPr>
      <w:bookmarkStart w:name="_Hlk88210558" w:id="23"/>
      <w:bookmarkEnd w:id="21"/>
      <w:bookmarkEnd w:id="22"/>
    </w:p>
    <w:p w:rsidRPr="000E4A6E" w:rsidR="000E141A" w:rsidP="000E141A" w:rsidRDefault="000E141A" w14:paraId="3BDD6BCB" w14:textId="77777777">
      <w:pPr>
        <w:tabs>
          <w:tab w:val="left" w:pos="426"/>
        </w:tabs>
        <w:spacing w:after="120" w:line="276" w:lineRule="auto"/>
        <w:jc w:val="both"/>
        <w:rPr>
          <w:rFonts w:ascii="Arial" w:hAnsi="Arial" w:eastAsia="Calibri" w:cs="Arial"/>
          <w:bCs/>
        </w:rPr>
      </w:pPr>
      <w:r w:rsidRPr="000E4A6E">
        <w:rPr>
          <w:rFonts w:ascii="Arial" w:hAnsi="Arial" w:eastAsia="Calibri" w:cs="Arial"/>
          <w:bCs/>
        </w:rPr>
        <w:t xml:space="preserve">El parágrafo del artículo 38 de la Ley 996 de 2005 dispone que “[l]os Gobernadores, </w:t>
      </w:r>
      <w:proofErr w:type="gramStart"/>
      <w:r w:rsidRPr="000E4A6E">
        <w:rPr>
          <w:rFonts w:ascii="Arial" w:hAnsi="Arial" w:eastAsia="Calibri" w:cs="Arial"/>
          <w:bCs/>
        </w:rPr>
        <w:t>Alcaldes</w:t>
      </w:r>
      <w:proofErr w:type="gramEnd"/>
      <w:r w:rsidRPr="000E4A6E">
        <w:rPr>
          <w:rFonts w:ascii="Arial" w:hAnsi="Arial" w:eastAsia="Calibri" w:cs="Arial"/>
          <w:bCs/>
        </w:rPr>
        <w:t xml:space="preserve">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w:t>
      </w:r>
      <w:r w:rsidRPr="000E4A6E">
        <w:rPr>
          <w:rFonts w:ascii="Arial" w:hAnsi="Arial" w:eastAsia="Times New Roman" w:cs="Arial"/>
          <w:bCs/>
          <w:iCs/>
          <w:lang w:val="es-MX" w:eastAsia="x-none"/>
        </w:rPr>
        <w:t xml:space="preserve"> </w:t>
      </w:r>
      <w:bookmarkStart w:name="_Hlk99578153" w:id="24"/>
      <w:bookmarkEnd w:id="23"/>
      <w:r w:rsidRPr="000E4A6E">
        <w:rPr>
          <w:rFonts w:ascii="Arial" w:hAnsi="Arial" w:eastAsia="Times New Roman" w:cs="Arial"/>
          <w:bCs/>
          <w:iCs/>
          <w:lang w:val="es-MX" w:eastAsia="x-none"/>
        </w:rPr>
        <w:t>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w:t>
      </w:r>
      <w:bookmarkEnd w:id="24"/>
      <w:r w:rsidRPr="000E4A6E">
        <w:rPr>
          <w:rFonts w:ascii="Arial" w:hAnsi="Arial" w:eastAsia="Times New Roman" w:cs="Arial"/>
          <w:bCs/>
          <w:iCs/>
          <w:vertAlign w:val="superscript"/>
          <w:lang w:val="es-MX" w:eastAsia="x-none"/>
        </w:rPr>
        <w:footnoteReference w:id="13"/>
      </w:r>
      <w:r w:rsidRPr="000E4A6E">
        <w:rPr>
          <w:rFonts w:ascii="Arial" w:hAnsi="Arial" w:eastAsia="Times New Roman" w:cs="Arial"/>
          <w:bCs/>
          <w:iCs/>
          <w:lang w:val="es-MX" w:eastAsia="x-none"/>
        </w:rPr>
        <w:t>.</w:t>
      </w:r>
      <w:r w:rsidRPr="000E4A6E">
        <w:rPr>
          <w:rFonts w:ascii="Arial" w:hAnsi="Arial" w:eastAsia="Calibri" w:cs="Arial"/>
          <w:sz w:val="24"/>
          <w:lang w:val="es-MX"/>
        </w:rPr>
        <w:t xml:space="preserve"> </w:t>
      </w:r>
    </w:p>
    <w:p w:rsidRPr="000E4A6E" w:rsidR="000E141A" w:rsidP="000E141A" w:rsidRDefault="000E141A" w14:paraId="387D153A" w14:textId="77777777">
      <w:pPr>
        <w:widowControl w:val="0"/>
        <w:autoSpaceDE w:val="0"/>
        <w:autoSpaceDN w:val="0"/>
        <w:spacing w:after="120" w:line="276" w:lineRule="auto"/>
        <w:ind w:firstLine="707"/>
        <w:jc w:val="both"/>
        <w:rPr>
          <w:rFonts w:ascii="Arial" w:hAnsi="Arial" w:eastAsia="Arial" w:cs="Arial"/>
          <w:lang w:val="es-ES" w:eastAsia="es-ES" w:bidi="es-ES"/>
        </w:rPr>
      </w:pPr>
      <w:r w:rsidRPr="000E4A6E">
        <w:rPr>
          <w:rFonts w:ascii="Arial" w:hAnsi="Arial" w:eastAsia="Calibri" w:cs="Arial"/>
          <w:bCs/>
          <w:lang w:eastAsia="es-ES" w:bidi="es-ES"/>
        </w:rPr>
        <w:t xml:space="preserve">Ahora bien, </w:t>
      </w:r>
      <w:bookmarkStart w:name="_Hlk78820161" w:id="25"/>
      <w:r w:rsidRPr="000E4A6E">
        <w:rPr>
          <w:rFonts w:ascii="Arial" w:hAnsi="Arial" w:eastAsia="Calibri" w:cs="Arial"/>
          <w:bCs/>
          <w:lang w:eastAsia="es-ES" w:bidi="es-ES"/>
        </w:rPr>
        <w:t xml:space="preserve">para determinar el alcance de la prohibición consagrada por la Ley de Garantías Electorales, conviene precisar la tipología de convenios o contratos interadministrativos. </w:t>
      </w:r>
      <w:r w:rsidRPr="000E4A6E">
        <w:rPr>
          <w:rFonts w:ascii="Arial" w:hAnsi="Arial" w:eastAsia="Arial" w:cs="Arial"/>
          <w:lang w:val="es-ES" w:eastAsia="es-ES" w:bidi="es-ES"/>
        </w:rPr>
        <w:t>Aunque la ley no la definió ni desarrolló, el Decreto 1082 de 2015 califica a los convenios o contratos interadministrativos como aquella contratación entre entidades estatales</w:t>
      </w:r>
      <w:r w:rsidRPr="000E4A6E">
        <w:rPr>
          <w:rFonts w:ascii="Arial" w:hAnsi="Arial" w:eastAsia="Arial" w:cs="Arial"/>
          <w:vertAlign w:val="superscript"/>
          <w:lang w:val="es-ES" w:eastAsia="es-ES" w:bidi="es-ES"/>
        </w:rPr>
        <w:footnoteReference w:id="14"/>
      </w:r>
      <w:r w:rsidRPr="000E4A6E">
        <w:rPr>
          <w:rFonts w:ascii="Arial" w:hAnsi="Arial" w:eastAsia="Arial" w:cs="Arial"/>
          <w:lang w:val="es-ES" w:eastAsia="es-ES" w:bidi="es-ES"/>
        </w:rPr>
        <w:t xml:space="preserve">. De acuerdo con lo anterior, el contrato o el convenio </w:t>
      </w:r>
      <w:r w:rsidRPr="000E4A6E">
        <w:rPr>
          <w:rFonts w:ascii="Arial" w:hAnsi="Arial" w:eastAsia="Arial" w:cs="Arial"/>
          <w:lang w:val="es-ES" w:eastAsia="es-ES" w:bidi="es-ES"/>
        </w:rPr>
        <w:t>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w:t>
      </w:r>
      <w:r w:rsidRPr="000E4A6E">
        <w:rPr>
          <w:rFonts w:ascii="Arial" w:hAnsi="Arial" w:eastAsia="Arial" w:cs="Arial"/>
          <w:spacing w:val="-6"/>
          <w:lang w:val="es-ES" w:eastAsia="es-ES" w:bidi="es-ES"/>
        </w:rPr>
        <w:t xml:space="preserve"> </w:t>
      </w:r>
      <w:r w:rsidRPr="000E4A6E">
        <w:rPr>
          <w:rFonts w:ascii="Arial" w:hAnsi="Arial" w:eastAsia="Arial" w:cs="Arial"/>
          <w:lang w:val="es-ES" w:eastAsia="es-ES" w:bidi="es-ES"/>
        </w:rPr>
        <w:t>estatales.</w:t>
      </w:r>
    </w:p>
    <w:p w:rsidRPr="000E4A6E" w:rsidR="000E141A" w:rsidP="000E141A" w:rsidRDefault="000E141A" w14:paraId="31A41AAD" w14:textId="77777777">
      <w:pPr>
        <w:widowControl w:val="0"/>
        <w:autoSpaceDE w:val="0"/>
        <w:autoSpaceDN w:val="0"/>
        <w:spacing w:before="117" w:after="120" w:line="276" w:lineRule="auto"/>
        <w:ind w:firstLine="707"/>
        <w:jc w:val="both"/>
        <w:rPr>
          <w:rFonts w:ascii="Arial" w:hAnsi="Arial" w:eastAsia="Calibri" w:cs="Arial"/>
          <w:bCs/>
          <w:lang w:val="es-ES"/>
        </w:rPr>
      </w:pPr>
      <w:bookmarkStart w:name="_Hlk78820654" w:id="26"/>
      <w:bookmarkEnd w:id="25"/>
      <w:r w:rsidRPr="000E4A6E">
        <w:rPr>
          <w:rFonts w:ascii="Arial" w:hAnsi="Arial" w:eastAsia="Arial" w:cs="Arial"/>
          <w:lang w:val="es-ES" w:eastAsia="es-ES" w:bidi="es-ES"/>
        </w:rPr>
        <w:t>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sometida a la Ley 80 de 1993 celebrar esta clase de convenios con una entidad estatal de régimen especial y no por ello dejará de ser un contrato o convenio interadministrativo. De esta manera, sin perjuicio de lo dispuesto en el artículo 56 de la Ley 2195 de 2022, el literal c) del artículo 2.4 de la Ley 1150 de 2007 dispone que “</w:t>
      </w:r>
      <w:r w:rsidRPr="000E4A6E">
        <w:rPr>
          <w:rFonts w:ascii="Arial" w:hAnsi="Arial" w:eastAsia="Arial" w:cs="Arial"/>
          <w:lang w:eastAsia="es-ES" w:bidi="es-ES"/>
        </w:rPr>
        <w:t>En aquellos eventos en que el régimen aplicable a la contratación de la entidad ejecutora no sea el de la Ley 80 de 1993, la ejecución de dichos contratos estará en todo caso sometida a esta ley, salvo que la entidad ejecutora desarrolle su actividad en competencia con el sector privado o cuando la ejecución del contrato interadministrativo tenga relación directa con el desarrollo de su actividad”.</w:t>
      </w:r>
    </w:p>
    <w:p w:rsidRPr="000E4A6E" w:rsidR="000E141A" w:rsidP="000E141A" w:rsidRDefault="000E141A" w14:paraId="7FA0390F" w14:textId="77777777">
      <w:pPr>
        <w:widowControl w:val="0"/>
        <w:autoSpaceDE w:val="0"/>
        <w:autoSpaceDN w:val="0"/>
        <w:spacing w:before="121" w:after="120" w:line="276" w:lineRule="auto"/>
        <w:ind w:firstLine="707"/>
        <w:jc w:val="both"/>
        <w:rPr>
          <w:rFonts w:ascii="Arial" w:hAnsi="Arial" w:eastAsia="Arial" w:cs="Arial"/>
          <w:lang w:val="es-ES" w:eastAsia="es-ES" w:bidi="es-ES"/>
        </w:rPr>
      </w:pPr>
      <w:bookmarkStart w:name="_Hlk99578261" w:id="27"/>
      <w:bookmarkEnd w:id="26"/>
      <w:r w:rsidRPr="000E4A6E">
        <w:rPr>
          <w:rFonts w:ascii="Arial" w:hAnsi="Arial" w:eastAsia="Arial" w:cs="Arial"/>
          <w:lang w:val="es-ES" w:eastAsia="es-ES" w:bidi="es-ES"/>
        </w:rPr>
        <w:t>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w:t>
      </w:r>
      <w:r w:rsidRPr="000E4A6E">
        <w:rPr>
          <w:rFonts w:ascii="Arial" w:hAnsi="Arial" w:eastAsia="Arial" w:cs="Arial"/>
          <w:vertAlign w:val="superscript"/>
          <w:lang w:val="es-ES" w:eastAsia="es-ES" w:bidi="es-ES"/>
        </w:rPr>
        <w:footnoteReference w:id="15"/>
      </w:r>
      <w:r w:rsidRPr="000E4A6E">
        <w:rPr>
          <w:rFonts w:ascii="Arial" w:hAnsi="Arial" w:eastAsia="Arial" w:cs="Arial"/>
          <w:lang w:val="es-ES" w:eastAsia="es-ES" w:bidi="es-ES"/>
        </w:rPr>
        <w:t>. Nótese que, en este caso, lo que cambia es la modalidad de selección y no la naturaleza de contrato</w:t>
      </w:r>
      <w:r w:rsidRPr="000E4A6E">
        <w:rPr>
          <w:rFonts w:ascii="Arial" w:hAnsi="Arial" w:eastAsia="Arial" w:cs="Arial"/>
          <w:spacing w:val="-18"/>
          <w:lang w:val="es-ES" w:eastAsia="es-ES" w:bidi="es-ES"/>
        </w:rPr>
        <w:t xml:space="preserve"> </w:t>
      </w:r>
      <w:r w:rsidRPr="000E4A6E">
        <w:rPr>
          <w:rFonts w:ascii="Arial" w:hAnsi="Arial" w:eastAsia="Arial" w:cs="Arial"/>
          <w:lang w:val="es-ES" w:eastAsia="es-ES" w:bidi="es-ES"/>
        </w:rPr>
        <w:t>interadministrativo.</w:t>
      </w:r>
    </w:p>
    <w:bookmarkEnd w:id="27"/>
    <w:p w:rsidRPr="000E4A6E" w:rsidR="000E141A" w:rsidP="000E141A" w:rsidRDefault="000E141A" w14:paraId="40B9E8F7" w14:textId="77777777">
      <w:pPr>
        <w:widowControl w:val="0"/>
        <w:autoSpaceDE w:val="0"/>
        <w:autoSpaceDN w:val="0"/>
        <w:spacing w:before="114" w:after="0" w:line="276" w:lineRule="auto"/>
        <w:ind w:firstLine="707"/>
        <w:jc w:val="both"/>
        <w:rPr>
          <w:rFonts w:ascii="Arial" w:hAnsi="Arial" w:eastAsia="Arial" w:cs="Arial"/>
          <w:lang w:val="es-ES" w:eastAsia="es-ES" w:bidi="es-ES"/>
        </w:rPr>
      </w:pPr>
      <w:r w:rsidRPr="000E4A6E">
        <w:rPr>
          <w:rFonts w:ascii="Arial" w:hAnsi="Arial" w:eastAsia="Arial" w:cs="Arial"/>
          <w:lang w:val="es-ES" w:eastAsia="es-ES" w:bidi="es-ES"/>
        </w:rPr>
        <w:t>La Corte Constitucional expresó en la Sentencia C–671 de 2015 que “Lo que hace interadministrativo a un contrato o convenio no es el procedimiento de selección aplicable, sino la calidad de los sujetos contratantes, esto es que las dos partes de la relación jurídica contractual formen parte de la administración pública”. Así las cosas, esta clase de acuerdos de voluntades se definen por un criterio orgánico, por lo que uno de sus elementos esenciales es que en los extremos de la relación jurídico negocial concurran personas de derecho público. Adicionalmente, el Consejo de Estado ha indicado, frente al convenio interadministrativo y sus características,</w:t>
      </w:r>
      <w:r w:rsidRPr="000E4A6E">
        <w:rPr>
          <w:rFonts w:ascii="Arial" w:hAnsi="Arial" w:eastAsia="Arial" w:cs="Arial"/>
          <w:spacing w:val="-13"/>
          <w:lang w:val="es-ES" w:eastAsia="es-ES" w:bidi="es-ES"/>
        </w:rPr>
        <w:t xml:space="preserve"> </w:t>
      </w:r>
      <w:r w:rsidRPr="000E4A6E">
        <w:rPr>
          <w:rFonts w:ascii="Arial" w:hAnsi="Arial" w:eastAsia="Arial" w:cs="Arial"/>
          <w:lang w:val="es-ES" w:eastAsia="es-ES" w:bidi="es-ES"/>
        </w:rPr>
        <w:t>que:</w:t>
      </w:r>
    </w:p>
    <w:p w:rsidRPr="000E4A6E" w:rsidR="000E141A" w:rsidP="000E141A" w:rsidRDefault="000E141A" w14:paraId="372B1097" w14:textId="77777777">
      <w:pPr>
        <w:widowControl w:val="0"/>
        <w:autoSpaceDE w:val="0"/>
        <w:autoSpaceDN w:val="0"/>
        <w:spacing w:after="0" w:line="276" w:lineRule="auto"/>
        <w:ind w:firstLine="707"/>
        <w:contextualSpacing/>
        <w:jc w:val="both"/>
        <w:rPr>
          <w:rFonts w:ascii="Arial" w:hAnsi="Arial" w:eastAsia="Arial" w:cs="Arial"/>
          <w:lang w:val="es-ES" w:eastAsia="es-ES" w:bidi="es-ES"/>
        </w:rPr>
      </w:pPr>
    </w:p>
    <w:p w:rsidRPr="000E4A6E" w:rsidR="000E141A" w:rsidP="000E141A" w:rsidRDefault="000E141A" w14:paraId="0A2847ED" w14:textId="77777777">
      <w:pPr>
        <w:spacing w:after="0" w:line="240" w:lineRule="auto"/>
        <w:ind w:left="709" w:right="709"/>
        <w:contextualSpacing/>
        <w:jc w:val="both"/>
        <w:rPr>
          <w:rFonts w:ascii="Arial" w:hAnsi="Arial" w:eastAsia="Calibri" w:cs="Arial"/>
          <w:sz w:val="21"/>
          <w:lang w:val="es-MX"/>
        </w:rPr>
      </w:pPr>
      <w:r w:rsidRPr="000E4A6E">
        <w:rPr>
          <w:rFonts w:ascii="Arial" w:hAnsi="Arial" w:eastAsia="Calibri" w:cs="Arial"/>
          <w:sz w:val="21"/>
          <w:lang w:val="es-MX"/>
        </w:rPr>
        <w:t>“[…] se puede señalar que los convenios o contratos interadministrativos tienen como características principales las siguientes: (i) constituyen verdaderos contratos en los términos del Código de Comercio cuando su objeto lo constituyen obligaciones patrimoniales; (</w:t>
      </w:r>
      <w:proofErr w:type="spellStart"/>
      <w:r w:rsidRPr="000E4A6E">
        <w:rPr>
          <w:rFonts w:ascii="Arial" w:hAnsi="Arial" w:eastAsia="Calibri" w:cs="Arial"/>
          <w:sz w:val="21"/>
          <w:lang w:val="es-MX"/>
        </w:rPr>
        <w:t>ii</w:t>
      </w:r>
      <w:proofErr w:type="spellEnd"/>
      <w:r w:rsidRPr="000E4A6E">
        <w:rPr>
          <w:rFonts w:ascii="Arial" w:hAnsi="Arial" w:eastAsia="Calibri" w:cs="Arial"/>
          <w:sz w:val="21"/>
          <w:lang w:val="es-MX"/>
        </w:rPr>
        <w:t>) tienen como fuente la autonomía contractual; (</w:t>
      </w:r>
      <w:proofErr w:type="spellStart"/>
      <w:r w:rsidRPr="000E4A6E">
        <w:rPr>
          <w:rFonts w:ascii="Arial" w:hAnsi="Arial" w:eastAsia="Calibri" w:cs="Arial"/>
          <w:sz w:val="21"/>
          <w:lang w:val="es-MX"/>
        </w:rPr>
        <w:t>iii</w:t>
      </w:r>
      <w:proofErr w:type="spellEnd"/>
      <w:r w:rsidRPr="000E4A6E">
        <w:rPr>
          <w:rFonts w:ascii="Arial" w:hAnsi="Arial" w:eastAsia="Calibri" w:cs="Arial"/>
          <w:sz w:val="21"/>
          <w:lang w:val="es-MX"/>
        </w:rPr>
        <w:t>) son contratos nominados puesto que están mencionados en la ley; (</w:t>
      </w:r>
      <w:proofErr w:type="spellStart"/>
      <w:r w:rsidRPr="000E4A6E">
        <w:rPr>
          <w:rFonts w:ascii="Arial" w:hAnsi="Arial" w:eastAsia="Calibri" w:cs="Arial"/>
          <w:sz w:val="21"/>
          <w:lang w:val="es-MX"/>
        </w:rPr>
        <w:t>iv</w:t>
      </w:r>
      <w:proofErr w:type="spellEnd"/>
      <w:r w:rsidRPr="000E4A6E">
        <w:rPr>
          <w:rFonts w:ascii="Arial" w:hAnsi="Arial" w:eastAsia="Calibri" w:cs="Arial"/>
          <w:sz w:val="21"/>
          <w:lang w:val="es-MX"/>
        </w:rPr>
        <w:t>)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w:t>
      </w:r>
      <w:proofErr w:type="spellStart"/>
      <w:r w:rsidRPr="000E4A6E">
        <w:rPr>
          <w:rFonts w:ascii="Arial" w:hAnsi="Arial" w:eastAsia="Calibri" w:cs="Arial"/>
          <w:sz w:val="21"/>
          <w:lang w:val="es-MX"/>
        </w:rPr>
        <w:t>vii</w:t>
      </w:r>
      <w:proofErr w:type="spellEnd"/>
      <w:r w:rsidRPr="000E4A6E">
        <w:rPr>
          <w:rFonts w:ascii="Arial" w:hAnsi="Arial" w:eastAsia="Calibri" w:cs="Arial"/>
          <w:sz w:val="21"/>
          <w:lang w:val="es-MX"/>
        </w:rPr>
        <w:t>) persiguen  una finalidad común a través de la realización de intereses compartidos entre las entidades vinculadas; (</w:t>
      </w:r>
      <w:proofErr w:type="spellStart"/>
      <w:r w:rsidRPr="000E4A6E">
        <w:rPr>
          <w:rFonts w:ascii="Arial" w:hAnsi="Arial" w:eastAsia="Calibri" w:cs="Arial"/>
          <w:sz w:val="21"/>
          <w:lang w:val="es-MX"/>
        </w:rPr>
        <w:t>viii</w:t>
      </w:r>
      <w:proofErr w:type="spellEnd"/>
      <w:r w:rsidRPr="000E4A6E">
        <w:rPr>
          <w:rFonts w:ascii="Arial" w:hAnsi="Arial" w:eastAsia="Calibri" w:cs="Arial"/>
          <w:sz w:val="21"/>
          <w:lang w:val="es-MX"/>
        </w:rPr>
        <w:t>) la acción mediante la cual se deben ventilar las diferencias que sobre el particular surjan es la de controversias contractuales”</w:t>
      </w:r>
      <w:r w:rsidRPr="000E4A6E">
        <w:rPr>
          <w:rFonts w:ascii="Arial" w:hAnsi="Arial" w:eastAsia="Calibri" w:cs="Arial"/>
          <w:sz w:val="21"/>
          <w:vertAlign w:val="superscript"/>
          <w:lang w:val="es-MX"/>
        </w:rPr>
        <w:footnoteReference w:id="16"/>
      </w:r>
      <w:r w:rsidRPr="000E4A6E">
        <w:rPr>
          <w:rFonts w:ascii="Arial" w:hAnsi="Arial" w:eastAsia="Calibri" w:cs="Arial"/>
          <w:sz w:val="21"/>
          <w:lang w:val="es-MX"/>
        </w:rPr>
        <w:t>.</w:t>
      </w:r>
    </w:p>
    <w:p w:rsidRPr="000E4A6E" w:rsidR="000E141A" w:rsidP="000E141A" w:rsidRDefault="000E141A" w14:paraId="465C051F" w14:textId="77777777">
      <w:pPr>
        <w:spacing w:after="0" w:line="276" w:lineRule="auto"/>
        <w:ind w:left="709" w:right="709"/>
        <w:contextualSpacing/>
        <w:jc w:val="both"/>
        <w:rPr>
          <w:rFonts w:ascii="Arial" w:hAnsi="Arial" w:eastAsia="Calibri" w:cs="Arial"/>
          <w:lang w:val="es-MX"/>
        </w:rPr>
      </w:pPr>
    </w:p>
    <w:p w:rsidRPr="000E4A6E" w:rsidR="000E141A" w:rsidP="000E141A" w:rsidRDefault="000E141A" w14:paraId="533D4EAD" w14:textId="77777777">
      <w:pPr>
        <w:widowControl w:val="0"/>
        <w:autoSpaceDE w:val="0"/>
        <w:autoSpaceDN w:val="0"/>
        <w:spacing w:after="120" w:line="276" w:lineRule="auto"/>
        <w:ind w:firstLine="707"/>
        <w:jc w:val="both"/>
        <w:rPr>
          <w:rFonts w:ascii="Arial" w:hAnsi="Arial" w:eastAsia="Arial" w:cs="Arial"/>
          <w:lang w:val="es-ES" w:eastAsia="es-ES" w:bidi="es-ES"/>
        </w:rPr>
      </w:pPr>
      <w:r w:rsidRPr="000E4A6E">
        <w:rPr>
          <w:rFonts w:ascii="Arial" w:hAnsi="Arial" w:eastAsia="Arial" w:cs="Arial"/>
          <w:lang w:val="es-ES" w:eastAsia="es-ES" w:bidi="es-ES"/>
        </w:rPr>
        <w:t>En ese sentido, los convenios interadministrativos se caracterizan por los sujetos que intervienen y por la modalidad de selección que la ley permite aplicar para su celebración, ya que comporta un grado de excepcionalidad frente a las demás tipologías contractuales, donde los sujetos no están restringidos a una cualificación particular y aplican otras modalidades de selección. El Estatuto General de Contratación de la Administración Pública establece la contratación directa como la modalidad de selección aplicable, por regla general, a la celebración de los contratos interadministrativos.</w:t>
      </w:r>
    </w:p>
    <w:p w:rsidRPr="000E4A6E" w:rsidR="000E141A" w:rsidP="000E141A" w:rsidRDefault="000E141A" w14:paraId="72002992" w14:textId="77777777">
      <w:pPr>
        <w:widowControl w:val="0"/>
        <w:autoSpaceDE w:val="0"/>
        <w:autoSpaceDN w:val="0"/>
        <w:spacing w:before="119" w:after="120" w:line="276" w:lineRule="auto"/>
        <w:ind w:firstLine="707"/>
        <w:jc w:val="both"/>
        <w:rPr>
          <w:rFonts w:ascii="Arial" w:hAnsi="Arial" w:eastAsia="Arial" w:cs="Arial"/>
          <w:lang w:val="es-ES" w:eastAsia="es-ES" w:bidi="es-ES"/>
        </w:rPr>
      </w:pPr>
      <w:r w:rsidRPr="000E4A6E">
        <w:rPr>
          <w:rFonts w:ascii="Arial" w:hAnsi="Arial" w:eastAsia="Arial" w:cs="Arial"/>
          <w:lang w:val="es-ES" w:eastAsia="es-ES" w:bidi="es-ES"/>
        </w:rPr>
        <w:t>Así las cosas, la ley no limitó la celebración de contratos interadministrativos a la modalidad de selección de contratación directa, pues solo estableció, excepcionalmente, su celebración de manera directa cuando dos o más entidades del Estado, con el fin de materializar funciones administrativas de interés común para ambas partes, celebran un negocio jurídico. No obstante, es posible que se celebren contratos interadministrativos en el marco de un proceso donde sea posible la participación de los interesados en ofertar, es decir, a través de las otras modalidades de selección previstas en la Ley 1150 de 2007 diferentes a la de contratación directa, pues, como se indicó, la existencia de un contrato interadministrativo no está determinada por la modalidad de selección sino, entre otras cosas, de la calidad de las partes que lo suscriben, es decir, debe tratarse de entidades</w:t>
      </w:r>
      <w:r w:rsidRPr="000E4A6E">
        <w:rPr>
          <w:rFonts w:ascii="Arial" w:hAnsi="Arial" w:eastAsia="Arial" w:cs="Arial"/>
          <w:spacing w:val="-3"/>
          <w:lang w:val="es-ES" w:eastAsia="es-ES" w:bidi="es-ES"/>
        </w:rPr>
        <w:t xml:space="preserve"> </w:t>
      </w:r>
      <w:r w:rsidRPr="000E4A6E">
        <w:rPr>
          <w:rFonts w:ascii="Arial" w:hAnsi="Arial" w:eastAsia="Arial" w:cs="Arial"/>
          <w:lang w:val="es-ES" w:eastAsia="es-ES" w:bidi="es-ES"/>
        </w:rPr>
        <w:t>estatales.</w:t>
      </w:r>
    </w:p>
    <w:p w:rsidRPr="000E4A6E" w:rsidR="000E141A" w:rsidP="000E141A" w:rsidRDefault="000E141A" w14:paraId="0B47C75E" w14:textId="77777777">
      <w:pPr>
        <w:widowControl w:val="0"/>
        <w:autoSpaceDE w:val="0"/>
        <w:autoSpaceDN w:val="0"/>
        <w:spacing w:before="120" w:after="120" w:line="276" w:lineRule="auto"/>
        <w:ind w:firstLine="709"/>
        <w:jc w:val="both"/>
        <w:rPr>
          <w:rFonts w:ascii="Arial" w:hAnsi="Arial" w:eastAsia="Arial" w:cs="Arial"/>
          <w:lang w:val="es-ES" w:eastAsia="es-ES" w:bidi="es-ES"/>
        </w:rPr>
      </w:pPr>
      <w:r w:rsidRPr="000E4A6E">
        <w:rPr>
          <w:rFonts w:ascii="Arial" w:hAnsi="Arial" w:eastAsia="Arial" w:cs="Arial"/>
          <w:lang w:val="es-ES" w:eastAsia="es-ES" w:bidi="es-ES"/>
        </w:rPr>
        <w:t xml:space="preserve">Además, es necesario tener en cuenta que para que un contrato o convenio interadministrativo exista, debe cumplir con los siguientes elementos: acuerdo sobre el objeto y la contraprestación, y que se eleve a escrito. Por otra parte, si bien actualmente el </w:t>
      </w:r>
      <w:r w:rsidRPr="000E4A6E">
        <w:rPr>
          <w:rFonts w:ascii="Arial" w:hAnsi="Arial" w:eastAsia="Arial" w:cs="Arial"/>
          <w:lang w:val="es-ES" w:eastAsia="es-ES" w:bidi="es-ES"/>
        </w:rPr>
        <w:t>EGCAP hace referencia de manera expresa al contrato interadministrativo o en términos generales a los interadministrativos y no al convenio, no por esto puede concluirse que se trate de figuras totalmente diferentes, pues las entidades del Estado, en el marco de la Ley 80 de 1993, pueden acordar entre sí diferentes tipos de obligaciones, siempre que su objeto de creación les permita cumplirlas, con el objetivo común de materializar los fines del Estado. Por este motivo, cuando la Ley 80 de 1993 se refiere a contratos interadministrativos de la misma forma lo hace frente a los convenios, entre otras razones, porque este cuerpo normativo faculta a las entidades públicas a celebrar los demás acuerdos que permitan la autonomía de la voluntad y requieran el cumplimiento de los fines</w:t>
      </w:r>
      <w:r w:rsidRPr="000E4A6E">
        <w:rPr>
          <w:rFonts w:ascii="Arial" w:hAnsi="Arial" w:eastAsia="Arial" w:cs="Arial"/>
          <w:spacing w:val="-4"/>
          <w:lang w:val="es-ES" w:eastAsia="es-ES" w:bidi="es-ES"/>
        </w:rPr>
        <w:t xml:space="preserve"> </w:t>
      </w:r>
      <w:r w:rsidRPr="000E4A6E">
        <w:rPr>
          <w:rFonts w:ascii="Arial" w:hAnsi="Arial" w:eastAsia="Arial" w:cs="Arial"/>
          <w:lang w:val="es-ES" w:eastAsia="es-ES" w:bidi="es-ES"/>
        </w:rPr>
        <w:t>estatales.</w:t>
      </w:r>
    </w:p>
    <w:p w:rsidRPr="000E4A6E" w:rsidR="000E141A" w:rsidP="000E141A" w:rsidRDefault="000E141A" w14:paraId="5BB82867" w14:textId="77777777">
      <w:pPr>
        <w:widowControl w:val="0"/>
        <w:autoSpaceDE w:val="0"/>
        <w:autoSpaceDN w:val="0"/>
        <w:spacing w:before="122" w:after="120" w:line="276" w:lineRule="auto"/>
        <w:ind w:firstLine="708"/>
        <w:jc w:val="both"/>
        <w:rPr>
          <w:rFonts w:ascii="Arial" w:hAnsi="Arial" w:eastAsia="Arial" w:cs="Arial"/>
          <w:lang w:val="es-ES" w:eastAsia="es-ES" w:bidi="es-ES"/>
        </w:rPr>
      </w:pPr>
      <w:r w:rsidRPr="000E4A6E">
        <w:rPr>
          <w:rFonts w:ascii="Arial" w:hAnsi="Arial" w:eastAsia="Arial" w:cs="Arial"/>
          <w:lang w:val="es-ES" w:eastAsia="es-ES" w:bidi="es-ES"/>
        </w:rPr>
        <w:t>Es bueno destacar que el Decreto 1082 de 2015 dispone que los convenios o contratos interadministrativos, así denominados en su artículo 2.2.1.2.1.4.4, se contratan directamente, por lo que no hay lugar a dudas que representan lo mismo en la medida en que concurran entidades estatales en el acuerdo de voluntades. De este modo, es posible concluir que en la contratación estatal no existen mayores diferencias entre convenio y contrato y, dando aplicación al derecho privado y a la definición contenida en el Código Civil, puede afirmarse que se trata de figuras equivalentes.</w:t>
      </w:r>
    </w:p>
    <w:p w:rsidRPr="000E4A6E" w:rsidR="000E141A" w:rsidP="000E141A" w:rsidRDefault="000E141A" w14:paraId="42F2EDA8" w14:textId="77777777">
      <w:pPr>
        <w:widowControl w:val="0"/>
        <w:autoSpaceDE w:val="0"/>
        <w:autoSpaceDN w:val="0"/>
        <w:spacing w:after="120" w:line="276" w:lineRule="auto"/>
        <w:ind w:firstLine="708"/>
        <w:jc w:val="both"/>
        <w:rPr>
          <w:rFonts w:ascii="Arial" w:hAnsi="Arial" w:eastAsia="Calibri" w:cs="Arial"/>
          <w:bCs/>
          <w:lang w:eastAsia="es-ES" w:bidi="es-ES"/>
        </w:rPr>
      </w:pPr>
      <w:r w:rsidRPr="000E4A6E">
        <w:rPr>
          <w:rFonts w:ascii="Arial" w:hAnsi="Arial" w:eastAsia="Arial" w:cs="Arial"/>
          <w:lang w:val="es-ES" w:eastAsia="es-ES" w:bidi="es-ES"/>
        </w:rPr>
        <w:t>Por tanto, aunque el artículo 95 de la Ley 489 de 1998 dispone que “Las entidades públicas podrán asociarse con el fin de cooperar en el cumplimiento de funciones administrativas o de prestar conjuntamente servicios que se hallen a su cargo, mediante la celebración de convenios interadministrativos […]”, esto no significa que dichos acuerdos estén exceptuados del Estatuto General de Contratación de la Administración Pública por no tener carácter contractual. Por ello, la jurisprudencia considera que “Estos convenios cuentan con las características propias de los contratos, cuando su objeto lo constituyen obligaciones patrimoniales, y las entidades estatales que los conforman están sujetas tanto a la normativa contractual pública, como a las normas del derecho civil</w:t>
      </w:r>
      <w:r w:rsidRPr="000E4A6E">
        <w:rPr>
          <w:rFonts w:ascii="Arial" w:hAnsi="Arial" w:eastAsia="Arial" w:cs="Arial"/>
          <w:spacing w:val="-4"/>
          <w:lang w:val="es-ES" w:eastAsia="es-ES" w:bidi="es-ES"/>
        </w:rPr>
        <w:t xml:space="preserve"> </w:t>
      </w:r>
      <w:r w:rsidRPr="000E4A6E">
        <w:rPr>
          <w:rFonts w:ascii="Arial" w:hAnsi="Arial" w:eastAsia="Arial" w:cs="Arial"/>
          <w:lang w:val="es-ES" w:eastAsia="es-ES" w:bidi="es-ES"/>
        </w:rPr>
        <w:t>[…]”</w:t>
      </w:r>
      <w:r w:rsidRPr="000E4A6E">
        <w:rPr>
          <w:rFonts w:ascii="Arial" w:hAnsi="Arial" w:eastAsia="Arial" w:cs="Arial"/>
          <w:vertAlign w:val="superscript"/>
          <w:lang w:val="es-ES" w:eastAsia="es-ES" w:bidi="es-ES"/>
        </w:rPr>
        <w:footnoteReference w:id="17"/>
      </w:r>
      <w:r w:rsidRPr="000E4A6E">
        <w:rPr>
          <w:rFonts w:ascii="Arial" w:hAnsi="Arial" w:eastAsia="Arial" w:cs="Arial"/>
          <w:lang w:val="es-ES" w:eastAsia="es-ES" w:bidi="es-ES"/>
        </w:rPr>
        <w:t>.</w:t>
      </w:r>
      <w:bookmarkStart w:name="_Hlk77171241" w:id="28"/>
    </w:p>
    <w:p w:rsidRPr="000E4A6E" w:rsidR="000E141A" w:rsidP="000E141A" w:rsidRDefault="000E141A" w14:paraId="7C9411A1" w14:textId="77777777">
      <w:pPr>
        <w:widowControl w:val="0"/>
        <w:autoSpaceDE w:val="0"/>
        <w:autoSpaceDN w:val="0"/>
        <w:spacing w:after="0" w:line="276" w:lineRule="auto"/>
        <w:ind w:firstLine="709"/>
        <w:contextualSpacing/>
        <w:jc w:val="both"/>
        <w:rPr>
          <w:rFonts w:ascii="Arial" w:hAnsi="Arial" w:eastAsia="Arial" w:cs="Arial"/>
          <w:lang w:val="es-ES" w:eastAsia="es-ES" w:bidi="es-ES"/>
        </w:rPr>
      </w:pPr>
      <w:r w:rsidRPr="000E4A6E">
        <w:rPr>
          <w:rFonts w:ascii="Arial" w:hAnsi="Arial" w:eastAsia="Arial" w:cs="Arial"/>
          <w:lang w:val="es-ES" w:eastAsia="es-ES" w:bidi="es-ES"/>
        </w:rPr>
        <w:t>Sin perjuicio de lo anterior, vale la pena tener en cuenta que cierto sector de la doctrina y la jurisprudencia han establecido algunas diferencias o caracterización de los contratos interadministrativos frente a los convenios interadministrativos de que trata el artículo 95 de la Ley 489 de 1998. Por ejemplo, el Consejo de Estado en sentencia del 14 de junio de 2019 expresó:</w:t>
      </w:r>
    </w:p>
    <w:p w:rsidRPr="000E4A6E" w:rsidR="000E141A" w:rsidP="000E141A" w:rsidRDefault="000E141A" w14:paraId="57755841" w14:textId="77777777">
      <w:pPr>
        <w:widowControl w:val="0"/>
        <w:autoSpaceDE w:val="0"/>
        <w:autoSpaceDN w:val="0"/>
        <w:spacing w:after="0" w:line="276" w:lineRule="auto"/>
        <w:ind w:firstLine="709"/>
        <w:contextualSpacing/>
        <w:jc w:val="both"/>
        <w:rPr>
          <w:rFonts w:ascii="Arial" w:hAnsi="Arial" w:eastAsia="Arial" w:cs="Arial"/>
          <w:lang w:val="es-ES" w:eastAsia="es-ES" w:bidi="es-ES"/>
        </w:rPr>
      </w:pPr>
    </w:p>
    <w:p w:rsidRPr="000E4A6E" w:rsidR="000E141A" w:rsidP="000E141A" w:rsidRDefault="000E141A" w14:paraId="4BC79EBD" w14:textId="77777777">
      <w:pPr>
        <w:spacing w:after="120" w:line="240" w:lineRule="auto"/>
        <w:ind w:left="709" w:right="709"/>
        <w:contextualSpacing/>
        <w:jc w:val="both"/>
        <w:rPr>
          <w:rFonts w:ascii="Arial" w:hAnsi="Arial" w:eastAsia="Calibri" w:cs="Arial"/>
          <w:sz w:val="21"/>
          <w:szCs w:val="21"/>
          <w:lang w:val="es-ES_tradnl"/>
        </w:rPr>
      </w:pPr>
      <w:r w:rsidRPr="000E4A6E">
        <w:rPr>
          <w:rFonts w:ascii="Arial" w:hAnsi="Arial" w:eastAsia="Calibri" w:cs="Arial"/>
          <w:sz w:val="21"/>
          <w:szCs w:val="21"/>
          <w:lang w:val="es-ES_tradnl"/>
        </w:rPr>
        <w:t>“La Sala de Consulta y Servicio Civil</w:t>
      </w:r>
      <w:r w:rsidRPr="000E4A6E">
        <w:rPr>
          <w:rFonts w:ascii="Arial" w:hAnsi="Arial" w:eastAsia="Calibri" w:cs="Arial"/>
          <w:sz w:val="21"/>
          <w:szCs w:val="21"/>
          <w:vertAlign w:val="superscript"/>
          <w:lang w:val="es-ES_tradnl"/>
        </w:rPr>
        <w:footnoteReference w:id="18"/>
      </w:r>
      <w:r w:rsidRPr="000E4A6E">
        <w:rPr>
          <w:rFonts w:ascii="Arial" w:hAnsi="Arial" w:eastAsia="Calibri" w:cs="Arial"/>
          <w:sz w:val="21"/>
          <w:szCs w:val="21"/>
          <w:lang w:val="es-ES_tradnl"/>
        </w:rPr>
        <w:t xml:space="preserve"> de esta Corporación se ha referido a los </w:t>
      </w:r>
      <w:r w:rsidRPr="000E4A6E">
        <w:rPr>
          <w:rFonts w:ascii="Arial" w:hAnsi="Arial" w:eastAsia="Calibri" w:cs="Arial"/>
          <w:i/>
          <w:sz w:val="21"/>
          <w:szCs w:val="21"/>
          <w:lang w:val="es-ES_tradnl"/>
        </w:rPr>
        <w:t>“convenios interadministrativos”</w:t>
      </w:r>
      <w:r w:rsidRPr="000E4A6E">
        <w:rPr>
          <w:rFonts w:ascii="Arial" w:hAnsi="Arial" w:eastAsia="Calibri" w:cs="Arial"/>
          <w:sz w:val="21"/>
          <w:szCs w:val="21"/>
          <w:lang w:val="es-ES_tradnl"/>
        </w:rPr>
        <w:t xml:space="preserve"> a los cuales alude el artículo 95 de la Ley 489 de 1998, calificándolos de </w:t>
      </w:r>
      <w:r w:rsidRPr="000E4A6E">
        <w:rPr>
          <w:rFonts w:ascii="Arial" w:hAnsi="Arial" w:eastAsia="Calibri" w:cs="Arial"/>
          <w:i/>
          <w:sz w:val="21"/>
          <w:szCs w:val="21"/>
          <w:lang w:val="es-ES_tradnl"/>
        </w:rPr>
        <w:t xml:space="preserve">“puros” </w:t>
      </w:r>
      <w:r w:rsidRPr="000E4A6E">
        <w:rPr>
          <w:rFonts w:ascii="Arial" w:hAnsi="Arial" w:eastAsia="Calibri" w:cs="Arial"/>
          <w:sz w:val="21"/>
          <w:szCs w:val="21"/>
          <w:lang w:val="es-ES_tradnl"/>
        </w:rPr>
        <w:t xml:space="preserve">y entendiendo que estos, además de </w:t>
      </w:r>
      <w:r w:rsidRPr="000E4A6E">
        <w:rPr>
          <w:rFonts w:ascii="Arial" w:hAnsi="Arial" w:eastAsia="Calibri" w:cs="Arial"/>
          <w:sz w:val="21"/>
          <w:szCs w:val="21"/>
          <w:lang w:val="es-ES_tradnl"/>
        </w:rPr>
        <w:t xml:space="preserve">perseguir la finalidad de cooperación antes indicada, no implican intereses contrapuestos ni tampoco se circunscriben a un </w:t>
      </w:r>
      <w:r w:rsidRPr="000E4A6E">
        <w:rPr>
          <w:rFonts w:ascii="Arial" w:hAnsi="Arial" w:eastAsia="Calibri" w:cs="Arial"/>
          <w:i/>
          <w:sz w:val="21"/>
          <w:szCs w:val="21"/>
          <w:lang w:val="es-ES_tradnl"/>
        </w:rPr>
        <w:t>“intercambio patrimonial”</w:t>
      </w:r>
      <w:r w:rsidRPr="000E4A6E">
        <w:rPr>
          <w:rFonts w:ascii="Arial" w:hAnsi="Arial" w:eastAsia="Calibri" w:cs="Arial"/>
          <w:sz w:val="21"/>
          <w:szCs w:val="21"/>
          <w:lang w:val="es-ES_tradnl"/>
        </w:rPr>
        <w:t>. Sin perjuicio de lo anterior, en otra oportunidad, la misma Sala</w:t>
      </w:r>
      <w:r w:rsidRPr="000E4A6E">
        <w:rPr>
          <w:rFonts w:ascii="Arial" w:hAnsi="Arial" w:eastAsia="Calibri" w:cs="Arial"/>
          <w:sz w:val="21"/>
          <w:szCs w:val="21"/>
          <w:vertAlign w:val="superscript"/>
          <w:lang w:val="es-ES_tradnl"/>
        </w:rPr>
        <w:footnoteReference w:id="19"/>
      </w:r>
      <w:r w:rsidRPr="000E4A6E">
        <w:rPr>
          <w:rFonts w:ascii="Arial" w:hAnsi="Arial" w:eastAsia="Calibri" w:cs="Arial"/>
          <w:sz w:val="21"/>
          <w:szCs w:val="21"/>
          <w:lang w:val="es-ES_tradnl"/>
        </w:rPr>
        <w:t xml:space="preserve"> había indicado que, si bien en dichos convenios no se daba un </w:t>
      </w:r>
      <w:r w:rsidRPr="000E4A6E">
        <w:rPr>
          <w:rFonts w:ascii="Arial" w:hAnsi="Arial" w:eastAsia="Calibri" w:cs="Arial"/>
          <w:i/>
          <w:sz w:val="21"/>
          <w:szCs w:val="21"/>
          <w:lang w:val="es-ES_tradnl"/>
        </w:rPr>
        <w:t>“verdadero intercambio de bienes o servicios (contrato conmutativo)”</w:t>
      </w:r>
      <w:r w:rsidRPr="000E4A6E">
        <w:rPr>
          <w:rFonts w:ascii="Arial" w:hAnsi="Arial" w:eastAsia="Calibri" w:cs="Arial"/>
          <w:sz w:val="21"/>
          <w:szCs w:val="21"/>
          <w:lang w:val="es-ES_tradnl"/>
        </w:rPr>
        <w:t>, ello no impedía que se conviniera una remuneración a cargo de alguna(s) entidad(es).</w:t>
      </w:r>
    </w:p>
    <w:p w:rsidRPr="000E4A6E" w:rsidR="000E141A" w:rsidP="000E141A" w:rsidRDefault="000E141A" w14:paraId="44218C6E" w14:textId="77777777">
      <w:pPr>
        <w:spacing w:after="120" w:line="240" w:lineRule="auto"/>
        <w:ind w:left="709" w:right="709"/>
        <w:contextualSpacing/>
        <w:jc w:val="both"/>
        <w:rPr>
          <w:rFonts w:ascii="Arial" w:hAnsi="Arial" w:eastAsia="Calibri" w:cs="Arial"/>
          <w:sz w:val="12"/>
          <w:szCs w:val="12"/>
          <w:lang w:val="es-ES_tradnl"/>
        </w:rPr>
      </w:pPr>
    </w:p>
    <w:p w:rsidRPr="000E4A6E" w:rsidR="000E141A" w:rsidP="000E141A" w:rsidRDefault="000E141A" w14:paraId="561534A5" w14:textId="77777777">
      <w:pPr>
        <w:widowControl w:val="0"/>
        <w:autoSpaceDE w:val="0"/>
        <w:autoSpaceDN w:val="0"/>
        <w:spacing w:after="0" w:line="240" w:lineRule="auto"/>
        <w:ind w:left="709" w:right="709"/>
        <w:contextualSpacing/>
        <w:jc w:val="both"/>
        <w:rPr>
          <w:rFonts w:ascii="Arial" w:hAnsi="Arial" w:eastAsia="Arial" w:cs="Arial"/>
          <w:sz w:val="21"/>
          <w:szCs w:val="21"/>
          <w:lang w:val="es-ES" w:eastAsia="es-ES" w:bidi="es-ES"/>
        </w:rPr>
      </w:pPr>
      <w:r w:rsidRPr="000E4A6E">
        <w:rPr>
          <w:rFonts w:ascii="Arial" w:hAnsi="Arial" w:eastAsia="Arial" w:cs="Arial"/>
          <w:sz w:val="21"/>
          <w:szCs w:val="21"/>
          <w:lang w:val="es-ES_tradnl" w:eastAsia="es-ES" w:bidi="es-ES"/>
        </w:rPr>
        <w:t xml:space="preserve">Lo expuesto evidencia que, en general, las interpretaciones en torno a los </w:t>
      </w:r>
      <w:r w:rsidRPr="000E4A6E">
        <w:rPr>
          <w:rFonts w:ascii="Arial" w:hAnsi="Arial" w:eastAsia="Arial" w:cs="Arial"/>
          <w:i/>
          <w:sz w:val="21"/>
          <w:szCs w:val="21"/>
          <w:lang w:val="es-ES_tradnl" w:eastAsia="es-ES" w:bidi="es-ES"/>
        </w:rPr>
        <w:t>“convenios interadministrativos”</w:t>
      </w:r>
      <w:r w:rsidRPr="000E4A6E">
        <w:rPr>
          <w:rFonts w:ascii="Arial" w:hAnsi="Arial" w:eastAsia="Arial" w:cs="Arial"/>
          <w:sz w:val="21"/>
          <w:szCs w:val="21"/>
          <w:lang w:val="es-ES_tradnl" w:eastAsia="es-ES" w:bidi="es-ES"/>
        </w:rPr>
        <w:t xml:space="preserve"> previstos en el artículo 95 de la Ley 489 de 1998, en el propósito de encasillarlos dentro de una categoría normativa delimitada en su estructura, elementos y régimen jurídico, han sido dubitativas al vincular o no las obligaciones propias de dichos convenios con las de los contratos estatales sometidos al EGCAP, las cuales tienen por objeto prestaciones patrimoniales”</w:t>
      </w:r>
      <w:r w:rsidRPr="000E4A6E">
        <w:rPr>
          <w:rFonts w:ascii="Arial" w:hAnsi="Arial" w:eastAsia="Arial" w:cs="Arial"/>
          <w:sz w:val="21"/>
          <w:szCs w:val="21"/>
          <w:vertAlign w:val="superscript"/>
          <w:lang w:val="es-ES_tradnl" w:eastAsia="es-ES" w:bidi="es-ES"/>
        </w:rPr>
        <w:footnoteReference w:id="20"/>
      </w:r>
      <w:r w:rsidRPr="000E4A6E">
        <w:rPr>
          <w:rFonts w:ascii="Arial" w:hAnsi="Arial" w:eastAsia="Arial" w:cs="Arial"/>
          <w:sz w:val="21"/>
          <w:szCs w:val="21"/>
          <w:lang w:val="es-ES_tradnl" w:eastAsia="es-ES" w:bidi="es-ES"/>
        </w:rPr>
        <w:t xml:space="preserve"> </w:t>
      </w:r>
      <w:r w:rsidRPr="000E4A6E">
        <w:rPr>
          <w:rFonts w:ascii="Arial" w:hAnsi="Arial" w:eastAsia="Arial" w:cs="Arial"/>
          <w:sz w:val="21"/>
          <w:szCs w:val="21"/>
          <w:vertAlign w:val="superscript"/>
          <w:lang w:val="es-ES_tradnl" w:eastAsia="es-ES" w:bidi="es-ES"/>
        </w:rPr>
        <w:footnoteReference w:id="21"/>
      </w:r>
      <w:r w:rsidRPr="000E4A6E">
        <w:rPr>
          <w:rFonts w:ascii="Arial" w:hAnsi="Arial" w:eastAsia="Arial" w:cs="Arial"/>
          <w:sz w:val="21"/>
          <w:szCs w:val="21"/>
          <w:lang w:val="es-ES_tradnl" w:eastAsia="es-ES" w:bidi="es-ES"/>
        </w:rPr>
        <w:t>.</w:t>
      </w:r>
    </w:p>
    <w:p w:rsidRPr="000E4A6E" w:rsidR="000E141A" w:rsidP="000E141A" w:rsidRDefault="000E141A" w14:paraId="0691923C" w14:textId="77777777">
      <w:pPr>
        <w:widowControl w:val="0"/>
        <w:autoSpaceDE w:val="0"/>
        <w:autoSpaceDN w:val="0"/>
        <w:spacing w:after="0" w:line="276" w:lineRule="auto"/>
        <w:contextualSpacing/>
        <w:jc w:val="both"/>
        <w:rPr>
          <w:rFonts w:ascii="Arial" w:hAnsi="Arial" w:eastAsia="Arial" w:cs="Arial"/>
          <w:lang w:val="es-ES" w:eastAsia="es-ES" w:bidi="es-ES"/>
        </w:rPr>
      </w:pPr>
    </w:p>
    <w:p w:rsidRPr="000E4A6E" w:rsidR="000E141A" w:rsidP="000E141A" w:rsidRDefault="000E141A" w14:paraId="19A3B7AE" w14:textId="77777777">
      <w:pPr>
        <w:widowControl w:val="0"/>
        <w:autoSpaceDE w:val="0"/>
        <w:autoSpaceDN w:val="0"/>
        <w:spacing w:after="120" w:line="276" w:lineRule="auto"/>
        <w:jc w:val="both"/>
        <w:rPr>
          <w:rFonts w:ascii="Arial" w:hAnsi="Arial" w:eastAsia="Arial" w:cs="Arial"/>
          <w:lang w:val="es-ES" w:eastAsia="es-ES" w:bidi="es-ES"/>
        </w:rPr>
      </w:pPr>
      <w:r w:rsidRPr="000E4A6E">
        <w:rPr>
          <w:rFonts w:ascii="Arial" w:hAnsi="Arial" w:eastAsia="Arial" w:cs="Arial"/>
          <w:lang w:val="es-ES" w:eastAsia="es-ES" w:bidi="es-ES"/>
        </w:rPr>
        <w:tab/>
      </w:r>
      <w:r w:rsidRPr="000E4A6E">
        <w:rPr>
          <w:rFonts w:ascii="Arial" w:hAnsi="Arial" w:eastAsia="Arial" w:cs="Arial"/>
          <w:lang w:val="es-ES" w:eastAsia="es-ES" w:bidi="es-ES"/>
        </w:rPr>
        <w:t>Vale la pena reiterar que el legislador y el ordenamiento jurídico, en general, en distintas ocasiones utiliza de forma indistinta los conceptos de contrato o convenio para referirse a la misma institución jurídica</w:t>
      </w:r>
      <w:r w:rsidRPr="000E4A6E">
        <w:rPr>
          <w:rFonts w:ascii="Arial" w:hAnsi="Arial" w:eastAsia="Arial" w:cs="Arial"/>
          <w:vertAlign w:val="superscript"/>
          <w:lang w:val="es-ES" w:eastAsia="es-ES" w:bidi="es-ES"/>
        </w:rPr>
        <w:footnoteReference w:id="22"/>
      </w:r>
      <w:r w:rsidRPr="000E4A6E">
        <w:rPr>
          <w:rFonts w:ascii="Arial" w:hAnsi="Arial" w:eastAsia="Arial" w:cs="Arial"/>
          <w:lang w:val="es-ES" w:eastAsia="es-ES" w:bidi="es-ES"/>
        </w:rPr>
        <w:t>. Incluso, la Corte Constitucional fundamenta la posibilidad de celebrar convenios interadministrativos de forma directa, con fundamento en la causal establecida en la Ley 1150 de 2007 respecto a los contratos interadministrativos</w:t>
      </w:r>
      <w:r w:rsidRPr="000E4A6E">
        <w:rPr>
          <w:rFonts w:ascii="Arial" w:hAnsi="Arial" w:eastAsia="Arial" w:cs="Arial"/>
          <w:vertAlign w:val="superscript"/>
          <w:lang w:val="es-ES" w:eastAsia="es-ES" w:bidi="es-ES"/>
        </w:rPr>
        <w:footnoteReference w:id="23"/>
      </w:r>
      <w:r w:rsidRPr="000E4A6E">
        <w:rPr>
          <w:rFonts w:ascii="Arial" w:hAnsi="Arial" w:eastAsia="Arial" w:cs="Arial"/>
          <w:lang w:val="es-ES" w:eastAsia="es-ES" w:bidi="es-ES"/>
        </w:rPr>
        <w:t>.</w:t>
      </w:r>
    </w:p>
    <w:p w:rsidRPr="000E4A6E" w:rsidR="000E141A" w:rsidP="000E141A" w:rsidRDefault="000E141A" w14:paraId="38CA444F" w14:textId="77777777">
      <w:pPr>
        <w:widowControl w:val="0"/>
        <w:autoSpaceDE w:val="0"/>
        <w:autoSpaceDN w:val="0"/>
        <w:spacing w:after="0" w:line="276" w:lineRule="auto"/>
        <w:contextualSpacing/>
        <w:jc w:val="both"/>
        <w:rPr>
          <w:rFonts w:ascii="Arial" w:hAnsi="Arial" w:eastAsia="Arial" w:cs="Arial"/>
          <w:lang w:val="es-ES" w:eastAsia="es-ES" w:bidi="es-ES"/>
        </w:rPr>
      </w:pPr>
      <w:r w:rsidRPr="000E4A6E">
        <w:rPr>
          <w:rFonts w:ascii="Arial" w:hAnsi="Arial" w:eastAsia="Arial" w:cs="Arial"/>
          <w:lang w:val="es-ES" w:eastAsia="es-ES" w:bidi="es-ES"/>
        </w:rPr>
        <w:tab/>
      </w:r>
      <w:r w:rsidRPr="000E4A6E">
        <w:rPr>
          <w:rFonts w:ascii="Arial" w:hAnsi="Arial" w:eastAsia="Arial" w:cs="Arial"/>
          <w:lang w:val="es-ES" w:eastAsia="es-ES" w:bidi="es-ES"/>
        </w:rPr>
        <w:t xml:space="preserve">En desarrollo de lo anterior, se destaca que la Circular Externa Única de Colombia Compra Eficiente, pese a reconocer que se han realizado algunas distinciones jurisprudenciales en torno a los contratos y convenios interadministrativos, relacionados con el alcance de las obligaciones que los caracterizan, señala que no existe una definición legal que diferencie los conceptos de convenio o de contrato. En tal sentido, de acuerdo con las consideraciones expuestas en este numeral los asimila para efectos de aplicar las disposiciones que tangencialmente se refieren a uno u otro vocablo, por ejemplo, lo que resulta bastante relevante para este concepto, para la aplicación de la Ley de Garantías </w:t>
      </w:r>
      <w:r w:rsidRPr="000E4A6E">
        <w:rPr>
          <w:rFonts w:ascii="Arial" w:hAnsi="Arial" w:eastAsia="Arial" w:cs="Arial"/>
          <w:lang w:val="es-ES" w:eastAsia="es-ES" w:bidi="es-ES"/>
        </w:rPr>
        <w:t>Electorales. En este sentido, la Circular, refiriéndose al parágrafo del artículo 38 de la Ley 996 de 2005, expresa:</w:t>
      </w:r>
    </w:p>
    <w:p w:rsidRPr="000E4A6E" w:rsidR="000E141A" w:rsidP="000E141A" w:rsidRDefault="000E141A" w14:paraId="42AB6A15" w14:textId="77777777">
      <w:pPr>
        <w:widowControl w:val="0"/>
        <w:autoSpaceDE w:val="0"/>
        <w:autoSpaceDN w:val="0"/>
        <w:spacing w:after="0" w:line="276" w:lineRule="auto"/>
        <w:contextualSpacing/>
        <w:jc w:val="both"/>
        <w:rPr>
          <w:rFonts w:ascii="Arial" w:hAnsi="Arial" w:eastAsia="Arial" w:cs="Arial"/>
          <w:lang w:val="es-ES" w:eastAsia="es-ES" w:bidi="es-ES"/>
        </w:rPr>
      </w:pPr>
    </w:p>
    <w:p w:rsidRPr="000E4A6E" w:rsidR="000E141A" w:rsidP="000E141A" w:rsidRDefault="000E141A" w14:paraId="45118A3C" w14:textId="77777777">
      <w:pPr>
        <w:spacing w:after="120" w:line="240" w:lineRule="auto"/>
        <w:ind w:left="709" w:right="709"/>
        <w:contextualSpacing/>
        <w:jc w:val="both"/>
        <w:rPr>
          <w:rFonts w:ascii="Arial" w:hAnsi="Arial" w:eastAsia="Calibri" w:cs="Arial"/>
          <w:sz w:val="21"/>
          <w:szCs w:val="21"/>
          <w:lang w:val="es-MX"/>
        </w:rPr>
      </w:pPr>
      <w:r w:rsidRPr="000E4A6E">
        <w:rPr>
          <w:rFonts w:ascii="Arial" w:hAnsi="Arial" w:eastAsia="Calibri" w:cs="Arial"/>
          <w:sz w:val="21"/>
          <w:szCs w:val="21"/>
          <w:lang w:val="es-ES_tradnl"/>
        </w:rPr>
        <w:t xml:space="preserve">“Esta restricción es aplicable tanto a los convenios como a los contratos interadministrativos. Toda vez que, al no existir definición legal que diferencie el concepto de convenio del concepto de contrato, la denominación prevista por la Ley 80 de 1993 y la Ley 1150 de 2007 </w:t>
      </w:r>
      <w:r w:rsidRPr="000E4A6E">
        <w:rPr>
          <w:rFonts w:ascii="Arial" w:hAnsi="Arial" w:eastAsia="Calibri" w:cs="Arial"/>
          <w:sz w:val="21"/>
          <w:szCs w:val="21"/>
          <w:lang w:val="es-MX"/>
        </w:rPr>
        <w:t>para tal fin, se entenderán en el mismo sentido. Es así como el Decreto 1082 de 2015 trata indistintamente a los convenios y contratos interadministrativos, al establecer la contratación directa como la modalidad de selección para la contratación entre entidades públicas a través de estas dos figuras jurídicas.</w:t>
      </w:r>
    </w:p>
    <w:p w:rsidRPr="000E4A6E" w:rsidR="000E141A" w:rsidP="000E141A" w:rsidRDefault="000E141A" w14:paraId="4CF0FB22" w14:textId="77777777">
      <w:pPr>
        <w:spacing w:after="120" w:line="240" w:lineRule="auto"/>
        <w:ind w:left="709" w:right="709"/>
        <w:contextualSpacing/>
        <w:jc w:val="both"/>
        <w:rPr>
          <w:rFonts w:ascii="Arial" w:hAnsi="Arial" w:eastAsia="Calibri" w:cs="Arial"/>
          <w:sz w:val="12"/>
          <w:szCs w:val="12"/>
          <w:lang w:val="es-MX"/>
        </w:rPr>
      </w:pPr>
    </w:p>
    <w:p w:rsidRPr="000E4A6E" w:rsidR="000E141A" w:rsidP="000E141A" w:rsidRDefault="000E141A" w14:paraId="53DF314D" w14:textId="77777777">
      <w:pPr>
        <w:spacing w:after="120" w:line="240" w:lineRule="auto"/>
        <w:ind w:left="709" w:right="709"/>
        <w:contextualSpacing/>
        <w:jc w:val="both"/>
        <w:rPr>
          <w:rFonts w:ascii="Arial" w:hAnsi="Arial" w:eastAsia="Calibri" w:cs="Arial"/>
          <w:sz w:val="21"/>
          <w:szCs w:val="21"/>
          <w:lang w:val="es-MX"/>
        </w:rPr>
      </w:pPr>
      <w:r w:rsidRPr="000E4A6E">
        <w:rPr>
          <w:rFonts w:ascii="Arial" w:hAnsi="Arial" w:eastAsia="Calibri" w:cs="Arial"/>
          <w:sz w:val="21"/>
          <w:szCs w:val="21"/>
          <w:lang w:val="es-MX"/>
        </w:rPr>
        <w:t>No obstante, por vía jurisprudencial se ha establecido que en los contratos interadministrativos existe una contraprestación directa a favor de la entidad que ha entregado el bien o prestado el servicio a la Entidad contratante, habilitado para ello por su objeto legal como entidad ejecutora, como quiera que las obligaciones asignadas legalmente a aquella entidad pública están directamente relacionadas con el objeto contractual. Por su parte, en los convenios interadministrativos las entidades se asocian con el fin de cooperar en el cumplimiento de funciones administrativas o de prestar conjuntamente servicios que se hallen a su cargo, sin que exista una contraprestación para ninguna de las entidades ni la prestación de un servicio a cargo de alguna de ellas y en favor de la otra parte del convenio.</w:t>
      </w:r>
    </w:p>
    <w:p w:rsidRPr="000E4A6E" w:rsidR="000E141A" w:rsidP="000E141A" w:rsidRDefault="000E141A" w14:paraId="34732AAB" w14:textId="77777777">
      <w:pPr>
        <w:spacing w:after="120" w:line="240" w:lineRule="auto"/>
        <w:ind w:left="709" w:right="709"/>
        <w:contextualSpacing/>
        <w:jc w:val="both"/>
        <w:rPr>
          <w:rFonts w:ascii="Arial" w:hAnsi="Arial" w:eastAsia="Calibri" w:cs="Arial"/>
          <w:sz w:val="12"/>
          <w:szCs w:val="12"/>
          <w:lang w:val="es-MX"/>
        </w:rPr>
      </w:pPr>
    </w:p>
    <w:p w:rsidRPr="000E4A6E" w:rsidR="000E141A" w:rsidP="000E141A" w:rsidRDefault="000E141A" w14:paraId="4138B7D7" w14:textId="77777777">
      <w:pPr>
        <w:spacing w:after="0" w:line="240" w:lineRule="auto"/>
        <w:ind w:left="709" w:right="709"/>
        <w:contextualSpacing/>
        <w:jc w:val="both"/>
        <w:rPr>
          <w:rFonts w:ascii="Arial" w:hAnsi="Arial" w:eastAsia="Calibri" w:cs="Arial"/>
          <w:sz w:val="24"/>
          <w:lang w:val="es-MX"/>
        </w:rPr>
      </w:pPr>
      <w:r w:rsidRPr="000E4A6E">
        <w:rPr>
          <w:rFonts w:ascii="Arial" w:hAnsi="Arial" w:eastAsia="Calibri" w:cs="Arial"/>
          <w:sz w:val="21"/>
          <w:szCs w:val="21"/>
          <w:lang w:val="es-MX"/>
        </w:rPr>
        <w:t>En el contexto de la Ley de Garantías, las restricciones además de propender por la igualdad de los candidatos están encaminadas a evitar que por medio de la contratación se altere la voluntad popular, lo cual se puede lograr a través de contratos o convenios. En este sentido, la prohibición que establece el parágrafo del artículo 38 de la Ley de Garantías consiste en evitar que los recursos del Estado se ejecuten para lograr apoyos indebidos mediante la suscripción de contratos y/o convenios, que para efectos de la Ley de Garantías tienen la misma connotación y propósito”.</w:t>
      </w:r>
    </w:p>
    <w:p w:rsidRPr="000E4A6E" w:rsidR="000E141A" w:rsidP="000E141A" w:rsidRDefault="000E141A" w14:paraId="37F18527" w14:textId="77777777">
      <w:pPr>
        <w:widowControl w:val="0"/>
        <w:autoSpaceDE w:val="0"/>
        <w:autoSpaceDN w:val="0"/>
        <w:spacing w:after="0" w:line="276" w:lineRule="auto"/>
        <w:contextualSpacing/>
        <w:jc w:val="both"/>
        <w:rPr>
          <w:rFonts w:ascii="Arial" w:hAnsi="Arial" w:eastAsia="Arial" w:cs="Arial"/>
          <w:lang w:val="es-ES" w:eastAsia="es-ES" w:bidi="es-ES"/>
        </w:rPr>
      </w:pPr>
    </w:p>
    <w:p w:rsidRPr="000E4A6E" w:rsidR="000E141A" w:rsidP="000E141A" w:rsidRDefault="000E141A" w14:paraId="478DFF09" w14:textId="77777777">
      <w:pPr>
        <w:widowControl w:val="0"/>
        <w:autoSpaceDE w:val="0"/>
        <w:autoSpaceDN w:val="0"/>
        <w:spacing w:after="120" w:line="276" w:lineRule="auto"/>
        <w:jc w:val="both"/>
        <w:rPr>
          <w:rFonts w:ascii="Arial" w:hAnsi="Arial" w:eastAsia="Calibri" w:cs="Arial"/>
          <w:bCs/>
          <w:lang w:eastAsia="es-ES" w:bidi="es-ES"/>
        </w:rPr>
      </w:pPr>
      <w:r w:rsidRPr="000E4A6E">
        <w:rPr>
          <w:rFonts w:ascii="Arial" w:hAnsi="Arial" w:eastAsia="Arial" w:cs="Arial"/>
          <w:sz w:val="25"/>
          <w:lang w:val="es-ES" w:eastAsia="es-ES" w:bidi="es-ES"/>
        </w:rPr>
        <w:tab/>
      </w:r>
      <w:r w:rsidRPr="000E4A6E">
        <w:rPr>
          <w:rFonts w:ascii="Arial" w:hAnsi="Arial" w:eastAsia="Arial" w:cs="Arial"/>
          <w:lang w:val="es-ES" w:eastAsia="es-ES" w:bidi="es-ES"/>
        </w:rPr>
        <w:t>Teniendo en cuenta lo anterior, se reitera la conclusión en el sentido de que lo que define los contratos o convenios interadministrativos es la naturaleza de las partes, de manera que están determinados por un criterio orgánico, en el sentido de que lo serán aquellos celebrados entre entidades estatales. Además, como se indicó en la Circular citada, no existe una definición legal que diferencie los conceptos de contrato y convenio, por lo que se partió de su asimilación para la aplicación de la Ley de Garantías Electorales. En tal sentido, las referencias realizadas por el legislador a estos términos deben asimilarse, salvo que de su contenido se logre inferir que se le quiere otorgar un contenido en particular, pues como se expresó, el legislador utiliza estos conceptos de forma indistinta.</w:t>
      </w:r>
      <w:bookmarkEnd w:id="28"/>
    </w:p>
    <w:p w:rsidRPr="000E4A6E" w:rsidR="000E141A" w:rsidP="000E141A" w:rsidRDefault="000E141A" w14:paraId="2D7DDC41" w14:textId="77777777">
      <w:pPr>
        <w:tabs>
          <w:tab w:val="left" w:pos="426"/>
        </w:tabs>
        <w:spacing w:after="120" w:line="276" w:lineRule="auto"/>
        <w:ind w:firstLine="709"/>
        <w:jc w:val="both"/>
        <w:rPr>
          <w:rFonts w:ascii="Arial" w:hAnsi="Arial" w:eastAsia="Times New Roman" w:cs="Arial"/>
          <w:bCs/>
          <w:lang w:val="es-MX" w:eastAsia="es-CO"/>
        </w:rPr>
      </w:pPr>
      <w:r w:rsidRPr="000E4A6E">
        <w:rPr>
          <w:rFonts w:ascii="Arial" w:hAnsi="Arial" w:eastAsia="Times New Roman" w:cs="Arial"/>
          <w:bCs/>
          <w:lang w:eastAsia="es-CO"/>
        </w:rPr>
        <w:t xml:space="preserve">Se observa entonces que </w:t>
      </w:r>
      <w:r w:rsidRPr="000E4A6E">
        <w:rPr>
          <w:rFonts w:ascii="Arial" w:hAnsi="Arial" w:eastAsia="Times New Roman" w:cs="Arial"/>
          <w:bCs/>
          <w:lang w:val="es-MX" w:eastAsia="es-CO"/>
        </w:rPr>
        <w:t xml:space="preserve">el parágrafo del artículo 38 de la Ley 996 de 2005 prohíbe a los alcaldes, gobernadores, secretarios, gerentes y directores de las entidades del orden municipal, departamental o distrital celebrar convenios y contratos interadministrativos para </w:t>
      </w:r>
      <w:r w:rsidRPr="000E4A6E">
        <w:rPr>
          <w:rFonts w:ascii="Arial" w:hAnsi="Arial" w:eastAsia="Times New Roman" w:cs="Arial"/>
          <w:bCs/>
          <w:lang w:val="es-MX" w:eastAsia="es-CO"/>
        </w:rPr>
        <w:t xml:space="preserve">la ejecución de recursos públicos. En este sentido, si una o ambas partes de la relación contractual es una entidad de aquellas descritas en el parágrafo </w:t>
      </w:r>
      <w:r w:rsidRPr="000E4A6E">
        <w:rPr>
          <w:rFonts w:ascii="Arial" w:hAnsi="Arial" w:eastAsia="Times New Roman" w:cs="Arial"/>
          <w:bCs/>
          <w:i/>
          <w:iCs/>
          <w:lang w:val="es-MX" w:eastAsia="es-CO"/>
        </w:rPr>
        <w:t>ibidem</w:t>
      </w:r>
      <w:r w:rsidRPr="000E4A6E">
        <w:rPr>
          <w:rFonts w:ascii="Arial" w:hAnsi="Arial" w:eastAsia="Times New Roman" w:cs="Arial"/>
          <w:bCs/>
          <w:lang w:val="es-MX" w:eastAsia="es-CO"/>
        </w:rPr>
        <w:t>, no podrá celebrar tales convenios o contratos durante la aplicación de la Ley de Garantías Electorales, toda vez que la citada disposición hace referencia a dicha tipología contractual sin que el legislador hubiere contemplado excepción alguna frente a la modalidad de selección o naturaleza de su objeto</w:t>
      </w:r>
      <w:r w:rsidRPr="000E4A6E">
        <w:rPr>
          <w:rFonts w:ascii="Arial" w:hAnsi="Arial" w:eastAsia="Calibri" w:cs="Arial"/>
          <w:bCs/>
          <w:vertAlign w:val="superscript"/>
          <w:lang w:val="es-MX" w:eastAsia="es-CO"/>
        </w:rPr>
        <w:footnoteReference w:id="24"/>
      </w:r>
      <w:r w:rsidRPr="000E4A6E">
        <w:rPr>
          <w:rFonts w:ascii="Arial" w:hAnsi="Arial" w:eastAsia="Times New Roman" w:cs="Arial"/>
          <w:bCs/>
          <w:lang w:val="es-MX" w:eastAsia="es-CO"/>
        </w:rPr>
        <w:t xml:space="preserve">. </w:t>
      </w:r>
    </w:p>
    <w:p w:rsidRPr="000E4A6E" w:rsidR="000E141A" w:rsidP="000E141A" w:rsidRDefault="000E141A" w14:paraId="5077773D" w14:textId="77777777">
      <w:pPr>
        <w:widowControl w:val="0"/>
        <w:autoSpaceDE w:val="0"/>
        <w:autoSpaceDN w:val="0"/>
        <w:spacing w:after="0" w:line="276" w:lineRule="auto"/>
        <w:ind w:firstLine="709"/>
        <w:contextualSpacing/>
        <w:jc w:val="both"/>
        <w:rPr>
          <w:rFonts w:ascii="Arial" w:hAnsi="Arial" w:eastAsia="Calibri" w:cs="Arial"/>
          <w:lang w:eastAsia="es-ES" w:bidi="es-ES"/>
        </w:rPr>
      </w:pPr>
      <w:bookmarkStart w:name="_Hlk77154098" w:id="29"/>
      <w:r w:rsidRPr="000E4A6E">
        <w:rPr>
          <w:rFonts w:ascii="Arial" w:hAnsi="Arial" w:eastAsia="Times New Roman" w:cs="Arial"/>
          <w:bCs/>
          <w:lang w:val="es-ES" w:eastAsia="es-CO" w:bidi="es-ES"/>
        </w:rPr>
        <w:t>En todo caso</w:t>
      </w:r>
      <w:r w:rsidRPr="000E4A6E">
        <w:rPr>
          <w:rFonts w:ascii="Arial" w:hAnsi="Arial" w:eastAsia="Arial" w:cs="Arial"/>
          <w:lang w:val="es-ES" w:eastAsia="es-ES" w:bidi="es-ES"/>
        </w:rPr>
        <w:t xml:space="preserve">, es importante resaltar que la Sala de Consulta y Servicio Civil del Consejo de Estado se ha pronunciado en el sentido de que </w:t>
      </w:r>
      <w:bookmarkStart w:name="_Hlk78820889" w:id="30"/>
      <w:r w:rsidRPr="000E4A6E">
        <w:rPr>
          <w:rFonts w:ascii="Arial" w:hAnsi="Arial" w:eastAsia="Arial" w:cs="Arial"/>
          <w:lang w:val="es-ES" w:eastAsia="es-ES" w:bidi="es-ES"/>
        </w:rPr>
        <w:t>no se les aplica la restricción contemplada en el artículo 38 de la Ley de Garantías a los convenios o contratos interadministrativos que deben celebrarse en virtud de un fallo judicial. Esto en la medida que la obligatoriedad y la fuerza vinculante de las sentencias ejecutoriadas proferidas por los funcionarios investidos del poder judicial emanan de la autonomía conferida a estos por la Constitución y del derecho que tienen los ciudadanos al acceso y oportuna administración de justicia</w:t>
      </w:r>
      <w:bookmarkEnd w:id="30"/>
      <w:r w:rsidRPr="000E4A6E">
        <w:rPr>
          <w:rFonts w:ascii="Arial" w:hAnsi="Arial" w:eastAsia="Arial" w:cs="Arial"/>
          <w:vertAlign w:val="superscript"/>
          <w:lang w:val="es-ES" w:eastAsia="es-ES" w:bidi="es-ES"/>
        </w:rPr>
        <w:footnoteReference w:id="25"/>
      </w:r>
      <w:r w:rsidRPr="000E4A6E">
        <w:rPr>
          <w:rFonts w:ascii="Arial" w:hAnsi="Arial" w:eastAsia="Calibri" w:cs="Arial"/>
          <w:lang w:eastAsia="es-ES" w:bidi="es-ES"/>
        </w:rPr>
        <w:t>.</w:t>
      </w:r>
      <w:bookmarkEnd w:id="29"/>
    </w:p>
    <w:bookmarkEnd w:id="20"/>
    <w:p w:rsidRPr="000E4A6E" w:rsidR="000E141A" w:rsidP="000E141A" w:rsidRDefault="000E141A" w14:paraId="12263FE5" w14:textId="77777777">
      <w:pPr>
        <w:spacing w:after="0" w:line="276" w:lineRule="auto"/>
        <w:jc w:val="both"/>
        <w:rPr>
          <w:rFonts w:ascii="Arial" w:hAnsi="Arial" w:cs="Arial"/>
          <w:color w:val="000000" w:themeColor="text1"/>
          <w:lang w:eastAsia="es-MX"/>
        </w:rPr>
      </w:pPr>
    </w:p>
    <w:p w:rsidRPr="000E4A6E" w:rsidR="000E141A" w:rsidP="000E141A" w:rsidRDefault="000E141A" w14:paraId="606DFAC6" w14:textId="77777777">
      <w:pPr>
        <w:tabs>
          <w:tab w:val="left" w:pos="0"/>
        </w:tabs>
        <w:spacing w:after="0"/>
        <w:jc w:val="both"/>
        <w:rPr>
          <w:rFonts w:ascii="Arial" w:hAnsi="Arial" w:eastAsia="Calibri" w:cs="Arial"/>
          <w:b/>
          <w:color w:val="000000" w:themeColor="text1"/>
          <w:lang w:val="es-ES_tradnl"/>
        </w:rPr>
      </w:pPr>
      <w:r w:rsidRPr="000E4A6E">
        <w:rPr>
          <w:rFonts w:ascii="Arial" w:hAnsi="Arial" w:eastAsia="Calibri" w:cs="Arial"/>
          <w:b/>
          <w:color w:val="000000" w:themeColor="text1"/>
          <w:lang w:val="es-ES_tradnl"/>
        </w:rPr>
        <w:t>3. Respuesta</w:t>
      </w:r>
    </w:p>
    <w:p w:rsidRPr="000E4A6E" w:rsidR="000E141A" w:rsidP="00905809" w:rsidRDefault="000E141A" w14:paraId="367D4BE0" w14:textId="77777777">
      <w:pPr>
        <w:spacing w:after="0" w:line="276" w:lineRule="auto"/>
        <w:ind w:firstLine="709"/>
        <w:jc w:val="both"/>
        <w:rPr>
          <w:rFonts w:ascii="Arial" w:hAnsi="Arial" w:eastAsia="Calibri" w:cs="Arial"/>
          <w:lang w:val="es-ES_tradnl"/>
        </w:rPr>
      </w:pPr>
    </w:p>
    <w:p w:rsidRPr="000E4A6E" w:rsidR="00C95C57" w:rsidP="00C95C57" w:rsidRDefault="00C95C57" w14:paraId="2CAD44C0" w14:textId="7CCA34A1">
      <w:pPr>
        <w:spacing w:after="0" w:line="240" w:lineRule="auto"/>
        <w:ind w:left="709" w:right="709"/>
        <w:jc w:val="both"/>
        <w:rPr>
          <w:rFonts w:ascii="Arial" w:hAnsi="Arial" w:cs="Arial"/>
          <w:sz w:val="21"/>
          <w:szCs w:val="21"/>
          <w:lang w:val="es-ES_tradnl"/>
        </w:rPr>
      </w:pPr>
      <w:r w:rsidRPr="000E4A6E">
        <w:rPr>
          <w:rFonts w:ascii="Arial" w:hAnsi="Arial" w:cs="Arial"/>
          <w:sz w:val="21"/>
          <w:szCs w:val="21"/>
          <w:lang w:val="es-ES_tradnl"/>
        </w:rPr>
        <w:t xml:space="preserve">“1. Una vez entrada en Vigencia la Ley de Garantías el próximo 30 de </w:t>
      </w:r>
      <w:proofErr w:type="gramStart"/>
      <w:r w:rsidRPr="000E4A6E">
        <w:rPr>
          <w:rFonts w:ascii="Arial" w:hAnsi="Arial" w:cs="Arial"/>
          <w:sz w:val="21"/>
          <w:szCs w:val="21"/>
          <w:lang w:val="es-ES_tradnl"/>
        </w:rPr>
        <w:t>Junio</w:t>
      </w:r>
      <w:proofErr w:type="gramEnd"/>
      <w:r w:rsidRPr="000E4A6E">
        <w:rPr>
          <w:rFonts w:ascii="Arial" w:hAnsi="Arial" w:cs="Arial"/>
          <w:sz w:val="21"/>
          <w:szCs w:val="21"/>
          <w:lang w:val="es-ES_tradnl"/>
        </w:rPr>
        <w:t xml:space="preserve"> del 2023, las entidades del Orden Nacional, Distrital, Departamento y Municipal Pueden Seguir Realizando Contratación Directa, más explícitamente Contratos de Prestación de Servicios</w:t>
      </w:r>
      <w:r w:rsidR="00716581">
        <w:rPr>
          <w:rFonts w:ascii="Arial" w:hAnsi="Arial" w:cs="Arial"/>
          <w:sz w:val="21"/>
          <w:szCs w:val="21"/>
          <w:lang w:val="es-ES_tradnl"/>
        </w:rPr>
        <w:t>”</w:t>
      </w:r>
      <w:r w:rsidRPr="000E4A6E">
        <w:rPr>
          <w:rFonts w:ascii="Arial" w:hAnsi="Arial" w:cs="Arial"/>
          <w:sz w:val="21"/>
          <w:szCs w:val="21"/>
          <w:lang w:val="es-ES_tradnl"/>
        </w:rPr>
        <w:t>.</w:t>
      </w:r>
    </w:p>
    <w:p w:rsidRPr="000E4A6E" w:rsidR="00C95C57" w:rsidP="00E42C1A" w:rsidRDefault="00C95C57" w14:paraId="0B9CEE1F" w14:textId="77777777">
      <w:pPr>
        <w:spacing w:after="0" w:line="276" w:lineRule="auto"/>
        <w:jc w:val="both"/>
        <w:rPr>
          <w:rFonts w:ascii="Arial" w:hAnsi="Arial" w:eastAsia="Calibri" w:cs="Arial"/>
          <w:lang w:val="es-ES_tradnl"/>
        </w:rPr>
      </w:pPr>
    </w:p>
    <w:p w:rsidRPr="000E4A6E" w:rsidR="009859F6" w:rsidP="009859F6" w:rsidRDefault="00940828" w14:paraId="64BEB531" w14:textId="2220C318">
      <w:pPr>
        <w:spacing w:after="120" w:line="276" w:lineRule="auto"/>
        <w:jc w:val="both"/>
        <w:rPr>
          <w:rFonts w:ascii="Arial" w:hAnsi="Arial" w:eastAsia="Arial" w:cs="Arial"/>
          <w:lang w:val="es-ES" w:eastAsia="es-ES" w:bidi="es-ES"/>
        </w:rPr>
      </w:pPr>
      <w:r w:rsidRPr="000E4A6E">
        <w:rPr>
          <w:rFonts w:ascii="Arial" w:hAnsi="Arial" w:eastAsia="Arial" w:cs="Arial"/>
          <w:lang w:val="es-MX"/>
        </w:rPr>
        <w:t xml:space="preserve">De acuerdo con la interpretación de las normas generales del sistema de compras y contratación pública, </w:t>
      </w:r>
      <w:r w:rsidRPr="000E4A6E">
        <w:rPr>
          <w:rFonts w:ascii="Arial" w:hAnsi="Arial" w:eastAsia="Arial" w:cs="Arial"/>
          <w:lang w:val="es-ES" w:eastAsia="es-ES" w:bidi="es-ES"/>
        </w:rPr>
        <w:t xml:space="preserve">la </w:t>
      </w:r>
      <w:r w:rsidRPr="000E4A6E" w:rsidR="009859F6">
        <w:rPr>
          <w:rFonts w:ascii="Arial" w:hAnsi="Arial" w:eastAsia="Arial" w:cs="Arial"/>
          <w:lang w:val="es-ES" w:eastAsia="es-ES" w:bidi="es-ES"/>
        </w:rPr>
        <w:t xml:space="preserve">Ley 996 de 2005 establece dos (2) tipos de restricciones en materia de contratación, las cuales coinciden parcialmente. </w:t>
      </w:r>
      <w:r w:rsidRPr="000E4A6E" w:rsidR="009859F6">
        <w:rPr>
          <w:rFonts w:ascii="Arial" w:hAnsi="Arial" w:eastAsia="Arial" w:cs="Arial"/>
          <w:i/>
          <w:iCs/>
          <w:lang w:val="es-ES" w:eastAsia="es-ES" w:bidi="es-ES"/>
        </w:rPr>
        <w:t>En primer lugar</w:t>
      </w:r>
      <w:r w:rsidRPr="000E4A6E" w:rsidR="009859F6">
        <w:rPr>
          <w:rFonts w:ascii="Arial" w:hAnsi="Arial" w:eastAsia="Arial" w:cs="Arial"/>
          <w:lang w:val="es-ES" w:eastAsia="es-ES" w:bidi="es-ES"/>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w:t>
      </w:r>
      <w:r w:rsidRPr="000E4A6E" w:rsidR="009859F6">
        <w:rPr>
          <w:rFonts w:ascii="Arial" w:hAnsi="Arial" w:eastAsia="Arial" w:cs="Arial"/>
          <w:i/>
          <w:iCs/>
          <w:lang w:val="es-ES" w:eastAsia="es-ES" w:bidi="es-ES"/>
        </w:rPr>
        <w:t>En segundo lugar</w:t>
      </w:r>
      <w:r w:rsidRPr="000E4A6E" w:rsidR="009859F6">
        <w:rPr>
          <w:rFonts w:ascii="Arial" w:hAnsi="Arial" w:eastAsia="Arial" w:cs="Arial"/>
          <w:lang w:val="es-ES" w:eastAsia="es-ES" w:bidi="es-ES"/>
        </w:rPr>
        <w:t xml:space="preserve">, también se encuentra la prohibición del parágrafo del artículo 38, el cual debe aplicarse respecto de cualquier tipo de contienda electoral, y que prohíbe la celebración de convenios </w:t>
      </w:r>
      <w:r w:rsidRPr="000E4A6E" w:rsidR="009859F6">
        <w:rPr>
          <w:rFonts w:ascii="Arial" w:hAnsi="Arial" w:eastAsia="Arial" w:cs="Arial"/>
          <w:lang w:val="es-ES" w:eastAsia="es-ES" w:bidi="es-ES"/>
        </w:rPr>
        <w:t>interadministrativos que impliquen la ejecución de recursos públicos dentro de los cuatro (4) meses anteriores a la respectiva jornada de votaciones.</w:t>
      </w:r>
    </w:p>
    <w:p w:rsidRPr="000E4A6E" w:rsidR="009859F6" w:rsidP="009859F6" w:rsidRDefault="009859F6" w14:paraId="033A1855" w14:textId="3F01A569">
      <w:pPr>
        <w:spacing w:after="120" w:line="276" w:lineRule="auto"/>
        <w:ind w:firstLine="709"/>
        <w:jc w:val="both"/>
        <w:rPr>
          <w:rFonts w:ascii="Arial" w:hAnsi="Arial" w:eastAsia="Arial" w:cs="Arial"/>
          <w:lang w:val="es-ES" w:eastAsia="es-ES" w:bidi="es-ES"/>
        </w:rPr>
      </w:pPr>
      <w:r w:rsidRPr="000E4A6E">
        <w:rPr>
          <w:rFonts w:ascii="Arial" w:hAnsi="Arial" w:eastAsia="Arial" w:cs="Arial"/>
          <w:lang w:val="es-ES" w:eastAsia="es-ES" w:bidi="es-ES"/>
        </w:rPr>
        <w:t>Ambas restricciones no son excluyentes, lo que permite concluir que, en el período preelectoral para elección de presidente de la República, a todos los entes del Estado, incluidos los territoriales, aplican las restricciones del artículo 33 con sus excepciones, así como las del parágrafo del artículo 38. En cambio, tratándose de elecciones en general, excluyendo las correspondientes al presidente de la República, las autoridades allí mencionadas sólo deben aplicar las restricciones contenidas en el parágrafo del artículo 38.</w:t>
      </w:r>
    </w:p>
    <w:p w:rsidRPr="000E4A6E" w:rsidR="009859F6" w:rsidP="007F486B" w:rsidRDefault="009859F6" w14:paraId="59948218" w14:textId="03B585B5">
      <w:pPr>
        <w:widowControl w:val="0"/>
        <w:autoSpaceDE w:val="0"/>
        <w:autoSpaceDN w:val="0"/>
        <w:spacing w:after="0" w:line="276" w:lineRule="auto"/>
        <w:ind w:firstLine="707"/>
        <w:jc w:val="both"/>
        <w:rPr>
          <w:rFonts w:ascii="Arial" w:hAnsi="Arial" w:cs="Arial"/>
          <w:color w:val="000000" w:themeColor="text1"/>
          <w:lang w:val="es-ES_tradnl"/>
        </w:rPr>
      </w:pPr>
      <w:r w:rsidRPr="000E4A6E">
        <w:rPr>
          <w:rFonts w:ascii="Arial" w:hAnsi="Arial" w:eastAsia="Calibri" w:cs="Arial"/>
          <w:bCs/>
          <w:lang w:eastAsia="es-ES" w:bidi="es-ES"/>
        </w:rPr>
        <w:t xml:space="preserve">Para efectos de esta última prohibición, </w:t>
      </w:r>
      <w:r w:rsidRPr="000E4A6E">
        <w:rPr>
          <w:rFonts w:ascii="Arial" w:hAnsi="Arial" w:eastAsia="Arial" w:cs="Arial"/>
          <w:lang w:val="es-ES" w:eastAsia="es-ES" w:bidi="es-ES"/>
        </w:rPr>
        <w:t xml:space="preserve">el Decreto 1082 de 2015 califica a los convenios o contratos interadministrativos como aquella contratación entre </w:t>
      </w:r>
      <w:r w:rsidRPr="000E4A6E" w:rsidR="004A6058">
        <w:rPr>
          <w:rFonts w:ascii="Arial" w:hAnsi="Arial" w:eastAsia="Arial" w:cs="Arial"/>
          <w:lang w:val="es-ES" w:eastAsia="es-ES" w:bidi="es-ES"/>
        </w:rPr>
        <w:t>E</w:t>
      </w:r>
      <w:r w:rsidRPr="000E4A6E">
        <w:rPr>
          <w:rFonts w:ascii="Arial" w:hAnsi="Arial" w:eastAsia="Arial" w:cs="Arial"/>
          <w:lang w:val="es-ES" w:eastAsia="es-ES" w:bidi="es-ES"/>
        </w:rPr>
        <w:t xml:space="preserve">ntidades </w:t>
      </w:r>
      <w:r w:rsidRPr="000E4A6E" w:rsidR="008C4C9A">
        <w:rPr>
          <w:rFonts w:ascii="Arial" w:hAnsi="Arial" w:eastAsia="Arial" w:cs="Arial"/>
          <w:lang w:val="es-ES" w:eastAsia="es-ES" w:bidi="es-ES"/>
        </w:rPr>
        <w:t>E</w:t>
      </w:r>
      <w:r w:rsidRPr="000E4A6E">
        <w:rPr>
          <w:rFonts w:ascii="Arial" w:hAnsi="Arial" w:eastAsia="Arial" w:cs="Arial"/>
          <w:lang w:val="es-ES" w:eastAsia="es-ES" w:bidi="es-ES"/>
        </w:rPr>
        <w:t xml:space="preserve">statales.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w:t>
      </w:r>
      <w:r w:rsidRPr="000E4A6E" w:rsidR="008655EE">
        <w:rPr>
          <w:rFonts w:ascii="Arial" w:hAnsi="Arial" w:eastAsia="Arial" w:cs="Arial"/>
          <w:lang w:val="es-ES" w:eastAsia="es-ES" w:bidi="es-ES"/>
        </w:rPr>
        <w:t>E</w:t>
      </w:r>
      <w:r w:rsidRPr="000E4A6E">
        <w:rPr>
          <w:rFonts w:ascii="Arial" w:hAnsi="Arial" w:eastAsia="Arial" w:cs="Arial"/>
          <w:lang w:val="es-ES" w:eastAsia="es-ES" w:bidi="es-ES"/>
        </w:rPr>
        <w:t>ntidades</w:t>
      </w:r>
      <w:r w:rsidRPr="000E4A6E">
        <w:rPr>
          <w:rFonts w:ascii="Arial" w:hAnsi="Arial" w:eastAsia="Arial" w:cs="Arial"/>
          <w:spacing w:val="-6"/>
          <w:lang w:val="es-ES" w:eastAsia="es-ES" w:bidi="es-ES"/>
        </w:rPr>
        <w:t xml:space="preserve"> </w:t>
      </w:r>
      <w:r w:rsidRPr="000E4A6E" w:rsidR="008655EE">
        <w:rPr>
          <w:rFonts w:ascii="Arial" w:hAnsi="Arial" w:eastAsia="Arial" w:cs="Arial"/>
          <w:lang w:val="es-ES" w:eastAsia="es-ES" w:bidi="es-ES"/>
        </w:rPr>
        <w:t>E</w:t>
      </w:r>
      <w:r w:rsidRPr="000E4A6E">
        <w:rPr>
          <w:rFonts w:ascii="Arial" w:hAnsi="Arial" w:eastAsia="Arial" w:cs="Arial"/>
          <w:lang w:val="es-ES" w:eastAsia="es-ES" w:bidi="es-ES"/>
        </w:rPr>
        <w:t xml:space="preserve">statales. En esta medida, la restricción del artículo 38 de la Ley 996 de 2005 no aplica a los </w:t>
      </w:r>
      <w:r w:rsidRPr="000E4A6E">
        <w:rPr>
          <w:rFonts w:ascii="Arial" w:hAnsi="Arial" w:cs="Arial"/>
          <w:color w:val="000000" w:themeColor="text1"/>
          <w:lang w:val="es-ES_tradnl"/>
        </w:rPr>
        <w:t>contratos de prestación de servicios profesionales y de apoyo a la gestión.</w:t>
      </w:r>
    </w:p>
    <w:p w:rsidR="008409FC" w:rsidP="007F486B" w:rsidRDefault="008409FC" w14:paraId="1C814605" w14:textId="77777777">
      <w:pPr>
        <w:widowControl w:val="0"/>
        <w:autoSpaceDE w:val="0"/>
        <w:autoSpaceDN w:val="0"/>
        <w:spacing w:after="0" w:line="276" w:lineRule="auto"/>
        <w:ind w:firstLine="707"/>
        <w:jc w:val="both"/>
        <w:rPr>
          <w:rFonts w:ascii="Arial" w:hAnsi="Arial" w:cs="Arial"/>
          <w:color w:val="000000" w:themeColor="text1"/>
          <w:lang w:val="es-ES_tradnl"/>
        </w:rPr>
      </w:pPr>
    </w:p>
    <w:p w:rsidRPr="000E4A6E" w:rsidR="008409FC" w:rsidP="008409FC" w:rsidRDefault="008409FC" w14:paraId="0053FE38" w14:textId="56AC41FA">
      <w:pPr>
        <w:spacing w:after="0" w:line="240" w:lineRule="auto"/>
        <w:ind w:left="709" w:right="709"/>
        <w:jc w:val="both"/>
        <w:rPr>
          <w:rFonts w:ascii="Arial" w:hAnsi="Arial" w:cs="Arial"/>
          <w:sz w:val="21"/>
          <w:szCs w:val="21"/>
          <w:lang w:val="es-ES_tradnl"/>
        </w:rPr>
      </w:pPr>
      <w:r w:rsidRPr="000E4A6E">
        <w:rPr>
          <w:rFonts w:ascii="Arial" w:hAnsi="Arial" w:cs="Arial"/>
          <w:sz w:val="21"/>
          <w:szCs w:val="21"/>
          <w:lang w:val="es-ES_tradnl"/>
        </w:rPr>
        <w:t xml:space="preserve">2. </w:t>
      </w:r>
      <w:r w:rsidR="002C0FEA">
        <w:rPr>
          <w:rFonts w:ascii="Arial" w:hAnsi="Arial" w:cs="Arial"/>
          <w:sz w:val="21"/>
          <w:szCs w:val="21"/>
          <w:lang w:val="es-ES_tradnl"/>
        </w:rPr>
        <w:t>“</w:t>
      </w:r>
      <w:r w:rsidRPr="000E4A6E">
        <w:rPr>
          <w:rFonts w:ascii="Arial" w:hAnsi="Arial" w:cs="Arial"/>
          <w:sz w:val="21"/>
          <w:szCs w:val="21"/>
          <w:lang w:val="es-ES_tradnl"/>
        </w:rPr>
        <w:t>Si en la vigencia de la Ley de Garantías, se pueden realizar modificaciones, en tiempo y dinero a los contratos sin importar su naturaleza.</w:t>
      </w:r>
    </w:p>
    <w:p w:rsidR="007F486B" w:rsidP="00EE799E" w:rsidRDefault="007F486B" w14:paraId="390DD2CF" w14:textId="77777777">
      <w:pPr>
        <w:widowControl w:val="0"/>
        <w:autoSpaceDE w:val="0"/>
        <w:autoSpaceDN w:val="0"/>
        <w:spacing w:after="0" w:line="276" w:lineRule="auto"/>
        <w:jc w:val="both"/>
        <w:rPr>
          <w:rFonts w:ascii="Arial" w:hAnsi="Arial" w:cs="Arial"/>
          <w:color w:val="000000" w:themeColor="text1"/>
          <w:lang w:val="es-ES_tradnl"/>
        </w:rPr>
      </w:pPr>
    </w:p>
    <w:p w:rsidRPr="00BD5D25" w:rsidR="00E42C1A" w:rsidP="00BD5D25" w:rsidRDefault="00BD5D25" w14:paraId="66EBEC13" w14:textId="231E439C">
      <w:pPr>
        <w:spacing w:after="0" w:line="240" w:lineRule="auto"/>
        <w:ind w:left="707" w:right="709"/>
        <w:jc w:val="both"/>
        <w:rPr>
          <w:rFonts w:ascii="Arial" w:hAnsi="Arial" w:cs="Arial"/>
          <w:sz w:val="21"/>
          <w:szCs w:val="21"/>
          <w:lang w:val="es-ES_tradnl"/>
        </w:rPr>
      </w:pPr>
      <w:r>
        <w:rPr>
          <w:rFonts w:ascii="Arial" w:hAnsi="Arial" w:cs="Arial"/>
          <w:sz w:val="21"/>
          <w:szCs w:val="21"/>
          <w:lang w:val="es-ES_tradnl"/>
        </w:rPr>
        <w:t xml:space="preserve">3. </w:t>
      </w:r>
      <w:r w:rsidRPr="00BD5D25" w:rsidR="00E42C1A">
        <w:rPr>
          <w:rFonts w:ascii="Arial" w:hAnsi="Arial" w:cs="Arial"/>
          <w:sz w:val="21"/>
          <w:szCs w:val="21"/>
          <w:lang w:val="es-ES_tradnl"/>
        </w:rPr>
        <w:t>Si un contratista de Prestación de Servicios Puede realizar cesión de su contrato, durante la Ley de Garantías.”</w:t>
      </w:r>
    </w:p>
    <w:p w:rsidR="00E42C1A" w:rsidP="00EE799E" w:rsidRDefault="00E42C1A" w14:paraId="36BE8BD3" w14:textId="77777777">
      <w:pPr>
        <w:spacing w:after="0" w:line="240" w:lineRule="auto"/>
        <w:ind w:right="709"/>
        <w:jc w:val="both"/>
        <w:rPr>
          <w:rFonts w:ascii="Arial" w:hAnsi="Arial" w:cs="Arial"/>
          <w:sz w:val="21"/>
          <w:szCs w:val="21"/>
          <w:lang w:val="es-ES_tradnl"/>
        </w:rPr>
      </w:pPr>
    </w:p>
    <w:p w:rsidR="00FC6F39" w:rsidP="009008AF" w:rsidRDefault="00EE799E" w14:paraId="6DA063F6" w14:textId="4FD3A5EF">
      <w:pPr>
        <w:spacing w:after="120" w:line="276" w:lineRule="auto"/>
        <w:jc w:val="both"/>
        <w:rPr>
          <w:rStyle w:val="eop"/>
          <w:rFonts w:ascii="Arial" w:hAnsi="Arial" w:cs="Arial"/>
          <w:color w:val="000000"/>
          <w:shd w:val="clear" w:color="auto" w:fill="FFFFFF"/>
        </w:rPr>
      </w:pPr>
      <w:r w:rsidRPr="00EE799E">
        <w:rPr>
          <w:rStyle w:val="normaltextrun"/>
          <w:rFonts w:ascii="Arial" w:hAnsi="Arial" w:cs="Arial"/>
          <w:color w:val="000000"/>
          <w:shd w:val="clear" w:color="auto" w:fill="FFFFFF"/>
          <w:lang w:val="es-ES"/>
        </w:rPr>
        <w:t xml:space="preserve">En cuanto a la celebración de prórrogas, adiciones, modificaciones o cesiones de los contratos suscritos antes de la </w:t>
      </w:r>
      <w:proofErr w:type="gramStart"/>
      <w:r w:rsidRPr="00EE799E">
        <w:rPr>
          <w:rStyle w:val="normaltextrun"/>
          <w:rFonts w:ascii="Arial" w:hAnsi="Arial" w:cs="Arial"/>
          <w:color w:val="000000"/>
          <w:shd w:val="clear" w:color="auto" w:fill="FFFFFF"/>
          <w:lang w:val="es-ES"/>
        </w:rPr>
        <w:t>entrada en vigencia</w:t>
      </w:r>
      <w:proofErr w:type="gramEnd"/>
      <w:r w:rsidRPr="00EE799E">
        <w:rPr>
          <w:rStyle w:val="normaltextrun"/>
          <w:rFonts w:ascii="Arial" w:hAnsi="Arial" w:cs="Arial"/>
          <w:color w:val="000000"/>
          <w:shd w:val="clear" w:color="auto" w:fill="FFFFFF"/>
          <w:lang w:val="es-ES"/>
        </w:rPr>
        <w:t xml:space="preserve"> de las prohibiciones anotadas una vez éstas han comenzado a surtir efectos, esta Agencia, reiteradamente, ha señalado que dichas actuaciones pueden tener lugar, sin que con ello se transgredan las restricciones explicadas. Lo anterior, siempre que se cumplan los principios de planeación, transparencia y responsabilidad. Esto por cuanto se ha considerado que actuaciones como cesiones, prórrogas, modificaciones y adiciones de contratos vigentes, no se encuentran dentro del ámbito de aplicación de la mencionada restricci</w:t>
      </w:r>
      <w:r w:rsidR="008417E3">
        <w:rPr>
          <w:rStyle w:val="normaltextrun"/>
          <w:rFonts w:ascii="Arial" w:hAnsi="Arial" w:cs="Arial"/>
          <w:color w:val="000000"/>
          <w:shd w:val="clear" w:color="auto" w:fill="FFFFFF"/>
          <w:lang w:val="es-ES"/>
        </w:rPr>
        <w:t>ón que aplica para las elecciones del año 2023, esto es, lo señalado por el parágrafo del artículo 38 de la Ley 996 de 2005</w:t>
      </w:r>
      <w:r w:rsidRPr="00EE799E">
        <w:rPr>
          <w:rStyle w:val="normaltextrun"/>
          <w:rFonts w:ascii="Arial" w:hAnsi="Arial" w:cs="Arial"/>
          <w:color w:val="000000"/>
          <w:shd w:val="clear" w:color="auto" w:fill="FFFFFF"/>
          <w:lang w:val="es-ES"/>
        </w:rPr>
        <w:t>. </w:t>
      </w:r>
      <w:r w:rsidRPr="00EE799E">
        <w:rPr>
          <w:rStyle w:val="eop"/>
          <w:rFonts w:ascii="Arial" w:hAnsi="Arial" w:cs="Arial"/>
          <w:color w:val="000000"/>
          <w:shd w:val="clear" w:color="auto" w:fill="FFFFFF"/>
        </w:rPr>
        <w:t> </w:t>
      </w:r>
    </w:p>
    <w:p w:rsidRPr="009008AF" w:rsidR="00E72589" w:rsidP="009008AF" w:rsidRDefault="009008AF" w14:paraId="3C62269B" w14:textId="44FD64B9">
      <w:pPr>
        <w:spacing w:after="120" w:line="276" w:lineRule="auto"/>
        <w:ind w:firstLine="707"/>
        <w:jc w:val="both"/>
        <w:rPr>
          <w:rFonts w:ascii="Arial" w:hAnsi="Arial" w:cs="Arial"/>
          <w:lang w:val="es-ES_tradnl"/>
        </w:rPr>
      </w:pPr>
      <w:r>
        <w:rPr>
          <w:rFonts w:ascii="Arial" w:hAnsi="Arial" w:cs="Arial"/>
          <w:color w:val="000000" w:themeColor="text1"/>
          <w:lang w:val="es-ES_tradnl"/>
        </w:rPr>
        <w:t>Así las cosas, l</w:t>
      </w:r>
      <w:r w:rsidR="00E42C1A">
        <w:rPr>
          <w:rFonts w:ascii="Arial" w:hAnsi="Arial" w:cs="Arial"/>
          <w:color w:val="000000" w:themeColor="text1"/>
          <w:lang w:val="es-ES_tradnl"/>
        </w:rPr>
        <w:t>a</w:t>
      </w:r>
      <w:r w:rsidRPr="00E42C1A" w:rsidR="00E42C1A">
        <w:rPr>
          <w:rFonts w:ascii="Arial" w:hAnsi="Arial" w:cs="Arial"/>
          <w:color w:val="000000" w:themeColor="text1"/>
          <w:lang w:val="es-ES_tradnl"/>
        </w:rPr>
        <w:t xml:space="preserve"> realización de cesiones </w:t>
      </w:r>
      <w:r w:rsidR="001710B6">
        <w:rPr>
          <w:rFonts w:ascii="Arial" w:hAnsi="Arial" w:cs="Arial"/>
          <w:color w:val="000000" w:themeColor="text1"/>
          <w:lang w:val="es-ES_tradnl"/>
        </w:rPr>
        <w:t xml:space="preserve">y modificaciones </w:t>
      </w:r>
      <w:r w:rsidRPr="00E42C1A" w:rsidR="00E42C1A">
        <w:rPr>
          <w:rFonts w:ascii="Arial" w:hAnsi="Arial" w:cs="Arial"/>
          <w:color w:val="000000" w:themeColor="text1"/>
          <w:lang w:val="es-ES_tradnl"/>
        </w:rPr>
        <w:t>de contratos suscritos antes del inicio del período durante el que rige la restricci</w:t>
      </w:r>
      <w:r w:rsidR="00E80FFD">
        <w:rPr>
          <w:rFonts w:ascii="Arial" w:hAnsi="Arial" w:cs="Arial"/>
          <w:color w:val="000000" w:themeColor="text1"/>
          <w:lang w:val="es-ES_tradnl"/>
        </w:rPr>
        <w:t>ón</w:t>
      </w:r>
      <w:r w:rsidRPr="00E42C1A" w:rsidR="00E42C1A">
        <w:rPr>
          <w:rFonts w:ascii="Arial" w:hAnsi="Arial" w:cs="Arial"/>
          <w:color w:val="000000" w:themeColor="text1"/>
          <w:lang w:val="es-ES_tradnl"/>
        </w:rPr>
        <w:t xml:space="preserve"> </w:t>
      </w:r>
      <w:r w:rsidR="00E80FFD">
        <w:rPr>
          <w:rFonts w:ascii="Arial" w:hAnsi="Arial" w:cs="Arial"/>
          <w:color w:val="000000" w:themeColor="text1"/>
          <w:lang w:val="es-ES_tradnl"/>
        </w:rPr>
        <w:t>señalada</w:t>
      </w:r>
      <w:r w:rsidRPr="00E42C1A" w:rsidR="00E42C1A">
        <w:rPr>
          <w:rFonts w:ascii="Arial" w:hAnsi="Arial" w:cs="Arial"/>
          <w:color w:val="000000" w:themeColor="text1"/>
          <w:lang w:val="es-ES_tradnl"/>
        </w:rPr>
        <w:t>, no se encuentra dentro del ámbito de aplicación de dicha prohibici</w:t>
      </w:r>
      <w:r w:rsidR="00E80FFD">
        <w:rPr>
          <w:rFonts w:ascii="Arial" w:hAnsi="Arial" w:cs="Arial"/>
          <w:color w:val="000000" w:themeColor="text1"/>
          <w:lang w:val="es-ES_tradnl"/>
        </w:rPr>
        <w:t>ón</w:t>
      </w:r>
      <w:r w:rsidR="00D03114">
        <w:rPr>
          <w:rFonts w:ascii="Arial" w:hAnsi="Arial" w:cs="Arial"/>
          <w:color w:val="000000" w:themeColor="text1"/>
          <w:lang w:val="es-ES_tradnl"/>
        </w:rPr>
        <w:t>, cuya interpretación es restrictiva por tratarse de una limitación a la contratación de las Entidades Estatales</w:t>
      </w:r>
      <w:r w:rsidRPr="00E42C1A" w:rsidR="00E42C1A">
        <w:rPr>
          <w:rFonts w:ascii="Arial" w:hAnsi="Arial" w:cs="Arial"/>
          <w:color w:val="000000" w:themeColor="text1"/>
          <w:lang w:val="es-ES_tradnl"/>
        </w:rPr>
        <w:t xml:space="preserve">. Esto significa que las </w:t>
      </w:r>
      <w:r w:rsidR="00D30BDE">
        <w:rPr>
          <w:rFonts w:ascii="Arial" w:hAnsi="Arial" w:cs="Arial"/>
          <w:color w:val="000000" w:themeColor="text1"/>
          <w:lang w:val="es-ES_tradnl"/>
        </w:rPr>
        <w:t>E</w:t>
      </w:r>
      <w:r w:rsidRPr="00E42C1A" w:rsidR="00E42C1A">
        <w:rPr>
          <w:rFonts w:ascii="Arial" w:hAnsi="Arial" w:cs="Arial"/>
          <w:color w:val="000000" w:themeColor="text1"/>
          <w:lang w:val="es-ES_tradnl"/>
        </w:rPr>
        <w:t xml:space="preserve">ntidades </w:t>
      </w:r>
      <w:r w:rsidR="00D30BDE">
        <w:rPr>
          <w:rFonts w:ascii="Arial" w:hAnsi="Arial" w:cs="Arial"/>
          <w:color w:val="000000" w:themeColor="text1"/>
          <w:lang w:val="es-ES_tradnl"/>
        </w:rPr>
        <w:t>E</w:t>
      </w:r>
      <w:r w:rsidRPr="00E42C1A" w:rsidR="00E42C1A">
        <w:rPr>
          <w:rFonts w:ascii="Arial" w:hAnsi="Arial" w:cs="Arial"/>
          <w:color w:val="000000" w:themeColor="text1"/>
          <w:lang w:val="es-ES_tradnl"/>
        </w:rPr>
        <w:t xml:space="preserve">statales pueden válidamente realizar tales actuaciones sobre los contratos </w:t>
      </w:r>
      <w:r w:rsidRPr="00E42C1A" w:rsidR="00E42C1A">
        <w:rPr>
          <w:rFonts w:ascii="Arial" w:hAnsi="Arial" w:cs="Arial"/>
          <w:color w:val="000000" w:themeColor="text1"/>
          <w:lang w:val="es-ES_tradnl"/>
        </w:rPr>
        <w:t>que se encuentren vigentes, incluso en el transcurso de</w:t>
      </w:r>
      <w:r w:rsidR="00F3408A">
        <w:rPr>
          <w:rFonts w:ascii="Arial" w:hAnsi="Arial" w:cs="Arial"/>
          <w:color w:val="000000" w:themeColor="text1"/>
          <w:lang w:val="es-ES_tradnl"/>
        </w:rPr>
        <w:t>l</w:t>
      </w:r>
      <w:r w:rsidRPr="00E42C1A" w:rsidR="00E42C1A">
        <w:rPr>
          <w:rFonts w:ascii="Arial" w:hAnsi="Arial" w:cs="Arial"/>
          <w:color w:val="000000" w:themeColor="text1"/>
          <w:lang w:val="es-ES_tradnl"/>
        </w:rPr>
        <w:t xml:space="preserve"> período preelectoral en </w:t>
      </w:r>
      <w:r w:rsidR="008C2B47">
        <w:rPr>
          <w:rFonts w:ascii="Arial" w:hAnsi="Arial" w:cs="Arial"/>
          <w:color w:val="000000" w:themeColor="text1"/>
          <w:lang w:val="es-ES_tradnl"/>
        </w:rPr>
        <w:t>el</w:t>
      </w:r>
      <w:r w:rsidRPr="00E42C1A" w:rsidR="00E42C1A">
        <w:rPr>
          <w:rFonts w:ascii="Arial" w:hAnsi="Arial" w:cs="Arial"/>
          <w:color w:val="000000" w:themeColor="text1"/>
          <w:lang w:val="es-ES_tradnl"/>
        </w:rPr>
        <w:t xml:space="preserve"> que la aludida restricci</w:t>
      </w:r>
      <w:r w:rsidR="00F3408A">
        <w:rPr>
          <w:rFonts w:ascii="Arial" w:hAnsi="Arial" w:cs="Arial"/>
          <w:color w:val="000000" w:themeColor="text1"/>
          <w:lang w:val="es-ES_tradnl"/>
        </w:rPr>
        <w:t>ón</w:t>
      </w:r>
      <w:r w:rsidRPr="00E42C1A" w:rsidR="00E42C1A">
        <w:rPr>
          <w:rFonts w:ascii="Arial" w:hAnsi="Arial" w:cs="Arial"/>
          <w:color w:val="000000" w:themeColor="text1"/>
          <w:lang w:val="es-ES_tradnl"/>
        </w:rPr>
        <w:t xml:space="preserve"> tiene vigor. Lo anterior, toda vez que la referida norma no prohíbe la suscripción de cesiones de contratos.  </w:t>
      </w:r>
    </w:p>
    <w:p w:rsidR="00E72589" w:rsidP="00E72589" w:rsidRDefault="00E42C1A" w14:paraId="45F3F3DA" w14:textId="69043F50">
      <w:pPr>
        <w:widowControl w:val="0"/>
        <w:autoSpaceDE w:val="0"/>
        <w:autoSpaceDN w:val="0"/>
        <w:spacing w:after="120" w:line="276" w:lineRule="auto"/>
        <w:ind w:firstLine="707"/>
        <w:jc w:val="both"/>
        <w:rPr>
          <w:rFonts w:ascii="Arial" w:hAnsi="Arial" w:cs="Arial"/>
          <w:color w:val="000000" w:themeColor="text1"/>
          <w:lang w:val="es-ES_tradnl"/>
        </w:rPr>
      </w:pPr>
      <w:r w:rsidRPr="00E42C1A">
        <w:rPr>
          <w:rFonts w:ascii="Arial" w:hAnsi="Arial" w:cs="Arial"/>
          <w:color w:val="000000" w:themeColor="text1"/>
          <w:lang w:val="es-ES_tradnl"/>
        </w:rPr>
        <w:t xml:space="preserve">Cabe resaltar que tal posibilidad se encuentra supeditada a que las cesiones se realicen conforme a las demás normas que deban ser aplicadas para la realización de estas actuaciones, de suerte que, al margen de la no transgresión de la Ley de Garantías, con su celebración no se contravengan otras disposiciones del marco jurídico que les aplica. Adicionalmente, según lo manifestado por la Procuraduría General de la Nación en las circulares Nos. 016 del 3 de septiembre de 2013, 005 del 7 de abril de 2015 y 007 del 22 de mayo de 2017, así como por esta Agencia en la Circular Externa Única, al igual que por el Departamento Administrativo de la Presidencia de la República en conjunto con el Departamento Administrativo de la Función Pública en la Circular Conjunta 100-006 del 16 de noviembre de 2021, resulta indispensable que las </w:t>
      </w:r>
      <w:r w:rsidR="00152682">
        <w:rPr>
          <w:rFonts w:ascii="Arial" w:hAnsi="Arial" w:cs="Arial"/>
          <w:color w:val="000000" w:themeColor="text1"/>
          <w:lang w:val="es-ES_tradnl"/>
        </w:rPr>
        <w:t>E</w:t>
      </w:r>
      <w:r w:rsidRPr="00E42C1A">
        <w:rPr>
          <w:rFonts w:ascii="Arial" w:hAnsi="Arial" w:cs="Arial"/>
          <w:color w:val="000000" w:themeColor="text1"/>
          <w:lang w:val="es-ES_tradnl"/>
        </w:rPr>
        <w:t xml:space="preserve">ntidades </w:t>
      </w:r>
      <w:r w:rsidR="00152682">
        <w:rPr>
          <w:rFonts w:ascii="Arial" w:hAnsi="Arial" w:cs="Arial"/>
          <w:color w:val="000000" w:themeColor="text1"/>
          <w:lang w:val="es-ES_tradnl"/>
        </w:rPr>
        <w:t>E</w:t>
      </w:r>
      <w:r w:rsidRPr="00E42C1A">
        <w:rPr>
          <w:rFonts w:ascii="Arial" w:hAnsi="Arial" w:cs="Arial"/>
          <w:color w:val="000000" w:themeColor="text1"/>
          <w:lang w:val="es-ES_tradnl"/>
        </w:rPr>
        <w:t xml:space="preserve">statales en la celebración de prórrogas, adiciones, modificaciones o cesiones de contratos, durante la vigencia de la Ley de Garantías, orienten su actividad contractual atendiendo los principios de planeación, transparencia y responsabilidad. </w:t>
      </w:r>
    </w:p>
    <w:p w:rsidRPr="00152682" w:rsidR="00F74642" w:rsidP="00152682" w:rsidRDefault="004A6FD8" w14:paraId="03AB4924" w14:textId="1FD781E1">
      <w:pPr>
        <w:widowControl w:val="0"/>
        <w:autoSpaceDE w:val="0"/>
        <w:autoSpaceDN w:val="0"/>
        <w:spacing w:after="120" w:line="276" w:lineRule="auto"/>
        <w:ind w:firstLine="707"/>
        <w:jc w:val="both"/>
        <w:rPr>
          <w:rFonts w:ascii="Arial" w:hAnsi="Arial" w:cs="Arial"/>
          <w:color w:val="000000" w:themeColor="text1"/>
          <w:lang w:val="es-ES_tradnl"/>
        </w:rPr>
      </w:pPr>
      <w:r w:rsidRPr="000E4A6E">
        <w:rPr>
          <w:rFonts w:ascii="Arial" w:hAnsi="Arial" w:eastAsia="Calibri" w:cs="Arial"/>
          <w:bCs/>
          <w:lang w:val="es-MX" w:eastAsia="es-CO"/>
        </w:rPr>
        <w:t xml:space="preserve">Bajo estas consideraciones, corresponde a cada </w:t>
      </w:r>
      <w:r w:rsidRPr="000E4A6E" w:rsidR="00D17F57">
        <w:rPr>
          <w:rFonts w:ascii="Arial" w:hAnsi="Arial" w:eastAsia="Calibri" w:cs="Arial"/>
          <w:bCs/>
          <w:lang w:val="es-MX" w:eastAsia="es-CO"/>
        </w:rPr>
        <w:t>E</w:t>
      </w:r>
      <w:r w:rsidRPr="000E4A6E">
        <w:rPr>
          <w:rFonts w:ascii="Arial" w:hAnsi="Arial" w:eastAsia="Calibri" w:cs="Arial"/>
          <w:bCs/>
          <w:lang w:val="es-MX" w:eastAsia="es-CO"/>
        </w:rPr>
        <w:t>ntidad pública, en ejercicio de su competencia y previa valoración de los elementos fácticos y jurídicos, determinar si es procedente o no la celebración</w:t>
      </w:r>
      <w:r w:rsidRPr="000E4A6E" w:rsidR="0064485D">
        <w:rPr>
          <w:rFonts w:ascii="Arial" w:hAnsi="Arial" w:eastAsia="Calibri" w:cs="Arial"/>
          <w:bCs/>
          <w:lang w:val="es-MX" w:eastAsia="es-CO"/>
        </w:rPr>
        <w:t xml:space="preserve">, modificación o cesión </w:t>
      </w:r>
      <w:r w:rsidRPr="000E4A6E">
        <w:rPr>
          <w:rFonts w:ascii="Arial" w:hAnsi="Arial" w:eastAsia="Calibri" w:cs="Arial"/>
          <w:bCs/>
          <w:lang w:val="es-MX" w:eastAsia="es-CO"/>
        </w:rPr>
        <w:t>de un determinado contrato en específico. Al tratarse de un análisis que se debe realizar en cada caso concreto, la Agencia, por vía consultiva, no puede definir un criterio universal y absoluto, sino que brinda elementos hermenéuticos de carácter general para que los partícipes del sistema de compras y contratación pública adopten la decisión que corresponda, lo cual es acorde con el principio de juridicidad.</w:t>
      </w:r>
      <w:r w:rsidRPr="000E4A6E">
        <w:rPr>
          <w:rFonts w:ascii="Arial" w:hAnsi="Arial" w:cs="Arial"/>
          <w:bCs/>
          <w:lang w:val="es-ES"/>
        </w:rPr>
        <w:t xml:space="preserve"> </w:t>
      </w:r>
    </w:p>
    <w:p w:rsidRPr="000E4A6E" w:rsidR="004A6FD8" w:rsidP="00F74642" w:rsidRDefault="004A6FD8" w14:paraId="0DD38155" w14:textId="36B61E0A">
      <w:pPr>
        <w:spacing w:after="0" w:line="276" w:lineRule="auto"/>
        <w:jc w:val="both"/>
        <w:rPr>
          <w:rFonts w:ascii="Arial" w:hAnsi="Arial" w:cs="Arial"/>
          <w:bCs/>
          <w:lang w:val="es-ES"/>
        </w:rPr>
      </w:pPr>
      <w:r w:rsidRPr="000E4A6E">
        <w:rPr>
          <w:rFonts w:ascii="Arial" w:hAnsi="Arial" w:eastAsia="Calibri" w:cs="Arial"/>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rsidRPr="000E4A6E" w:rsidR="00905809" w:rsidP="00905809" w:rsidRDefault="00905809" w14:paraId="3EAA66FC" w14:textId="77777777">
      <w:pPr>
        <w:spacing w:after="0" w:line="276" w:lineRule="auto"/>
        <w:jc w:val="both"/>
        <w:rPr>
          <w:rFonts w:ascii="Arial" w:hAnsi="Arial" w:eastAsia="Calibri" w:cs="Arial"/>
        </w:rPr>
      </w:pPr>
    </w:p>
    <w:p w:rsidRPr="000E4A6E" w:rsidR="00F71E89" w:rsidP="00F71E89" w:rsidRDefault="00F71E89" w14:paraId="6EFF8C0A" w14:textId="77777777">
      <w:pPr>
        <w:spacing w:after="0" w:line="276" w:lineRule="auto"/>
        <w:contextualSpacing/>
        <w:jc w:val="both"/>
        <w:textAlignment w:val="baseline"/>
        <w:rPr>
          <w:rFonts w:ascii="Arial" w:hAnsi="Arial" w:eastAsia="Times New Roman" w:cs="Arial"/>
          <w:lang w:eastAsia="es-CO"/>
        </w:rPr>
      </w:pPr>
      <w:r w:rsidRPr="000E4A6E">
        <w:rPr>
          <w:rFonts w:ascii="Arial" w:hAnsi="Arial" w:cs="Arial"/>
          <w:lang w:val="es-ES"/>
        </w:rPr>
        <w:t>Atentamente</w:t>
      </w:r>
      <w:r w:rsidRPr="000E4A6E">
        <w:rPr>
          <w:rFonts w:ascii="Arial" w:hAnsi="Arial" w:eastAsia="Times New Roman" w:cs="Arial"/>
          <w:lang w:val="es-MX" w:eastAsia="es-CO"/>
        </w:rPr>
        <w:t>,</w:t>
      </w:r>
      <w:r w:rsidRPr="000E4A6E">
        <w:rPr>
          <w:rFonts w:ascii="Arial" w:hAnsi="Arial" w:eastAsia="Times New Roman" w:cs="Arial"/>
          <w:lang w:eastAsia="es-CO"/>
        </w:rPr>
        <w:t> </w:t>
      </w:r>
    </w:p>
    <w:p w:rsidRPr="000E4A6E" w:rsidR="00F71E89" w:rsidP="00F71E89" w:rsidRDefault="00F71E89" w14:paraId="5CAC5E28" w14:textId="77777777">
      <w:pPr>
        <w:spacing w:after="0" w:line="276" w:lineRule="auto"/>
        <w:contextualSpacing/>
        <w:jc w:val="center"/>
        <w:textAlignment w:val="baseline"/>
        <w:rPr>
          <w:rFonts w:ascii="Arial" w:hAnsi="Arial" w:eastAsia="Times New Roman" w:cs="Arial"/>
          <w:lang w:eastAsia="es-CO"/>
        </w:rPr>
      </w:pPr>
    </w:p>
    <w:p w:rsidRPr="000E4A6E" w:rsidR="00F71E89" w:rsidP="00F71E89" w:rsidRDefault="00513780" w14:paraId="5BA50E8E" w14:textId="53741AD5">
      <w:pPr>
        <w:spacing w:after="0" w:line="276" w:lineRule="auto"/>
        <w:jc w:val="center"/>
        <w:textAlignment w:val="baseline"/>
        <w:rPr>
          <w:rFonts w:ascii="Arial" w:hAnsi="Arial" w:eastAsia="Times New Roman" w:cs="Arial"/>
          <w:lang w:eastAsia="es-CO"/>
        </w:rPr>
      </w:pPr>
      <w:r>
        <w:rPr>
          <w:rFonts w:ascii="Arial" w:hAnsi="Arial" w:cs="Arial"/>
          <w:noProof/>
        </w:rPr>
        <w:drawing>
          <wp:inline distT="0" distB="0" distL="0" distR="0" wp14:anchorId="6A6F6548" wp14:editId="5F51EDBD">
            <wp:extent cx="3157855" cy="1212215"/>
            <wp:effectExtent l="0" t="0" r="4445" b="6985"/>
            <wp:docPr id="2091077356"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57855" cy="1212215"/>
                    </a:xfrm>
                    <a:prstGeom prst="rect">
                      <a:avLst/>
                    </a:prstGeom>
                    <a:noFill/>
                    <a:ln>
                      <a:noFill/>
                    </a:ln>
                  </pic:spPr>
                </pic:pic>
              </a:graphicData>
            </a:graphic>
          </wp:inline>
        </w:drawing>
      </w:r>
    </w:p>
    <w:p w:rsidRPr="000E4A6E" w:rsidR="00F71E89" w:rsidP="00F71E89" w:rsidRDefault="00F71E89" w14:paraId="662C383F" w14:textId="77777777">
      <w:pPr>
        <w:spacing w:after="0" w:line="276" w:lineRule="auto"/>
        <w:textAlignment w:val="baseline"/>
        <w:rPr>
          <w:rFonts w:ascii="Arial" w:hAnsi="Arial" w:eastAsia="Times New Roman" w:cs="Arial"/>
          <w:lang w:eastAsia="es-CO"/>
        </w:rPr>
      </w:pPr>
      <w:r w:rsidRPr="000E4A6E">
        <w:rPr>
          <w:rFonts w:ascii="Arial" w:hAnsi="Arial" w:eastAsia="Times New Roman" w:cs="Arial"/>
          <w:lang w:eastAsia="es-CO"/>
        </w:rPr>
        <w:t> </w:t>
      </w:r>
    </w:p>
    <w:tbl>
      <w:tblPr>
        <w:tblW w:w="6946"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810"/>
        <w:gridCol w:w="6136"/>
      </w:tblGrid>
      <w:tr w:rsidRPr="000E4A6E" w:rsidR="00F71E89" w:rsidTr="006F21A4" w14:paraId="79C3AAD1" w14:textId="77777777">
        <w:trPr>
          <w:trHeight w:val="315"/>
        </w:trPr>
        <w:tc>
          <w:tcPr>
            <w:tcW w:w="810" w:type="dxa"/>
            <w:tcBorders>
              <w:top w:val="nil"/>
              <w:left w:val="nil"/>
              <w:bottom w:val="nil"/>
              <w:right w:val="nil"/>
            </w:tcBorders>
            <w:vAlign w:val="center"/>
            <w:hideMark/>
          </w:tcPr>
          <w:p w:rsidRPr="000E4A6E" w:rsidR="00F71E89" w:rsidP="006F21A4" w:rsidRDefault="00F71E89" w14:paraId="4976C0D9" w14:textId="77777777">
            <w:pPr>
              <w:spacing w:after="0" w:line="276" w:lineRule="auto"/>
              <w:textAlignment w:val="baseline"/>
              <w:rPr>
                <w:rFonts w:ascii="Arial" w:hAnsi="Arial" w:eastAsia="Times New Roman" w:cs="Arial"/>
                <w:sz w:val="16"/>
                <w:szCs w:val="16"/>
                <w:lang w:eastAsia="es-CO"/>
              </w:rPr>
            </w:pPr>
            <w:r w:rsidRPr="000E4A6E">
              <w:rPr>
                <w:rFonts w:ascii="Arial" w:hAnsi="Arial" w:eastAsia="Times New Roman" w:cs="Arial"/>
                <w:sz w:val="16"/>
                <w:szCs w:val="16"/>
                <w:lang w:val="es-MX" w:eastAsia="es-CO"/>
              </w:rPr>
              <w:t>Elaboró:</w:t>
            </w:r>
            <w:r w:rsidRPr="000E4A6E">
              <w:rPr>
                <w:rFonts w:ascii="Arial" w:hAnsi="Arial" w:eastAsia="Times New Roman" w:cs="Arial"/>
                <w:sz w:val="16"/>
                <w:szCs w:val="16"/>
                <w:lang w:eastAsia="es-CO"/>
              </w:rPr>
              <w:t> </w:t>
            </w:r>
          </w:p>
        </w:tc>
        <w:tc>
          <w:tcPr>
            <w:tcW w:w="6136" w:type="dxa"/>
            <w:tcBorders>
              <w:top w:val="nil"/>
              <w:left w:val="nil"/>
              <w:bottom w:val="dotted" w:color="7F7F7F" w:sz="6" w:space="0"/>
              <w:right w:val="nil"/>
            </w:tcBorders>
            <w:vAlign w:val="center"/>
            <w:hideMark/>
          </w:tcPr>
          <w:p w:rsidRPr="000E4A6E" w:rsidR="00F71E89" w:rsidP="006F21A4" w:rsidRDefault="00F71E89" w14:paraId="6BD11740" w14:textId="77777777">
            <w:pPr>
              <w:spacing w:after="0" w:line="240" w:lineRule="auto"/>
              <w:textAlignment w:val="baseline"/>
              <w:rPr>
                <w:rFonts w:ascii="Arial" w:hAnsi="Arial" w:eastAsia="Times New Roman" w:cs="Arial"/>
                <w:sz w:val="16"/>
                <w:szCs w:val="16"/>
                <w:lang w:val="es-MX" w:eastAsia="es-CO"/>
              </w:rPr>
            </w:pPr>
            <w:r w:rsidRPr="000E4A6E">
              <w:rPr>
                <w:rFonts w:ascii="Arial" w:hAnsi="Arial" w:eastAsia="Times New Roman" w:cs="Arial"/>
                <w:sz w:val="16"/>
                <w:szCs w:val="16"/>
                <w:lang w:val="es-MX" w:eastAsia="es-CO"/>
              </w:rPr>
              <w:t>Ana María Ortiz Ballesteros</w:t>
            </w:r>
          </w:p>
          <w:p w:rsidRPr="000E4A6E" w:rsidR="00F71E89" w:rsidP="006F21A4" w:rsidRDefault="00F71E89" w14:paraId="4F75EAF5" w14:textId="77777777">
            <w:pPr>
              <w:spacing w:after="0" w:line="240" w:lineRule="auto"/>
              <w:textAlignment w:val="baseline"/>
              <w:rPr>
                <w:rFonts w:ascii="Arial" w:hAnsi="Arial" w:eastAsia="Times New Roman" w:cs="Arial"/>
                <w:sz w:val="16"/>
                <w:szCs w:val="16"/>
                <w:lang w:eastAsia="es-CO"/>
              </w:rPr>
            </w:pPr>
            <w:r w:rsidRPr="000E4A6E">
              <w:rPr>
                <w:rFonts w:ascii="Arial" w:hAnsi="Arial" w:eastAsia="Times New Roman" w:cs="Arial"/>
                <w:sz w:val="16"/>
                <w:szCs w:val="16"/>
                <w:lang w:val="es-MX" w:eastAsia="es-CO"/>
              </w:rPr>
              <w:t xml:space="preserve">Contratista de la </w:t>
            </w:r>
            <w:r w:rsidRPr="000E4A6E">
              <w:rPr>
                <w:rFonts w:ascii="Arial" w:hAnsi="Arial" w:eastAsia="Times New Roman" w:cs="Arial"/>
                <w:sz w:val="16"/>
                <w:szCs w:val="16"/>
                <w:lang w:eastAsia="es-CO"/>
              </w:rPr>
              <w:t>Subdirección de Gestión Contractual</w:t>
            </w:r>
          </w:p>
        </w:tc>
      </w:tr>
      <w:tr w:rsidRPr="000E4A6E" w:rsidR="00F71E89" w:rsidTr="006F21A4" w14:paraId="65AE230D" w14:textId="77777777">
        <w:trPr>
          <w:trHeight w:val="315"/>
        </w:trPr>
        <w:tc>
          <w:tcPr>
            <w:tcW w:w="810" w:type="dxa"/>
            <w:tcBorders>
              <w:top w:val="nil"/>
              <w:left w:val="nil"/>
              <w:bottom w:val="nil"/>
              <w:right w:val="nil"/>
            </w:tcBorders>
            <w:vAlign w:val="center"/>
            <w:hideMark/>
          </w:tcPr>
          <w:p w:rsidRPr="000E4A6E" w:rsidR="00F71E89" w:rsidP="006F21A4" w:rsidRDefault="00F71E89" w14:paraId="627D10C1" w14:textId="6D5D122C">
            <w:pPr>
              <w:spacing w:after="0" w:line="276" w:lineRule="auto"/>
              <w:textAlignment w:val="baseline"/>
              <w:rPr>
                <w:rFonts w:ascii="Arial" w:hAnsi="Arial" w:eastAsia="Times New Roman" w:cs="Arial"/>
                <w:sz w:val="16"/>
                <w:szCs w:val="16"/>
                <w:lang w:eastAsia="es-CO"/>
              </w:rPr>
            </w:pPr>
            <w:r w:rsidRPr="000E4A6E">
              <w:rPr>
                <w:rFonts w:ascii="Arial" w:hAnsi="Arial" w:eastAsia="Times New Roman" w:cs="Arial"/>
                <w:sz w:val="16"/>
                <w:szCs w:val="16"/>
                <w:lang w:val="es-MX" w:eastAsia="es-CO"/>
              </w:rPr>
              <w:t>Revisó:</w:t>
            </w:r>
            <w:r w:rsidRPr="000E4A6E">
              <w:rPr>
                <w:rFonts w:ascii="Arial" w:hAnsi="Arial" w:eastAsia="Times New Roman" w:cs="Arial"/>
                <w:sz w:val="16"/>
                <w:szCs w:val="16"/>
                <w:lang w:eastAsia="es-CO"/>
              </w:rPr>
              <w:t> </w:t>
            </w:r>
          </w:p>
        </w:tc>
        <w:tc>
          <w:tcPr>
            <w:tcW w:w="6136" w:type="dxa"/>
            <w:tcBorders>
              <w:top w:val="dotted" w:color="7F7F7F" w:sz="6" w:space="0"/>
              <w:left w:val="nil"/>
              <w:bottom w:val="dotted" w:color="7F7F7F" w:sz="6" w:space="0"/>
              <w:right w:val="nil"/>
            </w:tcBorders>
            <w:vAlign w:val="center"/>
            <w:hideMark/>
          </w:tcPr>
          <w:p w:rsidRPr="000E4A6E" w:rsidR="00E701C1" w:rsidP="006F21A4" w:rsidRDefault="00E701C1" w14:paraId="07CFEA06" w14:textId="77777777">
            <w:pPr>
              <w:spacing w:after="0" w:line="240" w:lineRule="auto"/>
              <w:textAlignment w:val="baseline"/>
              <w:rPr>
                <w:rFonts w:ascii="Arial" w:hAnsi="Arial" w:eastAsia="Times New Roman" w:cs="Arial"/>
                <w:sz w:val="16"/>
                <w:szCs w:val="16"/>
                <w:lang w:val="es-ES_tradnl" w:eastAsia="es-CO"/>
              </w:rPr>
            </w:pPr>
            <w:r w:rsidRPr="000E4A6E">
              <w:rPr>
                <w:rFonts w:ascii="Arial" w:hAnsi="Arial" w:eastAsia="Times New Roman" w:cs="Arial"/>
                <w:sz w:val="16"/>
                <w:szCs w:val="16"/>
                <w:lang w:val="es-ES_tradnl" w:eastAsia="es-CO"/>
              </w:rPr>
              <w:t>Ximena Ríos López</w:t>
            </w:r>
          </w:p>
          <w:p w:rsidRPr="000E4A6E" w:rsidR="00F71E89" w:rsidP="006F21A4" w:rsidRDefault="001E0661" w14:paraId="4929DA72" w14:textId="7C5C9BBF">
            <w:pPr>
              <w:spacing w:after="0" w:line="240" w:lineRule="auto"/>
              <w:textAlignment w:val="baseline"/>
              <w:rPr>
                <w:rFonts w:ascii="Arial" w:hAnsi="Arial" w:eastAsia="Times New Roman" w:cs="Arial"/>
                <w:sz w:val="16"/>
                <w:szCs w:val="16"/>
                <w:lang w:eastAsia="es-CO"/>
              </w:rPr>
            </w:pPr>
            <w:r w:rsidRPr="000E4A6E">
              <w:rPr>
                <w:rFonts w:ascii="Arial" w:hAnsi="Arial" w:eastAsia="Times New Roman" w:cs="Arial"/>
                <w:sz w:val="16"/>
                <w:szCs w:val="16"/>
                <w:lang w:val="es-MX" w:eastAsia="es-CO"/>
              </w:rPr>
              <w:t>Gestor T1 ‒ 11 de la Subdirección de Gestión Contractual</w:t>
            </w:r>
          </w:p>
        </w:tc>
      </w:tr>
      <w:tr w:rsidRPr="000E4A6E" w:rsidR="00F71E89" w:rsidTr="006F21A4" w14:paraId="3292CC9F" w14:textId="77777777">
        <w:trPr>
          <w:trHeight w:val="300"/>
        </w:trPr>
        <w:tc>
          <w:tcPr>
            <w:tcW w:w="810" w:type="dxa"/>
            <w:tcBorders>
              <w:top w:val="nil"/>
              <w:left w:val="nil"/>
              <w:bottom w:val="nil"/>
              <w:right w:val="nil"/>
            </w:tcBorders>
            <w:vAlign w:val="center"/>
            <w:hideMark/>
          </w:tcPr>
          <w:p w:rsidRPr="000E4A6E" w:rsidR="00F71E89" w:rsidP="006F21A4" w:rsidRDefault="00F71E89" w14:paraId="6483892E" w14:textId="77777777">
            <w:pPr>
              <w:spacing w:after="0" w:line="276" w:lineRule="auto"/>
              <w:textAlignment w:val="baseline"/>
              <w:rPr>
                <w:rFonts w:ascii="Arial" w:hAnsi="Arial" w:eastAsia="Times New Roman" w:cs="Arial"/>
                <w:sz w:val="16"/>
                <w:szCs w:val="16"/>
                <w:lang w:eastAsia="es-CO"/>
              </w:rPr>
            </w:pPr>
            <w:r w:rsidRPr="000E4A6E">
              <w:rPr>
                <w:rFonts w:ascii="Arial" w:hAnsi="Arial" w:eastAsia="Times New Roman" w:cs="Arial"/>
                <w:sz w:val="16"/>
                <w:szCs w:val="16"/>
                <w:lang w:val="es-MX" w:eastAsia="es-CO"/>
              </w:rPr>
              <w:t>Aprobó:</w:t>
            </w:r>
            <w:r w:rsidRPr="000E4A6E">
              <w:rPr>
                <w:rFonts w:ascii="Arial" w:hAnsi="Arial" w:eastAsia="Times New Roman" w:cs="Arial"/>
                <w:sz w:val="16"/>
                <w:szCs w:val="16"/>
                <w:lang w:eastAsia="es-CO"/>
              </w:rPr>
              <w:t> </w:t>
            </w:r>
          </w:p>
        </w:tc>
        <w:tc>
          <w:tcPr>
            <w:tcW w:w="6136" w:type="dxa"/>
            <w:tcBorders>
              <w:top w:val="dotted" w:color="7F7F7F" w:sz="6" w:space="0"/>
              <w:left w:val="nil"/>
              <w:bottom w:val="dotted" w:color="7F7F7F" w:sz="6" w:space="0"/>
              <w:right w:val="nil"/>
            </w:tcBorders>
            <w:vAlign w:val="center"/>
            <w:hideMark/>
          </w:tcPr>
          <w:p w:rsidRPr="000E4A6E" w:rsidR="00F71E89" w:rsidP="006F21A4" w:rsidRDefault="00F71E89" w14:paraId="25329349" w14:textId="77777777">
            <w:pPr>
              <w:spacing w:after="0" w:line="240" w:lineRule="auto"/>
              <w:textAlignment w:val="baseline"/>
              <w:rPr>
                <w:rFonts w:ascii="Arial" w:hAnsi="Arial" w:eastAsia="Times New Roman" w:cs="Arial"/>
                <w:sz w:val="16"/>
                <w:szCs w:val="16"/>
                <w:lang w:val="es-ES_tradnl" w:eastAsia="es-CO"/>
              </w:rPr>
            </w:pPr>
            <w:r w:rsidRPr="000E4A6E">
              <w:rPr>
                <w:rFonts w:ascii="Arial" w:hAnsi="Arial" w:eastAsia="Times New Roman" w:cs="Arial"/>
                <w:sz w:val="16"/>
                <w:szCs w:val="16"/>
                <w:lang w:val="es-ES_tradnl" w:eastAsia="es-CO"/>
              </w:rPr>
              <w:t>Nohelia del Carmen Zawady Palacio</w:t>
            </w:r>
          </w:p>
          <w:p w:rsidRPr="000E4A6E" w:rsidR="00F71E89" w:rsidP="006F21A4" w:rsidRDefault="00F71E89" w14:paraId="20492EBD" w14:textId="77777777">
            <w:pPr>
              <w:spacing w:after="0" w:line="240" w:lineRule="auto"/>
              <w:textAlignment w:val="baseline"/>
              <w:rPr>
                <w:rFonts w:ascii="Arial" w:hAnsi="Arial" w:eastAsia="Times New Roman" w:cs="Arial"/>
                <w:sz w:val="16"/>
                <w:szCs w:val="16"/>
                <w:lang w:eastAsia="es-CO"/>
              </w:rPr>
            </w:pPr>
            <w:r w:rsidRPr="000E4A6E">
              <w:rPr>
                <w:rFonts w:ascii="Arial" w:hAnsi="Arial" w:eastAsia="Times New Roman" w:cs="Arial"/>
                <w:sz w:val="16"/>
                <w:szCs w:val="16"/>
                <w:lang w:val="es-ES_tradnl" w:eastAsia="es-CO"/>
              </w:rPr>
              <w:t>Subdirectora de Gestión Contractual ANCP-CCE</w:t>
            </w:r>
          </w:p>
        </w:tc>
      </w:tr>
    </w:tbl>
    <w:p w:rsidRPr="000E4A6E" w:rsidR="00F71E89" w:rsidP="00F71E89" w:rsidRDefault="00F71E89" w14:paraId="44C0BFEF" w14:textId="77777777">
      <w:pPr>
        <w:spacing w:after="0"/>
        <w:jc w:val="both"/>
        <w:rPr>
          <w:rFonts w:ascii="Arial" w:hAnsi="Arial" w:cs="Arial"/>
        </w:rPr>
      </w:pPr>
    </w:p>
    <w:p w:rsidRPr="000E4A6E" w:rsidR="00F71E89" w:rsidP="00905809" w:rsidRDefault="00F71E89" w14:paraId="11BF3276" w14:textId="77777777">
      <w:pPr>
        <w:spacing w:after="0" w:line="276" w:lineRule="auto"/>
        <w:jc w:val="both"/>
        <w:rPr>
          <w:rFonts w:ascii="Arial" w:hAnsi="Arial" w:eastAsia="Calibri" w:cs="Arial"/>
        </w:rPr>
      </w:pPr>
    </w:p>
    <w:sectPr w:rsidRPr="000E4A6E" w:rsidR="00F71E89" w:rsidSect="00923EEF">
      <w:headerReference w:type="default" r:id="rId13"/>
      <w:footerReference w:type="default" r:id="rId14"/>
      <w:pgSz w:w="12240" w:h="15840" w:orient="portrait"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776FB" w:rsidP="004A1847" w:rsidRDefault="001776FB" w14:paraId="0C893C82" w14:textId="77777777">
      <w:pPr>
        <w:spacing w:after="0" w:line="240" w:lineRule="auto"/>
      </w:pPr>
      <w:r>
        <w:separator/>
      </w:r>
    </w:p>
  </w:endnote>
  <w:endnote w:type="continuationSeparator" w:id="0">
    <w:p w:rsidR="001776FB" w:rsidP="004A1847" w:rsidRDefault="001776FB" w14:paraId="2A3157A2" w14:textId="77777777">
      <w:pPr>
        <w:spacing w:after="0" w:line="240" w:lineRule="auto"/>
      </w:pPr>
      <w:r>
        <w:continuationSeparator/>
      </w:r>
    </w:p>
  </w:endnote>
  <w:endnote w:type="continuationNotice" w:id="1">
    <w:p w:rsidR="001776FB" w:rsidRDefault="001776FB" w14:paraId="6E59E9A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Geomanist Bold">
    <w:altName w:val="Calibri"/>
    <w:panose1 w:val="00000000000000000000"/>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A1847" w:rsidRDefault="009419F9" w14:paraId="18911A32" w14:textId="3BA5BB2D">
    <w:pPr>
      <w:pStyle w:val="Piedepgina"/>
    </w:pPr>
    <w:r>
      <w:rPr>
        <w:noProof/>
      </w:rPr>
      <w:drawing>
        <wp:inline distT="0" distB="0" distL="0" distR="0" wp14:anchorId="600A8696" wp14:editId="357635FE">
          <wp:extent cx="5612130" cy="650240"/>
          <wp:effectExtent l="0" t="0" r="7620" b="0"/>
          <wp:docPr id="1013471023" name="Picture 101347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58243"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Picture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271"/>
      <w:gridCol w:w="2693"/>
      <w:gridCol w:w="2699"/>
      <w:gridCol w:w="2268"/>
    </w:tblGrid>
    <w:tr w:rsidRPr="00080DA3" w:rsidR="00FC2B5D" w:rsidTr="00B72CD3" w14:paraId="0534DA7F" w14:textId="77777777">
      <w:trPr>
        <w:trHeight w:val="229"/>
        <w:jc w:val="center"/>
      </w:trPr>
      <w:tc>
        <w:tcPr>
          <w:tcW w:w="1271"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FC2B5D" w:rsidP="006219F8" w:rsidRDefault="003F3941" w14:paraId="171D456F" w14:textId="62368336">
          <w:pPr>
            <w:pStyle w:val="Piedepgina"/>
            <w:jc w:val="center"/>
            <w:rPr>
              <w:rFonts w:ascii="Century Gothic" w:hAnsi="Century Gothic"/>
              <w:sz w:val="16"/>
              <w:szCs w:val="16"/>
            </w:rPr>
          </w:pPr>
          <w:r w:rsidRPr="003F3941">
            <w:rPr>
              <w:rFonts w:ascii="Century Gothic" w:hAnsi="Century Gothic"/>
              <w:sz w:val="16"/>
              <w:szCs w:val="16"/>
            </w:rPr>
            <w:t>VERSIÓN: 0</w:t>
          </w:r>
          <w:r w:rsidR="00B72CD3">
            <w:rPr>
              <w:rFonts w:ascii="Century Gothic" w:hAnsi="Century Gothic"/>
              <w:sz w:val="16"/>
              <w:szCs w:val="16"/>
            </w:rPr>
            <w:t>1</w:t>
          </w:r>
        </w:p>
      </w:tc>
      <w:tc>
        <w:tcPr>
          <w:tcW w:w="2693"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FC2B5D" w:rsidP="006219F8" w:rsidRDefault="003F3941" w14:paraId="10C74553" w14:textId="3F78C75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hAnsi="Century Gothic" w:eastAsia="Geo" w:cs="Geo"/>
              <w:b/>
              <w:color w:val="000000"/>
              <w:sz w:val="16"/>
              <w:szCs w:val="16"/>
              <w:lang w:eastAsia="es-CO"/>
            </w:rPr>
            <w:t>CCE-</w:t>
          </w:r>
          <w:r w:rsidR="00B72CD3">
            <w:rPr>
              <w:rFonts w:ascii="Century Gothic" w:hAnsi="Century Gothic" w:eastAsia="Geo" w:cs="Geo"/>
              <w:b/>
              <w:color w:val="000000"/>
              <w:sz w:val="16"/>
              <w:szCs w:val="16"/>
              <w:lang w:eastAsia="es-CO"/>
            </w:rPr>
            <w:t>REC</w:t>
          </w:r>
          <w:r w:rsidRPr="003F3941">
            <w:rPr>
              <w:rFonts w:ascii="Century Gothic" w:hAnsi="Century Gothic" w:eastAsia="Geo" w:cs="Geo"/>
              <w:b/>
              <w:color w:val="000000"/>
              <w:sz w:val="16"/>
              <w:szCs w:val="16"/>
              <w:lang w:eastAsia="es-CO"/>
            </w:rPr>
            <w:t>-FM-</w:t>
          </w:r>
          <w:r w:rsidR="00CB6357">
            <w:rPr>
              <w:rFonts w:ascii="Century Gothic" w:hAnsi="Century Gothic" w:eastAsia="Geo" w:cs="Geo"/>
              <w:b/>
              <w:color w:val="000000"/>
              <w:sz w:val="16"/>
              <w:szCs w:val="16"/>
              <w:lang w:eastAsia="es-CO"/>
            </w:rPr>
            <w:t>13</w:t>
          </w:r>
        </w:p>
      </w:tc>
      <w:tc>
        <w:tcPr>
          <w:tcW w:w="2699"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FC2B5D" w:rsidP="00FC2B5D" w:rsidRDefault="003F3941" w14:paraId="5B51611F" w14:textId="5E0DB946">
          <w:pPr>
            <w:pStyle w:val="Piedepgina"/>
            <w:rPr>
              <w:rFonts w:ascii="Century Gothic" w:hAnsi="Century Gothic"/>
              <w:sz w:val="16"/>
              <w:szCs w:val="16"/>
            </w:rPr>
          </w:pPr>
          <w:r w:rsidRPr="003F3941">
            <w:rPr>
              <w:rFonts w:ascii="Century Gothic" w:hAnsi="Century Gothic"/>
              <w:sz w:val="16"/>
              <w:szCs w:val="16"/>
            </w:rPr>
            <w:t xml:space="preserve">FECHA: </w:t>
          </w:r>
          <w:r w:rsidR="00961B09">
            <w:rPr>
              <w:rFonts w:ascii="Century Gothic" w:hAnsi="Century Gothic"/>
              <w:sz w:val="16"/>
              <w:szCs w:val="16"/>
            </w:rPr>
            <w:t>15</w:t>
          </w:r>
          <w:r w:rsidRPr="003F3941">
            <w:rPr>
              <w:rFonts w:ascii="Century Gothic" w:hAnsi="Century Gothic"/>
              <w:sz w:val="16"/>
              <w:szCs w:val="16"/>
            </w:rPr>
            <w:t xml:space="preserve"> DE </w:t>
          </w:r>
          <w:r w:rsidR="00961B09">
            <w:rPr>
              <w:rFonts w:ascii="Century Gothic" w:hAnsi="Century Gothic"/>
              <w:sz w:val="16"/>
              <w:szCs w:val="16"/>
            </w:rPr>
            <w:t>JUNIO</w:t>
          </w:r>
          <w:r w:rsidRPr="003F3941">
            <w:rPr>
              <w:rFonts w:ascii="Century Gothic" w:hAnsi="Century Gothic"/>
              <w:sz w:val="16"/>
              <w:szCs w:val="16"/>
            </w:rPr>
            <w:t xml:space="preserve">  2023 </w:t>
          </w:r>
        </w:p>
      </w:tc>
      <w:tc>
        <w:tcPr>
          <w:tcW w:w="2268" w:type="dxa"/>
          <w:tcBorders>
            <w:top w:val="dotted" w:color="808080" w:themeColor="background1" w:themeShade="80" w:sz="4" w:space="0"/>
            <w:left w:val="dotted" w:color="808080" w:themeColor="background1" w:themeShade="80" w:sz="4" w:space="0"/>
            <w:bottom w:val="dotted" w:color="808080" w:themeColor="background1" w:themeShade="80" w:sz="4" w:space="0"/>
            <w:right w:val="dotted" w:color="808080" w:themeColor="background1" w:themeShade="80" w:sz="4" w:space="0"/>
          </w:tcBorders>
          <w:shd w:val="clear" w:color="auto" w:fill="auto"/>
        </w:tcPr>
        <w:p w:rsidRPr="003F3941" w:rsidR="00FC2B5D" w:rsidP="00820278" w:rsidRDefault="003F3941" w14:paraId="6C25E7A7" w14:textId="6039C9C7">
          <w:pPr>
            <w:pStyle w:val="Piedepgina"/>
            <w:rPr>
              <w:rFonts w:ascii="Century Gothic" w:hAnsi="Century Gothic"/>
              <w:sz w:val="16"/>
              <w:szCs w:val="16"/>
            </w:rPr>
          </w:pPr>
          <w:r w:rsidRPr="003F3941">
            <w:rPr>
              <w:rFonts w:ascii="Century Gothic" w:hAnsi="Century Gothic"/>
              <w:sz w:val="16"/>
              <w:szCs w:val="16"/>
            </w:rPr>
            <w:t xml:space="preserve">  PÁGINA </w:t>
          </w:r>
          <w:r w:rsidRPr="003F3941" w:rsidR="00FC2B5D">
            <w:rPr>
              <w:rFonts w:ascii="Century Gothic" w:hAnsi="Century Gothic"/>
              <w:b/>
              <w:bCs/>
              <w:sz w:val="16"/>
              <w:szCs w:val="16"/>
            </w:rPr>
            <w:fldChar w:fldCharType="begin"/>
          </w:r>
          <w:r w:rsidRPr="003F3941" w:rsidR="00FC2B5D">
            <w:rPr>
              <w:rFonts w:ascii="Century Gothic" w:hAnsi="Century Gothic"/>
              <w:b/>
              <w:bCs/>
              <w:sz w:val="16"/>
              <w:szCs w:val="16"/>
            </w:rPr>
            <w:instrText>PAGE  \* Arabic  \* MERGEFORMAT</w:instrText>
          </w:r>
          <w:r w:rsidRPr="003F3941" w:rsidR="00FC2B5D">
            <w:rPr>
              <w:rFonts w:ascii="Century Gothic" w:hAnsi="Century Gothic"/>
              <w:b/>
              <w:bCs/>
              <w:sz w:val="16"/>
              <w:szCs w:val="16"/>
            </w:rPr>
            <w:fldChar w:fldCharType="separate"/>
          </w:r>
          <w:r w:rsidRPr="003F3941">
            <w:rPr>
              <w:rFonts w:ascii="Century Gothic" w:hAnsi="Century Gothic"/>
              <w:b/>
              <w:bCs/>
              <w:sz w:val="16"/>
              <w:szCs w:val="16"/>
            </w:rPr>
            <w:t>1</w:t>
          </w:r>
          <w:r w:rsidRPr="003F3941" w:rsidR="00FC2B5D">
            <w:rPr>
              <w:rFonts w:ascii="Century Gothic" w:hAnsi="Century Gothic"/>
              <w:b/>
              <w:bCs/>
              <w:sz w:val="16"/>
              <w:szCs w:val="16"/>
            </w:rPr>
            <w:fldChar w:fldCharType="end"/>
          </w:r>
          <w:r w:rsidRPr="003F3941">
            <w:rPr>
              <w:rFonts w:ascii="Century Gothic" w:hAnsi="Century Gothic"/>
              <w:sz w:val="16"/>
              <w:szCs w:val="16"/>
            </w:rPr>
            <w:t xml:space="preserve"> DE </w:t>
          </w:r>
          <w:r w:rsidRPr="003F3941" w:rsidR="00FC2B5D">
            <w:rPr>
              <w:rFonts w:ascii="Century Gothic" w:hAnsi="Century Gothic"/>
              <w:b/>
              <w:bCs/>
              <w:sz w:val="16"/>
              <w:szCs w:val="16"/>
            </w:rPr>
            <w:fldChar w:fldCharType="begin"/>
          </w:r>
          <w:r w:rsidRPr="003F3941" w:rsidR="00FC2B5D">
            <w:rPr>
              <w:rFonts w:ascii="Century Gothic" w:hAnsi="Century Gothic"/>
              <w:b/>
              <w:bCs/>
              <w:sz w:val="16"/>
              <w:szCs w:val="16"/>
            </w:rPr>
            <w:instrText>NUMPAGES  \* Arabic  \* MERGEFORMAT</w:instrText>
          </w:r>
          <w:r w:rsidRPr="003F3941" w:rsidR="00FC2B5D">
            <w:rPr>
              <w:rFonts w:ascii="Century Gothic" w:hAnsi="Century Gothic"/>
              <w:b/>
              <w:bCs/>
              <w:sz w:val="16"/>
              <w:szCs w:val="16"/>
            </w:rPr>
            <w:fldChar w:fldCharType="separate"/>
          </w:r>
          <w:r w:rsidRPr="003F3941">
            <w:rPr>
              <w:rFonts w:ascii="Century Gothic" w:hAnsi="Century Gothic"/>
              <w:b/>
              <w:bCs/>
              <w:sz w:val="16"/>
              <w:szCs w:val="16"/>
            </w:rPr>
            <w:t>2</w:t>
          </w:r>
          <w:r w:rsidRPr="003F3941" w:rsidR="00FC2B5D">
            <w:rPr>
              <w:rFonts w:ascii="Century Gothic" w:hAnsi="Century Gothic"/>
              <w:b/>
              <w:bCs/>
              <w:sz w:val="16"/>
              <w:szCs w:val="16"/>
            </w:rPr>
            <w:fldChar w:fldCharType="end"/>
          </w:r>
        </w:p>
      </w:tc>
    </w:tr>
  </w:tbl>
  <w:p w:rsidR="006219F8" w:rsidP="003E0499" w:rsidRDefault="006219F8" w14:paraId="744661F5" w14:textId="3FCEAD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776FB" w:rsidP="004A1847" w:rsidRDefault="001776FB" w14:paraId="49DE4ABA" w14:textId="77777777">
      <w:pPr>
        <w:spacing w:after="0" w:line="240" w:lineRule="auto"/>
      </w:pPr>
      <w:r>
        <w:separator/>
      </w:r>
    </w:p>
  </w:footnote>
  <w:footnote w:type="continuationSeparator" w:id="0">
    <w:p w:rsidR="001776FB" w:rsidP="004A1847" w:rsidRDefault="001776FB" w14:paraId="584E0862" w14:textId="77777777">
      <w:pPr>
        <w:spacing w:after="0" w:line="240" w:lineRule="auto"/>
      </w:pPr>
      <w:r>
        <w:continuationSeparator/>
      </w:r>
    </w:p>
  </w:footnote>
  <w:footnote w:type="continuationNotice" w:id="1">
    <w:p w:rsidR="001776FB" w:rsidRDefault="001776FB" w14:paraId="73B7CCAF" w14:textId="77777777">
      <w:pPr>
        <w:spacing w:after="0" w:line="240" w:lineRule="auto"/>
      </w:pPr>
    </w:p>
  </w:footnote>
  <w:footnote w:id="2">
    <w:p w:rsidRPr="00BA40CF" w:rsidR="001654F1" w:rsidP="00576C7D" w:rsidRDefault="001654F1" w14:paraId="5F100399" w14:textId="77777777">
      <w:pPr>
        <w:pStyle w:val="Textonotapie"/>
        <w:ind w:firstLine="708"/>
        <w:jc w:val="both"/>
        <w:rPr>
          <w:rFonts w:ascii="Arial" w:hAnsi="Arial" w:cs="Arial"/>
          <w:sz w:val="14"/>
          <w:szCs w:val="14"/>
        </w:rPr>
      </w:pPr>
      <w:r w:rsidRPr="00BA40CF">
        <w:rPr>
          <w:rStyle w:val="Refdenotaalpie"/>
          <w:rFonts w:ascii="Arial" w:hAnsi="Arial" w:cs="Arial"/>
          <w:sz w:val="14"/>
          <w:szCs w:val="14"/>
        </w:rPr>
        <w:footnoteRef/>
      </w:r>
      <w:r w:rsidRPr="00BA40CF">
        <w:rPr>
          <w:rFonts w:ascii="Arial" w:hAnsi="Arial" w:cs="Arial"/>
          <w:sz w:val="14"/>
          <w:szCs w:val="14"/>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BA40CF">
        <w:rPr>
          <w:rFonts w:ascii="Arial" w:hAnsi="Arial" w:cs="Arial"/>
          <w:i/>
          <w:iCs/>
          <w:sz w:val="14"/>
          <w:szCs w:val="14"/>
        </w:rPr>
        <w:t xml:space="preserve">ibidem </w:t>
      </w:r>
      <w:r w:rsidRPr="00BA40CF">
        <w:rPr>
          <w:rFonts w:ascii="Arial" w:hAnsi="Arial" w:cs="Arial"/>
          <w:sz w:val="14"/>
          <w:szCs w:val="14"/>
        </w:rPr>
        <w:t>señala, de manera precisa, las funciones de Colombia Compra Eficiente. Concretamente, el numeral 5º de este artículo establece que le corresponde a esta entidad: “[a]</w:t>
      </w:r>
      <w:proofErr w:type="spellStart"/>
      <w:r w:rsidRPr="00BA40CF">
        <w:rPr>
          <w:rFonts w:ascii="Arial" w:hAnsi="Arial" w:cs="Arial"/>
          <w:sz w:val="14"/>
          <w:szCs w:val="14"/>
        </w:rPr>
        <w:t>bsolver</w:t>
      </w:r>
      <w:proofErr w:type="spellEnd"/>
      <w:r w:rsidRPr="00BA40CF">
        <w:rPr>
          <w:rFonts w:ascii="Arial" w:hAnsi="Arial" w:cs="Arial"/>
          <w:sz w:val="14"/>
          <w:szCs w:val="14"/>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sidRPr="00BA40CF">
        <w:rPr>
          <w:rFonts w:ascii="Arial" w:hAnsi="Arial" w:cs="Arial"/>
          <w:sz w:val="14"/>
          <w:szCs w:val="14"/>
        </w:rPr>
        <w:t>bsolver</w:t>
      </w:r>
      <w:proofErr w:type="spellEnd"/>
      <w:r w:rsidRPr="00BA40CF">
        <w:rPr>
          <w:rFonts w:ascii="Arial" w:hAnsi="Arial" w:cs="Arial"/>
          <w:sz w:val="14"/>
          <w:szCs w:val="14"/>
        </w:rPr>
        <w:t xml:space="preserve"> consultas sobre la aplicación de normas de carácter general”</w:t>
      </w:r>
    </w:p>
    <w:p w:rsidRPr="00BA40CF" w:rsidR="001654F1" w:rsidP="00576C7D" w:rsidRDefault="001654F1" w14:paraId="0466FE32" w14:textId="77777777">
      <w:pPr>
        <w:pStyle w:val="Textonotapie"/>
        <w:ind w:firstLine="708"/>
        <w:jc w:val="both"/>
        <w:rPr>
          <w:rFonts w:ascii="Arial" w:hAnsi="Arial" w:cs="Arial"/>
          <w:sz w:val="14"/>
          <w:szCs w:val="14"/>
          <w:lang w:val="es-ES"/>
        </w:rPr>
      </w:pPr>
    </w:p>
  </w:footnote>
  <w:footnote w:id="3">
    <w:p w:rsidRPr="00BA40CF" w:rsidR="00805E4D" w:rsidP="00576C7D" w:rsidRDefault="00805E4D" w14:paraId="6C8AA24D" w14:textId="0F029F56">
      <w:pPr>
        <w:pStyle w:val="Textonotapie"/>
        <w:ind w:firstLine="708"/>
        <w:jc w:val="both"/>
        <w:rPr>
          <w:rFonts w:ascii="Arial" w:hAnsi="Arial" w:cs="Arial"/>
          <w:sz w:val="14"/>
          <w:szCs w:val="14"/>
          <w:lang w:val="es-CO"/>
        </w:rPr>
      </w:pPr>
      <w:r w:rsidRPr="00BA40CF">
        <w:rPr>
          <w:rStyle w:val="Refdenotaalpie"/>
          <w:rFonts w:ascii="Arial" w:hAnsi="Arial" w:cs="Arial"/>
          <w:sz w:val="14"/>
          <w:szCs w:val="14"/>
        </w:rPr>
        <w:footnoteRef/>
      </w:r>
      <w:r w:rsidRPr="00BA40CF">
        <w:rPr>
          <w:rFonts w:ascii="Arial" w:hAnsi="Arial" w:cs="Arial"/>
          <w:sz w:val="14"/>
          <w:szCs w:val="14"/>
        </w:rPr>
        <w:t xml:space="preserve"> Los conceptos referenciados, así como otros expedidos por la Subdirección se encuentran disponibles para consulta pública en el portal de relatoría de la Agencia, al cual se puede acceder a través del siguiente enlace: </w:t>
      </w:r>
      <w:hyperlink w:history="1" r:id="rId1">
        <w:r w:rsidRPr="00BA40CF">
          <w:rPr>
            <w:rStyle w:val="Hipervnculo"/>
            <w:rFonts w:ascii="Arial" w:hAnsi="Arial" w:cs="Arial"/>
            <w:color w:val="auto"/>
            <w:sz w:val="14"/>
            <w:szCs w:val="14"/>
          </w:rPr>
          <w:t>https://relatoria.colombiacompra.gov.co/busqueda/conceptos</w:t>
        </w:r>
      </w:hyperlink>
      <w:r w:rsidRPr="00BA40CF">
        <w:rPr>
          <w:rStyle w:val="Hipervnculo"/>
          <w:rFonts w:ascii="Arial" w:hAnsi="Arial" w:cs="Arial"/>
          <w:color w:val="auto"/>
          <w:sz w:val="14"/>
          <w:szCs w:val="14"/>
        </w:rPr>
        <w:t xml:space="preserve">. </w:t>
      </w:r>
      <w:r w:rsidRPr="00BA40CF">
        <w:rPr>
          <w:rFonts w:ascii="Arial" w:hAnsi="Arial" w:cs="Arial"/>
          <w:sz w:val="14"/>
          <w:szCs w:val="14"/>
          <w:shd w:val="clear" w:color="auto" w:fill="E6E6E6"/>
        </w:rPr>
        <w:t xml:space="preserve"> </w:t>
      </w:r>
    </w:p>
  </w:footnote>
  <w:footnote w:id="4">
    <w:p w:rsidRPr="00BA40CF" w:rsidR="000E141A" w:rsidP="00576C7D" w:rsidRDefault="000E141A" w14:paraId="763A5BD0" w14:textId="77777777">
      <w:pPr>
        <w:pStyle w:val="Textonotapie"/>
        <w:ind w:firstLine="709"/>
        <w:contextualSpacing/>
        <w:jc w:val="both"/>
        <w:rPr>
          <w:rFonts w:ascii="Arial" w:hAnsi="Arial" w:cs="Arial"/>
          <w:sz w:val="14"/>
          <w:szCs w:val="14"/>
        </w:rPr>
      </w:pPr>
      <w:r w:rsidRPr="00BA40CF">
        <w:rPr>
          <w:rStyle w:val="Refdenotaalpie"/>
          <w:rFonts w:ascii="Arial" w:hAnsi="Arial" w:cs="Arial"/>
          <w:sz w:val="14"/>
          <w:szCs w:val="14"/>
        </w:rPr>
        <w:footnoteRef/>
      </w:r>
      <w:r w:rsidRPr="00BA40CF">
        <w:rPr>
          <w:rFonts w:ascii="Arial" w:hAnsi="Arial" w:cs="Arial"/>
          <w:sz w:val="14"/>
          <w:szCs w:val="14"/>
        </w:rPr>
        <w:t xml:space="preserve"> El artículo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rsidRPr="00BA40CF" w:rsidR="000E141A" w:rsidP="00576C7D" w:rsidRDefault="000E141A" w14:paraId="37E12B41" w14:textId="77777777">
      <w:pPr>
        <w:pStyle w:val="Textonotapie"/>
        <w:ind w:firstLine="709"/>
        <w:contextualSpacing/>
        <w:jc w:val="both"/>
        <w:rPr>
          <w:rFonts w:ascii="Arial" w:hAnsi="Arial" w:cs="Arial"/>
          <w:sz w:val="14"/>
          <w:szCs w:val="14"/>
        </w:rPr>
      </w:pPr>
      <w:r w:rsidRPr="00BA40CF">
        <w:rPr>
          <w:rFonts w:ascii="Arial" w:hAnsi="Arial" w:cs="Arial"/>
          <w:sz w:val="14"/>
          <w:szCs w:val="14"/>
        </w:rPr>
        <w:t>A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footnote>
  <w:footnote w:id="5">
    <w:p w:rsidRPr="00BA40CF" w:rsidR="000E141A" w:rsidP="00576C7D" w:rsidRDefault="000E141A" w14:paraId="54453DA5" w14:textId="77777777">
      <w:pPr>
        <w:pStyle w:val="Textonotapie"/>
        <w:ind w:firstLine="709"/>
        <w:contextualSpacing/>
        <w:jc w:val="both"/>
        <w:rPr>
          <w:rFonts w:ascii="Arial" w:hAnsi="Arial" w:cs="Arial"/>
          <w:sz w:val="14"/>
          <w:szCs w:val="14"/>
        </w:rPr>
      </w:pPr>
      <w:r w:rsidRPr="00BA40CF">
        <w:rPr>
          <w:rStyle w:val="Refdenotaalpie"/>
          <w:rFonts w:ascii="Arial" w:hAnsi="Arial" w:cs="Arial"/>
          <w:sz w:val="14"/>
          <w:szCs w:val="14"/>
        </w:rPr>
        <w:footnoteRef/>
      </w:r>
      <w:r w:rsidRPr="00BA40CF">
        <w:rPr>
          <w:rFonts w:ascii="Arial" w:hAnsi="Arial" w:cs="Arial"/>
          <w:sz w:val="14"/>
          <w:szCs w:val="14"/>
        </w:rPr>
        <w:t xml:space="preserve"> Gaceta del Congreso de la República No. 71 del 2005.</w:t>
      </w:r>
    </w:p>
  </w:footnote>
  <w:footnote w:id="6">
    <w:p w:rsidRPr="00BA40CF" w:rsidR="000E141A" w:rsidP="00576C7D" w:rsidRDefault="000E141A" w14:paraId="7F5AC565" w14:textId="77777777">
      <w:pPr>
        <w:pStyle w:val="Textonotapie"/>
        <w:ind w:firstLine="709"/>
        <w:contextualSpacing/>
        <w:jc w:val="both"/>
        <w:rPr>
          <w:rFonts w:ascii="Arial" w:hAnsi="Arial" w:cs="Arial"/>
          <w:sz w:val="14"/>
          <w:szCs w:val="14"/>
        </w:rPr>
      </w:pPr>
      <w:r w:rsidRPr="00BA40CF">
        <w:rPr>
          <w:rStyle w:val="Refdenotaalpie"/>
          <w:rFonts w:ascii="Arial" w:hAnsi="Arial" w:cs="Arial"/>
          <w:sz w:val="14"/>
          <w:szCs w:val="14"/>
        </w:rPr>
        <w:footnoteRef/>
      </w:r>
      <w:r w:rsidRPr="00BA40CF">
        <w:rPr>
          <w:rFonts w:ascii="Arial" w:hAnsi="Arial" w:cs="Arial"/>
          <w:sz w:val="14"/>
          <w:szCs w:val="14"/>
        </w:rPr>
        <w:t xml:space="preserve"> Corte Constitucional, Sentencia C- 1153 de 2005, M.P. Marco Gerardo Monroy Cabra.</w:t>
      </w:r>
    </w:p>
  </w:footnote>
  <w:footnote w:id="7">
    <w:p w:rsidRPr="00BA40CF" w:rsidR="000E141A" w:rsidP="00576C7D" w:rsidRDefault="000E141A" w14:paraId="5853A774" w14:textId="77777777">
      <w:pPr>
        <w:pStyle w:val="Textonotapie"/>
        <w:ind w:firstLine="709"/>
        <w:contextualSpacing/>
        <w:jc w:val="both"/>
        <w:rPr>
          <w:rFonts w:ascii="Arial" w:hAnsi="Arial" w:cs="Arial"/>
          <w:sz w:val="14"/>
          <w:szCs w:val="14"/>
        </w:rPr>
      </w:pPr>
      <w:r w:rsidRPr="00BA40CF">
        <w:rPr>
          <w:rStyle w:val="Refdenotaalpie"/>
          <w:rFonts w:ascii="Arial" w:hAnsi="Arial" w:cs="Arial"/>
          <w:sz w:val="14"/>
          <w:szCs w:val="14"/>
        </w:rPr>
        <w:footnoteRef/>
      </w:r>
      <w:r w:rsidRPr="00BA40CF">
        <w:rPr>
          <w:rFonts w:ascii="Arial" w:hAnsi="Arial" w:cs="Arial"/>
          <w:sz w:val="14"/>
          <w:szCs w:val="14"/>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footnote>
  <w:footnote w:id="8">
    <w:p w:rsidRPr="00BA40CF" w:rsidR="000E141A" w:rsidP="00576C7D" w:rsidRDefault="000E141A" w14:paraId="1C4BFF69" w14:textId="77777777">
      <w:pPr>
        <w:pStyle w:val="Textonotapie"/>
        <w:ind w:firstLine="709"/>
        <w:contextualSpacing/>
        <w:jc w:val="both"/>
        <w:rPr>
          <w:rFonts w:ascii="Arial" w:hAnsi="Arial" w:cs="Arial"/>
          <w:sz w:val="14"/>
          <w:szCs w:val="14"/>
          <w:lang w:val="es-CO"/>
        </w:rPr>
      </w:pPr>
      <w:r w:rsidRPr="00BA40CF">
        <w:rPr>
          <w:rStyle w:val="Refdenotaalpie"/>
          <w:rFonts w:ascii="Arial" w:hAnsi="Arial" w:cs="Arial"/>
          <w:sz w:val="14"/>
          <w:szCs w:val="14"/>
        </w:rPr>
        <w:footnoteRef/>
      </w:r>
      <w:r w:rsidRPr="00BA40CF">
        <w:rPr>
          <w:rFonts w:ascii="Arial" w:hAnsi="Arial" w:cs="Arial"/>
          <w:sz w:val="14"/>
          <w:szCs w:val="14"/>
          <w:lang w:val="es-CO"/>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footnote>
  <w:footnote w:id="9">
    <w:p w:rsidRPr="00BA40CF" w:rsidR="000E141A" w:rsidP="00576C7D" w:rsidRDefault="000E141A" w14:paraId="2A9212B2" w14:textId="77777777">
      <w:pPr>
        <w:pStyle w:val="Textonotapie"/>
        <w:ind w:firstLine="709"/>
        <w:contextualSpacing/>
        <w:jc w:val="both"/>
        <w:rPr>
          <w:rFonts w:ascii="Arial" w:hAnsi="Arial" w:cs="Arial"/>
          <w:sz w:val="14"/>
          <w:szCs w:val="14"/>
        </w:rPr>
      </w:pPr>
      <w:r w:rsidRPr="00BA40CF">
        <w:rPr>
          <w:rStyle w:val="Refdenotaalpie"/>
          <w:rFonts w:ascii="Arial" w:hAnsi="Arial" w:cs="Arial"/>
          <w:sz w:val="14"/>
          <w:szCs w:val="14"/>
        </w:rPr>
        <w:footnoteRef/>
      </w:r>
      <w:r w:rsidRPr="00BA40CF">
        <w:rPr>
          <w:rFonts w:ascii="Arial" w:hAnsi="Arial" w:cs="Arial"/>
          <w:sz w:val="14"/>
          <w:szCs w:val="14"/>
        </w:rPr>
        <w:t xml:space="preserve"> Consejo de Estado, Sala de Consulta y Servicio Civil de fecha 24 de julio de 2013, radicado 2166, </w:t>
      </w:r>
      <w:proofErr w:type="gramStart"/>
      <w:r w:rsidRPr="00BA40CF">
        <w:rPr>
          <w:rFonts w:ascii="Arial" w:hAnsi="Arial" w:cs="Arial"/>
          <w:sz w:val="14"/>
          <w:szCs w:val="14"/>
        </w:rPr>
        <w:t>Consejero</w:t>
      </w:r>
      <w:proofErr w:type="gramEnd"/>
      <w:r w:rsidRPr="00BA40CF">
        <w:rPr>
          <w:rFonts w:ascii="Arial" w:hAnsi="Arial" w:cs="Arial"/>
          <w:sz w:val="14"/>
          <w:szCs w:val="14"/>
        </w:rPr>
        <w:t xml:space="preserve"> Ponente: Álvaro </w:t>
      </w:r>
      <w:proofErr w:type="spellStart"/>
      <w:r w:rsidRPr="00BA40CF">
        <w:rPr>
          <w:rFonts w:ascii="Arial" w:hAnsi="Arial" w:cs="Arial"/>
          <w:sz w:val="14"/>
          <w:szCs w:val="14"/>
        </w:rPr>
        <w:t>Namén</w:t>
      </w:r>
      <w:proofErr w:type="spellEnd"/>
      <w:r w:rsidRPr="00BA40CF">
        <w:rPr>
          <w:rFonts w:ascii="Arial" w:hAnsi="Arial" w:cs="Arial"/>
          <w:sz w:val="14"/>
          <w:szCs w:val="14"/>
        </w:rPr>
        <w:t xml:space="preserve"> Vargas.  </w:t>
      </w:r>
    </w:p>
  </w:footnote>
  <w:footnote w:id="10">
    <w:p w:rsidRPr="00BA40CF" w:rsidR="000E141A" w:rsidP="00576C7D" w:rsidRDefault="000E141A" w14:paraId="40E40F4E" w14:textId="77777777">
      <w:pPr>
        <w:spacing w:after="0" w:line="240" w:lineRule="auto"/>
        <w:ind w:firstLine="709"/>
        <w:contextualSpacing/>
        <w:jc w:val="both"/>
        <w:rPr>
          <w:rFonts w:ascii="Arial" w:hAnsi="Arial" w:eastAsia="Times New Roman" w:cs="Arial"/>
          <w:sz w:val="14"/>
          <w:szCs w:val="14"/>
        </w:rPr>
      </w:pPr>
      <w:r w:rsidRPr="00BA40CF">
        <w:rPr>
          <w:rStyle w:val="Refdenotaalpie"/>
          <w:rFonts w:ascii="Arial" w:hAnsi="Arial" w:cs="Arial"/>
          <w:sz w:val="14"/>
          <w:szCs w:val="14"/>
        </w:rPr>
        <w:footnoteRef/>
      </w:r>
      <w:r w:rsidRPr="00BA40CF">
        <w:rPr>
          <w:rFonts w:ascii="Arial" w:hAnsi="Arial" w:cs="Arial"/>
          <w:sz w:val="14"/>
          <w:szCs w:val="14"/>
        </w:rPr>
        <w:t xml:space="preserve"> </w:t>
      </w:r>
      <w:bookmarkStart w:name="33" w:id="14"/>
      <w:r w:rsidRPr="00BA40CF">
        <w:rPr>
          <w:rFonts w:ascii="Arial" w:hAnsi="Arial" w:eastAsia="Calibri" w:cs="Arial"/>
          <w:bCs/>
          <w:sz w:val="14"/>
          <w:szCs w:val="14"/>
        </w:rPr>
        <w:t>“</w:t>
      </w:r>
      <w:r w:rsidRPr="00BA40CF">
        <w:rPr>
          <w:rFonts w:ascii="Arial" w:hAnsi="Arial" w:eastAsia="Times New Roman" w:cs="Arial"/>
          <w:sz w:val="14"/>
          <w:szCs w:val="14"/>
        </w:rPr>
        <w:t>Artículo 33. Restricciones a la contratación pública.</w:t>
      </w:r>
      <w:bookmarkEnd w:id="14"/>
      <w:r w:rsidRPr="00BA40CF">
        <w:rPr>
          <w:rFonts w:ascii="Arial" w:hAnsi="Arial" w:eastAsia="Times New Roman" w:cs="Arial"/>
          <w:sz w:val="14"/>
          <w:szCs w:val="14"/>
        </w:rPr>
        <w:t> Durante los cuatro (4) meses anteriores a la elección presidencial y hasta la realización de la elección en la segunda vuelta, si fuere el caso, queda prohibida la contratación directa por parte de todos los entes del Estado.</w:t>
      </w:r>
    </w:p>
    <w:p w:rsidRPr="00BA40CF" w:rsidR="000E141A" w:rsidP="00576C7D" w:rsidRDefault="000E141A" w14:paraId="082BF89C" w14:textId="77777777">
      <w:pPr>
        <w:spacing w:after="0" w:line="240" w:lineRule="auto"/>
        <w:ind w:firstLine="709"/>
        <w:contextualSpacing/>
        <w:jc w:val="both"/>
        <w:rPr>
          <w:rFonts w:ascii="Arial" w:hAnsi="Arial" w:eastAsia="Times New Roman" w:cs="Arial"/>
          <w:sz w:val="14"/>
          <w:szCs w:val="14"/>
        </w:rPr>
      </w:pPr>
      <w:r w:rsidRPr="00BA40CF">
        <w:rPr>
          <w:rFonts w:ascii="Arial" w:hAnsi="Arial" w:eastAsia="Times New Roman" w:cs="Arial"/>
          <w:sz w:val="14"/>
          <w:szCs w:val="14"/>
        </w:rPr>
        <w:t>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BA40CF">
        <w:rPr>
          <w:rFonts w:ascii="Arial" w:hAnsi="Arial" w:eastAsia="Calibri" w:cs="Arial"/>
          <w:bCs/>
          <w:sz w:val="14"/>
          <w:szCs w:val="14"/>
        </w:rPr>
        <w:t>”</w:t>
      </w:r>
      <w:r w:rsidRPr="00BA40CF">
        <w:rPr>
          <w:rFonts w:ascii="Arial" w:hAnsi="Arial" w:eastAsia="Times New Roman" w:cs="Arial"/>
          <w:sz w:val="14"/>
          <w:szCs w:val="14"/>
        </w:rPr>
        <w:t>.</w:t>
      </w:r>
    </w:p>
  </w:footnote>
  <w:footnote w:id="11">
    <w:p w:rsidRPr="00BA40CF" w:rsidR="000E141A" w:rsidP="00576C7D" w:rsidRDefault="000E141A" w14:paraId="19ED20E9" w14:textId="77777777">
      <w:pPr>
        <w:pStyle w:val="NormalWeb"/>
        <w:spacing w:before="0" w:beforeAutospacing="0" w:after="0" w:afterAutospacing="0"/>
        <w:ind w:firstLine="709"/>
        <w:contextualSpacing/>
        <w:jc w:val="both"/>
        <w:rPr>
          <w:rFonts w:ascii="Arial" w:hAnsi="Arial" w:cs="Arial"/>
          <w:sz w:val="14"/>
          <w:szCs w:val="14"/>
          <w:lang w:val="es-MX"/>
        </w:rPr>
      </w:pPr>
      <w:r w:rsidRPr="00BA40CF">
        <w:rPr>
          <w:rStyle w:val="Refdenotaalpie"/>
          <w:rFonts w:ascii="Arial" w:hAnsi="Arial" w:cs="Arial"/>
          <w:sz w:val="14"/>
          <w:szCs w:val="14"/>
        </w:rPr>
        <w:footnoteRef/>
      </w:r>
      <w:r w:rsidRPr="00BA40CF">
        <w:rPr>
          <w:rFonts w:ascii="Arial" w:hAnsi="Arial" w:cs="Arial"/>
          <w:sz w:val="14"/>
          <w:szCs w:val="14"/>
        </w:rPr>
        <w:t xml:space="preserve"> </w:t>
      </w:r>
      <w:bookmarkStart w:name="38" w:id="15"/>
      <w:r w:rsidRPr="00BA40CF">
        <w:rPr>
          <w:rFonts w:ascii="Arial" w:hAnsi="Arial" w:eastAsia="Calibri" w:cs="Arial"/>
          <w:bCs/>
          <w:sz w:val="14"/>
          <w:szCs w:val="14"/>
        </w:rPr>
        <w:t>“</w:t>
      </w:r>
      <w:r w:rsidRPr="00BA40CF">
        <w:rPr>
          <w:rFonts w:ascii="Arial" w:hAnsi="Arial" w:cs="Arial"/>
          <w:sz w:val="14"/>
          <w:szCs w:val="14"/>
          <w:lang w:val="es-MX"/>
        </w:rPr>
        <w:t>Artículo 38. Prohibiciones para los servidores públicos. A los empleados del Estado les está prohibido:</w:t>
      </w:r>
      <w:bookmarkEnd w:id="15"/>
    </w:p>
    <w:p w:rsidRPr="00BA40CF" w:rsidR="000E141A" w:rsidP="00576C7D" w:rsidRDefault="000E141A" w14:paraId="391452E0" w14:textId="77777777">
      <w:pPr>
        <w:pStyle w:val="NormalWeb"/>
        <w:spacing w:before="0" w:beforeAutospacing="0" w:after="0" w:afterAutospacing="0"/>
        <w:ind w:firstLine="709"/>
        <w:contextualSpacing/>
        <w:jc w:val="both"/>
        <w:rPr>
          <w:rFonts w:ascii="Arial" w:hAnsi="Arial" w:cs="Arial"/>
          <w:sz w:val="14"/>
          <w:szCs w:val="14"/>
          <w:lang w:val="es-MX"/>
        </w:rPr>
      </w:pPr>
      <w:r w:rsidRPr="00BA40CF">
        <w:rPr>
          <w:rFonts w:ascii="Arial" w:hAnsi="Arial" w:cs="Arial"/>
          <w:sz w:val="14"/>
          <w:szCs w:val="14"/>
          <w:lang w:val="es-MX"/>
        </w:rPr>
        <w:t>[…]</w:t>
      </w:r>
    </w:p>
    <w:p w:rsidRPr="00BA40CF" w:rsidR="000E141A" w:rsidP="00576C7D" w:rsidRDefault="000E141A" w14:paraId="5BBC391C" w14:textId="77777777">
      <w:pPr>
        <w:pStyle w:val="NormalWeb"/>
        <w:spacing w:before="0" w:beforeAutospacing="0" w:after="0" w:afterAutospacing="0"/>
        <w:ind w:firstLine="709"/>
        <w:contextualSpacing/>
        <w:jc w:val="both"/>
        <w:rPr>
          <w:rFonts w:ascii="Arial" w:hAnsi="Arial" w:cs="Arial"/>
          <w:sz w:val="14"/>
          <w:szCs w:val="14"/>
          <w:lang w:val="es-MX"/>
        </w:rPr>
      </w:pPr>
      <w:r w:rsidRPr="00BA40CF">
        <w:rPr>
          <w:rStyle w:val="baj"/>
          <w:rFonts w:ascii="Arial" w:hAnsi="Arial" w:cs="Arial"/>
          <w:sz w:val="14"/>
          <w:szCs w:val="14"/>
          <w:lang w:val="es-MX"/>
        </w:rPr>
        <w:t>Parágrafo.</w:t>
      </w:r>
      <w:r w:rsidRPr="00BA40CF">
        <w:rPr>
          <w:rFonts w:ascii="Arial" w:hAnsi="Arial" w:cs="Arial"/>
          <w:sz w:val="14"/>
          <w:szCs w:val="14"/>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BA40CF">
        <w:rPr>
          <w:rFonts w:ascii="Arial" w:hAnsi="Arial" w:eastAsia="Calibri" w:cs="Arial"/>
          <w:bCs/>
          <w:sz w:val="14"/>
          <w:szCs w:val="14"/>
        </w:rPr>
        <w:t>”</w:t>
      </w:r>
      <w:r w:rsidRPr="00BA40CF">
        <w:rPr>
          <w:rFonts w:ascii="Arial" w:hAnsi="Arial" w:cs="Arial"/>
          <w:sz w:val="14"/>
          <w:szCs w:val="14"/>
          <w:lang w:val="es-MX"/>
        </w:rPr>
        <w:t>.</w:t>
      </w:r>
    </w:p>
  </w:footnote>
  <w:footnote w:id="12">
    <w:p w:rsidRPr="00BA40CF" w:rsidR="000E141A" w:rsidP="00576C7D" w:rsidRDefault="000E141A" w14:paraId="5EE7C9ED" w14:textId="77777777">
      <w:pPr>
        <w:spacing w:after="0" w:line="240" w:lineRule="auto"/>
        <w:ind w:left="100" w:right="244" w:firstLine="709"/>
        <w:contextualSpacing/>
        <w:jc w:val="both"/>
        <w:rPr>
          <w:rFonts w:ascii="Arial" w:hAnsi="Arial" w:cs="Arial"/>
          <w:sz w:val="14"/>
          <w:szCs w:val="14"/>
          <w:lang w:val="es-ES"/>
        </w:rPr>
      </w:pPr>
      <w:r w:rsidRPr="00BA40CF">
        <w:rPr>
          <w:rStyle w:val="Refdenotaalpie"/>
          <w:rFonts w:ascii="Arial" w:hAnsi="Arial" w:cs="Arial"/>
          <w:sz w:val="14"/>
          <w:szCs w:val="14"/>
        </w:rPr>
        <w:footnoteRef/>
      </w:r>
      <w:r w:rsidRPr="00BA40CF">
        <w:rPr>
          <w:rFonts w:ascii="Arial" w:hAnsi="Arial" w:cs="Arial"/>
          <w:sz w:val="14"/>
          <w:szCs w:val="14"/>
        </w:rPr>
        <w:t xml:space="preserve"> Consejo de Estado. Sala de Consulta y Servicio Civil. Concepto del 17 de febrero de 2015. C.P. William Zambrano Cetina. Radicación No. 11001-03-06-000-2015-00164-00(2269).</w:t>
      </w:r>
    </w:p>
  </w:footnote>
  <w:footnote w:id="13">
    <w:p w:rsidRPr="00BA40CF" w:rsidR="000E141A" w:rsidP="00576C7D" w:rsidRDefault="000E141A" w14:paraId="41E42DA5" w14:textId="77777777">
      <w:pPr>
        <w:pStyle w:val="Textonotapie"/>
        <w:ind w:firstLine="709"/>
        <w:contextualSpacing/>
        <w:jc w:val="both"/>
        <w:rPr>
          <w:rFonts w:ascii="Arial" w:hAnsi="Arial" w:cs="Arial"/>
          <w:sz w:val="14"/>
          <w:szCs w:val="14"/>
        </w:rPr>
      </w:pPr>
      <w:r w:rsidRPr="00BA40CF">
        <w:rPr>
          <w:rStyle w:val="Refdenotaalpie"/>
          <w:rFonts w:ascii="Arial" w:hAnsi="Arial" w:cs="Arial"/>
          <w:sz w:val="14"/>
          <w:szCs w:val="14"/>
        </w:rPr>
        <w:footnoteRef/>
      </w:r>
      <w:r w:rsidRPr="00BA40CF">
        <w:rPr>
          <w:rFonts w:ascii="Arial" w:hAnsi="Arial" w:cs="Arial"/>
          <w:sz w:val="14"/>
          <w:szCs w:val="14"/>
        </w:rPr>
        <w:t xml:space="preserve"> Consejo de Estado. Sala de Consulta y Servicio Civil. Concepto de 20 de febrero de2006. Radicación 11001-03-06-000-2006-00023-00(1724). Consejero Ponente: Flavio Augusto Rodríguez Arce.</w:t>
      </w:r>
    </w:p>
  </w:footnote>
  <w:footnote w:id="14">
    <w:p w:rsidRPr="00BA40CF" w:rsidR="000E141A" w:rsidP="00576C7D" w:rsidRDefault="000E141A" w14:paraId="69B7F94B" w14:textId="77777777">
      <w:pPr>
        <w:spacing w:after="0" w:line="240" w:lineRule="auto"/>
        <w:ind w:firstLine="709"/>
        <w:contextualSpacing/>
        <w:jc w:val="both"/>
        <w:rPr>
          <w:rFonts w:ascii="Arial" w:hAnsi="Arial" w:cs="Arial"/>
          <w:sz w:val="14"/>
          <w:szCs w:val="14"/>
        </w:rPr>
      </w:pPr>
      <w:r w:rsidRPr="00BA40CF">
        <w:rPr>
          <w:rStyle w:val="Refdenotaalpie"/>
          <w:rFonts w:ascii="Arial" w:hAnsi="Arial" w:cs="Arial"/>
          <w:sz w:val="14"/>
          <w:szCs w:val="14"/>
        </w:rPr>
        <w:footnoteRef/>
      </w:r>
      <w:r w:rsidRPr="00BA40CF">
        <w:rPr>
          <w:rFonts w:ascii="Arial" w:hAnsi="Arial" w:cs="Arial"/>
          <w:sz w:val="14"/>
          <w:szCs w:val="14"/>
        </w:rPr>
        <w:t xml:space="preserve"> Decreto 1082 de 2015: “Artículo 2.2.1.2.1.4.4. Convenios o contratos interadministrativos. La modalidad de selección para la contratación entre Entidades Estatales es la contratación directa; </w:t>
      </w:r>
      <w:proofErr w:type="gramStart"/>
      <w:r w:rsidRPr="00BA40CF">
        <w:rPr>
          <w:rFonts w:ascii="Arial" w:hAnsi="Arial" w:cs="Arial"/>
          <w:sz w:val="14"/>
          <w:szCs w:val="14"/>
        </w:rPr>
        <w:t>y</w:t>
      </w:r>
      <w:proofErr w:type="gramEnd"/>
      <w:r w:rsidRPr="00BA40CF">
        <w:rPr>
          <w:rFonts w:ascii="Arial" w:hAnsi="Arial" w:cs="Arial"/>
          <w:sz w:val="14"/>
          <w:szCs w:val="14"/>
        </w:rPr>
        <w:t xml:space="preserve"> en consecuencia, le es aplicable lo establecido en el artículo 2.2.1.2.1.4.1 del presente decreto.</w:t>
      </w:r>
    </w:p>
    <w:p w:rsidRPr="00BA40CF" w:rsidR="000E141A" w:rsidP="00576C7D" w:rsidRDefault="000E141A" w14:paraId="51E390BB" w14:textId="77777777">
      <w:pPr>
        <w:spacing w:after="0" w:line="240" w:lineRule="auto"/>
        <w:ind w:firstLine="709"/>
        <w:contextualSpacing/>
        <w:jc w:val="both"/>
        <w:rPr>
          <w:rFonts w:ascii="Arial" w:hAnsi="Arial" w:cs="Arial"/>
          <w:sz w:val="14"/>
          <w:szCs w:val="14"/>
        </w:rPr>
      </w:pPr>
      <w:r w:rsidRPr="00BA40CF">
        <w:rPr>
          <w:rFonts w:ascii="Arial" w:hAnsi="Arial" w:cs="Arial"/>
          <w:sz w:val="14"/>
          <w:szCs w:val="14"/>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w:t>
      </w:r>
      <w:r w:rsidRPr="00BA40CF">
        <w:rPr>
          <w:rFonts w:ascii="Arial" w:hAnsi="Arial" w:cs="Arial"/>
          <w:spacing w:val="-1"/>
          <w:sz w:val="14"/>
          <w:szCs w:val="14"/>
        </w:rPr>
        <w:t xml:space="preserve"> </w:t>
      </w:r>
      <w:r w:rsidRPr="00BA40CF">
        <w:rPr>
          <w:rFonts w:ascii="Arial" w:hAnsi="Arial" w:cs="Arial"/>
          <w:sz w:val="14"/>
          <w:szCs w:val="14"/>
        </w:rPr>
        <w:t>Estatales”.</w:t>
      </w:r>
    </w:p>
  </w:footnote>
  <w:footnote w:id="15">
    <w:p w:rsidRPr="00BA40CF" w:rsidR="000E141A" w:rsidP="00576C7D" w:rsidRDefault="000E141A" w14:paraId="223431A6" w14:textId="77777777">
      <w:pPr>
        <w:spacing w:after="0" w:line="240" w:lineRule="auto"/>
        <w:ind w:firstLine="709"/>
        <w:contextualSpacing/>
        <w:jc w:val="both"/>
        <w:rPr>
          <w:rFonts w:ascii="Arial" w:hAnsi="Arial" w:cs="Arial"/>
          <w:sz w:val="14"/>
          <w:szCs w:val="14"/>
        </w:rPr>
      </w:pPr>
      <w:r w:rsidRPr="00BA40CF">
        <w:rPr>
          <w:rStyle w:val="Refdenotaalpie"/>
          <w:rFonts w:ascii="Arial" w:hAnsi="Arial" w:cs="Arial"/>
          <w:sz w:val="14"/>
          <w:szCs w:val="14"/>
        </w:rPr>
        <w:footnoteRef/>
      </w:r>
      <w:r w:rsidRPr="00BA40CF">
        <w:rPr>
          <w:rFonts w:ascii="Arial" w:hAnsi="Arial" w:cs="Arial"/>
          <w:sz w:val="14"/>
          <w:szCs w:val="14"/>
        </w:rPr>
        <w:t xml:space="preserve"> 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w:t>
      </w:r>
      <w:r w:rsidRPr="00BA40CF">
        <w:rPr>
          <w:rFonts w:ascii="Arial" w:hAnsi="Arial" w:cs="Arial"/>
          <w:spacing w:val="-6"/>
          <w:sz w:val="14"/>
          <w:szCs w:val="14"/>
        </w:rPr>
        <w:t xml:space="preserve"> </w:t>
      </w:r>
      <w:r w:rsidRPr="00BA40CF">
        <w:rPr>
          <w:rFonts w:ascii="Arial" w:hAnsi="Arial" w:cs="Arial"/>
          <w:sz w:val="14"/>
          <w:szCs w:val="14"/>
        </w:rPr>
        <w:t>artículo”.</w:t>
      </w:r>
    </w:p>
  </w:footnote>
  <w:footnote w:id="16">
    <w:p w:rsidRPr="00BA40CF" w:rsidR="000E141A" w:rsidP="00576C7D" w:rsidRDefault="000E141A" w14:paraId="47616D5E" w14:textId="77777777">
      <w:pPr>
        <w:spacing w:after="0" w:line="240" w:lineRule="auto"/>
        <w:ind w:right="454" w:firstLine="709"/>
        <w:contextualSpacing/>
        <w:jc w:val="both"/>
        <w:rPr>
          <w:rFonts w:ascii="Arial" w:hAnsi="Arial" w:cs="Arial"/>
          <w:sz w:val="14"/>
          <w:szCs w:val="14"/>
        </w:rPr>
      </w:pPr>
      <w:r w:rsidRPr="00BA40CF">
        <w:rPr>
          <w:rStyle w:val="Refdenotaalpie"/>
          <w:rFonts w:ascii="Arial" w:hAnsi="Arial" w:cs="Arial"/>
          <w:sz w:val="14"/>
          <w:szCs w:val="14"/>
        </w:rPr>
        <w:footnoteRef/>
      </w:r>
      <w:r w:rsidRPr="00BA40CF">
        <w:rPr>
          <w:rFonts w:ascii="Arial" w:hAnsi="Arial" w:cs="Arial"/>
          <w:position w:val="7"/>
          <w:sz w:val="14"/>
          <w:szCs w:val="14"/>
        </w:rPr>
        <w:t xml:space="preserve"> </w:t>
      </w:r>
      <w:r w:rsidRPr="00BA40CF">
        <w:rPr>
          <w:rFonts w:ascii="Arial" w:hAnsi="Arial" w:cs="Arial"/>
          <w:sz w:val="14"/>
          <w:szCs w:val="14"/>
        </w:rPr>
        <w:t>Consejo de Estado. Sección Tercera. Sentencia del 23 de junio de 2010. Radicación No. 66001-23-31-000-1998-00261-01(17.860). Consejero Ponente: Mauricio Fajardo Gómez.</w:t>
      </w:r>
    </w:p>
  </w:footnote>
  <w:footnote w:id="17">
    <w:p w:rsidRPr="00BA40CF" w:rsidR="000E141A" w:rsidP="00576C7D" w:rsidRDefault="000E141A" w14:paraId="7FAD9499" w14:textId="77777777">
      <w:pPr>
        <w:spacing w:after="0" w:line="240" w:lineRule="auto"/>
        <w:ind w:firstLine="709"/>
        <w:contextualSpacing/>
        <w:jc w:val="both"/>
        <w:rPr>
          <w:rFonts w:ascii="Arial" w:hAnsi="Arial" w:cs="Arial"/>
          <w:sz w:val="14"/>
          <w:szCs w:val="14"/>
        </w:rPr>
      </w:pPr>
      <w:r w:rsidRPr="00BA40CF">
        <w:rPr>
          <w:rStyle w:val="Refdenotaalpie"/>
          <w:rFonts w:ascii="Arial" w:hAnsi="Arial" w:cs="Arial"/>
          <w:sz w:val="14"/>
          <w:szCs w:val="14"/>
        </w:rPr>
        <w:footnoteRef/>
      </w:r>
      <w:r w:rsidRPr="00BA40CF">
        <w:rPr>
          <w:rFonts w:ascii="Arial" w:hAnsi="Arial" w:cs="Arial"/>
          <w:sz w:val="14"/>
          <w:szCs w:val="14"/>
        </w:rPr>
        <w:t xml:space="preserve"> Consejo de Estado. Sección Tercera. Subsección C. Sentencia del 11 de diciembre de 2019. </w:t>
      </w:r>
      <w:proofErr w:type="spellStart"/>
      <w:r w:rsidRPr="00BA40CF">
        <w:rPr>
          <w:rFonts w:ascii="Arial" w:hAnsi="Arial" w:cs="Arial"/>
          <w:sz w:val="14"/>
          <w:szCs w:val="14"/>
        </w:rPr>
        <w:t>Exp</w:t>
      </w:r>
      <w:proofErr w:type="spellEnd"/>
      <w:r w:rsidRPr="00BA40CF">
        <w:rPr>
          <w:rFonts w:ascii="Arial" w:hAnsi="Arial" w:cs="Arial"/>
          <w:sz w:val="14"/>
          <w:szCs w:val="14"/>
        </w:rPr>
        <w:t>. 46.986. C.P. Jaime Enrique Rodríguez Navas.</w:t>
      </w:r>
    </w:p>
  </w:footnote>
  <w:footnote w:id="18">
    <w:p w:rsidRPr="00BA40CF" w:rsidR="000E141A" w:rsidP="00576C7D" w:rsidRDefault="000E141A" w14:paraId="412AAF89" w14:textId="77777777">
      <w:pPr>
        <w:pStyle w:val="Textonotapie"/>
        <w:ind w:firstLine="708"/>
        <w:contextualSpacing/>
        <w:jc w:val="both"/>
        <w:rPr>
          <w:rFonts w:ascii="Arial" w:hAnsi="Arial" w:cs="Arial"/>
          <w:sz w:val="14"/>
          <w:szCs w:val="14"/>
        </w:rPr>
      </w:pPr>
      <w:r w:rsidRPr="00BA40CF">
        <w:rPr>
          <w:rStyle w:val="Refdenotaalpie"/>
          <w:rFonts w:ascii="Arial" w:hAnsi="Arial" w:cs="Arial"/>
          <w:sz w:val="14"/>
          <w:szCs w:val="14"/>
        </w:rPr>
        <w:footnoteRef/>
      </w:r>
      <w:r w:rsidRPr="00BA40CF">
        <w:rPr>
          <w:rFonts w:ascii="Arial" w:hAnsi="Arial" w:cs="Arial"/>
          <w:sz w:val="14"/>
          <w:szCs w:val="14"/>
        </w:rPr>
        <w:t xml:space="preserve"> [Referencia propia de la cita] “CE. SCSC. Concepto de 1 de noviembre de 2016 [Rad. 11001-03-06-000-2016-00125-00(2305)]. MP. Germán Alberto Bula Escobar”.</w:t>
      </w:r>
    </w:p>
  </w:footnote>
  <w:footnote w:id="19">
    <w:p w:rsidRPr="00BA40CF" w:rsidR="000E141A" w:rsidP="00576C7D" w:rsidRDefault="000E141A" w14:paraId="1D9D01A6" w14:textId="77777777">
      <w:pPr>
        <w:pStyle w:val="Textonotapie"/>
        <w:ind w:firstLine="708"/>
        <w:contextualSpacing/>
        <w:jc w:val="both"/>
        <w:rPr>
          <w:rFonts w:ascii="Arial" w:hAnsi="Arial" w:cs="Arial"/>
          <w:sz w:val="14"/>
          <w:szCs w:val="14"/>
        </w:rPr>
      </w:pPr>
      <w:r w:rsidRPr="00BA40CF">
        <w:rPr>
          <w:rStyle w:val="Refdenotaalpie"/>
          <w:rFonts w:ascii="Arial" w:hAnsi="Arial" w:cs="Arial"/>
          <w:sz w:val="14"/>
          <w:szCs w:val="14"/>
        </w:rPr>
        <w:footnoteRef/>
      </w:r>
      <w:r w:rsidRPr="00BA40CF">
        <w:rPr>
          <w:rFonts w:ascii="Arial" w:hAnsi="Arial" w:cs="Arial"/>
          <w:sz w:val="14"/>
          <w:szCs w:val="14"/>
        </w:rPr>
        <w:t xml:space="preserve"> [Referencia propia de la cita] “CE. SCSC. Concepto de 30 de abril de 2008 [Rad. 11001-03-06-000-2008-00013-00(1881)]. MP. Enrique José Arboleda Perdomo. En esta oportunidad, la Sala indicó que el contenido </w:t>
      </w:r>
      <w:r w:rsidRPr="00BA40CF">
        <w:rPr>
          <w:rFonts w:ascii="Arial" w:hAnsi="Arial" w:cs="Arial"/>
          <w:i/>
          <w:sz w:val="14"/>
          <w:szCs w:val="14"/>
        </w:rPr>
        <w:t>“obligacional”</w:t>
      </w:r>
      <w:r w:rsidRPr="00BA40CF">
        <w:rPr>
          <w:rFonts w:ascii="Arial" w:hAnsi="Arial" w:cs="Arial"/>
          <w:sz w:val="14"/>
          <w:szCs w:val="14"/>
        </w:rPr>
        <w:t xml:space="preserve"> de los convenios se estructura definiendo el resultado querido por las partes y los medios que cada entidad despliega para la obtención del respectivo objeto”.</w:t>
      </w:r>
    </w:p>
  </w:footnote>
  <w:footnote w:id="20">
    <w:p w:rsidRPr="00BA40CF" w:rsidR="000E141A" w:rsidP="00576C7D" w:rsidRDefault="000E141A" w14:paraId="2B54FFD8" w14:textId="77777777">
      <w:pPr>
        <w:pStyle w:val="Textonotapie"/>
        <w:ind w:firstLine="708"/>
        <w:contextualSpacing/>
        <w:jc w:val="both"/>
        <w:rPr>
          <w:rFonts w:ascii="Arial" w:hAnsi="Arial" w:cs="Arial"/>
          <w:sz w:val="14"/>
          <w:szCs w:val="14"/>
        </w:rPr>
      </w:pPr>
      <w:r w:rsidRPr="00BA40CF">
        <w:rPr>
          <w:rStyle w:val="Refdenotaalpie"/>
          <w:rFonts w:ascii="Arial" w:hAnsi="Arial" w:cs="Arial"/>
          <w:sz w:val="14"/>
          <w:szCs w:val="14"/>
        </w:rPr>
        <w:footnoteRef/>
      </w:r>
      <w:r w:rsidRPr="00BA40CF">
        <w:rPr>
          <w:rFonts w:ascii="Arial" w:hAnsi="Arial" w:cs="Arial"/>
          <w:sz w:val="14"/>
          <w:szCs w:val="14"/>
        </w:rPr>
        <w:t xml:space="preserve"> [Referencia propia de la cita] “La normativa vigente del EGCAP </w:t>
      </w:r>
      <w:r w:rsidRPr="00BA40CF">
        <w:rPr>
          <w:rFonts w:ascii="Arial" w:hAnsi="Arial" w:cs="Arial"/>
          <w:i/>
          <w:sz w:val="14"/>
          <w:szCs w:val="14"/>
        </w:rPr>
        <w:t>[literal c) del numeral 4. del artículo 2 de la Ley 1150/07]</w:t>
      </w:r>
      <w:r w:rsidRPr="00BA40CF">
        <w:rPr>
          <w:rFonts w:ascii="Arial" w:hAnsi="Arial" w:cs="Arial"/>
          <w:sz w:val="14"/>
          <w:szCs w:val="14"/>
        </w:rPr>
        <w:t xml:space="preserve"> se refiere a </w:t>
      </w:r>
      <w:r w:rsidRPr="00BA40CF">
        <w:rPr>
          <w:rFonts w:ascii="Arial" w:hAnsi="Arial" w:cs="Arial"/>
          <w:i/>
          <w:sz w:val="14"/>
          <w:szCs w:val="14"/>
        </w:rPr>
        <w:t>“contratos interadministrativos”</w:t>
      </w:r>
      <w:r w:rsidRPr="00BA40CF">
        <w:rPr>
          <w:rFonts w:ascii="Arial" w:hAnsi="Arial" w:cs="Arial"/>
          <w:sz w:val="14"/>
          <w:szCs w:val="14"/>
        </w:rPr>
        <w:t xml:space="preserve"> en los que sí existe dicha contraposición de intereses, lo cual obedece a que las relaciones obligatorias que estos plantean, a diferencia de los regulados por el artículo 95 de la Ley 489/98, carecen de la finalidad asociativa, en la medida en que persiguen preponderantemente la satisfacción de necesidades contractuales de las entidades estatales, sin perjuicio de los fines que motivan la contratación en los términos del artículo 3 de la Ley 80/93”.</w:t>
      </w:r>
    </w:p>
  </w:footnote>
  <w:footnote w:id="21">
    <w:p w:rsidRPr="00BA40CF" w:rsidR="000E141A" w:rsidP="00576C7D" w:rsidRDefault="000E141A" w14:paraId="76E7C055" w14:textId="77777777">
      <w:pPr>
        <w:pStyle w:val="Textonotapie"/>
        <w:ind w:firstLine="708"/>
        <w:contextualSpacing/>
        <w:jc w:val="both"/>
        <w:rPr>
          <w:rFonts w:ascii="Arial" w:hAnsi="Arial" w:cs="Arial"/>
          <w:sz w:val="14"/>
          <w:szCs w:val="14"/>
        </w:rPr>
      </w:pPr>
      <w:r w:rsidRPr="00BA40CF">
        <w:rPr>
          <w:rStyle w:val="Refdenotaalpie"/>
          <w:rFonts w:ascii="Arial" w:hAnsi="Arial" w:cs="Arial"/>
          <w:sz w:val="14"/>
          <w:szCs w:val="14"/>
        </w:rPr>
        <w:footnoteRef/>
      </w:r>
      <w:r w:rsidRPr="00BA40CF">
        <w:rPr>
          <w:rFonts w:ascii="Arial" w:hAnsi="Arial" w:cs="Arial"/>
          <w:sz w:val="14"/>
          <w:szCs w:val="14"/>
        </w:rPr>
        <w:t xml:space="preserve"> En línea con lo anterior, la Sala de Consulta y Servicio Civil del Consejo de Estado expresó lo siguiente: “La noción convenio interadministrativo es diferente a la de contrato interadministrativo. Los contratos interadministrativos se distinguen de los convenios interadministrativos en que en los primeros existe entre las entidades estatales partes intereses opuestos y se persigue una contraprestación o precio por la adquisición de bienes o la prestación de servicios o la realización de una obra, mientras que en los segundos las entidades partes se encuentran en pie de igualdad, tienen intereses comunes para lograr una finalidad estatal impuesta por la Constitución o la ley a las mismas, sin que tengan un interés puramente económico (es decir, destinados a obtener una ganancia)”. (Consejo de Estado. Sala de Consulta y Servicio Civil. Concepto 26 de julio de 2016. </w:t>
      </w:r>
      <w:proofErr w:type="spellStart"/>
      <w:r w:rsidRPr="00BA40CF">
        <w:rPr>
          <w:rFonts w:ascii="Arial" w:hAnsi="Arial" w:cs="Arial"/>
          <w:sz w:val="14"/>
          <w:szCs w:val="14"/>
        </w:rPr>
        <w:t>Exp</w:t>
      </w:r>
      <w:proofErr w:type="spellEnd"/>
      <w:r w:rsidRPr="00BA40CF">
        <w:rPr>
          <w:rFonts w:ascii="Arial" w:hAnsi="Arial" w:cs="Arial"/>
          <w:sz w:val="14"/>
          <w:szCs w:val="14"/>
        </w:rPr>
        <w:t xml:space="preserve">. 2.257. M.P. Álvaro </w:t>
      </w:r>
      <w:proofErr w:type="spellStart"/>
      <w:r w:rsidRPr="00BA40CF">
        <w:rPr>
          <w:rFonts w:ascii="Arial" w:hAnsi="Arial" w:cs="Arial"/>
          <w:sz w:val="14"/>
          <w:szCs w:val="14"/>
        </w:rPr>
        <w:t>Namén</w:t>
      </w:r>
      <w:proofErr w:type="spellEnd"/>
      <w:r w:rsidRPr="00BA40CF">
        <w:rPr>
          <w:rFonts w:ascii="Arial" w:hAnsi="Arial" w:cs="Arial"/>
          <w:sz w:val="14"/>
          <w:szCs w:val="14"/>
        </w:rPr>
        <w:t xml:space="preserve"> Vargas).</w:t>
      </w:r>
    </w:p>
  </w:footnote>
  <w:footnote w:id="22">
    <w:p w:rsidRPr="00BA40CF" w:rsidR="000E141A" w:rsidP="00576C7D" w:rsidRDefault="000E141A" w14:paraId="33CA65EE" w14:textId="77777777">
      <w:pPr>
        <w:pStyle w:val="Textonotapie"/>
        <w:ind w:firstLine="708"/>
        <w:contextualSpacing/>
        <w:jc w:val="both"/>
        <w:rPr>
          <w:rFonts w:ascii="Arial" w:hAnsi="Arial" w:cs="Arial"/>
          <w:sz w:val="14"/>
          <w:szCs w:val="14"/>
        </w:rPr>
      </w:pPr>
      <w:r w:rsidRPr="00BA40CF">
        <w:rPr>
          <w:rStyle w:val="Refdenotaalpie"/>
          <w:rFonts w:ascii="Arial" w:hAnsi="Arial" w:cs="Arial"/>
          <w:sz w:val="14"/>
          <w:szCs w:val="14"/>
        </w:rPr>
        <w:footnoteRef/>
      </w:r>
      <w:r w:rsidRPr="00BA40CF">
        <w:rPr>
          <w:rFonts w:ascii="Arial" w:hAnsi="Arial" w:cs="Arial"/>
          <w:sz w:val="14"/>
          <w:szCs w:val="14"/>
        </w:rPr>
        <w:t xml:space="preserve"> Es lo que sucede, por ejemplo, con el Decreto 092 de 2017, que en su desarrollo hace referencia tanto a los “contratos” como a los “convenios”. </w:t>
      </w:r>
    </w:p>
  </w:footnote>
  <w:footnote w:id="23">
    <w:p w:rsidRPr="00BA40CF" w:rsidR="000E141A" w:rsidP="00576C7D" w:rsidRDefault="000E141A" w14:paraId="76B52869" w14:textId="77777777">
      <w:pPr>
        <w:pStyle w:val="Textonotapie"/>
        <w:ind w:firstLine="708"/>
        <w:contextualSpacing/>
        <w:jc w:val="both"/>
        <w:rPr>
          <w:rFonts w:ascii="Arial" w:hAnsi="Arial" w:cs="Arial"/>
          <w:sz w:val="14"/>
          <w:szCs w:val="14"/>
          <w:lang w:val="es-CO"/>
        </w:rPr>
      </w:pPr>
      <w:r w:rsidRPr="00BA40CF">
        <w:rPr>
          <w:rStyle w:val="Refdenotaalpie"/>
          <w:rFonts w:ascii="Arial" w:hAnsi="Arial" w:cs="Arial"/>
          <w:sz w:val="14"/>
          <w:szCs w:val="14"/>
        </w:rPr>
        <w:footnoteRef/>
      </w:r>
      <w:r w:rsidRPr="00BA40CF">
        <w:rPr>
          <w:rFonts w:ascii="Arial" w:hAnsi="Arial" w:cs="Arial"/>
          <w:sz w:val="14"/>
          <w:szCs w:val="14"/>
        </w:rPr>
        <w:t xml:space="preserve"> A pesar de que la norma se refiere únicamente a los contratos interadministrativos, esto no implica que la excepción a la licitación pública sólo se aplique a éstos y no a los convenios interadministrativos, puesto que ello conduciría a una interpretación irrazonable según la cual esta modalidad contractual, cuyo objeto y finalidad sólo interesa a la administración, deba ser celebrado siguiendo el procedimiento de selección objetiva y en la cual únicamente será proponente aquélla. En tal sentido, la causal de contratación directa es aplicable a los convenios y a los contratos interadministrativos”. (Corte Constitucional. Sentencia C-671 de 2015. M.P. Alberto Rojas Ríos).</w:t>
      </w:r>
    </w:p>
  </w:footnote>
  <w:footnote w:id="24">
    <w:p w:rsidRPr="00BA40CF" w:rsidR="000E141A" w:rsidP="00576C7D" w:rsidRDefault="000E141A" w14:paraId="1EDC32E4" w14:textId="77777777">
      <w:pPr>
        <w:pStyle w:val="Textonotapie"/>
        <w:ind w:firstLine="708"/>
        <w:contextualSpacing/>
        <w:jc w:val="both"/>
        <w:rPr>
          <w:rFonts w:ascii="Arial" w:hAnsi="Arial" w:cs="Arial"/>
          <w:sz w:val="14"/>
          <w:szCs w:val="14"/>
        </w:rPr>
      </w:pPr>
      <w:r w:rsidRPr="00BA40CF">
        <w:rPr>
          <w:rStyle w:val="Refdenotaalpie"/>
          <w:rFonts w:ascii="Arial" w:hAnsi="Arial" w:cs="Arial"/>
          <w:sz w:val="14"/>
          <w:szCs w:val="14"/>
        </w:rPr>
        <w:footnoteRef/>
      </w:r>
      <w:r w:rsidRPr="00BA40CF">
        <w:rPr>
          <w:rFonts w:ascii="Arial" w:hAnsi="Arial" w:cs="Arial"/>
          <w:sz w:val="14"/>
          <w:szCs w:val="14"/>
        </w:rPr>
        <w:t xml:space="preserve"> Lo anterior, salvo que se traten de organismos internacionales que se rijan por normas internacionales y se financien con cargo a recursos de esos organismos (Cfr. Colombia Compra Eficiente. Concepto C-559 del 31 de agosto de 2021). </w:t>
      </w:r>
    </w:p>
  </w:footnote>
  <w:footnote w:id="25">
    <w:p w:rsidRPr="00F73851" w:rsidR="000E141A" w:rsidP="00576C7D" w:rsidRDefault="000E141A" w14:paraId="00991A4A" w14:textId="77777777">
      <w:pPr>
        <w:pStyle w:val="Textonotapie"/>
        <w:ind w:firstLine="709"/>
        <w:contextualSpacing/>
        <w:jc w:val="both"/>
        <w:rPr>
          <w:rFonts w:ascii="Arial" w:hAnsi="Arial" w:cs="Arial"/>
          <w:sz w:val="18"/>
          <w:szCs w:val="18"/>
        </w:rPr>
      </w:pPr>
      <w:r w:rsidRPr="00BA40CF">
        <w:rPr>
          <w:rStyle w:val="Refdenotaalpie"/>
          <w:rFonts w:ascii="Arial" w:hAnsi="Arial" w:cs="Arial"/>
          <w:sz w:val="14"/>
          <w:szCs w:val="14"/>
        </w:rPr>
        <w:footnoteRef/>
      </w:r>
      <w:r w:rsidRPr="00BA40CF">
        <w:rPr>
          <w:rFonts w:ascii="Arial" w:hAnsi="Arial" w:cs="Arial"/>
          <w:sz w:val="14"/>
          <w:szCs w:val="14"/>
        </w:rPr>
        <w:t xml:space="preserve"> Consejo de Estado. Sala de Consulta y Servicio Civil. Concepto del 15 de noviembre de 2007. Expediente número 1863. Consejero Ponente: Luis Fernando Álvarez Jaramillo.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56841" w:rsidRDefault="00961B09" w14:paraId="6ED12154" w14:textId="43B6B0B6">
    <w:pPr>
      <w:pStyle w:val="Encabezado"/>
    </w:pPr>
    <w:r>
      <w:rPr>
        <w:noProof/>
      </w:rPr>
      <w:drawing>
        <wp:anchor distT="0" distB="0" distL="114300" distR="114300" simplePos="0" relativeHeight="251658240" behindDoc="1" locked="0" layoutInCell="1" allowOverlap="1" wp14:anchorId="748FC4A6" wp14:editId="75ADBD22">
          <wp:simplePos x="0" y="0"/>
          <wp:positionH relativeFrom="margin">
            <wp:align>right</wp:align>
          </wp:positionH>
          <wp:positionV relativeFrom="margin">
            <wp:posOffset>-1135380</wp:posOffset>
          </wp:positionV>
          <wp:extent cx="1757045" cy="628650"/>
          <wp:effectExtent l="0" t="0" r="0" b="0"/>
          <wp:wrapNone/>
          <wp:docPr id="864305913" name="Picture 86430591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Pr="00852E0B" w:rsidR="002962BC">
      <w:rPr>
        <w:rFonts w:ascii="Geomanist Bold" w:hAnsi="Geomanist Bold"/>
        <w:b/>
        <w:bCs/>
        <w:noProof/>
        <w:color w:val="46589C"/>
        <w:sz w:val="24"/>
        <w:szCs w:val="24"/>
      </w:rPr>
      <w:drawing>
        <wp:anchor distT="0" distB="0" distL="114300" distR="114300" simplePos="0" relativeHeight="251658244" behindDoc="0" locked="0" layoutInCell="1" allowOverlap="1" wp14:anchorId="7E9042C1" wp14:editId="4CC480E9">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Picture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2"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Picture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rPr>
      <w:drawing>
        <wp:anchor distT="0" distB="0" distL="114300" distR="114300" simplePos="0" relativeHeight="251658241"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Picture 910553655"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rsidR="00756841" w:rsidRDefault="00756841" w14:paraId="435F4D03" w14:textId="67DABC48">
    <w:pPr>
      <w:pStyle w:val="Encabezado"/>
    </w:pPr>
  </w:p>
  <w:p w:rsidR="00756841" w:rsidRDefault="00756841" w14:paraId="1BE2B9AE" w14:textId="4B94DB3B">
    <w:pPr>
      <w:pStyle w:val="Encabezado"/>
    </w:pPr>
  </w:p>
  <w:p w:rsidRPr="004A305D" w:rsidR="004A305D" w:rsidP="004A305D" w:rsidRDefault="004A305D" w14:paraId="7FE1230C" w14:textId="77777777">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rsidRPr="004A305D" w:rsidR="004A305D" w:rsidP="004A305D" w:rsidRDefault="004A305D" w14:paraId="7B0A8834" w14:textId="37E5E717">
    <w:pPr>
      <w:pBdr>
        <w:top w:val="nil"/>
        <w:left w:val="nil"/>
        <w:bottom w:val="nil"/>
        <w:right w:val="nil"/>
        <w:between w:val="nil"/>
      </w:pBdr>
      <w:tabs>
        <w:tab w:val="center" w:pos="4419"/>
        <w:tab w:val="right" w:pos="8838"/>
        <w:tab w:val="center" w:pos="5400"/>
      </w:tabs>
      <w:spacing w:after="0"/>
      <w:rPr>
        <w:rFonts w:ascii="Century Gothic" w:hAnsi="Century Gothic" w:eastAsia="Geo" w:cs="Geo"/>
        <w:b/>
        <w:color w:val="002060"/>
        <w:sz w:val="16"/>
        <w:szCs w:val="16"/>
        <w:lang w:eastAsia="es-CO"/>
      </w:rPr>
    </w:pPr>
    <w:r w:rsidRPr="004A305D">
      <w:rPr>
        <w:rFonts w:ascii="Century Gothic" w:hAnsi="Century Gothic" w:eastAsia="Geo" w:cs="Geo"/>
        <w:b/>
        <w:color w:val="000000"/>
        <w:sz w:val="16"/>
        <w:szCs w:val="16"/>
        <w:lang w:eastAsia="es-CO"/>
      </w:rPr>
      <w:t xml:space="preserve">Código: </w:t>
    </w:r>
    <w:r w:rsidRPr="004A305D">
      <w:rPr>
        <w:rFonts w:ascii="Century Gothic" w:hAnsi="Century Gothic" w:eastAsia="Geo" w:cs="Geo"/>
        <w:bCs/>
        <w:color w:val="000000"/>
        <w:sz w:val="16"/>
        <w:szCs w:val="16"/>
        <w:lang w:eastAsia="es-CO"/>
      </w:rPr>
      <w:t>CCE-</w:t>
    </w:r>
    <w:r w:rsidR="00CB6357">
      <w:rPr>
        <w:rFonts w:ascii="Century Gothic" w:hAnsi="Century Gothic" w:eastAsia="Geo" w:cs="Geo"/>
        <w:bCs/>
        <w:color w:val="000000"/>
        <w:sz w:val="16"/>
        <w:szCs w:val="16"/>
        <w:lang w:eastAsia="es-CO"/>
      </w:rPr>
      <w:t>REC</w:t>
    </w:r>
    <w:r w:rsidRPr="004A305D">
      <w:rPr>
        <w:rFonts w:ascii="Century Gothic" w:hAnsi="Century Gothic" w:eastAsia="Geo" w:cs="Geo"/>
        <w:bCs/>
        <w:color w:val="000000"/>
        <w:sz w:val="16"/>
        <w:szCs w:val="16"/>
        <w:lang w:eastAsia="es-CO"/>
      </w:rPr>
      <w:t>-FM-</w:t>
    </w:r>
    <w:r w:rsidR="00CB6357">
      <w:rPr>
        <w:rFonts w:ascii="Century Gothic" w:hAnsi="Century Gothic" w:eastAsia="Geo" w:cs="Geo"/>
        <w:bCs/>
        <w:color w:val="000000"/>
        <w:sz w:val="16"/>
        <w:szCs w:val="16"/>
        <w:lang w:eastAsia="es-CO"/>
      </w:rPr>
      <w:t>13</w:t>
    </w:r>
  </w:p>
  <w:p w:rsidRPr="004A305D" w:rsidR="004A305D" w:rsidP="004A305D" w:rsidRDefault="004A305D" w14:paraId="5E18350A" w14:textId="3833E343">
    <w:pPr>
      <w:spacing w:after="0"/>
      <w:rPr>
        <w:rFonts w:ascii="Century Gothic" w:hAnsi="Century Gothic" w:eastAsia="Geo" w:cs="Geo"/>
        <w:sz w:val="16"/>
        <w:szCs w:val="16"/>
        <w:lang w:eastAsia="es-CO"/>
      </w:rPr>
    </w:pPr>
    <w:r w:rsidRPr="004A305D">
      <w:rPr>
        <w:rFonts w:ascii="Century Gothic" w:hAnsi="Century Gothic" w:eastAsia="Geo" w:cs="Geo"/>
        <w:b/>
        <w:color w:val="000000"/>
        <w:sz w:val="16"/>
        <w:szCs w:val="16"/>
        <w:lang w:eastAsia="es-CO"/>
      </w:rPr>
      <w:t>Versión</w:t>
    </w:r>
    <w:r w:rsidRPr="004A305D">
      <w:rPr>
        <w:rFonts w:ascii="Century Gothic" w:hAnsi="Century Gothic" w:eastAsia="Arial Nova" w:cs="Arial Nova"/>
        <w:b/>
        <w:color w:val="000000"/>
        <w:sz w:val="16"/>
        <w:szCs w:val="16"/>
        <w:lang w:eastAsia="es-CO"/>
      </w:rPr>
      <w:t xml:space="preserve">: </w:t>
    </w:r>
    <w:r w:rsidRPr="004A305D">
      <w:rPr>
        <w:rFonts w:ascii="Century Gothic" w:hAnsi="Century Gothic" w:eastAsia="Geo" w:cs="Geo"/>
        <w:sz w:val="16"/>
        <w:szCs w:val="16"/>
        <w:lang w:eastAsia="es-CO"/>
      </w:rPr>
      <w:t>0</w:t>
    </w:r>
    <w:r w:rsidR="00CB6357">
      <w:rPr>
        <w:rFonts w:ascii="Century Gothic" w:hAnsi="Century Gothic" w:eastAsia="Geo" w:cs="Geo"/>
        <w:sz w:val="16"/>
        <w:szCs w:val="16"/>
        <w:lang w:eastAsia="es-CO"/>
      </w:rPr>
      <w:t>1</w:t>
    </w:r>
    <w:r w:rsidRPr="004A305D">
      <w:rPr>
        <w:rFonts w:ascii="Century Gothic" w:hAnsi="Century Gothic" w:eastAsia="Geo" w:cs="Geo"/>
        <w:sz w:val="16"/>
        <w:szCs w:val="16"/>
        <w:lang w:eastAsia="es-CO"/>
      </w:rPr>
      <w:t xml:space="preserve"> DEL </w:t>
    </w:r>
    <w:r w:rsidR="00CB6357">
      <w:rPr>
        <w:rFonts w:ascii="Century Gothic" w:hAnsi="Century Gothic" w:eastAsia="Geo" w:cs="Geo"/>
        <w:sz w:val="16"/>
        <w:szCs w:val="16"/>
        <w:lang w:eastAsia="es-CO"/>
      </w:rPr>
      <w:t xml:space="preserve">15 </w:t>
    </w:r>
    <w:r w:rsidRPr="004A305D">
      <w:rPr>
        <w:rFonts w:ascii="Century Gothic" w:hAnsi="Century Gothic" w:eastAsia="Geo" w:cs="Geo"/>
        <w:sz w:val="16"/>
        <w:szCs w:val="16"/>
        <w:lang w:eastAsia="es-CO"/>
      </w:rPr>
      <w:t xml:space="preserve">DE </w:t>
    </w:r>
    <w:r w:rsidR="00961B09">
      <w:rPr>
        <w:rFonts w:ascii="Century Gothic" w:hAnsi="Century Gothic" w:eastAsia="Geo" w:cs="Geo"/>
        <w:sz w:val="16"/>
        <w:szCs w:val="16"/>
        <w:lang w:eastAsia="es-CO"/>
      </w:rPr>
      <w:t>JUNIO</w:t>
    </w:r>
    <w:r w:rsidRPr="004A305D">
      <w:rPr>
        <w:rFonts w:ascii="Century Gothic" w:hAnsi="Century Gothic" w:eastAsia="Geo" w:cs="Geo"/>
        <w:sz w:val="16"/>
        <w:szCs w:val="16"/>
        <w:lang w:eastAsia="es-CO"/>
      </w:rPr>
      <w:t xml:space="preserve"> DE 202</w:t>
    </w:r>
    <w:r w:rsidR="00961B09">
      <w:rPr>
        <w:rFonts w:ascii="Century Gothic" w:hAnsi="Century Gothic" w:eastAsia="Geo" w:cs="Geo"/>
        <w:sz w:val="16"/>
        <w:szCs w:val="16"/>
        <w:lang w:eastAsia="es-CO"/>
      </w:rPr>
      <w:t>3</w:t>
    </w:r>
  </w:p>
  <w:p w:rsidR="008A446D" w:rsidRDefault="008A446D" w14:paraId="1FD1C243" w14:textId="6D74A3C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hint="default" w:ascii="Arial" w:hAnsi="Arial" w:eastAsia="Times New Roman" w:cs="Arial"/>
        <w:b/>
      </w:rPr>
    </w:lvl>
    <w:lvl w:ilvl="1" w:tplc="0C0A0003" w:tentative="1">
      <w:start w:val="1"/>
      <w:numFmt w:val="bullet"/>
      <w:lvlText w:val="o"/>
      <w:lvlJc w:val="left"/>
      <w:pPr>
        <w:ind w:left="1800" w:hanging="360"/>
      </w:pPr>
      <w:rPr>
        <w:rFonts w:hint="default" w:ascii="Courier New" w:hAnsi="Courier New" w:cs="Courier New"/>
      </w:rPr>
    </w:lvl>
    <w:lvl w:ilvl="2" w:tplc="0C0A0005" w:tentative="1">
      <w:start w:val="1"/>
      <w:numFmt w:val="bullet"/>
      <w:lvlText w:val=""/>
      <w:lvlJc w:val="left"/>
      <w:pPr>
        <w:ind w:left="2520" w:hanging="360"/>
      </w:pPr>
      <w:rPr>
        <w:rFonts w:hint="default" w:ascii="Wingdings" w:hAnsi="Wingdings"/>
      </w:rPr>
    </w:lvl>
    <w:lvl w:ilvl="3" w:tplc="0C0A0001" w:tentative="1">
      <w:start w:val="1"/>
      <w:numFmt w:val="bullet"/>
      <w:lvlText w:val=""/>
      <w:lvlJc w:val="left"/>
      <w:pPr>
        <w:ind w:left="3240" w:hanging="360"/>
      </w:pPr>
      <w:rPr>
        <w:rFonts w:hint="default" w:ascii="Symbol" w:hAnsi="Symbol"/>
      </w:rPr>
    </w:lvl>
    <w:lvl w:ilvl="4" w:tplc="0C0A0003" w:tentative="1">
      <w:start w:val="1"/>
      <w:numFmt w:val="bullet"/>
      <w:lvlText w:val="o"/>
      <w:lvlJc w:val="left"/>
      <w:pPr>
        <w:ind w:left="3960" w:hanging="360"/>
      </w:pPr>
      <w:rPr>
        <w:rFonts w:hint="default" w:ascii="Courier New" w:hAnsi="Courier New" w:cs="Courier New"/>
      </w:rPr>
    </w:lvl>
    <w:lvl w:ilvl="5" w:tplc="0C0A0005" w:tentative="1">
      <w:start w:val="1"/>
      <w:numFmt w:val="bullet"/>
      <w:lvlText w:val=""/>
      <w:lvlJc w:val="left"/>
      <w:pPr>
        <w:ind w:left="4680" w:hanging="360"/>
      </w:pPr>
      <w:rPr>
        <w:rFonts w:hint="default" w:ascii="Wingdings" w:hAnsi="Wingdings"/>
      </w:rPr>
    </w:lvl>
    <w:lvl w:ilvl="6" w:tplc="0C0A0001" w:tentative="1">
      <w:start w:val="1"/>
      <w:numFmt w:val="bullet"/>
      <w:lvlText w:val=""/>
      <w:lvlJc w:val="left"/>
      <w:pPr>
        <w:ind w:left="5400" w:hanging="360"/>
      </w:pPr>
      <w:rPr>
        <w:rFonts w:hint="default" w:ascii="Symbol" w:hAnsi="Symbol"/>
      </w:rPr>
    </w:lvl>
    <w:lvl w:ilvl="7" w:tplc="0C0A0003" w:tentative="1">
      <w:start w:val="1"/>
      <w:numFmt w:val="bullet"/>
      <w:lvlText w:val="o"/>
      <w:lvlJc w:val="left"/>
      <w:pPr>
        <w:ind w:left="6120" w:hanging="360"/>
      </w:pPr>
      <w:rPr>
        <w:rFonts w:hint="default" w:ascii="Courier New" w:hAnsi="Courier New" w:cs="Courier New"/>
      </w:rPr>
    </w:lvl>
    <w:lvl w:ilvl="8" w:tplc="0C0A0005" w:tentative="1">
      <w:start w:val="1"/>
      <w:numFmt w:val="bullet"/>
      <w:lvlText w:val=""/>
      <w:lvlJc w:val="left"/>
      <w:pPr>
        <w:ind w:left="6840" w:hanging="360"/>
      </w:pPr>
      <w:rPr>
        <w:rFonts w:hint="default" w:ascii="Wingdings" w:hAnsi="Wingdings"/>
      </w:rPr>
    </w:lvl>
  </w:abstractNum>
  <w:abstractNum w:abstractNumId="2" w15:restartNumberingAfterBreak="0">
    <w:nsid w:val="06F92D89"/>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3" w15:restartNumberingAfterBreak="0">
    <w:nsid w:val="0E4529C9"/>
    <w:multiLevelType w:val="hybridMultilevel"/>
    <w:tmpl w:val="E140D9F6"/>
    <w:lvl w:ilvl="0" w:tplc="A7642CE6">
      <w:start w:val="2"/>
      <w:numFmt w:val="decimal"/>
      <w:lvlText w:val="%1-"/>
      <w:lvlJc w:val="left"/>
      <w:pPr>
        <w:ind w:left="6601" w:hanging="360"/>
      </w:pPr>
      <w:rPr>
        <w:rFonts w:hint="default"/>
      </w:rPr>
    </w:lvl>
    <w:lvl w:ilvl="1" w:tplc="240A0019" w:tentative="1">
      <w:start w:val="1"/>
      <w:numFmt w:val="lowerLetter"/>
      <w:lvlText w:val="%2."/>
      <w:lvlJc w:val="left"/>
      <w:pPr>
        <w:ind w:left="7321" w:hanging="360"/>
      </w:pPr>
    </w:lvl>
    <w:lvl w:ilvl="2" w:tplc="240A001B" w:tentative="1">
      <w:start w:val="1"/>
      <w:numFmt w:val="lowerRoman"/>
      <w:lvlText w:val="%3."/>
      <w:lvlJc w:val="right"/>
      <w:pPr>
        <w:ind w:left="8041" w:hanging="180"/>
      </w:pPr>
    </w:lvl>
    <w:lvl w:ilvl="3" w:tplc="240A000F" w:tentative="1">
      <w:start w:val="1"/>
      <w:numFmt w:val="decimal"/>
      <w:lvlText w:val="%4."/>
      <w:lvlJc w:val="left"/>
      <w:pPr>
        <w:ind w:left="8761" w:hanging="360"/>
      </w:pPr>
    </w:lvl>
    <w:lvl w:ilvl="4" w:tplc="240A0019" w:tentative="1">
      <w:start w:val="1"/>
      <w:numFmt w:val="lowerLetter"/>
      <w:lvlText w:val="%5."/>
      <w:lvlJc w:val="left"/>
      <w:pPr>
        <w:ind w:left="9481" w:hanging="360"/>
      </w:pPr>
    </w:lvl>
    <w:lvl w:ilvl="5" w:tplc="240A001B" w:tentative="1">
      <w:start w:val="1"/>
      <w:numFmt w:val="lowerRoman"/>
      <w:lvlText w:val="%6."/>
      <w:lvlJc w:val="right"/>
      <w:pPr>
        <w:ind w:left="10201" w:hanging="180"/>
      </w:pPr>
    </w:lvl>
    <w:lvl w:ilvl="6" w:tplc="240A000F" w:tentative="1">
      <w:start w:val="1"/>
      <w:numFmt w:val="decimal"/>
      <w:lvlText w:val="%7."/>
      <w:lvlJc w:val="left"/>
      <w:pPr>
        <w:ind w:left="10921" w:hanging="360"/>
      </w:pPr>
    </w:lvl>
    <w:lvl w:ilvl="7" w:tplc="240A0019" w:tentative="1">
      <w:start w:val="1"/>
      <w:numFmt w:val="lowerLetter"/>
      <w:lvlText w:val="%8."/>
      <w:lvlJc w:val="left"/>
      <w:pPr>
        <w:ind w:left="11641" w:hanging="360"/>
      </w:pPr>
    </w:lvl>
    <w:lvl w:ilvl="8" w:tplc="240A001B" w:tentative="1">
      <w:start w:val="1"/>
      <w:numFmt w:val="lowerRoman"/>
      <w:lvlText w:val="%9."/>
      <w:lvlJc w:val="right"/>
      <w:pPr>
        <w:ind w:left="12361" w:hanging="18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7FA0BB9"/>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16cid:durableId="948779781">
    <w:abstractNumId w:val="5"/>
  </w:num>
  <w:num w:numId="2" w16cid:durableId="19822139">
    <w:abstractNumId w:val="1"/>
  </w:num>
  <w:num w:numId="3" w16cid:durableId="876742304">
    <w:abstractNumId w:val="4"/>
  </w:num>
  <w:num w:numId="4" w16cid:durableId="2451864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1"/>
  </w:num>
  <w:num w:numId="6" w16cid:durableId="1200699721">
    <w:abstractNumId w:val="0"/>
  </w:num>
  <w:num w:numId="7" w16cid:durableId="1538657713">
    <w:abstractNumId w:val="6"/>
  </w:num>
  <w:num w:numId="8" w16cid:durableId="1307933449">
    <w:abstractNumId w:val="3"/>
  </w:num>
  <w:num w:numId="9" w16cid:durableId="652955701">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90"/>
  <w:proofState w:spelling="clean" w:grammar="dirty"/>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549A"/>
    <w:rsid w:val="000529B3"/>
    <w:rsid w:val="00073939"/>
    <w:rsid w:val="00094FB1"/>
    <w:rsid w:val="000A683E"/>
    <w:rsid w:val="000B19B9"/>
    <w:rsid w:val="000D0334"/>
    <w:rsid w:val="000E141A"/>
    <w:rsid w:val="000E4A6E"/>
    <w:rsid w:val="000F0A8C"/>
    <w:rsid w:val="000F6486"/>
    <w:rsid w:val="00106588"/>
    <w:rsid w:val="0011151C"/>
    <w:rsid w:val="00125E5E"/>
    <w:rsid w:val="00127233"/>
    <w:rsid w:val="00135DF6"/>
    <w:rsid w:val="0013651D"/>
    <w:rsid w:val="00152682"/>
    <w:rsid w:val="0015442C"/>
    <w:rsid w:val="001622A3"/>
    <w:rsid w:val="001654F1"/>
    <w:rsid w:val="001673D8"/>
    <w:rsid w:val="001710B6"/>
    <w:rsid w:val="0017255C"/>
    <w:rsid w:val="00172AB5"/>
    <w:rsid w:val="00172CAB"/>
    <w:rsid w:val="001776FB"/>
    <w:rsid w:val="0018379D"/>
    <w:rsid w:val="001864B5"/>
    <w:rsid w:val="001A152C"/>
    <w:rsid w:val="001A6353"/>
    <w:rsid w:val="001B0280"/>
    <w:rsid w:val="001D2BBE"/>
    <w:rsid w:val="001D52BA"/>
    <w:rsid w:val="001E0661"/>
    <w:rsid w:val="001E4177"/>
    <w:rsid w:val="002209EF"/>
    <w:rsid w:val="002411F2"/>
    <w:rsid w:val="00241E49"/>
    <w:rsid w:val="00251F26"/>
    <w:rsid w:val="002771BD"/>
    <w:rsid w:val="002951A0"/>
    <w:rsid w:val="002962BC"/>
    <w:rsid w:val="002A1542"/>
    <w:rsid w:val="002A49AC"/>
    <w:rsid w:val="002A64FD"/>
    <w:rsid w:val="002A7405"/>
    <w:rsid w:val="002C0FEA"/>
    <w:rsid w:val="002C3137"/>
    <w:rsid w:val="002C7A84"/>
    <w:rsid w:val="002D21F3"/>
    <w:rsid w:val="002E1DCB"/>
    <w:rsid w:val="002E6297"/>
    <w:rsid w:val="0031689B"/>
    <w:rsid w:val="00323A16"/>
    <w:rsid w:val="003400F9"/>
    <w:rsid w:val="003568FD"/>
    <w:rsid w:val="00362870"/>
    <w:rsid w:val="00392165"/>
    <w:rsid w:val="003941B5"/>
    <w:rsid w:val="003A1A76"/>
    <w:rsid w:val="003A4043"/>
    <w:rsid w:val="003A779E"/>
    <w:rsid w:val="003A7802"/>
    <w:rsid w:val="003C2907"/>
    <w:rsid w:val="003C499D"/>
    <w:rsid w:val="003D0F4D"/>
    <w:rsid w:val="003D1E94"/>
    <w:rsid w:val="003E0499"/>
    <w:rsid w:val="003E6FCE"/>
    <w:rsid w:val="003F3941"/>
    <w:rsid w:val="00414355"/>
    <w:rsid w:val="0043296C"/>
    <w:rsid w:val="00446D7B"/>
    <w:rsid w:val="0048033F"/>
    <w:rsid w:val="004A1847"/>
    <w:rsid w:val="004A305D"/>
    <w:rsid w:val="004A6058"/>
    <w:rsid w:val="004A6FD8"/>
    <w:rsid w:val="004B55BD"/>
    <w:rsid w:val="004D6CC0"/>
    <w:rsid w:val="004F21C4"/>
    <w:rsid w:val="004F685F"/>
    <w:rsid w:val="00505E36"/>
    <w:rsid w:val="00513780"/>
    <w:rsid w:val="005566E8"/>
    <w:rsid w:val="005659CF"/>
    <w:rsid w:val="00574867"/>
    <w:rsid w:val="00576C7D"/>
    <w:rsid w:val="005929A7"/>
    <w:rsid w:val="0059371A"/>
    <w:rsid w:val="005960B4"/>
    <w:rsid w:val="005C18F5"/>
    <w:rsid w:val="005C5CDC"/>
    <w:rsid w:val="005D476C"/>
    <w:rsid w:val="005E514B"/>
    <w:rsid w:val="005F3AD5"/>
    <w:rsid w:val="006219F8"/>
    <w:rsid w:val="0064485D"/>
    <w:rsid w:val="00665D70"/>
    <w:rsid w:val="006709C2"/>
    <w:rsid w:val="00680652"/>
    <w:rsid w:val="006A17C6"/>
    <w:rsid w:val="006A3700"/>
    <w:rsid w:val="006B1741"/>
    <w:rsid w:val="006B6115"/>
    <w:rsid w:val="006D02D2"/>
    <w:rsid w:val="006E44A9"/>
    <w:rsid w:val="006F3ECB"/>
    <w:rsid w:val="007060F5"/>
    <w:rsid w:val="00706C16"/>
    <w:rsid w:val="00715FC8"/>
    <w:rsid w:val="00716581"/>
    <w:rsid w:val="0072026F"/>
    <w:rsid w:val="007470FF"/>
    <w:rsid w:val="007562B9"/>
    <w:rsid w:val="00756841"/>
    <w:rsid w:val="007649AB"/>
    <w:rsid w:val="00766342"/>
    <w:rsid w:val="00767381"/>
    <w:rsid w:val="007801EB"/>
    <w:rsid w:val="007833AC"/>
    <w:rsid w:val="007C3DC2"/>
    <w:rsid w:val="007D126A"/>
    <w:rsid w:val="007D35B9"/>
    <w:rsid w:val="007E2316"/>
    <w:rsid w:val="007E5497"/>
    <w:rsid w:val="007F486B"/>
    <w:rsid w:val="00805BD6"/>
    <w:rsid w:val="00805E4D"/>
    <w:rsid w:val="00806F5F"/>
    <w:rsid w:val="00807506"/>
    <w:rsid w:val="00820278"/>
    <w:rsid w:val="008409FC"/>
    <w:rsid w:val="008417E3"/>
    <w:rsid w:val="008655EE"/>
    <w:rsid w:val="00871DA1"/>
    <w:rsid w:val="008769F6"/>
    <w:rsid w:val="00876A1D"/>
    <w:rsid w:val="008843B6"/>
    <w:rsid w:val="00891928"/>
    <w:rsid w:val="008A36C1"/>
    <w:rsid w:val="008A446D"/>
    <w:rsid w:val="008A70BD"/>
    <w:rsid w:val="008C2B47"/>
    <w:rsid w:val="008C4C9A"/>
    <w:rsid w:val="008E7EC9"/>
    <w:rsid w:val="008F0EA7"/>
    <w:rsid w:val="008F6AF2"/>
    <w:rsid w:val="009008AF"/>
    <w:rsid w:val="00905809"/>
    <w:rsid w:val="00912A86"/>
    <w:rsid w:val="00921960"/>
    <w:rsid w:val="00923EEF"/>
    <w:rsid w:val="00935815"/>
    <w:rsid w:val="00937249"/>
    <w:rsid w:val="00940828"/>
    <w:rsid w:val="009419F9"/>
    <w:rsid w:val="00961B09"/>
    <w:rsid w:val="00965334"/>
    <w:rsid w:val="0097093E"/>
    <w:rsid w:val="009859F6"/>
    <w:rsid w:val="00986648"/>
    <w:rsid w:val="00993A2B"/>
    <w:rsid w:val="009A3CF1"/>
    <w:rsid w:val="009C71FA"/>
    <w:rsid w:val="009C72E7"/>
    <w:rsid w:val="009D68AC"/>
    <w:rsid w:val="009E3F61"/>
    <w:rsid w:val="009F4B05"/>
    <w:rsid w:val="00A01215"/>
    <w:rsid w:val="00A17F13"/>
    <w:rsid w:val="00A20739"/>
    <w:rsid w:val="00A33C78"/>
    <w:rsid w:val="00A5352F"/>
    <w:rsid w:val="00A61624"/>
    <w:rsid w:val="00A63F22"/>
    <w:rsid w:val="00A81251"/>
    <w:rsid w:val="00A978DC"/>
    <w:rsid w:val="00AB0ADB"/>
    <w:rsid w:val="00AD20B4"/>
    <w:rsid w:val="00AE0B3D"/>
    <w:rsid w:val="00AE5061"/>
    <w:rsid w:val="00AF6B70"/>
    <w:rsid w:val="00B302AB"/>
    <w:rsid w:val="00B32E78"/>
    <w:rsid w:val="00B44C5A"/>
    <w:rsid w:val="00B72CD3"/>
    <w:rsid w:val="00B72FFF"/>
    <w:rsid w:val="00B94CA1"/>
    <w:rsid w:val="00BA0744"/>
    <w:rsid w:val="00BA40CF"/>
    <w:rsid w:val="00BB169E"/>
    <w:rsid w:val="00BB2D3E"/>
    <w:rsid w:val="00BB5225"/>
    <w:rsid w:val="00BD5D25"/>
    <w:rsid w:val="00BD7F72"/>
    <w:rsid w:val="00BF20F4"/>
    <w:rsid w:val="00C065CA"/>
    <w:rsid w:val="00C13453"/>
    <w:rsid w:val="00C1399C"/>
    <w:rsid w:val="00C330EB"/>
    <w:rsid w:val="00C33C7F"/>
    <w:rsid w:val="00C754BE"/>
    <w:rsid w:val="00C75AB3"/>
    <w:rsid w:val="00C95C57"/>
    <w:rsid w:val="00CA2EB0"/>
    <w:rsid w:val="00CA4A65"/>
    <w:rsid w:val="00CA4B18"/>
    <w:rsid w:val="00CB0FE4"/>
    <w:rsid w:val="00CB6357"/>
    <w:rsid w:val="00CB6A82"/>
    <w:rsid w:val="00CC1B26"/>
    <w:rsid w:val="00CD58BC"/>
    <w:rsid w:val="00CF09DD"/>
    <w:rsid w:val="00D02353"/>
    <w:rsid w:val="00D03114"/>
    <w:rsid w:val="00D12AED"/>
    <w:rsid w:val="00D17F57"/>
    <w:rsid w:val="00D300D8"/>
    <w:rsid w:val="00D30BDE"/>
    <w:rsid w:val="00D423A2"/>
    <w:rsid w:val="00D63AC2"/>
    <w:rsid w:val="00D7383B"/>
    <w:rsid w:val="00D86F9A"/>
    <w:rsid w:val="00DB6B81"/>
    <w:rsid w:val="00E071C8"/>
    <w:rsid w:val="00E16408"/>
    <w:rsid w:val="00E20894"/>
    <w:rsid w:val="00E245AB"/>
    <w:rsid w:val="00E3521F"/>
    <w:rsid w:val="00E42C1A"/>
    <w:rsid w:val="00E50AFE"/>
    <w:rsid w:val="00E701C1"/>
    <w:rsid w:val="00E724B5"/>
    <w:rsid w:val="00E72589"/>
    <w:rsid w:val="00E73C0B"/>
    <w:rsid w:val="00E740AF"/>
    <w:rsid w:val="00E771DC"/>
    <w:rsid w:val="00E80FFD"/>
    <w:rsid w:val="00E8164D"/>
    <w:rsid w:val="00E8772A"/>
    <w:rsid w:val="00E90F6B"/>
    <w:rsid w:val="00E92C27"/>
    <w:rsid w:val="00E95DA2"/>
    <w:rsid w:val="00EA0E3D"/>
    <w:rsid w:val="00EC2619"/>
    <w:rsid w:val="00EC7062"/>
    <w:rsid w:val="00EE1AA8"/>
    <w:rsid w:val="00EE799E"/>
    <w:rsid w:val="00EF6618"/>
    <w:rsid w:val="00F01DDA"/>
    <w:rsid w:val="00F10E17"/>
    <w:rsid w:val="00F219BF"/>
    <w:rsid w:val="00F31EDC"/>
    <w:rsid w:val="00F3408A"/>
    <w:rsid w:val="00F5664F"/>
    <w:rsid w:val="00F71E89"/>
    <w:rsid w:val="00F74642"/>
    <w:rsid w:val="00F76AFC"/>
    <w:rsid w:val="00F8431B"/>
    <w:rsid w:val="00FB378D"/>
    <w:rsid w:val="00FB5DD1"/>
    <w:rsid w:val="00FC2B5D"/>
    <w:rsid w:val="00FC4C17"/>
    <w:rsid w:val="00FC6F39"/>
    <w:rsid w:val="00FE4D0E"/>
    <w:rsid w:val="00FF1449"/>
    <w:rsid w:val="2241472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245AB"/>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4A1847"/>
  </w:style>
  <w:style w:type="paragraph" w:styleId="Default" w:customStyle="1">
    <w:name w:val="Default"/>
    <w:rsid w:val="006219F8"/>
    <w:pPr>
      <w:autoSpaceDE w:val="0"/>
      <w:autoSpaceDN w:val="0"/>
      <w:adjustRightInd w:val="0"/>
      <w:spacing w:after="0" w:line="240" w:lineRule="auto"/>
    </w:pPr>
    <w:rPr>
      <w:rFonts w:ascii="Arial" w:hAnsi="Arial" w:cs="Arial"/>
      <w:color w:val="000000"/>
      <w:sz w:val="24"/>
      <w:szCs w:val="24"/>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styleId="TextonotapieCar1" w:customStyle="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styleId="normaltextrun" w:customStyle="1">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1"/>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hAnsi="Geomanist" w:eastAsiaTheme="majorEastAsia" w:cstheme="majorBidi"/>
      <w:spacing w:val="-10"/>
      <w:kern w:val="28"/>
      <w:szCs w:val="56"/>
      <w:lang w:val="es-ES"/>
    </w:rPr>
  </w:style>
  <w:style w:type="character" w:styleId="TtuloCar" w:customStyle="1">
    <w:name w:val="Título Car"/>
    <w:basedOn w:val="Fuentedeprrafopredeter"/>
    <w:link w:val="Ttulo"/>
    <w:uiPriority w:val="10"/>
    <w:rsid w:val="005566E8"/>
    <w:rPr>
      <w:rFonts w:ascii="Geomanist" w:hAnsi="Geomanist" w:eastAsiaTheme="majorEastAsia" w:cstheme="majorBidi"/>
      <w:spacing w:val="-10"/>
      <w:kern w:val="28"/>
      <w:szCs w:val="56"/>
      <w:lang w:val="es-ES"/>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1"/>
    <w:qFormat/>
    <w:locked/>
    <w:rsid w:val="00505E36"/>
    <w:rPr>
      <w:rFonts w:ascii="Geomanist Light" w:hAnsi="Geomanist Light"/>
      <w:lang w:val="es-ES"/>
    </w:rPr>
  </w:style>
  <w:style w:type="paragraph" w:styleId="Appelnotedebasde" w:customStyle="1">
    <w:name w:val="Appel note de bas de..."/>
    <w:basedOn w:val="Normal"/>
    <w:link w:val="Refdenotaalpie"/>
    <w:uiPriority w:val="99"/>
    <w:rsid w:val="001654F1"/>
    <w:pPr>
      <w:spacing w:line="240" w:lineRule="exact"/>
    </w:pPr>
    <w:rPr>
      <w:vertAlign w:val="superscript"/>
    </w:rPr>
  </w:style>
  <w:style w:type="character" w:styleId="Hipervnculo">
    <w:name w:val="Hyperlink"/>
    <w:basedOn w:val="Fuentedeprrafopredeter"/>
    <w:uiPriority w:val="99"/>
    <w:unhideWhenUsed/>
    <w:rsid w:val="00805E4D"/>
    <w:rPr>
      <w:color w:val="0563C1" w:themeColor="hyperlink"/>
      <w:u w:val="single"/>
    </w:rPr>
  </w:style>
  <w:style w:type="paragraph" w:styleId="NormalWeb">
    <w:name w:val="Normal (Web)"/>
    <w:basedOn w:val="Normal"/>
    <w:link w:val="NormalWebCar"/>
    <w:uiPriority w:val="99"/>
    <w:unhideWhenUsed/>
    <w:rsid w:val="000E141A"/>
    <w:pPr>
      <w:spacing w:before="100" w:beforeAutospacing="1" w:after="100" w:afterAutospacing="1" w:line="240" w:lineRule="auto"/>
    </w:pPr>
    <w:rPr>
      <w:rFonts w:ascii="Times New Roman" w:hAnsi="Times New Roman" w:eastAsia="Times New Roman" w:cs="Times New Roman"/>
      <w:sz w:val="24"/>
      <w:szCs w:val="24"/>
      <w:lang w:eastAsia="es-CO"/>
    </w:rPr>
  </w:style>
  <w:style w:type="character" w:styleId="NormalWebCar" w:customStyle="1">
    <w:name w:val="Normal (Web) Car"/>
    <w:link w:val="NormalWeb"/>
    <w:uiPriority w:val="99"/>
    <w:rsid w:val="000E141A"/>
    <w:rPr>
      <w:rFonts w:ascii="Times New Roman" w:hAnsi="Times New Roman" w:eastAsia="Times New Roman" w:cs="Times New Roman"/>
      <w:sz w:val="24"/>
      <w:szCs w:val="24"/>
      <w:lang w:eastAsia="es-CO"/>
    </w:rPr>
  </w:style>
  <w:style w:type="character" w:styleId="baj" w:customStyle="1">
    <w:name w:val="b_aj"/>
    <w:basedOn w:val="Fuentedeprrafopredeter"/>
    <w:rsid w:val="000E141A"/>
  </w:style>
  <w:style w:type="paragraph" w:styleId="Revisin">
    <w:name w:val="Revision"/>
    <w:hidden/>
    <w:uiPriority w:val="99"/>
    <w:semiHidden/>
    <w:rsid w:val="00805BD6"/>
    <w:pPr>
      <w:spacing w:after="0" w:line="240" w:lineRule="auto"/>
    </w:pPr>
  </w:style>
  <w:style w:type="character" w:styleId="Refdecomentario">
    <w:name w:val="annotation reference"/>
    <w:basedOn w:val="Fuentedeprrafopredeter"/>
    <w:uiPriority w:val="99"/>
    <w:semiHidden/>
    <w:unhideWhenUsed/>
    <w:rsid w:val="003400F9"/>
    <w:rPr>
      <w:sz w:val="16"/>
      <w:szCs w:val="16"/>
    </w:rPr>
  </w:style>
  <w:style w:type="paragraph" w:styleId="Textocomentario">
    <w:name w:val="annotation text"/>
    <w:basedOn w:val="Normal"/>
    <w:link w:val="TextocomentarioCar"/>
    <w:uiPriority w:val="99"/>
    <w:unhideWhenUsed/>
    <w:rsid w:val="003400F9"/>
    <w:pPr>
      <w:spacing w:line="240" w:lineRule="auto"/>
    </w:pPr>
    <w:rPr>
      <w:sz w:val="20"/>
      <w:szCs w:val="20"/>
    </w:rPr>
  </w:style>
  <w:style w:type="character" w:styleId="TextocomentarioCar" w:customStyle="1">
    <w:name w:val="Texto comentario Car"/>
    <w:basedOn w:val="Fuentedeprrafopredeter"/>
    <w:link w:val="Textocomentario"/>
    <w:uiPriority w:val="99"/>
    <w:rsid w:val="003400F9"/>
    <w:rPr>
      <w:sz w:val="20"/>
      <w:szCs w:val="20"/>
    </w:rPr>
  </w:style>
  <w:style w:type="paragraph" w:styleId="Asuntodelcomentario">
    <w:name w:val="annotation subject"/>
    <w:basedOn w:val="Textocomentario"/>
    <w:next w:val="Textocomentario"/>
    <w:link w:val="AsuntodelcomentarioCar"/>
    <w:uiPriority w:val="99"/>
    <w:semiHidden/>
    <w:unhideWhenUsed/>
    <w:rsid w:val="003400F9"/>
    <w:rPr>
      <w:b/>
      <w:bCs/>
    </w:rPr>
  </w:style>
  <w:style w:type="character" w:styleId="AsuntodelcomentarioCar" w:customStyle="1">
    <w:name w:val="Asunto del comentario Car"/>
    <w:basedOn w:val="TextocomentarioCar"/>
    <w:link w:val="Asuntodelcomentario"/>
    <w:uiPriority w:val="99"/>
    <w:semiHidden/>
    <w:rsid w:val="003400F9"/>
    <w:rPr>
      <w:b/>
      <w:bCs/>
      <w:sz w:val="20"/>
      <w:szCs w:val="20"/>
    </w:rPr>
  </w:style>
  <w:style w:type="character" w:styleId="eop" w:customStyle="1">
    <w:name w:val="eop"/>
    <w:basedOn w:val="Fuentedeprrafopredeter"/>
    <w:rsid w:val="002771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968084">
      <w:bodyDiv w:val="1"/>
      <w:marLeft w:val="0"/>
      <w:marRight w:val="0"/>
      <w:marTop w:val="0"/>
      <w:marBottom w:val="0"/>
      <w:divBdr>
        <w:top w:val="none" w:sz="0" w:space="0" w:color="auto"/>
        <w:left w:val="none" w:sz="0" w:space="0" w:color="auto"/>
        <w:bottom w:val="none" w:sz="0" w:space="0" w:color="auto"/>
        <w:right w:val="none" w:sz="0" w:space="0" w:color="auto"/>
      </w:divBdr>
      <w:divsChild>
        <w:div w:id="1878930903">
          <w:marLeft w:val="0"/>
          <w:marRight w:val="0"/>
          <w:marTop w:val="0"/>
          <w:marBottom w:val="0"/>
          <w:divBdr>
            <w:top w:val="none" w:sz="0" w:space="0" w:color="auto"/>
            <w:left w:val="none" w:sz="0" w:space="0" w:color="auto"/>
            <w:bottom w:val="none" w:sz="0" w:space="0" w:color="auto"/>
            <w:right w:val="none" w:sz="0" w:space="0" w:color="auto"/>
          </w:divBdr>
        </w:div>
      </w:divsChild>
    </w:div>
    <w:div w:id="1267729991">
      <w:bodyDiv w:val="1"/>
      <w:marLeft w:val="0"/>
      <w:marRight w:val="0"/>
      <w:marTop w:val="0"/>
      <w:marBottom w:val="0"/>
      <w:divBdr>
        <w:top w:val="none" w:sz="0" w:space="0" w:color="auto"/>
        <w:left w:val="none" w:sz="0" w:space="0" w:color="auto"/>
        <w:bottom w:val="none" w:sz="0" w:space="0" w:color="auto"/>
        <w:right w:val="none" w:sz="0" w:space="0" w:color="auto"/>
      </w:divBdr>
      <w:divsChild>
        <w:div w:id="1287467107">
          <w:marLeft w:val="0"/>
          <w:marRight w:val="0"/>
          <w:marTop w:val="0"/>
          <w:marBottom w:val="0"/>
          <w:divBdr>
            <w:top w:val="none" w:sz="0" w:space="0" w:color="auto"/>
            <w:left w:val="none" w:sz="0" w:space="0" w:color="auto"/>
            <w:bottom w:val="none" w:sz="0" w:space="0" w:color="auto"/>
            <w:right w:val="none" w:sz="0" w:space="0" w:color="auto"/>
          </w:divBdr>
        </w:div>
        <w:div w:id="1876308902">
          <w:marLeft w:val="0"/>
          <w:marRight w:val="0"/>
          <w:marTop w:val="0"/>
          <w:marBottom w:val="0"/>
          <w:divBdr>
            <w:top w:val="none" w:sz="0" w:space="0" w:color="auto"/>
            <w:left w:val="none" w:sz="0" w:space="0" w:color="auto"/>
            <w:bottom w:val="none" w:sz="0" w:space="0" w:color="auto"/>
            <w:right w:val="none" w:sz="0" w:space="0" w:color="auto"/>
          </w:divBdr>
        </w:div>
        <w:div w:id="2050643425">
          <w:marLeft w:val="0"/>
          <w:marRight w:val="0"/>
          <w:marTop w:val="0"/>
          <w:marBottom w:val="0"/>
          <w:divBdr>
            <w:top w:val="none" w:sz="0" w:space="0" w:color="auto"/>
            <w:left w:val="none" w:sz="0" w:space="0" w:color="auto"/>
            <w:bottom w:val="none" w:sz="0" w:space="0" w:color="auto"/>
            <w:right w:val="none" w:sz="0" w:space="0" w:color="auto"/>
          </w:divBdr>
        </w:div>
      </w:divsChild>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352563003">
      <w:bodyDiv w:val="1"/>
      <w:marLeft w:val="0"/>
      <w:marRight w:val="0"/>
      <w:marTop w:val="0"/>
      <w:marBottom w:val="0"/>
      <w:divBdr>
        <w:top w:val="none" w:sz="0" w:space="0" w:color="auto"/>
        <w:left w:val="none" w:sz="0" w:space="0" w:color="auto"/>
        <w:bottom w:val="none" w:sz="0" w:space="0" w:color="auto"/>
        <w:right w:val="none" w:sz="0" w:space="0" w:color="auto"/>
      </w:divBdr>
    </w:div>
    <w:div w:id="1584609844">
      <w:bodyDiv w:val="1"/>
      <w:marLeft w:val="0"/>
      <w:marRight w:val="0"/>
      <w:marTop w:val="0"/>
      <w:marBottom w:val="0"/>
      <w:divBdr>
        <w:top w:val="none" w:sz="0" w:space="0" w:color="auto"/>
        <w:left w:val="none" w:sz="0" w:space="0" w:color="auto"/>
        <w:bottom w:val="none" w:sz="0" w:space="0" w:color="auto"/>
        <w:right w:val="none" w:sz="0" w:space="0" w:color="auto"/>
      </w:divBdr>
      <w:divsChild>
        <w:div w:id="13908056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tmp"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20"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7" ma:contentTypeDescription="Crear nuevo documento." ma:contentTypeScope="" ma:versionID="a34407833354fcfc312bad70d6c3459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b353d508bfaf3d48e66d044e463fff7"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CF670D-FB78-4EAA-B2C6-26566EA30BF5}"/>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cabc2350-70b2-4dba-bb42-96a3175f4d5a"/>
  </ds:schemaRefs>
</ds:datastoreItem>
</file>

<file path=customXml/itemProps3.xml><?xml version="1.0" encoding="utf-8"?>
<ds:datastoreItem xmlns:ds="http://schemas.openxmlformats.org/officeDocument/2006/customXml" ds:itemID="{BAD2914F-A56E-4D02-9522-29323C86B1B1}">
  <ds:schemaRefs>
    <ds:schemaRef ds:uri="http://schemas.openxmlformats.org/officeDocument/2006/bibliography"/>
  </ds:schemaRefs>
</ds:datastoreItem>
</file>

<file path=customXml/itemProps4.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Johanna Ovalle Clavijo</cp:lastModifiedBy>
  <cp:revision>41</cp:revision>
  <cp:lastPrinted>2023-01-10T21:18:00Z</cp:lastPrinted>
  <dcterms:created xsi:type="dcterms:W3CDTF">2023-07-07T18:23:00Z</dcterms:created>
  <dcterms:modified xsi:type="dcterms:W3CDTF">2023-08-29T21:38:41Z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