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330EB" w:rsidR="00E245AB" w:rsidP="50538920" w:rsidRDefault="00E245AB" w14:paraId="5FCADBF9" w14:textId="77777777" w14:noSpellErr="1">
      <w:pPr>
        <w:spacing w:after="0"/>
        <w:rPr>
          <w:rFonts w:ascii="Arial" w:hAnsi="Arial" w:eastAsia="Arial" w:cs="Arial"/>
        </w:rPr>
      </w:pPr>
    </w:p>
    <w:p w:rsidRPr="005043BC" w:rsidR="002365A8" w:rsidP="50538920" w:rsidRDefault="002365A8" w14:paraId="2586A8EB" w14:textId="77777777" w14:noSpellErr="1">
      <w:pPr>
        <w:jc w:val="both"/>
        <w:rPr>
          <w:rFonts w:ascii="Arial" w:hAnsi="Arial" w:eastAsia="Arial" w:cs="Arial"/>
          <w:b w:val="1"/>
          <w:bCs w:val="1"/>
          <w:lang w:val="es-ES"/>
        </w:rPr>
      </w:pPr>
      <w:bookmarkStart w:name="_Hlk47949675" w:id="0"/>
      <w:bookmarkStart w:name="_Hlk114827471" w:id="1"/>
      <w:r w:rsidRPr="50538920" w:rsidR="4149BEA1">
        <w:rPr>
          <w:rFonts w:ascii="Arial" w:hAnsi="Arial" w:eastAsia="Arial" w:cs="Arial"/>
          <w:b w:val="1"/>
          <w:bCs w:val="1"/>
          <w:lang w:val="es-ES" w:eastAsia="es-CO"/>
        </w:rPr>
        <w:t xml:space="preserve">LEY DE GARANTÍAS ELECTORALES </w:t>
      </w:r>
      <w:r w:rsidRPr="50538920" w:rsidR="4149BEA1">
        <w:rPr>
          <w:rFonts w:ascii="Arial" w:hAnsi="Arial" w:eastAsia="Arial" w:cs="Arial"/>
          <w:b w:val="1"/>
          <w:bCs w:val="1"/>
          <w:lang w:val="es-ES"/>
        </w:rPr>
        <w:t xml:space="preserve">– </w:t>
      </w:r>
      <w:bookmarkStart w:name="_Hlk97713315" w:id="2"/>
      <w:r w:rsidRPr="50538920" w:rsidR="4149BEA1">
        <w:rPr>
          <w:rFonts w:ascii="Arial" w:hAnsi="Arial" w:eastAsia="Arial" w:cs="Arial"/>
          <w:b w:val="1"/>
          <w:bCs w:val="1"/>
          <w:lang w:val="es-ES"/>
        </w:rPr>
        <w:t xml:space="preserve">Definición </w:t>
      </w:r>
      <w:r w:rsidRPr="50538920" w:rsidR="4149BEA1">
        <w:rPr>
          <w:rFonts w:ascii="Arial" w:hAnsi="Arial" w:eastAsia="Arial" w:cs="Arial"/>
          <w:b w:val="1"/>
          <w:bCs w:val="1"/>
          <w:lang w:val="es-ES"/>
        </w:rPr>
        <w:t xml:space="preserve">– Finalidad </w:t>
      </w:r>
    </w:p>
    <w:bookmarkEnd w:id="2"/>
    <w:p w:rsidRPr="005043BC" w:rsidR="002365A8" w:rsidP="50538920" w:rsidRDefault="002365A8" w14:paraId="3A0AFB9D" w14:textId="77777777" w14:noSpellErr="1">
      <w:pPr>
        <w:jc w:val="both"/>
        <w:rPr>
          <w:rFonts w:ascii="Arial" w:hAnsi="Arial" w:eastAsia="Arial" w:cs="Arial"/>
          <w:b w:val="1"/>
          <w:bCs w:val="1"/>
          <w:sz w:val="21"/>
          <w:szCs w:val="21"/>
          <w:lang w:val="es-ES" w:eastAsia="es-CO"/>
        </w:rPr>
      </w:pPr>
    </w:p>
    <w:p w:rsidRPr="005043BC" w:rsidR="002365A8" w:rsidP="50538920" w:rsidRDefault="002365A8" w14:paraId="5263915F" w14:textId="77777777" w14:noSpellErr="1">
      <w:pPr>
        <w:tabs>
          <w:tab w:val="left" w:pos="426"/>
        </w:tabs>
        <w:jc w:val="both"/>
        <w:rPr>
          <w:rFonts w:ascii="Arial" w:hAnsi="Arial" w:eastAsia="Arial" w:cs="Arial"/>
          <w:sz w:val="20"/>
          <w:szCs w:val="20"/>
          <w:lang w:val="es-ES"/>
        </w:rPr>
      </w:pPr>
      <w:r w:rsidRPr="50538920" w:rsidR="4149BEA1">
        <w:rPr>
          <w:rFonts w:ascii="Arial" w:hAnsi="Arial" w:eastAsia="Arial" w:cs="Arial"/>
          <w:sz w:val="20"/>
          <w:szCs w:val="20"/>
          <w:lang w:val="es-ES"/>
        </w:rPr>
        <w:t xml:space="preserve">[…] </w:t>
      </w:r>
      <w:r w:rsidRPr="50538920" w:rsidR="4149BEA1">
        <w:rPr>
          <w:rFonts w:ascii="Arial" w:hAnsi="Arial" w:eastAsia="Arial" w:cs="Arial"/>
          <w:sz w:val="20"/>
          <w:szCs w:val="20"/>
          <w:lang w:eastAsia="es-CO"/>
        </w:rPr>
        <w:t xml:space="preserve">la Ley 996 de 2005, conocida como “Ley de Garantías Electorales”, se suma al andamiaje de orden constitucional y legal que se ha ocupado de evitar la injerencia inadecuada de intereses particulares en el ejercicio de la función pública. </w:t>
      </w:r>
      <w:r w:rsidRPr="50538920" w:rsidR="4149BEA1">
        <w:rPr>
          <w:rFonts w:ascii="Arial" w:hAnsi="Arial" w:eastAsia="Arial" w:cs="Arial"/>
          <w:sz w:val="20"/>
          <w:szCs w:val="20"/>
          <w:lang w:eastAsia="es-CO"/>
        </w:rPr>
        <w:t>Esta ley tiene como propósito evitar cualquier tipo de arbitrariedad, de ventaja injustificada, de uso irregular de los recursos del Estado en las campañas o falta de garantías en la elección presidencial.</w:t>
      </w:r>
      <w:r w:rsidRPr="50538920" w:rsidR="4149BEA1">
        <w:rPr>
          <w:rFonts w:ascii="Arial" w:hAnsi="Arial" w:eastAsia="Arial" w:cs="Arial"/>
          <w:sz w:val="20"/>
          <w:szCs w:val="20"/>
          <w:lang w:eastAsia="es-CO"/>
        </w:rPr>
        <w:t xml:space="preserve"> En esta medida, introduce limitaciones para realizar nombramientos, postulaciones, contrataciones o cualquier otro tipo de actividad que implique destinación de recursos públicos bajo el devenir propio de las entidades estatales.</w:t>
      </w:r>
      <w:r w:rsidRPr="50538920" w:rsidR="4149BEA1">
        <w:rPr>
          <w:rFonts w:ascii="Arial" w:hAnsi="Arial" w:eastAsia="Arial" w:cs="Arial"/>
          <w:sz w:val="20"/>
          <w:szCs w:val="20"/>
          <w:lang w:val="es-ES"/>
        </w:rPr>
        <w:t xml:space="preserve"> </w:t>
      </w:r>
      <w:r w:rsidRPr="50538920" w:rsidR="4149BEA1">
        <w:rPr>
          <w:rFonts w:ascii="Arial" w:hAnsi="Arial" w:eastAsia="Arial" w:cs="Arial"/>
          <w:sz w:val="20"/>
          <w:szCs w:val="20"/>
          <w:lang w:val="es-ES"/>
        </w:rPr>
        <w:t xml:space="preserve">[…] </w:t>
      </w:r>
    </w:p>
    <w:p w:rsidRPr="005043BC" w:rsidR="002365A8" w:rsidP="50538920" w:rsidRDefault="002365A8" w14:paraId="50CCD376" w14:textId="77777777" w14:noSpellErr="1">
      <w:pPr>
        <w:tabs>
          <w:tab w:val="left" w:pos="426"/>
        </w:tabs>
        <w:jc w:val="both"/>
        <w:rPr>
          <w:rFonts w:ascii="Arial" w:hAnsi="Arial" w:eastAsia="Arial" w:cs="Arial"/>
          <w:sz w:val="20"/>
          <w:szCs w:val="20"/>
          <w:lang w:val="es-ES"/>
        </w:rPr>
      </w:pPr>
    </w:p>
    <w:p w:rsidRPr="005043BC" w:rsidR="002365A8" w:rsidP="50538920" w:rsidRDefault="002365A8" w14:paraId="5CD92990" w14:textId="77777777" w14:noSpellErr="1">
      <w:pPr>
        <w:tabs>
          <w:tab w:val="left" w:pos="426"/>
        </w:tabs>
        <w:jc w:val="both"/>
        <w:rPr>
          <w:rFonts w:ascii="Arial" w:hAnsi="Arial" w:eastAsia="Arial" w:cs="Arial"/>
          <w:sz w:val="20"/>
          <w:szCs w:val="20"/>
          <w:lang w:val="es-MX" w:eastAsia="es-CO"/>
        </w:rPr>
      </w:pPr>
      <w:r w:rsidRPr="50538920" w:rsidR="4149BEA1">
        <w:rPr>
          <w:rFonts w:ascii="Arial" w:hAnsi="Arial" w:eastAsia="Arial" w:cs="Arial"/>
          <w:sz w:val="20"/>
          <w:szCs w:val="20"/>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rsidRPr="005043BC" w:rsidR="002365A8" w:rsidP="50538920" w:rsidRDefault="002365A8" w14:paraId="121C4F09" w14:textId="77777777" w14:noSpellErr="1">
      <w:pPr>
        <w:tabs>
          <w:tab w:val="left" w:pos="426"/>
        </w:tabs>
        <w:jc w:val="both"/>
        <w:rPr>
          <w:rFonts w:ascii="Arial" w:hAnsi="Arial" w:eastAsia="Arial" w:cs="Arial"/>
          <w:sz w:val="20"/>
          <w:szCs w:val="20"/>
          <w:lang w:val="es-ES"/>
        </w:rPr>
      </w:pPr>
    </w:p>
    <w:p w:rsidRPr="005043BC" w:rsidR="002365A8" w:rsidP="50538920" w:rsidRDefault="002365A8" w14:paraId="6310B7F3" w14:textId="77777777" w14:noSpellErr="1">
      <w:pPr>
        <w:tabs>
          <w:tab w:val="left" w:pos="426"/>
        </w:tabs>
        <w:jc w:val="both"/>
        <w:rPr>
          <w:rFonts w:ascii="Arial" w:hAnsi="Arial" w:eastAsia="Arial" w:cs="Arial"/>
          <w:b w:val="1"/>
          <w:bCs w:val="1"/>
          <w:lang w:val="es-ES"/>
        </w:rPr>
      </w:pPr>
      <w:r w:rsidRPr="50538920" w:rsidR="4149BEA1">
        <w:rPr>
          <w:rFonts w:ascii="Arial" w:hAnsi="Arial" w:eastAsia="Arial" w:cs="Arial"/>
          <w:b w:val="1"/>
          <w:bCs w:val="1"/>
          <w:lang w:val="es-ES"/>
        </w:rPr>
        <w:t xml:space="preserve">LEY DE GARANTÍAS ELECTORALES – Restricciones </w:t>
      </w:r>
    </w:p>
    <w:p w:rsidRPr="005043BC" w:rsidR="002365A8" w:rsidP="50538920" w:rsidRDefault="002365A8" w14:paraId="136DE183" w14:textId="77777777" w14:noSpellErr="1">
      <w:pPr>
        <w:tabs>
          <w:tab w:val="left" w:pos="426"/>
        </w:tabs>
        <w:jc w:val="both"/>
        <w:rPr>
          <w:rFonts w:ascii="Arial" w:hAnsi="Arial" w:eastAsia="Arial" w:cs="Arial"/>
          <w:b w:val="1"/>
          <w:bCs w:val="1"/>
          <w:sz w:val="21"/>
          <w:szCs w:val="21"/>
          <w:lang w:val="es-ES"/>
        </w:rPr>
      </w:pPr>
    </w:p>
    <w:p w:rsidRPr="005043BC" w:rsidR="002365A8" w:rsidP="50538920" w:rsidRDefault="002365A8" w14:paraId="79711835" w14:textId="77777777" w14:noSpellErr="1">
      <w:pPr>
        <w:jc w:val="both"/>
        <w:rPr>
          <w:rFonts w:ascii="Arial" w:hAnsi="Arial" w:eastAsia="Arial" w:cs="Arial"/>
          <w:sz w:val="20"/>
          <w:szCs w:val="20"/>
          <w:lang w:val="es-ES" w:eastAsia="es-ES" w:bidi="es-ES"/>
        </w:rPr>
      </w:pPr>
      <w:r w:rsidRPr="50538920" w:rsidR="4149BEA1">
        <w:rPr>
          <w:rFonts w:ascii="Arial" w:hAnsi="Arial" w:eastAsia="Arial" w:cs="Arial"/>
          <w:sz w:val="20"/>
          <w:szCs w:val="20"/>
          <w:lang w:val="es-ES" w:eastAsia="es-ES" w:bidi="es-ES"/>
        </w:rPr>
        <w:t xml:space="preserve">[…] la Ley 996 de 2005 establece dos (2) tipos de restricciones en materia de contratación, las cuales coinciden parcialmente. </w:t>
      </w:r>
      <w:r w:rsidRPr="50538920" w:rsidR="4149BEA1">
        <w:rPr>
          <w:rFonts w:ascii="Arial" w:hAnsi="Arial" w:eastAsia="Arial" w:cs="Arial"/>
          <w:i w:val="1"/>
          <w:iCs w:val="1"/>
          <w:sz w:val="20"/>
          <w:szCs w:val="20"/>
          <w:lang w:val="es-ES" w:eastAsia="es-ES" w:bidi="es-ES"/>
        </w:rPr>
        <w:t>En primer lugar</w:t>
      </w:r>
      <w:r w:rsidRPr="50538920" w:rsidR="4149BEA1">
        <w:rPr>
          <w:rFonts w:ascii="Arial" w:hAnsi="Arial" w:eastAsia="Arial" w:cs="Arial"/>
          <w:sz w:val="20"/>
          <w:szCs w:val="20"/>
          <w:lang w:val="es-ES" w:eastAsia="es-ES" w:bidi="es-ES"/>
        </w:rPr>
        <w:t>, la del artículo 33, que opera solo respecto de las elecciones presidenciales, en virtud de la cual queda proscrita la contratación directa dentro de los cuatro (4) meses anteriores a la celebración de los comicios, salvo las citadas excepciones.</w:t>
      </w:r>
      <w:r w:rsidRPr="50538920" w:rsidR="4149BEA1">
        <w:rPr>
          <w:rFonts w:ascii="Arial" w:hAnsi="Arial" w:eastAsia="Arial" w:cs="Arial"/>
          <w:sz w:val="20"/>
          <w:szCs w:val="20"/>
          <w:lang w:val="es-ES" w:eastAsia="es-ES" w:bidi="es-ES"/>
        </w:rPr>
        <w:t xml:space="preserve"> </w:t>
      </w:r>
      <w:r w:rsidRPr="50538920" w:rsidR="4149BEA1">
        <w:rPr>
          <w:rFonts w:ascii="Arial" w:hAnsi="Arial" w:eastAsia="Arial" w:cs="Arial"/>
          <w:sz w:val="20"/>
          <w:szCs w:val="20"/>
          <w:lang w:val="es-ES" w:eastAsia="es-ES" w:bidi="es-ES"/>
        </w:rPr>
        <w:t>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w:t>
      </w:r>
      <w:r w:rsidRPr="50538920" w:rsidR="4149BEA1">
        <w:rPr>
          <w:rFonts w:ascii="Arial" w:hAnsi="Arial" w:eastAsia="Arial" w:cs="Arial"/>
          <w:sz w:val="20"/>
          <w:szCs w:val="20"/>
          <w:lang w:val="es-ES" w:eastAsia="es-ES" w:bidi="es-ES"/>
        </w:rPr>
        <w:t xml:space="preserve"> Para estos efectos, la restricción se extenderá hasta la fecha en la que se realice la segunda vuelta. </w:t>
      </w:r>
      <w:r w:rsidRPr="50538920" w:rsidR="4149BEA1">
        <w:rPr>
          <w:rFonts w:ascii="Arial" w:hAnsi="Arial" w:eastAsia="Arial" w:cs="Arial"/>
          <w:i w:val="1"/>
          <w:iCs w:val="1"/>
          <w:sz w:val="20"/>
          <w:szCs w:val="20"/>
          <w:lang w:val="es-ES" w:eastAsia="es-ES" w:bidi="es-ES"/>
        </w:rPr>
        <w:t>En segundo lugar</w:t>
      </w:r>
      <w:r w:rsidRPr="50538920" w:rsidR="4149BEA1">
        <w:rPr>
          <w:rFonts w:ascii="Arial" w:hAnsi="Arial" w:eastAsia="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Pr="005043BC" w:rsidR="002365A8" w:rsidP="50538920" w:rsidRDefault="002365A8" w14:paraId="4C2F3441" w14:noSpellErr="1" w14:textId="2057F64F">
      <w:pPr>
        <w:pStyle w:val="Normal"/>
        <w:jc w:val="both"/>
        <w:rPr>
          <w:rFonts w:ascii="Arial" w:hAnsi="Arial" w:eastAsia="Arial" w:cs="Arial"/>
          <w:sz w:val="21"/>
          <w:szCs w:val="21"/>
          <w:lang w:val="es-ES" w:eastAsia="es-ES" w:bidi="es-ES"/>
        </w:rPr>
      </w:pPr>
    </w:p>
    <w:p w:rsidRPr="005043BC" w:rsidR="002365A8" w:rsidP="50538920" w:rsidRDefault="002365A8" w14:paraId="49F48E90" w14:textId="77777777" w14:noSpellErr="1">
      <w:pPr>
        <w:tabs>
          <w:tab w:val="left" w:pos="426"/>
        </w:tabs>
        <w:jc w:val="both"/>
        <w:rPr>
          <w:rFonts w:ascii="Arial" w:hAnsi="Arial" w:eastAsia="Arial" w:cs="Arial"/>
          <w:b w:val="1"/>
          <w:bCs w:val="1"/>
        </w:rPr>
      </w:pPr>
      <w:r w:rsidRPr="50538920" w:rsidR="4149BEA1">
        <w:rPr>
          <w:rFonts w:ascii="Arial" w:hAnsi="Arial" w:eastAsia="Arial" w:cs="Arial"/>
          <w:b w:val="1"/>
          <w:bCs w:val="1"/>
        </w:rPr>
        <w:t xml:space="preserve">LEY DE GARANTÍAS ELECTORALES </w:t>
      </w:r>
      <w:r w:rsidRPr="50538920" w:rsidR="4149BEA1">
        <w:rPr>
          <w:rFonts w:ascii="Arial" w:hAnsi="Arial" w:eastAsia="Arial" w:cs="Arial"/>
          <w:b w:val="1"/>
          <w:bCs w:val="1"/>
          <w:noProof/>
        </w:rPr>
        <w:t>‒</w:t>
      </w:r>
      <w:r w:rsidRPr="50538920" w:rsidR="4149BEA1">
        <w:rPr>
          <w:rFonts w:ascii="Arial" w:hAnsi="Arial" w:eastAsia="Arial" w:cs="Arial"/>
          <w:b w:val="1"/>
          <w:bCs w:val="1"/>
        </w:rPr>
        <w:t xml:space="preserve"> Prohibici</w:t>
      </w:r>
      <w:r w:rsidRPr="50538920" w:rsidR="4149BEA1">
        <w:rPr>
          <w:rFonts w:ascii="Arial" w:hAnsi="Arial" w:eastAsia="Arial" w:cs="Arial"/>
          <w:b w:val="1"/>
          <w:bCs w:val="1"/>
        </w:rPr>
        <w:t>ó</w:t>
      </w:r>
      <w:r w:rsidRPr="50538920" w:rsidR="4149BEA1">
        <w:rPr>
          <w:rFonts w:ascii="Arial" w:hAnsi="Arial" w:eastAsia="Arial" w:cs="Arial"/>
          <w:b w:val="1"/>
          <w:bCs w:val="1"/>
        </w:rPr>
        <w:t>n por elecci</w:t>
      </w:r>
      <w:r w:rsidRPr="50538920" w:rsidR="4149BEA1">
        <w:rPr>
          <w:rFonts w:ascii="Arial" w:hAnsi="Arial" w:eastAsia="Arial" w:cs="Arial"/>
          <w:b w:val="1"/>
          <w:bCs w:val="1"/>
        </w:rPr>
        <w:t>ó</w:t>
      </w:r>
      <w:r w:rsidRPr="50538920" w:rsidR="4149BEA1">
        <w:rPr>
          <w:rFonts w:ascii="Arial" w:hAnsi="Arial" w:eastAsia="Arial" w:cs="Arial"/>
          <w:b w:val="1"/>
          <w:bCs w:val="1"/>
        </w:rPr>
        <w:t xml:space="preserve">n de cargos populares </w:t>
      </w:r>
      <w:r w:rsidRPr="50538920" w:rsidR="4149BEA1">
        <w:rPr>
          <w:rFonts w:ascii="Arial" w:hAnsi="Arial" w:eastAsia="Arial" w:cs="Arial"/>
          <w:b w:val="1"/>
          <w:bCs w:val="1"/>
        </w:rPr>
        <w:t>–</w:t>
      </w:r>
      <w:r w:rsidRPr="50538920" w:rsidR="4149BEA1">
        <w:rPr>
          <w:rFonts w:ascii="Arial" w:hAnsi="Arial" w:eastAsia="Arial" w:cs="Arial"/>
          <w:b w:val="1"/>
          <w:bCs w:val="1"/>
        </w:rPr>
        <w:t xml:space="preserve"> Convenios y contratos interadministrativos </w:t>
      </w:r>
      <w:r w:rsidRPr="50538920" w:rsidR="4149BEA1">
        <w:rPr>
          <w:rFonts w:ascii="Arial" w:hAnsi="Arial" w:eastAsia="Arial" w:cs="Arial"/>
          <w:b w:val="1"/>
          <w:bCs w:val="1"/>
        </w:rPr>
        <w:t>–</w:t>
      </w:r>
      <w:r w:rsidRPr="50538920" w:rsidR="4149BEA1">
        <w:rPr>
          <w:rFonts w:ascii="Arial" w:hAnsi="Arial" w:eastAsia="Arial" w:cs="Arial"/>
          <w:b w:val="1"/>
          <w:bCs w:val="1"/>
        </w:rPr>
        <w:t xml:space="preserve"> Alcance</w:t>
      </w:r>
    </w:p>
    <w:p w:rsidRPr="005043BC" w:rsidR="002365A8" w:rsidP="50538920" w:rsidRDefault="002365A8" w14:paraId="460DF8D6" w14:textId="77777777" w14:noSpellErr="1">
      <w:pPr>
        <w:tabs>
          <w:tab w:val="left" w:pos="426"/>
        </w:tabs>
        <w:jc w:val="both"/>
        <w:rPr>
          <w:rFonts w:ascii="Arial" w:hAnsi="Arial" w:eastAsia="Arial" w:cs="Arial"/>
          <w:sz w:val="21"/>
          <w:szCs w:val="21"/>
        </w:rPr>
      </w:pPr>
    </w:p>
    <w:p w:rsidRPr="005043BC" w:rsidR="002365A8" w:rsidP="50538920" w:rsidRDefault="002365A8" w14:paraId="2110115F" w14:textId="77777777" w14:noSpellErr="1">
      <w:pPr>
        <w:tabs>
          <w:tab w:val="left" w:pos="426"/>
        </w:tabs>
        <w:jc w:val="both"/>
        <w:rPr>
          <w:rFonts w:ascii="Arial" w:hAnsi="Arial" w:eastAsia="Arial" w:cs="Arial"/>
          <w:sz w:val="20"/>
          <w:szCs w:val="20"/>
          <w:lang w:eastAsia="x-none"/>
        </w:rPr>
      </w:pPr>
      <w:r w:rsidRPr="50538920" w:rsidR="4149BEA1">
        <w:rPr>
          <w:rFonts w:ascii="Arial" w:hAnsi="Arial" w:eastAsia="Arial" w:cs="Arial"/>
          <w:sz w:val="20"/>
          <w:szCs w:val="20"/>
        </w:rPr>
        <w:t xml:space="preserve">El parágrafo del artículo 38 de la Ley 996 de 2005 dispone que “[l]os Gobernadores, </w:t>
      </w:r>
      <w:r w:rsidRPr="50538920" w:rsidR="4149BEA1">
        <w:rPr>
          <w:rFonts w:ascii="Arial" w:hAnsi="Arial" w:eastAsia="Arial" w:cs="Arial"/>
          <w:sz w:val="20"/>
          <w:szCs w:val="20"/>
        </w:rPr>
        <w:t>Alcaldes</w:t>
      </w:r>
      <w:r w:rsidRPr="50538920" w:rsidR="4149BEA1">
        <w:rPr>
          <w:rFonts w:ascii="Arial" w:hAnsi="Arial" w:eastAsia="Arial" w:cs="Arial"/>
          <w:sz w:val="20"/>
          <w:szCs w:val="20"/>
        </w:rPr>
        <w:t xml:space="preserve"> Municipales y/o Distritales, </w:t>
      </w:r>
      <w:r w:rsidRPr="50538920" w:rsidR="4149BEA1">
        <w:rPr>
          <w:rFonts w:ascii="Arial" w:hAnsi="Arial" w:eastAsia="Arial" w:cs="Arial"/>
          <w:sz w:val="20"/>
          <w:szCs w:val="20"/>
        </w:rPr>
        <w:t>Secretarios</w:t>
      </w:r>
      <w:r w:rsidRPr="50538920" w:rsidR="4149BEA1">
        <w:rPr>
          <w:rFonts w:ascii="Arial" w:hAnsi="Arial" w:eastAsia="Arial" w:cs="Arial"/>
          <w:sz w:val="20"/>
          <w:szCs w:val="20"/>
        </w:rPr>
        <w:t>, Gerentes y directores de Entidades Descentralizadas del orden Municipal, Departamental o Distrital, dentro de los cuatro (4) meses anteriores a las elecciones, no podrán celebrar convenios interadministrativos para la ejecución de recursos públicos”.</w:t>
      </w:r>
      <w:r w:rsidRPr="50538920" w:rsidR="4149BEA1">
        <w:rPr>
          <w:rFonts w:ascii="Arial" w:hAnsi="Arial" w:eastAsia="Arial" w:cs="Arial"/>
          <w:sz w:val="20"/>
          <w:szCs w:val="20"/>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rsidRPr="005043BC" w:rsidR="002365A8" w:rsidP="50538920" w:rsidRDefault="002365A8" w14:paraId="00772502" w14:textId="77777777" w14:noSpellErr="1">
      <w:pPr>
        <w:tabs>
          <w:tab w:val="left" w:pos="426"/>
        </w:tabs>
        <w:jc w:val="both"/>
        <w:rPr>
          <w:rFonts w:ascii="Arial" w:hAnsi="Arial" w:eastAsia="Arial" w:cs="Arial"/>
          <w:sz w:val="21"/>
          <w:szCs w:val="21"/>
        </w:rPr>
      </w:pPr>
    </w:p>
    <w:p w:rsidRPr="005043BC" w:rsidR="002365A8" w:rsidP="50538920" w:rsidRDefault="002365A8" w14:paraId="75D379BE" w14:textId="77777777" w14:noSpellErr="1">
      <w:pPr>
        <w:tabs>
          <w:tab w:val="left" w:pos="426"/>
        </w:tabs>
        <w:jc w:val="both"/>
        <w:rPr>
          <w:rFonts w:ascii="Arial" w:hAnsi="Arial" w:eastAsia="Arial" w:cs="Arial"/>
          <w:b w:val="1"/>
          <w:bCs w:val="1"/>
        </w:rPr>
      </w:pPr>
      <w:r w:rsidRPr="50538920" w:rsidR="4149BEA1">
        <w:rPr>
          <w:rFonts w:ascii="Arial" w:hAnsi="Arial" w:eastAsia="Arial" w:cs="Arial"/>
          <w:b w:val="1"/>
          <w:bCs w:val="1"/>
        </w:rPr>
        <w:t xml:space="preserve">LEY DE GARANTÍAS ELECTORALES </w:t>
      </w:r>
      <w:r w:rsidRPr="50538920" w:rsidR="4149BEA1">
        <w:rPr>
          <w:rFonts w:ascii="Arial" w:hAnsi="Arial" w:eastAsia="Arial" w:cs="Arial"/>
          <w:b w:val="1"/>
          <w:bCs w:val="1"/>
          <w:noProof/>
        </w:rPr>
        <w:t>‒</w:t>
      </w:r>
      <w:r w:rsidRPr="50538920" w:rsidR="4149BEA1">
        <w:rPr>
          <w:rFonts w:ascii="Arial" w:hAnsi="Arial" w:eastAsia="Arial" w:cs="Arial"/>
          <w:b w:val="1"/>
          <w:bCs w:val="1"/>
        </w:rPr>
        <w:t xml:space="preserve"> Prohibici</w:t>
      </w:r>
      <w:r w:rsidRPr="50538920" w:rsidR="4149BEA1">
        <w:rPr>
          <w:rFonts w:ascii="Arial" w:hAnsi="Arial" w:eastAsia="Arial" w:cs="Arial"/>
          <w:b w:val="1"/>
          <w:bCs w:val="1"/>
        </w:rPr>
        <w:t>ó</w:t>
      </w:r>
      <w:r w:rsidRPr="50538920" w:rsidR="4149BEA1">
        <w:rPr>
          <w:rFonts w:ascii="Arial" w:hAnsi="Arial" w:eastAsia="Arial" w:cs="Arial"/>
          <w:b w:val="1"/>
          <w:bCs w:val="1"/>
        </w:rPr>
        <w:t>n por elecci</w:t>
      </w:r>
      <w:r w:rsidRPr="50538920" w:rsidR="4149BEA1">
        <w:rPr>
          <w:rFonts w:ascii="Arial" w:hAnsi="Arial" w:eastAsia="Arial" w:cs="Arial"/>
          <w:b w:val="1"/>
          <w:bCs w:val="1"/>
        </w:rPr>
        <w:t>ó</w:t>
      </w:r>
      <w:r w:rsidRPr="50538920" w:rsidR="4149BEA1">
        <w:rPr>
          <w:rFonts w:ascii="Arial" w:hAnsi="Arial" w:eastAsia="Arial" w:cs="Arial"/>
          <w:b w:val="1"/>
          <w:bCs w:val="1"/>
        </w:rPr>
        <w:t xml:space="preserve">n de cargos populares </w:t>
      </w:r>
      <w:r w:rsidRPr="50538920" w:rsidR="4149BEA1">
        <w:rPr>
          <w:rFonts w:ascii="Arial" w:hAnsi="Arial" w:eastAsia="Arial" w:cs="Arial"/>
          <w:b w:val="1"/>
          <w:bCs w:val="1"/>
        </w:rPr>
        <w:t>–</w:t>
      </w:r>
      <w:r w:rsidRPr="50538920" w:rsidR="4149BEA1">
        <w:rPr>
          <w:rFonts w:ascii="Arial" w:hAnsi="Arial" w:eastAsia="Arial" w:cs="Arial"/>
          <w:b w:val="1"/>
          <w:bCs w:val="1"/>
        </w:rPr>
        <w:t xml:space="preserve"> Convenios y contratos interadministrativos </w:t>
      </w:r>
      <w:r w:rsidRPr="50538920" w:rsidR="4149BEA1">
        <w:rPr>
          <w:rFonts w:ascii="Arial" w:hAnsi="Arial" w:eastAsia="Arial" w:cs="Arial"/>
          <w:b w:val="1"/>
          <w:bCs w:val="1"/>
        </w:rPr>
        <w:t>–</w:t>
      </w:r>
      <w:r w:rsidRPr="50538920" w:rsidR="4149BEA1">
        <w:rPr>
          <w:rFonts w:ascii="Arial" w:hAnsi="Arial" w:eastAsia="Arial" w:cs="Arial"/>
          <w:b w:val="1"/>
          <w:bCs w:val="1"/>
        </w:rPr>
        <w:t xml:space="preserve"> Definici</w:t>
      </w:r>
      <w:r w:rsidRPr="50538920" w:rsidR="4149BEA1">
        <w:rPr>
          <w:rFonts w:ascii="Arial" w:hAnsi="Arial" w:eastAsia="Arial" w:cs="Arial"/>
          <w:b w:val="1"/>
          <w:bCs w:val="1"/>
        </w:rPr>
        <w:t>ó</w:t>
      </w:r>
      <w:r w:rsidRPr="50538920" w:rsidR="4149BEA1">
        <w:rPr>
          <w:rFonts w:ascii="Arial" w:hAnsi="Arial" w:eastAsia="Arial" w:cs="Arial"/>
          <w:b w:val="1"/>
          <w:bCs w:val="1"/>
        </w:rPr>
        <w:t xml:space="preserve">n </w:t>
      </w:r>
      <w:r w:rsidRPr="50538920" w:rsidR="4149BEA1">
        <w:rPr>
          <w:rFonts w:ascii="Arial" w:hAnsi="Arial" w:eastAsia="Arial" w:cs="Arial"/>
          <w:b w:val="1"/>
          <w:bCs w:val="1"/>
        </w:rPr>
        <w:t>–</w:t>
      </w:r>
      <w:r w:rsidRPr="50538920" w:rsidR="4149BEA1">
        <w:rPr>
          <w:rFonts w:ascii="Arial" w:hAnsi="Arial" w:eastAsia="Arial" w:cs="Arial"/>
          <w:b w:val="1"/>
          <w:bCs w:val="1"/>
        </w:rPr>
        <w:t xml:space="preserve"> Criterio orgánico</w:t>
      </w:r>
    </w:p>
    <w:p w:rsidRPr="005043BC" w:rsidR="002365A8" w:rsidP="50538920" w:rsidRDefault="002365A8" w14:paraId="4CF25AD2" w14:textId="77777777" w14:noSpellErr="1">
      <w:pPr>
        <w:widowControl w:val="0"/>
        <w:autoSpaceDE w:val="0"/>
        <w:autoSpaceDN w:val="0"/>
        <w:jc w:val="both"/>
        <w:rPr>
          <w:rFonts w:ascii="Arial" w:hAnsi="Arial" w:eastAsia="Arial" w:cs="Arial"/>
          <w:sz w:val="21"/>
          <w:szCs w:val="21"/>
        </w:rPr>
      </w:pPr>
    </w:p>
    <w:p w:rsidRPr="005043BC" w:rsidR="002365A8" w:rsidP="50538920" w:rsidRDefault="002365A8" w14:paraId="089305C8" w14:textId="77777777" w14:noSpellErr="1">
      <w:pPr>
        <w:widowControl w:val="0"/>
        <w:autoSpaceDE w:val="0"/>
        <w:autoSpaceDN w:val="0"/>
        <w:jc w:val="both"/>
        <w:rPr>
          <w:rFonts w:ascii="Arial" w:hAnsi="Arial" w:eastAsia="Arial" w:cs="Arial"/>
          <w:sz w:val="20"/>
          <w:szCs w:val="20"/>
          <w:lang w:val="es-ES" w:eastAsia="es-ES" w:bidi="es-ES"/>
        </w:rPr>
      </w:pPr>
      <w:r w:rsidRPr="50538920" w:rsidR="4149BEA1">
        <w:rPr>
          <w:rFonts w:ascii="Arial" w:hAnsi="Arial" w:eastAsia="Arial" w:cs="Arial"/>
          <w:sz w:val="20"/>
          <w:szCs w:val="20"/>
          <w:lang w:val="es-ES" w:eastAsia="es-ES" w:bidi="es-ES"/>
        </w:rPr>
        <w:t xml:space="preserve">Aunque la ley no la definió ni desarrolló, el Decreto 1082 de 2015 califica a los convenios o contratos interadministrativos como aquella contratación entre entidades estatales. </w:t>
      </w:r>
      <w:r w:rsidRPr="50538920" w:rsidR="4149BEA1">
        <w:rPr>
          <w:rFonts w:ascii="Arial" w:hAnsi="Arial" w:eastAsia="Arial" w:cs="Arial"/>
          <w:sz w:val="20"/>
          <w:szCs w:val="20"/>
          <w:lang w:val="es-ES" w:eastAsia="es-ES" w:bidi="es-ES"/>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w:t>
      </w:r>
      <w:r w:rsidRPr="50538920" w:rsidR="4149BEA1">
        <w:rPr>
          <w:rFonts w:ascii="Arial" w:hAnsi="Arial" w:eastAsia="Arial" w:cs="Arial"/>
          <w:sz w:val="20"/>
          <w:szCs w:val="20"/>
          <w:lang w:val="es-ES" w:eastAsia="es-ES" w:bidi="es-ES"/>
        </w:rPr>
        <w:t xml:space="preserve"> </w:t>
      </w:r>
      <w:r w:rsidRPr="50538920" w:rsidR="4149BEA1">
        <w:rPr>
          <w:rFonts w:ascii="Arial" w:hAnsi="Arial" w:eastAsia="Arial" w:cs="Arial"/>
          <w:sz w:val="20"/>
          <w:szCs w:val="20"/>
          <w:lang w:val="es-ES" w:eastAsia="es-ES" w:bidi="es-ES"/>
        </w:rPr>
        <w:t>Es decir, los contratos o convenios interadministrativos están determinados por un criterio orgánico, pues es necesario que los extremos de la relación contractual sean entidades</w:t>
      </w:r>
      <w:r w:rsidRPr="50538920" w:rsidR="4149BEA1">
        <w:rPr>
          <w:rFonts w:ascii="Arial" w:hAnsi="Arial" w:eastAsia="Arial" w:cs="Arial"/>
          <w:spacing w:val="-6"/>
          <w:sz w:val="20"/>
          <w:szCs w:val="20"/>
          <w:lang w:val="es-ES" w:eastAsia="es-ES" w:bidi="es-ES"/>
        </w:rPr>
        <w:t xml:space="preserve"> </w:t>
      </w:r>
      <w:r w:rsidRPr="50538920" w:rsidR="4149BEA1">
        <w:rPr>
          <w:rFonts w:ascii="Arial" w:hAnsi="Arial" w:eastAsia="Arial" w:cs="Arial"/>
          <w:sz w:val="20"/>
          <w:szCs w:val="20"/>
          <w:lang w:val="es-ES" w:eastAsia="es-ES" w:bidi="es-ES"/>
        </w:rPr>
        <w:t>estatales.</w:t>
      </w:r>
    </w:p>
    <w:p w:rsidRPr="005043BC" w:rsidR="002365A8" w:rsidP="50538920" w:rsidRDefault="002365A8" w14:paraId="0B5174D2" w14:textId="77777777" w14:noSpellErr="1">
      <w:pPr>
        <w:tabs>
          <w:tab w:val="left" w:pos="426"/>
        </w:tabs>
        <w:jc w:val="both"/>
        <w:rPr>
          <w:rFonts w:ascii="Arial" w:hAnsi="Arial" w:eastAsia="Arial" w:cs="Arial"/>
          <w:sz w:val="21"/>
          <w:szCs w:val="21"/>
          <w:lang w:val="es-MX"/>
        </w:rPr>
      </w:pPr>
    </w:p>
    <w:p w:rsidRPr="005043BC" w:rsidR="002365A8" w:rsidP="50538920" w:rsidRDefault="002365A8" w14:paraId="4EFB4161" w14:textId="77777777" w14:noSpellErr="1">
      <w:pPr>
        <w:jc w:val="both"/>
        <w:rPr>
          <w:rFonts w:ascii="Arial" w:hAnsi="Arial" w:eastAsia="Arial" w:cs="Arial"/>
          <w:b w:val="1"/>
          <w:bCs w:val="1"/>
        </w:rPr>
      </w:pPr>
      <w:r w:rsidRPr="50538920" w:rsidR="4149BEA1">
        <w:rPr>
          <w:rFonts w:ascii="Arial" w:hAnsi="Arial" w:eastAsia="Arial" w:cs="Arial"/>
          <w:b w:val="1"/>
          <w:bCs w:val="1"/>
        </w:rPr>
        <w:t xml:space="preserve">LEY DE GARANTÍAS ELECTORALES </w:t>
      </w:r>
      <w:r w:rsidRPr="50538920" w:rsidR="4149BEA1">
        <w:rPr>
          <w:rFonts w:ascii="Arial" w:hAnsi="Arial" w:eastAsia="Arial" w:cs="Arial"/>
          <w:b w:val="1"/>
          <w:bCs w:val="1"/>
          <w:noProof/>
        </w:rPr>
        <w:t>‒</w:t>
      </w:r>
      <w:r w:rsidRPr="50538920" w:rsidR="4149BEA1">
        <w:rPr>
          <w:rFonts w:ascii="Arial" w:hAnsi="Arial" w:eastAsia="Arial" w:cs="Arial"/>
          <w:b w:val="1"/>
          <w:bCs w:val="1"/>
        </w:rPr>
        <w:t xml:space="preserve"> Prohibici</w:t>
      </w:r>
      <w:r w:rsidRPr="50538920" w:rsidR="4149BEA1">
        <w:rPr>
          <w:rFonts w:ascii="Arial" w:hAnsi="Arial" w:eastAsia="Arial" w:cs="Arial"/>
          <w:b w:val="1"/>
          <w:bCs w:val="1"/>
        </w:rPr>
        <w:t>ó</w:t>
      </w:r>
      <w:r w:rsidRPr="50538920" w:rsidR="4149BEA1">
        <w:rPr>
          <w:rFonts w:ascii="Arial" w:hAnsi="Arial" w:eastAsia="Arial" w:cs="Arial"/>
          <w:b w:val="1"/>
          <w:bCs w:val="1"/>
        </w:rPr>
        <w:t>n por elecci</w:t>
      </w:r>
      <w:r w:rsidRPr="50538920" w:rsidR="4149BEA1">
        <w:rPr>
          <w:rFonts w:ascii="Arial" w:hAnsi="Arial" w:eastAsia="Arial" w:cs="Arial"/>
          <w:b w:val="1"/>
          <w:bCs w:val="1"/>
        </w:rPr>
        <w:t>ó</w:t>
      </w:r>
      <w:r w:rsidRPr="50538920" w:rsidR="4149BEA1">
        <w:rPr>
          <w:rFonts w:ascii="Arial" w:hAnsi="Arial" w:eastAsia="Arial" w:cs="Arial"/>
          <w:b w:val="1"/>
          <w:bCs w:val="1"/>
        </w:rPr>
        <w:t xml:space="preserve">n de cargos populares </w:t>
      </w:r>
      <w:r w:rsidRPr="50538920" w:rsidR="4149BEA1">
        <w:rPr>
          <w:rFonts w:ascii="Arial" w:hAnsi="Arial" w:eastAsia="Arial" w:cs="Arial"/>
          <w:b w:val="1"/>
          <w:bCs w:val="1"/>
        </w:rPr>
        <w:t>–</w:t>
      </w:r>
      <w:r w:rsidRPr="50538920" w:rsidR="4149BEA1">
        <w:rPr>
          <w:rFonts w:ascii="Arial" w:hAnsi="Arial" w:eastAsia="Arial" w:cs="Arial"/>
          <w:b w:val="1"/>
          <w:bCs w:val="1"/>
        </w:rPr>
        <w:t xml:space="preserve"> Convenios y contratos interadministrativos – Tipología contractual – </w:t>
      </w:r>
      <w:r w:rsidRPr="50538920" w:rsidR="4149BEA1">
        <w:rPr>
          <w:rFonts w:ascii="Arial" w:hAnsi="Arial" w:eastAsia="Arial" w:cs="Arial"/>
          <w:b w:val="1"/>
          <w:bCs w:val="1"/>
        </w:rPr>
        <w:t>Modalidad de selección</w:t>
      </w:r>
    </w:p>
    <w:p w:rsidRPr="005043BC" w:rsidR="002365A8" w:rsidP="50538920" w:rsidRDefault="002365A8" w14:paraId="1807FCB5" w14:textId="77777777" w14:noSpellErr="1">
      <w:pPr>
        <w:tabs>
          <w:tab w:val="left" w:pos="426"/>
        </w:tabs>
        <w:jc w:val="both"/>
        <w:rPr>
          <w:rFonts w:ascii="Arial" w:hAnsi="Arial" w:eastAsia="Arial" w:cs="Arial"/>
          <w:sz w:val="21"/>
          <w:szCs w:val="21"/>
        </w:rPr>
      </w:pPr>
    </w:p>
    <w:p w:rsidRPr="005043BC" w:rsidR="002365A8" w:rsidP="50538920" w:rsidRDefault="002365A8" w14:paraId="057676C3" w14:textId="77777777" w14:noSpellErr="1">
      <w:pPr>
        <w:tabs>
          <w:tab w:val="left" w:pos="426"/>
        </w:tabs>
        <w:jc w:val="both"/>
        <w:rPr>
          <w:rFonts w:ascii="Arial" w:hAnsi="Arial" w:eastAsia="Arial" w:cs="Arial"/>
          <w:sz w:val="20"/>
          <w:szCs w:val="20"/>
        </w:rPr>
      </w:pPr>
      <w:r w:rsidRPr="50538920" w:rsidR="4149BEA1">
        <w:rPr>
          <w:rFonts w:ascii="Arial" w:hAnsi="Arial" w:eastAsia="Arial" w:cs="Arial"/>
          <w:sz w:val="20"/>
          <w:szCs w:val="20"/>
        </w:rPr>
        <w:t xml:space="preserve">[…] </w:t>
      </w:r>
      <w:r w:rsidRPr="50538920" w:rsidR="4149BEA1">
        <w:rPr>
          <w:rFonts w:ascii="Arial" w:hAnsi="Arial" w:eastAsia="Arial" w:cs="Arial"/>
          <w:sz w:val="20"/>
          <w:szCs w:val="20"/>
          <w:lang w:eastAsia="es-CO"/>
        </w:rPr>
        <w:t xml:space="preserve">para las elecciones del año 2023 aplica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w:t>
      </w:r>
      <w:r w:rsidRPr="50538920" w:rsidR="4149BEA1">
        <w:rPr>
          <w:rFonts w:ascii="Arial" w:hAnsi="Arial" w:eastAsia="Arial" w:cs="Arial"/>
          <w:sz w:val="20"/>
          <w:szCs w:val="20"/>
          <w:lang w:eastAsia="es-CO"/>
        </w:rPr>
        <w:t xml:space="preserve">En este sentido, las entidades territoriales no podrán celebrar tales convenios o contratos durante el </w:t>
      </w:r>
      <w:r w:rsidRPr="50538920" w:rsidR="4149BEA1">
        <w:rPr>
          <w:rFonts w:ascii="Arial" w:hAnsi="Arial" w:eastAsia="Arial" w:cs="Arial"/>
          <w:sz w:val="20"/>
          <w:szCs w:val="20"/>
          <w:lang w:eastAsia="es-CO"/>
        </w:rPr>
        <w:t>periodo de aplicación de la Ley de Garantías Electorales, de acuerdo con el parágrafo del artículo 38 de la Ley 996 de 2005.</w:t>
      </w:r>
      <w:r w:rsidRPr="50538920" w:rsidR="4149BEA1">
        <w:rPr>
          <w:rFonts w:ascii="Arial" w:hAnsi="Arial" w:eastAsia="Arial" w:cs="Arial"/>
          <w:sz w:val="20"/>
          <w:szCs w:val="20"/>
          <w:lang w:eastAsia="es-CO"/>
        </w:rPr>
        <w:t xml:space="preserve">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w:t>
      </w:r>
      <w:r w:rsidRPr="50538920" w:rsidR="4149BEA1">
        <w:rPr>
          <w:rFonts w:ascii="Arial" w:hAnsi="Arial" w:eastAsia="Arial" w:cs="Arial"/>
          <w:color w:val="000000" w:themeColor="text1" w:themeTint="FF" w:themeShade="FF"/>
          <w:sz w:val="20"/>
          <w:szCs w:val="20"/>
        </w:rPr>
        <w:t> </w:t>
      </w:r>
    </w:p>
    <w:p w:rsidRPr="005043BC" w:rsidR="002365A8" w:rsidP="50538920" w:rsidRDefault="002365A8" w14:paraId="2CB6C380" w14:textId="77777777" w14:noSpellErr="1">
      <w:pPr>
        <w:spacing w:before="240" w:after="0" w:line="276" w:lineRule="auto"/>
        <w:jc w:val="right"/>
        <w:rPr>
          <w:rFonts w:ascii="Arial" w:hAnsi="Arial" w:eastAsia="Arial" w:cs="Arial"/>
          <w:b w:val="1"/>
          <w:bCs w:val="1"/>
          <w:sz w:val="16"/>
          <w:szCs w:val="16"/>
          <w:lang w:val="es-MX" w:eastAsia="es-ES"/>
        </w:rPr>
      </w:pPr>
      <w:r w:rsidRPr="50538920">
        <w:rPr>
          <w:rFonts w:ascii="Arial" w:hAnsi="Arial" w:eastAsia="Arial" w:cs="Arial"/>
          <w:color w:val="FF0000"/>
          <w:lang w:val="es-ES"/>
        </w:rPr>
        <w:br w:type="page"/>
      </w:r>
    </w:p>
    <w:p w:rsidR="00DD5A92" w:rsidP="50538920" w:rsidRDefault="00DD5A92" w14:paraId="46C20BBD" w14:textId="0B847AE6">
      <w:pPr>
        <w:spacing w:after="0"/>
        <w:rPr>
          <w:rFonts w:ascii="Arial" w:hAnsi="Arial" w:eastAsia="Arial" w:cs="Arial"/>
        </w:rPr>
      </w:pPr>
      <w:bookmarkStart w:name="_Hlk70510939" w:id="3"/>
      <w:bookmarkEnd w:id="0"/>
      <w:bookmarkEnd w:id="1"/>
      <w:r w:rsidRPr="50538920" w:rsidR="6C23CDBB">
        <w:rPr>
          <w:rFonts w:ascii="Arial" w:hAnsi="Arial" w:eastAsia="Arial" w:cs="Arial"/>
        </w:rPr>
        <w:t>Bogotá D.C.</w:t>
      </w:r>
      <w:r w:rsidRPr="50538920" w:rsidR="46115C18">
        <w:rPr>
          <w:rFonts w:ascii="Arial" w:hAnsi="Arial" w:eastAsia="Arial" w:cs="Arial"/>
        </w:rPr>
        <w:t xml:space="preserve"> 04 de Julio de 2023</w:t>
      </w:r>
    </w:p>
    <w:p w:rsidRPr="00DD5A92" w:rsidR="00DD3215" w:rsidP="50538920" w:rsidRDefault="00DD3215" w14:paraId="2D19B0F2" w14:textId="2E754CD5">
      <w:pPr>
        <w:pStyle w:val="Normal"/>
        <w:spacing w:after="0"/>
        <w:jc w:val="right"/>
        <w:rPr>
          <w:rFonts w:ascii="Arial" w:hAnsi="Arial" w:eastAsia="Arial" w:cs="Arial"/>
        </w:rPr>
      </w:pPr>
      <w:r w:rsidR="46115C18">
        <w:drawing>
          <wp:inline wp14:editId="65450B93" wp14:anchorId="457EA052">
            <wp:extent cx="2962400" cy="802317"/>
            <wp:effectExtent l="0" t="0" r="0" b="6350"/>
            <wp:docPr id="1279125023" name="Picture 1" descr="A close-up of a label&#10;&#10;Description automatically generated with low confidence" title=""/>
            <wp:cNvGraphicFramePr>
              <a:graphicFrameLocks noChangeAspect="1"/>
            </wp:cNvGraphicFramePr>
            <a:graphic>
              <a:graphicData uri="http://schemas.openxmlformats.org/drawingml/2006/picture">
                <pic:pic>
                  <pic:nvPicPr>
                    <pic:cNvPr id="0" name="Picture 1"/>
                    <pic:cNvPicPr/>
                  </pic:nvPicPr>
                  <pic:blipFill>
                    <a:blip r:embed="R267ade23dc934b41">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2962400" cy="802317"/>
                    </a:xfrm>
                    <a:prstGeom xmlns:a="http://schemas.openxmlformats.org/drawingml/2006/main" prst="rect">
                      <a:avLst/>
                    </a:prstGeom>
                  </pic:spPr>
                </pic:pic>
              </a:graphicData>
            </a:graphic>
          </wp:inline>
        </w:drawing>
      </w:r>
    </w:p>
    <w:p w:rsidRPr="005043BC" w:rsidR="002365A8" w:rsidP="50538920" w:rsidRDefault="002365A8" w14:paraId="6470F4E1" w14:textId="77777777" w14:noSpellErr="1">
      <w:pPr>
        <w:spacing w:after="0" w:line="240" w:lineRule="auto"/>
        <w:contextualSpacing/>
        <w:jc w:val="right"/>
        <w:rPr>
          <w:rFonts w:ascii="Arial" w:hAnsi="Arial" w:eastAsia="Arial" w:cs="Arial"/>
          <w:lang w:val="es-ES"/>
        </w:rPr>
      </w:pPr>
    </w:p>
    <w:p w:rsidRPr="005043BC" w:rsidR="002365A8" w:rsidP="50538920" w:rsidRDefault="002365A8" w14:paraId="5C6F42FD" w14:textId="77777777" w14:noSpellErr="1">
      <w:pPr>
        <w:spacing w:after="0" w:line="240" w:lineRule="auto"/>
        <w:contextualSpacing/>
        <w:rPr>
          <w:rFonts w:ascii="Arial" w:hAnsi="Arial" w:eastAsia="Arial" w:cs="Arial"/>
          <w:lang w:val="es-ES"/>
        </w:rPr>
      </w:pPr>
    </w:p>
    <w:p w:rsidRPr="005043BC" w:rsidR="002365A8" w:rsidP="50538920" w:rsidRDefault="002365A8" w14:paraId="3369C94A" w14:textId="77777777" w14:noSpellErr="1">
      <w:pPr>
        <w:spacing w:after="0" w:line="240" w:lineRule="auto"/>
        <w:contextualSpacing/>
        <w:rPr>
          <w:rFonts w:ascii="Arial" w:hAnsi="Arial" w:eastAsia="Arial" w:cs="Arial"/>
          <w:lang w:val="es-ES"/>
        </w:rPr>
      </w:pPr>
      <w:r w:rsidRPr="50538920" w:rsidR="4149BEA1">
        <w:rPr>
          <w:rFonts w:ascii="Arial" w:hAnsi="Arial" w:eastAsia="Arial" w:cs="Arial"/>
          <w:lang w:val="es-ES"/>
        </w:rPr>
        <w:t>Señora</w:t>
      </w:r>
    </w:p>
    <w:p w:rsidRPr="005043BC" w:rsidR="002365A8" w:rsidP="50538920" w:rsidRDefault="002365A8" w14:paraId="7C5BEC81" w14:textId="77777777" w14:noSpellErr="1">
      <w:pPr>
        <w:spacing w:after="0" w:line="240" w:lineRule="auto"/>
        <w:contextualSpacing/>
        <w:jc w:val="both"/>
        <w:rPr>
          <w:rFonts w:ascii="Arial" w:hAnsi="Arial" w:eastAsia="Arial" w:cs="Arial"/>
          <w:b w:val="1"/>
          <w:bCs w:val="1"/>
          <w:lang w:val="es-ES"/>
        </w:rPr>
      </w:pPr>
      <w:r w:rsidRPr="50538920" w:rsidR="4149BEA1">
        <w:rPr>
          <w:rFonts w:ascii="Arial" w:hAnsi="Arial" w:eastAsia="Arial" w:cs="Arial"/>
          <w:b w:val="1"/>
          <w:bCs w:val="1"/>
          <w:lang w:val="es-ES"/>
        </w:rPr>
        <w:t>Gabriela Alejandra Ibarra Molina</w:t>
      </w:r>
    </w:p>
    <w:p w:rsidRPr="005043BC" w:rsidR="002365A8" w:rsidP="50538920" w:rsidRDefault="002365A8" w14:paraId="6D8CFBC9" w14:textId="77777777" w14:noSpellErr="1">
      <w:pPr>
        <w:spacing w:after="0" w:line="240" w:lineRule="auto"/>
        <w:contextualSpacing/>
        <w:rPr>
          <w:rFonts w:ascii="Arial" w:hAnsi="Arial" w:eastAsia="Arial" w:cs="Arial"/>
          <w:b w:val="1"/>
          <w:bCs w:val="1"/>
          <w:lang w:val="es-ES"/>
        </w:rPr>
      </w:pPr>
      <w:r w:rsidRPr="50538920" w:rsidR="4149BEA1">
        <w:rPr>
          <w:rFonts w:ascii="Arial" w:hAnsi="Arial" w:eastAsia="Arial" w:cs="Arial"/>
          <w:lang w:val="es-MX"/>
        </w:rPr>
        <w:t>Ciudad</w:t>
      </w:r>
    </w:p>
    <w:p w:rsidR="50538920" w:rsidP="50538920" w:rsidRDefault="50538920" w14:paraId="1260F0F8" w14:textId="12C5A16F">
      <w:pPr>
        <w:pStyle w:val="Normal"/>
        <w:spacing w:after="0" w:line="240" w:lineRule="auto"/>
        <w:contextualSpacing/>
        <w:rPr>
          <w:rFonts w:ascii="Arial" w:hAnsi="Arial" w:eastAsia="Arial" w:cs="Arial"/>
          <w:lang w:val="es-MX"/>
        </w:rPr>
      </w:pPr>
    </w:p>
    <w:p w:rsidR="3B8F62DC" w:rsidP="50538920" w:rsidRDefault="3B8F62DC" w14:paraId="5703D142" w14:textId="5C97B834">
      <w:pPr>
        <w:pStyle w:val="Normal"/>
        <w:spacing w:after="0" w:line="240" w:lineRule="auto"/>
        <w:contextualSpacing/>
        <w:rPr>
          <w:rFonts w:ascii="Arial" w:hAnsi="Arial" w:eastAsia="Arial" w:cs="Arial"/>
        </w:rPr>
      </w:pPr>
      <w:r w:rsidR="3B8F62DC">
        <w:rPr/>
        <w:t xml:space="preserve">   </w:t>
      </w:r>
    </w:p>
    <w:p w:rsidR="50538920" w:rsidP="50538920" w:rsidRDefault="50538920" w14:paraId="6A2A515D" w14:textId="6FD334FA">
      <w:pPr>
        <w:spacing w:after="0" w:line="240" w:lineRule="auto"/>
        <w:ind w:left="2124" w:firstLine="708"/>
        <w:contextualSpacing/>
        <w:rPr>
          <w:rFonts w:ascii="Arial" w:hAnsi="Arial" w:eastAsia="Arial" w:cs="Arial"/>
          <w:b w:val="1"/>
          <w:bCs w:val="1"/>
          <w:lang w:val="es-ES"/>
        </w:rPr>
      </w:pPr>
    </w:p>
    <w:p w:rsidR="50538920" w:rsidP="50538920" w:rsidRDefault="50538920" w14:paraId="044D8A42" w14:textId="658C02F9">
      <w:pPr>
        <w:spacing w:after="0" w:line="240" w:lineRule="auto"/>
        <w:ind w:left="2124" w:firstLine="708"/>
        <w:contextualSpacing/>
        <w:rPr>
          <w:rFonts w:ascii="Arial" w:hAnsi="Arial" w:eastAsia="Arial" w:cs="Arial"/>
          <w:b w:val="1"/>
          <w:bCs w:val="1"/>
          <w:lang w:val="es-ES"/>
        </w:rPr>
      </w:pPr>
    </w:p>
    <w:p w:rsidRPr="005043BC" w:rsidR="002365A8" w:rsidP="50538920" w:rsidRDefault="002365A8" w14:paraId="54A42FA6" w14:textId="77777777" w14:noSpellErr="1">
      <w:pPr>
        <w:spacing w:after="0" w:line="240" w:lineRule="auto"/>
        <w:ind w:left="2124" w:firstLine="708"/>
        <w:contextualSpacing/>
        <w:rPr>
          <w:rFonts w:ascii="Arial" w:hAnsi="Arial" w:eastAsia="Arial" w:cs="Arial"/>
          <w:b w:val="1"/>
          <w:bCs w:val="1"/>
          <w:lang w:val="es-ES"/>
        </w:rPr>
      </w:pPr>
      <w:r w:rsidRPr="50538920" w:rsidR="4149BEA1">
        <w:rPr>
          <w:rFonts w:ascii="Arial" w:hAnsi="Arial" w:eastAsia="Arial" w:cs="Arial"/>
          <w:b w:val="1"/>
          <w:bCs w:val="1"/>
          <w:lang w:val="es-ES"/>
        </w:rPr>
        <w:t>Concepto C – 251 de 2023</w:t>
      </w:r>
    </w:p>
    <w:p w:rsidRPr="005043BC" w:rsidR="002365A8" w:rsidP="50538920" w:rsidRDefault="002365A8" w14:paraId="39C4E738" w14:textId="77777777" w14:noSpellErr="1">
      <w:pPr>
        <w:spacing w:after="0" w:line="240" w:lineRule="auto"/>
        <w:ind w:left="2824" w:hanging="2818"/>
        <w:contextualSpacing/>
        <w:jc w:val="both"/>
        <w:rPr>
          <w:rFonts w:ascii="Arial" w:hAnsi="Arial" w:eastAsia="Arial" w:cs="Arial"/>
          <w:b w:val="1"/>
          <w:bCs w:val="1"/>
          <w:lang w:val="es-ES"/>
        </w:rPr>
      </w:pPr>
    </w:p>
    <w:p w:rsidRPr="005043BC" w:rsidR="002365A8" w:rsidP="50538920" w:rsidRDefault="002365A8" w14:paraId="51E7291B" w14:textId="4B6D05CD">
      <w:pPr>
        <w:spacing w:after="0" w:line="240" w:lineRule="auto"/>
        <w:ind w:left="2832" w:hanging="2184"/>
        <w:contextualSpacing/>
        <w:jc w:val="both"/>
        <w:rPr>
          <w:rFonts w:ascii="Arial" w:hAnsi="Arial" w:eastAsia="Arial" w:cs="Arial"/>
          <w:lang w:val="es-MX"/>
        </w:rPr>
      </w:pPr>
      <w:r w:rsidRPr="50538920" w:rsidR="4149BEA1">
        <w:rPr>
          <w:rFonts w:ascii="Arial" w:hAnsi="Arial" w:eastAsia="Arial" w:cs="Arial"/>
          <w:b w:val="1"/>
          <w:bCs w:val="1"/>
          <w:lang w:val="es-ES"/>
        </w:rPr>
        <w:t>Temas</w:t>
      </w:r>
      <w:r w:rsidRPr="50538920" w:rsidR="4149BEA1">
        <w:rPr>
          <w:rFonts w:ascii="Arial" w:hAnsi="Arial" w:eastAsia="Arial" w:cs="Arial"/>
          <w:lang w:val="es-ES"/>
        </w:rPr>
        <w:t xml:space="preserve">: </w:t>
      </w:r>
      <w:r>
        <w:tab/>
      </w:r>
      <w:r w:rsidRPr="50538920" w:rsidR="4E3B1F41">
        <w:rPr>
          <w:rFonts w:ascii="Arial" w:hAnsi="Arial" w:eastAsia="Arial" w:cs="Arial"/>
          <w:lang w:val="es-ES"/>
        </w:rPr>
        <w:t xml:space="preserve">        </w:t>
      </w:r>
      <w:r w:rsidRPr="50538920" w:rsidR="4149BEA1">
        <w:rPr>
          <w:rFonts w:ascii="Arial" w:hAnsi="Arial" w:eastAsia="Arial" w:cs="Arial"/>
          <w:lang w:val="es-ES"/>
        </w:rPr>
        <w:t xml:space="preserve">LEY DE GARANTÍAS ELECTORALES – Definición – Finalidad / LEY DE GARANTÍAS ELECTORALES – Restricciones /  LEY DE GARANTÍAS ELECTORALES </w:t>
      </w:r>
      <w:r w:rsidRPr="50538920" w:rsidR="4149BEA1">
        <w:rPr>
          <w:rFonts w:ascii="Arial" w:hAnsi="Arial" w:eastAsia="Arial" w:cs="Arial"/>
          <w:noProof/>
          <w:lang w:val="es-ES"/>
        </w:rPr>
        <w:t>‒</w:t>
      </w:r>
      <w:r w:rsidRPr="50538920" w:rsidR="4149BEA1">
        <w:rPr>
          <w:rFonts w:ascii="Arial" w:hAnsi="Arial" w:eastAsia="Arial" w:cs="Arial"/>
          <w:lang w:val="es-ES"/>
        </w:rPr>
        <w:t xml:space="preserve"> Prohibici</w:t>
      </w:r>
      <w:r w:rsidRPr="50538920" w:rsidR="4149BEA1">
        <w:rPr>
          <w:rFonts w:ascii="Arial" w:hAnsi="Arial" w:eastAsia="Arial" w:cs="Arial"/>
          <w:lang w:val="es-ES"/>
        </w:rPr>
        <w:t>ó</w:t>
      </w:r>
      <w:r w:rsidRPr="50538920" w:rsidR="4149BEA1">
        <w:rPr>
          <w:rFonts w:ascii="Arial" w:hAnsi="Arial" w:eastAsia="Arial" w:cs="Arial"/>
          <w:lang w:val="es-ES"/>
        </w:rPr>
        <w:t>n por elecci</w:t>
      </w:r>
      <w:r w:rsidRPr="50538920" w:rsidR="4149BEA1">
        <w:rPr>
          <w:rFonts w:ascii="Arial" w:hAnsi="Arial" w:eastAsia="Arial" w:cs="Arial"/>
          <w:lang w:val="es-ES"/>
        </w:rPr>
        <w:t>ó</w:t>
      </w:r>
      <w:r w:rsidRPr="50538920" w:rsidR="4149BEA1">
        <w:rPr>
          <w:rFonts w:ascii="Arial" w:hAnsi="Arial" w:eastAsia="Arial" w:cs="Arial"/>
          <w:lang w:val="es-ES"/>
        </w:rPr>
        <w:t xml:space="preserve">n de cargos populares </w:t>
      </w:r>
      <w:r w:rsidRPr="50538920" w:rsidR="4149BEA1">
        <w:rPr>
          <w:rFonts w:ascii="Arial" w:hAnsi="Arial" w:eastAsia="Arial" w:cs="Arial"/>
          <w:lang w:val="es-ES"/>
        </w:rPr>
        <w:t>–</w:t>
      </w:r>
      <w:r w:rsidRPr="50538920" w:rsidR="4149BEA1">
        <w:rPr>
          <w:rFonts w:ascii="Arial" w:hAnsi="Arial" w:eastAsia="Arial" w:cs="Arial"/>
          <w:lang w:val="es-ES"/>
        </w:rPr>
        <w:t xml:space="preserve"> Convenios y contratos interadministrativos </w:t>
      </w:r>
      <w:r w:rsidRPr="50538920" w:rsidR="4149BEA1">
        <w:rPr>
          <w:rFonts w:ascii="Arial" w:hAnsi="Arial" w:eastAsia="Arial" w:cs="Arial"/>
          <w:lang w:val="es-ES"/>
        </w:rPr>
        <w:t>–</w:t>
      </w:r>
      <w:r w:rsidRPr="50538920" w:rsidR="4149BEA1">
        <w:rPr>
          <w:rFonts w:ascii="Arial" w:hAnsi="Arial" w:eastAsia="Arial" w:cs="Arial"/>
          <w:lang w:val="es-ES"/>
        </w:rPr>
        <w:t xml:space="preserve"> Alcance / LEY DE GARANT</w:t>
      </w:r>
      <w:r w:rsidRPr="50538920" w:rsidR="4149BEA1">
        <w:rPr>
          <w:rFonts w:ascii="Arial" w:hAnsi="Arial" w:eastAsia="Arial" w:cs="Arial"/>
          <w:lang w:val="es-ES"/>
        </w:rPr>
        <w:t>Í</w:t>
      </w:r>
      <w:r w:rsidRPr="50538920" w:rsidR="4149BEA1">
        <w:rPr>
          <w:rFonts w:ascii="Arial" w:hAnsi="Arial" w:eastAsia="Arial" w:cs="Arial"/>
          <w:lang w:val="es-ES"/>
        </w:rPr>
        <w:t xml:space="preserve">AS ELECTORALES </w:t>
      </w:r>
      <w:r w:rsidRPr="50538920" w:rsidR="4149BEA1">
        <w:rPr>
          <w:rFonts w:ascii="Arial" w:hAnsi="Arial" w:eastAsia="Arial" w:cs="Arial"/>
          <w:noProof/>
          <w:lang w:val="es-ES"/>
        </w:rPr>
        <w:t>‒</w:t>
      </w:r>
      <w:r w:rsidRPr="50538920" w:rsidR="4149BEA1">
        <w:rPr>
          <w:rFonts w:ascii="Arial" w:hAnsi="Arial" w:eastAsia="Arial" w:cs="Arial"/>
          <w:lang w:val="es-ES"/>
        </w:rPr>
        <w:t xml:space="preserve"> Prohibici</w:t>
      </w:r>
      <w:r w:rsidRPr="50538920" w:rsidR="4149BEA1">
        <w:rPr>
          <w:rFonts w:ascii="Arial" w:hAnsi="Arial" w:eastAsia="Arial" w:cs="Arial"/>
          <w:lang w:val="es-ES"/>
        </w:rPr>
        <w:t>ó</w:t>
      </w:r>
      <w:r w:rsidRPr="50538920" w:rsidR="4149BEA1">
        <w:rPr>
          <w:rFonts w:ascii="Arial" w:hAnsi="Arial" w:eastAsia="Arial" w:cs="Arial"/>
          <w:lang w:val="es-ES"/>
        </w:rPr>
        <w:t>n por elecci</w:t>
      </w:r>
      <w:r w:rsidRPr="50538920" w:rsidR="4149BEA1">
        <w:rPr>
          <w:rFonts w:ascii="Arial" w:hAnsi="Arial" w:eastAsia="Arial" w:cs="Arial"/>
          <w:lang w:val="es-ES"/>
        </w:rPr>
        <w:t>ó</w:t>
      </w:r>
      <w:r w:rsidRPr="50538920" w:rsidR="4149BEA1">
        <w:rPr>
          <w:rFonts w:ascii="Arial" w:hAnsi="Arial" w:eastAsia="Arial" w:cs="Arial"/>
          <w:lang w:val="es-ES"/>
        </w:rPr>
        <w:t xml:space="preserve">n de cargos populares </w:t>
      </w:r>
      <w:r w:rsidRPr="50538920" w:rsidR="4149BEA1">
        <w:rPr>
          <w:rFonts w:ascii="Arial" w:hAnsi="Arial" w:eastAsia="Arial" w:cs="Arial"/>
          <w:lang w:val="es-ES"/>
        </w:rPr>
        <w:t>–</w:t>
      </w:r>
      <w:r w:rsidRPr="50538920" w:rsidR="4149BEA1">
        <w:rPr>
          <w:rFonts w:ascii="Arial" w:hAnsi="Arial" w:eastAsia="Arial" w:cs="Arial"/>
          <w:lang w:val="es-ES"/>
        </w:rPr>
        <w:t xml:space="preserve"> Convenios y contratos interadministrativos – Definición – Criterio orgánico / LEY DE GARANTÍAS ELECTORALES </w:t>
      </w:r>
      <w:r w:rsidRPr="50538920" w:rsidR="4149BEA1">
        <w:rPr>
          <w:rFonts w:ascii="Arial" w:hAnsi="Arial" w:eastAsia="Arial" w:cs="Arial"/>
          <w:noProof/>
          <w:lang w:val="es-ES"/>
        </w:rPr>
        <w:t>‒</w:t>
      </w:r>
      <w:r w:rsidRPr="50538920" w:rsidR="4149BEA1">
        <w:rPr>
          <w:rFonts w:ascii="Arial" w:hAnsi="Arial" w:eastAsia="Arial" w:cs="Arial"/>
          <w:lang w:val="es-ES"/>
        </w:rPr>
        <w:t xml:space="preserve"> Prohibici</w:t>
      </w:r>
      <w:r w:rsidRPr="50538920" w:rsidR="4149BEA1">
        <w:rPr>
          <w:rFonts w:ascii="Arial" w:hAnsi="Arial" w:eastAsia="Arial" w:cs="Arial"/>
          <w:lang w:val="es-ES"/>
        </w:rPr>
        <w:t>ó</w:t>
      </w:r>
      <w:r w:rsidRPr="50538920" w:rsidR="4149BEA1">
        <w:rPr>
          <w:rFonts w:ascii="Arial" w:hAnsi="Arial" w:eastAsia="Arial" w:cs="Arial"/>
          <w:lang w:val="es-ES"/>
        </w:rPr>
        <w:t>n por elecci</w:t>
      </w:r>
      <w:r w:rsidRPr="50538920" w:rsidR="4149BEA1">
        <w:rPr>
          <w:rFonts w:ascii="Arial" w:hAnsi="Arial" w:eastAsia="Arial" w:cs="Arial"/>
          <w:lang w:val="es-ES"/>
        </w:rPr>
        <w:t>ó</w:t>
      </w:r>
      <w:r w:rsidRPr="50538920" w:rsidR="4149BEA1">
        <w:rPr>
          <w:rFonts w:ascii="Arial" w:hAnsi="Arial" w:eastAsia="Arial" w:cs="Arial"/>
          <w:lang w:val="es-ES"/>
        </w:rPr>
        <w:t xml:space="preserve">n de cargos populares </w:t>
      </w:r>
      <w:r w:rsidRPr="50538920" w:rsidR="4149BEA1">
        <w:rPr>
          <w:rFonts w:ascii="Arial" w:hAnsi="Arial" w:eastAsia="Arial" w:cs="Arial"/>
          <w:lang w:val="es-ES"/>
        </w:rPr>
        <w:t>–</w:t>
      </w:r>
      <w:r w:rsidRPr="50538920" w:rsidR="4149BEA1">
        <w:rPr>
          <w:rFonts w:ascii="Arial" w:hAnsi="Arial" w:eastAsia="Arial" w:cs="Arial"/>
          <w:lang w:val="es-ES"/>
        </w:rPr>
        <w:t xml:space="preserve"> Convenios y contratos interadministrativos </w:t>
      </w:r>
      <w:r w:rsidRPr="50538920" w:rsidR="4149BEA1">
        <w:rPr>
          <w:rFonts w:ascii="Arial" w:hAnsi="Arial" w:eastAsia="Arial" w:cs="Arial"/>
          <w:lang w:val="es-ES"/>
        </w:rPr>
        <w:t>–</w:t>
      </w:r>
      <w:r w:rsidRPr="50538920" w:rsidR="4149BEA1">
        <w:rPr>
          <w:rFonts w:ascii="Arial" w:hAnsi="Arial" w:eastAsia="Arial" w:cs="Arial"/>
          <w:lang w:val="es-ES"/>
        </w:rPr>
        <w:t xml:space="preserve"> Tipología contractual – Modalidad de selección</w:t>
      </w:r>
    </w:p>
    <w:p w:rsidRPr="005043BC" w:rsidR="002365A8" w:rsidP="50538920" w:rsidRDefault="002365A8" w14:paraId="2C20E1E0" w14:textId="77777777" w14:noSpellErr="1">
      <w:pPr>
        <w:spacing w:after="0" w:line="240" w:lineRule="auto"/>
        <w:ind w:left="2835" w:hanging="2835"/>
        <w:contextualSpacing/>
        <w:jc w:val="both"/>
        <w:rPr>
          <w:rFonts w:ascii="Arial" w:hAnsi="Arial" w:eastAsia="Arial" w:cs="Arial"/>
          <w:b w:val="1"/>
          <w:bCs w:val="1"/>
          <w:lang w:val="es-ES"/>
        </w:rPr>
      </w:pPr>
    </w:p>
    <w:p w:rsidRPr="005043BC" w:rsidR="002365A8" w:rsidP="50538920" w:rsidRDefault="002365A8" w14:paraId="04862BE4" w14:textId="77777777" w14:noSpellErr="1">
      <w:pPr>
        <w:spacing w:after="0" w:line="240" w:lineRule="auto"/>
        <w:ind w:left="2835" w:hanging="2835"/>
        <w:contextualSpacing/>
        <w:jc w:val="both"/>
        <w:rPr>
          <w:rFonts w:ascii="Arial" w:hAnsi="Arial" w:eastAsia="Arial" w:cs="Arial"/>
          <w:lang w:val="es-ES"/>
        </w:rPr>
      </w:pPr>
      <w:r w:rsidRPr="50538920" w:rsidR="4149BEA1">
        <w:rPr>
          <w:rFonts w:ascii="Arial" w:hAnsi="Arial" w:eastAsia="Arial" w:cs="Arial"/>
          <w:b w:val="1"/>
          <w:bCs w:val="1"/>
          <w:lang w:val="es-ES"/>
        </w:rPr>
        <w:t>Radicación</w:t>
      </w:r>
      <w:r w:rsidRPr="50538920" w:rsidR="4149BEA1">
        <w:rPr>
          <w:rFonts w:ascii="Arial" w:hAnsi="Arial" w:eastAsia="Arial" w:cs="Arial"/>
          <w:lang w:val="es-ES"/>
        </w:rPr>
        <w:t>:</w:t>
      </w:r>
      <w:r>
        <w:tab/>
      </w:r>
      <w:r w:rsidRPr="50538920" w:rsidR="4149BEA1">
        <w:rPr>
          <w:rFonts w:ascii="Arial" w:hAnsi="Arial" w:eastAsia="Arial" w:cs="Arial"/>
          <w:lang w:val="es-ES"/>
        </w:rPr>
        <w:t>Respuesta a consulta P20230525011621</w:t>
      </w:r>
    </w:p>
    <w:p w:rsidRPr="005043BC" w:rsidR="002365A8" w:rsidP="50538920" w:rsidRDefault="002365A8" w14:paraId="2A4E7151" w14:textId="77777777" w14:noSpellErr="1">
      <w:pPr>
        <w:spacing w:after="0" w:line="240" w:lineRule="auto"/>
        <w:contextualSpacing/>
        <w:rPr>
          <w:rFonts w:ascii="Arial" w:hAnsi="Arial" w:eastAsia="Arial" w:cs="Arial"/>
          <w:lang w:val="es-ES"/>
        </w:rPr>
      </w:pPr>
    </w:p>
    <w:p w:rsidRPr="005043BC" w:rsidR="002365A8" w:rsidP="50538920" w:rsidRDefault="002365A8" w14:paraId="1E5DFFB4" w14:textId="77777777" w14:noSpellErr="1">
      <w:pPr>
        <w:spacing w:after="0" w:line="240" w:lineRule="auto"/>
        <w:contextualSpacing/>
        <w:rPr>
          <w:rFonts w:ascii="Arial" w:hAnsi="Arial" w:eastAsia="Arial" w:cs="Arial"/>
          <w:lang w:val="es-ES"/>
        </w:rPr>
      </w:pPr>
      <w:r w:rsidRPr="50538920" w:rsidR="4149BEA1">
        <w:rPr>
          <w:rFonts w:ascii="Arial" w:hAnsi="Arial" w:eastAsia="Arial" w:cs="Arial"/>
          <w:lang w:val="es-ES"/>
        </w:rPr>
        <w:t xml:space="preserve">Estimada señora Ibarra,   </w:t>
      </w:r>
    </w:p>
    <w:p w:rsidRPr="005043BC" w:rsidR="002365A8" w:rsidP="50538920" w:rsidRDefault="002365A8" w14:paraId="1727569D" w14:textId="77777777" w14:noSpellErr="1">
      <w:pPr>
        <w:spacing w:after="0" w:line="240" w:lineRule="auto"/>
        <w:contextualSpacing/>
        <w:rPr>
          <w:rFonts w:ascii="Arial" w:hAnsi="Arial" w:eastAsia="Arial" w:cs="Arial"/>
          <w:lang w:val="es-ES"/>
        </w:rPr>
      </w:pPr>
    </w:p>
    <w:p w:rsidRPr="005043BC" w:rsidR="002365A8" w:rsidP="50538920" w:rsidRDefault="002365A8" w14:paraId="5B327DAE" w14:textId="77777777" w14:noSpellErr="1">
      <w:pPr>
        <w:spacing w:after="120" w:line="276" w:lineRule="auto"/>
        <w:ind w:right="51"/>
        <w:jc w:val="both"/>
        <w:rPr>
          <w:rFonts w:ascii="Arial" w:hAnsi="Arial" w:eastAsia="Arial" w:cs="Arial"/>
          <w:lang w:val="es-MX"/>
        </w:rPr>
      </w:pPr>
      <w:r w:rsidRPr="50538920" w:rsidR="4149BEA1">
        <w:rPr>
          <w:rFonts w:ascii="Arial" w:hAnsi="Arial" w:eastAsia="Arial" w:cs="Arial"/>
        </w:rPr>
        <w:t>En ejercicio de la competencia otorgada por el numeral 8 del artículo 11 y el numeral 5 del artículo 3 del Decreto Ley 4170 de 2011, la Agencia Nacional de Contratación Pública – Colombia Compra Eficiente responde su consulta del 24 de mayo de 2023, remitida por el Departamento Administrativo de la Función Pública con oficio remisorio No.</w:t>
      </w:r>
      <w:r w:rsidRPr="50538920" w:rsidR="4149BEA1">
        <w:rPr>
          <w:rFonts w:ascii="Arial" w:hAnsi="Arial" w:eastAsia="Arial" w:cs="Arial"/>
        </w:rPr>
        <w:t xml:space="preserve"> </w:t>
      </w:r>
      <w:r w:rsidRPr="50538920" w:rsidR="4149BEA1">
        <w:rPr>
          <w:rFonts w:ascii="Arial" w:hAnsi="Arial" w:eastAsia="Arial" w:cs="Arial"/>
        </w:rPr>
        <w:t xml:space="preserve">20232040199441. </w:t>
      </w:r>
      <w:r w:rsidRPr="50538920" w:rsidR="4149BEA1">
        <w:rPr>
          <w:rFonts w:ascii="Arial" w:hAnsi="Arial" w:eastAsia="Arial" w:cs="Arial"/>
          <w:lang w:val="es-MX"/>
        </w:rPr>
        <w:t xml:space="preserve">     </w:t>
      </w:r>
    </w:p>
    <w:p w:rsidRPr="005043BC" w:rsidR="002365A8" w:rsidP="50538920" w:rsidRDefault="002365A8" w14:paraId="3B0C6257" w14:textId="77777777" w14:noSpellErr="1">
      <w:pPr>
        <w:spacing w:after="0" w:line="276" w:lineRule="auto"/>
        <w:contextualSpacing/>
        <w:rPr>
          <w:rFonts w:ascii="Arial" w:hAnsi="Arial" w:eastAsia="Arial" w:cs="Arial"/>
          <w:b w:val="1"/>
          <w:bCs w:val="1"/>
          <w:lang w:val="es-MX"/>
        </w:rPr>
      </w:pPr>
    </w:p>
    <w:p w:rsidRPr="005043BC" w:rsidR="002365A8" w:rsidP="50538920" w:rsidRDefault="002365A8" w14:paraId="65256D2F" w14:textId="77777777" w14:noSpellErr="1">
      <w:pPr>
        <w:spacing w:after="0" w:line="276" w:lineRule="auto"/>
        <w:contextualSpacing/>
        <w:rPr>
          <w:rFonts w:ascii="Arial" w:hAnsi="Arial" w:eastAsia="Arial" w:cs="Arial"/>
          <w:b w:val="1"/>
          <w:bCs w:val="1"/>
          <w:lang w:val="es-ES"/>
        </w:rPr>
      </w:pPr>
      <w:r w:rsidRPr="50538920" w:rsidR="4149BEA1">
        <w:rPr>
          <w:rFonts w:ascii="Arial" w:hAnsi="Arial" w:eastAsia="Arial" w:cs="Arial"/>
          <w:b w:val="1"/>
          <w:bCs w:val="1"/>
          <w:lang w:val="es-ES"/>
        </w:rPr>
        <w:t xml:space="preserve">1. Problema planteado </w:t>
      </w:r>
    </w:p>
    <w:p w:rsidRPr="005043BC" w:rsidR="002365A8" w:rsidP="50538920" w:rsidRDefault="002365A8" w14:paraId="67DA8C26" w14:textId="77777777" w14:noSpellErr="1">
      <w:pPr>
        <w:spacing w:after="0" w:line="276" w:lineRule="auto"/>
        <w:contextualSpacing/>
        <w:jc w:val="both"/>
        <w:rPr>
          <w:rFonts w:ascii="Arial" w:hAnsi="Arial" w:eastAsia="Arial" w:cs="Arial"/>
          <w:lang w:val="es-ES"/>
        </w:rPr>
      </w:pPr>
    </w:p>
    <w:p w:rsidRPr="005043BC" w:rsidR="002365A8" w:rsidP="50538920" w:rsidRDefault="002365A8" w14:paraId="463F731C" w14:textId="77777777" w14:noSpellErr="1">
      <w:pPr>
        <w:spacing w:after="0" w:line="276" w:lineRule="auto"/>
        <w:contextualSpacing/>
        <w:jc w:val="both"/>
        <w:rPr>
          <w:rFonts w:ascii="Arial" w:hAnsi="Arial" w:eastAsia="Arial" w:cs="Arial"/>
          <w:lang w:val="es-ES"/>
        </w:rPr>
      </w:pPr>
      <w:r w:rsidRPr="50538920" w:rsidR="4149BEA1">
        <w:rPr>
          <w:rFonts w:ascii="Arial" w:hAnsi="Arial" w:eastAsia="Arial" w:cs="Arial"/>
          <w:lang w:val="es-ES"/>
        </w:rPr>
        <w:t xml:space="preserve">Respecto de la Ley de Garantías Electorales, usted formula la siguiente consulta sobre un contrato de prestación de servicios que tiene con un municipio de sexta categoría: </w:t>
      </w:r>
    </w:p>
    <w:p w:rsidRPr="005043BC" w:rsidR="002365A8" w:rsidP="50538920" w:rsidRDefault="002365A8" w14:paraId="0B2FC2D4" w14:textId="77777777" w14:noSpellErr="1">
      <w:pPr>
        <w:spacing w:after="0" w:line="276" w:lineRule="auto"/>
        <w:contextualSpacing/>
        <w:jc w:val="both"/>
        <w:rPr>
          <w:rFonts w:ascii="Arial" w:hAnsi="Arial" w:eastAsia="Arial" w:cs="Arial"/>
          <w:lang w:val="es-ES"/>
        </w:rPr>
      </w:pPr>
    </w:p>
    <w:p w:rsidRPr="005043BC" w:rsidR="002365A8" w:rsidP="50538920" w:rsidRDefault="002365A8" w14:paraId="425207B2" w14:textId="77777777" w14:noSpellErr="1">
      <w:pPr>
        <w:spacing w:after="0" w:line="240" w:lineRule="auto"/>
        <w:ind w:left="567" w:right="788"/>
        <w:contextualSpacing/>
        <w:jc w:val="both"/>
        <w:rPr>
          <w:rFonts w:ascii="Arial" w:hAnsi="Arial" w:eastAsia="Arial" w:cs="Arial"/>
          <w:sz w:val="21"/>
          <w:szCs w:val="21"/>
          <w:lang w:val="es-ES"/>
        </w:rPr>
      </w:pPr>
      <w:r w:rsidRPr="50538920" w:rsidR="4149BEA1">
        <w:rPr>
          <w:rFonts w:ascii="Arial" w:hAnsi="Arial" w:eastAsia="Arial" w:cs="Arial"/>
          <w:sz w:val="21"/>
          <w:szCs w:val="21"/>
          <w:lang w:val="es-ES"/>
        </w:rPr>
        <w:t xml:space="preserve">“mi pregunta es la siguiente: </w:t>
      </w:r>
      <w:r w:rsidRPr="50538920" w:rsidR="4149BEA1">
        <w:rPr>
          <w:rFonts w:ascii="Arial" w:hAnsi="Arial" w:eastAsia="Arial" w:cs="Arial"/>
          <w:sz w:val="21"/>
          <w:szCs w:val="21"/>
          <w:lang w:val="es-ES"/>
        </w:rPr>
        <w:t>sabiendo que este año es electoral y que empieza la ley de garantías de contratación que va hasta el mes de octubre una vez terminada mi licencia de maternidad entre el mes de agosto y septiembre, la alcaldía puede renovarme el contrato estando en ley de garantías?</w:t>
      </w:r>
      <w:r w:rsidRPr="50538920" w:rsidR="4149BEA1">
        <w:rPr>
          <w:rFonts w:ascii="Arial" w:hAnsi="Arial" w:eastAsia="Arial" w:cs="Arial"/>
          <w:sz w:val="21"/>
          <w:szCs w:val="21"/>
          <w:lang w:val="es-ES"/>
        </w:rPr>
        <w:t>” (SIC).</w:t>
      </w:r>
    </w:p>
    <w:p w:rsidRPr="005043BC" w:rsidR="002365A8" w:rsidP="50538920" w:rsidRDefault="002365A8" w14:paraId="5FFE18D8" w14:textId="77777777" w14:noSpellErr="1">
      <w:pPr>
        <w:spacing w:after="0" w:line="240" w:lineRule="auto"/>
        <w:ind w:left="567" w:right="788"/>
        <w:contextualSpacing/>
        <w:jc w:val="both"/>
        <w:rPr>
          <w:rFonts w:ascii="Arial" w:hAnsi="Arial" w:eastAsia="Arial" w:cs="Arial"/>
          <w:sz w:val="21"/>
          <w:szCs w:val="21"/>
          <w:lang w:val="es-ES"/>
        </w:rPr>
      </w:pPr>
    </w:p>
    <w:p w:rsidR="50538920" w:rsidP="50538920" w:rsidRDefault="50538920" w14:paraId="0D3C9679" w14:textId="6C90FD58">
      <w:pPr>
        <w:spacing w:after="0" w:line="240" w:lineRule="auto"/>
        <w:contextualSpacing/>
        <w:rPr>
          <w:rFonts w:ascii="Arial" w:hAnsi="Arial" w:eastAsia="Arial" w:cs="Arial"/>
          <w:b w:val="1"/>
          <w:bCs w:val="1"/>
          <w:lang w:val="es-ES"/>
        </w:rPr>
      </w:pPr>
    </w:p>
    <w:p w:rsidR="50538920" w:rsidP="50538920" w:rsidRDefault="50538920" w14:paraId="7CA068B9" w14:textId="513B8652">
      <w:pPr>
        <w:spacing w:after="0" w:line="240" w:lineRule="auto"/>
        <w:contextualSpacing/>
        <w:rPr>
          <w:rFonts w:ascii="Arial" w:hAnsi="Arial" w:eastAsia="Arial" w:cs="Arial"/>
          <w:b w:val="1"/>
          <w:bCs w:val="1"/>
          <w:lang w:val="es-ES"/>
        </w:rPr>
      </w:pPr>
    </w:p>
    <w:p w:rsidRPr="005043BC" w:rsidR="002365A8" w:rsidP="50538920" w:rsidRDefault="002365A8" w14:paraId="320C06DD" w14:textId="77777777" w14:noSpellErr="1">
      <w:pPr>
        <w:spacing w:after="0" w:line="240" w:lineRule="auto"/>
        <w:contextualSpacing/>
        <w:rPr>
          <w:rFonts w:ascii="Arial" w:hAnsi="Arial" w:eastAsia="Arial" w:cs="Arial"/>
          <w:b w:val="1"/>
          <w:bCs w:val="1"/>
          <w:lang w:val="es-ES"/>
        </w:rPr>
      </w:pPr>
      <w:r w:rsidRPr="50538920" w:rsidR="4149BEA1">
        <w:rPr>
          <w:rFonts w:ascii="Arial" w:hAnsi="Arial" w:eastAsia="Arial" w:cs="Arial"/>
          <w:b w:val="1"/>
          <w:bCs w:val="1"/>
          <w:lang w:val="es-ES"/>
        </w:rPr>
        <w:t xml:space="preserve">2. Consideraciones </w:t>
      </w:r>
    </w:p>
    <w:p w:rsidRPr="005043BC" w:rsidR="002365A8" w:rsidP="50538920" w:rsidRDefault="002365A8" w14:paraId="12701172" w14:textId="77777777" w14:noSpellErr="1">
      <w:pPr>
        <w:spacing w:after="0" w:line="240" w:lineRule="auto"/>
        <w:contextualSpacing/>
        <w:jc w:val="both"/>
        <w:rPr>
          <w:rFonts w:ascii="Arial" w:hAnsi="Arial" w:eastAsia="Arial" w:cs="Arial"/>
          <w:lang w:val="es-ES"/>
        </w:rPr>
      </w:pPr>
    </w:p>
    <w:p w:rsidRPr="005043BC" w:rsidR="002365A8" w:rsidP="50538920" w:rsidRDefault="002365A8" w14:paraId="705A0EFD" w14:textId="6D2860B6" w14:noSpellErr="1">
      <w:pPr>
        <w:spacing w:after="120" w:line="276" w:lineRule="auto"/>
        <w:jc w:val="both"/>
        <w:rPr>
          <w:rFonts w:ascii="Arial" w:hAnsi="Arial" w:eastAsia="Arial" w:cs="Arial"/>
          <w:color w:val="000000" w:themeColor="text1"/>
        </w:rPr>
      </w:pPr>
      <w:r w:rsidRPr="50538920" w:rsidR="4149BEA1">
        <w:rPr>
          <w:rFonts w:ascii="Arial" w:hAnsi="Arial" w:eastAsia="Arial" w:cs="Arial"/>
          <w:lang w:val="es-ES"/>
        </w:rPr>
        <w:t xml:space="preserve">De acuerdo con su solicitud, resulta necesario mencionar que </w:t>
      </w:r>
      <w:r w:rsidRPr="50538920" w:rsidR="4149BEA1">
        <w:rPr>
          <w:rFonts w:ascii="Arial" w:hAnsi="Arial" w:eastAsia="Arial" w:cs="Arial"/>
        </w:rPr>
        <w:t xml:space="preserve">en </w:t>
      </w:r>
      <w:bookmarkStart w:name="_Hlk61026958" w:id="4"/>
      <w:bookmarkStart w:name="_Hlk61701014" w:id="5"/>
      <w:r w:rsidRPr="50538920" w:rsidR="4149BEA1">
        <w:rPr>
          <w:rFonts w:ascii="Arial" w:hAnsi="Arial" w:eastAsia="Arial" w:cs="Arial"/>
          <w:color w:val="000000" w:themeColor="text1" w:themeTint="FF" w:themeShade="FF"/>
        </w:rPr>
        <w:t>ejercicio de las competencias establecidas en los artículos 3</w:t>
      </w:r>
      <w:r w:rsidRPr="50538920" w:rsidR="6C23CDBB">
        <w:rPr>
          <w:rFonts w:ascii="Arial" w:hAnsi="Arial" w:eastAsia="Arial" w:cs="Arial"/>
          <w:color w:val="000000" w:themeColor="text1" w:themeTint="FF" w:themeShade="FF"/>
        </w:rPr>
        <w:t xml:space="preserve">, numeral </w:t>
      </w:r>
      <w:r w:rsidRPr="50538920" w:rsidR="4149BEA1">
        <w:rPr>
          <w:rFonts w:ascii="Arial" w:hAnsi="Arial" w:eastAsia="Arial" w:cs="Arial"/>
          <w:color w:val="000000" w:themeColor="text1" w:themeTint="FF" w:themeShade="FF"/>
        </w:rPr>
        <w:t>5</w:t>
      </w:r>
      <w:r w:rsidRPr="50538920" w:rsidR="6C23CDBB">
        <w:rPr>
          <w:rFonts w:ascii="Arial" w:hAnsi="Arial" w:eastAsia="Arial" w:cs="Arial"/>
          <w:color w:val="000000" w:themeColor="text1" w:themeTint="FF" w:themeShade="FF"/>
        </w:rPr>
        <w:t>°</w:t>
      </w:r>
      <w:r w:rsidRPr="50538920" w:rsidR="4149BEA1">
        <w:rPr>
          <w:rFonts w:ascii="Arial" w:hAnsi="Arial" w:eastAsia="Arial" w:cs="Arial"/>
          <w:color w:val="000000" w:themeColor="text1" w:themeTint="FF" w:themeShade="FF"/>
        </w:rPr>
        <w:t xml:space="preserve"> y 11</w:t>
      </w:r>
      <w:r w:rsidRPr="50538920" w:rsidR="6C23CDBB">
        <w:rPr>
          <w:rFonts w:ascii="Arial" w:hAnsi="Arial" w:eastAsia="Arial" w:cs="Arial"/>
          <w:color w:val="000000" w:themeColor="text1" w:themeTint="FF" w:themeShade="FF"/>
        </w:rPr>
        <w:t xml:space="preserve">, numeral </w:t>
      </w:r>
      <w:r w:rsidRPr="50538920" w:rsidR="4149BEA1">
        <w:rPr>
          <w:rFonts w:ascii="Arial" w:hAnsi="Arial" w:eastAsia="Arial" w:cs="Arial"/>
          <w:color w:val="000000" w:themeColor="text1" w:themeTint="FF" w:themeShade="FF"/>
        </w:rPr>
        <w:t>8</w:t>
      </w:r>
      <w:r w:rsidRPr="50538920" w:rsidR="6C23CDBB">
        <w:rPr>
          <w:rFonts w:ascii="Arial" w:hAnsi="Arial" w:eastAsia="Arial" w:cs="Arial"/>
          <w:color w:val="000000" w:themeColor="text1" w:themeTint="FF" w:themeShade="FF"/>
        </w:rPr>
        <w:t>°</w:t>
      </w:r>
      <w:r w:rsidRPr="50538920" w:rsidR="4149BEA1">
        <w:rPr>
          <w:rFonts w:ascii="Arial" w:hAnsi="Arial" w:eastAsia="Arial" w:cs="Arial"/>
          <w:color w:val="000000" w:themeColor="text1" w:themeTint="FF" w:themeShade="FF"/>
        </w:rPr>
        <w:t xml:space="preserve"> del Decreto 4170 de 2011, la Agencia Nacional de Contratación Pública – Colombia Compra Eficiente resuelve consultas sobre </w:t>
      </w:r>
      <w:r w:rsidRPr="50538920" w:rsidR="4149BEA1">
        <w:rPr>
          <w:rFonts w:ascii="Arial" w:hAnsi="Arial" w:eastAsia="Arial" w:cs="Arial"/>
          <w:color w:val="000000" w:themeColor="text1" w:themeTint="FF" w:themeShade="FF"/>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50538920" w:rsidR="4149BEA1">
        <w:rPr>
          <w:rFonts w:ascii="Arial" w:hAnsi="Arial" w:eastAsia="Arial" w:cs="Arial"/>
          <w:color w:val="000000" w:themeColor="text1" w:themeTint="FF" w:themeShade="FF"/>
        </w:rPr>
        <w:t xml:space="preserve"> de todos los partícipes de la contratación estatal.</w:t>
      </w:r>
    </w:p>
    <w:p w:rsidRPr="005043BC" w:rsidR="002365A8" w:rsidP="50538920" w:rsidRDefault="002365A8" w14:paraId="49FDF22D" w14:textId="77777777" w14:noSpellErr="1">
      <w:pPr>
        <w:spacing w:after="120" w:line="276" w:lineRule="auto"/>
        <w:ind w:firstLine="708"/>
        <w:jc w:val="both"/>
        <w:rPr>
          <w:rFonts w:ascii="Arial" w:hAnsi="Arial" w:eastAsia="Arial" w:cs="Arial"/>
          <w:lang w:val="es-ES"/>
        </w:rPr>
      </w:pPr>
      <w:r w:rsidRPr="50538920" w:rsidR="4149BEA1">
        <w:rPr>
          <w:rFonts w:ascii="Arial" w:hAnsi="Arial" w:eastAsia="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50538920">
        <w:rPr>
          <w:rFonts w:ascii="Arial" w:hAnsi="Arial" w:eastAsia="Arial" w:cs="Arial"/>
          <w:vertAlign w:val="superscript"/>
        </w:rPr>
        <w:footnoteReference w:id="2"/>
      </w:r>
      <w:r w:rsidRPr="50538920" w:rsidR="4149BEA1">
        <w:rPr>
          <w:rFonts w:ascii="Arial" w:hAnsi="Arial" w:eastAsia="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50538920" w:rsidR="4149BEA1">
        <w:rPr>
          <w:rFonts w:ascii="Arial" w:hAnsi="Arial" w:eastAsia="Arial"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p>
    <w:p w:rsidRPr="005043BC" w:rsidR="002365A8" w:rsidP="50538920" w:rsidRDefault="002365A8" w14:paraId="2E408257" w14:textId="77777777">
      <w:pPr>
        <w:spacing w:before="120" w:after="120" w:line="276" w:lineRule="auto"/>
        <w:ind w:firstLine="709"/>
        <w:jc w:val="both"/>
        <w:rPr>
          <w:rFonts w:ascii="Arial" w:hAnsi="Arial" w:eastAsia="Arial" w:cs="Arial"/>
          <w:lang w:val="es-MX"/>
        </w:rPr>
      </w:pPr>
      <w:r w:rsidRPr="50538920" w:rsidR="4149BEA1">
        <w:rPr>
          <w:rFonts w:ascii="Arial" w:hAnsi="Arial" w:eastAsia="Arial" w:cs="Arial"/>
          <w:color w:val="000000" w:themeColor="text1" w:themeTint="FF" w:themeShade="FF"/>
          <w:lang w:eastAsia="es-CO"/>
        </w:rPr>
        <w:t>Bajo estas consideraciones, la Agencia</w:t>
      </w:r>
      <w:r w:rsidRPr="50538920" w:rsidR="4149BEA1">
        <w:rPr>
          <w:rFonts w:ascii="Arial" w:hAnsi="Arial" w:eastAsia="Arial" w:cs="Arial"/>
          <w:color w:val="000000" w:themeColor="text1" w:themeTint="FF" w:themeShade="FF"/>
          <w:lang w:val="es-ES"/>
        </w:rPr>
        <w:t xml:space="preserve">, dentro de los límites de las atribuciones de la función consultiva atribuida a esta entidad, esto es, interpretando de manera general las normas relevantes, absolverá el interrogante formulado. </w:t>
      </w:r>
      <w:r w:rsidRPr="50538920" w:rsidR="4149BEA1">
        <w:rPr>
          <w:rFonts w:ascii="Arial" w:hAnsi="Arial" w:eastAsia="Arial" w:cs="Arial"/>
          <w:lang w:val="es-ES"/>
        </w:rPr>
        <w:t xml:space="preserve">Para responder su solicitud, esta Subdirección analizará los siguientes temas: </w:t>
      </w:r>
      <w:r w:rsidRPr="50538920" w:rsidR="4149BEA1">
        <w:rPr>
          <w:rFonts w:ascii="Arial" w:hAnsi="Arial" w:eastAsia="Arial" w:cs="Arial"/>
          <w:lang w:val="es-MX"/>
        </w:rPr>
        <w:t xml:space="preserve">i) definición y finalidad de la Ley de Garantías Electorales y </w:t>
      </w:r>
      <w:r w:rsidRPr="50538920" w:rsidR="4149BEA1">
        <w:rPr>
          <w:rFonts w:ascii="Arial" w:hAnsi="Arial" w:eastAsia="Arial" w:cs="Arial"/>
          <w:lang w:val="es-MX"/>
        </w:rPr>
        <w:t>ii</w:t>
      </w:r>
      <w:r w:rsidRPr="50538920" w:rsidR="4149BEA1">
        <w:rPr>
          <w:rFonts w:ascii="Arial" w:hAnsi="Arial" w:eastAsia="Arial" w:cs="Arial"/>
          <w:lang w:val="es-MX"/>
        </w:rPr>
        <w:t xml:space="preserve">) restricciones en los comicios para cargos de elección popular. </w:t>
      </w:r>
      <w:bookmarkStart w:name="_Hlk96420693" w:id="6"/>
    </w:p>
    <w:p w:rsidRPr="005043BC" w:rsidR="002365A8" w:rsidP="50538920" w:rsidRDefault="002365A8" w14:paraId="7BD4FCD9" w14:textId="36AF62D1" w14:noSpellErr="1">
      <w:pPr>
        <w:spacing w:after="0" w:line="276" w:lineRule="auto"/>
        <w:ind w:firstLine="708"/>
        <w:jc w:val="both"/>
        <w:rPr>
          <w:rFonts w:ascii="Arial" w:hAnsi="Arial" w:eastAsia="Arial" w:cs="Arial"/>
          <w:lang w:val="es-ES"/>
        </w:rPr>
      </w:pPr>
      <w:r w:rsidRPr="50538920" w:rsidR="4149BEA1">
        <w:rPr>
          <w:rFonts w:ascii="Arial" w:hAnsi="Arial" w:eastAsia="Arial" w:cs="Arial"/>
          <w:lang w:val="es-ES"/>
        </w:rPr>
        <w:t xml:space="preserve">La Agencia Nacional de Contratación Pública – Colombia Compra Eficiente ha impartido lineamientos sobre la aplicación de la Ley 996 de 2005 y también se ha pronunciado al respecto, entre otros, en los, C-634 del 11 de noviembre de 2021, C-636 del 16 de noviembre de 2021, C-674 del 6 de diciembre de 2021, C-677 del 4 de diciembre de 2021, C-695 del 22 de diciembre de 2021, C-699 del 6 de enero de 2022, C-700 del 6 de enero de 2021, C-723 del 28 de diciembre de 2021, </w:t>
      </w:r>
      <w:r w:rsidRPr="50538920" w:rsidR="4149BEA1">
        <w:rPr>
          <w:rFonts w:ascii="Arial" w:hAnsi="Arial" w:eastAsia="Arial" w:cs="Arial"/>
          <w:lang w:val="es-MX"/>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C-608 del 23 de septiembre de 2022, C-049 del 13 de abril de 2023</w:t>
      </w:r>
      <w:r w:rsidRPr="50538920" w:rsidR="6C23CDBB">
        <w:rPr>
          <w:rFonts w:ascii="Arial" w:hAnsi="Arial" w:eastAsia="Arial" w:cs="Arial"/>
          <w:lang w:val="es-MX"/>
        </w:rPr>
        <w:t xml:space="preserve">, </w:t>
      </w:r>
      <w:r w:rsidRPr="50538920" w:rsidR="4149BEA1">
        <w:rPr>
          <w:rFonts w:ascii="Arial" w:hAnsi="Arial" w:eastAsia="Arial" w:cs="Arial"/>
          <w:lang w:val="es-MX"/>
        </w:rPr>
        <w:t>C-116 del 8 de mayo de 2023</w:t>
      </w:r>
      <w:r w:rsidRPr="50538920" w:rsidR="6C23CDBB">
        <w:rPr>
          <w:rFonts w:ascii="Arial" w:hAnsi="Arial" w:eastAsia="Arial" w:cs="Arial"/>
          <w:lang w:val="es-MX"/>
        </w:rPr>
        <w:t>, entre otros</w:t>
      </w:r>
      <w:r w:rsidRPr="50538920" w:rsidR="4149BEA1">
        <w:rPr>
          <w:rFonts w:ascii="Arial" w:hAnsi="Arial" w:eastAsia="Arial" w:cs="Arial"/>
          <w:lang w:val="es-ES"/>
        </w:rPr>
        <w:t>. La tesis desarrollada en estos conceptos se reitera y complementa a continuación</w:t>
      </w:r>
      <w:r w:rsidRPr="50538920" w:rsidR="6C23CDBB">
        <w:rPr>
          <w:rFonts w:ascii="Arial" w:hAnsi="Arial" w:eastAsia="Arial" w:cs="Arial"/>
          <w:lang w:val="es-ES"/>
        </w:rPr>
        <w:t>.</w:t>
      </w:r>
      <w:bookmarkEnd w:id="6"/>
    </w:p>
    <w:p w:rsidRPr="005043BC" w:rsidR="002365A8" w:rsidP="50538920" w:rsidRDefault="002365A8" w14:paraId="34F50858" w14:textId="77777777" w14:noSpellErr="1">
      <w:pPr>
        <w:tabs>
          <w:tab w:val="left" w:pos="426"/>
        </w:tabs>
        <w:spacing w:after="0" w:line="276" w:lineRule="auto"/>
        <w:contextualSpacing/>
        <w:jc w:val="both"/>
        <w:rPr>
          <w:rFonts w:ascii="Arial" w:hAnsi="Arial" w:eastAsia="Arial" w:cs="Arial"/>
          <w:lang w:val="es-ES"/>
        </w:rPr>
      </w:pPr>
    </w:p>
    <w:p w:rsidRPr="005043BC" w:rsidR="002365A8" w:rsidP="50538920" w:rsidRDefault="002365A8" w14:paraId="374DE705" w14:textId="77777777" w14:noSpellErr="1">
      <w:pPr>
        <w:tabs>
          <w:tab w:val="left" w:pos="426"/>
        </w:tabs>
        <w:spacing w:after="0" w:line="276" w:lineRule="auto"/>
        <w:contextualSpacing/>
        <w:jc w:val="both"/>
        <w:rPr>
          <w:rFonts w:ascii="Arial" w:hAnsi="Arial" w:eastAsia="Arial" w:cs="Arial"/>
          <w:b w:val="1"/>
          <w:bCs w:val="1"/>
          <w:lang w:val="es-MX"/>
        </w:rPr>
      </w:pPr>
      <w:r w:rsidRPr="50538920" w:rsidR="4149BEA1">
        <w:rPr>
          <w:rFonts w:ascii="Arial" w:hAnsi="Arial" w:eastAsia="Arial" w:cs="Arial"/>
          <w:b w:val="1"/>
          <w:bCs w:val="1"/>
          <w:lang w:val="es-MX"/>
        </w:rPr>
        <w:t>2.1. Definición y finalidad de la Ley de Garantías Electorales: alcance de las restricciones</w:t>
      </w:r>
    </w:p>
    <w:p w:rsidRPr="005043BC" w:rsidR="002365A8" w:rsidP="50538920" w:rsidRDefault="002365A8" w14:paraId="42A4767F" w14:textId="77777777" w14:noSpellErr="1">
      <w:pPr>
        <w:tabs>
          <w:tab w:val="left" w:pos="426"/>
        </w:tabs>
        <w:spacing w:after="0" w:line="276" w:lineRule="auto"/>
        <w:ind w:firstLine="709"/>
        <w:contextualSpacing/>
        <w:jc w:val="both"/>
        <w:rPr>
          <w:rFonts w:ascii="Arial" w:hAnsi="Arial" w:eastAsia="Arial" w:cs="Arial"/>
          <w:lang w:val="es-MX"/>
        </w:rPr>
      </w:pPr>
    </w:p>
    <w:p w:rsidRPr="005043BC" w:rsidR="002365A8" w:rsidP="50538920" w:rsidRDefault="002365A8" w14:paraId="3A62AB25" w14:textId="77777777" w14:noSpellErr="1">
      <w:pPr>
        <w:tabs>
          <w:tab w:val="left" w:pos="426"/>
        </w:tabs>
        <w:spacing w:after="120" w:line="276" w:lineRule="auto"/>
        <w:jc w:val="both"/>
        <w:rPr>
          <w:rFonts w:ascii="Arial" w:hAnsi="Arial" w:eastAsia="Arial" w:cs="Arial"/>
          <w:lang w:val="es-MX" w:eastAsia="es-CO"/>
        </w:rPr>
      </w:pPr>
      <w:r w:rsidRPr="50538920" w:rsidR="4149BEA1">
        <w:rPr>
          <w:rFonts w:ascii="Arial" w:hAnsi="Arial" w:eastAsia="Arial" w:cs="Arial"/>
          <w:lang w:val="es-MX"/>
        </w:rPr>
        <w:t>El ordenamiento jurídico colombiano contempla previsiones claras para evitar la obtención de beneficios personales en asuntos propios de la administración pública</w:t>
      </w:r>
      <w:r w:rsidRPr="50538920" w:rsidR="4149BEA1">
        <w:rPr>
          <w:rFonts w:ascii="Arial" w:hAnsi="Arial" w:eastAsia="Arial" w:cs="Arial"/>
          <w:i w:val="1"/>
          <w:iCs w:val="1"/>
          <w:lang w:val="es-MX"/>
        </w:rPr>
        <w:t xml:space="preserve">. </w:t>
      </w:r>
      <w:r w:rsidRPr="50538920" w:rsidR="4149BEA1">
        <w:rPr>
          <w:rFonts w:ascii="Arial" w:hAnsi="Arial" w:eastAsia="Arial" w:cs="Arial"/>
          <w:lang w:val="es-MX"/>
        </w:rPr>
        <w:t xml:space="preserve">Por ejemplo, el artículo 127 de la Constitución Política establece una prohibición contractual a los servidores públicos y en cuanto a aspectos políticos </w:t>
      </w:r>
      <w:r w:rsidRPr="50538920" w:rsidR="4149BEA1">
        <w:rPr>
          <w:rFonts w:ascii="Arial" w:hAnsi="Arial" w:eastAsia="Arial" w:cs="Arial"/>
          <w:lang w:val="es-MX"/>
        </w:rPr>
        <w:t>consagra restricciones a ciertos empleados del Estado, incluso en época no electoral</w:t>
      </w:r>
      <w:r w:rsidRPr="50538920">
        <w:rPr>
          <w:rFonts w:ascii="Arial" w:hAnsi="Arial" w:eastAsia="Arial" w:cs="Arial"/>
          <w:vertAlign w:val="superscript"/>
          <w:lang w:val="es-MX"/>
        </w:rPr>
        <w:footnoteReference w:id="3"/>
      </w:r>
      <w:r w:rsidRPr="50538920" w:rsidR="4149BEA1">
        <w:rPr>
          <w:rFonts w:ascii="Arial" w:hAnsi="Arial" w:eastAsia="Arial" w:cs="Arial"/>
          <w:lang w:val="es-MX"/>
        </w:rPr>
        <w:t xml:space="preserve">. </w:t>
      </w:r>
    </w:p>
    <w:p w:rsidRPr="005043BC" w:rsidR="002365A8" w:rsidP="50538920" w:rsidRDefault="002365A8" w14:paraId="764C8F71" w14:textId="77777777" w14:noSpellErr="1">
      <w:pPr>
        <w:tabs>
          <w:tab w:val="left" w:pos="426"/>
        </w:tabs>
        <w:spacing w:after="0" w:line="276" w:lineRule="auto"/>
        <w:ind w:firstLine="709"/>
        <w:jc w:val="both"/>
        <w:rPr>
          <w:rFonts w:ascii="Arial" w:hAnsi="Arial" w:eastAsia="Arial" w:cs="Arial"/>
          <w:lang w:val="es-MX" w:eastAsia="es-CO"/>
        </w:rPr>
      </w:pPr>
      <w:r w:rsidRPr="50538920" w:rsidR="4149BEA1">
        <w:rPr>
          <w:rFonts w:ascii="Arial" w:hAnsi="Arial" w:eastAsia="Arial" w:cs="Arial"/>
          <w:lang w:val="es-MX" w:eastAsia="es-CO"/>
        </w:rPr>
        <w:t xml:space="preserve">En el mismo sentido, </w:t>
      </w:r>
      <w:bookmarkStart w:name="_Hlk99576829" w:id="7"/>
      <w:r w:rsidRPr="50538920" w:rsidR="4149BEA1">
        <w:rPr>
          <w:rFonts w:ascii="Arial" w:hAnsi="Arial" w:eastAsia="Arial" w:cs="Arial"/>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50538920">
        <w:rPr>
          <w:rFonts w:ascii="Arial" w:hAnsi="Arial" w:eastAsia="Arial" w:cs="Arial"/>
          <w:vertAlign w:val="superscript"/>
          <w:lang w:val="es-MX" w:eastAsia="es-CO"/>
        </w:rPr>
        <w:footnoteReference w:id="4"/>
      </w:r>
      <w:r w:rsidRPr="50538920" w:rsidR="4149BEA1">
        <w:rPr>
          <w:rFonts w:ascii="Arial" w:hAnsi="Arial" w:eastAsia="Arial" w:cs="Arial"/>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50538920" w:rsidR="4149BEA1">
        <w:rPr>
          <w:rFonts w:ascii="Arial" w:hAnsi="Arial" w:eastAsia="Arial" w:cs="Arial"/>
          <w:lang w:val="es-ES"/>
        </w:rPr>
        <w:t xml:space="preserve"> </w:t>
      </w:r>
      <w:bookmarkEnd w:id="7"/>
      <w:r w:rsidRPr="50538920" w:rsidR="4149BEA1">
        <w:rPr>
          <w:rFonts w:ascii="Arial" w:hAnsi="Arial" w:eastAsia="Arial" w:cs="Arial"/>
          <w:lang w:val="es-MX" w:eastAsia="es-CO"/>
        </w:rPr>
        <w:t>En armonía con lo anterior, la Corte Constitucional ha abordado la definición de la Ley de Garantías Electorales. De esta manera, explica que tiene como propósito:</w:t>
      </w:r>
    </w:p>
    <w:p w:rsidRPr="005043BC" w:rsidR="002365A8" w:rsidP="50538920" w:rsidRDefault="002365A8" w14:paraId="7227DC8E" w14:textId="77777777" w14:noSpellErr="1">
      <w:pPr>
        <w:spacing w:after="0" w:line="240" w:lineRule="auto"/>
        <w:ind w:right="709"/>
        <w:contextualSpacing/>
        <w:jc w:val="both"/>
        <w:rPr>
          <w:rFonts w:ascii="Arial" w:hAnsi="Arial" w:eastAsia="Arial" w:cs="Arial"/>
          <w:color w:val="FF0000"/>
          <w:lang w:val="es-ES" w:eastAsia="es-CO"/>
        </w:rPr>
      </w:pPr>
    </w:p>
    <w:p w:rsidRPr="005043BC" w:rsidR="002365A8" w:rsidP="50538920" w:rsidRDefault="000E1E38" w14:paraId="7E45332F" w14:textId="3341462B" w14:noSpellErr="1">
      <w:pPr>
        <w:spacing w:after="0" w:line="240" w:lineRule="auto"/>
        <w:ind w:left="709" w:right="709"/>
        <w:contextualSpacing/>
        <w:jc w:val="both"/>
        <w:rPr>
          <w:rFonts w:ascii="Arial" w:hAnsi="Arial" w:eastAsia="Arial" w:cs="Arial"/>
          <w:sz w:val="21"/>
          <w:szCs w:val="21"/>
          <w:lang w:val="es-MX" w:eastAsia="es-CO"/>
        </w:rPr>
      </w:pPr>
      <w:r w:rsidRPr="50538920" w:rsidR="4C51B490">
        <w:rPr>
          <w:rFonts w:ascii="Arial" w:hAnsi="Arial" w:eastAsia="Arial" w:cs="Arial"/>
          <w:sz w:val="21"/>
          <w:szCs w:val="21"/>
          <w:lang w:val="es-ES" w:eastAsia="es-CO"/>
        </w:rPr>
        <w:t>“</w:t>
      </w:r>
      <w:r w:rsidRPr="50538920" w:rsidR="4149BEA1">
        <w:rPr>
          <w:rFonts w:ascii="Arial" w:hAnsi="Arial" w:eastAsia="Arial" w:cs="Arial"/>
          <w:sz w:val="21"/>
          <w:szCs w:val="21"/>
          <w:lang w:val="es-ES" w:eastAsia="es-CO"/>
        </w:rPr>
        <w:t xml:space="preserve">[…] </w:t>
      </w:r>
      <w:r w:rsidRPr="50538920" w:rsidR="4149BEA1">
        <w:rPr>
          <w:rFonts w:ascii="Arial" w:hAnsi="Arial" w:eastAsia="Arial" w:cs="Arial"/>
          <w:sz w:val="21"/>
          <w:szCs w:val="21"/>
          <w:lang w:val="es-MX" w:eastAsia="es-CO"/>
        </w:rPr>
        <w:t>la definición de reglas claras que permitan acceder a los canales de expresión democrática de manera efectiva e igualitaria. El objetivo de una ley de garantías es definir esas reglas.</w:t>
      </w:r>
    </w:p>
    <w:p w:rsidRPr="005043BC" w:rsidR="002365A8" w:rsidP="50538920" w:rsidRDefault="002365A8" w14:paraId="3FC99F2A" w14:textId="77777777" w14:noSpellErr="1">
      <w:pPr>
        <w:spacing w:after="0" w:line="240" w:lineRule="auto"/>
        <w:ind w:left="709" w:right="709"/>
        <w:contextualSpacing/>
        <w:jc w:val="both"/>
        <w:rPr>
          <w:rFonts w:ascii="Arial" w:hAnsi="Arial" w:eastAsia="Arial" w:cs="Arial"/>
          <w:sz w:val="21"/>
          <w:szCs w:val="21"/>
          <w:lang w:val="es-MX" w:eastAsia="es-CO"/>
        </w:rPr>
      </w:pPr>
    </w:p>
    <w:p w:rsidRPr="005043BC" w:rsidR="002365A8" w:rsidP="50538920" w:rsidRDefault="002365A8" w14:paraId="34EBE94C" w14:textId="77777777" w14:noSpellErr="1">
      <w:pPr>
        <w:spacing w:after="0" w:line="240" w:lineRule="auto"/>
        <w:ind w:left="709" w:right="709"/>
        <w:contextualSpacing/>
        <w:jc w:val="both"/>
        <w:rPr>
          <w:rFonts w:ascii="Arial" w:hAnsi="Arial" w:eastAsia="Arial" w:cs="Arial"/>
          <w:sz w:val="21"/>
          <w:szCs w:val="21"/>
          <w:lang w:val="es-MX" w:eastAsia="es-CO"/>
        </w:rPr>
      </w:pPr>
      <w:r w:rsidRPr="50538920" w:rsidR="4149BEA1">
        <w:rPr>
          <w:rFonts w:ascii="Arial" w:hAnsi="Arial" w:eastAsia="Arial" w:cs="Arial"/>
          <w:sz w:val="21"/>
          <w:szCs w:val="21"/>
          <w:lang w:val="es-MX" w:eastAsia="es-CO"/>
        </w:rPr>
        <w:t xml:space="preserve">[…] </w:t>
      </w:r>
    </w:p>
    <w:p w:rsidRPr="005043BC" w:rsidR="002365A8" w:rsidP="50538920" w:rsidRDefault="002365A8" w14:paraId="5961D6AF" w14:textId="77777777" w14:noSpellErr="1">
      <w:pPr>
        <w:spacing w:after="0" w:line="240" w:lineRule="auto"/>
        <w:ind w:right="709"/>
        <w:contextualSpacing/>
        <w:jc w:val="both"/>
        <w:rPr>
          <w:rFonts w:ascii="Arial" w:hAnsi="Arial" w:eastAsia="Arial" w:cs="Arial"/>
          <w:sz w:val="21"/>
          <w:szCs w:val="21"/>
          <w:lang w:val="es-MX" w:eastAsia="es-CO"/>
        </w:rPr>
      </w:pPr>
    </w:p>
    <w:p w:rsidRPr="005043BC" w:rsidR="002365A8" w:rsidP="50538920" w:rsidRDefault="002365A8" w14:paraId="1975DBC2" w14:textId="016EC492" w14:noSpellErr="1">
      <w:pPr>
        <w:spacing w:after="0" w:line="240" w:lineRule="auto"/>
        <w:ind w:left="709" w:right="709"/>
        <w:contextualSpacing/>
        <w:jc w:val="both"/>
        <w:rPr>
          <w:rFonts w:ascii="Arial" w:hAnsi="Arial" w:eastAsia="Arial" w:cs="Arial"/>
          <w:sz w:val="21"/>
          <w:szCs w:val="21"/>
          <w:lang w:val="es-MX" w:eastAsia="es-CO"/>
        </w:rPr>
      </w:pPr>
      <w:r w:rsidRPr="50538920" w:rsidR="4149BEA1">
        <w:rPr>
          <w:rFonts w:ascii="Arial" w:hAnsi="Arial" w:eastAsia="Arial" w:cs="Arial"/>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w:t>
      </w:r>
      <w:r w:rsidRPr="50538920" w:rsidR="4149BEA1">
        <w:rPr>
          <w:rFonts w:ascii="Arial" w:hAnsi="Arial" w:eastAsia="Arial" w:cs="Arial"/>
          <w:sz w:val="21"/>
          <w:szCs w:val="21"/>
          <w:lang w:val="es-MX" w:eastAsia="es-CO"/>
        </w:rPr>
        <w:t>las ideas y las propuestas las que definan el ascenso al poder, y no el músculo económico de los que se lo disputan</w:t>
      </w:r>
      <w:r w:rsidRPr="50538920" w:rsidR="4C51B490">
        <w:rPr>
          <w:rFonts w:ascii="Arial" w:hAnsi="Arial" w:eastAsia="Arial" w:cs="Arial"/>
          <w:sz w:val="21"/>
          <w:szCs w:val="21"/>
          <w:lang w:val="es-MX" w:eastAsia="es-CO"/>
        </w:rPr>
        <w:t>”</w:t>
      </w:r>
      <w:r w:rsidRPr="50538920">
        <w:rPr>
          <w:rFonts w:ascii="Arial" w:hAnsi="Arial" w:eastAsia="Arial" w:cs="Arial"/>
          <w:sz w:val="21"/>
          <w:szCs w:val="21"/>
          <w:vertAlign w:val="superscript"/>
          <w:lang w:val="es-MX"/>
        </w:rPr>
        <w:footnoteReference w:id="5"/>
      </w:r>
    </w:p>
    <w:p w:rsidRPr="005043BC" w:rsidR="002365A8" w:rsidP="50538920" w:rsidRDefault="002365A8" w14:paraId="597C4F55" w14:textId="77777777" w14:noSpellErr="1">
      <w:pPr>
        <w:spacing w:after="0" w:line="276" w:lineRule="auto"/>
        <w:ind w:left="708" w:right="709"/>
        <w:contextualSpacing/>
        <w:jc w:val="both"/>
        <w:rPr>
          <w:rFonts w:ascii="Arial" w:hAnsi="Arial" w:eastAsia="Arial" w:cs="Arial"/>
          <w:lang w:val="es-MX" w:eastAsia="es-CO"/>
        </w:rPr>
      </w:pPr>
    </w:p>
    <w:p w:rsidRPr="005043BC" w:rsidR="002365A8" w:rsidP="50538920" w:rsidRDefault="002365A8" w14:paraId="10FC5004" w14:textId="77777777" w14:noSpellErr="1">
      <w:pPr>
        <w:spacing w:after="0" w:line="276" w:lineRule="auto"/>
        <w:ind w:firstLine="709"/>
        <w:contextualSpacing/>
        <w:jc w:val="both"/>
        <w:rPr>
          <w:rFonts w:ascii="Arial" w:hAnsi="Arial" w:eastAsia="Arial" w:cs="Arial"/>
          <w:lang w:val="es-MX" w:eastAsia="es-CO"/>
        </w:rPr>
      </w:pPr>
      <w:bookmarkStart w:name="_Hlk78818186" w:id="8"/>
      <w:r w:rsidRPr="50538920" w:rsidR="4149BEA1">
        <w:rPr>
          <w:rFonts w:ascii="Arial" w:hAnsi="Arial" w:eastAsia="Arial" w:cs="Arial"/>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8"/>
      <w:r w:rsidRPr="50538920" w:rsidR="4149BEA1">
        <w:rPr>
          <w:rFonts w:ascii="Arial" w:hAnsi="Arial" w:eastAsia="Arial" w:cs="Arial"/>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rsidRPr="005043BC" w:rsidR="002365A8" w:rsidP="50538920" w:rsidRDefault="002365A8" w14:paraId="3A965EA7" w14:textId="77777777" w14:noSpellErr="1">
      <w:pPr>
        <w:spacing w:after="0" w:line="276" w:lineRule="auto"/>
        <w:ind w:firstLine="709"/>
        <w:contextualSpacing/>
        <w:jc w:val="both"/>
        <w:rPr>
          <w:rFonts w:ascii="Arial" w:hAnsi="Arial" w:eastAsia="Arial" w:cs="Arial"/>
          <w:lang w:val="es-MX" w:eastAsia="es-CO"/>
        </w:rPr>
      </w:pPr>
    </w:p>
    <w:p w:rsidRPr="005043BC" w:rsidR="002365A8" w:rsidP="50538920" w:rsidRDefault="00A42C7B" w14:paraId="35BA0529" w14:textId="73218374">
      <w:pPr>
        <w:spacing w:after="0" w:line="240" w:lineRule="auto"/>
        <w:ind w:left="709" w:right="709"/>
        <w:contextualSpacing/>
        <w:jc w:val="both"/>
        <w:rPr>
          <w:rFonts w:ascii="Arial" w:hAnsi="Arial" w:eastAsia="Arial" w:cs="Arial"/>
          <w:sz w:val="21"/>
          <w:szCs w:val="21"/>
          <w:lang w:val="es-MX" w:eastAsia="es-CO"/>
        </w:rPr>
      </w:pPr>
      <w:r w:rsidRPr="50538920" w:rsidR="6AB36CE8">
        <w:rPr>
          <w:rFonts w:ascii="Arial" w:hAnsi="Arial" w:eastAsia="Arial" w:cs="Arial"/>
          <w:sz w:val="21"/>
          <w:szCs w:val="21"/>
          <w:lang w:val="es-MX" w:eastAsia="es-CO"/>
        </w:rPr>
        <w:t>“</w:t>
      </w:r>
      <w:r w:rsidRPr="50538920" w:rsidR="4149BEA1">
        <w:rPr>
          <w:rFonts w:ascii="Arial" w:hAnsi="Arial" w:eastAsia="Arial" w:cs="Arial"/>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r w:rsidRPr="50538920" w:rsidR="4149BEA1">
        <w:rPr>
          <w:rFonts w:ascii="Arial" w:hAnsi="Arial" w:eastAsia="Arial" w:cs="Arial"/>
          <w:sz w:val="21"/>
          <w:szCs w:val="21"/>
          <w:lang w:val="es-MX" w:eastAsia="es-CO"/>
        </w:rPr>
        <w:t>legis</w:t>
      </w:r>
      <w:r w:rsidRPr="50538920" w:rsidR="4149BEA1">
        <w:rPr>
          <w:rFonts w:ascii="Arial" w:hAnsi="Arial" w:eastAsia="Arial" w:cs="Arial"/>
          <w:sz w:val="21"/>
          <w:szCs w:val="21"/>
          <w:lang w:val="es-MX" w:eastAsia="es-CO"/>
        </w:rPr>
        <w:t xml:space="preserve"> o iuris y la interpretación extensiva. </w:t>
      </w:r>
      <w:r w:rsidRPr="50538920" w:rsidR="4149BEA1">
        <w:rPr>
          <w:rFonts w:ascii="Arial" w:hAnsi="Arial" w:eastAsia="Arial" w:cs="Arial"/>
          <w:sz w:val="21"/>
          <w:szCs w:val="21"/>
          <w:lang w:val="es-MX" w:eastAsia="es-CO"/>
        </w:rPr>
        <w:t>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5043BC" w:rsidR="002365A8" w:rsidP="50538920" w:rsidRDefault="002365A8" w14:paraId="3C64BD3A" w14:textId="77777777" w14:noSpellErr="1">
      <w:pPr>
        <w:spacing w:after="0" w:line="240" w:lineRule="auto"/>
        <w:ind w:left="709" w:right="709"/>
        <w:contextualSpacing/>
        <w:jc w:val="both"/>
        <w:rPr>
          <w:rFonts w:ascii="Arial" w:hAnsi="Arial" w:eastAsia="Arial" w:cs="Arial"/>
          <w:sz w:val="21"/>
          <w:szCs w:val="21"/>
          <w:lang w:val="es-MX" w:eastAsia="es-CO"/>
        </w:rPr>
      </w:pPr>
    </w:p>
    <w:p w:rsidRPr="005043BC" w:rsidR="002365A8" w:rsidP="50538920" w:rsidRDefault="002365A8" w14:paraId="7FBC30E9" w14:textId="3DA1696C" w14:noSpellErr="1">
      <w:pPr>
        <w:spacing w:after="0" w:line="240" w:lineRule="auto"/>
        <w:ind w:left="709" w:right="709"/>
        <w:contextualSpacing/>
        <w:jc w:val="both"/>
        <w:rPr>
          <w:rFonts w:ascii="Arial" w:hAnsi="Arial" w:eastAsia="Arial" w:cs="Arial"/>
          <w:sz w:val="21"/>
          <w:szCs w:val="21"/>
          <w:lang w:val="es-MX" w:eastAsia="es-CO"/>
        </w:rPr>
      </w:pPr>
      <w:r w:rsidRPr="50538920" w:rsidR="4149BEA1">
        <w:rPr>
          <w:rFonts w:ascii="Arial" w:hAnsi="Arial" w:eastAsia="Arial" w:cs="Arial"/>
          <w:sz w:val="21"/>
          <w:szCs w:val="21"/>
          <w:lang w:val="es-MX" w:eastAsia="es-CO"/>
        </w:rPr>
        <w:t>La jurisprudencia de la Corte Constitucional</w:t>
      </w:r>
      <w:r w:rsidRPr="50538920">
        <w:rPr>
          <w:rFonts w:ascii="Arial" w:hAnsi="Arial" w:eastAsia="Arial" w:cs="Arial"/>
          <w:sz w:val="21"/>
          <w:szCs w:val="21"/>
          <w:vertAlign w:val="superscript"/>
          <w:lang w:val="es-MX" w:eastAsia="es-CO"/>
        </w:rPr>
        <w:footnoteReference w:id="6"/>
      </w:r>
      <w:r w:rsidRPr="50538920" w:rsidR="4149BEA1">
        <w:rPr>
          <w:rFonts w:ascii="Arial" w:hAnsi="Arial" w:eastAsia="Arial" w:cs="Arial"/>
          <w:sz w:val="21"/>
          <w:szCs w:val="21"/>
          <w:lang w:val="es-MX" w:eastAsia="es-CO"/>
        </w:rPr>
        <w:t> y del Consejo de Estado</w:t>
      </w:r>
      <w:r w:rsidRPr="50538920">
        <w:rPr>
          <w:rFonts w:ascii="Arial" w:hAnsi="Arial" w:eastAsia="Arial" w:cs="Arial"/>
          <w:sz w:val="21"/>
          <w:szCs w:val="21"/>
          <w:vertAlign w:val="superscript"/>
          <w:lang w:val="es-MX" w:eastAsia="es-CO"/>
        </w:rPr>
        <w:footnoteReference w:id="7"/>
      </w:r>
      <w:r w:rsidRPr="50538920" w:rsidR="4149BEA1">
        <w:rPr>
          <w:rFonts w:ascii="Arial" w:hAnsi="Arial" w:eastAsia="Arial" w:cs="Arial"/>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w:t>
      </w:r>
      <w:r w:rsidRPr="50538920" w:rsidR="4149BEA1">
        <w:rPr>
          <w:rFonts w:ascii="Arial" w:hAnsi="Arial" w:eastAsia="Arial" w:cs="Arial"/>
          <w:sz w:val="21"/>
          <w:szCs w:val="21"/>
          <w:lang w:val="es-MX" w:eastAsia="es-CO"/>
        </w:rPr>
        <w:t>la libertad de actuar o capacidad de obrar, sobrepasar sus precisos términos comporta el desconocimiento de la voluntad del legislador</w:t>
      </w:r>
      <w:r w:rsidRPr="50538920" w:rsidR="6AB36CE8">
        <w:rPr>
          <w:rFonts w:ascii="Arial" w:hAnsi="Arial" w:eastAsia="Arial" w:cs="Arial"/>
          <w:sz w:val="21"/>
          <w:szCs w:val="21"/>
          <w:lang w:val="es-MX" w:eastAsia="es-CO"/>
        </w:rPr>
        <w:t>”</w:t>
      </w:r>
      <w:r w:rsidRPr="50538920">
        <w:rPr>
          <w:rFonts w:ascii="Arial" w:hAnsi="Arial" w:eastAsia="Arial" w:cs="Arial"/>
          <w:sz w:val="21"/>
          <w:szCs w:val="21"/>
          <w:vertAlign w:val="superscript"/>
          <w:lang w:val="es-MX" w:eastAsia="es-CO"/>
        </w:rPr>
        <w:footnoteReference w:id="8"/>
      </w:r>
      <w:r w:rsidRPr="50538920" w:rsidR="4149BEA1">
        <w:rPr>
          <w:rFonts w:ascii="Arial" w:hAnsi="Arial" w:eastAsia="Arial" w:cs="Arial"/>
          <w:sz w:val="21"/>
          <w:szCs w:val="21"/>
          <w:lang w:val="es-MX" w:eastAsia="es-CO"/>
        </w:rPr>
        <w:t>.</w:t>
      </w:r>
    </w:p>
    <w:p w:rsidRPr="005043BC" w:rsidR="002365A8" w:rsidP="50538920" w:rsidRDefault="002365A8" w14:paraId="71AD487D" w14:textId="77777777" w14:noSpellErr="1">
      <w:pPr>
        <w:spacing w:after="0" w:line="276" w:lineRule="auto"/>
        <w:ind w:right="709"/>
        <w:contextualSpacing/>
        <w:jc w:val="both"/>
        <w:rPr>
          <w:rFonts w:ascii="Arial" w:hAnsi="Arial" w:eastAsia="Arial" w:cs="Arial"/>
          <w:color w:val="FF0000"/>
          <w:lang w:val="es-MX" w:eastAsia="es-CO"/>
        </w:rPr>
      </w:pPr>
    </w:p>
    <w:p w:rsidRPr="005043BC" w:rsidR="002365A8" w:rsidP="50538920" w:rsidRDefault="002365A8" w14:paraId="1FC2C857" w14:textId="77777777" w14:noSpellErr="1">
      <w:pPr>
        <w:spacing w:after="120" w:line="276" w:lineRule="auto"/>
        <w:jc w:val="both"/>
        <w:rPr>
          <w:rFonts w:ascii="Arial" w:hAnsi="Arial" w:eastAsia="Arial" w:cs="Arial"/>
          <w:lang w:val="es-ES" w:eastAsia="es-ES" w:bidi="es-ES"/>
        </w:rPr>
      </w:pPr>
      <w:r w:rsidRPr="005043BC">
        <w:rPr>
          <w:rFonts w:ascii="Century Gothic" w:hAnsi="Century Gothic" w:cs="Arial"/>
          <w:lang w:val="es-MX" w:eastAsia="es-CO"/>
        </w:rPr>
        <w:tab/>
      </w:r>
      <w:r w:rsidRPr="50538920" w:rsidR="4149BEA1">
        <w:rPr>
          <w:rFonts w:ascii="Arial" w:hAnsi="Arial" w:eastAsia="Arial" w:cs="Arial"/>
          <w:lang w:val="es-MX" w:eastAsia="es-CO"/>
        </w:rPr>
        <w:t>De</w:t>
      </w:r>
      <w:r w:rsidRPr="50538920" w:rsidR="4149BEA1">
        <w:rPr>
          <w:rFonts w:ascii="Arial" w:hAnsi="Arial" w:eastAsia="Arial" w:cs="Arial"/>
          <w:lang w:val="es-ES" w:eastAsia="es-ES" w:bidi="es-ES"/>
        </w:rPr>
        <w:t xml:space="preserve"> conformidad con lo anterior, </w:t>
      </w:r>
      <w:bookmarkStart w:name="_Hlk77236098" w:id="9"/>
      <w:r w:rsidRPr="50538920" w:rsidR="4149BEA1">
        <w:rPr>
          <w:rFonts w:ascii="Arial" w:hAnsi="Arial" w:eastAsia="Arial" w:cs="Arial"/>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w:t>
      </w:r>
      <w:r w:rsidRPr="50538920" w:rsidR="4149BEA1">
        <w:rPr>
          <w:rFonts w:ascii="Arial" w:hAnsi="Arial" w:eastAsia="Arial" w:cs="Arial"/>
          <w:lang w:val="es-ES" w:eastAsia="es-ES" w:bidi="es-ES"/>
        </w:rPr>
        <w:t>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9"/>
    </w:p>
    <w:p w:rsidRPr="005043BC" w:rsidR="002365A8" w:rsidP="50538920" w:rsidRDefault="002365A8" w14:paraId="0E8C7EDC" w14:textId="77777777" w14:noSpellErr="1">
      <w:pPr>
        <w:spacing w:after="120" w:line="276" w:lineRule="auto"/>
        <w:ind w:firstLine="708"/>
        <w:jc w:val="both"/>
        <w:rPr>
          <w:rFonts w:ascii="Arial" w:hAnsi="Arial" w:eastAsia="Arial" w:cs="Arial"/>
          <w:lang w:val="es-MX"/>
        </w:rPr>
      </w:pPr>
      <w:r w:rsidRPr="50538920" w:rsidR="4149BEA1">
        <w:rPr>
          <w:rFonts w:ascii="Arial" w:hAnsi="Arial" w:eastAsia="Arial" w:cs="Arial"/>
          <w:lang w:val="es-MX"/>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50538920">
        <w:rPr>
          <w:rFonts w:ascii="Arial" w:hAnsi="Arial" w:eastAsia="Arial" w:cs="Arial"/>
          <w:vertAlign w:val="superscript"/>
          <w:lang w:val="es-MX"/>
        </w:rPr>
        <w:footnoteReference w:id="9"/>
      </w:r>
      <w:r w:rsidRPr="50538920" w:rsidR="4149BEA1">
        <w:rPr>
          <w:rFonts w:ascii="Arial" w:hAnsi="Arial" w:eastAsia="Arial" w:cs="Arial"/>
          <w:lang w:val="es-MX"/>
        </w:rPr>
        <w:t>.</w:t>
      </w:r>
    </w:p>
    <w:p w:rsidRPr="005043BC" w:rsidR="002365A8" w:rsidP="50538920" w:rsidRDefault="002365A8" w14:paraId="3EEB7BD0" w14:textId="77777777" w14:noSpellErr="1">
      <w:pPr>
        <w:widowControl w:val="0"/>
        <w:autoSpaceDE w:val="0"/>
        <w:autoSpaceDN w:val="0"/>
        <w:spacing w:after="120" w:line="276" w:lineRule="auto"/>
        <w:ind w:right="113" w:firstLine="708"/>
        <w:jc w:val="both"/>
        <w:rPr>
          <w:rFonts w:ascii="Arial" w:hAnsi="Arial" w:eastAsia="Arial" w:cs="Arial"/>
          <w:lang w:val="es-ES" w:eastAsia="es-ES" w:bidi="es-ES"/>
        </w:rPr>
      </w:pPr>
      <w:r w:rsidRPr="50538920" w:rsidR="4149BEA1">
        <w:rPr>
          <w:rFonts w:ascii="Arial" w:hAnsi="Arial" w:eastAsia="Arial" w:cs="Arial"/>
          <w:lang w:val="es-MX"/>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w:t>
      </w:r>
      <w:r w:rsidRPr="50538920" w:rsidR="4149BEA1">
        <w:rPr>
          <w:rFonts w:ascii="Arial" w:hAnsi="Arial" w:eastAsia="Arial" w:cs="Arial"/>
          <w:lang w:val="es-MX"/>
        </w:rPr>
        <w:t>de las entidades a su cargo, como tampoco de las que participen como miembros de sus juntas directivas, en o para reuniones de carácter proselitista”</w:t>
      </w:r>
      <w:r w:rsidRPr="50538920">
        <w:rPr>
          <w:rFonts w:ascii="Arial" w:hAnsi="Arial" w:eastAsia="Arial" w:cs="Arial"/>
          <w:vertAlign w:val="superscript"/>
          <w:lang w:val="es-MX"/>
        </w:rPr>
        <w:footnoteReference w:id="10"/>
      </w:r>
      <w:r w:rsidRPr="50538920" w:rsidR="4149BEA1">
        <w:rPr>
          <w:rFonts w:ascii="Arial" w:hAnsi="Arial" w:eastAsia="Arial" w:cs="Arial"/>
          <w:lang w:val="es-MX"/>
        </w:rPr>
        <w:t>.</w:t>
      </w:r>
      <w:r w:rsidRPr="50538920" w:rsidR="4149BEA1">
        <w:rPr>
          <w:rFonts w:ascii="Arial" w:hAnsi="Arial" w:eastAsia="Arial" w:cs="Arial"/>
          <w:lang w:val="es-ES" w:eastAsia="es-ES" w:bidi="es-ES"/>
        </w:rPr>
        <w:t xml:space="preserve"> </w:t>
      </w:r>
    </w:p>
    <w:p w:rsidRPr="005043BC" w:rsidR="002365A8" w:rsidP="50538920" w:rsidRDefault="002365A8" w14:paraId="6AF9B5BF" w14:textId="77777777" w14:noSpellErr="1">
      <w:pPr>
        <w:widowControl w:val="0"/>
        <w:autoSpaceDE w:val="0"/>
        <w:autoSpaceDN w:val="0"/>
        <w:spacing w:after="0" w:line="276" w:lineRule="auto"/>
        <w:ind w:right="113" w:firstLine="709"/>
        <w:contextualSpacing/>
        <w:jc w:val="both"/>
        <w:rPr>
          <w:rFonts w:ascii="Arial" w:hAnsi="Arial" w:eastAsia="Arial" w:cs="Arial"/>
          <w:lang w:val="es-ES" w:eastAsia="es-ES" w:bidi="es-ES"/>
        </w:rPr>
      </w:pPr>
      <w:r w:rsidRPr="50538920" w:rsidR="4149BEA1">
        <w:rPr>
          <w:rFonts w:ascii="Arial" w:hAnsi="Arial" w:eastAsia="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rsidRPr="005043BC" w:rsidR="002365A8" w:rsidP="50538920" w:rsidRDefault="002365A8" w14:paraId="08BE62C4" w14:textId="77777777" w14:noSpellErr="1">
      <w:pPr>
        <w:widowControl w:val="0"/>
        <w:autoSpaceDE w:val="0"/>
        <w:autoSpaceDN w:val="0"/>
        <w:spacing w:after="0" w:line="276" w:lineRule="auto"/>
        <w:ind w:left="805" w:right="812"/>
        <w:contextualSpacing/>
        <w:jc w:val="both"/>
        <w:rPr>
          <w:rFonts w:ascii="Arial" w:hAnsi="Arial" w:eastAsia="Arial" w:cs="Arial"/>
          <w:color w:val="FF0000"/>
          <w:lang w:val="es-ES" w:eastAsia="es-ES" w:bidi="es-ES"/>
        </w:rPr>
      </w:pPr>
    </w:p>
    <w:p w:rsidRPr="005043BC" w:rsidR="002365A8" w:rsidP="50538920" w:rsidRDefault="002365A8" w14:paraId="0ADFAEC8" w14:textId="77777777" w14:noSpellErr="1">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50538920" w:rsidR="4149BEA1">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12"/>
      <w:r w:rsidRPr="50538920" w:rsidR="4149BEA1">
        <w:rPr>
          <w:rFonts w:ascii="Arial" w:hAnsi="Arial" w:eastAsia="Arial" w:cs="Arial"/>
          <w:sz w:val="21"/>
          <w:szCs w:val="21"/>
          <w:lang w:val="es-ES" w:eastAsia="es-ES" w:bidi="es-ES"/>
        </w:rPr>
        <w:t>se integran parcialmente</w:t>
      </w:r>
      <w:bookmarkEnd w:id="12"/>
      <w:r w:rsidRPr="50538920" w:rsidR="4149BEA1">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r w:rsidRPr="50538920" w:rsidR="4149BEA1">
        <w:rPr>
          <w:rFonts w:ascii="Arial" w:hAnsi="Arial" w:eastAsia="Arial" w:cs="Arial"/>
          <w:sz w:val="21"/>
          <w:szCs w:val="21"/>
          <w:lang w:val="es-ES" w:eastAsia="es-ES" w:bidi="es-ES"/>
        </w:rPr>
        <w:t>Presidente</w:t>
      </w:r>
      <w:r w:rsidRPr="50538920" w:rsidR="4149BEA1">
        <w:rPr>
          <w:rFonts w:ascii="Arial" w:hAnsi="Arial" w:eastAsia="Arial" w:cs="Arial"/>
          <w:sz w:val="21"/>
          <w:szCs w:val="21"/>
          <w:lang w:val="es-ES" w:eastAsia="es-ES" w:bidi="es-ES"/>
        </w:rPr>
        <w:t xml:space="preserve"> de la República, a las autoridades territoriales allí mencionadas sólo se aplican las restricciones contenidas en el parágrafo del artículo 38.</w:t>
      </w:r>
      <w:r w:rsidRPr="50538920">
        <w:rPr>
          <w:rFonts w:ascii="Arial" w:hAnsi="Arial" w:eastAsia="Arial" w:cs="Arial"/>
          <w:sz w:val="21"/>
          <w:szCs w:val="21"/>
          <w:vertAlign w:val="superscript"/>
          <w:lang w:val="es-ES" w:eastAsia="es-ES" w:bidi="es-ES"/>
        </w:rPr>
        <w:footnoteReference w:id="11"/>
      </w:r>
    </w:p>
    <w:p w:rsidRPr="005043BC" w:rsidR="002365A8" w:rsidP="50538920" w:rsidRDefault="002365A8" w14:paraId="4240DD43" w14:textId="77777777" w14:noSpellErr="1">
      <w:pPr>
        <w:widowControl w:val="0"/>
        <w:autoSpaceDE w:val="0"/>
        <w:autoSpaceDN w:val="0"/>
        <w:spacing w:after="0" w:line="276" w:lineRule="auto"/>
        <w:contextualSpacing/>
        <w:rPr>
          <w:rFonts w:ascii="Arial" w:hAnsi="Arial" w:eastAsia="Arial" w:cs="Arial"/>
          <w:color w:val="FF0000"/>
          <w:lang w:val="es-ES" w:eastAsia="es-ES" w:bidi="es-ES"/>
        </w:rPr>
      </w:pPr>
    </w:p>
    <w:p w:rsidRPr="005043BC" w:rsidR="002365A8" w:rsidP="50538920" w:rsidRDefault="002365A8" w14:paraId="4D752C6E" w14:textId="77777777" w14:noSpellErr="1">
      <w:pPr>
        <w:spacing w:after="120" w:line="276" w:lineRule="auto"/>
        <w:ind w:firstLine="709"/>
        <w:jc w:val="both"/>
        <w:rPr>
          <w:rFonts w:ascii="Arial" w:hAnsi="Arial" w:eastAsia="Arial" w:cs="Arial"/>
          <w:lang w:val="es-ES" w:eastAsia="es-ES" w:bidi="es-ES"/>
        </w:rPr>
      </w:pPr>
      <w:r w:rsidRPr="50538920" w:rsidR="4149BEA1">
        <w:rPr>
          <w:rFonts w:ascii="Arial" w:hAnsi="Arial" w:eastAsia="Arial" w:cs="Arial"/>
          <w:lang w:val="es-ES" w:eastAsia="es-ES" w:bidi="es-ES"/>
        </w:rPr>
        <w:t xml:space="preserve">De conformidad con lo anterior, </w:t>
      </w:r>
      <w:bookmarkStart w:name="_Hlk77236420" w:id="13"/>
      <w:bookmarkStart w:name="_Hlk78818435" w:id="14"/>
      <w:bookmarkStart w:name="_Hlk75780333" w:id="15"/>
      <w:r w:rsidRPr="50538920" w:rsidR="4149BEA1">
        <w:rPr>
          <w:rFonts w:ascii="Arial" w:hAnsi="Arial" w:eastAsia="Arial" w:cs="Arial"/>
          <w:lang w:val="es-ES" w:eastAsia="es-ES" w:bidi="es-ES"/>
        </w:rPr>
        <w:t>la Ley 996 de 2005 establece dos (2) tipos de restricciones en materia de contratación, las cuales coinciden parcialmente.</w:t>
      </w:r>
      <w:r w:rsidRPr="50538920" w:rsidR="4149BEA1">
        <w:rPr>
          <w:rFonts w:ascii="Arial" w:hAnsi="Arial" w:eastAsia="Arial" w:cs="Arial"/>
          <w:lang w:val="es-ES" w:eastAsia="es-ES" w:bidi="es-ES"/>
        </w:rPr>
        <w:t xml:space="preserve"> </w:t>
      </w:r>
      <w:r w:rsidRPr="50538920" w:rsidR="4149BEA1">
        <w:rPr>
          <w:rFonts w:ascii="Arial" w:hAnsi="Arial" w:eastAsia="Arial" w:cs="Arial"/>
          <w:i w:val="1"/>
          <w:iCs w:val="1"/>
          <w:lang w:val="es-ES" w:eastAsia="es-ES" w:bidi="es-ES"/>
        </w:rPr>
        <w:t>En primer lugar</w:t>
      </w:r>
      <w:r w:rsidRPr="50538920" w:rsidR="4149BEA1">
        <w:rPr>
          <w:rFonts w:ascii="Arial" w:hAnsi="Arial" w:eastAsia="Arial" w:cs="Arial"/>
          <w:lang w:val="es-ES" w:eastAsia="es-ES" w:bidi="es-ES"/>
        </w:rPr>
        <w:t>, la del artículo 33, que opera solo respecto de las elecciones presidenciales, en virtud de la cual queda proscrita la contratación directa dentro de los cuatro (4) meses anteriores a la celebración de los comicios, salvo las citadas excepciones.</w:t>
      </w:r>
      <w:r w:rsidRPr="50538920" w:rsidR="4149BEA1">
        <w:rPr>
          <w:rFonts w:ascii="Arial" w:hAnsi="Arial" w:eastAsia="Arial" w:cs="Arial"/>
          <w:lang w:val="es-ES" w:eastAsia="es-ES" w:bidi="es-ES"/>
        </w:rPr>
        <w:t xml:space="preserve"> </w:t>
      </w:r>
      <w:r w:rsidRPr="50538920" w:rsidR="4149BEA1">
        <w:rPr>
          <w:rFonts w:ascii="Arial" w:hAnsi="Arial" w:eastAsia="Arial" w:cs="Arial"/>
          <w:lang w:val="es-ES" w:eastAsia="es-ES" w:bidi="es-ES"/>
        </w:rPr>
        <w:t xml:space="preserve">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w:t>
      </w:r>
      <w:r w:rsidRPr="50538920" w:rsidR="4149BEA1">
        <w:rPr>
          <w:rFonts w:ascii="Arial" w:hAnsi="Arial" w:eastAsia="Arial" w:cs="Arial"/>
          <w:lang w:val="es-ES" w:eastAsia="es-ES" w:bidi="es-ES"/>
        </w:rPr>
        <w:t>de conformidad con el artículo 190 de la Constitución Política.</w:t>
      </w:r>
      <w:r w:rsidRPr="50538920" w:rsidR="4149BEA1">
        <w:rPr>
          <w:rFonts w:ascii="Arial" w:hAnsi="Arial" w:eastAsia="Arial" w:cs="Arial"/>
          <w:lang w:val="es-ES" w:eastAsia="es-ES" w:bidi="es-ES"/>
        </w:rPr>
        <w:t xml:space="preserve"> Para estos efectos, la restricción se extenderá hasta la fecha en la que se realice la segunda vuelta. </w:t>
      </w:r>
      <w:r w:rsidRPr="50538920" w:rsidR="4149BEA1">
        <w:rPr>
          <w:rFonts w:ascii="Arial" w:hAnsi="Arial" w:eastAsia="Arial" w:cs="Arial"/>
          <w:i w:val="1"/>
          <w:iCs w:val="1"/>
          <w:lang w:val="es-ES" w:eastAsia="es-ES" w:bidi="es-ES"/>
        </w:rPr>
        <w:t>En segundo lugar</w:t>
      </w:r>
      <w:r w:rsidRPr="50538920" w:rsidR="4149BEA1">
        <w:rPr>
          <w:rFonts w:ascii="Arial" w:hAnsi="Arial" w:eastAsia="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3"/>
    </w:p>
    <w:bookmarkEnd w:id="14"/>
    <w:p w:rsidRPr="005043BC" w:rsidR="002365A8" w:rsidP="50538920" w:rsidRDefault="002365A8" w14:paraId="233650AE" w14:textId="77777777" w14:noSpellErr="1">
      <w:pPr>
        <w:spacing w:after="120" w:line="276" w:lineRule="auto"/>
        <w:ind w:firstLine="709"/>
        <w:jc w:val="both"/>
        <w:rPr>
          <w:rFonts w:ascii="Arial" w:hAnsi="Arial" w:eastAsia="Arial" w:cs="Arial"/>
          <w:lang w:val="es-ES" w:eastAsia="es-ES" w:bidi="es-ES"/>
        </w:rPr>
      </w:pPr>
      <w:r w:rsidRPr="50538920" w:rsidR="4149BEA1">
        <w:rPr>
          <w:rFonts w:ascii="Arial" w:hAnsi="Arial" w:eastAsia="Arial" w:cs="Arial"/>
          <w:lang w:val="es-ES" w:eastAsia="es-ES" w:bidi="es-ES"/>
        </w:rPr>
        <w:t xml:space="preserve">Ambas restricciones no son excluyentes, lo que permite concluir que en el período preelectoral para elección de </w:t>
      </w:r>
      <w:r w:rsidRPr="50538920" w:rsidR="4149BEA1">
        <w:rPr>
          <w:rFonts w:ascii="Arial" w:hAnsi="Arial" w:eastAsia="Arial" w:cs="Arial"/>
          <w:lang w:val="es-ES" w:eastAsia="es-ES" w:bidi="es-ES"/>
        </w:rPr>
        <w:t>Presidente</w:t>
      </w:r>
      <w:r w:rsidRPr="50538920" w:rsidR="4149BEA1">
        <w:rPr>
          <w:rFonts w:ascii="Arial" w:hAnsi="Arial" w:eastAsia="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r w:rsidRPr="50538920" w:rsidR="4149BEA1">
        <w:rPr>
          <w:rFonts w:ascii="Arial" w:hAnsi="Arial" w:eastAsia="Arial" w:cs="Arial"/>
          <w:lang w:val="es-ES" w:eastAsia="es-ES" w:bidi="es-ES"/>
        </w:rPr>
        <w:t>Presidente</w:t>
      </w:r>
      <w:r w:rsidRPr="50538920" w:rsidR="4149BEA1">
        <w:rPr>
          <w:rFonts w:ascii="Arial" w:hAnsi="Arial" w:eastAsia="Arial" w:cs="Arial"/>
          <w:lang w:val="es-ES" w:eastAsia="es-ES" w:bidi="es-ES"/>
        </w:rPr>
        <w:t xml:space="preserve"> de la República, las autoridades allí mencionadas sólo deben aplicar las restricciones contenidas en el parágrafo del artículo 38.</w:t>
      </w:r>
    </w:p>
    <w:bookmarkEnd w:id="15"/>
    <w:p w:rsidRPr="005043BC" w:rsidR="002365A8" w:rsidP="50538920" w:rsidRDefault="002365A8" w14:paraId="75C1D915" w14:textId="77777777" w14:noSpellErr="1">
      <w:pPr>
        <w:spacing w:after="0" w:line="276" w:lineRule="auto"/>
        <w:ind w:firstLine="709"/>
        <w:contextualSpacing/>
        <w:jc w:val="both"/>
        <w:rPr>
          <w:rFonts w:ascii="Arial" w:hAnsi="Arial" w:eastAsia="Arial" w:cs="Arial"/>
          <w:lang w:val="es-ES" w:eastAsia="es-ES" w:bidi="es-ES"/>
        </w:rPr>
      </w:pPr>
      <w:r w:rsidRPr="50538920" w:rsidR="4149BEA1">
        <w:rPr>
          <w:rFonts w:ascii="Arial" w:hAnsi="Arial" w:eastAsia="Arial" w:cs="Arial"/>
          <w:lang w:val="es-ES" w:eastAsia="es-ES" w:bidi="es-ES"/>
        </w:rPr>
        <w:t xml:space="preserve">La Corte Constitucional, en la Sentencia C-1153 del 11 de noviembre de 2005, señaló que, para que la garantía sea plena, era necesario que la prohibición se aplicara para el </w:t>
      </w:r>
      <w:r w:rsidRPr="50538920" w:rsidR="4149BEA1">
        <w:rPr>
          <w:rFonts w:ascii="Arial" w:hAnsi="Arial" w:eastAsia="Arial" w:cs="Arial"/>
          <w:lang w:val="es-ES" w:eastAsia="es-ES" w:bidi="es-ES"/>
        </w:rPr>
        <w:t>Presidente</w:t>
      </w:r>
      <w:r w:rsidRPr="50538920" w:rsidR="4149BEA1">
        <w:rPr>
          <w:rFonts w:ascii="Arial" w:hAnsi="Arial" w:eastAsia="Arial" w:cs="Arial"/>
          <w:lang w:val="es-ES" w:eastAsia="es-ES" w:bidi="es-ES"/>
        </w:rPr>
        <w:t xml:space="preserve"> o el </w:t>
      </w:r>
      <w:r w:rsidRPr="50538920" w:rsidR="4149BEA1">
        <w:rPr>
          <w:rFonts w:ascii="Arial" w:hAnsi="Arial" w:eastAsia="Arial" w:cs="Arial"/>
          <w:lang w:val="es-ES" w:eastAsia="es-ES" w:bidi="es-ES"/>
        </w:rPr>
        <w:t>Vicepresidente</w:t>
      </w:r>
      <w:r w:rsidRPr="50538920" w:rsidR="4149BEA1">
        <w:rPr>
          <w:rFonts w:ascii="Arial" w:hAnsi="Arial" w:eastAsia="Arial" w:cs="Arial"/>
          <w:lang w:val="es-ES" w:eastAsia="es-ES" w:bidi="es-ES"/>
        </w:rPr>
        <w:t xml:space="preserv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5043BC" w:rsidR="002365A8" w:rsidP="50538920" w:rsidRDefault="002365A8" w14:paraId="28B1EB79" w14:textId="77777777" w14:noSpellErr="1">
      <w:pPr>
        <w:spacing w:after="0" w:line="276" w:lineRule="auto"/>
        <w:contextualSpacing/>
        <w:jc w:val="both"/>
        <w:rPr>
          <w:rFonts w:ascii="Arial" w:hAnsi="Arial" w:eastAsia="Arial" w:cs="Arial"/>
          <w:lang w:val="es-MX"/>
        </w:rPr>
      </w:pPr>
    </w:p>
    <w:p w:rsidRPr="005043BC" w:rsidR="002365A8" w:rsidP="50538920" w:rsidRDefault="002365A8" w14:paraId="4CA349B6" w14:textId="77777777" w14:noSpellErr="1">
      <w:pPr>
        <w:spacing w:after="0" w:line="276" w:lineRule="auto"/>
        <w:jc w:val="both"/>
        <w:rPr>
          <w:rFonts w:ascii="Arial" w:hAnsi="Arial" w:eastAsia="Arial" w:cs="Arial"/>
          <w:b w:val="1"/>
          <w:bCs w:val="1"/>
          <w:lang w:val="es-MX"/>
        </w:rPr>
      </w:pPr>
      <w:bookmarkStart w:name="_Hlk75784645" w:id="16"/>
      <w:r w:rsidRPr="50538920" w:rsidR="4149BEA1">
        <w:rPr>
          <w:rFonts w:ascii="Arial" w:hAnsi="Arial" w:eastAsia="Arial" w:cs="Arial"/>
          <w:b w:val="1"/>
          <w:bCs w:val="1"/>
          <w:lang w:val="es-MX"/>
        </w:rPr>
        <w:t xml:space="preserve">2.2. </w:t>
      </w:r>
      <w:bookmarkStart w:name="_Hlk77153296" w:id="17"/>
      <w:r w:rsidRPr="50538920" w:rsidR="4149BEA1">
        <w:rPr>
          <w:rFonts w:ascii="Arial" w:hAnsi="Arial" w:eastAsia="Arial" w:cs="Arial"/>
          <w:b w:val="1"/>
          <w:bCs w:val="1"/>
          <w:lang w:val="es-MX" w:eastAsia="es-CO"/>
        </w:rPr>
        <w:t xml:space="preserve">Restricciones </w:t>
      </w:r>
      <w:bookmarkStart w:name="_Hlk75643279" w:id="18"/>
      <w:r w:rsidRPr="50538920" w:rsidR="4149BEA1">
        <w:rPr>
          <w:rFonts w:ascii="Arial" w:hAnsi="Arial" w:eastAsia="Arial" w:cs="Arial"/>
          <w:b w:val="1"/>
          <w:bCs w:val="1"/>
          <w:lang w:val="es-MX" w:eastAsia="es-CO"/>
        </w:rPr>
        <w:t xml:space="preserve">para la celebración de contratos y convenios interadministrativos en los comicios para cargos de elección popular </w:t>
      </w:r>
    </w:p>
    <w:p w:rsidRPr="005043BC" w:rsidR="002365A8" w:rsidP="50538920" w:rsidRDefault="002365A8" w14:paraId="2F4FB345" w14:textId="77777777" w14:noSpellErr="1">
      <w:pPr>
        <w:tabs>
          <w:tab w:val="left" w:pos="426"/>
        </w:tabs>
        <w:spacing w:after="0" w:line="276" w:lineRule="auto"/>
        <w:jc w:val="both"/>
        <w:rPr>
          <w:rFonts w:ascii="Arial" w:hAnsi="Arial" w:eastAsia="Arial" w:cs="Arial"/>
          <w:lang w:val="es-MX"/>
        </w:rPr>
      </w:pPr>
      <w:bookmarkStart w:name="_Hlk88210558" w:id="19"/>
      <w:bookmarkEnd w:id="17"/>
      <w:bookmarkEnd w:id="18"/>
    </w:p>
    <w:p w:rsidRPr="005043BC" w:rsidR="002365A8" w:rsidP="50538920" w:rsidRDefault="002365A8" w14:paraId="1F9D23FA" w14:textId="77777777" w14:noSpellErr="1">
      <w:pPr>
        <w:tabs>
          <w:tab w:val="left" w:pos="426"/>
        </w:tabs>
        <w:spacing w:after="120" w:line="276" w:lineRule="auto"/>
        <w:jc w:val="both"/>
        <w:rPr>
          <w:rFonts w:ascii="Arial" w:hAnsi="Arial" w:eastAsia="Arial" w:cs="Arial"/>
          <w:lang w:val="es-MX"/>
        </w:rPr>
      </w:pPr>
      <w:bookmarkStart w:name="_Hlk114827887" w:id="20"/>
      <w:r w:rsidRPr="50538920" w:rsidR="4149BEA1">
        <w:rPr>
          <w:rFonts w:ascii="Arial" w:hAnsi="Arial" w:eastAsia="Arial" w:cs="Arial"/>
          <w:lang w:val="es-MX"/>
        </w:rPr>
        <w:t xml:space="preserve">El parágrafo del artículo 38 de la Ley 996 de 2005 dispone que “[l]os Gobernadores, </w:t>
      </w:r>
      <w:r w:rsidRPr="50538920" w:rsidR="4149BEA1">
        <w:rPr>
          <w:rFonts w:ascii="Arial" w:hAnsi="Arial" w:eastAsia="Arial" w:cs="Arial"/>
          <w:lang w:val="es-MX"/>
        </w:rPr>
        <w:t>Alcaldes</w:t>
      </w:r>
      <w:r w:rsidRPr="50538920" w:rsidR="4149BEA1">
        <w:rPr>
          <w:rFonts w:ascii="Arial" w:hAnsi="Arial" w:eastAsia="Arial" w:cs="Arial"/>
          <w:lang w:val="es-MX"/>
        </w:rPr>
        <w:t xml:space="preserve"> Municipales y/o Distritales, </w:t>
      </w:r>
      <w:r w:rsidRPr="50538920" w:rsidR="4149BEA1">
        <w:rPr>
          <w:rFonts w:ascii="Arial" w:hAnsi="Arial" w:eastAsia="Arial" w:cs="Arial"/>
          <w:lang w:val="es-MX"/>
        </w:rPr>
        <w:t xml:space="preserve">Secretarios</w:t>
      </w:r>
      <w:r w:rsidRPr="50538920" w:rsidR="4149BEA1">
        <w:rPr>
          <w:rFonts w:ascii="Arial" w:hAnsi="Arial" w:eastAsia="Arial" w:cs="Arial"/>
          <w:lang w:val="es-MX"/>
        </w:rPr>
        <w:t xml:space="preserve">, Gerentes y directores de Entidades Descentralizadas del orden Municipal, Departamental o Distrital, dentro de los cuatro (4) meses anteriores a las elecciones, no podrán celebrar convenios interadministrativos para la ejecución de recursos públicos”.</w:t>
      </w:r>
      <w:r w:rsidRPr="50538920" w:rsidR="4149BEA1">
        <w:rPr>
          <w:rFonts w:ascii="Arial" w:hAnsi="Arial" w:eastAsia="Arial" w:cs="Arial"/>
          <w:lang w:val="es-MX"/>
        </w:rPr>
        <w:t xml:space="preserve"> </w:t>
      </w:r>
      <w:bookmarkStart w:name="_Hlk99578153" w:id="21"/>
      <w:bookmarkEnd w:id="19"/>
      <w:r w:rsidRPr="50538920" w:rsidR="4149BEA1">
        <w:rPr>
          <w:rFonts w:ascii="Arial" w:hAnsi="Arial" w:eastAsia="Arial" w:cs="Arial"/>
          <w:lang w:val="es-MX"/>
        </w:rPr>
        <w:t xml:space="preserve">Los convenios o </w:t>
      </w:r>
      <w:r w:rsidRPr="50538920" w:rsidR="4149BEA1">
        <w:rPr>
          <w:rFonts w:ascii="Arial" w:hAnsi="Arial" w:eastAsia="Arial" w:cs="Arial"/>
          <w:lang w:val="es-MX"/>
        </w:rPr>
        <w:t>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0"/>
      <w:bookmarkEnd w:id="21"/>
      <w:r w:rsidRPr="50538920">
        <w:rPr>
          <w:rFonts w:ascii="Arial" w:hAnsi="Arial" w:eastAsia="Arial" w:cs="Arial"/>
          <w:vertAlign w:val="superscript"/>
          <w:lang w:val="es-MX"/>
        </w:rPr>
        <w:footnoteReference w:id="12"/>
      </w:r>
      <w:r w:rsidRPr="50538920" w:rsidR="4149BEA1">
        <w:rPr>
          <w:rFonts w:ascii="Arial" w:hAnsi="Arial" w:eastAsia="Arial" w:cs="Arial"/>
          <w:lang w:val="es-MX"/>
        </w:rPr>
        <w:t>.</w:t>
      </w:r>
      <w:r w:rsidRPr="50538920" w:rsidR="4149BEA1">
        <w:rPr>
          <w:rFonts w:ascii="Arial" w:hAnsi="Arial" w:eastAsia="Arial" w:cs="Arial"/>
          <w:lang w:val="es-MX"/>
        </w:rPr>
        <w:t xml:space="preserve"> </w:t>
      </w:r>
    </w:p>
    <w:p w:rsidRPr="005043BC" w:rsidR="002365A8" w:rsidP="50538920" w:rsidRDefault="002365A8" w14:paraId="6A79F35A" w14:textId="77777777" w14:noSpellErr="1">
      <w:pPr>
        <w:widowControl w:val="0"/>
        <w:autoSpaceDE w:val="0"/>
        <w:autoSpaceDN w:val="0"/>
        <w:spacing w:after="120" w:line="276" w:lineRule="auto"/>
        <w:ind w:firstLine="707"/>
        <w:jc w:val="both"/>
        <w:rPr>
          <w:rFonts w:ascii="Arial" w:hAnsi="Arial" w:eastAsia="Arial" w:cs="Arial"/>
          <w:lang w:val="es-ES" w:eastAsia="es-ES" w:bidi="es-ES"/>
        </w:rPr>
      </w:pPr>
      <w:r w:rsidRPr="50538920" w:rsidR="4149BEA1">
        <w:rPr>
          <w:rFonts w:ascii="Arial" w:hAnsi="Arial" w:eastAsia="Arial" w:cs="Arial"/>
          <w:lang w:val="es-MX" w:eastAsia="es-ES" w:bidi="es-ES"/>
        </w:rPr>
        <w:t xml:space="preserve">Ahora bien, </w:t>
      </w:r>
      <w:bookmarkStart w:name="_Hlk78820161" w:id="22"/>
      <w:r w:rsidRPr="50538920" w:rsidR="4149BEA1">
        <w:rPr>
          <w:rFonts w:ascii="Arial" w:hAnsi="Arial" w:eastAsia="Arial" w:cs="Arial"/>
          <w:lang w:val="es-MX" w:eastAsia="es-ES" w:bidi="es-ES"/>
        </w:rPr>
        <w:t xml:space="preserve">para determinar el alcance de la prohibición consagrada por la Ley de Garantías Electorales, conviene precisar la tipología de convenios o contratos interadministrativos. </w:t>
      </w:r>
      <w:bookmarkStart w:name="_Hlk114827997" w:id="23"/>
      <w:r w:rsidRPr="50538920" w:rsidR="4149BEA1">
        <w:rPr>
          <w:rFonts w:ascii="Arial" w:hAnsi="Arial" w:eastAsia="Arial" w:cs="Arial"/>
          <w:lang w:val="es-ES" w:eastAsia="es-ES" w:bidi="es-ES"/>
        </w:rPr>
        <w:t>Aunque la ley no la definió ni desarrolló, el Decreto 1082 de 2015 califica a los convenios o contratos interadministrativos como aquella contratación entre entidades estatales</w:t>
      </w:r>
      <w:r w:rsidRPr="50538920">
        <w:rPr>
          <w:rFonts w:ascii="Arial" w:hAnsi="Arial" w:eastAsia="Arial" w:cs="Arial"/>
          <w:vertAlign w:val="superscript"/>
          <w:lang w:val="es-ES" w:eastAsia="es-ES" w:bidi="es-ES"/>
        </w:rPr>
        <w:footnoteReference w:id="13"/>
      </w:r>
      <w:r w:rsidRPr="50538920" w:rsidR="4149BEA1">
        <w:rPr>
          <w:rFonts w:ascii="Arial" w:hAnsi="Arial" w:eastAsia="Arial" w:cs="Arial"/>
          <w:lang w:val="es-ES" w:eastAsia="es-ES" w:bidi="es-ES"/>
        </w:rPr>
        <w:t xml:space="preserve">. </w:t>
      </w:r>
      <w:r w:rsidRPr="50538920" w:rsidR="4149BEA1">
        <w:rPr>
          <w:rFonts w:ascii="Arial" w:hAnsi="Arial" w:eastAsia="Arial" w:cs="Arial"/>
          <w:lang w:val="es-ES" w:eastAsia="es-ES" w:bidi="es-ES"/>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w:t>
      </w:r>
      <w:r w:rsidRPr="50538920" w:rsidR="4149BEA1">
        <w:rPr>
          <w:rFonts w:ascii="Arial" w:hAnsi="Arial" w:eastAsia="Arial" w:cs="Arial"/>
          <w:lang w:val="es-ES" w:eastAsia="es-ES" w:bidi="es-ES"/>
        </w:rPr>
        <w:t xml:space="preserve"> Es decir, los contratos o convenios interadministrativos están determinados por un criterio orgánico, pues es necesario que los extremos de la relación contractual sean entidades</w:t>
      </w:r>
      <w:r w:rsidRPr="50538920" w:rsidR="4149BEA1">
        <w:rPr>
          <w:rFonts w:ascii="Arial" w:hAnsi="Arial" w:eastAsia="Arial" w:cs="Arial"/>
          <w:spacing w:val="-6"/>
          <w:lang w:val="es-ES" w:eastAsia="es-ES" w:bidi="es-ES"/>
        </w:rPr>
        <w:t xml:space="preserve"> </w:t>
      </w:r>
      <w:r w:rsidRPr="50538920" w:rsidR="4149BEA1">
        <w:rPr>
          <w:rFonts w:ascii="Arial" w:hAnsi="Arial" w:eastAsia="Arial" w:cs="Arial"/>
          <w:lang w:val="es-ES" w:eastAsia="es-ES" w:bidi="es-ES"/>
        </w:rPr>
        <w:t>estatales.</w:t>
      </w:r>
    </w:p>
    <w:p w:rsidRPr="005043BC" w:rsidR="002365A8" w:rsidP="50538920" w:rsidRDefault="002365A8" w14:paraId="6379B31D" w14:textId="77777777" w14:noSpellErr="1">
      <w:pPr>
        <w:widowControl w:val="0"/>
        <w:autoSpaceDE w:val="0"/>
        <w:autoSpaceDN w:val="0"/>
        <w:spacing w:before="117" w:after="120" w:line="276" w:lineRule="auto"/>
        <w:ind w:firstLine="707"/>
        <w:jc w:val="both"/>
        <w:rPr>
          <w:rFonts w:ascii="Arial" w:hAnsi="Arial" w:eastAsia="Arial" w:cs="Arial"/>
          <w:lang w:val="es-ES" w:eastAsia="es-ES" w:bidi="es-ES"/>
        </w:rPr>
      </w:pPr>
      <w:bookmarkStart w:name="_Hlk78820654" w:id="24"/>
      <w:bookmarkEnd w:id="22"/>
      <w:bookmarkEnd w:id="23"/>
      <w:r w:rsidRPr="50538920" w:rsidR="4149BEA1">
        <w:rPr>
          <w:rFonts w:ascii="Arial" w:hAnsi="Arial" w:eastAsia="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rsidRPr="005043BC" w:rsidR="002365A8" w:rsidP="50538920" w:rsidRDefault="002365A8" w14:paraId="4ED93D32" w14:textId="77777777" w14:noSpellErr="1">
      <w:pPr>
        <w:widowControl w:val="0"/>
        <w:autoSpaceDE w:val="0"/>
        <w:autoSpaceDN w:val="0"/>
        <w:spacing w:before="121" w:after="120" w:line="276" w:lineRule="auto"/>
        <w:ind w:firstLine="707"/>
        <w:jc w:val="both"/>
        <w:rPr>
          <w:rFonts w:ascii="Arial" w:hAnsi="Arial" w:eastAsia="Arial" w:cs="Arial"/>
          <w:lang w:val="es-ES" w:eastAsia="es-ES" w:bidi="es-ES"/>
        </w:rPr>
      </w:pPr>
      <w:bookmarkStart w:name="_Hlk99578261" w:id="25"/>
      <w:bookmarkEnd w:id="24"/>
      <w:r w:rsidRPr="50538920" w:rsidR="4149BEA1">
        <w:rPr>
          <w:rFonts w:ascii="Arial" w:hAnsi="Arial" w:eastAsia="Arial" w:cs="Arial"/>
          <w:lang w:val="es-ES" w:eastAsia="es-ES"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w:t>
      </w:r>
      <w:r w:rsidRPr="50538920" w:rsidR="4149BEA1">
        <w:rPr>
          <w:rFonts w:ascii="Arial" w:hAnsi="Arial" w:eastAsia="Arial" w:cs="Arial"/>
          <w:lang w:val="es-ES" w:eastAsia="es-ES" w:bidi="es-ES"/>
        </w:rPr>
        <w:t>ley, deba adelantarse un procedimiento con pluralidad de oferentes</w:t>
      </w:r>
      <w:r w:rsidRPr="50538920">
        <w:rPr>
          <w:rFonts w:ascii="Arial" w:hAnsi="Arial" w:eastAsia="Arial" w:cs="Arial"/>
          <w:vertAlign w:val="superscript"/>
          <w:lang w:val="es-ES" w:eastAsia="es-ES" w:bidi="es-ES"/>
        </w:rPr>
        <w:footnoteReference w:id="14"/>
      </w:r>
      <w:r w:rsidRPr="50538920" w:rsidR="4149BEA1">
        <w:rPr>
          <w:rFonts w:ascii="Arial" w:hAnsi="Arial" w:eastAsia="Arial" w:cs="Arial"/>
          <w:lang w:val="es-ES" w:eastAsia="es-ES" w:bidi="es-ES"/>
        </w:rPr>
        <w:t>. Nótese que, en este caso, lo que cambia es la modalidad de selección y no la naturaleza de contrato</w:t>
      </w:r>
      <w:r w:rsidRPr="50538920" w:rsidR="4149BEA1">
        <w:rPr>
          <w:rFonts w:ascii="Arial" w:hAnsi="Arial" w:eastAsia="Arial" w:cs="Arial"/>
          <w:spacing w:val="-18"/>
          <w:lang w:val="es-ES" w:eastAsia="es-ES" w:bidi="es-ES"/>
        </w:rPr>
        <w:t xml:space="preserve"> </w:t>
      </w:r>
      <w:r w:rsidRPr="50538920" w:rsidR="4149BEA1">
        <w:rPr>
          <w:rFonts w:ascii="Arial" w:hAnsi="Arial" w:eastAsia="Arial" w:cs="Arial"/>
          <w:lang w:val="es-ES" w:eastAsia="es-ES" w:bidi="es-ES"/>
        </w:rPr>
        <w:t>interadministrativo.</w:t>
      </w:r>
    </w:p>
    <w:bookmarkEnd w:id="25"/>
    <w:p w:rsidRPr="005043BC" w:rsidR="002365A8" w:rsidP="50538920" w:rsidRDefault="002365A8" w14:paraId="7F0D82F3" w14:textId="77777777" w14:noSpellErr="1">
      <w:pPr>
        <w:widowControl w:val="0"/>
        <w:autoSpaceDE w:val="0"/>
        <w:autoSpaceDN w:val="0"/>
        <w:spacing w:before="114" w:after="0" w:line="276" w:lineRule="auto"/>
        <w:ind w:firstLine="707"/>
        <w:jc w:val="both"/>
        <w:rPr>
          <w:rFonts w:ascii="Arial" w:hAnsi="Arial" w:eastAsia="Arial" w:cs="Arial"/>
          <w:lang w:val="es-ES" w:eastAsia="es-ES" w:bidi="es-ES"/>
        </w:rPr>
      </w:pPr>
      <w:r w:rsidRPr="50538920" w:rsidR="4149BEA1">
        <w:rPr>
          <w:rFonts w:ascii="Arial" w:hAnsi="Arial" w:eastAsia="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50538920" w:rsidR="4149BEA1">
        <w:rPr>
          <w:rFonts w:ascii="Arial" w:hAnsi="Arial" w:eastAsia="Arial" w:cs="Arial"/>
          <w:spacing w:val="-13"/>
          <w:lang w:val="es-ES" w:eastAsia="es-ES" w:bidi="es-ES"/>
        </w:rPr>
        <w:t xml:space="preserve"> </w:t>
      </w:r>
      <w:r w:rsidRPr="50538920" w:rsidR="4149BEA1">
        <w:rPr>
          <w:rFonts w:ascii="Arial" w:hAnsi="Arial" w:eastAsia="Arial" w:cs="Arial"/>
          <w:lang w:val="es-ES" w:eastAsia="es-ES" w:bidi="es-ES"/>
        </w:rPr>
        <w:t>que:</w:t>
      </w:r>
    </w:p>
    <w:p w:rsidRPr="005043BC" w:rsidR="002365A8" w:rsidP="50538920" w:rsidRDefault="002365A8" w14:paraId="446591AC" w14:textId="77777777" w14:noSpellErr="1">
      <w:pPr>
        <w:widowControl w:val="0"/>
        <w:autoSpaceDE w:val="0"/>
        <w:autoSpaceDN w:val="0"/>
        <w:spacing w:after="0" w:line="276" w:lineRule="auto"/>
        <w:ind w:firstLine="707"/>
        <w:contextualSpacing/>
        <w:jc w:val="both"/>
        <w:rPr>
          <w:rFonts w:ascii="Arial" w:hAnsi="Arial" w:eastAsia="Arial" w:cs="Arial"/>
          <w:lang w:val="es-ES" w:eastAsia="es-ES" w:bidi="es-ES"/>
        </w:rPr>
      </w:pPr>
    </w:p>
    <w:p w:rsidRPr="005043BC" w:rsidR="002365A8" w:rsidP="50538920" w:rsidRDefault="00A42C7B" w14:paraId="079254D2" w14:textId="1D08DE49">
      <w:pPr>
        <w:spacing w:after="0" w:line="240" w:lineRule="auto"/>
        <w:ind w:left="709" w:right="709"/>
        <w:contextualSpacing/>
        <w:jc w:val="both"/>
        <w:rPr>
          <w:rFonts w:ascii="Arial" w:hAnsi="Arial" w:eastAsia="Arial" w:cs="Arial"/>
          <w:sz w:val="21"/>
          <w:szCs w:val="21"/>
          <w:lang w:val="es-MX"/>
        </w:rPr>
      </w:pPr>
      <w:r w:rsidRPr="50538920" w:rsidR="6AB36CE8">
        <w:rPr>
          <w:rFonts w:ascii="Arial" w:hAnsi="Arial" w:eastAsia="Arial" w:cs="Arial"/>
          <w:sz w:val="21"/>
          <w:szCs w:val="21"/>
          <w:lang w:val="es-MX"/>
        </w:rPr>
        <w:t>“</w:t>
      </w:r>
      <w:r w:rsidRPr="50538920" w:rsidR="4149BEA1">
        <w:rPr>
          <w:rFonts w:ascii="Arial" w:hAnsi="Arial" w:eastAsia="Arial" w:cs="Arial"/>
          <w:sz w:val="21"/>
          <w:szCs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r w:rsidRPr="50538920" w:rsidR="4149BEA1">
        <w:rPr>
          <w:rFonts w:ascii="Arial" w:hAnsi="Arial" w:eastAsia="Arial" w:cs="Arial"/>
          <w:sz w:val="21"/>
          <w:szCs w:val="21"/>
          <w:lang w:val="es-MX"/>
        </w:rPr>
        <w:t>ii</w:t>
      </w:r>
      <w:r w:rsidRPr="50538920" w:rsidR="4149BEA1">
        <w:rPr>
          <w:rFonts w:ascii="Arial" w:hAnsi="Arial" w:eastAsia="Arial" w:cs="Arial"/>
          <w:sz w:val="21"/>
          <w:szCs w:val="21"/>
          <w:lang w:val="es-MX"/>
        </w:rPr>
        <w:t>) tienen como fuente la autonomía contractual; (</w:t>
      </w:r>
      <w:r w:rsidRPr="50538920" w:rsidR="4149BEA1">
        <w:rPr>
          <w:rFonts w:ascii="Arial" w:hAnsi="Arial" w:eastAsia="Arial" w:cs="Arial"/>
          <w:sz w:val="21"/>
          <w:szCs w:val="21"/>
          <w:lang w:val="es-MX"/>
        </w:rPr>
        <w:t>iii</w:t>
      </w:r>
      <w:r w:rsidRPr="50538920" w:rsidR="4149BEA1">
        <w:rPr>
          <w:rFonts w:ascii="Arial" w:hAnsi="Arial" w:eastAsia="Arial" w:cs="Arial"/>
          <w:sz w:val="21"/>
          <w:szCs w:val="21"/>
          <w:lang w:val="es-MX"/>
        </w:rPr>
        <w:t>) son contratos nominados puesto que están mencionados en la ley; (</w:t>
      </w:r>
      <w:r w:rsidRPr="50538920" w:rsidR="4149BEA1">
        <w:rPr>
          <w:rFonts w:ascii="Arial" w:hAnsi="Arial" w:eastAsia="Arial" w:cs="Arial"/>
          <w:sz w:val="21"/>
          <w:szCs w:val="21"/>
          <w:lang w:val="es-MX"/>
        </w:rPr>
        <w:t>iv</w:t>
      </w:r>
      <w:r w:rsidRPr="50538920" w:rsidR="4149BEA1">
        <w:rPr>
          <w:rFonts w:ascii="Arial" w:hAnsi="Arial" w:eastAsia="Arial" w:cs="Arial"/>
          <w:sz w:val="21"/>
          <w:szCs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r w:rsidRPr="50538920" w:rsidR="4149BEA1">
        <w:rPr>
          <w:rFonts w:ascii="Arial" w:hAnsi="Arial" w:eastAsia="Arial" w:cs="Arial"/>
          <w:sz w:val="21"/>
          <w:szCs w:val="21"/>
          <w:lang w:val="es-MX"/>
        </w:rPr>
        <w:t>vii</w:t>
      </w:r>
      <w:r w:rsidRPr="50538920" w:rsidR="4149BEA1">
        <w:rPr>
          <w:rFonts w:ascii="Arial" w:hAnsi="Arial" w:eastAsia="Arial" w:cs="Arial"/>
          <w:sz w:val="21"/>
          <w:szCs w:val="21"/>
          <w:lang w:val="es-MX"/>
        </w:rPr>
        <w:t>) persiguen  una finalidad común a través de la realización de intereses compartidos entre las entidades vinculadas; (</w:t>
      </w:r>
      <w:r w:rsidRPr="50538920" w:rsidR="4149BEA1">
        <w:rPr>
          <w:rFonts w:ascii="Arial" w:hAnsi="Arial" w:eastAsia="Arial" w:cs="Arial"/>
          <w:sz w:val="21"/>
          <w:szCs w:val="21"/>
          <w:lang w:val="es-MX"/>
        </w:rPr>
        <w:t>viii</w:t>
      </w:r>
      <w:r w:rsidRPr="50538920" w:rsidR="4149BEA1">
        <w:rPr>
          <w:rFonts w:ascii="Arial" w:hAnsi="Arial" w:eastAsia="Arial" w:cs="Arial"/>
          <w:sz w:val="21"/>
          <w:szCs w:val="21"/>
          <w:lang w:val="es-MX"/>
        </w:rPr>
        <w:t>) la acción mediante la cual se deben ventilar las diferencias que sobre el particular surjan es la de controversias contractuales</w:t>
      </w:r>
      <w:r w:rsidRPr="50538920" w:rsidR="6AB36CE8">
        <w:rPr>
          <w:rFonts w:ascii="Arial" w:hAnsi="Arial" w:eastAsia="Arial" w:cs="Arial"/>
          <w:sz w:val="21"/>
          <w:szCs w:val="21"/>
          <w:lang w:val="es-MX"/>
        </w:rPr>
        <w:t>”</w:t>
      </w:r>
      <w:r w:rsidRPr="50538920" w:rsidR="002365A8">
        <w:rPr>
          <w:rFonts w:ascii="Arial" w:hAnsi="Arial" w:eastAsia="Arial" w:cs="Arial"/>
          <w:sz w:val="21"/>
          <w:szCs w:val="21"/>
          <w:vertAlign w:val="superscript"/>
          <w:lang w:val="es-MX"/>
        </w:rPr>
        <w:footnoteReference w:id="15"/>
      </w:r>
      <w:r w:rsidRPr="50538920" w:rsidR="4149BEA1">
        <w:rPr>
          <w:rFonts w:ascii="Arial" w:hAnsi="Arial" w:eastAsia="Arial" w:cs="Arial"/>
          <w:sz w:val="21"/>
          <w:szCs w:val="21"/>
          <w:lang w:val="es-MX"/>
        </w:rPr>
        <w:t>.</w:t>
      </w:r>
    </w:p>
    <w:p w:rsidRPr="005043BC" w:rsidR="002365A8" w:rsidP="50538920" w:rsidRDefault="002365A8" w14:paraId="13CCADE5" w14:textId="77777777" w14:noSpellErr="1">
      <w:pPr>
        <w:spacing w:after="0" w:line="276" w:lineRule="auto"/>
        <w:ind w:left="709" w:right="709"/>
        <w:contextualSpacing/>
        <w:jc w:val="both"/>
        <w:rPr>
          <w:rFonts w:ascii="Arial" w:hAnsi="Arial" w:eastAsia="Arial" w:cs="Arial"/>
          <w:lang w:val="es-MX"/>
        </w:rPr>
      </w:pPr>
    </w:p>
    <w:p w:rsidRPr="005043BC" w:rsidR="002365A8" w:rsidP="50538920" w:rsidRDefault="002365A8" w14:paraId="2E37E71C" w14:textId="77777777" w14:noSpellErr="1">
      <w:pPr>
        <w:widowControl w:val="0"/>
        <w:autoSpaceDE w:val="0"/>
        <w:autoSpaceDN w:val="0"/>
        <w:spacing w:after="120" w:line="276" w:lineRule="auto"/>
        <w:ind w:firstLine="707"/>
        <w:jc w:val="both"/>
        <w:rPr>
          <w:rFonts w:ascii="Arial" w:hAnsi="Arial" w:eastAsia="Arial" w:cs="Arial"/>
          <w:lang w:val="es-ES" w:eastAsia="es-ES" w:bidi="es-ES"/>
        </w:rPr>
      </w:pPr>
      <w:r w:rsidRPr="50538920" w:rsidR="4149BEA1">
        <w:rPr>
          <w:rFonts w:ascii="Arial" w:hAnsi="Arial" w:eastAsia="Arial" w:cs="Arial"/>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Pr="50538920" w:rsidR="4149BEA1">
        <w:rPr>
          <w:rFonts w:ascii="Arial" w:hAnsi="Arial" w:eastAsia="Arial" w:cs="Arial"/>
          <w:lang w:val="es-ES" w:eastAsia="es-ES" w:bidi="es-ES"/>
        </w:rPr>
        <w:t>El Estatuto General de Contratación de la Administración Pública establece la contratación directa como la modalidad de selección aplicable, por regla general, a la celebración de los contratos interadministrativos.</w:t>
      </w:r>
    </w:p>
    <w:p w:rsidRPr="005043BC" w:rsidR="002365A8" w:rsidP="50538920" w:rsidRDefault="002365A8" w14:paraId="31A9EA80" w14:textId="77777777" w14:noSpellErr="1">
      <w:pPr>
        <w:widowControl w:val="0"/>
        <w:autoSpaceDE w:val="0"/>
        <w:autoSpaceDN w:val="0"/>
        <w:spacing w:before="119" w:after="120" w:line="276" w:lineRule="auto"/>
        <w:ind w:firstLine="707"/>
        <w:jc w:val="both"/>
        <w:rPr>
          <w:rFonts w:ascii="Arial" w:hAnsi="Arial" w:eastAsia="Arial" w:cs="Arial"/>
          <w:lang w:val="es-ES" w:eastAsia="es-ES" w:bidi="es-ES"/>
        </w:rPr>
      </w:pPr>
      <w:r w:rsidRPr="50538920" w:rsidR="4149BEA1">
        <w:rPr>
          <w:rFonts w:ascii="Arial" w:hAnsi="Arial" w:eastAsia="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w:t>
      </w:r>
      <w:r w:rsidRPr="50538920" w:rsidR="4149BEA1">
        <w:rPr>
          <w:rFonts w:ascii="Arial" w:hAnsi="Arial" w:eastAsia="Arial" w:cs="Arial"/>
          <w:lang w:val="es-ES" w:eastAsia="es-ES" w:bidi="es-ES"/>
        </w:rPr>
        <w:t xml:space="preserve">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50538920" w:rsidR="4149BEA1">
        <w:rPr>
          <w:rFonts w:ascii="Arial" w:hAnsi="Arial" w:eastAsia="Arial" w:cs="Arial"/>
          <w:spacing w:val="-3"/>
          <w:lang w:val="es-ES" w:eastAsia="es-ES" w:bidi="es-ES"/>
        </w:rPr>
        <w:t xml:space="preserve"> </w:t>
      </w:r>
      <w:r w:rsidRPr="50538920" w:rsidR="4149BEA1">
        <w:rPr>
          <w:rFonts w:ascii="Arial" w:hAnsi="Arial" w:eastAsia="Arial" w:cs="Arial"/>
          <w:lang w:val="es-ES" w:eastAsia="es-ES" w:bidi="es-ES"/>
        </w:rPr>
        <w:t>estatales.</w:t>
      </w:r>
    </w:p>
    <w:p w:rsidRPr="005043BC" w:rsidR="002365A8" w:rsidP="50538920" w:rsidRDefault="002365A8" w14:paraId="5E95F55C" w14:textId="77777777" w14:noSpellErr="1">
      <w:pPr>
        <w:widowControl w:val="0"/>
        <w:autoSpaceDE w:val="0"/>
        <w:autoSpaceDN w:val="0"/>
        <w:spacing w:before="120" w:after="120" w:line="276" w:lineRule="auto"/>
        <w:ind w:firstLine="709"/>
        <w:jc w:val="both"/>
        <w:rPr>
          <w:rFonts w:ascii="Arial" w:hAnsi="Arial" w:eastAsia="Arial" w:cs="Arial"/>
          <w:lang w:val="es-ES" w:eastAsia="es-ES" w:bidi="es-ES"/>
        </w:rPr>
      </w:pPr>
      <w:r w:rsidRPr="50538920" w:rsidR="4149BEA1">
        <w:rPr>
          <w:rFonts w:ascii="Arial" w:hAnsi="Arial" w:eastAsia="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w:t>
      </w:r>
      <w:r w:rsidRPr="50538920" w:rsidR="4149BEA1">
        <w:rPr>
          <w:rFonts w:ascii="Arial" w:hAnsi="Arial" w:eastAsia="Arial" w:cs="Arial"/>
          <w:lang w:val="es-ES" w:eastAsia="es-ES" w:bidi="es-ES"/>
        </w:rPr>
        <w:t>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w:t>
      </w:r>
      <w:r w:rsidRPr="50538920" w:rsidR="4149BEA1">
        <w:rPr>
          <w:rFonts w:ascii="Arial" w:hAnsi="Arial" w:eastAsia="Arial" w:cs="Arial"/>
          <w:lang w:val="es-ES" w:eastAsia="es-ES" w:bidi="es-ES"/>
        </w:rPr>
        <w:t xml:space="preserve">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50538920" w:rsidR="4149BEA1">
        <w:rPr>
          <w:rFonts w:ascii="Arial" w:hAnsi="Arial" w:eastAsia="Arial" w:cs="Arial"/>
          <w:spacing w:val="-4"/>
          <w:lang w:val="es-ES" w:eastAsia="es-ES" w:bidi="es-ES"/>
        </w:rPr>
        <w:t xml:space="preserve"> </w:t>
      </w:r>
      <w:r w:rsidRPr="50538920" w:rsidR="4149BEA1">
        <w:rPr>
          <w:rFonts w:ascii="Arial" w:hAnsi="Arial" w:eastAsia="Arial" w:cs="Arial"/>
          <w:lang w:val="es-ES" w:eastAsia="es-ES" w:bidi="es-ES"/>
        </w:rPr>
        <w:t>estatales.</w:t>
      </w:r>
    </w:p>
    <w:p w:rsidRPr="005043BC" w:rsidR="002365A8" w:rsidP="50538920" w:rsidRDefault="002365A8" w14:paraId="39F2A17D" w14:textId="77777777" w14:noSpellErr="1">
      <w:pPr>
        <w:widowControl w:val="0"/>
        <w:autoSpaceDE w:val="0"/>
        <w:autoSpaceDN w:val="0"/>
        <w:spacing w:before="122" w:after="120" w:line="276" w:lineRule="auto"/>
        <w:ind w:firstLine="708"/>
        <w:jc w:val="both"/>
        <w:rPr>
          <w:rFonts w:ascii="Arial" w:hAnsi="Arial" w:eastAsia="Arial" w:cs="Arial"/>
          <w:lang w:val="es-ES" w:eastAsia="es-ES" w:bidi="es-ES"/>
        </w:rPr>
      </w:pPr>
      <w:r w:rsidRPr="50538920" w:rsidR="4149BEA1">
        <w:rPr>
          <w:rFonts w:ascii="Arial" w:hAnsi="Arial" w:eastAsia="Arial" w:cs="Arial"/>
          <w:lang w:val="es-ES" w:eastAsia="es-ES" w:bidi="es-ES"/>
        </w:rPr>
        <w:t xml:space="preserve">Es bueno destacar que el Decreto 1082 de 2015 dispone que los convenios o contratos interadministrativos, así denominados en su artículo 2.2.1.2.1.4.4, se </w:t>
      </w:r>
      <w:r w:rsidRPr="50538920" w:rsidR="4149BEA1">
        <w:rPr>
          <w:rFonts w:ascii="Arial" w:hAnsi="Arial" w:eastAsia="Arial" w:cs="Arial"/>
          <w:lang w:val="es-ES" w:eastAsia="es-ES" w:bidi="es-ES"/>
        </w:rPr>
        <w:t>contratan directamente, por lo que no hay lugar a dudas que representan lo mismo en la medida en que concurran entidades estatales en el acuerdo de voluntades.</w:t>
      </w:r>
      <w:r w:rsidRPr="50538920" w:rsidR="4149BEA1">
        <w:rPr>
          <w:rFonts w:ascii="Arial" w:hAnsi="Arial" w:eastAsia="Arial" w:cs="Arial"/>
          <w:lang w:val="es-ES" w:eastAsia="es-ES" w:bidi="es-ES"/>
        </w:rPr>
        <w:t xml:space="preserve"> </w:t>
      </w:r>
      <w:r w:rsidRPr="50538920" w:rsidR="4149BEA1">
        <w:rPr>
          <w:rFonts w:ascii="Arial" w:hAnsi="Arial" w:eastAsia="Arial" w:cs="Arial"/>
          <w:lang w:val="es-ES" w:eastAsia="es-ES" w:bidi="es-ES"/>
        </w:rPr>
        <w:t>De este modo, es posible concluir que en la contratación estatal no existen mayores diferencias entre convenio y contrato y, dando aplicación al derecho privado y a la definición contenida en el Código Civil, puede afirmarse que se trata de figuras equivalentes.</w:t>
      </w:r>
    </w:p>
    <w:p w:rsidRPr="005043BC" w:rsidR="002365A8" w:rsidP="50538920" w:rsidRDefault="002365A8" w14:paraId="2C2A14CC" w14:textId="77777777" w14:noSpellErr="1">
      <w:pPr>
        <w:widowControl w:val="0"/>
        <w:autoSpaceDE w:val="0"/>
        <w:autoSpaceDN w:val="0"/>
        <w:spacing w:after="120" w:line="276" w:lineRule="auto"/>
        <w:ind w:firstLine="708"/>
        <w:jc w:val="both"/>
        <w:rPr>
          <w:rFonts w:ascii="Arial" w:hAnsi="Arial" w:eastAsia="Arial" w:cs="Arial"/>
          <w:lang w:val="es-MX" w:eastAsia="es-ES" w:bidi="es-ES"/>
        </w:rPr>
      </w:pPr>
      <w:r w:rsidRPr="50538920" w:rsidR="4149BEA1">
        <w:rPr>
          <w:rFonts w:ascii="Arial" w:hAnsi="Arial" w:eastAsia="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50538920" w:rsidR="4149BEA1">
        <w:rPr>
          <w:rFonts w:ascii="Arial" w:hAnsi="Arial" w:eastAsia="Arial" w:cs="Arial"/>
          <w:spacing w:val="-4"/>
          <w:lang w:val="es-ES" w:eastAsia="es-ES" w:bidi="es-ES"/>
        </w:rPr>
        <w:t xml:space="preserve"> </w:t>
      </w:r>
      <w:r w:rsidRPr="50538920" w:rsidR="4149BEA1">
        <w:rPr>
          <w:rFonts w:ascii="Arial" w:hAnsi="Arial" w:eastAsia="Arial" w:cs="Arial"/>
          <w:lang w:val="es-ES" w:eastAsia="es-ES" w:bidi="es-ES"/>
        </w:rPr>
        <w:t>[…</w:t>
      </w:r>
      <w:r w:rsidRPr="50538920" w:rsidR="4149BEA1">
        <w:rPr>
          <w:rFonts w:ascii="Arial" w:hAnsi="Arial" w:eastAsia="Arial" w:cs="Arial"/>
          <w:lang w:val="es-ES" w:eastAsia="es-ES" w:bidi="es-ES"/>
        </w:rPr>
        <w:t>]”</w:t>
      </w:r>
      <w:r w:rsidRPr="50538920">
        <w:rPr>
          <w:rFonts w:ascii="Arial" w:hAnsi="Arial" w:eastAsia="Arial" w:cs="Arial"/>
          <w:vertAlign w:val="superscript"/>
          <w:lang w:val="es-ES" w:eastAsia="es-ES" w:bidi="es-ES"/>
        </w:rPr>
        <w:footnoteReference w:id="16"/>
      </w:r>
      <w:r w:rsidRPr="50538920" w:rsidR="4149BEA1">
        <w:rPr>
          <w:rFonts w:ascii="Arial" w:hAnsi="Arial" w:eastAsia="Arial" w:cs="Arial"/>
          <w:lang w:val="es-ES" w:eastAsia="es-ES" w:bidi="es-ES"/>
        </w:rPr>
        <w:t>.</w:t>
      </w:r>
      <w:bookmarkStart w:name="_Hlk77171241" w:id="26"/>
    </w:p>
    <w:p w:rsidRPr="005043BC" w:rsidR="002365A8" w:rsidP="50538920" w:rsidRDefault="002365A8" w14:paraId="656CAE86" w14:textId="77777777" w14:noSpellErr="1">
      <w:pPr>
        <w:widowControl w:val="0"/>
        <w:autoSpaceDE w:val="0"/>
        <w:autoSpaceDN w:val="0"/>
        <w:spacing w:after="0" w:line="276" w:lineRule="auto"/>
        <w:ind w:firstLine="709"/>
        <w:contextualSpacing/>
        <w:jc w:val="both"/>
        <w:rPr>
          <w:rFonts w:ascii="Arial" w:hAnsi="Arial" w:eastAsia="Arial" w:cs="Arial"/>
          <w:lang w:val="es-ES" w:eastAsia="es-ES" w:bidi="es-ES"/>
        </w:rPr>
      </w:pPr>
      <w:r w:rsidRPr="50538920" w:rsidR="4149BEA1">
        <w:rPr>
          <w:rFonts w:ascii="Arial" w:hAnsi="Arial" w:eastAsia="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w:t>
      </w:r>
      <w:r w:rsidRPr="50538920" w:rsidR="4149BEA1">
        <w:rPr>
          <w:rFonts w:ascii="Arial" w:hAnsi="Arial" w:eastAsia="Arial" w:cs="Arial"/>
          <w:lang w:val="es-ES" w:eastAsia="es-ES" w:bidi="es-ES"/>
        </w:rPr>
        <w:t xml:space="preserve"> Por ejemplo, el Consejo de Estado en sentencia del 14 de junio de 2019 expresó:</w:t>
      </w:r>
    </w:p>
    <w:p w:rsidRPr="005043BC" w:rsidR="002365A8" w:rsidP="50538920" w:rsidRDefault="002365A8" w14:paraId="15703169" w14:textId="77777777" w14:noSpellErr="1">
      <w:pPr>
        <w:widowControl w:val="0"/>
        <w:autoSpaceDE w:val="0"/>
        <w:autoSpaceDN w:val="0"/>
        <w:spacing w:after="0" w:line="276" w:lineRule="auto"/>
        <w:ind w:firstLine="709"/>
        <w:contextualSpacing/>
        <w:jc w:val="both"/>
        <w:rPr>
          <w:rFonts w:ascii="Arial" w:hAnsi="Arial" w:eastAsia="Arial" w:cs="Arial"/>
          <w:lang w:val="es-ES" w:eastAsia="es-ES" w:bidi="es-ES"/>
        </w:rPr>
      </w:pPr>
    </w:p>
    <w:p w:rsidRPr="005043BC" w:rsidR="002365A8" w:rsidP="50538920" w:rsidRDefault="006D43A2" w14:paraId="0C243DBF" w14:textId="3FB3AE55" w14:noSpellErr="1">
      <w:pPr>
        <w:spacing w:after="0" w:line="240" w:lineRule="auto"/>
        <w:ind w:left="709" w:right="709"/>
        <w:contextualSpacing/>
        <w:jc w:val="both"/>
        <w:rPr>
          <w:rFonts w:ascii="Arial" w:hAnsi="Arial" w:eastAsia="Arial" w:cs="Arial"/>
          <w:sz w:val="21"/>
          <w:szCs w:val="21"/>
          <w:lang w:val="es-ES"/>
        </w:rPr>
      </w:pPr>
      <w:r w:rsidRPr="50538920" w:rsidR="2FD1A609">
        <w:rPr>
          <w:rFonts w:ascii="Arial" w:hAnsi="Arial" w:eastAsia="Arial" w:cs="Arial"/>
          <w:sz w:val="21"/>
          <w:szCs w:val="21"/>
          <w:lang w:val="es-ES"/>
        </w:rPr>
        <w:t>“</w:t>
      </w:r>
      <w:r w:rsidRPr="50538920" w:rsidR="4149BEA1">
        <w:rPr>
          <w:rFonts w:ascii="Arial" w:hAnsi="Arial" w:eastAsia="Arial" w:cs="Arial"/>
          <w:sz w:val="21"/>
          <w:szCs w:val="21"/>
          <w:lang w:val="es-ES"/>
        </w:rPr>
        <w:t>La Sala de Consulta y Servicio Civil</w:t>
      </w:r>
      <w:r w:rsidRPr="50538920" w:rsidR="002365A8">
        <w:rPr>
          <w:rFonts w:ascii="Arial" w:hAnsi="Arial" w:eastAsia="Arial" w:cs="Arial"/>
          <w:sz w:val="21"/>
          <w:szCs w:val="21"/>
          <w:vertAlign w:val="superscript"/>
          <w:lang w:val="es-ES"/>
        </w:rPr>
        <w:footnoteReference w:id="17"/>
      </w:r>
      <w:r w:rsidRPr="50538920" w:rsidR="4149BEA1">
        <w:rPr>
          <w:rFonts w:ascii="Arial" w:hAnsi="Arial" w:eastAsia="Arial" w:cs="Arial"/>
          <w:sz w:val="21"/>
          <w:szCs w:val="21"/>
          <w:lang w:val="es-ES"/>
        </w:rPr>
        <w:t xml:space="preserve"> de esta Corporación se ha referido a los </w:t>
      </w:r>
      <w:r w:rsidRPr="50538920" w:rsidR="4149BEA1">
        <w:rPr>
          <w:rFonts w:ascii="Arial" w:hAnsi="Arial" w:eastAsia="Arial" w:cs="Arial"/>
          <w:i w:val="1"/>
          <w:iCs w:val="1"/>
          <w:sz w:val="21"/>
          <w:szCs w:val="21"/>
          <w:lang w:val="es-ES"/>
        </w:rPr>
        <w:t>“convenios interadministrativos”</w:t>
      </w:r>
      <w:r w:rsidRPr="50538920" w:rsidR="4149BEA1">
        <w:rPr>
          <w:rFonts w:ascii="Arial" w:hAnsi="Arial" w:eastAsia="Arial" w:cs="Arial"/>
          <w:sz w:val="21"/>
          <w:szCs w:val="21"/>
          <w:lang w:val="es-ES"/>
        </w:rPr>
        <w:t xml:space="preserve"> a los cuales alude el artículo 95 de la Ley 489 de 1998, calificándolos de </w:t>
      </w:r>
      <w:r w:rsidRPr="50538920" w:rsidR="4149BEA1">
        <w:rPr>
          <w:rFonts w:ascii="Arial" w:hAnsi="Arial" w:eastAsia="Arial" w:cs="Arial"/>
          <w:i w:val="1"/>
          <w:iCs w:val="1"/>
          <w:sz w:val="21"/>
          <w:szCs w:val="21"/>
          <w:lang w:val="es-ES"/>
        </w:rPr>
        <w:t xml:space="preserve">“puros” </w:t>
      </w:r>
      <w:r w:rsidRPr="50538920" w:rsidR="4149BEA1">
        <w:rPr>
          <w:rFonts w:ascii="Arial" w:hAnsi="Arial" w:eastAsia="Arial" w:cs="Arial"/>
          <w:sz w:val="21"/>
          <w:szCs w:val="21"/>
          <w:lang w:val="es-ES"/>
        </w:rPr>
        <w:t xml:space="preserve">y entendiendo que estos, además de perseguir la finalidad de cooperación antes indicada, no implican intereses contrapuestos ni tampoco se circunscriben a un </w:t>
      </w:r>
      <w:r w:rsidRPr="50538920" w:rsidR="4149BEA1">
        <w:rPr>
          <w:rFonts w:ascii="Arial" w:hAnsi="Arial" w:eastAsia="Arial" w:cs="Arial"/>
          <w:i w:val="1"/>
          <w:iCs w:val="1"/>
          <w:sz w:val="21"/>
          <w:szCs w:val="21"/>
          <w:lang w:val="es-ES"/>
        </w:rPr>
        <w:t>“intercambio patrimonial”</w:t>
      </w:r>
      <w:r w:rsidRPr="50538920" w:rsidR="4149BEA1">
        <w:rPr>
          <w:rFonts w:ascii="Arial" w:hAnsi="Arial" w:eastAsia="Arial" w:cs="Arial"/>
          <w:sz w:val="21"/>
          <w:szCs w:val="21"/>
          <w:lang w:val="es-ES"/>
        </w:rPr>
        <w:t>. Sin perjuicio de lo anterior, en otra oportunidad, la misma Sala</w:t>
      </w:r>
      <w:r w:rsidRPr="50538920" w:rsidR="002365A8">
        <w:rPr>
          <w:rFonts w:ascii="Arial" w:hAnsi="Arial" w:eastAsia="Arial" w:cs="Arial"/>
          <w:sz w:val="21"/>
          <w:szCs w:val="21"/>
          <w:vertAlign w:val="superscript"/>
          <w:lang w:val="es-ES"/>
        </w:rPr>
        <w:footnoteReference w:id="18"/>
      </w:r>
      <w:r w:rsidRPr="50538920" w:rsidR="4149BEA1">
        <w:rPr>
          <w:rFonts w:ascii="Arial" w:hAnsi="Arial" w:eastAsia="Arial" w:cs="Arial"/>
          <w:sz w:val="21"/>
          <w:szCs w:val="21"/>
          <w:lang w:val="es-ES"/>
        </w:rPr>
        <w:t xml:space="preserve"> había indicado que, si bien en dichos convenios no se daba un </w:t>
      </w:r>
      <w:r w:rsidRPr="50538920" w:rsidR="4149BEA1">
        <w:rPr>
          <w:rFonts w:ascii="Arial" w:hAnsi="Arial" w:eastAsia="Arial" w:cs="Arial"/>
          <w:i w:val="1"/>
          <w:iCs w:val="1"/>
          <w:sz w:val="21"/>
          <w:szCs w:val="21"/>
          <w:lang w:val="es-ES"/>
        </w:rPr>
        <w:t xml:space="preserve">“verdadero intercambio de bienes o servicios </w:t>
      </w:r>
      <w:r w:rsidRPr="50538920" w:rsidR="4149BEA1">
        <w:rPr>
          <w:rFonts w:ascii="Arial" w:hAnsi="Arial" w:eastAsia="Arial" w:cs="Arial"/>
          <w:i w:val="1"/>
          <w:iCs w:val="1"/>
          <w:sz w:val="21"/>
          <w:szCs w:val="21"/>
          <w:lang w:val="es-ES"/>
        </w:rPr>
        <w:t>(contrato conmutativo)”</w:t>
      </w:r>
      <w:r w:rsidRPr="50538920" w:rsidR="4149BEA1">
        <w:rPr>
          <w:rFonts w:ascii="Arial" w:hAnsi="Arial" w:eastAsia="Arial" w:cs="Arial"/>
          <w:sz w:val="21"/>
          <w:szCs w:val="21"/>
          <w:lang w:val="es-ES"/>
        </w:rPr>
        <w:t>, ello no impedía que se conviniera una remuneración a cargo de alguna(s) entidad(es).</w:t>
      </w:r>
    </w:p>
    <w:p w:rsidRPr="005043BC" w:rsidR="002365A8" w:rsidP="50538920" w:rsidRDefault="002365A8" w14:paraId="65618F7E" w14:textId="77777777" w14:noSpellErr="1">
      <w:pPr>
        <w:spacing w:after="0" w:line="240" w:lineRule="auto"/>
        <w:ind w:left="709" w:right="709"/>
        <w:contextualSpacing/>
        <w:jc w:val="both"/>
        <w:rPr>
          <w:rFonts w:ascii="Arial" w:hAnsi="Arial" w:eastAsia="Arial" w:cs="Arial"/>
          <w:sz w:val="21"/>
          <w:szCs w:val="21"/>
          <w:lang w:val="es-ES"/>
        </w:rPr>
      </w:pPr>
    </w:p>
    <w:p w:rsidRPr="005043BC" w:rsidR="002365A8" w:rsidP="50538920" w:rsidRDefault="002365A8" w14:paraId="6ACABD12" w14:textId="613729D5" w14:noSpellErr="1">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50538920" w:rsidR="4149BEA1">
        <w:rPr>
          <w:rFonts w:ascii="Arial" w:hAnsi="Arial" w:eastAsia="Arial" w:cs="Arial"/>
          <w:sz w:val="21"/>
          <w:szCs w:val="21"/>
          <w:lang w:val="es-ES" w:eastAsia="es-ES" w:bidi="es-ES"/>
        </w:rPr>
        <w:t xml:space="preserve">Lo expuesto evidencia que, en general, las interpretaciones en torno a los </w:t>
      </w:r>
      <w:r w:rsidRPr="50538920" w:rsidR="4149BEA1">
        <w:rPr>
          <w:rFonts w:ascii="Arial" w:hAnsi="Arial" w:eastAsia="Arial" w:cs="Arial"/>
          <w:i w:val="1"/>
          <w:iCs w:val="1"/>
          <w:sz w:val="21"/>
          <w:szCs w:val="21"/>
          <w:lang w:val="es-ES" w:eastAsia="es-ES" w:bidi="es-ES"/>
        </w:rPr>
        <w:t>“convenios interadministrativos”</w:t>
      </w:r>
      <w:r w:rsidRPr="50538920" w:rsidR="4149BEA1">
        <w:rPr>
          <w:rFonts w:ascii="Arial" w:hAnsi="Arial" w:eastAsia="Arial" w:cs="Arial"/>
          <w:sz w:val="21"/>
          <w:szCs w:val="21"/>
          <w:lang w:val="es-ES"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50538920" w:rsidR="2FD1A609">
        <w:rPr>
          <w:rFonts w:ascii="Arial" w:hAnsi="Arial" w:eastAsia="Arial" w:cs="Arial"/>
          <w:sz w:val="21"/>
          <w:szCs w:val="21"/>
          <w:lang w:val="es-ES" w:eastAsia="es-ES" w:bidi="es-ES"/>
        </w:rPr>
        <w:t>”</w:t>
      </w:r>
      <w:r w:rsidRPr="50538920">
        <w:rPr>
          <w:rFonts w:ascii="Arial" w:hAnsi="Arial" w:eastAsia="Arial" w:cs="Arial"/>
          <w:sz w:val="21"/>
          <w:szCs w:val="21"/>
          <w:vertAlign w:val="superscript"/>
          <w:lang w:val="es-ES" w:eastAsia="es-ES" w:bidi="es-ES"/>
        </w:rPr>
        <w:footnoteReference w:id="19"/>
      </w:r>
      <w:r w:rsidRPr="50538920">
        <w:rPr>
          <w:rFonts w:ascii="Arial" w:hAnsi="Arial" w:eastAsia="Arial" w:cs="Arial"/>
          <w:sz w:val="21"/>
          <w:szCs w:val="21"/>
          <w:vertAlign w:val="superscript"/>
          <w:lang w:val="es-ES" w:eastAsia="es-ES" w:bidi="es-ES"/>
        </w:rPr>
        <w:footnoteReference w:id="20"/>
      </w:r>
      <w:r w:rsidRPr="50538920" w:rsidR="4149BEA1">
        <w:rPr>
          <w:rFonts w:ascii="Arial" w:hAnsi="Arial" w:eastAsia="Arial" w:cs="Arial"/>
          <w:sz w:val="21"/>
          <w:szCs w:val="21"/>
          <w:lang w:val="es-ES" w:eastAsia="es-ES" w:bidi="es-ES"/>
        </w:rPr>
        <w:t>.</w:t>
      </w:r>
    </w:p>
    <w:p w:rsidRPr="005043BC" w:rsidR="002365A8" w:rsidP="50538920" w:rsidRDefault="002365A8" w14:paraId="7EC455BE" w14:textId="77777777" w14:noSpellErr="1">
      <w:pPr>
        <w:widowControl w:val="0"/>
        <w:autoSpaceDE w:val="0"/>
        <w:autoSpaceDN w:val="0"/>
        <w:spacing w:after="0" w:line="276" w:lineRule="auto"/>
        <w:contextualSpacing/>
        <w:jc w:val="both"/>
        <w:rPr>
          <w:rFonts w:ascii="Arial" w:hAnsi="Arial" w:eastAsia="Arial" w:cs="Arial"/>
          <w:lang w:val="es-ES" w:eastAsia="es-ES" w:bidi="es-ES"/>
        </w:rPr>
      </w:pPr>
    </w:p>
    <w:p w:rsidRPr="005043BC" w:rsidR="002365A8" w:rsidP="50538920" w:rsidRDefault="002365A8" w14:paraId="4D1A641E" w14:textId="77777777" w14:noSpellErr="1">
      <w:pPr>
        <w:widowControl w:val="0"/>
        <w:autoSpaceDE w:val="0"/>
        <w:autoSpaceDN w:val="0"/>
        <w:spacing w:after="120" w:line="276" w:lineRule="auto"/>
        <w:jc w:val="both"/>
        <w:rPr>
          <w:rFonts w:ascii="Arial" w:hAnsi="Arial" w:eastAsia="Arial" w:cs="Arial"/>
          <w:lang w:val="es-ES" w:eastAsia="es-ES" w:bidi="es-ES"/>
        </w:rPr>
      </w:pPr>
      <w:r w:rsidRPr="005043BC">
        <w:rPr>
          <w:rFonts w:ascii="Century Gothic" w:hAnsi="Century Gothic" w:eastAsia="Arial" w:cs="Arial"/>
          <w:lang w:val="es-ES" w:eastAsia="es-ES" w:bidi="es-ES"/>
        </w:rPr>
        <w:tab/>
      </w:r>
      <w:r w:rsidRPr="50538920" w:rsidR="4149BEA1">
        <w:rPr>
          <w:rFonts w:ascii="Arial" w:hAnsi="Arial" w:eastAsia="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50538920">
        <w:rPr>
          <w:rFonts w:ascii="Arial" w:hAnsi="Arial" w:eastAsia="Arial" w:cs="Arial"/>
          <w:vertAlign w:val="superscript"/>
          <w:lang w:val="es-ES" w:eastAsia="es-ES" w:bidi="es-ES"/>
        </w:rPr>
        <w:footnoteReference w:id="21"/>
      </w:r>
      <w:r w:rsidRPr="50538920" w:rsidR="4149BEA1">
        <w:rPr>
          <w:rFonts w:ascii="Arial" w:hAnsi="Arial" w:eastAsia="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50538920">
        <w:rPr>
          <w:rFonts w:ascii="Arial" w:hAnsi="Arial" w:eastAsia="Arial" w:cs="Arial"/>
          <w:vertAlign w:val="superscript"/>
          <w:lang w:val="es-ES" w:eastAsia="es-ES" w:bidi="es-ES"/>
        </w:rPr>
        <w:footnoteReference w:id="22"/>
      </w:r>
      <w:r w:rsidRPr="50538920" w:rsidR="4149BEA1">
        <w:rPr>
          <w:rFonts w:ascii="Arial" w:hAnsi="Arial" w:eastAsia="Arial" w:cs="Arial"/>
          <w:lang w:val="es-ES" w:eastAsia="es-ES" w:bidi="es-ES"/>
        </w:rPr>
        <w:t>.</w:t>
      </w:r>
    </w:p>
    <w:p w:rsidRPr="005043BC" w:rsidR="002365A8" w:rsidP="50538920" w:rsidRDefault="002365A8" w14:paraId="087FA3C0" w14:textId="77777777" w14:noSpellErr="1">
      <w:pPr>
        <w:widowControl w:val="0"/>
        <w:autoSpaceDE w:val="0"/>
        <w:autoSpaceDN w:val="0"/>
        <w:spacing w:after="0" w:line="276" w:lineRule="auto"/>
        <w:contextualSpacing/>
        <w:jc w:val="both"/>
        <w:rPr>
          <w:rFonts w:ascii="Arial" w:hAnsi="Arial" w:eastAsia="Arial" w:cs="Arial"/>
          <w:lang w:val="es-ES" w:eastAsia="es-ES" w:bidi="es-ES"/>
        </w:rPr>
      </w:pPr>
      <w:r w:rsidRPr="005043BC">
        <w:rPr>
          <w:rFonts w:ascii="Century Gothic" w:hAnsi="Century Gothic" w:eastAsia="Arial" w:cs="Arial"/>
          <w:lang w:val="es-ES" w:eastAsia="es-ES" w:bidi="es-ES"/>
        </w:rPr>
        <w:tab/>
      </w:r>
      <w:r w:rsidRPr="50538920" w:rsidR="4149BEA1">
        <w:rPr>
          <w:rFonts w:ascii="Arial" w:hAnsi="Arial" w:eastAsia="Arial" w:cs="Arial"/>
          <w:lang w:val="es-ES" w:eastAsia="es-ES" w:bidi="es-ES"/>
        </w:rPr>
        <w:t xml:space="preserve">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w:t>
      </w:r>
      <w:r w:rsidRPr="50538920" w:rsidR="4149BEA1">
        <w:rPr>
          <w:rFonts w:ascii="Arial" w:hAnsi="Arial" w:eastAsia="Arial" w:cs="Arial"/>
          <w:lang w:val="es-ES" w:eastAsia="es-ES" w:bidi="es-ES"/>
        </w:rPr>
        <w:t xml:space="preserve">conceptos de convenio o de contrato. </w:t>
      </w:r>
      <w:r w:rsidRPr="50538920" w:rsidR="4149BEA1">
        <w:rPr>
          <w:rFonts w:ascii="Arial" w:hAnsi="Arial" w:eastAsia="Arial" w:cs="Arial"/>
          <w:lang w:val="es-ES" w:eastAsia="es-ES" w:bidi="es-ES"/>
        </w:rPr>
        <w:t>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w:t>
      </w:r>
      <w:r w:rsidRPr="50538920" w:rsidR="4149BEA1">
        <w:rPr>
          <w:rFonts w:ascii="Arial" w:hAnsi="Arial" w:eastAsia="Arial" w:cs="Arial"/>
          <w:lang w:val="es-ES" w:eastAsia="es-ES" w:bidi="es-ES"/>
        </w:rPr>
        <w:t xml:space="preserve"> En este sentido, la Circular, refiriéndose al parágrafo del artículo 38 de la Ley 996 de 2005, expresa:</w:t>
      </w:r>
    </w:p>
    <w:p w:rsidRPr="005043BC" w:rsidR="002365A8" w:rsidP="50538920" w:rsidRDefault="002365A8" w14:paraId="23B9AFDA" w14:textId="77777777" w14:noSpellErr="1">
      <w:pPr>
        <w:widowControl w:val="0"/>
        <w:autoSpaceDE w:val="0"/>
        <w:autoSpaceDN w:val="0"/>
        <w:spacing w:after="0" w:line="276" w:lineRule="auto"/>
        <w:contextualSpacing/>
        <w:jc w:val="both"/>
        <w:rPr>
          <w:rFonts w:ascii="Arial" w:hAnsi="Arial" w:eastAsia="Arial" w:cs="Arial"/>
          <w:lang w:val="es-ES" w:eastAsia="es-ES" w:bidi="es-ES"/>
        </w:rPr>
      </w:pPr>
    </w:p>
    <w:p w:rsidRPr="005043BC" w:rsidR="002365A8" w:rsidP="50538920" w:rsidRDefault="00A00B09" w14:paraId="259C1364" w14:textId="258A7D56" w14:noSpellErr="1">
      <w:pPr>
        <w:spacing w:after="0" w:line="240" w:lineRule="auto"/>
        <w:ind w:left="709" w:right="709"/>
        <w:contextualSpacing/>
        <w:jc w:val="both"/>
        <w:rPr>
          <w:rFonts w:ascii="Arial" w:hAnsi="Arial" w:eastAsia="Arial" w:cs="Arial"/>
          <w:sz w:val="21"/>
          <w:szCs w:val="21"/>
          <w:lang w:val="es-MX"/>
        </w:rPr>
      </w:pPr>
      <w:r w:rsidRPr="50538920" w:rsidR="488D3D09">
        <w:rPr>
          <w:rFonts w:ascii="Arial" w:hAnsi="Arial" w:eastAsia="Arial" w:cs="Arial"/>
          <w:sz w:val="21"/>
          <w:szCs w:val="21"/>
          <w:lang w:val="es-ES"/>
        </w:rPr>
        <w:t>“</w:t>
      </w:r>
      <w:r w:rsidRPr="50538920" w:rsidR="4149BEA1">
        <w:rPr>
          <w:rFonts w:ascii="Arial" w:hAnsi="Arial" w:eastAsia="Arial" w:cs="Arial"/>
          <w:sz w:val="21"/>
          <w:szCs w:val="21"/>
          <w:lang w:val="es-E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50538920" w:rsidR="4149BEA1">
        <w:rPr>
          <w:rFonts w:ascii="Arial" w:hAnsi="Arial" w:eastAsia="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rsidRPr="005043BC" w:rsidR="002365A8" w:rsidP="50538920" w:rsidRDefault="002365A8" w14:paraId="6FA0AAF5" w14:textId="77777777" w14:noSpellErr="1">
      <w:pPr>
        <w:spacing w:after="0" w:line="240" w:lineRule="auto"/>
        <w:ind w:left="709" w:right="709"/>
        <w:contextualSpacing/>
        <w:jc w:val="both"/>
        <w:rPr>
          <w:rFonts w:ascii="Arial" w:hAnsi="Arial" w:eastAsia="Arial" w:cs="Arial"/>
          <w:sz w:val="21"/>
          <w:szCs w:val="21"/>
          <w:lang w:val="es-MX"/>
        </w:rPr>
      </w:pPr>
      <w:r w:rsidRPr="50538920" w:rsidR="4149BEA1">
        <w:rPr>
          <w:rFonts w:ascii="Arial" w:hAnsi="Arial" w:eastAsia="Arial" w:cs="Arial"/>
          <w:sz w:val="21"/>
          <w:szCs w:val="21"/>
          <w:lang w:val="es-MX"/>
        </w:rPr>
        <w:t xml:space="preserve"> </w:t>
      </w:r>
    </w:p>
    <w:p w:rsidRPr="005043BC" w:rsidR="002365A8" w:rsidP="50538920" w:rsidRDefault="002365A8" w14:paraId="01CB6BB9" w14:textId="77777777" w14:noSpellErr="1">
      <w:pPr>
        <w:spacing w:after="0" w:line="240" w:lineRule="auto"/>
        <w:ind w:left="709" w:right="709"/>
        <w:contextualSpacing/>
        <w:jc w:val="both"/>
        <w:rPr>
          <w:rFonts w:ascii="Arial" w:hAnsi="Arial" w:eastAsia="Arial" w:cs="Arial"/>
          <w:sz w:val="21"/>
          <w:szCs w:val="21"/>
          <w:lang w:val="es-MX"/>
        </w:rPr>
      </w:pPr>
      <w:r w:rsidRPr="50538920" w:rsidR="4149BEA1">
        <w:rPr>
          <w:rFonts w:ascii="Arial" w:hAnsi="Arial" w:eastAsia="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rsidRPr="005043BC" w:rsidR="002365A8" w:rsidP="50538920" w:rsidRDefault="002365A8" w14:paraId="73F04F47" w14:textId="77777777" w14:noSpellErr="1">
      <w:pPr>
        <w:spacing w:after="0" w:line="240" w:lineRule="auto"/>
        <w:ind w:left="709" w:right="709"/>
        <w:contextualSpacing/>
        <w:jc w:val="both"/>
        <w:rPr>
          <w:rFonts w:ascii="Arial" w:hAnsi="Arial" w:eastAsia="Arial" w:cs="Arial"/>
          <w:sz w:val="21"/>
          <w:szCs w:val="21"/>
          <w:lang w:val="es-MX"/>
        </w:rPr>
      </w:pPr>
    </w:p>
    <w:p w:rsidRPr="005043BC" w:rsidR="002365A8" w:rsidP="50538920" w:rsidRDefault="002365A8" w14:paraId="651E440A" w14:textId="5EBBA154" w14:noSpellErr="1">
      <w:pPr>
        <w:spacing w:after="0" w:line="240" w:lineRule="auto"/>
        <w:ind w:left="709" w:right="709"/>
        <w:contextualSpacing/>
        <w:jc w:val="both"/>
        <w:rPr>
          <w:rFonts w:ascii="Arial" w:hAnsi="Arial" w:eastAsia="Arial" w:cs="Arial"/>
          <w:sz w:val="24"/>
          <w:szCs w:val="24"/>
          <w:lang w:val="es-MX"/>
        </w:rPr>
      </w:pPr>
      <w:r w:rsidRPr="50538920" w:rsidR="4149BEA1">
        <w:rPr>
          <w:rFonts w:ascii="Arial" w:hAnsi="Arial" w:eastAsia="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sidRPr="50538920" w:rsidR="488D3D09">
        <w:rPr>
          <w:rFonts w:ascii="Arial" w:hAnsi="Arial" w:eastAsia="Arial" w:cs="Arial"/>
          <w:sz w:val="21"/>
          <w:szCs w:val="21"/>
          <w:lang w:val="es-MX"/>
        </w:rPr>
        <w:t>”</w:t>
      </w:r>
      <w:r w:rsidRPr="50538920" w:rsidR="4149BEA1">
        <w:rPr>
          <w:rFonts w:ascii="Arial" w:hAnsi="Arial" w:eastAsia="Arial" w:cs="Arial"/>
          <w:sz w:val="21"/>
          <w:szCs w:val="21"/>
          <w:lang w:val="es-MX"/>
        </w:rPr>
        <w:t>.</w:t>
      </w:r>
    </w:p>
    <w:p w:rsidRPr="005043BC" w:rsidR="002365A8" w:rsidP="50538920" w:rsidRDefault="002365A8" w14:paraId="55251E1B" w14:textId="77777777" w14:noSpellErr="1">
      <w:pPr>
        <w:widowControl w:val="0"/>
        <w:autoSpaceDE w:val="0"/>
        <w:autoSpaceDN w:val="0"/>
        <w:spacing w:after="0" w:line="276" w:lineRule="auto"/>
        <w:contextualSpacing/>
        <w:jc w:val="both"/>
        <w:rPr>
          <w:rFonts w:ascii="Arial" w:hAnsi="Arial" w:eastAsia="Arial" w:cs="Arial"/>
          <w:lang w:val="es-ES" w:eastAsia="es-ES" w:bidi="es-ES"/>
        </w:rPr>
      </w:pPr>
    </w:p>
    <w:p w:rsidRPr="005043BC" w:rsidR="002365A8" w:rsidP="50538920" w:rsidRDefault="002365A8" w14:paraId="0C00CFEC" w14:textId="77777777" w14:noSpellErr="1">
      <w:pPr>
        <w:widowControl w:val="0"/>
        <w:autoSpaceDE w:val="0"/>
        <w:autoSpaceDN w:val="0"/>
        <w:spacing w:after="120" w:line="276" w:lineRule="auto"/>
        <w:jc w:val="both"/>
        <w:rPr>
          <w:rFonts w:ascii="Arial" w:hAnsi="Arial" w:eastAsia="Arial" w:cs="Arial"/>
          <w:lang w:val="es-MX" w:eastAsia="es-ES" w:bidi="es-ES"/>
        </w:rPr>
      </w:pPr>
      <w:r w:rsidRPr="005043BC">
        <w:rPr>
          <w:rFonts w:ascii="Century Gothic" w:hAnsi="Century Gothic" w:eastAsia="Arial" w:cs="Arial"/>
          <w:lang w:val="es-ES" w:eastAsia="es-ES" w:bidi="es-ES"/>
        </w:rPr>
        <w:tab/>
      </w:r>
      <w:r w:rsidRPr="50538920" w:rsidR="4149BEA1">
        <w:rPr>
          <w:rFonts w:ascii="Arial" w:hAnsi="Arial" w:eastAsia="Arial" w:cs="Arial"/>
          <w:lang w:val="es-ES" w:eastAsia="es-ES" w:bidi="es-ES"/>
        </w:rPr>
        <w:t xml:space="preserve">Teniendo en cuenta lo anterior, se reitera la conclusión en el sentido de que lo que define los contratos o convenios interadministrativos es la naturaleza de las </w:t>
      </w:r>
      <w:r w:rsidRPr="50538920" w:rsidR="4149BEA1">
        <w:rPr>
          <w:rFonts w:ascii="Arial" w:hAnsi="Arial" w:eastAsia="Arial" w:cs="Arial"/>
          <w:lang w:val="es-ES" w:eastAsia="es-ES" w:bidi="es-ES"/>
        </w:rPr>
        <w:t>partes, de manera que están determinados por un criterio orgánico, en el sentido de que lo serán aquellos celebrados entre entidades estatales.</w:t>
      </w:r>
      <w:r w:rsidRPr="50538920" w:rsidR="4149BEA1">
        <w:rPr>
          <w:rFonts w:ascii="Arial" w:hAnsi="Arial" w:eastAsia="Arial" w:cs="Arial"/>
          <w:lang w:val="es-ES" w:eastAsia="es-ES" w:bidi="es-ES"/>
        </w:rPr>
        <w:t xml:space="preserve">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6"/>
    </w:p>
    <w:p w:rsidRPr="005043BC" w:rsidR="002365A8" w:rsidP="50538920" w:rsidRDefault="002365A8" w14:paraId="1635499C" w14:textId="77777777" w14:noSpellErr="1">
      <w:pPr>
        <w:tabs>
          <w:tab w:val="left" w:pos="426"/>
        </w:tabs>
        <w:spacing w:after="0" w:line="276" w:lineRule="auto"/>
        <w:ind w:firstLine="709"/>
        <w:jc w:val="both"/>
        <w:rPr>
          <w:rFonts w:ascii="Arial" w:hAnsi="Arial" w:eastAsia="Arial" w:cs="Arial"/>
          <w:lang w:val="es-MX" w:eastAsia="es-CO"/>
        </w:rPr>
      </w:pPr>
      <w:r w:rsidRPr="50538920" w:rsidR="4149BEA1">
        <w:rPr>
          <w:rFonts w:ascii="Arial" w:hAnsi="Arial" w:eastAsia="Arial" w:cs="Arial"/>
          <w:lang w:val="es-MX" w:eastAsia="es-CO"/>
        </w:rPr>
        <w:t xml:space="preserve">Conforme a lo expuesto, de cara a la pregunta planteada debe señalarse que para las elecciones del año 2023 aplica </w:t>
      </w:r>
      <w:bookmarkStart w:name="_Hlk114828165" w:id="27"/>
      <w:r w:rsidRPr="50538920" w:rsidR="4149BEA1">
        <w:rPr>
          <w:rFonts w:ascii="Arial" w:hAnsi="Arial" w:eastAsia="Arial" w:cs="Arial"/>
          <w:lang w:val="es-MX" w:eastAsia="es-CO"/>
        </w:rPr>
        <w:t xml:space="preserve">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w:t>
      </w:r>
      <w:r w:rsidRPr="50538920" w:rsidR="4149BEA1">
        <w:rPr>
          <w:rFonts w:ascii="Arial" w:hAnsi="Arial" w:eastAsia="Arial" w:cs="Arial"/>
          <w:lang w:val="es-MX" w:eastAsia="es-CO"/>
        </w:rPr>
        <w:t>En este sentido, las entidades territoriales no podrán celebrar tales convenios o contratos durante el periodo de aplicación de la Ley de Garantías Electorales, de acuerdo con el parágrafo del artículo 38 de la Ley 996 de 2005.</w:t>
      </w:r>
      <w:r w:rsidRPr="50538920" w:rsidR="4149BEA1">
        <w:rPr>
          <w:rFonts w:ascii="Arial" w:hAnsi="Arial" w:eastAsia="Arial" w:cs="Arial"/>
          <w:lang w:val="es-MX" w:eastAsia="es-CO"/>
        </w:rPr>
        <w:t xml:space="preserve"> La citada disposición hace referencia a dicha tipología contractual sin que el legislador hubiere contemplado excepción alguna frente a la modalidad de selección o naturaleza de su objeto.</w:t>
      </w:r>
      <w:r w:rsidRPr="50538920" w:rsidR="4149BEA1">
        <w:rPr>
          <w:rFonts w:ascii="Arial" w:hAnsi="Arial" w:eastAsia="Arial" w:cs="Arial"/>
          <w:lang w:val="es-MX"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 </w:t>
      </w:r>
      <w:r w:rsidRPr="50538920" w:rsidR="4149BEA1">
        <w:rPr>
          <w:rFonts w:ascii="Arial" w:hAnsi="Arial" w:eastAsia="Arial" w:cs="Arial"/>
          <w:color w:val="000000" w:themeColor="text1" w:themeTint="FF" w:themeShade="FF"/>
          <w:lang w:val="es-MX"/>
        </w:rPr>
        <w:t> </w:t>
      </w:r>
      <w:bookmarkEnd w:id="27"/>
    </w:p>
    <w:bookmarkEnd w:id="16"/>
    <w:p w:rsidRPr="005043BC" w:rsidR="002365A8" w:rsidP="50538920" w:rsidRDefault="002365A8" w14:paraId="155593FB" w14:textId="77777777" w14:noSpellErr="1">
      <w:pPr>
        <w:tabs>
          <w:tab w:val="left" w:pos="426"/>
        </w:tabs>
        <w:spacing w:after="0" w:line="276" w:lineRule="auto"/>
        <w:jc w:val="both"/>
        <w:rPr>
          <w:rFonts w:ascii="Arial" w:hAnsi="Arial" w:eastAsia="Arial" w:cs="Arial"/>
          <w:lang w:val="es-MX"/>
        </w:rPr>
      </w:pPr>
    </w:p>
    <w:p w:rsidRPr="005043BC" w:rsidR="002365A8" w:rsidP="50538920" w:rsidRDefault="002365A8" w14:paraId="0F1AC167" w14:textId="77777777" w14:noSpellErr="1">
      <w:pPr>
        <w:spacing w:after="0" w:line="276" w:lineRule="auto"/>
        <w:ind w:right="79"/>
        <w:jc w:val="both"/>
        <w:rPr>
          <w:rFonts w:ascii="Arial" w:hAnsi="Arial" w:eastAsia="Arial" w:cs="Arial"/>
          <w:b w:val="1"/>
          <w:bCs w:val="1"/>
          <w:lang w:val="es-ES"/>
        </w:rPr>
      </w:pPr>
      <w:bookmarkStart w:name="_1y810tw" w:id="28"/>
      <w:bookmarkStart w:name="_2xcytpi" w:id="29"/>
      <w:bookmarkStart w:name="_1ci93xb" w:id="30"/>
      <w:bookmarkStart w:name="_3whwml4" w:id="31"/>
      <w:bookmarkEnd w:id="28"/>
      <w:bookmarkEnd w:id="29"/>
      <w:bookmarkEnd w:id="30"/>
      <w:bookmarkEnd w:id="31"/>
      <w:r w:rsidRPr="50538920" w:rsidR="4149BEA1">
        <w:rPr>
          <w:rFonts w:ascii="Arial" w:hAnsi="Arial" w:eastAsia="Arial" w:cs="Arial"/>
          <w:b w:val="1"/>
          <w:bCs w:val="1"/>
          <w:lang w:val="es-ES"/>
        </w:rPr>
        <w:t>3. Respuesta</w:t>
      </w:r>
    </w:p>
    <w:p w:rsidRPr="005043BC" w:rsidR="002365A8" w:rsidP="50538920" w:rsidRDefault="002365A8" w14:paraId="107A4F42" w14:textId="77777777" w14:noSpellErr="1">
      <w:pPr>
        <w:spacing w:after="0" w:line="276" w:lineRule="auto"/>
        <w:ind w:right="79"/>
        <w:jc w:val="both"/>
        <w:rPr>
          <w:rFonts w:ascii="Arial" w:hAnsi="Arial" w:eastAsia="Arial" w:cs="Arial"/>
          <w:b w:val="1"/>
          <w:bCs w:val="1"/>
          <w:lang w:val="es-ES"/>
        </w:rPr>
      </w:pPr>
    </w:p>
    <w:p w:rsidRPr="005043BC" w:rsidR="002365A8" w:rsidP="50538920" w:rsidRDefault="002365A8" w14:paraId="3F3F4B5A" w14:textId="77777777" w14:noSpellErr="1">
      <w:pPr>
        <w:spacing w:after="0" w:line="240" w:lineRule="auto"/>
        <w:ind w:left="567" w:right="788"/>
        <w:contextualSpacing/>
        <w:jc w:val="both"/>
        <w:rPr>
          <w:rFonts w:ascii="Arial" w:hAnsi="Arial" w:eastAsia="Arial" w:cs="Arial"/>
          <w:sz w:val="21"/>
          <w:szCs w:val="21"/>
          <w:lang w:val="es-ES"/>
        </w:rPr>
      </w:pPr>
      <w:r w:rsidRPr="50538920" w:rsidR="4149BEA1">
        <w:rPr>
          <w:rFonts w:ascii="Arial" w:hAnsi="Arial" w:eastAsia="Arial" w:cs="Arial"/>
          <w:sz w:val="21"/>
          <w:szCs w:val="21"/>
          <w:lang w:val="es-ES"/>
        </w:rPr>
        <w:t xml:space="preserve">“mi pregunta es la siguiente: </w:t>
      </w:r>
      <w:r w:rsidRPr="50538920" w:rsidR="4149BEA1">
        <w:rPr>
          <w:rFonts w:ascii="Arial" w:hAnsi="Arial" w:eastAsia="Arial" w:cs="Arial"/>
          <w:sz w:val="21"/>
          <w:szCs w:val="21"/>
          <w:lang w:val="es-ES"/>
        </w:rPr>
        <w:t>sabiendo que este año es electoral y que empieza la ley de garantías de contratación que va hasta el mes de octubre una vez terminada mi licencia de maternidad entre el mes de agosto y septiembre, la alcaldía puede renovarme el contrato estando en ley de garantías?</w:t>
      </w:r>
      <w:r w:rsidRPr="50538920" w:rsidR="4149BEA1">
        <w:rPr>
          <w:rFonts w:ascii="Arial" w:hAnsi="Arial" w:eastAsia="Arial" w:cs="Arial"/>
          <w:sz w:val="21"/>
          <w:szCs w:val="21"/>
          <w:lang w:val="es-ES"/>
        </w:rPr>
        <w:t xml:space="preserve">” (SIC). </w:t>
      </w:r>
    </w:p>
    <w:p w:rsidRPr="005043BC" w:rsidR="002365A8" w:rsidP="50538920" w:rsidRDefault="002365A8" w14:paraId="7A3A9442" w14:textId="77777777" w14:noSpellErr="1">
      <w:pPr>
        <w:spacing w:after="0" w:line="240" w:lineRule="auto"/>
        <w:ind w:left="567" w:right="786"/>
        <w:jc w:val="both"/>
        <w:rPr>
          <w:rFonts w:ascii="Arial" w:hAnsi="Arial" w:eastAsia="Arial" w:cs="Arial"/>
          <w:color w:val="FF0000"/>
          <w:lang w:val="es-ES"/>
        </w:rPr>
      </w:pPr>
    </w:p>
    <w:p w:rsidRPr="005043BC" w:rsidR="002365A8" w:rsidP="50538920" w:rsidRDefault="002365A8" w14:paraId="34569CA4" w14:textId="77777777" w14:noSpellErr="1">
      <w:pPr>
        <w:spacing w:after="120" w:line="276" w:lineRule="auto"/>
        <w:jc w:val="both"/>
        <w:rPr>
          <w:rFonts w:ascii="Arial" w:hAnsi="Arial" w:eastAsia="Arial" w:cs="Arial"/>
          <w:lang w:val="es-ES" w:eastAsia="es-ES" w:bidi="es-ES"/>
        </w:rPr>
      </w:pPr>
      <w:r w:rsidRPr="50538920" w:rsidR="4149BEA1">
        <w:rPr>
          <w:rFonts w:ascii="Arial" w:hAnsi="Arial" w:eastAsia="Arial" w:cs="Arial"/>
          <w:lang w:val="es-MX"/>
        </w:rPr>
        <w:t xml:space="preserve">De acuerdo con la interpretación de las normas generales del sistema de compras y contratación pública, </w:t>
      </w:r>
      <w:r w:rsidRPr="50538920" w:rsidR="4149BEA1">
        <w:rPr>
          <w:rFonts w:ascii="Arial" w:hAnsi="Arial" w:eastAsia="Arial" w:cs="Arial"/>
          <w:lang w:val="es-ES" w:eastAsia="es-ES" w:bidi="es-ES"/>
        </w:rPr>
        <w:t xml:space="preserve">la Ley de Garantías Electorales consagra una serie de restricciones que se dirigen a dos (2) tipos de campañas electorales claramente </w:t>
      </w:r>
      <w:r w:rsidRPr="50538920" w:rsidR="4149BEA1">
        <w:rPr>
          <w:rFonts w:ascii="Arial" w:hAnsi="Arial" w:eastAsia="Arial" w:cs="Arial"/>
          <w:lang w:val="es-ES" w:eastAsia="es-ES" w:bidi="es-ES"/>
        </w:rPr>
        <w:t>diferenciadas: las presidenciales y las demás que se adelanten para la elección de los demás cargos de elección popular, tanto a nivel nacional como territorial.</w:t>
      </w:r>
    </w:p>
    <w:p w:rsidRPr="005043BC" w:rsidR="002365A8" w:rsidP="50538920" w:rsidRDefault="002365A8" w14:paraId="79C4125F" w14:textId="77777777" w14:noSpellErr="1">
      <w:pPr>
        <w:spacing w:after="120" w:line="276" w:lineRule="auto"/>
        <w:ind w:firstLine="708"/>
        <w:jc w:val="both"/>
        <w:rPr>
          <w:rFonts w:ascii="Arial" w:hAnsi="Arial" w:eastAsia="Arial" w:cs="Arial"/>
          <w:lang w:val="es-ES" w:eastAsia="es-CO" w:bidi="es-ES"/>
        </w:rPr>
      </w:pPr>
      <w:r w:rsidRPr="50538920" w:rsidR="4149BEA1">
        <w:rPr>
          <w:rFonts w:ascii="Arial" w:hAnsi="Arial" w:eastAsia="Arial" w:cs="Arial"/>
          <w:lang w:val="es-ES" w:eastAsia="es-CO"/>
        </w:rPr>
        <w:t xml:space="preserve">Para las elecciones de 2023, </w:t>
      </w:r>
      <w:r w:rsidRPr="50538920" w:rsidR="4149BEA1">
        <w:rPr>
          <w:rFonts w:ascii="Arial" w:hAnsi="Arial" w:eastAsia="Arial" w:cs="Arial"/>
          <w:lang w:val="es-MX" w:eastAsia="es-CO"/>
        </w:rPr>
        <w:t xml:space="preserve">el parágrafo del artículo 38 de la Ley de Garantías Electorales establece una restricción en virtud de la cual, durante el periodo de cuatro meses anteriores a cualquier jornada de elecciones, las entidades territoriales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50538920" w:rsidR="4149BEA1">
        <w:rPr>
          <w:rFonts w:ascii="Arial" w:hAnsi="Arial" w:eastAsia="Arial" w:cs="Arial"/>
          <w:lang w:val="es-ES" w:eastAsia="es-CO" w:bidi="es-ES"/>
        </w:rPr>
        <w:t xml:space="preserve">Aunque la ley no la definió ni desarrolló, el Decreto 1082 de 2015 califica a los convenios o contratos interadministrativos como aquella contratación entre entidades estatales. </w:t>
      </w:r>
    </w:p>
    <w:p w:rsidRPr="005043BC" w:rsidR="002365A8" w:rsidP="50538920" w:rsidRDefault="002365A8" w14:paraId="7201BBB2" w14:textId="77777777" w14:noSpellErr="1">
      <w:pPr>
        <w:spacing w:after="120" w:line="276" w:lineRule="auto"/>
        <w:ind w:firstLine="708"/>
        <w:jc w:val="both"/>
        <w:rPr>
          <w:rFonts w:ascii="Arial" w:hAnsi="Arial" w:eastAsia="Arial" w:cs="Arial"/>
          <w:lang w:val="es-ES" w:eastAsia="es-CO" w:bidi="es-ES"/>
        </w:rPr>
      </w:pPr>
      <w:r w:rsidRPr="50538920" w:rsidR="4149BEA1">
        <w:rPr>
          <w:rFonts w:ascii="Arial" w:hAnsi="Arial" w:eastAsia="Arial" w:cs="Arial"/>
          <w:lang w:val="es-ES" w:eastAsia="es-CO" w:bidi="es-ES"/>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w:t>
      </w:r>
      <w:r w:rsidRPr="50538920" w:rsidR="4149BEA1">
        <w:rPr>
          <w:rFonts w:ascii="Arial" w:hAnsi="Arial" w:eastAsia="Arial" w:cs="Arial"/>
          <w:lang w:val="es-ES" w:eastAsia="es-CO" w:bidi="es-ES"/>
        </w:rPr>
        <w:t xml:space="preserve"> </w:t>
      </w:r>
      <w:r w:rsidRPr="50538920" w:rsidR="4149BEA1">
        <w:rPr>
          <w:rFonts w:ascii="Arial" w:hAnsi="Arial" w:eastAsia="Arial" w:cs="Arial"/>
          <w:lang w:val="es-ES" w:eastAsia="es-CO" w:bidi="es-ES"/>
        </w:rPr>
        <w:t>Es decir, los contratos o convenios interadministrativos están determinados por un criterio orgánico, pues es necesario que los extremos de la relación contractual sean entidades estatales.</w:t>
      </w:r>
    </w:p>
    <w:p w:rsidRPr="005043BC" w:rsidR="002365A8" w:rsidP="50538920" w:rsidRDefault="002365A8" w14:paraId="478A9F2A" w14:textId="77777777" w14:noSpellErr="1">
      <w:pPr>
        <w:spacing w:after="120" w:line="276" w:lineRule="auto"/>
        <w:ind w:firstLine="709"/>
        <w:jc w:val="both"/>
        <w:rPr>
          <w:rFonts w:ascii="Arial" w:hAnsi="Arial" w:eastAsia="Arial" w:cs="Arial"/>
          <w:lang w:val="es-MX" w:eastAsia="es-CO"/>
        </w:rPr>
      </w:pPr>
      <w:r w:rsidRPr="50538920" w:rsidR="4149BEA1">
        <w:rPr>
          <w:rFonts w:ascii="Arial" w:hAnsi="Arial" w:eastAsia="Arial" w:cs="Arial"/>
          <w:lang w:val="es-MX" w:eastAsia="es-CO"/>
        </w:rPr>
        <w:t>En este sentido, las entidades territoriales no podrán celebrar tales convenios o contratos durante el periodo de aplicación de la Ley de Garantías Electorales, de acuerdo con el parágrafo del artículo 38 de la Ley 996 de 2005.</w:t>
      </w:r>
      <w:r w:rsidRPr="50538920" w:rsidR="4149BEA1">
        <w:rPr>
          <w:rFonts w:ascii="Arial" w:hAnsi="Arial" w:eastAsia="Arial" w:cs="Arial"/>
          <w:lang w:val="es-MX" w:eastAsia="es-CO"/>
        </w:rPr>
        <w:t xml:space="preserve"> </w:t>
      </w:r>
      <w:r w:rsidRPr="50538920" w:rsidR="4149BEA1">
        <w:rPr>
          <w:rFonts w:ascii="Arial" w:hAnsi="Arial" w:eastAsia="Arial" w:cs="Arial"/>
          <w:lang w:val="es-MX" w:eastAsia="es-CO"/>
        </w:rPr>
        <w:t>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w:t>
      </w:r>
    </w:p>
    <w:p w:rsidRPr="005043BC" w:rsidR="002365A8" w:rsidP="50538920" w:rsidRDefault="002365A8" w14:paraId="2C08DFB5" w14:textId="77777777" w14:noSpellErr="1">
      <w:pPr>
        <w:spacing w:after="120" w:line="276" w:lineRule="auto"/>
        <w:ind w:firstLine="709"/>
        <w:jc w:val="both"/>
        <w:rPr>
          <w:rFonts w:ascii="Arial" w:hAnsi="Arial" w:eastAsia="Arial" w:cs="Arial"/>
          <w:color w:val="000000" w:themeColor="text1"/>
          <w:lang w:val="es-MX"/>
        </w:rPr>
      </w:pPr>
      <w:r w:rsidRPr="50538920" w:rsidR="4149BEA1">
        <w:rPr>
          <w:rFonts w:ascii="Arial" w:hAnsi="Arial" w:eastAsia="Arial" w:cs="Arial"/>
          <w:lang w:val="es-MX" w:eastAsia="es-CO"/>
        </w:rPr>
        <w:t xml:space="preserve">Así pues, se concluye que la celebración de los contratos de prestación de servicios no está restringida por el parágrafo </w:t>
      </w:r>
      <w:r w:rsidRPr="50538920" w:rsidR="4149BEA1">
        <w:rPr>
          <w:rFonts w:ascii="Arial" w:hAnsi="Arial" w:eastAsia="Arial" w:cs="Arial"/>
          <w:lang w:val="es-MX" w:eastAsia="es-CO"/>
        </w:rPr>
        <w:t xml:space="preserve">del artículo 38 de la Ley 996 de 2005, el cual es aplicable para las elecciones del año 2023 y solo restringe la celebración de contratos o convenios interadministrativos. </w:t>
      </w:r>
      <w:r w:rsidRPr="50538920" w:rsidR="4149BEA1">
        <w:rPr>
          <w:rFonts w:ascii="Arial" w:hAnsi="Arial" w:eastAsia="Arial" w:cs="Arial"/>
          <w:lang w:val="es-MX" w:eastAsia="es-CO"/>
        </w:rPr>
        <w:t xml:space="preserve">De manera que, no solo las entidades territoriales sino todas las entidades estatales señaladas en el artículo 2 de la Ley 80 de 1993, podrán celebrar contratos de prestación de servicios de </w:t>
      </w:r>
      <w:r w:rsidRPr="50538920" w:rsidR="4149BEA1">
        <w:rPr>
          <w:rFonts w:ascii="Arial" w:hAnsi="Arial" w:eastAsia="Arial" w:cs="Arial"/>
          <w:lang w:val="es-MX" w:eastAsia="es-CO"/>
        </w:rPr>
        <w:t>acuerdo con sus necesidades precedidas de un ejercicio de planeación adecuado, para satisfacer el interés público.</w:t>
      </w:r>
    </w:p>
    <w:p w:rsidRPr="005043BC" w:rsidR="002365A8" w:rsidP="50538920" w:rsidRDefault="002365A8" w14:paraId="6B7AE73C" w14:textId="77777777" w14:noSpellErr="1">
      <w:pPr>
        <w:spacing w:after="0" w:line="276" w:lineRule="auto"/>
        <w:ind w:firstLine="709"/>
        <w:jc w:val="both"/>
        <w:rPr>
          <w:rFonts w:ascii="Arial" w:hAnsi="Arial" w:eastAsia="Arial" w:cs="Arial"/>
          <w:lang w:val="es-ES"/>
        </w:rPr>
      </w:pPr>
      <w:r w:rsidRPr="50538920" w:rsidR="4149BEA1">
        <w:rPr>
          <w:rFonts w:ascii="Arial" w:hAnsi="Arial" w:eastAsia="Arial" w:cs="Arial"/>
          <w:lang w:val="es-MX" w:eastAsia="es-CO"/>
        </w:rPr>
        <w:t>No obstante, se debe tener en cuenta que corresponde a cada entidad pública, en ejercicio de su competencia y previa valoración de los elementos fácticos y jurídicos, determinar si es procedente o no la celebración de un determinado contrato en específico.</w:t>
      </w:r>
      <w:r w:rsidRPr="50538920" w:rsidR="4149BEA1">
        <w:rPr>
          <w:rFonts w:ascii="Arial" w:hAnsi="Arial" w:eastAsia="Arial" w:cs="Arial"/>
          <w:lang w:val="es-MX" w:eastAsia="es-CO"/>
        </w:rPr>
        <w:t xml:space="preserve"> </w:t>
      </w:r>
      <w:r w:rsidRPr="50538920" w:rsidR="4149BEA1">
        <w:rPr>
          <w:rFonts w:ascii="Arial" w:hAnsi="Arial" w:eastAsia="Arial" w:cs="Arial"/>
          <w:lang w:val="es-MX"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50538920" w:rsidR="4149BEA1">
        <w:rPr>
          <w:rFonts w:ascii="Arial" w:hAnsi="Arial" w:eastAsia="Arial" w:cs="Arial"/>
          <w:lang w:val="es-ES"/>
        </w:rPr>
        <w:t xml:space="preserve"> </w:t>
      </w:r>
    </w:p>
    <w:p w:rsidRPr="005043BC" w:rsidR="002365A8" w:rsidP="50538920" w:rsidRDefault="002365A8" w14:paraId="6505E9BF" w14:textId="77777777" w14:noSpellErr="1">
      <w:pPr>
        <w:spacing w:after="0" w:line="276" w:lineRule="auto"/>
        <w:ind w:firstLine="709"/>
        <w:jc w:val="both"/>
        <w:rPr>
          <w:rFonts w:ascii="Arial" w:hAnsi="Arial" w:eastAsia="Arial" w:cs="Arial"/>
          <w:lang w:val="es-ES"/>
        </w:rPr>
      </w:pPr>
    </w:p>
    <w:p w:rsidRPr="005043BC" w:rsidR="002365A8" w:rsidP="50538920" w:rsidRDefault="002365A8" w14:paraId="07945486" w14:textId="478856C3">
      <w:pPr>
        <w:spacing w:after="120" w:line="276" w:lineRule="auto"/>
        <w:ind/>
        <w:jc w:val="both"/>
        <w:rPr>
          <w:rFonts w:ascii="Arial" w:hAnsi="Arial" w:eastAsia="Arial" w:cs="Arial"/>
          <w:sz w:val="24"/>
          <w:szCs w:val="24"/>
          <w:lang w:eastAsia="es-ES"/>
        </w:rPr>
      </w:pPr>
      <w:r w:rsidRPr="50538920" w:rsidR="4149BEA1">
        <w:rPr>
          <w:rFonts w:ascii="Arial" w:hAnsi="Arial" w:eastAsia="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5043BC" w:rsidR="002365A8" w:rsidP="50538920" w:rsidRDefault="002365A8" w14:paraId="607B4197" w14:textId="77777777" w14:noSpellErr="1">
      <w:pPr>
        <w:spacing w:before="240" w:after="0" w:line="276" w:lineRule="auto"/>
        <w:jc w:val="both"/>
        <w:rPr>
          <w:rFonts w:ascii="Arial" w:hAnsi="Arial" w:eastAsia="Arial" w:cs="Arial"/>
          <w:lang w:val="es-ES" w:eastAsia="es-CO"/>
        </w:rPr>
      </w:pPr>
      <w:bookmarkStart w:name="_Hlk50986665" w:id="32"/>
      <w:bookmarkStart w:name="_Hlk52766744" w:id="33"/>
      <w:r w:rsidRPr="50538920" w:rsidR="4149BEA1">
        <w:rPr>
          <w:rFonts w:ascii="Arial" w:hAnsi="Arial" w:eastAsia="Arial" w:cs="Arial"/>
          <w:lang w:val="es-ES" w:eastAsia="es-CO"/>
        </w:rPr>
        <w:t>Atentamente,</w:t>
      </w:r>
    </w:p>
    <w:p w:rsidRPr="005043BC" w:rsidR="002365A8" w:rsidP="50538920" w:rsidRDefault="00B42C1B" w14:paraId="73901E6F" w14:textId="4F1E29CB" w14:noSpellErr="1">
      <w:pPr>
        <w:spacing w:before="120" w:after="0" w:line="276" w:lineRule="auto"/>
        <w:jc w:val="center"/>
        <w:rPr>
          <w:rFonts w:ascii="Arial" w:hAnsi="Arial" w:eastAsia="Arial" w:cs="Arial"/>
          <w:sz w:val="18"/>
          <w:szCs w:val="18"/>
          <w:lang w:val="es-ES" w:eastAsia="es-CO"/>
        </w:rPr>
      </w:pPr>
      <w:bookmarkStart w:name="_Hlk108446929" w:id="34"/>
      <w:bookmarkEnd w:id="3"/>
      <w:bookmarkEnd w:id="32"/>
      <w:bookmarkEnd w:id="33"/>
      <w:r w:rsidR="5FF59525">
        <w:drawing>
          <wp:inline wp14:editId="60C0CB0C" wp14:anchorId="53362DE2">
            <wp:extent cx="2775006" cy="1064730"/>
            <wp:effectExtent l="0" t="0" r="6350" b="2540"/>
            <wp:docPr id="6" name="Imagen 6" descr="Texto&#10;&#10;Descripción generada automáticamente" title=""/>
            <wp:cNvGraphicFramePr>
              <a:graphicFrameLocks noChangeAspect="1"/>
            </wp:cNvGraphicFramePr>
            <a:graphic>
              <a:graphicData uri="http://schemas.openxmlformats.org/drawingml/2006/picture">
                <pic:pic>
                  <pic:nvPicPr>
                    <pic:cNvPr id="0" name="Imagen 6"/>
                    <pic:cNvPicPr/>
                  </pic:nvPicPr>
                  <pic:blipFill>
                    <a:blip r:embed="R77d1bcdb61634955">
                      <a:extLst>
                        <a:ext xmlns:a="http://schemas.openxmlformats.org/drawingml/2006/main" uri="{28A0092B-C50C-407E-A947-70E740481C1C}">
                          <a14:useLocalDpi val="0"/>
                        </a:ext>
                      </a:extLst>
                    </a:blip>
                    <a:stretch>
                      <a:fillRect/>
                    </a:stretch>
                  </pic:blipFill>
                  <pic:spPr>
                    <a:xfrm rot="0" flipH="0" flipV="0">
                      <a:off x="0" y="0"/>
                      <a:ext cx="2775006" cy="1064730"/>
                    </a:xfrm>
                    <a:prstGeom prst="rect">
                      <a:avLst/>
                    </a:prstGeom>
                  </pic:spPr>
                </pic:pic>
              </a:graphicData>
            </a:graphic>
          </wp:inline>
        </w:drawing>
      </w:r>
    </w:p>
    <w:p w:rsidRPr="005043BC" w:rsidR="002365A8" w:rsidP="50538920" w:rsidRDefault="002365A8" w14:paraId="7AEC8DB1" w14:textId="77777777" w14:noSpellErr="1">
      <w:pPr>
        <w:spacing w:before="120" w:after="0" w:line="276" w:lineRule="auto"/>
        <w:jc w:val="center"/>
        <w:rPr>
          <w:rFonts w:ascii="Arial" w:hAnsi="Arial" w:eastAsia="Arial" w:cs="Arial"/>
          <w:sz w:val="18"/>
          <w:szCs w:val="18"/>
          <w:lang w:val="es-ES" w:eastAsia="es-CO"/>
        </w:rPr>
      </w:pPr>
    </w:p>
    <w:tbl>
      <w:tblPr>
        <w:tblStyle w:val="Tablaconcuadrcula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4957"/>
      </w:tblGrid>
      <w:tr w:rsidRPr="00836422" w:rsidR="002365A8" w:rsidTr="50538920" w14:paraId="5A5E8C43" w14:textId="77777777">
        <w:trPr>
          <w:trHeight w:val="315"/>
        </w:trPr>
        <w:tc>
          <w:tcPr>
            <w:tcW w:w="855" w:type="dxa"/>
            <w:tcMar/>
            <w:vAlign w:val="center"/>
            <w:hideMark/>
          </w:tcPr>
          <w:p w:rsidRPr="005043BC" w:rsidR="002365A8" w:rsidP="50538920" w:rsidRDefault="002365A8" w14:paraId="6004CBCA" w14:textId="77777777" w14:noSpellErr="1">
            <w:pPr>
              <w:spacing w:line="276" w:lineRule="auto"/>
              <w:rPr>
                <w:rFonts w:ascii="Arial" w:hAnsi="Arial" w:eastAsia="Arial" w:cs="Arial"/>
                <w:sz w:val="16"/>
                <w:szCs w:val="16"/>
                <w:lang w:eastAsia="es-ES"/>
              </w:rPr>
            </w:pPr>
            <w:r w:rsidRPr="50538920" w:rsidR="4149BEA1">
              <w:rPr>
                <w:rFonts w:ascii="Arial" w:hAnsi="Arial" w:eastAsia="Arial" w:cs="Arial"/>
                <w:sz w:val="16"/>
                <w:szCs w:val="16"/>
                <w:lang w:eastAsia="es-ES"/>
              </w:rPr>
              <w:t>Elaboró:</w:t>
            </w:r>
          </w:p>
        </w:tc>
        <w:tc>
          <w:tcPr>
            <w:tcW w:w="4957" w:type="dxa"/>
            <w:tcBorders>
              <w:top w:val="nil"/>
              <w:left w:val="nil"/>
              <w:bottom w:val="dotted" w:color="7F7F7F" w:themeColor="text1" w:themeTint="80" w:sz="4" w:space="0"/>
              <w:right w:val="nil"/>
            </w:tcBorders>
            <w:tcMar/>
            <w:vAlign w:val="center"/>
            <w:hideMark/>
          </w:tcPr>
          <w:p w:rsidRPr="005043BC" w:rsidR="002365A8" w:rsidP="50538920" w:rsidRDefault="002365A8" w14:paraId="330AF467" w14:textId="77777777" w14:noSpellErr="1">
            <w:pPr>
              <w:rPr>
                <w:rFonts w:ascii="Arial" w:hAnsi="Arial" w:eastAsia="Arial" w:cs="Arial"/>
                <w:sz w:val="16"/>
                <w:szCs w:val="16"/>
                <w:lang w:val="es-ES" w:eastAsia="es-ES"/>
              </w:rPr>
            </w:pPr>
            <w:r w:rsidRPr="50538920" w:rsidR="4149BEA1">
              <w:rPr>
                <w:rFonts w:ascii="Arial" w:hAnsi="Arial" w:eastAsia="Arial" w:cs="Arial"/>
                <w:sz w:val="16"/>
                <w:szCs w:val="16"/>
                <w:lang w:val="es-ES" w:eastAsia="es-ES"/>
              </w:rPr>
              <w:t>Ximena Ríos López</w:t>
            </w:r>
          </w:p>
          <w:p w:rsidRPr="005043BC" w:rsidR="002365A8" w:rsidP="50538920" w:rsidRDefault="002365A8" w14:paraId="464EDC19" w14:textId="77777777" w14:noSpellErr="1">
            <w:pPr>
              <w:spacing w:line="276" w:lineRule="auto"/>
              <w:rPr>
                <w:rFonts w:ascii="Arial" w:hAnsi="Arial" w:eastAsia="Arial" w:cs="Arial"/>
                <w:sz w:val="16"/>
                <w:szCs w:val="16"/>
                <w:lang w:eastAsia="es-ES"/>
              </w:rPr>
            </w:pPr>
            <w:r w:rsidRPr="50538920" w:rsidR="4149BEA1">
              <w:rPr>
                <w:rFonts w:ascii="Arial" w:hAnsi="Arial" w:eastAsia="Arial" w:cs="Arial"/>
                <w:sz w:val="16"/>
                <w:szCs w:val="16"/>
                <w:lang w:val="es-ES" w:eastAsia="es-ES"/>
              </w:rPr>
              <w:t>Gestor T1-11 de la Subdirección de Gestión Contractual</w:t>
            </w:r>
          </w:p>
        </w:tc>
      </w:tr>
      <w:tr w:rsidRPr="00836422" w:rsidR="002365A8" w:rsidTr="50538920" w14:paraId="2C0F1967" w14:textId="77777777">
        <w:trPr>
          <w:trHeight w:val="330"/>
        </w:trPr>
        <w:tc>
          <w:tcPr>
            <w:tcW w:w="855" w:type="dxa"/>
            <w:tcMar/>
            <w:vAlign w:val="center"/>
            <w:hideMark/>
          </w:tcPr>
          <w:p w:rsidRPr="005043BC" w:rsidR="002365A8" w:rsidP="50538920" w:rsidRDefault="002365A8" w14:paraId="7837D6BB" w14:textId="77777777" w14:noSpellErr="1">
            <w:pPr>
              <w:spacing w:line="276" w:lineRule="auto"/>
              <w:rPr>
                <w:rFonts w:ascii="Arial" w:hAnsi="Arial" w:eastAsia="Arial" w:cs="Arial"/>
                <w:sz w:val="16"/>
                <w:szCs w:val="16"/>
                <w:lang w:eastAsia="es-ES"/>
              </w:rPr>
            </w:pPr>
            <w:r w:rsidRPr="50538920" w:rsidR="4149BEA1">
              <w:rPr>
                <w:rFonts w:ascii="Arial" w:hAnsi="Arial" w:eastAsia="Arial" w:cs="Arial"/>
                <w:sz w:val="16"/>
                <w:szCs w:val="16"/>
                <w:lang w:eastAsia="es-ES"/>
              </w:rPr>
              <w:t>Revisó:</w:t>
            </w:r>
          </w:p>
        </w:tc>
        <w:tc>
          <w:tcPr>
            <w:tcW w:w="4957" w:type="dxa"/>
            <w:tcBorders>
              <w:top w:val="dotted" w:color="7F7F7F" w:themeColor="text1" w:themeTint="80" w:sz="4" w:space="0"/>
              <w:left w:val="nil"/>
              <w:bottom w:val="dotted" w:color="7F7F7F" w:themeColor="text1" w:themeTint="80" w:sz="4" w:space="0"/>
              <w:right w:val="nil"/>
            </w:tcBorders>
            <w:tcMar/>
            <w:vAlign w:val="center"/>
            <w:hideMark/>
          </w:tcPr>
          <w:p w:rsidRPr="005043BC" w:rsidR="002365A8" w:rsidP="50538920" w:rsidRDefault="002365A8" w14:paraId="1135AF75" w14:textId="4B9273E8" w14:noSpellErr="1">
            <w:pPr>
              <w:rPr>
                <w:rFonts w:ascii="Arial" w:hAnsi="Arial" w:eastAsia="Arial" w:cs="Arial"/>
                <w:color w:val="000000"/>
                <w:sz w:val="16"/>
                <w:szCs w:val="16"/>
                <w:lang w:val="es-ES" w:eastAsia="es-ES"/>
              </w:rPr>
            </w:pPr>
            <w:r w:rsidRPr="50538920" w:rsidR="4149BEA1">
              <w:rPr>
                <w:rFonts w:ascii="Arial" w:hAnsi="Arial" w:eastAsia="Arial" w:cs="Arial"/>
                <w:color w:val="000000" w:themeColor="text1" w:themeTint="FF" w:themeShade="FF"/>
                <w:sz w:val="16"/>
                <w:szCs w:val="16"/>
                <w:lang w:val="es-ES" w:eastAsia="es-ES"/>
              </w:rPr>
              <w:t>Alejandro Sarmiento</w:t>
            </w:r>
            <w:r w:rsidRPr="50538920" w:rsidR="488D3D09">
              <w:rPr>
                <w:rFonts w:ascii="Arial" w:hAnsi="Arial" w:eastAsia="Arial" w:cs="Arial"/>
                <w:color w:val="000000" w:themeColor="text1" w:themeTint="FF" w:themeShade="FF"/>
                <w:sz w:val="16"/>
                <w:szCs w:val="16"/>
                <w:lang w:val="es-ES" w:eastAsia="es-ES"/>
              </w:rPr>
              <w:t xml:space="preserve"> Cantillo</w:t>
            </w:r>
          </w:p>
          <w:p w:rsidRPr="005043BC" w:rsidR="002365A8" w:rsidP="50538920" w:rsidRDefault="002365A8" w14:paraId="5398E828" w14:textId="77777777" w14:noSpellErr="1">
            <w:pPr>
              <w:rPr>
                <w:rFonts w:ascii="Arial" w:hAnsi="Arial" w:eastAsia="Arial" w:cs="Arial"/>
                <w:color w:val="000000"/>
                <w:sz w:val="16"/>
                <w:szCs w:val="16"/>
                <w:lang w:val="es-ES" w:eastAsia="es-ES"/>
              </w:rPr>
            </w:pPr>
            <w:r w:rsidRPr="50538920" w:rsidR="4149BEA1">
              <w:rPr>
                <w:rFonts w:ascii="Arial" w:hAnsi="Arial" w:eastAsia="Arial" w:cs="Arial"/>
                <w:sz w:val="16"/>
                <w:szCs w:val="16"/>
                <w:lang w:val="es-ES" w:eastAsia="es-ES"/>
              </w:rPr>
              <w:t>Gestor T1-15</w:t>
            </w:r>
            <w:r w:rsidRPr="50538920" w:rsidR="4149BEA1">
              <w:rPr>
                <w:rFonts w:ascii="Arial" w:hAnsi="Arial" w:eastAsia="Arial" w:cs="Arial"/>
                <w:color w:val="000000" w:themeColor="text1" w:themeTint="FF" w:themeShade="FF"/>
                <w:sz w:val="16"/>
                <w:szCs w:val="16"/>
                <w:lang w:val="es-ES" w:eastAsia="es-ES"/>
              </w:rPr>
              <w:t xml:space="preserve"> de la Subdirección de Gestión Contractual  </w:t>
            </w:r>
          </w:p>
        </w:tc>
      </w:tr>
      <w:tr w:rsidRPr="00836422" w:rsidR="002365A8" w:rsidTr="50538920" w14:paraId="69A5B7F0" w14:textId="77777777">
        <w:trPr>
          <w:trHeight w:val="300"/>
        </w:trPr>
        <w:tc>
          <w:tcPr>
            <w:tcW w:w="855" w:type="dxa"/>
            <w:tcMar/>
            <w:vAlign w:val="center"/>
            <w:hideMark/>
          </w:tcPr>
          <w:p w:rsidRPr="005043BC" w:rsidR="002365A8" w:rsidP="50538920" w:rsidRDefault="002365A8" w14:paraId="5A4E5A36" w14:textId="77777777" w14:noSpellErr="1">
            <w:pPr>
              <w:spacing w:line="276" w:lineRule="auto"/>
              <w:rPr>
                <w:rFonts w:ascii="Arial" w:hAnsi="Arial" w:eastAsia="Arial" w:cs="Arial"/>
                <w:sz w:val="16"/>
                <w:szCs w:val="16"/>
                <w:lang w:eastAsia="es-ES"/>
              </w:rPr>
            </w:pPr>
            <w:r w:rsidRPr="50538920" w:rsidR="4149BEA1">
              <w:rPr>
                <w:rFonts w:ascii="Arial" w:hAnsi="Arial" w:eastAsia="Arial" w:cs="Arial"/>
                <w:sz w:val="16"/>
                <w:szCs w:val="16"/>
                <w:lang w:eastAsia="es-ES"/>
              </w:rPr>
              <w:t>Aprobó:</w:t>
            </w:r>
          </w:p>
        </w:tc>
        <w:tc>
          <w:tcPr>
            <w:tcW w:w="4957" w:type="dxa"/>
            <w:tcBorders>
              <w:top w:val="dotted" w:color="7F7F7F" w:themeColor="text1" w:themeTint="80" w:sz="4" w:space="0"/>
              <w:left w:val="nil"/>
              <w:bottom w:val="dotted" w:color="7F7F7F" w:themeColor="text1" w:themeTint="80" w:sz="4" w:space="0"/>
              <w:right w:val="nil"/>
            </w:tcBorders>
            <w:tcMar/>
            <w:vAlign w:val="center"/>
            <w:hideMark/>
          </w:tcPr>
          <w:p w:rsidRPr="005043BC" w:rsidR="002365A8" w:rsidP="50538920" w:rsidRDefault="002365A8" w14:paraId="0AE7A2A3" w14:textId="77777777">
            <w:pPr>
              <w:spacing w:line="276" w:lineRule="auto"/>
              <w:rPr>
                <w:rFonts w:ascii="Arial" w:hAnsi="Arial" w:eastAsia="Arial" w:cs="Arial"/>
                <w:sz w:val="16"/>
                <w:szCs w:val="16"/>
                <w:lang w:val="es-ES" w:eastAsia="es-ES"/>
              </w:rPr>
            </w:pPr>
            <w:r w:rsidRPr="50538920" w:rsidR="4149BEA1">
              <w:rPr>
                <w:rFonts w:ascii="Arial" w:hAnsi="Arial" w:eastAsia="Arial" w:cs="Arial"/>
                <w:sz w:val="16"/>
                <w:szCs w:val="16"/>
                <w:lang w:val="es-ES" w:eastAsia="es-ES"/>
              </w:rPr>
              <w:t xml:space="preserve">Nohelia del Carmen </w:t>
            </w:r>
            <w:r w:rsidRPr="50538920" w:rsidR="4149BEA1">
              <w:rPr>
                <w:rFonts w:ascii="Arial" w:hAnsi="Arial" w:eastAsia="Arial" w:cs="Arial"/>
                <w:sz w:val="16"/>
                <w:szCs w:val="16"/>
                <w:lang w:val="es-ES" w:eastAsia="es-ES"/>
              </w:rPr>
              <w:t>Zawady</w:t>
            </w:r>
            <w:r w:rsidRPr="50538920" w:rsidR="4149BEA1">
              <w:rPr>
                <w:rFonts w:ascii="Arial" w:hAnsi="Arial" w:eastAsia="Arial" w:cs="Arial"/>
                <w:sz w:val="16"/>
                <w:szCs w:val="16"/>
                <w:lang w:val="es-ES" w:eastAsia="es-ES"/>
              </w:rPr>
              <w:t xml:space="preserve"> Palacio</w:t>
            </w:r>
          </w:p>
          <w:p w:rsidRPr="005043BC" w:rsidR="002365A8" w:rsidP="50538920" w:rsidRDefault="002365A8" w14:paraId="7356F298" w14:textId="77777777" w14:noSpellErr="1">
            <w:pPr>
              <w:spacing w:line="276" w:lineRule="auto"/>
              <w:rPr>
                <w:rFonts w:ascii="Arial" w:hAnsi="Arial" w:eastAsia="Arial" w:cs="Arial"/>
                <w:sz w:val="16"/>
                <w:szCs w:val="16"/>
                <w:lang w:eastAsia="es-ES"/>
              </w:rPr>
            </w:pPr>
            <w:r w:rsidRPr="50538920" w:rsidR="4149BEA1">
              <w:rPr>
                <w:rFonts w:ascii="Arial" w:hAnsi="Arial" w:eastAsia="Arial" w:cs="Arial"/>
                <w:sz w:val="16"/>
                <w:szCs w:val="16"/>
                <w:lang w:val="es-ES" w:eastAsia="es-ES"/>
              </w:rPr>
              <w:t>Subdirectora de Gestión Contractual</w:t>
            </w:r>
          </w:p>
        </w:tc>
      </w:tr>
      <w:bookmarkEnd w:id="34"/>
    </w:tbl>
    <w:p w:rsidRPr="005043BC" w:rsidR="002365A8" w:rsidP="50538920" w:rsidRDefault="002365A8" w14:paraId="158E62CF" w14:textId="77777777" w14:noSpellErr="1">
      <w:pPr>
        <w:spacing w:before="120" w:after="0" w:line="276" w:lineRule="auto"/>
        <w:rPr>
          <w:rFonts w:ascii="Arial" w:hAnsi="Arial" w:eastAsia="Arial" w:cs="Arial"/>
          <w:sz w:val="18"/>
          <w:szCs w:val="18"/>
          <w:lang w:val="es-ES" w:eastAsia="es-CO"/>
        </w:rPr>
      </w:pPr>
    </w:p>
    <w:p w:rsidRPr="002365A8" w:rsidR="00E245AB" w:rsidP="50538920" w:rsidRDefault="00E245AB" w14:paraId="0465BA6D" w14:textId="77777777" w14:noSpellErr="1">
      <w:pPr>
        <w:spacing w:after="0"/>
        <w:rPr>
          <w:rFonts w:ascii="Arial" w:hAnsi="Arial" w:eastAsia="Arial" w:cs="Arial"/>
          <w:lang w:val="es-ES"/>
        </w:rPr>
      </w:pPr>
    </w:p>
    <w:sectPr w:rsidRPr="002365A8" w:rsidR="00E245AB"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B70" w:rsidP="004A1847" w:rsidRDefault="00AF6B70" w14:paraId="43DA5CCA" w14:textId="77777777">
      <w:pPr>
        <w:spacing w:after="0" w:line="240" w:lineRule="auto"/>
      </w:pPr>
      <w:r>
        <w:separator/>
      </w:r>
    </w:p>
  </w:endnote>
  <w:endnote w:type="continuationSeparator" w:id="0">
    <w:p w:rsidR="00AF6B70" w:rsidP="004A1847" w:rsidRDefault="00AF6B70" w14:paraId="7E95B3F3" w14:textId="77777777">
      <w:pPr>
        <w:spacing w:after="0" w:line="240" w:lineRule="auto"/>
      </w:pPr>
      <w:r>
        <w:continuationSeparator/>
      </w:r>
    </w:p>
  </w:endnote>
  <w:endnote w:type="continuationNotice" w:id="1">
    <w:p w:rsidR="003F6A42" w:rsidRDefault="003F6A42" w14:paraId="12A137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Footer"/>
    </w:pPr>
    <w:r>
      <w:rPr>
        <w:noProof/>
      </w:rPr>
      <w:drawing>
        <wp:inline distT="0" distB="0" distL="0" distR="0" wp14:anchorId="600A8696" wp14:editId="357635FE">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Footer"/>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Footer"/>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Footer"/>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B70" w:rsidP="004A1847" w:rsidRDefault="00AF6B70" w14:paraId="59E0711B" w14:textId="77777777">
      <w:pPr>
        <w:spacing w:after="0" w:line="240" w:lineRule="auto"/>
      </w:pPr>
      <w:r>
        <w:separator/>
      </w:r>
    </w:p>
  </w:footnote>
  <w:footnote w:type="continuationSeparator" w:id="0">
    <w:p w:rsidR="00AF6B70" w:rsidP="004A1847" w:rsidRDefault="00AF6B70" w14:paraId="0A92A670" w14:textId="77777777">
      <w:pPr>
        <w:spacing w:after="0" w:line="240" w:lineRule="auto"/>
      </w:pPr>
      <w:r>
        <w:continuationSeparator/>
      </w:r>
    </w:p>
  </w:footnote>
  <w:footnote w:type="continuationNotice" w:id="1">
    <w:p w:rsidR="003F6A42" w:rsidRDefault="003F6A42" w14:paraId="6D848081" w14:textId="77777777">
      <w:pPr>
        <w:spacing w:after="0" w:line="240" w:lineRule="auto"/>
      </w:pPr>
    </w:p>
  </w:footnote>
  <w:footnote w:id="2">
    <w:p w:rsidRPr="005043BC" w:rsidR="002365A8" w:rsidP="002365A8" w:rsidRDefault="002365A8" w14:paraId="55BE6D60" w14:textId="77777777">
      <w:pPr>
        <w:pStyle w:val="FootnoteText"/>
        <w:ind w:firstLine="708"/>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La Agencia Nacional de Contratación Pública </w:t>
      </w:r>
      <w:r w:rsidRPr="005043BC">
        <w:rPr>
          <w:rFonts w:ascii="Arial" w:hAnsi="Arial" w:cs="Arial"/>
          <w:sz w:val="16"/>
          <w:szCs w:val="16"/>
        </w:rPr>
        <w:t>‒</w:t>
      </w:r>
      <w:r w:rsidRPr="005043BC">
        <w:rPr>
          <w:rFonts w:ascii="Century Gothic" w:hAnsi="Century Gothic" w:cs="Arial"/>
          <w:sz w:val="16"/>
          <w:szCs w:val="16"/>
        </w:rPr>
        <w:t xml:space="preserve"> Colombia Compra Eficiente fue creada por el Decreto Ley 4170 de 2011. Su objetivo es servir como ente rector de la pol</w:t>
      </w:r>
      <w:r w:rsidRPr="005043BC">
        <w:rPr>
          <w:rFonts w:ascii="Century Gothic" w:hAnsi="Century Gothic" w:cs="Century Gothic"/>
          <w:sz w:val="16"/>
          <w:szCs w:val="16"/>
        </w:rPr>
        <w:t>í</w:t>
      </w:r>
      <w:r w:rsidRPr="005043BC">
        <w:rPr>
          <w:rFonts w:ascii="Century Gothic" w:hAnsi="Century Gothic" w:cs="Arial"/>
          <w:sz w:val="16"/>
          <w:szCs w:val="16"/>
        </w:rPr>
        <w:t>tica de compras y contrataci</w:t>
      </w:r>
      <w:r w:rsidRPr="005043BC">
        <w:rPr>
          <w:rFonts w:ascii="Century Gothic" w:hAnsi="Century Gothic" w:cs="Century Gothic"/>
          <w:sz w:val="16"/>
          <w:szCs w:val="16"/>
        </w:rPr>
        <w:t>ó</w:t>
      </w:r>
      <w:r w:rsidRPr="005043BC">
        <w:rPr>
          <w:rFonts w:ascii="Century Gothic" w:hAnsi="Century Gothic" w:cs="Arial"/>
          <w:sz w:val="16"/>
          <w:szCs w:val="16"/>
        </w:rPr>
        <w:t xml:space="preserve">n del Estado. Para tales fines, como </w:t>
      </w:r>
      <w:r w:rsidRPr="005043BC">
        <w:rPr>
          <w:rFonts w:ascii="Century Gothic" w:hAnsi="Century Gothic" w:cs="Century Gothic"/>
          <w:sz w:val="16"/>
          <w:szCs w:val="16"/>
        </w:rPr>
        <w:t>ó</w:t>
      </w:r>
      <w:r w:rsidRPr="005043BC">
        <w:rPr>
          <w:rFonts w:ascii="Century Gothic" w:hAnsi="Century Gothic" w:cs="Arial"/>
          <w:sz w:val="16"/>
          <w:szCs w:val="16"/>
        </w:rPr>
        <w:t>rgano t</w:t>
      </w:r>
      <w:r w:rsidRPr="005043BC">
        <w:rPr>
          <w:rFonts w:ascii="Century Gothic" w:hAnsi="Century Gothic" w:cs="Century Gothic"/>
          <w:sz w:val="16"/>
          <w:szCs w:val="16"/>
        </w:rPr>
        <w:t>é</w:t>
      </w:r>
      <w:r w:rsidRPr="005043BC">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5043BC">
        <w:rPr>
          <w:rFonts w:ascii="Century Gothic" w:hAnsi="Century Gothic" w:cs="Arial"/>
          <w:i/>
          <w:sz w:val="16"/>
          <w:szCs w:val="16"/>
        </w:rPr>
        <w:t xml:space="preserve">ibidem </w:t>
      </w:r>
      <w:r w:rsidRPr="005043BC">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5043BC" w:rsidR="002365A8" w:rsidP="002365A8" w:rsidRDefault="002365A8" w14:paraId="0576F197" w14:textId="77777777">
      <w:pPr>
        <w:pStyle w:val="FootnoteText"/>
        <w:ind w:firstLine="708"/>
        <w:jc w:val="both"/>
        <w:rPr>
          <w:rFonts w:ascii="Century Gothic" w:hAnsi="Century Gothic" w:cs="Arial"/>
          <w:sz w:val="16"/>
          <w:szCs w:val="16"/>
          <w:lang w:val="es-ES"/>
        </w:rPr>
      </w:pPr>
    </w:p>
  </w:footnote>
  <w:footnote w:id="3">
    <w:p w:rsidRPr="005043BC" w:rsidR="002365A8" w:rsidP="002365A8" w:rsidRDefault="002365A8" w14:paraId="3F1EEF0B" w14:textId="77777777">
      <w:pPr>
        <w:pStyle w:val="FootnoteText"/>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5043BC" w:rsidR="002365A8" w:rsidP="002365A8" w:rsidRDefault="002365A8" w14:paraId="20C553E3" w14:textId="77777777">
      <w:pPr>
        <w:pStyle w:val="FootnoteText"/>
        <w:ind w:firstLine="709"/>
        <w:contextualSpacing/>
        <w:jc w:val="both"/>
        <w:rPr>
          <w:rFonts w:ascii="Century Gothic" w:hAnsi="Century Gothic" w:cs="Arial"/>
          <w:sz w:val="16"/>
          <w:szCs w:val="16"/>
        </w:rPr>
      </w:pPr>
    </w:p>
    <w:p w:rsidRPr="005043BC" w:rsidR="002365A8" w:rsidP="002365A8" w:rsidRDefault="002365A8" w14:paraId="4D2FEB9A" w14:textId="77777777">
      <w:pPr>
        <w:pStyle w:val="FootnoteText"/>
        <w:ind w:firstLine="709"/>
        <w:contextualSpacing/>
        <w:jc w:val="both"/>
        <w:rPr>
          <w:rFonts w:ascii="Century Gothic" w:hAnsi="Century Gothic" w:cs="Arial"/>
          <w:sz w:val="16"/>
          <w:szCs w:val="16"/>
        </w:rPr>
      </w:pPr>
      <w:r w:rsidRPr="005043BC">
        <w:rPr>
          <w:rFonts w:ascii="Century Gothic" w:hAnsi="Century Gothic"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5043BC" w:rsidR="002365A8" w:rsidP="002365A8" w:rsidRDefault="002365A8" w14:paraId="426E5F5E" w14:textId="77777777">
      <w:pPr>
        <w:pStyle w:val="FootnoteText"/>
        <w:ind w:firstLine="709"/>
        <w:contextualSpacing/>
        <w:jc w:val="both"/>
        <w:rPr>
          <w:rFonts w:ascii="Century Gothic" w:hAnsi="Century Gothic" w:cs="Arial"/>
          <w:sz w:val="16"/>
          <w:szCs w:val="16"/>
        </w:rPr>
      </w:pPr>
    </w:p>
  </w:footnote>
  <w:footnote w:id="4">
    <w:p w:rsidR="002365A8" w:rsidP="002365A8" w:rsidRDefault="002365A8" w14:paraId="1F4D6C9F" w14:textId="77777777">
      <w:pPr>
        <w:pStyle w:val="FootnoteText"/>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Gaceta del Congreso de la República No. 71 del 2005.</w:t>
      </w:r>
    </w:p>
    <w:p w:rsidRPr="003F6A42" w:rsidR="002365A8" w:rsidP="002365A8" w:rsidRDefault="002365A8" w14:paraId="3F45F015" w14:textId="77777777">
      <w:pPr>
        <w:pStyle w:val="FootnoteText"/>
        <w:ind w:firstLine="709"/>
        <w:contextualSpacing/>
        <w:jc w:val="both"/>
        <w:rPr>
          <w:rFonts w:ascii="Century Gothic" w:hAnsi="Century Gothic" w:cs="Arial"/>
          <w:sz w:val="16"/>
          <w:szCs w:val="16"/>
        </w:rPr>
      </w:pPr>
    </w:p>
  </w:footnote>
  <w:footnote w:id="5">
    <w:p w:rsidRPr="005043BC" w:rsidR="002365A8" w:rsidP="002365A8" w:rsidRDefault="002365A8" w14:paraId="784CD092" w14:textId="77777777">
      <w:pPr>
        <w:pStyle w:val="FootnoteText"/>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Corte Constitucional, Sentencia C- 1153 de 2005, M.P. Marco Gerardo Monroy Cabra.</w:t>
      </w:r>
    </w:p>
    <w:p w:rsidRPr="005043BC" w:rsidR="002365A8" w:rsidP="002365A8" w:rsidRDefault="002365A8" w14:paraId="35EA75D0" w14:textId="77777777">
      <w:pPr>
        <w:pStyle w:val="FootnoteText"/>
        <w:ind w:firstLine="709"/>
        <w:contextualSpacing/>
        <w:jc w:val="both"/>
        <w:rPr>
          <w:rFonts w:ascii="Century Gothic" w:hAnsi="Century Gothic" w:cs="Arial"/>
          <w:sz w:val="16"/>
          <w:szCs w:val="16"/>
        </w:rPr>
      </w:pPr>
    </w:p>
  </w:footnote>
  <w:footnote w:id="6">
    <w:p w:rsidRPr="005043BC" w:rsidR="002365A8" w:rsidP="002365A8" w:rsidRDefault="002365A8" w14:paraId="7EB6814E" w14:textId="77777777">
      <w:pPr>
        <w:pStyle w:val="FootnoteText"/>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rsidRPr="005043BC" w:rsidR="002365A8" w:rsidP="002365A8" w:rsidRDefault="002365A8" w14:paraId="3A8B77E2" w14:textId="77777777">
      <w:pPr>
        <w:pStyle w:val="FootnoteText"/>
        <w:ind w:firstLine="709"/>
        <w:contextualSpacing/>
        <w:jc w:val="both"/>
        <w:rPr>
          <w:rFonts w:ascii="Century Gothic" w:hAnsi="Century Gothic" w:cs="Arial"/>
          <w:sz w:val="16"/>
          <w:szCs w:val="16"/>
        </w:rPr>
      </w:pPr>
    </w:p>
  </w:footnote>
  <w:footnote w:id="7">
    <w:p w:rsidRPr="005043BC" w:rsidR="002365A8" w:rsidP="002365A8" w:rsidRDefault="002365A8" w14:paraId="1382FE55" w14:textId="77777777">
      <w:pPr>
        <w:pStyle w:val="FootnoteText"/>
        <w:ind w:firstLine="709"/>
        <w:contextualSpacing/>
        <w:jc w:val="both"/>
        <w:rPr>
          <w:rFonts w:ascii="Century Gothic" w:hAnsi="Century Gothic" w:cs="Arial"/>
          <w:sz w:val="16"/>
          <w:szCs w:val="16"/>
          <w:lang w:val="es-CO"/>
        </w:rPr>
      </w:pPr>
      <w:r w:rsidRPr="005043BC">
        <w:rPr>
          <w:rStyle w:val="FootnoteReference"/>
          <w:rFonts w:ascii="Century Gothic" w:hAnsi="Century Gothic" w:cs="Arial"/>
          <w:sz w:val="16"/>
          <w:szCs w:val="16"/>
        </w:rPr>
        <w:footnoteRef/>
      </w:r>
      <w:r w:rsidRPr="005043BC">
        <w:rPr>
          <w:rFonts w:ascii="Century Gothic" w:hAnsi="Century Gothic"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rsidRPr="005043BC" w:rsidR="002365A8" w:rsidP="002365A8" w:rsidRDefault="002365A8" w14:paraId="2363C591" w14:textId="77777777">
      <w:pPr>
        <w:pStyle w:val="FootnoteText"/>
        <w:ind w:firstLine="709"/>
        <w:contextualSpacing/>
        <w:jc w:val="both"/>
        <w:rPr>
          <w:rFonts w:ascii="Century Gothic" w:hAnsi="Century Gothic" w:cs="Arial"/>
          <w:sz w:val="16"/>
          <w:szCs w:val="16"/>
          <w:lang w:val="es-CO"/>
        </w:rPr>
      </w:pPr>
    </w:p>
  </w:footnote>
  <w:footnote w:id="8">
    <w:p w:rsidRPr="005043BC" w:rsidR="002365A8" w:rsidP="002365A8" w:rsidRDefault="002365A8" w14:paraId="459F187A" w14:textId="77777777">
      <w:pPr>
        <w:pStyle w:val="FootnoteText"/>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Consejo de Estado, Sala de Consulta y Servicio Civil de fecha 24 de julio de 2013, radicado 2166, Consejero Ponente: Álvaro Namén Vargas.  </w:t>
      </w:r>
    </w:p>
  </w:footnote>
  <w:footnote w:id="9">
    <w:p w:rsidRPr="005043BC" w:rsidR="002365A8" w:rsidP="002365A8" w:rsidRDefault="002365A8" w14:paraId="037AE122" w14:textId="77777777">
      <w:pPr>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w:t>
      </w:r>
      <w:bookmarkStart w:name="33" w:id="10"/>
      <w:r w:rsidRPr="005043BC">
        <w:rPr>
          <w:rFonts w:ascii="Century Gothic" w:hAnsi="Century Gothic" w:eastAsia="Calibri" w:cs="Arial"/>
          <w:color w:val="000000"/>
          <w:sz w:val="16"/>
          <w:szCs w:val="16"/>
        </w:rPr>
        <w:t>“</w:t>
      </w:r>
      <w:r w:rsidRPr="005043BC">
        <w:rPr>
          <w:rFonts w:ascii="Century Gothic" w:hAnsi="Century Gothic" w:cs="Arial"/>
          <w:sz w:val="16"/>
          <w:szCs w:val="16"/>
        </w:rPr>
        <w:t>Artículo 33. Restricciones a la contratación pública.</w:t>
      </w:r>
      <w:bookmarkEnd w:id="10"/>
      <w:r w:rsidRPr="005043BC">
        <w:rPr>
          <w:rFonts w:ascii="Century Gothic" w:hAnsi="Century Gothic" w:cs="Arial"/>
          <w:sz w:val="16"/>
          <w:szCs w:val="16"/>
        </w:rPr>
        <w:t> Durante los cuatro (4) meses anteriores a la elección presidencial y hasta la realización de la elección en la segunda vuelta, si fuere el caso, queda prohibida la contratación directa por parte de todos los entes del Estado.</w:t>
      </w:r>
    </w:p>
    <w:p w:rsidRPr="005043BC" w:rsidR="002365A8" w:rsidP="002365A8" w:rsidRDefault="002365A8" w14:paraId="1C1B7C8B" w14:textId="77777777">
      <w:pPr>
        <w:ind w:firstLine="709"/>
        <w:contextualSpacing/>
        <w:jc w:val="both"/>
        <w:rPr>
          <w:rFonts w:ascii="Century Gothic" w:hAnsi="Century Gothic" w:cs="Arial"/>
          <w:sz w:val="16"/>
          <w:szCs w:val="16"/>
        </w:rPr>
      </w:pPr>
      <w:r w:rsidRPr="005043BC">
        <w:rPr>
          <w:rFonts w:ascii="Century Gothic" w:hAnsi="Century Gothic" w:eastAsia="Calibri" w:cs="Arial"/>
          <w:color w:val="000000"/>
          <w:sz w:val="16"/>
          <w:szCs w:val="16"/>
        </w:rPr>
        <w:t>“</w:t>
      </w:r>
      <w:r w:rsidRPr="005043BC">
        <w:rPr>
          <w:rFonts w:ascii="Century Gothic" w:hAnsi="Century Gothic"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043BC">
        <w:rPr>
          <w:rFonts w:ascii="Century Gothic" w:hAnsi="Century Gothic" w:eastAsia="Calibri" w:cs="Arial"/>
          <w:color w:val="000000"/>
          <w:sz w:val="16"/>
          <w:szCs w:val="16"/>
        </w:rPr>
        <w:t>”</w:t>
      </w:r>
      <w:r w:rsidRPr="005043BC">
        <w:rPr>
          <w:rFonts w:ascii="Century Gothic" w:hAnsi="Century Gothic" w:cs="Arial"/>
          <w:sz w:val="16"/>
          <w:szCs w:val="16"/>
        </w:rPr>
        <w:t>.</w:t>
      </w:r>
    </w:p>
  </w:footnote>
  <w:footnote w:id="10">
    <w:p w:rsidRPr="005043BC" w:rsidR="002365A8" w:rsidP="002365A8" w:rsidRDefault="002365A8" w14:paraId="658593E5" w14:textId="77777777">
      <w:pPr>
        <w:pStyle w:val="NormalWeb"/>
        <w:spacing w:after="0" w:line="240" w:lineRule="auto"/>
        <w:ind w:firstLine="709"/>
        <w:contextualSpacing/>
        <w:rPr>
          <w:rFonts w:ascii="Century Gothic" w:hAnsi="Century Gothic" w:cs="Arial"/>
          <w:sz w:val="16"/>
          <w:szCs w:val="16"/>
          <w:lang w:val="es-MX"/>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w:t>
      </w:r>
      <w:bookmarkStart w:name="38" w:id="11"/>
      <w:r w:rsidRPr="005043BC">
        <w:rPr>
          <w:rFonts w:ascii="Century Gothic" w:hAnsi="Century Gothic" w:eastAsia="Calibri" w:cs="Arial"/>
          <w:color w:val="000000"/>
          <w:sz w:val="16"/>
          <w:szCs w:val="16"/>
        </w:rPr>
        <w:t>“</w:t>
      </w:r>
      <w:r w:rsidRPr="005043BC">
        <w:rPr>
          <w:rFonts w:ascii="Century Gothic" w:hAnsi="Century Gothic" w:cs="Arial"/>
          <w:sz w:val="16"/>
          <w:szCs w:val="16"/>
          <w:lang w:val="es-MX"/>
        </w:rPr>
        <w:t>Artículo 38. Prohibiciones para los servidores públicos. A los empleados del Estado les está prohibido:</w:t>
      </w:r>
      <w:bookmarkEnd w:id="11"/>
    </w:p>
    <w:p w:rsidRPr="005043BC" w:rsidR="002365A8" w:rsidP="002365A8" w:rsidRDefault="002365A8" w14:paraId="5087A942" w14:textId="77777777">
      <w:pPr>
        <w:pStyle w:val="NormalWeb"/>
        <w:spacing w:after="0" w:line="240" w:lineRule="auto"/>
        <w:ind w:firstLine="709"/>
        <w:contextualSpacing/>
        <w:rPr>
          <w:rFonts w:ascii="Century Gothic" w:hAnsi="Century Gothic" w:cs="Arial"/>
          <w:sz w:val="16"/>
          <w:szCs w:val="16"/>
          <w:lang w:val="es-MX"/>
        </w:rPr>
      </w:pPr>
      <w:r w:rsidRPr="005043BC">
        <w:rPr>
          <w:rFonts w:ascii="Century Gothic" w:hAnsi="Century Gothic" w:eastAsia="Calibri" w:cs="Arial"/>
          <w:color w:val="000000"/>
          <w:sz w:val="16"/>
          <w:szCs w:val="16"/>
        </w:rPr>
        <w:t>“</w:t>
      </w:r>
      <w:r w:rsidRPr="005043BC">
        <w:rPr>
          <w:rFonts w:ascii="Century Gothic" w:hAnsi="Century Gothic" w:cs="Arial"/>
          <w:sz w:val="16"/>
          <w:szCs w:val="16"/>
          <w:lang w:val="es-MX"/>
        </w:rPr>
        <w:t xml:space="preserve"> […]</w:t>
      </w:r>
    </w:p>
    <w:p w:rsidRPr="005043BC" w:rsidR="002365A8" w:rsidP="002365A8" w:rsidRDefault="002365A8" w14:paraId="7F75267C" w14:textId="77777777">
      <w:pPr>
        <w:pStyle w:val="NormalWeb"/>
        <w:spacing w:after="0" w:line="240" w:lineRule="auto"/>
        <w:ind w:firstLine="709"/>
        <w:contextualSpacing/>
        <w:rPr>
          <w:rFonts w:ascii="Century Gothic" w:hAnsi="Century Gothic" w:cs="Arial"/>
          <w:sz w:val="16"/>
          <w:szCs w:val="16"/>
          <w:lang w:val="es-MX"/>
        </w:rPr>
      </w:pPr>
      <w:r w:rsidRPr="005043BC">
        <w:rPr>
          <w:rFonts w:ascii="Century Gothic" w:hAnsi="Century Gothic" w:eastAsia="Calibri" w:cs="Arial"/>
          <w:color w:val="000000"/>
          <w:sz w:val="16"/>
          <w:szCs w:val="16"/>
        </w:rPr>
        <w:t>“</w:t>
      </w:r>
      <w:r w:rsidRPr="005043BC">
        <w:rPr>
          <w:rStyle w:val="baj"/>
          <w:rFonts w:ascii="Century Gothic" w:hAnsi="Century Gothic" w:cs="Arial"/>
          <w:sz w:val="16"/>
          <w:szCs w:val="16"/>
          <w:lang w:val="es-MX"/>
        </w:rPr>
        <w:t xml:space="preserve"> Parágrafo.</w:t>
      </w:r>
      <w:r w:rsidRPr="005043BC">
        <w:rPr>
          <w:rFonts w:ascii="Century Gothic" w:hAnsi="Century Gothic"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043BC">
        <w:rPr>
          <w:rFonts w:ascii="Century Gothic" w:hAnsi="Century Gothic" w:eastAsia="Calibri" w:cs="Arial"/>
          <w:color w:val="000000"/>
          <w:sz w:val="16"/>
          <w:szCs w:val="16"/>
        </w:rPr>
        <w:t>”</w:t>
      </w:r>
      <w:r w:rsidRPr="005043BC">
        <w:rPr>
          <w:rFonts w:ascii="Century Gothic" w:hAnsi="Century Gothic" w:cs="Arial"/>
          <w:sz w:val="16"/>
          <w:szCs w:val="16"/>
          <w:lang w:val="es-MX"/>
        </w:rPr>
        <w:t>.</w:t>
      </w:r>
    </w:p>
  </w:footnote>
  <w:footnote w:id="11">
    <w:p w:rsidRPr="005043BC" w:rsidR="002365A8" w:rsidP="002365A8" w:rsidRDefault="002365A8" w14:paraId="4C525743" w14:textId="77777777">
      <w:pPr>
        <w:ind w:left="100" w:right="244" w:firstLine="709"/>
        <w:contextualSpacing/>
        <w:jc w:val="both"/>
        <w:rPr>
          <w:rFonts w:ascii="Century Gothic" w:hAnsi="Century Gothic" w:cs="Arial"/>
          <w:sz w:val="16"/>
          <w:szCs w:val="16"/>
          <w:lang w:val="es-ES"/>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Consejo de Estado. Sala de Consulta y Servicio Civil. Concepto del 17 de febrero de 2015. C.P. William Zambrano Cetina. Radicación No. 11001-03-06-000-2015-00164-00(2269).</w:t>
      </w:r>
    </w:p>
  </w:footnote>
  <w:footnote w:id="12">
    <w:p w:rsidRPr="005043BC" w:rsidR="002365A8" w:rsidP="002365A8" w:rsidRDefault="002365A8" w14:paraId="0DEA74B1" w14:textId="77777777">
      <w:pPr>
        <w:pStyle w:val="FootnoteText"/>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Consejo de Estado. Sala de Consulta y Servicio Civil. Concepto de 20 de febrero de2006. Radicación 11001-03-06-000-2006-00023-00(1724). Consejero Ponente: Flavio Augusto Rodríguez Arce.</w:t>
      </w:r>
    </w:p>
  </w:footnote>
  <w:footnote w:id="13">
    <w:p w:rsidRPr="005043BC" w:rsidR="002365A8" w:rsidP="002365A8" w:rsidRDefault="002365A8" w14:paraId="768B6B7C" w14:textId="77777777">
      <w:pPr>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rsidRPr="005043BC" w:rsidR="002365A8" w:rsidP="002365A8" w:rsidRDefault="002365A8" w14:paraId="5DA7754C" w14:textId="77777777">
      <w:pPr>
        <w:ind w:firstLine="709"/>
        <w:contextualSpacing/>
        <w:jc w:val="both"/>
        <w:rPr>
          <w:rFonts w:ascii="Century Gothic" w:hAnsi="Century Gothic" w:cs="Arial"/>
          <w:sz w:val="16"/>
          <w:szCs w:val="16"/>
        </w:rPr>
      </w:pPr>
      <w:r w:rsidRPr="005043BC">
        <w:rPr>
          <w:rFonts w:ascii="Century Gothic" w:hAnsi="Century Gothic"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043BC">
        <w:rPr>
          <w:rFonts w:ascii="Century Gothic" w:hAnsi="Century Gothic" w:cs="Arial"/>
          <w:spacing w:val="-1"/>
          <w:sz w:val="16"/>
          <w:szCs w:val="16"/>
        </w:rPr>
        <w:t xml:space="preserve"> </w:t>
      </w:r>
      <w:r w:rsidRPr="005043BC">
        <w:rPr>
          <w:rFonts w:ascii="Century Gothic" w:hAnsi="Century Gothic" w:cs="Arial"/>
          <w:sz w:val="16"/>
          <w:szCs w:val="16"/>
        </w:rPr>
        <w:t>Estatales”.</w:t>
      </w:r>
    </w:p>
  </w:footnote>
  <w:footnote w:id="14">
    <w:p w:rsidR="002365A8" w:rsidP="002365A8" w:rsidRDefault="002365A8" w14:paraId="7C4BCB2F" w14:textId="77777777">
      <w:pPr>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043BC">
        <w:rPr>
          <w:rFonts w:ascii="Century Gothic" w:hAnsi="Century Gothic" w:cs="Arial"/>
          <w:spacing w:val="-6"/>
          <w:sz w:val="16"/>
          <w:szCs w:val="16"/>
        </w:rPr>
        <w:t xml:space="preserve"> </w:t>
      </w:r>
      <w:r w:rsidRPr="005043BC">
        <w:rPr>
          <w:rFonts w:ascii="Century Gothic" w:hAnsi="Century Gothic" w:cs="Arial"/>
          <w:sz w:val="16"/>
          <w:szCs w:val="16"/>
        </w:rPr>
        <w:t>artículo”.</w:t>
      </w:r>
    </w:p>
    <w:p w:rsidRPr="003F6A42" w:rsidR="002365A8" w:rsidP="002365A8" w:rsidRDefault="002365A8" w14:paraId="2E0ABE73" w14:textId="77777777">
      <w:pPr>
        <w:ind w:firstLine="709"/>
        <w:contextualSpacing/>
        <w:jc w:val="both"/>
        <w:rPr>
          <w:rFonts w:ascii="Century Gothic" w:hAnsi="Century Gothic" w:cs="Arial"/>
          <w:sz w:val="16"/>
          <w:szCs w:val="16"/>
        </w:rPr>
      </w:pPr>
    </w:p>
  </w:footnote>
  <w:footnote w:id="15">
    <w:p w:rsidRPr="005043BC" w:rsidR="002365A8" w:rsidP="002365A8" w:rsidRDefault="002365A8" w14:paraId="02BEBD78" w14:textId="77777777">
      <w:pPr>
        <w:ind w:right="454"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position w:val="7"/>
          <w:sz w:val="16"/>
          <w:szCs w:val="16"/>
        </w:rPr>
        <w:t xml:space="preserve"> </w:t>
      </w:r>
      <w:r w:rsidRPr="005043BC">
        <w:rPr>
          <w:rFonts w:ascii="Century Gothic" w:hAnsi="Century Gothic" w:cs="Arial"/>
          <w:sz w:val="16"/>
          <w:szCs w:val="16"/>
        </w:rPr>
        <w:t>Consejo de Estado. Sección Tercera. Sentencia del 23 de junio de 2010. Radicación No. 66001-23-31-000-1998-00261-01(17.860). Consejero Ponente: Mauricio Fajardo Gómez.</w:t>
      </w:r>
    </w:p>
  </w:footnote>
  <w:footnote w:id="16">
    <w:p w:rsidRPr="005043BC" w:rsidR="002365A8" w:rsidP="002365A8" w:rsidRDefault="002365A8" w14:paraId="6A774D94" w14:textId="77777777">
      <w:pPr>
        <w:ind w:firstLine="709"/>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Consejo de Estado. Sección Tercera. Subsección C. Sentencia del 11 de diciembre de 2019. Exp. 46.986. C.P. Jaime Enrique Rodríguez Navas.</w:t>
      </w:r>
    </w:p>
  </w:footnote>
  <w:footnote w:id="17">
    <w:p w:rsidRPr="005043BC" w:rsidR="002365A8" w:rsidP="002365A8" w:rsidRDefault="002365A8" w14:paraId="7DE80E51" w14:textId="77777777">
      <w:pPr>
        <w:pStyle w:val="FootnoteText"/>
        <w:ind w:firstLine="708"/>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[Referencia propia de la cita] “CE. SCSC. Concepto de 1 de noviembre de 2016 [Rad. 11001-03-06-000-2016-00125-00(2305)]. MP. Germán Alberto Bula Escobar”.</w:t>
      </w:r>
    </w:p>
  </w:footnote>
  <w:footnote w:id="18">
    <w:p w:rsidRPr="005043BC" w:rsidR="002365A8" w:rsidP="002365A8" w:rsidRDefault="002365A8" w14:paraId="4A7A2B51" w14:textId="77777777">
      <w:pPr>
        <w:pStyle w:val="FootnoteText"/>
        <w:ind w:firstLine="708"/>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[Referencia propia de la cita] “CE. SCSC. Concepto de 30 de abril de 2008 [Rad. 11001-03-06-000-2008-00013-00(1881)]. MP. Enrique José Arboleda Perdomo. En esta oportunidad, la Sala indicó que el contenido </w:t>
      </w:r>
      <w:r w:rsidRPr="005043BC">
        <w:rPr>
          <w:rFonts w:ascii="Century Gothic" w:hAnsi="Century Gothic" w:cs="Arial"/>
          <w:i/>
          <w:sz w:val="16"/>
          <w:szCs w:val="16"/>
        </w:rPr>
        <w:t>“obligacional”</w:t>
      </w:r>
      <w:r w:rsidRPr="005043BC">
        <w:rPr>
          <w:rFonts w:ascii="Century Gothic" w:hAnsi="Century Gothic" w:cs="Arial"/>
          <w:sz w:val="16"/>
          <w:szCs w:val="16"/>
        </w:rPr>
        <w:t xml:space="preserve"> de los convenios se estructura definiendo el resultado querido por las partes y los medios que cada entidad despliega para la obtención del respectivo objeto”.</w:t>
      </w:r>
    </w:p>
  </w:footnote>
  <w:footnote w:id="19">
    <w:p w:rsidRPr="005043BC" w:rsidR="002365A8" w:rsidP="002365A8" w:rsidRDefault="002365A8" w14:paraId="4BDC9FDC" w14:textId="77777777">
      <w:pPr>
        <w:pStyle w:val="FootnoteText"/>
        <w:ind w:firstLine="708"/>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[Referencia propia de la cita] “La normativa vigente del EGCAP </w:t>
      </w:r>
      <w:r w:rsidRPr="005043BC">
        <w:rPr>
          <w:rFonts w:ascii="Century Gothic" w:hAnsi="Century Gothic" w:cs="Arial"/>
          <w:i/>
          <w:sz w:val="16"/>
          <w:szCs w:val="16"/>
        </w:rPr>
        <w:t>[literal c) del numeral 4. del artículo 2 de la Ley 1150/07]</w:t>
      </w:r>
      <w:r w:rsidRPr="005043BC">
        <w:rPr>
          <w:rFonts w:ascii="Century Gothic" w:hAnsi="Century Gothic" w:cs="Arial"/>
          <w:sz w:val="16"/>
          <w:szCs w:val="16"/>
        </w:rPr>
        <w:t xml:space="preserve"> se refiere a </w:t>
      </w:r>
      <w:r w:rsidRPr="005043BC">
        <w:rPr>
          <w:rFonts w:ascii="Century Gothic" w:hAnsi="Century Gothic" w:cs="Arial"/>
          <w:i/>
          <w:sz w:val="16"/>
          <w:szCs w:val="16"/>
        </w:rPr>
        <w:t>“contratos interadministrativos”</w:t>
      </w:r>
      <w:r w:rsidRPr="005043BC">
        <w:rPr>
          <w:rFonts w:ascii="Century Gothic" w:hAnsi="Century Gothic"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0">
    <w:p w:rsidRPr="005043BC" w:rsidR="002365A8" w:rsidP="002365A8" w:rsidRDefault="002365A8" w14:paraId="69EDA82A" w14:textId="77777777">
      <w:pPr>
        <w:pStyle w:val="FootnoteText"/>
        <w:ind w:firstLine="708"/>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21">
    <w:p w:rsidRPr="005043BC" w:rsidR="002365A8" w:rsidP="002365A8" w:rsidRDefault="002365A8" w14:paraId="5D594D04" w14:textId="77777777">
      <w:pPr>
        <w:pStyle w:val="FootnoteText"/>
        <w:ind w:firstLine="708"/>
        <w:contextualSpacing/>
        <w:jc w:val="both"/>
        <w:rPr>
          <w:rFonts w:ascii="Century Gothic" w:hAnsi="Century Gothic" w:cs="Arial"/>
          <w:sz w:val="16"/>
          <w:szCs w:val="16"/>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Es lo que sucede, por ejemplo, con el Decreto 092 de 2017, que en su desarrollo hace referencia tanto a los “contratos” como a los “convenios”. </w:t>
      </w:r>
    </w:p>
  </w:footnote>
  <w:footnote w:id="22">
    <w:p w:rsidRPr="005043BC" w:rsidR="002365A8" w:rsidP="002365A8" w:rsidRDefault="002365A8" w14:paraId="45EC72A9" w14:textId="77777777">
      <w:pPr>
        <w:pStyle w:val="FootnoteText"/>
        <w:ind w:firstLine="708"/>
        <w:contextualSpacing/>
        <w:jc w:val="both"/>
        <w:rPr>
          <w:rFonts w:ascii="Century Gothic" w:hAnsi="Century Gothic" w:cs="Arial"/>
          <w:sz w:val="16"/>
          <w:szCs w:val="16"/>
          <w:lang w:val="es-CO"/>
        </w:rPr>
      </w:pPr>
      <w:r w:rsidRPr="005043BC">
        <w:rPr>
          <w:rStyle w:val="FootnoteReference"/>
          <w:rFonts w:ascii="Century Gothic" w:hAnsi="Century Gothic" w:cs="Arial"/>
          <w:sz w:val="16"/>
          <w:szCs w:val="16"/>
        </w:rPr>
        <w:footnoteRef/>
      </w:r>
      <w:r w:rsidRPr="005043BC">
        <w:rPr>
          <w:rFonts w:ascii="Century Gothic" w:hAnsi="Century Gothic"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Header"/>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Header"/>
    </w:pPr>
  </w:p>
  <w:p w:rsidR="00756841" w:rsidRDefault="00756841" w14:paraId="1BE2B9AE" w14:textId="4B94DB3B">
    <w:pPr>
      <w:pStyle w:val="Header"/>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E0DCE"/>
    <w:rsid w:val="000E1E38"/>
    <w:rsid w:val="000F6486"/>
    <w:rsid w:val="00127233"/>
    <w:rsid w:val="001E4177"/>
    <w:rsid w:val="002365A8"/>
    <w:rsid w:val="002951A0"/>
    <w:rsid w:val="002962BC"/>
    <w:rsid w:val="002A49AC"/>
    <w:rsid w:val="002A64FD"/>
    <w:rsid w:val="002C7A84"/>
    <w:rsid w:val="003A779E"/>
    <w:rsid w:val="003D0F4D"/>
    <w:rsid w:val="003E0499"/>
    <w:rsid w:val="003F3941"/>
    <w:rsid w:val="003F6A42"/>
    <w:rsid w:val="004A1847"/>
    <w:rsid w:val="004A305D"/>
    <w:rsid w:val="004F21C4"/>
    <w:rsid w:val="004F685F"/>
    <w:rsid w:val="005043BC"/>
    <w:rsid w:val="005566E8"/>
    <w:rsid w:val="00574867"/>
    <w:rsid w:val="005C5CDC"/>
    <w:rsid w:val="005D476C"/>
    <w:rsid w:val="006219F8"/>
    <w:rsid w:val="00665D70"/>
    <w:rsid w:val="006D43A2"/>
    <w:rsid w:val="00706C16"/>
    <w:rsid w:val="00756841"/>
    <w:rsid w:val="007649AB"/>
    <w:rsid w:val="007833AC"/>
    <w:rsid w:val="007C3DC2"/>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00B09"/>
    <w:rsid w:val="00A17F13"/>
    <w:rsid w:val="00A20739"/>
    <w:rsid w:val="00A33C78"/>
    <w:rsid w:val="00A42C7B"/>
    <w:rsid w:val="00AB0ADB"/>
    <w:rsid w:val="00AE5061"/>
    <w:rsid w:val="00AF6B70"/>
    <w:rsid w:val="00B42C1B"/>
    <w:rsid w:val="00B72CD3"/>
    <w:rsid w:val="00B72FFF"/>
    <w:rsid w:val="00BD7F72"/>
    <w:rsid w:val="00C330EB"/>
    <w:rsid w:val="00C754BE"/>
    <w:rsid w:val="00CA09ED"/>
    <w:rsid w:val="00CB6357"/>
    <w:rsid w:val="00CC1B26"/>
    <w:rsid w:val="00D423A2"/>
    <w:rsid w:val="00D63AC2"/>
    <w:rsid w:val="00D7383B"/>
    <w:rsid w:val="00DD3215"/>
    <w:rsid w:val="00DD5A92"/>
    <w:rsid w:val="00E16408"/>
    <w:rsid w:val="00E20894"/>
    <w:rsid w:val="00E245AB"/>
    <w:rsid w:val="00E50AFE"/>
    <w:rsid w:val="00E57C5D"/>
    <w:rsid w:val="00E771DC"/>
    <w:rsid w:val="00E8772A"/>
    <w:rsid w:val="00E90F6B"/>
    <w:rsid w:val="00E92C27"/>
    <w:rsid w:val="00EA0E3D"/>
    <w:rsid w:val="00EE1AA8"/>
    <w:rsid w:val="00F31EDC"/>
    <w:rsid w:val="00F5664F"/>
    <w:rsid w:val="00F76AFC"/>
    <w:rsid w:val="00FB5DD1"/>
    <w:rsid w:val="00FC2B5D"/>
    <w:rsid w:val="00FF1449"/>
    <w:rsid w:val="0BC57411"/>
    <w:rsid w:val="265D14B7"/>
    <w:rsid w:val="2A44B06D"/>
    <w:rsid w:val="2FD1A609"/>
    <w:rsid w:val="3B8F62DC"/>
    <w:rsid w:val="4149BEA1"/>
    <w:rsid w:val="4496C2AC"/>
    <w:rsid w:val="46115C18"/>
    <w:rsid w:val="488D3D09"/>
    <w:rsid w:val="4C51B490"/>
    <w:rsid w:val="4E3B1F41"/>
    <w:rsid w:val="50538920"/>
    <w:rsid w:val="5D945959"/>
    <w:rsid w:val="5FF59525"/>
    <w:rsid w:val="610FC21A"/>
    <w:rsid w:val="6AB36CE8"/>
    <w:rsid w:val="6C23CD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styleId="HeaderChar" w:customStyle="1">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styleId="FooterChar" w:customStyle="1">
    <w:name w:val="Footer Char"/>
    <w:basedOn w:val="DefaultParagraphFont"/>
    <w:link w:val="Footer"/>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FootnoteTextChar" w:customStyle="1">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styleId="TextonotapieCar1" w:customStyle="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F,R"/>
    <w:basedOn w:val="DefaultParagraphFont"/>
    <w:link w:val="Appelnotedebasde"/>
    <w:uiPriority w:val="99"/>
    <w:unhideWhenUsed/>
    <w:qFormat/>
    <w:rsid w:val="006219F8"/>
    <w:rPr>
      <w:vertAlign w:val="superscript"/>
    </w:rPr>
  </w:style>
  <w:style w:type="character" w:styleId="normaltextrun" w:customStyle="1">
    <w:name w:val="normaltextrun"/>
    <w:basedOn w:val="DefaultParagraphFont"/>
    <w:rsid w:val="006219F8"/>
  </w:style>
  <w:style w:type="table" w:styleId="TableGrid">
    <w:name w:val="Table Grid"/>
    <w:basedOn w:val="Table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itleChar" w:customStyle="1">
    <w:name w:val="Title Char"/>
    <w:basedOn w:val="DefaultParagraphFont"/>
    <w:link w:val="Title"/>
    <w:uiPriority w:val="10"/>
    <w:rsid w:val="005566E8"/>
    <w:rPr>
      <w:rFonts w:ascii="Geomanist" w:hAnsi="Geomanist" w:eastAsiaTheme="majorEastAsia" w:cstheme="majorBidi"/>
      <w:spacing w:val="-10"/>
      <w:kern w:val="28"/>
      <w:szCs w:val="56"/>
      <w:lang w:val="es-ES"/>
    </w:rPr>
  </w:style>
  <w:style w:type="paragraph" w:styleId="NormalWeb">
    <w:name w:val="Normal (Web)"/>
    <w:basedOn w:val="Normal"/>
    <w:uiPriority w:val="99"/>
    <w:semiHidden/>
    <w:unhideWhenUsed/>
    <w:rsid w:val="002365A8"/>
    <w:rPr>
      <w:rFonts w:ascii="Times New Roman" w:hAnsi="Times New Roman" w:cs="Times New Roman"/>
      <w:sz w:val="24"/>
      <w:szCs w:val="24"/>
    </w:rPr>
  </w:style>
  <w:style w:type="paragraph" w:styleId="Appelnotedebasde" w:customStyle="1">
    <w:name w:val="Appel note de bas de..."/>
    <w:basedOn w:val="Normal"/>
    <w:link w:val="FootnoteReference"/>
    <w:uiPriority w:val="99"/>
    <w:rsid w:val="002365A8"/>
    <w:pPr>
      <w:spacing w:line="240" w:lineRule="exact"/>
    </w:pPr>
    <w:rPr>
      <w:vertAlign w:val="superscript"/>
    </w:rPr>
  </w:style>
  <w:style w:type="character" w:styleId="baj" w:customStyle="1">
    <w:name w:val="b_aj"/>
    <w:basedOn w:val="DefaultParagraphFont"/>
    <w:rsid w:val="002365A8"/>
  </w:style>
  <w:style w:type="table" w:styleId="Tablaconcuadrcula12" w:customStyle="1">
    <w:name w:val="Tabla con cuadrícula12"/>
    <w:basedOn w:val="TableNormal"/>
    <w:next w:val="TableGrid"/>
    <w:uiPriority w:val="39"/>
    <w:rsid w:val="002365A8"/>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F6A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7.png" Id="R267ade23dc934b41" /><Relationship Type="http://schemas.openxmlformats.org/officeDocument/2006/relationships/image" Target="/media/image8.png" Id="R77d1bcdb61634955"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B476CD5-BF85-4BF9-8EC7-43CC2E43F1B7}"/>
</file>

<file path=customXml/itemProps3.xml><?xml version="1.0" encoding="utf-8"?>
<ds:datastoreItem xmlns:ds="http://schemas.openxmlformats.org/officeDocument/2006/customXml" ds:itemID="{163618BE-28CB-4D69-955E-CDA788483BED}">
  <ds:schemaRefs>
    <ds:schemaRef ds:uri="http://purl.org/dc/dcmitype/"/>
    <ds:schemaRef ds:uri="http://schemas.microsoft.com/office/2006/documentManagement/types"/>
    <ds:schemaRef ds:uri="http://schemas.microsoft.com/office/2006/metadata/properties"/>
    <ds:schemaRef ds:uri="8ae15d26-076e-464e-81a7-6f76a0fb3917"/>
    <ds:schemaRef ds:uri="http://www.w3.org/XML/1998/namespace"/>
    <ds:schemaRef ds:uri="http://schemas.microsoft.com/office/infopath/2007/PartnerControls"/>
    <ds:schemaRef ds:uri="http://purl.org/dc/terms/"/>
    <ds:schemaRef ds:uri="http://schemas.openxmlformats.org/package/2006/metadata/core-properties"/>
    <ds:schemaRef ds:uri="cabc2350-70b2-4dba-bb42-96a3175f4d5a"/>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Johanna Ovalle Clavijo</cp:lastModifiedBy>
  <cp:revision>5</cp:revision>
  <cp:lastPrinted>2023-01-10T21:18:00Z</cp:lastPrinted>
  <dcterms:created xsi:type="dcterms:W3CDTF">2023-07-04T08:23:00Z</dcterms:created>
  <dcterms:modified xsi:type="dcterms:W3CDTF">2023-08-29T22:51:37Z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