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781AC2" w:rsidR="001146AF" w:rsidP="001146AF" w:rsidRDefault="001146AF" w14:paraId="17861EA3" w14:textId="77777777">
      <w:pPr>
        <w:jc w:val="right"/>
        <w:rPr>
          <w:rFonts w:ascii="Arial" w:hAnsi="Arial" w:eastAsia="Calibri" w:cs="Arial"/>
          <w:b/>
          <w:bCs/>
          <w:sz w:val="20"/>
          <w:szCs w:val="20"/>
          <w:lang w:val="es-ES"/>
        </w:rPr>
      </w:pPr>
      <w:bookmarkStart w:name="_Hlk28946138" w:id="0"/>
      <w:bookmarkStart w:name="_Hlk29548183" w:id="1"/>
      <w:r w:rsidRPr="00781AC2">
        <w:rPr>
          <w:rFonts w:ascii="Arial" w:hAnsi="Arial" w:cs="Arial"/>
          <w:sz w:val="16"/>
          <w:szCs w:val="16"/>
          <w:lang w:val="es-ES" w:eastAsia="es-ES"/>
        </w:rPr>
        <w:t>CCE-DES-FM-17</w:t>
      </w:r>
      <w:bookmarkEnd w:id="0"/>
      <w:bookmarkEnd w:id="1"/>
    </w:p>
    <w:p w:rsidRPr="00F57758" w:rsidR="00F57758" w:rsidP="00F57758" w:rsidRDefault="00F57758" w14:paraId="5C4DCE06" w14:textId="77777777">
      <w:pPr>
        <w:jc w:val="both"/>
        <w:rPr>
          <w:rFonts w:ascii="Arial" w:hAnsi="Arial" w:eastAsia="Calibri" w:cs="Arial"/>
          <w:b/>
          <w:sz w:val="22"/>
          <w:szCs w:val="22"/>
          <w:lang w:eastAsia="en-US"/>
        </w:rPr>
      </w:pPr>
    </w:p>
    <w:p w:rsidRPr="00F33903" w:rsidR="00F33903" w:rsidP="00F33903" w:rsidRDefault="00F33903" w14:paraId="493471B7" w14:textId="77777777">
      <w:pPr>
        <w:contextualSpacing/>
        <w:jc w:val="both"/>
        <w:rPr>
          <w:rFonts w:ascii="Arial" w:hAnsi="Arial" w:eastAsia="Calibri" w:cs="Arial"/>
          <w:b/>
          <w:sz w:val="22"/>
          <w:szCs w:val="20"/>
          <w:lang w:val="es-ES_tradnl" w:eastAsia="en-US"/>
        </w:rPr>
      </w:pPr>
      <w:bookmarkStart w:name="_Hlk46401972" w:id="2"/>
      <w:r w:rsidRPr="00F33903">
        <w:rPr>
          <w:rFonts w:ascii="Arial" w:hAnsi="Arial" w:eastAsia="Calibri" w:cs="Arial"/>
          <w:b/>
          <w:sz w:val="22"/>
          <w:szCs w:val="20"/>
          <w:lang w:val="es-ES_tradnl" w:eastAsia="en-US"/>
        </w:rPr>
        <w:t>SECOP – Deber de publicación – Finalidad – Principio de publicidad</w:t>
      </w:r>
    </w:p>
    <w:p w:rsidRPr="00F33903" w:rsidR="00F33903" w:rsidP="00F33903" w:rsidRDefault="00F33903" w14:paraId="7BFB6201" w14:textId="77777777">
      <w:pPr>
        <w:contextualSpacing/>
        <w:jc w:val="both"/>
        <w:rPr>
          <w:rFonts w:ascii="Arial" w:hAnsi="Arial" w:eastAsia="Calibri" w:cs="Arial"/>
          <w:b/>
          <w:sz w:val="22"/>
          <w:szCs w:val="20"/>
          <w:lang w:val="es-ES_tradnl" w:eastAsia="en-US"/>
        </w:rPr>
      </w:pPr>
    </w:p>
    <w:p w:rsidRPr="00F33903" w:rsidR="00F33903" w:rsidP="00F33903" w:rsidRDefault="00F33903" w14:paraId="75EBA91C" w14:textId="77777777">
      <w:pPr>
        <w:spacing w:after="120"/>
        <w:jc w:val="both"/>
        <w:rPr>
          <w:rFonts w:ascii="Arial" w:hAnsi="Arial" w:cs="Arial"/>
          <w:sz w:val="20"/>
          <w:szCs w:val="20"/>
          <w:lang w:val="es-ES_tradnl"/>
        </w:rPr>
      </w:pPr>
      <w:r w:rsidRPr="00F33903">
        <w:rPr>
          <w:rFonts w:ascii="Arial" w:hAnsi="Arial" w:cs="Arial"/>
          <w:sz w:val="20"/>
          <w:szCs w:val="20"/>
          <w:lang w:val="es-ES_tradnl"/>
        </w:rPr>
        <w:t xml:space="preserve">[..]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 Con ello se permite que, mediante la publicación, la ciudadanía pueda conocer la actividad contractual de las entidades, comoquiera que tales documentos dan cuenta de las decisiones de la Administración pública en beneficio del interés general y que por tanto incumben a la ciudadanía.  </w:t>
      </w:r>
    </w:p>
    <w:p w:rsidRPr="00F33903" w:rsidR="00F33903" w:rsidP="00F33903" w:rsidRDefault="00F33903" w14:paraId="6CC394F9" w14:textId="77777777">
      <w:pPr>
        <w:jc w:val="both"/>
        <w:rPr>
          <w:rFonts w:ascii="Arial" w:hAnsi="Arial" w:cs="Arial"/>
          <w:sz w:val="20"/>
          <w:szCs w:val="20"/>
          <w:lang w:val="es-ES_tradnl"/>
        </w:rPr>
      </w:pPr>
      <w:r w:rsidRPr="00F33903">
        <w:rPr>
          <w:rFonts w:ascii="Arial" w:hAnsi="Arial" w:cs="Arial"/>
          <w:sz w:val="20"/>
          <w:szCs w:val="20"/>
          <w:lang w:val="es-ES_tradnl"/>
        </w:rPr>
        <w:t>En conclusión, el artículo 3 de la Ley 1150 de 2007 desarrolla los principios de publicidad y transparencia de las actuaciones contractuales, del cual se desprende un deber de publicar las actuaciones contractuales. Esta obligación implica que todas las entidades estatales deben publicar los documentos en los que se evidencia el desarrollo de sus procesos de contratación. Esto comoquiera que el objetivo del deber de brindar publicidad a las actuaciones contractuales es materializar el derecho a conocer e intervenir de las decisiones de la Administración pública.</w:t>
      </w:r>
    </w:p>
    <w:bookmarkEnd w:id="2"/>
    <w:p w:rsidRPr="00F33903" w:rsidR="00F33903" w:rsidP="00F33903" w:rsidRDefault="00F33903" w14:paraId="263713C3" w14:textId="77777777">
      <w:pPr>
        <w:jc w:val="both"/>
        <w:rPr>
          <w:rFonts w:ascii="Arial" w:hAnsi="Arial" w:cs="Arial"/>
          <w:sz w:val="20"/>
          <w:szCs w:val="20"/>
          <w:lang w:val="es-ES_tradnl"/>
        </w:rPr>
      </w:pPr>
    </w:p>
    <w:p w:rsidRPr="00F33903" w:rsidR="00F33903" w:rsidP="00F33903" w:rsidRDefault="00F33903" w14:paraId="29FDEAB2" w14:textId="77777777">
      <w:pPr>
        <w:jc w:val="both"/>
        <w:rPr>
          <w:rFonts w:ascii="Arial" w:hAnsi="Arial" w:cs="Arial"/>
          <w:b/>
          <w:bCs/>
          <w:sz w:val="22"/>
          <w:lang w:val="es-ES_tradnl"/>
        </w:rPr>
      </w:pPr>
      <w:bookmarkStart w:name="_Hlk46402012" w:id="3"/>
      <w:r w:rsidRPr="00F33903">
        <w:rPr>
          <w:rFonts w:ascii="Arial" w:hAnsi="Arial" w:cs="Arial"/>
          <w:b/>
          <w:bCs/>
          <w:sz w:val="22"/>
          <w:lang w:val="es-ES_tradnl"/>
        </w:rPr>
        <w:t>DOCUMENTOS DEL PROCESO – Noción – Deber de publicación – Proceso de contratación</w:t>
      </w:r>
    </w:p>
    <w:p w:rsidRPr="00F33903" w:rsidR="00F33903" w:rsidP="00F33903" w:rsidRDefault="00F33903" w14:paraId="0D2173C0" w14:textId="77777777">
      <w:pPr>
        <w:spacing w:before="120" w:after="120"/>
        <w:jc w:val="both"/>
        <w:rPr>
          <w:rFonts w:ascii="Arial" w:hAnsi="Arial" w:eastAsia="Calibri" w:cs="Arial"/>
          <w:sz w:val="20"/>
          <w:szCs w:val="20"/>
          <w:lang w:val="es-ES_tradnl"/>
        </w:rPr>
      </w:pPr>
      <w:r w:rsidRPr="00F33903">
        <w:rPr>
          <w:rFonts w:ascii="Arial" w:hAnsi="Arial" w:eastAsia="Calibri" w:cs="Arial"/>
          <w:sz w:val="20"/>
          <w:szCs w:val="20"/>
          <w:lang w:val="es-ES_tradnl"/>
        </w:rPr>
        <w:t xml:space="preserve">[…] el deber de publicidad de la actividad contractual de las entidades estatales no solo se encuentra regulado por el artículo 3 de la Ley 1150 de 2007 y el </w:t>
      </w:r>
      <w:r w:rsidRPr="00F33903">
        <w:rPr>
          <w:rFonts w:ascii="Arial" w:hAnsi="Arial" w:eastAsia="Arial" w:cs="Arial"/>
          <w:sz w:val="20"/>
          <w:szCs w:val="20"/>
          <w:lang w:val="es-ES_tradnl"/>
        </w:rPr>
        <w:t xml:space="preserve">artículo 2.2.1.1.1.7.1. del Decreto 1082 de 2015, sino que también se fundamenta en la Ley 1712 de 2014 y el Decreto 1081 de 2015. Estas normas no solo refuerzan y complementan al régimen de contratación estatal en materia de publicidad, sino que amplían el contenido obligacional de dicho deber, al imponer la publicación de los procedimientos y la información relativa a la gestión contractual, sin el condicionamiento de tratarse de </w:t>
      </w:r>
      <w:r w:rsidRPr="00F33903">
        <w:rPr>
          <w:rFonts w:ascii="Arial" w:hAnsi="Arial" w:eastAsia="Arial" w:cs="Arial"/>
          <w:i/>
          <w:iCs/>
          <w:sz w:val="20"/>
          <w:szCs w:val="20"/>
          <w:lang w:val="es-ES_tradnl"/>
        </w:rPr>
        <w:t xml:space="preserve">Documentos del Procesos </w:t>
      </w:r>
      <w:r w:rsidRPr="00F33903">
        <w:rPr>
          <w:rFonts w:ascii="Arial" w:hAnsi="Arial" w:eastAsia="Arial" w:cs="Arial"/>
          <w:sz w:val="20"/>
          <w:szCs w:val="20"/>
          <w:lang w:val="es-ES_tradnl"/>
        </w:rPr>
        <w:t>expedidos por la entidad estatal.</w:t>
      </w:r>
    </w:p>
    <w:p w:rsidRPr="00F33903" w:rsidR="00F33903" w:rsidP="00F33903" w:rsidRDefault="00F33903" w14:paraId="5762525B" w14:textId="77777777">
      <w:pPr>
        <w:spacing w:before="120"/>
        <w:jc w:val="both"/>
        <w:rPr>
          <w:rFonts w:ascii="Arial" w:hAnsi="Arial" w:eastAsia="Calibri" w:cs="Arial"/>
          <w:sz w:val="22"/>
          <w:lang w:val="es-ES_tradnl"/>
        </w:rPr>
      </w:pPr>
      <w:r w:rsidRPr="00F33903">
        <w:rPr>
          <w:rFonts w:ascii="Arial" w:hAnsi="Arial" w:eastAsia="Calibri" w:cs="Arial"/>
          <w:sz w:val="20"/>
          <w:szCs w:val="20"/>
          <w:lang w:val="es-ES_tradnl"/>
        </w:rPr>
        <w:t xml:space="preserve">Esto quiere decir que las entidades estatales, además de los documentos y actos administrativos que expidan durante el </w:t>
      </w:r>
      <w:r w:rsidRPr="00F33903">
        <w:rPr>
          <w:rFonts w:ascii="Arial" w:hAnsi="Arial" w:eastAsia="Calibri" w:cs="Arial"/>
          <w:i/>
          <w:iCs/>
          <w:sz w:val="20"/>
          <w:szCs w:val="20"/>
          <w:lang w:val="es-ES_tradnl"/>
        </w:rPr>
        <w:t>Proceso de Contratación,</w:t>
      </w:r>
      <w:r w:rsidRPr="00F33903">
        <w:rPr>
          <w:rFonts w:ascii="Arial" w:hAnsi="Arial" w:eastAsia="Calibri" w:cs="Arial"/>
          <w:sz w:val="20"/>
          <w:szCs w:val="20"/>
          <w:lang w:val="es-ES_tradnl"/>
        </w:rPr>
        <w:t xml:space="preserve"> deberán publicar los documentos que desarrollan los procedimientos. Deben publicar incluso documentos que no necesariamente son expedidos por ellas pero que hacen parte del proceso. Entre estos documentos se encuentran las observaciones formuladas por la ciudadanía al proyecto de pliego de condiciones, o por los proponentes al informe de evaluación, aclaraciones a las ofertas realizadas por oferentes, así como a cualquier otra actuación que, a pesar de no tener origen en la entidad estatal, ni encajar en estricto sentido dentro de lo que se entiende por </w:t>
      </w:r>
      <w:r w:rsidRPr="00F33903">
        <w:rPr>
          <w:rFonts w:ascii="Arial" w:hAnsi="Arial" w:eastAsia="Calibri" w:cs="Arial"/>
          <w:i/>
          <w:iCs/>
          <w:sz w:val="20"/>
          <w:szCs w:val="20"/>
          <w:lang w:val="es-ES_tradnl"/>
        </w:rPr>
        <w:t xml:space="preserve"> Documento del Proceso, </w:t>
      </w:r>
      <w:r w:rsidRPr="00F33903">
        <w:rPr>
          <w:rFonts w:ascii="Arial" w:hAnsi="Arial" w:eastAsia="Calibri" w:cs="Arial"/>
          <w:sz w:val="20"/>
          <w:szCs w:val="20"/>
          <w:lang w:val="es-ES_tradnl"/>
        </w:rPr>
        <w:t>hace parte del desarrollo del proceso de contratación, y que, por disposición de la Ley de la transparencia y acceso a la información pública, deber ser publicada de manera proactiva por la entidad estatal</w:t>
      </w:r>
      <w:r w:rsidRPr="00F33903">
        <w:rPr>
          <w:rFonts w:ascii="Arial" w:hAnsi="Arial" w:eastAsia="Calibri" w:cs="Arial"/>
          <w:sz w:val="22"/>
          <w:lang w:val="es-ES_tradnl"/>
        </w:rPr>
        <w:t xml:space="preserve">.   </w:t>
      </w:r>
    </w:p>
    <w:bookmarkEnd w:id="3"/>
    <w:p w:rsidRPr="00F33903" w:rsidR="00F33903" w:rsidP="00F33903" w:rsidRDefault="00F33903" w14:paraId="71FE6371" w14:textId="77777777">
      <w:pPr>
        <w:jc w:val="both"/>
        <w:rPr>
          <w:rFonts w:ascii="Arial" w:hAnsi="Arial" w:cs="Arial"/>
          <w:b/>
          <w:bCs/>
          <w:sz w:val="22"/>
          <w:lang w:val="es-ES_tradnl"/>
        </w:rPr>
      </w:pPr>
    </w:p>
    <w:p w:rsidRPr="00F33903" w:rsidR="00F33903" w:rsidP="00F33903" w:rsidRDefault="00F33903" w14:paraId="4739E5F4" w14:textId="77777777">
      <w:pPr>
        <w:jc w:val="both"/>
        <w:rPr>
          <w:rFonts w:ascii="Arial" w:hAnsi="Arial" w:eastAsia="Calibri" w:cs="Arial"/>
          <w:b/>
          <w:bCs/>
          <w:sz w:val="22"/>
          <w:lang w:val="es-ES_tradnl"/>
        </w:rPr>
      </w:pPr>
      <w:r w:rsidRPr="00F33903">
        <w:rPr>
          <w:rFonts w:ascii="Arial" w:hAnsi="Arial" w:eastAsia="Calibri" w:cs="Arial"/>
          <w:b/>
          <w:bCs/>
          <w:sz w:val="22"/>
          <w:lang w:val="es-ES_tradnl"/>
        </w:rPr>
        <w:t xml:space="preserve">PUBLICIDAD – Transparencia </w:t>
      </w:r>
      <w:r w:rsidRPr="00F33903">
        <w:rPr>
          <w:rFonts w:ascii="Arial" w:hAnsi="Arial" w:eastAsia="Arial" w:cs="Arial"/>
          <w:b/>
          <w:bCs/>
          <w:sz w:val="22"/>
          <w:lang w:val="es-ES_tradnl"/>
        </w:rPr>
        <w:t>–</w:t>
      </w:r>
      <w:r w:rsidRPr="00F33903">
        <w:rPr>
          <w:rFonts w:ascii="Arial" w:hAnsi="Arial" w:eastAsia="Calibri" w:cs="Arial"/>
          <w:b/>
          <w:bCs/>
          <w:sz w:val="22"/>
          <w:lang w:val="es-ES_tradnl"/>
        </w:rPr>
        <w:t xml:space="preserve"> Ley 1712 de 2014 – Divulgación proactiva</w:t>
      </w:r>
    </w:p>
    <w:p w:rsidRPr="00F33903" w:rsidR="00F33903" w:rsidP="00F33903" w:rsidRDefault="00F33903" w14:paraId="13379DE1" w14:textId="77777777">
      <w:pPr>
        <w:jc w:val="both"/>
        <w:rPr>
          <w:rFonts w:ascii="Arial" w:hAnsi="Arial" w:eastAsia="Calibri" w:cs="Arial"/>
          <w:b/>
          <w:bCs/>
          <w:sz w:val="22"/>
          <w:lang w:val="es-ES_tradnl"/>
        </w:rPr>
      </w:pPr>
    </w:p>
    <w:p w:rsidRPr="00F33903" w:rsidR="00F33903" w:rsidP="00F33903" w:rsidRDefault="00F33903" w14:paraId="57B08B37" w14:textId="77777777">
      <w:pPr>
        <w:jc w:val="both"/>
        <w:rPr>
          <w:rFonts w:ascii="Arial" w:hAnsi="Arial" w:eastAsia="Calibri" w:cs="Arial"/>
          <w:sz w:val="20"/>
          <w:szCs w:val="20"/>
          <w:lang w:val="es-ES_tradnl"/>
        </w:rPr>
      </w:pPr>
      <w:r w:rsidRPr="00F33903">
        <w:rPr>
          <w:rFonts w:ascii="Arial" w:hAnsi="Arial" w:eastAsia="Calibri" w:cs="Arial"/>
          <w:sz w:val="20"/>
          <w:szCs w:val="20"/>
          <w:lang w:val="es-ES_tradnl"/>
        </w:rPr>
        <w:t xml:space="preserve">Ahora, es importante resaltar que, al no existir efectos derogatorios o </w:t>
      </w:r>
      <w:proofErr w:type="spellStart"/>
      <w:r w:rsidRPr="00F33903">
        <w:rPr>
          <w:rFonts w:ascii="Arial" w:hAnsi="Arial" w:eastAsia="Calibri" w:cs="Arial"/>
          <w:sz w:val="20"/>
          <w:szCs w:val="20"/>
          <w:lang w:val="es-ES_tradnl"/>
        </w:rPr>
        <w:t>subrogatorios</w:t>
      </w:r>
      <w:proofErr w:type="spellEnd"/>
      <w:r w:rsidRPr="00F33903">
        <w:rPr>
          <w:rFonts w:ascii="Arial" w:hAnsi="Arial" w:eastAsia="Calibri" w:cs="Arial"/>
          <w:sz w:val="20"/>
          <w:szCs w:val="20"/>
          <w:lang w:val="es-ES_tradnl"/>
        </w:rPr>
        <w:t xml:space="preserve"> entre las disposiciones del EGCAP y la normativa de la transparencia y el acceso a la información pública, las disposiciones de ambos regímenes deben ser interpretadas de manera complementaria. Esto significa que a pesar de que los documentos objeto de publicación según el Decreto 1082 de 2015, se encuentren recogidos dentro de los que deben ser publicados conforme a la Ley 1712 de 2014 y el Decreto 1081 de 2015, deberán respetarse los aspectos expresamente regulados en cada norma, como, por ejemplo, el </w:t>
      </w:r>
      <w:r w:rsidRPr="00F33903">
        <w:rPr>
          <w:rFonts w:ascii="Arial" w:hAnsi="Arial" w:eastAsia="Calibri" w:cs="Arial"/>
          <w:sz w:val="20"/>
          <w:szCs w:val="20"/>
          <w:lang w:val="es-ES_tradnl"/>
        </w:rPr>
        <w:t>término de publicación y la excepción de publicación de los documentos de las operaciones que se celebren en bolsa de productos, conforme al artículo 2.2.1.1.1.7.1. del Decreto 1082 de 2015.</w:t>
      </w:r>
    </w:p>
    <w:p w:rsidRPr="00F33903" w:rsidR="00F33903" w:rsidP="00F33903" w:rsidRDefault="00F33903" w14:paraId="2AD9ABF3" w14:textId="77777777">
      <w:pPr>
        <w:jc w:val="both"/>
        <w:rPr>
          <w:rFonts w:ascii="Arial" w:hAnsi="Arial" w:eastAsia="Calibri" w:cs="Arial"/>
          <w:sz w:val="20"/>
          <w:szCs w:val="20"/>
          <w:lang w:val="es-ES_tradnl"/>
        </w:rPr>
      </w:pPr>
    </w:p>
    <w:p w:rsidR="005543BC" w:rsidP="00F33903" w:rsidRDefault="00F33903" w14:paraId="786D33A0" w14:textId="7BA6637D">
      <w:pPr>
        <w:jc w:val="both"/>
        <w:rPr>
          <w:rFonts w:ascii="Arial" w:hAnsi="Arial" w:cs="Arial"/>
          <w:sz w:val="22"/>
          <w:szCs w:val="22"/>
          <w:shd w:val="clear" w:color="auto" w:fill="E6E6E6"/>
          <w:lang w:val="es-MX" w:eastAsia="es-CO"/>
        </w:rPr>
      </w:pPr>
      <w:r w:rsidRPr="00F33903">
        <w:rPr>
          <w:rFonts w:ascii="Arial" w:hAnsi="Arial" w:eastAsia="Calibri" w:cs="Arial"/>
          <w:sz w:val="20"/>
          <w:szCs w:val="20"/>
          <w:lang w:val="es-ES_tradnl"/>
        </w:rPr>
        <w:t>De conformidad con lo anterior, esta interpretación de las disposiciones analizadas permite incorporar al EGCAP importantes principios desarrollados por la normativa de la transparencia y acceso a la información pública, como los de máxima publicidad para un titular universal, transparencia, facilitación y divulgación proactiva de la información. Ello por cuanto, al ampliarse la actividad contractual sobre la que recae el deber de publicación, se divulga un mayor volumen de información, que, de por sí, es pública, mediante un mecanismo como el SECOP, que facilita el acceso a la misma desde cualquier dispositivo con acceso a internet. Con ello se garantiza mayor transparencia, al obligarse a las entidades estatales a publicar sus actuaciones de manera proactiva y rutinaria, lo que permite que la ciudadanía conozca con detalle y actualidad el desarrollo de la gestión contractual de la Administración, fomentándose en la contratación pública estándares altos de transparencia.</w:t>
      </w:r>
    </w:p>
    <w:p w:rsidR="005543BC" w:rsidP="001146AF" w:rsidRDefault="005543BC" w14:paraId="0B1F4960" w14:textId="50D5993F">
      <w:pPr>
        <w:rPr>
          <w:rFonts w:ascii="Arial" w:hAnsi="Arial" w:cs="Arial"/>
          <w:sz w:val="22"/>
          <w:szCs w:val="22"/>
          <w:shd w:val="clear" w:color="auto" w:fill="E6E6E6"/>
          <w:lang w:val="es-MX" w:eastAsia="es-CO"/>
        </w:rPr>
      </w:pPr>
    </w:p>
    <w:p w:rsidR="005543BC" w:rsidP="001146AF" w:rsidRDefault="005543BC" w14:paraId="2D64F588" w14:textId="390B27D8">
      <w:pPr>
        <w:rPr>
          <w:rFonts w:ascii="Arial" w:hAnsi="Arial" w:cs="Arial"/>
          <w:sz w:val="22"/>
          <w:szCs w:val="22"/>
          <w:shd w:val="clear" w:color="auto" w:fill="E6E6E6"/>
          <w:lang w:val="es-MX" w:eastAsia="es-CO"/>
        </w:rPr>
      </w:pPr>
    </w:p>
    <w:p w:rsidR="005543BC" w:rsidP="001146AF" w:rsidRDefault="005543BC" w14:paraId="7C046E2C" w14:textId="165A1267">
      <w:pPr>
        <w:rPr>
          <w:rFonts w:ascii="Arial" w:hAnsi="Arial" w:cs="Arial"/>
          <w:sz w:val="22"/>
          <w:szCs w:val="22"/>
          <w:shd w:val="clear" w:color="auto" w:fill="E6E6E6"/>
          <w:lang w:val="es-MX" w:eastAsia="es-CO"/>
        </w:rPr>
      </w:pPr>
    </w:p>
    <w:p w:rsidR="005543BC" w:rsidP="001146AF" w:rsidRDefault="005543BC" w14:paraId="1880C699" w14:textId="6587C6CF">
      <w:pPr>
        <w:rPr>
          <w:rFonts w:ascii="Arial" w:hAnsi="Arial" w:cs="Arial"/>
          <w:sz w:val="22"/>
          <w:szCs w:val="22"/>
          <w:shd w:val="clear" w:color="auto" w:fill="E6E6E6"/>
          <w:lang w:val="es-MX" w:eastAsia="es-CO"/>
        </w:rPr>
      </w:pPr>
    </w:p>
    <w:p w:rsidR="005543BC" w:rsidP="001146AF" w:rsidRDefault="005543BC" w14:paraId="24E2D0A3" w14:textId="1B8D1321">
      <w:pPr>
        <w:rPr>
          <w:rFonts w:ascii="Arial" w:hAnsi="Arial" w:cs="Arial"/>
          <w:sz w:val="22"/>
          <w:szCs w:val="22"/>
          <w:shd w:val="clear" w:color="auto" w:fill="E6E6E6"/>
          <w:lang w:val="es-MX" w:eastAsia="es-CO"/>
        </w:rPr>
      </w:pPr>
    </w:p>
    <w:p w:rsidR="005543BC" w:rsidP="001146AF" w:rsidRDefault="005543BC" w14:paraId="0E239695" w14:textId="14EEF1D6">
      <w:pPr>
        <w:rPr>
          <w:rFonts w:ascii="Arial" w:hAnsi="Arial" w:cs="Arial"/>
          <w:sz w:val="22"/>
          <w:szCs w:val="22"/>
          <w:shd w:val="clear" w:color="auto" w:fill="E6E6E6"/>
          <w:lang w:val="es-MX" w:eastAsia="es-CO"/>
        </w:rPr>
      </w:pPr>
    </w:p>
    <w:p w:rsidR="005543BC" w:rsidP="001146AF" w:rsidRDefault="005543BC" w14:paraId="2DC048EE" w14:textId="3F4A6FE7">
      <w:pPr>
        <w:rPr>
          <w:rFonts w:ascii="Arial" w:hAnsi="Arial" w:cs="Arial"/>
          <w:sz w:val="22"/>
          <w:szCs w:val="22"/>
          <w:shd w:val="clear" w:color="auto" w:fill="E6E6E6"/>
          <w:lang w:val="es-MX" w:eastAsia="es-CO"/>
        </w:rPr>
      </w:pPr>
    </w:p>
    <w:p w:rsidR="00F33903" w:rsidP="001146AF" w:rsidRDefault="00F33903" w14:paraId="25B3D1CD" w14:textId="381B3105">
      <w:pPr>
        <w:rPr>
          <w:rFonts w:ascii="Arial" w:hAnsi="Arial" w:cs="Arial"/>
          <w:sz w:val="22"/>
          <w:szCs w:val="22"/>
          <w:shd w:val="clear" w:color="auto" w:fill="E6E6E6"/>
          <w:lang w:val="es-MX" w:eastAsia="es-CO"/>
        </w:rPr>
      </w:pPr>
    </w:p>
    <w:p w:rsidR="00F33903" w:rsidP="001146AF" w:rsidRDefault="00F33903" w14:paraId="063469A8" w14:textId="08B0DA87">
      <w:pPr>
        <w:rPr>
          <w:rFonts w:ascii="Arial" w:hAnsi="Arial" w:cs="Arial"/>
          <w:sz w:val="22"/>
          <w:szCs w:val="22"/>
          <w:shd w:val="clear" w:color="auto" w:fill="E6E6E6"/>
          <w:lang w:val="es-MX" w:eastAsia="es-CO"/>
        </w:rPr>
      </w:pPr>
    </w:p>
    <w:p w:rsidR="00F33903" w:rsidP="001146AF" w:rsidRDefault="00F33903" w14:paraId="03BC295D" w14:textId="3FA83420">
      <w:pPr>
        <w:rPr>
          <w:rFonts w:ascii="Arial" w:hAnsi="Arial" w:cs="Arial"/>
          <w:sz w:val="22"/>
          <w:szCs w:val="22"/>
          <w:shd w:val="clear" w:color="auto" w:fill="E6E6E6"/>
          <w:lang w:val="es-MX" w:eastAsia="es-CO"/>
        </w:rPr>
      </w:pPr>
    </w:p>
    <w:p w:rsidR="00F33903" w:rsidP="001146AF" w:rsidRDefault="00F33903" w14:paraId="32E48126" w14:textId="3BAF6FB6">
      <w:pPr>
        <w:rPr>
          <w:rFonts w:ascii="Arial" w:hAnsi="Arial" w:cs="Arial"/>
          <w:sz w:val="22"/>
          <w:szCs w:val="22"/>
          <w:shd w:val="clear" w:color="auto" w:fill="E6E6E6"/>
          <w:lang w:val="es-MX" w:eastAsia="es-CO"/>
        </w:rPr>
      </w:pPr>
    </w:p>
    <w:p w:rsidR="00F33903" w:rsidP="001146AF" w:rsidRDefault="00F33903" w14:paraId="545D60F9" w14:textId="64914107">
      <w:pPr>
        <w:rPr>
          <w:rFonts w:ascii="Arial" w:hAnsi="Arial" w:cs="Arial"/>
          <w:sz w:val="22"/>
          <w:szCs w:val="22"/>
          <w:shd w:val="clear" w:color="auto" w:fill="E6E6E6"/>
          <w:lang w:val="es-MX" w:eastAsia="es-CO"/>
        </w:rPr>
      </w:pPr>
    </w:p>
    <w:p w:rsidR="00F33903" w:rsidP="001146AF" w:rsidRDefault="00F33903" w14:paraId="3378887A" w14:textId="0AE06D03">
      <w:pPr>
        <w:rPr>
          <w:rFonts w:ascii="Arial" w:hAnsi="Arial" w:cs="Arial"/>
          <w:sz w:val="22"/>
          <w:szCs w:val="22"/>
          <w:shd w:val="clear" w:color="auto" w:fill="E6E6E6"/>
          <w:lang w:val="es-MX" w:eastAsia="es-CO"/>
        </w:rPr>
      </w:pPr>
    </w:p>
    <w:p w:rsidR="00F33903" w:rsidP="001146AF" w:rsidRDefault="00F33903" w14:paraId="5EC2B560" w14:textId="6FEB287D">
      <w:pPr>
        <w:rPr>
          <w:rFonts w:ascii="Arial" w:hAnsi="Arial" w:cs="Arial"/>
          <w:sz w:val="22"/>
          <w:szCs w:val="22"/>
          <w:shd w:val="clear" w:color="auto" w:fill="E6E6E6"/>
          <w:lang w:val="es-MX" w:eastAsia="es-CO"/>
        </w:rPr>
      </w:pPr>
    </w:p>
    <w:p w:rsidR="00F33903" w:rsidP="001146AF" w:rsidRDefault="00F33903" w14:paraId="2B7D3873" w14:textId="21C404BD">
      <w:pPr>
        <w:rPr>
          <w:rFonts w:ascii="Arial" w:hAnsi="Arial" w:cs="Arial"/>
          <w:sz w:val="22"/>
          <w:szCs w:val="22"/>
          <w:shd w:val="clear" w:color="auto" w:fill="E6E6E6"/>
          <w:lang w:val="es-MX" w:eastAsia="es-CO"/>
        </w:rPr>
      </w:pPr>
    </w:p>
    <w:p w:rsidR="00F33903" w:rsidP="001146AF" w:rsidRDefault="00F33903" w14:paraId="77F69016" w14:textId="5324A5EE">
      <w:pPr>
        <w:rPr>
          <w:rFonts w:ascii="Arial" w:hAnsi="Arial" w:cs="Arial"/>
          <w:sz w:val="22"/>
          <w:szCs w:val="22"/>
          <w:shd w:val="clear" w:color="auto" w:fill="E6E6E6"/>
          <w:lang w:val="es-MX" w:eastAsia="es-CO"/>
        </w:rPr>
      </w:pPr>
    </w:p>
    <w:p w:rsidR="00F33903" w:rsidP="001146AF" w:rsidRDefault="00F33903" w14:paraId="3FFE7FDD" w14:textId="33A573E5">
      <w:pPr>
        <w:rPr>
          <w:rFonts w:ascii="Arial" w:hAnsi="Arial" w:cs="Arial"/>
          <w:sz w:val="22"/>
          <w:szCs w:val="22"/>
          <w:shd w:val="clear" w:color="auto" w:fill="E6E6E6"/>
          <w:lang w:val="es-MX" w:eastAsia="es-CO"/>
        </w:rPr>
      </w:pPr>
    </w:p>
    <w:p w:rsidR="00F33903" w:rsidP="001146AF" w:rsidRDefault="00F33903" w14:paraId="6D5BED88" w14:textId="4D2B5D84">
      <w:pPr>
        <w:rPr>
          <w:rFonts w:ascii="Arial" w:hAnsi="Arial" w:cs="Arial"/>
          <w:sz w:val="22"/>
          <w:szCs w:val="22"/>
          <w:shd w:val="clear" w:color="auto" w:fill="E6E6E6"/>
          <w:lang w:val="es-MX" w:eastAsia="es-CO"/>
        </w:rPr>
      </w:pPr>
    </w:p>
    <w:p w:rsidR="00F33903" w:rsidP="001146AF" w:rsidRDefault="00F33903" w14:paraId="13AF7B48" w14:textId="4E2834EA">
      <w:pPr>
        <w:rPr>
          <w:rFonts w:ascii="Arial" w:hAnsi="Arial" w:cs="Arial"/>
          <w:sz w:val="22"/>
          <w:szCs w:val="22"/>
          <w:shd w:val="clear" w:color="auto" w:fill="E6E6E6"/>
          <w:lang w:val="es-MX" w:eastAsia="es-CO"/>
        </w:rPr>
      </w:pPr>
    </w:p>
    <w:p w:rsidR="00F33903" w:rsidP="001146AF" w:rsidRDefault="00F33903" w14:paraId="7782DD3B" w14:textId="606C7FF8">
      <w:pPr>
        <w:rPr>
          <w:rFonts w:ascii="Arial" w:hAnsi="Arial" w:cs="Arial"/>
          <w:sz w:val="22"/>
          <w:szCs w:val="22"/>
          <w:shd w:val="clear" w:color="auto" w:fill="E6E6E6"/>
          <w:lang w:val="es-MX" w:eastAsia="es-CO"/>
        </w:rPr>
      </w:pPr>
    </w:p>
    <w:p w:rsidR="00F33903" w:rsidP="001146AF" w:rsidRDefault="00F33903" w14:paraId="3D762BCE" w14:textId="7A99DD67">
      <w:pPr>
        <w:rPr>
          <w:rFonts w:ascii="Arial" w:hAnsi="Arial" w:cs="Arial"/>
          <w:sz w:val="22"/>
          <w:szCs w:val="22"/>
          <w:shd w:val="clear" w:color="auto" w:fill="E6E6E6"/>
          <w:lang w:val="es-MX" w:eastAsia="es-CO"/>
        </w:rPr>
      </w:pPr>
    </w:p>
    <w:p w:rsidR="00F33903" w:rsidP="001146AF" w:rsidRDefault="00F33903" w14:paraId="7BCFB924" w14:textId="364A95C9">
      <w:pPr>
        <w:rPr>
          <w:rFonts w:ascii="Arial" w:hAnsi="Arial" w:cs="Arial"/>
          <w:sz w:val="22"/>
          <w:szCs w:val="22"/>
          <w:shd w:val="clear" w:color="auto" w:fill="E6E6E6"/>
          <w:lang w:val="es-MX" w:eastAsia="es-CO"/>
        </w:rPr>
      </w:pPr>
    </w:p>
    <w:p w:rsidR="00F33903" w:rsidP="001146AF" w:rsidRDefault="00F33903" w14:paraId="6660FD9C" w14:textId="5AE33C0E">
      <w:pPr>
        <w:rPr>
          <w:rFonts w:ascii="Arial" w:hAnsi="Arial" w:cs="Arial"/>
          <w:sz w:val="22"/>
          <w:szCs w:val="22"/>
          <w:shd w:val="clear" w:color="auto" w:fill="E6E6E6"/>
          <w:lang w:val="es-MX" w:eastAsia="es-CO"/>
        </w:rPr>
      </w:pPr>
    </w:p>
    <w:p w:rsidR="00F33903" w:rsidP="001146AF" w:rsidRDefault="00F33903" w14:paraId="5A83C405" w14:textId="6B329F9D">
      <w:pPr>
        <w:rPr>
          <w:rFonts w:ascii="Arial" w:hAnsi="Arial" w:cs="Arial"/>
          <w:sz w:val="22"/>
          <w:szCs w:val="22"/>
          <w:shd w:val="clear" w:color="auto" w:fill="E6E6E6"/>
          <w:lang w:val="es-MX" w:eastAsia="es-CO"/>
        </w:rPr>
      </w:pPr>
    </w:p>
    <w:p w:rsidR="00F33903" w:rsidP="001146AF" w:rsidRDefault="00F33903" w14:paraId="1022320A" w14:textId="0F997607">
      <w:pPr>
        <w:rPr>
          <w:rFonts w:ascii="Arial" w:hAnsi="Arial" w:cs="Arial"/>
          <w:sz w:val="22"/>
          <w:szCs w:val="22"/>
          <w:shd w:val="clear" w:color="auto" w:fill="E6E6E6"/>
          <w:lang w:val="es-MX" w:eastAsia="es-CO"/>
        </w:rPr>
      </w:pPr>
    </w:p>
    <w:p w:rsidR="00F33903" w:rsidP="001146AF" w:rsidRDefault="00F33903" w14:paraId="0D51A118" w14:textId="2B1C397A">
      <w:pPr>
        <w:rPr>
          <w:rFonts w:ascii="Arial" w:hAnsi="Arial" w:cs="Arial"/>
          <w:sz w:val="22"/>
          <w:szCs w:val="22"/>
          <w:shd w:val="clear" w:color="auto" w:fill="E6E6E6"/>
          <w:lang w:val="es-MX" w:eastAsia="es-CO"/>
        </w:rPr>
      </w:pPr>
    </w:p>
    <w:p w:rsidR="00F33903" w:rsidP="001146AF" w:rsidRDefault="00F33903" w14:paraId="74D5D12A" w14:textId="145B9EBC">
      <w:pPr>
        <w:rPr>
          <w:rFonts w:ascii="Arial" w:hAnsi="Arial" w:cs="Arial"/>
          <w:sz w:val="22"/>
          <w:szCs w:val="22"/>
          <w:shd w:val="clear" w:color="auto" w:fill="E6E6E6"/>
          <w:lang w:val="es-MX" w:eastAsia="es-CO"/>
        </w:rPr>
      </w:pPr>
    </w:p>
    <w:p w:rsidR="00F33903" w:rsidP="001146AF" w:rsidRDefault="00F33903" w14:paraId="19E558A8" w14:textId="421AB657">
      <w:pPr>
        <w:rPr>
          <w:rFonts w:ascii="Arial" w:hAnsi="Arial" w:cs="Arial"/>
          <w:sz w:val="22"/>
          <w:szCs w:val="22"/>
          <w:shd w:val="clear" w:color="auto" w:fill="E6E6E6"/>
          <w:lang w:val="es-MX" w:eastAsia="es-CO"/>
        </w:rPr>
      </w:pPr>
    </w:p>
    <w:p w:rsidR="00F33903" w:rsidP="001146AF" w:rsidRDefault="00F33903" w14:paraId="15D20173" w14:textId="56DCDCD4">
      <w:pPr>
        <w:rPr>
          <w:rFonts w:ascii="Arial" w:hAnsi="Arial" w:cs="Arial"/>
          <w:sz w:val="22"/>
          <w:szCs w:val="22"/>
          <w:shd w:val="clear" w:color="auto" w:fill="E6E6E6"/>
          <w:lang w:val="es-MX" w:eastAsia="es-CO"/>
        </w:rPr>
      </w:pPr>
    </w:p>
    <w:p w:rsidR="00F33903" w:rsidP="001146AF" w:rsidRDefault="00F33903" w14:paraId="7210A4B4" w14:textId="64BB2257">
      <w:pPr>
        <w:rPr>
          <w:rFonts w:ascii="Arial" w:hAnsi="Arial" w:cs="Arial"/>
          <w:sz w:val="22"/>
          <w:szCs w:val="22"/>
          <w:shd w:val="clear" w:color="auto" w:fill="E6E6E6"/>
          <w:lang w:val="es-MX" w:eastAsia="es-CO"/>
        </w:rPr>
      </w:pPr>
    </w:p>
    <w:p w:rsidR="00F33903" w:rsidP="001146AF" w:rsidRDefault="00F33903" w14:paraId="7A2161A2" w14:textId="6F6DE31C">
      <w:pPr>
        <w:rPr>
          <w:rFonts w:ascii="Arial" w:hAnsi="Arial" w:cs="Arial"/>
          <w:sz w:val="22"/>
          <w:szCs w:val="22"/>
          <w:shd w:val="clear" w:color="auto" w:fill="E6E6E6"/>
          <w:lang w:val="es-MX" w:eastAsia="es-CO"/>
        </w:rPr>
      </w:pPr>
    </w:p>
    <w:p w:rsidR="00F33903" w:rsidP="001146AF" w:rsidRDefault="00F33903" w14:paraId="65AEAA59" w14:textId="35B9BF88">
      <w:pPr>
        <w:rPr>
          <w:rFonts w:ascii="Arial" w:hAnsi="Arial" w:cs="Arial"/>
          <w:sz w:val="22"/>
          <w:szCs w:val="22"/>
          <w:shd w:val="clear" w:color="auto" w:fill="E6E6E6"/>
          <w:lang w:val="es-MX" w:eastAsia="es-CO"/>
        </w:rPr>
      </w:pPr>
    </w:p>
    <w:p w:rsidR="00F33903" w:rsidP="001146AF" w:rsidRDefault="00F33903" w14:paraId="31F5A2BE" w14:textId="77777777">
      <w:pPr>
        <w:rPr>
          <w:rFonts w:ascii="Arial" w:hAnsi="Arial" w:cs="Arial"/>
          <w:sz w:val="22"/>
          <w:szCs w:val="22"/>
          <w:shd w:val="clear" w:color="auto" w:fill="E6E6E6"/>
          <w:lang w:val="es-MX" w:eastAsia="es-CO"/>
        </w:rPr>
      </w:pPr>
    </w:p>
    <w:p w:rsidR="005543BC" w:rsidP="001146AF" w:rsidRDefault="005543BC" w14:paraId="7D654FC1" w14:textId="4BD05268">
      <w:pPr>
        <w:rPr>
          <w:rFonts w:ascii="Arial" w:hAnsi="Arial" w:cs="Arial"/>
          <w:sz w:val="22"/>
          <w:szCs w:val="22"/>
          <w:shd w:val="clear" w:color="auto" w:fill="E6E6E6"/>
          <w:lang w:val="es-MX" w:eastAsia="es-CO"/>
        </w:rPr>
      </w:pPr>
    </w:p>
    <w:p w:rsidR="005543BC" w:rsidP="001146AF" w:rsidRDefault="005543BC" w14:paraId="11F640D1" w14:textId="77777777">
      <w:pPr>
        <w:rPr>
          <w:rFonts w:ascii="Arial" w:hAnsi="Arial" w:cs="Arial"/>
          <w:sz w:val="22"/>
          <w:szCs w:val="22"/>
          <w:shd w:val="clear" w:color="auto" w:fill="E6E6E6"/>
          <w:lang w:val="es-MX" w:eastAsia="es-CO"/>
        </w:rPr>
      </w:pPr>
    </w:p>
    <w:p w:rsidR="001146AF" w:rsidP="001146AF" w:rsidRDefault="001146AF" w14:paraId="40960B55" w14:textId="77777777">
      <w:pPr>
        <w:rPr>
          <w:rFonts w:ascii="Arial" w:hAnsi="Arial" w:cs="Arial"/>
          <w:sz w:val="22"/>
          <w:szCs w:val="22"/>
          <w:shd w:val="clear" w:color="auto" w:fill="E6E6E6"/>
          <w:lang w:val="es-MX" w:eastAsia="es-CO"/>
        </w:rPr>
      </w:pPr>
    </w:p>
    <w:p w:rsidRPr="00100A6F" w:rsidR="001146AF" w:rsidP="001146AF" w:rsidRDefault="001146AF" w14:paraId="573D9FE8" w14:textId="6C0E93CE">
      <w:pPr>
        <w:rPr>
          <w:rFonts w:ascii="Arial" w:hAnsi="Arial" w:eastAsia="Calibri" w:cs="Arial"/>
          <w:sz w:val="22"/>
          <w:szCs w:val="22"/>
        </w:rPr>
      </w:pPr>
      <w:r w:rsidRPr="00100A6F">
        <w:rPr>
          <w:rFonts w:ascii="Arial" w:hAnsi="Arial" w:eastAsia="Calibri" w:cs="Arial"/>
          <w:sz w:val="22"/>
          <w:szCs w:val="22"/>
        </w:rPr>
        <w:t>Bogotá D.C., </w:t>
      </w:r>
      <w:r w:rsidR="00DE7EBA">
        <w:rPr>
          <w:rFonts w:ascii="Arial" w:hAnsi="Arial" w:eastAsia="Calibri" w:cs="Arial"/>
          <w:sz w:val="22"/>
          <w:szCs w:val="22"/>
        </w:rPr>
        <w:t>17 de julio</w:t>
      </w:r>
      <w:r w:rsidRPr="00100A6F">
        <w:rPr>
          <w:rFonts w:ascii="Arial" w:hAnsi="Arial" w:eastAsia="Calibri" w:cs="Arial"/>
          <w:sz w:val="22"/>
          <w:szCs w:val="22"/>
        </w:rPr>
        <w:t xml:space="preserve"> de 2023</w:t>
      </w:r>
      <w:r w:rsidRPr="00100A6F">
        <w:rPr>
          <w:rFonts w:ascii="Arial" w:hAnsi="Arial" w:eastAsia="Calibri" w:cs="Arial"/>
          <w:sz w:val="22"/>
          <w:szCs w:val="22"/>
        </w:rPr>
        <w:tab/>
      </w:r>
    </w:p>
    <w:p w:rsidRPr="00781AC2" w:rsidR="001146AF" w:rsidP="001146AF" w:rsidRDefault="001146AF" w14:paraId="722C73ED" w14:textId="77777777">
      <w:pPr>
        <w:spacing w:line="276" w:lineRule="auto"/>
        <w:jc w:val="both"/>
        <w:rPr>
          <w:rFonts w:ascii="Arial" w:hAnsi="Arial" w:cs="Arial"/>
          <w:noProof/>
          <w:sz w:val="22"/>
          <w:lang w:val="es-ES_tradnl"/>
        </w:rPr>
      </w:pPr>
    </w:p>
    <w:p w:rsidR="00467536" w:rsidP="0D0CEEE3" w:rsidRDefault="00467536" w14:paraId="5615C002" w14:textId="1F361308">
      <w:pPr>
        <w:pStyle w:val="Normal"/>
      </w:pPr>
      <w:r w:rsidR="0D0CEEE3">
        <w:drawing>
          <wp:anchor distT="0" distB="0" distL="114300" distR="114300" simplePos="0" relativeHeight="251658240" behindDoc="0" locked="0" layoutInCell="1" allowOverlap="1" wp14:editId="3E5426B0" wp14:anchorId="54CD978F">
            <wp:simplePos x="0" y="0"/>
            <wp:positionH relativeFrom="column">
              <wp:align>right</wp:align>
            </wp:positionH>
            <wp:positionV relativeFrom="paragraph">
              <wp:posOffset>0</wp:posOffset>
            </wp:positionV>
            <wp:extent cx="2486025" cy="676275"/>
            <wp:effectExtent l="0" t="0" r="0" b="0"/>
            <wp:wrapSquare wrapText="bothSides"/>
            <wp:docPr id="1595907114" name="" title=""/>
            <wp:cNvGraphicFramePr>
              <a:graphicFrameLocks noChangeAspect="1"/>
            </wp:cNvGraphicFramePr>
            <a:graphic>
              <a:graphicData uri="http://schemas.openxmlformats.org/drawingml/2006/picture">
                <pic:pic>
                  <pic:nvPicPr>
                    <pic:cNvPr id="0" name=""/>
                    <pic:cNvPicPr/>
                  </pic:nvPicPr>
                  <pic:blipFill>
                    <a:blip r:embed="Rd546b7049c164136">
                      <a:extLst>
                        <a:ext xmlns:a="http://schemas.openxmlformats.org/drawingml/2006/main" uri="{28A0092B-C50C-407E-A947-70E740481C1C}">
                          <a14:useLocalDpi val="0"/>
                        </a:ext>
                      </a:extLst>
                    </a:blip>
                    <a:stretch>
                      <a:fillRect/>
                    </a:stretch>
                  </pic:blipFill>
                  <pic:spPr>
                    <a:xfrm>
                      <a:off x="0" y="0"/>
                      <a:ext cx="2486025" cy="676275"/>
                    </a:xfrm>
                    <a:prstGeom prst="rect">
                      <a:avLst/>
                    </a:prstGeom>
                  </pic:spPr>
                </pic:pic>
              </a:graphicData>
            </a:graphic>
            <wp14:sizeRelH relativeFrom="page">
              <wp14:pctWidth>0</wp14:pctWidth>
            </wp14:sizeRelH>
            <wp14:sizeRelV relativeFrom="page">
              <wp14:pctHeight>0</wp14:pctHeight>
            </wp14:sizeRelV>
          </wp:anchor>
        </w:drawing>
      </w:r>
    </w:p>
    <w:p w:rsidRPr="00467536" w:rsidR="00467536" w:rsidP="00467536" w:rsidRDefault="00467536" w14:paraId="0ABD37D4" w14:textId="2B758255">
      <w:pPr>
        <w:rPr>
          <w:rFonts w:ascii="Arial" w:hAnsi="Arial" w:eastAsia="Calibri" w:cs="Arial"/>
          <w:sz w:val="22"/>
          <w:szCs w:val="22"/>
          <w:lang w:val="es-ES"/>
        </w:rPr>
      </w:pPr>
      <w:r w:rsidRPr="00467536">
        <w:rPr>
          <w:rFonts w:ascii="Arial" w:hAnsi="Arial" w:eastAsia="Calibri" w:cs="Arial"/>
          <w:sz w:val="22"/>
          <w:szCs w:val="22"/>
          <w:lang w:val="es-ES"/>
        </w:rPr>
        <w:t>Señora</w:t>
      </w:r>
    </w:p>
    <w:p w:rsidRPr="00467536" w:rsidR="00467536" w:rsidP="00467536" w:rsidRDefault="00DE7EBA" w14:paraId="18137A3D" w14:textId="4ED0A486">
      <w:pPr>
        <w:rPr>
          <w:rFonts w:ascii="Arial" w:hAnsi="Arial" w:eastAsia="Calibri" w:cs="Arial"/>
          <w:b/>
          <w:sz w:val="22"/>
          <w:szCs w:val="22"/>
          <w:lang w:val="es-ES"/>
        </w:rPr>
      </w:pPr>
      <w:r>
        <w:rPr>
          <w:rFonts w:ascii="Arial" w:hAnsi="Arial" w:eastAsia="Calibri" w:cs="Arial"/>
          <w:b/>
          <w:sz w:val="22"/>
          <w:szCs w:val="22"/>
          <w:lang w:val="es-ES"/>
        </w:rPr>
        <w:t xml:space="preserve">Sandra Milena </w:t>
      </w:r>
      <w:proofErr w:type="spellStart"/>
      <w:r>
        <w:rPr>
          <w:rFonts w:ascii="Arial" w:hAnsi="Arial" w:eastAsia="Calibri" w:cs="Arial"/>
          <w:b/>
          <w:sz w:val="22"/>
          <w:szCs w:val="22"/>
          <w:lang w:val="es-ES"/>
        </w:rPr>
        <w:t>Sanjuan</w:t>
      </w:r>
      <w:proofErr w:type="spellEnd"/>
      <w:r>
        <w:rPr>
          <w:rFonts w:ascii="Arial" w:hAnsi="Arial" w:eastAsia="Calibri" w:cs="Arial"/>
          <w:b/>
          <w:sz w:val="22"/>
          <w:szCs w:val="22"/>
          <w:lang w:val="es-ES"/>
        </w:rPr>
        <w:t xml:space="preserve"> Acero</w:t>
      </w:r>
    </w:p>
    <w:p w:rsidRPr="00781AC2" w:rsidR="001146AF" w:rsidP="00467536" w:rsidRDefault="00DE7EBA" w14:paraId="3E28D248" w14:textId="3F4DC226">
      <w:pPr>
        <w:rPr>
          <w:rFonts w:ascii="Arial" w:hAnsi="Arial" w:eastAsia="Calibri" w:cs="Arial"/>
          <w:sz w:val="22"/>
          <w:lang w:val="es-ES_tradnl"/>
        </w:rPr>
      </w:pPr>
      <w:r>
        <w:rPr>
          <w:rFonts w:ascii="Arial" w:hAnsi="Arial" w:eastAsia="Calibri" w:cs="Arial"/>
          <w:sz w:val="22"/>
          <w:szCs w:val="22"/>
          <w:lang w:val="es-ES"/>
        </w:rPr>
        <w:t>Bogotá</w:t>
      </w:r>
    </w:p>
    <w:p w:rsidRPr="00781AC2" w:rsidR="001146AF" w:rsidP="00DE7EBA" w:rsidRDefault="00DE7EBA" w14:paraId="3F17EE72" w14:textId="47E12770">
      <w:pPr>
        <w:ind w:left="2832"/>
        <w:rPr>
          <w:rFonts w:ascii="Arial" w:hAnsi="Arial" w:eastAsia="Calibri" w:cs="Arial"/>
          <w:b/>
          <w:bCs/>
          <w:sz w:val="22"/>
          <w:szCs w:val="22"/>
          <w:lang w:val="es-ES"/>
        </w:rPr>
      </w:pPr>
      <w:r>
        <w:rPr>
          <w:rFonts w:ascii="Arial" w:hAnsi="Arial" w:eastAsia="Calibri" w:cs="Arial"/>
          <w:b/>
          <w:bCs/>
          <w:sz w:val="22"/>
          <w:szCs w:val="22"/>
          <w:lang w:val="es-ES"/>
        </w:rPr>
        <w:t xml:space="preserve">  </w:t>
      </w:r>
      <w:r w:rsidRPr="00781AC2" w:rsidR="001146AF">
        <w:rPr>
          <w:rFonts w:ascii="Arial" w:hAnsi="Arial" w:eastAsia="Calibri" w:cs="Arial"/>
          <w:b/>
          <w:bCs/>
          <w:sz w:val="22"/>
          <w:szCs w:val="22"/>
          <w:lang w:val="es-ES"/>
        </w:rPr>
        <w:t xml:space="preserve">Concepto </w:t>
      </w:r>
      <w:r w:rsidRPr="00736599" w:rsidR="001146AF">
        <w:rPr>
          <w:rFonts w:ascii="Arial" w:hAnsi="Arial" w:eastAsia="Calibri" w:cs="Arial"/>
          <w:b/>
          <w:bCs/>
          <w:sz w:val="22"/>
          <w:szCs w:val="22"/>
          <w:lang w:val="es-ES"/>
        </w:rPr>
        <w:t>C</w:t>
      </w:r>
      <w:r w:rsidRPr="00100A6F" w:rsidR="001146AF">
        <w:rPr>
          <w:rFonts w:ascii="Arial" w:hAnsi="Arial" w:eastAsia="Calibri" w:cs="Arial"/>
          <w:b/>
          <w:sz w:val="22"/>
          <w:lang w:val="es-ES_tradnl"/>
        </w:rPr>
        <w:t>-</w:t>
      </w:r>
      <w:r>
        <w:rPr>
          <w:rFonts w:ascii="Arial" w:hAnsi="Arial" w:eastAsia="Calibri" w:cs="Arial"/>
          <w:b/>
          <w:sz w:val="22"/>
          <w:lang w:val="es-ES_tradnl"/>
        </w:rPr>
        <w:t>284</w:t>
      </w:r>
      <w:r w:rsidRPr="00781AC2" w:rsidR="001146AF">
        <w:rPr>
          <w:rFonts w:ascii="Arial" w:hAnsi="Arial" w:eastAsia="Calibri" w:cs="Arial"/>
          <w:b/>
          <w:bCs/>
          <w:sz w:val="22"/>
          <w:szCs w:val="22"/>
          <w:lang w:val="es-ES"/>
        </w:rPr>
        <w:t xml:space="preserve"> de 2023</w:t>
      </w:r>
    </w:p>
    <w:p w:rsidRPr="00781AC2" w:rsidR="001146AF" w:rsidP="001146AF" w:rsidRDefault="001146AF" w14:paraId="14236089" w14:textId="77777777">
      <w:pPr>
        <w:jc w:val="both"/>
        <w:rPr>
          <w:rFonts w:ascii="Arial" w:hAnsi="Arial" w:eastAsia="Calibri" w:cs="Arial"/>
          <w:sz w:val="22"/>
          <w:lang w:val="es-ES_tradnl"/>
        </w:rPr>
      </w:pPr>
    </w:p>
    <w:tbl>
      <w:tblPr>
        <w:tblStyle w:val="Tablaconcuadrcula"/>
        <w:tblW w:w="807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838"/>
        <w:gridCol w:w="6237"/>
      </w:tblGrid>
      <w:tr w:rsidRPr="00781AC2" w:rsidR="001146AF" w:rsidTr="001C5997" w14:paraId="12C44119" w14:textId="77777777">
        <w:trPr>
          <w:jc w:val="right"/>
        </w:trPr>
        <w:tc>
          <w:tcPr>
            <w:tcW w:w="1838" w:type="dxa"/>
          </w:tcPr>
          <w:p w:rsidRPr="00781AC2" w:rsidR="001146AF" w:rsidP="001C5997" w:rsidRDefault="001146AF" w14:paraId="2C3B286F" w14:textId="77777777">
            <w:pPr>
              <w:jc w:val="center"/>
              <w:rPr>
                <w:rFonts w:ascii="Arial" w:hAnsi="Arial" w:eastAsia="Calibri" w:cs="Arial"/>
                <w:sz w:val="22"/>
                <w:lang w:val="es-ES_tradnl"/>
              </w:rPr>
            </w:pPr>
            <w:r w:rsidRPr="00781AC2">
              <w:rPr>
                <w:rFonts w:ascii="Arial" w:hAnsi="Arial" w:eastAsia="Calibri" w:cs="Arial"/>
                <w:b/>
                <w:sz w:val="22"/>
                <w:lang w:val="es-ES_tradnl"/>
              </w:rPr>
              <w:t>Temas:</w:t>
            </w:r>
          </w:p>
        </w:tc>
        <w:tc>
          <w:tcPr>
            <w:tcW w:w="6237" w:type="dxa"/>
          </w:tcPr>
          <w:p w:rsidRPr="00FA09A6" w:rsidR="00FA09A6" w:rsidP="00FA09A6" w:rsidRDefault="00275AFB" w14:paraId="4494E11E" w14:textId="4995E182">
            <w:pPr>
              <w:jc w:val="both"/>
              <w:rPr>
                <w:rFonts w:ascii="Arial" w:hAnsi="Arial" w:eastAsia="Calibri" w:cs="Arial"/>
                <w:bCs/>
                <w:sz w:val="22"/>
                <w:lang w:val="es-ES_tradnl"/>
              </w:rPr>
            </w:pPr>
            <w:r w:rsidRPr="00275AFB">
              <w:rPr>
                <w:rFonts w:ascii="Arial" w:hAnsi="Arial" w:eastAsia="Calibri" w:cs="Arial"/>
                <w:sz w:val="22"/>
                <w:szCs w:val="22"/>
              </w:rPr>
              <w:t xml:space="preserve">PUBLICIDAD </w:t>
            </w:r>
            <w:r w:rsidRPr="00FA09A6">
              <w:rPr>
                <w:rFonts w:ascii="Arial" w:hAnsi="Arial" w:eastAsia="Calibri" w:cs="Arial"/>
                <w:sz w:val="22"/>
                <w:szCs w:val="22"/>
              </w:rPr>
              <w:t xml:space="preserve">– Transparencia – Ley 1712 de 2014 – Divulgación proactiva </w:t>
            </w:r>
            <w:r w:rsidRPr="00FA09A6" w:rsidR="001146AF">
              <w:rPr>
                <w:rFonts w:ascii="Arial" w:hAnsi="Arial" w:eastAsia="Calibri" w:cs="Arial"/>
                <w:sz w:val="22"/>
                <w:lang w:val="es-ES_tradnl"/>
              </w:rPr>
              <w:t>/</w:t>
            </w:r>
            <w:r w:rsidRPr="00FA09A6" w:rsidR="00FA09A6">
              <w:rPr>
                <w:rFonts w:ascii="Arial" w:hAnsi="Arial" w:eastAsia="Calibri" w:cs="Arial"/>
                <w:bCs/>
                <w:sz w:val="22"/>
                <w:lang w:val="es-ES_tradnl"/>
              </w:rPr>
              <w:t xml:space="preserve"> </w:t>
            </w:r>
            <w:r w:rsidRPr="00FA09A6" w:rsidR="00FA09A6">
              <w:rPr>
                <w:rFonts w:ascii="Arial" w:hAnsi="Arial" w:cs="Arial"/>
                <w:bCs/>
                <w:sz w:val="22"/>
                <w:lang w:val="es-ES_tradnl"/>
              </w:rPr>
              <w:t>DOCUMENTOS DEL PROCESO – Noción – Deber de publicación – Proceso de contratación</w:t>
            </w:r>
            <w:r w:rsidR="00FA09A6">
              <w:rPr>
                <w:rFonts w:ascii="Arial" w:hAnsi="Arial" w:cs="Arial"/>
                <w:bCs/>
                <w:sz w:val="22"/>
                <w:lang w:val="es-ES_tradnl"/>
              </w:rPr>
              <w:t xml:space="preserve"> / </w:t>
            </w:r>
            <w:r w:rsidRPr="00FA09A6" w:rsidR="00FA09A6">
              <w:rPr>
                <w:rFonts w:ascii="Arial" w:hAnsi="Arial" w:eastAsia="Calibri" w:cs="Arial"/>
                <w:bCs/>
                <w:sz w:val="22"/>
                <w:lang w:val="es-ES_tradnl"/>
              </w:rPr>
              <w:t xml:space="preserve">PUBLICIDAD – Transparencia </w:t>
            </w:r>
            <w:r w:rsidRPr="00FA09A6" w:rsidR="00FA09A6">
              <w:rPr>
                <w:rFonts w:ascii="Arial" w:hAnsi="Arial" w:eastAsia="Arial" w:cs="Arial"/>
                <w:bCs/>
                <w:sz w:val="22"/>
                <w:lang w:val="es-ES_tradnl"/>
              </w:rPr>
              <w:t>–</w:t>
            </w:r>
            <w:r w:rsidRPr="00FA09A6" w:rsidR="00FA09A6">
              <w:rPr>
                <w:rFonts w:ascii="Arial" w:hAnsi="Arial" w:eastAsia="Calibri" w:cs="Arial"/>
                <w:bCs/>
                <w:sz w:val="22"/>
                <w:lang w:val="es-ES_tradnl"/>
              </w:rPr>
              <w:t xml:space="preserve"> Ley 1712 de 2014 – Divulgación proactiva</w:t>
            </w:r>
            <w:r w:rsidR="00FA09A6">
              <w:rPr>
                <w:rFonts w:ascii="Arial" w:hAnsi="Arial" w:eastAsia="Calibri" w:cs="Arial"/>
                <w:bCs/>
                <w:sz w:val="22"/>
                <w:lang w:val="es-ES_tradnl"/>
              </w:rPr>
              <w:t>.</w:t>
            </w:r>
          </w:p>
          <w:p w:rsidRPr="00457B9C" w:rsidR="001146AF" w:rsidP="00FA09A6" w:rsidRDefault="001146AF" w14:paraId="748AFACB" w14:textId="69BCA97D">
            <w:pPr>
              <w:jc w:val="both"/>
              <w:rPr>
                <w:rFonts w:ascii="Arial" w:hAnsi="Arial" w:eastAsia="Calibri" w:cs="Arial"/>
                <w:bCs/>
                <w:sz w:val="22"/>
                <w:lang w:val="es-ES_tradnl"/>
              </w:rPr>
            </w:pPr>
          </w:p>
        </w:tc>
      </w:tr>
      <w:tr w:rsidRPr="00736599" w:rsidR="001146AF" w:rsidTr="001C5997" w14:paraId="707CDBC0" w14:textId="77777777">
        <w:trPr>
          <w:jc w:val="right"/>
        </w:trPr>
        <w:tc>
          <w:tcPr>
            <w:tcW w:w="1838" w:type="dxa"/>
          </w:tcPr>
          <w:p w:rsidRPr="00736599" w:rsidR="001146AF" w:rsidP="001C5997" w:rsidRDefault="001146AF" w14:paraId="0E021F99" w14:textId="77777777">
            <w:pPr>
              <w:spacing w:before="120"/>
              <w:jc w:val="center"/>
              <w:rPr>
                <w:rFonts w:ascii="Arial" w:hAnsi="Arial" w:eastAsia="Calibri" w:cs="Arial"/>
                <w:b/>
                <w:sz w:val="22"/>
                <w:szCs w:val="22"/>
                <w:lang w:val="es-ES"/>
              </w:rPr>
            </w:pPr>
            <w:r w:rsidRPr="00736599">
              <w:rPr>
                <w:rFonts w:ascii="Arial" w:hAnsi="Arial" w:eastAsia="Calibri" w:cs="Arial"/>
                <w:b/>
                <w:sz w:val="22"/>
                <w:szCs w:val="22"/>
                <w:lang w:val="es-ES"/>
              </w:rPr>
              <w:t>Radicación:</w:t>
            </w:r>
          </w:p>
        </w:tc>
        <w:tc>
          <w:tcPr>
            <w:tcW w:w="6237" w:type="dxa"/>
          </w:tcPr>
          <w:p w:rsidRPr="00781AC2" w:rsidR="001146AF" w:rsidP="001C5997" w:rsidRDefault="001146AF" w14:paraId="0282D6F3" w14:textId="4B96A88F">
            <w:pPr>
              <w:spacing w:before="120"/>
              <w:jc w:val="both"/>
              <w:rPr>
                <w:rFonts w:ascii="Arial" w:hAnsi="Arial" w:eastAsia="Calibri" w:cs="Arial"/>
                <w:sz w:val="22"/>
                <w:szCs w:val="22"/>
                <w:lang w:val="es-ES"/>
              </w:rPr>
            </w:pPr>
            <w:r w:rsidRPr="00781AC2">
              <w:rPr>
                <w:rFonts w:ascii="Arial" w:hAnsi="Arial" w:eastAsia="Calibri" w:cs="Arial"/>
                <w:sz w:val="22"/>
                <w:szCs w:val="22"/>
                <w:lang w:val="es-ES"/>
              </w:rPr>
              <w:t xml:space="preserve">Respuesta a consulta </w:t>
            </w:r>
            <w:r w:rsidRPr="00DE7EBA" w:rsidR="00DE7EBA">
              <w:rPr>
                <w:rFonts w:ascii="Arial" w:hAnsi="Arial" w:eastAsia="Calibri" w:cs="Arial"/>
                <w:sz w:val="22"/>
                <w:szCs w:val="22"/>
                <w:lang w:val="es-ES"/>
              </w:rPr>
              <w:t>P20230602011981</w:t>
            </w:r>
            <w:r w:rsidRPr="005543BC" w:rsidR="005543BC">
              <w:rPr>
                <w:rFonts w:ascii="Arial" w:hAnsi="Arial" w:eastAsia="Calibri" w:cs="Arial"/>
                <w:sz w:val="22"/>
                <w:szCs w:val="22"/>
                <w:lang w:val="es-ES"/>
              </w:rPr>
              <w:tab/>
            </w:r>
          </w:p>
        </w:tc>
      </w:tr>
    </w:tbl>
    <w:p w:rsidRPr="00736599" w:rsidR="001146AF" w:rsidP="001146AF" w:rsidRDefault="001146AF" w14:paraId="01074CCB" w14:textId="77777777">
      <w:pPr>
        <w:jc w:val="both"/>
        <w:rPr>
          <w:rFonts w:ascii="Arial" w:hAnsi="Arial" w:eastAsia="Calibri" w:cs="Arial"/>
          <w:sz w:val="22"/>
          <w:szCs w:val="22"/>
          <w:lang w:val="es-ES"/>
        </w:rPr>
      </w:pPr>
    </w:p>
    <w:p w:rsidRPr="00781AC2" w:rsidR="001146AF" w:rsidP="001146AF" w:rsidRDefault="001146AF" w14:paraId="1019AB7D" w14:textId="77777777">
      <w:pPr>
        <w:jc w:val="both"/>
        <w:rPr>
          <w:rFonts w:ascii="Arial" w:hAnsi="Arial" w:eastAsia="Calibri" w:cs="Arial"/>
          <w:sz w:val="22"/>
          <w:lang w:val="es-ES_tradnl"/>
        </w:rPr>
      </w:pPr>
    </w:p>
    <w:p w:rsidRPr="00781AC2" w:rsidR="001146AF" w:rsidP="001146AF" w:rsidRDefault="001146AF" w14:paraId="43D4A68A" w14:textId="2CF2FA9B">
      <w:pPr>
        <w:jc w:val="both"/>
        <w:rPr>
          <w:rFonts w:ascii="Arial" w:hAnsi="Arial" w:eastAsia="Calibri" w:cs="Arial"/>
          <w:bCs/>
          <w:sz w:val="22"/>
          <w:lang w:val="es-ES_tradnl"/>
        </w:rPr>
      </w:pPr>
      <w:r>
        <w:rPr>
          <w:rFonts w:ascii="Arial" w:hAnsi="Arial" w:eastAsia="Calibri" w:cs="Arial"/>
          <w:sz w:val="22"/>
          <w:lang w:val="es-ES_tradnl"/>
        </w:rPr>
        <w:t>Estimad</w:t>
      </w:r>
      <w:r w:rsidR="005543BC">
        <w:rPr>
          <w:rFonts w:ascii="Arial" w:hAnsi="Arial" w:eastAsia="Calibri" w:cs="Arial"/>
          <w:sz w:val="22"/>
          <w:lang w:val="es-ES_tradnl"/>
        </w:rPr>
        <w:t>a</w:t>
      </w:r>
      <w:r w:rsidRPr="00781AC2">
        <w:rPr>
          <w:rFonts w:ascii="Arial" w:hAnsi="Arial" w:eastAsia="Calibri" w:cs="Arial"/>
          <w:sz w:val="22"/>
          <w:lang w:val="es-ES_tradnl"/>
        </w:rPr>
        <w:t xml:space="preserve"> señor</w:t>
      </w:r>
      <w:r w:rsidR="005543BC">
        <w:rPr>
          <w:rFonts w:ascii="Arial" w:hAnsi="Arial" w:eastAsia="Calibri" w:cs="Arial"/>
          <w:sz w:val="22"/>
          <w:lang w:val="es-ES_tradnl"/>
        </w:rPr>
        <w:t>a</w:t>
      </w:r>
      <w:r w:rsidRPr="00781AC2">
        <w:rPr>
          <w:rFonts w:ascii="Arial" w:hAnsi="Arial" w:eastAsia="Calibri" w:cs="Arial"/>
          <w:sz w:val="22"/>
          <w:lang w:val="es-ES_tradnl"/>
        </w:rPr>
        <w:t xml:space="preserve"> </w:t>
      </w:r>
      <w:r w:rsidR="005543BC">
        <w:rPr>
          <w:rFonts w:ascii="Arial" w:hAnsi="Arial" w:eastAsia="Calibri" w:cs="Arial"/>
          <w:sz w:val="22"/>
          <w:lang w:val="es-ES_tradnl"/>
        </w:rPr>
        <w:t>Patricia Patiño</w:t>
      </w:r>
      <w:r w:rsidRPr="00781AC2">
        <w:rPr>
          <w:rFonts w:ascii="Arial" w:hAnsi="Arial" w:eastAsia="Calibri" w:cs="Arial"/>
          <w:bCs/>
          <w:sz w:val="22"/>
          <w:lang w:val="es-ES_tradnl"/>
        </w:rPr>
        <w:t>:</w:t>
      </w:r>
    </w:p>
    <w:p w:rsidRPr="00781AC2" w:rsidR="001146AF" w:rsidP="001146AF" w:rsidRDefault="001146AF" w14:paraId="5005D017" w14:textId="77777777">
      <w:pPr>
        <w:jc w:val="both"/>
        <w:rPr>
          <w:rFonts w:ascii="Arial" w:hAnsi="Arial" w:eastAsia="Calibri" w:cs="Arial"/>
          <w:sz w:val="22"/>
          <w:lang w:val="es-ES_tradnl"/>
        </w:rPr>
      </w:pPr>
    </w:p>
    <w:p w:rsidRPr="00781AC2" w:rsidR="001146AF" w:rsidP="001146AF" w:rsidRDefault="001146AF" w14:paraId="0A0CDD52" w14:textId="0FD493A8">
      <w:pPr>
        <w:spacing w:line="276" w:lineRule="auto"/>
        <w:jc w:val="both"/>
        <w:rPr>
          <w:rFonts w:ascii="Arial" w:hAnsi="Arial" w:eastAsia="Calibri" w:cs="Arial"/>
          <w:sz w:val="22"/>
          <w:szCs w:val="22"/>
          <w:lang w:val="es-ES"/>
        </w:rPr>
      </w:pPr>
      <w:r w:rsidRPr="00781AC2">
        <w:rPr>
          <w:rFonts w:ascii="Arial" w:hAnsi="Arial" w:eastAsia="Calibri" w:cs="Arial"/>
          <w:sz w:val="22"/>
          <w:szCs w:val="22"/>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DE7EBA">
        <w:rPr>
          <w:rFonts w:ascii="Arial" w:hAnsi="Arial" w:eastAsia="Calibri" w:cs="Arial"/>
          <w:sz w:val="22"/>
          <w:szCs w:val="22"/>
          <w:lang w:val="es-ES"/>
        </w:rPr>
        <w:t>2 de junio</w:t>
      </w:r>
      <w:r>
        <w:rPr>
          <w:rFonts w:ascii="Arial" w:hAnsi="Arial" w:eastAsia="Calibri" w:cs="Arial"/>
          <w:sz w:val="22"/>
          <w:szCs w:val="22"/>
          <w:lang w:val="es-ES"/>
        </w:rPr>
        <w:t xml:space="preserve"> de 2023</w:t>
      </w:r>
      <w:r w:rsidR="00DE7EBA">
        <w:rPr>
          <w:rFonts w:ascii="Arial" w:hAnsi="Arial" w:eastAsia="Calibri" w:cs="Arial"/>
          <w:sz w:val="22"/>
          <w:szCs w:val="22"/>
          <w:lang w:val="es-ES"/>
        </w:rPr>
        <w:t>.</w:t>
      </w:r>
    </w:p>
    <w:p w:rsidRPr="00781AC2" w:rsidR="001146AF" w:rsidP="001146AF" w:rsidRDefault="001146AF" w14:paraId="2A9359E6" w14:textId="77777777">
      <w:pPr>
        <w:spacing w:line="276" w:lineRule="auto"/>
        <w:jc w:val="both"/>
        <w:rPr>
          <w:rFonts w:ascii="Arial" w:hAnsi="Arial" w:eastAsia="Calibri" w:cs="Arial"/>
          <w:b/>
          <w:sz w:val="22"/>
          <w:lang w:val="es-ES_tradnl"/>
        </w:rPr>
      </w:pPr>
    </w:p>
    <w:p w:rsidRPr="00781AC2" w:rsidR="001146AF" w:rsidP="001146AF" w:rsidRDefault="001146AF" w14:paraId="71EC8E7D" w14:textId="77777777">
      <w:pPr>
        <w:pStyle w:val="Prrafodelista"/>
        <w:numPr>
          <w:ilvl w:val="0"/>
          <w:numId w:val="4"/>
        </w:numPr>
        <w:tabs>
          <w:tab w:val="left" w:pos="0"/>
          <w:tab w:val="left" w:pos="142"/>
          <w:tab w:val="left" w:pos="284"/>
        </w:tabs>
        <w:spacing w:line="276" w:lineRule="auto"/>
        <w:ind w:left="0" w:firstLine="0"/>
        <w:jc w:val="both"/>
        <w:rPr>
          <w:rFonts w:ascii="Arial" w:hAnsi="Arial" w:eastAsia="Calibri" w:cs="Arial"/>
          <w:b/>
          <w:sz w:val="22"/>
          <w:lang w:val="es-ES_tradnl"/>
        </w:rPr>
      </w:pPr>
      <w:r w:rsidRPr="00781AC2">
        <w:rPr>
          <w:rFonts w:ascii="Arial" w:hAnsi="Arial" w:eastAsia="Calibri" w:cs="Arial"/>
          <w:b/>
          <w:sz w:val="22"/>
          <w:lang w:val="es-ES_tradnl"/>
        </w:rPr>
        <w:t xml:space="preserve">Problema planteado </w:t>
      </w:r>
    </w:p>
    <w:p w:rsidR="005543BC" w:rsidP="001146AF" w:rsidRDefault="005543BC" w14:paraId="79963F13" w14:textId="73006A0B">
      <w:pPr>
        <w:ind w:right="851"/>
        <w:jc w:val="both"/>
        <w:rPr>
          <w:rFonts w:ascii="Arial" w:hAnsi="Arial" w:cs="Arial"/>
          <w:sz w:val="22"/>
          <w:lang w:val="es-ES_tradnl"/>
        </w:rPr>
      </w:pPr>
    </w:p>
    <w:p w:rsidRPr="00DE7EBA" w:rsidR="005543BC" w:rsidP="00DE7EBA" w:rsidRDefault="005543BC" w14:paraId="2CF95232" w14:textId="1AFFBCE2">
      <w:pPr>
        <w:autoSpaceDE w:val="0"/>
        <w:autoSpaceDN w:val="0"/>
        <w:adjustRightInd w:val="0"/>
        <w:ind w:left="708" w:right="850"/>
        <w:jc w:val="both"/>
        <w:rPr>
          <w:rFonts w:ascii="Arial" w:hAnsi="Arial" w:cs="Arial" w:eastAsiaTheme="minorHAnsi"/>
          <w:sz w:val="21"/>
          <w:szCs w:val="21"/>
          <w:lang w:eastAsia="en-US"/>
        </w:rPr>
      </w:pPr>
      <w:r>
        <w:rPr>
          <w:rFonts w:ascii="Arial" w:hAnsi="Arial" w:cs="Arial" w:eastAsiaTheme="minorHAnsi"/>
          <w:sz w:val="21"/>
          <w:szCs w:val="21"/>
          <w:lang w:eastAsia="en-US"/>
        </w:rPr>
        <w:t>“</w:t>
      </w:r>
      <w:r w:rsidR="00DE7EBA">
        <w:rPr>
          <w:rFonts w:ascii="Arial" w:hAnsi="Arial" w:cs="Arial" w:eastAsiaTheme="minorHAnsi"/>
          <w:sz w:val="21"/>
          <w:szCs w:val="21"/>
          <w:lang w:eastAsia="en-US"/>
        </w:rPr>
        <w:t>I</w:t>
      </w:r>
      <w:r w:rsidRPr="00DE7EBA" w:rsidR="00DE7EBA">
        <w:rPr>
          <w:rFonts w:ascii="Arial" w:hAnsi="Arial" w:cs="Arial" w:eastAsiaTheme="minorHAnsi"/>
          <w:sz w:val="21"/>
          <w:szCs w:val="21"/>
          <w:lang w:eastAsia="en-US"/>
        </w:rPr>
        <w:t>ndicar si los informes de supervisión de un contrato sometido a la Ley 80 de 1993 se deben publicar en el SECOP I y II, y si les aplica el termino de 3 días hábiles posterior a su emisión para su correspondiente publicación de acuerdo con lo estable</w:t>
      </w:r>
      <w:r w:rsidR="00DE7EBA">
        <w:rPr>
          <w:rFonts w:ascii="Arial" w:hAnsi="Arial" w:cs="Arial" w:eastAsiaTheme="minorHAnsi"/>
          <w:sz w:val="21"/>
          <w:szCs w:val="21"/>
          <w:lang w:eastAsia="en-US"/>
        </w:rPr>
        <w:t>cido en el Decreto 1082 de 2015”.</w:t>
      </w:r>
    </w:p>
    <w:p w:rsidRPr="005543BC" w:rsidR="005543BC" w:rsidP="005543BC" w:rsidRDefault="005543BC" w14:paraId="59EB387B" w14:textId="77777777">
      <w:pPr>
        <w:ind w:right="851"/>
        <w:jc w:val="both"/>
        <w:rPr>
          <w:rFonts w:ascii="Arial" w:hAnsi="Arial" w:cs="Arial"/>
          <w:sz w:val="21"/>
          <w:szCs w:val="21"/>
          <w:lang w:val="es-ES_tradnl"/>
        </w:rPr>
      </w:pPr>
    </w:p>
    <w:p w:rsidRPr="00781AC2" w:rsidR="001146AF" w:rsidP="001146AF" w:rsidRDefault="001146AF" w14:paraId="295FBE35" w14:textId="77777777">
      <w:pPr>
        <w:pStyle w:val="Prrafodelista"/>
        <w:numPr>
          <w:ilvl w:val="0"/>
          <w:numId w:val="4"/>
        </w:numPr>
        <w:tabs>
          <w:tab w:val="left" w:pos="0"/>
          <w:tab w:val="left" w:pos="284"/>
        </w:tabs>
        <w:ind w:left="0" w:firstLine="0"/>
        <w:contextualSpacing w:val="0"/>
        <w:jc w:val="both"/>
        <w:rPr>
          <w:rFonts w:ascii="Arial" w:hAnsi="Arial" w:eastAsia="Calibri" w:cs="Arial"/>
          <w:b/>
          <w:sz w:val="22"/>
          <w:lang w:val="es-ES_tradnl"/>
        </w:rPr>
      </w:pPr>
      <w:r w:rsidRPr="00781AC2">
        <w:rPr>
          <w:rFonts w:ascii="Arial" w:hAnsi="Arial" w:eastAsia="Calibri" w:cs="Arial"/>
          <w:b/>
          <w:sz w:val="22"/>
          <w:lang w:val="es-ES_tradnl"/>
        </w:rPr>
        <w:t>Consideraciones</w:t>
      </w:r>
    </w:p>
    <w:p w:rsidRPr="00781AC2" w:rsidR="001146AF" w:rsidP="001146AF" w:rsidRDefault="001146AF" w14:paraId="5910C720" w14:textId="77777777">
      <w:pPr>
        <w:pStyle w:val="Prrafodelista"/>
        <w:tabs>
          <w:tab w:val="left" w:pos="0"/>
          <w:tab w:val="left" w:pos="284"/>
        </w:tabs>
        <w:ind w:left="0"/>
        <w:contextualSpacing w:val="0"/>
        <w:jc w:val="both"/>
        <w:rPr>
          <w:rFonts w:ascii="Arial" w:hAnsi="Arial" w:eastAsia="Calibri" w:cs="Arial"/>
          <w:b/>
          <w:sz w:val="22"/>
          <w:lang w:val="es-ES_tradnl"/>
        </w:rPr>
      </w:pPr>
    </w:p>
    <w:p w:rsidR="001146AF" w:rsidP="005277EE" w:rsidRDefault="001146AF" w14:paraId="73B40897" w14:textId="2EDCB1EA">
      <w:pPr>
        <w:spacing w:after="120" w:line="276" w:lineRule="auto"/>
        <w:jc w:val="both"/>
        <w:rPr>
          <w:rFonts w:ascii="Arial" w:hAnsi="Arial" w:cs="Arial"/>
          <w:sz w:val="22"/>
          <w:szCs w:val="22"/>
        </w:rPr>
      </w:pPr>
      <w:r w:rsidRPr="00781AC2">
        <w:rPr>
          <w:rFonts w:ascii="Arial" w:hAnsi="Arial" w:cs="Arial"/>
          <w:sz w:val="22"/>
          <w:szCs w:val="22"/>
        </w:rPr>
        <w:t>En ejercicio de las competencias establecidas en los artículos 3</w:t>
      </w:r>
      <w:r w:rsidR="005277EE">
        <w:rPr>
          <w:rFonts w:ascii="Arial" w:hAnsi="Arial" w:cs="Arial"/>
          <w:sz w:val="22"/>
          <w:szCs w:val="22"/>
        </w:rPr>
        <w:t xml:space="preserve">, numeral </w:t>
      </w:r>
      <w:r w:rsidRPr="00781AC2">
        <w:rPr>
          <w:rFonts w:ascii="Arial" w:hAnsi="Arial" w:cs="Arial"/>
          <w:sz w:val="22"/>
          <w:szCs w:val="22"/>
        </w:rPr>
        <w:t>5</w:t>
      </w:r>
      <w:r w:rsidR="005277EE">
        <w:rPr>
          <w:rFonts w:ascii="Arial" w:hAnsi="Arial" w:cs="Arial"/>
          <w:sz w:val="22"/>
          <w:szCs w:val="22"/>
        </w:rPr>
        <w:t>°</w:t>
      </w:r>
      <w:r w:rsidRPr="00781AC2">
        <w:rPr>
          <w:rFonts w:ascii="Arial" w:hAnsi="Arial" w:cs="Arial"/>
          <w:sz w:val="22"/>
          <w:szCs w:val="22"/>
        </w:rPr>
        <w:t xml:space="preserve"> y 11</w:t>
      </w:r>
      <w:r w:rsidR="005277EE">
        <w:rPr>
          <w:rFonts w:ascii="Arial" w:hAnsi="Arial" w:cs="Arial"/>
          <w:sz w:val="22"/>
          <w:szCs w:val="22"/>
        </w:rPr>
        <w:t xml:space="preserve">, numeral </w:t>
      </w:r>
      <w:r w:rsidRPr="00781AC2">
        <w:rPr>
          <w:rFonts w:ascii="Arial" w:hAnsi="Arial" w:cs="Arial"/>
          <w:sz w:val="22"/>
          <w:szCs w:val="22"/>
        </w:rPr>
        <w:t>8</w:t>
      </w:r>
      <w:r w:rsidR="005277EE">
        <w:rPr>
          <w:rFonts w:ascii="Arial" w:hAnsi="Arial" w:cs="Arial"/>
          <w:sz w:val="22"/>
          <w:szCs w:val="22"/>
        </w:rPr>
        <w:t>°</w:t>
      </w:r>
      <w:r w:rsidRPr="00781AC2">
        <w:rPr>
          <w:rFonts w:ascii="Arial" w:hAnsi="Arial" w:cs="Arial"/>
          <w:sz w:val="22"/>
          <w:szCs w:val="22"/>
        </w:rPr>
        <w:t xml:space="preserve">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name="_Hlk61701014" w:id="4"/>
      <w:bookmarkStart w:name="_Hlk62136649" w:id="5"/>
      <w:r w:rsidRPr="00781AC2">
        <w:rPr>
          <w:rFonts w:ascii="Arial" w:hAnsi="Arial" w:cs="Arial"/>
          <w:sz w:val="22"/>
          <w:szCs w:val="22"/>
          <w:shd w:val="clear" w:color="auto" w:fill="E6E6E6"/>
        </w:rPr>
        <w:t xml:space="preserve"> </w:t>
      </w:r>
      <w:r w:rsidRPr="00781AC2">
        <w:rPr>
          <w:rFonts w:ascii="Arial" w:hAnsi="Arial" w:cs="Arial"/>
          <w:sz w:val="22"/>
          <w:szCs w:val="22"/>
          <w:lang w:val="es-ES"/>
        </w:rPr>
        <w:t xml:space="preserve">Es necesario tener en cuenta que </w:t>
      </w:r>
      <w:bookmarkStart w:name="_Hlk61026958" w:id="6"/>
      <w:r w:rsidRPr="00781AC2">
        <w:rPr>
          <w:rFonts w:ascii="Arial" w:hAnsi="Arial" w:cs="Arial"/>
          <w:sz w:val="22"/>
          <w:szCs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781AC2">
        <w:rPr>
          <w:rFonts w:ascii="Arial" w:hAnsi="Arial" w:cs="Arial"/>
          <w:sz w:val="22"/>
          <w:szCs w:val="22"/>
        </w:rPr>
        <w:t xml:space="preserve"> de todos los partícipes de la contratación estatal.</w:t>
      </w:r>
    </w:p>
    <w:p w:rsidR="001146AF" w:rsidP="005277EE" w:rsidRDefault="001146AF" w14:paraId="76FE6619" w14:textId="77777777">
      <w:pPr>
        <w:spacing w:after="120" w:line="276" w:lineRule="auto"/>
        <w:ind w:firstLine="709"/>
        <w:jc w:val="both"/>
        <w:rPr>
          <w:rFonts w:ascii="Arial" w:hAnsi="Arial" w:cs="Arial"/>
          <w:sz w:val="22"/>
          <w:szCs w:val="22"/>
          <w:lang w:val="es-ES"/>
        </w:rPr>
      </w:pPr>
      <w:r w:rsidRPr="00781AC2">
        <w:rPr>
          <w:rFonts w:ascii="Arial" w:hAnsi="Arial" w:cs="Arial"/>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781AC2">
        <w:rPr>
          <w:rFonts w:ascii="Arial" w:hAnsi="Arial" w:cs="Arial"/>
          <w:sz w:val="22"/>
          <w:szCs w:val="22"/>
          <w:vertAlign w:val="superscript"/>
          <w:lang w:val="es-ES"/>
        </w:rPr>
        <w:footnoteReference w:id="2"/>
      </w:r>
      <w:r w:rsidRPr="00781AC2">
        <w:rPr>
          <w:rFonts w:ascii="Arial" w:hAnsi="Arial" w:cs="Arial"/>
          <w:sz w:val="22"/>
          <w:szCs w:val="22"/>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6"/>
      <w:r w:rsidRPr="00781AC2">
        <w:rPr>
          <w:rFonts w:ascii="Arial" w:hAnsi="Arial" w:cs="Arial"/>
          <w:sz w:val="22"/>
          <w:szCs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4"/>
    </w:p>
    <w:bookmarkEnd w:id="5"/>
    <w:p w:rsidRPr="007D42D7" w:rsidR="007D42D7" w:rsidP="007D42D7" w:rsidRDefault="007D42D7" w14:paraId="7AFE9011" w14:textId="403F0560">
      <w:pPr>
        <w:spacing w:after="120" w:line="276" w:lineRule="auto"/>
        <w:ind w:firstLine="708"/>
        <w:jc w:val="both"/>
        <w:rPr>
          <w:rFonts w:ascii="Arial" w:hAnsi="Arial" w:cs="Arial"/>
          <w:sz w:val="22"/>
          <w:lang w:val="es-ES_tradnl"/>
        </w:rPr>
      </w:pPr>
      <w:r w:rsidRPr="007D42D7">
        <w:rPr>
          <w:rFonts w:ascii="Arial" w:hAnsi="Arial" w:eastAsia="Calibri" w:cs="Arial"/>
          <w:color w:val="000000" w:themeColor="text1"/>
          <w:sz w:val="22"/>
          <w:lang w:val="es-ES_tradnl"/>
        </w:rPr>
        <w:t>Sin perjuicio de lo anterior, la Agencia –dentro de los límites de sus atribuciones– resolverá la consulta conforme a las normas generales en materia de contratación estatal. Con este objetivo, p</w:t>
      </w:r>
      <w:r w:rsidRPr="007D42D7">
        <w:rPr>
          <w:rFonts w:ascii="Arial" w:hAnsi="Arial" w:cs="Arial"/>
          <w:sz w:val="22"/>
          <w:lang w:val="es-ES_tradnl"/>
        </w:rPr>
        <w:t xml:space="preserve">ara responder el anterior cuestionamiento relacionado con la aplicación de documentos tipo para la contratación de interventoría para la consultoría de estudios de ingeniería de infraestructura de transporte, se analizarán los siguientes temas: i) fundamento normativo de los documentos tipo adoptados hasta la actualidad; ii) el alcance de la regla de la inalterabilidad de los documentos tipo, y iii) </w:t>
      </w:r>
      <w:bookmarkStart w:name="_Hlk85536647" w:id="7"/>
      <w:r w:rsidRPr="007D42D7">
        <w:rPr>
          <w:rFonts w:ascii="Arial" w:hAnsi="Arial" w:cs="Arial"/>
          <w:sz w:val="22"/>
          <w:lang w:val="es-ES_tradnl"/>
        </w:rPr>
        <w:t>implementación y ámbito de aplicación de los documentos tipo para los procesos de selección de concurso de méritos, para contratar la interventoría de obras públicas de infraestructura de transporte.</w:t>
      </w:r>
      <w:bookmarkEnd w:id="7"/>
    </w:p>
    <w:p w:rsidRPr="00C928AE" w:rsidR="00F33903" w:rsidP="00F33903" w:rsidRDefault="00F33903" w14:paraId="4E1D3CE3" w14:textId="77777777">
      <w:pPr>
        <w:tabs>
          <w:tab w:val="left" w:pos="426"/>
        </w:tabs>
        <w:spacing w:after="120" w:line="276" w:lineRule="auto"/>
        <w:jc w:val="both"/>
        <w:rPr>
          <w:rFonts w:ascii="Arial" w:hAnsi="Arial" w:eastAsia="Calibri" w:cs="Arial"/>
          <w:sz w:val="22"/>
          <w:lang w:val="es-ES_tradnl"/>
        </w:rPr>
      </w:pPr>
      <w:r w:rsidRPr="00C928AE">
        <w:rPr>
          <w:rFonts w:ascii="Arial" w:hAnsi="Arial" w:eastAsia="Calibri" w:cs="Arial"/>
          <w:sz w:val="22"/>
          <w:lang w:val="es-ES_tradnl"/>
        </w:rPr>
        <w:t xml:space="preserve">La Agencia Nacional de Contratación Pública – Colombia Compra Eficiente ha tenido la oportunidad de estudiar en diferentes ocasiones los temas que se abordarán en el presente concepto, relacionados con la publicación de documentación contractual en las plataformas SECOP I y SECOP II. Por una parte, en el concepto con radicado No. 4201912000007253 del 4 de diciembre de 2019, reiterado en el concepto con radicado No. 4201912000007289 de la misma fecha, así como en el C-336 del 2 de junio de 2020, estudió la publicidad de los procedimientos contractuales en el SECOP I y SECOP II, respecto de entidades regidas por el Estatuto General de Contratación de la Administración Pública. En los conceptos C-046 del 19 de febrero de 2020, C-095 del 16 de marzo de 2020, C-197 del 26 de marzo de 2020, C-170 del 6 de abril de 2020, C-172 del 6 de abril de 2020, C-176  del 6 de abril de 2020, C-009 del 27 de abril de 2020, C-009 del 27 de abril de 2020 y C-015 del 29 de abril de 2020, se analizaron </w:t>
      </w:r>
      <w:r w:rsidRPr="00C928AE">
        <w:rPr>
          <w:rFonts w:ascii="Arial" w:hAnsi="Arial" w:eastAsia="Calibri" w:cs="Arial"/>
          <w:sz w:val="22"/>
          <w:lang w:val="es-ES_tradnl"/>
        </w:rPr>
        <w:t>temas como el SECOP I como medio de publicidad de las actuaciones contractuales, la naturaleza transaccional y obligatoriedad de SECOP II y los documentos que deben publicarse en estas plataformas. Finalmente, la materia se unificó en el concepto CU-367 del 23 de julio de 2020, el cual se reiterará a continuación.</w:t>
      </w:r>
    </w:p>
    <w:p w:rsidRPr="00C928AE" w:rsidR="00F33903" w:rsidP="00F33903" w:rsidRDefault="00F33903" w14:paraId="52B5C26E" w14:textId="4B247770">
      <w:pPr>
        <w:widowControl w:val="0"/>
        <w:tabs>
          <w:tab w:val="left" w:pos="728"/>
        </w:tabs>
        <w:autoSpaceDE w:val="0"/>
        <w:autoSpaceDN w:val="0"/>
        <w:spacing w:line="276" w:lineRule="auto"/>
        <w:ind w:firstLine="709"/>
        <w:jc w:val="both"/>
        <w:rPr>
          <w:rFonts w:ascii="Arial" w:hAnsi="Arial" w:eastAsia="Arial" w:cs="Arial"/>
          <w:sz w:val="22"/>
          <w:lang w:val="es-ES_tradnl"/>
        </w:rPr>
      </w:pPr>
      <w:r w:rsidRPr="00C928AE">
        <w:rPr>
          <w:rFonts w:ascii="Arial" w:hAnsi="Arial" w:eastAsia="Arial" w:cs="Arial"/>
          <w:sz w:val="22"/>
          <w:lang w:val="es-ES_tradnl"/>
        </w:rPr>
        <w:t xml:space="preserve">Para resolver su consulta relacionada con la publicidad en el SECOP, se hace necesario referirnos a varios aspectos, por lo que el presente concepto se ha dividido en los siguientes acápites: i) </w:t>
      </w:r>
      <w:r w:rsidRPr="00FA09A6" w:rsidR="00FA09A6">
        <w:rPr>
          <w:rFonts w:ascii="Arial" w:hAnsi="Arial" w:eastAsia="Arial" w:cs="Arial"/>
          <w:sz w:val="22"/>
          <w:lang w:val="es-ES_tradnl"/>
        </w:rPr>
        <w:t>Procedimientos contractuales y documentos que deben publicar en el SECOP las entidades estatales sometidas al Estatuto General de Contratación de la Administración Pública</w:t>
      </w:r>
      <w:r w:rsidRPr="00C928AE">
        <w:rPr>
          <w:rFonts w:ascii="Arial" w:hAnsi="Arial" w:eastAsia="Arial" w:cs="Arial"/>
          <w:sz w:val="22"/>
          <w:lang w:val="es-ES_tradnl"/>
        </w:rPr>
        <w:t>.</w:t>
      </w:r>
      <w:r w:rsidR="00FA09A6">
        <w:rPr>
          <w:rFonts w:ascii="Arial" w:hAnsi="Arial" w:eastAsia="Arial" w:cs="Arial"/>
          <w:sz w:val="22"/>
          <w:lang w:val="es-ES_tradnl"/>
        </w:rPr>
        <w:t xml:space="preserve"> </w:t>
      </w:r>
      <w:r w:rsidR="00FA09A6">
        <w:rPr>
          <w:rFonts w:ascii="Arial" w:hAnsi="Arial" w:eastAsia="Calibri" w:cs="Arial"/>
          <w:sz w:val="22"/>
          <w:szCs w:val="22"/>
          <w:lang w:val="es-ES"/>
        </w:rPr>
        <w:t xml:space="preserve">Las tesis expuestas en estos conceptos se reiteran a continuación y se complementan en lo pertinente, teniendo en cuenta </w:t>
      </w:r>
      <w:r w:rsidR="00FA09A6">
        <w:rPr>
          <w:rFonts w:ascii="Arial" w:hAnsi="Arial" w:eastAsia="Calibri" w:cs="Arial"/>
          <w:sz w:val="22"/>
          <w:szCs w:val="22"/>
          <w:lang w:val="es-ES"/>
        </w:rPr>
        <w:t>el interrogante planteado.</w:t>
      </w:r>
    </w:p>
    <w:p w:rsidRPr="00781AC2" w:rsidR="001146AF" w:rsidP="007D42D7" w:rsidRDefault="001146AF" w14:paraId="19B7C1D1" w14:textId="2E2FCE00">
      <w:pPr>
        <w:tabs>
          <w:tab w:val="left" w:pos="426"/>
        </w:tabs>
        <w:spacing w:after="120" w:line="276" w:lineRule="auto"/>
        <w:jc w:val="both"/>
        <w:rPr>
          <w:rFonts w:ascii="Arial" w:hAnsi="Arial" w:eastAsia="Calibri" w:cs="Arial"/>
          <w:sz w:val="22"/>
          <w:lang w:val="es-ES"/>
        </w:rPr>
      </w:pPr>
    </w:p>
    <w:p w:rsidRPr="00275AFB" w:rsidR="00275AFB" w:rsidP="00275AFB" w:rsidRDefault="00FA09A6" w14:paraId="2768A46F" w14:textId="1F6EA18E">
      <w:pPr>
        <w:spacing w:line="276" w:lineRule="auto"/>
        <w:jc w:val="both"/>
        <w:rPr>
          <w:rFonts w:ascii="Arial" w:hAnsi="Arial" w:eastAsia="Calibri" w:cs="Arial"/>
          <w:b/>
          <w:sz w:val="22"/>
          <w:lang w:val="es-ES_tradnl"/>
        </w:rPr>
      </w:pPr>
      <w:bookmarkStart w:name="_Hlk117695077" w:id="8"/>
      <w:r>
        <w:rPr>
          <w:rFonts w:ascii="Arial" w:hAnsi="Arial" w:eastAsia="Calibri" w:cs="Arial"/>
          <w:b/>
          <w:sz w:val="22"/>
          <w:lang w:val="es-ES_tradnl"/>
        </w:rPr>
        <w:t xml:space="preserve">2.1. </w:t>
      </w:r>
      <w:r w:rsidRPr="00275AFB" w:rsidR="00275AFB">
        <w:rPr>
          <w:rFonts w:ascii="Arial" w:hAnsi="Arial" w:eastAsia="Calibri" w:cs="Arial"/>
          <w:b/>
          <w:sz w:val="22"/>
          <w:lang w:val="es-ES_tradnl"/>
        </w:rPr>
        <w:t>Procedimientos contractuales y documentos que deben publicar en el SECOP las entidades estatales sometidas al Estatuto General de Contratación de la Administración Pública</w:t>
      </w:r>
    </w:p>
    <w:p w:rsidRPr="00275AFB" w:rsidR="00275AFB" w:rsidP="00275AFB" w:rsidRDefault="00275AFB" w14:paraId="7478FDF4" w14:textId="77777777">
      <w:pPr>
        <w:spacing w:line="276" w:lineRule="auto"/>
        <w:ind w:left="360"/>
        <w:contextualSpacing/>
        <w:jc w:val="both"/>
        <w:rPr>
          <w:rFonts w:ascii="Arial" w:hAnsi="Arial" w:cs="Arial"/>
          <w:b/>
          <w:sz w:val="22"/>
          <w:lang w:val="es-ES_tradnl"/>
        </w:rPr>
      </w:pPr>
    </w:p>
    <w:p w:rsidRPr="00275AFB" w:rsidR="00275AFB" w:rsidP="00275AFB" w:rsidRDefault="00275AFB" w14:paraId="60B377DB" w14:textId="77777777">
      <w:pPr>
        <w:spacing w:line="276" w:lineRule="auto"/>
        <w:contextualSpacing/>
        <w:jc w:val="both"/>
        <w:rPr>
          <w:rFonts w:ascii="Arial" w:hAnsi="Arial" w:cs="Arial"/>
          <w:sz w:val="22"/>
          <w:lang w:val="es-ES_tradnl"/>
        </w:rPr>
      </w:pPr>
      <w:r w:rsidRPr="00275AFB">
        <w:rPr>
          <w:rFonts w:ascii="Arial" w:hAnsi="Arial" w:cs="Arial"/>
          <w:sz w:val="22"/>
          <w:lang w:val="es-ES_tradnl"/>
        </w:rPr>
        <w:t>La Agencia Nacional de Contratación Pública ― Colombia Compra Eficiente, en el concepto con radicado No. 4201912000007253 del 4 de diciembre de 2019, reiterado en el concepto con radicado No. 4201912000007289 de la misma fecha, estudió la publicidad de los procedimientos contractuales de las entidades en el SECOP, respecto de entidades regidas por el Estatuto General de Contratación de la Administración Pública. La tesis desarrollada se expone y complementa a continuación:</w:t>
      </w:r>
    </w:p>
    <w:p w:rsidRPr="00275AFB" w:rsidR="00275AFB" w:rsidP="00275AFB" w:rsidRDefault="00275AFB" w14:paraId="6009F8AE" w14:textId="77777777">
      <w:pPr>
        <w:spacing w:before="120" w:after="120" w:line="276" w:lineRule="auto"/>
        <w:ind w:firstLine="709"/>
        <w:jc w:val="both"/>
        <w:rPr>
          <w:rFonts w:ascii="Arial" w:hAnsi="Arial" w:eastAsia="Calibri" w:cs="Arial"/>
          <w:sz w:val="22"/>
          <w:lang w:val="es-ES_tradnl"/>
        </w:rPr>
      </w:pPr>
      <w:r w:rsidRPr="00275AFB">
        <w:rPr>
          <w:rFonts w:ascii="Arial" w:hAnsi="Arial" w:eastAsia="Calibri" w:cs="Arial"/>
          <w:sz w:val="22"/>
          <w:lang w:val="es-ES_tradnl"/>
        </w:rPr>
        <w:t>El procedimiento de contratación de las entidades es reglado, es decir, no es discrecional, y se deben consultar las normas que lo rigen para determinar la forma que la ley prevé para adelantarlo. Por consiguiente, los principales cuerpos normativos son: la Ley 80 de 1993, la Ley 1150 de 2007  ̶ Estatuto General de Contratación de la Administración Pública ̶  y el Decreto 1082 de 2015, que es reglamentario y concreta cada modalidad de selección, señalando las reglas o pasos a seguir para celebrar el contrato estatal</w:t>
      </w:r>
      <w:r w:rsidRPr="00275AFB">
        <w:rPr>
          <w:rFonts w:ascii="Arial" w:hAnsi="Arial" w:eastAsia="Calibri" w:cs="Arial"/>
          <w:sz w:val="22"/>
          <w:vertAlign w:val="superscript"/>
          <w:lang w:val="es-ES_tradnl"/>
        </w:rPr>
        <w:footnoteReference w:id="3"/>
      </w:r>
      <w:r w:rsidRPr="00275AFB">
        <w:rPr>
          <w:rFonts w:ascii="Arial" w:hAnsi="Arial" w:eastAsia="Calibri" w:cs="Arial"/>
          <w:sz w:val="22"/>
          <w:lang w:val="es-ES_tradnl"/>
        </w:rPr>
        <w:t xml:space="preserve">. Por consiguiente, para </w:t>
      </w:r>
      <w:r w:rsidRPr="00275AFB">
        <w:rPr>
          <w:rFonts w:ascii="Arial" w:hAnsi="Arial" w:eastAsia="Calibri" w:cs="Arial"/>
          <w:sz w:val="22"/>
          <w:lang w:val="es-ES_tradnl"/>
        </w:rPr>
        <w:t>que los documentos de la actividad contractual se conozcan la entidad debe publicarlos, sin importar la modalidad de selección.</w:t>
      </w:r>
    </w:p>
    <w:p w:rsidRPr="00275AFB" w:rsidR="00275AFB" w:rsidP="00275AFB" w:rsidRDefault="00275AFB" w14:paraId="7996092B" w14:textId="77777777">
      <w:pPr>
        <w:spacing w:before="120" w:after="120" w:line="276" w:lineRule="auto"/>
        <w:ind w:firstLine="709"/>
        <w:jc w:val="both"/>
        <w:rPr>
          <w:rFonts w:ascii="Arial" w:hAnsi="Arial" w:eastAsia="Calibri" w:cs="Arial"/>
          <w:sz w:val="22"/>
          <w:lang w:val="es-ES_tradnl"/>
        </w:rPr>
      </w:pPr>
      <w:r w:rsidRPr="00275AFB">
        <w:rPr>
          <w:rFonts w:ascii="Arial" w:hAnsi="Arial" w:eastAsia="Arial" w:cs="Arial"/>
          <w:sz w:val="22"/>
          <w:lang w:val="es-ES_tradnl"/>
        </w:rPr>
        <w:t>El artículo 3 de la Ley 1150 de 2007 señala que los actos relacionados con los procedimientos de contratación de las entidades estatales pueden ser electrónicos, al igual que su publicidad, por lo que el gobierno nacional debe definir los medios para desarrollar dicha publicidad a través del SECOP</w:t>
      </w:r>
      <w:r w:rsidRPr="00275AFB">
        <w:rPr>
          <w:rFonts w:ascii="Arial" w:hAnsi="Arial" w:eastAsia="Arial" w:cs="Arial"/>
          <w:sz w:val="22"/>
          <w:vertAlign w:val="superscript"/>
          <w:lang w:val="es-ES_tradnl"/>
        </w:rPr>
        <w:footnoteReference w:id="4"/>
      </w:r>
      <w:r w:rsidRPr="00275AFB">
        <w:rPr>
          <w:rFonts w:ascii="Arial" w:hAnsi="Arial" w:eastAsia="Arial" w:cs="Arial"/>
          <w:sz w:val="22"/>
          <w:lang w:val="es-ES_tradnl"/>
        </w:rPr>
        <w:t>. Este sistema debe contar con la información oficial de los procedimientos contractuales de las entidades, de la cual será la única fuente. La norma citada genera un cambio en la contratación pública, ámbito en el que las actuaciones de las entidades se realizaban por escrito y en papel, y ahora se crea un mecanismo eficiente que reduce costos, para que se cumpla el principio de publicidad, como un deber de las autoridades públicas en el ejercicio de las funciones administrativas que la ley les otorga.</w:t>
      </w:r>
    </w:p>
    <w:p w:rsidRPr="00275AFB" w:rsidR="00275AFB" w:rsidP="00275AFB" w:rsidRDefault="00275AFB" w14:paraId="0BEAAE49" w14:textId="435BB412">
      <w:pPr>
        <w:spacing w:before="120" w:after="120" w:line="276" w:lineRule="auto"/>
        <w:ind w:firstLine="709"/>
        <w:jc w:val="both"/>
        <w:rPr>
          <w:rFonts w:ascii="Arial" w:hAnsi="Arial" w:eastAsia="Arial" w:cs="Arial"/>
          <w:sz w:val="22"/>
          <w:lang w:val="es-ES_tradnl"/>
        </w:rPr>
      </w:pPr>
      <w:r w:rsidRPr="00275AFB">
        <w:rPr>
          <w:rFonts w:ascii="Arial" w:hAnsi="Arial" w:eastAsia="Arial" w:cs="Arial"/>
          <w:sz w:val="22"/>
          <w:lang w:val="es-ES_tradnl"/>
        </w:rPr>
        <w:t>Ahora bien, las entidades estatales, conforme al artículo 2.2.1.1.1.7.1. del Decreto 1082 de 2015, tienen la obli</w:t>
      </w:r>
      <w:r w:rsidR="00FA09A6">
        <w:rPr>
          <w:rFonts w:ascii="Arial" w:hAnsi="Arial" w:eastAsia="Arial" w:cs="Arial"/>
          <w:sz w:val="22"/>
          <w:lang w:val="es-ES_tradnl"/>
        </w:rPr>
        <w:t>gación de publicar en el SECOP “</w:t>
      </w:r>
      <w:r w:rsidRPr="00275AFB">
        <w:rPr>
          <w:rFonts w:ascii="Arial" w:hAnsi="Arial" w:eastAsia="Arial" w:cs="Arial"/>
          <w:sz w:val="22"/>
          <w:lang w:val="es-ES_tradnl"/>
        </w:rPr>
        <w:t>los Documentos del Proceso y los actos administrativos del Proceso de Contratación, dentro de los tres (3) día</w:t>
      </w:r>
      <w:r w:rsidR="00FA09A6">
        <w:rPr>
          <w:rFonts w:ascii="Arial" w:hAnsi="Arial" w:eastAsia="Arial" w:cs="Arial"/>
          <w:sz w:val="22"/>
          <w:lang w:val="es-ES_tradnl"/>
        </w:rPr>
        <w:t>s siguientes a su expedición”</w:t>
      </w:r>
      <w:r w:rsidRPr="00275AFB">
        <w:rPr>
          <w:rFonts w:ascii="Arial" w:hAnsi="Arial" w:eastAsia="Arial" w:cs="Arial"/>
          <w:sz w:val="22"/>
          <w:lang w:val="es-ES_tradnl"/>
        </w:rPr>
        <w:t>.</w:t>
      </w:r>
    </w:p>
    <w:p w:rsidRPr="00275AFB" w:rsidR="00275AFB" w:rsidP="00275AFB" w:rsidRDefault="00275AFB" w14:paraId="452CDD24" w14:textId="3B162A69">
      <w:pPr>
        <w:spacing w:before="120" w:after="120" w:line="276" w:lineRule="auto"/>
        <w:ind w:firstLine="709"/>
        <w:jc w:val="both"/>
        <w:rPr>
          <w:rFonts w:ascii="Arial" w:hAnsi="Arial" w:eastAsia="Arial" w:cs="Arial"/>
          <w:sz w:val="22"/>
          <w:lang w:val="es-ES_tradnl"/>
        </w:rPr>
      </w:pPr>
      <w:r w:rsidRPr="00275AFB">
        <w:rPr>
          <w:rFonts w:ascii="Arial" w:hAnsi="Arial" w:eastAsia="Arial" w:cs="Arial"/>
          <w:sz w:val="22"/>
          <w:lang w:val="es-ES_tradnl"/>
        </w:rPr>
        <w:t xml:space="preserve">La expresión </w:t>
      </w:r>
      <w:r w:rsidRPr="00275AFB">
        <w:rPr>
          <w:rFonts w:ascii="Arial" w:hAnsi="Arial" w:eastAsia="Arial" w:cs="Arial"/>
          <w:i/>
          <w:iCs/>
          <w:sz w:val="22"/>
          <w:lang w:val="es-ES_tradnl"/>
        </w:rPr>
        <w:t>Documentos del Proceso</w:t>
      </w:r>
      <w:r w:rsidRPr="00275AFB">
        <w:rPr>
          <w:rFonts w:ascii="Arial" w:hAnsi="Arial" w:eastAsia="Arial" w:cs="Arial"/>
          <w:sz w:val="22"/>
          <w:lang w:val="es-ES_tradnl"/>
        </w:rPr>
        <w:t xml:space="preserve"> está definida en el artículo 2.2.1.1.1.3.1. del Decreto 1082 de 2015, norma en la cual se establece que: </w:t>
      </w:r>
      <w:r w:rsidR="00FA09A6">
        <w:rPr>
          <w:rFonts w:ascii="Arial" w:hAnsi="Arial" w:eastAsia="Arial" w:cs="Arial"/>
          <w:sz w:val="22"/>
          <w:lang w:val="es-ES_tradnl"/>
        </w:rPr>
        <w:t>“</w:t>
      </w:r>
      <w:r w:rsidRPr="00275AFB">
        <w:rPr>
          <w:rFonts w:ascii="Arial" w:hAnsi="Arial" w:eastAsia="Arial" w:cs="Arial"/>
          <w:sz w:val="22"/>
          <w:lang w:val="es-ES_tradnl"/>
        </w:rPr>
        <w:t>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r w:rsidR="00FA09A6">
        <w:rPr>
          <w:rFonts w:ascii="Arial" w:hAnsi="Arial" w:eastAsia="Arial" w:cs="Arial"/>
          <w:sz w:val="22"/>
          <w:lang w:val="es-ES_tradnl"/>
        </w:rPr>
        <w:t>”</w:t>
      </w:r>
      <w:r w:rsidRPr="00275AFB">
        <w:rPr>
          <w:rFonts w:ascii="Arial" w:hAnsi="Arial" w:eastAsia="Arial" w:cs="Arial"/>
          <w:sz w:val="22"/>
          <w:lang w:val="es-ES_tradnl"/>
        </w:rPr>
        <w:t>.</w:t>
      </w:r>
    </w:p>
    <w:p w:rsidRPr="00275AFB" w:rsidR="00275AFB" w:rsidP="00275AFB" w:rsidRDefault="00275AFB" w14:paraId="652C97E0" w14:textId="03D41C5B">
      <w:pPr>
        <w:spacing w:before="120" w:after="120" w:line="276" w:lineRule="auto"/>
        <w:ind w:firstLine="709"/>
        <w:jc w:val="both"/>
        <w:rPr>
          <w:rFonts w:ascii="Arial" w:hAnsi="Arial" w:eastAsia="Arial" w:cs="Arial"/>
          <w:sz w:val="22"/>
          <w:lang w:val="es-ES_tradnl"/>
        </w:rPr>
      </w:pPr>
      <w:r w:rsidRPr="00275AFB">
        <w:rPr>
          <w:rFonts w:ascii="Arial" w:hAnsi="Arial" w:eastAsia="Arial" w:cs="Arial"/>
          <w:sz w:val="22"/>
          <w:lang w:val="es-ES_tradnl"/>
        </w:rPr>
        <w:t xml:space="preserve">No obstante, para identificar los documentos que deben publicarse, es necesario realizar una interpretación sistemática de las disposiciones del Decreto 1082 del 2015, comoquiera que </w:t>
      </w:r>
      <w:r w:rsidRPr="00275AFB">
        <w:rPr>
          <w:rFonts w:ascii="Arial" w:hAnsi="Arial" w:eastAsia="Arial" w:cs="Arial"/>
          <w:sz w:val="22"/>
          <w:lang w:val="es-ES_tradnl"/>
        </w:rPr>
        <w:t xml:space="preserve">el anterior no es un listado taxativo, sino enunciativo, porque además de los documentos enlistados, el artículo 2.2.1.1.1.3.1 </w:t>
      </w:r>
      <w:r w:rsidRPr="00275AFB">
        <w:rPr>
          <w:rFonts w:ascii="Arial" w:hAnsi="Arial" w:eastAsia="Arial" w:cs="Arial"/>
          <w:i/>
          <w:iCs/>
          <w:sz w:val="22"/>
          <w:lang w:val="es-ES_tradnl"/>
        </w:rPr>
        <w:t>Ibídem</w:t>
      </w:r>
      <w:r w:rsidRPr="00275AFB">
        <w:rPr>
          <w:rFonts w:ascii="Arial" w:hAnsi="Arial" w:eastAsia="Arial" w:cs="Arial"/>
          <w:sz w:val="22"/>
          <w:lang w:val="es-ES_tradnl"/>
        </w:rPr>
        <w:t xml:space="preserve"> recoge en la noción de </w:t>
      </w:r>
      <w:r w:rsidRPr="00275AFB">
        <w:rPr>
          <w:rFonts w:ascii="Arial" w:hAnsi="Arial" w:eastAsia="Arial" w:cs="Arial"/>
          <w:i/>
          <w:iCs/>
          <w:sz w:val="22"/>
          <w:lang w:val="es-ES_tradnl"/>
        </w:rPr>
        <w:t>Documentos del Proceso</w:t>
      </w:r>
      <w:r w:rsidRPr="00275AFB">
        <w:rPr>
          <w:rFonts w:ascii="Arial" w:hAnsi="Arial" w:eastAsia="Arial" w:cs="Arial"/>
          <w:sz w:val="22"/>
          <w:lang w:val="es-ES_tradnl"/>
        </w:rPr>
        <w:t xml:space="preserve"> </w:t>
      </w:r>
      <w:r w:rsidR="00FA09A6">
        <w:rPr>
          <w:rFonts w:ascii="Arial" w:hAnsi="Arial" w:eastAsia="Arial" w:cs="Arial"/>
          <w:sz w:val="22"/>
          <w:lang w:val="es-ES_tradnl"/>
        </w:rPr>
        <w:t>“</w:t>
      </w:r>
      <w:r w:rsidRPr="00275AFB">
        <w:rPr>
          <w:rFonts w:ascii="Arial" w:hAnsi="Arial" w:eastAsia="Arial" w:cs="Arial"/>
          <w:sz w:val="22"/>
          <w:lang w:val="es-ES_tradnl"/>
        </w:rPr>
        <w:t xml:space="preserve">cualquier otro documento expedido por la Entidad Estatal durante el </w:t>
      </w:r>
      <w:r w:rsidRPr="00275AFB">
        <w:rPr>
          <w:rFonts w:ascii="Arial" w:hAnsi="Arial" w:eastAsia="Arial" w:cs="Arial"/>
          <w:i/>
          <w:iCs/>
          <w:sz w:val="22"/>
          <w:lang w:val="es-ES_tradnl"/>
        </w:rPr>
        <w:t>Proceso de Contratación</w:t>
      </w:r>
      <w:r w:rsidR="00FA09A6">
        <w:rPr>
          <w:rFonts w:ascii="Arial" w:hAnsi="Arial" w:eastAsia="Arial" w:cs="Arial"/>
          <w:i/>
          <w:iCs/>
          <w:sz w:val="22"/>
          <w:lang w:val="es-ES_tradnl"/>
        </w:rPr>
        <w:t>”</w:t>
      </w:r>
      <w:r w:rsidRPr="00275AFB">
        <w:rPr>
          <w:rFonts w:ascii="Arial" w:hAnsi="Arial" w:eastAsia="Arial" w:cs="Arial"/>
          <w:sz w:val="22"/>
          <w:lang w:val="es-ES_tradnl"/>
        </w:rPr>
        <w:t xml:space="preserve">. Este mismo artículo define la expresión </w:t>
      </w:r>
      <w:r w:rsidRPr="00275AFB">
        <w:rPr>
          <w:rFonts w:ascii="Arial" w:hAnsi="Arial" w:eastAsia="Arial" w:cs="Arial"/>
          <w:i/>
          <w:iCs/>
          <w:sz w:val="22"/>
          <w:lang w:val="es-ES_tradnl"/>
        </w:rPr>
        <w:t>Proceso de Contratación</w:t>
      </w:r>
      <w:r w:rsidRPr="00275AFB">
        <w:rPr>
          <w:rFonts w:ascii="Arial" w:hAnsi="Arial" w:eastAsia="Arial" w:cs="Arial"/>
          <w:sz w:val="22"/>
          <w:lang w:val="es-ES_tradnl"/>
        </w:rPr>
        <w:t xml:space="preserve"> como el </w:t>
      </w:r>
      <w:r w:rsidR="00FA09A6">
        <w:rPr>
          <w:rFonts w:ascii="Arial" w:hAnsi="Arial" w:eastAsia="Arial" w:cs="Arial"/>
          <w:sz w:val="22"/>
          <w:lang w:val="es-ES_tradnl"/>
        </w:rPr>
        <w:t>“</w:t>
      </w:r>
      <w:r w:rsidRPr="00275AFB">
        <w:rPr>
          <w:rFonts w:ascii="Arial" w:hAnsi="Arial" w:eastAsia="Arial" w:cs="Arial"/>
          <w:sz w:val="22"/>
          <w:lang w:val="es-ES_tradnl"/>
        </w:rPr>
        <w:t>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r w:rsidR="00FA09A6">
        <w:rPr>
          <w:rFonts w:ascii="Arial" w:hAnsi="Arial" w:eastAsia="Arial" w:cs="Arial"/>
          <w:sz w:val="22"/>
          <w:lang w:val="es-ES_tradnl"/>
        </w:rPr>
        <w:t>”</w:t>
      </w:r>
      <w:r w:rsidRPr="00275AFB">
        <w:rPr>
          <w:rFonts w:ascii="Arial" w:hAnsi="Arial" w:eastAsia="Arial" w:cs="Arial"/>
          <w:sz w:val="22"/>
          <w:lang w:val="es-ES_tradnl"/>
        </w:rPr>
        <w:t>.</w:t>
      </w:r>
    </w:p>
    <w:p w:rsidRPr="00275AFB" w:rsidR="00275AFB" w:rsidP="00275AFB" w:rsidRDefault="00275AFB" w14:paraId="7ACB587E" w14:textId="4A8479E6">
      <w:pPr>
        <w:spacing w:before="120" w:after="120" w:line="276" w:lineRule="auto"/>
        <w:ind w:firstLine="709"/>
        <w:jc w:val="both"/>
        <w:rPr>
          <w:rFonts w:ascii="Arial" w:hAnsi="Arial" w:eastAsia="Calibri" w:cs="Arial"/>
          <w:sz w:val="22"/>
          <w:lang w:val="es-ES_tradnl"/>
        </w:rPr>
      </w:pPr>
      <w:r w:rsidRPr="00275AFB">
        <w:rPr>
          <w:rFonts w:ascii="Arial" w:hAnsi="Arial" w:eastAsia="Arial" w:cs="Arial"/>
          <w:sz w:val="22"/>
          <w:lang w:val="es-ES_tradnl"/>
        </w:rPr>
        <w:t xml:space="preserve">Nótese que la norma hace referencia a los documentos </w:t>
      </w:r>
      <w:r w:rsidR="00FA09A6">
        <w:rPr>
          <w:rFonts w:ascii="Arial" w:hAnsi="Arial" w:eastAsia="Arial" w:cs="Arial"/>
          <w:sz w:val="22"/>
          <w:lang w:val="es-ES_tradnl"/>
        </w:rPr>
        <w:t>“</w:t>
      </w:r>
      <w:r w:rsidRPr="00275AFB">
        <w:rPr>
          <w:rFonts w:ascii="Arial" w:hAnsi="Arial" w:eastAsia="Arial" w:cs="Arial"/>
          <w:sz w:val="22"/>
          <w:lang w:val="es-ES_tradnl"/>
        </w:rPr>
        <w:t>expedidos por la entidad estatal</w:t>
      </w:r>
      <w:r w:rsidR="00FA09A6">
        <w:rPr>
          <w:rFonts w:ascii="Arial" w:hAnsi="Arial" w:eastAsia="Arial" w:cs="Arial"/>
          <w:sz w:val="22"/>
          <w:lang w:val="es-ES_tradnl"/>
        </w:rPr>
        <w:t>”</w:t>
      </w:r>
      <w:r w:rsidRPr="00275AFB">
        <w:rPr>
          <w:rFonts w:ascii="Arial" w:hAnsi="Arial" w:eastAsia="Arial" w:cs="Arial"/>
          <w:sz w:val="22"/>
          <w:lang w:val="es-ES_tradnl"/>
        </w:rPr>
        <w:t xml:space="preserve"> durante el proceso de contratación, excluyendo la noción de </w:t>
      </w:r>
      <w:r w:rsidRPr="00275AFB">
        <w:rPr>
          <w:rFonts w:ascii="Arial" w:hAnsi="Arial" w:eastAsia="Arial" w:cs="Arial"/>
          <w:i/>
          <w:iCs/>
          <w:sz w:val="22"/>
          <w:lang w:val="es-ES_tradnl"/>
        </w:rPr>
        <w:t>Documentos del Proceso</w:t>
      </w:r>
      <w:r w:rsidRPr="00275AFB">
        <w:rPr>
          <w:rFonts w:ascii="Arial" w:hAnsi="Arial" w:eastAsia="Arial" w:cs="Arial"/>
          <w:sz w:val="22"/>
          <w:lang w:val="es-ES_tradnl"/>
        </w:rPr>
        <w:t xml:space="preserve"> los expedidos por un sujeto distinto a la entidad, salvo la oferta, la cual se incluye expresamente en el artículo 2.2.1.1.1.3.1. En ese sentido, la interpretación sistemática de los preceptos del Decreto 1082 de 2015, de acuerdo con el principio de publicidad, inicialmente indica que las entidades estatales tienen la obligación de publicar todos los documentos que expidan con ocasión del </w:t>
      </w:r>
      <w:r w:rsidRPr="00275AFB">
        <w:rPr>
          <w:rFonts w:ascii="Arial" w:hAnsi="Arial" w:eastAsia="Arial" w:cs="Arial"/>
          <w:i/>
          <w:iCs/>
          <w:sz w:val="22"/>
          <w:lang w:val="es-ES_tradnl"/>
        </w:rPr>
        <w:t>Proceso de Contratación</w:t>
      </w:r>
      <w:r w:rsidRPr="00275AFB">
        <w:rPr>
          <w:rFonts w:ascii="Arial" w:hAnsi="Arial" w:eastAsia="Arial" w:cs="Arial"/>
          <w:sz w:val="22"/>
          <w:lang w:val="es-ES_tradnl"/>
        </w:rPr>
        <w:t xml:space="preserve">, esto es, desde la fase de planeación hasta </w:t>
      </w:r>
      <w:r w:rsidR="00FA09A6">
        <w:rPr>
          <w:rFonts w:ascii="Arial" w:hAnsi="Arial" w:eastAsia="Arial" w:cs="Arial"/>
          <w:sz w:val="22"/>
          <w:lang w:val="es-ES_tradnl"/>
        </w:rPr>
        <w:t>“</w:t>
      </w:r>
      <w:r w:rsidRPr="00275AFB">
        <w:rPr>
          <w:rFonts w:ascii="Arial" w:hAnsi="Arial" w:eastAsia="Arial" w:cs="Arial"/>
          <w:sz w:val="22"/>
          <w:lang w:val="es-ES_tradnl"/>
        </w:rPr>
        <w:t>el vencimiento de las garantías de calidad, estabilidad y mantenimiento, o las condiciones de disposición final o recuperación ambiental de las obras o bienes o el vencimiento del plazo, lo que ocurra más tarde</w:t>
      </w:r>
      <w:r w:rsidR="00FA09A6">
        <w:rPr>
          <w:rFonts w:ascii="Arial" w:hAnsi="Arial" w:eastAsia="Arial" w:cs="Arial"/>
          <w:sz w:val="22"/>
          <w:lang w:val="es-ES_tradnl"/>
        </w:rPr>
        <w:t>”</w:t>
      </w:r>
      <w:r w:rsidRPr="00275AFB">
        <w:rPr>
          <w:rFonts w:ascii="Arial" w:hAnsi="Arial" w:eastAsia="Arial" w:cs="Arial"/>
          <w:sz w:val="22"/>
          <w:lang w:val="es-ES_tradnl"/>
        </w:rPr>
        <w:t xml:space="preserve">. Esto significa que todos los documentos expedidos por la entidad durante las etapas precontractual, de ejecución y </w:t>
      </w:r>
      <w:proofErr w:type="spellStart"/>
      <w:r w:rsidRPr="00275AFB">
        <w:rPr>
          <w:rFonts w:ascii="Arial" w:hAnsi="Arial" w:eastAsia="Arial" w:cs="Arial"/>
          <w:sz w:val="22"/>
          <w:lang w:val="es-ES_tradnl"/>
        </w:rPr>
        <w:t>postcontractual</w:t>
      </w:r>
      <w:proofErr w:type="spellEnd"/>
      <w:r w:rsidRPr="00275AFB">
        <w:rPr>
          <w:rFonts w:ascii="Arial" w:hAnsi="Arial" w:eastAsia="Arial" w:cs="Arial"/>
          <w:sz w:val="22"/>
          <w:lang w:val="es-ES_tradnl"/>
        </w:rPr>
        <w:t xml:space="preserve"> deberán ser publicados en SECOP dentro de los tres (3) días siguientes a su expedición, para cumplir el deber de publicidad regulado por el artículo 2.2.1.1.1.7.1. del Decreto 1082 de 2015.</w:t>
      </w:r>
    </w:p>
    <w:p w:rsidRPr="00275AFB" w:rsidR="00275AFB" w:rsidP="00275AFB" w:rsidRDefault="00275AFB" w14:paraId="660EDE18" w14:textId="77777777">
      <w:pPr>
        <w:spacing w:before="120" w:after="120" w:line="276" w:lineRule="auto"/>
        <w:ind w:firstLine="709"/>
        <w:jc w:val="both"/>
        <w:rPr>
          <w:rFonts w:ascii="Arial" w:hAnsi="Arial" w:eastAsia="Calibri" w:cs="Arial"/>
          <w:sz w:val="22"/>
          <w:lang w:val="es-ES_tradnl"/>
        </w:rPr>
      </w:pPr>
      <w:r w:rsidRPr="00275AFB">
        <w:rPr>
          <w:rFonts w:ascii="Arial" w:hAnsi="Arial" w:eastAsia="Arial" w:cs="Arial"/>
          <w:sz w:val="22"/>
          <w:lang w:val="es-ES_tradnl"/>
        </w:rPr>
        <w:t xml:space="preserve">En todo caso, de conformidad con la segunda parte del inciso primero del artículo 2.2.1.1.1.7.1 </w:t>
      </w:r>
      <w:r w:rsidRPr="00275AFB">
        <w:rPr>
          <w:rFonts w:ascii="Arial" w:hAnsi="Arial" w:eastAsia="Arial" w:cs="Arial"/>
          <w:i/>
          <w:iCs/>
          <w:sz w:val="22"/>
          <w:lang w:val="es-ES_tradnl"/>
        </w:rPr>
        <w:t>Ibídem</w:t>
      </w:r>
      <w:r w:rsidRPr="00275AFB">
        <w:rPr>
          <w:rFonts w:ascii="Arial" w:hAnsi="Arial" w:eastAsia="Arial" w:cs="Arial"/>
          <w:sz w:val="22"/>
          <w:lang w:val="es-ES_tradnl"/>
        </w:rPr>
        <w:t xml:space="preserve">, el deber de publicar las actuaciones realizadas en el marco del proceso de contratación, en lo referente a las ofertas presentadas, solo se predica de la propuesta del adjudicatario, así que no es necesario publicar las demás. </w:t>
      </w:r>
      <w:r w:rsidRPr="00275AFB">
        <w:rPr>
          <w:rFonts w:ascii="Arial" w:hAnsi="Arial" w:eastAsia="Arial" w:cs="Arial"/>
          <w:i/>
          <w:iCs/>
          <w:sz w:val="22"/>
          <w:lang w:val="es-ES_tradnl"/>
        </w:rPr>
        <w:t xml:space="preserve"> </w:t>
      </w:r>
      <w:r w:rsidRPr="00275AFB">
        <w:rPr>
          <w:rFonts w:ascii="Arial" w:hAnsi="Arial" w:eastAsia="Arial" w:cs="Arial"/>
          <w:sz w:val="22"/>
          <w:lang w:val="es-ES_tradnl"/>
        </w:rPr>
        <w:t>Del deber de publicidad, de conformidad con la tercera parte del inciso primero de la referida norma, también se encuentran exentos los documentos de las operaciones que se realicen en bolsa de productos.</w:t>
      </w:r>
    </w:p>
    <w:p w:rsidRPr="00275AFB" w:rsidR="00275AFB" w:rsidP="00275AFB" w:rsidRDefault="00275AFB" w14:paraId="636B3687" w14:textId="77777777">
      <w:pPr>
        <w:spacing w:before="120" w:after="120" w:line="276" w:lineRule="auto"/>
        <w:ind w:firstLine="709"/>
        <w:jc w:val="both"/>
        <w:rPr>
          <w:rFonts w:ascii="Arial" w:hAnsi="Arial" w:eastAsia="Arial" w:cs="Arial"/>
          <w:sz w:val="22"/>
          <w:lang w:val="es-ES_tradnl"/>
        </w:rPr>
      </w:pPr>
      <w:r w:rsidRPr="00275AFB">
        <w:rPr>
          <w:rFonts w:ascii="Arial" w:hAnsi="Arial" w:eastAsia="Arial" w:cs="Arial"/>
          <w:sz w:val="22"/>
          <w:lang w:val="es-ES_tradnl"/>
        </w:rPr>
        <w:t xml:space="preserve">El inciso segundo del artículo 2.2.1.1.1.7.1 </w:t>
      </w:r>
      <w:proofErr w:type="spellStart"/>
      <w:r w:rsidRPr="00275AFB">
        <w:rPr>
          <w:rFonts w:ascii="Arial" w:hAnsi="Arial" w:eastAsia="Arial" w:cs="Arial"/>
          <w:i/>
          <w:iCs/>
          <w:sz w:val="22"/>
          <w:lang w:val="es-ES_tradnl"/>
        </w:rPr>
        <w:t>ejusdem</w:t>
      </w:r>
      <w:proofErr w:type="spellEnd"/>
      <w:r w:rsidRPr="00275AFB">
        <w:rPr>
          <w:rFonts w:ascii="Arial" w:hAnsi="Arial" w:eastAsia="Arial" w:cs="Arial"/>
          <w:i/>
          <w:iCs/>
          <w:sz w:val="22"/>
          <w:lang w:val="es-ES_tradnl"/>
        </w:rPr>
        <w:t xml:space="preserve">, </w:t>
      </w:r>
      <w:r w:rsidRPr="00275AFB">
        <w:rPr>
          <w:rFonts w:ascii="Arial" w:hAnsi="Arial" w:eastAsia="Arial" w:cs="Arial"/>
          <w:sz w:val="22"/>
          <w:lang w:val="es-ES_tradnl"/>
        </w:rPr>
        <w:t xml:space="preserve">hace explícito el deber de las entidades estatales de publicar el aviso de convocatoria, con el objeto de que los interesados formulen observaciones al proyecto de pliego de condiciones o soliciten aclaraciones en los términos del artículo </w:t>
      </w:r>
      <w:r w:rsidRPr="00275AFB">
        <w:rPr>
          <w:rFonts w:ascii="Arial" w:hAnsi="Arial" w:cs="Arial"/>
          <w:sz w:val="22"/>
          <w:lang w:val="es-ES_tradnl"/>
        </w:rPr>
        <w:t xml:space="preserve">2.2.1.1.2.1.4, deber que se hace extensivo a la invitación </w:t>
      </w:r>
      <w:r w:rsidRPr="00275AFB">
        <w:rPr>
          <w:rFonts w:ascii="Arial" w:hAnsi="Arial" w:eastAsia="Arial" w:cs="Arial"/>
          <w:sz w:val="22"/>
          <w:lang w:val="es-ES_tradnl"/>
        </w:rPr>
        <w:t>a participar en procesos de mínima cuantía. No obstante, de conformidad con el inciso final del artículo 2.2.1.1.2.1.2 del Decreto 1082 de 2015, la expedición y publicación en el SECOP del aviso de convocatoria no es necesaria en las modalidades de selección de contratación directa y mínima cuantía.</w:t>
      </w:r>
    </w:p>
    <w:p w:rsidRPr="00275AFB" w:rsidR="00275AFB" w:rsidP="00275AFB" w:rsidRDefault="00275AFB" w14:paraId="2317C3E5" w14:textId="77777777">
      <w:pPr>
        <w:spacing w:before="120" w:after="120" w:line="276" w:lineRule="auto"/>
        <w:ind w:firstLine="709"/>
        <w:jc w:val="both"/>
        <w:rPr>
          <w:rFonts w:ascii="Arial" w:hAnsi="Arial" w:eastAsia="Calibri" w:cs="Arial"/>
          <w:sz w:val="22"/>
          <w:lang w:val="es-ES_tradnl"/>
        </w:rPr>
      </w:pPr>
      <w:r w:rsidRPr="00275AFB">
        <w:rPr>
          <w:rFonts w:ascii="Arial" w:hAnsi="Arial" w:eastAsia="Arial" w:cs="Arial"/>
          <w:sz w:val="22"/>
          <w:lang w:val="es-ES_tradnl"/>
        </w:rPr>
        <w:t xml:space="preserve">De lo anterior se puede concluir que, en virtud de lo dispuesto en el artículo 3 de la Ley 1150 de 2007, desarrollado por el artículo 2.2.1.1.1.7.1. del Decreto 1082 de 2015, las entidades están obligadas a publicar en el SECOP todos los documentos relacionados con el </w:t>
      </w:r>
      <w:r w:rsidRPr="00275AFB">
        <w:rPr>
          <w:rFonts w:ascii="Arial" w:hAnsi="Arial" w:eastAsia="Arial" w:cs="Arial"/>
          <w:i/>
          <w:iCs/>
          <w:sz w:val="22"/>
          <w:lang w:val="es-ES_tradnl"/>
        </w:rPr>
        <w:t>Proceso de Contratación</w:t>
      </w:r>
      <w:r w:rsidRPr="00275AFB">
        <w:rPr>
          <w:rFonts w:ascii="Arial" w:hAnsi="Arial" w:eastAsia="Arial" w:cs="Arial"/>
          <w:sz w:val="22"/>
          <w:lang w:val="es-ES_tradnl"/>
        </w:rPr>
        <w:t xml:space="preserve"> expedidos durante las etapas precontractual, de ejecución y </w:t>
      </w:r>
      <w:proofErr w:type="spellStart"/>
      <w:r w:rsidRPr="00275AFB">
        <w:rPr>
          <w:rFonts w:ascii="Arial" w:hAnsi="Arial" w:eastAsia="Arial" w:cs="Arial"/>
          <w:sz w:val="22"/>
          <w:lang w:val="es-ES_tradnl"/>
        </w:rPr>
        <w:t>postcontractual</w:t>
      </w:r>
      <w:proofErr w:type="spellEnd"/>
      <w:r w:rsidRPr="00275AFB">
        <w:rPr>
          <w:rFonts w:ascii="Arial" w:hAnsi="Arial" w:eastAsia="Arial" w:cs="Arial"/>
          <w:sz w:val="22"/>
          <w:lang w:val="es-ES_tradnl"/>
        </w:rPr>
        <w:t>, dentro de los tres (3) días hábiles siguientes a su producción</w:t>
      </w:r>
      <w:r w:rsidRPr="00275AFB">
        <w:rPr>
          <w:rFonts w:ascii="Arial" w:hAnsi="Arial" w:eastAsia="Arial" w:cs="Arial"/>
          <w:sz w:val="22"/>
          <w:vertAlign w:val="superscript"/>
          <w:lang w:val="es-ES_tradnl"/>
        </w:rPr>
        <w:footnoteReference w:id="5"/>
      </w:r>
      <w:r w:rsidRPr="00275AFB">
        <w:rPr>
          <w:rFonts w:ascii="Arial" w:hAnsi="Arial" w:eastAsia="Arial" w:cs="Arial"/>
          <w:sz w:val="22"/>
          <w:lang w:val="es-ES_tradnl"/>
        </w:rPr>
        <w:t>. Este deber aplica a todas las modalidades de selección y entidades regidas por el Estatuto General de Contratación de la Administración Pública, y del que solo se encuentran excluidas las ofertas ganadoras y los documentos expedidos en el marco de operaciones de bolsa de productos.</w:t>
      </w:r>
    </w:p>
    <w:p w:rsidRPr="00275AFB" w:rsidR="00275AFB" w:rsidP="00275AFB" w:rsidRDefault="00275AFB" w14:paraId="61C2DC6A" w14:textId="77777777">
      <w:pPr>
        <w:spacing w:before="120" w:after="120" w:line="276" w:lineRule="auto"/>
        <w:ind w:firstLine="709"/>
        <w:jc w:val="both"/>
        <w:rPr>
          <w:rFonts w:ascii="Arial" w:hAnsi="Arial" w:eastAsia="Calibri" w:cs="Arial"/>
          <w:sz w:val="22"/>
          <w:lang w:val="es-ES_tradnl"/>
        </w:rPr>
      </w:pPr>
      <w:r w:rsidRPr="00275AFB">
        <w:rPr>
          <w:rFonts w:ascii="Arial" w:hAnsi="Arial" w:eastAsia="Calibri" w:cs="Arial"/>
          <w:sz w:val="22"/>
          <w:lang w:val="es-ES_tradnl"/>
        </w:rPr>
        <w:t xml:space="preserve">No obstante, el deber de publicar los documentos relacionados con la contratación no se encuentra regulado solamente por las normas del Estatuto General de Contratación  de la Administración Pública, pues la Ley 1712 de 2014, normativa de la transparencia y del derecho de acceso a la información pública, señala en el literal g) del artículo 11 que todo sujeto obligado debe publicar sus procedimientos, lineamientos, políticas en materia de adquisiciones y compras, así como todos los datos de adjudicación y ejecución de sus contratos. Esta obligación, en principio, fue reglamentada por el Decreto 103 de 2015, hoy compilado en el Decreto 1081 de 2015. Este último señala, en el artículo 2.1.1.2.1.7, que las entidades deberán publicar en el SECOP </w:t>
      </w:r>
      <w:r w:rsidRPr="00275AFB">
        <w:rPr>
          <w:rFonts w:ascii="Arial" w:hAnsi="Arial" w:cs="Arial"/>
          <w:sz w:val="22"/>
          <w:lang w:val="es-ES_tradnl"/>
        </w:rPr>
        <w:t>la información de su gestión contractual</w:t>
      </w:r>
      <w:r w:rsidRPr="00275AFB">
        <w:rPr>
          <w:rFonts w:ascii="Arial" w:hAnsi="Arial" w:cs="Arial"/>
          <w:sz w:val="22"/>
          <w:vertAlign w:val="superscript"/>
          <w:lang w:val="es-ES_tradnl"/>
        </w:rPr>
        <w:footnoteReference w:id="6"/>
      </w:r>
      <w:r w:rsidRPr="00275AFB">
        <w:rPr>
          <w:rFonts w:ascii="Arial" w:hAnsi="Arial" w:eastAsia="Calibri" w:cs="Arial"/>
          <w:sz w:val="22"/>
          <w:lang w:val="es-ES_tradnl"/>
        </w:rPr>
        <w:t>. Por su parte, el artículo 2.1.1.2.1.9 expresa que las entidades deberán publicar los procedimientos, lineamientos y políticas en materia de adquisición, que no son otros que los previstos en el manual de contratación, el cual debe publicarse en el sitio web del sujeto obligado</w:t>
      </w:r>
      <w:r w:rsidRPr="00275AFB">
        <w:rPr>
          <w:rFonts w:ascii="Arial" w:hAnsi="Arial" w:eastAsia="Calibri" w:cs="Arial"/>
          <w:sz w:val="22"/>
          <w:vertAlign w:val="superscript"/>
          <w:lang w:val="es-ES_tradnl"/>
        </w:rPr>
        <w:footnoteReference w:id="7"/>
      </w:r>
      <w:r w:rsidRPr="00275AFB">
        <w:rPr>
          <w:rFonts w:ascii="Arial" w:hAnsi="Arial" w:eastAsia="Calibri" w:cs="Arial"/>
          <w:sz w:val="22"/>
          <w:lang w:val="es-ES_tradnl"/>
        </w:rPr>
        <w:t xml:space="preserve">. El artículo 2.1.1.2.1.10 </w:t>
      </w:r>
      <w:r w:rsidRPr="00275AFB">
        <w:rPr>
          <w:rFonts w:ascii="Arial" w:hAnsi="Arial" w:eastAsia="Calibri" w:cs="Arial"/>
          <w:sz w:val="22"/>
          <w:lang w:val="es-ES_tradnl"/>
        </w:rPr>
        <w:t>establece la obligación que tienen las entidades de publicar en el SECOP el Plan Anual de Adquisiciones</w:t>
      </w:r>
      <w:r w:rsidRPr="00275AFB">
        <w:rPr>
          <w:rFonts w:ascii="Arial" w:hAnsi="Arial" w:eastAsia="Calibri" w:cs="Arial"/>
          <w:sz w:val="22"/>
          <w:vertAlign w:val="superscript"/>
          <w:lang w:val="es-ES_tradnl"/>
        </w:rPr>
        <w:footnoteReference w:id="8"/>
      </w:r>
      <w:r w:rsidRPr="00275AFB">
        <w:rPr>
          <w:rFonts w:ascii="Arial" w:hAnsi="Arial" w:eastAsia="Calibri" w:cs="Arial"/>
          <w:sz w:val="22"/>
          <w:lang w:val="es-ES_tradnl"/>
        </w:rPr>
        <w:t>.</w:t>
      </w:r>
    </w:p>
    <w:p w:rsidRPr="00275AFB" w:rsidR="00275AFB" w:rsidP="00275AFB" w:rsidRDefault="00275AFB" w14:paraId="0B8EBF81" w14:textId="77777777">
      <w:pPr>
        <w:spacing w:before="120" w:after="120" w:line="276" w:lineRule="auto"/>
        <w:ind w:firstLine="709"/>
        <w:jc w:val="both"/>
        <w:rPr>
          <w:rFonts w:ascii="Arial" w:hAnsi="Arial" w:eastAsia="Calibri" w:cs="Arial"/>
          <w:sz w:val="22"/>
          <w:lang w:val="es-ES_tradnl"/>
        </w:rPr>
      </w:pPr>
      <w:r w:rsidRPr="00275AFB">
        <w:rPr>
          <w:rFonts w:ascii="Arial" w:hAnsi="Arial" w:eastAsia="Calibri" w:cs="Arial"/>
          <w:sz w:val="22"/>
          <w:lang w:val="es-ES_tradnl"/>
        </w:rPr>
        <w:t xml:space="preserve">De otro lado, el artículo 2.1.1.2.1.8 establece los efectos de </w:t>
      </w:r>
      <w:r w:rsidRPr="00275AFB">
        <w:rPr>
          <w:rFonts w:ascii="Arial" w:hAnsi="Arial" w:cs="Arial"/>
          <w:sz w:val="22"/>
          <w:lang w:val="es-ES_tradnl"/>
        </w:rPr>
        <w:t>la obligación contenida en el literal g) del artículo 11 de la Ley 1712 de 2014, en relación con los documentos producidos durante la ejecución del contrato, señalando que se</w:t>
      </w:r>
      <w:r w:rsidRPr="00275AFB">
        <w:rPr>
          <w:rFonts w:ascii="Arial" w:hAnsi="Arial" w:eastAsia="Calibri" w:cs="Arial"/>
          <w:sz w:val="22"/>
          <w:lang w:val="es-ES_tradnl"/>
        </w:rPr>
        <w:t xml:space="preserve"> deben publicar las aprobaciones, autorizaciones, requerimientos o informes del supervisor o interventor, que prueben la ejecución del contrato</w:t>
      </w:r>
      <w:r w:rsidRPr="00275AFB">
        <w:rPr>
          <w:rFonts w:ascii="Arial" w:hAnsi="Arial" w:eastAsia="Calibri" w:cs="Arial"/>
          <w:sz w:val="22"/>
          <w:vertAlign w:val="superscript"/>
          <w:lang w:val="es-ES_tradnl"/>
        </w:rPr>
        <w:footnoteReference w:id="9"/>
      </w:r>
      <w:r w:rsidRPr="00275AFB">
        <w:rPr>
          <w:rFonts w:ascii="Arial" w:hAnsi="Arial" w:eastAsia="Calibri" w:cs="Arial"/>
          <w:sz w:val="22"/>
          <w:lang w:val="es-ES_tradnl"/>
        </w:rPr>
        <w:t>.</w:t>
      </w:r>
    </w:p>
    <w:p w:rsidRPr="00275AFB" w:rsidR="00275AFB" w:rsidP="00275AFB" w:rsidRDefault="00275AFB" w14:paraId="7E55680A" w14:textId="4AAC86DF">
      <w:pPr>
        <w:spacing w:before="120" w:after="120" w:line="276" w:lineRule="auto"/>
        <w:ind w:firstLine="709"/>
        <w:jc w:val="both"/>
        <w:rPr>
          <w:rFonts w:ascii="Arial" w:hAnsi="Arial" w:eastAsia="Calibri" w:cs="Arial"/>
          <w:sz w:val="22"/>
          <w:lang w:val="es-ES_tradnl"/>
        </w:rPr>
      </w:pPr>
      <w:r w:rsidRPr="00275AFB">
        <w:rPr>
          <w:rFonts w:ascii="Arial" w:hAnsi="Arial" w:eastAsia="Calibri" w:cs="Arial"/>
          <w:sz w:val="22"/>
          <w:lang w:val="es-ES_tradnl"/>
        </w:rPr>
        <w:t xml:space="preserve">En ese orden, el deber de publicar la actividad contractual de las entidades estatales no solo está regulado en el artículo 3 de la Ley 1150 de 2007, y en el </w:t>
      </w:r>
      <w:r w:rsidRPr="00275AFB">
        <w:rPr>
          <w:rFonts w:ascii="Arial" w:hAnsi="Arial" w:eastAsia="Arial" w:cs="Arial"/>
          <w:sz w:val="22"/>
          <w:lang w:val="es-ES_tradnl"/>
        </w:rPr>
        <w:t xml:space="preserve">artículo 2.2.1.1.1.7.1. del Decreto 1082 de 2015, sino también en la Ley 1712 de 2014, y en el Decreto 1081 de 2015. Estas normas no solo refuerzan y complementan al régimen de contratación estatal en cuanto a la publicidad, sino que lo amplía, para incluir la publicación de los </w:t>
      </w:r>
      <w:r w:rsidR="00FA09A6">
        <w:rPr>
          <w:rFonts w:ascii="Arial" w:hAnsi="Arial" w:eastAsia="Arial" w:cs="Arial"/>
          <w:sz w:val="22"/>
          <w:lang w:val="es-ES_tradnl"/>
        </w:rPr>
        <w:t>“</w:t>
      </w:r>
      <w:r w:rsidRPr="00275AFB">
        <w:rPr>
          <w:rFonts w:ascii="Arial" w:hAnsi="Arial" w:eastAsia="Arial" w:cs="Arial"/>
          <w:sz w:val="22"/>
          <w:lang w:val="es-ES_tradnl"/>
        </w:rPr>
        <w:t>procedimientos</w:t>
      </w:r>
      <w:r w:rsidR="00FA09A6">
        <w:rPr>
          <w:rFonts w:ascii="Arial" w:hAnsi="Arial" w:eastAsia="Arial" w:cs="Arial"/>
          <w:sz w:val="22"/>
          <w:lang w:val="es-ES_tradnl"/>
        </w:rPr>
        <w:t>”</w:t>
      </w:r>
      <w:r w:rsidRPr="00275AFB">
        <w:rPr>
          <w:rFonts w:ascii="Arial" w:hAnsi="Arial" w:eastAsia="Arial" w:cs="Arial"/>
          <w:sz w:val="22"/>
          <w:lang w:val="es-ES_tradnl"/>
        </w:rPr>
        <w:t xml:space="preserve"> y la información relativa a la </w:t>
      </w:r>
      <w:r w:rsidR="00FA09A6">
        <w:rPr>
          <w:rFonts w:ascii="Arial" w:hAnsi="Arial" w:eastAsia="Arial" w:cs="Arial"/>
          <w:sz w:val="22"/>
          <w:lang w:val="es-ES_tradnl"/>
        </w:rPr>
        <w:t>“</w:t>
      </w:r>
      <w:r w:rsidRPr="00275AFB">
        <w:rPr>
          <w:rFonts w:ascii="Arial" w:hAnsi="Arial" w:eastAsia="Arial" w:cs="Arial"/>
          <w:sz w:val="22"/>
          <w:lang w:val="es-ES_tradnl"/>
        </w:rPr>
        <w:t>gestión contractual</w:t>
      </w:r>
      <w:r w:rsidR="00FA09A6">
        <w:rPr>
          <w:rFonts w:ascii="Arial" w:hAnsi="Arial" w:eastAsia="Arial" w:cs="Arial"/>
          <w:sz w:val="22"/>
          <w:lang w:val="es-ES_tradnl"/>
        </w:rPr>
        <w:t>”</w:t>
      </w:r>
      <w:r w:rsidRPr="00275AFB">
        <w:rPr>
          <w:rFonts w:ascii="Arial" w:hAnsi="Arial" w:eastAsia="Arial" w:cs="Arial"/>
          <w:sz w:val="22"/>
          <w:lang w:val="es-ES_tradnl"/>
        </w:rPr>
        <w:t xml:space="preserve">, sin el condicionamiento de tratarse exclusivamente de los </w:t>
      </w:r>
      <w:r w:rsidRPr="00275AFB">
        <w:rPr>
          <w:rFonts w:ascii="Arial" w:hAnsi="Arial" w:eastAsia="Arial" w:cs="Arial"/>
          <w:i/>
          <w:iCs/>
          <w:sz w:val="22"/>
          <w:lang w:val="es-ES_tradnl"/>
        </w:rPr>
        <w:t xml:space="preserve">Documentos del Proceso </w:t>
      </w:r>
      <w:r w:rsidRPr="00275AFB">
        <w:rPr>
          <w:rFonts w:ascii="Arial" w:hAnsi="Arial" w:eastAsia="Arial" w:cs="Arial"/>
          <w:sz w:val="22"/>
          <w:lang w:val="es-ES_tradnl"/>
        </w:rPr>
        <w:t xml:space="preserve">expedidos por la </w:t>
      </w:r>
      <w:r w:rsidR="00FA09A6">
        <w:rPr>
          <w:rFonts w:ascii="Arial" w:hAnsi="Arial" w:eastAsia="Arial" w:cs="Arial"/>
          <w:sz w:val="22"/>
          <w:lang w:val="es-ES_tradnl"/>
        </w:rPr>
        <w:t>“</w:t>
      </w:r>
      <w:r w:rsidRPr="00275AFB">
        <w:rPr>
          <w:rFonts w:ascii="Arial" w:hAnsi="Arial" w:eastAsia="Arial" w:cs="Arial"/>
          <w:sz w:val="22"/>
          <w:lang w:val="es-ES_tradnl"/>
        </w:rPr>
        <w:t>entidad estatal</w:t>
      </w:r>
      <w:r w:rsidR="00FA09A6">
        <w:rPr>
          <w:rFonts w:ascii="Arial" w:hAnsi="Arial" w:eastAsia="Arial" w:cs="Arial"/>
          <w:sz w:val="22"/>
          <w:lang w:val="es-ES_tradnl"/>
        </w:rPr>
        <w:t>”</w:t>
      </w:r>
      <w:r w:rsidRPr="00275AFB">
        <w:rPr>
          <w:rFonts w:ascii="Arial" w:hAnsi="Arial" w:eastAsia="Arial" w:cs="Arial"/>
          <w:sz w:val="22"/>
          <w:lang w:val="es-ES_tradnl"/>
        </w:rPr>
        <w:t>.</w:t>
      </w:r>
    </w:p>
    <w:p w:rsidRPr="00275AFB" w:rsidR="00275AFB" w:rsidP="00275AFB" w:rsidRDefault="00275AFB" w14:paraId="2D853FF8" w14:textId="027D1B31">
      <w:pPr>
        <w:spacing w:before="120" w:after="120" w:line="276" w:lineRule="auto"/>
        <w:ind w:firstLine="709"/>
        <w:jc w:val="both"/>
        <w:rPr>
          <w:rFonts w:ascii="Arial" w:hAnsi="Arial" w:eastAsia="Calibri" w:cs="Arial"/>
          <w:sz w:val="22"/>
          <w:lang w:val="es-ES_tradnl"/>
        </w:rPr>
      </w:pPr>
      <w:r w:rsidRPr="00275AFB">
        <w:rPr>
          <w:rFonts w:ascii="Arial" w:hAnsi="Arial" w:eastAsia="Calibri" w:cs="Arial"/>
          <w:sz w:val="22"/>
          <w:lang w:val="es-ES_tradnl"/>
        </w:rPr>
        <w:t xml:space="preserve">Las publicaciones que corresponde efectuar a las entidades estatales, como sujetos obligados por la normativa de la transparencia y acceso a la información pública, en particular en lo referente a la información contractual, antes que una derogación o subrogación del contenido del deber de publicidad regulado por el EGCAP, suponen una ampliación de su alcance, que lo hace trascender de la simple publicación de la información </w:t>
      </w:r>
      <w:r w:rsidR="00FA09A6">
        <w:rPr>
          <w:rFonts w:ascii="Arial" w:hAnsi="Arial" w:eastAsia="Calibri" w:cs="Arial"/>
          <w:sz w:val="22"/>
          <w:lang w:val="es-ES_tradnl"/>
        </w:rPr>
        <w:t>“</w:t>
      </w:r>
      <w:r w:rsidRPr="00275AFB">
        <w:rPr>
          <w:rFonts w:ascii="Arial" w:hAnsi="Arial" w:eastAsia="Calibri" w:cs="Arial"/>
          <w:sz w:val="22"/>
          <w:lang w:val="es-ES_tradnl"/>
        </w:rPr>
        <w:t>producida por la entidad estatal</w:t>
      </w:r>
      <w:r w:rsidR="00FA09A6">
        <w:rPr>
          <w:rFonts w:ascii="Arial" w:hAnsi="Arial" w:eastAsia="Calibri" w:cs="Arial"/>
          <w:sz w:val="22"/>
          <w:lang w:val="es-ES_tradnl"/>
        </w:rPr>
        <w:t>”</w:t>
      </w:r>
      <w:r w:rsidRPr="00275AFB">
        <w:rPr>
          <w:rFonts w:ascii="Arial" w:hAnsi="Arial" w:eastAsia="Calibri" w:cs="Arial"/>
          <w:sz w:val="22"/>
          <w:lang w:val="es-ES_tradnl"/>
        </w:rPr>
        <w:t xml:space="preserve"> asociada a la noción de </w:t>
      </w:r>
      <w:r w:rsidRPr="00275AFB">
        <w:rPr>
          <w:rFonts w:ascii="Arial" w:hAnsi="Arial" w:eastAsia="Calibri" w:cs="Arial"/>
          <w:i/>
          <w:iCs/>
          <w:sz w:val="22"/>
          <w:lang w:val="es-ES_tradnl"/>
        </w:rPr>
        <w:t>Documentos del Proceso.</w:t>
      </w:r>
      <w:r w:rsidRPr="00275AFB">
        <w:rPr>
          <w:rFonts w:ascii="Arial" w:hAnsi="Arial" w:cs="Arial"/>
          <w:sz w:val="22"/>
          <w:lang w:val="es-ES_tradnl"/>
        </w:rPr>
        <w:t xml:space="preserve"> Esto</w:t>
      </w:r>
      <w:r w:rsidRPr="00275AFB">
        <w:rPr>
          <w:rFonts w:ascii="Arial" w:hAnsi="Arial" w:eastAsia="Calibri" w:cs="Arial"/>
          <w:i/>
          <w:iCs/>
          <w:sz w:val="22"/>
          <w:lang w:val="es-ES_tradnl"/>
        </w:rPr>
        <w:t xml:space="preserve"> </w:t>
      </w:r>
      <w:r w:rsidRPr="00275AFB">
        <w:rPr>
          <w:rFonts w:ascii="Arial" w:hAnsi="Arial" w:eastAsia="Calibri" w:cs="Arial"/>
          <w:sz w:val="22"/>
          <w:lang w:val="es-ES_tradnl"/>
        </w:rPr>
        <w:t xml:space="preserve">en la medida en que, al establecerse la obligación de publicar los </w:t>
      </w:r>
      <w:r w:rsidR="00FA09A6">
        <w:rPr>
          <w:rFonts w:ascii="Arial" w:hAnsi="Arial" w:eastAsia="Calibri" w:cs="Arial"/>
          <w:sz w:val="22"/>
          <w:lang w:val="es-ES_tradnl"/>
        </w:rPr>
        <w:t>“</w:t>
      </w:r>
      <w:r w:rsidRPr="00275AFB">
        <w:rPr>
          <w:rFonts w:ascii="Arial" w:hAnsi="Arial" w:eastAsia="Calibri" w:cs="Arial"/>
          <w:sz w:val="22"/>
          <w:lang w:val="es-ES_tradnl"/>
        </w:rPr>
        <w:t>procedimientos</w:t>
      </w:r>
      <w:r w:rsidR="00FA09A6">
        <w:rPr>
          <w:rFonts w:ascii="Arial" w:hAnsi="Arial" w:eastAsia="Calibri" w:cs="Arial"/>
          <w:sz w:val="22"/>
          <w:lang w:val="es-ES_tradnl"/>
        </w:rPr>
        <w:t>”</w:t>
      </w:r>
      <w:r w:rsidRPr="00275AFB">
        <w:rPr>
          <w:rFonts w:ascii="Arial" w:hAnsi="Arial" w:eastAsia="Calibri" w:cs="Arial"/>
          <w:sz w:val="22"/>
          <w:lang w:val="es-ES_tradnl"/>
        </w:rPr>
        <w:t xml:space="preserve"> y la </w:t>
      </w:r>
      <w:r w:rsidR="00FA09A6">
        <w:rPr>
          <w:rFonts w:ascii="Arial" w:hAnsi="Arial" w:eastAsia="Calibri" w:cs="Arial"/>
          <w:sz w:val="22"/>
          <w:lang w:val="es-ES_tradnl"/>
        </w:rPr>
        <w:t>“</w:t>
      </w:r>
      <w:r w:rsidRPr="00275AFB">
        <w:rPr>
          <w:rFonts w:ascii="Arial" w:hAnsi="Arial" w:eastAsia="Calibri" w:cs="Arial"/>
          <w:sz w:val="22"/>
          <w:lang w:val="es-ES_tradnl"/>
        </w:rPr>
        <w:t>información de la gestión contractual</w:t>
      </w:r>
      <w:r w:rsidR="00FA09A6">
        <w:rPr>
          <w:rFonts w:ascii="Arial" w:hAnsi="Arial" w:eastAsia="Calibri" w:cs="Arial"/>
          <w:sz w:val="22"/>
          <w:lang w:val="es-ES_tradnl"/>
        </w:rPr>
        <w:t>”</w:t>
      </w:r>
      <w:r w:rsidRPr="00275AFB">
        <w:rPr>
          <w:rFonts w:ascii="Arial" w:hAnsi="Arial" w:eastAsia="Calibri" w:cs="Arial"/>
          <w:sz w:val="22"/>
          <w:lang w:val="es-ES_tradnl"/>
        </w:rPr>
        <w:t xml:space="preserve"> en el SECOP, se incorporó una visión omnicomprensiva de la actividad contractual que debe publicarse, comoquiera que la noción de procedimiento debe asimilarse a la de </w:t>
      </w:r>
      <w:r w:rsidRPr="00275AFB">
        <w:rPr>
          <w:rFonts w:ascii="Arial" w:hAnsi="Arial" w:eastAsia="Calibri" w:cs="Arial"/>
          <w:i/>
          <w:iCs/>
          <w:sz w:val="22"/>
          <w:lang w:val="es-ES_tradnl"/>
        </w:rPr>
        <w:t>Proceso de Contratación.</w:t>
      </w:r>
      <w:r w:rsidRPr="00275AFB">
        <w:rPr>
          <w:rFonts w:ascii="Arial" w:hAnsi="Arial" w:eastAsia="Calibri" w:cs="Arial"/>
          <w:sz w:val="22"/>
          <w:lang w:val="es-ES_tradnl"/>
        </w:rPr>
        <w:t xml:space="preserve"> Esto implica que la publicación que corresponde a las entidades </w:t>
      </w:r>
      <w:r w:rsidRPr="00275AFB">
        <w:rPr>
          <w:rFonts w:ascii="Arial" w:hAnsi="Arial" w:eastAsia="Calibri" w:cs="Arial"/>
          <w:sz w:val="22"/>
          <w:lang w:val="es-ES_tradnl"/>
        </w:rPr>
        <w:t>estatales, como sujetos obligados en el marco de la Ley 1712 de 2014, se extienda a todo el desarrollo del procedimiento, desde la etapa de planeación hasta el vencimiento de las garantías, incluyendo cada actuación que se produzca en ese lapso.</w:t>
      </w:r>
    </w:p>
    <w:p w:rsidRPr="00275AFB" w:rsidR="00275AFB" w:rsidP="00275AFB" w:rsidRDefault="00275AFB" w14:paraId="6BF3DC24" w14:textId="77777777">
      <w:pPr>
        <w:spacing w:before="120" w:after="120" w:line="276" w:lineRule="auto"/>
        <w:ind w:firstLine="709"/>
        <w:jc w:val="both"/>
        <w:rPr>
          <w:rFonts w:ascii="Arial" w:hAnsi="Arial" w:eastAsia="Calibri" w:cs="Arial"/>
          <w:sz w:val="22"/>
          <w:lang w:val="es-ES_tradnl"/>
        </w:rPr>
      </w:pPr>
      <w:r w:rsidRPr="00275AFB">
        <w:rPr>
          <w:rFonts w:ascii="Arial" w:hAnsi="Arial" w:eastAsia="Calibri" w:cs="Arial"/>
          <w:sz w:val="22"/>
          <w:lang w:val="es-ES_tradnl"/>
        </w:rPr>
        <w:t xml:space="preserve">Esto quiere decir que las entidades estatales, además de los documentos y actos administrativos </w:t>
      </w:r>
      <w:r w:rsidRPr="00275AFB">
        <w:rPr>
          <w:rFonts w:ascii="Arial" w:hAnsi="Arial" w:eastAsia="Calibri" w:cs="Arial"/>
          <w:sz w:val="22"/>
          <w:lang w:val="es-ES_tradnl"/>
        </w:rPr>
        <w:softHyphen/>
      </w:r>
      <w:r w:rsidRPr="00275AFB">
        <w:rPr>
          <w:rFonts w:ascii="Arial" w:hAnsi="Arial" w:eastAsia="Calibri" w:cs="Arial"/>
          <w:sz w:val="22"/>
          <w:lang w:val="es-ES_tradnl"/>
        </w:rPr>
        <w:softHyphen/>
        <w:t>–de trámite o definitivos– que expiden durante los procedimientos de contratación</w:t>
      </w:r>
      <w:r w:rsidRPr="00275AFB">
        <w:rPr>
          <w:rFonts w:ascii="Arial" w:hAnsi="Arial" w:eastAsia="Calibri" w:cs="Arial"/>
          <w:i/>
          <w:iCs/>
          <w:sz w:val="22"/>
          <w:lang w:val="es-ES_tradnl"/>
        </w:rPr>
        <w:t>,</w:t>
      </w:r>
      <w:r w:rsidRPr="00275AFB">
        <w:rPr>
          <w:rFonts w:ascii="Arial" w:hAnsi="Arial" w:eastAsia="Calibri" w:cs="Arial"/>
          <w:sz w:val="22"/>
          <w:lang w:val="es-ES_tradnl"/>
        </w:rPr>
        <w:t xml:space="preserve"> deben publicar los documentos que los impulsan y materializan, incluso los que no produce la entidad, pero que hacen parte del procedimiento. En tal sentido, deben publicarse, por ejemplo, las observaciones formuladas por la ciudadanía al proyecto de pliego de condiciones, o por los proponentes al informe de evaluación, aclaraciones a las ofertas realizadas por los oferentes, y cualquier otra actuación que, a pesar de no tener origen en la entidad estatal, ni cabe en estricto sentido en lo que se entiende con la expresión</w:t>
      </w:r>
      <w:r w:rsidRPr="00275AFB">
        <w:rPr>
          <w:rFonts w:ascii="Arial" w:hAnsi="Arial" w:eastAsia="Calibri" w:cs="Arial"/>
          <w:i/>
          <w:iCs/>
          <w:sz w:val="22"/>
          <w:lang w:val="es-ES_tradnl"/>
        </w:rPr>
        <w:t xml:space="preserve"> Documento del Proceso, </w:t>
      </w:r>
      <w:r w:rsidRPr="00275AFB">
        <w:rPr>
          <w:rFonts w:ascii="Arial" w:hAnsi="Arial" w:eastAsia="Calibri" w:cs="Arial"/>
          <w:sz w:val="22"/>
          <w:lang w:val="es-ES_tradnl"/>
        </w:rPr>
        <w:t>hace parte de su desarrollo, y que por disposición de la Ley de transparencia y acceso a la información pública, debe publicar la entidad de manera proactiva.</w:t>
      </w:r>
    </w:p>
    <w:p w:rsidRPr="00275AFB" w:rsidR="00275AFB" w:rsidP="00275AFB" w:rsidRDefault="00275AFB" w14:paraId="0551431F" w14:textId="77777777">
      <w:pPr>
        <w:spacing w:before="120" w:after="120" w:line="276" w:lineRule="auto"/>
        <w:ind w:firstLine="709"/>
        <w:jc w:val="both"/>
        <w:rPr>
          <w:rFonts w:ascii="Arial" w:hAnsi="Arial" w:eastAsia="Calibri" w:cs="Arial"/>
          <w:sz w:val="22"/>
          <w:lang w:val="es-ES_tradnl"/>
        </w:rPr>
      </w:pPr>
      <w:r w:rsidRPr="00275AFB">
        <w:rPr>
          <w:rFonts w:ascii="Arial" w:hAnsi="Arial" w:eastAsia="Calibri" w:cs="Arial"/>
          <w:sz w:val="22"/>
          <w:lang w:val="es-ES_tradnl"/>
        </w:rPr>
        <w:t xml:space="preserve">Ahora, es importante resaltar que, al no existir efectos derogatorios o </w:t>
      </w:r>
      <w:proofErr w:type="spellStart"/>
      <w:r w:rsidRPr="00275AFB">
        <w:rPr>
          <w:rFonts w:ascii="Arial" w:hAnsi="Arial" w:eastAsia="Calibri" w:cs="Arial"/>
          <w:sz w:val="22"/>
          <w:lang w:val="es-ES_tradnl"/>
        </w:rPr>
        <w:t>subrogatorios</w:t>
      </w:r>
      <w:proofErr w:type="spellEnd"/>
      <w:r w:rsidRPr="00275AFB">
        <w:rPr>
          <w:rFonts w:ascii="Arial" w:hAnsi="Arial" w:eastAsia="Calibri" w:cs="Arial"/>
          <w:sz w:val="22"/>
          <w:lang w:val="es-ES_tradnl"/>
        </w:rPr>
        <w:t xml:space="preserve"> entre las disposiciones del EGCAP y la normativa de la transparencia y el acceso a la información pública, las disposiciones de ambos regímenes deben ser interpretadas de manera complementaria. Esto significa que a pesar de que los documentos objeto de publicación según el Decreto 1082 de 2015, se encuentren recogidos dentro de los que deben ser publicados conforme a la Ley 1712 de 2014 y el Decreto 1081 de 2015, deberán respetarse los aspectos expresamente regulados en cada norma, como, por ejemplo, el término de publicación y la excepción de publicación de los documentos de las operaciones que se celebren en bolsa de productos, conforme al </w:t>
      </w:r>
      <w:r w:rsidRPr="00275AFB">
        <w:rPr>
          <w:rFonts w:ascii="Arial" w:hAnsi="Arial" w:eastAsia="Arial" w:cs="Arial"/>
          <w:sz w:val="22"/>
          <w:lang w:val="es-ES_tradnl"/>
        </w:rPr>
        <w:t>artículo 2.2.1.1.1.7.1. del Decreto 1082 de 2015.</w:t>
      </w:r>
    </w:p>
    <w:p w:rsidRPr="00275AFB" w:rsidR="00275AFB" w:rsidP="00275AFB" w:rsidRDefault="00275AFB" w14:paraId="1988C16C" w14:textId="77777777">
      <w:pPr>
        <w:spacing w:before="120" w:after="120" w:line="276" w:lineRule="auto"/>
        <w:ind w:firstLine="709"/>
        <w:jc w:val="both"/>
        <w:rPr>
          <w:rFonts w:ascii="Arial" w:hAnsi="Arial" w:cs="Arial"/>
          <w:sz w:val="22"/>
          <w:lang w:val="es-ES_tradnl"/>
        </w:rPr>
      </w:pPr>
      <w:r w:rsidRPr="00275AFB">
        <w:rPr>
          <w:rFonts w:ascii="Arial" w:hAnsi="Arial" w:eastAsia="Calibri" w:cs="Arial"/>
          <w:sz w:val="22"/>
          <w:lang w:val="es-ES_tradnl"/>
        </w:rPr>
        <w:t xml:space="preserve">De conformidad con lo anterior, esta interpretación de las disposiciones analizadas permite incorporar al EGCAP importantes principios desarrollados por la normativa de la transparencia y acceso a la información pública, como los de </w:t>
      </w:r>
      <w:r w:rsidRPr="00275AFB">
        <w:rPr>
          <w:rFonts w:ascii="Arial" w:hAnsi="Arial" w:cs="Arial"/>
          <w:sz w:val="22"/>
          <w:lang w:val="es-ES_tradnl"/>
        </w:rPr>
        <w:t>máxima publicidad para un titular universal</w:t>
      </w:r>
      <w:r w:rsidRPr="00275AFB">
        <w:rPr>
          <w:rFonts w:ascii="Arial" w:hAnsi="Arial" w:cs="Arial"/>
          <w:sz w:val="22"/>
          <w:vertAlign w:val="superscript"/>
          <w:lang w:val="es-ES_tradnl"/>
        </w:rPr>
        <w:footnoteReference w:id="10"/>
      </w:r>
      <w:r w:rsidRPr="00275AFB">
        <w:rPr>
          <w:rFonts w:ascii="Arial" w:hAnsi="Arial" w:cs="Arial"/>
          <w:sz w:val="22"/>
          <w:lang w:val="es-ES_tradnl"/>
        </w:rPr>
        <w:t>, transparencia, facilitación y divulgación proactiva de la información</w:t>
      </w:r>
      <w:r w:rsidRPr="00275AFB">
        <w:rPr>
          <w:rFonts w:ascii="Arial" w:hAnsi="Arial" w:cs="Arial"/>
          <w:sz w:val="22"/>
          <w:vertAlign w:val="superscript"/>
          <w:lang w:val="es-ES_tradnl"/>
        </w:rPr>
        <w:footnoteReference w:id="11"/>
      </w:r>
      <w:r w:rsidRPr="00275AFB">
        <w:rPr>
          <w:rFonts w:ascii="Arial" w:hAnsi="Arial" w:cs="Arial"/>
          <w:sz w:val="22"/>
          <w:lang w:val="es-ES_tradnl"/>
        </w:rPr>
        <w:t xml:space="preserve">. Ello por </w:t>
      </w:r>
      <w:r w:rsidRPr="00275AFB">
        <w:rPr>
          <w:rFonts w:ascii="Arial" w:hAnsi="Arial" w:cs="Arial"/>
          <w:sz w:val="22"/>
          <w:lang w:val="es-ES_tradnl"/>
        </w:rPr>
        <w:t>cuanto,</w:t>
      </w:r>
      <w:r w:rsidRPr="00275AFB">
        <w:rPr>
          <w:rFonts w:ascii="Arial" w:hAnsi="Arial" w:cs="Arial"/>
          <w:i/>
          <w:iCs/>
          <w:sz w:val="22"/>
          <w:lang w:val="es-ES_tradnl"/>
        </w:rPr>
        <w:t xml:space="preserve"> </w:t>
      </w:r>
      <w:r w:rsidRPr="00275AFB">
        <w:rPr>
          <w:rFonts w:ascii="Arial" w:hAnsi="Arial" w:cs="Arial"/>
          <w:sz w:val="22"/>
          <w:lang w:val="es-ES_tradnl"/>
        </w:rPr>
        <w:t>al ampliarse la actividad contractual sobre la que recae el deber de publicación, se divulga un mayor volumen de información, que, de por sí, es pública, mediante un mecanismo como el SECOP, que facilita el acceso a la misma desde cualquier dispositivo con acceso a internet. Con ello se garantiza mayor transparencia, al obligarse a las entidades estatales a publicar sus actuaciones de manera proactiva y rutinaria, lo que permite que la ciudadanía conozca con detalle y actualidad el desarrollo de la gestión contractual de la Administración, fomentándose en la contratación pública estándares altos de transparencia.</w:t>
      </w:r>
    </w:p>
    <w:p w:rsidRPr="00275AFB" w:rsidR="00275AFB" w:rsidP="00275AFB" w:rsidRDefault="00275AFB" w14:paraId="2E7118D0" w14:textId="77777777">
      <w:pPr>
        <w:spacing w:before="120" w:after="120" w:line="276" w:lineRule="auto"/>
        <w:ind w:firstLine="709"/>
        <w:jc w:val="both"/>
        <w:rPr>
          <w:rFonts w:ascii="Arial" w:hAnsi="Arial" w:eastAsia="Calibri" w:cs="Arial"/>
          <w:sz w:val="22"/>
          <w:lang w:val="es-ES_tradnl"/>
        </w:rPr>
      </w:pPr>
      <w:r w:rsidRPr="00275AFB">
        <w:rPr>
          <w:rFonts w:ascii="Arial" w:hAnsi="Arial" w:cs="Arial"/>
          <w:sz w:val="22"/>
          <w:lang w:val="es-ES_tradnl"/>
        </w:rPr>
        <w:t xml:space="preserve">En conclusión, con base en los fundamentos normativos y argumentos expuestos, además del Plan Anual de Adquisiciones, las entidades estatales regidas por el EGCAP deberán publicar en SECOP, entre otros, los siguientes documentos expedidos con ocasión del </w:t>
      </w:r>
      <w:r w:rsidRPr="00275AFB">
        <w:rPr>
          <w:rFonts w:ascii="Arial" w:hAnsi="Arial" w:cs="Arial"/>
          <w:i/>
          <w:iCs/>
          <w:sz w:val="22"/>
          <w:lang w:val="es-ES_tradnl"/>
        </w:rPr>
        <w:t>proceso de contratación</w:t>
      </w:r>
      <w:r w:rsidRPr="00275AFB">
        <w:rPr>
          <w:rFonts w:ascii="Arial" w:hAnsi="Arial" w:cs="Arial"/>
          <w:sz w:val="22"/>
          <w:lang w:val="es-ES_tradnl"/>
        </w:rPr>
        <w:t xml:space="preserve">: </w:t>
      </w:r>
    </w:p>
    <w:p w:rsidRPr="00275AFB" w:rsidR="00275AFB" w:rsidP="00275AFB" w:rsidRDefault="00275AFB" w14:paraId="43D1AF77" w14:textId="77777777">
      <w:pPr>
        <w:spacing w:line="276" w:lineRule="auto"/>
        <w:ind w:firstLine="709"/>
        <w:jc w:val="both"/>
        <w:rPr>
          <w:rFonts w:ascii="Arial" w:hAnsi="Arial" w:cs="Arial"/>
          <w:sz w:val="22"/>
          <w:lang w:val="es-ES_tradnl"/>
        </w:rPr>
      </w:pPr>
      <w:r w:rsidRPr="00275AFB">
        <w:rPr>
          <w:rFonts w:ascii="Arial" w:hAnsi="Arial" w:cs="Arial"/>
          <w:sz w:val="22"/>
          <w:lang w:val="es-ES_tradnl"/>
        </w:rPr>
        <w:t>i) El estudio de oportunidad y conveniencia.</w:t>
      </w:r>
    </w:p>
    <w:p w:rsidRPr="00275AFB" w:rsidR="00275AFB" w:rsidP="00275AFB" w:rsidRDefault="00275AFB" w14:paraId="22075E15" w14:textId="77777777">
      <w:pPr>
        <w:spacing w:line="276" w:lineRule="auto"/>
        <w:ind w:firstLine="709"/>
        <w:jc w:val="both"/>
        <w:rPr>
          <w:rFonts w:ascii="Arial" w:hAnsi="Arial" w:cs="Arial"/>
          <w:sz w:val="22"/>
          <w:lang w:val="es-ES_tradnl"/>
        </w:rPr>
      </w:pPr>
      <w:r w:rsidRPr="00275AFB">
        <w:rPr>
          <w:rFonts w:ascii="Arial" w:hAnsi="Arial" w:cs="Arial"/>
          <w:sz w:val="22"/>
          <w:lang w:val="es-ES_tradnl"/>
        </w:rPr>
        <w:t>ii) Los estudios y documentos previos –técnicos o no–.</w:t>
      </w:r>
    </w:p>
    <w:p w:rsidRPr="00275AFB" w:rsidR="00275AFB" w:rsidP="00275AFB" w:rsidRDefault="00275AFB" w14:paraId="1947E628" w14:textId="77777777">
      <w:pPr>
        <w:spacing w:line="276" w:lineRule="auto"/>
        <w:ind w:firstLine="709"/>
        <w:jc w:val="both"/>
        <w:rPr>
          <w:rFonts w:ascii="Arial" w:hAnsi="Arial" w:cs="Arial"/>
          <w:sz w:val="22"/>
          <w:lang w:val="es-ES_tradnl"/>
        </w:rPr>
      </w:pPr>
      <w:r w:rsidRPr="00275AFB">
        <w:rPr>
          <w:rFonts w:ascii="Arial" w:hAnsi="Arial" w:cs="Arial"/>
          <w:sz w:val="22"/>
          <w:lang w:val="es-ES_tradnl"/>
        </w:rPr>
        <w:t xml:space="preserve">iii) El aviso de convocatoria. </w:t>
      </w:r>
    </w:p>
    <w:p w:rsidRPr="00275AFB" w:rsidR="00275AFB" w:rsidP="00275AFB" w:rsidRDefault="00275AFB" w14:paraId="42A19A93" w14:textId="77777777">
      <w:pPr>
        <w:spacing w:line="276" w:lineRule="auto"/>
        <w:ind w:firstLine="709"/>
        <w:jc w:val="both"/>
        <w:rPr>
          <w:rFonts w:ascii="Arial" w:hAnsi="Arial" w:cs="Arial"/>
          <w:sz w:val="22"/>
          <w:lang w:val="es-ES_tradnl"/>
        </w:rPr>
      </w:pPr>
      <w:r w:rsidRPr="00275AFB">
        <w:rPr>
          <w:rFonts w:ascii="Arial" w:hAnsi="Arial" w:cs="Arial"/>
          <w:sz w:val="22"/>
          <w:lang w:val="es-ES_tradnl"/>
        </w:rPr>
        <w:t>iv) El proyecto de pliego de condiciones y las observaciones que le formulen.</w:t>
      </w:r>
    </w:p>
    <w:p w:rsidRPr="00275AFB" w:rsidR="00275AFB" w:rsidP="00D747C4" w:rsidRDefault="00275AFB" w14:paraId="2B14B3AE" w14:textId="77777777">
      <w:pPr>
        <w:spacing w:line="276" w:lineRule="auto"/>
        <w:ind w:left="708" w:firstLine="1"/>
        <w:jc w:val="both"/>
        <w:rPr>
          <w:rFonts w:ascii="Arial" w:hAnsi="Arial" w:cs="Arial"/>
          <w:sz w:val="22"/>
          <w:lang w:val="es-ES_tradnl"/>
        </w:rPr>
      </w:pPr>
      <w:r w:rsidRPr="00275AFB">
        <w:rPr>
          <w:rFonts w:ascii="Arial" w:hAnsi="Arial" w:cs="Arial"/>
          <w:sz w:val="22"/>
          <w:lang w:val="es-ES_tradnl"/>
        </w:rPr>
        <w:t>v) El pliego de condiciones o la invitación, así como las observaciones que se les realicen.</w:t>
      </w:r>
    </w:p>
    <w:p w:rsidRPr="00275AFB" w:rsidR="00275AFB" w:rsidP="00275AFB" w:rsidRDefault="00275AFB" w14:paraId="62986424" w14:textId="77777777">
      <w:pPr>
        <w:spacing w:line="276" w:lineRule="auto"/>
        <w:ind w:firstLine="709"/>
        <w:jc w:val="both"/>
        <w:rPr>
          <w:rFonts w:ascii="Arial" w:hAnsi="Arial" w:cs="Arial"/>
          <w:sz w:val="22"/>
          <w:lang w:val="es-ES_tradnl"/>
        </w:rPr>
      </w:pPr>
      <w:r w:rsidRPr="00275AFB">
        <w:rPr>
          <w:rFonts w:ascii="Arial" w:hAnsi="Arial" w:cs="Arial"/>
          <w:sz w:val="22"/>
          <w:lang w:val="es-ES_tradnl"/>
        </w:rPr>
        <w:t>vi) Las actas de la audiencia de asignación de riesgos.</w:t>
      </w:r>
    </w:p>
    <w:p w:rsidRPr="00275AFB" w:rsidR="00275AFB" w:rsidP="00275AFB" w:rsidRDefault="00275AFB" w14:paraId="310B6A2D" w14:textId="77777777">
      <w:pPr>
        <w:spacing w:line="276" w:lineRule="auto"/>
        <w:ind w:firstLine="709"/>
        <w:jc w:val="both"/>
        <w:rPr>
          <w:rFonts w:ascii="Arial" w:hAnsi="Arial" w:cs="Arial"/>
          <w:sz w:val="22"/>
          <w:lang w:val="es-ES_tradnl"/>
        </w:rPr>
      </w:pPr>
      <w:r w:rsidRPr="00275AFB">
        <w:rPr>
          <w:rFonts w:ascii="Arial" w:hAnsi="Arial" w:cs="Arial"/>
          <w:sz w:val="22"/>
          <w:lang w:val="es-ES_tradnl"/>
        </w:rPr>
        <w:t>vii) El acta de cierre del plazo para presentar ofertas.</w:t>
      </w:r>
    </w:p>
    <w:p w:rsidRPr="00275AFB" w:rsidR="00275AFB" w:rsidP="00275AFB" w:rsidRDefault="00275AFB" w14:paraId="5F39B243" w14:textId="77777777">
      <w:pPr>
        <w:spacing w:line="276" w:lineRule="auto"/>
        <w:ind w:firstLine="709"/>
        <w:jc w:val="both"/>
        <w:rPr>
          <w:rFonts w:ascii="Arial" w:hAnsi="Arial" w:cs="Arial"/>
          <w:sz w:val="22"/>
          <w:lang w:val="es-ES_tradnl"/>
        </w:rPr>
      </w:pPr>
      <w:r w:rsidRPr="00275AFB">
        <w:rPr>
          <w:rFonts w:ascii="Arial" w:hAnsi="Arial" w:cs="Arial"/>
          <w:sz w:val="22"/>
          <w:lang w:val="es-ES_tradnl"/>
        </w:rPr>
        <w:t>viii) Las adendas.</w:t>
      </w:r>
    </w:p>
    <w:p w:rsidRPr="00275AFB" w:rsidR="00275AFB" w:rsidP="004A40D6" w:rsidRDefault="00275AFB" w14:paraId="068B2301" w14:textId="77777777">
      <w:pPr>
        <w:spacing w:line="276" w:lineRule="auto"/>
        <w:ind w:left="708" w:firstLine="1"/>
        <w:jc w:val="both"/>
        <w:rPr>
          <w:rFonts w:ascii="Arial" w:hAnsi="Arial" w:cs="Arial"/>
          <w:sz w:val="22"/>
          <w:lang w:val="es-ES_tradnl"/>
        </w:rPr>
      </w:pPr>
      <w:r w:rsidRPr="00275AFB">
        <w:rPr>
          <w:rFonts w:ascii="Arial" w:hAnsi="Arial" w:cs="Arial"/>
          <w:sz w:val="22"/>
          <w:lang w:val="es-ES_tradnl"/>
        </w:rPr>
        <w:t>ix) En procesos cuya publicación deba realizarse en SECOP I, la oferta del adjudicatario y las aclaraciones que se le realicen.</w:t>
      </w:r>
    </w:p>
    <w:p w:rsidRPr="00275AFB" w:rsidR="00275AFB" w:rsidP="00275AFB" w:rsidRDefault="00275AFB" w14:paraId="4DEA3362" w14:textId="77777777">
      <w:pPr>
        <w:spacing w:line="276" w:lineRule="auto"/>
        <w:ind w:firstLine="709"/>
        <w:jc w:val="both"/>
        <w:rPr>
          <w:rFonts w:ascii="Arial" w:hAnsi="Arial" w:cs="Arial"/>
          <w:sz w:val="22"/>
          <w:lang w:val="es-ES_tradnl"/>
        </w:rPr>
      </w:pPr>
      <w:r w:rsidRPr="00275AFB">
        <w:rPr>
          <w:rFonts w:ascii="Arial" w:hAnsi="Arial" w:cs="Arial"/>
          <w:sz w:val="22"/>
          <w:lang w:val="es-ES_tradnl"/>
        </w:rPr>
        <w:t>x) El informe de precalificación y las observaciones que se formulen.</w:t>
      </w:r>
    </w:p>
    <w:p w:rsidRPr="00275AFB" w:rsidR="00275AFB" w:rsidP="00275AFB" w:rsidRDefault="00275AFB" w14:paraId="2D78FFA7" w14:textId="77777777">
      <w:pPr>
        <w:spacing w:line="276" w:lineRule="auto"/>
        <w:ind w:firstLine="709"/>
        <w:jc w:val="both"/>
        <w:rPr>
          <w:rFonts w:ascii="Arial" w:hAnsi="Arial" w:cs="Arial"/>
          <w:sz w:val="22"/>
          <w:lang w:val="es-ES_tradnl"/>
        </w:rPr>
      </w:pPr>
      <w:r w:rsidRPr="00275AFB">
        <w:rPr>
          <w:rFonts w:ascii="Arial" w:hAnsi="Arial" w:cs="Arial"/>
          <w:sz w:val="22"/>
          <w:lang w:val="es-ES_tradnl"/>
        </w:rPr>
        <w:t xml:space="preserve">xi) El informe de evaluación y las observaciones que se formulen. </w:t>
      </w:r>
    </w:p>
    <w:p w:rsidRPr="00275AFB" w:rsidR="00275AFB" w:rsidP="00275AFB" w:rsidRDefault="00275AFB" w14:paraId="5F4C3092" w14:textId="77777777">
      <w:pPr>
        <w:spacing w:line="276" w:lineRule="auto"/>
        <w:ind w:firstLine="709"/>
        <w:jc w:val="both"/>
        <w:rPr>
          <w:rFonts w:ascii="Arial" w:hAnsi="Arial" w:cs="Arial"/>
          <w:sz w:val="22"/>
          <w:lang w:val="es-ES_tradnl"/>
        </w:rPr>
      </w:pPr>
      <w:r w:rsidRPr="00275AFB">
        <w:rPr>
          <w:rFonts w:ascii="Arial" w:hAnsi="Arial" w:cs="Arial"/>
          <w:sz w:val="22"/>
          <w:lang w:val="es-ES_tradnl"/>
        </w:rPr>
        <w:t xml:space="preserve">xii) Las respuestas a las observaciones. </w:t>
      </w:r>
    </w:p>
    <w:p w:rsidRPr="00275AFB" w:rsidR="00275AFB" w:rsidP="00275AFB" w:rsidRDefault="00275AFB" w14:paraId="03A0A946" w14:textId="77777777">
      <w:pPr>
        <w:spacing w:line="276" w:lineRule="auto"/>
        <w:ind w:firstLine="709"/>
        <w:jc w:val="both"/>
        <w:rPr>
          <w:rFonts w:ascii="Arial" w:hAnsi="Arial" w:cs="Arial"/>
          <w:sz w:val="22"/>
          <w:lang w:val="es-ES_tradnl"/>
        </w:rPr>
      </w:pPr>
      <w:r w:rsidRPr="00275AFB">
        <w:rPr>
          <w:rFonts w:ascii="Arial" w:hAnsi="Arial" w:cs="Arial"/>
          <w:sz w:val="22"/>
          <w:lang w:val="es-ES_tradnl"/>
        </w:rPr>
        <w:t>xiii) El contrato y los otrosíes o modificaciones.</w:t>
      </w:r>
    </w:p>
    <w:p w:rsidRPr="00275AFB" w:rsidR="00275AFB" w:rsidP="00275AFB" w:rsidRDefault="00275AFB" w14:paraId="6E838F86" w14:textId="77777777">
      <w:pPr>
        <w:spacing w:line="276" w:lineRule="auto"/>
        <w:ind w:firstLine="709"/>
        <w:jc w:val="both"/>
        <w:rPr>
          <w:rFonts w:ascii="Arial" w:hAnsi="Arial" w:cs="Arial"/>
          <w:sz w:val="22"/>
          <w:lang w:val="es-ES_tradnl"/>
        </w:rPr>
      </w:pPr>
      <w:r w:rsidRPr="00275AFB">
        <w:rPr>
          <w:rFonts w:ascii="Arial" w:hAnsi="Arial" w:cs="Arial"/>
          <w:sz w:val="22"/>
          <w:lang w:val="es-ES_tradnl"/>
        </w:rPr>
        <w:t xml:space="preserve">xiv) El acta de inicio. </w:t>
      </w:r>
    </w:p>
    <w:p w:rsidRPr="00275AFB" w:rsidR="00275AFB" w:rsidP="00275AFB" w:rsidRDefault="00275AFB" w14:paraId="7293E2AE" w14:textId="77777777">
      <w:pPr>
        <w:spacing w:line="276" w:lineRule="auto"/>
        <w:ind w:firstLine="709"/>
        <w:jc w:val="both"/>
        <w:rPr>
          <w:rFonts w:ascii="Arial" w:hAnsi="Arial" w:cs="Arial"/>
          <w:sz w:val="22"/>
          <w:lang w:val="es-ES_tradnl"/>
        </w:rPr>
      </w:pPr>
      <w:r w:rsidRPr="00275AFB">
        <w:rPr>
          <w:rFonts w:ascii="Arial" w:hAnsi="Arial" w:cs="Arial"/>
          <w:sz w:val="22"/>
          <w:lang w:val="es-ES_tradnl"/>
        </w:rPr>
        <w:t xml:space="preserve">xv) Las garantías. </w:t>
      </w:r>
    </w:p>
    <w:p w:rsidRPr="00275AFB" w:rsidR="00275AFB" w:rsidP="00275AFB" w:rsidRDefault="00275AFB" w14:paraId="02CFDE9B" w14:textId="77777777">
      <w:pPr>
        <w:spacing w:line="276" w:lineRule="auto"/>
        <w:ind w:firstLine="709"/>
        <w:jc w:val="both"/>
        <w:rPr>
          <w:rFonts w:ascii="Arial" w:hAnsi="Arial" w:cs="Arial"/>
          <w:sz w:val="22"/>
          <w:lang w:val="es-ES_tradnl"/>
        </w:rPr>
      </w:pPr>
      <w:r w:rsidRPr="00275AFB">
        <w:rPr>
          <w:rFonts w:ascii="Arial" w:hAnsi="Arial" w:cs="Arial"/>
          <w:sz w:val="22"/>
          <w:lang w:val="es-ES_tradnl"/>
        </w:rPr>
        <w:t xml:space="preserve">xvi) El acta de liquidación. </w:t>
      </w:r>
    </w:p>
    <w:p w:rsidRPr="00275AFB" w:rsidR="00275AFB" w:rsidP="00D747C4" w:rsidRDefault="00275AFB" w14:paraId="1C1C6534" w14:textId="77777777">
      <w:pPr>
        <w:spacing w:line="276" w:lineRule="auto"/>
        <w:ind w:left="708" w:firstLine="1"/>
        <w:jc w:val="both"/>
        <w:rPr>
          <w:rFonts w:ascii="Arial" w:hAnsi="Arial" w:cs="Arial"/>
          <w:sz w:val="22"/>
          <w:lang w:val="es-ES_tradnl"/>
        </w:rPr>
      </w:pPr>
      <w:r w:rsidRPr="00275AFB">
        <w:rPr>
          <w:rFonts w:ascii="Arial" w:hAnsi="Arial" w:cs="Arial"/>
          <w:sz w:val="22"/>
          <w:lang w:val="es-ES_tradnl"/>
        </w:rPr>
        <w:t>xvii) Los actos administrativos expedidos con ocasión del procedimiento de selección o la ejecución del contrato, como las resoluciones de apertura, de adjudicación, las que se impongan multas, la cláusula penal o declaren la caducidad del contrato.</w:t>
      </w:r>
    </w:p>
    <w:p w:rsidRPr="00275AFB" w:rsidR="00275AFB" w:rsidP="00D747C4" w:rsidRDefault="00275AFB" w14:paraId="616A6BD1" w14:textId="77777777">
      <w:pPr>
        <w:spacing w:line="276" w:lineRule="auto"/>
        <w:ind w:left="708" w:firstLine="1"/>
        <w:jc w:val="both"/>
        <w:rPr>
          <w:rFonts w:ascii="Arial" w:hAnsi="Arial" w:cs="Arial"/>
          <w:sz w:val="22"/>
          <w:lang w:val="es-ES_tradnl"/>
        </w:rPr>
      </w:pPr>
      <w:r w:rsidRPr="00275AFB">
        <w:rPr>
          <w:rFonts w:ascii="Arial" w:hAnsi="Arial" w:cs="Arial"/>
          <w:sz w:val="22"/>
          <w:lang w:val="es-ES_tradnl"/>
        </w:rPr>
        <w:t xml:space="preserve">xviii) Los documentos de los procesos por incumplimiento contractual que se lleven a cabo conforme al artículo 86 de la Ley 1474 de 2011, como la citación, las pruebas que se practiquen, la resolución que resuelve la actuación y demás documentos que se produzcan. </w:t>
      </w:r>
    </w:p>
    <w:p w:rsidRPr="00275AFB" w:rsidR="00275AFB" w:rsidP="00D747C4" w:rsidRDefault="00275AFB" w14:paraId="6E2CEFF4" w14:textId="77777777">
      <w:pPr>
        <w:spacing w:line="276" w:lineRule="auto"/>
        <w:ind w:left="708" w:firstLine="1"/>
        <w:jc w:val="both"/>
        <w:rPr>
          <w:rFonts w:ascii="Arial" w:hAnsi="Arial" w:cs="Arial"/>
          <w:sz w:val="22"/>
          <w:lang w:val="es-ES_tradnl"/>
        </w:rPr>
      </w:pPr>
      <w:r w:rsidRPr="00275AFB">
        <w:rPr>
          <w:rFonts w:ascii="Arial" w:hAnsi="Arial" w:cs="Arial"/>
          <w:sz w:val="22"/>
          <w:lang w:val="es-ES_tradnl"/>
        </w:rPr>
        <w:t xml:space="preserve">ix) Las reclamaciones que presenten las partes y las respuestas que se expidan a las mismas. </w:t>
      </w:r>
    </w:p>
    <w:p w:rsidRPr="00275AFB" w:rsidR="00275AFB" w:rsidP="00275AFB" w:rsidRDefault="00275AFB" w14:paraId="56322840" w14:textId="77777777">
      <w:pPr>
        <w:spacing w:line="276" w:lineRule="auto"/>
        <w:ind w:firstLine="709"/>
        <w:jc w:val="both"/>
        <w:rPr>
          <w:rFonts w:ascii="Arial" w:hAnsi="Arial" w:cs="Arial"/>
          <w:sz w:val="22"/>
          <w:lang w:val="es-ES_tradnl"/>
        </w:rPr>
      </w:pPr>
      <w:r w:rsidRPr="00275AFB">
        <w:rPr>
          <w:rFonts w:ascii="Arial" w:hAnsi="Arial" w:cs="Arial"/>
          <w:sz w:val="22"/>
          <w:lang w:val="es-ES_tradnl"/>
        </w:rPr>
        <w:t xml:space="preserve">xx) Las actas de entrega o recibo. </w:t>
      </w:r>
    </w:p>
    <w:p w:rsidRPr="00275AFB" w:rsidR="00275AFB" w:rsidP="00275AFB" w:rsidRDefault="00275AFB" w14:paraId="5411D716" w14:textId="77777777">
      <w:pPr>
        <w:spacing w:line="276" w:lineRule="auto"/>
        <w:ind w:firstLine="709"/>
        <w:jc w:val="both"/>
        <w:rPr>
          <w:rFonts w:ascii="Arial" w:hAnsi="Arial" w:cs="Arial"/>
          <w:sz w:val="22"/>
          <w:lang w:val="es-ES_tradnl"/>
        </w:rPr>
      </w:pPr>
      <w:r w:rsidRPr="00275AFB">
        <w:rPr>
          <w:rFonts w:ascii="Arial" w:hAnsi="Arial" w:cs="Arial"/>
          <w:sz w:val="22"/>
          <w:lang w:val="es-ES_tradnl"/>
        </w:rPr>
        <w:t xml:space="preserve">xxi) Los informes de supervisión y/o interventoría. </w:t>
      </w:r>
    </w:p>
    <w:p w:rsidRPr="00275AFB" w:rsidR="00275AFB" w:rsidP="00D747C4" w:rsidRDefault="00275AFB" w14:paraId="6E6FC417" w14:textId="77777777">
      <w:pPr>
        <w:spacing w:line="276" w:lineRule="auto"/>
        <w:ind w:left="708" w:firstLine="1"/>
        <w:jc w:val="both"/>
        <w:rPr>
          <w:rFonts w:ascii="Arial" w:hAnsi="Arial" w:cs="Arial"/>
          <w:sz w:val="22"/>
          <w:lang w:val="es-ES_tradnl"/>
        </w:rPr>
      </w:pPr>
      <w:r w:rsidRPr="00275AFB">
        <w:rPr>
          <w:rFonts w:ascii="Arial" w:hAnsi="Arial" w:cs="Arial"/>
          <w:sz w:val="22"/>
          <w:lang w:val="es-ES_tradnl"/>
        </w:rPr>
        <w:t>xxii) En cuanto a la ejecución, de conformidad con el artículo 2.1.1.2.1.8 de Decreto 1081 de 2015, deberán publicarse las aprobaciones, autorizaciones, requerimientos o informes del supervisor o del interventor, que prueben la ejecución del contrato.</w:t>
      </w:r>
    </w:p>
    <w:p w:rsidRPr="00275AFB" w:rsidR="00275AFB" w:rsidP="00275AFB" w:rsidRDefault="00275AFB" w14:paraId="52355F0B" w14:textId="77777777">
      <w:pPr>
        <w:spacing w:line="276" w:lineRule="auto"/>
        <w:ind w:firstLine="709"/>
        <w:jc w:val="both"/>
        <w:rPr>
          <w:rFonts w:ascii="Arial" w:hAnsi="Arial" w:cs="Arial"/>
          <w:sz w:val="22"/>
          <w:lang w:val="es-ES_tradnl"/>
        </w:rPr>
      </w:pPr>
      <w:r w:rsidRPr="00275AFB">
        <w:rPr>
          <w:rFonts w:ascii="Arial" w:hAnsi="Arial" w:cs="Arial"/>
          <w:sz w:val="22"/>
          <w:lang w:val="es-ES_tradnl"/>
        </w:rPr>
        <w:t xml:space="preserve">xxiii) La liquidación unilateral. </w:t>
      </w:r>
    </w:p>
    <w:p w:rsidRPr="00275AFB" w:rsidR="00275AFB" w:rsidP="00D747C4" w:rsidRDefault="00275AFB" w14:paraId="6BF0AAEB" w14:textId="77777777">
      <w:pPr>
        <w:spacing w:line="276" w:lineRule="auto"/>
        <w:ind w:left="708" w:firstLine="1"/>
        <w:jc w:val="both"/>
        <w:rPr>
          <w:rFonts w:ascii="Arial" w:hAnsi="Arial" w:cs="Arial"/>
          <w:sz w:val="22"/>
          <w:lang w:val="es-ES_tradnl"/>
        </w:rPr>
      </w:pPr>
      <w:r w:rsidRPr="00275AFB">
        <w:rPr>
          <w:rFonts w:ascii="Arial" w:hAnsi="Arial" w:cs="Arial"/>
          <w:sz w:val="22"/>
          <w:lang w:val="es-ES_tradnl"/>
        </w:rPr>
        <w:t xml:space="preserve">xxiv) En general, cualquier otro documento producido o expedido con ocasión del </w:t>
      </w:r>
      <w:r w:rsidRPr="00275AFB">
        <w:rPr>
          <w:rFonts w:ascii="Arial" w:hAnsi="Arial" w:cs="Arial"/>
          <w:i/>
          <w:iCs/>
          <w:sz w:val="22"/>
          <w:lang w:val="es-ES_tradnl"/>
        </w:rPr>
        <w:t>Proceso de Contratación</w:t>
      </w:r>
      <w:r w:rsidRPr="00275AFB">
        <w:rPr>
          <w:rFonts w:ascii="Arial" w:hAnsi="Arial" w:cs="Arial"/>
          <w:sz w:val="22"/>
          <w:lang w:val="es-ES_tradnl"/>
        </w:rPr>
        <w:t>, sin importar quién sea su autor –la Administración o el contratista–, con excepción de los que pertenecen a</w:t>
      </w:r>
      <w:r w:rsidRPr="00275AFB">
        <w:rPr>
          <w:rFonts w:ascii="Arial" w:hAnsi="Arial" w:eastAsia="Arial" w:cs="Arial"/>
          <w:sz w:val="22"/>
          <w:lang w:val="es-ES_tradnl"/>
        </w:rPr>
        <w:t xml:space="preserve">l marco de operaciones de bolsa de productos, expresamente excluidos de publicación por el artículo 2.2.1.1.1.7.1. del Decreto 1082 de 2015. </w:t>
      </w:r>
    </w:p>
    <w:p w:rsidRPr="00275AFB" w:rsidR="00275AFB" w:rsidP="00275AFB" w:rsidRDefault="00275AFB" w14:paraId="0AD9EB44" w14:textId="180E63A6">
      <w:pPr>
        <w:spacing w:before="120" w:line="276" w:lineRule="auto"/>
        <w:ind w:firstLine="709"/>
        <w:jc w:val="both"/>
        <w:rPr>
          <w:rFonts w:ascii="Arial" w:hAnsi="Arial" w:cs="Arial"/>
          <w:sz w:val="22"/>
          <w:lang w:val="es-ES_tradnl"/>
        </w:rPr>
      </w:pPr>
      <w:r w:rsidRPr="00275AFB">
        <w:rPr>
          <w:rFonts w:ascii="Arial" w:hAnsi="Arial" w:cs="Arial"/>
          <w:sz w:val="22"/>
          <w:lang w:val="es-ES_tradnl"/>
        </w:rPr>
        <w:t>Sin perjuicio de lo anterior, no debe perderse de vista que en virtud del principio de transparencia, específicamente por cuenta de lo dispuesto en el numeral 4 del artículo 24 de la Ley 80 de 1993</w:t>
      </w:r>
      <w:r w:rsidRPr="00275AFB">
        <w:rPr>
          <w:rFonts w:ascii="Arial" w:hAnsi="Arial" w:cs="Arial"/>
          <w:sz w:val="22"/>
          <w:vertAlign w:val="superscript"/>
          <w:lang w:val="es-ES_tradnl"/>
        </w:rPr>
        <w:footnoteReference w:id="12"/>
      </w:r>
      <w:r w:rsidRPr="00275AFB">
        <w:rPr>
          <w:rFonts w:ascii="Arial" w:hAnsi="Arial" w:cs="Arial"/>
          <w:sz w:val="22"/>
          <w:lang w:val="es-ES_tradnl"/>
        </w:rPr>
        <w:t>, así como por el principio de máxima publicidad establecido en el artículo 2 de la Ley 1712 de 2014</w:t>
      </w:r>
      <w:r w:rsidRPr="00275AFB">
        <w:rPr>
          <w:rFonts w:ascii="Arial" w:hAnsi="Arial" w:cs="Arial"/>
          <w:sz w:val="22"/>
          <w:vertAlign w:val="superscript"/>
          <w:lang w:val="es-ES_tradnl"/>
        </w:rPr>
        <w:footnoteReference w:id="13"/>
      </w:r>
      <w:r w:rsidRPr="00275AFB">
        <w:rPr>
          <w:rFonts w:ascii="Arial" w:hAnsi="Arial" w:cs="Arial"/>
          <w:sz w:val="22"/>
          <w:lang w:val="es-ES_tradnl"/>
        </w:rPr>
        <w:t xml:space="preserve">, el contenido del expediente en el que reposa la actuación es información pública, independientemente de si se trata de documentos que deban ser publicados en SECOP. </w:t>
      </w:r>
    </w:p>
    <w:p w:rsidRPr="00781AC2" w:rsidR="001146AF" w:rsidP="001146AF" w:rsidRDefault="001146AF" w14:paraId="060B349E" w14:textId="2FDC70E0">
      <w:pPr>
        <w:tabs>
          <w:tab w:val="left" w:pos="0"/>
        </w:tabs>
        <w:jc w:val="both"/>
        <w:rPr>
          <w:rFonts w:ascii="Arial" w:hAnsi="Arial" w:eastAsia="Calibri" w:cs="Arial"/>
          <w:b/>
          <w:sz w:val="22"/>
          <w:lang w:val="es-ES_tradnl"/>
        </w:rPr>
      </w:pPr>
    </w:p>
    <w:p w:rsidRPr="00781AC2" w:rsidR="001146AF" w:rsidP="001146AF" w:rsidRDefault="001146AF" w14:paraId="76EE3656" w14:textId="77777777">
      <w:pPr>
        <w:tabs>
          <w:tab w:val="left" w:pos="0"/>
        </w:tabs>
        <w:jc w:val="both"/>
        <w:rPr>
          <w:rFonts w:ascii="Arial" w:hAnsi="Arial" w:eastAsia="Calibri" w:cs="Arial"/>
          <w:b/>
          <w:sz w:val="22"/>
          <w:lang w:val="es-ES_tradnl"/>
        </w:rPr>
      </w:pPr>
      <w:r w:rsidRPr="00781AC2">
        <w:rPr>
          <w:rFonts w:ascii="Arial" w:hAnsi="Arial" w:eastAsia="Calibri" w:cs="Arial"/>
          <w:b/>
          <w:sz w:val="22"/>
          <w:lang w:val="es-ES_tradnl"/>
        </w:rPr>
        <w:t>3. Respuesta</w:t>
      </w:r>
    </w:p>
    <w:p w:rsidRPr="00781AC2" w:rsidR="001146AF" w:rsidP="001146AF" w:rsidRDefault="001146AF" w14:paraId="2BA77023" w14:textId="77777777">
      <w:pPr>
        <w:tabs>
          <w:tab w:val="left" w:pos="0"/>
        </w:tabs>
        <w:jc w:val="both"/>
        <w:rPr>
          <w:rFonts w:ascii="Arial" w:hAnsi="Arial" w:eastAsia="Calibri" w:cs="Arial"/>
          <w:sz w:val="22"/>
          <w:lang w:val="es-ES_tradnl"/>
        </w:rPr>
      </w:pPr>
    </w:p>
    <w:p w:rsidRPr="00D747C4" w:rsidR="001146AF" w:rsidP="00D747C4" w:rsidRDefault="00D747C4" w14:paraId="5185C1F6" w14:textId="361BDD0E">
      <w:pPr>
        <w:autoSpaceDE w:val="0"/>
        <w:autoSpaceDN w:val="0"/>
        <w:adjustRightInd w:val="0"/>
        <w:ind w:left="708" w:right="850"/>
        <w:jc w:val="both"/>
        <w:rPr>
          <w:rFonts w:ascii="Arial" w:hAnsi="Arial" w:cs="Arial" w:eastAsiaTheme="minorHAnsi"/>
          <w:sz w:val="21"/>
          <w:szCs w:val="21"/>
          <w:lang w:eastAsia="en-US"/>
        </w:rPr>
      </w:pPr>
      <w:r>
        <w:rPr>
          <w:rFonts w:ascii="Arial" w:hAnsi="Arial" w:cs="Arial" w:eastAsiaTheme="minorHAnsi"/>
          <w:sz w:val="21"/>
          <w:szCs w:val="21"/>
          <w:lang w:eastAsia="en-US"/>
        </w:rPr>
        <w:t>“I</w:t>
      </w:r>
      <w:r w:rsidRPr="00DE7EBA">
        <w:rPr>
          <w:rFonts w:ascii="Arial" w:hAnsi="Arial" w:cs="Arial" w:eastAsiaTheme="minorHAnsi"/>
          <w:sz w:val="21"/>
          <w:szCs w:val="21"/>
          <w:lang w:eastAsia="en-US"/>
        </w:rPr>
        <w:t>ndicar si los informes de supervisión de un contrato sometido a la Ley 80 de 1993 se deben publicar en el SECOP I y II, y si les aplica el termino de 3 días hábiles posterior a su emisión para su correspondiente publicación de acuerdo con lo estable</w:t>
      </w:r>
      <w:r>
        <w:rPr>
          <w:rFonts w:ascii="Arial" w:hAnsi="Arial" w:cs="Arial" w:eastAsiaTheme="minorHAnsi"/>
          <w:sz w:val="21"/>
          <w:szCs w:val="21"/>
          <w:lang w:eastAsia="en-US"/>
        </w:rPr>
        <w:t>cido en el Decreto 1082 de 2015”</w:t>
      </w:r>
      <w:r>
        <w:rPr>
          <w:rFonts w:ascii="Arial" w:hAnsi="Arial" w:cs="Arial" w:eastAsiaTheme="minorHAnsi"/>
          <w:sz w:val="21"/>
          <w:szCs w:val="21"/>
          <w:lang w:eastAsia="en-US"/>
        </w:rPr>
        <w:t>.</w:t>
      </w:r>
      <w:r w:rsidR="001146AF">
        <w:rPr>
          <w:rFonts w:ascii="Arial" w:hAnsi="Arial" w:cs="Arial"/>
          <w:sz w:val="21"/>
          <w:szCs w:val="21"/>
        </w:rPr>
        <w:t xml:space="preserve"> </w:t>
      </w:r>
      <w:r w:rsidRPr="00781AC2" w:rsidR="001146AF">
        <w:rPr>
          <w:rFonts w:ascii="Arial" w:hAnsi="Arial" w:cs="Arial"/>
          <w:sz w:val="21"/>
          <w:szCs w:val="21"/>
          <w:shd w:val="clear" w:color="auto" w:fill="E6E6E6"/>
          <w:lang w:val="es-ES"/>
        </w:rPr>
        <w:t>(</w:t>
      </w:r>
      <w:r w:rsidRPr="00A332F1" w:rsidR="001146AF">
        <w:rPr>
          <w:rFonts w:ascii="Arial" w:hAnsi="Arial" w:cs="Arial"/>
          <w:sz w:val="21"/>
          <w:szCs w:val="21"/>
        </w:rPr>
        <w:t>SIC).</w:t>
      </w:r>
    </w:p>
    <w:p w:rsidR="001146AF" w:rsidP="001146AF" w:rsidRDefault="001146AF" w14:paraId="136ECCA4" w14:textId="77777777">
      <w:pPr>
        <w:spacing w:line="276" w:lineRule="auto"/>
        <w:ind w:firstLine="708"/>
        <w:jc w:val="both"/>
        <w:rPr>
          <w:rFonts w:ascii="Arial" w:hAnsi="Arial" w:cs="Arial"/>
          <w:bCs/>
          <w:sz w:val="22"/>
          <w:szCs w:val="22"/>
          <w:lang w:eastAsia="es-MX"/>
        </w:rPr>
      </w:pPr>
    </w:p>
    <w:p w:rsidR="004A40D6" w:rsidP="004A40D6" w:rsidRDefault="0052060E" w14:paraId="48788A08" w14:textId="52368595">
      <w:pPr>
        <w:spacing w:after="120" w:line="276" w:lineRule="auto"/>
        <w:ind w:firstLine="709"/>
        <w:jc w:val="both"/>
        <w:rPr>
          <w:rFonts w:ascii="Arial" w:hAnsi="Arial" w:cs="Arial"/>
          <w:sz w:val="22"/>
          <w:lang w:val="es-ES_tradnl"/>
        </w:rPr>
      </w:pPr>
      <w:r w:rsidRPr="0052060E">
        <w:rPr>
          <w:rFonts w:ascii="Arial" w:hAnsi="Arial" w:eastAsia="Calibri" w:cs="Arial"/>
          <w:color w:val="000000" w:themeColor="text1"/>
          <w:sz w:val="22"/>
          <w:lang w:val="es-ES"/>
        </w:rPr>
        <w:t xml:space="preserve">En torno a </w:t>
      </w:r>
      <w:r w:rsidRPr="0052060E" w:rsidR="004A40D6">
        <w:rPr>
          <w:rFonts w:ascii="Arial" w:hAnsi="Arial" w:eastAsia="Calibri" w:cs="Arial"/>
          <w:color w:val="000000" w:themeColor="text1"/>
          <w:sz w:val="22"/>
          <w:lang w:val="es-ES"/>
        </w:rPr>
        <w:t xml:space="preserve">su </w:t>
      </w:r>
      <w:r w:rsidR="004A40D6">
        <w:rPr>
          <w:rFonts w:ascii="Arial" w:hAnsi="Arial" w:eastAsia="Calibri" w:cs="Arial"/>
          <w:color w:val="000000" w:themeColor="text1"/>
          <w:sz w:val="22"/>
          <w:lang w:val="es-ES"/>
        </w:rPr>
        <w:t>interrogante</w:t>
      </w:r>
      <w:r w:rsidRPr="0052060E">
        <w:rPr>
          <w:rFonts w:ascii="Arial" w:hAnsi="Arial" w:eastAsia="Calibri" w:cs="Arial"/>
          <w:color w:val="000000" w:themeColor="text1"/>
          <w:sz w:val="22"/>
          <w:lang w:val="es-ES"/>
        </w:rPr>
        <w:t xml:space="preserve">, se precisa </w:t>
      </w:r>
      <w:proofErr w:type="gramStart"/>
      <w:r w:rsidRPr="0052060E">
        <w:rPr>
          <w:rFonts w:ascii="Arial" w:hAnsi="Arial" w:eastAsia="Calibri" w:cs="Arial"/>
          <w:color w:val="000000" w:themeColor="text1"/>
          <w:sz w:val="22"/>
          <w:lang w:val="es-ES"/>
        </w:rPr>
        <w:t>que</w:t>
      </w:r>
      <w:proofErr w:type="gramEnd"/>
      <w:r w:rsidRPr="0052060E">
        <w:rPr>
          <w:rFonts w:ascii="Arial" w:hAnsi="Arial" w:eastAsia="Calibri" w:cs="Arial"/>
          <w:color w:val="000000" w:themeColor="text1"/>
          <w:sz w:val="22"/>
          <w:lang w:val="es-ES"/>
        </w:rPr>
        <w:t xml:space="preserve"> </w:t>
      </w:r>
      <w:r w:rsidRPr="00275AFB" w:rsidR="004A40D6">
        <w:rPr>
          <w:rFonts w:ascii="Arial" w:hAnsi="Arial" w:cs="Arial"/>
          <w:sz w:val="22"/>
          <w:lang w:val="es-ES_tradnl"/>
        </w:rPr>
        <w:t xml:space="preserve">con base en los fundamentos normativos y argumentos expuestos, además del Plan Anual de Adquisiciones, las entidades estatales </w:t>
      </w:r>
      <w:r w:rsidRPr="00275AFB" w:rsidR="004A40D6">
        <w:rPr>
          <w:rFonts w:ascii="Arial" w:hAnsi="Arial" w:cs="Arial"/>
          <w:sz w:val="22"/>
          <w:lang w:val="es-ES_tradnl"/>
        </w:rPr>
        <w:t>regidas por el EGCAP deberán publicar en SECOP,</w:t>
      </w:r>
      <w:r w:rsidR="004A40D6">
        <w:rPr>
          <w:rFonts w:ascii="Arial" w:hAnsi="Arial" w:cs="Arial"/>
          <w:sz w:val="22"/>
          <w:lang w:val="es-ES_tradnl"/>
        </w:rPr>
        <w:t xml:space="preserve"> bien sea el I o el II, entre otros, los informes de supervisión emitidos por los funcionarios encargados del seguimiento y control de la ejecución contractual dentro de los tres (3) días hábiles siguientes a la emisión de los mismos. </w:t>
      </w:r>
    </w:p>
    <w:p w:rsidRPr="0052060E" w:rsidR="0052060E" w:rsidP="004A40D6" w:rsidRDefault="0052060E" w14:paraId="4DE7010C" w14:textId="6F4F18D5">
      <w:pPr>
        <w:spacing w:after="120" w:line="276" w:lineRule="auto"/>
        <w:ind w:firstLine="709"/>
        <w:jc w:val="both"/>
        <w:rPr>
          <w:rFonts w:ascii="Arial" w:hAnsi="Arial" w:eastAsia="Calibri" w:cs="Arial"/>
          <w:color w:val="000000" w:themeColor="text1"/>
          <w:sz w:val="22"/>
          <w:lang w:val="es-ES_tradnl"/>
        </w:rPr>
      </w:pPr>
      <w:r w:rsidRPr="0052060E">
        <w:rPr>
          <w:rFonts w:ascii="Arial" w:hAnsi="Arial" w:eastAsia="Calibri" w:cs="Arial"/>
          <w:color w:val="000000" w:themeColor="text1"/>
          <w:sz w:val="22"/>
          <w:lang w:val="es-ES_tradnl"/>
        </w:rPr>
        <w:t>Este concepto tiene el alcance previsto en el artículo 28 del Código de Procedimiento Administrativo y de lo Contencioso Administrativo.</w:t>
      </w:r>
    </w:p>
    <w:p w:rsidR="001146AF" w:rsidP="001146AF" w:rsidRDefault="001146AF" w14:paraId="0A6A01D3" w14:textId="77777777">
      <w:pPr>
        <w:pStyle w:val="NormalWeb"/>
        <w:spacing w:before="0" w:beforeAutospacing="0" w:after="0" w:afterAutospacing="0" w:line="276" w:lineRule="auto"/>
        <w:jc w:val="both"/>
        <w:rPr>
          <w:rFonts w:ascii="Arial" w:hAnsi="Arial" w:cs="Arial"/>
          <w:sz w:val="22"/>
          <w:szCs w:val="22"/>
          <w:lang w:val="es-ES_tradnl"/>
        </w:rPr>
      </w:pPr>
    </w:p>
    <w:p w:rsidR="001146AF" w:rsidP="001146AF" w:rsidRDefault="001146AF" w14:paraId="1FD4B786" w14:textId="77777777">
      <w:pPr>
        <w:pStyle w:val="NormalWeb"/>
        <w:spacing w:before="0" w:beforeAutospacing="0" w:after="0" w:afterAutospacing="0" w:line="276" w:lineRule="auto"/>
        <w:jc w:val="both"/>
        <w:rPr>
          <w:rFonts w:ascii="Arial" w:hAnsi="Arial" w:cs="Arial"/>
          <w:sz w:val="22"/>
          <w:szCs w:val="22"/>
          <w:lang w:val="es-ES_tradnl"/>
        </w:rPr>
      </w:pPr>
    </w:p>
    <w:p w:rsidRPr="00781AC2" w:rsidR="001146AF" w:rsidP="001146AF" w:rsidRDefault="001146AF" w14:paraId="3E91482D" w14:textId="77777777">
      <w:pPr>
        <w:pStyle w:val="NormalWeb"/>
        <w:spacing w:before="0" w:beforeAutospacing="0" w:after="0" w:afterAutospacing="0" w:line="276" w:lineRule="auto"/>
        <w:jc w:val="both"/>
        <w:rPr>
          <w:rFonts w:ascii="Arial" w:hAnsi="Arial" w:cs="Arial"/>
          <w:sz w:val="22"/>
          <w:szCs w:val="22"/>
          <w:lang w:val="es-ES_tradnl"/>
        </w:rPr>
      </w:pPr>
      <w:r w:rsidRPr="0D0CEEE3" w:rsidR="001146AF">
        <w:rPr>
          <w:rFonts w:ascii="Arial" w:hAnsi="Arial" w:cs="Arial"/>
          <w:sz w:val="22"/>
          <w:szCs w:val="22"/>
          <w:lang w:val="es-ES"/>
        </w:rPr>
        <w:t>Atentamente,</w:t>
      </w:r>
    </w:p>
    <w:p w:rsidRPr="00781AC2" w:rsidR="001146AF" w:rsidP="0D0CEEE3" w:rsidRDefault="00D74083" w14:paraId="226BC8F8" w14:textId="1661DB56">
      <w:pPr>
        <w:pStyle w:val="Normal"/>
        <w:spacing w:before="240" w:after="120" w:line="276" w:lineRule="auto"/>
        <w:jc w:val="center"/>
        <w:rPr>
          <w:rFonts w:ascii="Arial" w:hAnsi="Arial" w:eastAsia="Calibri" w:cs="Arial"/>
        </w:rPr>
      </w:pPr>
      <w:r w:rsidR="6691939B">
        <w:drawing>
          <wp:inline wp14:editId="1BA01D86" wp14:anchorId="2A853B99">
            <wp:extent cx="3152775" cy="1209675"/>
            <wp:effectExtent l="0" t="0" r="0" b="0"/>
            <wp:docPr id="309116498" name="" title=""/>
            <wp:cNvGraphicFramePr>
              <a:graphicFrameLocks noChangeAspect="1"/>
            </wp:cNvGraphicFramePr>
            <a:graphic>
              <a:graphicData uri="http://schemas.openxmlformats.org/drawingml/2006/picture">
                <pic:pic>
                  <pic:nvPicPr>
                    <pic:cNvPr id="0" name=""/>
                    <pic:cNvPicPr/>
                  </pic:nvPicPr>
                  <pic:blipFill>
                    <a:blip r:embed="Ra88a7c32cb5f4cf4">
                      <a:extLst>
                        <a:ext xmlns:a="http://schemas.openxmlformats.org/drawingml/2006/main" uri="{28A0092B-C50C-407E-A947-70E740481C1C}">
                          <a14:useLocalDpi val="0"/>
                        </a:ext>
                      </a:extLst>
                    </a:blip>
                    <a:stretch>
                      <a:fillRect/>
                    </a:stretch>
                  </pic:blipFill>
                  <pic:spPr>
                    <a:xfrm>
                      <a:off x="0" y="0"/>
                      <a:ext cx="3152775" cy="1209675"/>
                    </a:xfrm>
                    <a:prstGeom prst="rect">
                      <a:avLst/>
                    </a:prstGeom>
                  </pic:spPr>
                </pic:pic>
              </a:graphicData>
            </a:graphic>
          </wp:inline>
        </w:drawing>
      </w:r>
      <w:r>
        <w:br/>
      </w:r>
    </w:p>
    <w:tbl>
      <w:tblPr>
        <w:tblStyle w:val="Tablaconcuadrcula1"/>
        <w:tblpPr w:leftFromText="141" w:rightFromText="141" w:vertAnchor="text" w:horzAnchor="margin" w:tblpY="-7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7"/>
        <w:gridCol w:w="4445"/>
      </w:tblGrid>
      <w:tr w:rsidRPr="006B3D07" w:rsidR="001146AF" w:rsidTr="001C5997" w14:paraId="6FE8BC67" w14:textId="77777777">
        <w:trPr>
          <w:trHeight w:val="286"/>
        </w:trPr>
        <w:tc>
          <w:tcPr>
            <w:tcW w:w="817" w:type="dxa"/>
            <w:vAlign w:val="center"/>
          </w:tcPr>
          <w:p w:rsidRPr="006B3D07" w:rsidR="001146AF" w:rsidP="001C5997" w:rsidRDefault="001146AF" w14:paraId="1C099827" w14:textId="77777777">
            <w:pPr>
              <w:rPr>
                <w:rFonts w:ascii="Arial" w:hAnsi="Arial" w:cs="Arial"/>
                <w:sz w:val="15"/>
                <w:szCs w:val="15"/>
              </w:rPr>
            </w:pPr>
            <w:r w:rsidRPr="006B3D07">
              <w:rPr>
                <w:rFonts w:ascii="Arial" w:hAnsi="Arial" w:cs="Arial"/>
                <w:sz w:val="15"/>
                <w:szCs w:val="15"/>
              </w:rPr>
              <w:t>Elaboró:</w:t>
            </w:r>
          </w:p>
        </w:tc>
        <w:tc>
          <w:tcPr>
            <w:tcW w:w="4445" w:type="dxa"/>
            <w:tcBorders>
              <w:bottom w:val="dotted" w:color="7F7F7F" w:sz="4" w:space="0"/>
            </w:tcBorders>
            <w:vAlign w:val="center"/>
          </w:tcPr>
          <w:p w:rsidRPr="006B3D07" w:rsidR="001146AF" w:rsidP="001C5997" w:rsidRDefault="001146AF" w14:paraId="371EE3A4" w14:textId="77777777">
            <w:pPr>
              <w:rPr>
                <w:rFonts w:ascii="Arial" w:hAnsi="Arial" w:cs="Arial"/>
                <w:sz w:val="15"/>
                <w:szCs w:val="15"/>
              </w:rPr>
            </w:pPr>
          </w:p>
          <w:p w:rsidRPr="006B3D07" w:rsidR="001146AF" w:rsidP="001C5997" w:rsidRDefault="001146AF" w14:paraId="370FCB64" w14:textId="77777777">
            <w:pPr>
              <w:rPr>
                <w:rFonts w:ascii="Arial" w:hAnsi="Arial" w:cs="Arial"/>
                <w:sz w:val="15"/>
                <w:szCs w:val="15"/>
              </w:rPr>
            </w:pPr>
            <w:r w:rsidRPr="00A332F1">
              <w:rPr>
                <w:rFonts w:ascii="Arial" w:hAnsi="Arial" w:cs="Arial"/>
                <w:sz w:val="15"/>
                <w:szCs w:val="15"/>
              </w:rPr>
              <w:t>Sergio Luis Mondragón Duarte</w:t>
            </w:r>
          </w:p>
          <w:p w:rsidRPr="006B3D07" w:rsidR="001146AF" w:rsidP="001C5997" w:rsidRDefault="00D67943" w14:paraId="73FA99BC" w14:textId="40D7DB72">
            <w:pPr>
              <w:rPr>
                <w:rFonts w:ascii="Arial" w:hAnsi="Arial" w:cs="Arial"/>
                <w:sz w:val="15"/>
                <w:szCs w:val="15"/>
              </w:rPr>
            </w:pPr>
            <w:r>
              <w:rPr>
                <w:rFonts w:ascii="Arial" w:hAnsi="Arial" w:cs="Arial"/>
                <w:sz w:val="15"/>
                <w:szCs w:val="15"/>
              </w:rPr>
              <w:t>C</w:t>
            </w:r>
            <w:r w:rsidRPr="00A332F1" w:rsidR="001146AF">
              <w:rPr>
                <w:rFonts w:ascii="Arial" w:hAnsi="Arial" w:cs="Arial"/>
                <w:sz w:val="15"/>
                <w:szCs w:val="15"/>
              </w:rPr>
              <w:t xml:space="preserve">ontratista </w:t>
            </w:r>
            <w:r w:rsidRPr="006B3D07" w:rsidR="001146AF">
              <w:rPr>
                <w:rFonts w:ascii="Arial" w:hAnsi="Arial" w:cs="Arial"/>
                <w:sz w:val="15"/>
                <w:szCs w:val="15"/>
              </w:rPr>
              <w:t>de la Subdirección de Gestión Contractual</w:t>
            </w:r>
          </w:p>
        </w:tc>
      </w:tr>
      <w:tr w:rsidRPr="006B3D07" w:rsidR="001146AF" w:rsidTr="001C5997" w14:paraId="420E4D33" w14:textId="77777777">
        <w:trPr>
          <w:trHeight w:val="286"/>
        </w:trPr>
        <w:tc>
          <w:tcPr>
            <w:tcW w:w="817" w:type="dxa"/>
            <w:vAlign w:val="center"/>
          </w:tcPr>
          <w:p w:rsidRPr="006B3D07" w:rsidR="001146AF" w:rsidP="001C5997" w:rsidRDefault="001146AF" w14:paraId="4E90A60A" w14:textId="77777777">
            <w:pPr>
              <w:rPr>
                <w:rFonts w:ascii="Arial" w:hAnsi="Arial" w:cs="Arial"/>
                <w:sz w:val="15"/>
                <w:szCs w:val="15"/>
              </w:rPr>
            </w:pPr>
            <w:r w:rsidRPr="006B3D07">
              <w:rPr>
                <w:rFonts w:ascii="Arial" w:hAnsi="Arial" w:cs="Arial"/>
                <w:sz w:val="15"/>
                <w:szCs w:val="15"/>
              </w:rPr>
              <w:t>Revisó:</w:t>
            </w:r>
          </w:p>
        </w:tc>
        <w:tc>
          <w:tcPr>
            <w:tcW w:w="4445" w:type="dxa"/>
            <w:tcBorders>
              <w:bottom w:val="dotted" w:color="7F7F7F" w:sz="4" w:space="0"/>
            </w:tcBorders>
            <w:vAlign w:val="center"/>
          </w:tcPr>
          <w:p w:rsidR="0075456A" w:rsidP="0075456A" w:rsidRDefault="0075456A" w14:paraId="2C77574C" w14:textId="77777777">
            <w:pPr>
              <w:spacing w:line="276" w:lineRule="auto"/>
              <w:textAlignment w:val="baseline"/>
              <w:rPr>
                <w:rFonts w:ascii="Arial" w:hAnsi="Arial" w:cs="Arial"/>
                <w:sz w:val="15"/>
                <w:szCs w:val="15"/>
                <w:lang w:eastAsia="es-CO"/>
              </w:rPr>
            </w:pPr>
            <w:r w:rsidRPr="0075456A">
              <w:rPr>
                <w:rFonts w:ascii="Arial" w:hAnsi="Arial" w:cs="Arial"/>
                <w:sz w:val="15"/>
                <w:szCs w:val="15"/>
                <w:lang w:eastAsia="es-CO"/>
              </w:rPr>
              <w:t>Alejandro Sarmiento</w:t>
            </w:r>
          </w:p>
          <w:p w:rsidRPr="006B3D07" w:rsidR="001146AF" w:rsidP="0075456A" w:rsidRDefault="0075456A" w14:paraId="6768FF12" w14:textId="4E59DF34">
            <w:pPr>
              <w:spacing w:line="276" w:lineRule="auto"/>
              <w:textAlignment w:val="baseline"/>
              <w:rPr>
                <w:rFonts w:ascii="Arial" w:hAnsi="Arial" w:cs="Arial"/>
                <w:sz w:val="15"/>
                <w:szCs w:val="15"/>
              </w:rPr>
            </w:pPr>
            <w:r w:rsidRPr="0075456A">
              <w:rPr>
                <w:rFonts w:ascii="Arial" w:hAnsi="Arial" w:cs="Arial"/>
                <w:sz w:val="15"/>
                <w:szCs w:val="15"/>
                <w:lang w:eastAsia="es-CO"/>
              </w:rPr>
              <w:t>Gestor código T1 grado15</w:t>
            </w:r>
            <w:r>
              <w:rPr>
                <w:rFonts w:ascii="Arial" w:hAnsi="Arial" w:cs="Arial"/>
                <w:sz w:val="15"/>
                <w:szCs w:val="15"/>
                <w:lang w:eastAsia="es-CO"/>
              </w:rPr>
              <w:t xml:space="preserve"> </w:t>
            </w:r>
            <w:bookmarkStart w:name="_GoBack" w:id="9"/>
            <w:bookmarkEnd w:id="9"/>
            <w:r w:rsidRPr="0075456A">
              <w:rPr>
                <w:rFonts w:ascii="Arial" w:hAnsi="Arial" w:cs="Arial"/>
                <w:sz w:val="15"/>
                <w:szCs w:val="15"/>
                <w:lang w:eastAsia="es-CO"/>
              </w:rPr>
              <w:t>Subdirección de Gestión Contractual</w:t>
            </w:r>
          </w:p>
        </w:tc>
      </w:tr>
      <w:tr w:rsidRPr="006B3D07" w:rsidR="001146AF" w:rsidTr="001C5997" w14:paraId="45A7D8C0" w14:textId="77777777">
        <w:trPr>
          <w:trHeight w:val="299"/>
        </w:trPr>
        <w:tc>
          <w:tcPr>
            <w:tcW w:w="817" w:type="dxa"/>
            <w:vAlign w:val="center"/>
          </w:tcPr>
          <w:p w:rsidRPr="006B3D07" w:rsidR="001146AF" w:rsidP="001C5997" w:rsidRDefault="001146AF" w14:paraId="39B47A70" w14:textId="77777777">
            <w:pPr>
              <w:rPr>
                <w:rFonts w:ascii="Arial" w:hAnsi="Arial" w:cs="Arial"/>
                <w:sz w:val="15"/>
                <w:szCs w:val="15"/>
              </w:rPr>
            </w:pPr>
            <w:r w:rsidRPr="006B3D07">
              <w:rPr>
                <w:rFonts w:ascii="Arial" w:hAnsi="Arial" w:cs="Arial"/>
                <w:sz w:val="15"/>
                <w:szCs w:val="15"/>
              </w:rPr>
              <w:t>Aprobó:</w:t>
            </w:r>
          </w:p>
        </w:tc>
        <w:tc>
          <w:tcPr>
            <w:tcW w:w="4445" w:type="dxa"/>
            <w:tcBorders>
              <w:top w:val="dotted" w:color="7F7F7F" w:sz="4" w:space="0"/>
              <w:bottom w:val="dotted" w:color="7F7F7F" w:sz="4" w:space="0"/>
            </w:tcBorders>
            <w:vAlign w:val="center"/>
          </w:tcPr>
          <w:p w:rsidRPr="006B3D07" w:rsidR="001146AF" w:rsidP="001C5997" w:rsidRDefault="001146AF" w14:paraId="5BC9FD84" w14:textId="77777777">
            <w:pPr>
              <w:rPr>
                <w:rFonts w:ascii="Arial" w:hAnsi="Arial" w:cs="Arial"/>
                <w:sz w:val="15"/>
                <w:szCs w:val="15"/>
              </w:rPr>
            </w:pPr>
            <w:proofErr w:type="spellStart"/>
            <w:r w:rsidRPr="00A332F1">
              <w:rPr>
                <w:rFonts w:ascii="Arial" w:hAnsi="Arial" w:cs="Arial"/>
                <w:sz w:val="15"/>
                <w:szCs w:val="15"/>
              </w:rPr>
              <w:t>Nohelia</w:t>
            </w:r>
            <w:proofErr w:type="spellEnd"/>
            <w:r w:rsidRPr="00A332F1">
              <w:rPr>
                <w:rFonts w:ascii="Arial" w:hAnsi="Arial" w:cs="Arial"/>
                <w:sz w:val="15"/>
                <w:szCs w:val="15"/>
              </w:rPr>
              <w:t xml:space="preserve"> Del Carmen </w:t>
            </w:r>
            <w:proofErr w:type="spellStart"/>
            <w:r w:rsidRPr="00A332F1">
              <w:rPr>
                <w:rFonts w:ascii="Arial" w:hAnsi="Arial" w:cs="Arial"/>
                <w:sz w:val="15"/>
                <w:szCs w:val="15"/>
              </w:rPr>
              <w:t>Zawady</w:t>
            </w:r>
            <w:proofErr w:type="spellEnd"/>
            <w:r w:rsidRPr="00A332F1">
              <w:rPr>
                <w:rFonts w:ascii="Arial" w:hAnsi="Arial" w:cs="Arial"/>
                <w:sz w:val="15"/>
                <w:szCs w:val="15"/>
              </w:rPr>
              <w:t xml:space="preserve"> Palacio</w:t>
            </w:r>
          </w:p>
          <w:p w:rsidRPr="006B3D07" w:rsidR="001146AF" w:rsidP="001C5997" w:rsidRDefault="001146AF" w14:paraId="6F0FA131" w14:textId="77777777">
            <w:pPr>
              <w:rPr>
                <w:rFonts w:ascii="Arial" w:hAnsi="Arial" w:cs="Arial"/>
                <w:sz w:val="15"/>
                <w:szCs w:val="15"/>
              </w:rPr>
            </w:pPr>
            <w:r w:rsidRPr="00A332F1">
              <w:rPr>
                <w:rFonts w:ascii="Arial" w:hAnsi="Arial" w:cs="Arial"/>
                <w:sz w:val="15"/>
                <w:szCs w:val="15"/>
              </w:rPr>
              <w:t>Subdirectora de Gestión Contractual ANCP – CCE</w:t>
            </w:r>
            <w:r w:rsidRPr="006B3D07">
              <w:rPr>
                <w:rFonts w:ascii="Arial" w:hAnsi="Arial" w:cs="Arial"/>
                <w:sz w:val="15"/>
                <w:szCs w:val="15"/>
                <w:shd w:val="clear" w:color="auto" w:fill="E6E6E6"/>
              </w:rPr>
              <w:t xml:space="preserve"> </w:t>
            </w:r>
          </w:p>
        </w:tc>
      </w:tr>
    </w:tbl>
    <w:p w:rsidRPr="00F304EA" w:rsidR="001146AF" w:rsidP="001146AF" w:rsidRDefault="001146AF" w14:paraId="533312A5" w14:textId="77777777">
      <w:pPr>
        <w:tabs>
          <w:tab w:val="left" w:pos="3795"/>
        </w:tabs>
        <w:rPr>
          <w:rFonts w:ascii="Arial" w:hAnsi="Arial" w:cs="Arial"/>
          <w:lang w:val="es-ES_tradnl"/>
        </w:rPr>
      </w:pPr>
    </w:p>
    <w:p w:rsidRPr="00F304EA" w:rsidR="001146AF" w:rsidP="001146AF" w:rsidRDefault="001146AF" w14:paraId="695F1610" w14:textId="77777777">
      <w:pPr>
        <w:rPr>
          <w:rFonts w:ascii="Arial" w:hAnsi="Arial" w:cs="Arial"/>
        </w:rPr>
      </w:pPr>
    </w:p>
    <w:bookmarkEnd w:id="8"/>
    <w:p w:rsidRPr="00F304EA" w:rsidR="001146AF" w:rsidP="001146AF" w:rsidRDefault="001146AF" w14:paraId="7FDE40A5" w14:textId="77777777">
      <w:pPr>
        <w:rPr>
          <w:rFonts w:ascii="Arial" w:hAnsi="Arial" w:cs="Arial"/>
        </w:rPr>
      </w:pPr>
    </w:p>
    <w:p w:rsidRPr="001146AF" w:rsidR="00127233" w:rsidP="001146AF" w:rsidRDefault="00127233" w14:paraId="0F293BF4" w14:textId="0F6FB6C1"/>
    <w:sectPr w:rsidRPr="001146AF" w:rsidR="00127233" w:rsidSect="005543BC">
      <w:headerReference w:type="default" r:id="rId12"/>
      <w:footerReference w:type="default" r:id="rId13"/>
      <w:pgSz w:w="12240" w:h="15840" w:orient="portrait" w:code="1"/>
      <w:pgMar w:top="1418" w:right="1608" w:bottom="1418" w:left="1418" w:header="850" w:footer="397" w:gutter="0"/>
      <w:pgBorders w:offsetFrom="page">
        <w:top w:val="dotted" w:color="auto" w:sz="4" w:space="24"/>
        <w:left w:val="dotted" w:color="auto" w:sz="4" w:space="24"/>
        <w:bottom w:val="dotted" w:color="auto" w:sz="4" w:space="24"/>
        <w:right w:val="dotted"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415" w:rsidP="004A1847" w:rsidRDefault="00686415" w14:paraId="414F57B4" w14:textId="77777777">
      <w:r>
        <w:separator/>
      </w:r>
    </w:p>
  </w:endnote>
  <w:endnote w:type="continuationSeparator" w:id="0">
    <w:p w:rsidR="00686415" w:rsidP="004A1847" w:rsidRDefault="00686415" w14:paraId="223543D6" w14:textId="77777777">
      <w:r>
        <w:continuationSeparator/>
      </w:r>
    </w:p>
  </w:endnote>
  <w:endnote w:type="continuationNotice" w:id="1">
    <w:p w:rsidR="00686415" w:rsidRDefault="00686415" w14:paraId="4DB9812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orbel"/>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C5997" w:rsidP="008614E5" w:rsidRDefault="001C5997" w14:paraId="18911A32" w14:textId="460CCDF7">
    <w:pPr>
      <w:pStyle w:val="Piedepgina"/>
    </w:pPr>
    <w:r>
      <w:rPr>
        <w:noProof/>
        <w:lang w:eastAsia="es-CO"/>
      </w:rPr>
      <w:drawing>
        <wp:inline distT="0" distB="0" distL="0" distR="0" wp14:anchorId="1F77499E" wp14:editId="160C643E">
          <wp:extent cx="5742143" cy="892175"/>
          <wp:effectExtent l="0" t="0" r="0" b="3175"/>
          <wp:docPr id="17" name="Imagen 17"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8"/>
      <w:gridCol w:w="678"/>
      <w:gridCol w:w="844"/>
      <w:gridCol w:w="1784"/>
      <w:gridCol w:w="720"/>
      <w:gridCol w:w="2818"/>
      <w:gridCol w:w="1527"/>
    </w:tblGrid>
    <w:tr w:rsidRPr="00080DA3" w:rsidR="001C5997" w:rsidTr="00A07532" w14:paraId="0534DA7F" w14:textId="77777777">
      <w:trPr>
        <w:trHeight w:val="198"/>
        <w:jc w:val="center"/>
      </w:trPr>
      <w:tc>
        <w:tcPr>
          <w:tcW w:w="838"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1C5997" w:rsidP="00A07532" w:rsidRDefault="001C5997" w14:paraId="4B28DD0E" w14:textId="403BB573">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1C5997" w:rsidP="00A07532" w:rsidRDefault="001C5997" w14:paraId="79B52F09" w14:textId="22188FC9">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1C5997" w:rsidP="00A07532" w:rsidRDefault="001C5997" w14:paraId="36DA5B04" w14:textId="372D5633">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vAlign w:val="center"/>
        </w:tcPr>
        <w:p w:rsidRPr="004B6B0E" w:rsidR="001C5997" w:rsidP="00A07532" w:rsidRDefault="001C5997" w14:paraId="71E26DE9" w14:textId="227155A8">
          <w:pPr>
            <w:pBdr>
              <w:top w:val="nil"/>
              <w:left w:val="nil"/>
              <w:bottom w:val="nil"/>
              <w:right w:val="nil"/>
              <w:between w:val="nil"/>
            </w:pBdr>
            <w:tabs>
              <w:tab w:val="center" w:pos="4419"/>
              <w:tab w:val="right" w:pos="8838"/>
              <w:tab w:val="center" w:pos="5400"/>
            </w:tabs>
            <w:jc w:val="center"/>
            <w:rPr>
              <w:rFonts w:ascii="Geomanist Bold" w:hAnsi="Geomanist Bold" w:eastAsia="Geo" w:cs="Geo"/>
              <w:b/>
              <w:color w:val="002060"/>
              <w:lang w:eastAsia="es-CO"/>
            </w:rPr>
          </w:pPr>
          <w:r w:rsidRPr="0000650B">
            <w:rPr>
              <w:rFonts w:ascii="Geomanist Light" w:hAnsi="Geomanist Light" w:eastAsia="Geo" w:cs="Geo"/>
              <w:b/>
              <w:color w:val="000000"/>
              <w:sz w:val="18"/>
              <w:szCs w:val="18"/>
              <w:lang w:eastAsia="es-CO"/>
            </w:rPr>
            <w:t>CCE-</w:t>
          </w:r>
          <w:r>
            <w:rPr>
              <w:rFonts w:ascii="Geomanist Light" w:hAnsi="Geomanist Light" w:eastAsia="Geo" w:cs="Geo"/>
              <w:b/>
              <w:color w:val="000000"/>
              <w:sz w:val="18"/>
              <w:szCs w:val="18"/>
              <w:lang w:eastAsia="es-CO"/>
            </w:rPr>
            <w:t>PQRSD</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FM</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08</w:t>
          </w:r>
        </w:p>
      </w:tc>
      <w:tc>
        <w:tcPr>
          <w:tcW w:w="720"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1C5997" w:rsidP="00A07532" w:rsidRDefault="001C5997" w14:paraId="169F6C19" w14:textId="7777777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1C5997" w:rsidP="00A07532" w:rsidRDefault="001C5997" w14:paraId="7D02B6A6" w14:textId="04459FA8">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1C5997" w:rsidP="00A07532" w:rsidRDefault="001C5997" w14:paraId="6C25E7A7" w14:textId="517FF06E">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75456A">
            <w:rPr>
              <w:rFonts w:ascii="Geomanist Light" w:hAnsi="Geomanist Light"/>
              <w:b/>
              <w:bCs/>
              <w:noProof/>
              <w:sz w:val="18"/>
              <w:szCs w:val="18"/>
            </w:rPr>
            <w:t>12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75456A">
            <w:rPr>
              <w:rFonts w:ascii="Geomanist Light" w:hAnsi="Geomanist Light"/>
              <w:b/>
              <w:bCs/>
              <w:noProof/>
              <w:sz w:val="18"/>
              <w:szCs w:val="18"/>
            </w:rPr>
            <w:t>13</w:t>
          </w:r>
          <w:r w:rsidRPr="00080DA3">
            <w:rPr>
              <w:rFonts w:ascii="Geomanist Light" w:hAnsi="Geomanist Light"/>
              <w:b/>
              <w:bCs/>
              <w:sz w:val="18"/>
              <w:szCs w:val="18"/>
            </w:rPr>
            <w:fldChar w:fldCharType="end"/>
          </w:r>
        </w:p>
      </w:tc>
    </w:tr>
  </w:tbl>
  <w:p w:rsidR="001C5997" w:rsidP="00A07532" w:rsidRDefault="001C5997" w14:paraId="744661F5" w14:textId="7777777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415" w:rsidP="004A1847" w:rsidRDefault="00686415" w14:paraId="50C1FCE1" w14:textId="77777777">
      <w:r>
        <w:separator/>
      </w:r>
    </w:p>
  </w:footnote>
  <w:footnote w:type="continuationSeparator" w:id="0">
    <w:p w:rsidR="00686415" w:rsidP="004A1847" w:rsidRDefault="00686415" w14:paraId="0B35E2AE" w14:textId="77777777">
      <w:r>
        <w:continuationSeparator/>
      </w:r>
    </w:p>
  </w:footnote>
  <w:footnote w:type="continuationNotice" w:id="1">
    <w:p w:rsidR="00686415" w:rsidRDefault="00686415" w14:paraId="6A9BEAB2" w14:textId="77777777"/>
  </w:footnote>
  <w:footnote w:id="2">
    <w:p w:rsidRPr="005277EE" w:rsidR="001C5997" w:rsidP="001146AF" w:rsidRDefault="001C5997" w14:paraId="0C62FC2C" w14:textId="3940BB5A">
      <w:pPr>
        <w:pStyle w:val="Textonotapie"/>
        <w:ind w:firstLine="708"/>
        <w:jc w:val="both"/>
        <w:rPr>
          <w:rFonts w:ascii="Arial" w:hAnsi="Arial" w:eastAsia="Calibri" w:cs="Arial"/>
          <w:sz w:val="18"/>
          <w:szCs w:val="18"/>
          <w:lang w:val="es-ES"/>
        </w:rPr>
      </w:pPr>
      <w:r w:rsidRPr="005277EE">
        <w:rPr>
          <w:rFonts w:ascii="Arial" w:hAnsi="Arial" w:eastAsia="Calibri" w:cs="Arial"/>
          <w:sz w:val="18"/>
          <w:szCs w:val="18"/>
          <w:vertAlign w:val="superscript"/>
          <w:lang w:val="es-ES"/>
        </w:rPr>
        <w:footnoteRef/>
      </w:r>
      <w:r w:rsidRPr="005277EE">
        <w:rPr>
          <w:rFonts w:ascii="Arial" w:hAnsi="Arial" w:eastAsia="Calibri" w:cs="Arial"/>
          <w:sz w:val="18"/>
          <w:szCs w:val="18"/>
          <w:lang w:val="es-ES"/>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proofErr w:type="spellStart"/>
      <w:r w:rsidRPr="005277EE">
        <w:rPr>
          <w:rFonts w:ascii="Arial" w:hAnsi="Arial" w:eastAsia="Calibri" w:cs="Arial"/>
          <w:sz w:val="18"/>
          <w:szCs w:val="18"/>
          <w:lang w:val="es-ES"/>
        </w:rPr>
        <w:t>ibidem</w:t>
      </w:r>
      <w:proofErr w:type="spellEnd"/>
      <w:r w:rsidRPr="005277EE">
        <w:rPr>
          <w:rFonts w:ascii="Arial" w:hAnsi="Arial" w:eastAsia="Calibri" w:cs="Arial"/>
          <w:sz w:val="18"/>
          <w:szCs w:val="18"/>
          <w:lang w:val="es-ES"/>
        </w:rPr>
        <w:t xml:space="preserve"> señala, de manera precisa, las funciones de Colombia Compra Eficiente. Concretamente, el numeral 5º de este artículo establece que </w:t>
      </w:r>
      <w:r w:rsidR="00D747C4">
        <w:rPr>
          <w:rFonts w:ascii="Arial" w:hAnsi="Arial" w:eastAsia="Calibri" w:cs="Arial"/>
          <w:sz w:val="18"/>
          <w:szCs w:val="18"/>
          <w:lang w:val="es-ES"/>
        </w:rPr>
        <w:t>le corresponde a esta entidad: “a</w:t>
      </w:r>
      <w:r w:rsidRPr="005277EE">
        <w:rPr>
          <w:rFonts w:ascii="Arial" w:hAnsi="Arial" w:eastAsia="Calibri" w:cs="Arial"/>
          <w:sz w:val="18"/>
          <w:szCs w:val="18"/>
          <w:lang w:val="es-ES"/>
        </w:rPr>
        <w:t xml:space="preserve">bsolver consultas sobre la aplicación de normas de carácter general y expedir circulares externas en materia de compras y contratación pública». Seguidamente, el numeral 8º del artículo 11 </w:t>
      </w:r>
      <w:proofErr w:type="spellStart"/>
      <w:r w:rsidRPr="005277EE">
        <w:rPr>
          <w:rFonts w:ascii="Arial" w:hAnsi="Arial" w:eastAsia="Calibri" w:cs="Arial"/>
          <w:sz w:val="18"/>
          <w:szCs w:val="18"/>
          <w:lang w:val="es-ES"/>
        </w:rPr>
        <w:t>ibidem</w:t>
      </w:r>
      <w:proofErr w:type="spellEnd"/>
      <w:r w:rsidRPr="005277EE">
        <w:rPr>
          <w:rFonts w:ascii="Arial" w:hAnsi="Arial" w:eastAsia="Calibri" w:cs="Arial"/>
          <w:sz w:val="18"/>
          <w:szCs w:val="18"/>
          <w:lang w:val="es-ES"/>
        </w:rPr>
        <w:t xml:space="preserve"> señala que es función de la Subdirecc</w:t>
      </w:r>
      <w:r w:rsidR="00D747C4">
        <w:rPr>
          <w:rFonts w:ascii="Arial" w:hAnsi="Arial" w:eastAsia="Calibri" w:cs="Arial"/>
          <w:sz w:val="18"/>
          <w:szCs w:val="18"/>
          <w:lang w:val="es-ES"/>
        </w:rPr>
        <w:t>ión de Gestión Contractual: “a</w:t>
      </w:r>
      <w:r w:rsidRPr="005277EE">
        <w:rPr>
          <w:rFonts w:ascii="Arial" w:hAnsi="Arial" w:eastAsia="Calibri" w:cs="Arial"/>
          <w:sz w:val="18"/>
          <w:szCs w:val="18"/>
          <w:lang w:val="es-ES"/>
        </w:rPr>
        <w:t>bsolver consultas sobre la aplicación de normas de carácter general”.</w:t>
      </w:r>
    </w:p>
    <w:p w:rsidRPr="005277EE" w:rsidR="001C5997" w:rsidP="001146AF" w:rsidRDefault="001C5997" w14:paraId="18068810" w14:textId="77777777">
      <w:pPr>
        <w:pStyle w:val="Textonotapie"/>
        <w:ind w:firstLine="708"/>
        <w:jc w:val="both"/>
        <w:rPr>
          <w:rFonts w:ascii="Arial" w:hAnsi="Arial" w:cs="Arial"/>
          <w:sz w:val="18"/>
          <w:szCs w:val="18"/>
          <w:lang w:val="es-ES"/>
        </w:rPr>
      </w:pPr>
    </w:p>
  </w:footnote>
  <w:footnote w:id="3">
    <w:p w:rsidRPr="00D747C4" w:rsidR="00275AFB" w:rsidP="00275AFB" w:rsidRDefault="00275AFB" w14:paraId="652346C6" w14:textId="053B24F4">
      <w:pPr>
        <w:pStyle w:val="Textonotapie"/>
        <w:ind w:right="49" w:firstLine="708"/>
        <w:jc w:val="both"/>
        <w:rPr>
          <w:rFonts w:ascii="Arial" w:hAnsi="Arial" w:cs="Arial"/>
          <w:color w:val="000000"/>
          <w:sz w:val="18"/>
          <w:szCs w:val="18"/>
        </w:rPr>
      </w:pPr>
      <w:r w:rsidRPr="00275AFB">
        <w:rPr>
          <w:rStyle w:val="Refdenotaalpie"/>
          <w:rFonts w:ascii="Arial" w:hAnsi="Arial" w:cs="Arial"/>
          <w:color w:val="000000"/>
          <w:sz w:val="19"/>
          <w:szCs w:val="19"/>
        </w:rPr>
        <w:footnoteRef/>
      </w:r>
      <w:r w:rsidR="00D747C4">
        <w:rPr>
          <w:rFonts w:ascii="Arial" w:hAnsi="Arial" w:cs="Arial"/>
          <w:color w:val="000000"/>
          <w:sz w:val="19"/>
          <w:szCs w:val="19"/>
        </w:rPr>
        <w:t xml:space="preserve"> </w:t>
      </w:r>
      <w:r w:rsidRPr="00D747C4" w:rsidR="00D747C4">
        <w:rPr>
          <w:rFonts w:ascii="Arial" w:hAnsi="Arial" w:cs="Arial"/>
          <w:color w:val="000000"/>
          <w:sz w:val="18"/>
          <w:szCs w:val="18"/>
        </w:rPr>
        <w:t>Decreto 1082 de 2015: “</w:t>
      </w:r>
      <w:r w:rsidRPr="00D747C4">
        <w:rPr>
          <w:rFonts w:ascii="Arial" w:hAnsi="Arial" w:cs="Arial"/>
          <w:color w:val="000000"/>
          <w:sz w:val="18"/>
          <w:szCs w:val="18"/>
        </w:rPr>
        <w:t>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rsidRPr="00D747C4" w:rsidR="00275AFB" w:rsidP="00275AFB" w:rsidRDefault="00275AFB" w14:paraId="155F072E" w14:textId="77777777">
      <w:pPr>
        <w:pStyle w:val="Textonotapie"/>
        <w:ind w:right="49" w:firstLine="708"/>
        <w:jc w:val="both"/>
        <w:rPr>
          <w:rFonts w:ascii="Arial" w:hAnsi="Arial" w:cs="Arial"/>
          <w:color w:val="000000"/>
          <w:sz w:val="18"/>
          <w:szCs w:val="18"/>
        </w:rPr>
      </w:pPr>
      <w:r w:rsidRPr="00D747C4">
        <w:rPr>
          <w:rFonts w:ascii="Arial" w:hAnsi="Arial" w:cs="Arial"/>
          <w:color w:val="000000"/>
          <w:sz w:val="18"/>
          <w:szCs w:val="18"/>
        </w:rPr>
        <w:t>[...]</w:t>
      </w:r>
    </w:p>
    <w:p w:rsidRPr="00D747C4" w:rsidR="00275AFB" w:rsidP="00275AFB" w:rsidRDefault="00D747C4" w14:paraId="79A31CBD" w14:textId="6948FF9B">
      <w:pPr>
        <w:pStyle w:val="Textonotapie"/>
        <w:ind w:right="49" w:firstLine="708"/>
        <w:jc w:val="both"/>
        <w:rPr>
          <w:rFonts w:ascii="Arial" w:hAnsi="Arial" w:cs="Arial"/>
          <w:color w:val="000000"/>
          <w:sz w:val="18"/>
          <w:szCs w:val="18"/>
        </w:rPr>
      </w:pPr>
      <w:r w:rsidRPr="00D747C4">
        <w:rPr>
          <w:rFonts w:ascii="Arial" w:hAnsi="Arial" w:cs="Arial"/>
          <w:color w:val="000000"/>
          <w:sz w:val="18"/>
          <w:szCs w:val="18"/>
        </w:rPr>
        <w:t>-</w:t>
      </w:r>
      <w:r w:rsidRPr="00D747C4" w:rsidR="00275AFB">
        <w:rPr>
          <w:rFonts w:ascii="Arial" w:hAnsi="Arial" w:cs="Arial"/>
          <w:color w:val="000000"/>
          <w:sz w:val="18"/>
          <w:szCs w:val="18"/>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w:t>
      </w:r>
      <w:r w:rsidRPr="00D747C4">
        <w:rPr>
          <w:rFonts w:ascii="Arial" w:hAnsi="Arial" w:cs="Arial"/>
          <w:color w:val="000000"/>
          <w:sz w:val="18"/>
          <w:szCs w:val="18"/>
        </w:rPr>
        <w:t>, lo que ocurra más tarde [...]”</w:t>
      </w:r>
      <w:r w:rsidRPr="00D747C4" w:rsidR="00275AFB">
        <w:rPr>
          <w:rFonts w:ascii="Arial" w:hAnsi="Arial" w:cs="Arial"/>
          <w:color w:val="000000"/>
          <w:sz w:val="18"/>
          <w:szCs w:val="18"/>
        </w:rPr>
        <w:t>.</w:t>
      </w:r>
    </w:p>
    <w:p w:rsidRPr="00D747C4" w:rsidR="00275AFB" w:rsidP="00275AFB" w:rsidRDefault="00275AFB" w14:paraId="0192853C" w14:textId="77777777">
      <w:pPr>
        <w:pStyle w:val="Textonotapie"/>
        <w:ind w:right="49"/>
        <w:jc w:val="both"/>
        <w:rPr>
          <w:rFonts w:ascii="Arial" w:hAnsi="Arial" w:cs="Arial"/>
          <w:color w:val="000000"/>
          <w:sz w:val="18"/>
          <w:szCs w:val="18"/>
          <w:lang w:val="es-ES"/>
        </w:rPr>
      </w:pPr>
    </w:p>
  </w:footnote>
  <w:footnote w:id="4">
    <w:p w:rsidRPr="00D747C4" w:rsidR="00275AFB" w:rsidP="00275AFB" w:rsidRDefault="00275AFB" w14:paraId="6D0E0AF6" w14:textId="77777777">
      <w:pPr>
        <w:spacing w:before="76"/>
        <w:ind w:right="49" w:firstLine="708"/>
        <w:jc w:val="both"/>
        <w:rPr>
          <w:rFonts w:ascii="Arial" w:hAnsi="Arial" w:cs="Arial"/>
          <w:color w:val="000000"/>
          <w:sz w:val="18"/>
          <w:szCs w:val="18"/>
        </w:rPr>
      </w:pPr>
      <w:r w:rsidRPr="00D747C4">
        <w:rPr>
          <w:rStyle w:val="Refdenotaalpie"/>
          <w:rFonts w:ascii="Arial" w:hAnsi="Arial" w:cs="Arial"/>
          <w:color w:val="000000"/>
          <w:sz w:val="18"/>
          <w:szCs w:val="18"/>
        </w:rPr>
        <w:footnoteRef/>
      </w:r>
      <w:r w:rsidRPr="00D747C4">
        <w:rPr>
          <w:rFonts w:ascii="Arial" w:hAnsi="Arial" w:cs="Arial"/>
          <w:color w:val="000000"/>
          <w:sz w:val="18"/>
          <w:szCs w:val="18"/>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w:t>
      </w:r>
      <w:r w:rsidRPr="00D747C4">
        <w:rPr>
          <w:rFonts w:ascii="Arial" w:hAnsi="Arial" w:cs="Arial"/>
          <w:color w:val="000000"/>
          <w:spacing w:val="-3"/>
          <w:sz w:val="18"/>
          <w:szCs w:val="18"/>
        </w:rPr>
        <w:t xml:space="preserve"> </w:t>
      </w:r>
      <w:r w:rsidRPr="00D747C4">
        <w:rPr>
          <w:rFonts w:ascii="Arial" w:hAnsi="Arial" w:cs="Arial"/>
          <w:color w:val="000000"/>
          <w:sz w:val="18"/>
          <w:szCs w:val="18"/>
        </w:rPr>
        <w:t>Nacional.</w:t>
      </w:r>
    </w:p>
    <w:p w:rsidRPr="00D747C4" w:rsidR="00275AFB" w:rsidP="00275AFB" w:rsidRDefault="00FA09A6" w14:paraId="4EC77A1A" w14:textId="4CC39027">
      <w:pPr>
        <w:ind w:right="49" w:firstLine="708"/>
        <w:jc w:val="both"/>
        <w:rPr>
          <w:rFonts w:ascii="Arial" w:hAnsi="Arial" w:cs="Arial"/>
          <w:color w:val="000000"/>
          <w:sz w:val="18"/>
          <w:szCs w:val="18"/>
        </w:rPr>
      </w:pPr>
      <w:r w:rsidRPr="00D747C4">
        <w:rPr>
          <w:rFonts w:ascii="Arial" w:hAnsi="Arial" w:cs="Arial"/>
          <w:color w:val="000000"/>
          <w:sz w:val="18"/>
          <w:szCs w:val="18"/>
        </w:rPr>
        <w:t>-</w:t>
      </w:r>
      <w:r w:rsidRPr="00D747C4" w:rsidR="00275AFB">
        <w:rPr>
          <w:rFonts w:ascii="Arial" w:hAnsi="Arial" w:cs="Arial"/>
          <w:color w:val="000000"/>
          <w:sz w:val="18"/>
          <w:szCs w:val="18"/>
        </w:rPr>
        <w:t>Lo anterior, sin perjuicio de las publicaciones previstas en el numeral 3 del artículo 30 de la Ley 80 de 1993.</w:t>
      </w:r>
    </w:p>
    <w:p w:rsidRPr="00D747C4" w:rsidR="00275AFB" w:rsidP="00275AFB" w:rsidRDefault="00D747C4" w14:paraId="55A40AB1" w14:textId="3A452788">
      <w:pPr>
        <w:ind w:right="49" w:firstLine="708"/>
        <w:jc w:val="both"/>
        <w:rPr>
          <w:rFonts w:ascii="Arial" w:hAnsi="Arial" w:cs="Arial"/>
          <w:color w:val="000000"/>
          <w:sz w:val="18"/>
          <w:szCs w:val="18"/>
        </w:rPr>
      </w:pPr>
      <w:r w:rsidRPr="00D747C4">
        <w:rPr>
          <w:rFonts w:ascii="Arial" w:hAnsi="Arial" w:cs="Arial"/>
          <w:color w:val="000000"/>
          <w:sz w:val="18"/>
          <w:szCs w:val="18"/>
        </w:rPr>
        <w:t>-</w:t>
      </w:r>
      <w:r w:rsidRPr="00D747C4" w:rsidR="00275AFB">
        <w:rPr>
          <w:rFonts w:ascii="Arial" w:hAnsi="Arial" w:cs="Arial"/>
          <w:color w:val="000000"/>
          <w:sz w:val="18"/>
          <w:szCs w:val="18"/>
        </w:rPr>
        <w:t xml:space="preserve">Con el fin de materializar los objetivos a que se refiere el inciso anterior, el Gobierno Nacional desarrollará el Sistema Electrónico para la Contratación Pública, </w:t>
      </w:r>
      <w:proofErr w:type="spellStart"/>
      <w:r w:rsidRPr="00D747C4" w:rsidR="00275AFB">
        <w:rPr>
          <w:rFonts w:ascii="Arial" w:hAnsi="Arial" w:cs="Arial"/>
          <w:color w:val="000000"/>
          <w:sz w:val="18"/>
          <w:szCs w:val="18"/>
        </w:rPr>
        <w:t>Secop</w:t>
      </w:r>
      <w:proofErr w:type="spellEnd"/>
      <w:r w:rsidRPr="00D747C4" w:rsidR="00275AFB">
        <w:rPr>
          <w:rFonts w:ascii="Arial" w:hAnsi="Arial" w:cs="Arial"/>
          <w:color w:val="000000"/>
          <w:sz w:val="18"/>
          <w:szCs w:val="18"/>
        </w:rPr>
        <w:t>, el cual:</w:t>
      </w:r>
    </w:p>
    <w:p w:rsidRPr="00D747C4" w:rsidR="00275AFB" w:rsidP="00275AFB" w:rsidRDefault="00D747C4" w14:paraId="113AFA93" w14:textId="352448BD">
      <w:pPr>
        <w:ind w:right="49" w:firstLine="708"/>
        <w:jc w:val="both"/>
        <w:rPr>
          <w:rFonts w:ascii="Arial" w:hAnsi="Arial" w:cs="Arial"/>
          <w:color w:val="000000"/>
          <w:sz w:val="18"/>
          <w:szCs w:val="18"/>
        </w:rPr>
      </w:pPr>
      <w:r w:rsidRPr="00D747C4">
        <w:rPr>
          <w:rFonts w:ascii="Arial" w:hAnsi="Arial" w:cs="Arial"/>
          <w:color w:val="000000"/>
          <w:sz w:val="18"/>
          <w:szCs w:val="18"/>
        </w:rPr>
        <w:t>-</w:t>
      </w:r>
      <w:r w:rsidRPr="00D747C4" w:rsidR="00275AFB">
        <w:rPr>
          <w:rFonts w:ascii="Arial" w:hAnsi="Arial" w:cs="Arial"/>
          <w:color w:val="000000"/>
          <w:sz w:val="18"/>
          <w:szCs w:val="18"/>
        </w:rPr>
        <w:t>a) Dispondrá de las funcionalidades tecnológicas para realizar procesos de contratación electrónicos bajo los métodos de selección señalados en el artículo 2o de la presente ley según lo defina el reglamento;</w:t>
      </w:r>
    </w:p>
    <w:p w:rsidRPr="00D747C4" w:rsidR="00275AFB" w:rsidP="00275AFB" w:rsidRDefault="00D747C4" w14:paraId="1EAB9DD0" w14:textId="05053A85">
      <w:pPr>
        <w:ind w:right="49" w:firstLine="708"/>
        <w:jc w:val="both"/>
        <w:rPr>
          <w:rFonts w:ascii="Arial" w:hAnsi="Arial" w:cs="Arial"/>
          <w:color w:val="000000"/>
          <w:sz w:val="18"/>
          <w:szCs w:val="18"/>
        </w:rPr>
      </w:pPr>
      <w:r w:rsidRPr="00D747C4">
        <w:rPr>
          <w:rFonts w:ascii="Arial" w:hAnsi="Arial" w:cs="Arial"/>
          <w:color w:val="000000"/>
          <w:sz w:val="18"/>
          <w:szCs w:val="18"/>
        </w:rPr>
        <w:t>-</w:t>
      </w:r>
      <w:r w:rsidRPr="00D747C4" w:rsidR="00275AFB">
        <w:rPr>
          <w:rFonts w:ascii="Arial" w:hAnsi="Arial" w:cs="Arial"/>
          <w:color w:val="000000"/>
          <w:sz w:val="18"/>
          <w:szCs w:val="18"/>
        </w:rPr>
        <w:t>b) Servirá de punto único de ingreso de información y de generación de reportes para las entidades estatales y la ciudadanía;</w:t>
      </w:r>
    </w:p>
    <w:p w:rsidRPr="00D747C4" w:rsidR="00275AFB" w:rsidP="00275AFB" w:rsidRDefault="00D747C4" w14:paraId="38D2082F" w14:textId="5A01C698">
      <w:pPr>
        <w:ind w:right="49" w:firstLine="708"/>
        <w:jc w:val="both"/>
        <w:rPr>
          <w:rFonts w:ascii="Arial" w:hAnsi="Arial" w:cs="Arial"/>
          <w:color w:val="000000"/>
          <w:sz w:val="18"/>
          <w:szCs w:val="18"/>
        </w:rPr>
      </w:pPr>
      <w:r w:rsidRPr="00D747C4">
        <w:rPr>
          <w:rFonts w:ascii="Arial" w:hAnsi="Arial" w:cs="Arial"/>
          <w:color w:val="000000"/>
          <w:sz w:val="18"/>
          <w:szCs w:val="18"/>
        </w:rPr>
        <w:t>-</w:t>
      </w:r>
      <w:r w:rsidRPr="00D747C4" w:rsidR="00275AFB">
        <w:rPr>
          <w:rFonts w:ascii="Arial" w:hAnsi="Arial" w:cs="Arial"/>
          <w:color w:val="000000"/>
          <w:sz w:val="18"/>
          <w:szCs w:val="18"/>
        </w:rPr>
        <w:t>c) Contará con la información oficial de la contratación realizada con dineros públicos, para lo cual establecerá los patrones a que haya lugar y se encargará de su difusión a través de canales electrónicos y;</w:t>
      </w:r>
    </w:p>
    <w:p w:rsidRPr="00D747C4" w:rsidR="00275AFB" w:rsidP="00275AFB" w:rsidRDefault="00D747C4" w14:paraId="6C90C1D2" w14:textId="1DB4C443">
      <w:pPr>
        <w:ind w:right="49" w:firstLine="708"/>
        <w:jc w:val="both"/>
        <w:rPr>
          <w:rFonts w:ascii="Arial" w:hAnsi="Arial" w:cs="Arial"/>
          <w:color w:val="000000"/>
          <w:sz w:val="18"/>
          <w:szCs w:val="18"/>
        </w:rPr>
      </w:pPr>
      <w:r w:rsidRPr="00D747C4">
        <w:rPr>
          <w:rFonts w:ascii="Arial" w:hAnsi="Arial" w:cs="Arial"/>
          <w:color w:val="000000"/>
          <w:sz w:val="18"/>
          <w:szCs w:val="18"/>
        </w:rPr>
        <w:t>-</w:t>
      </w:r>
      <w:r w:rsidRPr="00D747C4" w:rsidR="00275AFB">
        <w:rPr>
          <w:rFonts w:ascii="Arial" w:hAnsi="Arial" w:cs="Arial"/>
          <w:color w:val="000000"/>
          <w:sz w:val="18"/>
          <w:szCs w:val="18"/>
        </w:rPr>
        <w:t xml:space="preserve">d) Integrará el Registro </w:t>
      </w:r>
      <w:proofErr w:type="spellStart"/>
      <w:r w:rsidRPr="00D747C4" w:rsidR="00275AFB">
        <w:rPr>
          <w:rFonts w:ascii="Arial" w:hAnsi="Arial" w:cs="Arial"/>
          <w:color w:val="000000"/>
          <w:sz w:val="18"/>
          <w:szCs w:val="18"/>
        </w:rPr>
        <w:t>Unico</w:t>
      </w:r>
      <w:proofErr w:type="spellEnd"/>
      <w:r w:rsidRPr="00D747C4" w:rsidR="00275AFB">
        <w:rPr>
          <w:rFonts w:ascii="Arial" w:hAnsi="Arial" w:cs="Arial"/>
          <w:color w:val="000000"/>
          <w:sz w:val="18"/>
          <w:szCs w:val="18"/>
        </w:rPr>
        <w:t xml:space="preserve"> Empresarial de las Cámaras de Comercio, el Diario </w:t>
      </w:r>
      <w:proofErr w:type="spellStart"/>
      <w:r w:rsidRPr="00D747C4" w:rsidR="00275AFB">
        <w:rPr>
          <w:rFonts w:ascii="Arial" w:hAnsi="Arial" w:cs="Arial"/>
          <w:color w:val="000000"/>
          <w:sz w:val="18"/>
          <w:szCs w:val="18"/>
        </w:rPr>
        <w:t>Unico</w:t>
      </w:r>
      <w:proofErr w:type="spellEnd"/>
      <w:r w:rsidRPr="00D747C4" w:rsidR="00275AFB">
        <w:rPr>
          <w:rFonts w:ascii="Arial" w:hAnsi="Arial" w:cs="Arial"/>
          <w:color w:val="000000"/>
          <w:sz w:val="18"/>
          <w:szCs w:val="18"/>
        </w:rPr>
        <w:t xml:space="preserve">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rsidRPr="00D747C4" w:rsidR="00275AFB" w:rsidP="00275AFB" w:rsidRDefault="00275AFB" w14:paraId="086891D3" w14:textId="77777777">
      <w:pPr>
        <w:pStyle w:val="Textonotapie"/>
        <w:ind w:right="49"/>
        <w:jc w:val="both"/>
        <w:rPr>
          <w:rFonts w:ascii="Arial" w:hAnsi="Arial" w:cs="Arial"/>
          <w:color w:val="000000"/>
          <w:sz w:val="18"/>
          <w:szCs w:val="18"/>
        </w:rPr>
      </w:pPr>
    </w:p>
  </w:footnote>
  <w:footnote w:id="5">
    <w:p w:rsidRPr="00D747C4" w:rsidR="00275AFB" w:rsidP="00275AFB" w:rsidRDefault="00275AFB" w14:paraId="2EAEFAEF" w14:textId="77777777">
      <w:pPr>
        <w:pStyle w:val="Textonotapie"/>
        <w:ind w:firstLine="708"/>
        <w:jc w:val="both"/>
        <w:rPr>
          <w:rFonts w:ascii="Arial" w:hAnsi="Arial" w:cs="Arial"/>
          <w:sz w:val="18"/>
          <w:szCs w:val="18"/>
        </w:rPr>
      </w:pPr>
      <w:r w:rsidRPr="00D747C4">
        <w:rPr>
          <w:rStyle w:val="Refdenotaalpie"/>
          <w:rFonts w:ascii="Arial" w:hAnsi="Arial" w:cs="Arial"/>
          <w:sz w:val="18"/>
          <w:szCs w:val="18"/>
        </w:rPr>
        <w:footnoteRef/>
      </w:r>
      <w:r w:rsidRPr="00D747C4">
        <w:rPr>
          <w:rFonts w:ascii="Arial" w:hAnsi="Arial" w:cs="Arial"/>
          <w:sz w:val="18"/>
          <w:szCs w:val="18"/>
        </w:rPr>
        <w:t xml:space="preserve"> Si bien el artículo 2.2.1.1.1.7.1. del Decreto 1082 de 2015 no dice que el término para publicar sea de días hábiles, la Ley 4 de 1913, por un lado, en el artículo 59, establece que los plazos a los que se haga mención en la ley terminan a la medianoche, y que por día 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lo que significa que lo días referidos en la ley deben entenderse como hábiles. Respecto a la noción de día hábil, son relevantes las consideraciones expuestas por esta Subdirección en el concepto C-160 del 3 de abril de 2020 –radicado No. 2202013000002420–, donde se expuso que «[…] los días hábiles se determinan según la entidad, ya que “cada entidad pública establece la jornada laboral, a través de su reglamento interno, dando certeza sobre los días que atienden al público, e indirectamente definiendo qué día es hábil en determinada institución”,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w:t>
      </w:r>
    </w:p>
    <w:p w:rsidRPr="00D747C4" w:rsidR="00275AFB" w:rsidP="00275AFB" w:rsidRDefault="00275AFB" w14:paraId="09DD6DE8" w14:textId="77777777">
      <w:pPr>
        <w:pStyle w:val="Textonotapie"/>
        <w:ind w:firstLine="708"/>
        <w:jc w:val="both"/>
        <w:rPr>
          <w:rFonts w:ascii="Arial" w:hAnsi="Arial" w:cs="Arial"/>
          <w:sz w:val="18"/>
          <w:szCs w:val="18"/>
        </w:rPr>
      </w:pPr>
    </w:p>
  </w:footnote>
  <w:footnote w:id="6">
    <w:p w:rsidRPr="00D747C4" w:rsidR="00275AFB" w:rsidP="00275AFB" w:rsidRDefault="00275AFB" w14:paraId="0ECE10E9" w14:textId="77777777">
      <w:pPr>
        <w:pStyle w:val="NormalWeb"/>
        <w:spacing w:before="0" w:beforeAutospacing="0" w:after="0" w:afterAutospacing="0"/>
        <w:ind w:firstLine="708"/>
        <w:jc w:val="both"/>
        <w:rPr>
          <w:rFonts w:ascii="Arial" w:hAnsi="Arial" w:cs="Arial"/>
          <w:color w:val="000000"/>
          <w:sz w:val="18"/>
          <w:szCs w:val="18"/>
        </w:rPr>
      </w:pPr>
      <w:r w:rsidRPr="00D747C4">
        <w:rPr>
          <w:rStyle w:val="Refdenotaalpie"/>
          <w:rFonts w:ascii="Arial" w:hAnsi="Arial" w:cs="Arial"/>
          <w:sz w:val="18"/>
          <w:szCs w:val="18"/>
        </w:rPr>
        <w:footnoteRef/>
      </w:r>
      <w:r w:rsidRPr="00D747C4">
        <w:rPr>
          <w:rFonts w:ascii="Arial" w:hAnsi="Arial" w:cs="Arial"/>
          <w:sz w:val="18"/>
          <w:szCs w:val="18"/>
        </w:rPr>
        <w:t xml:space="preserve"> Decreto 1081 de 2015 «</w:t>
      </w:r>
      <w:r w:rsidRPr="00D747C4">
        <w:rPr>
          <w:rFonts w:ascii="Arial" w:hAnsi="Arial" w:cs="Arial"/>
          <w:color w:val="000000"/>
          <w:sz w:val="18"/>
          <w:szCs w:val="18"/>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rsidRPr="00D747C4" w:rsidR="00275AFB" w:rsidP="00275AFB" w:rsidRDefault="00D747C4" w14:paraId="126B73E5" w14:textId="27BB6547">
      <w:pPr>
        <w:jc w:val="both"/>
        <w:rPr>
          <w:rFonts w:ascii="Arial" w:hAnsi="Arial" w:cs="Arial"/>
          <w:color w:val="000000"/>
          <w:sz w:val="18"/>
          <w:szCs w:val="18"/>
          <w:lang w:eastAsia="es-CO"/>
        </w:rPr>
      </w:pPr>
      <w:r w:rsidRPr="00D747C4">
        <w:rPr>
          <w:rFonts w:ascii="Arial" w:hAnsi="Arial" w:cs="Arial"/>
          <w:color w:val="000000"/>
          <w:sz w:val="18"/>
          <w:szCs w:val="18"/>
          <w:lang w:eastAsia="es-CO"/>
        </w:rPr>
        <w:t>  </w:t>
      </w:r>
      <w:r w:rsidRPr="00D747C4">
        <w:rPr>
          <w:rFonts w:ascii="Arial" w:hAnsi="Arial" w:cs="Arial"/>
          <w:color w:val="000000"/>
          <w:sz w:val="18"/>
          <w:szCs w:val="18"/>
          <w:lang w:eastAsia="es-CO"/>
        </w:rPr>
        <w:tab/>
      </w:r>
      <w:r w:rsidRPr="00D747C4">
        <w:rPr>
          <w:rFonts w:ascii="Arial" w:hAnsi="Arial" w:cs="Arial"/>
          <w:color w:val="000000"/>
          <w:sz w:val="18"/>
          <w:szCs w:val="18"/>
          <w:lang w:eastAsia="es-CO"/>
        </w:rPr>
        <w:t>-</w:t>
      </w:r>
      <w:r w:rsidRPr="00D747C4" w:rsidR="00275AFB">
        <w:rPr>
          <w:rFonts w:ascii="Arial" w:hAnsi="Arial" w:cs="Arial"/>
          <w:color w:val="000000"/>
          <w:sz w:val="18"/>
          <w:szCs w:val="18"/>
          <w:lang w:eastAsia="es-CO"/>
        </w:rPr>
        <w:t>Los sujetos obligados que contratan con cargo a recursos públicos deben publicar la información de su gestión contractual en el plazo previsto en el artículo 19 del Decreto 1510 de 2013, o el que lo modifique, sustituya o adicione. </w:t>
      </w:r>
    </w:p>
    <w:p w:rsidRPr="00D747C4" w:rsidR="00275AFB" w:rsidP="00275AFB" w:rsidRDefault="00D747C4" w14:paraId="3F49C2FA" w14:textId="6DC8152F">
      <w:pPr>
        <w:jc w:val="both"/>
        <w:rPr>
          <w:rFonts w:ascii="Arial" w:hAnsi="Arial" w:cs="Arial"/>
          <w:sz w:val="18"/>
          <w:szCs w:val="18"/>
        </w:rPr>
      </w:pPr>
      <w:r w:rsidRPr="00D747C4">
        <w:rPr>
          <w:rFonts w:ascii="Arial" w:hAnsi="Arial" w:cs="Arial"/>
          <w:color w:val="000000"/>
          <w:sz w:val="18"/>
          <w:szCs w:val="18"/>
          <w:lang w:eastAsia="es-CO"/>
        </w:rPr>
        <w:t>  </w:t>
      </w:r>
      <w:r w:rsidRPr="00D747C4">
        <w:rPr>
          <w:rFonts w:ascii="Arial" w:hAnsi="Arial" w:cs="Arial"/>
          <w:color w:val="000000"/>
          <w:sz w:val="18"/>
          <w:szCs w:val="18"/>
          <w:lang w:eastAsia="es-CO"/>
        </w:rPr>
        <w:tab/>
      </w:r>
      <w:r w:rsidRPr="00D747C4">
        <w:rPr>
          <w:rFonts w:ascii="Arial" w:hAnsi="Arial" w:cs="Arial"/>
          <w:color w:val="000000"/>
          <w:sz w:val="18"/>
          <w:szCs w:val="18"/>
          <w:lang w:eastAsia="es-CO"/>
        </w:rPr>
        <w:t>-</w:t>
      </w:r>
      <w:r w:rsidRPr="00D747C4" w:rsidR="00275AFB">
        <w:rPr>
          <w:rFonts w:ascii="Arial" w:hAnsi="Arial" w:cs="Arial"/>
          <w:color w:val="000000"/>
          <w:sz w:val="18"/>
          <w:szCs w:val="18"/>
          <w:lang w:eastAsia="es-CO"/>
        </w:rPr>
        <w:t>Los sujetos obligados que contratan con recursos públicos y recursos privados, deben publicar la información de su gestión contractual con cargo a recursos públicos en el Sistema Electrónico para la Contratación Pública (SECOP)</w:t>
      </w:r>
      <w:r w:rsidRPr="00D747C4" w:rsidR="00275AFB">
        <w:rPr>
          <w:rFonts w:ascii="Arial" w:hAnsi="Arial" w:cs="Arial"/>
          <w:sz w:val="18"/>
          <w:szCs w:val="18"/>
        </w:rPr>
        <w:t>».</w:t>
      </w:r>
    </w:p>
    <w:p w:rsidRPr="00D747C4" w:rsidR="00275AFB" w:rsidP="00275AFB" w:rsidRDefault="00275AFB" w14:paraId="0BC9BFCC" w14:textId="77777777">
      <w:pPr>
        <w:jc w:val="both"/>
        <w:rPr>
          <w:rFonts w:ascii="Arial" w:hAnsi="Arial" w:cs="Arial"/>
          <w:color w:val="000000"/>
          <w:sz w:val="18"/>
          <w:szCs w:val="18"/>
          <w:lang w:eastAsia="es-CO"/>
        </w:rPr>
      </w:pPr>
    </w:p>
  </w:footnote>
  <w:footnote w:id="7">
    <w:p w:rsidRPr="00D747C4" w:rsidR="00275AFB" w:rsidP="00D747C4" w:rsidRDefault="00275AFB" w14:paraId="1D18766C" w14:textId="43D44BF0">
      <w:pPr>
        <w:pStyle w:val="Textonotapie"/>
        <w:ind w:right="49" w:firstLine="709"/>
        <w:jc w:val="both"/>
        <w:rPr>
          <w:rFonts w:ascii="Arial" w:hAnsi="Arial" w:cs="Arial"/>
          <w:color w:val="000000"/>
          <w:sz w:val="18"/>
          <w:szCs w:val="18"/>
        </w:rPr>
      </w:pPr>
      <w:r w:rsidRPr="00D747C4">
        <w:rPr>
          <w:rStyle w:val="Refdenotaalpie"/>
          <w:rFonts w:ascii="Arial" w:hAnsi="Arial" w:cs="Arial"/>
          <w:color w:val="000000"/>
          <w:sz w:val="18"/>
          <w:szCs w:val="18"/>
        </w:rPr>
        <w:footnoteRef/>
      </w:r>
      <w:r w:rsidRPr="00D747C4" w:rsidR="00D747C4">
        <w:rPr>
          <w:rFonts w:ascii="Arial" w:hAnsi="Arial" w:cs="Arial"/>
          <w:color w:val="000000"/>
          <w:sz w:val="18"/>
          <w:szCs w:val="18"/>
        </w:rPr>
        <w:t xml:space="preserve"> Decreto 1081 de 2015: “</w:t>
      </w:r>
      <w:r w:rsidRPr="00D747C4">
        <w:rPr>
          <w:rFonts w:ascii="Arial" w:hAnsi="Arial" w:cs="Arial"/>
          <w:color w:val="000000"/>
          <w:sz w:val="18"/>
          <w:szCs w:val="18"/>
        </w:rPr>
        <w:t xml:space="preserve">Artículo 2.1.1.2.1.9.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t>
      </w:r>
      <w:r w:rsidRPr="00D747C4" w:rsidR="00D747C4">
        <w:rPr>
          <w:rFonts w:ascii="Arial" w:hAnsi="Arial" w:cs="Arial"/>
          <w:color w:val="000000"/>
          <w:sz w:val="18"/>
          <w:szCs w:val="18"/>
        </w:rPr>
        <w:t>web oficial del sujeto obligado”</w:t>
      </w:r>
      <w:r w:rsidRPr="00D747C4">
        <w:rPr>
          <w:rFonts w:ascii="Arial" w:hAnsi="Arial" w:cs="Arial"/>
          <w:color w:val="000000"/>
          <w:sz w:val="18"/>
          <w:szCs w:val="18"/>
        </w:rPr>
        <w:t>.</w:t>
      </w:r>
    </w:p>
  </w:footnote>
  <w:footnote w:id="8">
    <w:p w:rsidRPr="00D747C4" w:rsidR="00275AFB" w:rsidP="00275AFB" w:rsidRDefault="00275AFB" w14:paraId="4E83CB80" w14:textId="77777777">
      <w:pPr>
        <w:pStyle w:val="Textonotapie"/>
        <w:ind w:right="49" w:firstLine="709"/>
        <w:jc w:val="both"/>
        <w:rPr>
          <w:rFonts w:ascii="Arial" w:hAnsi="Arial" w:cs="Arial"/>
          <w:color w:val="000000"/>
          <w:sz w:val="18"/>
          <w:szCs w:val="18"/>
        </w:rPr>
      </w:pPr>
      <w:r w:rsidRPr="00D747C4">
        <w:rPr>
          <w:rStyle w:val="Refdenotaalpie"/>
          <w:rFonts w:ascii="Arial" w:hAnsi="Arial" w:cs="Arial"/>
          <w:color w:val="000000"/>
          <w:sz w:val="18"/>
          <w:szCs w:val="18"/>
        </w:rPr>
        <w:footnoteRef/>
      </w:r>
      <w:r w:rsidRPr="00D747C4">
        <w:rPr>
          <w:rFonts w:ascii="Arial" w:hAnsi="Arial" w:cs="Arial"/>
          <w:color w:val="000000"/>
          <w:sz w:val="18"/>
          <w:szCs w:val="18"/>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rsidRPr="00D747C4" w:rsidR="00275AFB" w:rsidP="00275AFB" w:rsidRDefault="00D747C4" w14:paraId="3122C52B" w14:textId="28E73A8A">
      <w:pPr>
        <w:pStyle w:val="Textonotapie"/>
        <w:ind w:right="49" w:firstLine="709"/>
        <w:jc w:val="both"/>
        <w:rPr>
          <w:rFonts w:ascii="Arial" w:hAnsi="Arial" w:cs="Arial"/>
          <w:color w:val="000000"/>
          <w:sz w:val="18"/>
          <w:szCs w:val="18"/>
        </w:rPr>
      </w:pPr>
      <w:r w:rsidRPr="00D747C4">
        <w:rPr>
          <w:rFonts w:ascii="Arial" w:hAnsi="Arial" w:cs="Arial"/>
          <w:color w:val="000000"/>
          <w:sz w:val="18"/>
          <w:szCs w:val="18"/>
        </w:rPr>
        <w:t>-</w:t>
      </w:r>
      <w:r w:rsidRPr="00D747C4" w:rsidR="00275AFB">
        <w:rPr>
          <w:rFonts w:ascii="Arial" w:hAnsi="Arial" w:cs="Arial"/>
          <w:color w:val="000000"/>
          <w:sz w:val="18"/>
          <w:szCs w:val="18"/>
        </w:rPr>
        <w:t xml:space="preserve">Los sujetos obligados que no contratan con cargo a recursos públicos no están obligados a publicar su Plan Anual de Adquisiciones. </w:t>
      </w:r>
    </w:p>
    <w:p w:rsidRPr="00D747C4" w:rsidR="00275AFB" w:rsidP="00275AFB" w:rsidRDefault="00D747C4" w14:paraId="1DF2CA08" w14:textId="58C05A9A">
      <w:pPr>
        <w:pStyle w:val="Textonotapie"/>
        <w:ind w:right="49" w:firstLine="709"/>
        <w:jc w:val="both"/>
        <w:rPr>
          <w:rFonts w:ascii="Arial" w:hAnsi="Arial" w:cs="Arial"/>
          <w:color w:val="000000"/>
          <w:sz w:val="18"/>
          <w:szCs w:val="18"/>
        </w:rPr>
      </w:pPr>
      <w:r w:rsidRPr="00D747C4">
        <w:rPr>
          <w:rFonts w:ascii="Arial" w:hAnsi="Arial" w:cs="Arial"/>
          <w:color w:val="000000"/>
          <w:sz w:val="18"/>
          <w:szCs w:val="18"/>
        </w:rPr>
        <w:t>-</w:t>
      </w:r>
      <w:r w:rsidRPr="00D747C4" w:rsidR="00275AFB">
        <w:rPr>
          <w:rFonts w:ascii="Arial" w:hAnsi="Arial" w:cs="Arial"/>
          <w:color w:val="000000"/>
          <w:sz w:val="18"/>
          <w:szCs w:val="18"/>
        </w:rPr>
        <w:t xml:space="preserve">Los sujetos obligados que contratan con cargo a recursos públicos y recursos privados, deben publicar en su página web y en el SECOP el Plan Anual de Adquisiciones para los recursos de carácter público que ejecutarán en el año. </w:t>
      </w:r>
    </w:p>
    <w:p w:rsidRPr="00D747C4" w:rsidR="00275AFB" w:rsidP="00D747C4" w:rsidRDefault="00D747C4" w14:paraId="78A7026A" w14:textId="4137E30A">
      <w:pPr>
        <w:pStyle w:val="Textonotapie"/>
        <w:ind w:right="49" w:firstLine="709"/>
        <w:jc w:val="both"/>
        <w:rPr>
          <w:rFonts w:ascii="Arial" w:hAnsi="Arial" w:cs="Arial"/>
          <w:color w:val="000000"/>
          <w:sz w:val="18"/>
          <w:szCs w:val="18"/>
        </w:rPr>
      </w:pPr>
      <w:r w:rsidRPr="00D747C4">
        <w:rPr>
          <w:rFonts w:ascii="Arial" w:hAnsi="Arial" w:cs="Arial"/>
          <w:color w:val="000000"/>
          <w:sz w:val="18"/>
          <w:szCs w:val="18"/>
        </w:rPr>
        <w:t>-</w:t>
      </w:r>
      <w:r w:rsidRPr="00D747C4" w:rsidR="00275AFB">
        <w:rPr>
          <w:rFonts w:ascii="Arial" w:hAnsi="Arial" w:cs="Arial"/>
          <w:color w:val="000000"/>
          <w:sz w:val="18"/>
          <w:szCs w:val="18"/>
        </w:rPr>
        <w:t xml:space="preserve">Se entenderá como definición de Plan Anual de Adquisiciones respecto a todos los sujetos obligados que contratan con recursos públicos, la prevista en el artículo 3° del Decreto 1510 de 2013, o el que lo </w:t>
      </w:r>
      <w:r w:rsidRPr="00D747C4">
        <w:rPr>
          <w:rFonts w:ascii="Arial" w:hAnsi="Arial" w:cs="Arial"/>
          <w:color w:val="000000"/>
          <w:sz w:val="18"/>
          <w:szCs w:val="18"/>
        </w:rPr>
        <w:t>modifique, sustituya o adicione</w:t>
      </w:r>
      <w:r w:rsidRPr="00D747C4" w:rsidR="00275AFB">
        <w:rPr>
          <w:rFonts w:ascii="Arial" w:hAnsi="Arial" w:cs="Arial"/>
          <w:color w:val="000000"/>
          <w:sz w:val="18"/>
          <w:szCs w:val="18"/>
        </w:rPr>
        <w:t>.</w:t>
      </w:r>
    </w:p>
  </w:footnote>
  <w:footnote w:id="9">
    <w:p w:rsidRPr="00D747C4" w:rsidR="00275AFB" w:rsidP="00275AFB" w:rsidRDefault="00275AFB" w14:paraId="3A14A806" w14:textId="3ABF0E93">
      <w:pPr>
        <w:pStyle w:val="Textonotapie"/>
        <w:ind w:right="49" w:firstLine="709"/>
        <w:jc w:val="both"/>
        <w:rPr>
          <w:rFonts w:ascii="Arial" w:hAnsi="Arial" w:cs="Arial"/>
          <w:color w:val="000000"/>
          <w:sz w:val="18"/>
          <w:szCs w:val="18"/>
        </w:rPr>
      </w:pPr>
      <w:r w:rsidRPr="00D747C4">
        <w:rPr>
          <w:rStyle w:val="Refdenotaalpie"/>
          <w:rFonts w:ascii="Arial" w:hAnsi="Arial" w:cs="Arial"/>
          <w:color w:val="000000"/>
          <w:sz w:val="18"/>
          <w:szCs w:val="18"/>
        </w:rPr>
        <w:footnoteRef/>
      </w:r>
      <w:r w:rsidRPr="00D747C4" w:rsidR="00D747C4">
        <w:rPr>
          <w:rFonts w:ascii="Arial" w:hAnsi="Arial" w:cs="Arial"/>
          <w:color w:val="000000"/>
          <w:sz w:val="18"/>
          <w:szCs w:val="18"/>
        </w:rPr>
        <w:t xml:space="preserve"> Decreto 1081 de 2015: “</w:t>
      </w:r>
      <w:r w:rsidRPr="00D747C4">
        <w:rPr>
          <w:rFonts w:ascii="Arial" w:hAnsi="Arial" w:cs="Arial"/>
          <w:color w:val="000000"/>
          <w:sz w:val="18"/>
          <w:szCs w:val="18"/>
        </w:rPr>
        <w:t>Artículo 2.1.1.2.1.8.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w:t>
      </w:r>
      <w:r w:rsidRPr="00D747C4" w:rsidR="00D747C4">
        <w:rPr>
          <w:rFonts w:ascii="Arial" w:hAnsi="Arial" w:cs="Arial"/>
          <w:color w:val="000000"/>
          <w:sz w:val="18"/>
          <w:szCs w:val="18"/>
        </w:rPr>
        <w:t>ueben la ejecución del contrato”</w:t>
      </w:r>
      <w:r w:rsidRPr="00D747C4">
        <w:rPr>
          <w:rFonts w:ascii="Arial" w:hAnsi="Arial" w:cs="Arial"/>
          <w:color w:val="000000"/>
          <w:sz w:val="18"/>
          <w:szCs w:val="18"/>
        </w:rPr>
        <w:t>.</w:t>
      </w:r>
    </w:p>
    <w:p w:rsidRPr="00D747C4" w:rsidR="00275AFB" w:rsidP="00275AFB" w:rsidRDefault="00275AFB" w14:paraId="457ED069" w14:textId="77777777">
      <w:pPr>
        <w:pStyle w:val="Textonotapie"/>
        <w:ind w:right="49" w:firstLine="709"/>
        <w:jc w:val="both"/>
        <w:rPr>
          <w:rFonts w:ascii="Arial" w:hAnsi="Arial" w:cs="Arial"/>
          <w:color w:val="000000"/>
          <w:sz w:val="18"/>
          <w:szCs w:val="18"/>
        </w:rPr>
      </w:pPr>
    </w:p>
  </w:footnote>
  <w:footnote w:id="10">
    <w:p w:rsidRPr="00D747C4" w:rsidR="00275AFB" w:rsidP="00275AFB" w:rsidRDefault="00275AFB" w14:paraId="2D0E2B01" w14:textId="43D79629">
      <w:pPr>
        <w:pStyle w:val="Textonotapie"/>
        <w:ind w:firstLine="708"/>
        <w:jc w:val="both"/>
        <w:rPr>
          <w:rFonts w:ascii="Arial" w:hAnsi="Arial" w:cs="Arial"/>
          <w:sz w:val="18"/>
          <w:szCs w:val="18"/>
          <w:lang w:val="es-CO"/>
        </w:rPr>
      </w:pPr>
      <w:r w:rsidRPr="00D747C4">
        <w:rPr>
          <w:rStyle w:val="Refdenotaalpie"/>
          <w:rFonts w:ascii="Arial" w:hAnsi="Arial" w:cs="Arial"/>
          <w:sz w:val="18"/>
          <w:szCs w:val="18"/>
        </w:rPr>
        <w:footnoteRef/>
      </w:r>
      <w:r w:rsidRPr="00D747C4" w:rsidR="00D747C4">
        <w:rPr>
          <w:rFonts w:ascii="Arial" w:hAnsi="Arial" w:cs="Arial"/>
          <w:sz w:val="18"/>
          <w:szCs w:val="18"/>
        </w:rPr>
        <w:t xml:space="preserve">  Ley 1712 de 2014 “</w:t>
      </w:r>
      <w:r w:rsidRPr="00D747C4">
        <w:rPr>
          <w:rFonts w:ascii="Arial" w:hAnsi="Arial" w:cs="Arial"/>
          <w:sz w:val="18"/>
          <w:szCs w:val="18"/>
        </w:rPr>
        <w:t>Artículo 2</w:t>
      </w:r>
      <w:proofErr w:type="gramStart"/>
      <w:r w:rsidRPr="00D747C4">
        <w:rPr>
          <w:rFonts w:ascii="Arial" w:hAnsi="Arial" w:cs="Arial"/>
          <w:sz w:val="18"/>
          <w:szCs w:val="18"/>
        </w:rPr>
        <w:t>°.Principio</w:t>
      </w:r>
      <w:proofErr w:type="gramEnd"/>
      <w:r w:rsidRPr="00D747C4">
        <w:rPr>
          <w:rFonts w:ascii="Arial" w:hAnsi="Arial" w:cs="Arial"/>
          <w:sz w:val="18"/>
          <w:szCs w:val="18"/>
        </w:rPr>
        <w:t xml:space="preserve"> de máxima publicidad para titular universal. Toda información en posesión, bajo control o custodia de un sujeto obligado es pública y no podrá ser reservada o limitada sino por disposición constitucional o legal, de </w:t>
      </w:r>
      <w:r w:rsidRPr="00D747C4" w:rsidR="00D747C4">
        <w:rPr>
          <w:rFonts w:ascii="Arial" w:hAnsi="Arial" w:cs="Arial"/>
          <w:sz w:val="18"/>
          <w:szCs w:val="18"/>
        </w:rPr>
        <w:t>conformidad con la presente ley”</w:t>
      </w:r>
      <w:r w:rsidRPr="00D747C4">
        <w:rPr>
          <w:rFonts w:ascii="Arial" w:hAnsi="Arial" w:cs="Arial"/>
          <w:sz w:val="18"/>
          <w:szCs w:val="18"/>
        </w:rPr>
        <w:t>.</w:t>
      </w:r>
    </w:p>
  </w:footnote>
  <w:footnote w:id="11">
    <w:p w:rsidRPr="00D747C4" w:rsidR="00275AFB" w:rsidP="00275AFB" w:rsidRDefault="00275AFB" w14:paraId="476D2268" w14:textId="268185A5">
      <w:pPr>
        <w:pStyle w:val="NormalWeb"/>
        <w:spacing w:before="0" w:beforeAutospacing="0" w:after="0" w:afterAutospacing="0"/>
        <w:ind w:firstLine="708"/>
        <w:jc w:val="both"/>
        <w:rPr>
          <w:rFonts w:ascii="Arial" w:hAnsi="Arial" w:cs="Arial"/>
          <w:color w:val="000000"/>
          <w:sz w:val="18"/>
          <w:szCs w:val="18"/>
        </w:rPr>
      </w:pPr>
      <w:r w:rsidRPr="00D747C4">
        <w:rPr>
          <w:rStyle w:val="Refdenotaalpie"/>
          <w:rFonts w:ascii="Arial" w:hAnsi="Arial" w:cs="Arial"/>
          <w:sz w:val="18"/>
          <w:szCs w:val="18"/>
        </w:rPr>
        <w:footnoteRef/>
      </w:r>
      <w:r w:rsidRPr="00D747C4" w:rsidR="00D747C4">
        <w:rPr>
          <w:rFonts w:ascii="Arial" w:hAnsi="Arial" w:cs="Arial"/>
          <w:sz w:val="18"/>
          <w:szCs w:val="18"/>
        </w:rPr>
        <w:t xml:space="preserve">  Ley 1712 de 2014 “</w:t>
      </w:r>
      <w:r w:rsidRPr="00D747C4">
        <w:rPr>
          <w:rFonts w:ascii="Arial" w:hAnsi="Arial" w:cs="Arial"/>
          <w:color w:val="000000"/>
          <w:sz w:val="18"/>
          <w:szCs w:val="18"/>
        </w:rPr>
        <w:t>Artículo 3</w:t>
      </w:r>
      <w:proofErr w:type="gramStart"/>
      <w:r w:rsidRPr="00D747C4">
        <w:rPr>
          <w:rFonts w:ascii="Arial" w:hAnsi="Arial" w:cs="Arial"/>
          <w:color w:val="000000"/>
          <w:sz w:val="18"/>
          <w:szCs w:val="18"/>
        </w:rPr>
        <w:t>°.Otros</w:t>
      </w:r>
      <w:proofErr w:type="gramEnd"/>
      <w:r w:rsidRPr="00D747C4">
        <w:rPr>
          <w:rFonts w:ascii="Arial" w:hAnsi="Arial" w:cs="Arial"/>
          <w:color w:val="000000"/>
          <w:sz w:val="18"/>
          <w:szCs w:val="18"/>
        </w:rPr>
        <w:t xml:space="preserve"> principios de la transparencia y acceso a la información pública. En la interpretación del derecho de acceso a la información se deberá adoptar un criterio de razonabilidad y proporcionalidad, así como aplicar los siguientes principios: </w:t>
      </w:r>
    </w:p>
    <w:p w:rsidRPr="00D747C4" w:rsidR="00275AFB" w:rsidP="00275AFB" w:rsidRDefault="00275AFB" w14:paraId="40CDD71C" w14:textId="1DCE6184">
      <w:pPr>
        <w:jc w:val="both"/>
        <w:rPr>
          <w:rFonts w:ascii="Arial" w:hAnsi="Arial" w:cs="Arial"/>
          <w:color w:val="000000"/>
          <w:sz w:val="18"/>
          <w:szCs w:val="18"/>
          <w:lang w:eastAsia="es-CO"/>
        </w:rPr>
      </w:pPr>
      <w:r w:rsidRPr="00D747C4">
        <w:rPr>
          <w:rFonts w:ascii="Arial" w:hAnsi="Arial" w:cs="Arial"/>
          <w:color w:val="000000"/>
          <w:sz w:val="18"/>
          <w:szCs w:val="18"/>
          <w:lang w:eastAsia="es-CO"/>
        </w:rPr>
        <w:t> </w:t>
      </w:r>
      <w:r w:rsidRPr="00D747C4" w:rsidR="00D747C4">
        <w:rPr>
          <w:rFonts w:ascii="Arial" w:hAnsi="Arial" w:cs="Arial"/>
          <w:color w:val="000000"/>
          <w:sz w:val="18"/>
          <w:szCs w:val="18"/>
          <w:lang w:eastAsia="es-CO"/>
        </w:rPr>
        <w:tab/>
      </w:r>
      <w:r w:rsidRPr="00D747C4" w:rsidR="00D747C4">
        <w:rPr>
          <w:rFonts w:ascii="Arial" w:hAnsi="Arial" w:cs="Arial"/>
          <w:color w:val="000000"/>
          <w:sz w:val="18"/>
          <w:szCs w:val="18"/>
          <w:lang w:eastAsia="es-CO"/>
        </w:rPr>
        <w:t>-</w:t>
      </w:r>
      <w:r w:rsidRPr="00D747C4">
        <w:rPr>
          <w:rFonts w:ascii="Arial" w:hAnsi="Arial" w:cs="Arial"/>
          <w:color w:val="000000"/>
          <w:sz w:val="18"/>
          <w:szCs w:val="18"/>
          <w:lang w:eastAsia="es-CO"/>
        </w:rPr>
        <w:t xml:space="preserve">Principio de transparencia. Principio conforme al cual toda la información en poder de los sujetos obligados definidos en esta ley se presume pública, en </w:t>
      </w:r>
      <w:proofErr w:type="gramStart"/>
      <w:r w:rsidRPr="00D747C4">
        <w:rPr>
          <w:rFonts w:ascii="Arial" w:hAnsi="Arial" w:cs="Arial"/>
          <w:color w:val="000000"/>
          <w:sz w:val="18"/>
          <w:szCs w:val="18"/>
          <w:lang w:eastAsia="es-CO"/>
        </w:rPr>
        <w:t>consecuencia</w:t>
      </w:r>
      <w:proofErr w:type="gramEnd"/>
      <w:r w:rsidRPr="00D747C4">
        <w:rPr>
          <w:rFonts w:ascii="Arial" w:hAnsi="Arial" w:cs="Arial"/>
          <w:color w:val="000000"/>
          <w:sz w:val="18"/>
          <w:szCs w:val="18"/>
          <w:lang w:eastAsia="es-CO"/>
        </w:rPr>
        <w:t xml:space="preserve">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w:t>
      </w:r>
    </w:p>
    <w:p w:rsidRPr="00D747C4" w:rsidR="00275AFB" w:rsidP="00275AFB" w:rsidRDefault="00275AFB" w14:paraId="33C21328" w14:textId="77777777">
      <w:pPr>
        <w:jc w:val="both"/>
        <w:rPr>
          <w:rFonts w:ascii="Arial" w:hAnsi="Arial" w:cs="Arial"/>
          <w:color w:val="000000"/>
          <w:sz w:val="18"/>
          <w:szCs w:val="18"/>
          <w:lang w:eastAsia="es-CO"/>
        </w:rPr>
      </w:pPr>
      <w:r w:rsidRPr="00D747C4">
        <w:rPr>
          <w:rFonts w:ascii="Arial" w:hAnsi="Arial" w:cs="Arial"/>
          <w:color w:val="000000"/>
          <w:sz w:val="18"/>
          <w:szCs w:val="18"/>
          <w:lang w:eastAsia="es-CO"/>
        </w:rPr>
        <w:t>  </w:t>
      </w:r>
      <w:r w:rsidRPr="00D747C4">
        <w:rPr>
          <w:rFonts w:ascii="Arial" w:hAnsi="Arial" w:cs="Arial"/>
          <w:color w:val="000000"/>
          <w:sz w:val="18"/>
          <w:szCs w:val="18"/>
          <w:lang w:eastAsia="es-CO"/>
        </w:rPr>
        <w:tab/>
      </w:r>
      <w:r w:rsidRPr="00D747C4">
        <w:rPr>
          <w:rFonts w:ascii="Arial" w:hAnsi="Arial" w:cs="Arial"/>
          <w:color w:val="000000"/>
          <w:sz w:val="18"/>
          <w:szCs w:val="18"/>
          <w:lang w:eastAsia="es-CO"/>
        </w:rPr>
        <w:t>[…] </w:t>
      </w:r>
    </w:p>
    <w:p w:rsidRPr="00D747C4" w:rsidR="00275AFB" w:rsidP="00275AFB" w:rsidRDefault="00275AFB" w14:paraId="3765B209" w14:textId="11F11E99">
      <w:pPr>
        <w:jc w:val="both"/>
        <w:rPr>
          <w:rFonts w:ascii="Arial" w:hAnsi="Arial" w:cs="Arial"/>
          <w:color w:val="000000"/>
          <w:sz w:val="18"/>
          <w:szCs w:val="18"/>
          <w:lang w:eastAsia="es-CO"/>
        </w:rPr>
      </w:pPr>
      <w:r w:rsidRPr="00D747C4">
        <w:rPr>
          <w:rFonts w:ascii="Arial" w:hAnsi="Arial" w:cs="Arial"/>
          <w:color w:val="000000"/>
          <w:sz w:val="18"/>
          <w:szCs w:val="18"/>
          <w:lang w:eastAsia="es-CO"/>
        </w:rPr>
        <w:t>  </w:t>
      </w:r>
      <w:r w:rsidRPr="00D747C4">
        <w:rPr>
          <w:rFonts w:ascii="Arial" w:hAnsi="Arial" w:cs="Arial"/>
          <w:color w:val="000000"/>
          <w:sz w:val="18"/>
          <w:szCs w:val="18"/>
          <w:lang w:eastAsia="es-CO"/>
        </w:rPr>
        <w:tab/>
      </w:r>
      <w:r w:rsidRPr="00D747C4" w:rsidR="00D747C4">
        <w:rPr>
          <w:rFonts w:ascii="Arial" w:hAnsi="Arial" w:cs="Arial"/>
          <w:color w:val="000000"/>
          <w:sz w:val="18"/>
          <w:szCs w:val="18"/>
          <w:lang w:eastAsia="es-CO"/>
        </w:rPr>
        <w:t>-</w:t>
      </w:r>
      <w:r w:rsidRPr="00D747C4">
        <w:rPr>
          <w:rFonts w:ascii="Arial" w:hAnsi="Arial" w:cs="Arial"/>
          <w:color w:val="000000"/>
          <w:sz w:val="18"/>
          <w:szCs w:val="18"/>
          <w:lang w:eastAsia="es-CO"/>
        </w:rPr>
        <w:t>Principio de facilitación. En virtud de este principio los sujetos obligados deberán facilitar el ejercicio del derecho de acceso a la información pública, excluyendo exigencias o requisitos que puedan obstruirlo o impedirlo. </w:t>
      </w:r>
    </w:p>
    <w:p w:rsidRPr="00D747C4" w:rsidR="00275AFB" w:rsidP="00275AFB" w:rsidRDefault="00275AFB" w14:paraId="536BC834" w14:textId="77777777">
      <w:pPr>
        <w:jc w:val="both"/>
        <w:rPr>
          <w:rFonts w:ascii="Arial" w:hAnsi="Arial" w:cs="Arial"/>
          <w:color w:val="000000"/>
          <w:sz w:val="18"/>
          <w:szCs w:val="18"/>
          <w:lang w:eastAsia="es-CO"/>
        </w:rPr>
      </w:pPr>
      <w:r w:rsidRPr="00D747C4">
        <w:rPr>
          <w:rFonts w:ascii="Arial" w:hAnsi="Arial" w:cs="Arial"/>
          <w:color w:val="000000"/>
          <w:sz w:val="18"/>
          <w:szCs w:val="18"/>
          <w:lang w:eastAsia="es-CO"/>
        </w:rPr>
        <w:t>  </w:t>
      </w:r>
      <w:r w:rsidRPr="00D747C4">
        <w:rPr>
          <w:rFonts w:ascii="Arial" w:hAnsi="Arial" w:cs="Arial"/>
          <w:color w:val="000000"/>
          <w:sz w:val="18"/>
          <w:szCs w:val="18"/>
          <w:lang w:eastAsia="es-CO"/>
        </w:rPr>
        <w:tab/>
      </w:r>
      <w:r w:rsidRPr="00D747C4">
        <w:rPr>
          <w:rFonts w:ascii="Arial" w:hAnsi="Arial" w:cs="Arial"/>
          <w:color w:val="000000"/>
          <w:sz w:val="18"/>
          <w:szCs w:val="18"/>
          <w:lang w:eastAsia="es-CO"/>
        </w:rPr>
        <w:t>[…]</w:t>
      </w:r>
    </w:p>
    <w:p w:rsidRPr="00D747C4" w:rsidR="00275AFB" w:rsidP="00275AFB" w:rsidRDefault="00275AFB" w14:paraId="68EC50EC" w14:textId="2826D799">
      <w:pPr>
        <w:jc w:val="both"/>
        <w:rPr>
          <w:rFonts w:ascii="Arial" w:hAnsi="Arial" w:cs="Arial"/>
          <w:color w:val="000000"/>
          <w:sz w:val="18"/>
          <w:szCs w:val="18"/>
          <w:lang w:eastAsia="es-CO"/>
        </w:rPr>
      </w:pPr>
      <w:r w:rsidRPr="00D747C4">
        <w:rPr>
          <w:rFonts w:ascii="Arial" w:hAnsi="Arial" w:cs="Arial"/>
          <w:color w:val="000000"/>
          <w:sz w:val="18"/>
          <w:szCs w:val="18"/>
          <w:lang w:eastAsia="es-CO"/>
        </w:rPr>
        <w:t>  </w:t>
      </w:r>
      <w:r w:rsidRPr="00D747C4" w:rsidR="00D747C4">
        <w:rPr>
          <w:rFonts w:ascii="Arial" w:hAnsi="Arial" w:cs="Arial"/>
          <w:color w:val="000000"/>
          <w:sz w:val="18"/>
          <w:szCs w:val="18"/>
          <w:lang w:eastAsia="es-CO"/>
        </w:rPr>
        <w:tab/>
      </w:r>
      <w:r w:rsidRPr="00D747C4" w:rsidR="00D747C4">
        <w:rPr>
          <w:rFonts w:ascii="Arial" w:hAnsi="Arial" w:cs="Arial"/>
          <w:color w:val="000000"/>
          <w:sz w:val="18"/>
          <w:szCs w:val="18"/>
          <w:lang w:eastAsia="es-CO"/>
        </w:rPr>
        <w:t>-</w:t>
      </w:r>
      <w:r w:rsidRPr="00D747C4">
        <w:rPr>
          <w:rFonts w:ascii="Arial" w:hAnsi="Arial" w:cs="Arial"/>
          <w:color w:val="000000"/>
          <w:sz w:val="18"/>
          <w:szCs w:val="18"/>
          <w:lang w:eastAsia="es-CO"/>
        </w:rPr>
        <w:t>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r w:rsidRPr="00D747C4" w:rsidR="00D747C4">
        <w:rPr>
          <w:rFonts w:ascii="Arial" w:hAnsi="Arial" w:cs="Arial"/>
          <w:color w:val="000000"/>
          <w:sz w:val="18"/>
          <w:szCs w:val="18"/>
          <w:lang w:eastAsia="es-CO"/>
        </w:rPr>
        <w:t xml:space="preserve"> […]”</w:t>
      </w:r>
      <w:r w:rsidRPr="00D747C4">
        <w:rPr>
          <w:rFonts w:ascii="Arial" w:hAnsi="Arial" w:cs="Arial"/>
          <w:color w:val="000000"/>
          <w:sz w:val="18"/>
          <w:szCs w:val="18"/>
          <w:lang w:eastAsia="es-CO"/>
        </w:rPr>
        <w:t>.</w:t>
      </w:r>
    </w:p>
    <w:p w:rsidRPr="00D747C4" w:rsidR="00275AFB" w:rsidP="00275AFB" w:rsidRDefault="00275AFB" w14:paraId="4CE96C5D" w14:textId="77777777">
      <w:pPr>
        <w:pStyle w:val="Textonotapie"/>
        <w:rPr>
          <w:rFonts w:ascii="Arial" w:hAnsi="Arial" w:cs="Arial"/>
          <w:sz w:val="18"/>
          <w:szCs w:val="18"/>
          <w:lang w:val="es-CO"/>
        </w:rPr>
      </w:pPr>
    </w:p>
  </w:footnote>
  <w:footnote w:id="12">
    <w:p w:rsidRPr="00D747C4" w:rsidR="00275AFB" w:rsidP="00275AFB" w:rsidRDefault="00275AFB" w14:paraId="31EF0494" w14:textId="77777777">
      <w:pPr>
        <w:pStyle w:val="Textonotapie"/>
        <w:ind w:firstLine="708"/>
        <w:jc w:val="both"/>
        <w:rPr>
          <w:rFonts w:ascii="Arial" w:hAnsi="Arial" w:cs="Arial"/>
          <w:sz w:val="18"/>
          <w:szCs w:val="18"/>
        </w:rPr>
      </w:pPr>
    </w:p>
    <w:p w:rsidRPr="00D747C4" w:rsidR="00275AFB" w:rsidP="00275AFB" w:rsidRDefault="00275AFB" w14:paraId="398F5E9C" w14:textId="611406DE">
      <w:pPr>
        <w:pStyle w:val="Textonotapie"/>
        <w:ind w:firstLine="708"/>
        <w:jc w:val="both"/>
        <w:rPr>
          <w:rFonts w:ascii="Arial" w:hAnsi="Arial" w:cs="Arial"/>
          <w:sz w:val="18"/>
          <w:szCs w:val="18"/>
        </w:rPr>
      </w:pPr>
      <w:r w:rsidRPr="00D747C4">
        <w:rPr>
          <w:rStyle w:val="Refdenotaalpie"/>
          <w:rFonts w:ascii="Arial" w:hAnsi="Arial" w:cs="Arial"/>
          <w:sz w:val="18"/>
          <w:szCs w:val="18"/>
        </w:rPr>
        <w:footnoteRef/>
      </w:r>
      <w:r w:rsidR="00D747C4">
        <w:rPr>
          <w:rFonts w:ascii="Arial" w:hAnsi="Arial" w:cs="Arial"/>
          <w:sz w:val="18"/>
          <w:szCs w:val="18"/>
        </w:rPr>
        <w:t xml:space="preserve"> Ley 80 de 1993 “</w:t>
      </w:r>
      <w:r w:rsidRPr="00D747C4">
        <w:rPr>
          <w:rFonts w:ascii="Arial" w:hAnsi="Arial" w:cs="Arial"/>
          <w:sz w:val="18"/>
          <w:szCs w:val="18"/>
        </w:rPr>
        <w:t xml:space="preserve">Artículo 24. Del principio de transparencia. En virtud de este principio: </w:t>
      </w:r>
    </w:p>
    <w:p w:rsidRPr="00D747C4" w:rsidR="00275AFB" w:rsidP="00275AFB" w:rsidRDefault="00275AFB" w14:paraId="4C2D4D07" w14:textId="77777777">
      <w:pPr>
        <w:pStyle w:val="Textonotapie"/>
        <w:ind w:firstLine="708"/>
        <w:jc w:val="both"/>
        <w:rPr>
          <w:rFonts w:ascii="Arial" w:hAnsi="Arial" w:cs="Arial"/>
          <w:sz w:val="18"/>
          <w:szCs w:val="18"/>
        </w:rPr>
      </w:pPr>
      <w:r w:rsidRPr="00D747C4">
        <w:rPr>
          <w:rFonts w:ascii="Arial" w:hAnsi="Arial" w:cs="Arial"/>
          <w:sz w:val="18"/>
          <w:szCs w:val="18"/>
        </w:rPr>
        <w:t>[…]</w:t>
      </w:r>
    </w:p>
    <w:p w:rsidRPr="00D747C4" w:rsidR="00275AFB" w:rsidP="00D747C4" w:rsidRDefault="00275AFB" w14:paraId="36EF7F28" w14:textId="33186146">
      <w:pPr>
        <w:pStyle w:val="Textonotapie"/>
        <w:ind w:firstLine="708"/>
        <w:jc w:val="both"/>
        <w:rPr>
          <w:rFonts w:ascii="Arial" w:hAnsi="Arial" w:cs="Arial"/>
          <w:sz w:val="18"/>
          <w:szCs w:val="18"/>
          <w:lang w:val="es-CO"/>
        </w:rPr>
      </w:pPr>
      <w:r w:rsidRPr="00D747C4">
        <w:rPr>
          <w:rFonts w:ascii="Arial" w:hAnsi="Arial" w:cs="Arial"/>
          <w:sz w:val="18"/>
          <w:szCs w:val="18"/>
        </w:rPr>
        <w:t>4o. Las autoridades expedirán a costa de aquellas personas que demuestren interés legítimo, copias de las actuaciones y propuestas recibidas, respetando la reserva de que gocen legalmente las patente</w:t>
      </w:r>
      <w:r w:rsidR="00D747C4">
        <w:rPr>
          <w:rFonts w:ascii="Arial" w:hAnsi="Arial" w:cs="Arial"/>
          <w:sz w:val="18"/>
          <w:szCs w:val="18"/>
        </w:rPr>
        <w:t>s, procedimientos y privilegios”</w:t>
      </w:r>
      <w:r w:rsidRPr="00D747C4">
        <w:rPr>
          <w:rFonts w:ascii="Arial" w:hAnsi="Arial" w:cs="Arial"/>
          <w:sz w:val="18"/>
          <w:szCs w:val="18"/>
        </w:rPr>
        <w:t>.</w:t>
      </w:r>
    </w:p>
  </w:footnote>
  <w:footnote w:id="13">
    <w:p w:rsidRPr="00D747C4" w:rsidR="00275AFB" w:rsidP="00D747C4" w:rsidRDefault="00275AFB" w14:paraId="71BA1E2B" w14:textId="52B955D1">
      <w:pPr>
        <w:pStyle w:val="Textonotapie"/>
        <w:ind w:firstLine="708"/>
        <w:jc w:val="both"/>
        <w:rPr>
          <w:rFonts w:ascii="Arial" w:hAnsi="Arial" w:cs="Arial"/>
          <w:sz w:val="18"/>
          <w:szCs w:val="18"/>
        </w:rPr>
      </w:pPr>
      <w:r w:rsidRPr="00D747C4">
        <w:rPr>
          <w:rStyle w:val="Refdenotaalpie"/>
          <w:rFonts w:ascii="Arial" w:hAnsi="Arial" w:cs="Arial"/>
          <w:sz w:val="18"/>
          <w:szCs w:val="18"/>
        </w:rPr>
        <w:footnoteRef/>
      </w:r>
      <w:r w:rsidRPr="00D747C4" w:rsidR="00D747C4">
        <w:rPr>
          <w:rFonts w:ascii="Arial" w:hAnsi="Arial" w:cs="Arial"/>
          <w:sz w:val="18"/>
          <w:szCs w:val="18"/>
        </w:rPr>
        <w:t xml:space="preserve">  Ley 1712 de </w:t>
      </w:r>
      <w:proofErr w:type="gramStart"/>
      <w:r w:rsidRPr="00D747C4" w:rsidR="00D747C4">
        <w:rPr>
          <w:rFonts w:ascii="Arial" w:hAnsi="Arial" w:cs="Arial"/>
          <w:sz w:val="18"/>
          <w:szCs w:val="18"/>
        </w:rPr>
        <w:t>2014 ”</w:t>
      </w:r>
      <w:r w:rsidRPr="00D747C4">
        <w:rPr>
          <w:rFonts w:ascii="Arial" w:hAnsi="Arial" w:cs="Arial"/>
          <w:sz w:val="18"/>
          <w:szCs w:val="18"/>
        </w:rPr>
        <w:t>Artículo</w:t>
      </w:r>
      <w:proofErr w:type="gramEnd"/>
      <w:r w:rsidRPr="00D747C4">
        <w:rPr>
          <w:rFonts w:ascii="Arial" w:hAnsi="Arial" w:cs="Arial"/>
          <w:sz w:val="18"/>
          <w:szCs w:val="18"/>
        </w:rPr>
        <w:t xml:space="preserve"> 2°.Principio de máxima publicidad para titular universal. Toda información en posesión, bajo control o custodia de un sujeto obligado es pública y no podrá ser reservada o limitada sino por disposición constitucional o legal, de conformidad con la presente ley</w:t>
      </w:r>
      <w:r w:rsidRPr="00D747C4" w:rsidR="00D747C4">
        <w:rPr>
          <w:rFonts w:ascii="Arial" w:hAnsi="Arial" w:cs="Arial"/>
          <w:sz w:val="18"/>
          <w:szCs w:val="18"/>
        </w:rPr>
        <w:t>”</w:t>
      </w:r>
      <w:r w:rsidRPr="00D747C4">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7566FE" w:rsidR="001C5997" w:rsidP="008614E5" w:rsidRDefault="001C5997" w14:paraId="2E51F6A5" w14:textId="0DD925F5">
    <w:pPr>
      <w:rPr>
        <w:rFonts w:ascii="Geomanist Light" w:hAnsi="Geomanist Light"/>
        <w:color w:val="002060"/>
        <w:sz w:val="16"/>
        <w:szCs w:val="16"/>
      </w:rPr>
    </w:pPr>
    <w:r w:rsidRPr="007566FE">
      <w:rPr>
        <w:rFonts w:ascii="Geomanist Light" w:hAnsi="Geomanist Light" w:eastAsia="Arial Nova"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1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rsidRPr="007566FE" w:rsidR="001C5997" w:rsidP="00793403" w:rsidRDefault="001C5997" w14:paraId="077278A1" w14:textId="2CAB5B77">
    <w:pPr>
      <w:pBdr>
        <w:top w:val="nil"/>
        <w:left w:val="nil"/>
        <w:bottom w:val="nil"/>
        <w:right w:val="nil"/>
        <w:between w:val="nil"/>
      </w:pBdr>
      <w:tabs>
        <w:tab w:val="center" w:pos="4419"/>
        <w:tab w:val="right" w:pos="8838"/>
        <w:tab w:val="center" w:pos="5400"/>
      </w:tabs>
      <w:rPr>
        <w:rFonts w:ascii="Geomanist Light" w:hAnsi="Geomanist Light" w:eastAsia="Geo" w:cs="Geo"/>
        <w:b/>
        <w:color w:val="002060"/>
        <w:sz w:val="16"/>
        <w:szCs w:val="16"/>
        <w:lang w:eastAsia="es-CO"/>
      </w:rPr>
    </w:pPr>
    <w:r w:rsidRPr="007566FE">
      <w:rPr>
        <w:rFonts w:ascii="Geomanist Light" w:hAnsi="Geomanist Light" w:eastAsia="Geo" w:cs="Geo"/>
        <w:b/>
        <w:color w:val="000000"/>
        <w:sz w:val="16"/>
        <w:szCs w:val="16"/>
        <w:lang w:eastAsia="es-CO"/>
      </w:rPr>
      <w:t xml:space="preserve">Código: </w:t>
    </w:r>
    <w:r w:rsidRPr="007566FE">
      <w:rPr>
        <w:rFonts w:ascii="Geomanist Light" w:hAnsi="Geomanist Light" w:eastAsia="Geo" w:cs="Geo"/>
        <w:bCs/>
        <w:color w:val="000000"/>
        <w:sz w:val="16"/>
        <w:szCs w:val="16"/>
        <w:lang w:eastAsia="es-CO"/>
      </w:rPr>
      <w:t>CCE-PQRSD-FM-08</w:t>
    </w:r>
  </w:p>
  <w:p w:rsidR="001C5997" w:rsidP="008614E5" w:rsidRDefault="001C5997" w14:paraId="74FC5262" w14:textId="51A6AFCE">
    <w:pPr>
      <w:rPr>
        <w:rFonts w:ascii="Geomanist Light" w:hAnsi="Geomanist Light" w:eastAsia="Geo"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eastAsia="Geo" w:cs="Geo"/>
        <w:b/>
        <w:color w:val="000000"/>
        <w:sz w:val="16"/>
        <w:szCs w:val="16"/>
        <w:lang w:eastAsia="es-CO"/>
      </w:rPr>
      <w:t>Versión</w:t>
    </w:r>
    <w:r w:rsidRPr="007566FE">
      <w:rPr>
        <w:rFonts w:ascii="Geomanist Light" w:hAnsi="Geomanist Light" w:eastAsia="Arial Nova" w:cs="Arial Nova"/>
        <w:b/>
        <w:color w:val="000000"/>
        <w:sz w:val="16"/>
        <w:szCs w:val="16"/>
        <w:lang w:eastAsia="es-CO"/>
      </w:rPr>
      <w:t xml:space="preserve">: </w:t>
    </w:r>
    <w:r w:rsidRPr="007566FE">
      <w:rPr>
        <w:rFonts w:ascii="Geomanist Light" w:hAnsi="Geomanist Light" w:eastAsia="Geo" w:cs="Geo"/>
        <w:sz w:val="16"/>
        <w:szCs w:val="16"/>
        <w:lang w:eastAsia="es-CO"/>
      </w:rPr>
      <w:t>0</w:t>
    </w:r>
    <w:r>
      <w:rPr>
        <w:rFonts w:ascii="Geomanist Light" w:hAnsi="Geomanist Light" w:eastAsia="Geo" w:cs="Geo"/>
        <w:sz w:val="16"/>
        <w:szCs w:val="16"/>
        <w:lang w:eastAsia="es-CO"/>
      </w:rPr>
      <w:t>2</w:t>
    </w:r>
    <w:r w:rsidRPr="007566FE">
      <w:rPr>
        <w:rFonts w:ascii="Geomanist Light" w:hAnsi="Geomanist Light" w:eastAsia="Geo" w:cs="Geo"/>
        <w:sz w:val="16"/>
        <w:szCs w:val="16"/>
        <w:lang w:eastAsia="es-CO"/>
      </w:rPr>
      <w:t xml:space="preserve"> DEL </w:t>
    </w:r>
    <w:r>
      <w:rPr>
        <w:rFonts w:ascii="Geomanist Light" w:hAnsi="Geomanist Light" w:eastAsia="Geo" w:cs="Geo"/>
        <w:sz w:val="16"/>
        <w:szCs w:val="16"/>
        <w:lang w:eastAsia="es-CO"/>
      </w:rPr>
      <w:t>28</w:t>
    </w:r>
    <w:r w:rsidRPr="007566FE">
      <w:rPr>
        <w:rFonts w:ascii="Geomanist Light" w:hAnsi="Geomanist Light" w:eastAsia="Geo" w:cs="Geo"/>
        <w:sz w:val="16"/>
        <w:szCs w:val="16"/>
        <w:lang w:eastAsia="es-CO"/>
      </w:rPr>
      <w:t xml:space="preserve"> DE </w:t>
    </w:r>
    <w:r>
      <w:rPr>
        <w:rFonts w:ascii="Geomanist Light" w:hAnsi="Geomanist Light" w:eastAsia="Geo" w:cs="Geo"/>
        <w:sz w:val="16"/>
        <w:szCs w:val="16"/>
        <w:lang w:eastAsia="es-CO"/>
      </w:rPr>
      <w:t>SEPTIEMBRE</w:t>
    </w:r>
    <w:r w:rsidRPr="007566FE">
      <w:rPr>
        <w:rFonts w:ascii="Geomanist Light" w:hAnsi="Geomanist Light" w:eastAsia="Geo" w:cs="Geo"/>
        <w:sz w:val="16"/>
        <w:szCs w:val="16"/>
        <w:lang w:eastAsia="es-CO"/>
      </w:rPr>
      <w:t xml:space="preserve"> DE 2022</w:t>
    </w:r>
  </w:p>
  <w:p w:rsidRPr="007566FE" w:rsidR="001C5997" w:rsidP="008614E5" w:rsidRDefault="001C5997" w14:paraId="60144E94" w14:textId="49B57718">
    <w:pPr>
      <w:rPr>
        <w:rFonts w:ascii="Geomanist Light" w:hAnsi="Geomanist Light"/>
        <w:color w:val="002060"/>
        <w:sz w:val="16"/>
        <w:szCs w:val="16"/>
      </w:rPr>
    </w:pPr>
  </w:p>
  <w:p w:rsidRPr="00906B3C" w:rsidR="001C5997" w:rsidP="00906B3C" w:rsidRDefault="001C5997" w14:paraId="1D9AD711" w14:textId="5827BD16">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52A4AB3"/>
    <w:multiLevelType w:val="hybridMultilevel"/>
    <w:tmpl w:val="0F08E3A2"/>
    <w:lvl w:ilvl="0" w:tplc="3D16C97C">
      <w:start w:val="1"/>
      <w:numFmt w:val="lowerLetter"/>
      <w:lvlText w:val="%1."/>
      <w:lvlJc w:val="left"/>
      <w:pPr>
        <w:ind w:left="502" w:hanging="360"/>
      </w:pPr>
      <w:rPr>
        <w:rFonts w:ascii="Arial" w:hAnsi="Arial" w:cs="Arial" w:eastAsiaTheme="minorHAnsi"/>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47"/>
    <w:rsid w:val="00083334"/>
    <w:rsid w:val="000956CF"/>
    <w:rsid w:val="000A4ADA"/>
    <w:rsid w:val="000A683E"/>
    <w:rsid w:val="000E1C26"/>
    <w:rsid w:val="000E4612"/>
    <w:rsid w:val="000F2C2D"/>
    <w:rsid w:val="00100A6F"/>
    <w:rsid w:val="00113268"/>
    <w:rsid w:val="001146AF"/>
    <w:rsid w:val="0011595A"/>
    <w:rsid w:val="001171FF"/>
    <w:rsid w:val="001220C5"/>
    <w:rsid w:val="001267F7"/>
    <w:rsid w:val="00126852"/>
    <w:rsid w:val="00127233"/>
    <w:rsid w:val="00130999"/>
    <w:rsid w:val="00131DB4"/>
    <w:rsid w:val="0014187B"/>
    <w:rsid w:val="00164D81"/>
    <w:rsid w:val="00174A26"/>
    <w:rsid w:val="00196D9B"/>
    <w:rsid w:val="001A1011"/>
    <w:rsid w:val="001A48D0"/>
    <w:rsid w:val="001C5997"/>
    <w:rsid w:val="001D4681"/>
    <w:rsid w:val="00217814"/>
    <w:rsid w:val="00240FC2"/>
    <w:rsid w:val="00241FE0"/>
    <w:rsid w:val="00243C63"/>
    <w:rsid w:val="002653C1"/>
    <w:rsid w:val="0026611D"/>
    <w:rsid w:val="00275AFB"/>
    <w:rsid w:val="002951A0"/>
    <w:rsid w:val="002A64FD"/>
    <w:rsid w:val="002C56ED"/>
    <w:rsid w:val="002F0839"/>
    <w:rsid w:val="002F5F04"/>
    <w:rsid w:val="00301469"/>
    <w:rsid w:val="00304941"/>
    <w:rsid w:val="00306EE1"/>
    <w:rsid w:val="00310B9B"/>
    <w:rsid w:val="003260FE"/>
    <w:rsid w:val="0036461C"/>
    <w:rsid w:val="00367884"/>
    <w:rsid w:val="0039439C"/>
    <w:rsid w:val="003973F0"/>
    <w:rsid w:val="003B69E7"/>
    <w:rsid w:val="003C013B"/>
    <w:rsid w:val="003D0F4D"/>
    <w:rsid w:val="003F58A1"/>
    <w:rsid w:val="00410DD6"/>
    <w:rsid w:val="004134C9"/>
    <w:rsid w:val="0043138C"/>
    <w:rsid w:val="0045646C"/>
    <w:rsid w:val="00462A59"/>
    <w:rsid w:val="00467536"/>
    <w:rsid w:val="004A1847"/>
    <w:rsid w:val="004A40D6"/>
    <w:rsid w:val="004B6B0E"/>
    <w:rsid w:val="004D25B3"/>
    <w:rsid w:val="00511405"/>
    <w:rsid w:val="00517F9B"/>
    <w:rsid w:val="0052060E"/>
    <w:rsid w:val="00526E9D"/>
    <w:rsid w:val="005277EE"/>
    <w:rsid w:val="00547856"/>
    <w:rsid w:val="00547A74"/>
    <w:rsid w:val="005543BC"/>
    <w:rsid w:val="005566E8"/>
    <w:rsid w:val="005746AB"/>
    <w:rsid w:val="0058545F"/>
    <w:rsid w:val="00586705"/>
    <w:rsid w:val="0059357F"/>
    <w:rsid w:val="00597EF7"/>
    <w:rsid w:val="005A1130"/>
    <w:rsid w:val="005C53CA"/>
    <w:rsid w:val="005D65C8"/>
    <w:rsid w:val="005E6665"/>
    <w:rsid w:val="005F05BC"/>
    <w:rsid w:val="006219F8"/>
    <w:rsid w:val="00625A73"/>
    <w:rsid w:val="00634EB7"/>
    <w:rsid w:val="00646E3C"/>
    <w:rsid w:val="00681FDB"/>
    <w:rsid w:val="00686415"/>
    <w:rsid w:val="006A7DAD"/>
    <w:rsid w:val="006D70BA"/>
    <w:rsid w:val="007042B1"/>
    <w:rsid w:val="0074167B"/>
    <w:rsid w:val="007473B5"/>
    <w:rsid w:val="0075456A"/>
    <w:rsid w:val="007566FE"/>
    <w:rsid w:val="0076726F"/>
    <w:rsid w:val="0077144B"/>
    <w:rsid w:val="00772FCE"/>
    <w:rsid w:val="00793403"/>
    <w:rsid w:val="007C0CDF"/>
    <w:rsid w:val="007D42D7"/>
    <w:rsid w:val="007E2A2F"/>
    <w:rsid w:val="007F2B7C"/>
    <w:rsid w:val="00811651"/>
    <w:rsid w:val="00820F5B"/>
    <w:rsid w:val="00825E31"/>
    <w:rsid w:val="00833452"/>
    <w:rsid w:val="0084137A"/>
    <w:rsid w:val="008614E5"/>
    <w:rsid w:val="008678EB"/>
    <w:rsid w:val="00875894"/>
    <w:rsid w:val="00881C10"/>
    <w:rsid w:val="00890411"/>
    <w:rsid w:val="008D5C70"/>
    <w:rsid w:val="009025AF"/>
    <w:rsid w:val="00904F23"/>
    <w:rsid w:val="00906B3C"/>
    <w:rsid w:val="0095342C"/>
    <w:rsid w:val="00961D4C"/>
    <w:rsid w:val="009F33F2"/>
    <w:rsid w:val="009F6C77"/>
    <w:rsid w:val="00A03E25"/>
    <w:rsid w:val="00A07532"/>
    <w:rsid w:val="00A1085C"/>
    <w:rsid w:val="00A1235B"/>
    <w:rsid w:val="00A309E2"/>
    <w:rsid w:val="00A332F1"/>
    <w:rsid w:val="00A8066E"/>
    <w:rsid w:val="00A93654"/>
    <w:rsid w:val="00AA4B8A"/>
    <w:rsid w:val="00AA6BF7"/>
    <w:rsid w:val="00B01ED6"/>
    <w:rsid w:val="00B06D09"/>
    <w:rsid w:val="00B73DF9"/>
    <w:rsid w:val="00B744E1"/>
    <w:rsid w:val="00B771A9"/>
    <w:rsid w:val="00B809BB"/>
    <w:rsid w:val="00B8248A"/>
    <w:rsid w:val="00BB4353"/>
    <w:rsid w:val="00BB7726"/>
    <w:rsid w:val="00BD6326"/>
    <w:rsid w:val="00C2329E"/>
    <w:rsid w:val="00C30461"/>
    <w:rsid w:val="00C40051"/>
    <w:rsid w:val="00C754BE"/>
    <w:rsid w:val="00C87572"/>
    <w:rsid w:val="00C91DCB"/>
    <w:rsid w:val="00C924FD"/>
    <w:rsid w:val="00C9405D"/>
    <w:rsid w:val="00CA19E8"/>
    <w:rsid w:val="00CB6488"/>
    <w:rsid w:val="00CC1B26"/>
    <w:rsid w:val="00CD284F"/>
    <w:rsid w:val="00CF23AA"/>
    <w:rsid w:val="00CF512B"/>
    <w:rsid w:val="00D01921"/>
    <w:rsid w:val="00D44A86"/>
    <w:rsid w:val="00D454F7"/>
    <w:rsid w:val="00D67943"/>
    <w:rsid w:val="00D74083"/>
    <w:rsid w:val="00D747C4"/>
    <w:rsid w:val="00D752B7"/>
    <w:rsid w:val="00D86F58"/>
    <w:rsid w:val="00DA1854"/>
    <w:rsid w:val="00DB0887"/>
    <w:rsid w:val="00DE6A4B"/>
    <w:rsid w:val="00DE7EBA"/>
    <w:rsid w:val="00DF1E43"/>
    <w:rsid w:val="00E00E8E"/>
    <w:rsid w:val="00E2018C"/>
    <w:rsid w:val="00E20894"/>
    <w:rsid w:val="00E26B7C"/>
    <w:rsid w:val="00E53DFB"/>
    <w:rsid w:val="00E60872"/>
    <w:rsid w:val="00E8464D"/>
    <w:rsid w:val="00E8651B"/>
    <w:rsid w:val="00EA3003"/>
    <w:rsid w:val="00EB02E9"/>
    <w:rsid w:val="00EB3C91"/>
    <w:rsid w:val="00EB66DA"/>
    <w:rsid w:val="00F00625"/>
    <w:rsid w:val="00F33903"/>
    <w:rsid w:val="00F57758"/>
    <w:rsid w:val="00F605F2"/>
    <w:rsid w:val="00F76AFC"/>
    <w:rsid w:val="00F8319B"/>
    <w:rsid w:val="00FA09A6"/>
    <w:rsid w:val="00FA4CCD"/>
    <w:rsid w:val="00FA5516"/>
    <w:rsid w:val="00FC486A"/>
    <w:rsid w:val="00FD6F73"/>
    <w:rsid w:val="00FE3F16"/>
    <w:rsid w:val="00FE4E32"/>
    <w:rsid w:val="0D0CEEE3"/>
    <w:rsid w:val="1CC63BF5"/>
    <w:rsid w:val="2F9951DC"/>
    <w:rsid w:val="3EA2D60F"/>
    <w:rsid w:val="62B3C8A1"/>
    <w:rsid w:val="6691939B"/>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B86F6845-4A3F-4B91-BFF0-E9544203EC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747C4"/>
    <w:pPr>
      <w:spacing w:after="0" w:line="240" w:lineRule="auto"/>
    </w:pPr>
    <w:rPr>
      <w:rFonts w:ascii="Times New Roman" w:hAnsi="Times New Roman" w:eastAsia="Times New Roman" w:cs="Times New Roman"/>
      <w:sz w:val="24"/>
      <w:szCs w:val="24"/>
      <w:lang w:eastAsia="es-ES_tradnl"/>
    </w:rPr>
  </w:style>
  <w:style w:type="paragraph" w:styleId="Ttulo1">
    <w:name w:val="heading 1"/>
    <w:basedOn w:val="Normal"/>
    <w:link w:val="Ttulo1Car"/>
    <w:uiPriority w:val="9"/>
    <w:qFormat/>
    <w:rsid w:val="00904F23"/>
    <w:pPr>
      <w:widowControl w:val="0"/>
      <w:autoSpaceDE w:val="0"/>
      <w:autoSpaceDN w:val="0"/>
      <w:spacing w:before="1"/>
      <w:ind w:left="1181" w:hanging="360"/>
      <w:outlineLvl w:val="0"/>
    </w:pPr>
    <w:rPr>
      <w:rFonts w:ascii="Arial" w:hAnsi="Arial" w:eastAsia="Arial" w:cs="Arial"/>
      <w:b/>
      <w:bCs/>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Ttulo1Car" w:customStyle="1">
    <w:name w:val="Título 1 Car"/>
    <w:basedOn w:val="Fuentedeprrafopredeter"/>
    <w:link w:val="Ttulo1"/>
    <w:uiPriority w:val="9"/>
    <w:rsid w:val="00904F23"/>
    <w:rPr>
      <w:rFonts w:ascii="Arial" w:hAnsi="Arial" w:eastAsia="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rPr>
      <w:sz w:val="20"/>
      <w:szCs w:val="20"/>
    </w:rPr>
  </w:style>
  <w:style w:type="character" w:styleId="TextocomentarioCar" w:customStyle="1">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styleId="AsuntodelcomentarioCar" w:customStyle="1">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1146AF"/>
    <w:rPr>
      <w:color w:val="0563C1" w:themeColor="hyperlink"/>
      <w:u w:val="single"/>
    </w:rPr>
  </w:style>
  <w:style w:type="paragraph" w:styleId="NormalWeb">
    <w:name w:val="Normal (Web)"/>
    <w:basedOn w:val="Normal"/>
    <w:link w:val="NormalWebCar"/>
    <w:uiPriority w:val="99"/>
    <w:unhideWhenUsed/>
    <w:rsid w:val="001146AF"/>
    <w:pPr>
      <w:spacing w:before="100" w:beforeAutospacing="1" w:after="100" w:afterAutospacing="1"/>
    </w:pPr>
    <w:rPr>
      <w:lang w:eastAsia="es-CO"/>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146AF"/>
    <w:rPr>
      <w:rFonts w:ascii="Geomanist Light" w:hAnsi="Geomanist Light"/>
      <w:lang w:val="es-ES"/>
    </w:rPr>
  </w:style>
  <w:style w:type="table" w:styleId="Tablaconcuadrcula1" w:customStyle="1">
    <w:name w:val="Tabla con cuadrícula1"/>
    <w:basedOn w:val="Tablanormal"/>
    <w:next w:val="Tablaconcuadrcula"/>
    <w:uiPriority w:val="59"/>
    <w:rsid w:val="001146AF"/>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elnotedebasde" w:customStyle="1">
    <w:name w:val="Appel note de bas de..."/>
    <w:basedOn w:val="Normal"/>
    <w:link w:val="Refdenotaalpie"/>
    <w:uiPriority w:val="99"/>
    <w:rsid w:val="001146AF"/>
    <w:pPr>
      <w:spacing w:after="160" w:line="240" w:lineRule="exact"/>
    </w:pPr>
    <w:rPr>
      <w:rFonts w:asciiTheme="minorHAnsi" w:hAnsiTheme="minorHAnsi" w:eastAsiaTheme="minorHAnsi" w:cstheme="minorBidi"/>
      <w:sz w:val="22"/>
      <w:szCs w:val="22"/>
      <w:vertAlign w:val="superscript"/>
      <w:lang w:eastAsia="en-US"/>
    </w:rPr>
  </w:style>
  <w:style w:type="character" w:styleId="NormalWebCar" w:customStyle="1">
    <w:name w:val="Normal (Web) Car"/>
    <w:link w:val="NormalWeb"/>
    <w:uiPriority w:val="99"/>
    <w:rsid w:val="001146AF"/>
    <w:rPr>
      <w:rFonts w:ascii="Times New Roman" w:hAnsi="Times New Roman" w:eastAsia="Times New Roman" w:cs="Times New Roman"/>
      <w:sz w:val="24"/>
      <w:szCs w:val="24"/>
      <w:lang w:eastAsia="es-CO"/>
    </w:rPr>
  </w:style>
  <w:style w:type="paragraph" w:styleId="Textoindependiente">
    <w:name w:val="Body Text"/>
    <w:basedOn w:val="Normal"/>
    <w:link w:val="TextoindependienteCar"/>
    <w:uiPriority w:val="1"/>
    <w:qFormat/>
    <w:rsid w:val="001146AF"/>
    <w:pPr>
      <w:widowControl w:val="0"/>
      <w:autoSpaceDE w:val="0"/>
      <w:autoSpaceDN w:val="0"/>
    </w:pPr>
    <w:rPr>
      <w:rFonts w:ascii="Arial" w:hAnsi="Arial" w:eastAsia="Arial" w:cs="Arial"/>
      <w:sz w:val="22"/>
      <w:szCs w:val="22"/>
      <w:lang w:val="es-ES" w:eastAsia="en-US"/>
    </w:rPr>
  </w:style>
  <w:style w:type="character" w:styleId="TextoindependienteCar" w:customStyle="1">
    <w:name w:val="Texto independiente Car"/>
    <w:basedOn w:val="Fuentedeprrafopredeter"/>
    <w:link w:val="Textoindependiente"/>
    <w:uiPriority w:val="1"/>
    <w:rsid w:val="001146AF"/>
    <w:rPr>
      <w:rFonts w:ascii="Arial" w:hAnsi="Arial" w:eastAsia="Arial" w:cs="Arial"/>
      <w:lang w:val="es-ES"/>
    </w:rPr>
  </w:style>
  <w:style w:type="character" w:styleId="Textoennegrita">
    <w:name w:val="Strong"/>
    <w:basedOn w:val="Fuentedeprrafopredeter"/>
    <w:uiPriority w:val="22"/>
    <w:qFormat/>
    <w:rsid w:val="00E00E8E"/>
    <w:rPr>
      <w:b/>
      <w:bCs/>
    </w:rPr>
  </w:style>
  <w:style w:type="paragraph" w:styleId="Textodeglobo">
    <w:name w:val="Balloon Text"/>
    <w:basedOn w:val="Normal"/>
    <w:link w:val="TextodegloboCar"/>
    <w:uiPriority w:val="99"/>
    <w:semiHidden/>
    <w:unhideWhenUsed/>
    <w:rsid w:val="00A332F1"/>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A332F1"/>
    <w:rPr>
      <w:rFonts w:ascii="Segoe UI" w:hAnsi="Segoe UI" w:eastAsia="Times New Roman"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61959">
      <w:bodyDiv w:val="1"/>
      <w:marLeft w:val="0"/>
      <w:marRight w:val="0"/>
      <w:marTop w:val="0"/>
      <w:marBottom w:val="0"/>
      <w:divBdr>
        <w:top w:val="none" w:sz="0" w:space="0" w:color="auto"/>
        <w:left w:val="none" w:sz="0" w:space="0" w:color="auto"/>
        <w:bottom w:val="none" w:sz="0" w:space="0" w:color="auto"/>
        <w:right w:val="none" w:sz="0" w:space="0" w:color="auto"/>
      </w:divBdr>
    </w:div>
    <w:div w:id="227110613">
      <w:bodyDiv w:val="1"/>
      <w:marLeft w:val="0"/>
      <w:marRight w:val="0"/>
      <w:marTop w:val="0"/>
      <w:marBottom w:val="0"/>
      <w:divBdr>
        <w:top w:val="none" w:sz="0" w:space="0" w:color="auto"/>
        <w:left w:val="none" w:sz="0" w:space="0" w:color="auto"/>
        <w:bottom w:val="none" w:sz="0" w:space="0" w:color="auto"/>
        <w:right w:val="none" w:sz="0" w:space="0" w:color="auto"/>
      </w:divBdr>
    </w:div>
    <w:div w:id="295648779">
      <w:bodyDiv w:val="1"/>
      <w:marLeft w:val="0"/>
      <w:marRight w:val="0"/>
      <w:marTop w:val="0"/>
      <w:marBottom w:val="0"/>
      <w:divBdr>
        <w:top w:val="none" w:sz="0" w:space="0" w:color="auto"/>
        <w:left w:val="none" w:sz="0" w:space="0" w:color="auto"/>
        <w:bottom w:val="none" w:sz="0" w:space="0" w:color="auto"/>
        <w:right w:val="none" w:sz="0" w:space="0" w:color="auto"/>
      </w:divBdr>
    </w:div>
    <w:div w:id="360976068">
      <w:bodyDiv w:val="1"/>
      <w:marLeft w:val="0"/>
      <w:marRight w:val="0"/>
      <w:marTop w:val="0"/>
      <w:marBottom w:val="0"/>
      <w:divBdr>
        <w:top w:val="none" w:sz="0" w:space="0" w:color="auto"/>
        <w:left w:val="none" w:sz="0" w:space="0" w:color="auto"/>
        <w:bottom w:val="none" w:sz="0" w:space="0" w:color="auto"/>
        <w:right w:val="none" w:sz="0" w:space="0" w:color="auto"/>
      </w:divBdr>
    </w:div>
    <w:div w:id="557477228">
      <w:bodyDiv w:val="1"/>
      <w:marLeft w:val="0"/>
      <w:marRight w:val="0"/>
      <w:marTop w:val="0"/>
      <w:marBottom w:val="0"/>
      <w:divBdr>
        <w:top w:val="none" w:sz="0" w:space="0" w:color="auto"/>
        <w:left w:val="none" w:sz="0" w:space="0" w:color="auto"/>
        <w:bottom w:val="none" w:sz="0" w:space="0" w:color="auto"/>
        <w:right w:val="none" w:sz="0" w:space="0" w:color="auto"/>
      </w:divBdr>
    </w:div>
    <w:div w:id="853542285">
      <w:bodyDiv w:val="1"/>
      <w:marLeft w:val="0"/>
      <w:marRight w:val="0"/>
      <w:marTop w:val="0"/>
      <w:marBottom w:val="0"/>
      <w:divBdr>
        <w:top w:val="none" w:sz="0" w:space="0" w:color="auto"/>
        <w:left w:val="none" w:sz="0" w:space="0" w:color="auto"/>
        <w:bottom w:val="none" w:sz="0" w:space="0" w:color="auto"/>
        <w:right w:val="none" w:sz="0" w:space="0" w:color="auto"/>
      </w:divBdr>
    </w:div>
    <w:div w:id="1063991280">
      <w:bodyDiv w:val="1"/>
      <w:marLeft w:val="0"/>
      <w:marRight w:val="0"/>
      <w:marTop w:val="0"/>
      <w:marBottom w:val="0"/>
      <w:divBdr>
        <w:top w:val="none" w:sz="0" w:space="0" w:color="auto"/>
        <w:left w:val="none" w:sz="0" w:space="0" w:color="auto"/>
        <w:bottom w:val="none" w:sz="0" w:space="0" w:color="auto"/>
        <w:right w:val="none" w:sz="0" w:space="0" w:color="auto"/>
      </w:divBdr>
    </w:div>
    <w:div w:id="1152913893">
      <w:bodyDiv w:val="1"/>
      <w:marLeft w:val="0"/>
      <w:marRight w:val="0"/>
      <w:marTop w:val="0"/>
      <w:marBottom w:val="0"/>
      <w:divBdr>
        <w:top w:val="none" w:sz="0" w:space="0" w:color="auto"/>
        <w:left w:val="none" w:sz="0" w:space="0" w:color="auto"/>
        <w:bottom w:val="none" w:sz="0" w:space="0" w:color="auto"/>
        <w:right w:val="none" w:sz="0" w:space="0" w:color="auto"/>
      </w:divBdr>
    </w:div>
    <w:div w:id="1272319196">
      <w:bodyDiv w:val="1"/>
      <w:marLeft w:val="0"/>
      <w:marRight w:val="0"/>
      <w:marTop w:val="0"/>
      <w:marBottom w:val="0"/>
      <w:divBdr>
        <w:top w:val="none" w:sz="0" w:space="0" w:color="auto"/>
        <w:left w:val="none" w:sz="0" w:space="0" w:color="auto"/>
        <w:bottom w:val="none" w:sz="0" w:space="0" w:color="auto"/>
        <w:right w:val="none" w:sz="0" w:space="0" w:color="auto"/>
      </w:divBdr>
    </w:div>
    <w:div w:id="1315715243">
      <w:bodyDiv w:val="1"/>
      <w:marLeft w:val="0"/>
      <w:marRight w:val="0"/>
      <w:marTop w:val="0"/>
      <w:marBottom w:val="0"/>
      <w:divBdr>
        <w:top w:val="none" w:sz="0" w:space="0" w:color="auto"/>
        <w:left w:val="none" w:sz="0" w:space="0" w:color="auto"/>
        <w:bottom w:val="none" w:sz="0" w:space="0" w:color="auto"/>
        <w:right w:val="none" w:sz="0" w:space="0" w:color="auto"/>
      </w:divBdr>
      <w:divsChild>
        <w:div w:id="1941646264">
          <w:marLeft w:val="0"/>
          <w:marRight w:val="0"/>
          <w:marTop w:val="0"/>
          <w:marBottom w:val="0"/>
          <w:divBdr>
            <w:top w:val="none" w:sz="0" w:space="0" w:color="auto"/>
            <w:left w:val="none" w:sz="0" w:space="0" w:color="auto"/>
            <w:bottom w:val="none" w:sz="0" w:space="0" w:color="auto"/>
            <w:right w:val="none" w:sz="0" w:space="0" w:color="auto"/>
          </w:divBdr>
        </w:div>
        <w:div w:id="1362826635">
          <w:marLeft w:val="0"/>
          <w:marRight w:val="0"/>
          <w:marTop w:val="15"/>
          <w:marBottom w:val="15"/>
          <w:divBdr>
            <w:top w:val="none" w:sz="0" w:space="0" w:color="auto"/>
            <w:left w:val="none" w:sz="0" w:space="0" w:color="auto"/>
            <w:bottom w:val="none" w:sz="0" w:space="0" w:color="auto"/>
            <w:right w:val="none" w:sz="0" w:space="0" w:color="auto"/>
          </w:divBdr>
        </w:div>
        <w:div w:id="660432772">
          <w:marLeft w:val="0"/>
          <w:marRight w:val="0"/>
          <w:marTop w:val="0"/>
          <w:marBottom w:val="0"/>
          <w:divBdr>
            <w:top w:val="none" w:sz="0" w:space="0" w:color="auto"/>
            <w:left w:val="none" w:sz="0" w:space="0" w:color="auto"/>
            <w:bottom w:val="none" w:sz="0" w:space="0" w:color="auto"/>
            <w:right w:val="none" w:sz="0" w:space="0" w:color="auto"/>
          </w:divBdr>
          <w:divsChild>
            <w:div w:id="474617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491213481">
      <w:bodyDiv w:val="1"/>
      <w:marLeft w:val="0"/>
      <w:marRight w:val="0"/>
      <w:marTop w:val="0"/>
      <w:marBottom w:val="0"/>
      <w:divBdr>
        <w:top w:val="none" w:sz="0" w:space="0" w:color="auto"/>
        <w:left w:val="none" w:sz="0" w:space="0" w:color="auto"/>
        <w:bottom w:val="none" w:sz="0" w:space="0" w:color="auto"/>
        <w:right w:val="none" w:sz="0" w:space="0" w:color="auto"/>
      </w:divBdr>
    </w:div>
    <w:div w:id="1636913104">
      <w:bodyDiv w:val="1"/>
      <w:marLeft w:val="0"/>
      <w:marRight w:val="0"/>
      <w:marTop w:val="0"/>
      <w:marBottom w:val="0"/>
      <w:divBdr>
        <w:top w:val="none" w:sz="0" w:space="0" w:color="auto"/>
        <w:left w:val="none" w:sz="0" w:space="0" w:color="auto"/>
        <w:bottom w:val="none" w:sz="0" w:space="0" w:color="auto"/>
        <w:right w:val="none" w:sz="0" w:space="0" w:color="auto"/>
      </w:divBdr>
    </w:div>
    <w:div w:id="187931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d546b7049c164136" /><Relationship Type="http://schemas.openxmlformats.org/officeDocument/2006/relationships/image" Target="/media/image5.png" Id="Ra88a7c32cb5f4cf4" /></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0F432-8506-46CC-8432-5734C29490CC}"/>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4.xml><?xml version="1.0" encoding="utf-8"?>
<ds:datastoreItem xmlns:ds="http://schemas.openxmlformats.org/officeDocument/2006/customXml" ds:itemID="{F803D2C7-45F2-454B-9164-9C01D22F564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Jorge Mario Payares Villa</lastModifiedBy>
  <revision>9</revision>
  <dcterms:created xsi:type="dcterms:W3CDTF">2023-07-17T23:16:00.0000000Z</dcterms:created>
  <dcterms:modified xsi:type="dcterms:W3CDTF">2023-08-29T23:17:50.7758291Z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