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0F66" w:rsidR="003227D8" w:rsidP="003227D8" w:rsidRDefault="003227D8" w14:paraId="1B6F18E1" w14:textId="77777777">
      <w:pPr>
        <w:spacing w:after="0" w:line="240" w:lineRule="auto"/>
        <w:jc w:val="both"/>
        <w:rPr>
          <w:rFonts w:ascii="Arial" w:hAnsi="Arial" w:eastAsia="Times New Roman" w:cs="Arial"/>
          <w:b/>
          <w:bCs/>
          <w:color w:val="000000" w:themeColor="text1"/>
          <w:szCs w:val="24"/>
          <w:shd w:val="clear" w:color="auto" w:fill="FFFFFF"/>
          <w:lang w:val="es-ES" w:eastAsia="es-MX"/>
        </w:rPr>
      </w:pPr>
      <w:bookmarkStart w:name="_Hlk96417464" w:id="0"/>
      <w:bookmarkStart w:name="_Hlk120036210" w:id="1"/>
      <w:bookmarkStart w:name="_Hlk98867631" w:id="2"/>
      <w:bookmarkStart w:name="_Hlk99546921" w:id="3"/>
      <w:bookmarkStart w:name="_Hlk34951122" w:id="4"/>
      <w:r w:rsidRPr="00250F66">
        <w:rPr>
          <w:rFonts w:ascii="Arial" w:hAnsi="Arial" w:eastAsia="Times New Roman" w:cs="Arial"/>
          <w:b/>
          <w:bCs/>
          <w:color w:val="000000" w:themeColor="text1"/>
          <w:szCs w:val="24"/>
          <w:shd w:val="clear" w:color="auto" w:fill="FFFFFF"/>
          <w:lang w:val="es-ES" w:eastAsia="es-MX"/>
        </w:rPr>
        <w:t>CONTRATO DE INTERVENTORÍA – Finalidad – Ley 1474 de 2011 – Artículo 83</w:t>
      </w:r>
    </w:p>
    <w:p w:rsidRPr="00250F66" w:rsidR="003227D8" w:rsidP="003227D8" w:rsidRDefault="003227D8" w14:paraId="101A2038" w14:textId="77777777">
      <w:pPr>
        <w:spacing w:after="0" w:line="276" w:lineRule="auto"/>
        <w:jc w:val="both"/>
        <w:rPr>
          <w:rFonts w:ascii="Arial" w:hAnsi="Arial" w:eastAsia="Times New Roman" w:cs="Arial"/>
          <w:color w:val="000000" w:themeColor="text1"/>
          <w:szCs w:val="24"/>
          <w:shd w:val="clear" w:color="auto" w:fill="FFFFFF"/>
          <w:lang w:val="es-ES" w:eastAsia="es-MX"/>
        </w:rPr>
      </w:pPr>
    </w:p>
    <w:p w:rsidRPr="00250F66" w:rsidR="003227D8" w:rsidP="003227D8" w:rsidRDefault="003227D8" w14:paraId="5552CBD3" w14:textId="77777777">
      <w:pPr>
        <w:spacing w:after="0" w:line="240" w:lineRule="auto"/>
        <w:jc w:val="both"/>
        <w:rPr>
          <w:rFonts w:ascii="Arial" w:hAnsi="Arial" w:eastAsia="Times New Roman" w:cs="Arial"/>
          <w:color w:val="000000" w:themeColor="text1"/>
          <w:sz w:val="20"/>
          <w:szCs w:val="20"/>
          <w:shd w:val="clear" w:color="auto" w:fill="FFFFFF"/>
          <w:lang w:val="es-ES" w:eastAsia="es-MX"/>
        </w:rPr>
      </w:pPr>
      <w:r w:rsidRPr="00250F66">
        <w:rPr>
          <w:rFonts w:ascii="Arial" w:hAnsi="Arial" w:eastAsia="Times New Roman" w:cs="Arial"/>
          <w:color w:val="000000" w:themeColor="text1"/>
          <w:sz w:val="20"/>
          <w:szCs w:val="20"/>
          <w:shd w:val="clear" w:color="auto" w:fill="FFFFFF"/>
          <w:lang w:val="es-ES" w:eastAsia="es-MX"/>
        </w:rPr>
        <w:t>La Ley 1474 de 2011 enmarcó el seguimiento, control y vigilancia de la ejecución del contrato estatal dentro del principio de moralidad administrativa. El artículo 83 ibidem 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supervisión en interventoría, como mecanismos que pueden usar las Entidades Estatales para vigilar el contrato […].</w:t>
      </w:r>
    </w:p>
    <w:p w:rsidRPr="00250F66" w:rsidR="003227D8" w:rsidP="003227D8" w:rsidRDefault="003227D8" w14:paraId="6462426E" w14:textId="77777777">
      <w:pPr>
        <w:spacing w:after="0" w:line="276" w:lineRule="auto"/>
        <w:jc w:val="both"/>
        <w:rPr>
          <w:rFonts w:ascii="Arial" w:hAnsi="Arial" w:eastAsia="Times New Roman" w:cs="Arial"/>
          <w:color w:val="000000" w:themeColor="text1"/>
          <w:szCs w:val="24"/>
          <w:shd w:val="clear" w:color="auto" w:fill="FFFFFF"/>
          <w:lang w:val="es-ES" w:eastAsia="es-MX"/>
        </w:rPr>
      </w:pPr>
    </w:p>
    <w:p w:rsidRPr="00250F66" w:rsidR="003227D8" w:rsidP="003227D8" w:rsidRDefault="003227D8" w14:paraId="289B5B91" w14:textId="77777777">
      <w:pPr>
        <w:spacing w:after="0" w:line="240" w:lineRule="auto"/>
        <w:jc w:val="both"/>
        <w:rPr>
          <w:rFonts w:ascii="Arial" w:hAnsi="Arial" w:eastAsia="Times New Roman" w:cs="Arial"/>
          <w:b/>
          <w:bCs/>
          <w:color w:val="000000" w:themeColor="text1"/>
          <w:szCs w:val="24"/>
          <w:shd w:val="clear" w:color="auto" w:fill="FFFFFF"/>
          <w:lang w:val="es-ES" w:eastAsia="es-MX"/>
        </w:rPr>
      </w:pPr>
      <w:r w:rsidRPr="00250F66">
        <w:rPr>
          <w:rFonts w:ascii="Arial" w:hAnsi="Arial" w:eastAsia="Times New Roman" w:cs="Arial"/>
          <w:b/>
          <w:bCs/>
          <w:color w:val="000000" w:themeColor="text1"/>
          <w:szCs w:val="24"/>
          <w:shd w:val="clear" w:color="auto" w:fill="FFFFFF"/>
          <w:lang w:val="es-ES" w:eastAsia="es-MX"/>
        </w:rPr>
        <w:t>CONTRATO DE INTERVENTORÍA – Características</w:t>
      </w:r>
    </w:p>
    <w:p w:rsidRPr="00250F66" w:rsidR="003227D8" w:rsidP="003227D8" w:rsidRDefault="003227D8" w14:paraId="6B1488D7" w14:textId="77777777">
      <w:pPr>
        <w:spacing w:after="0" w:line="276" w:lineRule="auto"/>
        <w:jc w:val="both"/>
        <w:rPr>
          <w:rFonts w:ascii="Arial" w:hAnsi="Arial" w:eastAsia="Times New Roman" w:cs="Arial"/>
          <w:b/>
          <w:bCs/>
          <w:color w:val="000000" w:themeColor="text1"/>
          <w:szCs w:val="24"/>
          <w:shd w:val="clear" w:color="auto" w:fill="FFFFFF"/>
          <w:lang w:val="es-ES" w:eastAsia="es-MX"/>
        </w:rPr>
      </w:pPr>
    </w:p>
    <w:p w:rsidRPr="00250F66" w:rsidR="003227D8" w:rsidP="003227D8" w:rsidRDefault="003227D8" w14:paraId="0DD27EAB" w14:textId="77777777">
      <w:pPr>
        <w:spacing w:after="0" w:line="240" w:lineRule="auto"/>
        <w:jc w:val="both"/>
        <w:rPr>
          <w:rFonts w:ascii="Arial" w:hAnsi="Arial" w:eastAsia="Times New Roman" w:cs="Arial"/>
          <w:color w:val="000000" w:themeColor="text1"/>
          <w:sz w:val="20"/>
          <w:shd w:val="clear" w:color="auto" w:fill="FFFFFF"/>
          <w:lang w:val="es-ES" w:eastAsia="es-MX"/>
        </w:rPr>
      </w:pPr>
      <w:r w:rsidRPr="00250F66">
        <w:rPr>
          <w:rFonts w:ascii="Arial" w:hAnsi="Arial" w:eastAsia="Times New Roman" w:cs="Arial"/>
          <w:color w:val="000000" w:themeColor="text1"/>
          <w:sz w:val="20"/>
          <w:shd w:val="clear" w:color="auto" w:fill="FFFFFF"/>
          <w:lang w:val="es-ES" w:eastAsia="es-MX"/>
        </w:rPr>
        <w:t xml:space="preserve">[…]la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250F66">
        <w:rPr>
          <w:rFonts w:ascii="Arial" w:hAnsi="Arial" w:eastAsia="Times New Roman" w:cs="Arial"/>
          <w:color w:val="000000" w:themeColor="text1"/>
          <w:sz w:val="20"/>
          <w:shd w:val="clear" w:color="auto" w:fill="FFFFFF"/>
          <w:lang w:val="es-ES" w:eastAsia="es-MX"/>
        </w:rPr>
        <w:t>del mismo</w:t>
      </w:r>
      <w:proofErr w:type="gramEnd"/>
      <w:r w:rsidRPr="00250F66">
        <w:rPr>
          <w:rFonts w:ascii="Arial" w:hAnsi="Arial" w:eastAsia="Times New Roman" w:cs="Arial"/>
          <w:color w:val="000000" w:themeColor="text1"/>
          <w:sz w:val="20"/>
          <w:shd w:val="clear" w:color="auto" w:fill="FFFFFF"/>
          <w:lang w:val="es-ES" w:eastAsia="es-MX"/>
        </w:rPr>
        <w:t xml:space="preserve"> lo justifique” –art, 83, Ley 1474 de 2011–. </w:t>
      </w:r>
      <w:proofErr w:type="spellStart"/>
      <w:r w:rsidRPr="00250F66">
        <w:rPr>
          <w:rFonts w:ascii="Arial" w:hAnsi="Arial" w:eastAsia="Times New Roman" w:cs="Arial"/>
          <w:color w:val="000000" w:themeColor="text1"/>
          <w:sz w:val="20"/>
          <w:shd w:val="clear" w:color="auto" w:fill="FFFFFF"/>
          <w:lang w:val="es-ES" w:eastAsia="es-MX"/>
        </w:rPr>
        <w:t>ii</w:t>
      </w:r>
      <w:proofErr w:type="spellEnd"/>
      <w:r w:rsidRPr="00250F66">
        <w:rPr>
          <w:rFonts w:ascii="Arial" w:hAnsi="Arial" w:eastAsia="Times New Roman" w:cs="Arial"/>
          <w:color w:val="000000" w:themeColor="text1"/>
          <w:sz w:val="20"/>
          <w:shd w:val="clear" w:color="auto" w:fill="FFFFFF"/>
          <w:lang w:val="es-ES" w:eastAsia="es-MX"/>
        </w:rPr>
        <w:t xml:space="preserve">) Es un mecanismo de vigilancia que exige, en su ejecución, la utilización de conocimientos especializados. </w:t>
      </w:r>
      <w:proofErr w:type="spellStart"/>
      <w:r w:rsidRPr="00250F66">
        <w:rPr>
          <w:rFonts w:ascii="Arial" w:hAnsi="Arial" w:eastAsia="Times New Roman" w:cs="Arial"/>
          <w:color w:val="000000" w:themeColor="text1"/>
          <w:sz w:val="20"/>
          <w:shd w:val="clear" w:color="auto" w:fill="FFFFFF"/>
          <w:lang w:val="es-ES" w:eastAsia="es-MX"/>
        </w:rPr>
        <w:t>iii</w:t>
      </w:r>
      <w:proofErr w:type="spellEnd"/>
      <w:r w:rsidRPr="00250F66">
        <w:rPr>
          <w:rFonts w:ascii="Arial" w:hAnsi="Arial" w:eastAsia="Times New Roman" w:cs="Arial"/>
          <w:color w:val="000000" w:themeColor="text1"/>
          <w:sz w:val="20"/>
          <w:shd w:val="clear" w:color="auto" w:fill="FFFFFF"/>
          <w:lang w:val="es-ES" w:eastAsia="es-MX"/>
        </w:rPr>
        <w:t xml:space="preserve">) Por lo anterior, la entidad contrata un experto, por regla general, mediante la modalidad de selección de concurso de méritos, al tratarse la interventoría de una especia del contrato de consultoría – art. 32, numeral 2, inciso 2, Ley 80 de 1993 ‒, de manera que la interventoría es realizada por “una persona natural o jurídica contratada para tal fin por la Entidad Estatal” –art. 83, Ley 1474–. </w:t>
      </w:r>
      <w:proofErr w:type="spellStart"/>
      <w:r w:rsidRPr="00250F66">
        <w:rPr>
          <w:rFonts w:ascii="Arial" w:hAnsi="Arial" w:eastAsia="Times New Roman" w:cs="Arial"/>
          <w:color w:val="000000" w:themeColor="text1"/>
          <w:sz w:val="20"/>
          <w:shd w:val="clear" w:color="auto" w:fill="FFFFFF"/>
          <w:lang w:val="es-ES" w:eastAsia="es-MX"/>
        </w:rPr>
        <w:t>iv</w:t>
      </w:r>
      <w:proofErr w:type="spellEnd"/>
      <w:r w:rsidRPr="00250F66">
        <w:rPr>
          <w:rFonts w:ascii="Arial" w:hAnsi="Arial" w:eastAsia="Times New Roman" w:cs="Arial"/>
          <w:color w:val="000000" w:themeColor="text1"/>
          <w:sz w:val="20"/>
          <w:shd w:val="clear" w:color="auto" w:fill="FFFFFF"/>
          <w:lang w:val="es-ES" w:eastAsia="es-MX"/>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23, inciso 4–.</w:t>
      </w:r>
    </w:p>
    <w:p w:rsidRPr="00250F66" w:rsidR="003227D8" w:rsidP="003227D8" w:rsidRDefault="003227D8" w14:paraId="5F522296" w14:textId="77777777">
      <w:pPr>
        <w:spacing w:after="0" w:line="276" w:lineRule="auto"/>
        <w:jc w:val="both"/>
        <w:rPr>
          <w:rFonts w:ascii="Arial" w:hAnsi="Arial" w:eastAsia="Times New Roman" w:cs="Arial"/>
          <w:color w:val="000000" w:themeColor="text1"/>
          <w:szCs w:val="24"/>
          <w:shd w:val="clear" w:color="auto" w:fill="FFFFFF"/>
          <w:lang w:val="es-ES" w:eastAsia="es-MX"/>
        </w:rPr>
      </w:pPr>
    </w:p>
    <w:p w:rsidRPr="00250F66" w:rsidR="003227D8" w:rsidP="003227D8" w:rsidRDefault="003227D8" w14:paraId="6D05C4BB" w14:textId="77777777">
      <w:pPr>
        <w:spacing w:after="0" w:line="240" w:lineRule="auto"/>
        <w:jc w:val="both"/>
        <w:rPr>
          <w:rFonts w:ascii="Arial" w:hAnsi="Arial" w:eastAsia="Times New Roman" w:cs="Arial"/>
          <w:b/>
          <w:bCs/>
          <w:color w:val="000000" w:themeColor="text1"/>
          <w:szCs w:val="24"/>
          <w:shd w:val="clear" w:color="auto" w:fill="FFFFFF"/>
          <w:lang w:val="es-ES" w:eastAsia="es-MX"/>
        </w:rPr>
      </w:pPr>
      <w:r w:rsidRPr="00250F66">
        <w:rPr>
          <w:rFonts w:ascii="Arial" w:hAnsi="Arial" w:eastAsia="Times New Roman" w:cs="Arial"/>
          <w:b/>
          <w:bCs/>
          <w:color w:val="000000" w:themeColor="text1"/>
          <w:szCs w:val="24"/>
          <w:shd w:val="clear" w:color="auto" w:fill="FFFFFF"/>
          <w:lang w:val="es-ES" w:eastAsia="es-MX"/>
        </w:rPr>
        <w:t xml:space="preserve">CONFLICTOS DE INTERÉS – Régimen – Objetivo </w:t>
      </w:r>
    </w:p>
    <w:p w:rsidRPr="00250F66" w:rsidR="003227D8" w:rsidP="003227D8" w:rsidRDefault="003227D8" w14:paraId="11593DE3" w14:textId="77777777">
      <w:pPr>
        <w:spacing w:after="0" w:line="276" w:lineRule="auto"/>
        <w:jc w:val="both"/>
        <w:rPr>
          <w:rFonts w:ascii="Arial" w:hAnsi="Arial" w:eastAsia="Times New Roman" w:cs="Arial"/>
          <w:b/>
          <w:bCs/>
          <w:color w:val="000000" w:themeColor="text1"/>
          <w:szCs w:val="24"/>
          <w:shd w:val="clear" w:color="auto" w:fill="FFFFFF"/>
          <w:lang w:val="es-ES" w:eastAsia="es-MX"/>
        </w:rPr>
      </w:pPr>
    </w:p>
    <w:p w:rsidRPr="00250F66" w:rsidR="003227D8" w:rsidP="003227D8" w:rsidRDefault="003227D8" w14:paraId="27A7DBFF" w14:textId="77777777">
      <w:pPr>
        <w:spacing w:after="0" w:line="240" w:lineRule="auto"/>
        <w:jc w:val="both"/>
        <w:rPr>
          <w:rFonts w:ascii="Arial" w:hAnsi="Arial" w:eastAsia="Calibri" w:cs="Arial"/>
          <w:color w:val="000000" w:themeColor="text1"/>
          <w:sz w:val="20"/>
          <w:szCs w:val="20"/>
          <w:lang w:val="es-ES_tradnl"/>
        </w:rPr>
      </w:pPr>
      <w:r w:rsidRPr="00250F66">
        <w:rPr>
          <w:rFonts w:ascii="Arial" w:hAnsi="Arial" w:eastAsia="Calibri" w:cs="Arial"/>
          <w:color w:val="000000" w:themeColor="text1"/>
          <w:sz w:val="20"/>
          <w:szCs w:val="20"/>
          <w:lang w:val="es-ES_tradnl"/>
        </w:rPr>
        <w:t>[…] el régimen de los conflictos de interés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ocurrencia de intereses antagónicos que afectan la transparencia de las decisiones, al implicar –en detrimento del interés general– el aprovechamiento personal, familiar o particular.</w:t>
      </w:r>
    </w:p>
    <w:p w:rsidRPr="00250F66" w:rsidR="003227D8" w:rsidP="003227D8" w:rsidRDefault="003227D8" w14:paraId="6DAF97C1" w14:textId="77777777">
      <w:pPr>
        <w:spacing w:after="0" w:line="276" w:lineRule="auto"/>
        <w:jc w:val="both"/>
        <w:rPr>
          <w:rFonts w:ascii="Arial" w:hAnsi="Arial" w:eastAsia="Times New Roman" w:cs="Arial"/>
          <w:color w:val="000000" w:themeColor="text1"/>
          <w:szCs w:val="24"/>
          <w:shd w:val="clear" w:color="auto" w:fill="FFFFFF"/>
          <w:lang w:val="es-ES" w:eastAsia="es-MX"/>
        </w:rPr>
      </w:pPr>
    </w:p>
    <w:p w:rsidRPr="00250F66" w:rsidR="003227D8" w:rsidP="003227D8" w:rsidRDefault="003227D8" w14:paraId="045DCA51" w14:textId="1D7779A9">
      <w:pPr>
        <w:spacing w:after="0" w:line="240" w:lineRule="auto"/>
        <w:jc w:val="both"/>
        <w:rPr>
          <w:rFonts w:ascii="Arial" w:hAnsi="Arial" w:eastAsia="Times New Roman" w:cs="Arial"/>
          <w:b/>
          <w:bCs/>
          <w:color w:val="000000" w:themeColor="text1"/>
          <w:szCs w:val="24"/>
          <w:shd w:val="clear" w:color="auto" w:fill="FFFFFF"/>
          <w:lang w:val="es-ES" w:eastAsia="es-MX"/>
        </w:rPr>
      </w:pPr>
      <w:r w:rsidRPr="00250F66">
        <w:rPr>
          <w:rFonts w:ascii="Arial" w:hAnsi="Arial" w:eastAsia="Times New Roman" w:cs="Arial"/>
          <w:b/>
          <w:bCs/>
          <w:color w:val="000000" w:themeColor="text1"/>
          <w:szCs w:val="24"/>
          <w:shd w:val="clear" w:color="auto" w:fill="FFFFFF"/>
          <w:lang w:val="es-ES" w:eastAsia="es-MX"/>
        </w:rPr>
        <w:t>DOCUMENTOS TIPO DE INTERVENTORÍA –</w:t>
      </w:r>
      <w:r w:rsidR="001F2D31">
        <w:rPr>
          <w:rFonts w:ascii="Arial" w:hAnsi="Arial" w:eastAsia="Times New Roman" w:cs="Arial"/>
          <w:b/>
          <w:bCs/>
          <w:color w:val="000000" w:themeColor="text1"/>
          <w:szCs w:val="24"/>
          <w:shd w:val="clear" w:color="auto" w:fill="FFFFFF"/>
          <w:lang w:val="es-ES" w:eastAsia="es-MX"/>
        </w:rPr>
        <w:t xml:space="preserve"> </w:t>
      </w:r>
      <w:r w:rsidRPr="00250F66">
        <w:rPr>
          <w:rFonts w:ascii="Arial" w:hAnsi="Arial" w:eastAsia="Times New Roman" w:cs="Arial"/>
          <w:b/>
          <w:bCs/>
          <w:color w:val="000000" w:themeColor="text1"/>
          <w:szCs w:val="24"/>
          <w:shd w:val="clear" w:color="auto" w:fill="FFFFFF"/>
          <w:lang w:val="es-ES" w:eastAsia="es-MX"/>
        </w:rPr>
        <w:t xml:space="preserve">Conflictos de </w:t>
      </w:r>
      <w:r w:rsidR="001F2D31">
        <w:rPr>
          <w:rFonts w:ascii="Arial" w:hAnsi="Arial" w:eastAsia="Times New Roman" w:cs="Arial"/>
          <w:b/>
          <w:bCs/>
          <w:color w:val="000000" w:themeColor="text1"/>
          <w:szCs w:val="24"/>
          <w:shd w:val="clear" w:color="auto" w:fill="FFFFFF"/>
          <w:lang w:val="es-ES" w:eastAsia="es-MX"/>
        </w:rPr>
        <w:t>i</w:t>
      </w:r>
      <w:r w:rsidRPr="00250F66">
        <w:rPr>
          <w:rFonts w:ascii="Arial" w:hAnsi="Arial" w:eastAsia="Times New Roman" w:cs="Arial"/>
          <w:b/>
          <w:bCs/>
          <w:color w:val="000000" w:themeColor="text1"/>
          <w:szCs w:val="24"/>
          <w:shd w:val="clear" w:color="auto" w:fill="FFFFFF"/>
          <w:lang w:val="es-ES" w:eastAsia="es-MX"/>
        </w:rPr>
        <w:t>nterés – Causales – Numeral 1.14 del documento base</w:t>
      </w:r>
    </w:p>
    <w:p w:rsidRPr="00250F66" w:rsidR="003227D8" w:rsidP="003227D8" w:rsidRDefault="003227D8" w14:paraId="1D273B01" w14:textId="77777777">
      <w:pPr>
        <w:spacing w:after="0" w:line="276" w:lineRule="auto"/>
        <w:jc w:val="both"/>
        <w:rPr>
          <w:rFonts w:ascii="Arial" w:hAnsi="Arial" w:eastAsia="Times New Roman" w:cs="Arial"/>
          <w:color w:val="000000" w:themeColor="text1"/>
          <w:szCs w:val="24"/>
          <w:shd w:val="clear" w:color="auto" w:fill="FFFFFF"/>
          <w:lang w:val="es-ES" w:eastAsia="es-MX"/>
        </w:rPr>
      </w:pPr>
    </w:p>
    <w:p w:rsidRPr="00250F66" w:rsidR="003227D8" w:rsidP="003227D8" w:rsidRDefault="003227D8" w14:paraId="050F43F9" w14:textId="77777777">
      <w:pPr>
        <w:spacing w:after="0" w:line="240" w:lineRule="auto"/>
        <w:jc w:val="both"/>
        <w:rPr>
          <w:rFonts w:ascii="Arial" w:hAnsi="Arial" w:eastAsia="Times New Roman" w:cs="Arial"/>
          <w:color w:val="000000" w:themeColor="text1"/>
          <w:sz w:val="20"/>
          <w:shd w:val="clear" w:color="auto" w:fill="FFFFFF"/>
          <w:lang w:val="es-ES" w:eastAsia="es-MX"/>
        </w:rPr>
      </w:pPr>
      <w:r w:rsidRPr="00250F66">
        <w:rPr>
          <w:rFonts w:ascii="Arial" w:hAnsi="Arial" w:eastAsia="Times New Roman" w:cs="Arial"/>
          <w:color w:val="000000" w:themeColor="text1"/>
          <w:sz w:val="20"/>
          <w:shd w:val="clear" w:color="auto" w:fill="FFFFFF"/>
          <w:lang w:val="es-ES" w:eastAsia="es-MX"/>
        </w:rPr>
        <w:t xml:space="preserve">[…] en el caso de los Documentos Tipo de interventoría de obra pública de infraestructura de transporte adoptados por esta Agencia mediante la Resolución 256 del 11 de diciembre de 2020, y actualizados a través de la Resolución 326 del 22 de julio 2022, se estableció en el numeral 1.14 del “Documento Base” como conflicto de interés, lo siguiente: “No podrán participar en el Proceso de </w:t>
      </w:r>
      <w:r w:rsidRPr="00250F66">
        <w:rPr>
          <w:rFonts w:ascii="Arial" w:hAnsi="Arial" w:eastAsia="Times New Roman" w:cs="Arial"/>
          <w:color w:val="000000" w:themeColor="text1"/>
          <w:sz w:val="20"/>
          <w:shd w:val="clear" w:color="auto" w:fill="FFFFFF"/>
          <w:lang w:val="es-ES" w:eastAsia="es-MX"/>
        </w:rPr>
        <w:t xml:space="preserve">Contratación y por tanto no serán objeto de evaluación ni ser adjudicatarios del contrato, quienes bajo cualquier circunstancia se encuentren en situaciones de Conflicto de Interés que afecten o pongan en riego los principios de la Contratación Pública, de acuerdo con las causales o circunstancias previstas en la Constitución o en la ley. Tampoco podrán participar quienes hayan realizado los estudios y diseños de la obra cuya interventoría se va a contratar”. </w:t>
      </w:r>
    </w:p>
    <w:p w:rsidRPr="00250F66" w:rsidR="003227D8" w:rsidP="003227D8" w:rsidRDefault="003227D8" w14:paraId="35AF5A2F" w14:textId="77777777">
      <w:pPr>
        <w:spacing w:after="0" w:line="240" w:lineRule="auto"/>
        <w:jc w:val="both"/>
        <w:rPr>
          <w:rFonts w:ascii="Arial" w:hAnsi="Arial" w:eastAsia="Times New Roman" w:cs="Arial"/>
          <w:color w:val="000000" w:themeColor="text1"/>
          <w:sz w:val="20"/>
          <w:shd w:val="clear" w:color="auto" w:fill="FFFFFF"/>
          <w:lang w:val="es-ES" w:eastAsia="es-MX"/>
        </w:rPr>
      </w:pPr>
    </w:p>
    <w:p w:rsidRPr="00250F66" w:rsidR="003227D8" w:rsidP="003227D8" w:rsidRDefault="003227D8" w14:paraId="232395CB" w14:textId="77777777">
      <w:pPr>
        <w:spacing w:after="0" w:line="240" w:lineRule="auto"/>
        <w:jc w:val="both"/>
        <w:rPr>
          <w:rFonts w:ascii="Arial" w:hAnsi="Arial" w:eastAsia="Times New Roman" w:cs="Arial"/>
          <w:color w:val="000000" w:themeColor="text1"/>
          <w:sz w:val="20"/>
          <w:shd w:val="clear" w:color="auto" w:fill="FFFFFF"/>
          <w:lang w:val="es-ES" w:eastAsia="es-MX"/>
        </w:rPr>
      </w:pPr>
      <w:r w:rsidRPr="00250F66">
        <w:rPr>
          <w:rFonts w:ascii="Arial" w:hAnsi="Arial" w:eastAsia="Times New Roman" w:cs="Arial"/>
          <w:color w:val="000000" w:themeColor="text1"/>
          <w:sz w:val="20"/>
          <w:shd w:val="clear" w:color="auto" w:fill="FFFFFF"/>
          <w:lang w:val="es-ES" w:eastAsia="es-MX"/>
        </w:rPr>
        <w:t>De esta forma, las referidas causales regirán para aquellos procesos de selección de interventores que se adelanten en aplicación de los Documentos Tipo de interventoría de obra pública de infraestructura de transporte y restringirán así, la participación de aquellos que tengan una situación que se adecúe en cualquiera de estas.</w:t>
      </w:r>
    </w:p>
    <w:p w:rsidRPr="00250F66" w:rsidR="003227D8" w:rsidP="003227D8" w:rsidRDefault="003227D8" w14:paraId="2736429F" w14:textId="77777777">
      <w:pPr>
        <w:spacing w:after="0" w:line="240" w:lineRule="auto"/>
        <w:contextualSpacing/>
        <w:jc w:val="both"/>
        <w:rPr>
          <w:rFonts w:ascii="Arial" w:hAnsi="Arial" w:eastAsia="Calibri" w:cs="Arial"/>
        </w:rPr>
      </w:pPr>
    </w:p>
    <w:p w:rsidRPr="00250F66" w:rsidR="003227D8" w:rsidP="003227D8" w:rsidRDefault="003227D8" w14:paraId="67A6983D" w14:textId="77777777">
      <w:pPr>
        <w:spacing w:after="0" w:line="240" w:lineRule="auto"/>
        <w:contextualSpacing/>
        <w:jc w:val="both"/>
        <w:rPr>
          <w:rFonts w:ascii="Arial" w:hAnsi="Arial" w:eastAsia="Calibri" w:cs="Arial"/>
        </w:rPr>
      </w:pPr>
    </w:p>
    <w:p w:rsidRPr="00250F66" w:rsidR="003227D8" w:rsidP="003227D8" w:rsidRDefault="003227D8" w14:paraId="7D2B4B20" w14:textId="77777777">
      <w:pPr>
        <w:spacing w:after="0" w:line="240" w:lineRule="auto"/>
        <w:contextualSpacing/>
        <w:jc w:val="both"/>
        <w:rPr>
          <w:rFonts w:ascii="Arial" w:hAnsi="Arial" w:eastAsia="Calibri" w:cs="Arial"/>
        </w:rPr>
      </w:pPr>
    </w:p>
    <w:p w:rsidRPr="00250F66" w:rsidR="003227D8" w:rsidP="003227D8" w:rsidRDefault="003227D8" w14:paraId="00EE0B35" w14:textId="77777777">
      <w:pPr>
        <w:spacing w:after="0" w:line="240" w:lineRule="auto"/>
        <w:contextualSpacing/>
        <w:jc w:val="both"/>
        <w:rPr>
          <w:rFonts w:ascii="Arial" w:hAnsi="Arial" w:eastAsia="Calibri" w:cs="Arial"/>
        </w:rPr>
      </w:pPr>
    </w:p>
    <w:p w:rsidRPr="00250F66" w:rsidR="003227D8" w:rsidP="003227D8" w:rsidRDefault="003227D8" w14:paraId="4730980A" w14:textId="77777777">
      <w:pPr>
        <w:spacing w:after="0" w:line="240" w:lineRule="auto"/>
        <w:contextualSpacing/>
        <w:jc w:val="both"/>
        <w:rPr>
          <w:rFonts w:ascii="Arial" w:hAnsi="Arial" w:eastAsia="Calibri" w:cs="Arial"/>
        </w:rPr>
      </w:pPr>
    </w:p>
    <w:p w:rsidRPr="00250F66" w:rsidR="003227D8" w:rsidP="003227D8" w:rsidRDefault="003227D8" w14:paraId="2E45A2C8" w14:textId="77777777">
      <w:pPr>
        <w:spacing w:after="0" w:line="240" w:lineRule="auto"/>
        <w:contextualSpacing/>
        <w:jc w:val="both"/>
        <w:rPr>
          <w:rFonts w:ascii="Arial" w:hAnsi="Arial" w:eastAsia="Calibri" w:cs="Arial"/>
        </w:rPr>
      </w:pPr>
    </w:p>
    <w:p w:rsidRPr="00250F66" w:rsidR="003227D8" w:rsidP="003227D8" w:rsidRDefault="003227D8" w14:paraId="4082AE38" w14:textId="77777777">
      <w:pPr>
        <w:spacing w:after="0" w:line="240" w:lineRule="auto"/>
        <w:contextualSpacing/>
        <w:jc w:val="both"/>
        <w:rPr>
          <w:rFonts w:ascii="Arial" w:hAnsi="Arial" w:eastAsia="Calibri" w:cs="Arial"/>
        </w:rPr>
      </w:pPr>
    </w:p>
    <w:p w:rsidRPr="00250F66" w:rsidR="003227D8" w:rsidP="003227D8" w:rsidRDefault="003227D8" w14:paraId="706272D5" w14:textId="77777777">
      <w:pPr>
        <w:spacing w:after="0" w:line="240" w:lineRule="auto"/>
        <w:contextualSpacing/>
        <w:jc w:val="both"/>
        <w:rPr>
          <w:rFonts w:ascii="Arial" w:hAnsi="Arial" w:eastAsia="Calibri" w:cs="Arial"/>
        </w:rPr>
      </w:pPr>
    </w:p>
    <w:p w:rsidRPr="00250F66" w:rsidR="003227D8" w:rsidP="003227D8" w:rsidRDefault="003227D8" w14:paraId="0BDC4314" w14:textId="77777777">
      <w:pPr>
        <w:spacing w:after="0" w:line="240" w:lineRule="auto"/>
        <w:contextualSpacing/>
        <w:jc w:val="both"/>
        <w:rPr>
          <w:rFonts w:ascii="Arial" w:hAnsi="Arial" w:eastAsia="Calibri" w:cs="Arial"/>
        </w:rPr>
      </w:pPr>
    </w:p>
    <w:p w:rsidRPr="00250F66" w:rsidR="003227D8" w:rsidP="003227D8" w:rsidRDefault="003227D8" w14:paraId="1C0606BF" w14:textId="77777777">
      <w:pPr>
        <w:spacing w:after="0" w:line="240" w:lineRule="auto"/>
        <w:contextualSpacing/>
        <w:jc w:val="both"/>
        <w:rPr>
          <w:rFonts w:ascii="Arial" w:hAnsi="Arial" w:eastAsia="Calibri" w:cs="Arial"/>
        </w:rPr>
      </w:pPr>
    </w:p>
    <w:p w:rsidRPr="00250F66" w:rsidR="003227D8" w:rsidP="003227D8" w:rsidRDefault="003227D8" w14:paraId="2E3D94DF" w14:textId="77777777">
      <w:pPr>
        <w:spacing w:after="0" w:line="240" w:lineRule="auto"/>
        <w:contextualSpacing/>
        <w:jc w:val="both"/>
        <w:rPr>
          <w:rFonts w:ascii="Arial" w:hAnsi="Arial" w:eastAsia="Calibri" w:cs="Arial"/>
        </w:rPr>
      </w:pPr>
    </w:p>
    <w:p w:rsidRPr="00250F66" w:rsidR="003227D8" w:rsidP="003227D8" w:rsidRDefault="003227D8" w14:paraId="0B84ED6E" w14:textId="77777777">
      <w:pPr>
        <w:spacing w:after="0" w:line="240" w:lineRule="auto"/>
        <w:contextualSpacing/>
        <w:jc w:val="both"/>
        <w:rPr>
          <w:rFonts w:ascii="Arial" w:hAnsi="Arial" w:eastAsia="Calibri" w:cs="Arial"/>
        </w:rPr>
      </w:pPr>
    </w:p>
    <w:p w:rsidRPr="00250F66" w:rsidR="003227D8" w:rsidP="003227D8" w:rsidRDefault="003227D8" w14:paraId="05955434" w14:textId="77777777">
      <w:pPr>
        <w:spacing w:after="0" w:line="240" w:lineRule="auto"/>
        <w:contextualSpacing/>
        <w:jc w:val="both"/>
        <w:rPr>
          <w:rFonts w:ascii="Arial" w:hAnsi="Arial" w:eastAsia="Calibri" w:cs="Arial"/>
        </w:rPr>
      </w:pPr>
    </w:p>
    <w:p w:rsidRPr="00250F66" w:rsidR="003227D8" w:rsidP="003227D8" w:rsidRDefault="003227D8" w14:paraId="4CCC0E0E" w14:textId="77777777">
      <w:pPr>
        <w:spacing w:after="0" w:line="240" w:lineRule="auto"/>
        <w:contextualSpacing/>
        <w:jc w:val="both"/>
        <w:rPr>
          <w:rFonts w:ascii="Arial" w:hAnsi="Arial" w:eastAsia="Calibri" w:cs="Arial"/>
        </w:rPr>
      </w:pPr>
    </w:p>
    <w:p w:rsidRPr="00250F66" w:rsidR="003227D8" w:rsidP="003227D8" w:rsidRDefault="003227D8" w14:paraId="4B440DA5" w14:textId="77777777">
      <w:pPr>
        <w:spacing w:after="0" w:line="240" w:lineRule="auto"/>
        <w:contextualSpacing/>
        <w:jc w:val="both"/>
        <w:rPr>
          <w:rFonts w:ascii="Arial" w:hAnsi="Arial" w:eastAsia="Calibri" w:cs="Arial"/>
        </w:rPr>
      </w:pPr>
    </w:p>
    <w:p w:rsidRPr="00250F66" w:rsidR="003227D8" w:rsidP="003227D8" w:rsidRDefault="003227D8" w14:paraId="0CCC55A0" w14:textId="77777777">
      <w:pPr>
        <w:spacing w:after="0" w:line="240" w:lineRule="auto"/>
        <w:contextualSpacing/>
        <w:jc w:val="both"/>
        <w:rPr>
          <w:rFonts w:ascii="Arial" w:hAnsi="Arial" w:eastAsia="Calibri" w:cs="Arial"/>
        </w:rPr>
      </w:pPr>
    </w:p>
    <w:p w:rsidRPr="00250F66" w:rsidR="003227D8" w:rsidP="003227D8" w:rsidRDefault="003227D8" w14:paraId="15FD9712" w14:textId="77777777">
      <w:pPr>
        <w:spacing w:after="0" w:line="240" w:lineRule="auto"/>
        <w:contextualSpacing/>
        <w:jc w:val="both"/>
        <w:rPr>
          <w:rFonts w:ascii="Arial" w:hAnsi="Arial" w:eastAsia="Calibri" w:cs="Arial"/>
        </w:rPr>
      </w:pPr>
    </w:p>
    <w:p w:rsidRPr="00250F66" w:rsidR="003227D8" w:rsidP="003227D8" w:rsidRDefault="003227D8" w14:paraId="3C994D01" w14:textId="77777777">
      <w:pPr>
        <w:spacing w:after="0" w:line="240" w:lineRule="auto"/>
        <w:contextualSpacing/>
        <w:jc w:val="both"/>
        <w:rPr>
          <w:rFonts w:ascii="Arial" w:hAnsi="Arial" w:eastAsia="Calibri" w:cs="Arial"/>
        </w:rPr>
      </w:pPr>
    </w:p>
    <w:p w:rsidRPr="00250F66" w:rsidR="003227D8" w:rsidP="003227D8" w:rsidRDefault="003227D8" w14:paraId="602BF36E" w14:textId="77777777">
      <w:pPr>
        <w:spacing w:after="0" w:line="240" w:lineRule="auto"/>
        <w:contextualSpacing/>
        <w:jc w:val="both"/>
        <w:rPr>
          <w:rFonts w:ascii="Arial" w:hAnsi="Arial" w:eastAsia="Calibri" w:cs="Arial"/>
        </w:rPr>
      </w:pPr>
    </w:p>
    <w:p w:rsidRPr="00250F66" w:rsidR="003227D8" w:rsidP="003227D8" w:rsidRDefault="003227D8" w14:paraId="1126BB86" w14:textId="77777777">
      <w:pPr>
        <w:spacing w:after="0" w:line="240" w:lineRule="auto"/>
        <w:contextualSpacing/>
        <w:jc w:val="both"/>
        <w:rPr>
          <w:rFonts w:ascii="Arial" w:hAnsi="Arial" w:eastAsia="Calibri" w:cs="Arial"/>
        </w:rPr>
      </w:pPr>
    </w:p>
    <w:p w:rsidRPr="00250F66" w:rsidR="003227D8" w:rsidP="003227D8" w:rsidRDefault="003227D8" w14:paraId="15F4C120" w14:textId="77777777">
      <w:pPr>
        <w:spacing w:after="0" w:line="240" w:lineRule="auto"/>
        <w:contextualSpacing/>
        <w:jc w:val="both"/>
        <w:rPr>
          <w:rFonts w:ascii="Arial" w:hAnsi="Arial" w:eastAsia="Calibri" w:cs="Arial"/>
        </w:rPr>
      </w:pPr>
    </w:p>
    <w:p w:rsidRPr="00250F66" w:rsidR="003227D8" w:rsidP="003227D8" w:rsidRDefault="003227D8" w14:paraId="69A19A00" w14:textId="77777777">
      <w:pPr>
        <w:spacing w:after="0" w:line="240" w:lineRule="auto"/>
        <w:contextualSpacing/>
        <w:jc w:val="both"/>
        <w:rPr>
          <w:rFonts w:ascii="Arial" w:hAnsi="Arial" w:eastAsia="Calibri" w:cs="Arial"/>
        </w:rPr>
      </w:pPr>
    </w:p>
    <w:p w:rsidRPr="00250F66" w:rsidR="003227D8" w:rsidP="003227D8" w:rsidRDefault="003227D8" w14:paraId="779DE6BC" w14:textId="77777777">
      <w:pPr>
        <w:spacing w:after="0" w:line="240" w:lineRule="auto"/>
        <w:contextualSpacing/>
        <w:jc w:val="both"/>
        <w:rPr>
          <w:rFonts w:ascii="Arial" w:hAnsi="Arial" w:eastAsia="Calibri" w:cs="Arial"/>
        </w:rPr>
      </w:pPr>
    </w:p>
    <w:p w:rsidRPr="00250F66" w:rsidR="003227D8" w:rsidP="003227D8" w:rsidRDefault="003227D8" w14:paraId="7FA9BA59" w14:textId="77777777">
      <w:pPr>
        <w:spacing w:after="0" w:line="240" w:lineRule="auto"/>
        <w:contextualSpacing/>
        <w:jc w:val="both"/>
        <w:rPr>
          <w:rFonts w:ascii="Arial" w:hAnsi="Arial" w:eastAsia="Calibri" w:cs="Arial"/>
        </w:rPr>
      </w:pPr>
    </w:p>
    <w:p w:rsidRPr="00250F66" w:rsidR="003227D8" w:rsidP="003227D8" w:rsidRDefault="003227D8" w14:paraId="2D5ED282" w14:textId="77777777">
      <w:pPr>
        <w:spacing w:after="0" w:line="240" w:lineRule="auto"/>
        <w:contextualSpacing/>
        <w:jc w:val="both"/>
        <w:rPr>
          <w:rFonts w:ascii="Arial" w:hAnsi="Arial" w:eastAsia="Calibri" w:cs="Arial"/>
        </w:rPr>
      </w:pPr>
    </w:p>
    <w:p w:rsidRPr="00250F66" w:rsidR="003227D8" w:rsidP="003227D8" w:rsidRDefault="003227D8" w14:paraId="29BE878A" w14:textId="77777777">
      <w:pPr>
        <w:spacing w:after="0" w:line="240" w:lineRule="auto"/>
        <w:contextualSpacing/>
        <w:jc w:val="both"/>
        <w:rPr>
          <w:rFonts w:ascii="Arial" w:hAnsi="Arial" w:eastAsia="Calibri" w:cs="Arial"/>
        </w:rPr>
      </w:pPr>
    </w:p>
    <w:p w:rsidRPr="00250F66" w:rsidR="003227D8" w:rsidP="003227D8" w:rsidRDefault="003227D8" w14:paraId="0D628976" w14:textId="77777777">
      <w:pPr>
        <w:spacing w:after="0" w:line="240" w:lineRule="auto"/>
        <w:contextualSpacing/>
        <w:jc w:val="both"/>
        <w:rPr>
          <w:rFonts w:ascii="Arial" w:hAnsi="Arial" w:eastAsia="Calibri" w:cs="Arial"/>
        </w:rPr>
      </w:pPr>
    </w:p>
    <w:p w:rsidRPr="00250F66" w:rsidR="003227D8" w:rsidP="003227D8" w:rsidRDefault="003227D8" w14:paraId="18401C8E" w14:textId="77777777">
      <w:pPr>
        <w:spacing w:after="0" w:line="240" w:lineRule="auto"/>
        <w:contextualSpacing/>
        <w:jc w:val="both"/>
        <w:rPr>
          <w:rFonts w:ascii="Arial" w:hAnsi="Arial" w:eastAsia="Calibri" w:cs="Arial"/>
        </w:rPr>
      </w:pPr>
    </w:p>
    <w:p w:rsidRPr="00250F66" w:rsidR="003227D8" w:rsidP="003227D8" w:rsidRDefault="003227D8" w14:paraId="6E943F43" w14:textId="77777777">
      <w:pPr>
        <w:spacing w:after="0" w:line="240" w:lineRule="auto"/>
        <w:contextualSpacing/>
        <w:jc w:val="both"/>
        <w:rPr>
          <w:rFonts w:ascii="Arial" w:hAnsi="Arial" w:eastAsia="Calibri" w:cs="Arial"/>
        </w:rPr>
      </w:pPr>
    </w:p>
    <w:p w:rsidRPr="00250F66" w:rsidR="003227D8" w:rsidP="003227D8" w:rsidRDefault="003227D8" w14:paraId="484BD8B6" w14:textId="77777777">
      <w:pPr>
        <w:spacing w:after="0" w:line="240" w:lineRule="auto"/>
        <w:contextualSpacing/>
        <w:jc w:val="both"/>
        <w:rPr>
          <w:rFonts w:ascii="Arial" w:hAnsi="Arial" w:eastAsia="Calibri" w:cs="Arial"/>
        </w:rPr>
      </w:pPr>
    </w:p>
    <w:p w:rsidRPr="00250F66" w:rsidR="003227D8" w:rsidP="003227D8" w:rsidRDefault="003227D8" w14:paraId="20C5A333" w14:textId="77777777">
      <w:pPr>
        <w:spacing w:after="0" w:line="240" w:lineRule="auto"/>
        <w:contextualSpacing/>
        <w:jc w:val="both"/>
        <w:rPr>
          <w:rFonts w:ascii="Arial" w:hAnsi="Arial" w:eastAsia="Calibri" w:cs="Arial"/>
        </w:rPr>
      </w:pPr>
    </w:p>
    <w:p w:rsidRPr="00250F66" w:rsidR="003227D8" w:rsidP="003227D8" w:rsidRDefault="003227D8" w14:paraId="59129047" w14:textId="77777777">
      <w:pPr>
        <w:spacing w:after="0" w:line="240" w:lineRule="auto"/>
        <w:contextualSpacing/>
        <w:jc w:val="both"/>
        <w:rPr>
          <w:rFonts w:ascii="Arial" w:hAnsi="Arial" w:eastAsia="Calibri" w:cs="Arial"/>
        </w:rPr>
      </w:pPr>
    </w:p>
    <w:p w:rsidRPr="00250F66" w:rsidR="003227D8" w:rsidP="003227D8" w:rsidRDefault="003227D8" w14:paraId="3835C8D6" w14:textId="77777777">
      <w:pPr>
        <w:spacing w:after="0" w:line="240" w:lineRule="auto"/>
        <w:contextualSpacing/>
        <w:jc w:val="both"/>
        <w:rPr>
          <w:rFonts w:ascii="Arial" w:hAnsi="Arial" w:eastAsia="Calibri" w:cs="Arial"/>
        </w:rPr>
      </w:pPr>
    </w:p>
    <w:p w:rsidRPr="00250F66" w:rsidR="003227D8" w:rsidP="003227D8" w:rsidRDefault="003227D8" w14:paraId="026699CE" w14:textId="77777777">
      <w:pPr>
        <w:spacing w:after="0" w:line="240" w:lineRule="auto"/>
        <w:contextualSpacing/>
        <w:jc w:val="both"/>
        <w:rPr>
          <w:rFonts w:ascii="Arial" w:hAnsi="Arial" w:eastAsia="Calibri" w:cs="Arial"/>
        </w:rPr>
      </w:pPr>
    </w:p>
    <w:p w:rsidRPr="00250F66" w:rsidR="003227D8" w:rsidP="003227D8" w:rsidRDefault="003227D8" w14:paraId="35272211" w14:textId="77777777">
      <w:pPr>
        <w:spacing w:after="0" w:line="240" w:lineRule="auto"/>
        <w:contextualSpacing/>
        <w:jc w:val="both"/>
        <w:rPr>
          <w:rFonts w:ascii="Arial" w:hAnsi="Arial" w:eastAsia="Calibri" w:cs="Arial"/>
        </w:rPr>
      </w:pPr>
    </w:p>
    <w:p w:rsidRPr="00250F66" w:rsidR="003227D8" w:rsidP="003227D8" w:rsidRDefault="003227D8" w14:paraId="3952C2CA" w14:textId="77777777">
      <w:pPr>
        <w:jc w:val="right"/>
        <w:rPr>
          <w:rFonts w:ascii="Arial" w:hAnsi="Arial" w:eastAsia="Geomanist Light" w:cs="Arial"/>
          <w:color w:val="000000" w:themeColor="text1"/>
          <w:lang w:val="es-MX"/>
        </w:rPr>
      </w:pPr>
    </w:p>
    <w:p w:rsidR="003227D8" w:rsidP="1C975626" w:rsidRDefault="003227D8" w14:paraId="0F0B16BB" w14:textId="75AC9424">
      <w:pPr>
        <w:pStyle w:val="Normal"/>
        <w:bidi w:val="0"/>
        <w:spacing w:before="0" w:beforeAutospacing="off" w:after="160" w:afterAutospacing="off" w:line="259" w:lineRule="auto"/>
        <w:ind w:left="0" w:right="0"/>
        <w:jc w:val="left"/>
        <w:rPr>
          <w:rFonts w:ascii="Arial" w:hAnsi="Arial" w:eastAsia="Geomanist Light" w:cs="Arial"/>
          <w:color w:val="201F1E"/>
          <w:lang w:val="es-MX"/>
        </w:rPr>
      </w:pPr>
      <w:r w:rsidRPr="1C975626" w:rsidR="003227D8">
        <w:rPr>
          <w:rFonts w:ascii="Arial" w:hAnsi="Arial" w:eastAsia="Geomanist Light" w:cs="Arial"/>
          <w:color w:val="000000" w:themeColor="text1" w:themeTint="FF" w:themeShade="FF"/>
          <w:lang w:val="es-MX"/>
        </w:rPr>
        <w:t>Bogotá D.C., </w:t>
      </w:r>
      <w:r w:rsidRPr="1C975626" w:rsidR="6054FA4E">
        <w:rPr>
          <w:rFonts w:ascii="Arial" w:hAnsi="Arial" w:eastAsia="Geomanist Light" w:cs="Arial"/>
          <w:color w:val="201F1E"/>
          <w:lang w:val="es-MX"/>
        </w:rPr>
        <w:t>14 de julio de 2023</w:t>
      </w:r>
    </w:p>
    <w:p w:rsidR="003227D8" w:rsidP="003227D8" w:rsidRDefault="003227D8" w14:paraId="3A2C0A44" w14:textId="77777777">
      <w:pPr>
        <w:spacing w:after="0" w:line="240" w:lineRule="auto"/>
        <w:contextualSpacing/>
        <w:jc w:val="both"/>
        <w:rPr>
          <w:rFonts w:ascii="Arial" w:hAnsi="Arial" w:eastAsia="Calibri" w:cs="Arial"/>
        </w:rPr>
      </w:pPr>
    </w:p>
    <w:p w:rsidR="00595D6A" w:rsidP="00C275F5" w:rsidRDefault="00C275F5" w14:paraId="322D6A97" w14:textId="0F680769">
      <w:pPr>
        <w:spacing w:after="0" w:line="240" w:lineRule="auto"/>
        <w:contextualSpacing/>
        <w:jc w:val="right"/>
        <w:rPr>
          <w:rFonts w:ascii="Arial" w:hAnsi="Arial" w:eastAsia="Calibri" w:cs="Arial"/>
        </w:rPr>
      </w:pPr>
      <w:r>
        <w:rPr>
          <w:noProof/>
          <w14:ligatures w14:val="standardContextual"/>
        </w:rPr>
        <w:drawing>
          <wp:inline distT="0" distB="0" distL="0" distR="0" wp14:anchorId="24F0FEF8" wp14:editId="26BDE6C7">
            <wp:extent cx="2495550" cy="676275"/>
            <wp:effectExtent l="0" t="0" r="0" b="9525"/>
            <wp:docPr id="11497261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2618" name="Imagen 1" descr="Texto&#10;&#10;Descripción generada automáticamente"/>
                    <pic:cNvPicPr/>
                  </pic:nvPicPr>
                  <pic:blipFill>
                    <a:blip r:embed="rId9"/>
                    <a:stretch>
                      <a:fillRect/>
                    </a:stretch>
                  </pic:blipFill>
                  <pic:spPr>
                    <a:xfrm>
                      <a:off x="0" y="0"/>
                      <a:ext cx="2495550" cy="676275"/>
                    </a:xfrm>
                    <a:prstGeom prst="rect">
                      <a:avLst/>
                    </a:prstGeom>
                  </pic:spPr>
                </pic:pic>
              </a:graphicData>
            </a:graphic>
          </wp:inline>
        </w:drawing>
      </w:r>
    </w:p>
    <w:p w:rsidRPr="00250F66" w:rsidR="00595D6A" w:rsidP="003227D8" w:rsidRDefault="00595D6A" w14:paraId="39E3BA72" w14:textId="77777777">
      <w:pPr>
        <w:spacing w:after="0" w:line="240" w:lineRule="auto"/>
        <w:contextualSpacing/>
        <w:jc w:val="both"/>
        <w:rPr>
          <w:rFonts w:ascii="Arial" w:hAnsi="Arial" w:eastAsia="Calibri" w:cs="Arial"/>
        </w:rPr>
      </w:pPr>
    </w:p>
    <w:p w:rsidRPr="00250F66" w:rsidR="003227D8" w:rsidP="003227D8" w:rsidRDefault="003227D8" w14:paraId="4692AF9D" w14:textId="133508D0">
      <w:pPr>
        <w:spacing w:after="0" w:line="276" w:lineRule="auto"/>
        <w:contextualSpacing/>
        <w:jc w:val="both"/>
        <w:rPr>
          <w:rFonts w:ascii="Arial" w:hAnsi="Arial" w:eastAsia="Calibri" w:cs="Arial"/>
        </w:rPr>
      </w:pPr>
      <w:r w:rsidRPr="00250F66">
        <w:rPr>
          <w:rFonts w:ascii="Arial" w:hAnsi="Arial" w:eastAsia="Calibri" w:cs="Arial"/>
        </w:rPr>
        <w:t>Señor</w:t>
      </w:r>
    </w:p>
    <w:p w:rsidRPr="00250F66" w:rsidR="003227D8" w:rsidP="003227D8" w:rsidRDefault="003227D8" w14:paraId="0467FCDF" w14:textId="77777777">
      <w:pPr>
        <w:spacing w:after="0" w:line="276" w:lineRule="auto"/>
        <w:contextualSpacing/>
        <w:jc w:val="both"/>
        <w:rPr>
          <w:rFonts w:ascii="Arial" w:hAnsi="Arial" w:eastAsia="Calibri" w:cs="Arial"/>
          <w:b/>
          <w:bCs/>
        </w:rPr>
      </w:pPr>
      <w:r w:rsidRPr="00250F66">
        <w:rPr>
          <w:rFonts w:ascii="Arial" w:hAnsi="Arial" w:eastAsia="Calibri" w:cs="Arial"/>
          <w:b/>
          <w:bCs/>
        </w:rPr>
        <w:t>Gustavo Adolfo Patarroyo Cubides</w:t>
      </w:r>
    </w:p>
    <w:p w:rsidRPr="00250F66" w:rsidR="003227D8" w:rsidP="003227D8" w:rsidRDefault="00000000" w14:paraId="245C9A88" w14:textId="77777777">
      <w:pPr>
        <w:spacing w:after="0" w:line="276" w:lineRule="auto"/>
        <w:contextualSpacing/>
        <w:jc w:val="both"/>
        <w:rPr>
          <w:rFonts w:ascii="Arial" w:hAnsi="Arial" w:eastAsia="Calibri" w:cs="Arial"/>
        </w:rPr>
      </w:pPr>
      <w:hyperlink w:history="1" r:id="rId10">
        <w:r w:rsidRPr="00250F66" w:rsidR="003227D8">
          <w:rPr>
            <w:rFonts w:ascii="Arial" w:hAnsi="Arial" w:eastAsia="Calibri" w:cs="Arial"/>
            <w:color w:val="0563C1" w:themeColor="hyperlink"/>
            <w:u w:val="single"/>
          </w:rPr>
          <w:t>gustavopatarroyo@hotmail.com</w:t>
        </w:r>
      </w:hyperlink>
    </w:p>
    <w:p w:rsidRPr="00250F66" w:rsidR="003227D8" w:rsidP="003227D8" w:rsidRDefault="003227D8" w14:paraId="0FA10AA2" w14:textId="77777777">
      <w:pPr>
        <w:spacing w:after="0" w:line="276" w:lineRule="auto"/>
        <w:contextualSpacing/>
        <w:jc w:val="both"/>
        <w:rPr>
          <w:rFonts w:ascii="Arial" w:hAnsi="Arial" w:eastAsia="Calibri" w:cs="Arial"/>
        </w:rPr>
      </w:pPr>
      <w:r w:rsidRPr="00250F66">
        <w:rPr>
          <w:rFonts w:ascii="Arial" w:hAnsi="Arial" w:eastAsia="Calibri" w:cs="Arial"/>
        </w:rPr>
        <w:t>Ibagué, Tolima</w:t>
      </w:r>
    </w:p>
    <w:p w:rsidRPr="00250F66" w:rsidR="003227D8" w:rsidP="003227D8" w:rsidRDefault="003227D8" w14:paraId="3021974F" w14:textId="77777777">
      <w:pPr>
        <w:spacing w:after="0" w:line="276" w:lineRule="auto"/>
        <w:contextualSpacing/>
        <w:jc w:val="both"/>
        <w:rPr>
          <w:rFonts w:ascii="Arial" w:hAnsi="Arial" w:eastAsia="Calibri" w:cs="Arial"/>
        </w:rPr>
      </w:pPr>
    </w:p>
    <w:p w:rsidRPr="00250F66" w:rsidR="003227D8" w:rsidP="003227D8" w:rsidRDefault="003227D8" w14:paraId="13B67CDB" w14:textId="77777777">
      <w:pPr>
        <w:spacing w:after="0" w:line="276" w:lineRule="auto"/>
        <w:contextualSpacing/>
        <w:jc w:val="both"/>
        <w:rPr>
          <w:rFonts w:ascii="Arial" w:hAnsi="Arial" w:eastAsia="Calibri" w:cs="Arial"/>
        </w:rPr>
      </w:pPr>
    </w:p>
    <w:p w:rsidRPr="00250F66" w:rsidR="003227D8" w:rsidP="003227D8" w:rsidRDefault="003227D8" w14:paraId="5AE09827" w14:textId="77777777">
      <w:pPr>
        <w:spacing w:after="0" w:line="240" w:lineRule="auto"/>
        <w:contextualSpacing/>
        <w:jc w:val="both"/>
        <w:rPr>
          <w:rFonts w:ascii="Arial" w:hAnsi="Arial" w:eastAsia="Calibri" w:cs="Arial"/>
        </w:rPr>
      </w:pPr>
      <w:r w:rsidRPr="00250F66">
        <w:rPr>
          <w:rFonts w:ascii="Arial" w:hAnsi="Arial" w:eastAsia="Calibri" w:cs="Arial"/>
        </w:rPr>
        <w:t xml:space="preserve">                                            </w:t>
      </w:r>
      <w:r w:rsidRPr="00250F66">
        <w:rPr>
          <w:rFonts w:ascii="Arial" w:hAnsi="Arial" w:eastAsia="Calibri" w:cs="Arial"/>
          <w:b/>
        </w:rPr>
        <w:t>Concepto C–288 de 2023</w:t>
      </w:r>
    </w:p>
    <w:p w:rsidRPr="00250F66" w:rsidR="003227D8" w:rsidP="003227D8" w:rsidRDefault="003227D8" w14:paraId="7539EBA7" w14:textId="77777777">
      <w:pPr>
        <w:spacing w:after="0" w:line="240" w:lineRule="auto"/>
        <w:contextualSpacing/>
        <w:jc w:val="both"/>
        <w:rPr>
          <w:rFonts w:ascii="Arial" w:hAnsi="Arial" w:eastAsia="Calibri" w:cs="Arial"/>
          <w:b/>
        </w:rPr>
      </w:pPr>
    </w:p>
    <w:p w:rsidRPr="00250F66" w:rsidR="003227D8" w:rsidP="003227D8" w:rsidRDefault="003227D8" w14:paraId="4A125D8E"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50F66" w:rsidR="003227D8" w:rsidTr="00920A1F" w14:paraId="6B6F05D6" w14:textId="77777777">
        <w:trPr>
          <w:trHeight w:val="485"/>
        </w:trPr>
        <w:tc>
          <w:tcPr>
            <w:tcW w:w="2689" w:type="dxa"/>
            <w:hideMark/>
          </w:tcPr>
          <w:p w:rsidRPr="00250F66" w:rsidR="003227D8" w:rsidP="00920A1F" w:rsidRDefault="003227D8" w14:paraId="3D9BDC0A" w14:textId="77777777">
            <w:pPr>
              <w:rPr>
                <w:rFonts w:ascii="Arial" w:hAnsi="Arial" w:eastAsia="Calibri" w:cs="Arial"/>
                <w:noProof/>
                <w:lang w:val="es-ES_tradnl"/>
              </w:rPr>
            </w:pPr>
            <w:r w:rsidRPr="00250F66">
              <w:rPr>
                <w:rFonts w:ascii="Arial" w:hAnsi="Arial" w:eastAsia="Calibri" w:cs="Arial"/>
                <w:b/>
                <w:noProof/>
                <w:lang w:val="es-ES_tradnl"/>
              </w:rPr>
              <w:t>Temas:</w:t>
            </w:r>
            <w:r w:rsidRPr="00250F66">
              <w:rPr>
                <w:rFonts w:ascii="Arial" w:hAnsi="Arial" w:eastAsia="Calibri" w:cs="Arial"/>
                <w:noProof/>
                <w:lang w:val="es-ES_tradnl"/>
              </w:rPr>
              <w:t xml:space="preserve">        </w:t>
            </w:r>
          </w:p>
        </w:tc>
        <w:tc>
          <w:tcPr>
            <w:tcW w:w="6237" w:type="dxa"/>
            <w:hideMark/>
          </w:tcPr>
          <w:p w:rsidRPr="00250F66" w:rsidR="003227D8" w:rsidP="00920A1F" w:rsidRDefault="003227D8" w14:paraId="1F55421A" w14:textId="77777777">
            <w:pPr>
              <w:spacing w:line="276" w:lineRule="auto"/>
              <w:jc w:val="both"/>
              <w:rPr>
                <w:rFonts w:ascii="Arial" w:hAnsi="Arial" w:eastAsia="Times New Roman" w:cs="Arial"/>
                <w:lang w:val="es-ES_tradnl" w:eastAsia="es-ES_tradnl"/>
              </w:rPr>
            </w:pPr>
            <w:r w:rsidRPr="00250F66">
              <w:rPr>
                <w:rFonts w:ascii="Arial" w:hAnsi="Arial" w:eastAsia="Times New Roman" w:cs="Arial"/>
                <w:lang w:val="es-ES_tradnl" w:eastAsia="es-ES_tradnl"/>
              </w:rPr>
              <w:t>CONTRATO DE INTERVENTORÍA – Finalidad – Ley 1474 de 2011 – Artículo 83 / CONTRATO INTERVENTORÍA – Características / CONFLICTOS DE INTERÉS – Régimen – Objetivo / DOCUMENTOS TIPO DE INTERVENTORÍA – Conflictos de interés – Causales – Numeral 1.14 del documento base</w:t>
            </w:r>
          </w:p>
          <w:p w:rsidRPr="00250F66" w:rsidR="003227D8" w:rsidP="00920A1F" w:rsidRDefault="003227D8" w14:paraId="24D5AA73" w14:textId="77777777">
            <w:pPr>
              <w:jc w:val="both"/>
              <w:rPr>
                <w:rFonts w:ascii="Arial" w:hAnsi="Arial" w:eastAsia="Calibri" w:cs="Arial"/>
                <w:b/>
                <w:bCs/>
                <w:lang w:val="es-MX"/>
              </w:rPr>
            </w:pPr>
          </w:p>
          <w:p w:rsidRPr="00250F66" w:rsidR="003227D8" w:rsidP="00920A1F" w:rsidRDefault="003227D8" w14:paraId="33F8D0CD" w14:textId="77777777">
            <w:pPr>
              <w:ind w:right="703"/>
              <w:jc w:val="both"/>
              <w:rPr>
                <w:rFonts w:ascii="Arial" w:hAnsi="Arial" w:eastAsia="Calibri" w:cs="Arial"/>
                <w:bCs/>
                <w:lang w:val="es-MX"/>
              </w:rPr>
            </w:pPr>
          </w:p>
        </w:tc>
      </w:tr>
      <w:tr w:rsidRPr="00250F66" w:rsidR="003227D8" w:rsidTr="00920A1F" w14:paraId="64D619DA" w14:textId="77777777">
        <w:tc>
          <w:tcPr>
            <w:tcW w:w="2689" w:type="dxa"/>
          </w:tcPr>
          <w:p w:rsidRPr="00250F66" w:rsidR="003227D8" w:rsidP="00920A1F" w:rsidRDefault="003227D8" w14:paraId="1D3FD9E1" w14:textId="77777777">
            <w:pPr>
              <w:rPr>
                <w:rFonts w:ascii="Arial" w:hAnsi="Arial" w:eastAsia="Calibri" w:cs="Arial"/>
                <w:b/>
                <w:noProof/>
                <w:lang w:val="es-ES_tradnl"/>
              </w:rPr>
            </w:pPr>
            <w:r w:rsidRPr="00250F66">
              <w:rPr>
                <w:rFonts w:ascii="Arial" w:hAnsi="Arial" w:eastAsia="Calibri" w:cs="Arial"/>
                <w:b/>
                <w:noProof/>
                <w:lang w:val="es-ES_tradnl"/>
              </w:rPr>
              <w:t>Radicación:</w:t>
            </w:r>
            <w:r w:rsidRPr="00250F66">
              <w:rPr>
                <w:rFonts w:ascii="Arial" w:hAnsi="Arial" w:eastAsia="Calibri" w:cs="Arial"/>
                <w:noProof/>
                <w:lang w:val="es-ES_tradnl"/>
              </w:rPr>
              <w:t xml:space="preserve">                              </w:t>
            </w:r>
          </w:p>
        </w:tc>
        <w:tc>
          <w:tcPr>
            <w:tcW w:w="6237" w:type="dxa"/>
          </w:tcPr>
          <w:p w:rsidRPr="00250F66" w:rsidR="003227D8" w:rsidP="00920A1F" w:rsidRDefault="003227D8" w14:paraId="35965F63" w14:textId="77777777">
            <w:pPr>
              <w:jc w:val="both"/>
              <w:rPr>
                <w:rFonts w:ascii="Arial" w:hAnsi="Arial" w:eastAsia="Calibri" w:cs="Arial"/>
                <w:noProof/>
                <w:lang w:val="es-ES_tradnl"/>
              </w:rPr>
            </w:pPr>
            <w:r w:rsidRPr="00250F66">
              <w:rPr>
                <w:rFonts w:ascii="Arial" w:hAnsi="Arial" w:eastAsia="Calibri" w:cs="Arial"/>
                <w:noProof/>
                <w:lang w:val="es-ES_tradnl"/>
              </w:rPr>
              <w:t>Respuesta a consulta P20230531011890</w:t>
            </w:r>
            <w:r w:rsidRPr="00250F66">
              <w:rPr>
                <w:rFonts w:ascii="Arial" w:hAnsi="Arial" w:eastAsia="Calibri" w:cs="Arial"/>
                <w:noProof/>
                <w:lang w:val="es-ES_tradnl"/>
              </w:rPr>
              <w:tab/>
            </w:r>
            <w:r w:rsidRPr="00250F66">
              <w:rPr>
                <w:rFonts w:ascii="Arial" w:hAnsi="Arial" w:eastAsia="Calibri" w:cs="Arial"/>
                <w:noProof/>
                <w:lang w:val="es-ES_tradnl"/>
              </w:rPr>
              <w:tab/>
            </w:r>
            <w:r w:rsidRPr="00250F66">
              <w:rPr>
                <w:rFonts w:ascii="Arial" w:hAnsi="Arial" w:eastAsia="Calibri" w:cs="Arial"/>
                <w:noProof/>
                <w:lang w:val="es-ES_tradnl"/>
              </w:rPr>
              <w:tab/>
            </w:r>
            <w:r w:rsidRPr="00250F66">
              <w:rPr>
                <w:rFonts w:ascii="Arial" w:hAnsi="Arial" w:eastAsia="Calibri" w:cs="Arial"/>
                <w:noProof/>
                <w:lang w:val="es-ES_tradnl"/>
              </w:rPr>
              <w:tab/>
            </w:r>
          </w:p>
        </w:tc>
      </w:tr>
    </w:tbl>
    <w:p w:rsidRPr="00250F66" w:rsidR="003227D8" w:rsidP="003227D8" w:rsidRDefault="003227D8" w14:paraId="04AAA594" w14:textId="77777777">
      <w:pPr>
        <w:spacing w:after="0" w:line="240" w:lineRule="auto"/>
        <w:contextualSpacing/>
        <w:jc w:val="both"/>
        <w:rPr>
          <w:rFonts w:ascii="Arial" w:hAnsi="Arial" w:eastAsia="Calibri" w:cs="Arial"/>
        </w:rPr>
      </w:pPr>
    </w:p>
    <w:p w:rsidRPr="00250F66" w:rsidR="003227D8" w:rsidP="003227D8" w:rsidRDefault="003227D8" w14:paraId="219EC907" w14:textId="77777777">
      <w:pPr>
        <w:spacing w:after="0" w:line="240" w:lineRule="auto"/>
        <w:contextualSpacing/>
        <w:jc w:val="both"/>
        <w:rPr>
          <w:rFonts w:ascii="Arial" w:hAnsi="Arial" w:eastAsia="Calibri" w:cs="Arial"/>
        </w:rPr>
      </w:pPr>
    </w:p>
    <w:p w:rsidRPr="00250F66" w:rsidR="003227D8" w:rsidP="003227D8" w:rsidRDefault="003227D8" w14:paraId="6392D61A" w14:textId="77777777">
      <w:pPr>
        <w:spacing w:after="0" w:line="276" w:lineRule="auto"/>
        <w:contextualSpacing/>
        <w:jc w:val="both"/>
        <w:rPr>
          <w:rFonts w:ascii="Arial" w:hAnsi="Arial" w:eastAsia="Calibri" w:cs="Arial"/>
        </w:rPr>
      </w:pPr>
      <w:r w:rsidRPr="00250F66">
        <w:rPr>
          <w:rFonts w:ascii="Arial" w:hAnsi="Arial" w:eastAsia="Calibri" w:cs="Arial"/>
        </w:rPr>
        <w:t>Estimado señor Patarroyo:</w:t>
      </w:r>
    </w:p>
    <w:p w:rsidRPr="00250F66" w:rsidR="003227D8" w:rsidP="003227D8" w:rsidRDefault="003227D8" w14:paraId="132C8501" w14:textId="77777777">
      <w:pPr>
        <w:spacing w:after="0" w:line="276" w:lineRule="auto"/>
        <w:ind w:firstLine="709"/>
        <w:contextualSpacing/>
        <w:jc w:val="both"/>
        <w:rPr>
          <w:rFonts w:ascii="Arial" w:hAnsi="Arial" w:eastAsia="Calibri" w:cs="Arial"/>
        </w:rPr>
      </w:pPr>
    </w:p>
    <w:p w:rsidRPr="00250F66" w:rsidR="003227D8" w:rsidP="003227D8" w:rsidRDefault="003227D8" w14:paraId="2DF73DDF" w14:textId="77777777">
      <w:pPr>
        <w:spacing w:after="0" w:line="276" w:lineRule="auto"/>
        <w:contextualSpacing/>
        <w:jc w:val="both"/>
        <w:rPr>
          <w:rFonts w:ascii="Arial" w:hAnsi="Arial" w:eastAsia="Calibri" w:cs="Arial"/>
        </w:rPr>
      </w:pPr>
      <w:r w:rsidRPr="00250F66">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31 de mayo de 2023. </w:t>
      </w:r>
    </w:p>
    <w:p w:rsidRPr="00250F66" w:rsidR="003227D8" w:rsidP="003227D8" w:rsidRDefault="003227D8" w14:paraId="010D6AEF" w14:textId="77777777">
      <w:pPr>
        <w:spacing w:after="0" w:line="276" w:lineRule="auto"/>
        <w:contextualSpacing/>
        <w:jc w:val="both"/>
        <w:rPr>
          <w:rFonts w:ascii="Arial" w:hAnsi="Arial" w:eastAsia="Calibri" w:cs="Arial"/>
        </w:rPr>
      </w:pPr>
    </w:p>
    <w:p w:rsidRPr="00250F66" w:rsidR="003227D8" w:rsidP="003227D8" w:rsidRDefault="003227D8" w14:paraId="7ACBFAE8" w14:textId="77777777">
      <w:pPr>
        <w:tabs>
          <w:tab w:val="left" w:pos="284"/>
        </w:tabs>
        <w:spacing w:after="0" w:line="276" w:lineRule="auto"/>
        <w:contextualSpacing/>
        <w:jc w:val="both"/>
        <w:rPr>
          <w:rFonts w:ascii="Arial" w:hAnsi="Arial" w:eastAsia="Calibri" w:cs="Arial"/>
          <w:b/>
        </w:rPr>
      </w:pPr>
      <w:r w:rsidRPr="00250F66">
        <w:rPr>
          <w:rFonts w:ascii="Arial" w:hAnsi="Arial" w:eastAsia="Calibri" w:cs="Arial"/>
          <w:b/>
        </w:rPr>
        <w:t xml:space="preserve">1. Problema planteado </w:t>
      </w:r>
    </w:p>
    <w:p w:rsidRPr="00250F66" w:rsidR="003227D8" w:rsidP="003227D8" w:rsidRDefault="003227D8" w14:paraId="7E659D4D" w14:textId="77777777">
      <w:pPr>
        <w:tabs>
          <w:tab w:val="left" w:pos="284"/>
        </w:tabs>
        <w:spacing w:after="0" w:line="276" w:lineRule="auto"/>
        <w:ind w:firstLine="709"/>
        <w:contextualSpacing/>
        <w:jc w:val="both"/>
        <w:rPr>
          <w:rFonts w:ascii="Arial" w:hAnsi="Arial" w:eastAsia="Calibri" w:cs="Arial"/>
          <w:b/>
        </w:rPr>
      </w:pPr>
    </w:p>
    <w:p w:rsidRPr="00250F66" w:rsidR="003227D8" w:rsidP="003227D8" w:rsidRDefault="003227D8" w14:paraId="1B50847E" w14:textId="77777777">
      <w:pPr>
        <w:spacing w:after="0" w:line="276" w:lineRule="auto"/>
        <w:contextualSpacing/>
        <w:jc w:val="both"/>
        <w:rPr>
          <w:rFonts w:ascii="Arial" w:hAnsi="Arial" w:eastAsia="Calibri" w:cs="Arial"/>
        </w:rPr>
      </w:pPr>
      <w:bookmarkStart w:name="_Hlk58917991" w:id="5"/>
      <w:bookmarkStart w:name="_Hlk56103000" w:id="6"/>
      <w:r w:rsidRPr="00250F66">
        <w:rPr>
          <w:rFonts w:ascii="Arial" w:hAnsi="Arial" w:eastAsia="Calibri" w:cs="Arial"/>
        </w:rPr>
        <w:t xml:space="preserve">Usted realiza la siguiente consulta: </w:t>
      </w:r>
      <w:bookmarkStart w:name="_Hlk116284008" w:id="7"/>
      <w:bookmarkStart w:name="_Hlk133573383" w:id="8"/>
      <w:r w:rsidRPr="00250F66">
        <w:rPr>
          <w:rFonts w:ascii="Arial" w:hAnsi="Arial" w:eastAsia="Calibri" w:cs="Arial"/>
        </w:rPr>
        <w:t>“[…] [¿]la persona natural o jurídica que realizo los estudios y diseños del proyecto vías, puede prestarse como interventor del contrato de obra en los documentos tipo? [¿]existe alguna inhabilidad señalada en la ley? [sic]</w:t>
      </w:r>
    </w:p>
    <w:p w:rsidRPr="00250F66" w:rsidR="003227D8" w:rsidP="003227D8" w:rsidRDefault="003227D8" w14:paraId="7AF79070" w14:textId="77777777">
      <w:pPr>
        <w:spacing w:after="0" w:line="276" w:lineRule="auto"/>
        <w:contextualSpacing/>
        <w:jc w:val="both"/>
        <w:rPr>
          <w:rFonts w:ascii="Arial" w:hAnsi="Arial" w:eastAsia="Calibri" w:cs="Arial"/>
        </w:rPr>
      </w:pPr>
    </w:p>
    <w:bookmarkEnd w:id="5"/>
    <w:bookmarkEnd w:id="6"/>
    <w:bookmarkEnd w:id="7"/>
    <w:bookmarkEnd w:id="8"/>
    <w:p w:rsidRPr="00250F66" w:rsidR="003227D8" w:rsidP="003227D8" w:rsidRDefault="003227D8" w14:paraId="066D2183" w14:textId="77777777">
      <w:pPr>
        <w:tabs>
          <w:tab w:val="left" w:pos="284"/>
        </w:tabs>
        <w:spacing w:after="0" w:line="276" w:lineRule="auto"/>
        <w:contextualSpacing/>
        <w:jc w:val="both"/>
        <w:rPr>
          <w:rFonts w:ascii="Arial" w:hAnsi="Arial" w:eastAsia="Calibri" w:cs="Arial"/>
          <w:b/>
        </w:rPr>
      </w:pPr>
      <w:r w:rsidRPr="00250F66">
        <w:rPr>
          <w:rFonts w:ascii="Arial" w:hAnsi="Arial" w:eastAsia="Calibri" w:cs="Arial"/>
          <w:b/>
        </w:rPr>
        <w:t>2. Consideraciones</w:t>
      </w:r>
    </w:p>
    <w:p w:rsidRPr="00250F66" w:rsidR="003227D8" w:rsidP="003227D8" w:rsidRDefault="003227D8" w14:paraId="23AB45C8" w14:textId="77777777">
      <w:pPr>
        <w:tabs>
          <w:tab w:val="left" w:pos="284"/>
        </w:tabs>
        <w:spacing w:after="0" w:line="276" w:lineRule="auto"/>
        <w:contextualSpacing/>
        <w:jc w:val="both"/>
        <w:rPr>
          <w:rFonts w:ascii="Arial" w:hAnsi="Arial" w:eastAsia="Calibri" w:cs="Arial"/>
          <w:b/>
        </w:rPr>
      </w:pPr>
    </w:p>
    <w:p w:rsidRPr="00250F66" w:rsidR="003227D8" w:rsidP="003227D8" w:rsidRDefault="003227D8" w14:paraId="7CA0BD0E" w14:textId="77777777">
      <w:pPr>
        <w:spacing w:after="120" w:line="276" w:lineRule="auto"/>
        <w:jc w:val="both"/>
        <w:rPr>
          <w:rFonts w:ascii="Arial" w:hAnsi="Arial" w:eastAsia="Calibri" w:cs="Arial"/>
          <w:lang w:val="es-ES"/>
        </w:rPr>
      </w:pPr>
      <w:r w:rsidRPr="00250F66">
        <w:rPr>
          <w:rFonts w:ascii="Arial" w:hAnsi="Arial" w:eastAsia="Calibri"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250F66">
        <w:rPr>
          <w:rFonts w:ascii="Arial" w:hAnsi="Arial" w:eastAsia="Calibri" w:cs="Arial"/>
          <w:lang w:val="es-ES"/>
        </w:rPr>
        <w:t xml:space="preserve"> </w:t>
      </w:r>
      <w:bookmarkStart w:name="_Hlk61701014" w:id="9"/>
      <w:bookmarkStart w:name="_Hlk62136649" w:id="10"/>
      <w:r w:rsidRPr="00250F66">
        <w:rPr>
          <w:rFonts w:ascii="Arial" w:hAnsi="Arial" w:eastAsia="Calibri" w:cs="Arial"/>
          <w:lang w:val="es-ES"/>
        </w:rPr>
        <w:t xml:space="preserve">Es necesario tener en cuenta que </w:t>
      </w:r>
      <w:bookmarkStart w:name="_Hlk61026958" w:id="11"/>
      <w:r w:rsidRPr="00250F66">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50F66">
        <w:rPr>
          <w:rFonts w:ascii="Arial" w:hAnsi="Arial" w:eastAsia="Calibri" w:cs="Arial"/>
          <w:bCs/>
          <w:lang w:val="es-MX"/>
        </w:rPr>
        <w:t xml:space="preserve"> de todos los partícipes de la contratación estatal.</w:t>
      </w:r>
    </w:p>
    <w:p w:rsidRPr="00250F66" w:rsidR="003227D8" w:rsidP="003227D8" w:rsidRDefault="003227D8" w14:paraId="3D81B327" w14:textId="77777777">
      <w:pPr>
        <w:spacing w:after="120" w:line="276" w:lineRule="auto"/>
        <w:ind w:firstLine="708"/>
        <w:jc w:val="both"/>
        <w:rPr>
          <w:rFonts w:ascii="Arial" w:hAnsi="Arial" w:eastAsia="Calibri" w:cs="Arial"/>
          <w:lang w:val="es-ES"/>
        </w:rPr>
      </w:pPr>
      <w:r w:rsidRPr="00250F66">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50F66">
        <w:rPr>
          <w:rFonts w:ascii="Arial" w:hAnsi="Arial" w:eastAsia="Calibri" w:cs="Arial"/>
          <w:vertAlign w:val="superscript"/>
          <w:lang w:val="es-ES"/>
        </w:rPr>
        <w:footnoteReference w:id="1"/>
      </w:r>
      <w:r w:rsidRPr="00250F66">
        <w:rPr>
          <w:rFonts w:ascii="Arial" w:hAnsi="Arial" w:eastAsia="Calibri" w:cs="Arial"/>
          <w:lang w:val="es-ES"/>
        </w:rPr>
        <w:t>. Esta competencia de interpretación de normas generales, por definición, no puede extenderse a la resolución de controversias, ni a brindar asesorías sobre casos puntuales.</w:t>
      </w:r>
      <w:bookmarkEnd w:id="9"/>
      <w:bookmarkEnd w:id="11"/>
    </w:p>
    <w:bookmarkEnd w:id="10"/>
    <w:p w:rsidRPr="00250F66" w:rsidR="003227D8" w:rsidP="003227D8" w:rsidRDefault="003227D8" w14:paraId="33C2BCC1" w14:textId="77777777">
      <w:pPr>
        <w:spacing w:before="120" w:after="120" w:line="276" w:lineRule="auto"/>
        <w:ind w:firstLine="709"/>
        <w:jc w:val="both"/>
        <w:rPr>
          <w:rFonts w:ascii="Arial" w:hAnsi="Arial" w:eastAsia="Calibri" w:cs="Arial"/>
          <w:lang w:val="es-ES_tradnl" w:eastAsia="es-MX"/>
        </w:rPr>
      </w:pPr>
      <w:r w:rsidRPr="00250F66">
        <w:rPr>
          <w:rFonts w:ascii="Arial" w:hAnsi="Arial" w:eastAsia="Calibri" w:cs="Arial"/>
          <w:lang w:val="es-MX"/>
        </w:rPr>
        <w:t xml:space="preserve">Sin perjuicio de lo anterior, </w:t>
      </w:r>
      <w:r w:rsidRPr="00250F66">
        <w:rPr>
          <w:rFonts w:ascii="Arial" w:hAnsi="Arial" w:eastAsia="Calibri" w:cs="Arial"/>
          <w:lang w:val="es-ES"/>
        </w:rPr>
        <w:t>la Subdirección de Gestión Contractual dentro de los límites de sus atribuciones, resolverá la consulta conforme a las normas generales en materia de contratación estatal</w:t>
      </w:r>
      <w:r w:rsidRPr="00250F66">
        <w:rPr>
          <w:rFonts w:ascii="Arial" w:hAnsi="Arial" w:eastAsia="Calibri" w:cs="Arial"/>
          <w:lang w:val="es-ES_tradnl" w:eastAsia="es-MX"/>
        </w:rPr>
        <w:t xml:space="preserve">. Con este objetivo, se analizarán los siguientes temas: i) el contrato de interventoría: particularidades y características, </w:t>
      </w:r>
      <w:proofErr w:type="spellStart"/>
      <w:r w:rsidRPr="00250F66">
        <w:rPr>
          <w:rFonts w:ascii="Arial" w:hAnsi="Arial" w:eastAsia="Calibri" w:cs="Arial"/>
          <w:lang w:val="es-ES_tradnl" w:eastAsia="es-MX"/>
        </w:rPr>
        <w:t>ii</w:t>
      </w:r>
      <w:proofErr w:type="spellEnd"/>
      <w:r w:rsidRPr="00250F66">
        <w:rPr>
          <w:rFonts w:ascii="Arial" w:hAnsi="Arial" w:eastAsia="Calibri" w:cs="Arial"/>
          <w:lang w:val="es-ES_tradnl" w:eastAsia="es-MX"/>
        </w:rPr>
        <w:t xml:space="preserve">) conflictos de interés en la contratación estatal. Causal dispuesta en los Documentos Tipo de interventoría de obra pública de infraestructura de transporte y, </w:t>
      </w:r>
      <w:proofErr w:type="spellStart"/>
      <w:r w:rsidRPr="00250F66">
        <w:rPr>
          <w:rFonts w:ascii="Arial" w:hAnsi="Arial" w:eastAsia="Calibri" w:cs="Arial"/>
          <w:lang w:val="es-ES_tradnl" w:eastAsia="es-MX"/>
        </w:rPr>
        <w:t>iii</w:t>
      </w:r>
      <w:proofErr w:type="spellEnd"/>
      <w:r w:rsidRPr="00250F66">
        <w:rPr>
          <w:rFonts w:ascii="Arial" w:hAnsi="Arial" w:eastAsia="Calibri" w:cs="Arial"/>
          <w:lang w:val="es-ES_tradnl" w:eastAsia="es-MX"/>
        </w:rPr>
        <w:t xml:space="preserve">) régimen de inhabilidades e incompatibilidades para contratar con el Estado. </w:t>
      </w:r>
    </w:p>
    <w:p w:rsidRPr="00250F66" w:rsidR="003227D8" w:rsidP="003227D8" w:rsidRDefault="003227D8" w14:paraId="50D00CEE" w14:textId="77777777">
      <w:pPr>
        <w:widowControl w:val="0"/>
        <w:autoSpaceDE w:val="0"/>
        <w:autoSpaceDN w:val="0"/>
        <w:spacing w:before="122" w:after="0" w:line="276" w:lineRule="auto"/>
        <w:ind w:firstLine="708"/>
        <w:jc w:val="both"/>
        <w:rPr>
          <w:rFonts w:ascii="Arial MT" w:hAnsi="Arial MT" w:eastAsia="Arial MT" w:cs="Arial MT"/>
          <w:lang w:val="es-ES"/>
        </w:rPr>
      </w:pPr>
      <w:r w:rsidRPr="00250F66">
        <w:rPr>
          <w:rFonts w:ascii="Arial" w:hAnsi="Arial" w:eastAsia="Calibri" w:cs="Arial"/>
          <w:szCs w:val="24"/>
          <w:lang w:val="es-ES_tradnl" w:eastAsia="es-ES_tradnl"/>
        </w:rPr>
        <w:t xml:space="preserve">La 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De igual forma, sobre la interventoría de los contratos estatales se pronunció en los conceptos C‒064 del 28 de febrero de 2020, C‒150 del 18 de marzo de 2020, C‒075 del 26 de marzo de 2020, C‒180 del 13 de abril de 2020, </w:t>
      </w:r>
      <w:r w:rsidRPr="00250F66">
        <w:rPr>
          <w:rFonts w:ascii="Arial" w:hAnsi="Arial" w:eastAsia="Calibri" w:cs="Arial"/>
          <w:szCs w:val="24"/>
          <w:lang w:val="es-ES_tradnl" w:eastAsia="es-ES_tradnl"/>
        </w:rPr>
        <w:t xml:space="preserve">C‒344 del 26 de mayo de 2020 y en el C‒765 del 7 de enero de 2021, C-411 del 17 de agosto de 2021, C-650 del 22 de diciembre de 2021, C-238 del 27 de abril de 2022, C-432 del 13 de julio de 2022, C- 590 del 20 de septiembre de 2022, entre otros. </w:t>
      </w:r>
      <w:r w:rsidRPr="00250F66">
        <w:rPr>
          <w:rFonts w:ascii="Arial MT" w:hAnsi="Arial MT" w:eastAsia="Arial MT" w:cs="Arial MT"/>
          <w:lang w:val="es-ES"/>
        </w:rPr>
        <w:t>Las ideas expuestas en dichas oportunidades se reiteran y se</w:t>
      </w:r>
      <w:r w:rsidRPr="00250F66">
        <w:rPr>
          <w:rFonts w:ascii="Arial MT" w:hAnsi="Arial MT" w:eastAsia="Arial MT" w:cs="Arial MT"/>
          <w:spacing w:val="1"/>
          <w:lang w:val="es-ES"/>
        </w:rPr>
        <w:t xml:space="preserve"> </w:t>
      </w:r>
      <w:r w:rsidRPr="00250F66">
        <w:rPr>
          <w:rFonts w:ascii="Arial MT" w:hAnsi="Arial MT" w:eastAsia="Arial MT" w:cs="Arial MT"/>
          <w:lang w:val="es-ES"/>
        </w:rPr>
        <w:t>complementan</w:t>
      </w:r>
      <w:r w:rsidRPr="00250F66">
        <w:rPr>
          <w:rFonts w:ascii="Arial MT" w:hAnsi="Arial MT" w:eastAsia="Arial MT" w:cs="Arial MT"/>
          <w:spacing w:val="-1"/>
          <w:lang w:val="es-ES"/>
        </w:rPr>
        <w:t xml:space="preserve"> </w:t>
      </w:r>
      <w:r w:rsidRPr="00250F66">
        <w:rPr>
          <w:rFonts w:ascii="Arial MT" w:hAnsi="Arial MT" w:eastAsia="Arial MT" w:cs="Arial MT"/>
          <w:lang w:val="es-ES"/>
        </w:rPr>
        <w:t>a</w:t>
      </w:r>
      <w:r w:rsidRPr="00250F66">
        <w:rPr>
          <w:rFonts w:ascii="Arial MT" w:hAnsi="Arial MT" w:eastAsia="Arial MT" w:cs="Arial MT"/>
          <w:spacing w:val="-2"/>
          <w:lang w:val="es-ES"/>
        </w:rPr>
        <w:t xml:space="preserve"> </w:t>
      </w:r>
      <w:r w:rsidRPr="00250F66">
        <w:rPr>
          <w:rFonts w:ascii="Arial MT" w:hAnsi="Arial MT" w:eastAsia="Arial MT" w:cs="Arial MT"/>
          <w:lang w:val="es-ES"/>
        </w:rPr>
        <w:t>continuación.</w:t>
      </w:r>
    </w:p>
    <w:p w:rsidRPr="00250F66" w:rsidR="003227D8" w:rsidP="003227D8" w:rsidRDefault="003227D8" w14:paraId="588CF7FA" w14:textId="77777777">
      <w:pPr>
        <w:spacing w:after="0" w:line="276" w:lineRule="auto"/>
        <w:ind w:firstLine="709"/>
        <w:jc w:val="both"/>
        <w:rPr>
          <w:rFonts w:ascii="Arial" w:hAnsi="Arial" w:eastAsia="Times New Roman" w:cs="Arial"/>
          <w:b/>
          <w:bCs/>
          <w:iCs/>
          <w:szCs w:val="24"/>
          <w:lang w:val="es-ES_tradnl" w:eastAsia="es-ES_tradnl"/>
        </w:rPr>
      </w:pPr>
    </w:p>
    <w:p w:rsidRPr="00250F66" w:rsidR="003227D8" w:rsidP="003227D8" w:rsidRDefault="003227D8" w14:paraId="331212C7" w14:textId="77777777">
      <w:pPr>
        <w:spacing w:after="0" w:line="276" w:lineRule="auto"/>
        <w:jc w:val="both"/>
        <w:rPr>
          <w:rFonts w:ascii="Arial" w:hAnsi="Arial" w:eastAsia="Cambria" w:cs="Arial"/>
          <w:b/>
          <w:lang w:val="es-ES"/>
        </w:rPr>
      </w:pPr>
      <w:r w:rsidRPr="00250F66">
        <w:rPr>
          <w:rFonts w:ascii="Arial" w:hAnsi="Arial" w:eastAsia="Cambria" w:cs="Arial"/>
          <w:b/>
          <w:lang w:val="es-ES"/>
        </w:rPr>
        <w:t>2.1. El contrato de interventoría: particularidades y características. Reiteración de línea.</w:t>
      </w:r>
    </w:p>
    <w:p w:rsidRPr="00250F66" w:rsidR="003227D8" w:rsidP="003227D8" w:rsidRDefault="003227D8" w14:paraId="576737C8" w14:textId="77777777">
      <w:pPr>
        <w:spacing w:after="0" w:line="276" w:lineRule="auto"/>
        <w:jc w:val="both"/>
        <w:rPr>
          <w:rFonts w:ascii="Arial" w:hAnsi="Arial" w:eastAsia="Cambria" w:cs="Arial"/>
          <w:b/>
          <w:lang w:val="es-ES"/>
        </w:rPr>
      </w:pPr>
    </w:p>
    <w:p w:rsidRPr="00250F66" w:rsidR="003227D8" w:rsidP="003227D8" w:rsidRDefault="003227D8" w14:paraId="2DD3C52E" w14:textId="77777777">
      <w:pPr>
        <w:spacing w:after="0" w:line="276" w:lineRule="auto"/>
        <w:jc w:val="both"/>
        <w:rPr>
          <w:rFonts w:ascii="Arial" w:hAnsi="Arial" w:eastAsia="Cambria" w:cs="Arial"/>
          <w:bCs/>
          <w:sz w:val="24"/>
          <w:lang w:val="es-ES"/>
        </w:rPr>
      </w:pPr>
      <w:r w:rsidRPr="00250F66">
        <w:rPr>
          <w:rFonts w:ascii="Arial" w:hAnsi="Arial" w:eastAsia="Cambria" w:cs="Arial"/>
          <w:bCs/>
          <w:lang w:val="es-ES"/>
        </w:rPr>
        <w:t xml:space="preserve">La Ley 1474 de 2011 enmarcó el seguimiento, control y vigilancia de la ejecución del contrato estatal dentro del principio de moralidad administrativa. El artículo 83 </w:t>
      </w:r>
      <w:r w:rsidRPr="00250F66">
        <w:rPr>
          <w:rFonts w:ascii="Arial" w:hAnsi="Arial" w:eastAsia="Cambria" w:cs="Arial"/>
          <w:bCs/>
          <w:i/>
          <w:iCs/>
          <w:lang w:val="es-ES"/>
        </w:rPr>
        <w:t xml:space="preserve">ibidem </w:t>
      </w:r>
      <w:r w:rsidRPr="00250F66">
        <w:rPr>
          <w:rFonts w:ascii="Arial" w:hAnsi="Arial" w:eastAsia="Cambria" w:cs="Arial"/>
          <w:bCs/>
          <w:lang w:val="es-ES"/>
        </w:rPr>
        <w:t xml:space="preserve">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250F66">
        <w:rPr>
          <w:rFonts w:ascii="Arial" w:hAnsi="Arial" w:eastAsia="Cambria" w:cs="Arial"/>
          <w:bCs/>
          <w:i/>
          <w:iCs/>
          <w:lang w:val="es-ES"/>
        </w:rPr>
        <w:t xml:space="preserve">supervisión en interventoría, </w:t>
      </w:r>
      <w:r w:rsidRPr="00250F66">
        <w:rPr>
          <w:rFonts w:ascii="Arial" w:hAnsi="Arial" w:eastAsia="Cambria" w:cs="Arial"/>
          <w:bCs/>
          <w:lang w:val="es-ES"/>
        </w:rPr>
        <w:t>como mecanismos que pueden usar las Entidades Estatales para vigilar el contrato, en estos términos:</w:t>
      </w:r>
      <w:r w:rsidRPr="00250F66">
        <w:rPr>
          <w:rFonts w:ascii="Arial" w:hAnsi="Arial" w:eastAsia="Cambria" w:cs="Arial"/>
          <w:bCs/>
          <w:sz w:val="24"/>
          <w:lang w:val="es-ES"/>
        </w:rPr>
        <w:t xml:space="preserve"> </w:t>
      </w:r>
    </w:p>
    <w:p w:rsidRPr="00250F66" w:rsidR="003227D8" w:rsidP="003227D8" w:rsidRDefault="003227D8" w14:paraId="3040412A" w14:textId="77777777">
      <w:pPr>
        <w:spacing w:after="0" w:line="276" w:lineRule="auto"/>
        <w:jc w:val="both"/>
        <w:rPr>
          <w:rFonts w:ascii="Arial" w:hAnsi="Arial" w:eastAsia="Cambria" w:cs="Arial"/>
          <w:bCs/>
          <w:sz w:val="24"/>
          <w:lang w:val="es-ES"/>
        </w:rPr>
      </w:pPr>
    </w:p>
    <w:p w:rsidRPr="00250F66" w:rsidR="003227D8" w:rsidP="003227D8" w:rsidRDefault="003227D8" w14:paraId="2C10BEBA" w14:textId="77777777">
      <w:pPr>
        <w:spacing w:after="0" w:line="240" w:lineRule="auto"/>
        <w:ind w:left="709" w:right="709"/>
        <w:jc w:val="both"/>
        <w:rPr>
          <w:rFonts w:ascii="Arial" w:hAnsi="Arial" w:eastAsia="Cambria" w:cs="Arial"/>
          <w:bCs/>
          <w:sz w:val="21"/>
          <w:szCs w:val="21"/>
          <w:lang w:val="es-ES"/>
        </w:rPr>
      </w:pPr>
      <w:r w:rsidRPr="00250F66">
        <w:rPr>
          <w:rFonts w:ascii="Arial" w:hAnsi="Arial" w:eastAsia="Cambria" w:cs="Arial"/>
          <w:bCs/>
          <w:sz w:val="21"/>
          <w:szCs w:val="21"/>
          <w:lang w:val="es-ES"/>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rsidRPr="00250F66" w:rsidR="003227D8" w:rsidP="003227D8" w:rsidRDefault="003227D8" w14:paraId="1971B094" w14:textId="77777777">
      <w:pPr>
        <w:spacing w:before="120" w:after="0" w:line="240" w:lineRule="auto"/>
        <w:ind w:left="709" w:right="709"/>
        <w:jc w:val="both"/>
        <w:rPr>
          <w:rFonts w:ascii="Arial" w:hAnsi="Arial" w:eastAsia="Cambria" w:cs="Arial"/>
          <w:bCs/>
          <w:sz w:val="21"/>
          <w:szCs w:val="21"/>
          <w:lang w:val="es-ES"/>
        </w:rPr>
      </w:pPr>
      <w:r w:rsidRPr="00250F66">
        <w:rPr>
          <w:rFonts w:ascii="Arial" w:hAnsi="Arial" w:eastAsia="Cambria" w:cs="Arial"/>
          <w:bCs/>
          <w:sz w:val="21"/>
          <w:szCs w:val="21"/>
          <w:lang w:val="es-ES"/>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250F66">
        <w:rPr>
          <w:rFonts w:ascii="Arial" w:hAnsi="Arial" w:eastAsia="Cambria" w:cs="Arial"/>
          <w:bCs/>
          <w:sz w:val="21"/>
          <w:szCs w:val="21"/>
          <w:lang w:val="es-ES"/>
        </w:rPr>
        <w:t>del mismo</w:t>
      </w:r>
      <w:proofErr w:type="gramEnd"/>
      <w:r w:rsidRPr="00250F66">
        <w:rPr>
          <w:rFonts w:ascii="Arial" w:hAnsi="Arial" w:eastAsia="Cambria" w:cs="Arial"/>
          <w:bCs/>
          <w:sz w:val="21"/>
          <w:szCs w:val="21"/>
          <w:lang w:val="es-ES"/>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rsidRPr="00250F66" w:rsidR="003227D8" w:rsidP="003227D8" w:rsidRDefault="003227D8" w14:paraId="398FCA6C" w14:textId="77777777">
      <w:pPr>
        <w:spacing w:after="0" w:line="240" w:lineRule="auto"/>
        <w:ind w:left="709" w:right="709"/>
        <w:jc w:val="both"/>
        <w:rPr>
          <w:rFonts w:ascii="Arial" w:hAnsi="Arial" w:eastAsia="Cambria" w:cs="Arial"/>
          <w:bCs/>
          <w:sz w:val="21"/>
          <w:szCs w:val="21"/>
          <w:lang w:val="es-ES"/>
        </w:rPr>
      </w:pPr>
    </w:p>
    <w:p w:rsidRPr="00250F66" w:rsidR="003227D8" w:rsidP="003227D8" w:rsidRDefault="003227D8" w14:paraId="5C5574F6" w14:textId="77777777">
      <w:pPr>
        <w:spacing w:after="0" w:line="276" w:lineRule="auto"/>
        <w:jc w:val="both"/>
        <w:rPr>
          <w:rFonts w:ascii="Arial" w:hAnsi="Arial" w:eastAsia="Calibri" w:cs="Arial"/>
          <w:lang w:val="es-MX"/>
        </w:rPr>
      </w:pPr>
      <w:r w:rsidRPr="00250F66">
        <w:rPr>
          <w:rFonts w:ascii="Arial" w:hAnsi="Arial" w:eastAsia="Cambria" w:cs="Arial"/>
          <w:bCs/>
          <w:lang w:val="es-ES"/>
        </w:rPr>
        <w:tab/>
      </w:r>
      <w:r w:rsidRPr="00250F66">
        <w:rPr>
          <w:rFonts w:ascii="Arial" w:hAnsi="Arial" w:eastAsia="Cambria" w:cs="Arial"/>
          <w:bCs/>
          <w:lang w:val="es-ES"/>
        </w:rPr>
        <w:t xml:space="preserve">De este modo, 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250F66">
        <w:rPr>
          <w:rFonts w:ascii="Arial" w:hAnsi="Arial" w:eastAsia="Cambria" w:cs="Arial"/>
          <w:bCs/>
          <w:lang w:val="es-ES"/>
        </w:rPr>
        <w:t>del mismo</w:t>
      </w:r>
      <w:proofErr w:type="gramEnd"/>
      <w:r w:rsidRPr="00250F66">
        <w:rPr>
          <w:rFonts w:ascii="Arial" w:hAnsi="Arial" w:eastAsia="Cambria" w:cs="Arial"/>
          <w:bCs/>
          <w:lang w:val="es-ES"/>
        </w:rPr>
        <w:t xml:space="preserve"> lo justifique” –art, 83, Ley 1474 de 2011–. </w:t>
      </w:r>
      <w:proofErr w:type="spellStart"/>
      <w:r w:rsidRPr="00250F66">
        <w:rPr>
          <w:rFonts w:ascii="Arial" w:hAnsi="Arial" w:eastAsia="Cambria" w:cs="Arial"/>
          <w:bCs/>
          <w:lang w:val="es-ES"/>
        </w:rPr>
        <w:t>ii</w:t>
      </w:r>
      <w:proofErr w:type="spellEnd"/>
      <w:r w:rsidRPr="00250F66">
        <w:rPr>
          <w:rFonts w:ascii="Arial" w:hAnsi="Arial" w:eastAsia="Cambria" w:cs="Arial"/>
          <w:bCs/>
          <w:lang w:val="es-ES"/>
        </w:rPr>
        <w:t xml:space="preserve">) Es un mecanismo de vigilancia que exige, en su ejecución, la utilización de conocimientos especializados. </w:t>
      </w:r>
      <w:proofErr w:type="spellStart"/>
      <w:r w:rsidRPr="00250F66">
        <w:rPr>
          <w:rFonts w:ascii="Arial" w:hAnsi="Arial" w:eastAsia="Cambria" w:cs="Arial"/>
          <w:bCs/>
          <w:lang w:val="es-ES"/>
        </w:rPr>
        <w:t>iii</w:t>
      </w:r>
      <w:proofErr w:type="spellEnd"/>
      <w:r w:rsidRPr="00250F66">
        <w:rPr>
          <w:rFonts w:ascii="Arial" w:hAnsi="Arial" w:eastAsia="Cambria" w:cs="Arial"/>
          <w:bCs/>
          <w:lang w:val="es-ES"/>
        </w:rPr>
        <w:t xml:space="preserve">) Por lo anterior, la entidad contrata un experto, por regla general, mediante la modalidad de selección de concurso de méritos, al tratarse la interventoría de una especia del contrato de consultoría – art. 32, numeral 2, </w:t>
      </w:r>
      <w:r w:rsidRPr="00250F66">
        <w:rPr>
          <w:rFonts w:ascii="Arial" w:hAnsi="Arial" w:eastAsia="Cambria" w:cs="Arial"/>
          <w:bCs/>
          <w:lang w:val="es-ES"/>
        </w:rPr>
        <w:t>inciso 2, Ley 80 de 1993</w:t>
      </w:r>
      <w:r w:rsidRPr="00250F66">
        <w:rPr>
          <w:rFonts w:ascii="Arial" w:hAnsi="Arial" w:eastAsia="Calibri" w:cs="Arial"/>
          <w:vertAlign w:val="superscript"/>
          <w:lang w:val="es-MX"/>
        </w:rPr>
        <w:footnoteReference w:id="2"/>
      </w:r>
      <w:r w:rsidRPr="00250F66">
        <w:rPr>
          <w:rFonts w:ascii="Arial" w:hAnsi="Arial" w:eastAsia="Calibri" w:cs="Arial"/>
          <w:lang w:val="es-MX"/>
        </w:rPr>
        <w:t xml:space="preserve">‒, de manera que la interventoría es realizada por “una persona natural o jurídica contratada para tal fin por la Entidad Estatal” –art. 83, Ley 1474–. </w:t>
      </w:r>
      <w:proofErr w:type="spellStart"/>
      <w:r w:rsidRPr="00250F66">
        <w:rPr>
          <w:rFonts w:ascii="Arial" w:hAnsi="Arial" w:eastAsia="Calibri" w:cs="Arial"/>
          <w:lang w:val="es-MX"/>
        </w:rPr>
        <w:t>iv</w:t>
      </w:r>
      <w:proofErr w:type="spellEnd"/>
      <w:r w:rsidRPr="00250F66">
        <w:rPr>
          <w:rFonts w:ascii="Arial" w:hAnsi="Arial" w:eastAsia="Calibri" w:cs="Arial"/>
          <w:lang w:val="es-MX"/>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23, inciso 4–.</w:t>
      </w:r>
    </w:p>
    <w:p w:rsidRPr="00250F66" w:rsidR="003227D8" w:rsidP="003227D8" w:rsidRDefault="003227D8" w14:paraId="5574F881" w14:textId="77777777">
      <w:pPr>
        <w:spacing w:before="120" w:after="0" w:line="276" w:lineRule="auto"/>
        <w:jc w:val="both"/>
        <w:rPr>
          <w:rFonts w:ascii="Arial" w:hAnsi="Arial" w:eastAsia="Calibri" w:cs="Arial"/>
          <w:lang w:val="es-MX"/>
        </w:rPr>
      </w:pPr>
      <w:r w:rsidRPr="00250F66">
        <w:rPr>
          <w:rFonts w:ascii="Arial" w:hAnsi="Arial" w:eastAsia="Calibri" w:cs="Arial"/>
          <w:lang w:val="es-MX"/>
        </w:rPr>
        <w:tab/>
      </w:r>
      <w:r w:rsidRPr="00250F66">
        <w:rPr>
          <w:rFonts w:ascii="Arial" w:hAnsi="Arial" w:eastAsia="Calibri" w:cs="Arial"/>
          <w:lang w:val="es-MX"/>
        </w:rPr>
        <w:t xml:space="preserve">De lo anterior, se colige que el interventor es un contratista externo a la Entidad Estatal y al contratista vigilado, de manera que es seleccionado por la entidad mediante los procedimientos del artículo 2 de la Ley 1150 de 2007, en principio, a través de concurso de 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p>
    <w:p w:rsidRPr="00250F66" w:rsidR="003227D8" w:rsidP="003227D8" w:rsidRDefault="003227D8" w14:paraId="036E3F5D" w14:textId="77777777">
      <w:pPr>
        <w:spacing w:before="120" w:after="0" w:line="276" w:lineRule="auto"/>
        <w:jc w:val="both"/>
        <w:rPr>
          <w:rFonts w:ascii="Arial" w:hAnsi="Arial" w:eastAsia="Calibri" w:cs="Arial"/>
          <w:lang w:val="es-MX"/>
        </w:rPr>
      </w:pPr>
      <w:r w:rsidRPr="00250F66">
        <w:rPr>
          <w:rFonts w:ascii="Arial" w:hAnsi="Arial" w:eastAsia="Calibri" w:cs="Arial"/>
          <w:lang w:val="es-MX"/>
        </w:rPr>
        <w:tab/>
      </w:r>
      <w:r w:rsidRPr="00250F66">
        <w:rPr>
          <w:rFonts w:ascii="Arial" w:hAnsi="Arial" w:eastAsia="Calibri" w:cs="Arial"/>
          <w:lang w:val="es-MX"/>
        </w:rPr>
        <w:t xml:space="preserve">En ese orden, el interventor contratado tiene facultades previstas en el artículo 84 de la Ley 1474 de 2011 para hacer el seguimiento frente al cumplimiento obligacional del contrato vigilado y está sometido a los deberes y responsabilidades que implica el ejercicio de dicha actividad. De esta forma, aun cuando el contrato de interventoría se celebra con un tercero a quién se le confía la labor de vigilar la ejecución idónea de otro contrato, aquel actúa con facultades similares a las que tiene la Entidad Estatal cuando ejerce la supervisión por su propia cuenta, sin que ello implique reemplazar al ente como parte del contrato. Esto, en la medida de que ambos son mecanismos mediante los cuales las entidades cumplen el deber de vigilar la correcta ejecución de los contratos, por lo que comparten una finalidad común. </w:t>
      </w:r>
    </w:p>
    <w:p w:rsidRPr="00250F66" w:rsidR="003227D8" w:rsidP="003227D8" w:rsidRDefault="003227D8" w14:paraId="378185BD" w14:textId="77777777">
      <w:pPr>
        <w:spacing w:before="120" w:after="0" w:line="276" w:lineRule="auto"/>
        <w:ind w:firstLine="709"/>
        <w:jc w:val="both"/>
        <w:rPr>
          <w:rFonts w:ascii="Arial" w:hAnsi="Arial" w:eastAsia="Calibri" w:cs="Arial"/>
          <w:lang w:val="es-ES"/>
        </w:rPr>
      </w:pPr>
      <w:r w:rsidRPr="00250F66">
        <w:rPr>
          <w:rFonts w:ascii="Arial" w:hAnsi="Arial" w:eastAsia="Calibri" w:cs="Arial"/>
          <w:lang w:val="es-MX"/>
        </w:rPr>
        <w:t xml:space="preserve">En conclusión, el papel que cumple el interventor, no es el de reemplazar a una de las partes dentro de la relación contractual, pero tiene el deber de hacer un control y seguimiento al contrato principal vigilado, en el marco de las actividades y obligaciones que se deriven directamente de la ley. </w:t>
      </w:r>
      <w:r w:rsidRPr="00250F66">
        <w:rPr>
          <w:rFonts w:ascii="Arial" w:hAnsi="Arial" w:eastAsia="Calibri" w:cs="Arial"/>
          <w:lang w:val="es-ES"/>
        </w:rPr>
        <w:t xml:space="preserve">En esta línea, al interventor le corresponde vigilar que el contrato sobre el cual ejerce su labor, se desarrolle de acuerdo con lo pactado en las condiciones técnicas que más se adecuen a su desarrollo, teniendo en cuenta sus conocimientos especializados. De este modo, el interventor tiene la posibilidad de exigir al </w:t>
      </w:r>
      <w:r w:rsidRPr="00250F66">
        <w:rPr>
          <w:rFonts w:ascii="Arial" w:hAnsi="Arial" w:eastAsia="Calibri" w:cs="Arial"/>
          <w:lang w:val="es-ES"/>
        </w:rPr>
        <w:t>contratista la información que estime necesaria para determinar el cumplimiento de las obligaciones; realizar revisiones periódicas de las obras ejecutadas, la verificación de la calidad de los bienes y servicios suministrados, entre otras actuaciones, cuya finalidad es el cumplimiento del contrato principal. Sin embargo, el interventor no se compromete a cumplir las obligaciones del contrato principal, sino a vigilar su adecuada ejecución, de manera que ante posibles incumplimientos del contrato vigilado debe analizarse si el interventor incumplió o no las obligaciones de su contrato de interventoría, incluyendo las obligaciones impuestas por ministerio de la ley</w:t>
      </w:r>
      <w:r w:rsidRPr="00250F66">
        <w:rPr>
          <w:rFonts w:ascii="Arial" w:hAnsi="Arial" w:eastAsia="Calibri" w:cs="Arial"/>
          <w:vertAlign w:val="superscript"/>
          <w:lang w:val="es-ES"/>
        </w:rPr>
        <w:footnoteReference w:id="3"/>
      </w:r>
      <w:r w:rsidRPr="00250F66">
        <w:rPr>
          <w:rFonts w:ascii="Arial" w:hAnsi="Arial" w:eastAsia="Calibri" w:cs="Arial"/>
          <w:lang w:val="es-ES"/>
        </w:rPr>
        <w:t>.</w:t>
      </w:r>
    </w:p>
    <w:p w:rsidRPr="00250F66" w:rsidR="003227D8" w:rsidP="003227D8" w:rsidRDefault="003227D8" w14:paraId="7EF46AEA" w14:textId="77777777">
      <w:pPr>
        <w:spacing w:after="0" w:line="276" w:lineRule="auto"/>
        <w:jc w:val="both"/>
        <w:rPr>
          <w:rFonts w:ascii="Arial" w:hAnsi="Arial" w:eastAsia="Cambria" w:cs="Arial"/>
          <w:b/>
          <w:szCs w:val="20"/>
          <w:lang w:val="es-ES"/>
        </w:rPr>
      </w:pPr>
    </w:p>
    <w:p w:rsidRPr="00250F66" w:rsidR="003227D8" w:rsidP="003227D8" w:rsidRDefault="003227D8" w14:paraId="01B68940" w14:textId="77777777">
      <w:pPr>
        <w:spacing w:after="0" w:line="276" w:lineRule="auto"/>
        <w:jc w:val="both"/>
        <w:rPr>
          <w:rFonts w:ascii="Arial" w:hAnsi="Arial" w:eastAsia="Cambria" w:cs="Arial"/>
          <w:b/>
          <w:szCs w:val="20"/>
          <w:lang w:val="es-ES"/>
        </w:rPr>
      </w:pPr>
      <w:r w:rsidRPr="00250F66">
        <w:rPr>
          <w:rFonts w:ascii="Arial" w:hAnsi="Arial" w:eastAsia="Cambria" w:cs="Arial"/>
          <w:b/>
          <w:szCs w:val="20"/>
          <w:lang w:val="es-ES"/>
        </w:rPr>
        <w:t>2.2. Conflictos de interés en la contratación estatal. Causal dispuesta en los Documentos Tipo de interventoría de obra pública de infraestructura de transporte</w:t>
      </w:r>
    </w:p>
    <w:p w:rsidRPr="00250F66" w:rsidR="003227D8" w:rsidP="003227D8" w:rsidRDefault="003227D8" w14:paraId="52BC01A3" w14:textId="77777777">
      <w:pPr>
        <w:spacing w:after="0" w:line="276" w:lineRule="auto"/>
        <w:jc w:val="both"/>
        <w:rPr>
          <w:rFonts w:ascii="Arial" w:hAnsi="Arial" w:eastAsia="Cambria" w:cs="Arial"/>
          <w:bCs/>
          <w:szCs w:val="20"/>
          <w:lang w:val="es-ES"/>
        </w:rPr>
      </w:pPr>
    </w:p>
    <w:p w:rsidRPr="00250F66" w:rsidR="003227D8" w:rsidP="003227D8" w:rsidRDefault="003227D8" w14:paraId="1197BC90" w14:textId="77777777">
      <w:pPr>
        <w:spacing w:after="0" w:line="276" w:lineRule="auto"/>
        <w:jc w:val="both"/>
        <w:rPr>
          <w:rFonts w:ascii="Arial" w:hAnsi="Arial" w:eastAsia="Calibri" w:cs="Arial"/>
          <w:color w:val="000000" w:themeColor="text1"/>
          <w:lang w:val="es-ES_tradnl"/>
        </w:rPr>
      </w:pPr>
      <w:r w:rsidRPr="00250F66">
        <w:rPr>
          <w:rFonts w:ascii="Arial" w:hAnsi="Arial" w:eastAsia="Cambria" w:cs="Arial"/>
          <w:bCs/>
          <w:szCs w:val="20"/>
          <w:lang w:val="es-ES"/>
        </w:rPr>
        <w:t>Esta Agencia ha realizado algunos pronunciamientos sobre el régimen de los conflictos de interés en la contratación estatal, consideraciones que se retomarán y complementarán en lo pertinente</w:t>
      </w:r>
      <w:r w:rsidRPr="00250F66">
        <w:rPr>
          <w:rFonts w:ascii="Arial" w:hAnsi="Arial" w:eastAsia="Calibri" w:cs="Arial"/>
          <w:color w:val="000000" w:themeColor="text1"/>
          <w:vertAlign w:val="superscript"/>
          <w:lang w:val="es-ES_tradnl"/>
        </w:rPr>
        <w:footnoteReference w:id="4"/>
      </w:r>
      <w:r w:rsidRPr="00250F66">
        <w:rPr>
          <w:rFonts w:ascii="Arial" w:hAnsi="Arial" w:eastAsia="Calibri" w:cs="Arial"/>
          <w:color w:val="000000" w:themeColor="text1"/>
          <w:lang w:val="es-ES_tradnl"/>
        </w:rPr>
        <w:t xml:space="preserv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el régimen de los </w:t>
      </w:r>
      <w:r w:rsidRPr="00250F66">
        <w:rPr>
          <w:rFonts w:ascii="Arial" w:hAnsi="Arial" w:eastAsia="Calibri" w:cs="Arial"/>
          <w:i/>
          <w:iCs/>
          <w:color w:val="000000" w:themeColor="text1"/>
          <w:lang w:val="es-ES_tradnl"/>
        </w:rPr>
        <w:t xml:space="preserve">conflictos de interés </w:t>
      </w:r>
      <w:r w:rsidRPr="00250F66">
        <w:rPr>
          <w:rFonts w:ascii="Arial" w:hAnsi="Arial" w:eastAsia="Calibri" w:cs="Arial"/>
          <w:color w:val="000000" w:themeColor="text1"/>
          <w:lang w:val="es-ES_tradnl"/>
        </w:rPr>
        <w:t>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ocurrencia de intereses antagónicos que afectan la transparencia de las decisiones, al implicar –en detrimento del interés general– el aprovechamiento personal, familiar o particular</w:t>
      </w:r>
      <w:r w:rsidRPr="00250F66">
        <w:rPr>
          <w:rFonts w:ascii="Arial" w:hAnsi="Arial" w:eastAsia="Calibri" w:cs="Arial"/>
          <w:color w:val="000000" w:themeColor="text1"/>
          <w:vertAlign w:val="superscript"/>
          <w:lang w:val="es-ES_tradnl"/>
        </w:rPr>
        <w:footnoteReference w:id="5"/>
      </w:r>
      <w:r w:rsidRPr="00250F66">
        <w:rPr>
          <w:rFonts w:ascii="Arial" w:hAnsi="Arial" w:eastAsia="Calibri" w:cs="Arial"/>
          <w:color w:val="000000" w:themeColor="text1"/>
          <w:lang w:val="es-ES_tradnl"/>
        </w:rPr>
        <w:t>.</w:t>
      </w:r>
    </w:p>
    <w:p w:rsidRPr="00250F66" w:rsidR="003227D8" w:rsidP="003227D8" w:rsidRDefault="003227D8" w14:paraId="05298B7A" w14:textId="77777777">
      <w:pPr>
        <w:spacing w:before="120" w:after="0" w:line="276" w:lineRule="auto"/>
        <w:ind w:firstLine="708"/>
        <w:jc w:val="both"/>
        <w:rPr>
          <w:rFonts w:ascii="Arial" w:hAnsi="Arial" w:eastAsia="Cambria" w:cs="Arial"/>
          <w:bCs/>
          <w:szCs w:val="20"/>
          <w:lang w:val="es-ES"/>
        </w:rPr>
      </w:pPr>
      <w:r w:rsidRPr="00250F66">
        <w:rPr>
          <w:rFonts w:ascii="Arial" w:hAnsi="Arial" w:eastAsia="Cambria" w:cs="Arial"/>
          <w:bCs/>
          <w:szCs w:val="20"/>
          <w:lang w:val="es-ES"/>
        </w:rPr>
        <w:t xml:space="preserve">La institución jurídica de los conflictos de interés no está definida con carácter general en el ordenamiento jurídico y tampoco de forma precisa en las normas que regulan la contratación estatal, por lo que es un asunto ausente en el EGCAP. Sin embargo, existen disposiciones especiales como el régimen de los congresistas, de los concejales o el régimen disciplinario de los servidores públicos, donde se define causales de conflictos de interés. En todo caso, la satisfacción del principio de moralidad y el deber de probidad también se exige a los contratistas. </w:t>
      </w:r>
    </w:p>
    <w:p w:rsidRPr="00250F66" w:rsidR="003227D8" w:rsidP="003227D8" w:rsidRDefault="003227D8" w14:paraId="25D86C69" w14:textId="77777777">
      <w:pPr>
        <w:spacing w:before="120" w:after="0" w:line="276" w:lineRule="auto"/>
        <w:ind w:firstLine="708"/>
        <w:jc w:val="both"/>
        <w:rPr>
          <w:rFonts w:ascii="Arial" w:hAnsi="Arial" w:eastAsia="Cambria" w:cs="Arial"/>
          <w:bCs/>
          <w:szCs w:val="20"/>
          <w:lang w:val="es-ES"/>
        </w:rPr>
      </w:pPr>
      <w:r w:rsidRPr="00250F66">
        <w:rPr>
          <w:rFonts w:ascii="Arial" w:hAnsi="Arial" w:eastAsia="Cambria" w:cs="Arial"/>
          <w:bCs/>
          <w:szCs w:val="20"/>
          <w:lang w:val="es-ES"/>
        </w:rPr>
        <w:t>Sobe el particular,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De ahí que, el numeral 2 del artículo 5 del EGCAP dispone que estos obrarán con lealtad y buena fe en las distintas etapas contractuales.</w:t>
      </w:r>
    </w:p>
    <w:p w:rsidRPr="00250F66" w:rsidR="003227D8" w:rsidP="003227D8" w:rsidRDefault="003227D8" w14:paraId="7AC3CE9C" w14:textId="77777777">
      <w:pPr>
        <w:spacing w:before="120" w:after="0" w:line="276" w:lineRule="auto"/>
        <w:jc w:val="both"/>
        <w:rPr>
          <w:rFonts w:ascii="Arial" w:hAnsi="Arial" w:eastAsia="Cambria" w:cs="Arial"/>
          <w:bCs/>
          <w:szCs w:val="20"/>
          <w:lang w:val="es-ES"/>
        </w:rPr>
      </w:pPr>
      <w:r w:rsidRPr="00250F66">
        <w:rPr>
          <w:rFonts w:ascii="Arial" w:hAnsi="Arial" w:eastAsia="Cambria" w:cs="Arial"/>
          <w:bCs/>
          <w:szCs w:val="20"/>
          <w:lang w:val="es-ES"/>
        </w:rPr>
        <w:tab/>
      </w:r>
      <w:r w:rsidRPr="00250F66">
        <w:rPr>
          <w:rFonts w:ascii="Arial" w:hAnsi="Arial" w:eastAsia="Cambria" w:cs="Arial"/>
          <w:bCs/>
          <w:szCs w:val="20"/>
          <w:lang w:val="es-ES"/>
        </w:rPr>
        <w:t xml:space="preserve">En ese orden y teniendo en cuenta el objeto bajo consulta, es importante señalar que en el caso de los Documentos Tipo de interventoría de obra pública de infraestructura de transporte adoptados por esta Agencia mediante la Resolución 256 del 11 de diciembre de 2020, y actualizados a través de la Resolución 326 del 22 de julio 2022, se estableció en el numeral 1.14 del “Documento Base” como conflicto de interés, lo siguiente: </w:t>
      </w:r>
    </w:p>
    <w:p w:rsidRPr="00250F66" w:rsidR="003227D8" w:rsidP="003227D8" w:rsidRDefault="003227D8" w14:paraId="44DA280A" w14:textId="77777777">
      <w:pPr>
        <w:spacing w:after="0" w:line="276" w:lineRule="auto"/>
        <w:jc w:val="both"/>
        <w:rPr>
          <w:rFonts w:ascii="Arial" w:hAnsi="Arial" w:eastAsia="Cambria" w:cs="Arial"/>
          <w:bCs/>
          <w:szCs w:val="20"/>
          <w:lang w:val="es-ES"/>
        </w:rPr>
      </w:pPr>
    </w:p>
    <w:p w:rsidRPr="00250F66" w:rsidR="003227D8" w:rsidP="003227D8" w:rsidRDefault="003227D8" w14:paraId="003EDABC" w14:textId="77777777">
      <w:pPr>
        <w:spacing w:after="0" w:line="240" w:lineRule="auto"/>
        <w:ind w:left="709" w:right="709"/>
        <w:jc w:val="both"/>
        <w:rPr>
          <w:rFonts w:ascii="Arial" w:hAnsi="Arial" w:eastAsia="Cambria" w:cs="Arial"/>
          <w:bCs/>
          <w:sz w:val="21"/>
          <w:szCs w:val="21"/>
          <w:lang w:val="es-ES"/>
        </w:rPr>
      </w:pPr>
      <w:r w:rsidRPr="00250F66">
        <w:rPr>
          <w:rFonts w:ascii="Arial" w:hAnsi="Arial" w:eastAsia="Cambria" w:cs="Arial"/>
          <w:bCs/>
          <w:sz w:val="21"/>
          <w:szCs w:val="21"/>
          <w:lang w:val="es-ES"/>
        </w:rPr>
        <w:t>“No podrán participar en el Proceso de Contratación y por tanto no serán objeto de evaluación ni ser adjudicatarios del contrato, quienes bajo cualquier circunstancia se encuentren en situaciones de Conflicto de Interés que afecten o pongan en riego los principios de la Contratación Pública, de acuerdo con las causales o circunstancias previstas en la Constitución o en la ley.</w:t>
      </w:r>
    </w:p>
    <w:p w:rsidRPr="00250F66" w:rsidR="003227D8" w:rsidP="003227D8" w:rsidRDefault="003227D8" w14:paraId="0659FC46" w14:textId="77777777">
      <w:pPr>
        <w:spacing w:before="120" w:after="0" w:line="240" w:lineRule="auto"/>
        <w:ind w:left="709" w:right="709"/>
        <w:jc w:val="both"/>
        <w:rPr>
          <w:rFonts w:ascii="Arial" w:hAnsi="Arial" w:eastAsia="Cambria" w:cs="Arial"/>
          <w:bCs/>
          <w:sz w:val="21"/>
          <w:szCs w:val="21"/>
          <w:lang w:val="es-ES"/>
        </w:rPr>
      </w:pPr>
      <w:r w:rsidRPr="00250F66">
        <w:rPr>
          <w:rFonts w:ascii="Arial" w:hAnsi="Arial" w:eastAsia="Cambria" w:cs="Arial"/>
          <w:bCs/>
          <w:i/>
          <w:iCs/>
          <w:sz w:val="21"/>
          <w:szCs w:val="21"/>
          <w:u w:val="single"/>
          <w:lang w:val="es-ES"/>
        </w:rPr>
        <w:t>Tampoco podrán participar quienes hayan realizado los estudios y diseños de la obra cuya interventoría se va a contratar</w:t>
      </w:r>
      <w:r w:rsidRPr="00250F66">
        <w:rPr>
          <w:rFonts w:ascii="Arial" w:hAnsi="Arial" w:eastAsia="Cambria" w:cs="Arial"/>
          <w:bCs/>
          <w:i/>
          <w:iCs/>
          <w:sz w:val="21"/>
          <w:szCs w:val="21"/>
          <w:lang w:val="es-ES"/>
        </w:rPr>
        <w:t xml:space="preserve">”. </w:t>
      </w:r>
      <w:r w:rsidRPr="00250F66">
        <w:rPr>
          <w:rFonts w:ascii="Arial" w:hAnsi="Arial" w:eastAsia="Cambria" w:cs="Arial"/>
          <w:bCs/>
          <w:sz w:val="21"/>
          <w:szCs w:val="21"/>
          <w:lang w:val="es-ES"/>
        </w:rPr>
        <w:t>[Énfasis fuera de texto]</w:t>
      </w:r>
    </w:p>
    <w:p w:rsidRPr="00250F66" w:rsidR="003227D8" w:rsidP="003227D8" w:rsidRDefault="003227D8" w14:paraId="452FAFB8" w14:textId="77777777">
      <w:pPr>
        <w:spacing w:after="0" w:line="276" w:lineRule="auto"/>
        <w:jc w:val="both"/>
        <w:rPr>
          <w:rFonts w:ascii="Arial" w:hAnsi="Arial" w:eastAsia="Cambria" w:cs="Arial"/>
          <w:bCs/>
          <w:szCs w:val="20"/>
          <w:lang w:val="es-ES"/>
        </w:rPr>
      </w:pPr>
    </w:p>
    <w:p w:rsidRPr="00250F66" w:rsidR="003227D8" w:rsidP="003227D8" w:rsidRDefault="003227D8" w14:paraId="51750716" w14:textId="77777777">
      <w:pPr>
        <w:spacing w:after="0" w:line="276" w:lineRule="auto"/>
        <w:jc w:val="both"/>
        <w:rPr>
          <w:rFonts w:ascii="Arial" w:hAnsi="Arial" w:eastAsia="Times New Roman" w:cs="Arial"/>
          <w:iCs/>
          <w:szCs w:val="24"/>
          <w:lang w:val="es-ES_tradnl" w:eastAsia="es-ES_tradnl"/>
        </w:rPr>
      </w:pPr>
      <w:r w:rsidRPr="00250F66">
        <w:rPr>
          <w:rFonts w:ascii="Arial" w:hAnsi="Arial" w:eastAsia="Times New Roman" w:cs="Arial"/>
          <w:iCs/>
          <w:szCs w:val="24"/>
          <w:lang w:val="es-ES_tradnl" w:eastAsia="es-ES_tradnl"/>
        </w:rPr>
        <w:tab/>
      </w:r>
      <w:r w:rsidRPr="00250F66">
        <w:rPr>
          <w:rFonts w:ascii="Arial" w:hAnsi="Arial" w:eastAsia="Times New Roman" w:cs="Arial"/>
          <w:iCs/>
          <w:szCs w:val="24"/>
          <w:lang w:val="es-ES_tradnl" w:eastAsia="es-ES_tradnl"/>
        </w:rPr>
        <w:t>De esta forma, las referidas causales regirán para aquellos procesos de selección de interventores que se adelanten en aplicación de los Documentos Tipo de interventoría de obra pública de infraestructura de transporte y restringirán así, la participación de aquellos que tengan una situación que se adecúe en cualquiera de estas.</w:t>
      </w:r>
    </w:p>
    <w:p w:rsidRPr="00250F66" w:rsidR="003227D8" w:rsidP="003227D8" w:rsidRDefault="003227D8" w14:paraId="119DB781" w14:textId="77777777">
      <w:pPr>
        <w:spacing w:after="0" w:line="276" w:lineRule="auto"/>
        <w:jc w:val="both"/>
        <w:rPr>
          <w:rFonts w:ascii="Arial" w:hAnsi="Arial" w:eastAsia="Cambria" w:cs="Arial"/>
          <w:b/>
          <w:szCs w:val="20"/>
          <w:lang w:val="es-ES"/>
        </w:rPr>
      </w:pPr>
    </w:p>
    <w:p w:rsidRPr="00250F66" w:rsidR="003227D8" w:rsidP="003227D8" w:rsidRDefault="003227D8" w14:paraId="6A95818A" w14:textId="77777777">
      <w:pPr>
        <w:spacing w:after="0" w:line="276" w:lineRule="auto"/>
        <w:jc w:val="both"/>
        <w:rPr>
          <w:rFonts w:ascii="Arial" w:hAnsi="Arial" w:eastAsia="Cambria" w:cs="Arial"/>
          <w:b/>
          <w:szCs w:val="20"/>
          <w:lang w:val="es-ES"/>
        </w:rPr>
      </w:pPr>
      <w:r w:rsidRPr="00250F66">
        <w:rPr>
          <w:rFonts w:ascii="Arial" w:hAnsi="Arial" w:eastAsia="Cambria" w:cs="Arial"/>
          <w:b/>
          <w:szCs w:val="20"/>
          <w:lang w:val="es-ES"/>
        </w:rPr>
        <w:t>2.3. Régimen de inhabilidades e incompatibilidades para contratar con el Estado. Reiteración de línea</w:t>
      </w:r>
    </w:p>
    <w:p w:rsidRPr="00250F66" w:rsidR="003227D8" w:rsidP="003227D8" w:rsidRDefault="003227D8" w14:paraId="04977563" w14:textId="77777777">
      <w:pPr>
        <w:spacing w:after="0" w:line="276" w:lineRule="auto"/>
        <w:jc w:val="both"/>
        <w:rPr>
          <w:rFonts w:ascii="Arial" w:hAnsi="Arial" w:eastAsia="Cambria" w:cs="Arial"/>
          <w:bCs/>
          <w:szCs w:val="20"/>
          <w:lang w:val="es-ES"/>
        </w:rPr>
      </w:pPr>
    </w:p>
    <w:p w:rsidRPr="00250F66" w:rsidR="003227D8" w:rsidP="003227D8" w:rsidRDefault="003227D8" w14:paraId="417EF9CF" w14:textId="77777777">
      <w:pPr>
        <w:spacing w:after="0" w:line="276" w:lineRule="auto"/>
        <w:jc w:val="both"/>
        <w:rPr>
          <w:rFonts w:ascii="Arial" w:hAnsi="Arial" w:eastAsia="Cambria" w:cs="Arial"/>
          <w:bCs/>
          <w:szCs w:val="20"/>
          <w:lang w:val="es-ES"/>
        </w:rPr>
      </w:pPr>
      <w:r w:rsidRPr="00250F66">
        <w:rPr>
          <w:rFonts w:ascii="Arial" w:hAnsi="Arial" w:eastAsia="Cambria" w:cs="Arial"/>
          <w:bCs/>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w:t>
      </w:r>
      <w:r w:rsidRPr="00250F66">
        <w:rPr>
          <w:rFonts w:ascii="Arial" w:hAnsi="Arial" w:eastAsia="Cambria" w:cs="Arial"/>
          <w:bCs/>
          <w:szCs w:val="20"/>
          <w:lang w:val="es-ES"/>
        </w:rPr>
        <w:t>probidad, transparencia y moralidad de la función pública, garantizando el interés general. Así pues,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representar una limitación a la capacidad para contratar con las entidades del Estado y obedecen a la falta de aptitud o la carencia de una cualidad, calidad o requisito en el sujeto incapacitado quien por esta razón no podrá hacer parte de una relación contractual”</w:t>
      </w:r>
      <w:r w:rsidRPr="00250F66">
        <w:rPr>
          <w:rFonts w:ascii="Arial" w:hAnsi="Arial" w:cs="Arial"/>
          <w:vertAlign w:val="superscript"/>
        </w:rPr>
        <w:footnoteReference w:id="6"/>
      </w:r>
      <w:r w:rsidRPr="00250F66">
        <w:rPr>
          <w:rFonts w:ascii="Arial" w:hAnsi="Arial" w:cs="Arial"/>
        </w:rPr>
        <w:t>.</w:t>
      </w:r>
    </w:p>
    <w:p w:rsidRPr="00250F66" w:rsidR="003227D8" w:rsidP="003227D8" w:rsidRDefault="003227D8" w14:paraId="3F423F6F" w14:textId="77777777">
      <w:pPr>
        <w:spacing w:before="120" w:after="0" w:line="276" w:lineRule="auto"/>
        <w:ind w:firstLine="709"/>
        <w:jc w:val="both"/>
        <w:rPr>
          <w:rFonts w:ascii="Arial" w:hAnsi="Arial" w:cs="Arial"/>
          <w:lang w:val="es-MX"/>
        </w:rPr>
      </w:pPr>
      <w:r w:rsidRPr="00250F66">
        <w:rPr>
          <w:rFonts w:ascii="Arial" w:hAnsi="Arial" w:cs="Arial"/>
          <w:lang w:val="es-MX"/>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rsidRPr="00250F66" w:rsidR="003227D8" w:rsidP="003227D8" w:rsidRDefault="003227D8" w14:paraId="6B8858DE" w14:textId="77777777">
      <w:pPr>
        <w:spacing w:after="0" w:line="276" w:lineRule="auto"/>
        <w:jc w:val="both"/>
        <w:rPr>
          <w:rFonts w:ascii="Arial" w:hAnsi="Arial" w:cs="Arial"/>
          <w:lang w:val="es-MX"/>
        </w:rPr>
      </w:pPr>
    </w:p>
    <w:p w:rsidRPr="00250F66" w:rsidR="003227D8" w:rsidP="003227D8" w:rsidRDefault="003227D8" w14:paraId="68C62ACA" w14:textId="77777777">
      <w:pPr>
        <w:shd w:val="clear" w:color="auto" w:fill="FFFFFF"/>
        <w:spacing w:after="120" w:line="240" w:lineRule="auto"/>
        <w:ind w:left="709" w:right="709"/>
        <w:jc w:val="both"/>
        <w:rPr>
          <w:rFonts w:ascii="Arial" w:hAnsi="Arial" w:cs="Arial"/>
          <w:sz w:val="21"/>
          <w:szCs w:val="21"/>
          <w:lang w:val="es-ES"/>
        </w:rPr>
      </w:pPr>
      <w:r w:rsidRPr="00250F66">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rsidRPr="00250F66" w:rsidR="003227D8" w:rsidP="003227D8" w:rsidRDefault="003227D8" w14:paraId="15648830" w14:textId="77777777">
      <w:pPr>
        <w:shd w:val="clear" w:color="auto" w:fill="FFFFFF"/>
        <w:spacing w:after="0" w:line="240" w:lineRule="auto"/>
        <w:ind w:left="709" w:right="709"/>
        <w:jc w:val="both"/>
        <w:rPr>
          <w:rFonts w:ascii="Arial" w:hAnsi="Arial" w:cs="Arial"/>
          <w:sz w:val="21"/>
          <w:szCs w:val="21"/>
          <w:lang w:val="es-ES"/>
        </w:rPr>
      </w:pPr>
      <w:r w:rsidRPr="00250F66">
        <w:rPr>
          <w:rFonts w:ascii="Arial" w:hAnsi="Arial"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250F66">
        <w:rPr>
          <w:rFonts w:ascii="Arial" w:hAnsi="Arial" w:cs="Arial"/>
          <w:sz w:val="21"/>
          <w:szCs w:val="21"/>
          <w:vertAlign w:val="superscript"/>
          <w:lang w:val="es-ES"/>
        </w:rPr>
        <w:footnoteReference w:id="7"/>
      </w:r>
      <w:r w:rsidRPr="00250F66">
        <w:rPr>
          <w:rFonts w:ascii="Arial" w:hAnsi="Arial" w:cs="Arial"/>
          <w:sz w:val="21"/>
          <w:szCs w:val="21"/>
          <w:lang w:val="es-ES"/>
        </w:rPr>
        <w:t>.</w:t>
      </w:r>
    </w:p>
    <w:p w:rsidRPr="00250F66" w:rsidR="003227D8" w:rsidP="003227D8" w:rsidRDefault="003227D8" w14:paraId="4CC95621" w14:textId="77777777">
      <w:pPr>
        <w:shd w:val="clear" w:color="auto" w:fill="FFFFFF"/>
        <w:spacing w:after="0" w:line="276" w:lineRule="auto"/>
        <w:ind w:left="709" w:right="709"/>
        <w:jc w:val="both"/>
        <w:rPr>
          <w:rFonts w:ascii="Arial" w:hAnsi="Arial" w:cs="Arial"/>
          <w:lang w:val="es-ES"/>
        </w:rPr>
      </w:pPr>
    </w:p>
    <w:p w:rsidRPr="00250F66" w:rsidR="003227D8" w:rsidP="003227D8" w:rsidRDefault="003227D8" w14:paraId="62FA0EC5" w14:textId="77777777">
      <w:pPr>
        <w:spacing w:after="0" w:line="276" w:lineRule="auto"/>
        <w:ind w:firstLine="709"/>
        <w:jc w:val="both"/>
        <w:rPr>
          <w:rFonts w:ascii="Arial" w:hAnsi="Arial" w:cs="Arial"/>
          <w:lang w:val="es-MX"/>
        </w:rPr>
      </w:pPr>
      <w:r w:rsidRPr="00250F66">
        <w:rPr>
          <w:rFonts w:ascii="Arial" w:hAnsi="Arial"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rsidRPr="00250F66" w:rsidR="003227D8" w:rsidP="003227D8" w:rsidRDefault="003227D8" w14:paraId="2E159327" w14:textId="77777777">
      <w:pPr>
        <w:spacing w:after="0" w:line="276" w:lineRule="auto"/>
        <w:ind w:firstLine="709"/>
        <w:jc w:val="both"/>
        <w:rPr>
          <w:rFonts w:ascii="Arial" w:hAnsi="Arial" w:cs="Arial"/>
          <w:lang w:val="es-MX"/>
        </w:rPr>
      </w:pPr>
    </w:p>
    <w:p w:rsidRPr="00250F66" w:rsidR="003227D8" w:rsidP="003227D8" w:rsidRDefault="003227D8" w14:paraId="0CBB151D" w14:textId="77777777">
      <w:pPr>
        <w:spacing w:line="240" w:lineRule="auto"/>
        <w:ind w:left="709" w:right="709"/>
        <w:jc w:val="both"/>
        <w:rPr>
          <w:rFonts w:ascii="Arial" w:hAnsi="Arial" w:cs="Arial"/>
          <w:sz w:val="21"/>
          <w:szCs w:val="21"/>
        </w:rPr>
      </w:pPr>
      <w:r w:rsidRPr="00250F66">
        <w:rPr>
          <w:rFonts w:ascii="Arial" w:hAnsi="Arial"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rsidRPr="00250F66" w:rsidR="003227D8" w:rsidP="003227D8" w:rsidRDefault="003227D8" w14:paraId="0025BA21" w14:textId="77777777">
      <w:pPr>
        <w:spacing w:after="0" w:line="240" w:lineRule="auto"/>
        <w:ind w:left="709" w:right="709"/>
        <w:jc w:val="both"/>
        <w:rPr>
          <w:rFonts w:ascii="Arial" w:hAnsi="Arial" w:cs="Arial"/>
          <w:sz w:val="21"/>
          <w:szCs w:val="21"/>
        </w:rPr>
      </w:pPr>
      <w:r w:rsidRPr="00250F66">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250F66">
        <w:rPr>
          <w:rFonts w:ascii="Arial" w:hAnsi="Arial" w:cs="Arial"/>
          <w:sz w:val="21"/>
          <w:szCs w:val="21"/>
          <w:vertAlign w:val="superscript"/>
        </w:rPr>
        <w:footnoteReference w:id="8"/>
      </w:r>
      <w:r w:rsidRPr="00250F66">
        <w:rPr>
          <w:rFonts w:ascii="Arial" w:hAnsi="Arial" w:cs="Arial"/>
          <w:sz w:val="21"/>
          <w:szCs w:val="21"/>
        </w:rPr>
        <w:t>.</w:t>
      </w:r>
    </w:p>
    <w:p w:rsidRPr="00250F66" w:rsidR="003227D8" w:rsidP="003227D8" w:rsidRDefault="003227D8" w14:paraId="42622721" w14:textId="77777777">
      <w:pPr>
        <w:spacing w:after="0" w:line="276" w:lineRule="auto"/>
        <w:ind w:right="709"/>
        <w:jc w:val="both"/>
        <w:rPr>
          <w:rFonts w:ascii="Arial" w:hAnsi="Arial" w:cs="Arial"/>
        </w:rPr>
      </w:pPr>
    </w:p>
    <w:p w:rsidRPr="00250F66" w:rsidR="003227D8" w:rsidP="003227D8" w:rsidRDefault="003227D8" w14:paraId="4A83FE19" w14:textId="77777777">
      <w:pPr>
        <w:spacing w:after="0" w:line="276" w:lineRule="auto"/>
        <w:ind w:firstLine="709"/>
        <w:jc w:val="both"/>
        <w:rPr>
          <w:rFonts w:ascii="Arial" w:hAnsi="Arial" w:cs="Arial"/>
        </w:rPr>
      </w:pPr>
      <w:r w:rsidRPr="00250F66">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rsidRPr="00250F66" w:rsidR="003227D8" w:rsidP="003227D8" w:rsidRDefault="003227D8" w14:paraId="44B7D687" w14:textId="77777777">
      <w:pPr>
        <w:tabs>
          <w:tab w:val="left" w:pos="1532"/>
        </w:tabs>
        <w:spacing w:after="0" w:line="276" w:lineRule="auto"/>
        <w:jc w:val="both"/>
        <w:rPr>
          <w:rFonts w:ascii="Arial" w:hAnsi="Arial" w:cs="Arial"/>
          <w:lang w:val="es-MX"/>
        </w:rPr>
      </w:pPr>
    </w:p>
    <w:p w:rsidRPr="00250F66" w:rsidR="003227D8" w:rsidP="003227D8" w:rsidRDefault="003227D8" w14:paraId="5BADE3E4" w14:textId="77777777">
      <w:pPr>
        <w:spacing w:after="0" w:line="240" w:lineRule="auto"/>
        <w:ind w:left="709" w:right="709"/>
        <w:jc w:val="both"/>
        <w:rPr>
          <w:rFonts w:ascii="Arial" w:hAnsi="Arial" w:cs="Arial"/>
          <w:sz w:val="21"/>
          <w:szCs w:val="21"/>
        </w:rPr>
      </w:pPr>
      <w:r w:rsidRPr="00250F66">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250F66">
        <w:rPr>
          <w:rFonts w:ascii="Arial" w:hAnsi="Arial" w:cs="Arial"/>
          <w:i/>
          <w:iCs/>
          <w:sz w:val="21"/>
          <w:szCs w:val="21"/>
        </w:rPr>
        <w:t xml:space="preserve">pro </w:t>
      </w:r>
      <w:proofErr w:type="spellStart"/>
      <w:r w:rsidRPr="00250F66">
        <w:rPr>
          <w:rFonts w:ascii="Arial" w:hAnsi="Arial" w:cs="Arial"/>
          <w:i/>
          <w:iCs/>
          <w:sz w:val="21"/>
          <w:szCs w:val="21"/>
        </w:rPr>
        <w:t>libertate</w:t>
      </w:r>
      <w:proofErr w:type="spellEnd"/>
      <w:r w:rsidRPr="00250F66">
        <w:rPr>
          <w:rFonts w:ascii="Arial" w:hAnsi="Arial" w:cs="Arial"/>
          <w:sz w:val="21"/>
          <w:szCs w:val="21"/>
        </w:rPr>
        <w:t xml:space="preserve">, sino el de legalidad, el que ordena que la función </w:t>
      </w:r>
      <w:r w:rsidRPr="00250F66">
        <w:rPr>
          <w:rFonts w:ascii="Arial" w:hAnsi="Arial" w:cs="Arial"/>
          <w:sz w:val="21"/>
          <w:szCs w:val="21"/>
        </w:rPr>
        <w:t xml:space="preserve">pública debe someterse estrictamente a lo que disponga la Constitución y la ley (CP art. 6). </w:t>
      </w:r>
    </w:p>
    <w:p w:rsidRPr="00250F66" w:rsidR="003227D8" w:rsidP="003227D8" w:rsidRDefault="003227D8" w14:paraId="390C7C6B" w14:textId="77777777">
      <w:pPr>
        <w:spacing w:after="120" w:line="240" w:lineRule="auto"/>
        <w:ind w:left="709" w:right="709"/>
        <w:jc w:val="both"/>
        <w:rPr>
          <w:rFonts w:ascii="Arial" w:hAnsi="Arial" w:cs="Arial"/>
          <w:sz w:val="21"/>
          <w:szCs w:val="21"/>
        </w:rPr>
      </w:pPr>
      <w:r w:rsidRPr="00250F66">
        <w:rPr>
          <w:rFonts w:ascii="Arial" w:hAnsi="Arial" w:cs="Arial"/>
          <w:sz w:val="21"/>
          <w:szCs w:val="21"/>
        </w:rPr>
        <w:t xml:space="preserve">[…] </w:t>
      </w:r>
    </w:p>
    <w:p w:rsidRPr="00250F66" w:rsidR="003227D8" w:rsidP="003227D8" w:rsidRDefault="003227D8" w14:paraId="2F0DDF80" w14:textId="77777777">
      <w:pPr>
        <w:spacing w:after="0" w:line="240" w:lineRule="auto"/>
        <w:ind w:left="709" w:right="709"/>
        <w:jc w:val="both"/>
        <w:rPr>
          <w:rFonts w:ascii="Arial" w:hAnsi="Arial" w:cs="Arial"/>
          <w:sz w:val="21"/>
          <w:szCs w:val="21"/>
        </w:rPr>
      </w:pPr>
      <w:r w:rsidRPr="00250F66">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250F66">
        <w:rPr>
          <w:rFonts w:ascii="Arial" w:hAnsi="Arial" w:cs="Arial"/>
          <w:sz w:val="21"/>
          <w:szCs w:val="21"/>
          <w:vertAlign w:val="superscript"/>
        </w:rPr>
        <w:footnoteReference w:id="9"/>
      </w:r>
      <w:r w:rsidRPr="00250F66">
        <w:rPr>
          <w:rFonts w:ascii="Arial" w:hAnsi="Arial" w:cs="Arial"/>
          <w:sz w:val="21"/>
          <w:szCs w:val="21"/>
        </w:rPr>
        <w:t>.</w:t>
      </w:r>
    </w:p>
    <w:p w:rsidRPr="00250F66" w:rsidR="003227D8" w:rsidP="003227D8" w:rsidRDefault="003227D8" w14:paraId="4244080B" w14:textId="77777777">
      <w:pPr>
        <w:spacing w:after="0" w:line="276" w:lineRule="auto"/>
        <w:ind w:left="709" w:right="709"/>
        <w:jc w:val="both"/>
        <w:rPr>
          <w:rFonts w:ascii="Arial" w:hAnsi="Arial" w:cs="Arial"/>
        </w:rPr>
      </w:pPr>
    </w:p>
    <w:p w:rsidRPr="00250F66" w:rsidR="003227D8" w:rsidP="003227D8" w:rsidRDefault="003227D8" w14:paraId="46F55FF8" w14:textId="77777777">
      <w:pPr>
        <w:spacing w:after="0" w:line="276" w:lineRule="auto"/>
        <w:ind w:firstLine="709"/>
        <w:jc w:val="both"/>
        <w:rPr>
          <w:rFonts w:ascii="Arial" w:hAnsi="Arial" w:cs="Arial"/>
        </w:rPr>
      </w:pPr>
      <w:r w:rsidRPr="00250F66">
        <w:rPr>
          <w:rFonts w:ascii="Arial" w:hAnsi="Arial" w:cs="Arial"/>
        </w:rPr>
        <w:t xml:space="preserve">Conviene también distinguir las fuentes de las inhabilidades, las cuales han sido clasificadas en dos (2) grupos: i) inhabilidades-sanción y </w:t>
      </w:r>
      <w:proofErr w:type="spellStart"/>
      <w:r w:rsidRPr="00250F66">
        <w:rPr>
          <w:rFonts w:ascii="Arial" w:hAnsi="Arial" w:cs="Arial"/>
        </w:rPr>
        <w:t>ii</w:t>
      </w:r>
      <w:proofErr w:type="spellEnd"/>
      <w:r w:rsidRPr="00250F66">
        <w:rPr>
          <w:rFonts w:ascii="Arial" w:hAnsi="Arial"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250F66">
        <w:rPr>
          <w:rFonts w:ascii="Arial" w:hAnsi="Arial" w:cs="Arial"/>
          <w:vertAlign w:val="superscript"/>
        </w:rPr>
        <w:footnoteReference w:id="10"/>
      </w:r>
      <w:r w:rsidRPr="00250F66">
        <w:rPr>
          <w:rFonts w:ascii="Arial" w:hAnsi="Arial" w:cs="Arial"/>
        </w:rPr>
        <w:t>.</w:t>
      </w:r>
    </w:p>
    <w:p w:rsidRPr="00250F66" w:rsidR="003227D8" w:rsidP="003227D8" w:rsidRDefault="003227D8" w14:paraId="4E6F7BFE" w14:textId="77777777">
      <w:pPr>
        <w:spacing w:before="120" w:after="120" w:line="276" w:lineRule="auto"/>
        <w:ind w:firstLine="709"/>
        <w:jc w:val="both"/>
        <w:rPr>
          <w:rFonts w:ascii="Arial" w:hAnsi="Arial" w:cs="Arial"/>
        </w:rPr>
      </w:pPr>
      <w:r w:rsidRPr="00250F66">
        <w:rPr>
          <w:rFonts w:ascii="Arial" w:hAnsi="Arial" w:cs="Arial"/>
        </w:rPr>
        <w:t>A manera de ejemplo, en materia contractual, los literales c), d) y j) del numeral 1 del artículo 8 de la Ley 80 de 1993</w:t>
      </w:r>
      <w:r w:rsidRPr="00250F66">
        <w:rPr>
          <w:rFonts w:ascii="Arial" w:hAnsi="Arial" w:cs="Arial"/>
          <w:vertAlign w:val="superscript"/>
        </w:rPr>
        <w:footnoteReference w:id="11"/>
      </w:r>
      <w:r w:rsidRPr="00250F66">
        <w:rPr>
          <w:rFonts w:ascii="Arial" w:hAnsi="Arial" w:cs="Arial"/>
        </w:rPr>
        <w:t xml:space="preserve"> establecen inhabilidades-sanción, porque la prohibición </w:t>
      </w:r>
      <w:r w:rsidRPr="00250F66">
        <w:rPr>
          <w:rFonts w:ascii="Arial" w:hAnsi="Arial" w:cs="Arial"/>
        </w:rPr>
        <w:t xml:space="preserve">para contratar con el Estado en esos eventos es una consecuencia de una declaratoria de responsabilidad que surge luego de un proceso sancionatorio –administrativo, disciplinario </w:t>
      </w:r>
      <w:r w:rsidRPr="00250F66">
        <w:rPr>
          <w:rFonts w:ascii="Arial" w:hAnsi="Arial" w:cs="Arial"/>
        </w:rPr>
        <w:t xml:space="preserve">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name="_Hlk40976328" w:id="12"/>
      <w:r w:rsidRPr="00250F66">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12"/>
    </w:p>
    <w:p w:rsidRPr="00250F66" w:rsidR="003227D8" w:rsidP="003227D8" w:rsidRDefault="003227D8" w14:paraId="25F4A361" w14:textId="77777777">
      <w:pPr>
        <w:spacing w:after="120" w:line="276" w:lineRule="auto"/>
        <w:ind w:firstLine="708"/>
        <w:jc w:val="both"/>
        <w:rPr>
          <w:rFonts w:ascii="Arial" w:hAnsi="Arial" w:eastAsia="Calibri" w:cs="Arial"/>
          <w:lang w:val="es-ES_tradnl"/>
        </w:rPr>
      </w:pPr>
      <w:r w:rsidRPr="00250F66">
        <w:rPr>
          <w:rFonts w:ascii="Arial" w:hAnsi="Arial" w:eastAsia="Calibri" w:cs="Arial"/>
          <w:i/>
          <w:iCs/>
          <w:lang w:val="es-ES_tradnl"/>
        </w:rPr>
        <w:t>Igualmente</w:t>
      </w:r>
      <w:r w:rsidRPr="00250F66">
        <w:rPr>
          <w:rFonts w:ascii="Arial" w:hAnsi="Arial" w:eastAsia="Calibri" w:cs="Arial"/>
          <w:lang w:val="es-ES_tradnl"/>
        </w:rPr>
        <w:t xml:space="preserve">, </w:t>
      </w:r>
      <w:bookmarkStart w:name="_Hlk135133412" w:id="13"/>
      <w:r w:rsidRPr="00250F66">
        <w:rPr>
          <w:rFonts w:ascii="Arial" w:hAnsi="Arial" w:eastAsia="Calibri" w:cs="Arial"/>
          <w:lang w:val="es-ES_tradnl"/>
        </w:rPr>
        <w:t xml:space="preserve">en la contratación estatal, la </w:t>
      </w:r>
      <w:r w:rsidRPr="00250F66">
        <w:rPr>
          <w:rFonts w:ascii="Arial" w:hAnsi="Arial" w:eastAsia="Calibri" w:cs="Arial"/>
          <w:i/>
          <w:iCs/>
          <w:lang w:val="es-ES_tradnl"/>
        </w:rPr>
        <w:t>capacidad</w:t>
      </w:r>
      <w:r w:rsidRPr="00250F66">
        <w:rPr>
          <w:rFonts w:ascii="Arial" w:hAnsi="Arial" w:eastAsia="Calibri" w:cs="Arial"/>
          <w:lang w:val="es-ES_tradnl"/>
        </w:rPr>
        <w:t xml:space="preserve"> también es un requisito de validez de los contratos, tanto en el régimen de las entidades sujetas al Estatuto General de Contratación de la Administración Pública</w:t>
      </w:r>
      <w:r w:rsidRPr="00250F66">
        <w:rPr>
          <w:rFonts w:ascii="Arial" w:hAnsi="Arial" w:eastAsia="Calibri" w:cs="Arial"/>
          <w:vertAlign w:val="superscript"/>
          <w:lang w:val="es-ES_tradnl"/>
        </w:rPr>
        <w:footnoteReference w:id="12"/>
      </w:r>
      <w:r w:rsidRPr="00250F66">
        <w:rPr>
          <w:rFonts w:ascii="Arial" w:hAnsi="Arial" w:eastAsia="Calibri" w:cs="Arial"/>
          <w:lang w:val="es-ES_tradnl"/>
        </w:rPr>
        <w:t xml:space="preserve"> como en el de las entidades exceptuadas de aquel</w:t>
      </w:r>
      <w:r w:rsidRPr="00250F66">
        <w:rPr>
          <w:rFonts w:ascii="Arial" w:hAnsi="Arial" w:eastAsia="Calibri" w:cs="Arial"/>
          <w:vertAlign w:val="superscript"/>
          <w:lang w:val="es-ES_tradnl"/>
        </w:rPr>
        <w:footnoteReference w:id="13"/>
      </w:r>
      <w:r w:rsidRPr="00250F66">
        <w:rPr>
          <w:rFonts w:ascii="Arial" w:hAnsi="Arial" w:eastAsia="Calibri"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250F66">
        <w:rPr>
          <w:rFonts w:ascii="Arial" w:hAnsi="Arial" w:eastAsia="Calibri" w:cs="Arial"/>
          <w:vertAlign w:val="superscript"/>
          <w:lang w:val="es-ES_tradnl"/>
        </w:rPr>
        <w:footnoteReference w:id="14"/>
      </w:r>
      <w:r w:rsidRPr="00250F66">
        <w:rPr>
          <w:rFonts w:ascii="Arial" w:hAnsi="Arial" w:eastAsia="Calibri" w:cs="Arial"/>
          <w:lang w:val="es-ES_tradnl"/>
        </w:rPr>
        <w:t xml:space="preserve">–, se destaca el régimen de inhabilidades e incompatibilidades como un conjunto de normas que imponen restricciones </w:t>
      </w:r>
      <w:r w:rsidRPr="00250F66">
        <w:rPr>
          <w:rFonts w:ascii="Arial" w:hAnsi="Arial" w:eastAsia="Calibri" w:cs="Arial"/>
          <w:lang w:val="es-ES_tradnl"/>
        </w:rPr>
        <w:t>para los sujetos que, eventualmente, pretendan participar en los procedimientos de selección o celebrar contratos con las entidades estatales</w:t>
      </w:r>
      <w:r w:rsidRPr="00250F66">
        <w:rPr>
          <w:rFonts w:ascii="Arial" w:hAnsi="Arial" w:eastAsia="Calibri" w:cs="Arial"/>
          <w:vertAlign w:val="superscript"/>
          <w:lang w:val="es-ES_tradnl"/>
        </w:rPr>
        <w:footnoteReference w:id="15"/>
      </w:r>
      <w:r w:rsidRPr="00250F66">
        <w:rPr>
          <w:rFonts w:ascii="Arial" w:hAnsi="Arial" w:eastAsia="Calibri" w:cs="Arial"/>
          <w:lang w:val="es-ES_tradnl"/>
        </w:rPr>
        <w:t>.</w:t>
      </w:r>
    </w:p>
    <w:p w:rsidRPr="00250F66" w:rsidR="003227D8" w:rsidP="003227D8" w:rsidRDefault="003227D8" w14:paraId="352C8D7E" w14:textId="77777777">
      <w:pPr>
        <w:spacing w:after="120" w:line="276" w:lineRule="auto"/>
        <w:ind w:firstLine="709"/>
        <w:jc w:val="both"/>
        <w:rPr>
          <w:rFonts w:ascii="Arial" w:hAnsi="Arial" w:eastAsia="Calibri" w:cs="Arial"/>
          <w:lang w:val="es-ES_tradnl"/>
        </w:rPr>
      </w:pPr>
      <w:r w:rsidRPr="00250F66">
        <w:rPr>
          <w:rFonts w:ascii="Arial" w:hAnsi="Arial" w:eastAsia="Calibri" w:cs="Arial"/>
          <w:lang w:val="es-ES_tradnl"/>
        </w:rPr>
        <w:t>Las inhabilidades son prohibiciones para concurrir a los procedimientos de selección y para contratar con el Estado, que se derivan: i) de la existencia de comportamientos reprochables o de sanciones anteriormente impuestas</w:t>
      </w:r>
      <w:r w:rsidRPr="00250F66">
        <w:rPr>
          <w:rFonts w:ascii="Arial" w:hAnsi="Arial" w:eastAsia="Calibri" w:cs="Arial"/>
          <w:vertAlign w:val="superscript"/>
          <w:lang w:val="es-ES_tradnl"/>
        </w:rPr>
        <w:footnoteReference w:id="16"/>
      </w:r>
      <w:r w:rsidRPr="00250F66">
        <w:rPr>
          <w:rFonts w:ascii="Arial" w:hAnsi="Arial" w:eastAsia="Calibri" w:cs="Arial"/>
          <w:lang w:val="es-ES_tradnl"/>
        </w:rPr>
        <w:t xml:space="preserve">, </w:t>
      </w:r>
      <w:proofErr w:type="spellStart"/>
      <w:r w:rsidRPr="00250F66">
        <w:rPr>
          <w:rFonts w:ascii="Arial" w:hAnsi="Arial" w:eastAsia="Calibri" w:cs="Arial"/>
          <w:lang w:val="es-ES_tradnl"/>
        </w:rPr>
        <w:t>ii</w:t>
      </w:r>
      <w:proofErr w:type="spellEnd"/>
      <w:r w:rsidRPr="00250F66">
        <w:rPr>
          <w:rFonts w:ascii="Arial" w:hAnsi="Arial" w:eastAsia="Calibri" w:cs="Arial"/>
          <w:lang w:val="es-ES_tradnl"/>
        </w:rPr>
        <w:t>) de vínculos personales relativos al parentesco o al estado civil</w:t>
      </w:r>
      <w:r w:rsidRPr="00250F66">
        <w:rPr>
          <w:rFonts w:ascii="Arial" w:hAnsi="Arial" w:eastAsia="Calibri" w:cs="Arial"/>
          <w:vertAlign w:val="superscript"/>
          <w:lang w:val="es-ES_tradnl"/>
        </w:rPr>
        <w:footnoteReference w:id="17"/>
      </w:r>
      <w:r w:rsidRPr="00250F66">
        <w:rPr>
          <w:rFonts w:ascii="Arial" w:hAnsi="Arial" w:eastAsia="Calibri" w:cs="Arial"/>
          <w:lang w:val="es-ES_tradnl"/>
        </w:rPr>
        <w:t xml:space="preserve"> o </w:t>
      </w:r>
      <w:proofErr w:type="spellStart"/>
      <w:r w:rsidRPr="00250F66">
        <w:rPr>
          <w:rFonts w:ascii="Arial" w:hAnsi="Arial" w:eastAsia="Calibri" w:cs="Arial"/>
          <w:lang w:val="es-ES_tradnl"/>
        </w:rPr>
        <w:t>iii</w:t>
      </w:r>
      <w:proofErr w:type="spellEnd"/>
      <w:r w:rsidRPr="00250F66">
        <w:rPr>
          <w:rFonts w:ascii="Arial" w:hAnsi="Arial" w:eastAsia="Calibri" w:cs="Arial"/>
          <w:lang w:val="es-ES_tradnl"/>
        </w:rPr>
        <w:t xml:space="preserve">) de una actividad u oficio que se desempeñó en el </w:t>
      </w:r>
      <w:r w:rsidRPr="00250F66">
        <w:rPr>
          <w:rFonts w:ascii="Arial" w:hAnsi="Arial" w:eastAsia="Calibri" w:cs="Arial"/>
          <w:lang w:val="es-ES_tradnl"/>
        </w:rPr>
        <w:t>pasado</w:t>
      </w:r>
      <w:r w:rsidRPr="00250F66">
        <w:rPr>
          <w:rFonts w:ascii="Arial" w:hAnsi="Arial" w:eastAsia="Calibri" w:cs="Arial"/>
          <w:vertAlign w:val="superscript"/>
          <w:lang w:val="es-ES_tradnl"/>
        </w:rPr>
        <w:footnoteReference w:id="18"/>
      </w:r>
      <w:r w:rsidRPr="00250F66">
        <w:rPr>
          <w:rFonts w:ascii="Arial" w:hAnsi="Arial" w:eastAsia="Calibri"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250F66">
        <w:rPr>
          <w:rFonts w:ascii="Arial" w:hAnsi="Arial" w:eastAsia="Calibri" w:cs="Arial"/>
          <w:vertAlign w:val="superscript"/>
          <w:lang w:val="es-ES_tradnl"/>
        </w:rPr>
        <w:footnoteReference w:id="19"/>
      </w:r>
      <w:r w:rsidRPr="00250F66">
        <w:rPr>
          <w:rFonts w:ascii="Arial" w:hAnsi="Arial" w:eastAsia="Calibri"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250F66">
        <w:rPr>
          <w:rFonts w:ascii="Arial" w:hAnsi="Arial" w:eastAsia="Calibri" w:cs="Arial"/>
          <w:vertAlign w:val="superscript"/>
          <w:lang w:val="es-ES_tradnl"/>
        </w:rPr>
        <w:footnoteReference w:id="20"/>
      </w:r>
      <w:r w:rsidRPr="00250F66">
        <w:rPr>
          <w:rFonts w:ascii="Arial" w:hAnsi="Arial" w:eastAsia="Calibri" w:cs="Arial"/>
          <w:lang w:val="es-ES_tradnl"/>
        </w:rPr>
        <w:t>.</w:t>
      </w:r>
    </w:p>
    <w:bookmarkEnd w:id="13"/>
    <w:p w:rsidRPr="00250F66" w:rsidR="003227D8" w:rsidP="003227D8" w:rsidRDefault="003227D8" w14:paraId="093CD8AB" w14:textId="77777777">
      <w:pPr>
        <w:spacing w:before="120" w:after="120" w:line="276" w:lineRule="auto"/>
        <w:ind w:firstLine="709"/>
        <w:jc w:val="both"/>
        <w:rPr>
          <w:rFonts w:ascii="Arial" w:hAnsi="Arial" w:eastAsia="Calibri" w:cs="Arial"/>
          <w:lang w:val="es-ES_tradnl"/>
        </w:rPr>
      </w:pPr>
      <w:r w:rsidRPr="00250F66">
        <w:rPr>
          <w:rFonts w:ascii="Arial" w:hAnsi="Arial" w:eastAsia="Calibri"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250F66">
        <w:rPr>
          <w:rFonts w:ascii="Arial" w:hAnsi="Arial" w:eastAsia="Calibri" w:cs="Arial"/>
          <w:lang w:val="es-ES_tradnl"/>
        </w:rPr>
        <w:t>neopunitiva</w:t>
      </w:r>
      <w:proofErr w:type="spellEnd"/>
      <w:r w:rsidRPr="00250F66">
        <w:rPr>
          <w:rFonts w:ascii="Arial" w:hAnsi="Arial" w:eastAsia="Calibri" w:cs="Arial"/>
          <w:lang w:val="es-ES_tradnl"/>
        </w:rPr>
        <w:t>”</w:t>
      </w:r>
      <w:r w:rsidRPr="00250F66">
        <w:rPr>
          <w:rFonts w:ascii="Arial" w:hAnsi="Arial" w:eastAsia="Calibri" w:cs="Arial"/>
          <w:vertAlign w:val="superscript"/>
          <w:lang w:val="es-ES_tradnl"/>
        </w:rPr>
        <w:footnoteReference w:id="21"/>
      </w:r>
      <w:r w:rsidRPr="00250F66">
        <w:rPr>
          <w:rFonts w:ascii="Arial" w:hAnsi="Arial" w:eastAsia="Calibri"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rsidRPr="00250F66" w:rsidR="003227D8" w:rsidP="003227D8" w:rsidRDefault="003227D8" w14:paraId="7E50CCF1" w14:textId="77777777">
      <w:pPr>
        <w:spacing w:before="120" w:after="120" w:line="276" w:lineRule="auto"/>
        <w:ind w:firstLine="709"/>
        <w:jc w:val="both"/>
        <w:rPr>
          <w:rFonts w:ascii="Arial" w:hAnsi="Arial" w:eastAsia="Calibri" w:cs="Arial"/>
          <w:lang w:val="es-ES_tradnl"/>
        </w:rPr>
      </w:pPr>
      <w:r w:rsidRPr="00250F66">
        <w:rPr>
          <w:rFonts w:ascii="Arial" w:hAnsi="Arial" w:eastAsia="Calibri"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250F66">
        <w:rPr>
          <w:rFonts w:ascii="Arial" w:hAnsi="Arial" w:eastAsia="Calibri" w:cs="Arial"/>
          <w:i/>
          <w:iCs/>
          <w:lang w:val="es-ES_tradnl"/>
        </w:rPr>
        <w:t>restrictiva</w:t>
      </w:r>
      <w:r w:rsidRPr="00250F66">
        <w:rPr>
          <w:rFonts w:ascii="Arial" w:hAnsi="Arial" w:eastAsia="Calibri" w:cs="Arial"/>
          <w:i/>
          <w:iCs/>
          <w:vertAlign w:val="superscript"/>
          <w:lang w:val="es-ES_tradnl"/>
        </w:rPr>
        <w:footnoteReference w:id="22"/>
      </w:r>
      <w:r w:rsidRPr="00250F66">
        <w:rPr>
          <w:rFonts w:ascii="Arial" w:hAnsi="Arial" w:eastAsia="Calibri" w:cs="Arial"/>
          <w:i/>
          <w:iCs/>
          <w:lang w:val="es-ES_tradnl"/>
        </w:rPr>
        <w:t xml:space="preserve">, </w:t>
      </w:r>
      <w:r w:rsidRPr="00250F66">
        <w:rPr>
          <w:rFonts w:ascii="Arial" w:hAnsi="Arial" w:eastAsia="Calibri"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rsidRPr="00250F66" w:rsidR="003227D8" w:rsidP="003227D8" w:rsidRDefault="003227D8" w14:paraId="7CD33BEC" w14:textId="77777777">
      <w:pPr>
        <w:spacing w:after="0" w:line="276" w:lineRule="auto"/>
        <w:ind w:firstLine="709"/>
        <w:jc w:val="both"/>
        <w:rPr>
          <w:rFonts w:ascii="Arial" w:hAnsi="Arial" w:eastAsia="Calibri" w:cs="Arial"/>
          <w:lang w:val="es-ES_tradnl"/>
        </w:rPr>
      </w:pPr>
      <w:r w:rsidRPr="00250F66">
        <w:rPr>
          <w:rFonts w:ascii="Arial" w:hAnsi="Arial" w:eastAsia="Calibri"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250F66">
        <w:rPr>
          <w:rFonts w:ascii="Arial" w:hAnsi="Arial" w:eastAsia="Calibri" w:cs="Arial"/>
          <w:vertAlign w:val="superscript"/>
          <w:lang w:val="es-ES_tradnl"/>
        </w:rPr>
        <w:footnoteReference w:id="23"/>
      </w:r>
      <w:r w:rsidRPr="00250F66">
        <w:rPr>
          <w:rFonts w:ascii="Arial" w:hAnsi="Arial" w:eastAsia="Calibri" w:cs="Arial"/>
          <w:lang w:val="es-ES_tradnl"/>
        </w:rPr>
        <w:t xml:space="preserve">. Por su parte, el Consejo de Estado ha acogido también este criterio, </w:t>
      </w:r>
      <w:r w:rsidRPr="00250F66">
        <w:rPr>
          <w:rFonts w:ascii="Arial" w:hAnsi="Arial" w:eastAsia="Calibri" w:cs="Arial"/>
          <w:lang w:val="es-ES_tradnl"/>
        </w:rPr>
        <w:t>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250F66">
        <w:rPr>
          <w:rFonts w:ascii="Arial" w:hAnsi="Arial" w:eastAsia="Calibri" w:cs="Arial"/>
          <w:vertAlign w:val="superscript"/>
          <w:lang w:val="es-ES_tradnl"/>
        </w:rPr>
        <w:footnoteReference w:id="24"/>
      </w:r>
      <w:r w:rsidRPr="00250F66">
        <w:rPr>
          <w:rFonts w:ascii="Arial" w:hAnsi="Arial" w:eastAsia="Calibri" w:cs="Arial"/>
          <w:lang w:val="es-ES_tradnl"/>
        </w:rPr>
        <w:t>. En tal sentido, la Sección Tercera ha señalado que:</w:t>
      </w:r>
    </w:p>
    <w:p w:rsidRPr="00250F66" w:rsidR="003227D8" w:rsidP="003227D8" w:rsidRDefault="003227D8" w14:paraId="4EAECF09" w14:textId="77777777">
      <w:pPr>
        <w:spacing w:after="0"/>
        <w:ind w:firstLine="709"/>
        <w:jc w:val="both"/>
        <w:rPr>
          <w:rFonts w:ascii="Arial" w:hAnsi="Arial" w:eastAsia="Calibri" w:cs="Arial"/>
          <w:lang w:val="es-ES_tradnl"/>
        </w:rPr>
      </w:pPr>
    </w:p>
    <w:p w:rsidRPr="00250F66" w:rsidR="003227D8" w:rsidP="003227D8" w:rsidRDefault="003227D8" w14:paraId="23496151" w14:textId="77777777">
      <w:pPr>
        <w:spacing w:after="0" w:line="240" w:lineRule="auto"/>
        <w:ind w:left="709" w:right="709"/>
        <w:jc w:val="both"/>
        <w:rPr>
          <w:rFonts w:ascii="Arial" w:hAnsi="Arial" w:eastAsia="Calibri" w:cs="Arial"/>
          <w:lang w:val="es-ES_tradnl"/>
        </w:rPr>
      </w:pPr>
      <w:r w:rsidRPr="00250F66">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250F66">
        <w:rPr>
          <w:rFonts w:ascii="Arial" w:hAnsi="Arial" w:cs="Arial"/>
          <w:sz w:val="21"/>
          <w:szCs w:val="21"/>
          <w:vertAlign w:val="superscript"/>
          <w:lang w:val="es-ES_tradnl"/>
        </w:rPr>
        <w:footnoteReference w:id="25"/>
      </w:r>
      <w:r w:rsidRPr="00250F66">
        <w:rPr>
          <w:rFonts w:ascii="Arial" w:hAnsi="Arial" w:cs="Arial"/>
          <w:sz w:val="21"/>
          <w:szCs w:val="21"/>
          <w:lang w:val="es-ES_tradnl"/>
        </w:rPr>
        <w:t>.</w:t>
      </w:r>
    </w:p>
    <w:p w:rsidRPr="00250F66" w:rsidR="003227D8" w:rsidP="003227D8" w:rsidRDefault="003227D8" w14:paraId="51271A1F" w14:textId="77777777">
      <w:pPr>
        <w:spacing w:before="120" w:after="120"/>
        <w:ind w:firstLine="709"/>
        <w:jc w:val="both"/>
        <w:rPr>
          <w:rFonts w:ascii="Arial" w:hAnsi="Arial" w:eastAsia="Calibri" w:cs="Arial"/>
          <w:lang w:val="es-ES_tradnl"/>
        </w:rPr>
      </w:pPr>
      <w:r w:rsidRPr="00250F66">
        <w:rPr>
          <w:rFonts w:ascii="Arial" w:hAnsi="Arial" w:eastAsia="Calibri" w:cs="Arial"/>
          <w:lang w:val="es-ES_tradnl"/>
        </w:rPr>
        <w:t>También ha dicho que:</w:t>
      </w:r>
    </w:p>
    <w:p w:rsidRPr="00250F66" w:rsidR="003227D8" w:rsidP="003227D8" w:rsidRDefault="003227D8" w14:paraId="6421EBDB" w14:textId="77777777">
      <w:pPr>
        <w:spacing w:after="0" w:line="240" w:lineRule="auto"/>
        <w:ind w:left="709" w:right="616"/>
        <w:jc w:val="both"/>
        <w:rPr>
          <w:rFonts w:ascii="Arial" w:hAnsi="Arial" w:cs="Arial"/>
          <w:sz w:val="21"/>
          <w:szCs w:val="21"/>
          <w:lang w:val="es-ES_tradnl"/>
        </w:rPr>
      </w:pPr>
      <w:bookmarkStart w:name="_Hlk138725073" w:id="14"/>
      <w:r w:rsidRPr="00250F66">
        <w:rPr>
          <w:rFonts w:ascii="Arial" w:hAnsi="Arial" w:cs="Arial"/>
          <w:sz w:val="21"/>
          <w:szCs w:val="21"/>
          <w:lang w:val="es-ES_tradnl"/>
        </w:rPr>
        <w:t xml:space="preserve">“[…] </w:t>
      </w:r>
      <w:bookmarkEnd w:id="14"/>
      <w:r w:rsidRPr="00250F66">
        <w:rPr>
          <w:rFonts w:ascii="Arial" w:hAnsi="Arial" w:cs="Arial"/>
          <w:sz w:val="21"/>
          <w:szCs w:val="21"/>
          <w:lang w:val="es-ES_tradnl"/>
        </w:rPr>
        <w:t xml:space="preserve">la aplicación de estos preceptos exige una interpretación restrictiva, dado que según el principio hermenéutico </w:t>
      </w:r>
      <w:r w:rsidRPr="00250F66">
        <w:rPr>
          <w:rFonts w:ascii="Arial" w:hAnsi="Arial" w:cs="Arial"/>
          <w:i/>
          <w:iCs/>
          <w:sz w:val="21"/>
          <w:szCs w:val="21"/>
          <w:lang w:val="es-ES_tradnl"/>
        </w:rPr>
        <w:t xml:space="preserve">pro </w:t>
      </w:r>
      <w:proofErr w:type="spellStart"/>
      <w:r w:rsidRPr="00250F66">
        <w:rPr>
          <w:rFonts w:ascii="Arial" w:hAnsi="Arial" w:cs="Arial"/>
          <w:i/>
          <w:iCs/>
          <w:sz w:val="21"/>
          <w:szCs w:val="21"/>
          <w:lang w:val="es-ES_tradnl"/>
        </w:rPr>
        <w:t>libertate</w:t>
      </w:r>
      <w:proofErr w:type="spellEnd"/>
      <w:r w:rsidRPr="00250F66">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250F66">
        <w:rPr>
          <w:rFonts w:ascii="Arial" w:hAnsi="Arial" w:cs="Arial"/>
          <w:sz w:val="21"/>
          <w:szCs w:val="21"/>
          <w:vertAlign w:val="superscript"/>
          <w:lang w:val="es-ES_tradnl"/>
        </w:rPr>
        <w:footnoteReference w:id="26"/>
      </w:r>
      <w:r w:rsidRPr="00250F66">
        <w:rPr>
          <w:rFonts w:ascii="Arial" w:hAnsi="Arial" w:cs="Arial"/>
          <w:sz w:val="21"/>
          <w:szCs w:val="21"/>
          <w:lang w:val="es-ES_tradnl"/>
        </w:rPr>
        <w:t>.</w:t>
      </w:r>
    </w:p>
    <w:p w:rsidRPr="00250F66" w:rsidR="003227D8" w:rsidP="003227D8" w:rsidRDefault="003227D8" w14:paraId="04620D2D" w14:textId="77777777">
      <w:pPr>
        <w:spacing w:after="0"/>
        <w:ind w:firstLine="708"/>
        <w:jc w:val="both"/>
        <w:rPr>
          <w:rFonts w:ascii="Arial" w:hAnsi="Arial" w:eastAsia="Arial" w:cs="Arial"/>
          <w:color w:val="000000"/>
          <w:lang w:val="es-ES_tradnl"/>
        </w:rPr>
      </w:pPr>
    </w:p>
    <w:p w:rsidRPr="00250F66" w:rsidR="003227D8" w:rsidP="003227D8" w:rsidRDefault="003227D8" w14:paraId="40A017F1" w14:textId="77777777">
      <w:pPr>
        <w:spacing w:after="0" w:line="276" w:lineRule="auto"/>
        <w:ind w:firstLine="708"/>
        <w:jc w:val="both"/>
        <w:rPr>
          <w:rFonts w:ascii="Arial" w:hAnsi="Arial" w:cs="Arial"/>
          <w:color w:val="000000" w:themeColor="text1"/>
        </w:rPr>
      </w:pPr>
      <w:r w:rsidRPr="00250F66">
        <w:rPr>
          <w:rFonts w:ascii="Arial" w:hAnsi="Arial" w:eastAsia="Arial" w:cs="Arial"/>
          <w:color w:val="000000"/>
          <w:lang w:val="es-ES_tradnl"/>
        </w:rPr>
        <w:t xml:space="preserve">Como se aprecia, el principio </w:t>
      </w:r>
      <w:r w:rsidRPr="00250F66">
        <w:rPr>
          <w:rFonts w:ascii="Arial" w:hAnsi="Arial" w:eastAsia="Arial" w:cs="Arial"/>
          <w:i/>
          <w:iCs/>
          <w:color w:val="000000"/>
          <w:lang w:val="es-ES_tradnl"/>
        </w:rPr>
        <w:t xml:space="preserve">pro </w:t>
      </w:r>
      <w:proofErr w:type="spellStart"/>
      <w:r w:rsidRPr="00250F66">
        <w:rPr>
          <w:rFonts w:ascii="Arial" w:hAnsi="Arial" w:eastAsia="Arial" w:cs="Arial"/>
          <w:i/>
          <w:iCs/>
          <w:color w:val="000000"/>
          <w:lang w:val="es-ES_tradnl"/>
        </w:rPr>
        <w:t>libertate</w:t>
      </w:r>
      <w:proofErr w:type="spellEnd"/>
      <w:r w:rsidRPr="00250F66">
        <w:rPr>
          <w:rFonts w:ascii="Arial" w:hAnsi="Arial" w:eastAsia="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250F66">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EGCAP, cuya expedición compete </w:t>
      </w:r>
      <w:r w:rsidRPr="00250F66">
        <w:rPr>
          <w:rFonts w:ascii="Arial" w:hAnsi="Arial" w:cs="Arial"/>
          <w:color w:val="000000" w:themeColor="text1"/>
        </w:rPr>
        <w:t>al Congreso de la República, conforme al artículo 150 de la Constitución Política, y que en esta materia rige el principio de legalidad</w:t>
      </w:r>
      <w:r w:rsidRPr="00250F66">
        <w:rPr>
          <w:rFonts w:ascii="Arial" w:hAnsi="Arial" w:cs="Arial"/>
          <w:color w:val="000000" w:themeColor="text1"/>
          <w:vertAlign w:val="superscript"/>
        </w:rPr>
        <w:footnoteReference w:id="27"/>
      </w:r>
      <w:r w:rsidRPr="00250F66">
        <w:rPr>
          <w:rFonts w:ascii="Arial" w:hAnsi="Arial" w:cs="Arial"/>
          <w:color w:val="000000" w:themeColor="text1"/>
        </w:rPr>
        <w:t>.</w:t>
      </w:r>
    </w:p>
    <w:p w:rsidRPr="00250F66" w:rsidR="003227D8" w:rsidP="003227D8" w:rsidRDefault="003227D8" w14:paraId="58C352EA" w14:textId="77777777">
      <w:pPr>
        <w:spacing w:after="0" w:line="276" w:lineRule="auto"/>
        <w:contextualSpacing/>
        <w:jc w:val="both"/>
        <w:rPr>
          <w:rFonts w:ascii="Arial" w:hAnsi="Arial" w:eastAsia="Calibri" w:cs="Arial"/>
          <w:b/>
        </w:rPr>
      </w:pPr>
    </w:p>
    <w:p w:rsidRPr="00250F66" w:rsidR="003227D8" w:rsidP="003227D8" w:rsidRDefault="003227D8" w14:paraId="5850B718" w14:textId="77777777">
      <w:pPr>
        <w:spacing w:after="0" w:line="276" w:lineRule="auto"/>
        <w:contextualSpacing/>
        <w:jc w:val="both"/>
        <w:rPr>
          <w:rFonts w:ascii="Arial" w:hAnsi="Arial" w:eastAsia="Calibri" w:cs="Arial"/>
          <w:b/>
        </w:rPr>
      </w:pPr>
      <w:r w:rsidRPr="00250F66">
        <w:rPr>
          <w:rFonts w:ascii="Arial" w:hAnsi="Arial" w:eastAsia="Calibri" w:cs="Arial"/>
          <w:b/>
        </w:rPr>
        <w:t>3. Respuesta</w:t>
      </w:r>
    </w:p>
    <w:p w:rsidRPr="00250F66" w:rsidR="003227D8" w:rsidP="003227D8" w:rsidRDefault="003227D8" w14:paraId="2B8CF6A0" w14:textId="77777777">
      <w:pPr>
        <w:spacing w:after="0" w:line="276" w:lineRule="auto"/>
        <w:contextualSpacing/>
        <w:jc w:val="both"/>
        <w:rPr>
          <w:rFonts w:ascii="Arial" w:hAnsi="Arial" w:eastAsia="Calibri" w:cs="Arial"/>
        </w:rPr>
      </w:pPr>
      <w:bookmarkStart w:name="_Hlk57650395" w:id="15"/>
    </w:p>
    <w:p w:rsidRPr="00250F66" w:rsidR="003227D8" w:rsidP="003227D8" w:rsidRDefault="003227D8" w14:paraId="59DE28F9" w14:textId="77777777">
      <w:pPr>
        <w:shd w:val="clear" w:color="auto" w:fill="FFFFFF"/>
        <w:spacing w:after="0" w:line="240" w:lineRule="auto"/>
        <w:ind w:left="709" w:right="709"/>
        <w:jc w:val="both"/>
        <w:rPr>
          <w:rFonts w:ascii="Arial" w:hAnsi="Arial" w:eastAsia="Calibri" w:cs="Arial"/>
          <w:sz w:val="21"/>
          <w:szCs w:val="21"/>
        </w:rPr>
      </w:pPr>
      <w:r w:rsidRPr="00250F66">
        <w:rPr>
          <w:rFonts w:ascii="Arial" w:hAnsi="Arial" w:eastAsia="Calibri" w:cs="Arial"/>
          <w:sz w:val="21"/>
          <w:szCs w:val="21"/>
        </w:rPr>
        <w:t>“[…] [¿]la persona natural o jurídica que realizo los estudios y diseños del proyecto vías, puede prestarse como interventor del contrato de obra en los documentos tipo? [¿]existe alguna inhabilidad señalada en la ley? [sic]</w:t>
      </w:r>
    </w:p>
    <w:p w:rsidRPr="00250F66" w:rsidR="003227D8" w:rsidP="003227D8" w:rsidRDefault="003227D8" w14:paraId="3AD6B1EC" w14:textId="77777777">
      <w:pPr>
        <w:shd w:val="clear" w:color="auto" w:fill="FFFFFF"/>
        <w:spacing w:after="0" w:line="276" w:lineRule="auto"/>
        <w:jc w:val="both"/>
        <w:rPr>
          <w:rFonts w:ascii="Arial" w:hAnsi="Arial" w:cs="Arial"/>
        </w:rPr>
      </w:pPr>
    </w:p>
    <w:p w:rsidRPr="00250F66" w:rsidR="003227D8" w:rsidP="003227D8" w:rsidRDefault="003227D8" w14:paraId="59747FED" w14:textId="77777777">
      <w:pPr>
        <w:spacing w:after="0" w:line="276" w:lineRule="auto"/>
        <w:jc w:val="both"/>
        <w:rPr>
          <w:rFonts w:ascii="Arial" w:hAnsi="Arial" w:eastAsia="Calibri" w:cs="Arial"/>
          <w:lang w:val="es-ES" w:eastAsia="es-MX"/>
        </w:rPr>
      </w:pPr>
      <w:r w:rsidRPr="00250F66">
        <w:rPr>
          <w:rFonts w:ascii="Arial" w:hAnsi="Arial" w:eastAsia="Calibri" w:cs="Arial"/>
          <w:lang w:val="es-ES" w:eastAsia="es-MX"/>
        </w:rPr>
        <w:t>De conformidad con lo expuesto en este concepto, la interventoría al igual que la supervisión, es un mecanismo que pueden utilizar las Entidades Estatales para vigilar la correcta ejecución de sus contratos. Así pues, el interventor es un contratista externo a la entidad y al contratista vigilado, de manera que es seleccionado por la entidad contratante mediante los procedimientos dispuestos en el artículo 2 de la Ley 1150 de 2007, en principio, a través de un concurso de méritos. En esta línea, al interventor le corresponde vigilar que el contrato sobre el cual ejerce su labor se desarrolle de acuerdo con lo pactado en las condiciones técnicas que más se adecuen a su desarrollo, teniendo en cuenta sus conocimientos especializados.</w:t>
      </w:r>
    </w:p>
    <w:p w:rsidRPr="00250F66" w:rsidR="003227D8" w:rsidP="003227D8" w:rsidRDefault="003227D8" w14:paraId="655C9517" w14:textId="77777777">
      <w:pPr>
        <w:spacing w:before="120" w:after="0" w:line="276" w:lineRule="auto"/>
        <w:jc w:val="both"/>
        <w:rPr>
          <w:rFonts w:ascii="Arial" w:hAnsi="Arial" w:eastAsia="Calibri" w:cs="Arial"/>
          <w:lang w:val="es-ES" w:eastAsia="es-MX"/>
        </w:rPr>
      </w:pPr>
      <w:r w:rsidRPr="00250F66">
        <w:rPr>
          <w:rFonts w:ascii="Arial" w:hAnsi="Arial" w:eastAsia="Calibri" w:cs="Arial"/>
          <w:lang w:val="es-ES" w:eastAsia="es-MX"/>
        </w:rPr>
        <w:tab/>
      </w:r>
      <w:r w:rsidRPr="00250F66">
        <w:rPr>
          <w:rFonts w:ascii="Arial" w:hAnsi="Arial" w:eastAsia="Calibri" w:cs="Arial"/>
          <w:lang w:val="es-ES" w:eastAsia="es-MX"/>
        </w:rPr>
        <w:t xml:space="preserve">Ahora bien, teniendo en cuenta que el régimen de los </w:t>
      </w:r>
      <w:r w:rsidRPr="00250F66">
        <w:rPr>
          <w:rFonts w:ascii="Arial" w:hAnsi="Arial" w:eastAsia="Calibri" w:cs="Arial"/>
          <w:i/>
          <w:iCs/>
          <w:lang w:val="es-ES" w:eastAsia="es-MX"/>
        </w:rPr>
        <w:t xml:space="preserve">conflictos de interés </w:t>
      </w:r>
      <w:r w:rsidRPr="00250F66">
        <w:rPr>
          <w:rFonts w:ascii="Arial" w:hAnsi="Arial" w:eastAsia="Calibri" w:cs="Arial"/>
          <w:lang w:val="es-ES" w:eastAsia="es-MX"/>
        </w:rPr>
        <w:t xml:space="preserve">tienen como objetivo la prevalencia común sobre el particular y que son definidos como la ocurrencia de intereses antagónicos que afectan la transparencia en las decisiones, al implicar –en detrimento del interés general– el aprovechamiento personal, familiar o particular, en los Documentos Tipo de interventoría de obra pública de infraestructura de transporte adoptados por esta Agencia mediante la Resolución 256 del 11 de diciembre de 2020, y actualizados a través de la Resolución 326 del 22 de julio 2022, se estableció en el numeral 1.14 del “Documento Base” como conflicto de interés que no podrán participar en el Proceso de Contratación </w:t>
      </w:r>
      <w:r w:rsidRPr="00250F66">
        <w:rPr>
          <w:rFonts w:ascii="Arial" w:hAnsi="Arial" w:eastAsia="Calibri" w:cs="Arial"/>
          <w:i/>
          <w:iCs/>
          <w:lang w:val="es-ES" w:eastAsia="es-MX"/>
        </w:rPr>
        <w:t>“[…] quienes hayan realizado los estudios y diseños de la obra cuya interventoría se va a contratar</w:t>
      </w:r>
      <w:r w:rsidRPr="00250F66">
        <w:rPr>
          <w:rFonts w:ascii="Arial" w:hAnsi="Arial" w:eastAsia="Calibri" w:cs="Arial"/>
          <w:lang w:val="es-ES" w:eastAsia="es-MX"/>
        </w:rPr>
        <w:t>”.</w:t>
      </w:r>
    </w:p>
    <w:p w:rsidRPr="00250F66" w:rsidR="003227D8" w:rsidP="003227D8" w:rsidRDefault="003227D8" w14:paraId="2BD08612" w14:textId="77777777">
      <w:pPr>
        <w:spacing w:before="120" w:after="0" w:line="276" w:lineRule="auto"/>
        <w:jc w:val="both"/>
        <w:rPr>
          <w:rFonts w:ascii="Arial" w:hAnsi="Arial" w:eastAsia="Calibri" w:cs="Arial"/>
          <w:lang w:val="es-ES" w:eastAsia="es-MX"/>
        </w:rPr>
      </w:pPr>
      <w:r w:rsidRPr="00250F66">
        <w:rPr>
          <w:rFonts w:ascii="Arial" w:hAnsi="Arial" w:eastAsia="Calibri" w:cs="Arial"/>
          <w:lang w:val="es-ES" w:eastAsia="es-MX"/>
        </w:rPr>
        <w:tab/>
      </w:r>
      <w:r w:rsidRPr="00250F66">
        <w:rPr>
          <w:rFonts w:ascii="Arial" w:hAnsi="Arial" w:eastAsia="Calibri" w:cs="Arial"/>
          <w:lang w:val="es-ES" w:eastAsia="es-MX"/>
        </w:rPr>
        <w:t>De esta forma, dicha causal regirá para aquellos procesos de selección de interventores que se adelanten en aplicación de los Documentos Tipo de interventoría de obra pública de infraestructura de transporte y restringirá así, la participación de aquellos que tengan una situación que se adecué a esta.</w:t>
      </w:r>
    </w:p>
    <w:p w:rsidRPr="00250F66" w:rsidR="003227D8" w:rsidP="003227D8" w:rsidRDefault="003227D8" w14:paraId="79B43DE6" w14:textId="77777777">
      <w:pPr>
        <w:spacing w:before="120" w:after="0" w:line="276" w:lineRule="auto"/>
        <w:jc w:val="both"/>
        <w:rPr>
          <w:rFonts w:ascii="Arial" w:hAnsi="Arial" w:eastAsia="Calibri" w:cs="Arial"/>
          <w:lang w:val="es-ES" w:eastAsia="es-MX"/>
        </w:rPr>
      </w:pPr>
      <w:r w:rsidRPr="00250F66">
        <w:rPr>
          <w:rFonts w:ascii="Arial" w:hAnsi="Arial" w:eastAsia="Calibri" w:cs="Arial"/>
          <w:lang w:val="es-ES" w:eastAsia="es-MX"/>
        </w:rPr>
        <w:tab/>
      </w:r>
      <w:r w:rsidRPr="00250F66">
        <w:rPr>
          <w:rFonts w:ascii="Arial" w:hAnsi="Arial" w:eastAsia="Calibri" w:cs="Arial"/>
          <w:lang w:val="es-ES" w:eastAsia="es-MX"/>
        </w:rPr>
        <w:t xml:space="preserve">Finalmente, respecto del régimen de inhabilidades e incompatibilidades, vale la pena aclarar que al ser restricciones o límites especiales a la capacidad para presentar ofertas y celebrar contratos estatales, sólo pueden tipificarse en la ley o la constitución –o sea, deben </w:t>
      </w:r>
      <w:r w:rsidRPr="00250F66">
        <w:rPr>
          <w:rFonts w:ascii="Arial" w:hAnsi="Arial" w:eastAsia="Calibri" w:cs="Arial"/>
          <w:lang w:val="es-ES" w:eastAsia="es-MX"/>
        </w:rPr>
        <w:t>satisfacer el principio de legalidad– y su interpretación debe ser restrictiva. Además, en relación con la determinación de las causales de inhabilidad en incompatibilidad, la Corte Constitucional ha resaltado que la competencia para determinar qué hechos o situaciones generan inhabilidades o incompatibilidades para contratar con el Estado, la tiene el legislador, pues este régimen es un aspecto propio del EGCAP, cuya expedición compete al Congreso de la república, conforme al artículo 150 de la Constitución Política.</w:t>
      </w:r>
    </w:p>
    <w:p w:rsidRPr="00250F66" w:rsidR="003227D8" w:rsidP="003227D8" w:rsidRDefault="003227D8" w14:paraId="12B786D6" w14:textId="77777777">
      <w:pPr>
        <w:widowControl w:val="0"/>
        <w:autoSpaceDE w:val="0"/>
        <w:autoSpaceDN w:val="0"/>
        <w:spacing w:after="0" w:line="276" w:lineRule="auto"/>
        <w:contextualSpacing/>
        <w:jc w:val="both"/>
        <w:rPr>
          <w:rFonts w:ascii="Arial" w:hAnsi="Arial" w:eastAsia="Calibri" w:cs="Arial"/>
        </w:rPr>
      </w:pPr>
    </w:p>
    <w:p w:rsidRPr="00250F66" w:rsidR="003227D8" w:rsidP="003227D8" w:rsidRDefault="003227D8" w14:paraId="25BC70F9" w14:textId="77777777">
      <w:pPr>
        <w:widowControl w:val="0"/>
        <w:autoSpaceDE w:val="0"/>
        <w:autoSpaceDN w:val="0"/>
        <w:spacing w:after="0" w:line="276" w:lineRule="auto"/>
        <w:contextualSpacing/>
        <w:jc w:val="both"/>
        <w:rPr>
          <w:rFonts w:ascii="Arial" w:hAnsi="Arial" w:eastAsia="Times New Roman" w:cs="Arial"/>
          <w:lang w:eastAsia="es-ES_tradnl"/>
        </w:rPr>
      </w:pPr>
      <w:r w:rsidRPr="00250F66">
        <w:rPr>
          <w:rFonts w:ascii="Arial" w:hAnsi="Arial" w:eastAsia="Calibri" w:cs="Ari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250F66" w:rsidR="003227D8" w:rsidP="003227D8" w:rsidRDefault="003227D8" w14:paraId="4946C0E5" w14:textId="77777777">
      <w:pPr>
        <w:spacing w:after="120" w:line="276" w:lineRule="auto"/>
        <w:jc w:val="both"/>
        <w:rPr>
          <w:rFonts w:ascii="Arial" w:hAnsi="Arial" w:eastAsia="Times New Roman" w:cs="Arial"/>
          <w:lang w:eastAsia="es-ES_tradnl"/>
        </w:rPr>
      </w:pPr>
    </w:p>
    <w:p w:rsidRPr="00250F66" w:rsidR="003227D8" w:rsidP="003227D8" w:rsidRDefault="003227D8" w14:paraId="3A62F320" w14:textId="77777777">
      <w:pPr>
        <w:spacing w:after="200" w:line="276" w:lineRule="auto"/>
        <w:jc w:val="both"/>
        <w:rPr>
          <w:rFonts w:ascii="Arial" w:hAnsi="Arial" w:eastAsia="Times New Roman" w:cs="Arial"/>
          <w:lang w:eastAsia="es-CO"/>
        </w:rPr>
      </w:pPr>
      <w:r w:rsidRPr="00250F66">
        <w:rPr>
          <w:rFonts w:ascii="Arial" w:hAnsi="Arial" w:eastAsia="Times New Roman" w:cs="Arial"/>
          <w:lang w:eastAsia="es-CO"/>
        </w:rPr>
        <w:t>Atentamente,</w:t>
      </w:r>
    </w:p>
    <w:p w:rsidRPr="00250F66" w:rsidR="003227D8" w:rsidP="003227D8" w:rsidRDefault="00595D6A" w14:paraId="0115D59D" w14:textId="198DBD36">
      <w:pPr>
        <w:spacing w:after="200" w:line="276" w:lineRule="auto"/>
        <w:jc w:val="center"/>
        <w:rPr>
          <w:rFonts w:ascii="Arial" w:hAnsi="Arial" w:eastAsia="Calibri" w:cs="Arial"/>
          <w:b/>
          <w:bCs/>
          <w:sz w:val="20"/>
          <w:szCs w:val="20"/>
          <w:lang w:val="es-MX"/>
        </w:rPr>
      </w:pPr>
      <w:bookmarkStart w:name="_Hlk130981267" w:id="16"/>
      <w:bookmarkEnd w:id="0"/>
      <w:bookmarkEnd w:id="15"/>
      <w:r>
        <w:rPr>
          <w:rFonts w:ascii="Calibri" w:hAnsi="Calibri" w:cs="Calibri"/>
          <w:noProof/>
          <w:color w:val="000000"/>
          <w:shd w:val="clear" w:color="auto" w:fill="FFFFFF"/>
        </w:rPr>
        <w:drawing>
          <wp:inline distT="0" distB="0" distL="0" distR="0" wp14:anchorId="074C2138" wp14:editId="79A96705">
            <wp:extent cx="3154680" cy="1208405"/>
            <wp:effectExtent l="0" t="0" r="7620" b="0"/>
            <wp:docPr id="1152521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1208405"/>
                    </a:xfrm>
                    <a:prstGeom prst="rect">
                      <a:avLst/>
                    </a:prstGeom>
                    <a:noFill/>
                    <a:ln>
                      <a:noFill/>
                    </a:ln>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250F66" w:rsidR="003227D8" w:rsidTr="00920A1F" w14:paraId="63D57185" w14:textId="77777777">
        <w:trPr>
          <w:trHeight w:val="315"/>
        </w:trPr>
        <w:tc>
          <w:tcPr>
            <w:tcW w:w="855" w:type="dxa"/>
            <w:vAlign w:val="center"/>
            <w:hideMark/>
          </w:tcPr>
          <w:p w:rsidRPr="00250F66" w:rsidR="003227D8" w:rsidP="00920A1F" w:rsidRDefault="003227D8" w14:paraId="3DB0AA59"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Elaboró:</w:t>
            </w:r>
          </w:p>
        </w:tc>
        <w:tc>
          <w:tcPr>
            <w:tcW w:w="4957" w:type="dxa"/>
            <w:tcBorders>
              <w:top w:val="nil"/>
              <w:left w:val="nil"/>
              <w:bottom w:val="dotted" w:color="7F7F7F" w:sz="4" w:space="0"/>
              <w:right w:val="nil"/>
            </w:tcBorders>
            <w:vAlign w:val="center"/>
            <w:hideMark/>
          </w:tcPr>
          <w:p w:rsidRPr="00250F66" w:rsidR="003227D8" w:rsidP="00920A1F" w:rsidRDefault="003227D8" w14:paraId="3D83E8A8"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Nasly Yeana Mosquera Rivas</w:t>
            </w:r>
          </w:p>
          <w:p w:rsidRPr="00250F66" w:rsidR="003227D8" w:rsidP="00920A1F" w:rsidRDefault="003227D8" w14:paraId="08814F8C"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Analista T2–06 de la Subdirección de Gestión Contractual</w:t>
            </w:r>
          </w:p>
        </w:tc>
      </w:tr>
      <w:tr w:rsidRPr="00250F66" w:rsidR="003227D8" w:rsidTr="00920A1F" w14:paraId="7928179C" w14:textId="77777777">
        <w:trPr>
          <w:trHeight w:val="330"/>
        </w:trPr>
        <w:tc>
          <w:tcPr>
            <w:tcW w:w="855" w:type="dxa"/>
            <w:vAlign w:val="center"/>
            <w:hideMark/>
          </w:tcPr>
          <w:p w:rsidRPr="00250F66" w:rsidR="003227D8" w:rsidP="00920A1F" w:rsidRDefault="003227D8" w14:paraId="0E70D5FC"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Revisó:</w:t>
            </w:r>
          </w:p>
        </w:tc>
        <w:tc>
          <w:tcPr>
            <w:tcW w:w="4957" w:type="dxa"/>
            <w:tcBorders>
              <w:top w:val="dotted" w:color="7F7F7F" w:sz="4" w:space="0"/>
              <w:left w:val="nil"/>
              <w:bottom w:val="dotted" w:color="7F7F7F" w:sz="4" w:space="0"/>
              <w:right w:val="nil"/>
            </w:tcBorders>
            <w:vAlign w:val="center"/>
            <w:hideMark/>
          </w:tcPr>
          <w:p w:rsidRPr="00250F66" w:rsidR="003227D8" w:rsidP="00920A1F" w:rsidRDefault="003227D8" w14:paraId="19CDCFC8"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Juan David Cárdenas Cabeza</w:t>
            </w:r>
          </w:p>
          <w:p w:rsidRPr="00250F66" w:rsidR="003227D8" w:rsidP="00920A1F" w:rsidRDefault="003227D8" w14:paraId="07A8FE15"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Contratista de la Subdirección de Gestión Contractual</w:t>
            </w:r>
          </w:p>
        </w:tc>
      </w:tr>
      <w:tr w:rsidRPr="00250F66" w:rsidR="003227D8" w:rsidTr="00920A1F" w14:paraId="6D32439F" w14:textId="77777777">
        <w:trPr>
          <w:trHeight w:val="300"/>
        </w:trPr>
        <w:tc>
          <w:tcPr>
            <w:tcW w:w="855" w:type="dxa"/>
            <w:vAlign w:val="center"/>
            <w:hideMark/>
          </w:tcPr>
          <w:p w:rsidRPr="00250F66" w:rsidR="003227D8" w:rsidP="00920A1F" w:rsidRDefault="003227D8" w14:paraId="121EAD6B"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Aprobó:</w:t>
            </w:r>
          </w:p>
        </w:tc>
        <w:tc>
          <w:tcPr>
            <w:tcW w:w="4957" w:type="dxa"/>
            <w:tcBorders>
              <w:top w:val="dotted" w:color="7F7F7F" w:sz="4" w:space="0"/>
              <w:left w:val="nil"/>
              <w:bottom w:val="dotted" w:color="7F7F7F" w:sz="4" w:space="0"/>
              <w:right w:val="nil"/>
            </w:tcBorders>
            <w:vAlign w:val="center"/>
            <w:hideMark/>
          </w:tcPr>
          <w:p w:rsidRPr="00250F66" w:rsidR="003227D8" w:rsidP="00920A1F" w:rsidRDefault="003227D8" w14:paraId="3DEF8B28"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 xml:space="preserve">Nohelia del Carmen </w:t>
            </w:r>
            <w:proofErr w:type="spellStart"/>
            <w:r w:rsidRPr="00250F66">
              <w:rPr>
                <w:rFonts w:ascii="Arial" w:hAnsi="Arial" w:eastAsia="Times New Roman" w:cs="Arial"/>
                <w:sz w:val="16"/>
                <w:szCs w:val="16"/>
                <w:lang w:eastAsia="es-ES"/>
              </w:rPr>
              <w:t>Zawady</w:t>
            </w:r>
            <w:proofErr w:type="spellEnd"/>
            <w:r w:rsidRPr="00250F66">
              <w:rPr>
                <w:rFonts w:ascii="Arial" w:hAnsi="Arial" w:eastAsia="Times New Roman" w:cs="Arial"/>
                <w:sz w:val="16"/>
                <w:szCs w:val="16"/>
                <w:lang w:eastAsia="es-ES"/>
              </w:rPr>
              <w:t xml:space="preserve"> Palacio</w:t>
            </w:r>
          </w:p>
          <w:p w:rsidRPr="00250F66" w:rsidR="003227D8" w:rsidP="00920A1F" w:rsidRDefault="003227D8" w14:paraId="29BA5A98" w14:textId="77777777">
            <w:pPr>
              <w:rPr>
                <w:rFonts w:ascii="Arial" w:hAnsi="Arial" w:eastAsia="Times New Roman" w:cs="Arial"/>
                <w:sz w:val="16"/>
                <w:szCs w:val="16"/>
                <w:lang w:eastAsia="es-ES"/>
              </w:rPr>
            </w:pPr>
            <w:r w:rsidRPr="00250F66">
              <w:rPr>
                <w:rFonts w:ascii="Arial" w:hAnsi="Arial" w:eastAsia="Times New Roman" w:cs="Arial"/>
                <w:sz w:val="16"/>
                <w:szCs w:val="16"/>
                <w:lang w:eastAsia="es-ES"/>
              </w:rPr>
              <w:t>Subdirectora de Gestión Contractual ANCP – CCE</w:t>
            </w:r>
          </w:p>
        </w:tc>
      </w:tr>
      <w:bookmarkEnd w:id="1"/>
      <w:bookmarkEnd w:id="2"/>
      <w:bookmarkEnd w:id="3"/>
      <w:bookmarkEnd w:id="4"/>
      <w:bookmarkEnd w:id="16"/>
    </w:tbl>
    <w:p w:rsidRPr="00250F66" w:rsidR="003227D8" w:rsidP="003227D8" w:rsidRDefault="003227D8" w14:paraId="3C5912C3" w14:textId="77777777"/>
    <w:p w:rsidRPr="00250F66" w:rsidR="003227D8" w:rsidP="003227D8" w:rsidRDefault="003227D8" w14:paraId="4031A12D" w14:textId="77777777"/>
    <w:p w:rsidR="003227D8" w:rsidRDefault="003227D8" w14:paraId="0BD474F4" w14:textId="77777777"/>
    <w:sectPr w:rsidR="003227D8"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9BF" w:rsidP="003227D8" w:rsidRDefault="002079BF" w14:paraId="39DDF9E6" w14:textId="77777777">
      <w:pPr>
        <w:spacing w:after="0" w:line="240" w:lineRule="auto"/>
      </w:pPr>
      <w:r>
        <w:separator/>
      </w:r>
    </w:p>
  </w:endnote>
  <w:endnote w:type="continuationSeparator" w:id="0">
    <w:p w:rsidR="002079BF" w:rsidP="003227D8" w:rsidRDefault="002079BF" w14:paraId="15BE01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3227D8" w14:paraId="0E88D911" w14:textId="77777777">
    <w:pPr>
      <w:pStyle w:val="Piedepgina"/>
    </w:pPr>
    <w:r>
      <w:rPr>
        <w:noProof/>
      </w:rPr>
      <w:drawing>
        <wp:inline distT="0" distB="0" distL="0" distR="0" wp14:anchorId="2E048294" wp14:editId="7E123790">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1BEA7A50" wp14:editId="0D63113A">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66A56C3D"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227D8" w14:paraId="32FC13AE"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227D8" w14:paraId="0B8BBE06"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227D8" w14:paraId="0B05AE6B"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227D8" w14:paraId="74010839"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6219F8" w:rsidP="003E0499" w:rsidRDefault="00000000" w14:paraId="733651F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9BF" w:rsidP="003227D8" w:rsidRDefault="002079BF" w14:paraId="57820C8A" w14:textId="77777777">
      <w:pPr>
        <w:spacing w:after="0" w:line="240" w:lineRule="auto"/>
      </w:pPr>
      <w:r>
        <w:separator/>
      </w:r>
    </w:p>
  </w:footnote>
  <w:footnote w:type="continuationSeparator" w:id="0">
    <w:p w:rsidR="002079BF" w:rsidP="003227D8" w:rsidRDefault="002079BF" w14:paraId="1C841794" w14:textId="77777777">
      <w:pPr>
        <w:spacing w:after="0" w:line="240" w:lineRule="auto"/>
      </w:pPr>
      <w:r>
        <w:continuationSeparator/>
      </w:r>
    </w:p>
  </w:footnote>
  <w:footnote w:id="1">
    <w:p w:rsidRPr="00B05597" w:rsidR="003227D8" w:rsidP="003227D8" w:rsidRDefault="003227D8" w14:paraId="6ADA072A" w14:textId="77777777">
      <w:pPr>
        <w:pStyle w:val="Textonotapie"/>
        <w:ind w:firstLine="708"/>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05597">
        <w:rPr>
          <w:rFonts w:ascii="Arial" w:hAnsi="Arial" w:cs="Arial"/>
          <w:i/>
          <w:iCs/>
          <w:sz w:val="18"/>
          <w:szCs w:val="18"/>
        </w:rPr>
        <w:t xml:space="preserve">ibidem </w:t>
      </w:r>
      <w:r w:rsidRPr="00B05597">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B05597" w:rsidR="003227D8" w:rsidP="003227D8" w:rsidRDefault="003227D8" w14:paraId="4951B4E5" w14:textId="77777777">
      <w:pPr>
        <w:pStyle w:val="Textonotapie"/>
        <w:ind w:firstLine="708"/>
        <w:jc w:val="both"/>
        <w:rPr>
          <w:rFonts w:ascii="Arial" w:hAnsi="Arial" w:cs="Arial"/>
          <w:sz w:val="18"/>
          <w:szCs w:val="18"/>
          <w:lang w:val="es-ES"/>
        </w:rPr>
      </w:pPr>
    </w:p>
  </w:footnote>
  <w:footnote w:id="2">
    <w:p w:rsidRPr="00B05597" w:rsidR="003227D8" w:rsidP="003227D8" w:rsidRDefault="003227D8" w14:paraId="5E958F7A" w14:textId="77777777">
      <w:pPr>
        <w:pStyle w:val="Textonotapie"/>
        <w:ind w:firstLine="708"/>
        <w:jc w:val="both"/>
        <w:rPr>
          <w:rFonts w:ascii="Arial" w:hAnsi="Arial" w:cs="Arial"/>
          <w:color w:val="161616"/>
          <w:sz w:val="18"/>
          <w:szCs w:val="18"/>
        </w:rPr>
      </w:pPr>
      <w:r w:rsidRPr="00B05597">
        <w:rPr>
          <w:rStyle w:val="Refdenotaalpie"/>
          <w:rFonts w:ascii="Arial" w:hAnsi="Arial" w:cs="Arial"/>
          <w:color w:val="161616"/>
          <w:sz w:val="18"/>
          <w:szCs w:val="18"/>
        </w:rPr>
        <w:footnoteRef/>
      </w:r>
      <w:r w:rsidRPr="00B05597">
        <w:rPr>
          <w:rFonts w:ascii="Arial" w:hAnsi="Arial" w:cs="Arial"/>
          <w:color w:val="161616"/>
          <w:sz w:val="18"/>
          <w:szCs w:val="18"/>
        </w:rPr>
        <w:t xml:space="preserve"> </w:t>
      </w:r>
      <w:r>
        <w:rPr>
          <w:rFonts w:ascii="Arial" w:hAnsi="Arial" w:cs="Arial"/>
          <w:color w:val="161616"/>
          <w:sz w:val="18"/>
          <w:szCs w:val="18"/>
        </w:rPr>
        <w:t>“</w:t>
      </w:r>
      <w:r w:rsidRPr="00B05597">
        <w:rPr>
          <w:rFonts w:ascii="Arial" w:hAnsi="Arial" w:cs="Arial"/>
          <w:color w:val="161616"/>
          <w:sz w:val="18"/>
          <w:szCs w:val="18"/>
        </w:rPr>
        <w:t>Son también contratos de consultoría los que tienen por objeto la interventoría […]</w:t>
      </w:r>
      <w:r>
        <w:rPr>
          <w:rFonts w:ascii="Arial" w:hAnsi="Arial" w:cs="Arial"/>
          <w:color w:val="161616"/>
          <w:sz w:val="18"/>
          <w:szCs w:val="18"/>
        </w:rPr>
        <w:t>”</w:t>
      </w:r>
    </w:p>
  </w:footnote>
  <w:footnote w:id="3">
    <w:p w:rsidR="003227D8" w:rsidP="003227D8" w:rsidRDefault="003227D8" w14:paraId="2AAE36CE" w14:textId="77777777">
      <w:pPr>
        <w:pStyle w:val="Textonotapie"/>
        <w:ind w:firstLine="708"/>
        <w:jc w:val="both"/>
        <w:rPr>
          <w:rFonts w:ascii="Arial" w:hAnsi="Arial" w:eastAsia="Times New Roman" w:cs="Arial"/>
          <w:sz w:val="18"/>
          <w:szCs w:val="18"/>
          <w:lang w:val="es-CO" w:eastAsia="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eastAsia="Times New Roman" w:cs="Arial"/>
          <w:sz w:val="18"/>
          <w:szCs w:val="18"/>
          <w:lang w:val="es-CO" w:eastAsia="es-ES"/>
        </w:rPr>
        <w:t>En armonía con lo anterior, el artículo 53 de la Ley 80 de 1993, modificado por el artículo 2 de la Ley 1882 de 2018, atendiendo al alcance de las obligaciones del interventor establece respecto del alcance de la responsabilidad de los interventores, que: […] 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p w:rsidRPr="00B05597" w:rsidR="003227D8" w:rsidP="003227D8" w:rsidRDefault="003227D8" w14:paraId="78793D7F" w14:textId="77777777">
      <w:pPr>
        <w:pStyle w:val="Textonotapie"/>
        <w:ind w:firstLine="708"/>
        <w:jc w:val="both"/>
        <w:rPr>
          <w:rFonts w:ascii="Arial" w:hAnsi="Arial" w:cs="Arial"/>
          <w:sz w:val="18"/>
          <w:szCs w:val="18"/>
          <w:lang w:val="es-CO"/>
        </w:rPr>
      </w:pPr>
    </w:p>
  </w:footnote>
  <w:footnote w:id="4">
    <w:p w:rsidRPr="00B05597" w:rsidR="003227D8" w:rsidP="003227D8" w:rsidRDefault="003227D8" w14:paraId="5E3927F9" w14:textId="77777777">
      <w:pPr>
        <w:pStyle w:val="Textonotapie"/>
        <w:ind w:firstLine="708"/>
        <w:jc w:val="both"/>
        <w:rPr>
          <w:rFonts w:ascii="Arial" w:hAnsi="Arial" w:cs="Arial"/>
          <w:color w:val="000000" w:themeColor="text1"/>
          <w:sz w:val="18"/>
          <w:szCs w:val="18"/>
        </w:rPr>
      </w:pPr>
      <w:r w:rsidRPr="00B05597">
        <w:rPr>
          <w:rStyle w:val="Refdenotaalpie"/>
          <w:rFonts w:ascii="Arial" w:hAnsi="Arial" w:cs="Arial"/>
          <w:color w:val="000000" w:themeColor="text1"/>
          <w:sz w:val="18"/>
          <w:szCs w:val="18"/>
        </w:rPr>
        <w:footnoteRef/>
      </w:r>
      <w:r w:rsidRPr="00B05597">
        <w:rPr>
          <w:rFonts w:ascii="Arial" w:hAnsi="Arial" w:cs="Arial"/>
          <w:color w:val="000000" w:themeColor="text1"/>
          <w:sz w:val="18"/>
          <w:szCs w:val="18"/>
        </w:rPr>
        <w:t xml:space="preserve"> Cfr. Conceptos: C-229 del 16 de abril de 2020, C-815 del 18 de febrero de 2021 y C-449 del 31 de agosto de 2021.</w:t>
      </w:r>
    </w:p>
    <w:p w:rsidRPr="00B05597" w:rsidR="003227D8" w:rsidP="003227D8" w:rsidRDefault="003227D8" w14:paraId="51BF5898" w14:textId="77777777">
      <w:pPr>
        <w:pStyle w:val="Textonotapie"/>
        <w:ind w:firstLine="708"/>
        <w:jc w:val="both"/>
        <w:rPr>
          <w:rFonts w:ascii="Arial" w:hAnsi="Arial" w:cs="Arial"/>
          <w:color w:val="000000" w:themeColor="text1"/>
          <w:sz w:val="18"/>
          <w:szCs w:val="18"/>
          <w:lang w:val="es-CO"/>
        </w:rPr>
      </w:pPr>
    </w:p>
  </w:footnote>
  <w:footnote w:id="5">
    <w:p w:rsidRPr="00B05597" w:rsidR="003227D8" w:rsidP="003227D8" w:rsidRDefault="003227D8" w14:paraId="34B69098" w14:textId="77777777">
      <w:pPr>
        <w:pStyle w:val="Textonotapie"/>
        <w:ind w:firstLine="708"/>
        <w:jc w:val="both"/>
        <w:rPr>
          <w:rFonts w:ascii="Arial" w:hAnsi="Arial" w:cs="Arial"/>
          <w:color w:val="000000" w:themeColor="text1"/>
          <w:sz w:val="18"/>
          <w:szCs w:val="18"/>
        </w:rPr>
      </w:pPr>
      <w:r w:rsidRPr="00B05597">
        <w:rPr>
          <w:rStyle w:val="Refdenotaalpie"/>
          <w:rFonts w:ascii="Arial" w:hAnsi="Arial" w:cs="Arial"/>
          <w:color w:val="000000" w:themeColor="text1"/>
          <w:sz w:val="18"/>
          <w:szCs w:val="18"/>
        </w:rPr>
        <w:footnoteRef/>
      </w:r>
      <w:r w:rsidRPr="00B05597">
        <w:rPr>
          <w:rFonts w:ascii="Arial" w:hAnsi="Arial" w:cs="Arial"/>
          <w:color w:val="000000" w:themeColor="text1"/>
          <w:sz w:val="18"/>
          <w:szCs w:val="18"/>
        </w:rPr>
        <w:t xml:space="preserve"> CONSEJO DE ESTADO. Sala de Consulta y de Servicio Civil. Concepto del 23 de marzo de 2011. Rad. 2.045. C.P. Enrique José Arboleda Perdomo.</w:t>
      </w:r>
    </w:p>
    <w:p w:rsidRPr="00B05597" w:rsidR="003227D8" w:rsidP="003227D8" w:rsidRDefault="003227D8" w14:paraId="5AD5D4BC" w14:textId="77777777">
      <w:pPr>
        <w:pStyle w:val="Textonotapie"/>
        <w:ind w:firstLine="708"/>
        <w:jc w:val="both"/>
        <w:rPr>
          <w:rFonts w:ascii="Arial" w:hAnsi="Arial" w:cs="Arial"/>
          <w:color w:val="000000" w:themeColor="text1"/>
          <w:sz w:val="18"/>
          <w:szCs w:val="18"/>
        </w:rPr>
      </w:pPr>
    </w:p>
  </w:footnote>
  <w:footnote w:id="6">
    <w:p w:rsidR="003227D8" w:rsidP="003227D8" w:rsidRDefault="003227D8" w14:paraId="584F0F01" w14:textId="77777777">
      <w:pPr>
        <w:pStyle w:val="Textonotapie"/>
        <w:ind w:firstLine="709"/>
        <w:jc w:val="both"/>
        <w:rPr>
          <w:rFonts w:ascii="Arial" w:hAnsi="Arial" w:cs="Arial"/>
          <w:sz w:val="18"/>
          <w:szCs w:val="18"/>
          <w:lang w:val="pt-BR"/>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pt-BR"/>
        </w:rPr>
        <w:t>CORTE CONSTITUCIONAL. Sentencia C-1016 de 2012. M.P. Jorge Iván Palacio.</w:t>
      </w:r>
    </w:p>
    <w:p w:rsidRPr="00B05597" w:rsidR="003227D8" w:rsidP="003227D8" w:rsidRDefault="003227D8" w14:paraId="6BFF89FA" w14:textId="77777777">
      <w:pPr>
        <w:pStyle w:val="Textonotapie"/>
        <w:ind w:firstLine="709"/>
        <w:jc w:val="both"/>
        <w:rPr>
          <w:rFonts w:ascii="Arial" w:hAnsi="Arial" w:cs="Arial"/>
          <w:sz w:val="18"/>
          <w:szCs w:val="18"/>
          <w:lang w:val="es-ES_tradnl"/>
        </w:rPr>
      </w:pPr>
    </w:p>
  </w:footnote>
  <w:footnote w:id="7">
    <w:p w:rsidRPr="00B05597" w:rsidR="003227D8" w:rsidP="003227D8" w:rsidRDefault="003227D8" w14:paraId="455D3C3F" w14:textId="77777777">
      <w:pPr>
        <w:pStyle w:val="Textonotapie"/>
        <w:ind w:firstLine="709"/>
        <w:jc w:val="both"/>
        <w:rPr>
          <w:rFonts w:ascii="Arial" w:hAnsi="Arial" w:cs="Arial"/>
          <w:sz w:val="18"/>
          <w:szCs w:val="18"/>
          <w:lang w:val="pt-BR"/>
        </w:rPr>
      </w:pPr>
      <w:r w:rsidRPr="00B05597">
        <w:rPr>
          <w:rStyle w:val="Refdenotaalpie"/>
          <w:rFonts w:ascii="Arial" w:hAnsi="Arial" w:cs="Arial"/>
          <w:sz w:val="18"/>
          <w:szCs w:val="18"/>
        </w:rPr>
        <w:footnoteRef/>
      </w:r>
      <w:r w:rsidRPr="00B05597">
        <w:rPr>
          <w:rFonts w:ascii="Arial" w:hAnsi="Arial" w:cs="Arial"/>
          <w:sz w:val="18"/>
          <w:szCs w:val="18"/>
        </w:rPr>
        <w:t xml:space="preserve"> CONSEJO DE ESTADO. Sección Tercera. Subsección A. Sentencia del 13 de noviembre de 2013. </w:t>
      </w:r>
      <w:r w:rsidRPr="00B05597">
        <w:rPr>
          <w:rFonts w:ascii="Arial" w:hAnsi="Arial" w:cs="Arial"/>
          <w:sz w:val="18"/>
          <w:szCs w:val="18"/>
          <w:lang w:val="pt-BR"/>
        </w:rPr>
        <w:t xml:space="preserve">Rad. 25.646. C.P. Mauricio Fajardo Gómez.  </w:t>
      </w:r>
    </w:p>
    <w:p w:rsidRPr="00B05597" w:rsidR="003227D8" w:rsidP="003227D8" w:rsidRDefault="003227D8" w14:paraId="24DD239E" w14:textId="77777777">
      <w:pPr>
        <w:pStyle w:val="Textonotapie"/>
        <w:ind w:firstLine="709"/>
        <w:jc w:val="both"/>
        <w:rPr>
          <w:rFonts w:ascii="Arial" w:hAnsi="Arial" w:cs="Arial"/>
          <w:sz w:val="18"/>
          <w:szCs w:val="18"/>
          <w:lang w:val="es-ES_tradnl"/>
        </w:rPr>
      </w:pPr>
    </w:p>
  </w:footnote>
  <w:footnote w:id="8">
    <w:p w:rsidR="003227D8" w:rsidP="003227D8" w:rsidRDefault="003227D8" w14:paraId="52AC18FF" w14:textId="77777777">
      <w:pPr>
        <w:pStyle w:val="Textonotapie"/>
        <w:ind w:firstLine="709"/>
        <w:jc w:val="both"/>
        <w:rPr>
          <w:rFonts w:ascii="Arial" w:hAnsi="Arial" w:cs="Arial"/>
          <w:sz w:val="18"/>
          <w:szCs w:val="18"/>
          <w:lang w:val="pt-BR"/>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pt-BR"/>
        </w:rPr>
        <w:t>CORTE CONSTITUCIONAL. Sentencia C-415 de 1994. M.P. Eduardo Cifuentes Muñoz.</w:t>
      </w:r>
    </w:p>
    <w:p w:rsidRPr="00B05597" w:rsidR="003227D8" w:rsidP="003227D8" w:rsidRDefault="003227D8" w14:paraId="2F47DC1C" w14:textId="77777777">
      <w:pPr>
        <w:pStyle w:val="Textonotapie"/>
        <w:ind w:firstLine="709"/>
        <w:jc w:val="both"/>
        <w:rPr>
          <w:rFonts w:ascii="Arial" w:hAnsi="Arial" w:cs="Arial"/>
          <w:sz w:val="18"/>
          <w:szCs w:val="18"/>
          <w:lang w:val="es-ES_tradnl"/>
        </w:rPr>
      </w:pPr>
    </w:p>
  </w:footnote>
  <w:footnote w:id="9">
    <w:p w:rsidRPr="00B05597" w:rsidR="003227D8" w:rsidP="003227D8" w:rsidRDefault="003227D8" w14:paraId="72D3E01B" w14:textId="77777777">
      <w:pPr>
        <w:pStyle w:val="Textonotapie"/>
        <w:ind w:firstLine="709"/>
        <w:jc w:val="both"/>
        <w:rPr>
          <w:rFonts w:ascii="Arial" w:hAnsi="Arial" w:cs="Arial"/>
          <w:sz w:val="18"/>
          <w:szCs w:val="18"/>
          <w:lang w:val="pt-BR"/>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pt-BR"/>
        </w:rPr>
        <w:t>Ibídem.</w:t>
      </w:r>
    </w:p>
    <w:p w:rsidRPr="00B05597" w:rsidR="003227D8" w:rsidP="003227D8" w:rsidRDefault="003227D8" w14:paraId="45496604" w14:textId="77777777">
      <w:pPr>
        <w:pStyle w:val="Textonotapie"/>
        <w:ind w:firstLine="709"/>
        <w:jc w:val="both"/>
        <w:rPr>
          <w:rFonts w:ascii="Arial" w:hAnsi="Arial" w:cs="Arial"/>
          <w:sz w:val="18"/>
          <w:szCs w:val="18"/>
          <w:lang w:val="pt-BR"/>
        </w:rPr>
      </w:pPr>
    </w:p>
  </w:footnote>
  <w:footnote w:id="10">
    <w:p w:rsidRPr="00B05597" w:rsidR="003227D8" w:rsidP="003227D8" w:rsidRDefault="003227D8" w14:paraId="2BDB8B2F" w14:textId="77777777">
      <w:pPr>
        <w:pStyle w:val="Textonotapie"/>
        <w:ind w:firstLine="709"/>
        <w:jc w:val="both"/>
        <w:rPr>
          <w:rFonts w:ascii="Arial" w:hAnsi="Arial" w:cs="Arial"/>
          <w:sz w:val="18"/>
          <w:szCs w:val="18"/>
          <w:lang w:val="es-CO"/>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pt-BR"/>
        </w:rPr>
        <w:t xml:space="preserve">CORTE CONSTITUCIONAL. </w:t>
      </w:r>
      <w:r w:rsidRPr="00B05597">
        <w:rPr>
          <w:rFonts w:ascii="Arial" w:hAnsi="Arial" w:cs="Arial"/>
          <w:sz w:val="18"/>
          <w:szCs w:val="18"/>
        </w:rPr>
        <w:t xml:space="preserve">Sentencia C-780 de 2001. </w:t>
      </w:r>
      <w:r w:rsidRPr="00B05597">
        <w:rPr>
          <w:rFonts w:ascii="Arial" w:hAnsi="Arial" w:cs="Arial"/>
          <w:sz w:val="18"/>
          <w:szCs w:val="18"/>
          <w:lang w:val="es-CO"/>
        </w:rPr>
        <w:t xml:space="preserve">M.P. Jaime Córdoba Triviño. </w:t>
      </w:r>
    </w:p>
  </w:footnote>
  <w:footnote w:id="11">
    <w:p w:rsidRPr="00B05597" w:rsidR="003227D8" w:rsidP="003227D8" w:rsidRDefault="003227D8" w14:paraId="20775AD9" w14:textId="77777777">
      <w:pPr>
        <w:pStyle w:val="NormalWeb"/>
        <w:spacing w:after="0"/>
        <w:ind w:firstLine="709"/>
        <w:jc w:val="both"/>
        <w:rPr>
          <w:rFonts w:ascii="Arial" w:hAnsi="Arial" w:cs="Arial"/>
          <w:sz w:val="18"/>
          <w:szCs w:val="18"/>
        </w:rPr>
      </w:pPr>
    </w:p>
    <w:p w:rsidRPr="00B05597" w:rsidR="003227D8" w:rsidP="003227D8" w:rsidRDefault="003227D8" w14:paraId="1DE50955" w14:textId="77777777">
      <w:pPr>
        <w:pStyle w:val="NormalWeb"/>
        <w:spacing w:after="0"/>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Ley 80 de 1993: “Artículo 8: 1o. Son inhábiles para participar en licitaciones o concursos y para celebrar contratos con las entidades estatales: </w:t>
      </w:r>
    </w:p>
    <w:p w:rsidRPr="00B05597" w:rsidR="003227D8" w:rsidP="003227D8" w:rsidRDefault="003227D8" w14:paraId="76A3B4D4"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a) Las personas que se hallen inhabilitadas para contratar por la Constitución y las leyes. </w:t>
      </w:r>
    </w:p>
    <w:p w:rsidRPr="00B05597" w:rsidR="003227D8" w:rsidP="003227D8" w:rsidRDefault="003227D8" w14:paraId="015D16A4"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b) Quienes participaron en las licitaciones o concursos o celebraron los contratos de que trata el literal anterior estando inhabilitados. </w:t>
      </w:r>
    </w:p>
    <w:p w:rsidRPr="00B05597" w:rsidR="003227D8" w:rsidP="003227D8" w:rsidRDefault="003227D8" w14:paraId="6B3A3B29"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c) Quienes dieron lugar a la declaratoria de caducidad. </w:t>
      </w:r>
    </w:p>
    <w:p w:rsidRPr="00B05597" w:rsidR="003227D8" w:rsidP="003227D8" w:rsidRDefault="003227D8" w14:paraId="33FC8CD5"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d) Quienes en sentencia judicial hayan sido condenados a la pena accesoria de interdicción de derechos y funciones públicas y quienes hayan sido sancionados disciplinariamente con destitución. </w:t>
      </w:r>
    </w:p>
    <w:p w:rsidRPr="00B05597" w:rsidR="003227D8" w:rsidP="003227D8" w:rsidRDefault="003227D8" w14:paraId="7AB38CD6"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e) Quienes sin justa causa se abstengan de suscribir el contrato estatal adjudicado. </w:t>
      </w:r>
    </w:p>
    <w:p w:rsidRPr="00B05597" w:rsidR="003227D8" w:rsidP="003227D8" w:rsidRDefault="003227D8" w14:paraId="552ED631"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f) Los servidores públicos. </w:t>
      </w:r>
    </w:p>
    <w:p w:rsidRPr="00B05597" w:rsidR="003227D8" w:rsidP="003227D8" w:rsidRDefault="003227D8" w14:paraId="00DBF7BC"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rsidRPr="00B05597" w:rsidR="003227D8" w:rsidP="003227D8" w:rsidRDefault="003227D8" w14:paraId="11BBAA49"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rsidRPr="00B05597" w:rsidR="003227D8" w:rsidP="003227D8" w:rsidRDefault="003227D8" w14:paraId="678074D5"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i) Los socios de sociedades de personas a las cuales se haya declarado la caducidad, así como las sociedades de personas de las que aquellos formen parte con posterioridad a dicha declaratoria. </w:t>
      </w:r>
    </w:p>
    <w:p w:rsidRPr="00B05597" w:rsidR="003227D8" w:rsidP="003227D8" w:rsidRDefault="003227D8" w14:paraId="460EEB34"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rsidRPr="00B05597" w:rsidR="003227D8" w:rsidP="003227D8" w:rsidRDefault="003227D8" w14:paraId="4562078D"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Pr="00B05597" w:rsidR="003227D8" w:rsidP="003227D8" w:rsidRDefault="003227D8" w14:paraId="5CC88802"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B05597">
        <w:rPr>
          <w:rFonts w:ascii="Arial" w:hAnsi="Arial" w:cs="Arial"/>
          <w:sz w:val="18"/>
          <w:szCs w:val="18"/>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B05597">
        <w:rPr>
          <w:rFonts w:ascii="Arial" w:hAnsi="Arial" w:cs="Arial"/>
          <w:sz w:val="18"/>
          <w:szCs w:val="18"/>
          <w:lang w:val="es-ES"/>
        </w:rPr>
        <w:softHyphen/>
        <w:t>cepción de las sociedades anónimas abiertas. También se considerarán inhabilitadas para contratar, las personas jurídicas sobre las cuales se haya ordenado la suspensión de la perso</w:t>
      </w:r>
      <w:r w:rsidRPr="00B05597">
        <w:rPr>
          <w:rFonts w:ascii="Arial" w:hAnsi="Arial" w:cs="Arial"/>
          <w:sz w:val="18"/>
          <w:szCs w:val="18"/>
          <w:lang w:val="es-ES"/>
        </w:rPr>
        <w:softHyphen/>
        <w:t>nería jurídica en los términos de ley, o cuyos representantes legales, ad</w:t>
      </w:r>
      <w:r w:rsidRPr="00B05597">
        <w:rPr>
          <w:rFonts w:ascii="Arial" w:hAnsi="Arial" w:cs="Arial"/>
          <w:sz w:val="18"/>
          <w:szCs w:val="18"/>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B05597">
        <w:rPr>
          <w:rFonts w:ascii="Arial" w:hAnsi="Arial" w:cs="Arial"/>
          <w:sz w:val="18"/>
          <w:szCs w:val="18"/>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rsidRPr="00B05597" w:rsidR="003227D8" w:rsidP="003227D8" w:rsidRDefault="003227D8" w14:paraId="1416A220"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w:t>
      </w:r>
    </w:p>
    <w:p w:rsidRPr="00B05597" w:rsidR="003227D8" w:rsidP="003227D8" w:rsidRDefault="003227D8" w14:paraId="43566098" w14:textId="77777777">
      <w:pPr>
        <w:pStyle w:val="NormalWeb"/>
        <w:spacing w:after="0"/>
        <w:ind w:firstLine="709"/>
        <w:jc w:val="both"/>
        <w:rPr>
          <w:rFonts w:ascii="Arial" w:hAnsi="Arial" w:cs="Arial"/>
          <w:sz w:val="18"/>
          <w:szCs w:val="18"/>
          <w:lang w:val="es-ES"/>
        </w:rPr>
      </w:pPr>
      <w:r w:rsidRPr="00B05597">
        <w:rPr>
          <w:rFonts w:ascii="Arial" w:hAnsi="Arial" w:cs="Arial"/>
          <w:sz w:val="18"/>
          <w:szCs w:val="18"/>
          <w:lang w:val="es-ES"/>
        </w:rPr>
        <w:t>2o. Tampoco podrán participar en licitaciones o concursos ni celebrar contratos estatales con la entidad respectiva: </w:t>
      </w:r>
    </w:p>
    <w:p w:rsidRPr="00B05597" w:rsidR="003227D8" w:rsidP="003227D8" w:rsidRDefault="003227D8" w14:paraId="63C47F2F"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rsidRPr="00B05597" w:rsidR="003227D8" w:rsidP="003227D8" w:rsidRDefault="003227D8" w14:paraId="0450115C"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rsidRPr="00B05597" w:rsidR="003227D8" w:rsidP="003227D8" w:rsidRDefault="003227D8" w14:paraId="0EB69D63"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c) El cónyuge, compañero o compañera permanente del servidor público en los niveles directivo, asesor, ejecutivo, o de un miembro de la junta o consejo directivo, o de quien ejerza funciones de control interno o de control fiscal. </w:t>
      </w:r>
    </w:p>
    <w:p w:rsidRPr="00B05597" w:rsidR="003227D8" w:rsidP="003227D8" w:rsidRDefault="003227D8" w14:paraId="0EC0A3D4"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rsidRPr="00B05597" w:rsidR="003227D8" w:rsidP="003227D8" w:rsidRDefault="003227D8" w14:paraId="0F59ACB9"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e) Los miembros de las juntas o consejos directivos. Esta incompatibilidad sólo se predica respecto de la entidad a la cual prestan sus servicios y de las del sector administrativo al que la misma esté adscrita o vinculada. </w:t>
      </w:r>
    </w:p>
    <w:p w:rsidRPr="00B05597" w:rsidR="003227D8" w:rsidP="003227D8" w:rsidRDefault="003227D8" w14:paraId="7E43EB3A" w14:textId="77777777">
      <w:pPr>
        <w:pStyle w:val="NormalWeb"/>
        <w:spacing w:after="0"/>
        <w:ind w:firstLine="708"/>
        <w:jc w:val="both"/>
        <w:rPr>
          <w:rFonts w:ascii="Arial" w:hAnsi="Arial" w:cs="Arial"/>
          <w:sz w:val="18"/>
          <w:szCs w:val="18"/>
          <w:lang w:val="es-ES"/>
        </w:rPr>
      </w:pPr>
      <w:r w:rsidRPr="00B05597">
        <w:rPr>
          <w:rFonts w:ascii="Arial" w:hAnsi="Arial" w:cs="Arial"/>
          <w:sz w:val="18"/>
          <w:szCs w:val="18"/>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w:t>
      </w:r>
      <w:r>
        <w:rPr>
          <w:rFonts w:ascii="Arial" w:hAnsi="Arial" w:cs="Arial"/>
          <w:sz w:val="18"/>
          <w:szCs w:val="18"/>
          <w:lang w:val="es-ES"/>
        </w:rPr>
        <w:t>[</w:t>
      </w:r>
      <w:r w:rsidRPr="00B05597">
        <w:rPr>
          <w:rFonts w:ascii="Arial" w:hAnsi="Arial" w:cs="Arial"/>
          <w:sz w:val="18"/>
          <w:szCs w:val="18"/>
          <w:lang w:val="es-ES"/>
        </w:rPr>
        <w:t>…</w:t>
      </w:r>
      <w:r>
        <w:rPr>
          <w:rFonts w:ascii="Arial" w:hAnsi="Arial" w:cs="Arial"/>
          <w:sz w:val="18"/>
          <w:szCs w:val="18"/>
          <w:lang w:val="es-ES"/>
        </w:rPr>
        <w:t>]</w:t>
      </w:r>
      <w:r w:rsidRPr="00B05597">
        <w:rPr>
          <w:rFonts w:ascii="Arial" w:hAnsi="Arial" w:cs="Arial"/>
          <w:sz w:val="18"/>
          <w:szCs w:val="18"/>
          <w:lang w:val="es-ES"/>
        </w:rPr>
        <w:t xml:space="preserve">. </w:t>
      </w:r>
    </w:p>
  </w:footnote>
  <w:footnote w:id="12">
    <w:p w:rsidRPr="00B05597" w:rsidR="003227D8" w:rsidP="003227D8" w:rsidRDefault="003227D8" w14:paraId="0EA40EDA" w14:textId="77777777">
      <w:pPr>
        <w:pStyle w:val="Textonotapie"/>
        <w:ind w:firstLine="709"/>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rsidRPr="00B05597" w:rsidR="003227D8" w:rsidP="003227D8" w:rsidRDefault="003227D8" w14:paraId="46DA818F" w14:textId="77777777">
      <w:pPr>
        <w:pStyle w:val="Textonotapie"/>
        <w:ind w:firstLine="709"/>
        <w:jc w:val="both"/>
        <w:rPr>
          <w:rFonts w:ascii="Arial" w:hAnsi="Arial" w:cs="Arial"/>
          <w:sz w:val="18"/>
          <w:szCs w:val="18"/>
        </w:rPr>
      </w:pPr>
      <w:r w:rsidRPr="00B05597">
        <w:rPr>
          <w:rFonts w:ascii="Arial" w:hAnsi="Arial" w:cs="Arial"/>
          <w:sz w:val="18"/>
          <w:szCs w:val="18"/>
        </w:rPr>
        <w:t>Las personas jurídicas nacionales y extranjeras deberán acreditar que su duración no será inferior a la del plazo del contrato y un año más”.</w:t>
      </w:r>
    </w:p>
  </w:footnote>
  <w:footnote w:id="13">
    <w:p w:rsidRPr="00B05597" w:rsidR="003227D8" w:rsidP="003227D8" w:rsidRDefault="003227D8" w14:paraId="47A925E9" w14:textId="77777777">
      <w:pPr>
        <w:pStyle w:val="Textonotapie"/>
        <w:ind w:firstLine="709"/>
        <w:jc w:val="both"/>
        <w:rPr>
          <w:rFonts w:ascii="Arial" w:hAnsi="Arial" w:cs="Arial"/>
          <w:sz w:val="18"/>
          <w:szCs w:val="18"/>
        </w:rPr>
      </w:pPr>
    </w:p>
    <w:p w:rsidRPr="00B05597" w:rsidR="003227D8" w:rsidP="003227D8" w:rsidRDefault="003227D8" w14:paraId="3F20491D" w14:textId="77777777">
      <w:pPr>
        <w:pStyle w:val="Textonotapie"/>
        <w:ind w:firstLine="709"/>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Código Civil: “Artículo 1502. Requisitos para obligarse. Para que una persona se obligue a otra por un acto o declaración de voluntad, es necesario:</w:t>
      </w:r>
    </w:p>
    <w:p w:rsidRPr="00B05597" w:rsidR="003227D8" w:rsidP="003227D8" w:rsidRDefault="003227D8" w14:paraId="54A1C5D6" w14:textId="77777777">
      <w:pPr>
        <w:pStyle w:val="Textonotapie"/>
        <w:ind w:firstLine="709"/>
        <w:jc w:val="both"/>
        <w:rPr>
          <w:rFonts w:ascii="Arial" w:hAnsi="Arial" w:cs="Arial"/>
          <w:sz w:val="18"/>
          <w:szCs w:val="18"/>
        </w:rPr>
      </w:pPr>
      <w:r w:rsidRPr="00B05597">
        <w:rPr>
          <w:rFonts w:ascii="Arial" w:hAnsi="Arial" w:cs="Arial"/>
          <w:sz w:val="18"/>
          <w:szCs w:val="18"/>
        </w:rPr>
        <w:t>1o.) que sea legalmente capaz.</w:t>
      </w:r>
    </w:p>
    <w:p w:rsidRPr="00B05597" w:rsidR="003227D8" w:rsidP="003227D8" w:rsidRDefault="003227D8" w14:paraId="5D2F7696" w14:textId="77777777">
      <w:pPr>
        <w:pStyle w:val="Textonotapie"/>
        <w:ind w:firstLine="709"/>
        <w:jc w:val="both"/>
        <w:rPr>
          <w:rFonts w:ascii="Arial" w:hAnsi="Arial" w:cs="Arial"/>
          <w:sz w:val="18"/>
          <w:szCs w:val="18"/>
        </w:rPr>
      </w:pPr>
      <w:r w:rsidRPr="00B05597">
        <w:rPr>
          <w:rFonts w:ascii="Arial" w:hAnsi="Arial" w:cs="Arial"/>
          <w:sz w:val="18"/>
          <w:szCs w:val="18"/>
        </w:rPr>
        <w:t>[…]</w:t>
      </w:r>
    </w:p>
    <w:p w:rsidRPr="00B05597" w:rsidR="003227D8" w:rsidP="003227D8" w:rsidRDefault="003227D8" w14:paraId="00E53C27" w14:textId="77777777">
      <w:pPr>
        <w:pStyle w:val="Textonotapie"/>
        <w:ind w:firstLine="709"/>
        <w:jc w:val="both"/>
        <w:rPr>
          <w:rFonts w:ascii="Arial" w:hAnsi="Arial" w:cs="Arial"/>
          <w:sz w:val="18"/>
          <w:szCs w:val="18"/>
        </w:rPr>
      </w:pPr>
      <w:r w:rsidRPr="00B05597">
        <w:rPr>
          <w:rFonts w:ascii="Arial" w:hAnsi="Arial" w:cs="Arial"/>
          <w:sz w:val="18"/>
          <w:szCs w:val="18"/>
        </w:rPr>
        <w:t>La capacidad legal de una persona consiste en poderse obligar por sí misma, sin el ministerio o la autorización de otra”.</w:t>
      </w:r>
    </w:p>
  </w:footnote>
  <w:footnote w:id="14">
    <w:p w:rsidRPr="00B05597" w:rsidR="003227D8" w:rsidP="003227D8" w:rsidRDefault="003227D8" w14:paraId="7541479B" w14:textId="77777777">
      <w:pPr>
        <w:pStyle w:val="Textonotapie"/>
        <w:ind w:firstLine="709"/>
        <w:jc w:val="both"/>
        <w:rPr>
          <w:rFonts w:ascii="Arial" w:hAnsi="Arial" w:cs="Arial"/>
          <w:sz w:val="18"/>
          <w:szCs w:val="18"/>
        </w:rPr>
      </w:pPr>
    </w:p>
    <w:p w:rsidRPr="00B05597" w:rsidR="003227D8" w:rsidP="003227D8" w:rsidRDefault="003227D8" w14:paraId="6465024A" w14:textId="77777777">
      <w:pPr>
        <w:pStyle w:val="Textonotapie"/>
        <w:ind w:firstLine="709"/>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Decreto Ley 19 de 2012: “Artículo 221. El artículo 6 de la Ley 1150 de 2007, quedará así:</w:t>
      </w:r>
    </w:p>
    <w:p w:rsidRPr="00B05597" w:rsidR="003227D8" w:rsidP="003227D8" w:rsidRDefault="003227D8" w14:paraId="1215B55D" w14:textId="77777777">
      <w:pPr>
        <w:pStyle w:val="Textonotapie"/>
        <w:ind w:firstLine="709"/>
        <w:jc w:val="both"/>
        <w:rPr>
          <w:rFonts w:ascii="Arial" w:hAnsi="Arial" w:cs="Arial"/>
          <w:sz w:val="18"/>
          <w:szCs w:val="18"/>
          <w:lang w:val="es-ES"/>
        </w:rPr>
      </w:pPr>
      <w:r w:rsidRPr="00B05597">
        <w:rPr>
          <w:rFonts w:ascii="Arial" w:hAnsi="Arial" w:cs="Arial"/>
          <w:sz w:val="18"/>
          <w:szCs w:val="18"/>
        </w:rPr>
        <w:t>Artículo 6. De la verificación de las condiciones de los proponentes. T</w:t>
      </w:r>
      <w:r w:rsidRPr="00B05597">
        <w:rPr>
          <w:rFonts w:ascii="Arial" w:hAnsi="Arial" w:cs="Arial"/>
          <w:sz w:val="18"/>
          <w:szCs w:val="18"/>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B05597" w:rsidR="003227D8" w:rsidP="003227D8" w:rsidRDefault="003227D8" w14:paraId="65DB7A83" w14:textId="77777777">
      <w:pPr>
        <w:pStyle w:val="Textonotapie"/>
        <w:ind w:firstLine="709"/>
        <w:jc w:val="both"/>
        <w:rPr>
          <w:rFonts w:ascii="Arial" w:hAnsi="Arial" w:cs="Arial"/>
          <w:sz w:val="18"/>
          <w:szCs w:val="18"/>
          <w:lang w:val="es-ES"/>
        </w:rPr>
      </w:pPr>
      <w:r w:rsidRPr="00B05597">
        <w:rPr>
          <w:rFonts w:ascii="Arial" w:hAnsi="Arial" w:cs="Arial"/>
          <w:sz w:val="18"/>
          <w:szCs w:val="18"/>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B05597" w:rsidR="003227D8" w:rsidP="003227D8" w:rsidRDefault="003227D8" w14:paraId="2FF7E99A" w14:textId="77777777">
      <w:pPr>
        <w:pStyle w:val="Textonotapie"/>
        <w:ind w:firstLine="709"/>
        <w:jc w:val="both"/>
        <w:rPr>
          <w:rFonts w:ascii="Arial" w:hAnsi="Arial" w:cs="Arial"/>
          <w:sz w:val="18"/>
          <w:szCs w:val="18"/>
          <w:lang w:val="es-ES"/>
        </w:rPr>
      </w:pPr>
    </w:p>
  </w:footnote>
  <w:footnote w:id="15">
    <w:p w:rsidRPr="00B05597" w:rsidR="003227D8" w:rsidP="003227D8" w:rsidRDefault="003227D8" w14:paraId="54C99601"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B05597">
        <w:rPr>
          <w:rFonts w:ascii="Arial" w:hAnsi="Arial" w:cs="Arial"/>
          <w:i/>
          <w:iCs/>
          <w:sz w:val="18"/>
          <w:szCs w:val="18"/>
          <w:lang w:val="es-ES"/>
        </w:rPr>
        <w:t>el régimen de inhabilidades e incompatibilidades</w:t>
      </w:r>
      <w:r w:rsidRPr="00B05597">
        <w:rPr>
          <w:rFonts w:ascii="Arial" w:hAnsi="Arial" w:cs="Arial"/>
          <w:sz w:val="18"/>
          <w:szCs w:val="18"/>
          <w:lang w:val="es-ES"/>
        </w:rPr>
        <w:t xml:space="preserve"> (1) y la obligación de ciertos proponentes de inscribirse en el </w:t>
      </w:r>
      <w:r w:rsidRPr="00B05597">
        <w:rPr>
          <w:rFonts w:ascii="Arial" w:hAnsi="Arial" w:cs="Arial"/>
          <w:i/>
          <w:iCs/>
          <w:sz w:val="18"/>
          <w:szCs w:val="18"/>
          <w:lang w:val="es-ES"/>
        </w:rPr>
        <w:t>registro único</w:t>
      </w:r>
      <w:r w:rsidRPr="00B05597">
        <w:rPr>
          <w:rFonts w:ascii="Arial" w:hAnsi="Arial" w:cs="Arial"/>
          <w:sz w:val="18"/>
          <w:szCs w:val="18"/>
          <w:lang w:val="es-ES"/>
        </w:rPr>
        <w:t xml:space="preserve"> (2)” (BENAVIDES, José Luis. El contrato estatal. Entre el Derecho público y el Derecho privado. 2ª ed. Bogotá: Universidad Externado de Colombia, 2004. p. 278). </w:t>
      </w:r>
    </w:p>
    <w:p w:rsidRPr="00B05597" w:rsidR="003227D8" w:rsidP="003227D8" w:rsidRDefault="003227D8" w14:paraId="548C9521" w14:textId="77777777">
      <w:pPr>
        <w:pStyle w:val="Textonotapie"/>
        <w:ind w:firstLine="709"/>
        <w:jc w:val="both"/>
        <w:rPr>
          <w:rFonts w:ascii="Arial" w:hAnsi="Arial" w:cs="Arial"/>
          <w:sz w:val="18"/>
          <w:szCs w:val="18"/>
          <w:lang w:val="es-ES"/>
        </w:rPr>
      </w:pPr>
    </w:p>
  </w:footnote>
  <w:footnote w:id="16">
    <w:p w:rsidRPr="00B05597" w:rsidR="003227D8" w:rsidP="003227D8" w:rsidRDefault="003227D8" w14:paraId="3041FAFD" w14:textId="77777777">
      <w:pPr>
        <w:spacing w:after="0" w:line="240" w:lineRule="auto"/>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rsidRPr="00B05597" w:rsidR="003227D8" w:rsidP="003227D8" w:rsidRDefault="003227D8" w14:paraId="6E469A3E" w14:textId="77777777">
      <w:pPr>
        <w:spacing w:after="0" w:line="240" w:lineRule="auto"/>
        <w:ind w:firstLine="709"/>
        <w:jc w:val="both"/>
        <w:rPr>
          <w:rFonts w:ascii="Arial" w:hAnsi="Arial" w:cs="Arial"/>
          <w:sz w:val="18"/>
          <w:szCs w:val="18"/>
          <w:lang w:val="es-ES"/>
        </w:rPr>
      </w:pPr>
    </w:p>
  </w:footnote>
  <w:footnote w:id="17">
    <w:p w:rsidRPr="00B05597" w:rsidR="003227D8" w:rsidP="003227D8" w:rsidRDefault="003227D8" w14:paraId="259830AA"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rsidRPr="00B05597" w:rsidR="003227D8" w:rsidP="003227D8" w:rsidRDefault="003227D8" w14:paraId="5A8FB236" w14:textId="77777777">
      <w:pPr>
        <w:pStyle w:val="Textonotapie"/>
        <w:ind w:firstLine="709"/>
        <w:jc w:val="both"/>
        <w:rPr>
          <w:rFonts w:ascii="Arial" w:hAnsi="Arial" w:cs="Arial"/>
          <w:sz w:val="18"/>
          <w:szCs w:val="18"/>
          <w:lang w:val="es-ES"/>
        </w:rPr>
      </w:pPr>
    </w:p>
  </w:footnote>
  <w:footnote w:id="18">
    <w:p w:rsidRPr="00B05597" w:rsidR="003227D8" w:rsidP="003227D8" w:rsidRDefault="003227D8" w14:paraId="55B4B442"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9">
    <w:p w:rsidR="003227D8" w:rsidP="003227D8" w:rsidRDefault="003227D8" w14:paraId="10741E5F" w14:textId="77777777">
      <w:pPr>
        <w:spacing w:after="0" w:line="240" w:lineRule="auto"/>
        <w:ind w:firstLine="709"/>
        <w:jc w:val="both"/>
        <w:rPr>
          <w:rFonts w:ascii="Arial" w:hAnsi="Arial" w:cs="Arial"/>
          <w:sz w:val="18"/>
          <w:szCs w:val="18"/>
        </w:rPr>
      </w:pPr>
    </w:p>
    <w:p w:rsidRPr="00B05597" w:rsidR="003227D8" w:rsidP="003227D8" w:rsidRDefault="003227D8" w14:paraId="51BDE68C" w14:textId="77777777">
      <w:pPr>
        <w:spacing w:after="0" w:line="240" w:lineRule="auto"/>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rsidRPr="00B05597" w:rsidR="003227D8" w:rsidP="003227D8" w:rsidRDefault="003227D8" w14:paraId="7D425FFF" w14:textId="77777777">
      <w:pPr>
        <w:spacing w:after="0" w:line="240" w:lineRule="auto"/>
        <w:ind w:firstLine="709"/>
        <w:jc w:val="both"/>
        <w:rPr>
          <w:rFonts w:ascii="Arial" w:hAnsi="Arial" w:cs="Arial"/>
          <w:sz w:val="18"/>
          <w:szCs w:val="18"/>
          <w:lang w:val="es-ES"/>
        </w:rPr>
      </w:pPr>
    </w:p>
  </w:footnote>
  <w:footnote w:id="20">
    <w:p w:rsidRPr="00B05597" w:rsidR="003227D8" w:rsidP="003227D8" w:rsidRDefault="003227D8" w14:paraId="7669C35A" w14:textId="77777777">
      <w:pPr>
        <w:pStyle w:val="Textonotapie"/>
        <w:ind w:firstLine="709"/>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rsidRPr="00B05597" w:rsidR="003227D8" w:rsidP="003227D8" w:rsidRDefault="003227D8" w14:paraId="52784E81" w14:textId="77777777">
      <w:pPr>
        <w:pStyle w:val="Textonotapie"/>
        <w:ind w:firstLine="709"/>
        <w:jc w:val="both"/>
        <w:rPr>
          <w:rFonts w:ascii="Arial" w:hAnsi="Arial" w:cs="Arial"/>
          <w:sz w:val="18"/>
          <w:szCs w:val="18"/>
        </w:rPr>
      </w:pPr>
    </w:p>
  </w:footnote>
  <w:footnote w:id="21">
    <w:p w:rsidRPr="00B05597" w:rsidR="003227D8" w:rsidP="003227D8" w:rsidRDefault="003227D8" w14:paraId="6C68799C"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rsidRPr="00B05597" w:rsidR="003227D8" w:rsidP="003227D8" w:rsidRDefault="003227D8" w14:paraId="7F0E5233" w14:textId="77777777">
      <w:pPr>
        <w:pStyle w:val="Textonotapie"/>
        <w:ind w:firstLine="709"/>
        <w:jc w:val="both"/>
        <w:rPr>
          <w:rFonts w:ascii="Arial" w:hAnsi="Arial" w:cs="Arial"/>
          <w:sz w:val="18"/>
          <w:szCs w:val="18"/>
          <w:lang w:val="es-ES"/>
        </w:rPr>
      </w:pPr>
    </w:p>
  </w:footnote>
  <w:footnote w:id="22">
    <w:p w:rsidR="003227D8" w:rsidP="003227D8" w:rsidRDefault="003227D8" w14:paraId="63746A88" w14:textId="77777777">
      <w:pPr>
        <w:pStyle w:val="Textonotapie"/>
        <w:tabs>
          <w:tab w:val="left" w:pos="2760"/>
        </w:tabs>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Ibídem. p. 69.</w:t>
      </w:r>
      <w:r>
        <w:rPr>
          <w:rFonts w:ascii="Arial" w:hAnsi="Arial" w:cs="Arial"/>
          <w:sz w:val="18"/>
          <w:szCs w:val="18"/>
          <w:lang w:val="es-ES"/>
        </w:rPr>
        <w:tab/>
      </w:r>
    </w:p>
    <w:p w:rsidRPr="00B05597" w:rsidR="003227D8" w:rsidP="003227D8" w:rsidRDefault="003227D8" w14:paraId="0427D4ED" w14:textId="77777777">
      <w:pPr>
        <w:pStyle w:val="Textonotapie"/>
        <w:tabs>
          <w:tab w:val="left" w:pos="2760"/>
        </w:tabs>
        <w:ind w:firstLine="709"/>
        <w:jc w:val="both"/>
        <w:rPr>
          <w:rFonts w:ascii="Arial" w:hAnsi="Arial" w:cs="Arial"/>
          <w:sz w:val="18"/>
          <w:szCs w:val="18"/>
          <w:lang w:val="es-ES_tradnl"/>
        </w:rPr>
      </w:pPr>
    </w:p>
  </w:footnote>
  <w:footnote w:id="23">
    <w:p w:rsidRPr="00B05597" w:rsidR="003227D8" w:rsidP="003227D8" w:rsidRDefault="003227D8" w14:paraId="072042B2"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rsidRPr="00B05597" w:rsidR="003227D8" w:rsidP="003227D8" w:rsidRDefault="003227D8" w14:paraId="7BAB5BC9" w14:textId="77777777">
      <w:pPr>
        <w:pStyle w:val="Textonotapie"/>
        <w:ind w:firstLine="709"/>
        <w:jc w:val="both"/>
        <w:rPr>
          <w:rFonts w:ascii="Arial" w:hAnsi="Arial" w:cs="Arial"/>
          <w:sz w:val="18"/>
          <w:szCs w:val="18"/>
          <w:lang w:val="es-ES"/>
        </w:rPr>
      </w:pPr>
    </w:p>
  </w:footnote>
  <w:footnote w:id="24">
    <w:p w:rsidRPr="00B05597" w:rsidR="003227D8" w:rsidP="003227D8" w:rsidRDefault="003227D8" w14:paraId="77ED25E7" w14:textId="77777777">
      <w:pPr>
        <w:pStyle w:val="Textonotapie"/>
        <w:ind w:firstLine="709"/>
        <w:jc w:val="both"/>
        <w:rPr>
          <w:rFonts w:ascii="Arial" w:hAnsi="Arial" w:cs="Arial"/>
          <w:sz w:val="18"/>
          <w:szCs w:val="18"/>
        </w:rPr>
      </w:pPr>
    </w:p>
    <w:p w:rsidRPr="00B05597" w:rsidR="003227D8" w:rsidP="003227D8" w:rsidRDefault="003227D8" w14:paraId="5FD400BC" w14:textId="77777777">
      <w:pPr>
        <w:pStyle w:val="Textonotapie"/>
        <w:ind w:firstLine="709"/>
        <w:jc w:val="both"/>
        <w:rPr>
          <w:rFonts w:ascii="Arial" w:hAnsi="Arial" w:cs="Arial"/>
          <w:sz w:val="18"/>
          <w:szCs w:val="18"/>
          <w:lang w:val="es-ES"/>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es-ES"/>
        </w:rPr>
        <w:t>CONSEJO DE ESTADO. Sala de Consulta y Servicio Civil. Concepto del 30 de abril de 2015. Exp. 2251. C.P. Álvaro Namén Vargas.</w:t>
      </w:r>
    </w:p>
  </w:footnote>
  <w:footnote w:id="25">
    <w:p w:rsidRPr="00B05597" w:rsidR="003227D8" w:rsidP="003227D8" w:rsidRDefault="003227D8" w14:paraId="632D02D6" w14:textId="77777777">
      <w:pPr>
        <w:pStyle w:val="Textonotapie"/>
        <w:ind w:firstLine="709"/>
        <w:jc w:val="both"/>
        <w:rPr>
          <w:rFonts w:ascii="Arial" w:hAnsi="Arial" w:cs="Arial"/>
          <w:sz w:val="18"/>
          <w:szCs w:val="18"/>
        </w:rPr>
      </w:pPr>
    </w:p>
    <w:p w:rsidR="003227D8" w:rsidP="003227D8" w:rsidRDefault="003227D8" w14:paraId="50D2C414" w14:textId="77777777">
      <w:pPr>
        <w:pStyle w:val="Textonotapie"/>
        <w:ind w:firstLine="709"/>
        <w:jc w:val="both"/>
        <w:rPr>
          <w:rFonts w:ascii="Arial" w:hAnsi="Arial" w:cs="Arial"/>
          <w:sz w:val="18"/>
          <w:szCs w:val="18"/>
        </w:rPr>
      </w:pPr>
      <w:r w:rsidRPr="00B05597">
        <w:rPr>
          <w:rStyle w:val="Refdenotaalpie"/>
          <w:rFonts w:ascii="Arial" w:hAnsi="Arial" w:cs="Arial"/>
          <w:sz w:val="18"/>
          <w:szCs w:val="18"/>
        </w:rPr>
        <w:footnoteRef/>
      </w:r>
      <w:r w:rsidRPr="00B05597">
        <w:rPr>
          <w:rFonts w:ascii="Arial" w:hAnsi="Arial" w:cs="Arial"/>
          <w:sz w:val="18"/>
          <w:szCs w:val="18"/>
        </w:rPr>
        <w:t xml:space="preserve"> CONSEJO DE ESTADO. Sección Tercera. Subsección A. Sentencia del 24 de junio de 2015. Exp. 40.635. C.P. Hernán Andrade Rincón (E).</w:t>
      </w:r>
    </w:p>
    <w:p w:rsidRPr="00B05597" w:rsidR="003227D8" w:rsidP="003227D8" w:rsidRDefault="003227D8" w14:paraId="40B9022A" w14:textId="77777777">
      <w:pPr>
        <w:pStyle w:val="Textonotapie"/>
        <w:ind w:firstLine="709"/>
        <w:jc w:val="both"/>
        <w:rPr>
          <w:rFonts w:ascii="Arial" w:hAnsi="Arial" w:cs="Arial"/>
          <w:sz w:val="18"/>
          <w:szCs w:val="18"/>
        </w:rPr>
      </w:pPr>
    </w:p>
  </w:footnote>
  <w:footnote w:id="26">
    <w:p w:rsidRPr="00B05597" w:rsidR="003227D8" w:rsidP="003227D8" w:rsidRDefault="003227D8" w14:paraId="1494E95D" w14:textId="77777777">
      <w:pPr>
        <w:pStyle w:val="Textonotapie"/>
        <w:ind w:firstLine="709"/>
        <w:jc w:val="both"/>
        <w:rPr>
          <w:rFonts w:ascii="Arial" w:hAnsi="Arial" w:cs="Arial"/>
          <w:sz w:val="18"/>
          <w:szCs w:val="18"/>
          <w:lang w:val="es-ES_tradnl"/>
        </w:rPr>
      </w:pPr>
      <w:r w:rsidRPr="00B05597">
        <w:rPr>
          <w:rStyle w:val="Refdenotaalpie"/>
          <w:rFonts w:ascii="Arial" w:hAnsi="Arial" w:cs="Arial"/>
          <w:sz w:val="18"/>
          <w:szCs w:val="18"/>
        </w:rPr>
        <w:footnoteRef/>
      </w:r>
      <w:r w:rsidRPr="00B05597">
        <w:rPr>
          <w:rFonts w:ascii="Arial" w:hAnsi="Arial" w:cs="Arial"/>
          <w:sz w:val="18"/>
          <w:szCs w:val="18"/>
        </w:rPr>
        <w:t xml:space="preserve"> CONSEJO DE ESTADO. Sección Tercera. Subsección C. Sentencia del 22 de mayo de 2013. Rad. 24.057. C.P. Olga Mélida Valle De De La Hoz. </w:t>
      </w:r>
    </w:p>
  </w:footnote>
  <w:footnote w:id="27">
    <w:p w:rsidR="003227D8" w:rsidP="003227D8" w:rsidRDefault="003227D8" w14:paraId="2FC9620A" w14:textId="77777777">
      <w:pPr>
        <w:pStyle w:val="Textonotapie"/>
        <w:ind w:firstLine="709"/>
        <w:jc w:val="both"/>
        <w:rPr>
          <w:rFonts w:ascii="Arial" w:hAnsi="Arial" w:cs="Arial"/>
          <w:sz w:val="18"/>
          <w:szCs w:val="18"/>
        </w:rPr>
      </w:pPr>
    </w:p>
    <w:p w:rsidRPr="00B05597" w:rsidR="003227D8" w:rsidP="003227D8" w:rsidRDefault="003227D8" w14:paraId="5BC2D786" w14:textId="77777777">
      <w:pPr>
        <w:pStyle w:val="Textonotapie"/>
        <w:ind w:firstLine="709"/>
        <w:jc w:val="both"/>
        <w:rPr>
          <w:rFonts w:ascii="Arial" w:hAnsi="Arial" w:cs="Arial"/>
          <w:sz w:val="18"/>
          <w:szCs w:val="18"/>
          <w:lang w:val="pt-BR"/>
        </w:rPr>
      </w:pPr>
      <w:r w:rsidRPr="00B05597">
        <w:rPr>
          <w:rStyle w:val="Refdenotaalpie"/>
          <w:rFonts w:ascii="Arial" w:hAnsi="Arial" w:cs="Arial"/>
          <w:sz w:val="18"/>
          <w:szCs w:val="18"/>
        </w:rPr>
        <w:footnoteRef/>
      </w:r>
      <w:r w:rsidRPr="00B05597">
        <w:rPr>
          <w:rFonts w:ascii="Arial" w:hAnsi="Arial" w:cs="Arial"/>
          <w:sz w:val="18"/>
          <w:szCs w:val="18"/>
        </w:rPr>
        <w:t xml:space="preserve"> </w:t>
      </w:r>
      <w:r w:rsidRPr="00B05597">
        <w:rPr>
          <w:rFonts w:ascii="Arial" w:hAnsi="Arial" w:cs="Arial"/>
          <w:sz w:val="18"/>
          <w:szCs w:val="18"/>
          <w:lang w:val="pt-BR"/>
        </w:rPr>
        <w:t>Corte Constitucional. Sentencia C-415 de 1994. M.P. Eduardo Cifuentes Muñoz.</w:t>
      </w:r>
    </w:p>
    <w:p w:rsidRPr="00B05597" w:rsidR="003227D8" w:rsidP="003227D8" w:rsidRDefault="003227D8" w14:paraId="5CD30ADE" w14:textId="77777777">
      <w:pPr>
        <w:pStyle w:val="Textonotapie"/>
        <w:ind w:firstLine="709"/>
        <w:jc w:val="both"/>
        <w:rPr>
          <w:rFonts w:ascii="Arial" w:hAnsi="Arial" w:cs="Arial"/>
          <w:sz w:val="18"/>
          <w:szCs w:val="18"/>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3227D8" w14:paraId="2754C2AA" w14:textId="77777777">
    <w:pPr>
      <w:pStyle w:val="Encabezado"/>
    </w:pPr>
    <w:r>
      <w:rPr>
        <w:noProof/>
      </w:rPr>
      <w:drawing>
        <wp:anchor distT="0" distB="0" distL="114300" distR="114300" simplePos="0" relativeHeight="251659264" behindDoc="1" locked="0" layoutInCell="1" allowOverlap="1" wp14:anchorId="723E7408" wp14:editId="60F65E3A">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6689B2B5" wp14:editId="4B99A936">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60FD6631" wp14:editId="74463D0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59FACC7" wp14:editId="19B41E8B">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000000" w14:paraId="79BCA954" w14:textId="77777777">
    <w:pPr>
      <w:pStyle w:val="Encabezado"/>
    </w:pPr>
  </w:p>
  <w:p w:rsidR="00756841" w:rsidRDefault="00000000" w14:paraId="55B8F6D9" w14:textId="77777777">
    <w:pPr>
      <w:pStyle w:val="Encabezado"/>
    </w:pPr>
  </w:p>
  <w:p w:rsidRPr="004A305D" w:rsidR="004A305D" w:rsidP="004A305D" w:rsidRDefault="003227D8" w14:paraId="33E2BC13"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3227D8" w14:paraId="1C55E531"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4A305D" w:rsidP="004A305D" w:rsidRDefault="003227D8" w14:paraId="26465CCC"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8A446D" w:rsidRDefault="00000000" w14:paraId="7462C956"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D8"/>
    <w:rsid w:val="001F2D31"/>
    <w:rsid w:val="002079BF"/>
    <w:rsid w:val="003227D8"/>
    <w:rsid w:val="00595D6A"/>
    <w:rsid w:val="00684FFF"/>
    <w:rsid w:val="00C275F5"/>
    <w:rsid w:val="1C975626"/>
    <w:rsid w:val="6054FA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C6B8"/>
  <w15:chartTrackingRefBased/>
  <w15:docId w15:val="{350A90E2-3C39-4EF5-9975-67781BE2A7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7D8"/>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3227D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227D8"/>
    <w:rPr>
      <w:kern w:val="0"/>
      <w14:ligatures w14:val="none"/>
    </w:rPr>
  </w:style>
  <w:style w:type="paragraph" w:styleId="Piedepgina">
    <w:name w:val="footer"/>
    <w:basedOn w:val="Normal"/>
    <w:link w:val="PiedepginaCar"/>
    <w:uiPriority w:val="99"/>
    <w:unhideWhenUsed/>
    <w:rsid w:val="003227D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227D8"/>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227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3227D8"/>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3227D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227D8"/>
    <w:rPr>
      <w:vertAlign w:val="superscript"/>
    </w:rPr>
  </w:style>
  <w:style w:type="table" w:styleId="Tablaconcuadrcula">
    <w:name w:val="Table Grid"/>
    <w:basedOn w:val="Tablanormal"/>
    <w:uiPriority w:val="39"/>
    <w:rsid w:val="003227D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3227D8"/>
    <w:pPr>
      <w:spacing w:line="240" w:lineRule="exact"/>
    </w:pPr>
    <w:rPr>
      <w:kern w:val="2"/>
      <w:vertAlign w:val="superscript"/>
      <w14:ligatures w14:val="standardContextual"/>
    </w:rPr>
  </w:style>
  <w:style w:type="table" w:styleId="Tablaconcuadrcula1" w:customStyle="1">
    <w:name w:val="Tabla con cuadrícula1"/>
    <w:basedOn w:val="Tablanormal"/>
    <w:next w:val="Tablaconcuadrcula"/>
    <w:uiPriority w:val="39"/>
    <w:rsid w:val="003227D8"/>
    <w:pPr>
      <w:spacing w:after="0" w:line="240" w:lineRule="auto"/>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3227D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227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gustavopatarroyo@hotmail.com"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FB473D-1E0A-450B-9C41-1E0FEC0E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AB1AC-F114-4097-9065-2B35FC60F06E}">
  <ds:schemaRefs>
    <ds:schemaRef ds:uri="http://schemas.microsoft.com/sharepoint/v3/contenttype/forms"/>
  </ds:schemaRefs>
</ds:datastoreItem>
</file>

<file path=customXml/itemProps3.xml><?xml version="1.0" encoding="utf-8"?>
<ds:datastoreItem xmlns:ds="http://schemas.openxmlformats.org/officeDocument/2006/customXml" ds:itemID="{E761B0FC-F122-42F8-A7C7-1DE29060A47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Nasly Yeana Mosquera Rivas</dc:creator>
  <keywords/>
  <dc:description/>
  <lastModifiedBy>Jorge Mario Payares Villa</lastModifiedBy>
  <revision>4</revision>
  <dcterms:created xsi:type="dcterms:W3CDTF">2023-07-17T13:09:00.0000000Z</dcterms:created>
  <dcterms:modified xsi:type="dcterms:W3CDTF">2023-08-30T00:09:03.8227238Z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