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B9" w:rsidRPr="00FC4611" w:rsidRDefault="003C47B9" w:rsidP="003C47B9">
      <w:pPr>
        <w:spacing w:after="0" w:line="240" w:lineRule="auto"/>
        <w:jc w:val="both"/>
        <w:rPr>
          <w:rFonts w:ascii="Arial" w:eastAsia="Calibri" w:hAnsi="Arial" w:cs="Arial"/>
          <w:b/>
          <w:color w:val="000000" w:themeColor="text1"/>
          <w:sz w:val="20"/>
          <w:szCs w:val="20"/>
          <w:lang w:val="es-MX" w:eastAsia="es-ES"/>
        </w:rPr>
      </w:pPr>
      <w:r w:rsidRPr="00FC4611">
        <w:rPr>
          <w:rFonts w:ascii="Arial" w:eastAsia="Calibri" w:hAnsi="Arial" w:cs="Arial"/>
          <w:b/>
          <w:color w:val="000000" w:themeColor="text1"/>
          <w:sz w:val="20"/>
          <w:szCs w:val="20"/>
          <w:lang w:val="es-MX" w:eastAsia="es-ES"/>
        </w:rPr>
        <w:t>SERVICIO MILITAR – Obligatoriedad</w:t>
      </w:r>
    </w:p>
    <w:p w:rsidR="003C47B9" w:rsidRPr="00FC4611" w:rsidRDefault="003C47B9" w:rsidP="003C47B9">
      <w:pPr>
        <w:spacing w:after="0" w:line="240" w:lineRule="auto"/>
        <w:jc w:val="both"/>
        <w:rPr>
          <w:rFonts w:ascii="Arial" w:eastAsia="Calibri" w:hAnsi="Arial" w:cs="Arial"/>
          <w:bCs/>
          <w:color w:val="000000" w:themeColor="text1"/>
          <w:sz w:val="20"/>
          <w:szCs w:val="20"/>
          <w:lang w:val="es-MX" w:eastAsia="es-ES"/>
        </w:rPr>
      </w:pPr>
    </w:p>
    <w:p w:rsidR="003C47B9" w:rsidRDefault="003C47B9" w:rsidP="003C47B9">
      <w:pPr>
        <w:spacing w:after="0" w:line="240" w:lineRule="auto"/>
        <w:jc w:val="both"/>
        <w:rPr>
          <w:rFonts w:ascii="Arial" w:eastAsia="Calibri" w:hAnsi="Arial" w:cs="Arial"/>
          <w:bCs/>
          <w:color w:val="000000" w:themeColor="text1"/>
          <w:sz w:val="20"/>
          <w:szCs w:val="20"/>
          <w:lang w:val="es-MX" w:eastAsia="es-ES"/>
        </w:rPr>
      </w:pPr>
      <w:r w:rsidRPr="00604572">
        <w:rPr>
          <w:rFonts w:ascii="Arial" w:eastAsia="Calibri" w:hAnsi="Arial" w:cs="Arial"/>
          <w:bCs/>
          <w:color w:val="000000" w:themeColor="text1"/>
          <w:sz w:val="20"/>
          <w:szCs w:val="20"/>
          <w:lang w:val="es-MX"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rsidR="003C47B9" w:rsidRPr="00604572" w:rsidRDefault="003C47B9" w:rsidP="003C47B9">
      <w:pPr>
        <w:spacing w:after="0" w:line="240" w:lineRule="auto"/>
        <w:jc w:val="both"/>
        <w:rPr>
          <w:rFonts w:ascii="Arial" w:eastAsia="Calibri" w:hAnsi="Arial" w:cs="Arial"/>
          <w:bCs/>
          <w:color w:val="000000" w:themeColor="text1"/>
          <w:sz w:val="20"/>
          <w:szCs w:val="20"/>
          <w:lang w:eastAsia="es-ES"/>
        </w:rPr>
      </w:pP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 Resuelta o definida</w:t>
      </w: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p>
    <w:p w:rsidR="003C47B9" w:rsidRPr="00FC4611" w:rsidRDefault="003C47B9" w:rsidP="003C47B9">
      <w:pPr>
        <w:spacing w:after="0" w:line="240" w:lineRule="auto"/>
        <w:jc w:val="both"/>
        <w:rPr>
          <w:rFonts w:ascii="Arial" w:eastAsia="Calibri" w:hAnsi="Arial" w:cs="Arial"/>
          <w:color w:val="000000" w:themeColor="text1"/>
          <w:sz w:val="20"/>
          <w:szCs w:val="20"/>
          <w:lang w:val="es-MX" w:eastAsia="es-ES_tradnl"/>
        </w:rPr>
      </w:pPr>
      <w:r w:rsidRPr="00FC4611">
        <w:rPr>
          <w:rFonts w:ascii="Arial" w:eastAsia="Calibri" w:hAnsi="Arial" w:cs="Arial"/>
          <w:bCs/>
          <w:color w:val="000000" w:themeColor="text1"/>
          <w:sz w:val="20"/>
          <w:szCs w:val="20"/>
          <w:lang w:val="es-MX" w:eastAsia="es-ES"/>
        </w:rPr>
        <w:t>[…] se entiende que l</w:t>
      </w:r>
      <w:r w:rsidRPr="00FC4611">
        <w:rPr>
          <w:rFonts w:ascii="Arial" w:eastAsia="Calibri" w:hAnsi="Arial" w:cs="Arial"/>
          <w:color w:val="000000" w:themeColor="text1"/>
          <w:sz w:val="20"/>
          <w:szCs w:val="20"/>
          <w:lang w:val="es-MX" w:eastAsia="es-ES_tradnl"/>
        </w:rPr>
        <w:t>a situación militar se acredita resuelta o definida cuando el ciudadano posee tarjeta de reservista militar (primera o segunda clase), el certificado digital o cédula militar de que de que tratan los artículos 35, 40 y 41 de la Ley 1861 de 2017.</w:t>
      </w:r>
    </w:p>
    <w:p w:rsidR="003C47B9" w:rsidRPr="00FC4611" w:rsidRDefault="003C47B9" w:rsidP="003C47B9">
      <w:pPr>
        <w:spacing w:after="0" w:line="240" w:lineRule="auto"/>
        <w:jc w:val="both"/>
        <w:rPr>
          <w:rFonts w:ascii="Arial" w:eastAsia="Calibri" w:hAnsi="Arial" w:cs="Arial"/>
          <w:color w:val="000000" w:themeColor="text1"/>
          <w:sz w:val="20"/>
          <w:szCs w:val="20"/>
          <w:lang w:val="es-MX" w:eastAsia="es-ES_tradnl"/>
        </w:rPr>
      </w:pP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PARA EL TRABAJO – Regla general</w:t>
      </w: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p>
    <w:p w:rsidR="003C47B9" w:rsidRDefault="003C47B9" w:rsidP="003C47B9">
      <w:pPr>
        <w:spacing w:after="0" w:line="240" w:lineRule="auto"/>
        <w:jc w:val="both"/>
        <w:rPr>
          <w:rFonts w:ascii="Arial" w:eastAsia="Calibri" w:hAnsi="Arial" w:cs="Arial"/>
          <w:color w:val="000000" w:themeColor="text1"/>
          <w:sz w:val="20"/>
          <w:szCs w:val="20"/>
          <w:lang w:val="es-MX" w:eastAsia="es-ES"/>
        </w:rPr>
      </w:pPr>
      <w:r w:rsidRPr="00BC5A6C">
        <w:rPr>
          <w:rFonts w:ascii="Arial" w:eastAsia="Calibri" w:hAnsi="Arial" w:cs="Arial"/>
          <w:color w:val="000000" w:themeColor="text1"/>
          <w:sz w:val="20"/>
          <w:szCs w:val="20"/>
          <w:lang w:val="es-MX" w:eastAsia="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rsidR="003C47B9" w:rsidRPr="00BC5A6C" w:rsidRDefault="003C47B9" w:rsidP="003C47B9">
      <w:pPr>
        <w:spacing w:after="0" w:line="240" w:lineRule="auto"/>
        <w:jc w:val="both"/>
        <w:rPr>
          <w:rFonts w:ascii="Arial" w:eastAsia="Calibri" w:hAnsi="Arial" w:cs="Arial"/>
          <w:color w:val="000000" w:themeColor="text1"/>
          <w:sz w:val="20"/>
          <w:szCs w:val="20"/>
          <w:highlight w:val="yellow"/>
          <w:lang w:eastAsia="es-ES"/>
        </w:rPr>
      </w:pP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PARA EL TRABAJO – Regla excepcional</w:t>
      </w:r>
    </w:p>
    <w:p w:rsidR="003C47B9" w:rsidRPr="00FC4611" w:rsidRDefault="003C47B9" w:rsidP="003C47B9">
      <w:pPr>
        <w:spacing w:after="0" w:line="240" w:lineRule="auto"/>
        <w:jc w:val="both"/>
        <w:rPr>
          <w:rFonts w:ascii="Arial" w:eastAsia="Calibri" w:hAnsi="Arial" w:cs="Arial"/>
          <w:b/>
          <w:bCs/>
          <w:color w:val="000000" w:themeColor="text1"/>
          <w:sz w:val="20"/>
          <w:szCs w:val="20"/>
          <w:lang w:val="es-MX" w:eastAsia="es-ES_tradnl"/>
        </w:rPr>
      </w:pPr>
    </w:p>
    <w:p w:rsidR="003C47B9" w:rsidRDefault="003C47B9" w:rsidP="003C47B9">
      <w:pPr>
        <w:spacing w:after="0" w:line="240" w:lineRule="auto"/>
        <w:jc w:val="both"/>
        <w:rPr>
          <w:rFonts w:ascii="Arial" w:eastAsia="Calibri" w:hAnsi="Arial" w:cs="Arial"/>
          <w:color w:val="000000" w:themeColor="text1"/>
          <w:sz w:val="20"/>
          <w:szCs w:val="20"/>
          <w:lang w:val="es-MX" w:eastAsia="es-ES_tradnl"/>
        </w:rPr>
      </w:pPr>
      <w:r w:rsidRPr="00FC4611">
        <w:rPr>
          <w:rFonts w:ascii="Arial" w:eastAsia="Calibri" w:hAnsi="Arial" w:cs="Arial"/>
          <w:bCs/>
          <w:color w:val="000000" w:themeColor="text1"/>
          <w:sz w:val="20"/>
          <w:szCs w:val="20"/>
          <w:lang w:val="es-MX" w:eastAsia="es-ES"/>
        </w:rPr>
        <w:t xml:space="preserve">[…] </w:t>
      </w:r>
      <w:r w:rsidRPr="00B335F9">
        <w:rPr>
          <w:rFonts w:ascii="Arial" w:eastAsia="Calibri" w:hAnsi="Arial" w:cs="Arial"/>
          <w:color w:val="000000" w:themeColor="text1"/>
          <w:sz w:val="20"/>
          <w:szCs w:val="20"/>
          <w:lang w:val="es-MX" w:eastAsia="es-ES_tradnl"/>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Pr>
          <w:rFonts w:ascii="Arial" w:eastAsia="Calibri" w:hAnsi="Arial" w:cs="Arial"/>
          <w:color w:val="000000" w:themeColor="text1"/>
          <w:sz w:val="20"/>
          <w:szCs w:val="20"/>
          <w:lang w:val="es-MX" w:eastAsia="es-ES_tradnl"/>
        </w:rPr>
        <w:t>.</w:t>
      </w:r>
    </w:p>
    <w:p w:rsidR="003C47B9" w:rsidRPr="00FC4611" w:rsidRDefault="003C47B9" w:rsidP="003C47B9">
      <w:pPr>
        <w:spacing w:after="0" w:line="240" w:lineRule="auto"/>
        <w:jc w:val="both"/>
        <w:rPr>
          <w:rFonts w:ascii="Arial" w:eastAsia="Calibri" w:hAnsi="Arial" w:cs="Arial"/>
          <w:color w:val="000000" w:themeColor="text1"/>
          <w:sz w:val="20"/>
          <w:szCs w:val="20"/>
          <w:lang w:val="es-MX" w:eastAsia="es-ES_tradnl"/>
        </w:rPr>
      </w:pPr>
    </w:p>
    <w:p w:rsidR="003C47B9" w:rsidRPr="00FC4611" w:rsidRDefault="003C47B9" w:rsidP="003C47B9">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r w:rsidRPr="00FC4611">
        <w:rPr>
          <w:rFonts w:ascii="Arial" w:eastAsia="Calibri" w:hAnsi="Arial" w:cs="Arial"/>
          <w:b/>
          <w:noProof/>
          <w:color w:val="000000" w:themeColor="text1"/>
          <w:sz w:val="20"/>
          <w:szCs w:val="20"/>
          <w:lang w:val="es-ES_tradnl" w:eastAsia="es-ES_tradnl"/>
        </w:rPr>
        <w:t xml:space="preserve">DEFINICIÓN DE LA SITUACIÓN MILITAR </w:t>
      </w:r>
      <w:r w:rsidRPr="00FC4611">
        <w:rPr>
          <w:rFonts w:ascii="Arial" w:eastAsia="Calibri" w:hAnsi="Arial" w:cs="Arial"/>
          <w:b/>
          <w:bCs/>
          <w:color w:val="000000" w:themeColor="text1"/>
          <w:sz w:val="20"/>
          <w:szCs w:val="20"/>
          <w:lang w:val="es-MX" w:eastAsia="es-ES"/>
        </w:rPr>
        <w:t xml:space="preserve">– </w:t>
      </w:r>
      <w:r w:rsidRPr="00FC4611">
        <w:rPr>
          <w:rFonts w:ascii="Arial" w:eastAsia="Calibri" w:hAnsi="Arial" w:cs="Arial"/>
          <w:b/>
          <w:noProof/>
          <w:color w:val="000000" w:themeColor="text1"/>
          <w:sz w:val="20"/>
          <w:szCs w:val="20"/>
          <w:lang w:val="es-ES_tradnl" w:eastAsia="es-ES_tradnl"/>
        </w:rPr>
        <w:t>Plazo</w:t>
      </w:r>
    </w:p>
    <w:p w:rsidR="003C47B9" w:rsidRPr="00FC4611" w:rsidRDefault="003C47B9" w:rsidP="003C47B9">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p>
    <w:p w:rsidR="003C47B9" w:rsidRDefault="003C47B9" w:rsidP="003C47B9">
      <w:pPr>
        <w:spacing w:after="0" w:line="240" w:lineRule="auto"/>
        <w:jc w:val="both"/>
        <w:rPr>
          <w:rFonts w:ascii="Arial" w:eastAsia="Calibri" w:hAnsi="Arial" w:cs="Arial"/>
          <w:color w:val="000000" w:themeColor="text1"/>
          <w:sz w:val="20"/>
          <w:szCs w:val="20"/>
          <w:lang w:val="es-MX" w:eastAsia="es-ES_tradnl"/>
        </w:rPr>
      </w:pPr>
      <w:r w:rsidRPr="00B14816">
        <w:rPr>
          <w:rFonts w:ascii="Arial" w:eastAsia="Calibri" w:hAnsi="Arial" w:cs="Arial"/>
          <w:color w:val="000000" w:themeColor="text1"/>
          <w:sz w:val="20"/>
          <w:szCs w:val="20"/>
          <w:lang w:val="es-MX" w:eastAsia="es-ES_tradnl"/>
        </w:rPr>
        <w:t>Para tales efectos, el inciso segundo del artículo 42 de la Ley 1861 de 2017 otorgó un plazo de dieciocho (18) meses para definirla, contados a partir de su primera vinculación laboral, exceptuando la contabilización de este término en los casos en que las demoras no le sean imputables al ciudadano.</w:t>
      </w:r>
    </w:p>
    <w:p w:rsidR="003C47B9" w:rsidRPr="00FC4611" w:rsidRDefault="003C47B9" w:rsidP="003C47B9">
      <w:pPr>
        <w:spacing w:after="0" w:line="240" w:lineRule="auto"/>
        <w:jc w:val="both"/>
        <w:rPr>
          <w:rFonts w:ascii="Arial" w:eastAsia="Calibri" w:hAnsi="Arial" w:cs="Arial"/>
          <w:b/>
          <w:noProof/>
          <w:color w:val="000000" w:themeColor="text1"/>
          <w:sz w:val="20"/>
          <w:szCs w:val="20"/>
          <w:lang w:val="es-ES_tradnl" w:eastAsia="es-ES_tradnl"/>
        </w:rPr>
      </w:pPr>
    </w:p>
    <w:p w:rsidR="003C47B9" w:rsidRPr="00FC4611" w:rsidRDefault="003C47B9" w:rsidP="003C47B9">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r w:rsidRPr="00FC4611">
        <w:rPr>
          <w:rFonts w:ascii="Arial" w:eastAsia="Calibri" w:hAnsi="Arial" w:cs="Arial"/>
          <w:b/>
          <w:noProof/>
          <w:color w:val="000000" w:themeColor="text1"/>
          <w:sz w:val="20"/>
          <w:szCs w:val="20"/>
          <w:lang w:val="es-ES_tradnl" w:eastAsia="es-ES_tradnl"/>
        </w:rPr>
        <w:t xml:space="preserve">DEFINICIÓN DE LA SITUACIÓN MILITAR – Obligación de consulta </w:t>
      </w:r>
    </w:p>
    <w:p w:rsidR="003C47B9" w:rsidRPr="00FC4611" w:rsidRDefault="003C47B9" w:rsidP="003C47B9">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p>
    <w:p w:rsidR="003C47B9" w:rsidRDefault="003C47B9" w:rsidP="003C47B9">
      <w:pPr>
        <w:spacing w:after="0" w:line="240" w:lineRule="auto"/>
        <w:jc w:val="both"/>
        <w:rPr>
          <w:rFonts w:ascii="Arial" w:eastAsia="Calibri" w:hAnsi="Arial" w:cs="Arial"/>
          <w:bCs/>
          <w:noProof/>
          <w:color w:val="000000" w:themeColor="text1"/>
          <w:sz w:val="20"/>
          <w:szCs w:val="20"/>
          <w:lang w:val="es-ES_tradnl" w:eastAsia="es-ES_tradnl"/>
        </w:rPr>
      </w:pPr>
      <w:r>
        <w:rPr>
          <w:rFonts w:ascii="Arial" w:eastAsia="Calibri" w:hAnsi="Arial" w:cs="Arial"/>
          <w:bCs/>
          <w:noProof/>
          <w:color w:val="000000" w:themeColor="text1"/>
          <w:sz w:val="20"/>
          <w:szCs w:val="20"/>
          <w:lang w:val="es-ES_tradnl" w:eastAsia="es-ES_tradnl"/>
        </w:rPr>
        <w:t>E</w:t>
      </w:r>
      <w:r w:rsidRPr="00522A6E">
        <w:rPr>
          <w:rFonts w:ascii="Arial" w:eastAsia="Calibri" w:hAnsi="Arial" w:cs="Arial"/>
          <w:bCs/>
          <w:noProof/>
          <w:color w:val="000000" w:themeColor="text1"/>
          <w:sz w:val="20"/>
          <w:szCs w:val="20"/>
          <w:lang w:val="es-ES_tradnl" w:eastAsia="es-ES_tradnl"/>
        </w:rPr>
        <w:t>l artículo 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«liquidación», por el contrario, indica que si el ciudadano al momento de la consulta no se encuentra inscrito o la leyenda que arroja el portal web indica que su estado es «citado a primer examen», «citado a concentración» o «remiso»,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rsidR="003C47B9" w:rsidRDefault="003C47B9" w:rsidP="003C47B9">
      <w:pPr>
        <w:spacing w:after="0" w:line="240" w:lineRule="auto"/>
        <w:jc w:val="both"/>
        <w:rPr>
          <w:rFonts w:ascii="Arial" w:eastAsia="Calibri" w:hAnsi="Arial" w:cs="Arial"/>
          <w:bCs/>
          <w:noProof/>
          <w:color w:val="000000" w:themeColor="text1"/>
          <w:sz w:val="20"/>
          <w:szCs w:val="20"/>
          <w:lang w:val="es-ES_tradnl" w:eastAsia="es-ES_tradnl"/>
        </w:rPr>
      </w:pPr>
    </w:p>
    <w:p w:rsidR="003C47B9" w:rsidRPr="00AE6B60" w:rsidRDefault="003C47B9" w:rsidP="003C47B9">
      <w:pPr>
        <w:spacing w:after="0" w:line="240" w:lineRule="auto"/>
        <w:jc w:val="both"/>
        <w:rPr>
          <w:rFonts w:ascii="Arial" w:eastAsia="Calibri" w:hAnsi="Arial" w:cs="Arial"/>
          <w:b/>
          <w:bCs/>
          <w:sz w:val="20"/>
          <w:szCs w:val="20"/>
          <w:lang w:eastAsia="es-ES_tradnl"/>
        </w:rPr>
      </w:pPr>
      <w:r w:rsidRPr="00FC4611">
        <w:rPr>
          <w:rFonts w:ascii="Arial" w:eastAsia="Calibri" w:hAnsi="Arial" w:cs="Arial"/>
          <w:b/>
          <w:bCs/>
          <w:color w:val="000000" w:themeColor="text1"/>
          <w:sz w:val="20"/>
          <w:szCs w:val="20"/>
          <w:lang w:val="es-MX" w:eastAsia="es-ES_tradnl"/>
        </w:rPr>
        <w:lastRenderedPageBreak/>
        <w:t>SITUACIÓN MILITAR PARA EL TRABAJO</w:t>
      </w:r>
      <w:r w:rsidRPr="00AE6B60">
        <w:rPr>
          <w:rFonts w:ascii="Arial" w:eastAsia="Calibri" w:hAnsi="Arial" w:cs="Arial"/>
          <w:b/>
          <w:bCs/>
          <w:sz w:val="20"/>
          <w:szCs w:val="20"/>
          <w:lang w:eastAsia="es-ES_tradnl"/>
        </w:rPr>
        <w:t xml:space="preserve"> </w:t>
      </w:r>
      <w:r>
        <w:rPr>
          <w:rFonts w:ascii="Arial" w:eastAsia="Calibri" w:hAnsi="Arial" w:cs="Arial"/>
          <w:b/>
          <w:bCs/>
          <w:sz w:val="20"/>
          <w:szCs w:val="20"/>
          <w:lang w:eastAsia="es-ES_tradnl"/>
        </w:rPr>
        <w:t>– Medios de prueba</w:t>
      </w:r>
      <w:r w:rsidRPr="00AE6B60">
        <w:rPr>
          <w:rFonts w:ascii="Arial" w:eastAsia="Calibri" w:hAnsi="Arial" w:cs="Arial"/>
          <w:b/>
          <w:bCs/>
          <w:sz w:val="20"/>
          <w:szCs w:val="20"/>
          <w:lang w:eastAsia="es-ES_tradnl"/>
        </w:rPr>
        <w:t xml:space="preserve"> </w:t>
      </w:r>
    </w:p>
    <w:p w:rsidR="003C47B9" w:rsidRPr="00AE6B60" w:rsidRDefault="003C47B9" w:rsidP="003C47B9">
      <w:pPr>
        <w:spacing w:after="0" w:line="240" w:lineRule="auto"/>
        <w:jc w:val="both"/>
        <w:rPr>
          <w:rFonts w:ascii="Arial" w:eastAsia="Calibri" w:hAnsi="Arial" w:cs="Arial"/>
          <w:sz w:val="20"/>
          <w:szCs w:val="20"/>
          <w:lang w:eastAsia="es-ES_tradnl"/>
        </w:rPr>
      </w:pPr>
    </w:p>
    <w:p w:rsidR="003C47B9" w:rsidRDefault="003C47B9" w:rsidP="003C47B9">
      <w:pPr>
        <w:pStyle w:val="Sinespaciado"/>
        <w:jc w:val="both"/>
        <w:rPr>
          <w:rFonts w:ascii="Arial" w:hAnsi="Arial" w:cs="Arial"/>
          <w:lang w:val="es-MX"/>
        </w:rPr>
      </w:pPr>
      <w:r w:rsidRPr="00BC5679">
        <w:rPr>
          <w:rFonts w:ascii="Arial" w:eastAsia="Calibri" w:hAnsi="Arial" w:cs="Arial"/>
          <w:sz w:val="20"/>
          <w:szCs w:val="20"/>
          <w:lang w:eastAsia="es-ES_tradnl"/>
        </w:rPr>
        <w:t>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r>
        <w:rPr>
          <w:rFonts w:ascii="Arial" w:eastAsia="Calibri" w:hAnsi="Arial" w:cs="Arial"/>
          <w:sz w:val="20"/>
          <w:szCs w:val="20"/>
          <w:lang w:eastAsia="es-ES_tradnl"/>
        </w:rPr>
        <w:t>.</w:t>
      </w:r>
    </w:p>
    <w:p w:rsidR="003C47B9" w:rsidRDefault="003C47B9" w:rsidP="00F3072D">
      <w:pPr>
        <w:pStyle w:val="Sinespaciado"/>
        <w:rPr>
          <w:rFonts w:ascii="Arial" w:hAnsi="Arial" w:cs="Arial"/>
          <w:lang w:val="es-MX"/>
        </w:rPr>
      </w:pPr>
    </w:p>
    <w:p w:rsidR="00496E38" w:rsidRPr="00496E38" w:rsidRDefault="00496E38" w:rsidP="00496E38">
      <w:pPr>
        <w:tabs>
          <w:tab w:val="left" w:pos="3374"/>
        </w:tabs>
        <w:jc w:val="both"/>
        <w:rPr>
          <w:rFonts w:ascii="Arial" w:eastAsia="Arial" w:hAnsi="Arial" w:cs="Arial"/>
          <w:b/>
          <w:lang w:val="es-ES"/>
        </w:rPr>
      </w:pPr>
      <w:bookmarkStart w:id="0" w:name="_Hlk113712215"/>
      <w:r>
        <w:rPr>
          <w:rFonts w:ascii="Arial" w:eastAsia="Arial" w:hAnsi="Arial" w:cs="Arial"/>
          <w:b/>
          <w:lang w:val="es-ES"/>
        </w:rPr>
        <w:t xml:space="preserve">SEGURIDAD SOCIAL INTEGRAL – Verificación </w:t>
      </w:r>
      <w:bookmarkEnd w:id="0"/>
    </w:p>
    <w:p w:rsidR="00496E38" w:rsidRDefault="00496E38" w:rsidP="00496E38">
      <w:pPr>
        <w:widowControl w:val="0"/>
        <w:autoSpaceDE w:val="0"/>
        <w:autoSpaceDN w:val="0"/>
        <w:jc w:val="both"/>
        <w:rPr>
          <w:rFonts w:ascii="Arial" w:eastAsia="Arial" w:hAnsi="Arial" w:cs="Arial"/>
          <w:sz w:val="20"/>
          <w:szCs w:val="20"/>
          <w:lang w:val="es-ES"/>
        </w:rPr>
      </w:pPr>
      <w:r>
        <w:rPr>
          <w:rFonts w:ascii="Arial" w:eastAsia="Arial" w:hAnsi="Arial" w:cs="Arial"/>
          <w:sz w:val="20"/>
          <w:szCs w:val="20"/>
          <w:lang w:val="es-ES"/>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rsidR="00496E38" w:rsidRPr="00496E38" w:rsidRDefault="00496E38" w:rsidP="00496E38">
      <w:pPr>
        <w:widowControl w:val="0"/>
        <w:tabs>
          <w:tab w:val="left" w:pos="284"/>
        </w:tabs>
        <w:autoSpaceDE w:val="0"/>
        <w:autoSpaceDN w:val="0"/>
        <w:ind w:right="-42"/>
        <w:jc w:val="both"/>
        <w:rPr>
          <w:rFonts w:ascii="Arial" w:eastAsia="Arial" w:hAnsi="Arial" w:cs="Arial"/>
          <w:b/>
          <w:bCs/>
          <w:lang w:val="es-ES"/>
        </w:rPr>
      </w:pPr>
      <w:r>
        <w:rPr>
          <w:rFonts w:ascii="Arial" w:eastAsia="Arial" w:hAnsi="Arial" w:cs="Arial"/>
          <w:b/>
          <w:bCs/>
          <w:lang w:val="es-ES"/>
        </w:rPr>
        <w:t xml:space="preserve">SISTEMA DE RIESGOS LABORALES </w:t>
      </w:r>
      <w:r>
        <w:rPr>
          <w:rFonts w:ascii="Arial" w:eastAsia="Arial" w:hAnsi="Arial" w:cs="Arial"/>
          <w:b/>
          <w:lang w:val="es-ES"/>
        </w:rPr>
        <w:t>–</w:t>
      </w:r>
      <w:r>
        <w:rPr>
          <w:rFonts w:ascii="Arial" w:eastAsia="Arial" w:hAnsi="Arial" w:cs="Arial"/>
          <w:b/>
          <w:bCs/>
          <w:lang w:val="es-ES"/>
        </w:rPr>
        <w:t xml:space="preserve"> Régimen jurídico </w:t>
      </w:r>
      <w:r>
        <w:rPr>
          <w:rFonts w:ascii="Arial" w:eastAsia="Arial" w:hAnsi="Arial" w:cs="Arial"/>
          <w:b/>
          <w:lang w:val="es-ES"/>
        </w:rPr>
        <w:t>–</w:t>
      </w:r>
      <w:r>
        <w:rPr>
          <w:rFonts w:ascii="Arial" w:eastAsia="Arial" w:hAnsi="Arial" w:cs="Arial"/>
          <w:b/>
          <w:bCs/>
          <w:lang w:val="es-ES"/>
        </w:rPr>
        <w:t xml:space="preserve"> Afiliación y aporte </w:t>
      </w:r>
      <w:r>
        <w:rPr>
          <w:rFonts w:ascii="Arial" w:eastAsia="Arial" w:hAnsi="Arial" w:cs="Arial"/>
          <w:b/>
          <w:lang w:val="es-ES"/>
        </w:rPr>
        <w:t>–</w:t>
      </w:r>
      <w:r>
        <w:rPr>
          <w:rFonts w:ascii="Arial" w:eastAsia="Arial" w:hAnsi="Arial" w:cs="Arial"/>
          <w:b/>
          <w:bCs/>
          <w:lang w:val="es-ES"/>
        </w:rPr>
        <w:t xml:space="preserve"> Ejecución del contrato </w:t>
      </w:r>
    </w:p>
    <w:p w:rsidR="00496E38" w:rsidRDefault="00496E38" w:rsidP="00496E38">
      <w:pPr>
        <w:widowControl w:val="0"/>
        <w:autoSpaceDE w:val="0"/>
        <w:autoSpaceDN w:val="0"/>
        <w:jc w:val="both"/>
        <w:rPr>
          <w:rFonts w:ascii="Arial" w:eastAsia="Arial" w:hAnsi="Arial" w:cs="Arial"/>
          <w:sz w:val="20"/>
          <w:szCs w:val="20"/>
          <w:lang w:val="es-ES"/>
        </w:rPr>
      </w:pPr>
      <w:r>
        <w:rPr>
          <w:rFonts w:ascii="Arial" w:eastAsia="Arial" w:hAnsi="Arial" w:cs="Arial"/>
          <w:sz w:val="20"/>
          <w:szCs w:val="20"/>
          <w:lang w:val="es-ES"/>
        </w:rPr>
        <w:t xml:space="preserve">El artículo 2.2.4.2.2.5 del Decreto 1072 de 2015 señala que el contratante debe afiliar al Sistema General de Riesgos Laborales a los contratistas de prestación de servicios y el incumplimiento de esta obligación hará responsable al contratante de las prestaciones económicas y asistenciales a que haya lugar. En concordancia, el artículo 2.2.4.2.2.6 del decreto señalado dispone que «La cobertura del Sistema General de Riesgos Laborales se inicia el día calendario siguiente al de la afiliación; para tal efecto, dicha afiliación al Sistema debe surtirse como mínimo un día antes del inicio de la ejecución de la labor contratada. La finalización de la cobertura para cada contrato corresponde a la fecha de terminación del mismo». (Énfasis por fuera de texto). Bajo estas consideraciones, cuando una entidad celebre un contrato de prestación de servicios superior a un mes tiene por obligación la afiliación del contratista al Sistema General de Riesgos Laborales previo al inicio de la ejecución del contrato, con la finalidad que exista cobertura y se pueda acudir a dicho sistema en caso de que se concreten los riesgos durante la ejecución del contrato. </w:t>
      </w:r>
    </w:p>
    <w:p w:rsidR="00496E38" w:rsidRPr="00496E38" w:rsidRDefault="00496E38" w:rsidP="00496E38">
      <w:pPr>
        <w:jc w:val="both"/>
        <w:rPr>
          <w:rFonts w:ascii="Arial" w:eastAsia="Times New Roman" w:hAnsi="Arial" w:cs="Arial"/>
          <w:b/>
          <w:color w:val="000000" w:themeColor="text1"/>
          <w:lang w:eastAsia="es-CO"/>
        </w:rPr>
      </w:pPr>
      <w:r w:rsidRPr="001A6F5C">
        <w:rPr>
          <w:rFonts w:ascii="Arial" w:eastAsia="Times New Roman" w:hAnsi="Arial" w:cs="Arial"/>
          <w:b/>
          <w:color w:val="000000" w:themeColor="text1"/>
          <w:lang w:eastAsia="es-CO"/>
        </w:rPr>
        <w:t xml:space="preserve">EXAMEN MÉDICO PRE OCUPACIONAL </w:t>
      </w:r>
      <w:bookmarkStart w:id="1" w:name="_Hlk39666823"/>
      <w:r w:rsidRPr="001A6F5C">
        <w:rPr>
          <w:rFonts w:ascii="Arial" w:eastAsia="Calibri" w:hAnsi="Arial" w:cs="Arial"/>
          <w:b/>
          <w:color w:val="000000" w:themeColor="text1"/>
        </w:rPr>
        <w:t>–</w:t>
      </w:r>
      <w:bookmarkEnd w:id="1"/>
      <w:r w:rsidRPr="001A6F5C">
        <w:rPr>
          <w:rFonts w:ascii="Arial" w:eastAsia="Calibri" w:hAnsi="Arial" w:cs="Arial"/>
          <w:b/>
          <w:color w:val="000000" w:themeColor="text1"/>
        </w:rPr>
        <w:t xml:space="preserve"> Definición </w:t>
      </w:r>
    </w:p>
    <w:p w:rsidR="00496E38" w:rsidRPr="001A6F5C" w:rsidRDefault="00496E38" w:rsidP="00496E38">
      <w:pPr>
        <w:jc w:val="both"/>
        <w:rPr>
          <w:rFonts w:ascii="Arial" w:eastAsia="Times New Roman" w:hAnsi="Arial" w:cs="Arial"/>
          <w:color w:val="000000" w:themeColor="text1"/>
          <w:sz w:val="20"/>
          <w:szCs w:val="20"/>
          <w:lang w:eastAsia="es-CO"/>
        </w:rPr>
      </w:pPr>
      <w:r w:rsidRPr="001A6F5C">
        <w:rPr>
          <w:rFonts w:ascii="Arial" w:eastAsia="Times New Roman" w:hAnsi="Arial" w:cs="Arial"/>
          <w:color w:val="000000" w:themeColor="text1"/>
          <w:sz w:val="20"/>
          <w:szCs w:val="20"/>
          <w:lang w:eastAsia="es-CO"/>
        </w:rPr>
        <w:t xml:space="preserve">El examen médico pre ocupacional es un acto médico en él que se determinan las condiciones de salud, física, mental y social de quien va a contratar con una entidad pública. Este examen deberá practicarse antes de la suscripción del contrato y en él se interrogan las condiciones de salud del futuro contratista en función de las obligaciones contractuales que se van a ejecutar y el factor de riesgo del contrato. </w:t>
      </w:r>
    </w:p>
    <w:p w:rsidR="00496E38" w:rsidRPr="001A6F5C" w:rsidRDefault="00496E38" w:rsidP="00496E38">
      <w:pPr>
        <w:jc w:val="both"/>
        <w:rPr>
          <w:rFonts w:ascii="Arial" w:eastAsia="Times New Roman" w:hAnsi="Arial" w:cs="Arial"/>
          <w:color w:val="000000" w:themeColor="text1"/>
          <w:sz w:val="20"/>
          <w:szCs w:val="20"/>
          <w:lang w:eastAsia="es-CO"/>
        </w:rPr>
      </w:pPr>
    </w:p>
    <w:p w:rsidR="00496E38" w:rsidRPr="00496E38" w:rsidRDefault="00496E38" w:rsidP="00496E38">
      <w:pPr>
        <w:shd w:val="clear" w:color="auto" w:fill="FFFFFF"/>
        <w:jc w:val="both"/>
        <w:rPr>
          <w:rFonts w:ascii="Arial" w:eastAsia="Calibri" w:hAnsi="Arial" w:cs="Arial"/>
          <w:b/>
          <w:color w:val="000000" w:themeColor="text1"/>
        </w:rPr>
      </w:pPr>
      <w:r w:rsidRPr="001A6F5C">
        <w:rPr>
          <w:rFonts w:ascii="Arial" w:eastAsia="Times New Roman" w:hAnsi="Arial" w:cs="Arial"/>
          <w:b/>
          <w:color w:val="000000" w:themeColor="text1"/>
          <w:lang w:eastAsia="es-CO"/>
        </w:rPr>
        <w:t xml:space="preserve">EXAMEN MÉDICO PRE OCUPACIONAL </w:t>
      </w:r>
      <w:r w:rsidRPr="001A6F5C">
        <w:rPr>
          <w:rFonts w:ascii="Arial" w:eastAsia="Calibri" w:hAnsi="Arial" w:cs="Arial"/>
          <w:b/>
          <w:color w:val="000000" w:themeColor="text1"/>
        </w:rPr>
        <w:t>– Finalidad</w:t>
      </w:r>
    </w:p>
    <w:p w:rsidR="00496E38" w:rsidRPr="001A6F5C" w:rsidRDefault="00496E38" w:rsidP="00496E38">
      <w:pPr>
        <w:shd w:val="clear" w:color="auto" w:fill="FFFFFF"/>
        <w:jc w:val="both"/>
        <w:rPr>
          <w:rFonts w:ascii="Arial" w:eastAsia="Times New Roman" w:hAnsi="Arial" w:cs="Arial"/>
          <w:color w:val="000000" w:themeColor="text1"/>
          <w:sz w:val="20"/>
          <w:szCs w:val="20"/>
          <w:lang w:eastAsia="es-CO"/>
        </w:rPr>
      </w:pPr>
      <w:r w:rsidRPr="001A6F5C">
        <w:rPr>
          <w:rFonts w:ascii="Arial" w:eastAsia="Times New Roman" w:hAnsi="Arial" w:cs="Arial"/>
          <w:color w:val="000000" w:themeColor="text1"/>
          <w:sz w:val="20"/>
          <w:szCs w:val="20"/>
          <w:lang w:eastAsia="es-CO"/>
        </w:rPr>
        <w:lastRenderedPageBreak/>
        <w:t>La finalidad de este examen consiste en determinar la aptitud del contratista para el ejercicio de las obligaciones del contrato y conocer las restricciones de salud que ameriten adoptar alguna medida administrativa en ejercicio del contrato.</w:t>
      </w:r>
    </w:p>
    <w:p w:rsidR="00496E38" w:rsidRPr="001A6F5C" w:rsidRDefault="00496E38" w:rsidP="00496E38">
      <w:pPr>
        <w:jc w:val="both"/>
        <w:rPr>
          <w:rFonts w:ascii="Arial" w:eastAsia="Times New Roman" w:hAnsi="Arial" w:cs="Arial"/>
          <w:color w:val="000000" w:themeColor="text1"/>
          <w:sz w:val="20"/>
          <w:szCs w:val="20"/>
          <w:lang w:eastAsia="es-CO"/>
        </w:rPr>
      </w:pPr>
    </w:p>
    <w:p w:rsidR="00496E38" w:rsidRPr="00496E38" w:rsidRDefault="00496E38" w:rsidP="00496E38">
      <w:pPr>
        <w:jc w:val="both"/>
        <w:rPr>
          <w:rFonts w:ascii="Arial" w:eastAsia="Times New Roman" w:hAnsi="Arial" w:cs="Arial"/>
          <w:b/>
          <w:color w:val="000000" w:themeColor="text1"/>
          <w:sz w:val="21"/>
          <w:szCs w:val="21"/>
          <w:lang w:eastAsia="es-CO"/>
        </w:rPr>
      </w:pPr>
      <w:r w:rsidRPr="001D3D65">
        <w:rPr>
          <w:rFonts w:ascii="Arial" w:eastAsia="Times New Roman" w:hAnsi="Arial" w:cs="Arial"/>
          <w:b/>
          <w:color w:val="000000" w:themeColor="text1"/>
          <w:sz w:val="21"/>
          <w:szCs w:val="21"/>
          <w:lang w:eastAsia="es-CO"/>
        </w:rPr>
        <w:t xml:space="preserve">EXAMEN MÉDICO PRE OCUPACIONAL </w:t>
      </w:r>
      <w:r w:rsidRPr="006C15D5">
        <w:rPr>
          <w:rFonts w:ascii="Arial" w:eastAsia="Calibri" w:hAnsi="Arial" w:cs="Arial"/>
          <w:b/>
          <w:color w:val="000000" w:themeColor="text1"/>
        </w:rPr>
        <w:t>–</w:t>
      </w:r>
      <w:r w:rsidRPr="001D3D65">
        <w:rPr>
          <w:rFonts w:ascii="Arial" w:eastAsia="Calibri" w:hAnsi="Arial" w:cs="Arial"/>
          <w:b/>
          <w:color w:val="000000" w:themeColor="text1"/>
        </w:rPr>
        <w:t xml:space="preserve"> Obligatoriedad </w:t>
      </w:r>
      <w:r w:rsidRPr="006C15D5">
        <w:rPr>
          <w:rFonts w:ascii="Arial" w:eastAsia="Calibri" w:hAnsi="Arial" w:cs="Arial"/>
          <w:b/>
          <w:color w:val="000000" w:themeColor="text1"/>
        </w:rPr>
        <w:t>–</w:t>
      </w:r>
      <w:r w:rsidRPr="001D3D65">
        <w:rPr>
          <w:rFonts w:ascii="Arial" w:eastAsia="Calibri" w:hAnsi="Arial" w:cs="Arial"/>
          <w:b/>
          <w:color w:val="000000" w:themeColor="text1"/>
        </w:rPr>
        <w:t xml:space="preserve"> Fundamento normativo</w:t>
      </w:r>
    </w:p>
    <w:p w:rsidR="00496E38" w:rsidRPr="001A6F5C" w:rsidRDefault="00496E38" w:rsidP="00496E38">
      <w:pPr>
        <w:jc w:val="both"/>
        <w:rPr>
          <w:rFonts w:ascii="Arial" w:hAnsi="Arial" w:cs="Arial"/>
          <w:color w:val="000000" w:themeColor="text1"/>
          <w:sz w:val="20"/>
          <w:szCs w:val="20"/>
        </w:rPr>
      </w:pPr>
      <w:r w:rsidRPr="001A6F5C">
        <w:rPr>
          <w:rFonts w:ascii="Arial" w:eastAsia="Times New Roman" w:hAnsi="Arial" w:cs="Arial"/>
          <w:color w:val="000000" w:themeColor="text1"/>
          <w:sz w:val="20"/>
          <w:szCs w:val="20"/>
          <w:lang w:eastAsia="es-CO"/>
        </w:rPr>
        <w:t xml:space="preserve">La disposición en cita [artículo 2.2.4.2.2.18 del Decreto 1072 de 2015] regula la obligatoriedad y vigencia del examen médico ocupacional para contratistas de entidades estatales. La norma establece en el inciso 2 la obligación de practicarse el examen </w:t>
      </w:r>
      <w:proofErr w:type="spellStart"/>
      <w:r w:rsidRPr="001A6F5C">
        <w:rPr>
          <w:rFonts w:ascii="Arial" w:eastAsia="Times New Roman" w:hAnsi="Arial" w:cs="Arial"/>
          <w:color w:val="000000" w:themeColor="text1"/>
          <w:sz w:val="20"/>
          <w:szCs w:val="20"/>
          <w:lang w:eastAsia="es-CO"/>
        </w:rPr>
        <w:t>preocupacional</w:t>
      </w:r>
      <w:proofErr w:type="spellEnd"/>
      <w:r w:rsidRPr="001A6F5C">
        <w:rPr>
          <w:rFonts w:ascii="Arial" w:eastAsia="Times New Roman" w:hAnsi="Arial" w:cs="Arial"/>
          <w:color w:val="000000" w:themeColor="text1"/>
          <w:sz w:val="20"/>
          <w:szCs w:val="20"/>
          <w:lang w:eastAsia="es-CO"/>
        </w:rPr>
        <w:t>, que como se dijo, consiste en una valoración de la aptitud del contratista para cumplir las obligaciones contractuales.</w:t>
      </w:r>
    </w:p>
    <w:p w:rsidR="00496E38" w:rsidRPr="001D3D65" w:rsidRDefault="00496E38" w:rsidP="00496E38">
      <w:pPr>
        <w:jc w:val="both"/>
        <w:rPr>
          <w:rFonts w:ascii="Arial" w:hAnsi="Arial" w:cs="Arial"/>
          <w:color w:val="000000" w:themeColor="text1"/>
          <w:sz w:val="21"/>
          <w:szCs w:val="21"/>
        </w:rPr>
      </w:pPr>
    </w:p>
    <w:p w:rsidR="00496E38" w:rsidRPr="00496E38" w:rsidRDefault="00496E38" w:rsidP="00496E38">
      <w:pPr>
        <w:jc w:val="both"/>
        <w:rPr>
          <w:rFonts w:ascii="Arial" w:hAnsi="Arial" w:cs="Arial"/>
          <w:b/>
          <w:color w:val="000000" w:themeColor="text1"/>
        </w:rPr>
      </w:pPr>
      <w:r w:rsidRPr="001A6F5C">
        <w:rPr>
          <w:rFonts w:ascii="Arial" w:hAnsi="Arial" w:cs="Arial"/>
          <w:b/>
          <w:color w:val="000000" w:themeColor="text1"/>
        </w:rPr>
        <w:t xml:space="preserve">CERTIFICADO MÉDICO </w:t>
      </w:r>
      <w:r w:rsidRPr="001A6F5C">
        <w:rPr>
          <w:rFonts w:ascii="Arial" w:eastAsia="Calibri" w:hAnsi="Arial" w:cs="Arial"/>
          <w:b/>
          <w:color w:val="000000" w:themeColor="text1"/>
        </w:rPr>
        <w:t>–</w:t>
      </w:r>
      <w:r>
        <w:rPr>
          <w:rFonts w:ascii="Arial" w:eastAsia="Calibri" w:hAnsi="Arial" w:cs="Arial"/>
          <w:b/>
          <w:color w:val="000000" w:themeColor="text1"/>
        </w:rPr>
        <w:t xml:space="preserve"> Remisión – P</w:t>
      </w:r>
      <w:r w:rsidRPr="001A6F5C">
        <w:rPr>
          <w:rFonts w:ascii="Arial" w:eastAsia="Calibri" w:hAnsi="Arial" w:cs="Arial"/>
          <w:b/>
          <w:color w:val="000000" w:themeColor="text1"/>
        </w:rPr>
        <w:t xml:space="preserve">roceso de contratación </w:t>
      </w:r>
    </w:p>
    <w:p w:rsidR="00496E38" w:rsidRPr="001A6F5C" w:rsidRDefault="00496E38" w:rsidP="00496E38">
      <w:pPr>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l</w:t>
      </w:r>
      <w:r w:rsidRPr="001A6F5C">
        <w:rPr>
          <w:rFonts w:ascii="Arial" w:eastAsia="Times New Roman" w:hAnsi="Arial" w:cs="Arial"/>
          <w:color w:val="000000" w:themeColor="text1"/>
          <w:sz w:val="20"/>
          <w:szCs w:val="20"/>
          <w:lang w:eastAsia="es-CO"/>
        </w:rPr>
        <w:t>a norma impone al contratista el deber de aportar el certificado médico al contratante. Esta exigencia resulta lógica, si lo que se quiere es gestionar los riesgos laborales, pues le permitirá a la entidad conocer el estado de salud del contratista para el ejercicio de las obligaciones del contrato y las condiciones especiales en que aquel deberá prestarlas.</w:t>
      </w:r>
    </w:p>
    <w:p w:rsidR="00496E38" w:rsidRPr="00496E38" w:rsidRDefault="00496E38" w:rsidP="00496E38">
      <w:pPr>
        <w:widowControl w:val="0"/>
        <w:autoSpaceDE w:val="0"/>
        <w:autoSpaceDN w:val="0"/>
        <w:jc w:val="both"/>
        <w:rPr>
          <w:rFonts w:ascii="Arial" w:eastAsia="Arial" w:hAnsi="Arial" w:cs="Arial"/>
          <w:sz w:val="20"/>
          <w:szCs w:val="20"/>
        </w:rPr>
      </w:pPr>
    </w:p>
    <w:p w:rsidR="00496E38" w:rsidRDefault="00496E38" w:rsidP="00496E38">
      <w:pPr>
        <w:widowControl w:val="0"/>
        <w:autoSpaceDE w:val="0"/>
        <w:autoSpaceDN w:val="0"/>
        <w:ind w:left="4825"/>
        <w:rPr>
          <w:rFonts w:ascii="Times New Roman" w:eastAsia="Arial" w:hAnsi="Arial" w:cs="Arial"/>
          <w:sz w:val="20"/>
          <w:lang w:val="es-ES"/>
        </w:rPr>
      </w:pPr>
    </w:p>
    <w:p w:rsidR="00496E38" w:rsidRDefault="00496E38" w:rsidP="00F3072D">
      <w:pPr>
        <w:pStyle w:val="Sinespaciado"/>
        <w:rPr>
          <w:rFonts w:ascii="Arial" w:hAnsi="Arial" w:cs="Arial"/>
          <w:b/>
          <w:lang w:val="es-MX"/>
        </w:rPr>
      </w:pPr>
      <w:r>
        <w:rPr>
          <w:rFonts w:ascii="Arial" w:hAnsi="Arial" w:cs="Arial"/>
          <w:b/>
          <w:lang w:val="es-MX"/>
        </w:rPr>
        <w:t>ANTECEDENTES PROPONENTES -  Exigibilidad – Capacidad jurídica – Deber de verificación</w:t>
      </w:r>
    </w:p>
    <w:p w:rsidR="00496E38" w:rsidRDefault="00496E38" w:rsidP="00F3072D">
      <w:pPr>
        <w:pStyle w:val="Sinespaciado"/>
        <w:rPr>
          <w:rFonts w:ascii="Arial" w:hAnsi="Arial" w:cs="Arial"/>
          <w:b/>
          <w:lang w:val="es-MX"/>
        </w:rPr>
      </w:pPr>
    </w:p>
    <w:p w:rsidR="00496E38" w:rsidRPr="00496E38" w:rsidRDefault="00496E38" w:rsidP="00496E38">
      <w:pPr>
        <w:pStyle w:val="Textoindependiente"/>
        <w:spacing w:line="276" w:lineRule="auto"/>
        <w:ind w:left="100" w:right="104"/>
        <w:jc w:val="both"/>
        <w:rPr>
          <w:sz w:val="20"/>
          <w:szCs w:val="20"/>
        </w:rPr>
      </w:pPr>
      <w:bookmarkStart w:id="2" w:name="_GoBack"/>
      <w:r w:rsidRPr="00496E38">
        <w:rPr>
          <w:sz w:val="20"/>
          <w:szCs w:val="20"/>
          <w:lang w:val="es-MX"/>
        </w:rPr>
        <w:t>L</w:t>
      </w:r>
      <w:r w:rsidRPr="00496E38">
        <w:rPr>
          <w:sz w:val="20"/>
          <w:szCs w:val="20"/>
        </w:rPr>
        <w:t>a normativa del Sistema de Compra Pública no contempla expresamente la obligación de la consulta de antecedentes del contratista por parte de las Entidades Estatales. Sin embargo, las Entidades Estatales tienen el deber de hacer una selección objetiva del contratista verificando su capacidad para contratar con el Estado y su idoneidad para ejecutar el objeto del contrato. Para esto pueden consultar la información de los registros públicos sobre sanciones que consideren convenientes y según la regulación para cada caso.</w:t>
      </w:r>
    </w:p>
    <w:p w:rsidR="00496E38" w:rsidRPr="00496E38" w:rsidRDefault="00496E38" w:rsidP="00496E38">
      <w:pPr>
        <w:pStyle w:val="Textoindependiente"/>
        <w:spacing w:line="276" w:lineRule="auto"/>
        <w:jc w:val="both"/>
        <w:rPr>
          <w:sz w:val="20"/>
          <w:szCs w:val="20"/>
        </w:rPr>
      </w:pPr>
      <w:r w:rsidRPr="00496E38">
        <w:rPr>
          <w:sz w:val="20"/>
          <w:szCs w:val="20"/>
        </w:rPr>
        <w:t>Las sanciones penales y disciplinarias, las inhabilidades que se deriven de las relaciones contractuales con el Estado, de los fallos con responsabilidad fiscal, de las decisiones de pérdida de investidura y de las condenas proferidas contra servidores, ex servidores públicos y particulares que desempeñen funciones públicas en ejercicio de la acción de repetición o llamamiento en garantía, deberán ser registradas a solicitud de la autoridad que las impone en la División de Registro y Control y Correspondencia de la Procuraduría General de la Nación, para efectos de la expedición del certificado de</w:t>
      </w:r>
      <w:r w:rsidRPr="00496E38">
        <w:rPr>
          <w:spacing w:val="-21"/>
          <w:sz w:val="20"/>
          <w:szCs w:val="20"/>
        </w:rPr>
        <w:t xml:space="preserve"> </w:t>
      </w:r>
      <w:r w:rsidRPr="00496E38">
        <w:rPr>
          <w:sz w:val="20"/>
          <w:szCs w:val="20"/>
        </w:rPr>
        <w:t>antecedentes. Lo anterior puede ser consultado por la Entidad Estatal para cumplir con su deber de selección objetiva y para verificar la capacidad para contratar del contratista, esto es que no esté incurso en inhabilidades e incompatibilidades que le impidan contratar con el</w:t>
      </w:r>
      <w:r w:rsidRPr="00496E38">
        <w:rPr>
          <w:spacing w:val="-6"/>
          <w:sz w:val="20"/>
          <w:szCs w:val="20"/>
        </w:rPr>
        <w:t xml:space="preserve"> </w:t>
      </w:r>
      <w:r w:rsidRPr="00496E38">
        <w:rPr>
          <w:sz w:val="20"/>
          <w:szCs w:val="20"/>
        </w:rPr>
        <w:t>Estado”.</w:t>
      </w:r>
    </w:p>
    <w:p w:rsidR="00496E38" w:rsidRPr="00496E38" w:rsidRDefault="00496E38" w:rsidP="00496E38">
      <w:pPr>
        <w:pStyle w:val="Textoindependiente"/>
        <w:spacing w:before="93" w:line="276" w:lineRule="auto"/>
        <w:ind w:left="100" w:right="113"/>
        <w:jc w:val="both"/>
        <w:rPr>
          <w:sz w:val="20"/>
          <w:szCs w:val="20"/>
        </w:rPr>
      </w:pPr>
      <w:r w:rsidRPr="00496E38">
        <w:rPr>
          <w:sz w:val="20"/>
          <w:szCs w:val="20"/>
        </w:rPr>
        <w:t>En consecuencia, la entrega de dicho certificado por el proponente no constituye un requisito habilitante ni de calificación cuya ausencia determine la imposibilidad de contratar, pues, se itera, tales antecedentes disciplinarios pueden ser consultados por las entidades</w:t>
      </w:r>
      <w:r w:rsidRPr="00496E38">
        <w:rPr>
          <w:spacing w:val="-3"/>
          <w:sz w:val="20"/>
          <w:szCs w:val="20"/>
        </w:rPr>
        <w:t xml:space="preserve"> </w:t>
      </w:r>
      <w:r w:rsidRPr="00496E38">
        <w:rPr>
          <w:sz w:val="20"/>
          <w:szCs w:val="20"/>
        </w:rPr>
        <w:t>estatales.</w:t>
      </w:r>
    </w:p>
    <w:bookmarkEnd w:id="2"/>
    <w:p w:rsidR="00496E38" w:rsidRPr="00E30FB6" w:rsidRDefault="00496E38" w:rsidP="00496E38">
      <w:pPr>
        <w:tabs>
          <w:tab w:val="left" w:pos="0"/>
        </w:tabs>
        <w:spacing w:after="0" w:line="276" w:lineRule="auto"/>
        <w:jc w:val="both"/>
        <w:rPr>
          <w:rFonts w:ascii="Arial" w:hAnsi="Arial" w:cs="Arial"/>
          <w:bCs/>
          <w:color w:val="000000" w:themeColor="text1"/>
          <w:lang w:bidi="es-ES"/>
        </w:rPr>
      </w:pPr>
    </w:p>
    <w:p w:rsidR="00496E38" w:rsidRPr="00496E38" w:rsidRDefault="00496E38" w:rsidP="00F3072D">
      <w:pPr>
        <w:pStyle w:val="Sinespaciado"/>
        <w:rPr>
          <w:rFonts w:ascii="Arial" w:hAnsi="Arial" w:cs="Arial"/>
          <w:b/>
        </w:rPr>
      </w:pPr>
    </w:p>
    <w:p w:rsidR="0029319C" w:rsidRDefault="0029319C" w:rsidP="00F3072D">
      <w:pPr>
        <w:pStyle w:val="Sinespaciado"/>
        <w:rPr>
          <w:rFonts w:ascii="Arial" w:hAnsi="Arial" w:cs="Arial"/>
          <w:lang w:val="es-MX"/>
        </w:rPr>
      </w:pPr>
      <w:r>
        <w:rPr>
          <w:rFonts w:ascii="Arial" w:hAnsi="Arial" w:cs="Arial"/>
          <w:lang w:val="es-MX"/>
        </w:rPr>
        <w:t>Bogotá D.C., 19 de abril de 2023</w:t>
      </w:r>
    </w:p>
    <w:p w:rsidR="0029319C" w:rsidRDefault="0029319C" w:rsidP="00F3072D">
      <w:pPr>
        <w:pStyle w:val="Sinespaciado"/>
        <w:rPr>
          <w:rFonts w:ascii="Arial" w:hAnsi="Arial" w:cs="Arial"/>
          <w:lang w:val="es-MX"/>
        </w:rPr>
      </w:pPr>
    </w:p>
    <w:p w:rsidR="0029319C" w:rsidRDefault="0029319C" w:rsidP="00F3072D">
      <w:pPr>
        <w:pStyle w:val="Sinespaciado"/>
        <w:rPr>
          <w:rFonts w:ascii="Arial" w:hAnsi="Arial" w:cs="Arial"/>
          <w:lang w:val="es-MX"/>
        </w:rPr>
      </w:pPr>
    </w:p>
    <w:p w:rsidR="0029319C" w:rsidRDefault="0029319C" w:rsidP="0029319C">
      <w:pPr>
        <w:pStyle w:val="Sinespaciado"/>
        <w:jc w:val="right"/>
        <w:rPr>
          <w:rFonts w:ascii="Arial" w:hAnsi="Arial" w:cs="Arial"/>
          <w:lang w:val="es-MX"/>
        </w:rPr>
      </w:pPr>
      <w:r w:rsidRPr="0029319C">
        <w:rPr>
          <w:rFonts w:ascii="Arial" w:hAnsi="Arial" w:cs="Arial"/>
          <w:lang w:val="es-MX"/>
        </w:rPr>
        <w:drawing>
          <wp:inline distT="0" distB="0" distL="0" distR="0" wp14:anchorId="45BBBDFA" wp14:editId="3FB38171">
            <wp:extent cx="2210108" cy="61921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10108" cy="619211"/>
                    </a:xfrm>
                    <a:prstGeom prst="rect">
                      <a:avLst/>
                    </a:prstGeom>
                  </pic:spPr>
                </pic:pic>
              </a:graphicData>
            </a:graphic>
          </wp:inline>
        </w:drawing>
      </w:r>
    </w:p>
    <w:p w:rsidR="0029319C" w:rsidRDefault="0029319C" w:rsidP="00F3072D">
      <w:pPr>
        <w:pStyle w:val="Sinespaciado"/>
        <w:rPr>
          <w:rFonts w:ascii="Arial" w:hAnsi="Arial" w:cs="Arial"/>
          <w:lang w:val="es-MX"/>
        </w:rPr>
      </w:pPr>
    </w:p>
    <w:p w:rsidR="0029319C" w:rsidRDefault="0029319C" w:rsidP="00F3072D">
      <w:pPr>
        <w:pStyle w:val="Sinespaciado"/>
        <w:rPr>
          <w:rFonts w:ascii="Arial" w:hAnsi="Arial" w:cs="Arial"/>
          <w:lang w:val="es-MX"/>
        </w:rPr>
      </w:pPr>
    </w:p>
    <w:p w:rsidR="00F3072D" w:rsidRPr="00E30FB6" w:rsidRDefault="00F3072D" w:rsidP="00F3072D">
      <w:pPr>
        <w:pStyle w:val="Sinespaciado"/>
        <w:rPr>
          <w:rFonts w:ascii="Arial" w:hAnsi="Arial" w:cs="Arial"/>
          <w:lang w:val="es-MX"/>
        </w:rPr>
      </w:pPr>
      <w:r w:rsidRPr="00E30FB6">
        <w:rPr>
          <w:rFonts w:ascii="Arial" w:hAnsi="Arial" w:cs="Arial"/>
          <w:lang w:val="es-MX"/>
        </w:rPr>
        <w:t>Señora</w:t>
      </w:r>
    </w:p>
    <w:p w:rsidR="00F3072D" w:rsidRPr="00E30FB6" w:rsidRDefault="00F3072D" w:rsidP="00F3072D">
      <w:pPr>
        <w:pStyle w:val="Sinespaciado"/>
        <w:rPr>
          <w:rFonts w:ascii="Arial" w:hAnsi="Arial" w:cs="Arial"/>
          <w:b/>
          <w:lang w:val="es-MX"/>
        </w:rPr>
      </w:pPr>
      <w:r w:rsidRPr="00E30FB6">
        <w:rPr>
          <w:rFonts w:ascii="Arial" w:hAnsi="Arial" w:cs="Arial"/>
          <w:b/>
          <w:lang w:val="es-MX"/>
        </w:rPr>
        <w:t>Martha Lucía Carrera Benjumea</w:t>
      </w:r>
    </w:p>
    <w:p w:rsidR="00F3072D" w:rsidRPr="00E30FB6" w:rsidRDefault="00F3072D" w:rsidP="00F3072D">
      <w:pPr>
        <w:pStyle w:val="Sinespaciado"/>
        <w:rPr>
          <w:rFonts w:ascii="Arial" w:hAnsi="Arial" w:cs="Arial"/>
          <w:lang w:val="es-MX"/>
        </w:rPr>
      </w:pPr>
      <w:r w:rsidRPr="00E30FB6">
        <w:rPr>
          <w:rFonts w:ascii="Arial" w:hAnsi="Arial" w:cs="Arial"/>
          <w:lang w:val="es-MX"/>
        </w:rPr>
        <w:t xml:space="preserve">Florencia, Caquetá </w:t>
      </w:r>
    </w:p>
    <w:p w:rsidR="00F3072D" w:rsidRPr="00E30FB6" w:rsidRDefault="00F3072D" w:rsidP="00F3072D">
      <w:pPr>
        <w:rPr>
          <w:rFonts w:ascii="Arial" w:hAnsi="Arial" w:cs="Arial"/>
          <w:lang w:val="es-MX"/>
        </w:rPr>
      </w:pPr>
    </w:p>
    <w:p w:rsidR="00F3072D" w:rsidRPr="00E30FB6" w:rsidRDefault="00F3072D" w:rsidP="00F3072D">
      <w:pPr>
        <w:spacing w:after="0" w:line="276" w:lineRule="auto"/>
        <w:jc w:val="both"/>
        <w:rPr>
          <w:rFonts w:ascii="Arial" w:hAnsi="Arial" w:cs="Arial"/>
          <w:color w:val="000000" w:themeColor="text1"/>
        </w:rPr>
      </w:pPr>
      <w:r w:rsidRPr="00E30FB6">
        <w:rPr>
          <w:rFonts w:ascii="Arial" w:hAnsi="Arial" w:cs="Arial"/>
          <w:color w:val="000000" w:themeColor="text1"/>
        </w:rPr>
        <w:t xml:space="preserve">                    </w:t>
      </w:r>
      <w:r w:rsidRPr="00E30FB6">
        <w:rPr>
          <w:rFonts w:ascii="Arial" w:hAnsi="Arial" w:cs="Arial"/>
          <w:color w:val="000000" w:themeColor="text1"/>
        </w:rPr>
        <w:tab/>
      </w:r>
      <w:r w:rsidRPr="00E30FB6">
        <w:rPr>
          <w:rFonts w:ascii="Arial" w:hAnsi="Arial" w:cs="Arial"/>
          <w:color w:val="000000" w:themeColor="text1"/>
        </w:rPr>
        <w:tab/>
        <w:t xml:space="preserve">         </w:t>
      </w:r>
      <w:r w:rsidRPr="00E30FB6">
        <w:rPr>
          <w:rFonts w:ascii="Arial" w:hAnsi="Arial" w:cs="Arial"/>
          <w:b/>
          <w:color w:val="000000" w:themeColor="text1"/>
        </w:rPr>
        <w:t>Concepto C – 054 de 2023</w:t>
      </w:r>
    </w:p>
    <w:p w:rsidR="00F3072D" w:rsidRPr="00E30FB6" w:rsidRDefault="00F3072D" w:rsidP="00F3072D">
      <w:pPr>
        <w:spacing w:after="0" w:line="276" w:lineRule="auto"/>
        <w:jc w:val="both"/>
        <w:rPr>
          <w:rFonts w:ascii="Arial" w:hAnsi="Arial" w:cs="Arial"/>
          <w:b/>
          <w:color w:val="000000" w:themeColor="text1"/>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3072D" w:rsidRPr="00E30FB6" w:rsidTr="00B10C54">
        <w:trPr>
          <w:trHeight w:val="485"/>
        </w:trPr>
        <w:tc>
          <w:tcPr>
            <w:tcW w:w="2689" w:type="dxa"/>
            <w:hideMark/>
          </w:tcPr>
          <w:p w:rsidR="00F3072D" w:rsidRPr="00E30FB6" w:rsidRDefault="00F3072D" w:rsidP="00B10C54">
            <w:pPr>
              <w:spacing w:line="276" w:lineRule="auto"/>
              <w:contextualSpacing/>
              <w:rPr>
                <w:rFonts w:ascii="Arial" w:hAnsi="Arial" w:cs="Arial"/>
                <w:noProof/>
                <w:color w:val="000000" w:themeColor="text1"/>
              </w:rPr>
            </w:pPr>
            <w:r w:rsidRPr="00E30FB6">
              <w:rPr>
                <w:rFonts w:ascii="Arial" w:hAnsi="Arial" w:cs="Arial"/>
                <w:b/>
                <w:noProof/>
                <w:color w:val="000000" w:themeColor="text1"/>
              </w:rPr>
              <w:t>Temas:</w:t>
            </w:r>
            <w:r w:rsidRPr="00E30FB6">
              <w:rPr>
                <w:rFonts w:ascii="Arial" w:hAnsi="Arial" w:cs="Arial"/>
                <w:noProof/>
                <w:color w:val="000000" w:themeColor="text1"/>
              </w:rPr>
              <w:t xml:space="preserve">    </w:t>
            </w:r>
          </w:p>
        </w:tc>
        <w:tc>
          <w:tcPr>
            <w:tcW w:w="6237" w:type="dxa"/>
            <w:shd w:val="clear" w:color="auto" w:fill="auto"/>
            <w:hideMark/>
          </w:tcPr>
          <w:p w:rsidR="00F3072D" w:rsidRPr="00E30FB6" w:rsidRDefault="00F3072D" w:rsidP="00B10C54">
            <w:pPr>
              <w:spacing w:after="120" w:line="276" w:lineRule="auto"/>
              <w:rPr>
                <w:rFonts w:ascii="Arial" w:hAnsi="Arial" w:cs="Arial"/>
                <w:bCs/>
                <w:color w:val="000000" w:themeColor="text1"/>
                <w:lang w:eastAsia="es-ES"/>
              </w:rPr>
            </w:pPr>
            <w:r w:rsidRPr="00E30FB6">
              <w:rPr>
                <w:rFonts w:ascii="Arial" w:hAnsi="Arial" w:cs="Arial"/>
                <w:color w:val="000000" w:themeColor="text1"/>
              </w:rPr>
              <w:t xml:space="preserve">SERVICIO MILITAR – Obligatoriedad / SITUACIÓN MILITAR – Resuelta o definida/ SITUACIÓN MILITAR PARA EL TRABAJO – Regla general – Regla excepcional / DEFINICIÓN DE LA SITUACIÓN MILITAR – Exigibilidad – </w:t>
            </w:r>
            <w:r w:rsidRPr="00E30FB6">
              <w:rPr>
                <w:rFonts w:ascii="Arial" w:hAnsi="Arial" w:cs="Arial"/>
                <w:noProof/>
                <w:color w:val="000000" w:themeColor="text1"/>
              </w:rPr>
              <w:t xml:space="preserve">Plazo </w:t>
            </w:r>
            <w:r w:rsidRPr="00E30FB6">
              <w:rPr>
                <w:rFonts w:ascii="Arial" w:hAnsi="Arial" w:cs="Arial"/>
                <w:bCs/>
                <w:color w:val="000000" w:themeColor="text1"/>
                <w:lang w:eastAsia="es-ES"/>
              </w:rPr>
              <w:t xml:space="preserve">– Obligación de consulta/ DECLARACIÓN JURAMENTADA – Dilación o retraso por parte del Comando de Reclutamiento y Control Reservas del Ejército Nacional/ </w:t>
            </w:r>
            <w:r w:rsidRPr="00E30FB6">
              <w:rPr>
                <w:rFonts w:ascii="Arial" w:eastAsia="Calibri" w:hAnsi="Arial" w:cs="Arial"/>
                <w:lang w:val="es-ES_tradnl" w:eastAsia="es-ES"/>
              </w:rPr>
              <w:t xml:space="preserve">SEGURIDAD SOCIAL INTEGRAL – Verificación / SISTEMA DE RIESGOS LABORALES – Régimen jurídico – Afiliación y aporte – Ejecución del contrato/  </w:t>
            </w:r>
            <w:r w:rsidRPr="00E30FB6">
              <w:rPr>
                <w:rFonts w:ascii="Arial" w:eastAsia="Times New Roman" w:hAnsi="Arial" w:cs="Arial"/>
                <w:color w:val="000000" w:themeColor="text1"/>
                <w:sz w:val="21"/>
                <w:szCs w:val="21"/>
                <w:lang w:eastAsia="es-CO"/>
              </w:rPr>
              <w:t xml:space="preserve">EXAMEN MÉDICO PRE OCUPACIONAL </w:t>
            </w:r>
            <w:r w:rsidRPr="00E30FB6">
              <w:rPr>
                <w:rFonts w:ascii="Arial" w:eastAsia="Calibri" w:hAnsi="Arial" w:cs="Arial"/>
                <w:b/>
                <w:color w:val="000000" w:themeColor="text1"/>
              </w:rPr>
              <w:t xml:space="preserve">─ </w:t>
            </w:r>
            <w:r w:rsidRPr="00E30FB6">
              <w:rPr>
                <w:rFonts w:ascii="Arial" w:eastAsia="Calibri" w:hAnsi="Arial" w:cs="Arial"/>
                <w:color w:val="000000" w:themeColor="text1"/>
              </w:rPr>
              <w:t xml:space="preserve">Definición/ EXAMEN MÉDICO PRE OCUPACIONAL </w:t>
            </w:r>
            <w:r w:rsidRPr="00E30FB6">
              <w:rPr>
                <w:rFonts w:ascii="Arial" w:eastAsia="Calibri" w:hAnsi="Arial" w:cs="Arial"/>
                <w:b/>
                <w:color w:val="000000" w:themeColor="text1"/>
              </w:rPr>
              <w:t>─</w:t>
            </w:r>
            <w:r w:rsidRPr="00E30FB6">
              <w:rPr>
                <w:rFonts w:ascii="Arial" w:eastAsia="Calibri" w:hAnsi="Arial" w:cs="Arial"/>
                <w:color w:val="000000" w:themeColor="text1"/>
              </w:rPr>
              <w:t xml:space="preserve"> Finalidad/ </w:t>
            </w:r>
            <w:r w:rsidRPr="00E30FB6">
              <w:rPr>
                <w:rFonts w:ascii="Arial" w:eastAsia="Times New Roman" w:hAnsi="Arial" w:cs="Arial"/>
                <w:color w:val="000000" w:themeColor="text1"/>
                <w:sz w:val="21"/>
                <w:szCs w:val="21"/>
                <w:lang w:eastAsia="es-CO"/>
              </w:rPr>
              <w:t xml:space="preserve">EXAMEN MÉDICO PRE OCUPACIONAL </w:t>
            </w:r>
            <w:r w:rsidRPr="00E30FB6">
              <w:rPr>
                <w:rFonts w:ascii="Arial" w:eastAsia="Calibri" w:hAnsi="Arial" w:cs="Arial"/>
                <w:color w:val="000000" w:themeColor="text1"/>
              </w:rPr>
              <w:t xml:space="preserve">─ Fundamento normativo/ </w:t>
            </w:r>
            <w:r w:rsidRPr="00E30FB6">
              <w:rPr>
                <w:rFonts w:ascii="Arial" w:hAnsi="Arial" w:cs="Arial"/>
                <w:color w:val="000000" w:themeColor="text1"/>
                <w:sz w:val="21"/>
                <w:szCs w:val="21"/>
              </w:rPr>
              <w:t xml:space="preserve">CERTIFICADO MÉDICO </w:t>
            </w:r>
            <w:r w:rsidRPr="00E30FB6">
              <w:rPr>
                <w:rFonts w:ascii="Arial" w:eastAsia="Calibri" w:hAnsi="Arial" w:cs="Arial"/>
                <w:color w:val="000000" w:themeColor="text1"/>
              </w:rPr>
              <w:t>─ Remisión al proceso de contratación/</w:t>
            </w:r>
            <w:r>
              <w:rPr>
                <w:rFonts w:ascii="Arial" w:eastAsia="Calibri" w:hAnsi="Arial" w:cs="Arial"/>
                <w:color w:val="000000" w:themeColor="text1"/>
              </w:rPr>
              <w:t xml:space="preserve"> ANTECEDENTES PROPONENTES – Exigibilidad – Capacidad jurídica – Deber de verificación/. </w:t>
            </w:r>
          </w:p>
        </w:tc>
      </w:tr>
      <w:tr w:rsidR="00F3072D" w:rsidRPr="00E30FB6" w:rsidTr="00B10C54">
        <w:tc>
          <w:tcPr>
            <w:tcW w:w="2689" w:type="dxa"/>
          </w:tcPr>
          <w:p w:rsidR="00F3072D" w:rsidRPr="00E30FB6" w:rsidRDefault="00F3072D" w:rsidP="00B10C54">
            <w:pPr>
              <w:spacing w:line="276" w:lineRule="auto"/>
              <w:contextualSpacing/>
              <w:rPr>
                <w:rFonts w:ascii="Arial" w:hAnsi="Arial" w:cs="Arial"/>
                <w:b/>
                <w:noProof/>
                <w:color w:val="000000" w:themeColor="text1"/>
              </w:rPr>
            </w:pPr>
            <w:r w:rsidRPr="00E30FB6">
              <w:rPr>
                <w:rFonts w:ascii="Arial" w:hAnsi="Arial" w:cs="Arial"/>
                <w:b/>
                <w:noProof/>
                <w:color w:val="000000" w:themeColor="text1"/>
              </w:rPr>
              <w:t xml:space="preserve"> Radicación:</w:t>
            </w:r>
            <w:r w:rsidRPr="00E30FB6">
              <w:rPr>
                <w:rFonts w:ascii="Arial" w:hAnsi="Arial" w:cs="Arial"/>
                <w:noProof/>
                <w:color w:val="000000" w:themeColor="text1"/>
              </w:rPr>
              <w:t xml:space="preserve">               </w:t>
            </w:r>
          </w:p>
        </w:tc>
        <w:tc>
          <w:tcPr>
            <w:tcW w:w="6237" w:type="dxa"/>
          </w:tcPr>
          <w:p w:rsidR="00F3072D" w:rsidRPr="00E30FB6" w:rsidRDefault="00F3072D" w:rsidP="00B10C54">
            <w:pPr>
              <w:spacing w:line="276" w:lineRule="auto"/>
              <w:contextualSpacing/>
              <w:rPr>
                <w:rFonts w:ascii="Arial" w:hAnsi="Arial" w:cs="Arial"/>
                <w:noProof/>
                <w:color w:val="000000" w:themeColor="text1"/>
              </w:rPr>
            </w:pPr>
            <w:r w:rsidRPr="00E30FB6">
              <w:rPr>
                <w:rFonts w:ascii="Arial" w:hAnsi="Arial" w:cs="Arial"/>
                <w:noProof/>
                <w:color w:val="000000" w:themeColor="text1"/>
              </w:rPr>
              <w:t>Respuesta a consulta P20230303001977</w:t>
            </w:r>
          </w:p>
        </w:tc>
      </w:tr>
    </w:tbl>
    <w:p w:rsidR="00F3072D" w:rsidRPr="00E30FB6" w:rsidRDefault="00F3072D" w:rsidP="00F3072D">
      <w:pPr>
        <w:spacing w:after="0" w:line="276" w:lineRule="auto"/>
        <w:jc w:val="both"/>
        <w:rPr>
          <w:rFonts w:ascii="Arial" w:hAnsi="Arial" w:cs="Arial"/>
          <w:color w:val="000000" w:themeColor="text1"/>
        </w:rPr>
      </w:pPr>
    </w:p>
    <w:p w:rsidR="00F3072D" w:rsidRPr="00E30FB6" w:rsidRDefault="00F3072D" w:rsidP="00F3072D">
      <w:pPr>
        <w:spacing w:after="0" w:line="276" w:lineRule="auto"/>
        <w:jc w:val="both"/>
        <w:rPr>
          <w:rFonts w:ascii="Arial" w:hAnsi="Arial" w:cs="Arial"/>
          <w:color w:val="000000" w:themeColor="text1"/>
        </w:rPr>
      </w:pPr>
      <w:r w:rsidRPr="00E30FB6">
        <w:rPr>
          <w:rFonts w:ascii="Arial" w:hAnsi="Arial" w:cs="Arial"/>
          <w:color w:val="000000" w:themeColor="text1"/>
        </w:rPr>
        <w:t xml:space="preserve">Estimada señor Carrera: </w:t>
      </w:r>
    </w:p>
    <w:p w:rsidR="00F3072D" w:rsidRPr="00E30FB6" w:rsidRDefault="00F3072D" w:rsidP="00F3072D">
      <w:pPr>
        <w:spacing w:after="0" w:line="276" w:lineRule="auto"/>
        <w:ind w:firstLine="709"/>
        <w:jc w:val="both"/>
        <w:rPr>
          <w:rFonts w:ascii="Arial" w:hAnsi="Arial" w:cs="Arial"/>
          <w:color w:val="000000" w:themeColor="text1"/>
        </w:rPr>
      </w:pPr>
    </w:p>
    <w:p w:rsidR="00F3072D" w:rsidRPr="00E30FB6" w:rsidRDefault="00F3072D" w:rsidP="00F3072D">
      <w:pPr>
        <w:spacing w:after="0" w:line="276" w:lineRule="auto"/>
        <w:ind w:right="51"/>
        <w:jc w:val="both"/>
        <w:rPr>
          <w:rFonts w:ascii="Arial" w:hAnsi="Arial" w:cs="Arial"/>
          <w:color w:val="000000" w:themeColor="text1"/>
        </w:rPr>
      </w:pPr>
      <w:r w:rsidRPr="00E30FB6">
        <w:rPr>
          <w:rFonts w:ascii="Arial" w:hAnsi="Arial" w:cs="Arial"/>
          <w:color w:val="000000" w:themeColor="text1"/>
        </w:rPr>
        <w:t>En ejercicio de la competencia otorgada por el numeral 8 del artículo 11 y el numeral 5 del artículo 3 del Decreto Ley 4170 de 2011, la Agencia Nacional de Contratación Pública – Colombia Compra Eficiente responde la consulta radicada el 3 de marzo de 2023</w:t>
      </w:r>
      <w:proofErr w:type="gramStart"/>
      <w:r w:rsidRPr="00E30FB6">
        <w:rPr>
          <w:rFonts w:ascii="Arial" w:hAnsi="Arial" w:cs="Arial"/>
          <w:color w:val="000000" w:themeColor="text1"/>
        </w:rPr>
        <w:t>. .</w:t>
      </w:r>
      <w:proofErr w:type="gramEnd"/>
      <w:r w:rsidRPr="00E30FB6">
        <w:rPr>
          <w:rFonts w:ascii="Arial" w:hAnsi="Arial" w:cs="Arial"/>
          <w:color w:val="000000" w:themeColor="text1"/>
        </w:rPr>
        <w:t xml:space="preserve"> </w:t>
      </w:r>
    </w:p>
    <w:p w:rsidR="00F3072D" w:rsidRPr="00E30FB6" w:rsidRDefault="00F3072D" w:rsidP="00F3072D">
      <w:pPr>
        <w:spacing w:after="0" w:line="240" w:lineRule="auto"/>
        <w:ind w:right="51"/>
        <w:jc w:val="both"/>
        <w:rPr>
          <w:rFonts w:ascii="Arial" w:hAnsi="Arial" w:cs="Arial"/>
          <w:color w:val="000000" w:themeColor="text1"/>
        </w:rPr>
      </w:pPr>
    </w:p>
    <w:p w:rsidR="00F3072D" w:rsidRDefault="00F3072D" w:rsidP="00F3072D">
      <w:pPr>
        <w:pStyle w:val="Prrafodelista"/>
        <w:numPr>
          <w:ilvl w:val="0"/>
          <w:numId w:val="1"/>
        </w:numPr>
        <w:tabs>
          <w:tab w:val="left" w:pos="284"/>
        </w:tabs>
        <w:spacing w:after="0" w:line="276" w:lineRule="auto"/>
        <w:ind w:left="284" w:hanging="284"/>
        <w:jc w:val="both"/>
        <w:rPr>
          <w:rFonts w:ascii="Arial" w:eastAsia="Calibri" w:hAnsi="Arial" w:cs="Arial"/>
          <w:b/>
          <w:color w:val="000000" w:themeColor="text1"/>
          <w:lang w:val="es-CO"/>
        </w:rPr>
      </w:pPr>
      <w:r w:rsidRPr="00E30FB6">
        <w:rPr>
          <w:rFonts w:ascii="Arial" w:eastAsia="Calibri" w:hAnsi="Arial" w:cs="Arial"/>
          <w:b/>
          <w:color w:val="000000" w:themeColor="text1"/>
          <w:lang w:val="es-CO"/>
        </w:rPr>
        <w:t xml:space="preserve">Problema planteado </w:t>
      </w:r>
    </w:p>
    <w:p w:rsidR="00F3072D" w:rsidRPr="00E30FB6" w:rsidRDefault="00F3072D" w:rsidP="00F3072D">
      <w:pPr>
        <w:pStyle w:val="Prrafodelista"/>
        <w:tabs>
          <w:tab w:val="left" w:pos="284"/>
        </w:tabs>
        <w:spacing w:after="0" w:line="276" w:lineRule="auto"/>
        <w:ind w:left="284"/>
        <w:jc w:val="both"/>
        <w:rPr>
          <w:rFonts w:ascii="Arial" w:eastAsia="Calibri" w:hAnsi="Arial" w:cs="Arial"/>
          <w:b/>
          <w:color w:val="000000" w:themeColor="text1"/>
          <w:lang w:val="es-CO"/>
        </w:rPr>
      </w:pPr>
    </w:p>
    <w:p w:rsidR="00F3072D" w:rsidRPr="00E30FB6" w:rsidRDefault="00F3072D" w:rsidP="00F3072D">
      <w:pPr>
        <w:pStyle w:val="NormalWeb"/>
        <w:spacing w:before="0" w:beforeAutospacing="0" w:after="0" w:afterAutospacing="0" w:line="276" w:lineRule="auto"/>
        <w:ind w:right="51"/>
        <w:jc w:val="both"/>
        <w:rPr>
          <w:rFonts w:ascii="Arial" w:hAnsi="Arial" w:cs="Arial"/>
          <w:color w:val="000000" w:themeColor="text1"/>
          <w:sz w:val="22"/>
          <w:szCs w:val="22"/>
        </w:rPr>
      </w:pPr>
      <w:bookmarkStart w:id="3" w:name="_Hlk103091300"/>
      <w:r w:rsidRPr="00E30FB6">
        <w:rPr>
          <w:rFonts w:ascii="Arial" w:hAnsi="Arial" w:cs="Arial"/>
          <w:color w:val="000000" w:themeColor="text1"/>
          <w:sz w:val="22"/>
          <w:szCs w:val="22"/>
        </w:rPr>
        <w:lastRenderedPageBreak/>
        <w:t>Con base en lo dispuesto en el artículo 42 de la Ley 1861 de 2017 sobre la acreditación de la situación militar para el trabajo, solicitan que esta Agencia</w:t>
      </w:r>
      <w:r>
        <w:rPr>
          <w:rFonts w:ascii="Arial" w:hAnsi="Arial" w:cs="Arial"/>
          <w:color w:val="000000" w:themeColor="text1"/>
          <w:sz w:val="22"/>
          <w:szCs w:val="22"/>
        </w:rPr>
        <w:t>:</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color w:val="000000" w:themeColor="text1"/>
          <w:sz w:val="21"/>
          <w:szCs w:val="21"/>
        </w:rPr>
        <w:t xml:space="preserve"> </w:t>
      </w:r>
      <w:bookmarkEnd w:id="3"/>
      <w:r w:rsidRPr="00D03FC5">
        <w:rPr>
          <w:rFonts w:ascii="Arial" w:hAnsi="Arial" w:cs="Arial"/>
          <w:iCs/>
          <w:color w:val="000000" w:themeColor="text1"/>
          <w:sz w:val="21"/>
          <w:szCs w:val="21"/>
        </w:rPr>
        <w:t>“</w:t>
      </w:r>
      <w:r>
        <w:rPr>
          <w:rFonts w:ascii="Arial" w:hAnsi="Arial" w:cs="Arial"/>
          <w:iCs/>
          <w:color w:val="000000" w:themeColor="text1"/>
          <w:sz w:val="21"/>
          <w:szCs w:val="21"/>
        </w:rPr>
        <w:t>[…]</w:t>
      </w:r>
      <w:r w:rsidRPr="00D03FC5">
        <w:rPr>
          <w:rFonts w:ascii="Arial" w:hAnsi="Arial" w:cs="Arial"/>
          <w:sz w:val="21"/>
          <w:szCs w:val="21"/>
        </w:rPr>
        <w:t xml:space="preserve"> </w:t>
      </w:r>
      <w:r w:rsidRPr="00D03FC5">
        <w:rPr>
          <w:rFonts w:ascii="Arial" w:hAnsi="Arial" w:cs="Arial"/>
          <w:iCs/>
          <w:color w:val="000000" w:themeColor="text1"/>
          <w:sz w:val="21"/>
          <w:szCs w:val="21"/>
        </w:rPr>
        <w:t xml:space="preserve">La cuestión es saber si ¿es legal que el jurídico/a de la Entidad Pública descarte la candidatura del ciudadano aduciendo que a esa edad ya se debe tener defendida la situación militar?, lo cual a concepto del veedor ciudadano se constituye en una interpretación subjetiva de la norma y que viola el derecho a la igualdad del trabajo y merito, al discriminar al ciudadano por no tener libreta militar, lo cual no quiere decir que no se tenga definida la situación militar ya que el ciudadano aparece en estado ´inscrito´, que es uno de los estados para demostrar que se </w:t>
      </w:r>
      <w:proofErr w:type="spellStart"/>
      <w:r w:rsidRPr="00D03FC5">
        <w:rPr>
          <w:rFonts w:ascii="Arial" w:hAnsi="Arial" w:cs="Arial"/>
          <w:iCs/>
          <w:color w:val="000000" w:themeColor="text1"/>
          <w:sz w:val="21"/>
          <w:szCs w:val="21"/>
        </w:rPr>
        <w:t>esta</w:t>
      </w:r>
      <w:proofErr w:type="spellEnd"/>
      <w:r w:rsidRPr="00D03FC5">
        <w:rPr>
          <w:rFonts w:ascii="Arial" w:hAnsi="Arial" w:cs="Arial"/>
          <w:iCs/>
          <w:color w:val="000000" w:themeColor="text1"/>
          <w:sz w:val="21"/>
          <w:szCs w:val="21"/>
        </w:rPr>
        <w:t xml:space="preserve"> en proceso de resolver y definir la situación militar, en un plazo de 180 días. Igualmente se consulta si en etapa precontractual para contratos por prestación de </w:t>
      </w:r>
      <w:proofErr w:type="gramStart"/>
      <w:r w:rsidRPr="00D03FC5">
        <w:rPr>
          <w:rFonts w:ascii="Arial" w:hAnsi="Arial" w:cs="Arial"/>
          <w:iCs/>
          <w:color w:val="000000" w:themeColor="text1"/>
          <w:sz w:val="21"/>
          <w:szCs w:val="21"/>
        </w:rPr>
        <w:t>servicios:.</w:t>
      </w:r>
      <w:proofErr w:type="gramEnd"/>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 xml:space="preserve">2. </w:t>
      </w:r>
      <w:proofErr w:type="gramStart"/>
      <w:r w:rsidRPr="00D03FC5">
        <w:rPr>
          <w:rFonts w:ascii="Arial" w:hAnsi="Arial" w:cs="Arial"/>
          <w:iCs/>
          <w:color w:val="000000" w:themeColor="text1"/>
          <w:sz w:val="21"/>
          <w:szCs w:val="21"/>
        </w:rPr>
        <w:t>¿ es</w:t>
      </w:r>
      <w:proofErr w:type="gramEnd"/>
      <w:r w:rsidRPr="00D03FC5">
        <w:rPr>
          <w:rFonts w:ascii="Arial" w:hAnsi="Arial" w:cs="Arial"/>
          <w:iCs/>
          <w:color w:val="000000" w:themeColor="text1"/>
          <w:sz w:val="21"/>
          <w:szCs w:val="21"/>
        </w:rPr>
        <w:t xml:space="preserve"> legal exigir al futuro proveedor estar registrado en SIGEP, considerando que el ciudadano no trabaja actualmente con ninguna Entidad Pública?</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 xml:space="preserve">3. </w:t>
      </w:r>
      <w:proofErr w:type="gramStart"/>
      <w:r w:rsidRPr="00D03FC5">
        <w:rPr>
          <w:rFonts w:ascii="Arial" w:hAnsi="Arial" w:cs="Arial"/>
          <w:iCs/>
          <w:color w:val="000000" w:themeColor="text1"/>
          <w:sz w:val="21"/>
          <w:szCs w:val="21"/>
        </w:rPr>
        <w:t>¿ para</w:t>
      </w:r>
      <w:proofErr w:type="gramEnd"/>
      <w:r w:rsidRPr="00D03FC5">
        <w:rPr>
          <w:rFonts w:ascii="Arial" w:hAnsi="Arial" w:cs="Arial"/>
          <w:iCs/>
          <w:color w:val="000000" w:themeColor="text1"/>
          <w:sz w:val="21"/>
          <w:szCs w:val="21"/>
        </w:rPr>
        <w:t xml:space="preserve"> el cumplimiento del requisito 19 de la lista de chequeo (anexo 1), es legal exigir al candidato que obligatoriamente se encuentre en régimen contributivo de salud o es suficiente con demostrar que se encuentra inscrito a una EPS (certificado ADRES) en régimen subsidiado?</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4. ¿es legal que se exija a un futuro proveedor que pague por adelanto la seguridad salud (liquidar planilla), sin tener un contrato firmado para prestación de servicios?</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 xml:space="preserve">5. </w:t>
      </w:r>
      <w:proofErr w:type="gramStart"/>
      <w:r w:rsidRPr="00D03FC5">
        <w:rPr>
          <w:rFonts w:ascii="Arial" w:hAnsi="Arial" w:cs="Arial"/>
          <w:iCs/>
          <w:color w:val="000000" w:themeColor="text1"/>
          <w:sz w:val="21"/>
          <w:szCs w:val="21"/>
        </w:rPr>
        <w:t>¿ para</w:t>
      </w:r>
      <w:proofErr w:type="gramEnd"/>
      <w:r w:rsidRPr="00D03FC5">
        <w:rPr>
          <w:rFonts w:ascii="Arial" w:hAnsi="Arial" w:cs="Arial"/>
          <w:iCs/>
          <w:color w:val="000000" w:themeColor="text1"/>
          <w:sz w:val="21"/>
          <w:szCs w:val="21"/>
        </w:rPr>
        <w:t xml:space="preserve"> el cumplimiento del requisito 7 de la lista de chequeo (anexo 1), es legal que se exija la realización de Examen Médico Ocupacional Con Énfasis Osteomuscular Y </w:t>
      </w:r>
      <w:proofErr w:type="spellStart"/>
      <w:r w:rsidRPr="00D03FC5">
        <w:rPr>
          <w:rFonts w:ascii="Arial" w:hAnsi="Arial" w:cs="Arial"/>
          <w:iCs/>
          <w:color w:val="000000" w:themeColor="text1"/>
          <w:sz w:val="21"/>
          <w:szCs w:val="21"/>
        </w:rPr>
        <w:t>Visiometría</w:t>
      </w:r>
      <w:proofErr w:type="spellEnd"/>
      <w:r w:rsidRPr="00D03FC5">
        <w:rPr>
          <w:rFonts w:ascii="Arial" w:hAnsi="Arial" w:cs="Arial"/>
          <w:iCs/>
          <w:color w:val="000000" w:themeColor="text1"/>
          <w:sz w:val="21"/>
          <w:szCs w:val="21"/>
        </w:rPr>
        <w:t>, sin haber revisado y certificado de cumplimiento de los otros requisitos (etapa precontractual)?</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6. ¿es legal exigir el expediente o carpeta con el 100% de los documentos y certificados de manera física (impresa o copias) en etapa precontractual, siendo que se entrega una copia en archivo digital?</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7. ¿para el cumplimiento del requisito 32 (anexo 3) de la lista de chequeo (anexo 1), es legal poner a firmar la cláusula del Formato Contratos Suscritos con Otras Entidades?</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8. ¿para el cumplimiento de los requisitos 1,2,3,4,5,6 de la lista de chequeo (anexo 1), a quién corresponde la responsabilidad de descargar y verificar el cumplimiento de los ítems?</w:t>
      </w:r>
    </w:p>
    <w:p w:rsidR="00F3072D" w:rsidRPr="00D03FC5" w:rsidRDefault="00F3072D" w:rsidP="00F3072D">
      <w:pPr>
        <w:pStyle w:val="NormalWeb"/>
        <w:ind w:left="709" w:right="709"/>
        <w:jc w:val="both"/>
        <w:rPr>
          <w:rFonts w:ascii="Arial" w:hAnsi="Arial" w:cs="Arial"/>
          <w:iCs/>
          <w:color w:val="000000" w:themeColor="text1"/>
          <w:sz w:val="21"/>
          <w:szCs w:val="21"/>
        </w:rPr>
      </w:pPr>
      <w:r w:rsidRPr="00D03FC5">
        <w:rPr>
          <w:rFonts w:ascii="Arial" w:hAnsi="Arial" w:cs="Arial"/>
          <w:iCs/>
          <w:color w:val="000000" w:themeColor="text1"/>
          <w:sz w:val="21"/>
          <w:szCs w:val="21"/>
        </w:rPr>
        <w:t xml:space="preserve">9. ¿para el cumplimiento de los requisitos 10 y 11 de la lista de chequeo (anexo 1), es legal o suficiente con presentar diligenciados los formatos descargables que se encuentran en la página oficial del SIGEP, o es obligatorio tener usuario activo en el SIGEP, considerando que el futuro proveedor no ha trabajado con Entidad Publica en el </w:t>
      </w:r>
      <w:proofErr w:type="spellStart"/>
      <w:r w:rsidRPr="00D03FC5">
        <w:rPr>
          <w:rFonts w:ascii="Arial" w:hAnsi="Arial" w:cs="Arial"/>
          <w:iCs/>
          <w:color w:val="000000" w:themeColor="text1"/>
          <w:sz w:val="21"/>
          <w:szCs w:val="21"/>
        </w:rPr>
        <w:t>ultimo</w:t>
      </w:r>
      <w:proofErr w:type="spellEnd"/>
      <w:r w:rsidRPr="00D03FC5">
        <w:rPr>
          <w:rFonts w:ascii="Arial" w:hAnsi="Arial" w:cs="Arial"/>
          <w:iCs/>
          <w:color w:val="000000" w:themeColor="text1"/>
          <w:sz w:val="21"/>
          <w:szCs w:val="21"/>
        </w:rPr>
        <w:t xml:space="preserve"> año?”.</w:t>
      </w:r>
    </w:p>
    <w:p w:rsidR="00F3072D" w:rsidRPr="00E30FB6" w:rsidRDefault="00F3072D" w:rsidP="00F3072D">
      <w:pPr>
        <w:pStyle w:val="NormalWeb"/>
        <w:numPr>
          <w:ilvl w:val="0"/>
          <w:numId w:val="1"/>
        </w:numPr>
        <w:tabs>
          <w:tab w:val="left" w:pos="142"/>
        </w:tabs>
        <w:spacing w:before="0" w:beforeAutospacing="0" w:after="0" w:afterAutospacing="0" w:line="276" w:lineRule="auto"/>
        <w:ind w:left="0" w:right="709" w:firstLine="0"/>
        <w:jc w:val="both"/>
        <w:rPr>
          <w:rFonts w:ascii="Arial" w:eastAsia="Calibri" w:hAnsi="Arial" w:cs="Arial"/>
          <w:b/>
          <w:color w:val="000000" w:themeColor="text1"/>
          <w:sz w:val="22"/>
          <w:szCs w:val="22"/>
        </w:rPr>
      </w:pPr>
      <w:r w:rsidRPr="00E30FB6">
        <w:rPr>
          <w:rFonts w:ascii="Arial" w:eastAsia="Calibri" w:hAnsi="Arial" w:cs="Arial"/>
          <w:b/>
          <w:color w:val="000000" w:themeColor="text1"/>
          <w:sz w:val="22"/>
          <w:szCs w:val="22"/>
        </w:rPr>
        <w:lastRenderedPageBreak/>
        <w:t xml:space="preserve"> Consideraciones</w:t>
      </w:r>
    </w:p>
    <w:p w:rsidR="00F3072D" w:rsidRPr="00E30FB6" w:rsidRDefault="00F3072D" w:rsidP="00F3072D">
      <w:pPr>
        <w:spacing w:after="0" w:line="276" w:lineRule="auto"/>
        <w:jc w:val="both"/>
        <w:rPr>
          <w:rFonts w:ascii="Arial" w:hAnsi="Arial" w:cs="Arial"/>
          <w:bCs/>
          <w:color w:val="000000" w:themeColor="text1"/>
        </w:rPr>
      </w:pPr>
      <w:bookmarkStart w:id="4" w:name="_Hlk96420298"/>
    </w:p>
    <w:p w:rsidR="00F3072D" w:rsidRPr="00E30FB6" w:rsidRDefault="00F3072D" w:rsidP="00F3072D">
      <w:pPr>
        <w:spacing w:after="120" w:line="276" w:lineRule="auto"/>
        <w:jc w:val="both"/>
        <w:rPr>
          <w:rFonts w:ascii="Arial" w:hAnsi="Arial" w:cs="Arial"/>
          <w:bCs/>
          <w:color w:val="000000" w:themeColor="text1"/>
        </w:rPr>
      </w:pPr>
      <w:r w:rsidRPr="00E30FB6">
        <w:rPr>
          <w:rFonts w:ascii="Arial" w:hAnsi="Arial" w:cs="Arial"/>
          <w:bCs/>
          <w:color w:val="000000" w:themeColor="text1"/>
        </w:rPr>
        <w:t>En ejercicio de las competencias establecidas en el numeral 5</w:t>
      </w:r>
      <w:r>
        <w:rPr>
          <w:rFonts w:ascii="Arial" w:hAnsi="Arial" w:cs="Arial"/>
          <w:bCs/>
          <w:color w:val="000000" w:themeColor="text1"/>
        </w:rPr>
        <w:t>º</w:t>
      </w:r>
      <w:r w:rsidRPr="00E30FB6">
        <w:rPr>
          <w:rFonts w:ascii="Arial" w:hAnsi="Arial" w:cs="Arial"/>
          <w:bCs/>
          <w:color w:val="000000" w:themeColor="text1"/>
        </w:rPr>
        <w:t xml:space="preserve"> del artículo 3 y el numeral 8</w:t>
      </w:r>
      <w:r>
        <w:rPr>
          <w:rFonts w:ascii="Arial" w:hAnsi="Arial" w:cs="Arial"/>
          <w:bCs/>
          <w:color w:val="000000" w:themeColor="text1"/>
        </w:rPr>
        <w:t>º</w:t>
      </w:r>
      <w:r w:rsidRPr="00E30FB6">
        <w:rPr>
          <w:rFonts w:ascii="Arial" w:hAnsi="Arial" w:cs="Arial"/>
          <w:bCs/>
          <w:color w:val="000000" w:themeColor="text1"/>
        </w:rPr>
        <w:t xml:space="preserve"> del artículo 11 del Decreto 4170 de 2011, la Agencia Nacional de Contratación Pública </w:t>
      </w:r>
      <w:bookmarkStart w:id="5" w:name="_Hlk99611965"/>
      <w:r w:rsidRPr="00E30FB6">
        <w:rPr>
          <w:rFonts w:ascii="Arial" w:hAnsi="Arial" w:cs="Arial"/>
          <w:bCs/>
          <w:color w:val="000000" w:themeColor="text1"/>
        </w:rPr>
        <w:t>–</w:t>
      </w:r>
      <w:bookmarkEnd w:id="5"/>
      <w:r w:rsidRPr="00E30FB6">
        <w:rPr>
          <w:rFonts w:ascii="Arial" w:hAnsi="Arial" w:cs="Arial"/>
          <w:bCs/>
          <w:color w:val="000000" w:themeColor="text1"/>
        </w:rPr>
        <w:t xml:space="preserve"> Colombia Compra Eficiente resuelve consultas sobre </w:t>
      </w:r>
      <w:bookmarkStart w:id="6" w:name="_Hlk61026958"/>
      <w:bookmarkStart w:id="7" w:name="_Hlk61701014"/>
      <w:bookmarkStart w:id="8" w:name="_Hlk62136649"/>
      <w:r w:rsidRPr="00E30FB6">
        <w:rPr>
          <w:rFonts w:ascii="Arial" w:hAnsi="Arial" w:cs="Arial"/>
          <w:color w:val="000000" w:themeColor="text1"/>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esta Agencia como una autoridad para solucionar problemas jurídicos particulares</w:t>
      </w:r>
      <w:r w:rsidRPr="00E30FB6">
        <w:rPr>
          <w:rFonts w:ascii="Arial" w:hAnsi="Arial" w:cs="Arial"/>
          <w:bCs/>
          <w:color w:val="000000" w:themeColor="text1"/>
        </w:rPr>
        <w:t xml:space="preserve"> de todos los partícipes del sistema de compra pública y contratación estatal ni para pronunciarse sobre la legalidad de las actuaciones de otras entidades de la administración pública. </w:t>
      </w:r>
    </w:p>
    <w:p w:rsidR="00F3072D" w:rsidRPr="00E30FB6" w:rsidRDefault="00F3072D" w:rsidP="00F3072D">
      <w:pPr>
        <w:tabs>
          <w:tab w:val="left" w:pos="426"/>
        </w:tabs>
        <w:spacing w:before="120" w:after="120" w:line="276" w:lineRule="auto"/>
        <w:ind w:firstLine="709"/>
        <w:jc w:val="both"/>
        <w:rPr>
          <w:rFonts w:ascii="Arial" w:hAnsi="Arial" w:cs="Arial"/>
          <w:color w:val="000000" w:themeColor="text1"/>
        </w:rPr>
      </w:pPr>
      <w:r w:rsidRPr="00E30FB6">
        <w:rPr>
          <w:rFonts w:ascii="Arial" w:hAnsi="Arial" w:cs="Arial"/>
          <w:color w:val="000000" w:themeColor="text1"/>
        </w:rPr>
        <w:t>En este orden, la Agencia Nacional de Contratación Pública – Colombia Compra Eficiente no es competente para pronunciarse sobre las preguntas 6 y 7 de la presente petición, porque en ellas se pretende que la Entidad se pronuncie sobre la legalidad de la actuación contractual desplegada por la Escuela Superior de Administración Pública – ESAP,</w:t>
      </w:r>
      <w:r>
        <w:rPr>
          <w:rFonts w:ascii="Arial" w:hAnsi="Arial" w:cs="Arial"/>
          <w:color w:val="000000" w:themeColor="text1"/>
        </w:rPr>
        <w:t xml:space="preserve"> rebas</w:t>
      </w:r>
      <w:r w:rsidRPr="00E30FB6">
        <w:rPr>
          <w:rFonts w:ascii="Arial" w:hAnsi="Arial" w:cs="Arial"/>
          <w:color w:val="000000" w:themeColor="text1"/>
        </w:rPr>
        <w:t xml:space="preserve">ando el marco de competencias de esta Entidad, establecido en el ordenamiento jurídico. </w:t>
      </w:r>
    </w:p>
    <w:p w:rsidR="00F3072D" w:rsidRPr="00E30FB6" w:rsidRDefault="00F3072D" w:rsidP="00F3072D">
      <w:pPr>
        <w:tabs>
          <w:tab w:val="left" w:pos="426"/>
        </w:tabs>
        <w:spacing w:before="120" w:after="120" w:line="276" w:lineRule="auto"/>
        <w:ind w:firstLine="709"/>
        <w:jc w:val="both"/>
        <w:rPr>
          <w:rFonts w:ascii="Arial" w:eastAsia="Arial" w:hAnsi="Arial" w:cs="Arial"/>
          <w:b/>
          <w:bCs/>
          <w:color w:val="000000" w:themeColor="text1"/>
        </w:rPr>
      </w:pPr>
      <w:r w:rsidRPr="00E30FB6">
        <w:rPr>
          <w:rFonts w:ascii="Arial" w:hAnsi="Arial" w:cs="Arial"/>
          <w:color w:val="000000" w:themeColor="text1"/>
        </w:rPr>
        <w:t xml:space="preserve">Por lo anterior, es importante advertir que los conceptos que emite la Subdirección de Gestión Contractual explican las posturas hermenéuticas de la Agencia en relación con aspectos del ordenamiento jurídico sometidos a consulta. Sin embargo, estos conceptos tienen no son vinculantes o </w:t>
      </w:r>
      <w:r w:rsidRPr="00E30FB6">
        <w:rPr>
          <w:rFonts w:ascii="Arial" w:eastAsia="Arial" w:hAnsi="Arial" w:cs="Arial"/>
          <w:color w:val="000000" w:themeColor="text1"/>
        </w:rPr>
        <w:t>de obligatorio cumplimiento para el destinatario, sino que expresan la posición interpretativa del ente que elabora el concepto.</w:t>
      </w:r>
    </w:p>
    <w:p w:rsidR="00F3072D" w:rsidRPr="00E30FB6" w:rsidRDefault="00F3072D" w:rsidP="00F3072D">
      <w:pPr>
        <w:tabs>
          <w:tab w:val="left" w:pos="0"/>
        </w:tabs>
        <w:spacing w:before="120" w:after="120" w:line="276" w:lineRule="auto"/>
        <w:ind w:firstLine="709"/>
        <w:jc w:val="both"/>
        <w:rPr>
          <w:rFonts w:ascii="Arial" w:hAnsi="Arial" w:cs="Arial"/>
          <w:bCs/>
          <w:color w:val="000000" w:themeColor="text1"/>
        </w:rPr>
      </w:pPr>
      <w:r w:rsidRPr="00E30FB6">
        <w:rPr>
          <w:rFonts w:ascii="Arial" w:hAnsi="Arial" w:cs="Arial"/>
          <w:bCs/>
          <w:color w:val="000000" w:themeColor="text1"/>
        </w:rPr>
        <w:t xml:space="preserve">La Agencia Nacional de Contratación Pública – Colombia Compra Eficiente se ha pronunciado sobre el artículo 42 de la Ley 1861 de 2017 en los conceptos con radicados Nos. 4201912000006434 del 31 de octubre de 2019, 4201912000007914 y 4201912000007922 del 26 de diciembre del 2019; y en los conceptos C-068 del 28 de febrero de 2020, C-620 del 22 de septiembre de 2020, C-089 de 2021, C-336 del 21 de julio de 2021 y C- 944 de 9 de enero de 2023. La tesis desarrollada en dichos conceptos </w:t>
      </w:r>
      <w:r w:rsidRPr="00E30FB6">
        <w:rPr>
          <w:rFonts w:ascii="Arial" w:hAnsi="Arial" w:cs="Arial"/>
          <w:color w:val="000000" w:themeColor="text1"/>
        </w:rPr>
        <w:t xml:space="preserve">concluye que el beneficio dispuesto en el artículo 42 de la Ley 1861 de 2017, no aplica para la celebración de contratos prestación de servicios al no ser de carácter laboral como lo condiciona la norma para su procedencia. No obstante, esta Subdirección de Gestión Contractual en los conceptos </w:t>
      </w:r>
      <w:r w:rsidRPr="00E30FB6">
        <w:rPr>
          <w:rFonts w:ascii="Arial" w:hAnsi="Arial" w:cs="Arial"/>
          <w:bCs/>
          <w:color w:val="000000" w:themeColor="text1"/>
        </w:rPr>
        <w:t xml:space="preserve">C-628 de 29 de septiembre de 2022 y C-653 del 11 de octubre de 2022 </w:t>
      </w:r>
      <w:r w:rsidRPr="00E30FB6">
        <w:rPr>
          <w:rFonts w:ascii="Arial" w:hAnsi="Arial" w:cs="Arial"/>
          <w:color w:val="000000" w:themeColor="text1"/>
        </w:rPr>
        <w:t>se apartó de la anterior postura</w:t>
      </w:r>
      <w:r w:rsidRPr="00E30FB6">
        <w:rPr>
          <w:rFonts w:ascii="Arial" w:hAnsi="Arial" w:cs="Arial"/>
          <w:bCs/>
          <w:color w:val="000000" w:themeColor="text1"/>
        </w:rPr>
        <w:t xml:space="preserve">, indicando que el beneficio contemplado para el acceso temporal </w:t>
      </w:r>
      <w:r w:rsidRPr="00E30FB6">
        <w:rPr>
          <w:rFonts w:ascii="Arial" w:hAnsi="Arial" w:cs="Arial"/>
          <w:color w:val="000000" w:themeColor="text1"/>
        </w:rPr>
        <w:t>al trabajo a quienes no hayan definido su situación militar, también aplica para la celebración de contratos prestación de servicios</w:t>
      </w:r>
      <w:r w:rsidRPr="00E30FB6">
        <w:rPr>
          <w:rFonts w:ascii="Arial" w:hAnsi="Arial" w:cs="Arial"/>
          <w:bCs/>
          <w:color w:val="000000" w:themeColor="text1"/>
        </w:rPr>
        <w:t xml:space="preserve"> </w:t>
      </w:r>
      <w:r w:rsidRPr="00E30FB6">
        <w:rPr>
          <w:rFonts w:ascii="Arial" w:hAnsi="Arial" w:cs="Arial"/>
          <w:color w:val="000000" w:themeColor="text1"/>
        </w:rPr>
        <w:t xml:space="preserve">en las condiciones que se expone en </w:t>
      </w:r>
      <w:r w:rsidRPr="00E30FB6">
        <w:rPr>
          <w:rFonts w:ascii="Arial" w:hAnsi="Arial" w:cs="Arial"/>
          <w:bCs/>
          <w:color w:val="000000" w:themeColor="text1"/>
        </w:rPr>
        <w:t xml:space="preserve">el </w:t>
      </w:r>
      <w:r w:rsidRPr="00E30FB6">
        <w:rPr>
          <w:rFonts w:ascii="Arial" w:hAnsi="Arial" w:cs="Arial"/>
          <w:color w:val="000000" w:themeColor="text1"/>
        </w:rPr>
        <w:t>artículo 42 de la Ley 1861 de 2017 y los artículos de la sección 9 del Decreto 977 de 2018.</w:t>
      </w:r>
      <w:r w:rsidRPr="00E30FB6">
        <w:rPr>
          <w:rFonts w:ascii="Arial" w:hAnsi="Arial" w:cs="Arial"/>
          <w:bCs/>
          <w:color w:val="000000" w:themeColor="text1"/>
        </w:rPr>
        <w:t xml:space="preserve"> La tesis desarrollada en estos últimos conceptos se reitera a continuación y se complementa en lo pertinente.</w:t>
      </w:r>
    </w:p>
    <w:p w:rsidR="00F3072D" w:rsidRDefault="00F3072D" w:rsidP="00F3072D">
      <w:pPr>
        <w:tabs>
          <w:tab w:val="left" w:pos="0"/>
        </w:tabs>
        <w:spacing w:before="120" w:after="120" w:line="276" w:lineRule="auto"/>
        <w:ind w:firstLine="709"/>
        <w:jc w:val="both"/>
        <w:rPr>
          <w:rFonts w:ascii="Arial" w:eastAsia="Arial" w:hAnsi="Arial" w:cs="Arial"/>
          <w:lang w:val="es-ES"/>
        </w:rPr>
      </w:pPr>
      <w:r w:rsidRPr="00E30FB6">
        <w:rPr>
          <w:rFonts w:ascii="Arial" w:hAnsi="Arial" w:cs="Arial"/>
          <w:bCs/>
          <w:color w:val="000000" w:themeColor="text1"/>
        </w:rPr>
        <w:t xml:space="preserve">En relación con la exigencia de Hoja de vida en SIGEP esta Agencia se pronunció en el concepto C-722 de primero de noviembre de 2022. </w:t>
      </w:r>
      <w:r w:rsidRPr="00E30FB6">
        <w:rPr>
          <w:rFonts w:ascii="Arial" w:hAnsi="Arial" w:cs="Arial"/>
          <w:color w:val="000000" w:themeColor="text1"/>
          <w:lang w:val="es-ES_tradnl"/>
        </w:rPr>
        <w:t xml:space="preserve">Asimismo, </w:t>
      </w:r>
      <w:r w:rsidRPr="00E30FB6">
        <w:rPr>
          <w:rFonts w:ascii="Arial" w:eastAsia="Arial" w:hAnsi="Arial" w:cs="Arial"/>
          <w:lang w:val="es-ES"/>
        </w:rPr>
        <w:t>sobre el régimen de seguridad</w:t>
      </w:r>
      <w:r w:rsidRPr="00E30FB6">
        <w:rPr>
          <w:rFonts w:ascii="Arial" w:eastAsia="Arial" w:hAnsi="Arial" w:cs="Arial"/>
          <w:spacing w:val="-12"/>
          <w:lang w:val="es-ES"/>
        </w:rPr>
        <w:t xml:space="preserve"> </w:t>
      </w:r>
      <w:r w:rsidRPr="00E30FB6">
        <w:rPr>
          <w:rFonts w:ascii="Arial" w:eastAsia="Arial" w:hAnsi="Arial" w:cs="Arial"/>
          <w:lang w:val="es-ES"/>
        </w:rPr>
        <w:lastRenderedPageBreak/>
        <w:t>social,</w:t>
      </w:r>
      <w:r w:rsidRPr="00E30FB6">
        <w:rPr>
          <w:rFonts w:ascii="Arial" w:eastAsia="Arial" w:hAnsi="Arial" w:cs="Arial"/>
          <w:spacing w:val="-11"/>
          <w:lang w:val="es-ES"/>
        </w:rPr>
        <w:t xml:space="preserve"> </w:t>
      </w:r>
      <w:r w:rsidRPr="00E30FB6">
        <w:rPr>
          <w:rFonts w:ascii="Arial" w:eastAsia="Arial" w:hAnsi="Arial" w:cs="Arial"/>
          <w:lang w:val="es-ES"/>
        </w:rPr>
        <w:t>se pronunció en los conceptos</w:t>
      </w:r>
      <w:r w:rsidRPr="00E30FB6">
        <w:rPr>
          <w:rFonts w:ascii="Arial" w:eastAsia="Arial" w:hAnsi="Arial" w:cs="Arial"/>
          <w:spacing w:val="-11"/>
          <w:lang w:val="es-ES"/>
        </w:rPr>
        <w:t xml:space="preserve"> </w:t>
      </w:r>
      <w:r w:rsidRPr="00E30FB6">
        <w:rPr>
          <w:rFonts w:ascii="Arial" w:eastAsia="Arial" w:hAnsi="Arial" w:cs="Arial"/>
          <w:lang w:val="es-ES"/>
        </w:rPr>
        <w:t>radicados</w:t>
      </w:r>
      <w:r w:rsidRPr="00E30FB6">
        <w:rPr>
          <w:rFonts w:ascii="Arial" w:eastAsia="Arial" w:hAnsi="Arial" w:cs="Arial"/>
          <w:spacing w:val="-11"/>
          <w:lang w:val="es-ES"/>
        </w:rPr>
        <w:t xml:space="preserve"> </w:t>
      </w:r>
      <w:r w:rsidRPr="00E30FB6">
        <w:rPr>
          <w:rFonts w:ascii="Arial" w:eastAsia="Arial" w:hAnsi="Arial" w:cs="Arial"/>
          <w:lang w:val="es-ES"/>
        </w:rPr>
        <w:t>42019130000005594</w:t>
      </w:r>
      <w:r w:rsidRPr="00E30FB6">
        <w:rPr>
          <w:rFonts w:ascii="Arial" w:eastAsia="Arial" w:hAnsi="Arial" w:cs="Arial"/>
          <w:spacing w:val="-10"/>
          <w:lang w:val="es-ES"/>
        </w:rPr>
        <w:t xml:space="preserve"> </w:t>
      </w:r>
      <w:r w:rsidRPr="00E30FB6">
        <w:rPr>
          <w:rFonts w:ascii="Arial" w:eastAsia="Arial" w:hAnsi="Arial" w:cs="Arial"/>
          <w:lang w:val="es-ES"/>
        </w:rPr>
        <w:t>de</w:t>
      </w:r>
      <w:r w:rsidRPr="00E30FB6">
        <w:rPr>
          <w:rFonts w:ascii="Arial" w:eastAsia="Arial" w:hAnsi="Arial" w:cs="Arial"/>
          <w:spacing w:val="-11"/>
          <w:lang w:val="es-ES"/>
        </w:rPr>
        <w:t xml:space="preserve"> </w:t>
      </w:r>
      <w:r w:rsidRPr="00E30FB6">
        <w:rPr>
          <w:rFonts w:ascii="Arial" w:eastAsia="Arial" w:hAnsi="Arial" w:cs="Arial"/>
          <w:lang w:val="es-ES"/>
        </w:rPr>
        <w:t>30</w:t>
      </w:r>
      <w:r w:rsidRPr="00E30FB6">
        <w:rPr>
          <w:rFonts w:ascii="Arial" w:eastAsia="Arial" w:hAnsi="Arial" w:cs="Arial"/>
          <w:spacing w:val="-11"/>
          <w:lang w:val="es-ES"/>
        </w:rPr>
        <w:t xml:space="preserve"> </w:t>
      </w:r>
      <w:r w:rsidRPr="00E30FB6">
        <w:rPr>
          <w:rFonts w:ascii="Arial" w:eastAsia="Arial" w:hAnsi="Arial" w:cs="Arial"/>
          <w:lang w:val="es-ES"/>
        </w:rPr>
        <w:t>de</w:t>
      </w:r>
      <w:r w:rsidRPr="00E30FB6">
        <w:rPr>
          <w:rFonts w:ascii="Arial" w:eastAsia="Arial" w:hAnsi="Arial" w:cs="Arial"/>
          <w:spacing w:val="-11"/>
          <w:lang w:val="es-ES"/>
        </w:rPr>
        <w:t xml:space="preserve"> </w:t>
      </w:r>
      <w:r w:rsidRPr="00E30FB6">
        <w:rPr>
          <w:rFonts w:ascii="Arial" w:eastAsia="Arial" w:hAnsi="Arial" w:cs="Arial"/>
          <w:lang w:val="es-ES"/>
        </w:rPr>
        <w:t>septiembre de 2019, 4201913000006384 de 21 de octubre de 2019, 4201912000007492 de 17</w:t>
      </w:r>
      <w:r w:rsidRPr="00E30FB6">
        <w:rPr>
          <w:rFonts w:ascii="Arial" w:eastAsia="Arial" w:hAnsi="Arial" w:cs="Arial"/>
          <w:spacing w:val="10"/>
          <w:lang w:val="es-ES"/>
        </w:rPr>
        <w:t xml:space="preserve"> </w:t>
      </w:r>
      <w:r w:rsidRPr="00E30FB6">
        <w:rPr>
          <w:rFonts w:ascii="Arial" w:eastAsia="Arial" w:hAnsi="Arial" w:cs="Arial"/>
          <w:lang w:val="es-ES"/>
        </w:rPr>
        <w:t>de diciembre de 2019, C-040 de 5 de febrero de 2020, C-042 de 5 de febrero de 2020, C-134 del 7 de abril 2021, C-038 del 1 de marzo de 2022 y C-712 de 13 de octubre de 2022</w:t>
      </w:r>
      <w:r w:rsidRPr="00E30FB6">
        <w:rPr>
          <w:rStyle w:val="Refdenotaalpie"/>
          <w:rFonts w:ascii="Arial" w:eastAsia="Arial" w:hAnsi="Arial" w:cs="Arial"/>
          <w:lang w:val="es-ES"/>
        </w:rPr>
        <w:footnoteReference w:id="1"/>
      </w:r>
      <w:r w:rsidRPr="00E30FB6">
        <w:rPr>
          <w:rFonts w:ascii="Arial" w:eastAsia="Arial" w:hAnsi="Arial" w:cs="Arial"/>
          <w:lang w:val="es-ES"/>
        </w:rPr>
        <w:t xml:space="preserve">. </w:t>
      </w:r>
    </w:p>
    <w:p w:rsidR="00F3072D" w:rsidRPr="00D03FC5" w:rsidRDefault="00F3072D" w:rsidP="00F3072D">
      <w:pPr>
        <w:tabs>
          <w:tab w:val="left" w:pos="0"/>
        </w:tabs>
        <w:spacing w:before="120" w:after="120" w:line="276" w:lineRule="auto"/>
        <w:ind w:firstLine="709"/>
        <w:jc w:val="both"/>
        <w:rPr>
          <w:rFonts w:ascii="Arial" w:eastAsia="Times New Roman" w:hAnsi="Arial" w:cs="Arial"/>
          <w:color w:val="000000" w:themeColor="text1"/>
          <w:szCs w:val="24"/>
          <w:lang w:eastAsia="es-CO"/>
        </w:rPr>
      </w:pPr>
      <w:r w:rsidRPr="00E30FB6">
        <w:rPr>
          <w:rFonts w:ascii="Arial" w:eastAsia="Arial" w:hAnsi="Arial" w:cs="Arial"/>
          <w:lang w:val="es-ES"/>
        </w:rPr>
        <w:t>Por su parte, l</w:t>
      </w:r>
      <w:r w:rsidRPr="00E30FB6">
        <w:rPr>
          <w:rFonts w:ascii="Arial" w:eastAsia="Times New Roman" w:hAnsi="Arial" w:cs="Arial"/>
          <w:color w:val="000000" w:themeColor="text1"/>
          <w:lang w:eastAsia="es-CO"/>
        </w:rPr>
        <w:t>a Agencia Nacional de Contratación Pública ― Colombia Compra Eficiente, en conceptos con radicados nos. 42018000007373 del 5 de septiembre de 2018 y C- 187 de 14 de abril de 2020, estudió la vigencia y obligatoriedad del examen médico en contratos de prestación de servicios</w:t>
      </w:r>
      <w:r>
        <w:rPr>
          <w:rFonts w:ascii="Arial" w:eastAsia="Times New Roman" w:hAnsi="Arial" w:cs="Arial"/>
          <w:color w:val="000000" w:themeColor="text1"/>
          <w:szCs w:val="24"/>
          <w:lang w:eastAsia="es-CO"/>
        </w:rPr>
        <w:t xml:space="preserve">. </w:t>
      </w:r>
      <w:r w:rsidRPr="00E30FB6">
        <w:rPr>
          <w:rFonts w:ascii="Arial" w:eastAsia="Times New Roman" w:hAnsi="Arial" w:cs="Arial"/>
          <w:color w:val="000000" w:themeColor="text1"/>
          <w:szCs w:val="24"/>
          <w:lang w:eastAsia="es-CO"/>
        </w:rPr>
        <w:t xml:space="preserve">Finalmente, en concepto identificado con radicación No. </w:t>
      </w:r>
      <w:r w:rsidRPr="00E30FB6">
        <w:rPr>
          <w:rFonts w:ascii="Arial" w:hAnsi="Arial" w:cs="Arial"/>
        </w:rPr>
        <w:t>4201913000007153 de 19 de diciembre de 2019, esta Agencia se pronunció sobre los antecedentes disciplinarios de los proponentes. Las principales consideraciones se señalan a continuaci</w:t>
      </w:r>
      <w:r>
        <w:rPr>
          <w:rFonts w:ascii="Arial" w:hAnsi="Arial" w:cs="Arial"/>
        </w:rPr>
        <w:t>ón.</w:t>
      </w:r>
    </w:p>
    <w:bookmarkEnd w:id="6"/>
    <w:bookmarkEnd w:id="7"/>
    <w:bookmarkEnd w:id="8"/>
    <w:p w:rsidR="00F3072D" w:rsidRPr="00E30FB6" w:rsidRDefault="00F3072D" w:rsidP="00F3072D">
      <w:pPr>
        <w:pStyle w:val="Prrafodelista"/>
        <w:numPr>
          <w:ilvl w:val="1"/>
          <w:numId w:val="1"/>
        </w:numPr>
        <w:tabs>
          <w:tab w:val="left" w:pos="0"/>
        </w:tabs>
        <w:spacing w:after="0" w:line="276" w:lineRule="auto"/>
        <w:ind w:left="0" w:firstLine="0"/>
        <w:jc w:val="both"/>
        <w:rPr>
          <w:rFonts w:ascii="Arial" w:hAnsi="Arial" w:cs="Arial"/>
          <w:b/>
          <w:color w:val="000000" w:themeColor="text1"/>
          <w:lang w:val="es-CO"/>
        </w:rPr>
      </w:pPr>
      <w:r w:rsidRPr="00E30FB6">
        <w:rPr>
          <w:rFonts w:ascii="Arial" w:hAnsi="Arial" w:cs="Arial"/>
          <w:b/>
          <w:color w:val="000000" w:themeColor="text1"/>
          <w:lang w:val="es-CO"/>
        </w:rPr>
        <w:t>Obligatoriedad de prestar el servicio militar y definir su situación</w:t>
      </w:r>
    </w:p>
    <w:p w:rsidR="00F3072D" w:rsidRPr="00E30FB6" w:rsidRDefault="00F3072D" w:rsidP="00F3072D">
      <w:pPr>
        <w:tabs>
          <w:tab w:val="left" w:pos="0"/>
        </w:tabs>
        <w:spacing w:after="0" w:line="276" w:lineRule="auto"/>
        <w:jc w:val="both"/>
        <w:rPr>
          <w:rFonts w:ascii="Arial" w:hAnsi="Arial" w:cs="Arial"/>
          <w:b/>
          <w:color w:val="000000" w:themeColor="text1"/>
        </w:rPr>
      </w:pPr>
    </w:p>
    <w:p w:rsidR="00F3072D" w:rsidRPr="00E30FB6" w:rsidRDefault="00F3072D" w:rsidP="00F3072D">
      <w:pPr>
        <w:spacing w:after="120" w:line="276" w:lineRule="auto"/>
        <w:jc w:val="both"/>
        <w:rPr>
          <w:rFonts w:ascii="Arial" w:hAnsi="Arial" w:cs="Arial"/>
          <w:bCs/>
          <w:color w:val="000000" w:themeColor="text1"/>
          <w:lang w:eastAsia="es-ES"/>
        </w:rPr>
      </w:pPr>
      <w:r w:rsidRPr="00E30FB6">
        <w:rPr>
          <w:rFonts w:ascii="Arial" w:hAnsi="Arial" w:cs="Arial"/>
          <w:bCs/>
          <w:color w:val="000000" w:themeColor="text1"/>
          <w:lang w:eastAsia="es-ES"/>
        </w:rPr>
        <w:t xml:space="preserve">El servicio militar obligatorio es un deber constitucional que se fundamenta en el artículo 216 superior, según el cual: </w:t>
      </w:r>
      <w:r>
        <w:rPr>
          <w:rFonts w:ascii="Arial" w:hAnsi="Arial" w:cs="Arial"/>
          <w:bCs/>
          <w:color w:val="000000" w:themeColor="text1"/>
          <w:lang w:eastAsia="es-ES"/>
        </w:rPr>
        <w:t>“</w:t>
      </w:r>
      <w:r w:rsidRPr="00E30FB6">
        <w:rPr>
          <w:rFonts w:ascii="Arial" w:hAnsi="Arial" w:cs="Arial"/>
          <w:bCs/>
          <w:color w:val="000000" w:themeColor="text1"/>
          <w:lang w:eastAsia="es-ES"/>
        </w:rPr>
        <w:t>[…]Todos los colombianos estamos obligados a tomar las armas cuando las necesidades públicas lo exijan para defender la independencia nacional y las instituciones públicas. […]</w:t>
      </w:r>
      <w:r>
        <w:rPr>
          <w:rFonts w:ascii="Arial" w:hAnsi="Arial" w:cs="Arial"/>
          <w:bCs/>
          <w:color w:val="000000" w:themeColor="text1"/>
          <w:lang w:eastAsia="es-ES"/>
        </w:rPr>
        <w:t>”</w:t>
      </w:r>
      <w:r w:rsidRPr="00E30FB6">
        <w:rPr>
          <w:rFonts w:ascii="Arial" w:hAnsi="Arial" w:cs="Arial"/>
          <w:bCs/>
          <w:color w:val="000000" w:themeColor="text1"/>
          <w:lang w:eastAsia="es-ES"/>
        </w:rPr>
        <w:t xml:space="preserve"> Para tal efecto, el constituyente dispuso que a través de la Ley se determinarían las condiciones las condiciones, que, en todo tiempo, eximen del servicio militar y las prerrogativas para su prestación.</w:t>
      </w:r>
    </w:p>
    <w:p w:rsidR="00F3072D" w:rsidRPr="00E30FB6" w:rsidRDefault="00F3072D" w:rsidP="00F3072D">
      <w:pPr>
        <w:spacing w:after="120" w:line="276" w:lineRule="auto"/>
        <w:ind w:firstLine="709"/>
        <w:jc w:val="both"/>
        <w:rPr>
          <w:rFonts w:ascii="Arial" w:hAnsi="Arial" w:cs="Arial"/>
          <w:bCs/>
          <w:color w:val="000000" w:themeColor="text1"/>
          <w:lang w:eastAsia="es-ES"/>
        </w:rPr>
      </w:pPr>
      <w:r w:rsidRPr="00E30FB6">
        <w:rPr>
          <w:rFonts w:ascii="Arial" w:hAnsi="Arial" w:cs="Arial"/>
          <w:color w:val="000000" w:themeColor="text1"/>
        </w:rPr>
        <w:t xml:space="preserve">En la actualidad, la Ley 1861 de 2017 </w:t>
      </w:r>
      <w:r w:rsidRPr="00E30FB6">
        <w:rPr>
          <w:rFonts w:ascii="Arial" w:hAnsi="Arial" w:cs="Arial"/>
          <w:bCs/>
          <w:color w:val="000000" w:themeColor="text1"/>
          <w:lang w:eastAsia="es-ES"/>
        </w:rPr>
        <w:t>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bCs/>
          <w:color w:val="000000" w:themeColor="text1"/>
          <w:lang w:eastAsia="es-ES"/>
        </w:rPr>
        <w:t>Pero 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De igual forma, el artículo 12 de la Ley 1861 de 2017 contempló dieciséis (16) causales de exoneración para prestar el servicio militar obligatorio.</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ese contexto, y teniendo en cuenta que es deber de todos los colombianos cumplir con la obligación constitucional de prestar el servicio militar, el artículo 11 de la Ley 1861 de 2017, indicó que todo </w:t>
      </w:r>
      <w:r>
        <w:rPr>
          <w:rFonts w:ascii="Arial" w:hAnsi="Arial" w:cs="Arial"/>
          <w:i/>
          <w:iCs/>
          <w:color w:val="000000" w:themeColor="text1"/>
        </w:rPr>
        <w:t>“</w:t>
      </w:r>
      <w:r w:rsidRPr="00E30FB6">
        <w:rPr>
          <w:rFonts w:ascii="Arial" w:hAnsi="Arial" w:cs="Arial"/>
          <w:i/>
          <w:iCs/>
          <w:color w:val="000000" w:themeColor="text1"/>
        </w:rPr>
        <w:t>varón colombiano</w:t>
      </w:r>
      <w:r>
        <w:rPr>
          <w:rFonts w:ascii="Arial" w:hAnsi="Arial" w:cs="Arial"/>
          <w:i/>
          <w:iCs/>
          <w:color w:val="000000" w:themeColor="text1"/>
        </w:rPr>
        <w:t>”</w:t>
      </w:r>
      <w:r w:rsidRPr="00E30FB6">
        <w:rPr>
          <w:rFonts w:ascii="Arial" w:hAnsi="Arial" w:cs="Arial"/>
          <w:i/>
          <w:iCs/>
          <w:color w:val="000000" w:themeColor="text1"/>
        </w:rPr>
        <w:t xml:space="preserve"> </w:t>
      </w:r>
      <w:r w:rsidRPr="00E30FB6">
        <w:rPr>
          <w:rFonts w:ascii="Arial" w:hAnsi="Arial" w:cs="Arial"/>
          <w:color w:val="000000" w:themeColor="text1"/>
        </w:rPr>
        <w:t xml:space="preserve">deberá definir su situación militar, a partir de la fecha que cumpla su mayoría de edad y hasta el día en que cumpla 50 años. </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lastRenderedPageBreak/>
        <w:t>El trámite para la definición de la situación militar inicia con la inscripción que realiza la Organización de Reclutamiento y Movilización</w:t>
      </w:r>
      <w:r w:rsidRPr="00E30FB6">
        <w:rPr>
          <w:rStyle w:val="Refdenotaalpie"/>
          <w:rFonts w:ascii="Arial" w:hAnsi="Arial" w:cs="Arial"/>
          <w:color w:val="000000" w:themeColor="text1"/>
        </w:rPr>
        <w:footnoteReference w:id="2"/>
      </w:r>
      <w:r w:rsidRPr="00E30FB6">
        <w:rPr>
          <w:rFonts w:ascii="Arial" w:hAnsi="Arial" w:cs="Arial"/>
          <w:color w:val="000000" w:themeColor="text1"/>
        </w:rPr>
        <w:t xml:space="preserve"> y culmina con el pago de la cuota de compensación militar, cuando no se está exonerado de esta</w:t>
      </w:r>
      <w:r w:rsidRPr="00E30FB6">
        <w:rPr>
          <w:rStyle w:val="Refdenotaalpie"/>
          <w:rFonts w:ascii="Arial" w:hAnsi="Arial" w:cs="Arial"/>
          <w:color w:val="000000" w:themeColor="text1"/>
        </w:rPr>
        <w:footnoteReference w:id="3"/>
      </w:r>
      <w:r w:rsidRPr="00E30FB6">
        <w:rPr>
          <w:rFonts w:ascii="Arial" w:hAnsi="Arial" w:cs="Arial"/>
          <w:color w:val="000000" w:themeColor="text1"/>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rsidR="00F3072D" w:rsidRPr="00E30FB6" w:rsidRDefault="00F3072D" w:rsidP="00F3072D">
      <w:pPr>
        <w:spacing w:after="0" w:line="276" w:lineRule="auto"/>
        <w:ind w:firstLine="709"/>
        <w:jc w:val="both"/>
        <w:rPr>
          <w:rFonts w:ascii="Arial" w:hAnsi="Arial" w:cs="Arial"/>
          <w:color w:val="000000" w:themeColor="text1"/>
        </w:rPr>
      </w:pPr>
      <w:r w:rsidRPr="00E30FB6">
        <w:rPr>
          <w:rFonts w:ascii="Arial" w:hAnsi="Arial" w:cs="Arial"/>
          <w:color w:val="000000" w:themeColor="text1"/>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E30FB6">
        <w:rPr>
          <w:rFonts w:ascii="Arial" w:hAnsi="Arial" w:cs="Arial"/>
          <w:color w:val="000000" w:themeColor="text1"/>
          <w:lang w:eastAsia="en-GB"/>
        </w:rPr>
        <w:t xml:space="preserve">en el cual el ciudadano podrá obtener un certificado en línea que acredite el inicio del proceso. </w:t>
      </w:r>
      <w:r w:rsidRPr="00E30FB6">
        <w:rPr>
          <w:rFonts w:ascii="Arial" w:hAnsi="Arial" w:cs="Arial"/>
          <w:color w:val="000000" w:themeColor="text1"/>
        </w:rPr>
        <w:t xml:space="preserve">De esta manera, una vez se culmine con el trámite previsto en </w:t>
      </w:r>
      <w:r w:rsidRPr="00E30FB6">
        <w:rPr>
          <w:rFonts w:ascii="Arial" w:hAnsi="Arial" w:cs="Arial"/>
          <w:color w:val="000000" w:themeColor="text1"/>
          <w:lang w:eastAsia="en-GB"/>
        </w:rPr>
        <w:t xml:space="preserve">el Capítulo 4 del Título I de la Parte 3 del Libro 2 del </w:t>
      </w:r>
      <w:r w:rsidRPr="00E30FB6">
        <w:rPr>
          <w:rFonts w:ascii="Arial" w:hAnsi="Arial" w:cs="Arial"/>
          <w:color w:val="000000" w:themeColor="text1"/>
        </w:rPr>
        <w:t>Decreto 1070 de 2015, modificado por el Decreto 977 de 2018, se entiende que la situación militar se acredita resuelta o definida cuando el ciudadano posee tarjeta de reservista militar –de primera o segunda clase</w:t>
      </w:r>
      <w:r w:rsidRPr="00E30FB6">
        <w:rPr>
          <w:rFonts w:ascii="Arial" w:hAnsi="Arial" w:cs="Arial"/>
          <w:color w:val="000000" w:themeColor="text1"/>
        </w:rPr>
        <w:softHyphen/>
        <w:t xml:space="preserve">–, el certificado digital o cédula militar de que de que tratan los </w:t>
      </w:r>
      <w:r w:rsidRPr="00E30FB6">
        <w:rPr>
          <w:rFonts w:ascii="Arial" w:hAnsi="Arial" w:cs="Arial"/>
          <w:bCs/>
          <w:color w:val="000000" w:themeColor="text1"/>
          <w:lang w:bidi="es-ES"/>
        </w:rPr>
        <w:t>artículos 35</w:t>
      </w:r>
      <w:r w:rsidRPr="00E30FB6">
        <w:rPr>
          <w:rFonts w:ascii="Arial" w:hAnsi="Arial" w:cs="Arial"/>
          <w:bCs/>
          <w:color w:val="000000" w:themeColor="text1"/>
          <w:vertAlign w:val="superscript"/>
          <w:lang w:bidi="es-ES"/>
        </w:rPr>
        <w:footnoteReference w:id="4"/>
      </w:r>
      <w:r w:rsidRPr="00E30FB6">
        <w:rPr>
          <w:rFonts w:ascii="Arial" w:hAnsi="Arial" w:cs="Arial"/>
          <w:bCs/>
          <w:color w:val="000000" w:themeColor="text1"/>
          <w:lang w:bidi="es-ES"/>
        </w:rPr>
        <w:t>, 40</w:t>
      </w:r>
      <w:r w:rsidRPr="00E30FB6">
        <w:rPr>
          <w:rFonts w:ascii="Arial" w:hAnsi="Arial" w:cs="Arial"/>
          <w:bCs/>
          <w:color w:val="000000" w:themeColor="text1"/>
          <w:vertAlign w:val="superscript"/>
          <w:lang w:bidi="es-ES"/>
        </w:rPr>
        <w:footnoteReference w:id="5"/>
      </w:r>
      <w:r w:rsidRPr="00E30FB6">
        <w:rPr>
          <w:rFonts w:ascii="Arial" w:hAnsi="Arial" w:cs="Arial"/>
          <w:bCs/>
          <w:color w:val="000000" w:themeColor="text1"/>
          <w:lang w:bidi="es-ES"/>
        </w:rPr>
        <w:t xml:space="preserve"> y 41</w:t>
      </w:r>
      <w:r w:rsidRPr="00E30FB6">
        <w:rPr>
          <w:rStyle w:val="Refdenotaalpie"/>
          <w:rFonts w:ascii="Arial" w:hAnsi="Arial" w:cs="Arial"/>
          <w:bCs/>
          <w:color w:val="000000" w:themeColor="text1"/>
          <w:lang w:bidi="es-ES"/>
        </w:rPr>
        <w:footnoteReference w:id="6"/>
      </w:r>
      <w:r w:rsidRPr="00E30FB6">
        <w:rPr>
          <w:rFonts w:ascii="Arial" w:hAnsi="Arial" w:cs="Arial"/>
          <w:bCs/>
          <w:color w:val="000000" w:themeColor="text1"/>
          <w:lang w:bidi="es-ES"/>
        </w:rPr>
        <w:t xml:space="preserve"> de la Ley 1861 de 2017</w:t>
      </w:r>
      <w:r w:rsidRPr="00E30FB6">
        <w:rPr>
          <w:rFonts w:ascii="Arial" w:hAnsi="Arial" w:cs="Arial"/>
          <w:color w:val="000000" w:themeColor="text1"/>
        </w:rPr>
        <w:t>.</w:t>
      </w:r>
    </w:p>
    <w:bookmarkEnd w:id="4"/>
    <w:p w:rsidR="00F3072D" w:rsidRPr="00E30FB6" w:rsidRDefault="00F3072D" w:rsidP="00F3072D">
      <w:pPr>
        <w:tabs>
          <w:tab w:val="left" w:pos="0"/>
        </w:tabs>
        <w:spacing w:after="0" w:line="276" w:lineRule="auto"/>
        <w:jc w:val="both"/>
        <w:rPr>
          <w:rFonts w:ascii="Arial" w:hAnsi="Arial" w:cs="Arial"/>
          <w:bCs/>
          <w:color w:val="000000" w:themeColor="text1"/>
        </w:rPr>
      </w:pPr>
    </w:p>
    <w:p w:rsidR="00F3072D" w:rsidRPr="00E30FB6" w:rsidRDefault="00F3072D" w:rsidP="00F3072D">
      <w:pPr>
        <w:pStyle w:val="Prrafodelista"/>
        <w:numPr>
          <w:ilvl w:val="1"/>
          <w:numId w:val="1"/>
        </w:numPr>
        <w:tabs>
          <w:tab w:val="left" w:pos="142"/>
        </w:tabs>
        <w:spacing w:after="0" w:line="276" w:lineRule="auto"/>
        <w:ind w:left="0" w:firstLine="0"/>
        <w:jc w:val="both"/>
        <w:rPr>
          <w:rFonts w:ascii="Arial" w:hAnsi="Arial" w:cs="Arial"/>
          <w:b/>
          <w:bCs/>
          <w:color w:val="000000" w:themeColor="text1"/>
          <w:lang w:val="es-CO"/>
        </w:rPr>
      </w:pPr>
      <w:r w:rsidRPr="00E30FB6">
        <w:rPr>
          <w:rFonts w:ascii="Arial" w:hAnsi="Arial" w:cs="Arial"/>
          <w:b/>
          <w:bCs/>
          <w:color w:val="000000" w:themeColor="text1"/>
          <w:lang w:val="es-CO" w:bidi="es-ES"/>
        </w:rPr>
        <w:t xml:space="preserve"> </w:t>
      </w:r>
      <w:bookmarkStart w:id="9" w:name="_Hlk122095538"/>
      <w:r w:rsidRPr="00E30FB6">
        <w:rPr>
          <w:rFonts w:ascii="Arial" w:hAnsi="Arial" w:cs="Arial"/>
          <w:b/>
          <w:color w:val="000000" w:themeColor="text1"/>
          <w:lang w:val="es-CO" w:eastAsia="en-GB"/>
        </w:rPr>
        <w:t xml:space="preserve">Alcance del artículo 42 de la Ley </w:t>
      </w:r>
      <w:r w:rsidRPr="00E30FB6">
        <w:rPr>
          <w:rFonts w:ascii="Arial" w:hAnsi="Arial" w:cs="Arial"/>
          <w:b/>
          <w:color w:val="000000" w:themeColor="text1"/>
          <w:lang w:val="es-CO"/>
        </w:rPr>
        <w:t>1861 de 2017</w:t>
      </w:r>
    </w:p>
    <w:p w:rsidR="00F3072D" w:rsidRPr="00E30FB6" w:rsidRDefault="00F3072D" w:rsidP="00F3072D">
      <w:pPr>
        <w:pStyle w:val="Prrafodelista"/>
        <w:tabs>
          <w:tab w:val="left" w:pos="0"/>
        </w:tabs>
        <w:rPr>
          <w:rFonts w:ascii="Arial" w:hAnsi="Arial" w:cs="Arial"/>
          <w:b/>
          <w:bCs/>
          <w:color w:val="000000" w:themeColor="text1"/>
          <w:lang w:val="es-CO"/>
        </w:rPr>
      </w:pPr>
    </w:p>
    <w:bookmarkEnd w:id="9"/>
    <w:p w:rsidR="00F3072D" w:rsidRPr="00E30FB6" w:rsidRDefault="00F3072D" w:rsidP="00F3072D">
      <w:pPr>
        <w:spacing w:after="120" w:line="276" w:lineRule="auto"/>
        <w:jc w:val="both"/>
        <w:rPr>
          <w:rFonts w:ascii="Arial" w:hAnsi="Arial" w:cs="Arial"/>
          <w:color w:val="000000" w:themeColor="text1"/>
          <w:lang w:eastAsia="en-GB"/>
        </w:rPr>
      </w:pPr>
      <w:r w:rsidRPr="00E30FB6">
        <w:rPr>
          <w:rFonts w:ascii="Arial" w:hAnsi="Arial" w:cs="Arial"/>
          <w:bCs/>
          <w:color w:val="000000" w:themeColor="text1"/>
          <w:lang w:eastAsia="es-ES"/>
        </w:rPr>
        <w:t>E</w:t>
      </w:r>
      <w:r w:rsidRPr="00E30FB6">
        <w:rPr>
          <w:rFonts w:ascii="Arial" w:hAnsi="Arial" w:cs="Arial"/>
          <w:color w:val="000000" w:themeColor="text1"/>
          <w:lang w:eastAsia="en-GB"/>
        </w:rPr>
        <w:t xml:space="preserve">l artículo 42 </w:t>
      </w:r>
      <w:r w:rsidRPr="00E30FB6">
        <w:rPr>
          <w:rFonts w:ascii="Arial" w:hAnsi="Arial" w:cs="Arial"/>
          <w:bCs/>
          <w:color w:val="000000" w:themeColor="text1"/>
          <w:lang w:eastAsia="en-GB"/>
        </w:rPr>
        <w:t xml:space="preserve">de la Ley </w:t>
      </w:r>
      <w:r w:rsidRPr="00E30FB6">
        <w:rPr>
          <w:rFonts w:ascii="Arial" w:hAnsi="Arial" w:cs="Arial"/>
          <w:bCs/>
          <w:color w:val="000000" w:themeColor="text1"/>
        </w:rPr>
        <w:t>1861 de 2017</w:t>
      </w:r>
      <w:r w:rsidRPr="00E30FB6">
        <w:rPr>
          <w:rFonts w:ascii="Arial" w:hAnsi="Arial" w:cs="Arial"/>
          <w:bCs/>
          <w:color w:val="000000" w:themeColor="text1"/>
          <w:lang w:eastAsia="en-GB"/>
        </w:rPr>
        <w:t>dispone</w:t>
      </w:r>
      <w:r w:rsidRPr="00E30FB6">
        <w:rPr>
          <w:rFonts w:ascii="Arial" w:hAnsi="Arial" w:cs="Arial"/>
          <w:color w:val="000000" w:themeColor="text1"/>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E30FB6">
        <w:rPr>
          <w:rFonts w:ascii="Arial" w:hAnsi="Arial" w:cs="Arial"/>
          <w:color w:val="000000" w:themeColor="text1"/>
        </w:rPr>
        <w:t xml:space="preserve"> </w:t>
      </w:r>
      <w:r w:rsidRPr="00E30FB6">
        <w:rPr>
          <w:rFonts w:ascii="Arial" w:hAnsi="Arial" w:cs="Arial"/>
          <w:color w:val="000000" w:themeColor="text1"/>
          <w:lang w:eastAsia="en-GB"/>
        </w:rPr>
        <w:t xml:space="preserve">De esta manera, se concluye </w:t>
      </w:r>
      <w:r w:rsidRPr="00E30FB6">
        <w:rPr>
          <w:rFonts w:ascii="Arial" w:hAnsi="Arial" w:cs="Arial"/>
          <w:i/>
          <w:iCs/>
          <w:color w:val="000000" w:themeColor="text1"/>
          <w:lang w:eastAsia="en-GB"/>
        </w:rPr>
        <w:t>prima facie</w:t>
      </w:r>
      <w:r w:rsidRPr="00E30FB6">
        <w:rPr>
          <w:rFonts w:ascii="Arial" w:hAnsi="Arial" w:cs="Arial"/>
          <w:color w:val="000000" w:themeColor="text1"/>
          <w:lang w:eastAsia="en-GB"/>
        </w:rPr>
        <w:t xml:space="preserve"> que, para la celebración de contratos </w:t>
      </w:r>
      <w:r w:rsidRPr="00E30FB6">
        <w:rPr>
          <w:rFonts w:ascii="Arial" w:hAnsi="Arial" w:cs="Arial"/>
          <w:color w:val="000000" w:themeColor="text1"/>
          <w:lang w:eastAsia="en-GB"/>
        </w:rPr>
        <w:lastRenderedPageBreak/>
        <w:t>de prestación de servicios con personas naturales, resulta obligatorio que se acredite definida la situación militar mediante los documentos señalados en el numeral anterior.</w:t>
      </w:r>
    </w:p>
    <w:p w:rsidR="00F3072D" w:rsidRPr="00E30FB6" w:rsidRDefault="00F3072D" w:rsidP="00F3072D">
      <w:pPr>
        <w:spacing w:after="120" w:line="276" w:lineRule="auto"/>
        <w:ind w:firstLine="709"/>
        <w:jc w:val="both"/>
        <w:rPr>
          <w:rFonts w:ascii="Arial" w:hAnsi="Arial" w:cs="Arial"/>
          <w:color w:val="000000" w:themeColor="text1"/>
          <w:lang w:eastAsia="en-GB"/>
        </w:rPr>
      </w:pPr>
      <w:r>
        <w:rPr>
          <w:rFonts w:ascii="Arial" w:hAnsi="Arial" w:cs="Arial"/>
          <w:color w:val="000000" w:themeColor="text1"/>
          <w:lang w:eastAsia="en-GB"/>
        </w:rPr>
        <w:t xml:space="preserve"> </w:t>
      </w:r>
      <w:r w:rsidRPr="00E30FB6">
        <w:rPr>
          <w:rFonts w:ascii="Arial" w:hAnsi="Arial" w:cs="Arial"/>
          <w:bCs/>
          <w:color w:val="000000" w:themeColor="text1"/>
          <w:lang w:bidi="es-ES"/>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E30FB6">
        <w:rPr>
          <w:rFonts w:ascii="Arial" w:hAnsi="Arial" w:cs="Arial"/>
          <w:bCs/>
          <w:color w:val="000000" w:themeColor="text1"/>
          <w:vertAlign w:val="superscript"/>
          <w:lang w:bidi="es-ES"/>
        </w:rPr>
        <w:footnoteReference w:id="7"/>
      </w:r>
      <w:r w:rsidRPr="00E30FB6">
        <w:rPr>
          <w:rFonts w:ascii="Arial" w:hAnsi="Arial" w:cs="Arial"/>
          <w:bCs/>
          <w:color w:val="000000" w:themeColor="text1"/>
          <w:lang w:bidi="es-ES"/>
        </w:rPr>
        <w:t>.</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t>Sin embargo,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E30FB6">
        <w:rPr>
          <w:rStyle w:val="Refdenotaalpie"/>
          <w:rFonts w:ascii="Arial" w:hAnsi="Arial" w:cs="Arial"/>
          <w:color w:val="000000" w:themeColor="text1"/>
        </w:rPr>
        <w:footnoteReference w:id="8"/>
      </w:r>
      <w:r w:rsidRPr="00E30FB6">
        <w:rPr>
          <w:rFonts w:ascii="Arial" w:hAnsi="Arial" w:cs="Arial"/>
          <w:color w:val="000000" w:themeColor="text1"/>
        </w:rPr>
        <w:t xml:space="preserve">. </w:t>
      </w:r>
    </w:p>
    <w:p w:rsidR="00F3072D" w:rsidRPr="00E30FB6" w:rsidRDefault="00F3072D" w:rsidP="00F3072D">
      <w:pPr>
        <w:spacing w:after="0" w:line="276" w:lineRule="auto"/>
        <w:ind w:firstLine="709"/>
        <w:jc w:val="both"/>
        <w:rPr>
          <w:rFonts w:ascii="Arial" w:hAnsi="Arial" w:cs="Arial"/>
          <w:color w:val="000000" w:themeColor="text1"/>
        </w:rPr>
      </w:pPr>
      <w:r w:rsidRPr="00E30FB6">
        <w:rPr>
          <w:rFonts w:ascii="Arial" w:hAnsi="Arial" w:cs="Arial"/>
          <w:color w:val="000000" w:themeColor="text1"/>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rsidR="00F3072D" w:rsidRPr="00E30FB6" w:rsidRDefault="00F3072D" w:rsidP="00F3072D">
      <w:pPr>
        <w:spacing w:after="0"/>
        <w:ind w:firstLine="708"/>
        <w:jc w:val="both"/>
        <w:rPr>
          <w:rFonts w:ascii="Arial" w:hAnsi="Arial" w:cs="Arial"/>
          <w:color w:val="000000" w:themeColor="text1"/>
        </w:rPr>
      </w:pPr>
    </w:p>
    <w:p w:rsidR="00F3072D" w:rsidRDefault="00F3072D" w:rsidP="00F3072D">
      <w:pPr>
        <w:spacing w:after="0" w:line="240" w:lineRule="auto"/>
        <w:ind w:left="709" w:right="709"/>
        <w:jc w:val="both"/>
        <w:rPr>
          <w:rFonts w:ascii="Arial" w:hAnsi="Arial" w:cs="Arial"/>
        </w:rPr>
      </w:pPr>
      <w:r>
        <w:rPr>
          <w:rFonts w:ascii="Arial" w:hAnsi="Arial" w:cs="Arial"/>
          <w:i/>
          <w:iCs/>
          <w:color w:val="000000" w:themeColor="text1"/>
          <w:sz w:val="21"/>
          <w:szCs w:val="21"/>
        </w:rPr>
        <w:t>“</w:t>
      </w:r>
      <w:r w:rsidRPr="00E30FB6">
        <w:rPr>
          <w:rFonts w:ascii="Arial" w:hAnsi="Arial" w:cs="Arial"/>
          <w:color w:val="000000" w:themeColor="text1"/>
          <w:sz w:val="21"/>
          <w:szCs w:val="21"/>
        </w:rPr>
        <w:t xml:space="preserve">[…] Sin perjuicio de la obligación anterior, </w:t>
      </w:r>
      <w:r w:rsidRPr="00E30FB6">
        <w:rPr>
          <w:rFonts w:ascii="Arial" w:hAnsi="Arial" w:cs="Arial"/>
          <w:i/>
          <w:iCs/>
          <w:color w:val="000000" w:themeColor="text1"/>
          <w:sz w:val="21"/>
          <w:szCs w:val="21"/>
        </w:rPr>
        <w:t>las entidades públicas o privadas no podrán exigir al ciudadano la presentación de la tarjeta militar para ingresar a un empleo.</w:t>
      </w:r>
      <w:r w:rsidRPr="00E30FB6">
        <w:rPr>
          <w:rFonts w:ascii="Arial" w:hAnsi="Arial" w:cs="Arial"/>
          <w:color w:val="000000" w:themeColor="text1"/>
          <w:sz w:val="21"/>
          <w:szCs w:val="21"/>
        </w:rPr>
        <w:t xml:space="preserve"> </w:t>
      </w:r>
      <w:r w:rsidRPr="00E30FB6">
        <w:rPr>
          <w:rFonts w:ascii="Arial" w:hAnsi="Arial" w:cs="Arial"/>
          <w:i/>
          <w:iCs/>
          <w:color w:val="000000" w:themeColor="text1"/>
          <w:sz w:val="21"/>
          <w:szCs w:val="21"/>
        </w:rPr>
        <w:t>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w:t>
      </w:r>
      <w:r w:rsidRPr="00E30FB6">
        <w:rPr>
          <w:rFonts w:ascii="Arial" w:hAnsi="Arial" w:cs="Arial"/>
          <w:color w:val="000000" w:themeColor="text1"/>
          <w:sz w:val="21"/>
          <w:szCs w:val="21"/>
        </w:rPr>
        <w:t>. En todo caso, no se podrán contabilizar dentro de los dieciocho (18) meses, las demoras que no le sean imputables al trabajador. […]</w:t>
      </w:r>
      <w:r>
        <w:rPr>
          <w:rFonts w:ascii="Arial" w:hAnsi="Arial" w:cs="Arial"/>
          <w:i/>
          <w:iCs/>
          <w:color w:val="000000" w:themeColor="text1"/>
          <w:sz w:val="21"/>
          <w:szCs w:val="21"/>
        </w:rPr>
        <w:t>”</w:t>
      </w:r>
      <w:r w:rsidRPr="00E30FB6">
        <w:rPr>
          <w:rFonts w:ascii="Arial" w:hAnsi="Arial" w:cs="Arial"/>
          <w:i/>
          <w:iCs/>
          <w:color w:val="000000" w:themeColor="text1"/>
          <w:sz w:val="21"/>
          <w:szCs w:val="21"/>
        </w:rPr>
        <w:t xml:space="preserve">. </w:t>
      </w:r>
      <w:r w:rsidRPr="00E30FB6">
        <w:rPr>
          <w:rFonts w:ascii="Arial" w:hAnsi="Arial" w:cs="Arial"/>
        </w:rPr>
        <w:t>[Énfasis fuera de texto]</w:t>
      </w:r>
    </w:p>
    <w:p w:rsidR="00F3072D" w:rsidRPr="00627EEF" w:rsidRDefault="00F3072D" w:rsidP="00F3072D">
      <w:pPr>
        <w:spacing w:after="0" w:line="240" w:lineRule="auto"/>
        <w:ind w:left="709" w:right="709"/>
        <w:jc w:val="both"/>
        <w:rPr>
          <w:rFonts w:ascii="Arial" w:hAnsi="Arial" w:cs="Arial"/>
        </w:rPr>
      </w:pP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Conforme con lo anterior, la regla general es que todos los ciudadanos deben acreditar su situación militar para acceder a un trabajo; sin embargo, la norma permite excepcionalmente, que algunas personas puedan acceder temporalmente al trabajo mientras definen su situación militar. </w:t>
      </w:r>
      <w:r w:rsidRPr="00E30FB6">
        <w:rPr>
          <w:rFonts w:ascii="Arial" w:hAnsi="Arial" w:cs="Arial"/>
          <w:color w:val="000000" w:themeColor="text1"/>
        </w:rPr>
        <w:lastRenderedPageBreak/>
        <w:t xml:space="preserve">De esta forma los beneficiarios de esta excepción cuentan con un plazo de dieciocho (18) meses como una suerte de </w:t>
      </w:r>
      <w:r w:rsidRPr="00E30FB6">
        <w:rPr>
          <w:rFonts w:ascii="Arial" w:hAnsi="Arial" w:cs="Arial"/>
          <w:i/>
          <w:iCs/>
          <w:color w:val="000000" w:themeColor="text1"/>
        </w:rPr>
        <w:t xml:space="preserve">tiempo de gracia, </w:t>
      </w:r>
      <w:r w:rsidRPr="00E30FB6">
        <w:rPr>
          <w:rFonts w:ascii="Arial" w:hAnsi="Arial" w:cs="Arial"/>
          <w:color w:val="000000" w:themeColor="text1"/>
        </w:rPr>
        <w:t xml:space="preserve">durante el cual podrán definir su situación militar estando vinculados laboral o contractualmente con una entidad pública o privada. </w:t>
      </w:r>
    </w:p>
    <w:p w:rsidR="00F3072D" w:rsidRPr="00E30FB6" w:rsidRDefault="00F3072D" w:rsidP="00F3072D">
      <w:pPr>
        <w:spacing w:after="0" w:line="276" w:lineRule="auto"/>
        <w:ind w:firstLine="708"/>
        <w:jc w:val="both"/>
        <w:rPr>
          <w:rFonts w:ascii="Arial" w:hAnsi="Arial" w:cs="Arial"/>
          <w:color w:val="000000" w:themeColor="text1"/>
        </w:rPr>
      </w:pPr>
    </w:p>
    <w:p w:rsidR="00F3072D" w:rsidRPr="00E30FB6" w:rsidRDefault="00F3072D" w:rsidP="00F3072D">
      <w:pPr>
        <w:pStyle w:val="Prrafodelista"/>
        <w:numPr>
          <w:ilvl w:val="1"/>
          <w:numId w:val="1"/>
        </w:numPr>
        <w:spacing w:after="0" w:line="276" w:lineRule="auto"/>
        <w:ind w:left="11" w:hanging="11"/>
        <w:jc w:val="both"/>
        <w:rPr>
          <w:rFonts w:ascii="Arial" w:hAnsi="Arial" w:cs="Arial"/>
          <w:b/>
          <w:color w:val="000000" w:themeColor="text1"/>
          <w:lang w:val="es-CO"/>
        </w:rPr>
      </w:pPr>
      <w:r w:rsidRPr="00E30FB6">
        <w:rPr>
          <w:rFonts w:ascii="Arial" w:hAnsi="Arial" w:cs="Arial"/>
          <w:b/>
          <w:color w:val="000000" w:themeColor="text1"/>
          <w:lang w:val="es-CO"/>
        </w:rPr>
        <w:t xml:space="preserve"> </w:t>
      </w:r>
      <w:bookmarkStart w:id="10" w:name="_Hlk122095578"/>
      <w:r w:rsidRPr="00E30FB6">
        <w:rPr>
          <w:rFonts w:ascii="Arial" w:hAnsi="Arial" w:cs="Arial"/>
          <w:b/>
          <w:color w:val="000000" w:themeColor="text1"/>
          <w:lang w:val="es-CO"/>
        </w:rPr>
        <w:t xml:space="preserve">Población cubierta por el beneficio establecido en el inciso segundo del artículo 42 de la Ley </w:t>
      </w:r>
      <w:bookmarkStart w:id="11" w:name="_Hlk122101636"/>
      <w:r w:rsidRPr="00E30FB6">
        <w:rPr>
          <w:rFonts w:ascii="Arial" w:hAnsi="Arial" w:cs="Arial"/>
          <w:b/>
          <w:color w:val="000000" w:themeColor="text1"/>
          <w:lang w:val="es-CO"/>
        </w:rPr>
        <w:t>1861 de 2017</w:t>
      </w:r>
      <w:bookmarkEnd w:id="10"/>
      <w:bookmarkEnd w:id="11"/>
    </w:p>
    <w:p w:rsidR="00F3072D" w:rsidRPr="00E30FB6" w:rsidRDefault="00F3072D" w:rsidP="00F3072D">
      <w:pPr>
        <w:pStyle w:val="Prrafodelista"/>
        <w:spacing w:after="0" w:line="276" w:lineRule="auto"/>
        <w:ind w:left="11"/>
        <w:rPr>
          <w:rFonts w:ascii="Arial" w:hAnsi="Arial" w:cs="Arial"/>
          <w:b/>
          <w:color w:val="000000" w:themeColor="text1"/>
          <w:lang w:val="es-CO"/>
        </w:rPr>
      </w:pPr>
    </w:p>
    <w:p w:rsidR="00F3072D" w:rsidRPr="00E30FB6" w:rsidRDefault="00F3072D" w:rsidP="00F3072D">
      <w:pPr>
        <w:spacing w:after="120" w:line="276" w:lineRule="auto"/>
        <w:jc w:val="both"/>
        <w:rPr>
          <w:rFonts w:ascii="Arial" w:hAnsi="Arial" w:cs="Arial"/>
          <w:color w:val="000000" w:themeColor="text1"/>
        </w:rPr>
      </w:pPr>
      <w:r w:rsidRPr="00E30FB6">
        <w:rPr>
          <w:rFonts w:ascii="Arial" w:hAnsi="Arial" w:cs="Arial"/>
          <w:color w:val="000000" w:themeColor="text1"/>
        </w:rPr>
        <w:t xml:space="preserve">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rsidR="00F3072D" w:rsidRPr="00E30FB6" w:rsidRDefault="00F3072D" w:rsidP="00F3072D">
      <w:pPr>
        <w:spacing w:before="120" w:after="120" w:line="276" w:lineRule="auto"/>
        <w:ind w:firstLine="709"/>
        <w:jc w:val="both"/>
        <w:rPr>
          <w:rFonts w:ascii="Arial" w:hAnsi="Arial" w:cs="Arial"/>
          <w:color w:val="000000" w:themeColor="text1"/>
        </w:rPr>
      </w:pPr>
      <w:r w:rsidRPr="00E30FB6">
        <w:rPr>
          <w:rFonts w:ascii="Arial" w:hAnsi="Arial" w:cs="Arial"/>
          <w:color w:val="000000" w:themeColor="text1"/>
        </w:rPr>
        <w:t>En relación con el primero –esto es, respecto a las personas no aptas–, de lo establecido en el artículo 18 de la Ley 1861 de 2017 se desprende que son aquellos inscritos que no tienen las condiciones psicofísicas adecuadas, que le impiden desarrollar eficientemente la actividad militar.</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t>En segundo lugar, la Corte Constitucional</w:t>
      </w:r>
      <w:r w:rsidRPr="00E30FB6">
        <w:rPr>
          <w:rStyle w:val="Refdenotaalpie"/>
          <w:rFonts w:ascii="Arial" w:hAnsi="Arial" w:cs="Arial"/>
          <w:color w:val="000000" w:themeColor="text1"/>
        </w:rPr>
        <w:footnoteReference w:id="9"/>
      </w:r>
      <w:r w:rsidRPr="00E30FB6">
        <w:rPr>
          <w:rFonts w:ascii="Arial" w:hAnsi="Arial" w:cs="Arial"/>
          <w:color w:val="000000" w:themeColor="text1"/>
        </w:rPr>
        <w:t xml:space="preserve"> señaló que las personas exentas son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w:t>
      </w:r>
      <w:r>
        <w:rPr>
          <w:rFonts w:ascii="Arial" w:hAnsi="Arial" w:cs="Arial"/>
          <w:i/>
          <w:iCs/>
          <w:color w:val="000000" w:themeColor="text1"/>
        </w:rPr>
        <w:t>“</w:t>
      </w:r>
      <w:r w:rsidRPr="00E30FB6">
        <w:rPr>
          <w:rFonts w:ascii="Arial" w:hAnsi="Arial" w:cs="Arial"/>
          <w:i/>
          <w:iCs/>
          <w:color w:val="000000" w:themeColor="text1"/>
        </w:rPr>
        <w:t>exentos</w:t>
      </w:r>
      <w:r>
        <w:rPr>
          <w:rFonts w:ascii="Arial" w:hAnsi="Arial" w:cs="Arial"/>
          <w:i/>
          <w:iCs/>
          <w:color w:val="000000" w:themeColor="text1"/>
        </w:rPr>
        <w:t>”</w:t>
      </w:r>
      <w:r w:rsidRPr="00E30FB6">
        <w:rPr>
          <w:rFonts w:ascii="Arial" w:hAnsi="Arial" w:cs="Arial"/>
          <w:i/>
          <w:iCs/>
          <w:color w:val="000000" w:themeColor="text1"/>
        </w:rPr>
        <w:t xml:space="preserve">, </w:t>
      </w:r>
      <w:r w:rsidRPr="00E30FB6">
        <w:rPr>
          <w:rFonts w:ascii="Arial" w:hAnsi="Arial" w:cs="Arial"/>
          <w:color w:val="000000" w:themeColor="text1"/>
        </w:rPr>
        <w:t>lo que, de conformidad con los artículos 28 a 30 del Código Civil, debía entenderse en su sentido natural</w:t>
      </w:r>
      <w:r w:rsidRPr="00E30FB6">
        <w:rPr>
          <w:rFonts w:ascii="Arial" w:hAnsi="Arial" w:cs="Arial"/>
          <w:color w:val="000000" w:themeColor="text1"/>
          <w:sz w:val="21"/>
          <w:szCs w:val="21"/>
        </w:rPr>
        <w:t>.</w:t>
      </w:r>
      <w:r w:rsidRPr="00E30FB6">
        <w:rPr>
          <w:rFonts w:ascii="Arial" w:hAnsi="Arial" w:cs="Arial"/>
          <w:color w:val="000000" w:themeColor="text1"/>
        </w:rPr>
        <w:t xml:space="preserve"> De lo anterior se desprende que la Corte concluyó que</w:t>
      </w:r>
      <w:r w:rsidRPr="00E30FB6">
        <w:rPr>
          <w:rFonts w:ascii="Arial" w:hAnsi="Arial" w:cs="Arial"/>
          <w:i/>
          <w:iCs/>
          <w:color w:val="000000" w:themeColor="text1"/>
        </w:rPr>
        <w:t xml:space="preserve"> </w:t>
      </w:r>
      <w:r>
        <w:rPr>
          <w:rFonts w:ascii="Arial" w:hAnsi="Arial" w:cs="Arial"/>
          <w:i/>
          <w:iCs/>
          <w:color w:val="000000" w:themeColor="text1"/>
        </w:rPr>
        <w:t>“</w:t>
      </w:r>
      <w:r w:rsidRPr="00E30FB6">
        <w:rPr>
          <w:rFonts w:ascii="Arial" w:hAnsi="Arial" w:cs="Arial"/>
          <w:i/>
          <w:iCs/>
          <w:color w:val="000000" w:themeColor="text1"/>
        </w:rPr>
        <w:t>exentos</w:t>
      </w:r>
      <w:r>
        <w:rPr>
          <w:rFonts w:ascii="Arial" w:hAnsi="Arial" w:cs="Arial"/>
          <w:i/>
          <w:iCs/>
          <w:color w:val="000000" w:themeColor="text1"/>
        </w:rPr>
        <w:t>”</w:t>
      </w:r>
      <w:r w:rsidRPr="00E30FB6">
        <w:rPr>
          <w:rFonts w:ascii="Arial" w:hAnsi="Arial" w:cs="Arial"/>
          <w:color w:val="000000" w:themeColor="text1"/>
        </w:rPr>
        <w:t xml:space="preserve"> son todas las personas que fueron </w:t>
      </w:r>
      <w:r>
        <w:rPr>
          <w:rFonts w:ascii="Arial" w:hAnsi="Arial" w:cs="Arial"/>
          <w:i/>
          <w:iCs/>
          <w:color w:val="000000" w:themeColor="text1"/>
        </w:rPr>
        <w:t>“</w:t>
      </w:r>
      <w:r w:rsidRPr="00E30FB6">
        <w:rPr>
          <w:rFonts w:ascii="Arial" w:hAnsi="Arial" w:cs="Arial"/>
          <w:i/>
          <w:iCs/>
          <w:color w:val="000000" w:themeColor="text1"/>
        </w:rPr>
        <w:t>liberadas</w:t>
      </w:r>
      <w:r>
        <w:rPr>
          <w:rFonts w:ascii="Arial" w:hAnsi="Arial" w:cs="Arial"/>
          <w:i/>
          <w:iCs/>
          <w:color w:val="000000" w:themeColor="text1"/>
        </w:rPr>
        <w:t>”</w:t>
      </w:r>
      <w:r w:rsidRPr="00E30FB6">
        <w:rPr>
          <w:rFonts w:ascii="Arial" w:hAnsi="Arial" w:cs="Arial"/>
          <w:color w:val="000000" w:themeColor="text1"/>
        </w:rPr>
        <w:t xml:space="preserve"> por cualquier causa, del deber de prestar el servicio militar obligatorio. En este sentido, se incluyen incluso a los aptos no seleccionados. </w:t>
      </w:r>
    </w:p>
    <w:p w:rsidR="00F3072D" w:rsidRPr="00E30FB6" w:rsidRDefault="00F3072D" w:rsidP="00F3072D">
      <w:pPr>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tercer lugar, de acuerdo con lo dispuesto en el parágrafo del artículo 23 de la Ley 1861 de 2017, la edad máxima de incorporación a filas es veinticuatro (24) años, por lo cual en este grupo se incluyen los colombianos declarados aptos desde que cumplen la mayoría de edad y hasta faltando un día para cumplir veinticuatro (24) años de edad. </w:t>
      </w:r>
    </w:p>
    <w:p w:rsidR="00F3072D" w:rsidRDefault="00F3072D" w:rsidP="00F3072D">
      <w:pPr>
        <w:spacing w:before="120" w:after="0" w:line="276" w:lineRule="auto"/>
        <w:ind w:firstLine="709"/>
        <w:jc w:val="both"/>
        <w:rPr>
          <w:rFonts w:ascii="Arial" w:hAnsi="Arial" w:cs="Arial"/>
          <w:color w:val="000000" w:themeColor="text1"/>
          <w:sz w:val="21"/>
          <w:szCs w:val="21"/>
        </w:rPr>
      </w:pPr>
      <w:r w:rsidRPr="00E30FB6">
        <w:rPr>
          <w:rFonts w:ascii="Arial" w:hAnsi="Arial" w:cs="Arial"/>
          <w:color w:val="000000" w:themeColor="text1"/>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E30FB6">
        <w:rPr>
          <w:rFonts w:ascii="Arial" w:hAnsi="Arial" w:cs="Arial"/>
          <w:color w:val="000000" w:themeColor="text1"/>
          <w:vertAlign w:val="superscript"/>
        </w:rPr>
        <w:footnoteReference w:id="10"/>
      </w:r>
      <w:r w:rsidRPr="00E30FB6">
        <w:rPr>
          <w:rFonts w:ascii="Arial" w:hAnsi="Arial" w:cs="Arial"/>
          <w:color w:val="000000" w:themeColor="text1"/>
        </w:rPr>
        <w:t xml:space="preserve">. En conclusión, además de las personas señaladas en el inciso </w:t>
      </w:r>
      <w:r w:rsidRPr="00E30FB6">
        <w:rPr>
          <w:rFonts w:ascii="Arial" w:hAnsi="Arial" w:cs="Arial"/>
          <w:color w:val="000000" w:themeColor="text1"/>
        </w:rPr>
        <w:lastRenderedPageBreak/>
        <w:t>segundo del artículo 42 de la Ley 1861 de 2017, las personas aptas pero exoneradas de pagar la cuota de compensación militar también pueden acceder al beneficio previsto en el mismo inciso</w:t>
      </w:r>
      <w:r w:rsidRPr="00E30FB6">
        <w:rPr>
          <w:rFonts w:ascii="Arial" w:hAnsi="Arial" w:cs="Arial"/>
          <w:color w:val="000000" w:themeColor="text1"/>
          <w:vertAlign w:val="superscript"/>
        </w:rPr>
        <w:footnoteReference w:id="11"/>
      </w:r>
      <w:r w:rsidRPr="00E30FB6">
        <w:rPr>
          <w:rFonts w:ascii="Arial" w:hAnsi="Arial" w:cs="Arial"/>
          <w:color w:val="000000" w:themeColor="text1"/>
          <w:sz w:val="21"/>
          <w:szCs w:val="21"/>
        </w:rPr>
        <w:t>.</w:t>
      </w:r>
    </w:p>
    <w:p w:rsidR="00F3072D" w:rsidRPr="00E30FB6" w:rsidRDefault="00F3072D" w:rsidP="00F3072D">
      <w:pPr>
        <w:spacing w:after="0" w:line="276" w:lineRule="auto"/>
        <w:ind w:firstLine="709"/>
        <w:jc w:val="both"/>
        <w:rPr>
          <w:rFonts w:ascii="Arial" w:hAnsi="Arial" w:cs="Arial"/>
          <w:color w:val="000000" w:themeColor="text1"/>
          <w:sz w:val="21"/>
          <w:szCs w:val="21"/>
        </w:rPr>
      </w:pPr>
    </w:p>
    <w:p w:rsidR="00F3072D" w:rsidRDefault="00F3072D" w:rsidP="00F3072D">
      <w:pPr>
        <w:pStyle w:val="Prrafodelista"/>
        <w:numPr>
          <w:ilvl w:val="1"/>
          <w:numId w:val="1"/>
        </w:numPr>
        <w:tabs>
          <w:tab w:val="left" w:pos="0"/>
        </w:tabs>
        <w:spacing w:after="0" w:line="276" w:lineRule="auto"/>
        <w:ind w:left="0" w:firstLine="0"/>
        <w:jc w:val="both"/>
        <w:rPr>
          <w:rFonts w:ascii="Arial" w:hAnsi="Arial" w:cs="Arial"/>
          <w:b/>
          <w:color w:val="000000" w:themeColor="text1"/>
          <w:lang w:val="es-CO"/>
        </w:rPr>
      </w:pPr>
      <w:r w:rsidRPr="00E30FB6">
        <w:rPr>
          <w:rFonts w:ascii="Arial" w:hAnsi="Arial" w:cs="Arial"/>
          <w:b/>
          <w:color w:val="000000" w:themeColor="text1"/>
          <w:lang w:val="es-CO"/>
        </w:rPr>
        <w:t xml:space="preserve"> </w:t>
      </w:r>
      <w:bookmarkStart w:id="12" w:name="_Hlk122095609"/>
      <w:r w:rsidRPr="00E30FB6">
        <w:rPr>
          <w:rFonts w:ascii="Arial" w:hAnsi="Arial" w:cs="Arial"/>
          <w:b/>
          <w:color w:val="000000" w:themeColor="text1"/>
          <w:lang w:val="es-CO"/>
        </w:rPr>
        <w:t>Contabilización del plazo de dieciocho (18) de meses establecido en el inciso segundo del artículo 42 de la Ley 1861 de 2017</w:t>
      </w:r>
      <w:bookmarkEnd w:id="12"/>
    </w:p>
    <w:p w:rsidR="00F3072D" w:rsidRPr="00E30FB6" w:rsidRDefault="00F3072D" w:rsidP="00F3072D">
      <w:pPr>
        <w:pStyle w:val="Prrafodelista"/>
        <w:tabs>
          <w:tab w:val="left" w:pos="0"/>
        </w:tabs>
        <w:jc w:val="both"/>
        <w:rPr>
          <w:rFonts w:ascii="Arial" w:hAnsi="Arial" w:cs="Arial"/>
          <w:b/>
          <w:color w:val="000000" w:themeColor="text1"/>
          <w:lang w:val="es-CO"/>
        </w:rPr>
      </w:pPr>
    </w:p>
    <w:p w:rsidR="00F3072D" w:rsidRPr="00E30FB6" w:rsidRDefault="00F3072D" w:rsidP="00F3072D">
      <w:pPr>
        <w:tabs>
          <w:tab w:val="left" w:pos="0"/>
        </w:tabs>
        <w:spacing w:after="120" w:line="276" w:lineRule="auto"/>
        <w:jc w:val="both"/>
        <w:rPr>
          <w:rFonts w:ascii="Arial" w:hAnsi="Arial" w:cs="Arial"/>
          <w:color w:val="000000" w:themeColor="text1"/>
        </w:rPr>
      </w:pPr>
      <w:r w:rsidRPr="00E30FB6">
        <w:rPr>
          <w:rFonts w:ascii="Arial" w:hAnsi="Arial" w:cs="Arial"/>
          <w:color w:val="000000" w:themeColor="text1"/>
          <w:lang w:eastAsia="en-GB"/>
        </w:rPr>
        <w:t xml:space="preserve">De conformidad con lo expuesto, las personas que no hayan definido su situación militar pero que hayan sido clasificadas </w:t>
      </w:r>
      <w:r w:rsidRPr="00E30FB6">
        <w:rPr>
          <w:rFonts w:ascii="Arial" w:hAnsi="Arial" w:cs="Arial"/>
          <w:color w:val="000000" w:themeColor="text1"/>
        </w:rPr>
        <w:t>no aptas, exentas, hayan superado la edad máxima de incorporación a filas y aptas pero exoneradas de pagar la cuota de compensación militar, podrán acceder a un trabajo sin definir su situación militar. Para tales efectos,</w:t>
      </w:r>
      <w:r w:rsidRPr="00E30FB6">
        <w:rPr>
          <w:rFonts w:ascii="Arial" w:hAnsi="Arial" w:cs="Arial"/>
          <w:color w:val="000000" w:themeColor="text1"/>
          <w:lang w:eastAsia="en-GB"/>
        </w:rPr>
        <w:t xml:space="preserve"> el inciso segundo del artículo 42 de la Ley 1861 de 2017</w:t>
      </w:r>
      <w:r w:rsidRPr="00E30FB6">
        <w:rPr>
          <w:rFonts w:ascii="Arial" w:hAnsi="Arial" w:cs="Arial"/>
          <w:color w:val="000000" w:themeColor="text1"/>
        </w:rPr>
        <w:t xml:space="preserve"> otorgó un plazo de dieciocho (18) meses para definirla, contados a partir de su primera vinculación laboral, exceptuando la contabilización de este término en los casos en que las demoras no le sean imputables al ciudadano. </w:t>
      </w:r>
    </w:p>
    <w:p w:rsidR="00F3072D" w:rsidRPr="00E30FB6" w:rsidRDefault="00F3072D" w:rsidP="00F3072D">
      <w:pPr>
        <w:tabs>
          <w:tab w:val="left" w:pos="0"/>
        </w:tabs>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ese orden de ideas, el inciso tercero de esta disposición indicó que quienes accedan a este beneficio deberán gestionar –ante las autoridades de reclutamiento– un certificado provisional en línea que acredite el inicio del trámite de la definición de la situación militar por una única vez, el cual será válido por el término de dieciocho (18) meses. Por su parte, el parágrafo 1 del artículo citado, indica que las personas señaladas que cuentan con una vinculación laboral </w:t>
      </w:r>
      <w:r w:rsidRPr="00E30FB6">
        <w:rPr>
          <w:rFonts w:ascii="Arial" w:hAnsi="Arial" w:cs="Arial"/>
          <w:color w:val="000000" w:themeColor="text1"/>
        </w:rPr>
        <w:lastRenderedPageBreak/>
        <w:t>vigente y no hayan definido su situación militar, deberán hacerlo en los siguientes dieciocho (18) meses contados desde la vigencia de la Ley 1861 de 2017</w:t>
      </w:r>
      <w:r w:rsidRPr="00E30FB6">
        <w:rPr>
          <w:rFonts w:ascii="Arial" w:hAnsi="Arial" w:cs="Arial"/>
          <w:color w:val="000000" w:themeColor="text1"/>
          <w:vertAlign w:val="superscript"/>
        </w:rPr>
        <w:footnoteReference w:id="12"/>
      </w:r>
      <w:r w:rsidRPr="00E30FB6">
        <w:rPr>
          <w:rFonts w:ascii="Arial" w:hAnsi="Arial" w:cs="Arial"/>
          <w:color w:val="000000" w:themeColor="text1"/>
        </w:rPr>
        <w:t xml:space="preserve">. </w:t>
      </w:r>
    </w:p>
    <w:p w:rsidR="00F3072D" w:rsidRPr="00E30FB6" w:rsidRDefault="00F3072D" w:rsidP="00F3072D">
      <w:pPr>
        <w:tabs>
          <w:tab w:val="left" w:pos="0"/>
        </w:tabs>
        <w:spacing w:after="120" w:line="276" w:lineRule="auto"/>
        <w:ind w:firstLine="709"/>
        <w:jc w:val="both"/>
        <w:rPr>
          <w:rFonts w:ascii="Arial" w:hAnsi="Arial" w:cs="Arial"/>
          <w:color w:val="000000" w:themeColor="text1"/>
        </w:rPr>
      </w:pPr>
      <w:r w:rsidRPr="00E30FB6">
        <w:rPr>
          <w:rFonts w:ascii="Arial" w:hAnsi="Arial" w:cs="Arial"/>
          <w:color w:val="000000" w:themeColor="text1"/>
        </w:rPr>
        <w:t>De lo anterior se desprende que el plazo de dieciocho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w:t>
      </w:r>
      <w:r w:rsidRPr="00E30FB6">
        <w:rPr>
          <w:rStyle w:val="Refdenotaalpie"/>
          <w:rFonts w:ascii="Arial" w:hAnsi="Arial" w:cs="Arial"/>
          <w:color w:val="000000" w:themeColor="text1"/>
        </w:rPr>
        <w:footnoteReference w:id="13"/>
      </w:r>
      <w:r w:rsidRPr="00E30FB6">
        <w:rPr>
          <w:rFonts w:ascii="Arial" w:hAnsi="Arial" w:cs="Arial"/>
          <w:color w:val="000000" w:themeColor="text1"/>
        </w:rPr>
        <w:t xml:space="preserve"> señaló: </w:t>
      </w:r>
    </w:p>
    <w:p w:rsidR="00F3072D" w:rsidRPr="00E30FB6" w:rsidRDefault="00F3072D" w:rsidP="00F3072D">
      <w:pPr>
        <w:spacing w:after="240" w:line="240" w:lineRule="auto"/>
        <w:ind w:left="709" w:right="709"/>
        <w:jc w:val="both"/>
        <w:rPr>
          <w:rFonts w:ascii="Arial" w:hAnsi="Arial" w:cs="Arial"/>
          <w:color w:val="000000" w:themeColor="text1"/>
          <w:sz w:val="21"/>
          <w:szCs w:val="21"/>
        </w:rPr>
      </w:pPr>
      <w:r>
        <w:rPr>
          <w:rFonts w:ascii="Arial" w:hAnsi="Arial" w:cs="Arial"/>
          <w:i/>
          <w:iCs/>
          <w:color w:val="000000" w:themeColor="text1"/>
          <w:sz w:val="21"/>
          <w:szCs w:val="21"/>
        </w:rPr>
        <w:t>“</w:t>
      </w:r>
      <w:r w:rsidRPr="00E30FB6">
        <w:rPr>
          <w:rFonts w:ascii="Arial" w:hAnsi="Arial" w:cs="Arial"/>
          <w:color w:val="000000" w:themeColor="text1"/>
          <w:sz w:val="21"/>
          <w:szCs w:val="21"/>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Pr>
          <w:rFonts w:ascii="Arial" w:hAnsi="Arial" w:cs="Arial"/>
          <w:i/>
          <w:iCs/>
          <w:color w:val="000000" w:themeColor="text1"/>
          <w:sz w:val="21"/>
          <w:szCs w:val="21"/>
        </w:rPr>
        <w:t>”</w:t>
      </w:r>
      <w:r w:rsidRPr="00E30FB6">
        <w:rPr>
          <w:rFonts w:ascii="Arial" w:hAnsi="Arial" w:cs="Arial"/>
          <w:i/>
          <w:iCs/>
          <w:color w:val="000000" w:themeColor="text1"/>
          <w:sz w:val="21"/>
          <w:szCs w:val="21"/>
        </w:rPr>
        <w:t>.</w:t>
      </w:r>
    </w:p>
    <w:p w:rsidR="00F3072D" w:rsidRPr="00E30FB6" w:rsidRDefault="00F3072D" w:rsidP="00F3072D">
      <w:pPr>
        <w:tabs>
          <w:tab w:val="left" w:pos="0"/>
        </w:tabs>
        <w:spacing w:before="120"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De la jurisprudencia citada es claro que los dieciocho (18) meses de que trata el inciso segundo del artículo 42 es un plazo límite, pues esta norma otorga un beneficio </w:t>
      </w:r>
      <w:r>
        <w:rPr>
          <w:rFonts w:ascii="Arial" w:hAnsi="Arial" w:cs="Arial"/>
          <w:color w:val="000000" w:themeColor="text1"/>
        </w:rPr>
        <w:t>“</w:t>
      </w:r>
      <w:r w:rsidRPr="00E30FB6">
        <w:rPr>
          <w:rFonts w:ascii="Arial" w:hAnsi="Arial" w:cs="Arial"/>
          <w:color w:val="000000" w:themeColor="text1"/>
        </w:rPr>
        <w:t>temporal</w:t>
      </w:r>
      <w:r>
        <w:rPr>
          <w:rFonts w:ascii="Arial" w:hAnsi="Arial" w:cs="Arial"/>
          <w:color w:val="000000" w:themeColor="text1"/>
        </w:rPr>
        <w:t>”</w:t>
      </w:r>
      <w:r w:rsidRPr="00E30FB6">
        <w:rPr>
          <w:rFonts w:ascii="Arial" w:hAnsi="Arial" w:cs="Arial"/>
          <w:color w:val="000000" w:themeColor="text1"/>
        </w:rPr>
        <w:t xml:space="preserve">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trabajo no es necesario definir la situación militar. </w:t>
      </w:r>
    </w:p>
    <w:p w:rsidR="00F3072D" w:rsidRPr="00E30FB6" w:rsidRDefault="00F3072D" w:rsidP="00F3072D">
      <w:pPr>
        <w:tabs>
          <w:tab w:val="left" w:pos="0"/>
        </w:tabs>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este orden de ideas, surge el siguiente interrogante: ¿a partir de qué momento se debe contabilizar los dieciocho (18) meses para definir la situación militar? Al respecto, el inciso segundo del artículo 42 de la Ley 1861 de 2017 establece que a partir de la fecha de su </w:t>
      </w:r>
      <w:r w:rsidRPr="00E30FB6">
        <w:rPr>
          <w:rFonts w:ascii="Arial" w:hAnsi="Arial" w:cs="Arial"/>
          <w:color w:val="000000" w:themeColor="text1"/>
        </w:rPr>
        <w:lastRenderedPageBreak/>
        <w:t xml:space="preserve">vinculación laboral estas personas tendrán un lapso de dieciocho (18) meses para definir su situación militar. </w:t>
      </w:r>
    </w:p>
    <w:p w:rsidR="00F3072D" w:rsidRPr="00E30FB6" w:rsidRDefault="00F3072D" w:rsidP="00F3072D">
      <w:pPr>
        <w:tabs>
          <w:tab w:val="left" w:pos="0"/>
        </w:tabs>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Sin embargo, el inciso tercero de la disposición señalada impone el deber a aquellas personas que accedan a los beneficios previstos, de tramitar ante las autoridades de reclutamiento una certificación provisional en línea que </w:t>
      </w:r>
      <w:r>
        <w:rPr>
          <w:rFonts w:ascii="Arial" w:hAnsi="Arial" w:cs="Arial"/>
          <w:color w:val="000000" w:themeColor="text1"/>
          <w:sz w:val="19"/>
          <w:szCs w:val="19"/>
        </w:rPr>
        <w:t>“</w:t>
      </w:r>
      <w:r w:rsidRPr="00E30FB6">
        <w:rPr>
          <w:rFonts w:ascii="Arial" w:hAnsi="Arial" w:cs="Arial"/>
          <w:color w:val="000000" w:themeColor="text1"/>
        </w:rPr>
        <w:t>acredite</w:t>
      </w:r>
      <w:r>
        <w:rPr>
          <w:rFonts w:ascii="Arial" w:hAnsi="Arial" w:cs="Arial"/>
          <w:color w:val="000000" w:themeColor="text1"/>
          <w:sz w:val="19"/>
          <w:szCs w:val="19"/>
        </w:rPr>
        <w:t>”</w:t>
      </w:r>
      <w:r w:rsidRPr="00E30FB6">
        <w:rPr>
          <w:rFonts w:ascii="Arial" w:hAnsi="Arial" w:cs="Arial"/>
          <w:color w:val="000000" w:themeColor="text1"/>
        </w:rPr>
        <w:t xml:space="preserve"> el inicio del trámite de la definición de la situación militar. Esta certificación debe ser verificada por las entidades públicas y privadas, puesto que es la forma en que se acredita que la situación militar se encuentra en trámite.</w:t>
      </w:r>
    </w:p>
    <w:p w:rsidR="00F3072D" w:rsidRPr="00E30FB6" w:rsidRDefault="00F3072D" w:rsidP="00F3072D">
      <w:pPr>
        <w:tabs>
          <w:tab w:val="left" w:pos="0"/>
        </w:tabs>
        <w:spacing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consecuencia, si bien el plazo de dieciocho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rsidR="00F3072D" w:rsidRPr="00E30FB6" w:rsidRDefault="00F3072D" w:rsidP="00F3072D">
      <w:pPr>
        <w:spacing w:before="120" w:after="120" w:line="276" w:lineRule="auto"/>
        <w:ind w:firstLine="709"/>
        <w:jc w:val="both"/>
        <w:rPr>
          <w:rFonts w:ascii="Arial" w:hAnsi="Arial" w:cs="Arial"/>
          <w:i/>
          <w:iCs/>
          <w:color w:val="000000" w:themeColor="text1"/>
        </w:rPr>
      </w:pPr>
      <w:r w:rsidRPr="00E30FB6">
        <w:rPr>
          <w:rFonts w:ascii="Arial" w:hAnsi="Arial" w:cs="Arial"/>
          <w:color w:val="000000" w:themeColor="text1"/>
        </w:rPr>
        <w:t xml:space="preserve">Ahora bien, es preciso advertir que las disposiciones normativas citadas fueron desarrolladas en el Decreto 977 de 2018, que incorporó al Decreto 1070 de 2015 el artículo 2.3.1.4.9.1, el cual autoriza a las entidades públicas para suscribir contratos de prestación de servicios con personas que hayan sido declaradas no aptas, exentas de prestar el servicio militar obligatorio o que hayan superado la edad máxima de incorporación. En lo pertinente, el artículo en cita dispone: </w:t>
      </w:r>
      <w:r>
        <w:rPr>
          <w:rFonts w:ascii="Arial" w:hAnsi="Arial" w:cs="Arial"/>
          <w:color w:val="000000" w:themeColor="text1"/>
        </w:rPr>
        <w:t>“</w:t>
      </w:r>
      <w:r w:rsidRPr="00E30FB6">
        <w:rPr>
          <w:rFonts w:ascii="Arial" w:hAnsi="Arial" w:cs="Arial"/>
          <w:color w:val="000000" w:themeColor="text1"/>
        </w:rPr>
        <w:t>Toda empresa nacional o extranjera, oficial o particular, establecida o que en lo sucesivo se establezca en Colombia, podrá disponer de vinculación laboral o contractual, contratación por prestación de servicios o de cualquier otra índole que existiere, con personas que hayan sido declaradas no aptas, exentas de prestar el servicio militar obligatorio o que hayan superado la edad máxima de incorporación [...]</w:t>
      </w:r>
      <w:r>
        <w:rPr>
          <w:rFonts w:ascii="Arial" w:hAnsi="Arial" w:cs="Arial"/>
          <w:color w:val="000000" w:themeColor="text1"/>
        </w:rPr>
        <w:t>”</w:t>
      </w:r>
      <w:r w:rsidRPr="00E30FB6">
        <w:rPr>
          <w:rFonts w:ascii="Arial" w:hAnsi="Arial" w:cs="Arial"/>
          <w:color w:val="000000" w:themeColor="text1"/>
        </w:rPr>
        <w:t>.</w:t>
      </w:r>
    </w:p>
    <w:p w:rsidR="00F3072D" w:rsidRPr="00E30FB6" w:rsidRDefault="00F3072D" w:rsidP="00F3072D">
      <w:pPr>
        <w:autoSpaceDE w:val="0"/>
        <w:autoSpaceDN w:val="0"/>
        <w:adjustRightInd w:val="0"/>
        <w:spacing w:after="120" w:line="276" w:lineRule="auto"/>
        <w:ind w:firstLine="709"/>
        <w:jc w:val="both"/>
        <w:rPr>
          <w:rFonts w:ascii="Arial" w:hAnsi="Arial" w:cs="Arial"/>
          <w:color w:val="000000" w:themeColor="text1"/>
        </w:rPr>
      </w:pPr>
      <w:r w:rsidRPr="00E30FB6">
        <w:rPr>
          <w:rFonts w:ascii="Arial" w:hAnsi="Arial" w:cs="Arial"/>
          <w:color w:val="000000" w:themeColor="text1"/>
        </w:rPr>
        <w:t>A su turno, el artículo 2.3.1.4.9.2. del mismo Decreto establece que el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 Al respecto la disposición citada señala la forma en la que se debe contabilizar el plazo de dieciocho (18) meses para definir la situación militar, así:</w:t>
      </w:r>
    </w:p>
    <w:p w:rsidR="00F3072D" w:rsidRPr="00E30FB6" w:rsidRDefault="00F3072D" w:rsidP="00F3072D">
      <w:pPr>
        <w:autoSpaceDE w:val="0"/>
        <w:autoSpaceDN w:val="0"/>
        <w:adjustRightInd w:val="0"/>
        <w:spacing w:after="0" w:line="240" w:lineRule="auto"/>
        <w:ind w:left="709" w:right="709"/>
        <w:jc w:val="both"/>
        <w:rPr>
          <w:rFonts w:ascii="Arial" w:hAnsi="Arial" w:cs="Arial"/>
          <w:color w:val="000000" w:themeColor="text1"/>
          <w:sz w:val="21"/>
          <w:szCs w:val="21"/>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Pr>
          <w:rFonts w:ascii="Arial" w:hAnsi="Arial" w:cs="Arial"/>
          <w:color w:val="000000" w:themeColor="text1"/>
          <w:sz w:val="21"/>
          <w:szCs w:val="21"/>
        </w:rPr>
        <w:t>“</w:t>
      </w:r>
      <w:r w:rsidRPr="00E30FB6">
        <w:rPr>
          <w:rFonts w:ascii="Arial" w:eastAsia="Times New Roman" w:hAnsi="Arial" w:cs="Arial"/>
          <w:color w:val="000000" w:themeColor="text1"/>
          <w:sz w:val="21"/>
          <w:szCs w:val="21"/>
          <w:lang w:eastAsia="es-CO"/>
        </w:rPr>
        <w:t>El plazo del beneficio inicia de acuerdo a la información suministrada por los Aportes en la Plantilla Integrada de Liquidación de Aportes (PILA):</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bookmarkStart w:id="13" w:name="2.3.1.4.9.2.1"/>
      <w:bookmarkEnd w:id="13"/>
      <w:r w:rsidRPr="00E30FB6">
        <w:rPr>
          <w:rFonts w:ascii="Arial" w:eastAsia="Times New Roman" w:hAnsi="Arial" w:cs="Arial"/>
          <w:color w:val="000000" w:themeColor="text1"/>
          <w:sz w:val="21"/>
          <w:szCs w:val="21"/>
          <w:lang w:eastAsia="es-CO"/>
        </w:rPr>
        <w:t>1. A partir de la fecha de expedición del presente decreto siempre y cuando se haya vinculado laboral o contractualmente entre la entrada en vigencia la Ley 1861 de 2017 y la entrada en vigencia del presente decreto o;</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bookmarkStart w:id="14" w:name="2.3.1.4.9.2.2"/>
      <w:bookmarkEnd w:id="14"/>
      <w:r w:rsidRPr="00E30FB6">
        <w:rPr>
          <w:rFonts w:ascii="Arial" w:eastAsia="Times New Roman" w:hAnsi="Arial" w:cs="Arial"/>
          <w:color w:val="000000" w:themeColor="text1"/>
          <w:sz w:val="21"/>
          <w:szCs w:val="21"/>
          <w:lang w:eastAsia="es-CO"/>
        </w:rPr>
        <w:lastRenderedPageBreak/>
        <w:t>2. En la fecha de suscripción del primer contrato a partir de la entrada en vigencia del presente decreto.</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color w:val="000000" w:themeColor="text1"/>
          <w:sz w:val="21"/>
          <w:szCs w:val="21"/>
          <w:lang w:eastAsia="es-CO"/>
        </w:rPr>
        <w:t>Los Ministerios de Defensa Nacional, Salud y Protección Social y Trabajo deberán adoptar las medidas administrativas necesarias para el respectivo cruce de información, para que el Comando de Reclutamiento y Control Reservas del Ejército pueda consultar o tener acceso a las bases de datos de la Planilla Integrada de Liquidación de Aportes (PILA), para verificar si los ciudadanos que deben definir su situación militar son beneficiarios del presente decreto y se encuentran afiliados a seguridad social y vinculados laboral o contractualmente a una empresa nacional o extranjera, oficial o particular.</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color w:val="000000" w:themeColor="text1"/>
          <w:sz w:val="21"/>
          <w:szCs w:val="21"/>
          <w:lang w:eastAsia="es-CO"/>
        </w:rPr>
        <w:t>El ciudadano beneficiario también podrá participar en las Jornadas Especiales que adelante el Ministerio de Defensa Nacional a través del Comando de Reclutamiento y Control Reservas del Ejército Nacional, en el lapso de tiempo que tiene para normalizar su situación militar.</w:t>
      </w:r>
    </w:p>
    <w:p w:rsidR="00F3072D" w:rsidRPr="00E30FB6" w:rsidRDefault="00F3072D" w:rsidP="00F3072D">
      <w:pPr>
        <w:shd w:val="clear" w:color="auto" w:fill="FFFFFF"/>
        <w:spacing w:after="0" w:line="240" w:lineRule="auto"/>
        <w:ind w:left="709" w:right="709"/>
        <w:jc w:val="both"/>
        <w:rPr>
          <w:rFonts w:ascii="Arial" w:eastAsia="Times New Roman" w:hAnsi="Arial" w:cs="Arial"/>
          <w:b/>
          <w:bCs/>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b/>
          <w:bCs/>
          <w:color w:val="000000" w:themeColor="text1"/>
          <w:sz w:val="21"/>
          <w:szCs w:val="21"/>
          <w:lang w:eastAsia="es-CO"/>
        </w:rPr>
        <w:t>PARÁGRAFO.</w:t>
      </w:r>
      <w:r w:rsidRPr="00E30FB6">
        <w:rPr>
          <w:rFonts w:ascii="Arial" w:eastAsia="Times New Roman" w:hAnsi="Arial" w:cs="Arial"/>
          <w:color w:val="000000" w:themeColor="text1"/>
          <w:sz w:val="21"/>
          <w:szCs w:val="21"/>
          <w:lang w:eastAsia="es-CO"/>
        </w:rPr>
        <w:t> El ciudadano que al momento de obtener el beneficio del plazo de los dieciocho (18) meses para definir su situación militar, cuente con recibos de pago de cuota de compensación militar, multas o derechos de elaboración de la tarjeta militar vencidos, deberá acercarse al distrito militar que los expidió con el propósito de que le sean generados nuevamente por los valores dejados de cancelar, para que sean pagados conforme a lo dispuesto en el artículo 28 de la Ley 1861 de 2017.</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color w:val="000000" w:themeColor="text1"/>
          <w:sz w:val="21"/>
          <w:szCs w:val="21"/>
          <w:lang w:eastAsia="es-CO"/>
        </w:rPr>
        <w:t>El distrito militar deberá tener acceso a las bases de datos de la Planilla Integrada de Liquidación de Aportes (PILA) del Ministerio de Salud y Protección Social, para verificar si los ciudadanos son beneficiarios del presente artículo por encontrarse afiliados a seguridad social y vinculados laboral o contractualmente a una empresa nacional o extranjera, oficial o particular y que puedan obtener los beneficios de las Jornadas Especiales de que trata el artículo 73 de la Ley 1861 de 2017.</w:t>
      </w:r>
      <w:r>
        <w:rPr>
          <w:rFonts w:ascii="Arial" w:hAnsi="Arial" w:cs="Arial"/>
          <w:color w:val="000000" w:themeColor="text1"/>
          <w:sz w:val="21"/>
          <w:szCs w:val="21"/>
        </w:rPr>
        <w:t>”</w:t>
      </w:r>
    </w:p>
    <w:p w:rsidR="00F3072D" w:rsidRPr="00E30FB6" w:rsidRDefault="00F3072D" w:rsidP="00F3072D">
      <w:pPr>
        <w:tabs>
          <w:tab w:val="left" w:pos="1073"/>
        </w:tabs>
        <w:spacing w:after="0"/>
        <w:jc w:val="both"/>
        <w:rPr>
          <w:rFonts w:ascii="Arial" w:eastAsia="Times New Roman" w:hAnsi="Arial" w:cs="Arial"/>
          <w:color w:val="000000" w:themeColor="text1"/>
          <w:lang w:eastAsia="es-CO"/>
        </w:rPr>
      </w:pPr>
    </w:p>
    <w:p w:rsidR="00F3072D" w:rsidRPr="00E30FB6" w:rsidRDefault="00F3072D" w:rsidP="00F3072D">
      <w:pPr>
        <w:tabs>
          <w:tab w:val="left" w:pos="1073"/>
        </w:tabs>
        <w:spacing w:after="0" w:line="276" w:lineRule="auto"/>
        <w:ind w:firstLine="709"/>
        <w:jc w:val="both"/>
        <w:rPr>
          <w:rFonts w:ascii="Arial" w:hAnsi="Arial" w:cs="Arial"/>
          <w:bCs/>
          <w:noProof/>
          <w:color w:val="000000" w:themeColor="text1"/>
        </w:rPr>
      </w:pPr>
      <w:r w:rsidRPr="00E30FB6">
        <w:rPr>
          <w:rFonts w:ascii="Arial" w:eastAsia="Times New Roman" w:hAnsi="Arial" w:cs="Arial"/>
          <w:color w:val="000000" w:themeColor="text1"/>
          <w:lang w:eastAsia="es-CO"/>
        </w:rPr>
        <w:t xml:space="preserve">En ese sentido, no cabe duda de que el beneficio contemplado en el artículo 42 de la Ley </w:t>
      </w:r>
      <w:r w:rsidRPr="00E30FB6">
        <w:rPr>
          <w:rFonts w:ascii="Arial" w:hAnsi="Arial" w:cs="Arial"/>
          <w:color w:val="000000" w:themeColor="text1"/>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w:t>
      </w:r>
      <w:r w:rsidRPr="00E30FB6">
        <w:rPr>
          <w:rFonts w:ascii="Arial" w:hAnsi="Arial" w:cs="Arial"/>
          <w:bCs/>
          <w:noProof/>
          <w:color w:val="000000" w:themeColor="text1"/>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Pr>
          <w:rFonts w:ascii="Arial" w:hAnsi="Arial" w:cs="Arial"/>
          <w:i/>
          <w:iCs/>
          <w:color w:val="000000" w:themeColor="text1"/>
        </w:rPr>
        <w:t>“</w:t>
      </w:r>
      <w:r w:rsidRPr="00E30FB6">
        <w:rPr>
          <w:rFonts w:ascii="Arial" w:hAnsi="Arial" w:cs="Arial"/>
          <w:bCs/>
          <w:i/>
          <w:iCs/>
          <w:noProof/>
          <w:color w:val="000000" w:themeColor="text1"/>
        </w:rPr>
        <w:t>liquidación</w:t>
      </w:r>
      <w:r>
        <w:rPr>
          <w:rFonts w:ascii="Arial" w:hAnsi="Arial" w:cs="Arial"/>
          <w:i/>
          <w:iCs/>
          <w:color w:val="000000" w:themeColor="text1"/>
        </w:rPr>
        <w:t>”</w:t>
      </w:r>
      <w:r w:rsidRPr="00E30FB6">
        <w:rPr>
          <w:rFonts w:ascii="Arial" w:hAnsi="Arial" w:cs="Arial"/>
          <w:i/>
          <w:iCs/>
          <w:color w:val="000000" w:themeColor="text1"/>
        </w:rPr>
        <w:t xml:space="preserve">, </w:t>
      </w:r>
      <w:r w:rsidRPr="00E30FB6">
        <w:rPr>
          <w:rFonts w:ascii="Arial" w:hAnsi="Arial" w:cs="Arial"/>
          <w:color w:val="000000" w:themeColor="text1"/>
        </w:rPr>
        <w:t xml:space="preserve">por el contrario, indica que </w:t>
      </w:r>
      <w:r w:rsidRPr="00E30FB6">
        <w:rPr>
          <w:rFonts w:ascii="Arial" w:hAnsi="Arial" w:cs="Arial"/>
          <w:bCs/>
          <w:noProof/>
          <w:color w:val="000000" w:themeColor="text1"/>
        </w:rPr>
        <w:t xml:space="preserve">si el ciudadano al momento de la consulta no se encuentra inscrito o la leyenda que arroja el portal web indica que su estado es </w:t>
      </w:r>
      <w:r>
        <w:rPr>
          <w:rFonts w:ascii="Arial" w:hAnsi="Arial" w:cs="Arial"/>
          <w:i/>
          <w:iCs/>
          <w:color w:val="000000" w:themeColor="text1"/>
        </w:rPr>
        <w:t>“</w:t>
      </w:r>
      <w:r w:rsidRPr="00E30FB6">
        <w:rPr>
          <w:rFonts w:ascii="Arial" w:hAnsi="Arial" w:cs="Arial"/>
          <w:bCs/>
          <w:i/>
          <w:iCs/>
          <w:noProof/>
          <w:color w:val="000000" w:themeColor="text1"/>
        </w:rPr>
        <w:t>citado a primer examen</w:t>
      </w:r>
      <w:r>
        <w:rPr>
          <w:rFonts w:ascii="Arial" w:hAnsi="Arial" w:cs="Arial"/>
          <w:i/>
          <w:iCs/>
          <w:color w:val="000000" w:themeColor="text1"/>
        </w:rPr>
        <w:t>”</w:t>
      </w:r>
      <w:r w:rsidRPr="00E30FB6">
        <w:rPr>
          <w:rFonts w:ascii="Arial" w:hAnsi="Arial" w:cs="Arial"/>
          <w:bCs/>
          <w:i/>
          <w:iCs/>
          <w:noProof/>
          <w:color w:val="000000" w:themeColor="text1"/>
        </w:rPr>
        <w:t xml:space="preserve">, </w:t>
      </w:r>
      <w:r>
        <w:rPr>
          <w:rFonts w:ascii="Arial" w:hAnsi="Arial" w:cs="Arial"/>
          <w:i/>
          <w:iCs/>
          <w:color w:val="000000" w:themeColor="text1"/>
        </w:rPr>
        <w:t>“</w:t>
      </w:r>
      <w:r w:rsidRPr="00E30FB6">
        <w:rPr>
          <w:rFonts w:ascii="Arial" w:hAnsi="Arial" w:cs="Arial"/>
          <w:bCs/>
          <w:i/>
          <w:iCs/>
          <w:noProof/>
          <w:color w:val="000000" w:themeColor="text1"/>
        </w:rPr>
        <w:t>citado a concentración</w:t>
      </w:r>
      <w:r>
        <w:rPr>
          <w:rFonts w:ascii="Arial" w:hAnsi="Arial" w:cs="Arial"/>
          <w:i/>
          <w:iCs/>
          <w:color w:val="000000" w:themeColor="text1"/>
        </w:rPr>
        <w:t>”</w:t>
      </w:r>
      <w:r w:rsidRPr="00E30FB6">
        <w:rPr>
          <w:rFonts w:ascii="Arial" w:hAnsi="Arial" w:cs="Arial"/>
          <w:bCs/>
          <w:noProof/>
          <w:color w:val="000000" w:themeColor="text1"/>
        </w:rPr>
        <w:t xml:space="preserve"> o </w:t>
      </w:r>
      <w:r>
        <w:rPr>
          <w:rFonts w:ascii="Arial" w:hAnsi="Arial" w:cs="Arial"/>
          <w:i/>
          <w:iCs/>
          <w:color w:val="000000" w:themeColor="text1"/>
        </w:rPr>
        <w:t>“</w:t>
      </w:r>
      <w:r w:rsidRPr="00E30FB6">
        <w:rPr>
          <w:rFonts w:ascii="Arial" w:hAnsi="Arial" w:cs="Arial"/>
          <w:bCs/>
          <w:i/>
          <w:iCs/>
          <w:noProof/>
          <w:color w:val="000000" w:themeColor="text1"/>
        </w:rPr>
        <w:t>remiso</w:t>
      </w:r>
      <w:r>
        <w:rPr>
          <w:rFonts w:ascii="Arial" w:hAnsi="Arial" w:cs="Arial"/>
          <w:i/>
          <w:iCs/>
          <w:color w:val="000000" w:themeColor="text1"/>
        </w:rPr>
        <w:t>”</w:t>
      </w:r>
      <w:r w:rsidRPr="00E30FB6">
        <w:rPr>
          <w:rFonts w:ascii="Arial" w:hAnsi="Arial" w:cs="Arial"/>
          <w:bCs/>
          <w:noProof/>
          <w:color w:val="000000" w:themeColor="text1"/>
        </w:rPr>
        <w:t xml:space="preserve">, no podrá acceder a los beneficios que contempla el artículo 42 de la Ley 1861 de 2017, salvo que </w:t>
      </w:r>
      <w:r w:rsidRPr="00E30FB6">
        <w:rPr>
          <w:rFonts w:ascii="Arial" w:hAnsi="Arial" w:cs="Arial"/>
          <w:bCs/>
          <w:noProof/>
          <w:color w:val="000000" w:themeColor="text1"/>
        </w:rPr>
        <w:lastRenderedPageBreak/>
        <w:t>dé inicio al proceso de definición del estado de la situación militar y sea clasificado en el sistema dentro de la población beneficiaria de dicha regla excepcional.</w:t>
      </w:r>
    </w:p>
    <w:p w:rsidR="00F3072D" w:rsidRPr="00E30FB6" w:rsidRDefault="00F3072D" w:rsidP="00F3072D">
      <w:pPr>
        <w:tabs>
          <w:tab w:val="left" w:pos="1073"/>
        </w:tabs>
        <w:spacing w:after="0"/>
        <w:jc w:val="both"/>
        <w:rPr>
          <w:rFonts w:ascii="Arial" w:hAnsi="Arial" w:cs="Arial"/>
          <w:bCs/>
          <w:noProof/>
          <w:color w:val="000000" w:themeColor="text1"/>
        </w:rPr>
      </w:pPr>
    </w:p>
    <w:p w:rsidR="00F3072D" w:rsidRPr="00E30FB6" w:rsidRDefault="00F3072D" w:rsidP="00F3072D">
      <w:pPr>
        <w:pStyle w:val="Prrafodelista"/>
        <w:numPr>
          <w:ilvl w:val="1"/>
          <w:numId w:val="1"/>
        </w:numPr>
        <w:tabs>
          <w:tab w:val="left" w:pos="360"/>
        </w:tabs>
        <w:spacing w:after="0"/>
        <w:ind w:left="0" w:firstLine="0"/>
        <w:jc w:val="both"/>
        <w:rPr>
          <w:rFonts w:ascii="Arial" w:hAnsi="Arial" w:cs="Arial"/>
          <w:bCs/>
          <w:noProof/>
          <w:color w:val="000000" w:themeColor="text1"/>
          <w:lang w:val="es-CO"/>
        </w:rPr>
      </w:pPr>
      <w:r w:rsidRPr="00E30FB6">
        <w:rPr>
          <w:rFonts w:ascii="Arial" w:hAnsi="Arial" w:cs="Arial"/>
          <w:b/>
          <w:color w:val="000000" w:themeColor="text1"/>
          <w:lang w:val="es-CO"/>
        </w:rPr>
        <w:t>Dilación o retraso por parte del Comando de Reclutamiento y Control Reservas del Ejército Nacional durante el plazo para normalizar la situación militar</w:t>
      </w:r>
    </w:p>
    <w:p w:rsidR="00F3072D" w:rsidRPr="00E30FB6" w:rsidRDefault="00F3072D" w:rsidP="00F3072D">
      <w:pPr>
        <w:tabs>
          <w:tab w:val="left" w:pos="1073"/>
        </w:tabs>
        <w:spacing w:after="0"/>
        <w:jc w:val="both"/>
        <w:rPr>
          <w:rFonts w:ascii="Arial" w:hAnsi="Arial" w:cs="Arial"/>
          <w:bCs/>
          <w:noProof/>
          <w:color w:val="000000" w:themeColor="text1"/>
        </w:rPr>
      </w:pPr>
    </w:p>
    <w:p w:rsidR="00F3072D" w:rsidRPr="00E30FB6" w:rsidRDefault="00F3072D" w:rsidP="00F3072D">
      <w:pPr>
        <w:spacing w:after="0" w:line="276" w:lineRule="auto"/>
        <w:jc w:val="both"/>
        <w:rPr>
          <w:rFonts w:ascii="Arial" w:hAnsi="Arial" w:cs="Arial"/>
          <w:color w:val="000000" w:themeColor="text1"/>
          <w:shd w:val="clear" w:color="auto" w:fill="FFFFFF"/>
        </w:rPr>
      </w:pPr>
      <w:r w:rsidRPr="00E30FB6">
        <w:rPr>
          <w:rFonts w:ascii="Arial" w:hAnsi="Arial" w:cs="Arial"/>
          <w:color w:val="000000" w:themeColor="text1"/>
          <w:shd w:val="clear" w:color="auto" w:fill="FFFFFF"/>
        </w:rPr>
        <w:t xml:space="preserve">La Corte Constitucional, en sentencia </w:t>
      </w:r>
      <w:r w:rsidRPr="00E30FB6">
        <w:rPr>
          <w:rFonts w:ascii="Arial" w:hAnsi="Arial" w:cs="Arial"/>
          <w:color w:val="000000" w:themeColor="text1"/>
        </w:rPr>
        <w:t>C- 277 de 2019</w:t>
      </w:r>
      <w:r w:rsidRPr="00E30FB6">
        <w:rPr>
          <w:rStyle w:val="Refdenotaalpie"/>
          <w:rFonts w:ascii="Arial" w:hAnsi="Arial" w:cs="Arial"/>
          <w:color w:val="000000" w:themeColor="text1"/>
        </w:rPr>
        <w:footnoteReference w:id="14"/>
      </w:r>
      <w:r w:rsidRPr="00E30FB6">
        <w:rPr>
          <w:rFonts w:ascii="Arial" w:hAnsi="Arial" w:cs="Arial"/>
          <w:color w:val="000000" w:themeColor="text1"/>
        </w:rPr>
        <w:t>,</w:t>
      </w:r>
      <w:r w:rsidRPr="00E30FB6">
        <w:rPr>
          <w:rFonts w:ascii="Arial" w:hAnsi="Arial" w:cs="Arial"/>
          <w:color w:val="000000" w:themeColor="text1"/>
          <w:shd w:val="clear" w:color="auto" w:fill="FFFFFF"/>
        </w:rPr>
        <w:t xml:space="preserve"> indicó que la finalidad implícita del </w:t>
      </w:r>
      <w:r w:rsidRPr="00E30FB6">
        <w:rPr>
          <w:rFonts w:ascii="Arial" w:hAnsi="Arial" w:cs="Arial"/>
          <w:color w:val="000000" w:themeColor="text1"/>
        </w:rPr>
        <w:t>plazo de dieciocho (18) meses, previsto en el artículo 42 de la Ley 1861 de 2017 para definir su situación militar</w:t>
      </w:r>
      <w:r w:rsidRPr="00E30FB6">
        <w:rPr>
          <w:rFonts w:ascii="Arial" w:hAnsi="Arial" w:cs="Arial"/>
          <w:color w:val="000000" w:themeColor="text1"/>
          <w:shd w:val="clear" w:color="auto" w:fill="FFFFFF"/>
        </w:rPr>
        <w:t>, obedece a una medida contemplada por el Legislador con el fin de empujar a las personas para que se presenten ante las autoridades militares con el fin de definir su situación militar, lo más rápido posible. Al respecto, indicó que:</w:t>
      </w:r>
    </w:p>
    <w:p w:rsidR="00F3072D" w:rsidRPr="00E30FB6" w:rsidRDefault="00F3072D" w:rsidP="00F3072D">
      <w:pPr>
        <w:spacing w:after="0"/>
        <w:jc w:val="both"/>
        <w:rPr>
          <w:rFonts w:ascii="Arial" w:hAnsi="Arial" w:cs="Arial"/>
          <w:i/>
          <w:iCs/>
          <w:color w:val="000000" w:themeColor="text1"/>
          <w:shd w:val="clear" w:color="auto" w:fill="FFFFFF"/>
        </w:rPr>
      </w:pPr>
    </w:p>
    <w:p w:rsidR="00F3072D" w:rsidRDefault="00F3072D" w:rsidP="00F3072D">
      <w:pPr>
        <w:spacing w:after="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E30FB6">
        <w:rPr>
          <w:rFonts w:ascii="Arial" w:hAnsi="Arial" w:cs="Arial"/>
          <w:color w:val="000000" w:themeColor="text1"/>
          <w:sz w:val="21"/>
          <w:szCs w:val="21"/>
        </w:rPr>
        <w:t>La finalidad implícita de la medida</w:t>
      </w:r>
      <w:r w:rsidRPr="00E30FB6">
        <w:rPr>
          <w:rFonts w:ascii="Arial" w:hAnsi="Arial" w:cs="Arial"/>
          <w:color w:val="000000" w:themeColor="text1"/>
          <w:sz w:val="21"/>
          <w:szCs w:val="21"/>
          <w:vertAlign w:val="superscript"/>
        </w:rPr>
        <w:t xml:space="preserve"> [34]</w:t>
      </w:r>
      <w:r w:rsidRPr="00E30FB6">
        <w:rPr>
          <w:rFonts w:ascii="Arial" w:hAnsi="Arial" w:cs="Arial"/>
          <w:color w:val="000000" w:themeColor="text1"/>
          <w:sz w:val="21"/>
          <w:szCs w:val="21"/>
        </w:rPr>
        <w:t xml:space="preserve">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r>
        <w:rPr>
          <w:rFonts w:ascii="Arial" w:hAnsi="Arial" w:cs="Arial"/>
          <w:color w:val="000000" w:themeColor="text1"/>
          <w:sz w:val="21"/>
          <w:szCs w:val="21"/>
        </w:rPr>
        <w:t>”</w:t>
      </w:r>
      <w:r w:rsidRPr="00E30FB6">
        <w:rPr>
          <w:rFonts w:ascii="Arial" w:hAnsi="Arial" w:cs="Arial"/>
          <w:color w:val="000000" w:themeColor="text1"/>
          <w:sz w:val="21"/>
          <w:szCs w:val="21"/>
        </w:rPr>
        <w:t>.</w:t>
      </w:r>
    </w:p>
    <w:p w:rsidR="00F3072D" w:rsidRPr="00D03FC5" w:rsidRDefault="00F3072D" w:rsidP="00F3072D">
      <w:pPr>
        <w:spacing w:after="0" w:line="240" w:lineRule="auto"/>
        <w:ind w:left="709" w:right="709"/>
        <w:jc w:val="both"/>
        <w:rPr>
          <w:rFonts w:ascii="Arial" w:hAnsi="Arial" w:cs="Arial"/>
          <w:color w:val="000000" w:themeColor="text1"/>
          <w:sz w:val="21"/>
          <w:szCs w:val="21"/>
        </w:rPr>
      </w:pPr>
    </w:p>
    <w:p w:rsidR="00F3072D" w:rsidRPr="00E30FB6" w:rsidRDefault="00F3072D" w:rsidP="00F3072D">
      <w:pPr>
        <w:shd w:val="clear" w:color="auto" w:fill="FFFFFF"/>
        <w:spacing w:after="0" w:line="276" w:lineRule="auto"/>
        <w:ind w:firstLine="709"/>
        <w:jc w:val="both"/>
        <w:rPr>
          <w:rFonts w:ascii="Arial" w:eastAsia="Times New Roman" w:hAnsi="Arial" w:cs="Arial"/>
          <w:color w:val="000000" w:themeColor="text1"/>
          <w:lang w:eastAsia="es-CO"/>
        </w:rPr>
      </w:pPr>
      <w:r w:rsidRPr="00E30FB6">
        <w:rPr>
          <w:rFonts w:ascii="Arial" w:hAnsi="Arial" w:cs="Arial"/>
          <w:color w:val="000000" w:themeColor="text1"/>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Reservas del Ejército Nacional, durante el beneficio de los dieciocho (18) meses para normalizar la situación militar. </w:t>
      </w:r>
      <w:r w:rsidRPr="00E30FB6">
        <w:rPr>
          <w:rFonts w:ascii="Arial" w:eastAsia="Times New Roman" w:hAnsi="Arial" w:cs="Arial"/>
          <w:color w:val="000000" w:themeColor="text1"/>
          <w:lang w:eastAsia="es-CO"/>
        </w:rPr>
        <w:t>Sobre este tema, la Corte Constitucional indicó en la referida sentencia que:</w:t>
      </w:r>
    </w:p>
    <w:p w:rsidR="00F3072D" w:rsidRPr="00E30FB6" w:rsidRDefault="00F3072D" w:rsidP="00F3072D">
      <w:pPr>
        <w:shd w:val="clear" w:color="auto" w:fill="FFFFFF"/>
        <w:spacing w:after="0"/>
        <w:ind w:right="-58" w:firstLine="708"/>
        <w:jc w:val="both"/>
        <w:rPr>
          <w:rFonts w:ascii="Arial" w:eastAsia="Times New Roman" w:hAnsi="Arial" w:cs="Arial"/>
          <w:color w:val="000000" w:themeColor="text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Pr>
          <w:rFonts w:ascii="Arial" w:hAnsi="Arial" w:cs="Arial"/>
          <w:color w:val="000000" w:themeColor="text1"/>
          <w:sz w:val="21"/>
          <w:szCs w:val="21"/>
        </w:rPr>
        <w:t>“</w:t>
      </w:r>
      <w:r w:rsidRPr="00E30FB6">
        <w:rPr>
          <w:rFonts w:ascii="Arial" w:eastAsia="Times New Roman" w:hAnsi="Arial" w:cs="Arial"/>
          <w:color w:val="000000" w:themeColor="text1"/>
          <w:sz w:val="21"/>
          <w:szCs w:val="21"/>
          <w:lang w:eastAsia="es-CO"/>
        </w:rPr>
        <w:t xml:space="preserve">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w:t>
      </w:r>
      <w:r w:rsidRPr="00E30FB6">
        <w:rPr>
          <w:rFonts w:ascii="Arial" w:eastAsia="Times New Roman" w:hAnsi="Arial" w:cs="Arial"/>
          <w:color w:val="000000" w:themeColor="text1"/>
          <w:sz w:val="21"/>
          <w:szCs w:val="21"/>
          <w:lang w:eastAsia="es-CO"/>
        </w:rPr>
        <w:lastRenderedPageBreak/>
        <w:t>mercado laboral, mientras definen su situación militar, hasta por un término de 18 meses, y sin que sea procedente computar las demoras imputables a la administración</w:t>
      </w:r>
      <w:r>
        <w:rPr>
          <w:rFonts w:ascii="Arial" w:hAnsi="Arial" w:cs="Arial"/>
          <w:color w:val="000000" w:themeColor="text1"/>
          <w:sz w:val="21"/>
          <w:szCs w:val="21"/>
        </w:rPr>
        <w:t>”</w:t>
      </w:r>
    </w:p>
    <w:p w:rsidR="00F3072D" w:rsidRPr="00E30FB6" w:rsidRDefault="00F3072D" w:rsidP="00F3072D">
      <w:pPr>
        <w:shd w:val="clear" w:color="auto" w:fill="FFFFFF"/>
        <w:spacing w:after="0"/>
        <w:ind w:right="-58" w:firstLine="708"/>
        <w:jc w:val="both"/>
        <w:rPr>
          <w:rFonts w:ascii="Arial" w:eastAsia="Times New Roman" w:hAnsi="Arial" w:cs="Arial"/>
          <w:color w:val="000000" w:themeColor="text1"/>
          <w:lang w:eastAsia="es-CO"/>
        </w:rPr>
      </w:pPr>
    </w:p>
    <w:p w:rsidR="00F3072D" w:rsidRPr="00E30FB6" w:rsidRDefault="00F3072D" w:rsidP="00F3072D">
      <w:pPr>
        <w:shd w:val="clear" w:color="auto" w:fill="FFFFFF"/>
        <w:spacing w:after="0" w:line="276" w:lineRule="auto"/>
        <w:ind w:right="-58" w:firstLine="708"/>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De igual forma, la Corte Constitucional en Sentencia T-313 de 2022</w:t>
      </w:r>
      <w:r w:rsidRPr="00E30FB6">
        <w:rPr>
          <w:rStyle w:val="Refdenotaalpie"/>
          <w:rFonts w:ascii="Arial" w:eastAsia="Times New Roman" w:hAnsi="Arial" w:cs="Arial"/>
          <w:color w:val="000000" w:themeColor="text1"/>
          <w:lang w:eastAsia="es-CO"/>
        </w:rPr>
        <w:footnoteReference w:id="15"/>
      </w:r>
      <w:r w:rsidRPr="00E30FB6">
        <w:rPr>
          <w:rFonts w:ascii="Arial" w:eastAsia="Times New Roman" w:hAnsi="Arial" w:cs="Arial"/>
          <w:color w:val="000000" w:themeColor="text1"/>
          <w:lang w:eastAsia="es-CO"/>
        </w:rPr>
        <w:t>, evaluó los precedentes sobre la afectación del derecho al trabajo, por parte de las entidades públicas contratantes frente a los titulares de contratos de prestación de servicios, y en particular resolvió que:</w:t>
      </w:r>
    </w:p>
    <w:p w:rsidR="00F3072D" w:rsidRPr="00E30FB6" w:rsidRDefault="00F3072D" w:rsidP="00F3072D">
      <w:pPr>
        <w:shd w:val="clear" w:color="auto" w:fill="FFFFFF"/>
        <w:spacing w:after="0" w:line="240" w:lineRule="auto"/>
        <w:ind w:right="-58"/>
        <w:jc w:val="both"/>
        <w:rPr>
          <w:rFonts w:ascii="Arial" w:eastAsia="Times New Roman" w:hAnsi="Arial" w:cs="Arial"/>
          <w:color w:val="000000" w:themeColor="text1"/>
          <w:lang w:eastAsia="es-CO"/>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Pr>
          <w:rFonts w:ascii="Arial" w:hAnsi="Arial" w:cs="Arial"/>
          <w:i/>
          <w:iCs/>
          <w:color w:val="000000" w:themeColor="text1"/>
          <w:sz w:val="21"/>
          <w:szCs w:val="21"/>
        </w:rPr>
        <w:t>“</w:t>
      </w:r>
      <w:r w:rsidRPr="00E30FB6">
        <w:rPr>
          <w:rFonts w:ascii="Arial" w:eastAsia="Times New Roman" w:hAnsi="Arial" w:cs="Arial"/>
          <w:color w:val="000000" w:themeColor="text1"/>
          <w:sz w:val="21"/>
          <w:szCs w:val="21"/>
          <w:lang w:eastAsia="es-CO"/>
        </w:rPr>
        <w:t>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siguientes a su vinculación inicial como contratista. No obstante, de acuerdo con la sentencia C-277 de 2019, lo que dicha personería ha debido hacer era suspender ese término porque la demora no era responsabilidad del accionante. La falta de observar el precedente judicial, incidió en el hecho de que el actor por un tiempo, como él indica, no tuviera ingresos y no pudiera asumir gastos de manutención.  Por lo tanto, la Personería de Bogotá debió proceder a firmar un nuevo contrato de prestación de servicio con el señor Hernández Lasso cuando el actor le comunicó el 4 de marzo de 2021 que no tenía regularizada su situación militar por circunstancias ajenas a él.</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color w:val="000000" w:themeColor="text1"/>
          <w:sz w:val="21"/>
          <w:szCs w:val="21"/>
          <w:lang w:eastAsia="es-CO"/>
        </w:rPr>
        <w:t> </w:t>
      </w: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E30FB6">
        <w:rPr>
          <w:rFonts w:ascii="Arial" w:eastAsia="Times New Roman" w:hAnsi="Arial" w:cs="Arial"/>
          <w:color w:val="000000" w:themeColor="text1"/>
          <w:sz w:val="21"/>
          <w:szCs w:val="21"/>
          <w:lang w:eastAsia="es-CO"/>
        </w:rPr>
        <w:t>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r>
        <w:rPr>
          <w:rFonts w:ascii="Arial" w:hAnsi="Arial" w:cs="Arial"/>
          <w:color w:val="000000" w:themeColor="text1"/>
          <w:sz w:val="21"/>
          <w:szCs w:val="21"/>
        </w:rPr>
        <w:t>”</w:t>
      </w:r>
      <w:r w:rsidRPr="00E30FB6">
        <w:rPr>
          <w:rFonts w:ascii="Arial" w:hAnsi="Arial" w:cs="Arial"/>
          <w:color w:val="000000" w:themeColor="text1"/>
          <w:sz w:val="21"/>
          <w:szCs w:val="21"/>
        </w:rPr>
        <w:t>.</w:t>
      </w:r>
    </w:p>
    <w:p w:rsidR="00F3072D" w:rsidRPr="00E30FB6" w:rsidRDefault="00F3072D" w:rsidP="00F3072D">
      <w:pPr>
        <w:shd w:val="clear" w:color="auto" w:fill="FFFFFF"/>
        <w:spacing w:after="0" w:line="240" w:lineRule="auto"/>
        <w:ind w:right="-58"/>
        <w:jc w:val="both"/>
        <w:rPr>
          <w:rFonts w:ascii="Arial" w:eastAsia="Times New Roman" w:hAnsi="Arial" w:cs="Arial"/>
          <w:color w:val="000000" w:themeColor="text1"/>
          <w:lang w:eastAsia="es-CO"/>
        </w:rPr>
      </w:pPr>
    </w:p>
    <w:p w:rsidR="00F3072D" w:rsidRPr="00E30FB6" w:rsidRDefault="00F3072D" w:rsidP="00F3072D">
      <w:pPr>
        <w:shd w:val="clear" w:color="auto" w:fill="FFFFFF"/>
        <w:spacing w:after="120" w:line="276" w:lineRule="auto"/>
        <w:ind w:right="-57"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Como se puede observar en esta oportunidad, la Corte Constitucional concluyó que ante la falta de definición de la situación militar por parte de empleados o contratistas de prestación de servicios, obedezca a motivos ajenos al empleado o contratista, la entidad estatal contratante debió ampliar o suspender el plazo legal de dieciocho (18) meses para definir su situación militar, entendiendo que dicho plazo no se había agotado o estaba suspendido por situaciones ajenas al contratista o empleado, y por lo tanto, vulneró su derecho fundamental al trabajo.  </w:t>
      </w:r>
    </w:p>
    <w:p w:rsidR="00F3072D" w:rsidRPr="00E30FB6" w:rsidRDefault="00F3072D" w:rsidP="00F3072D">
      <w:pPr>
        <w:shd w:val="clear" w:color="auto" w:fill="FFFFFF"/>
        <w:spacing w:after="120" w:line="276" w:lineRule="auto"/>
        <w:ind w:right="-57"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lastRenderedPageBreak/>
        <w:t xml:space="preserve">Además, en dicha sentencia de tutela, el Juez observó que el actor intentó definir su situación militar por diferentes medios y en distintas oportunidades, pero a pesar de estos esfuerzos, el estado de la solicitud del accionante no pasó de la etapa de </w:t>
      </w:r>
      <w:r>
        <w:rPr>
          <w:rFonts w:ascii="Arial" w:eastAsia="Times New Roman" w:hAnsi="Arial" w:cs="Arial"/>
          <w:i/>
          <w:iCs/>
          <w:color w:val="000000" w:themeColor="text1"/>
          <w:lang w:eastAsia="es-CO"/>
        </w:rPr>
        <w:t>“</w:t>
      </w:r>
      <w:r w:rsidRPr="00E30FB6">
        <w:rPr>
          <w:rFonts w:ascii="Arial" w:eastAsia="Times New Roman" w:hAnsi="Arial" w:cs="Arial"/>
          <w:i/>
          <w:iCs/>
          <w:color w:val="000000" w:themeColor="text1"/>
          <w:lang w:eastAsia="es-CO"/>
        </w:rPr>
        <w:t>liquidación</w:t>
      </w:r>
      <w:r>
        <w:rPr>
          <w:rFonts w:ascii="Arial" w:eastAsia="Times New Roman" w:hAnsi="Arial" w:cs="Arial"/>
          <w:i/>
          <w:iCs/>
          <w:color w:val="000000" w:themeColor="text1"/>
          <w:lang w:eastAsia="es-CO"/>
        </w:rPr>
        <w:t>”</w:t>
      </w:r>
      <w:r w:rsidRPr="00E30FB6">
        <w:rPr>
          <w:rFonts w:ascii="Arial" w:eastAsia="Times New Roman" w:hAnsi="Arial" w:cs="Arial"/>
          <w:i/>
          <w:iCs/>
          <w:color w:val="000000" w:themeColor="text1"/>
          <w:lang w:eastAsia="es-CO"/>
        </w:rPr>
        <w:t>,</w:t>
      </w:r>
      <w:r w:rsidRPr="00E30FB6">
        <w:rPr>
          <w:rFonts w:ascii="Arial" w:eastAsia="Times New Roman" w:hAnsi="Arial" w:cs="Arial"/>
          <w:color w:val="000000" w:themeColor="text1"/>
          <w:lang w:eastAsia="es-CO"/>
        </w:rPr>
        <w:t xml:space="preserve"> lo que indicó que el Ejército Nacional no resolvió oportunamente dicha solicitud, demoras que se consideran injustificadas y constituye una violación de las garantías del debido proceso del ciudadano.   </w:t>
      </w:r>
    </w:p>
    <w:p w:rsidR="00F3072D" w:rsidRPr="00E30FB6" w:rsidRDefault="00F3072D" w:rsidP="00F3072D">
      <w:pPr>
        <w:shd w:val="clear" w:color="auto" w:fill="FFFFFF"/>
        <w:spacing w:after="120" w:line="276" w:lineRule="auto"/>
        <w:ind w:right="-57" w:firstLine="709"/>
        <w:jc w:val="both"/>
        <w:rPr>
          <w:rFonts w:ascii="Arial" w:hAnsi="Arial" w:cs="Arial"/>
          <w:color w:val="000000" w:themeColor="text1"/>
        </w:rPr>
      </w:pPr>
      <w:r w:rsidRPr="00E30FB6">
        <w:rPr>
          <w:rFonts w:ascii="Arial" w:eastAsia="Times New Roman" w:hAnsi="Arial" w:cs="Arial"/>
          <w:color w:val="000000" w:themeColor="text1"/>
          <w:lang w:eastAsia="es-CO"/>
        </w:rPr>
        <w:t xml:space="preserve">En ese orden de ideas, con observancia en estos precedentes judiciales y las normas transcritas, las entidades </w:t>
      </w:r>
      <w:r w:rsidRPr="00E30FB6">
        <w:rPr>
          <w:rFonts w:ascii="Arial" w:hAnsi="Arial" w:cs="Arial"/>
          <w:color w:val="000000" w:themeColor="text1"/>
        </w:rPr>
        <w:t xml:space="preserve">públicas o privadas no podrán exigir al ciudadano la presentación de la tarjeta militar para ingresar a un empleo o celebrar contrato prestación de servicios, y a su vez, cuando la persona sea beneficiaria automáticamente de lo contemplado en el artículo 42 de la Ley 1861 de 2017,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rsidR="00F3072D" w:rsidRPr="00E30FB6" w:rsidRDefault="00F3072D" w:rsidP="00F3072D">
      <w:pPr>
        <w:shd w:val="clear" w:color="auto" w:fill="FFFFFF"/>
        <w:spacing w:after="120" w:line="276" w:lineRule="auto"/>
        <w:ind w:right="-57" w:firstLine="709"/>
        <w:jc w:val="both"/>
        <w:rPr>
          <w:rFonts w:ascii="Arial" w:hAnsi="Arial" w:cs="Arial"/>
          <w:color w:val="000000" w:themeColor="text1"/>
        </w:rPr>
      </w:pPr>
      <w:r w:rsidRPr="00E30FB6">
        <w:rPr>
          <w:rFonts w:ascii="Arial" w:eastAsia="Times New Roman" w:hAnsi="Arial" w:cs="Arial"/>
          <w:color w:val="000000" w:themeColor="text1"/>
          <w:lang w:eastAsia="es-CO"/>
        </w:rPr>
        <w:t xml:space="preserve">Lo anterior considerando que lo establecido en el tercer inciso del artículo 42 de la Ley 1861 de 2017 y en el tercer inciso del artículo 2.3.1.4.9.3 del Decreto 1070 de 2015, </w:t>
      </w:r>
      <w:r w:rsidRPr="00E30FB6">
        <w:rPr>
          <w:rFonts w:ascii="Arial" w:hAnsi="Arial" w:cs="Arial"/>
          <w:color w:val="000000"/>
        </w:rPr>
        <w:t xml:space="preserve"> no puede ser interpretado como una </w:t>
      </w:r>
      <w:r w:rsidRPr="00E30FB6">
        <w:rPr>
          <w:rFonts w:ascii="Arial" w:hAnsi="Arial" w:cs="Arial"/>
          <w:i/>
          <w:iCs/>
          <w:color w:val="000000"/>
        </w:rPr>
        <w:t>tarifa legal</w:t>
      </w:r>
      <w:r w:rsidRPr="00E30FB6">
        <w:rPr>
          <w:rFonts w:ascii="Arial" w:hAnsi="Arial" w:cs="Arial"/>
          <w:color w:val="000000"/>
        </w:rPr>
        <w:t xml:space="preserve"> probatoria</w:t>
      </w:r>
      <w:r w:rsidRPr="00E30FB6">
        <w:rPr>
          <w:rFonts w:ascii="Arial" w:eastAsia="Times New Roman" w:hAnsi="Arial" w:cs="Arial"/>
          <w:color w:val="000000" w:themeColor="text1"/>
          <w:lang w:eastAsia="es-CO"/>
        </w:rPr>
        <w:t xml:space="preserve"> en situaciones en las que se presenten dilaciones injustificadas en el trámite de  definición de la situación militar, en la medida en que ello podría comportar una vulneración de derechos fundamentales del ciudadano como </w:t>
      </w:r>
      <w:r w:rsidRPr="00E30FB6">
        <w:rPr>
          <w:rFonts w:ascii="Arial" w:hAnsi="Arial" w:cs="Arial"/>
          <w:color w:val="000000" w:themeColor="text1"/>
        </w:rPr>
        <w:t>el trabajo, el debido proceso, la igualdad, entre otros</w:t>
      </w:r>
      <w:r w:rsidRPr="00E30FB6">
        <w:rPr>
          <w:rFonts w:ascii="Arial" w:eastAsia="Times New Roman" w:hAnsi="Arial" w:cs="Arial"/>
          <w:color w:val="000000" w:themeColor="text1"/>
          <w:lang w:eastAsia="es-CO"/>
        </w:rPr>
        <w:t xml:space="preserve">. En ese sentido, encuentra esta Agencia que, respecto a la demostración del adelantamiento de las actuaciones tendientes a la definición de la situación militar por parte de los beneficiarios de la prerrogativa establecida en el artículo 42 de la Ley 1861 de 2017, opera un régimen de libertad probatoria, de conformidad con lo establecido en lo establecido en el artículo 40 del CPACA, aplicable en las actuaciones contractuales de conformidad con el artículo 77 de la Ley 80 de 1993.  </w:t>
      </w:r>
    </w:p>
    <w:p w:rsidR="00F3072D" w:rsidRPr="00E30FB6" w:rsidRDefault="00F3072D" w:rsidP="00F3072D">
      <w:pPr>
        <w:shd w:val="clear" w:color="auto" w:fill="FFFFFF"/>
        <w:spacing w:after="0" w:line="276" w:lineRule="auto"/>
        <w:ind w:right="-57" w:firstLine="709"/>
        <w:jc w:val="both"/>
        <w:rPr>
          <w:rFonts w:ascii="Arial" w:hAnsi="Arial" w:cs="Arial"/>
          <w:color w:val="000000" w:themeColor="text1"/>
        </w:rPr>
      </w:pPr>
      <w:r w:rsidRPr="00E30FB6">
        <w:rPr>
          <w:rFonts w:ascii="Arial" w:hAnsi="Arial" w:cs="Arial"/>
          <w:color w:val="000000" w:themeColor="text1"/>
        </w:rPr>
        <w:t xml:space="preserve">En virtud de lo anterior, se advierte </w:t>
      </w:r>
      <w:proofErr w:type="gramStart"/>
      <w:r w:rsidRPr="00E30FB6">
        <w:rPr>
          <w:rFonts w:ascii="Arial" w:hAnsi="Arial" w:cs="Arial"/>
          <w:color w:val="000000" w:themeColor="text1"/>
        </w:rPr>
        <w:t>que</w:t>
      </w:r>
      <w:proofErr w:type="gramEnd"/>
      <w:r w:rsidRPr="00E30FB6">
        <w:rPr>
          <w:rFonts w:ascii="Arial" w:hAnsi="Arial" w:cs="Arial"/>
          <w:color w:val="000000" w:themeColor="text1"/>
        </w:rPr>
        <w:t xml:space="preserve"> para la acreditación de las referidas circunstancias, las Entidades Estatales podrán requerir al ciudadano que allegue todas las pruebas que resulten conducentes para acreditar su actuar diligente para definir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las actuaciones requeridas para definir su situación militar o cualquier otro medio de prueba que permita demostrar a la Entidad Estatal contratante que se han cumplido con los requisitos establecidos en la referida ley,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que materializan o concretan su derecho fundamental al trabajo.  En todo caso, será responsabilidad de la Entidad Estatal analizar los medios de pruebas aportados, y a partir de ellos </w:t>
      </w:r>
      <w:r w:rsidRPr="00E30FB6">
        <w:rPr>
          <w:rFonts w:ascii="Arial" w:hAnsi="Arial" w:cs="Arial"/>
          <w:color w:val="000000" w:themeColor="text1"/>
        </w:rPr>
        <w:lastRenderedPageBreak/>
        <w:t xml:space="preserve">determinar si en efecto el joven ha adelantado las actuaciones requeridas para acceder al beneficio establecido por el artículo 42 </w:t>
      </w:r>
      <w:r w:rsidRPr="00E30FB6">
        <w:rPr>
          <w:rFonts w:ascii="Arial" w:hAnsi="Arial" w:cs="Arial"/>
          <w:i/>
          <w:iCs/>
          <w:color w:val="000000" w:themeColor="text1"/>
        </w:rPr>
        <w:t>ibídem.</w:t>
      </w:r>
      <w:r w:rsidRPr="00E30FB6">
        <w:rPr>
          <w:rFonts w:ascii="Arial" w:hAnsi="Arial" w:cs="Arial"/>
          <w:color w:val="000000" w:themeColor="text1"/>
        </w:rPr>
        <w:t xml:space="preserve">  </w:t>
      </w:r>
    </w:p>
    <w:p w:rsidR="00F3072D" w:rsidRPr="00D03FC5" w:rsidRDefault="00F3072D" w:rsidP="00F3072D">
      <w:pPr>
        <w:shd w:val="clear" w:color="auto" w:fill="FFFFFF"/>
        <w:spacing w:after="0" w:line="276" w:lineRule="auto"/>
        <w:ind w:right="-57" w:firstLine="709"/>
        <w:jc w:val="both"/>
        <w:rPr>
          <w:rFonts w:ascii="Arial" w:hAnsi="Arial" w:cs="Arial"/>
          <w:color w:val="000000" w:themeColor="text1"/>
        </w:rPr>
      </w:pPr>
    </w:p>
    <w:p w:rsidR="00F3072D" w:rsidRPr="00D03FC5" w:rsidRDefault="00F3072D" w:rsidP="00F3072D">
      <w:pPr>
        <w:shd w:val="clear" w:color="auto" w:fill="FFFFFF"/>
        <w:spacing w:after="0" w:line="276" w:lineRule="auto"/>
        <w:jc w:val="both"/>
        <w:rPr>
          <w:rFonts w:ascii="Arial" w:hAnsi="Arial" w:cs="Arial"/>
          <w:color w:val="000000" w:themeColor="text1"/>
        </w:rPr>
      </w:pPr>
      <w:r w:rsidRPr="00D03FC5">
        <w:rPr>
          <w:rFonts w:ascii="Arial" w:hAnsi="Arial" w:cs="Arial"/>
          <w:b/>
        </w:rPr>
        <w:t xml:space="preserve">2.6. </w:t>
      </w:r>
      <w:r w:rsidRPr="00D03FC5">
        <w:rPr>
          <w:rFonts w:ascii="Arial" w:hAnsi="Arial" w:cs="Arial"/>
          <w:b/>
          <w:color w:val="000000" w:themeColor="text1"/>
        </w:rPr>
        <w:t>Exigencia de hojas de vida e inscripción en SIGEP a contratistas de prestación de servicios y deber de informar contratos suscritos con otras entidades: Directiva 001 de 2022</w:t>
      </w:r>
    </w:p>
    <w:p w:rsidR="00F3072D" w:rsidRPr="00E30FB6" w:rsidRDefault="00F3072D" w:rsidP="00F3072D">
      <w:pPr>
        <w:shd w:val="clear" w:color="auto" w:fill="FFFFFF"/>
        <w:spacing w:after="0" w:line="276" w:lineRule="auto"/>
        <w:ind w:right="-57"/>
        <w:jc w:val="both"/>
        <w:rPr>
          <w:rFonts w:ascii="Arial" w:hAnsi="Arial" w:cs="Arial"/>
          <w:color w:val="000000" w:themeColor="text1"/>
          <w:lang w:val="es-ES"/>
        </w:rPr>
      </w:pPr>
    </w:p>
    <w:p w:rsidR="00F3072D" w:rsidRDefault="00F3072D" w:rsidP="00F3072D">
      <w:pPr>
        <w:spacing w:after="0" w:line="276" w:lineRule="auto"/>
        <w:jc w:val="both"/>
        <w:rPr>
          <w:rFonts w:ascii="Arial" w:hAnsi="Arial" w:cs="Arial"/>
          <w:color w:val="000000" w:themeColor="text1"/>
          <w:lang w:val="es-ES_tradnl"/>
        </w:rPr>
      </w:pPr>
      <w:r w:rsidRPr="00E30FB6">
        <w:rPr>
          <w:rFonts w:ascii="Arial" w:hAnsi="Arial" w:cs="Arial"/>
          <w:color w:val="000000" w:themeColor="text1"/>
          <w:lang w:val="es-ES_tradnl"/>
        </w:rPr>
        <w:t>De acuerdo con los artículos 10 y 11 del Decreto 1571 de 1998, las entidades de todas las ramas del poder público, los organismos de control, la organización electoral, los entes universitarios autónomos y las corporaciones autónomas regionales y de desarrollo sostenible, en los órdenes nacional, departamental, distrital y municipal, deberán exigir la presentación del Formato Único de Hoja de Vida, a todos los servidores públicos,</w:t>
      </w:r>
      <w:r w:rsidRPr="00627EEF">
        <w:rPr>
          <w:rFonts w:ascii="Arial" w:hAnsi="Arial" w:cs="Arial"/>
          <w:color w:val="000000" w:themeColor="text1"/>
          <w:lang w:val="es-ES_tradnl"/>
        </w:rPr>
        <w:t xml:space="preserve"> </w:t>
      </w:r>
      <w:r w:rsidRPr="00914FED">
        <w:rPr>
          <w:rFonts w:ascii="Arial" w:hAnsi="Arial" w:cs="Arial"/>
          <w:color w:val="000000" w:themeColor="text1"/>
          <w:lang w:val="es-ES_tradnl"/>
        </w:rPr>
        <w:t>y a los contratistas de prestación de servicios, en el momento previo a la posesión o de la celebración del contrato</w:t>
      </w:r>
      <w:r w:rsidRPr="00627EEF">
        <w:rPr>
          <w:rFonts w:ascii="Arial" w:hAnsi="Arial" w:cs="Arial"/>
          <w:color w:val="000000" w:themeColor="text1"/>
          <w:lang w:val="es-ES_tradnl"/>
        </w:rPr>
        <w:t>,</w:t>
      </w:r>
      <w:r w:rsidRPr="00E30FB6">
        <w:rPr>
          <w:rFonts w:ascii="Arial" w:hAnsi="Arial" w:cs="Arial"/>
          <w:color w:val="000000" w:themeColor="text1"/>
          <w:lang w:val="es-ES_tradnl"/>
        </w:rPr>
        <w:t xml:space="preserve"> </w:t>
      </w:r>
      <w:r>
        <w:rPr>
          <w:rFonts w:ascii="Arial" w:hAnsi="Arial" w:cs="Arial"/>
          <w:color w:val="000000" w:themeColor="text1"/>
          <w:lang w:val="es-ES_tradnl"/>
        </w:rPr>
        <w:t xml:space="preserve">respectivamente. </w:t>
      </w:r>
      <w:r w:rsidRPr="00E30FB6">
        <w:rPr>
          <w:rFonts w:ascii="Arial" w:hAnsi="Arial" w:cs="Arial"/>
          <w:color w:val="000000" w:themeColor="text1"/>
          <w:lang w:val="es-ES_tradnl"/>
        </w:rPr>
        <w:t>A su vez el artículo 1 de la Ley 190 de 1995, señaló que:</w:t>
      </w:r>
    </w:p>
    <w:p w:rsidR="00F3072D" w:rsidRPr="00E30FB6" w:rsidRDefault="00F3072D" w:rsidP="00F3072D">
      <w:pPr>
        <w:spacing w:after="0" w:line="276" w:lineRule="auto"/>
        <w:jc w:val="both"/>
        <w:rPr>
          <w:rFonts w:ascii="Arial" w:hAnsi="Arial" w:cs="Arial"/>
          <w:color w:val="000000" w:themeColor="text1"/>
          <w:lang w:val="es-ES_tradnl"/>
        </w:rPr>
      </w:pPr>
    </w:p>
    <w:p w:rsidR="00F3072D" w:rsidRPr="00D03FC5" w:rsidRDefault="00F3072D" w:rsidP="00F3072D">
      <w:pPr>
        <w:pStyle w:val="NormalWeb"/>
        <w:shd w:val="clear" w:color="auto" w:fill="FFFFFF"/>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D03FC5">
        <w:rPr>
          <w:rFonts w:ascii="Arial" w:eastAsiaTheme="minorHAnsi" w:hAnsi="Arial" w:cs="Arial"/>
          <w:color w:val="000000" w:themeColor="text1"/>
          <w:sz w:val="21"/>
          <w:szCs w:val="21"/>
          <w:lang w:val="es-ES_tradnl" w:eastAsia="en-US"/>
        </w:rPr>
        <w:t>“Todo aspirante a ocupar un cargo o empleo público, o a celebrar un contrato de prestación de servicios con la administración deberá presentar ante la unidad de personal de la correspondiente entidad, o ante la dependencia que haga sus veces, el </w:t>
      </w:r>
      <w:hyperlink r:id="rId8" w:history="1">
        <w:r w:rsidRPr="00D03FC5">
          <w:rPr>
            <w:rFonts w:ascii="Arial" w:eastAsiaTheme="minorHAnsi" w:hAnsi="Arial" w:cs="Arial"/>
            <w:color w:val="000000" w:themeColor="text1"/>
            <w:sz w:val="21"/>
            <w:szCs w:val="21"/>
            <w:lang w:val="es-ES_tradnl" w:eastAsia="en-US"/>
          </w:rPr>
          <w:t>formato único de hojas de vida</w:t>
        </w:r>
      </w:hyperlink>
      <w:r w:rsidRPr="00D03FC5">
        <w:rPr>
          <w:rFonts w:ascii="Arial" w:eastAsiaTheme="minorHAnsi" w:hAnsi="Arial" w:cs="Arial"/>
          <w:color w:val="000000" w:themeColor="text1"/>
          <w:sz w:val="21"/>
          <w:szCs w:val="21"/>
          <w:lang w:val="es-ES_tradnl" w:eastAsia="en-US"/>
        </w:rPr>
        <w:t> debidamente diligenciado en el cual consignará la información completa que en ella se solicita:</w:t>
      </w:r>
    </w:p>
    <w:p w:rsidR="00F3072D" w:rsidRPr="00D03FC5" w:rsidRDefault="00F3072D" w:rsidP="00F3072D">
      <w:pPr>
        <w:pStyle w:val="NormalWeb"/>
        <w:shd w:val="clear" w:color="auto" w:fill="FFFFFF"/>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D03FC5">
        <w:rPr>
          <w:rFonts w:ascii="Arial" w:eastAsiaTheme="minorHAnsi" w:hAnsi="Arial" w:cs="Arial"/>
          <w:color w:val="000000" w:themeColor="text1"/>
          <w:sz w:val="21"/>
          <w:szCs w:val="21"/>
          <w:lang w:val="es-ES_tradnl" w:eastAsia="en-US"/>
        </w:rPr>
        <w:t>1. Su formación académica, indicando los años de estudio cursados en los distintos niveles de educación y los títulos y certificados obtenidos.</w:t>
      </w:r>
    </w:p>
    <w:p w:rsidR="00F3072D" w:rsidRPr="00D03FC5" w:rsidRDefault="00F3072D" w:rsidP="00F3072D">
      <w:pPr>
        <w:pStyle w:val="NormalWeb"/>
        <w:shd w:val="clear" w:color="auto" w:fill="FFFFFF"/>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D03FC5">
        <w:rPr>
          <w:rFonts w:ascii="Arial" w:eastAsiaTheme="minorHAnsi" w:hAnsi="Arial" w:cs="Arial"/>
          <w:color w:val="000000" w:themeColor="text1"/>
          <w:sz w:val="21"/>
          <w:szCs w:val="21"/>
          <w:lang w:val="es-ES_tradnl" w:eastAsia="en-US"/>
        </w:rPr>
        <w:t>2. Su experiencia laboral, relacionando todos y cada uno de los empleos o cargos desempeñados, tanto en el sector público como en el privado, así como la dirección, el número del teléfono o el apartado postal en los que sea posible verificar la información.</w:t>
      </w:r>
    </w:p>
    <w:p w:rsidR="00F3072D" w:rsidRPr="00D03FC5" w:rsidRDefault="00F3072D" w:rsidP="00F3072D">
      <w:pPr>
        <w:pStyle w:val="NormalWeb"/>
        <w:shd w:val="clear" w:color="auto" w:fill="FFFFFF"/>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D03FC5">
        <w:rPr>
          <w:rFonts w:ascii="Arial" w:eastAsiaTheme="minorHAnsi" w:hAnsi="Arial" w:cs="Arial"/>
          <w:color w:val="000000" w:themeColor="text1"/>
          <w:sz w:val="21"/>
          <w:szCs w:val="21"/>
          <w:lang w:val="es-ES_tradnl" w:eastAsia="en-US"/>
        </w:rPr>
        <w:t>3. Inexistencia de cualquier hecho o circunstancia que implique una inhabilidad o incompatibilidad del orden constitucional o legal para ocupar el empleo o cargo al que se aspira o para celebrar contrato de prestación de servicios con la administración.</w:t>
      </w:r>
    </w:p>
    <w:p w:rsidR="00F3072D" w:rsidRPr="00D03FC5" w:rsidRDefault="00F3072D" w:rsidP="00F3072D">
      <w:pPr>
        <w:pStyle w:val="NormalWeb"/>
        <w:shd w:val="clear" w:color="auto" w:fill="FFFFFF"/>
        <w:spacing w:before="0" w:beforeAutospacing="0" w:after="0" w:afterAutospacing="0"/>
        <w:ind w:left="709" w:right="709"/>
        <w:jc w:val="both"/>
        <w:rPr>
          <w:rFonts w:ascii="Arial" w:eastAsiaTheme="minorHAnsi" w:hAnsi="Arial" w:cs="Arial"/>
          <w:color w:val="000000" w:themeColor="text1"/>
          <w:sz w:val="21"/>
          <w:szCs w:val="21"/>
          <w:lang w:val="es-ES_tradnl" w:eastAsia="en-US"/>
        </w:rPr>
      </w:pPr>
      <w:r w:rsidRPr="00D03FC5">
        <w:rPr>
          <w:rFonts w:ascii="Arial" w:eastAsiaTheme="minorHAnsi" w:hAnsi="Arial" w:cs="Arial"/>
          <w:color w:val="000000" w:themeColor="text1"/>
          <w:sz w:val="21"/>
          <w:szCs w:val="21"/>
          <w:lang w:val="es-ES_tradnl" w:eastAsia="en-US"/>
        </w:rPr>
        <w:t>4. En caso de personas jurídicas, el correspondiente certificado que acredite la representación legal, (…)”</w:t>
      </w:r>
    </w:p>
    <w:p w:rsidR="00F3072D" w:rsidRPr="00E30FB6" w:rsidRDefault="00F3072D" w:rsidP="00F3072D">
      <w:pPr>
        <w:spacing w:after="120" w:line="276" w:lineRule="auto"/>
        <w:ind w:firstLine="709"/>
        <w:jc w:val="both"/>
        <w:rPr>
          <w:rFonts w:ascii="Arial" w:eastAsia="Times New Roman" w:hAnsi="Arial" w:cs="Arial"/>
          <w:color w:val="333333"/>
          <w:lang w:eastAsia="es-CO"/>
        </w:rPr>
      </w:pPr>
      <w:r w:rsidRPr="00E30FB6">
        <w:rPr>
          <w:rFonts w:ascii="Arial" w:eastAsia="Arial" w:hAnsi="Arial" w:cs="Arial"/>
        </w:rPr>
        <w:t xml:space="preserve">De igual manera, la Resolución 580 del 19 de agosto de 1999, expedida por el Departamento Administrativo de la Función Pública, actualizó el </w:t>
      </w:r>
      <w:r w:rsidRPr="00E30FB6">
        <w:rPr>
          <w:rFonts w:ascii="Arial" w:eastAsia="Times New Roman" w:hAnsi="Arial" w:cs="Arial"/>
          <w:color w:val="333333"/>
          <w:lang w:eastAsia="es-CO"/>
        </w:rPr>
        <w:t>Formato Único de Hoja de Vida para persona jurídica contenido en el artículo 4o. de la Resolución 009 de 1996, también expedida por la misma entidad, indicando que el</w:t>
      </w:r>
      <w:r w:rsidRPr="00E30FB6">
        <w:rPr>
          <w:rFonts w:ascii="Arial" w:eastAsia="Times New Roman" w:hAnsi="Arial" w:cs="Arial"/>
          <w:i/>
          <w:iCs/>
          <w:color w:val="333333"/>
          <w:lang w:eastAsia="es-CO"/>
        </w:rPr>
        <w:t xml:space="preserve"> </w:t>
      </w:r>
      <w:r>
        <w:rPr>
          <w:rFonts w:ascii="Arial" w:eastAsia="Times New Roman" w:hAnsi="Arial" w:cs="Arial"/>
          <w:i/>
          <w:iCs/>
          <w:color w:val="333333"/>
          <w:lang w:eastAsia="es-CO"/>
        </w:rPr>
        <w:t>“</w:t>
      </w:r>
      <w:r w:rsidRPr="00E30FB6">
        <w:rPr>
          <w:rFonts w:ascii="Arial" w:eastAsia="Times New Roman" w:hAnsi="Arial" w:cs="Arial"/>
          <w:i/>
          <w:iCs/>
          <w:color w:val="333333"/>
          <w:lang w:eastAsia="es-CO"/>
        </w:rPr>
        <w:t xml:space="preserve">formato deberá ser diligenciado por toda persona jurídica </w:t>
      </w:r>
      <w:r w:rsidRPr="00E30FB6">
        <w:rPr>
          <w:rFonts w:ascii="Arial" w:eastAsia="Times New Roman" w:hAnsi="Arial" w:cs="Arial"/>
          <w:b/>
          <w:bCs/>
          <w:i/>
          <w:iCs/>
          <w:color w:val="333333"/>
          <w:u w:val="single"/>
          <w:lang w:eastAsia="es-CO"/>
        </w:rPr>
        <w:t>en el momento de celebrar un contrato de prestación de servicios con la administración</w:t>
      </w:r>
      <w:r w:rsidRPr="00E30FB6">
        <w:rPr>
          <w:rFonts w:ascii="Arial" w:eastAsia="Times New Roman" w:hAnsi="Arial" w:cs="Arial"/>
          <w:i/>
          <w:iCs/>
          <w:color w:val="333333"/>
          <w:lang w:eastAsia="es-CO"/>
        </w:rPr>
        <w:t>, independiente de su término de duración</w:t>
      </w:r>
      <w:r>
        <w:rPr>
          <w:rFonts w:ascii="Arial" w:eastAsia="Times New Roman" w:hAnsi="Arial" w:cs="Arial"/>
          <w:i/>
          <w:iCs/>
          <w:color w:val="333333"/>
          <w:lang w:eastAsia="es-CO"/>
        </w:rPr>
        <w:t>”</w:t>
      </w:r>
      <w:r w:rsidRPr="00E30FB6">
        <w:rPr>
          <w:rFonts w:ascii="Arial" w:eastAsia="Times New Roman" w:hAnsi="Arial" w:cs="Arial"/>
          <w:i/>
          <w:iCs/>
          <w:color w:val="333333"/>
          <w:lang w:eastAsia="es-CO"/>
        </w:rPr>
        <w:t>.(</w:t>
      </w:r>
      <w:r w:rsidRPr="00E30FB6">
        <w:rPr>
          <w:rFonts w:ascii="Arial" w:eastAsia="Times New Roman" w:hAnsi="Arial" w:cs="Arial"/>
          <w:color w:val="333333"/>
          <w:lang w:eastAsia="es-CO"/>
        </w:rPr>
        <w:t>negrilla y subrayado fuera de texto)</w:t>
      </w:r>
    </w:p>
    <w:p w:rsidR="00F3072D" w:rsidRPr="00E30FB6" w:rsidRDefault="00F3072D" w:rsidP="00F3072D">
      <w:pPr>
        <w:spacing w:after="120" w:line="276" w:lineRule="auto"/>
        <w:ind w:firstLine="709"/>
        <w:jc w:val="both"/>
        <w:rPr>
          <w:rFonts w:ascii="Arial" w:eastAsia="Arial" w:hAnsi="Arial" w:cs="Arial"/>
          <w:i/>
          <w:iCs/>
        </w:rPr>
      </w:pPr>
      <w:r w:rsidRPr="00E30FB6">
        <w:rPr>
          <w:rFonts w:ascii="Arial" w:eastAsia="Times New Roman" w:hAnsi="Arial" w:cs="Arial"/>
          <w:color w:val="333333"/>
          <w:lang w:eastAsia="es-CO"/>
        </w:rPr>
        <w:t>Respecto a la utilización del Formato Único de Hoja de Vida, la Corte Constitucional en sentencia C-326 de 1997</w:t>
      </w:r>
      <w:r w:rsidRPr="00E30FB6">
        <w:rPr>
          <w:rStyle w:val="Refdenotaalpie"/>
          <w:rFonts w:ascii="Arial" w:eastAsia="Times New Roman" w:hAnsi="Arial" w:cs="Arial"/>
          <w:color w:val="333333"/>
          <w:lang w:eastAsia="es-CO"/>
        </w:rPr>
        <w:footnoteReference w:id="16"/>
      </w:r>
      <w:r w:rsidRPr="00E30FB6">
        <w:rPr>
          <w:rFonts w:ascii="Arial" w:eastAsia="Times New Roman" w:hAnsi="Arial" w:cs="Arial"/>
          <w:color w:val="333333"/>
          <w:lang w:eastAsia="es-CO"/>
        </w:rPr>
        <w:t xml:space="preserve"> señaló que constituye un instrumento técnico tendiente a verificar las condiciones </w:t>
      </w:r>
      <w:r w:rsidRPr="00E30FB6">
        <w:rPr>
          <w:rFonts w:ascii="Arial" w:eastAsia="Arial" w:hAnsi="Arial" w:cs="Arial"/>
        </w:rPr>
        <w:t xml:space="preserve">profesionales, éticas y morales de los contratistas de prestación de servicios del </w:t>
      </w:r>
      <w:r w:rsidRPr="00E30FB6">
        <w:rPr>
          <w:rFonts w:ascii="Arial" w:eastAsia="Arial" w:hAnsi="Arial" w:cs="Arial"/>
        </w:rPr>
        <w:lastRenderedPageBreak/>
        <w:t xml:space="preserve">estado y de los servidores públicos, </w:t>
      </w:r>
      <w:r>
        <w:rPr>
          <w:rFonts w:ascii="Arial" w:eastAsia="Arial" w:hAnsi="Arial" w:cs="Arial"/>
          <w:i/>
          <w:iCs/>
        </w:rPr>
        <w:t>“</w:t>
      </w:r>
      <w:r w:rsidRPr="00E30FB6">
        <w:rPr>
          <w:rFonts w:ascii="Arial" w:eastAsia="Arial" w:hAnsi="Arial" w:cs="Arial"/>
          <w:i/>
          <w:iCs/>
        </w:rPr>
        <w:t>sin que ello implique que los primeros se confundan o asimilen con los segundos, o que las consecuencias jurídicas que se derivan de la vinculación como servidores públicos se extiendan a los contratistas.</w:t>
      </w:r>
      <w:r>
        <w:rPr>
          <w:rFonts w:ascii="Arial" w:eastAsia="Arial" w:hAnsi="Arial" w:cs="Arial"/>
          <w:i/>
          <w:iCs/>
        </w:rPr>
        <w:t>”</w:t>
      </w:r>
    </w:p>
    <w:p w:rsidR="00F3072D" w:rsidRDefault="00F3072D" w:rsidP="00F3072D">
      <w:pPr>
        <w:pStyle w:val="Prrafodelista"/>
        <w:numPr>
          <w:ilvl w:val="1"/>
          <w:numId w:val="3"/>
        </w:numPr>
        <w:spacing w:after="0"/>
        <w:ind w:left="0" w:firstLine="0"/>
        <w:jc w:val="both"/>
        <w:rPr>
          <w:rFonts w:ascii="Arial" w:hAnsi="Arial" w:cs="Arial"/>
          <w:b/>
          <w:bCs/>
        </w:rPr>
      </w:pPr>
      <w:r w:rsidRPr="00914FED">
        <w:rPr>
          <w:rFonts w:ascii="Arial" w:hAnsi="Arial" w:cs="Arial"/>
          <w:b/>
          <w:bCs/>
        </w:rPr>
        <w:t>Acreditación de la Seguridad Social Integral en las diferentes etapas de los procesos de contratación pública</w:t>
      </w:r>
    </w:p>
    <w:p w:rsidR="00F3072D" w:rsidRPr="00914FED" w:rsidRDefault="00F3072D" w:rsidP="00F3072D">
      <w:pPr>
        <w:pStyle w:val="Prrafodelista"/>
        <w:jc w:val="both"/>
        <w:rPr>
          <w:rFonts w:ascii="Arial" w:hAnsi="Arial" w:cs="Arial"/>
          <w:b/>
          <w:bCs/>
        </w:rPr>
      </w:pPr>
    </w:p>
    <w:p w:rsidR="00F3072D" w:rsidRPr="00E30FB6" w:rsidRDefault="00F3072D" w:rsidP="00F3072D">
      <w:pPr>
        <w:widowControl w:val="0"/>
        <w:autoSpaceDE w:val="0"/>
        <w:autoSpaceDN w:val="0"/>
        <w:spacing w:line="276" w:lineRule="auto"/>
        <w:jc w:val="both"/>
        <w:rPr>
          <w:rFonts w:ascii="Arial" w:eastAsia="Arial" w:hAnsi="Arial" w:cs="Arial"/>
          <w:lang w:val="es-ES"/>
        </w:rPr>
      </w:pPr>
      <w:r w:rsidRPr="00E30FB6">
        <w:rPr>
          <w:rFonts w:ascii="Arial" w:eastAsia="Arial" w:hAnsi="Arial" w:cs="Arial"/>
          <w:lang w:val="es-E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E30FB6">
        <w:rPr>
          <w:rFonts w:ascii="Arial" w:eastAsia="Arial" w:hAnsi="Arial" w:cs="Arial"/>
          <w:spacing w:val="-6"/>
          <w:lang w:val="es-ES"/>
        </w:rPr>
        <w:t xml:space="preserve"> </w:t>
      </w:r>
      <w:r w:rsidRPr="00E30FB6">
        <w:rPr>
          <w:rFonts w:ascii="Arial" w:eastAsia="Arial" w:hAnsi="Arial" w:cs="Arial"/>
          <w:lang w:val="es-ES"/>
        </w:rPr>
        <w:t>la</w:t>
      </w:r>
      <w:r w:rsidRPr="00E30FB6">
        <w:rPr>
          <w:rFonts w:ascii="Arial" w:eastAsia="Arial" w:hAnsi="Arial" w:cs="Arial"/>
          <w:spacing w:val="-5"/>
          <w:lang w:val="es-ES"/>
        </w:rPr>
        <w:t xml:space="preserve"> </w:t>
      </w:r>
      <w:r w:rsidRPr="00E30FB6">
        <w:rPr>
          <w:rFonts w:ascii="Arial" w:eastAsia="Arial" w:hAnsi="Arial" w:cs="Arial"/>
          <w:lang w:val="es-ES"/>
        </w:rPr>
        <w:t>reducción</w:t>
      </w:r>
      <w:r w:rsidRPr="00E30FB6">
        <w:rPr>
          <w:rFonts w:ascii="Arial" w:eastAsia="Arial" w:hAnsi="Arial" w:cs="Arial"/>
          <w:spacing w:val="-6"/>
          <w:lang w:val="es-ES"/>
        </w:rPr>
        <w:t xml:space="preserve"> </w:t>
      </w:r>
      <w:r w:rsidRPr="00E30FB6">
        <w:rPr>
          <w:rFonts w:ascii="Arial" w:eastAsia="Arial" w:hAnsi="Arial" w:cs="Arial"/>
          <w:lang w:val="es-ES"/>
        </w:rPr>
        <w:t>o</w:t>
      </w:r>
      <w:r w:rsidRPr="00E30FB6">
        <w:rPr>
          <w:rFonts w:ascii="Arial" w:eastAsia="Arial" w:hAnsi="Arial" w:cs="Arial"/>
          <w:spacing w:val="-5"/>
          <w:lang w:val="es-ES"/>
        </w:rPr>
        <w:t xml:space="preserve"> </w:t>
      </w:r>
      <w:r w:rsidRPr="00E30FB6">
        <w:rPr>
          <w:rFonts w:ascii="Arial" w:eastAsia="Arial" w:hAnsi="Arial" w:cs="Arial"/>
          <w:lang w:val="es-ES"/>
        </w:rPr>
        <w:t>la</w:t>
      </w:r>
      <w:r w:rsidRPr="00E30FB6">
        <w:rPr>
          <w:rFonts w:ascii="Arial" w:eastAsia="Arial" w:hAnsi="Arial" w:cs="Arial"/>
          <w:spacing w:val="-6"/>
          <w:lang w:val="es-ES"/>
        </w:rPr>
        <w:t xml:space="preserve"> </w:t>
      </w:r>
      <w:r w:rsidRPr="00E30FB6">
        <w:rPr>
          <w:rFonts w:ascii="Arial" w:eastAsia="Arial" w:hAnsi="Arial" w:cs="Arial"/>
          <w:lang w:val="es-ES"/>
        </w:rPr>
        <w:t>pérdida</w:t>
      </w:r>
      <w:r w:rsidRPr="00E30FB6">
        <w:rPr>
          <w:rFonts w:ascii="Arial" w:eastAsia="Arial" w:hAnsi="Arial" w:cs="Arial"/>
          <w:spacing w:val="-4"/>
          <w:lang w:val="es-ES"/>
        </w:rPr>
        <w:t xml:space="preserve"> </w:t>
      </w:r>
      <w:r w:rsidRPr="00E30FB6">
        <w:rPr>
          <w:rFonts w:ascii="Arial" w:eastAsia="Arial" w:hAnsi="Arial" w:cs="Arial"/>
          <w:lang w:val="es-ES"/>
        </w:rPr>
        <w:t>de</w:t>
      </w:r>
      <w:r w:rsidRPr="00E30FB6">
        <w:rPr>
          <w:rFonts w:ascii="Arial" w:eastAsia="Arial" w:hAnsi="Arial" w:cs="Arial"/>
          <w:spacing w:val="-6"/>
          <w:lang w:val="es-ES"/>
        </w:rPr>
        <w:t xml:space="preserve"> </w:t>
      </w:r>
      <w:r w:rsidRPr="00E30FB6">
        <w:rPr>
          <w:rFonts w:ascii="Arial" w:eastAsia="Arial" w:hAnsi="Arial" w:cs="Arial"/>
          <w:lang w:val="es-ES"/>
        </w:rPr>
        <w:t>los</w:t>
      </w:r>
      <w:r w:rsidRPr="00E30FB6">
        <w:rPr>
          <w:rFonts w:ascii="Arial" w:eastAsia="Arial" w:hAnsi="Arial" w:cs="Arial"/>
          <w:spacing w:val="-5"/>
          <w:lang w:val="es-ES"/>
        </w:rPr>
        <w:t xml:space="preserve"> </w:t>
      </w:r>
      <w:r w:rsidRPr="00E30FB6">
        <w:rPr>
          <w:rFonts w:ascii="Arial" w:eastAsia="Arial" w:hAnsi="Arial" w:cs="Arial"/>
          <w:lang w:val="es-ES"/>
        </w:rPr>
        <w:t>ingresos</w:t>
      </w:r>
      <w:r w:rsidRPr="00E30FB6">
        <w:rPr>
          <w:rFonts w:ascii="Arial" w:eastAsia="Arial" w:hAnsi="Arial" w:cs="Arial"/>
          <w:spacing w:val="-4"/>
          <w:lang w:val="es-ES"/>
        </w:rPr>
        <w:t xml:space="preserve"> </w:t>
      </w:r>
      <w:r w:rsidRPr="00E30FB6">
        <w:rPr>
          <w:rFonts w:ascii="Arial" w:eastAsia="Arial" w:hAnsi="Arial" w:cs="Arial"/>
          <w:lang w:val="es-ES"/>
        </w:rPr>
        <w:t>por</w:t>
      </w:r>
      <w:r w:rsidRPr="00E30FB6">
        <w:rPr>
          <w:rFonts w:ascii="Arial" w:eastAsia="Arial" w:hAnsi="Arial" w:cs="Arial"/>
          <w:spacing w:val="-6"/>
          <w:lang w:val="es-ES"/>
        </w:rPr>
        <w:t xml:space="preserve"> </w:t>
      </w:r>
      <w:r w:rsidRPr="00E30FB6">
        <w:rPr>
          <w:rFonts w:ascii="Arial" w:eastAsia="Arial" w:hAnsi="Arial" w:cs="Arial"/>
          <w:lang w:val="es-ES"/>
        </w:rPr>
        <w:t>causa</w:t>
      </w:r>
      <w:r w:rsidRPr="00E30FB6">
        <w:rPr>
          <w:rFonts w:ascii="Arial" w:eastAsia="Arial" w:hAnsi="Arial" w:cs="Arial"/>
          <w:spacing w:val="-5"/>
          <w:lang w:val="es-ES"/>
        </w:rPr>
        <w:t xml:space="preserve"> </w:t>
      </w:r>
      <w:r w:rsidRPr="00E30FB6">
        <w:rPr>
          <w:rFonts w:ascii="Arial" w:eastAsia="Arial" w:hAnsi="Arial" w:cs="Arial"/>
          <w:lang w:val="es-ES"/>
        </w:rPr>
        <w:t>de</w:t>
      </w:r>
      <w:r w:rsidRPr="00E30FB6">
        <w:rPr>
          <w:rFonts w:ascii="Arial" w:eastAsia="Arial" w:hAnsi="Arial" w:cs="Arial"/>
          <w:spacing w:val="-6"/>
          <w:lang w:val="es-ES"/>
        </w:rPr>
        <w:t xml:space="preserve"> </w:t>
      </w:r>
      <w:r w:rsidRPr="00E30FB6">
        <w:rPr>
          <w:rFonts w:ascii="Arial" w:eastAsia="Arial" w:hAnsi="Arial" w:cs="Arial"/>
          <w:lang w:val="es-ES"/>
        </w:rPr>
        <w:t>contingencias</w:t>
      </w:r>
      <w:r w:rsidRPr="00E30FB6">
        <w:rPr>
          <w:rFonts w:ascii="Arial" w:eastAsia="Arial" w:hAnsi="Arial" w:cs="Arial"/>
          <w:spacing w:val="-5"/>
          <w:lang w:val="es-ES"/>
        </w:rPr>
        <w:t xml:space="preserve"> </w:t>
      </w:r>
      <w:r w:rsidRPr="00E30FB6">
        <w:rPr>
          <w:rFonts w:ascii="Arial" w:eastAsia="Arial" w:hAnsi="Arial" w:cs="Arial"/>
          <w:lang w:val="es-ES"/>
        </w:rPr>
        <w:t>como</w:t>
      </w:r>
      <w:r w:rsidRPr="00E30FB6">
        <w:rPr>
          <w:rFonts w:ascii="Arial" w:eastAsia="Arial" w:hAnsi="Arial" w:cs="Arial"/>
          <w:spacing w:val="-6"/>
          <w:lang w:val="es-ES"/>
        </w:rPr>
        <w:t xml:space="preserve"> </w:t>
      </w:r>
      <w:r w:rsidRPr="00E30FB6">
        <w:rPr>
          <w:rFonts w:ascii="Arial" w:eastAsia="Arial" w:hAnsi="Arial" w:cs="Arial"/>
          <w:lang w:val="es-ES"/>
        </w:rPr>
        <w:t>la enfermedad,</w:t>
      </w:r>
      <w:r w:rsidRPr="00E30FB6">
        <w:rPr>
          <w:rFonts w:ascii="Arial" w:eastAsia="Arial" w:hAnsi="Arial" w:cs="Arial"/>
          <w:spacing w:val="-8"/>
          <w:lang w:val="es-ES"/>
        </w:rPr>
        <w:t xml:space="preserve"> </w:t>
      </w:r>
      <w:r w:rsidRPr="00E30FB6">
        <w:rPr>
          <w:rFonts w:ascii="Arial" w:eastAsia="Arial" w:hAnsi="Arial" w:cs="Arial"/>
          <w:lang w:val="es-ES"/>
        </w:rPr>
        <w:t>los</w:t>
      </w:r>
      <w:r w:rsidRPr="00E30FB6">
        <w:rPr>
          <w:rFonts w:ascii="Arial" w:eastAsia="Arial" w:hAnsi="Arial" w:cs="Arial"/>
          <w:spacing w:val="-8"/>
          <w:lang w:val="es-ES"/>
        </w:rPr>
        <w:t xml:space="preserve"> </w:t>
      </w:r>
      <w:r w:rsidRPr="00E30FB6">
        <w:rPr>
          <w:rFonts w:ascii="Arial" w:eastAsia="Arial" w:hAnsi="Arial" w:cs="Arial"/>
          <w:lang w:val="es-ES"/>
        </w:rPr>
        <w:t>accidentes,</w:t>
      </w:r>
      <w:r w:rsidRPr="00E30FB6">
        <w:rPr>
          <w:rFonts w:ascii="Arial" w:eastAsia="Arial" w:hAnsi="Arial" w:cs="Arial"/>
          <w:spacing w:val="-8"/>
          <w:lang w:val="es-ES"/>
        </w:rPr>
        <w:t xml:space="preserve"> </w:t>
      </w:r>
      <w:r w:rsidRPr="00E30FB6">
        <w:rPr>
          <w:rFonts w:ascii="Arial" w:eastAsia="Arial" w:hAnsi="Arial" w:cs="Arial"/>
          <w:lang w:val="es-ES"/>
        </w:rPr>
        <w:t>la</w:t>
      </w:r>
      <w:r w:rsidRPr="00E30FB6">
        <w:rPr>
          <w:rFonts w:ascii="Arial" w:eastAsia="Arial" w:hAnsi="Arial" w:cs="Arial"/>
          <w:spacing w:val="-8"/>
          <w:lang w:val="es-ES"/>
        </w:rPr>
        <w:t xml:space="preserve"> </w:t>
      </w:r>
      <w:r w:rsidRPr="00E30FB6">
        <w:rPr>
          <w:rFonts w:ascii="Arial" w:eastAsia="Arial" w:hAnsi="Arial" w:cs="Arial"/>
          <w:lang w:val="es-ES"/>
        </w:rPr>
        <w:t>maternidad</w:t>
      </w:r>
      <w:r w:rsidRPr="00E30FB6">
        <w:rPr>
          <w:rFonts w:ascii="Arial" w:eastAsia="Arial" w:hAnsi="Arial" w:cs="Arial"/>
          <w:spacing w:val="-7"/>
          <w:lang w:val="es-ES"/>
        </w:rPr>
        <w:t xml:space="preserve"> </w:t>
      </w:r>
      <w:r w:rsidRPr="00E30FB6">
        <w:rPr>
          <w:rFonts w:ascii="Arial" w:eastAsia="Arial" w:hAnsi="Arial" w:cs="Arial"/>
          <w:lang w:val="es-ES"/>
        </w:rPr>
        <w:t>o</w:t>
      </w:r>
      <w:r w:rsidRPr="00E30FB6">
        <w:rPr>
          <w:rFonts w:ascii="Arial" w:eastAsia="Arial" w:hAnsi="Arial" w:cs="Arial"/>
          <w:spacing w:val="-8"/>
          <w:lang w:val="es-ES"/>
        </w:rPr>
        <w:t xml:space="preserve"> </w:t>
      </w:r>
      <w:r w:rsidRPr="00E30FB6">
        <w:rPr>
          <w:rFonts w:ascii="Arial" w:eastAsia="Arial" w:hAnsi="Arial" w:cs="Arial"/>
          <w:lang w:val="es-ES"/>
        </w:rPr>
        <w:t>el</w:t>
      </w:r>
      <w:r w:rsidRPr="00E30FB6">
        <w:rPr>
          <w:rFonts w:ascii="Arial" w:eastAsia="Arial" w:hAnsi="Arial" w:cs="Arial"/>
          <w:spacing w:val="-8"/>
          <w:lang w:val="es-ES"/>
        </w:rPr>
        <w:t xml:space="preserve"> </w:t>
      </w:r>
      <w:r w:rsidRPr="00E30FB6">
        <w:rPr>
          <w:rFonts w:ascii="Arial" w:eastAsia="Arial" w:hAnsi="Arial" w:cs="Arial"/>
          <w:lang w:val="es-ES"/>
        </w:rPr>
        <w:t>desempleo,</w:t>
      </w:r>
      <w:r w:rsidRPr="00E30FB6">
        <w:rPr>
          <w:rFonts w:ascii="Arial" w:eastAsia="Arial" w:hAnsi="Arial" w:cs="Arial"/>
          <w:spacing w:val="-8"/>
          <w:lang w:val="es-ES"/>
        </w:rPr>
        <w:t xml:space="preserve"> </w:t>
      </w:r>
      <w:r w:rsidRPr="00E30FB6">
        <w:rPr>
          <w:rFonts w:ascii="Arial" w:eastAsia="Arial" w:hAnsi="Arial" w:cs="Arial"/>
          <w:lang w:val="es-ES"/>
        </w:rPr>
        <w:t>entre</w:t>
      </w:r>
      <w:r w:rsidRPr="00E30FB6">
        <w:rPr>
          <w:rFonts w:ascii="Arial" w:eastAsia="Arial" w:hAnsi="Arial" w:cs="Arial"/>
          <w:spacing w:val="-8"/>
          <w:lang w:val="es-ES"/>
        </w:rPr>
        <w:t xml:space="preserve"> </w:t>
      </w:r>
      <w:r w:rsidRPr="00E30FB6">
        <w:rPr>
          <w:rFonts w:ascii="Arial" w:eastAsia="Arial" w:hAnsi="Arial" w:cs="Arial"/>
          <w:lang w:val="es-ES"/>
        </w:rPr>
        <w:t>otras.</w:t>
      </w:r>
      <w:r w:rsidRPr="00E30FB6">
        <w:rPr>
          <w:rFonts w:ascii="Arial" w:eastAsia="Arial" w:hAnsi="Arial" w:cs="Arial"/>
          <w:spacing w:val="-7"/>
          <w:lang w:val="es-ES"/>
        </w:rPr>
        <w:t xml:space="preserve"> </w:t>
      </w:r>
      <w:r w:rsidRPr="00E30FB6">
        <w:rPr>
          <w:rFonts w:ascii="Arial" w:eastAsia="Arial" w:hAnsi="Arial" w:cs="Arial"/>
          <w:lang w:val="es-ES"/>
        </w:rPr>
        <w:t>De</w:t>
      </w:r>
      <w:r w:rsidRPr="00E30FB6">
        <w:rPr>
          <w:rFonts w:ascii="Arial" w:eastAsia="Arial" w:hAnsi="Arial" w:cs="Arial"/>
          <w:spacing w:val="-8"/>
          <w:lang w:val="es-ES"/>
        </w:rPr>
        <w:t xml:space="preserve"> </w:t>
      </w:r>
      <w:r w:rsidRPr="00E30FB6">
        <w:rPr>
          <w:rFonts w:ascii="Arial" w:eastAsia="Arial" w:hAnsi="Arial" w:cs="Arial"/>
          <w:lang w:val="es-ES"/>
        </w:rPr>
        <w:t>acuerdo</w:t>
      </w:r>
      <w:r w:rsidRPr="00E30FB6">
        <w:rPr>
          <w:rFonts w:ascii="Arial" w:eastAsia="Arial" w:hAnsi="Arial" w:cs="Arial"/>
          <w:spacing w:val="-8"/>
          <w:lang w:val="es-ES"/>
        </w:rPr>
        <w:t xml:space="preserve"> </w:t>
      </w:r>
      <w:r w:rsidRPr="00E30FB6">
        <w:rPr>
          <w:rFonts w:ascii="Arial" w:eastAsia="Arial" w:hAnsi="Arial" w:cs="Arial"/>
          <w:lang w:val="es-ES"/>
        </w:rPr>
        <w:t>con la Ley 100 de 1993, el Sistema de Seguridad Social Integral en Colombia se</w:t>
      </w:r>
      <w:r w:rsidRPr="00E30FB6">
        <w:rPr>
          <w:rFonts w:ascii="Arial" w:eastAsia="Arial" w:hAnsi="Arial" w:cs="Arial"/>
          <w:spacing w:val="59"/>
          <w:lang w:val="es-ES"/>
        </w:rPr>
        <w:t xml:space="preserve"> </w:t>
      </w:r>
      <w:r w:rsidRPr="00E30FB6">
        <w:rPr>
          <w:rFonts w:ascii="Arial" w:eastAsia="Arial" w:hAnsi="Arial" w:cs="Arial"/>
          <w:lang w:val="es-ES"/>
        </w:rPr>
        <w:t>compone de</w:t>
      </w:r>
      <w:r w:rsidRPr="00E30FB6">
        <w:rPr>
          <w:rFonts w:ascii="Arial" w:eastAsia="Arial" w:hAnsi="Arial" w:cs="Arial"/>
          <w:spacing w:val="-11"/>
          <w:lang w:val="es-ES"/>
        </w:rPr>
        <w:t xml:space="preserve"> </w:t>
      </w:r>
      <w:r w:rsidRPr="00E30FB6">
        <w:rPr>
          <w:rFonts w:ascii="Arial" w:eastAsia="Arial" w:hAnsi="Arial" w:cs="Arial"/>
          <w:lang w:val="es-ES"/>
        </w:rPr>
        <w:t>los</w:t>
      </w:r>
      <w:r w:rsidRPr="00E30FB6">
        <w:rPr>
          <w:rFonts w:ascii="Arial" w:eastAsia="Arial" w:hAnsi="Arial" w:cs="Arial"/>
          <w:spacing w:val="-11"/>
          <w:lang w:val="es-ES"/>
        </w:rPr>
        <w:t xml:space="preserve"> </w:t>
      </w:r>
      <w:r w:rsidRPr="00E30FB6">
        <w:rPr>
          <w:rFonts w:ascii="Arial" w:eastAsia="Arial" w:hAnsi="Arial" w:cs="Arial"/>
          <w:lang w:val="es-ES"/>
        </w:rPr>
        <w:t>sistemas</w:t>
      </w:r>
      <w:r w:rsidRPr="00E30FB6">
        <w:rPr>
          <w:rFonts w:ascii="Arial" w:eastAsia="Arial" w:hAnsi="Arial" w:cs="Arial"/>
          <w:spacing w:val="-10"/>
          <w:lang w:val="es-ES"/>
        </w:rPr>
        <w:t xml:space="preserve"> </w:t>
      </w:r>
      <w:r w:rsidRPr="00E30FB6">
        <w:rPr>
          <w:rFonts w:ascii="Arial" w:eastAsia="Arial" w:hAnsi="Arial" w:cs="Arial"/>
          <w:lang w:val="es-ES"/>
        </w:rPr>
        <w:t>de</w:t>
      </w:r>
      <w:r w:rsidRPr="00E30FB6">
        <w:rPr>
          <w:rFonts w:ascii="Arial" w:eastAsia="Arial" w:hAnsi="Arial" w:cs="Arial"/>
          <w:spacing w:val="-11"/>
          <w:lang w:val="es-ES"/>
        </w:rPr>
        <w:t xml:space="preserve"> </w:t>
      </w:r>
      <w:r w:rsidRPr="00E30FB6">
        <w:rPr>
          <w:rFonts w:ascii="Arial" w:eastAsia="Arial" w:hAnsi="Arial" w:cs="Arial"/>
          <w:lang w:val="es-ES"/>
        </w:rPr>
        <w:t>pensiones,</w:t>
      </w:r>
      <w:r w:rsidRPr="00E30FB6">
        <w:rPr>
          <w:rFonts w:ascii="Arial" w:eastAsia="Arial" w:hAnsi="Arial" w:cs="Arial"/>
          <w:spacing w:val="-11"/>
          <w:lang w:val="es-ES"/>
        </w:rPr>
        <w:t xml:space="preserve"> </w:t>
      </w:r>
      <w:r w:rsidRPr="00E30FB6">
        <w:rPr>
          <w:rFonts w:ascii="Arial" w:eastAsia="Arial" w:hAnsi="Arial" w:cs="Arial"/>
          <w:lang w:val="es-ES"/>
        </w:rPr>
        <w:t>de</w:t>
      </w:r>
      <w:r w:rsidRPr="00E30FB6">
        <w:rPr>
          <w:rFonts w:ascii="Arial" w:eastAsia="Arial" w:hAnsi="Arial" w:cs="Arial"/>
          <w:spacing w:val="-10"/>
          <w:lang w:val="es-ES"/>
        </w:rPr>
        <w:t xml:space="preserve"> </w:t>
      </w:r>
      <w:r w:rsidRPr="00E30FB6">
        <w:rPr>
          <w:rFonts w:ascii="Arial" w:eastAsia="Arial" w:hAnsi="Arial" w:cs="Arial"/>
          <w:lang w:val="es-ES"/>
        </w:rPr>
        <w:t>salud</w:t>
      </w:r>
      <w:r w:rsidRPr="00E30FB6">
        <w:rPr>
          <w:rFonts w:ascii="Arial" w:eastAsia="Arial" w:hAnsi="Arial" w:cs="Arial"/>
          <w:spacing w:val="-11"/>
          <w:lang w:val="es-ES"/>
        </w:rPr>
        <w:t xml:space="preserve"> </w:t>
      </w:r>
      <w:r w:rsidRPr="00E30FB6">
        <w:rPr>
          <w:rFonts w:ascii="Arial" w:eastAsia="Arial" w:hAnsi="Arial" w:cs="Arial"/>
          <w:lang w:val="es-ES"/>
        </w:rPr>
        <w:t>y</w:t>
      </w:r>
      <w:r w:rsidRPr="00E30FB6">
        <w:rPr>
          <w:rFonts w:ascii="Arial" w:eastAsia="Arial" w:hAnsi="Arial" w:cs="Arial"/>
          <w:spacing w:val="-11"/>
          <w:lang w:val="es-ES"/>
        </w:rPr>
        <w:t xml:space="preserve"> </w:t>
      </w:r>
      <w:r w:rsidRPr="00E30FB6">
        <w:rPr>
          <w:rFonts w:ascii="Arial" w:eastAsia="Arial" w:hAnsi="Arial" w:cs="Arial"/>
          <w:lang w:val="es-ES"/>
        </w:rPr>
        <w:t>de</w:t>
      </w:r>
      <w:r w:rsidRPr="00E30FB6">
        <w:rPr>
          <w:rFonts w:ascii="Arial" w:eastAsia="Arial" w:hAnsi="Arial" w:cs="Arial"/>
          <w:spacing w:val="-10"/>
          <w:lang w:val="es-ES"/>
        </w:rPr>
        <w:t xml:space="preserve"> </w:t>
      </w:r>
      <w:r w:rsidRPr="00E30FB6">
        <w:rPr>
          <w:rFonts w:ascii="Arial" w:eastAsia="Arial" w:hAnsi="Arial" w:cs="Arial"/>
          <w:lang w:val="es-ES"/>
        </w:rPr>
        <w:t>riesgos</w:t>
      </w:r>
      <w:r w:rsidRPr="00E30FB6">
        <w:rPr>
          <w:rFonts w:ascii="Arial" w:eastAsia="Arial" w:hAnsi="Arial" w:cs="Arial"/>
          <w:spacing w:val="-11"/>
          <w:lang w:val="es-ES"/>
        </w:rPr>
        <w:t xml:space="preserve"> </w:t>
      </w:r>
      <w:r w:rsidRPr="00E30FB6">
        <w:rPr>
          <w:rFonts w:ascii="Arial" w:eastAsia="Arial" w:hAnsi="Arial" w:cs="Arial"/>
          <w:lang w:val="es-ES"/>
        </w:rPr>
        <w:t>laborales</w:t>
      </w:r>
      <w:r w:rsidRPr="00E30FB6">
        <w:rPr>
          <w:rFonts w:ascii="Arial" w:eastAsia="Arial" w:hAnsi="Arial" w:cs="Arial"/>
          <w:spacing w:val="-11"/>
          <w:lang w:val="es-ES"/>
        </w:rPr>
        <w:t xml:space="preserve"> </w:t>
      </w:r>
      <w:r w:rsidRPr="00E30FB6">
        <w:rPr>
          <w:rFonts w:ascii="Arial" w:eastAsia="Arial" w:hAnsi="Arial" w:cs="Arial"/>
          <w:lang w:val="es-ES"/>
        </w:rPr>
        <w:t>y</w:t>
      </w:r>
      <w:r w:rsidRPr="00E30FB6">
        <w:rPr>
          <w:rFonts w:ascii="Arial" w:eastAsia="Arial" w:hAnsi="Arial" w:cs="Arial"/>
          <w:spacing w:val="-10"/>
          <w:lang w:val="es-ES"/>
        </w:rPr>
        <w:t xml:space="preserve"> </w:t>
      </w:r>
      <w:r w:rsidRPr="00E30FB6">
        <w:rPr>
          <w:rFonts w:ascii="Arial" w:eastAsia="Arial" w:hAnsi="Arial" w:cs="Arial"/>
          <w:lang w:val="es-ES"/>
        </w:rPr>
        <w:t>de</w:t>
      </w:r>
      <w:r w:rsidRPr="00E30FB6">
        <w:rPr>
          <w:rFonts w:ascii="Arial" w:eastAsia="Arial" w:hAnsi="Arial" w:cs="Arial"/>
          <w:spacing w:val="-11"/>
          <w:lang w:val="es-ES"/>
        </w:rPr>
        <w:t xml:space="preserve"> </w:t>
      </w:r>
      <w:r w:rsidRPr="00E30FB6">
        <w:rPr>
          <w:rFonts w:ascii="Arial" w:eastAsia="Arial" w:hAnsi="Arial" w:cs="Arial"/>
          <w:lang w:val="es-ES"/>
        </w:rPr>
        <w:t>los</w:t>
      </w:r>
      <w:r w:rsidRPr="00E30FB6">
        <w:rPr>
          <w:rFonts w:ascii="Arial" w:eastAsia="Arial" w:hAnsi="Arial" w:cs="Arial"/>
          <w:spacing w:val="-11"/>
          <w:lang w:val="es-ES"/>
        </w:rPr>
        <w:t xml:space="preserve"> </w:t>
      </w:r>
      <w:r w:rsidRPr="00E30FB6">
        <w:rPr>
          <w:rFonts w:ascii="Arial" w:eastAsia="Arial" w:hAnsi="Arial" w:cs="Arial"/>
          <w:lang w:val="es-ES"/>
        </w:rPr>
        <w:t>servicios</w:t>
      </w:r>
      <w:r w:rsidRPr="00E30FB6">
        <w:rPr>
          <w:rFonts w:ascii="Arial" w:eastAsia="Arial" w:hAnsi="Arial" w:cs="Arial"/>
          <w:spacing w:val="-10"/>
          <w:lang w:val="es-ES"/>
        </w:rPr>
        <w:t xml:space="preserve"> </w:t>
      </w:r>
      <w:r w:rsidRPr="00E30FB6">
        <w:rPr>
          <w:rFonts w:ascii="Arial" w:eastAsia="Arial" w:hAnsi="Arial" w:cs="Arial"/>
          <w:lang w:val="es-ES"/>
        </w:rPr>
        <w:t>sociales complementarios.</w:t>
      </w:r>
    </w:p>
    <w:p w:rsidR="00F3072D" w:rsidRPr="007E1CD1" w:rsidRDefault="00F3072D" w:rsidP="00F3072D">
      <w:pPr>
        <w:widowControl w:val="0"/>
        <w:autoSpaceDE w:val="0"/>
        <w:autoSpaceDN w:val="0"/>
        <w:spacing w:before="120" w:line="276" w:lineRule="auto"/>
        <w:ind w:firstLine="709"/>
        <w:jc w:val="both"/>
        <w:rPr>
          <w:rFonts w:ascii="Arial" w:eastAsia="Arial" w:hAnsi="Arial" w:cs="Arial"/>
          <w:lang w:val="es-ES"/>
        </w:rPr>
      </w:pPr>
      <w:r w:rsidRPr="007E1CD1">
        <w:rPr>
          <w:rFonts w:ascii="Arial" w:eastAsia="Arial" w:hAnsi="Arial" w:cs="Arial"/>
          <w:lang w:val="es-ES"/>
        </w:rPr>
        <w:t>En materia de contratación estatal, el texto original del artículo 41 de la Ley 80 de 1993 dispuso que los requisitos para perfeccionar</w:t>
      </w:r>
      <w:r w:rsidRPr="007E1CD1">
        <w:rPr>
          <w:rFonts w:ascii="Arial" w:eastAsia="Arial" w:hAnsi="Arial" w:cs="Arial"/>
          <w:spacing w:val="-7"/>
          <w:lang w:val="es-ES"/>
        </w:rPr>
        <w:t xml:space="preserve"> </w:t>
      </w:r>
      <w:r w:rsidRPr="007E1CD1">
        <w:rPr>
          <w:rFonts w:ascii="Arial" w:eastAsia="Arial" w:hAnsi="Arial" w:cs="Arial"/>
          <w:lang w:val="es-ES"/>
        </w:rPr>
        <w:t>el</w:t>
      </w:r>
      <w:r w:rsidRPr="007E1CD1">
        <w:rPr>
          <w:rFonts w:ascii="Arial" w:eastAsia="Arial" w:hAnsi="Arial" w:cs="Arial"/>
          <w:spacing w:val="-6"/>
          <w:lang w:val="es-ES"/>
        </w:rPr>
        <w:t xml:space="preserve"> </w:t>
      </w:r>
      <w:r w:rsidRPr="007E1CD1">
        <w:rPr>
          <w:rFonts w:ascii="Arial" w:eastAsia="Arial" w:hAnsi="Arial" w:cs="Arial"/>
          <w:lang w:val="es-ES"/>
        </w:rPr>
        <w:t>contrato</w:t>
      </w:r>
      <w:r w:rsidRPr="007E1CD1">
        <w:rPr>
          <w:rFonts w:ascii="Arial" w:eastAsia="Arial" w:hAnsi="Arial" w:cs="Arial"/>
          <w:spacing w:val="-7"/>
          <w:lang w:val="es-ES"/>
        </w:rPr>
        <w:t xml:space="preserve"> </w:t>
      </w:r>
      <w:r w:rsidRPr="007E1CD1">
        <w:rPr>
          <w:rFonts w:ascii="Arial" w:eastAsia="Arial" w:hAnsi="Arial" w:cs="Arial"/>
          <w:lang w:val="es-ES"/>
        </w:rPr>
        <w:t>son:</w:t>
      </w:r>
      <w:r w:rsidRPr="007E1CD1">
        <w:rPr>
          <w:rFonts w:ascii="Arial" w:eastAsia="Arial" w:hAnsi="Arial" w:cs="Arial"/>
          <w:spacing w:val="-7"/>
          <w:lang w:val="es-ES"/>
        </w:rPr>
        <w:t xml:space="preserve"> </w:t>
      </w:r>
      <w:r w:rsidRPr="007E1CD1">
        <w:rPr>
          <w:rFonts w:ascii="Arial" w:eastAsia="Arial" w:hAnsi="Arial" w:cs="Arial"/>
          <w:lang w:val="es-ES"/>
        </w:rPr>
        <w:t>i)</w:t>
      </w:r>
      <w:r w:rsidRPr="007E1CD1">
        <w:rPr>
          <w:rFonts w:ascii="Arial" w:eastAsia="Arial" w:hAnsi="Arial" w:cs="Arial"/>
          <w:spacing w:val="-7"/>
          <w:lang w:val="es-ES"/>
        </w:rPr>
        <w:t xml:space="preserve"> </w:t>
      </w:r>
      <w:r w:rsidRPr="007E1CD1">
        <w:rPr>
          <w:rFonts w:ascii="Arial" w:eastAsia="Arial" w:hAnsi="Arial" w:cs="Arial"/>
          <w:lang w:val="es-ES"/>
        </w:rPr>
        <w:t>el</w:t>
      </w:r>
      <w:r w:rsidRPr="007E1CD1">
        <w:rPr>
          <w:rFonts w:ascii="Arial" w:eastAsia="Arial" w:hAnsi="Arial" w:cs="Arial"/>
          <w:spacing w:val="-6"/>
          <w:lang w:val="es-ES"/>
        </w:rPr>
        <w:t xml:space="preserve"> </w:t>
      </w:r>
      <w:r w:rsidRPr="007E1CD1">
        <w:rPr>
          <w:rFonts w:ascii="Arial" w:eastAsia="Arial" w:hAnsi="Arial" w:cs="Arial"/>
          <w:lang w:val="es-ES"/>
        </w:rPr>
        <w:t>acuerdo</w:t>
      </w:r>
      <w:r w:rsidRPr="007E1CD1">
        <w:rPr>
          <w:rFonts w:ascii="Arial" w:eastAsia="Arial" w:hAnsi="Arial" w:cs="Arial"/>
          <w:spacing w:val="-6"/>
          <w:lang w:val="es-ES"/>
        </w:rPr>
        <w:t xml:space="preserve"> </w:t>
      </w:r>
      <w:r w:rsidRPr="007E1CD1">
        <w:rPr>
          <w:rFonts w:ascii="Arial" w:eastAsia="Arial" w:hAnsi="Arial" w:cs="Arial"/>
          <w:lang w:val="es-ES"/>
        </w:rPr>
        <w:t>sobre</w:t>
      </w:r>
      <w:r w:rsidRPr="007E1CD1">
        <w:rPr>
          <w:rFonts w:ascii="Arial" w:eastAsia="Arial" w:hAnsi="Arial" w:cs="Arial"/>
          <w:spacing w:val="-7"/>
          <w:lang w:val="es-ES"/>
        </w:rPr>
        <w:t xml:space="preserve"> </w:t>
      </w:r>
      <w:r w:rsidRPr="007E1CD1">
        <w:rPr>
          <w:rFonts w:ascii="Arial" w:eastAsia="Arial" w:hAnsi="Arial" w:cs="Arial"/>
          <w:lang w:val="es-ES"/>
        </w:rPr>
        <w:t>el</w:t>
      </w:r>
      <w:r w:rsidRPr="007E1CD1">
        <w:rPr>
          <w:rFonts w:ascii="Arial" w:eastAsia="Arial" w:hAnsi="Arial" w:cs="Arial"/>
          <w:spacing w:val="-6"/>
          <w:lang w:val="es-ES"/>
        </w:rPr>
        <w:t xml:space="preserve"> </w:t>
      </w:r>
      <w:r w:rsidRPr="007E1CD1">
        <w:rPr>
          <w:rFonts w:ascii="Arial" w:eastAsia="Arial" w:hAnsi="Arial" w:cs="Arial"/>
          <w:lang w:val="es-ES"/>
        </w:rPr>
        <w:t>objeto</w:t>
      </w:r>
      <w:r w:rsidRPr="007E1CD1">
        <w:rPr>
          <w:rFonts w:ascii="Arial" w:eastAsia="Arial" w:hAnsi="Arial" w:cs="Arial"/>
          <w:spacing w:val="-7"/>
          <w:lang w:val="es-ES"/>
        </w:rPr>
        <w:t xml:space="preserve"> </w:t>
      </w:r>
      <w:r w:rsidRPr="007E1CD1">
        <w:rPr>
          <w:rFonts w:ascii="Arial" w:eastAsia="Arial" w:hAnsi="Arial" w:cs="Arial"/>
          <w:lang w:val="es-ES"/>
        </w:rPr>
        <w:t>y</w:t>
      </w:r>
      <w:r w:rsidRPr="007E1CD1">
        <w:rPr>
          <w:rFonts w:ascii="Arial" w:eastAsia="Arial" w:hAnsi="Arial" w:cs="Arial"/>
          <w:spacing w:val="-7"/>
          <w:lang w:val="es-ES"/>
        </w:rPr>
        <w:t xml:space="preserve"> </w:t>
      </w:r>
      <w:r w:rsidRPr="007E1CD1">
        <w:rPr>
          <w:rFonts w:ascii="Arial" w:eastAsia="Arial" w:hAnsi="Arial" w:cs="Arial"/>
          <w:lang w:val="es-ES"/>
        </w:rPr>
        <w:t>la</w:t>
      </w:r>
      <w:r w:rsidRPr="007E1CD1">
        <w:rPr>
          <w:rFonts w:ascii="Arial" w:eastAsia="Arial" w:hAnsi="Arial" w:cs="Arial"/>
          <w:spacing w:val="-6"/>
          <w:lang w:val="es-ES"/>
        </w:rPr>
        <w:t xml:space="preserve"> </w:t>
      </w:r>
      <w:r w:rsidRPr="007E1CD1">
        <w:rPr>
          <w:rFonts w:ascii="Arial" w:eastAsia="Arial" w:hAnsi="Arial" w:cs="Arial"/>
          <w:lang w:val="es-ES"/>
        </w:rPr>
        <w:t>contraprestación, y ii) que conste por escrito. Por su parte, para iniciar la ejecución se requiere: i) la constitución</w:t>
      </w:r>
      <w:r w:rsidRPr="007E1CD1">
        <w:rPr>
          <w:rFonts w:ascii="Arial" w:eastAsia="Arial" w:hAnsi="Arial" w:cs="Arial"/>
          <w:spacing w:val="-16"/>
          <w:lang w:val="es-ES"/>
        </w:rPr>
        <w:t xml:space="preserve"> </w:t>
      </w:r>
      <w:r w:rsidRPr="007E1CD1">
        <w:rPr>
          <w:rFonts w:ascii="Arial" w:eastAsia="Arial" w:hAnsi="Arial" w:cs="Arial"/>
          <w:lang w:val="es-ES"/>
        </w:rPr>
        <w:t>y</w:t>
      </w:r>
      <w:r w:rsidRPr="007E1CD1">
        <w:rPr>
          <w:rFonts w:ascii="Arial" w:eastAsia="Arial" w:hAnsi="Arial" w:cs="Arial"/>
          <w:spacing w:val="-17"/>
          <w:lang w:val="es-ES"/>
        </w:rPr>
        <w:t xml:space="preserve"> </w:t>
      </w:r>
      <w:r w:rsidRPr="007E1CD1">
        <w:rPr>
          <w:rFonts w:ascii="Arial" w:eastAsia="Arial" w:hAnsi="Arial" w:cs="Arial"/>
          <w:lang w:val="es-ES"/>
        </w:rPr>
        <w:t>aprobación</w:t>
      </w:r>
      <w:r w:rsidRPr="007E1CD1">
        <w:rPr>
          <w:rFonts w:ascii="Arial" w:eastAsia="Arial" w:hAnsi="Arial" w:cs="Arial"/>
          <w:spacing w:val="-16"/>
          <w:lang w:val="es-ES"/>
        </w:rPr>
        <w:t xml:space="preserve"> </w:t>
      </w:r>
      <w:r w:rsidRPr="007E1CD1">
        <w:rPr>
          <w:rFonts w:ascii="Arial" w:eastAsia="Arial" w:hAnsi="Arial" w:cs="Arial"/>
          <w:lang w:val="es-ES"/>
        </w:rPr>
        <w:t>de</w:t>
      </w:r>
      <w:r w:rsidRPr="007E1CD1">
        <w:rPr>
          <w:rFonts w:ascii="Arial" w:eastAsia="Arial" w:hAnsi="Arial" w:cs="Arial"/>
          <w:spacing w:val="-16"/>
          <w:lang w:val="es-ES"/>
        </w:rPr>
        <w:t xml:space="preserve"> </w:t>
      </w:r>
      <w:r w:rsidRPr="007E1CD1">
        <w:rPr>
          <w:rFonts w:ascii="Arial" w:eastAsia="Arial" w:hAnsi="Arial" w:cs="Arial"/>
          <w:lang w:val="es-ES"/>
        </w:rPr>
        <w:t>la</w:t>
      </w:r>
      <w:r w:rsidRPr="007E1CD1">
        <w:rPr>
          <w:rFonts w:ascii="Arial" w:eastAsia="Arial" w:hAnsi="Arial" w:cs="Arial"/>
          <w:spacing w:val="-16"/>
          <w:lang w:val="es-ES"/>
        </w:rPr>
        <w:t xml:space="preserve"> </w:t>
      </w:r>
      <w:r w:rsidRPr="007E1CD1">
        <w:rPr>
          <w:rFonts w:ascii="Arial" w:eastAsia="Arial" w:hAnsi="Arial" w:cs="Arial"/>
          <w:lang w:val="es-ES"/>
        </w:rPr>
        <w:t>garantía</w:t>
      </w:r>
      <w:r w:rsidRPr="007E1CD1">
        <w:rPr>
          <w:rFonts w:ascii="Arial" w:eastAsia="Arial" w:hAnsi="Arial" w:cs="Arial"/>
          <w:spacing w:val="-16"/>
          <w:lang w:val="es-ES"/>
        </w:rPr>
        <w:t xml:space="preserve"> </w:t>
      </w:r>
      <w:r w:rsidRPr="007E1CD1">
        <w:rPr>
          <w:rFonts w:ascii="Arial" w:eastAsia="Arial" w:hAnsi="Arial" w:cs="Arial"/>
          <w:lang w:val="es-ES"/>
        </w:rPr>
        <w:t>y</w:t>
      </w:r>
      <w:r w:rsidRPr="007E1CD1">
        <w:rPr>
          <w:rFonts w:ascii="Arial" w:eastAsia="Arial" w:hAnsi="Arial" w:cs="Arial"/>
          <w:spacing w:val="-16"/>
          <w:lang w:val="es-ES"/>
        </w:rPr>
        <w:t xml:space="preserve"> </w:t>
      </w:r>
      <w:r w:rsidRPr="007E1CD1">
        <w:rPr>
          <w:rFonts w:ascii="Arial" w:eastAsia="Arial" w:hAnsi="Arial" w:cs="Arial"/>
          <w:lang w:val="es-ES"/>
        </w:rPr>
        <w:t>ii)</w:t>
      </w:r>
      <w:r w:rsidRPr="007E1CD1">
        <w:rPr>
          <w:rFonts w:ascii="Arial" w:eastAsia="Arial" w:hAnsi="Arial" w:cs="Arial"/>
          <w:spacing w:val="-16"/>
          <w:lang w:val="es-ES"/>
        </w:rPr>
        <w:t xml:space="preserve"> </w:t>
      </w:r>
      <w:r w:rsidRPr="007E1CD1">
        <w:rPr>
          <w:rFonts w:ascii="Arial" w:eastAsia="Arial" w:hAnsi="Arial" w:cs="Arial"/>
          <w:lang w:val="es-ES"/>
        </w:rPr>
        <w:t>la</w:t>
      </w:r>
      <w:r w:rsidRPr="007E1CD1">
        <w:rPr>
          <w:rFonts w:ascii="Arial" w:eastAsia="Arial" w:hAnsi="Arial" w:cs="Arial"/>
          <w:spacing w:val="-16"/>
          <w:lang w:val="es-ES"/>
        </w:rPr>
        <w:t xml:space="preserve"> </w:t>
      </w:r>
      <w:r w:rsidRPr="007E1CD1">
        <w:rPr>
          <w:rFonts w:ascii="Arial" w:eastAsia="Arial" w:hAnsi="Arial" w:cs="Arial"/>
          <w:lang w:val="es-ES"/>
        </w:rPr>
        <w:t>existencia</w:t>
      </w:r>
      <w:r w:rsidRPr="007E1CD1">
        <w:rPr>
          <w:rFonts w:ascii="Arial" w:eastAsia="Arial" w:hAnsi="Arial" w:cs="Arial"/>
          <w:spacing w:val="-16"/>
          <w:lang w:val="es-ES"/>
        </w:rPr>
        <w:t xml:space="preserve"> </w:t>
      </w:r>
      <w:r w:rsidRPr="007E1CD1">
        <w:rPr>
          <w:rFonts w:ascii="Arial" w:eastAsia="Arial" w:hAnsi="Arial" w:cs="Arial"/>
          <w:lang w:val="es-ES"/>
        </w:rPr>
        <w:t>del</w:t>
      </w:r>
      <w:r w:rsidRPr="007E1CD1">
        <w:rPr>
          <w:rFonts w:ascii="Arial" w:eastAsia="Arial" w:hAnsi="Arial" w:cs="Arial"/>
          <w:spacing w:val="-16"/>
          <w:lang w:val="es-ES"/>
        </w:rPr>
        <w:t xml:space="preserve"> </w:t>
      </w:r>
      <w:r w:rsidRPr="007E1CD1">
        <w:rPr>
          <w:rFonts w:ascii="Arial" w:eastAsia="Arial" w:hAnsi="Arial" w:cs="Arial"/>
          <w:lang w:val="es-ES"/>
        </w:rPr>
        <w:t>registro</w:t>
      </w:r>
      <w:r w:rsidRPr="007E1CD1">
        <w:rPr>
          <w:rFonts w:ascii="Arial" w:eastAsia="Arial" w:hAnsi="Arial" w:cs="Arial"/>
          <w:spacing w:val="-16"/>
          <w:lang w:val="es-ES"/>
        </w:rPr>
        <w:t xml:space="preserve"> </w:t>
      </w:r>
      <w:r w:rsidRPr="007E1CD1">
        <w:rPr>
          <w:rFonts w:ascii="Arial" w:eastAsia="Arial" w:hAnsi="Arial" w:cs="Arial"/>
          <w:lang w:val="es-ES"/>
        </w:rPr>
        <w:t>presupuestal,</w:t>
      </w:r>
      <w:r w:rsidRPr="007E1CD1">
        <w:rPr>
          <w:rFonts w:ascii="Arial" w:eastAsia="Arial" w:hAnsi="Arial" w:cs="Arial"/>
          <w:spacing w:val="-16"/>
          <w:lang w:val="es-ES"/>
        </w:rPr>
        <w:t xml:space="preserve"> </w:t>
      </w:r>
      <w:r w:rsidRPr="007E1CD1">
        <w:rPr>
          <w:rFonts w:ascii="Arial" w:eastAsia="Arial" w:hAnsi="Arial" w:cs="Arial"/>
          <w:lang w:val="es-E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7E1CD1">
        <w:rPr>
          <w:rFonts w:ascii="Arial" w:eastAsia="Arial" w:hAnsi="Arial" w:cs="Arial"/>
          <w:spacing w:val="-26"/>
          <w:lang w:val="es-ES"/>
        </w:rPr>
        <w:t xml:space="preserve"> </w:t>
      </w:r>
      <w:r w:rsidRPr="007E1CD1">
        <w:rPr>
          <w:rFonts w:ascii="Arial" w:eastAsia="Arial" w:hAnsi="Arial" w:cs="Arial"/>
          <w:lang w:val="es-ES"/>
        </w:rPr>
        <w:t>Integral.</w:t>
      </w:r>
    </w:p>
    <w:p w:rsidR="00F3072D" w:rsidRPr="007E1CD1" w:rsidRDefault="00F3072D" w:rsidP="00F3072D">
      <w:pPr>
        <w:widowControl w:val="0"/>
        <w:autoSpaceDE w:val="0"/>
        <w:autoSpaceDN w:val="0"/>
        <w:spacing w:before="120" w:line="276" w:lineRule="auto"/>
        <w:ind w:firstLine="709"/>
        <w:jc w:val="both"/>
        <w:rPr>
          <w:rFonts w:ascii="Arial" w:eastAsia="Arial" w:hAnsi="Arial" w:cs="Arial"/>
          <w:lang w:val="es-ES"/>
        </w:rPr>
      </w:pPr>
      <w:r w:rsidRPr="007E1CD1">
        <w:rPr>
          <w:rFonts w:ascii="Arial" w:eastAsia="Arial" w:hAnsi="Arial" w:cs="Arial"/>
          <w:lang w:val="es-ES"/>
        </w:rPr>
        <w:t>Por su parte, el artículo 50 de la</w:t>
      </w:r>
      <w:r w:rsidRPr="007E1CD1">
        <w:rPr>
          <w:rFonts w:ascii="Arial" w:eastAsia="Arial" w:hAnsi="Arial" w:cs="Arial"/>
          <w:spacing w:val="-17"/>
          <w:lang w:val="es-ES"/>
        </w:rPr>
        <w:t xml:space="preserve"> </w:t>
      </w:r>
      <w:r w:rsidRPr="007E1CD1">
        <w:rPr>
          <w:rFonts w:ascii="Arial" w:eastAsia="Arial" w:hAnsi="Arial" w:cs="Arial"/>
          <w:lang w:val="es-ES"/>
        </w:rPr>
        <w:t>Ley</w:t>
      </w:r>
      <w:r w:rsidRPr="007E1CD1">
        <w:rPr>
          <w:rFonts w:ascii="Arial" w:eastAsia="Arial" w:hAnsi="Arial" w:cs="Arial"/>
          <w:spacing w:val="-16"/>
          <w:lang w:val="es-ES"/>
        </w:rPr>
        <w:t xml:space="preserve"> </w:t>
      </w:r>
      <w:r w:rsidRPr="007E1CD1">
        <w:rPr>
          <w:rFonts w:ascii="Arial" w:eastAsia="Arial" w:hAnsi="Arial" w:cs="Arial"/>
          <w:lang w:val="es-ES"/>
        </w:rPr>
        <w:t>789</w:t>
      </w:r>
      <w:r w:rsidRPr="007E1CD1">
        <w:rPr>
          <w:rFonts w:ascii="Arial" w:eastAsia="Arial" w:hAnsi="Arial" w:cs="Arial"/>
          <w:spacing w:val="-16"/>
          <w:lang w:val="es-ES"/>
        </w:rPr>
        <w:t xml:space="preserve"> </w:t>
      </w:r>
      <w:r w:rsidRPr="007E1CD1">
        <w:rPr>
          <w:rFonts w:ascii="Arial" w:eastAsia="Arial" w:hAnsi="Arial" w:cs="Arial"/>
          <w:lang w:val="es-ES"/>
        </w:rPr>
        <w:t>de</w:t>
      </w:r>
      <w:r w:rsidRPr="007E1CD1">
        <w:rPr>
          <w:rFonts w:ascii="Arial" w:eastAsia="Arial" w:hAnsi="Arial" w:cs="Arial"/>
          <w:spacing w:val="-17"/>
          <w:lang w:val="es-ES"/>
        </w:rPr>
        <w:t xml:space="preserve"> </w:t>
      </w:r>
      <w:r w:rsidRPr="007E1CD1">
        <w:rPr>
          <w:rFonts w:ascii="Arial" w:eastAsia="Arial" w:hAnsi="Arial" w:cs="Arial"/>
          <w:lang w:val="es-ES"/>
        </w:rPr>
        <w:t>2002</w:t>
      </w:r>
      <w:r w:rsidRPr="007E1CD1">
        <w:rPr>
          <w:rFonts w:ascii="Arial" w:eastAsia="Arial" w:hAnsi="Arial" w:cs="Arial"/>
          <w:spacing w:val="-16"/>
          <w:lang w:val="es-ES"/>
        </w:rPr>
        <w:t xml:space="preserve"> </w:t>
      </w:r>
      <w:r w:rsidRPr="007E1CD1">
        <w:rPr>
          <w:rFonts w:ascii="Arial" w:eastAsia="Arial" w:hAnsi="Arial" w:cs="Arial"/>
          <w:lang w:val="es-ES"/>
        </w:rPr>
        <w:t>dispuso como</w:t>
      </w:r>
      <w:r w:rsidRPr="007E1CD1">
        <w:rPr>
          <w:rFonts w:ascii="Arial" w:eastAsia="Arial" w:hAnsi="Arial" w:cs="Arial"/>
          <w:spacing w:val="-16"/>
          <w:lang w:val="es-ES"/>
        </w:rPr>
        <w:t xml:space="preserve"> </w:t>
      </w:r>
      <w:r w:rsidRPr="007E1CD1">
        <w:rPr>
          <w:rFonts w:ascii="Arial" w:eastAsia="Arial" w:hAnsi="Arial" w:cs="Arial"/>
          <w:lang w:val="es-ES"/>
        </w:rPr>
        <w:t>obligación</w:t>
      </w:r>
      <w:r w:rsidRPr="007E1CD1">
        <w:rPr>
          <w:rFonts w:ascii="Arial" w:eastAsia="Arial" w:hAnsi="Arial" w:cs="Arial"/>
          <w:spacing w:val="-16"/>
          <w:lang w:val="es-ES"/>
        </w:rPr>
        <w:t xml:space="preserve"> </w:t>
      </w:r>
      <w:r w:rsidRPr="007E1CD1">
        <w:rPr>
          <w:rFonts w:ascii="Arial" w:eastAsia="Arial" w:hAnsi="Arial" w:cs="Arial"/>
          <w:lang w:val="es-ES"/>
        </w:rPr>
        <w:t>de</w:t>
      </w:r>
      <w:r w:rsidRPr="007E1CD1">
        <w:rPr>
          <w:rFonts w:ascii="Arial" w:eastAsia="Arial" w:hAnsi="Arial" w:cs="Arial"/>
          <w:spacing w:val="-16"/>
          <w:lang w:val="es-ES"/>
        </w:rPr>
        <w:t xml:space="preserve"> </w:t>
      </w:r>
      <w:r w:rsidRPr="007E1CD1">
        <w:rPr>
          <w:rFonts w:ascii="Arial" w:eastAsia="Arial" w:hAnsi="Arial" w:cs="Arial"/>
          <w:lang w:val="es-ES"/>
        </w:rPr>
        <w:t>quien</w:t>
      </w:r>
      <w:r w:rsidRPr="007E1CD1">
        <w:rPr>
          <w:rFonts w:ascii="Arial" w:eastAsia="Arial" w:hAnsi="Arial" w:cs="Arial"/>
          <w:spacing w:val="-17"/>
          <w:lang w:val="es-ES"/>
        </w:rPr>
        <w:t xml:space="preserve"> </w:t>
      </w:r>
      <w:r w:rsidRPr="007E1CD1">
        <w:rPr>
          <w:rFonts w:ascii="Arial" w:eastAsia="Arial" w:hAnsi="Arial" w:cs="Arial"/>
          <w:lang w:val="es-ES"/>
        </w:rPr>
        <w:t xml:space="preserve">quiere </w:t>
      </w:r>
      <w:r w:rsidRPr="007E1CD1">
        <w:rPr>
          <w:rFonts w:ascii="Arial" w:eastAsia="Arial" w:hAnsi="Arial" w:cs="Arial"/>
          <w:i/>
          <w:iCs/>
          <w:lang w:val="es-ES"/>
        </w:rPr>
        <w:t>celebrar, renovar o liquidar</w:t>
      </w:r>
      <w:r w:rsidRPr="007E1CD1">
        <w:rPr>
          <w:rFonts w:ascii="Arial" w:eastAsia="Arial" w:hAnsi="Arial" w:cs="Arial"/>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7E1CD1">
        <w:rPr>
          <w:rFonts w:ascii="Arial" w:eastAsia="Arial" w:hAnsi="Arial" w:cs="Arial"/>
          <w:i/>
          <w:iCs/>
          <w:lang w:val="es-ES"/>
        </w:rPr>
        <w:t>liquidar</w:t>
      </w:r>
      <w:r w:rsidRPr="007E1CD1">
        <w:rPr>
          <w:rFonts w:ascii="Arial" w:eastAsia="Arial" w:hAnsi="Arial" w:cs="Arial"/>
          <w:lang w:val="es-ES"/>
        </w:rPr>
        <w:t xml:space="preserve"> los contratos, para verificar y dejar constancia del cumplimiento de las obligaciones del contratista frente a los aportes mencionados durante</w:t>
      </w:r>
      <w:r w:rsidRPr="007E1CD1">
        <w:rPr>
          <w:rFonts w:ascii="Arial" w:eastAsia="Arial" w:hAnsi="Arial" w:cs="Arial"/>
          <w:spacing w:val="-5"/>
          <w:lang w:val="es-ES"/>
        </w:rPr>
        <w:t xml:space="preserve"> </w:t>
      </w:r>
      <w:r w:rsidRPr="007E1CD1">
        <w:rPr>
          <w:rFonts w:ascii="Arial" w:eastAsia="Arial" w:hAnsi="Arial" w:cs="Arial"/>
          <w:lang w:val="es-ES"/>
        </w:rPr>
        <w:t>toda</w:t>
      </w:r>
      <w:r w:rsidRPr="007E1CD1">
        <w:rPr>
          <w:rFonts w:ascii="Arial" w:eastAsia="Arial" w:hAnsi="Arial" w:cs="Arial"/>
          <w:spacing w:val="-4"/>
          <w:lang w:val="es-ES"/>
        </w:rPr>
        <w:t xml:space="preserve"> </w:t>
      </w:r>
      <w:r w:rsidRPr="007E1CD1">
        <w:rPr>
          <w:rFonts w:ascii="Arial" w:eastAsia="Arial" w:hAnsi="Arial" w:cs="Arial"/>
          <w:lang w:val="es-ES"/>
        </w:rPr>
        <w:t>su</w:t>
      </w:r>
      <w:r w:rsidRPr="007E1CD1">
        <w:rPr>
          <w:rFonts w:ascii="Arial" w:eastAsia="Arial" w:hAnsi="Arial" w:cs="Arial"/>
          <w:spacing w:val="-5"/>
          <w:lang w:val="es-ES"/>
        </w:rPr>
        <w:t xml:space="preserve"> </w:t>
      </w:r>
      <w:r w:rsidRPr="007E1CD1">
        <w:rPr>
          <w:rFonts w:ascii="Arial" w:eastAsia="Arial" w:hAnsi="Arial" w:cs="Arial"/>
          <w:lang w:val="es-ES"/>
        </w:rPr>
        <w:t>vigencia,</w:t>
      </w:r>
      <w:r w:rsidRPr="007E1CD1">
        <w:rPr>
          <w:rFonts w:ascii="Arial" w:eastAsia="Arial" w:hAnsi="Arial" w:cs="Arial"/>
          <w:spacing w:val="-4"/>
          <w:lang w:val="es-ES"/>
        </w:rPr>
        <w:t xml:space="preserve"> </w:t>
      </w:r>
      <w:r w:rsidRPr="007E1CD1">
        <w:rPr>
          <w:rFonts w:ascii="Arial" w:eastAsia="Arial" w:hAnsi="Arial" w:cs="Arial"/>
          <w:lang w:val="es-ES"/>
        </w:rPr>
        <w:t>estableciendo</w:t>
      </w:r>
      <w:r w:rsidRPr="007E1CD1">
        <w:rPr>
          <w:rFonts w:ascii="Arial" w:eastAsia="Arial" w:hAnsi="Arial" w:cs="Arial"/>
          <w:spacing w:val="-5"/>
          <w:lang w:val="es-ES"/>
        </w:rPr>
        <w:t xml:space="preserve"> </w:t>
      </w:r>
      <w:r w:rsidRPr="007E1CD1">
        <w:rPr>
          <w:rFonts w:ascii="Arial" w:eastAsia="Arial" w:hAnsi="Arial" w:cs="Arial"/>
          <w:lang w:val="es-ES"/>
        </w:rPr>
        <w:t>una</w:t>
      </w:r>
      <w:r w:rsidRPr="007E1CD1">
        <w:rPr>
          <w:rFonts w:ascii="Arial" w:eastAsia="Arial" w:hAnsi="Arial" w:cs="Arial"/>
          <w:spacing w:val="-4"/>
          <w:lang w:val="es-ES"/>
        </w:rPr>
        <w:t xml:space="preserve"> </w:t>
      </w:r>
      <w:r w:rsidRPr="007E1CD1">
        <w:rPr>
          <w:rFonts w:ascii="Arial" w:eastAsia="Arial" w:hAnsi="Arial" w:cs="Arial"/>
          <w:lang w:val="es-ES"/>
        </w:rPr>
        <w:t>correcta</w:t>
      </w:r>
      <w:r w:rsidRPr="007E1CD1">
        <w:rPr>
          <w:rFonts w:ascii="Arial" w:eastAsia="Arial" w:hAnsi="Arial" w:cs="Arial"/>
          <w:spacing w:val="-4"/>
          <w:lang w:val="es-ES"/>
        </w:rPr>
        <w:t xml:space="preserve"> </w:t>
      </w:r>
      <w:r w:rsidRPr="007E1CD1">
        <w:rPr>
          <w:rFonts w:ascii="Arial" w:eastAsia="Arial" w:hAnsi="Arial" w:cs="Arial"/>
          <w:lang w:val="es-ES"/>
        </w:rPr>
        <w:t>relación</w:t>
      </w:r>
      <w:r w:rsidRPr="007E1CD1">
        <w:rPr>
          <w:rFonts w:ascii="Arial" w:eastAsia="Arial" w:hAnsi="Arial" w:cs="Arial"/>
          <w:spacing w:val="-5"/>
          <w:lang w:val="es-ES"/>
        </w:rPr>
        <w:t xml:space="preserve"> </w:t>
      </w:r>
      <w:r w:rsidRPr="007E1CD1">
        <w:rPr>
          <w:rFonts w:ascii="Arial" w:eastAsia="Arial" w:hAnsi="Arial" w:cs="Arial"/>
          <w:lang w:val="es-ES"/>
        </w:rPr>
        <w:t>entre</w:t>
      </w:r>
      <w:r w:rsidRPr="007E1CD1">
        <w:rPr>
          <w:rFonts w:ascii="Arial" w:eastAsia="Arial" w:hAnsi="Arial" w:cs="Arial"/>
          <w:spacing w:val="-4"/>
          <w:lang w:val="es-ES"/>
        </w:rPr>
        <w:t xml:space="preserve"> </w:t>
      </w:r>
      <w:r w:rsidRPr="007E1CD1">
        <w:rPr>
          <w:rFonts w:ascii="Arial" w:eastAsia="Arial" w:hAnsi="Arial" w:cs="Arial"/>
          <w:lang w:val="es-ES"/>
        </w:rPr>
        <w:t>el</w:t>
      </w:r>
      <w:r w:rsidRPr="007E1CD1">
        <w:rPr>
          <w:rFonts w:ascii="Arial" w:eastAsia="Arial" w:hAnsi="Arial" w:cs="Arial"/>
          <w:spacing w:val="-5"/>
          <w:lang w:val="es-ES"/>
        </w:rPr>
        <w:t xml:space="preserve"> </w:t>
      </w:r>
      <w:r w:rsidRPr="007E1CD1">
        <w:rPr>
          <w:rFonts w:ascii="Arial" w:eastAsia="Arial" w:hAnsi="Arial" w:cs="Arial"/>
          <w:lang w:val="es-ES"/>
        </w:rPr>
        <w:t>monto</w:t>
      </w:r>
      <w:r w:rsidRPr="007E1CD1">
        <w:rPr>
          <w:rFonts w:ascii="Arial" w:eastAsia="Arial" w:hAnsi="Arial" w:cs="Arial"/>
          <w:spacing w:val="-4"/>
          <w:lang w:val="es-ES"/>
        </w:rPr>
        <w:t xml:space="preserve"> </w:t>
      </w:r>
      <w:r w:rsidRPr="007E1CD1">
        <w:rPr>
          <w:rFonts w:ascii="Arial" w:eastAsia="Arial" w:hAnsi="Arial" w:cs="Arial"/>
          <w:lang w:val="es-ES"/>
        </w:rPr>
        <w:t>cancelado y las sumas que debió</w:t>
      </w:r>
      <w:r w:rsidRPr="007E1CD1">
        <w:rPr>
          <w:rFonts w:ascii="Arial" w:eastAsia="Arial" w:hAnsi="Arial" w:cs="Arial"/>
          <w:spacing w:val="-6"/>
          <w:lang w:val="es-ES"/>
        </w:rPr>
        <w:t xml:space="preserve"> </w:t>
      </w:r>
      <w:r w:rsidRPr="007E1CD1">
        <w:rPr>
          <w:rFonts w:ascii="Arial" w:eastAsia="Arial" w:hAnsi="Arial" w:cs="Arial"/>
          <w:lang w:val="es-ES"/>
        </w:rPr>
        <w:t>cotizar</w:t>
      </w:r>
      <w:r w:rsidRPr="007E1CD1">
        <w:rPr>
          <w:rFonts w:ascii="Arial" w:eastAsia="Arial" w:hAnsi="Arial" w:cs="Arial"/>
          <w:vertAlign w:val="superscript"/>
          <w:lang w:val="es-ES"/>
        </w:rPr>
        <w:footnoteReference w:id="17"/>
      </w:r>
      <w:r w:rsidRPr="007E1CD1">
        <w:rPr>
          <w:rFonts w:ascii="Arial" w:eastAsia="Arial" w:hAnsi="Arial" w:cs="Arial"/>
          <w:lang w:val="es-ES"/>
        </w:rPr>
        <w:t>.</w:t>
      </w:r>
    </w:p>
    <w:p w:rsidR="00F3072D" w:rsidRPr="007E1CD1" w:rsidRDefault="00F3072D" w:rsidP="00F3072D">
      <w:pPr>
        <w:widowControl w:val="0"/>
        <w:autoSpaceDE w:val="0"/>
        <w:autoSpaceDN w:val="0"/>
        <w:spacing w:before="120" w:line="276" w:lineRule="auto"/>
        <w:ind w:firstLine="709"/>
        <w:jc w:val="both"/>
        <w:rPr>
          <w:rFonts w:ascii="Arial" w:eastAsia="Arial" w:hAnsi="Arial" w:cs="Arial"/>
          <w:lang w:val="es-ES"/>
        </w:rPr>
      </w:pPr>
      <w:r w:rsidRPr="007E1CD1">
        <w:rPr>
          <w:rFonts w:ascii="Arial" w:eastAsia="Arial" w:hAnsi="Arial" w:cs="Arial"/>
          <w:lang w:val="es-ES"/>
        </w:rPr>
        <w:lastRenderedPageBreak/>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7E1CD1">
        <w:rPr>
          <w:rFonts w:ascii="Arial" w:eastAsia="Arial" w:hAnsi="Arial" w:cs="Arial"/>
          <w:spacing w:val="-10"/>
          <w:lang w:val="es-ES"/>
        </w:rPr>
        <w:t xml:space="preserve"> </w:t>
      </w:r>
      <w:r w:rsidRPr="007E1CD1">
        <w:rPr>
          <w:rFonts w:ascii="Arial" w:eastAsia="Arial" w:hAnsi="Arial" w:cs="Arial"/>
          <w:i/>
          <w:iCs/>
          <w:lang w:val="es-ES"/>
        </w:rPr>
        <w:t>para</w:t>
      </w:r>
      <w:r w:rsidRPr="007E1CD1">
        <w:rPr>
          <w:rFonts w:ascii="Arial" w:eastAsia="Arial" w:hAnsi="Arial" w:cs="Arial"/>
          <w:i/>
          <w:iCs/>
          <w:spacing w:val="-10"/>
          <w:lang w:val="es-ES"/>
        </w:rPr>
        <w:t xml:space="preserve"> </w:t>
      </w:r>
      <w:r w:rsidRPr="007E1CD1">
        <w:rPr>
          <w:rFonts w:ascii="Arial" w:eastAsia="Arial" w:hAnsi="Arial" w:cs="Arial"/>
          <w:i/>
          <w:iCs/>
          <w:lang w:val="es-ES"/>
        </w:rPr>
        <w:t>presentar</w:t>
      </w:r>
      <w:r w:rsidRPr="007E1CD1">
        <w:rPr>
          <w:rFonts w:ascii="Arial" w:eastAsia="Arial" w:hAnsi="Arial" w:cs="Arial"/>
          <w:i/>
          <w:iCs/>
          <w:spacing w:val="-10"/>
          <w:lang w:val="es-ES"/>
        </w:rPr>
        <w:t xml:space="preserve"> </w:t>
      </w:r>
      <w:r w:rsidRPr="007E1CD1">
        <w:rPr>
          <w:rFonts w:ascii="Arial" w:eastAsia="Arial" w:hAnsi="Arial" w:cs="Arial"/>
          <w:i/>
          <w:iCs/>
          <w:lang w:val="es-ES"/>
        </w:rPr>
        <w:t>la</w:t>
      </w:r>
      <w:r w:rsidRPr="007E1CD1">
        <w:rPr>
          <w:rFonts w:ascii="Arial" w:eastAsia="Arial" w:hAnsi="Arial" w:cs="Arial"/>
          <w:i/>
          <w:iCs/>
          <w:spacing w:val="-10"/>
          <w:lang w:val="es-ES"/>
        </w:rPr>
        <w:t xml:space="preserve"> </w:t>
      </w:r>
      <w:r w:rsidRPr="007E1CD1">
        <w:rPr>
          <w:rFonts w:ascii="Arial" w:eastAsia="Arial" w:hAnsi="Arial" w:cs="Arial"/>
          <w:i/>
          <w:iCs/>
          <w:lang w:val="es-ES"/>
        </w:rPr>
        <w:t>oferta</w:t>
      </w:r>
      <w:r w:rsidRPr="007E1CD1">
        <w:rPr>
          <w:rFonts w:ascii="Arial" w:eastAsia="Arial" w:hAnsi="Arial" w:cs="Arial"/>
          <w:spacing w:val="-9"/>
          <w:lang w:val="es-ES"/>
        </w:rPr>
        <w:t xml:space="preserve"> </w:t>
      </w:r>
      <w:r w:rsidRPr="007E1CD1">
        <w:rPr>
          <w:rFonts w:ascii="Arial" w:eastAsia="Arial" w:hAnsi="Arial" w:cs="Arial"/>
          <w:lang w:val="es-ES"/>
        </w:rPr>
        <w:t>las</w:t>
      </w:r>
      <w:r w:rsidRPr="007E1CD1">
        <w:rPr>
          <w:rFonts w:ascii="Arial" w:eastAsia="Arial" w:hAnsi="Arial" w:cs="Arial"/>
          <w:spacing w:val="-10"/>
          <w:lang w:val="es-ES"/>
        </w:rPr>
        <w:t xml:space="preserve"> </w:t>
      </w:r>
      <w:r w:rsidRPr="007E1CD1">
        <w:rPr>
          <w:rFonts w:ascii="Arial" w:eastAsia="Arial" w:hAnsi="Arial" w:cs="Arial"/>
          <w:lang w:val="es-ES"/>
        </w:rPr>
        <w:t>personas</w:t>
      </w:r>
      <w:r w:rsidRPr="007E1CD1">
        <w:rPr>
          <w:rFonts w:ascii="Arial" w:eastAsia="Arial" w:hAnsi="Arial" w:cs="Arial"/>
          <w:spacing w:val="-10"/>
          <w:lang w:val="es-ES"/>
        </w:rPr>
        <w:t xml:space="preserve"> </w:t>
      </w:r>
      <w:r w:rsidRPr="007E1CD1">
        <w:rPr>
          <w:rFonts w:ascii="Arial" w:eastAsia="Arial" w:hAnsi="Arial" w:cs="Arial"/>
          <w:lang w:val="es-ES"/>
        </w:rPr>
        <w:t>jurídicas</w:t>
      </w:r>
      <w:r w:rsidRPr="007E1CD1">
        <w:rPr>
          <w:rFonts w:ascii="Arial" w:eastAsia="Arial" w:hAnsi="Arial" w:cs="Arial"/>
          <w:spacing w:val="-10"/>
          <w:lang w:val="es-ES"/>
        </w:rPr>
        <w:t xml:space="preserve"> </w:t>
      </w:r>
      <w:r w:rsidRPr="007E1CD1">
        <w:rPr>
          <w:rFonts w:ascii="Arial" w:eastAsia="Arial" w:hAnsi="Arial" w:cs="Arial"/>
          <w:lang w:val="es-ES"/>
        </w:rPr>
        <w:t>deben</w:t>
      </w:r>
      <w:r w:rsidRPr="007E1CD1">
        <w:rPr>
          <w:rFonts w:ascii="Arial" w:eastAsia="Arial" w:hAnsi="Arial" w:cs="Arial"/>
          <w:spacing w:val="-9"/>
          <w:lang w:val="es-ES"/>
        </w:rPr>
        <w:t xml:space="preserve"> </w:t>
      </w:r>
      <w:r w:rsidRPr="007E1CD1">
        <w:rPr>
          <w:rFonts w:ascii="Arial" w:eastAsia="Arial" w:hAnsi="Arial" w:cs="Arial"/>
          <w:lang w:val="es-ES"/>
        </w:rPr>
        <w:t>acreditar</w:t>
      </w:r>
      <w:r w:rsidRPr="007E1CD1">
        <w:rPr>
          <w:rFonts w:ascii="Arial" w:eastAsia="Arial" w:hAnsi="Arial" w:cs="Arial"/>
          <w:spacing w:val="-10"/>
          <w:lang w:val="es-ES"/>
        </w:rPr>
        <w:t xml:space="preserve"> </w:t>
      </w:r>
      <w:r w:rsidRPr="007E1CD1">
        <w:rPr>
          <w:rFonts w:ascii="Arial" w:eastAsia="Arial" w:hAnsi="Arial" w:cs="Arial"/>
          <w:lang w:val="es-ES"/>
        </w:rPr>
        <w:t>el</w:t>
      </w:r>
      <w:r w:rsidRPr="007E1CD1">
        <w:rPr>
          <w:rFonts w:ascii="Arial" w:eastAsia="Arial" w:hAnsi="Arial" w:cs="Arial"/>
          <w:spacing w:val="-10"/>
          <w:lang w:val="es-ES"/>
        </w:rPr>
        <w:t xml:space="preserve"> </w:t>
      </w:r>
      <w:r w:rsidRPr="007E1CD1">
        <w:rPr>
          <w:rFonts w:ascii="Arial" w:eastAsia="Arial" w:hAnsi="Arial" w:cs="Arial"/>
          <w:lang w:val="es-ES"/>
        </w:rPr>
        <w:t>requisito</w:t>
      </w:r>
      <w:r w:rsidRPr="007E1CD1">
        <w:rPr>
          <w:rFonts w:ascii="Arial" w:eastAsia="Arial" w:hAnsi="Arial" w:cs="Arial"/>
          <w:spacing w:val="-10"/>
          <w:lang w:val="es-ES"/>
        </w:rPr>
        <w:t xml:space="preserve"> </w:t>
      </w:r>
      <w:r w:rsidRPr="007E1CD1">
        <w:rPr>
          <w:rFonts w:ascii="Arial" w:eastAsia="Arial" w:hAnsi="Arial" w:cs="Arial"/>
          <w:lang w:val="es-ES"/>
        </w:rPr>
        <w:t>señalado anteriormente.</w:t>
      </w:r>
    </w:p>
    <w:p w:rsidR="00F3072D" w:rsidRPr="00E30FB6" w:rsidRDefault="00F3072D" w:rsidP="00F3072D">
      <w:pPr>
        <w:widowControl w:val="0"/>
        <w:autoSpaceDE w:val="0"/>
        <w:autoSpaceDN w:val="0"/>
        <w:spacing w:before="70" w:line="276" w:lineRule="auto"/>
        <w:ind w:firstLine="709"/>
        <w:jc w:val="both"/>
        <w:rPr>
          <w:rFonts w:ascii="Arial" w:eastAsia="Arial" w:hAnsi="Arial" w:cs="Arial"/>
          <w:lang w:val="es-ES"/>
        </w:rPr>
      </w:pPr>
      <w:r w:rsidRPr="007E1CD1">
        <w:rPr>
          <w:rFonts w:ascii="Arial" w:eastAsia="Arial" w:hAnsi="Arial" w:cs="Arial"/>
          <w:lang w:val="es-ES"/>
        </w:rPr>
        <w:t>Esta norma fue analizada por la Sección Tercera del Consejo de Estado, que consideró</w:t>
      </w:r>
      <w:r w:rsidRPr="007E1CD1">
        <w:rPr>
          <w:rFonts w:ascii="Arial" w:eastAsia="Arial" w:hAnsi="Arial" w:cs="Arial"/>
          <w:spacing w:val="-6"/>
          <w:lang w:val="es-ES"/>
        </w:rPr>
        <w:t xml:space="preserve"> </w:t>
      </w:r>
      <w:r w:rsidRPr="007E1CD1">
        <w:rPr>
          <w:rFonts w:ascii="Arial" w:eastAsia="Arial" w:hAnsi="Arial" w:cs="Arial"/>
          <w:lang w:val="es-ES"/>
        </w:rPr>
        <w:t>que</w:t>
      </w:r>
      <w:r w:rsidRPr="007E1CD1">
        <w:rPr>
          <w:rFonts w:ascii="Arial" w:eastAsia="Arial" w:hAnsi="Arial" w:cs="Arial"/>
          <w:spacing w:val="-6"/>
          <w:lang w:val="es-ES"/>
        </w:rPr>
        <w:t xml:space="preserve"> </w:t>
      </w:r>
      <w:r w:rsidRPr="007E1CD1">
        <w:rPr>
          <w:rFonts w:ascii="Arial" w:eastAsia="Arial" w:hAnsi="Arial" w:cs="Arial"/>
          <w:lang w:val="es-ES"/>
        </w:rPr>
        <w:t>el</w:t>
      </w:r>
      <w:r w:rsidRPr="007E1CD1">
        <w:rPr>
          <w:rFonts w:ascii="Arial" w:eastAsia="Arial" w:hAnsi="Arial" w:cs="Arial"/>
          <w:spacing w:val="-5"/>
          <w:lang w:val="es-ES"/>
        </w:rPr>
        <w:t xml:space="preserve"> </w:t>
      </w:r>
      <w:r w:rsidRPr="007E1CD1">
        <w:rPr>
          <w:rFonts w:ascii="Arial" w:eastAsia="Arial" w:hAnsi="Arial" w:cs="Arial"/>
          <w:lang w:val="es-ES"/>
        </w:rPr>
        <w:t>artículo</w:t>
      </w:r>
      <w:r w:rsidRPr="007E1CD1">
        <w:rPr>
          <w:rFonts w:ascii="Arial" w:eastAsia="Arial" w:hAnsi="Arial" w:cs="Arial"/>
          <w:spacing w:val="-6"/>
          <w:lang w:val="es-ES"/>
        </w:rPr>
        <w:t xml:space="preserve"> </w:t>
      </w:r>
      <w:r w:rsidRPr="007E1CD1">
        <w:rPr>
          <w:rFonts w:ascii="Arial" w:eastAsia="Arial" w:hAnsi="Arial" w:cs="Arial"/>
          <w:lang w:val="es-ES"/>
        </w:rPr>
        <w:t>50</w:t>
      </w:r>
      <w:r w:rsidRPr="007E1CD1">
        <w:rPr>
          <w:rFonts w:ascii="Arial" w:eastAsia="Arial" w:hAnsi="Arial" w:cs="Arial"/>
          <w:spacing w:val="-6"/>
          <w:lang w:val="es-ES"/>
        </w:rPr>
        <w:t xml:space="preserve"> </w:t>
      </w:r>
      <w:r w:rsidRPr="007E1CD1">
        <w:rPr>
          <w:rFonts w:ascii="Arial" w:eastAsia="Arial" w:hAnsi="Arial" w:cs="Arial"/>
          <w:lang w:val="es-ES"/>
        </w:rPr>
        <w:t>de</w:t>
      </w:r>
      <w:r w:rsidRPr="007E1CD1">
        <w:rPr>
          <w:rFonts w:ascii="Arial" w:eastAsia="Arial" w:hAnsi="Arial" w:cs="Arial"/>
          <w:spacing w:val="-5"/>
          <w:lang w:val="es-ES"/>
        </w:rPr>
        <w:t xml:space="preserve"> </w:t>
      </w:r>
      <w:r w:rsidRPr="007E1CD1">
        <w:rPr>
          <w:rFonts w:ascii="Arial" w:eastAsia="Arial" w:hAnsi="Arial" w:cs="Arial"/>
          <w:lang w:val="es-ES"/>
        </w:rPr>
        <w:t>la</w:t>
      </w:r>
      <w:r w:rsidRPr="007E1CD1">
        <w:rPr>
          <w:rFonts w:ascii="Arial" w:eastAsia="Arial" w:hAnsi="Arial" w:cs="Arial"/>
          <w:spacing w:val="-6"/>
          <w:lang w:val="es-ES"/>
        </w:rPr>
        <w:t xml:space="preserve"> </w:t>
      </w:r>
      <w:r w:rsidRPr="007E1CD1">
        <w:rPr>
          <w:rFonts w:ascii="Arial" w:eastAsia="Arial" w:hAnsi="Arial" w:cs="Arial"/>
          <w:lang w:val="es-ES"/>
        </w:rPr>
        <w:t>Ley</w:t>
      </w:r>
      <w:r w:rsidRPr="007E1CD1">
        <w:rPr>
          <w:rFonts w:ascii="Arial" w:eastAsia="Arial" w:hAnsi="Arial" w:cs="Arial"/>
          <w:spacing w:val="-5"/>
          <w:lang w:val="es-ES"/>
        </w:rPr>
        <w:t xml:space="preserve"> </w:t>
      </w:r>
      <w:r w:rsidRPr="007E1CD1">
        <w:rPr>
          <w:rFonts w:ascii="Arial" w:eastAsia="Arial" w:hAnsi="Arial" w:cs="Arial"/>
          <w:lang w:val="es-ES"/>
        </w:rPr>
        <w:t>789</w:t>
      </w:r>
      <w:r w:rsidRPr="007E1CD1">
        <w:rPr>
          <w:rFonts w:ascii="Arial" w:eastAsia="Arial" w:hAnsi="Arial" w:cs="Arial"/>
          <w:spacing w:val="-6"/>
          <w:lang w:val="es-ES"/>
        </w:rPr>
        <w:t xml:space="preserve"> </w:t>
      </w:r>
      <w:r w:rsidRPr="007E1CD1">
        <w:rPr>
          <w:rFonts w:ascii="Arial" w:eastAsia="Arial" w:hAnsi="Arial" w:cs="Arial"/>
          <w:lang w:val="es-ES"/>
        </w:rPr>
        <w:t>de</w:t>
      </w:r>
      <w:r w:rsidRPr="007E1CD1">
        <w:rPr>
          <w:rFonts w:ascii="Arial" w:eastAsia="Arial" w:hAnsi="Arial" w:cs="Arial"/>
          <w:spacing w:val="-6"/>
          <w:lang w:val="es-ES"/>
        </w:rPr>
        <w:t xml:space="preserve"> </w:t>
      </w:r>
      <w:r w:rsidRPr="007E1CD1">
        <w:rPr>
          <w:rFonts w:ascii="Arial" w:eastAsia="Arial" w:hAnsi="Arial" w:cs="Arial"/>
          <w:lang w:val="es-ES"/>
        </w:rPr>
        <w:t>2002</w:t>
      </w:r>
      <w:r w:rsidRPr="007E1CD1">
        <w:rPr>
          <w:rFonts w:ascii="Arial" w:eastAsia="Arial" w:hAnsi="Arial" w:cs="Arial"/>
          <w:spacing w:val="-5"/>
          <w:lang w:val="es-ES"/>
        </w:rPr>
        <w:t xml:space="preserve"> </w:t>
      </w:r>
      <w:r w:rsidRPr="007E1CD1">
        <w:rPr>
          <w:rFonts w:ascii="Arial" w:eastAsia="Arial" w:hAnsi="Arial" w:cs="Arial"/>
          <w:lang w:val="es-ES"/>
        </w:rPr>
        <w:t>tiene</w:t>
      </w:r>
      <w:r w:rsidRPr="007E1CD1">
        <w:rPr>
          <w:rFonts w:ascii="Arial" w:eastAsia="Arial" w:hAnsi="Arial" w:cs="Arial"/>
          <w:spacing w:val="-5"/>
          <w:lang w:val="es-ES"/>
        </w:rPr>
        <w:t xml:space="preserve"> </w:t>
      </w:r>
      <w:r w:rsidRPr="007E1CD1">
        <w:rPr>
          <w:rFonts w:ascii="Arial" w:eastAsia="Arial" w:hAnsi="Arial" w:cs="Arial"/>
          <w:lang w:val="es-ES"/>
        </w:rPr>
        <w:t>por</w:t>
      </w:r>
      <w:r w:rsidRPr="007E1CD1">
        <w:rPr>
          <w:rFonts w:ascii="Arial" w:eastAsia="Arial" w:hAnsi="Arial" w:cs="Arial"/>
          <w:spacing w:val="-6"/>
          <w:lang w:val="es-ES"/>
        </w:rPr>
        <w:t xml:space="preserve"> </w:t>
      </w:r>
      <w:r w:rsidRPr="007E1CD1">
        <w:rPr>
          <w:rFonts w:ascii="Arial" w:eastAsia="Arial" w:hAnsi="Arial" w:cs="Arial"/>
          <w:lang w:val="es-ES"/>
        </w:rPr>
        <w:t>objeto</w:t>
      </w:r>
      <w:r w:rsidRPr="007E1CD1">
        <w:rPr>
          <w:rFonts w:ascii="Arial" w:eastAsia="Arial" w:hAnsi="Arial" w:cs="Arial"/>
          <w:spacing w:val="-5"/>
          <w:lang w:val="es-ES"/>
        </w:rPr>
        <w:t xml:space="preserve"> </w:t>
      </w:r>
      <w:r w:rsidRPr="007E1CD1">
        <w:rPr>
          <w:rFonts w:ascii="Arial" w:eastAsia="Arial" w:hAnsi="Arial" w:cs="Arial"/>
          <w:lang w:val="es-ES"/>
        </w:rPr>
        <w:t>evitar</w:t>
      </w:r>
      <w:r w:rsidRPr="007E1CD1">
        <w:rPr>
          <w:rFonts w:ascii="Arial" w:eastAsia="Arial" w:hAnsi="Arial" w:cs="Arial"/>
          <w:spacing w:val="-6"/>
          <w:lang w:val="es-ES"/>
        </w:rPr>
        <w:t xml:space="preserve"> </w:t>
      </w:r>
      <w:r w:rsidRPr="007E1CD1">
        <w:rPr>
          <w:rFonts w:ascii="Arial" w:eastAsia="Arial" w:hAnsi="Arial" w:cs="Arial"/>
          <w:lang w:val="es-ES"/>
        </w:rPr>
        <w:t>la</w:t>
      </w:r>
      <w:r w:rsidRPr="007E1CD1">
        <w:rPr>
          <w:rFonts w:ascii="Arial" w:eastAsia="Arial" w:hAnsi="Arial" w:cs="Arial"/>
          <w:spacing w:val="-5"/>
          <w:lang w:val="es-ES"/>
        </w:rPr>
        <w:t xml:space="preserve"> </w:t>
      </w:r>
      <w:r w:rsidRPr="007E1CD1">
        <w:rPr>
          <w:rFonts w:ascii="Arial" w:eastAsia="Arial" w:hAnsi="Arial" w:cs="Arial"/>
          <w:lang w:val="es-ES"/>
        </w:rPr>
        <w:t>evasión</w:t>
      </w:r>
      <w:r w:rsidRPr="007E1CD1">
        <w:rPr>
          <w:rFonts w:ascii="Arial" w:eastAsia="Arial" w:hAnsi="Arial" w:cs="Arial"/>
          <w:spacing w:val="-6"/>
          <w:lang w:val="es-ES"/>
        </w:rPr>
        <w:t xml:space="preserve"> </w:t>
      </w:r>
      <w:r w:rsidRPr="007E1CD1">
        <w:rPr>
          <w:rFonts w:ascii="Arial" w:eastAsia="Arial" w:hAnsi="Arial" w:cs="Arial"/>
          <w:lang w:val="es-E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7E1CD1">
        <w:rPr>
          <w:rFonts w:ascii="Arial" w:eastAsia="Arial" w:hAnsi="Arial" w:cs="Arial"/>
          <w:spacing w:val="-9"/>
          <w:lang w:val="es-ES"/>
        </w:rPr>
        <w:t xml:space="preserve"> </w:t>
      </w:r>
      <w:r w:rsidRPr="007E1CD1">
        <w:rPr>
          <w:rFonts w:ascii="Arial" w:eastAsia="Arial" w:hAnsi="Arial" w:cs="Arial"/>
          <w:lang w:val="es-ES"/>
        </w:rPr>
        <w:t>hayan</w:t>
      </w:r>
      <w:r w:rsidRPr="007E1CD1">
        <w:rPr>
          <w:rFonts w:ascii="Arial" w:eastAsia="Arial" w:hAnsi="Arial" w:cs="Arial"/>
          <w:spacing w:val="-8"/>
          <w:lang w:val="es-ES"/>
        </w:rPr>
        <w:t xml:space="preserve"> </w:t>
      </w:r>
      <w:r w:rsidRPr="007E1CD1">
        <w:rPr>
          <w:rFonts w:ascii="Arial" w:eastAsia="Arial" w:hAnsi="Arial" w:cs="Arial"/>
          <w:lang w:val="es-ES"/>
        </w:rPr>
        <w:t>realizado</w:t>
      </w:r>
      <w:r w:rsidRPr="007E1CD1">
        <w:rPr>
          <w:rFonts w:ascii="Arial" w:eastAsia="Arial" w:hAnsi="Arial" w:cs="Arial"/>
          <w:spacing w:val="-8"/>
          <w:lang w:val="es-ES"/>
        </w:rPr>
        <w:t xml:space="preserve"> </w:t>
      </w:r>
      <w:r w:rsidRPr="007E1CD1">
        <w:rPr>
          <w:rFonts w:ascii="Arial" w:eastAsia="Arial" w:hAnsi="Arial" w:cs="Arial"/>
          <w:lang w:val="es-ES"/>
        </w:rPr>
        <w:t>los</w:t>
      </w:r>
      <w:r w:rsidRPr="007E1CD1">
        <w:rPr>
          <w:rFonts w:ascii="Arial" w:eastAsia="Arial" w:hAnsi="Arial" w:cs="Arial"/>
          <w:spacing w:val="-8"/>
          <w:lang w:val="es-ES"/>
        </w:rPr>
        <w:t xml:space="preserve"> </w:t>
      </w:r>
      <w:r w:rsidRPr="007E1CD1">
        <w:rPr>
          <w:rFonts w:ascii="Arial" w:eastAsia="Arial" w:hAnsi="Arial" w:cs="Arial"/>
          <w:lang w:val="es-ES"/>
        </w:rPr>
        <w:t>aportes</w:t>
      </w:r>
      <w:r w:rsidRPr="007E1CD1">
        <w:rPr>
          <w:rFonts w:ascii="Arial" w:eastAsia="Arial" w:hAnsi="Arial" w:cs="Arial"/>
          <w:spacing w:val="-9"/>
          <w:lang w:val="es-ES"/>
        </w:rPr>
        <w:t xml:space="preserve"> </w:t>
      </w:r>
      <w:r w:rsidRPr="007E1CD1">
        <w:rPr>
          <w:rFonts w:ascii="Arial" w:eastAsia="Arial" w:hAnsi="Arial" w:cs="Arial"/>
          <w:lang w:val="es-ES"/>
        </w:rPr>
        <w:t>al</w:t>
      </w:r>
      <w:r w:rsidRPr="007E1CD1">
        <w:rPr>
          <w:rFonts w:ascii="Arial" w:eastAsia="Arial" w:hAnsi="Arial" w:cs="Arial"/>
          <w:spacing w:val="-8"/>
          <w:lang w:val="es-ES"/>
        </w:rPr>
        <w:t xml:space="preserve"> </w:t>
      </w:r>
      <w:r w:rsidRPr="007E1CD1">
        <w:rPr>
          <w:rFonts w:ascii="Arial" w:eastAsia="Arial" w:hAnsi="Arial" w:cs="Arial"/>
          <w:lang w:val="es-ES"/>
        </w:rPr>
        <w:t>Sistema</w:t>
      </w:r>
      <w:r w:rsidRPr="007E1CD1">
        <w:rPr>
          <w:rFonts w:ascii="Arial" w:eastAsia="Arial" w:hAnsi="Arial" w:cs="Arial"/>
          <w:spacing w:val="-7"/>
          <w:lang w:val="es-ES"/>
        </w:rPr>
        <w:t xml:space="preserve"> </w:t>
      </w:r>
      <w:r w:rsidRPr="007E1CD1">
        <w:rPr>
          <w:rFonts w:ascii="Arial" w:eastAsia="Arial" w:hAnsi="Arial" w:cs="Arial"/>
          <w:lang w:val="es-ES"/>
        </w:rPr>
        <w:t>de</w:t>
      </w:r>
      <w:r w:rsidRPr="007E1CD1">
        <w:rPr>
          <w:rFonts w:ascii="Arial" w:eastAsia="Arial" w:hAnsi="Arial" w:cs="Arial"/>
          <w:spacing w:val="-8"/>
          <w:lang w:val="es-ES"/>
        </w:rPr>
        <w:t xml:space="preserve"> </w:t>
      </w:r>
      <w:r w:rsidRPr="007E1CD1">
        <w:rPr>
          <w:rFonts w:ascii="Arial" w:eastAsia="Arial" w:hAnsi="Arial" w:cs="Arial"/>
          <w:lang w:val="es-ES"/>
        </w:rPr>
        <w:t>Seguridad</w:t>
      </w:r>
      <w:r w:rsidRPr="007E1CD1">
        <w:rPr>
          <w:rFonts w:ascii="Arial" w:eastAsia="Arial" w:hAnsi="Arial" w:cs="Arial"/>
          <w:spacing w:val="-7"/>
          <w:lang w:val="es-ES"/>
        </w:rPr>
        <w:t xml:space="preserve"> </w:t>
      </w:r>
      <w:r w:rsidRPr="007E1CD1">
        <w:rPr>
          <w:rFonts w:ascii="Arial" w:eastAsia="Arial" w:hAnsi="Arial" w:cs="Arial"/>
          <w:lang w:val="es-ES"/>
        </w:rPr>
        <w:t>Social</w:t>
      </w:r>
      <w:r w:rsidRPr="007E1CD1">
        <w:rPr>
          <w:rFonts w:ascii="Arial" w:eastAsia="Arial" w:hAnsi="Arial" w:cs="Arial"/>
          <w:spacing w:val="-7"/>
          <w:lang w:val="es-ES"/>
        </w:rPr>
        <w:t xml:space="preserve"> </w:t>
      </w:r>
      <w:r w:rsidRPr="007E1CD1">
        <w:rPr>
          <w:rFonts w:ascii="Arial" w:eastAsia="Arial" w:hAnsi="Arial" w:cs="Arial"/>
          <w:lang w:val="es-ES"/>
        </w:rPr>
        <w:t>Integral</w:t>
      </w:r>
      <w:r w:rsidRPr="007E1CD1">
        <w:rPr>
          <w:rFonts w:ascii="Arial" w:eastAsia="Arial" w:hAnsi="Arial" w:cs="Arial"/>
          <w:vertAlign w:val="superscript"/>
          <w:lang w:val="es-ES"/>
        </w:rPr>
        <w:footnoteReference w:id="18"/>
      </w:r>
      <w:r w:rsidRPr="007E1CD1">
        <w:rPr>
          <w:rFonts w:ascii="Arial" w:eastAsia="Arial" w:hAnsi="Arial" w:cs="Arial"/>
          <w:lang w:val="es-ES"/>
        </w:rPr>
        <w:t>.</w:t>
      </w:r>
      <w:r w:rsidRPr="007E1CD1">
        <w:rPr>
          <w:rFonts w:ascii="Arial" w:eastAsia="Arial" w:hAnsi="Arial" w:cs="Arial"/>
          <w:spacing w:val="-8"/>
          <w:lang w:val="es-ES"/>
        </w:rPr>
        <w:t xml:space="preserve"> </w:t>
      </w:r>
      <w:r w:rsidRPr="007E1CD1">
        <w:rPr>
          <w:rFonts w:ascii="Arial" w:eastAsia="Arial" w:hAnsi="Arial" w:cs="Arial"/>
          <w:lang w:val="es-ES"/>
        </w:rPr>
        <w:t>Por</w:t>
      </w:r>
      <w:r w:rsidRPr="007E1CD1">
        <w:rPr>
          <w:rFonts w:ascii="Arial" w:eastAsia="Arial" w:hAnsi="Arial" w:cs="Arial"/>
          <w:spacing w:val="-8"/>
          <w:lang w:val="es-ES"/>
        </w:rPr>
        <w:t xml:space="preserve"> </w:t>
      </w:r>
      <w:r w:rsidRPr="007E1CD1">
        <w:rPr>
          <w:rFonts w:ascii="Arial" w:eastAsia="Arial" w:hAnsi="Arial" w:cs="Arial"/>
          <w:lang w:val="es-ES"/>
        </w:rPr>
        <w:t xml:space="preserve">lo tanto, la jurisprudencia reiteró la necesidad de que las entidades estatales, </w:t>
      </w:r>
      <w:r w:rsidRPr="007E1CD1">
        <w:rPr>
          <w:rFonts w:ascii="Arial" w:eastAsia="Arial" w:hAnsi="Arial" w:cs="Arial"/>
          <w:i/>
          <w:iCs/>
          <w:lang w:val="es-ES"/>
        </w:rPr>
        <w:t>durante la ejecución de un contrato</w:t>
      </w:r>
      <w:r w:rsidRPr="007E1CD1">
        <w:rPr>
          <w:rFonts w:ascii="Arial" w:eastAsia="Arial" w:hAnsi="Arial" w:cs="Arial"/>
          <w:lang w:val="es-ES"/>
        </w:rPr>
        <w:t>, verifiquen el cumplimiento de las obligaciones del sistema de seguridad</w:t>
      </w:r>
      <w:r w:rsidRPr="007E1CD1">
        <w:rPr>
          <w:rFonts w:ascii="Arial" w:eastAsia="Arial" w:hAnsi="Arial" w:cs="Arial"/>
          <w:spacing w:val="-18"/>
          <w:lang w:val="es-ES"/>
        </w:rPr>
        <w:t xml:space="preserve"> </w:t>
      </w:r>
      <w:r w:rsidRPr="007E1CD1">
        <w:rPr>
          <w:rFonts w:ascii="Arial" w:eastAsia="Arial" w:hAnsi="Arial" w:cs="Arial"/>
          <w:lang w:val="es-ES"/>
        </w:rPr>
        <w:t>social</w:t>
      </w:r>
      <w:r w:rsidRPr="007E1CD1">
        <w:rPr>
          <w:rFonts w:ascii="Arial" w:eastAsia="Arial" w:hAnsi="Arial" w:cs="Arial"/>
          <w:spacing w:val="-17"/>
          <w:lang w:val="es-ES"/>
        </w:rPr>
        <w:t xml:space="preserve"> </w:t>
      </w:r>
      <w:r w:rsidRPr="007E1CD1">
        <w:rPr>
          <w:rFonts w:ascii="Arial" w:eastAsia="Arial" w:hAnsi="Arial" w:cs="Arial"/>
          <w:lang w:val="es-ES"/>
        </w:rPr>
        <w:t>por</w:t>
      </w:r>
      <w:r w:rsidRPr="007E1CD1">
        <w:rPr>
          <w:rFonts w:ascii="Arial" w:eastAsia="Arial" w:hAnsi="Arial" w:cs="Arial"/>
          <w:spacing w:val="-17"/>
          <w:lang w:val="es-ES"/>
        </w:rPr>
        <w:t xml:space="preserve"> </w:t>
      </w:r>
      <w:r w:rsidRPr="007E1CD1">
        <w:rPr>
          <w:rFonts w:ascii="Arial" w:eastAsia="Arial" w:hAnsi="Arial" w:cs="Arial"/>
          <w:lang w:val="es-ES"/>
        </w:rPr>
        <w:t>parte</w:t>
      </w:r>
      <w:r w:rsidRPr="007E1CD1">
        <w:rPr>
          <w:rFonts w:ascii="Arial" w:eastAsia="Arial" w:hAnsi="Arial" w:cs="Arial"/>
          <w:spacing w:val="-18"/>
          <w:lang w:val="es-ES"/>
        </w:rPr>
        <w:t xml:space="preserve"> </w:t>
      </w:r>
      <w:r w:rsidRPr="007E1CD1">
        <w:rPr>
          <w:rFonts w:ascii="Arial" w:eastAsia="Arial" w:hAnsi="Arial" w:cs="Arial"/>
          <w:lang w:val="es-ES"/>
        </w:rPr>
        <w:t>de</w:t>
      </w:r>
      <w:r w:rsidRPr="007E1CD1">
        <w:rPr>
          <w:rFonts w:ascii="Arial" w:eastAsia="Arial" w:hAnsi="Arial" w:cs="Arial"/>
          <w:spacing w:val="-17"/>
          <w:lang w:val="es-ES"/>
        </w:rPr>
        <w:t xml:space="preserve"> </w:t>
      </w:r>
      <w:r w:rsidRPr="007E1CD1">
        <w:rPr>
          <w:rFonts w:ascii="Arial" w:eastAsia="Arial" w:hAnsi="Arial" w:cs="Arial"/>
          <w:lang w:val="es-ES"/>
        </w:rPr>
        <w:t>los</w:t>
      </w:r>
      <w:r w:rsidRPr="007E1CD1">
        <w:rPr>
          <w:rFonts w:ascii="Arial" w:eastAsia="Arial" w:hAnsi="Arial" w:cs="Arial"/>
          <w:spacing w:val="-17"/>
          <w:lang w:val="es-ES"/>
        </w:rPr>
        <w:t xml:space="preserve"> </w:t>
      </w:r>
      <w:r w:rsidRPr="007E1CD1">
        <w:rPr>
          <w:rFonts w:ascii="Arial" w:eastAsia="Arial" w:hAnsi="Arial" w:cs="Arial"/>
          <w:lang w:val="es-ES"/>
        </w:rPr>
        <w:t>oferentes.</w:t>
      </w:r>
      <w:r w:rsidRPr="007E1CD1">
        <w:rPr>
          <w:rFonts w:ascii="Arial" w:eastAsia="Arial" w:hAnsi="Arial" w:cs="Arial"/>
          <w:spacing w:val="-16"/>
          <w:lang w:val="es-ES"/>
        </w:rPr>
        <w:t xml:space="preserve"> </w:t>
      </w:r>
      <w:r w:rsidRPr="007E1CD1">
        <w:rPr>
          <w:rFonts w:ascii="Arial" w:eastAsia="Arial" w:hAnsi="Arial" w:cs="Arial"/>
          <w:lang w:val="es-ES"/>
        </w:rPr>
        <w:t>De</w:t>
      </w:r>
      <w:r w:rsidRPr="007E1CD1">
        <w:rPr>
          <w:rFonts w:ascii="Arial" w:eastAsia="Arial" w:hAnsi="Arial" w:cs="Arial"/>
          <w:spacing w:val="-18"/>
          <w:lang w:val="es-ES"/>
        </w:rPr>
        <w:t xml:space="preserve"> </w:t>
      </w:r>
      <w:r w:rsidRPr="007E1CD1">
        <w:rPr>
          <w:rFonts w:ascii="Arial" w:eastAsia="Arial" w:hAnsi="Arial" w:cs="Arial"/>
          <w:lang w:val="es-ES"/>
        </w:rPr>
        <w:t>esta</w:t>
      </w:r>
      <w:r w:rsidRPr="007E1CD1">
        <w:rPr>
          <w:rFonts w:ascii="Arial" w:eastAsia="Arial" w:hAnsi="Arial" w:cs="Arial"/>
          <w:spacing w:val="-17"/>
          <w:lang w:val="es-ES"/>
        </w:rPr>
        <w:t xml:space="preserve"> </w:t>
      </w:r>
      <w:r w:rsidRPr="007E1CD1">
        <w:rPr>
          <w:rFonts w:ascii="Arial" w:eastAsia="Arial" w:hAnsi="Arial" w:cs="Arial"/>
          <w:lang w:val="es-ES"/>
        </w:rPr>
        <w:t>manera,</w:t>
      </w:r>
      <w:r w:rsidRPr="007E1CD1">
        <w:rPr>
          <w:rFonts w:ascii="Arial" w:eastAsia="Arial" w:hAnsi="Arial" w:cs="Arial"/>
          <w:spacing w:val="-17"/>
          <w:lang w:val="es-ES"/>
        </w:rPr>
        <w:t xml:space="preserve"> </w:t>
      </w:r>
      <w:r w:rsidRPr="007E1CD1">
        <w:rPr>
          <w:rFonts w:ascii="Arial" w:eastAsia="Arial" w:hAnsi="Arial" w:cs="Arial"/>
          <w:lang w:val="es-ES"/>
        </w:rPr>
        <w:t>el</w:t>
      </w:r>
      <w:r w:rsidRPr="007E1CD1">
        <w:rPr>
          <w:rFonts w:ascii="Arial" w:eastAsia="Arial" w:hAnsi="Arial" w:cs="Arial"/>
          <w:spacing w:val="-18"/>
          <w:lang w:val="es-ES"/>
        </w:rPr>
        <w:t xml:space="preserve"> </w:t>
      </w:r>
      <w:r w:rsidRPr="007E1CD1">
        <w:rPr>
          <w:rFonts w:ascii="Arial" w:eastAsia="Arial" w:hAnsi="Arial" w:cs="Arial"/>
          <w:lang w:val="es-ES"/>
        </w:rPr>
        <w:t>artículo</w:t>
      </w:r>
      <w:r w:rsidRPr="007E1CD1">
        <w:rPr>
          <w:rFonts w:ascii="Arial" w:eastAsia="Arial" w:hAnsi="Arial" w:cs="Arial"/>
          <w:spacing w:val="-17"/>
          <w:lang w:val="es-ES"/>
        </w:rPr>
        <w:t xml:space="preserve"> </w:t>
      </w:r>
      <w:r w:rsidRPr="007E1CD1">
        <w:rPr>
          <w:rFonts w:ascii="Arial" w:eastAsia="Arial" w:hAnsi="Arial" w:cs="Arial"/>
          <w:lang w:val="es-ES"/>
        </w:rPr>
        <w:t>23</w:t>
      </w:r>
      <w:r w:rsidRPr="007E1CD1">
        <w:rPr>
          <w:rFonts w:ascii="Arial" w:eastAsia="Arial" w:hAnsi="Arial" w:cs="Arial"/>
          <w:spacing w:val="-17"/>
          <w:lang w:val="es-ES"/>
        </w:rPr>
        <w:t xml:space="preserve"> </w:t>
      </w:r>
      <w:r w:rsidRPr="007E1CD1">
        <w:rPr>
          <w:rFonts w:ascii="Arial" w:eastAsia="Arial" w:hAnsi="Arial" w:cs="Arial"/>
          <w:lang w:val="es-ES"/>
        </w:rPr>
        <w:t>de</w:t>
      </w:r>
      <w:r w:rsidRPr="007E1CD1">
        <w:rPr>
          <w:rFonts w:ascii="Arial" w:eastAsia="Arial" w:hAnsi="Arial" w:cs="Arial"/>
          <w:spacing w:val="-17"/>
          <w:lang w:val="es-ES"/>
        </w:rPr>
        <w:t xml:space="preserve"> </w:t>
      </w:r>
      <w:r w:rsidRPr="007E1CD1">
        <w:rPr>
          <w:rFonts w:ascii="Arial" w:eastAsia="Arial" w:hAnsi="Arial" w:cs="Arial"/>
          <w:lang w:val="es-ES"/>
        </w:rPr>
        <w:t>la</w:t>
      </w:r>
      <w:r w:rsidRPr="007E1CD1">
        <w:rPr>
          <w:rFonts w:ascii="Arial" w:eastAsia="Arial" w:hAnsi="Arial" w:cs="Arial"/>
          <w:spacing w:val="-18"/>
          <w:lang w:val="es-ES"/>
        </w:rPr>
        <w:t xml:space="preserve"> </w:t>
      </w:r>
      <w:r w:rsidRPr="007E1CD1">
        <w:rPr>
          <w:rFonts w:ascii="Arial" w:eastAsia="Arial" w:hAnsi="Arial" w:cs="Arial"/>
          <w:lang w:val="es-ES"/>
        </w:rPr>
        <w:t>Ley</w:t>
      </w:r>
      <w:r w:rsidRPr="007E1CD1">
        <w:rPr>
          <w:rFonts w:ascii="Arial" w:eastAsia="Arial" w:hAnsi="Arial" w:cs="Arial"/>
          <w:spacing w:val="-17"/>
          <w:lang w:val="es-ES"/>
        </w:rPr>
        <w:t xml:space="preserve"> </w:t>
      </w:r>
      <w:r w:rsidRPr="007E1CD1">
        <w:rPr>
          <w:rFonts w:ascii="Arial" w:eastAsia="Arial" w:hAnsi="Arial" w:cs="Arial"/>
          <w:lang w:val="es-ES"/>
        </w:rPr>
        <w:t>1150 de 2007 que modificó el inciso segundo del artículo 41 de la Ley 80 de 1993, incluye la obligación, para los proponentes y contratistas, de</w:t>
      </w:r>
      <w:r w:rsidRPr="00E30FB6">
        <w:rPr>
          <w:rFonts w:ascii="Arial" w:eastAsia="Arial" w:hAnsi="Arial" w:cs="Arial"/>
          <w:lang w:val="es-ES"/>
        </w:rPr>
        <w:t xml:space="preserve"> estar a paz y salvo con los aportes parafiscales al Sistema de Seguridad Social Integral, al</w:t>
      </w:r>
      <w:r w:rsidRPr="00E30FB6">
        <w:rPr>
          <w:rFonts w:ascii="Arial" w:eastAsia="Arial" w:hAnsi="Arial" w:cs="Arial"/>
          <w:spacing w:val="-16"/>
          <w:lang w:val="es-ES"/>
        </w:rPr>
        <w:t xml:space="preserve"> </w:t>
      </w:r>
      <w:r w:rsidRPr="00E30FB6">
        <w:rPr>
          <w:rFonts w:ascii="Arial" w:eastAsia="Arial" w:hAnsi="Arial" w:cs="Arial"/>
          <w:lang w:val="es-ES"/>
        </w:rPr>
        <w:t>señalar:</w:t>
      </w:r>
    </w:p>
    <w:p w:rsidR="00F3072D" w:rsidRPr="007E1CD1" w:rsidRDefault="00F3072D" w:rsidP="00F3072D">
      <w:pPr>
        <w:widowControl w:val="0"/>
        <w:autoSpaceDE w:val="0"/>
        <w:autoSpaceDN w:val="0"/>
        <w:spacing w:before="1"/>
        <w:ind w:left="709" w:right="709"/>
        <w:jc w:val="both"/>
        <w:rPr>
          <w:rFonts w:ascii="Arial" w:eastAsia="Arial" w:hAnsi="Arial" w:cs="Arial"/>
          <w:iCs/>
          <w:sz w:val="21"/>
          <w:lang w:val="es-ES"/>
        </w:rPr>
      </w:pPr>
      <w:r w:rsidRPr="007E1CD1">
        <w:rPr>
          <w:rFonts w:ascii="Arial" w:eastAsia="Arial" w:hAnsi="Arial" w:cs="Arial"/>
          <w:iCs/>
          <w:sz w:val="21"/>
          <w:lang w:val="es-ES"/>
        </w:rPr>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w:t>
      </w:r>
      <w:r w:rsidRPr="007E1CD1">
        <w:rPr>
          <w:rFonts w:ascii="Arial" w:eastAsia="Arial" w:hAnsi="Arial" w:cs="Arial"/>
          <w:iCs/>
          <w:sz w:val="21"/>
          <w:lang w:val="es-ES"/>
        </w:rPr>
        <w:lastRenderedPageBreak/>
        <w:t>Compensación Familiar, cuando corresponda.</w:t>
      </w:r>
    </w:p>
    <w:p w:rsidR="00F3072D" w:rsidRPr="007E1CD1" w:rsidRDefault="00F3072D" w:rsidP="00F3072D">
      <w:pPr>
        <w:widowControl w:val="0"/>
        <w:autoSpaceDE w:val="0"/>
        <w:autoSpaceDN w:val="0"/>
        <w:spacing w:before="120"/>
        <w:ind w:left="709" w:right="709"/>
        <w:jc w:val="both"/>
        <w:rPr>
          <w:rFonts w:ascii="Arial" w:eastAsia="Arial" w:hAnsi="Arial" w:cs="Arial"/>
          <w:iCs/>
          <w:sz w:val="21"/>
          <w:lang w:val="es-ES"/>
        </w:rPr>
      </w:pPr>
      <w:r w:rsidRPr="007E1CD1">
        <w:rPr>
          <w:rFonts w:ascii="Arial" w:eastAsia="Arial" w:hAnsi="Arial" w:cs="Arial"/>
          <w:iCs/>
          <w:sz w:val="21"/>
          <w:lang w:val="es-ES"/>
        </w:rPr>
        <w:t>Parágrafo 1. El requisito establecido en la parte final del inciso segundo de este artículo deberá acreditarse para la realización de cada pago derivado del contrato estatal.</w:t>
      </w:r>
    </w:p>
    <w:p w:rsidR="00F3072D" w:rsidRPr="007E1CD1" w:rsidRDefault="00F3072D" w:rsidP="00F3072D">
      <w:pPr>
        <w:widowControl w:val="0"/>
        <w:autoSpaceDE w:val="0"/>
        <w:autoSpaceDN w:val="0"/>
        <w:spacing w:before="120"/>
        <w:ind w:left="709" w:right="709"/>
        <w:jc w:val="both"/>
        <w:rPr>
          <w:rFonts w:ascii="Arial" w:eastAsia="Arial" w:hAnsi="Arial" w:cs="Arial"/>
          <w:iCs/>
          <w:lang w:val="es-ES"/>
        </w:rPr>
      </w:pPr>
      <w:r w:rsidRPr="007E1CD1">
        <w:rPr>
          <w:rFonts w:ascii="Arial" w:eastAsia="Arial" w:hAnsi="Arial" w:cs="Arial"/>
          <w:iCs/>
          <w:sz w:val="21"/>
          <w:lang w:val="es-ES"/>
        </w:rPr>
        <w:t>El servidor público que sin justa causa no verifique el pago de los aportes a que</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se</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refiere</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el</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presente</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artículo,</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incurrirá</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en</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causal</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de</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mala</w:t>
      </w:r>
      <w:r w:rsidRPr="007E1CD1">
        <w:rPr>
          <w:rFonts w:ascii="Arial" w:eastAsia="Arial" w:hAnsi="Arial" w:cs="Arial"/>
          <w:iCs/>
          <w:spacing w:val="-7"/>
          <w:sz w:val="21"/>
          <w:lang w:val="es-ES"/>
        </w:rPr>
        <w:t xml:space="preserve"> </w:t>
      </w:r>
      <w:r w:rsidRPr="007E1CD1">
        <w:rPr>
          <w:rFonts w:ascii="Arial" w:eastAsia="Arial" w:hAnsi="Arial" w:cs="Arial"/>
          <w:iCs/>
          <w:sz w:val="21"/>
          <w:lang w:val="es-ES"/>
        </w:rPr>
        <w:t>conducta,</w:t>
      </w:r>
      <w:r w:rsidRPr="007E1CD1">
        <w:rPr>
          <w:rFonts w:ascii="Arial" w:eastAsia="Arial" w:hAnsi="Arial" w:cs="Arial"/>
          <w:iCs/>
          <w:spacing w:val="-8"/>
          <w:sz w:val="21"/>
          <w:lang w:val="es-ES"/>
        </w:rPr>
        <w:t xml:space="preserve"> </w:t>
      </w:r>
      <w:r w:rsidRPr="007E1CD1">
        <w:rPr>
          <w:rFonts w:ascii="Arial" w:eastAsia="Arial" w:hAnsi="Arial" w:cs="Arial"/>
          <w:iCs/>
          <w:sz w:val="21"/>
          <w:lang w:val="es-ES"/>
        </w:rPr>
        <w:t>que será sancionada con arreglo al régimen disciplinario</w:t>
      </w:r>
      <w:r w:rsidRPr="007E1CD1">
        <w:rPr>
          <w:rFonts w:ascii="Arial" w:eastAsia="Arial" w:hAnsi="Arial" w:cs="Arial"/>
          <w:iCs/>
          <w:spacing w:val="-12"/>
          <w:sz w:val="21"/>
          <w:lang w:val="es-ES"/>
        </w:rPr>
        <w:t xml:space="preserve"> </w:t>
      </w:r>
      <w:r w:rsidRPr="007E1CD1">
        <w:rPr>
          <w:rFonts w:ascii="Arial" w:eastAsia="Arial" w:hAnsi="Arial" w:cs="Arial"/>
          <w:iCs/>
          <w:sz w:val="21"/>
          <w:lang w:val="es-ES"/>
        </w:rPr>
        <w:t>vigente.”</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E30FB6">
        <w:rPr>
          <w:rFonts w:ascii="Arial" w:eastAsia="Arial" w:hAnsi="Arial" w:cs="Arial"/>
          <w:lang w:val="es-ES"/>
        </w:rPr>
        <w:t xml:space="preserve">Del artículo 23 de la Ley 1150 de 2007 se concluye </w:t>
      </w:r>
      <w:proofErr w:type="gramStart"/>
      <w:r w:rsidRPr="00E30FB6">
        <w:rPr>
          <w:rFonts w:ascii="Arial" w:eastAsia="Arial" w:hAnsi="Arial" w:cs="Arial"/>
          <w:lang w:val="es-ES"/>
        </w:rPr>
        <w:t>que</w:t>
      </w:r>
      <w:proofErr w:type="gramEnd"/>
      <w:r w:rsidRPr="00E30FB6">
        <w:rPr>
          <w:rFonts w:ascii="Arial" w:eastAsia="Arial" w:hAnsi="Arial" w:cs="Arial"/>
          <w:lang w:val="es-ES"/>
        </w:rPr>
        <w:t xml:space="preserve"> si bien los proponentes y los contratistas deben estar al día en el pago al Sistema de Seguridad Social, la verificación de este requisito, por parte de las entidades estatales, se realizará como presupuesto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E30FB6">
        <w:rPr>
          <w:rFonts w:ascii="Arial" w:eastAsia="Arial" w:hAnsi="Arial" w:cs="Arial"/>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E30FB6" w:rsidDel="006B64E9">
        <w:rPr>
          <w:rFonts w:ascii="Arial" w:eastAsia="Arial" w:hAnsi="Arial" w:cs="Arial"/>
          <w:lang w:val="es-ES"/>
        </w:rPr>
        <w:t xml:space="preserve"> </w:t>
      </w:r>
      <w:r w:rsidRPr="00E30FB6">
        <w:rPr>
          <w:rFonts w:ascii="Arial" w:eastAsia="Arial" w:hAnsi="Arial" w:cs="Arial"/>
          <w:lang w:val="es-ES"/>
        </w:rPr>
        <w:t>que la acreditación de dicho requisito se realiza en diferentes momentos del proceso contractual, tal como se detalla a continuación</w:t>
      </w:r>
      <w:r>
        <w:rPr>
          <w:rFonts w:ascii="Arial" w:eastAsia="Arial" w:hAnsi="Arial" w:cs="Arial"/>
          <w:lang w:val="es-ES"/>
        </w:rPr>
        <w:t>:</w:t>
      </w:r>
      <w:r w:rsidRPr="00E30FB6">
        <w:rPr>
          <w:rFonts w:ascii="Arial" w:eastAsia="Arial" w:hAnsi="Arial" w:cs="Arial"/>
          <w:lang w:val="es-ES"/>
        </w:rPr>
        <w:t xml:space="preserve"> </w:t>
      </w:r>
    </w:p>
    <w:p w:rsidR="00F3072D" w:rsidRPr="00E30FB6" w:rsidRDefault="00F3072D" w:rsidP="00F3072D">
      <w:pPr>
        <w:widowControl w:val="0"/>
        <w:autoSpaceDE w:val="0"/>
        <w:autoSpaceDN w:val="0"/>
        <w:spacing w:before="120" w:after="120" w:line="276" w:lineRule="auto"/>
        <w:ind w:firstLine="709"/>
        <w:jc w:val="both"/>
        <w:rPr>
          <w:rFonts w:ascii="Arial" w:eastAsia="Arial" w:hAnsi="Arial" w:cs="Arial"/>
          <w:lang w:val="es-ES"/>
        </w:rPr>
      </w:pPr>
      <w:r w:rsidRPr="00914FED">
        <w:rPr>
          <w:rFonts w:ascii="Arial" w:eastAsia="Arial" w:hAnsi="Arial" w:cs="Arial"/>
          <w:bCs/>
          <w:i/>
          <w:iCs/>
          <w:lang w:val="es-ES"/>
        </w:rPr>
        <w:t>i)</w:t>
      </w:r>
      <w:r w:rsidRPr="00E30FB6">
        <w:rPr>
          <w:rFonts w:ascii="Arial" w:eastAsia="Arial" w:hAnsi="Arial" w:cs="Arial"/>
          <w:lang w:val="es-ES"/>
        </w:rPr>
        <w:t xml:space="preserve"> </w:t>
      </w:r>
      <w:r w:rsidRPr="00E30FB6">
        <w:rPr>
          <w:rFonts w:ascii="Arial" w:eastAsia="Arial" w:hAnsi="Arial" w:cs="Arial"/>
          <w:i/>
          <w:iCs/>
          <w:lang w:val="es-ES"/>
        </w:rPr>
        <w:t>Para presentar la oferta</w:t>
      </w:r>
      <w:r w:rsidRPr="00E30FB6">
        <w:rPr>
          <w:rFonts w:ascii="Arial" w:eastAsia="Arial" w:hAnsi="Arial" w:cs="Arial"/>
          <w:lang w:val="es-ES"/>
        </w:rPr>
        <w:t xml:space="preserve"> los proponentes deben acreditar el pago de los aportes de sus</w:t>
      </w:r>
      <w:r w:rsidRPr="00E30FB6">
        <w:rPr>
          <w:rFonts w:ascii="Arial" w:eastAsia="Arial" w:hAnsi="Arial" w:cs="Arial"/>
          <w:spacing w:val="-6"/>
          <w:lang w:val="es-ES"/>
        </w:rPr>
        <w:t xml:space="preserve"> </w:t>
      </w:r>
      <w:r w:rsidRPr="00E30FB6">
        <w:rPr>
          <w:rFonts w:ascii="Arial" w:eastAsia="Arial" w:hAnsi="Arial" w:cs="Arial"/>
          <w:lang w:val="es-ES"/>
        </w:rPr>
        <w:t>empleados,</w:t>
      </w:r>
      <w:r w:rsidRPr="00E30FB6">
        <w:rPr>
          <w:rFonts w:ascii="Arial" w:eastAsia="Arial" w:hAnsi="Arial" w:cs="Arial"/>
          <w:spacing w:val="-6"/>
          <w:lang w:val="es-ES"/>
        </w:rPr>
        <w:t xml:space="preserve"> </w:t>
      </w:r>
      <w:r w:rsidRPr="00E30FB6">
        <w:rPr>
          <w:rFonts w:ascii="Arial" w:eastAsia="Arial" w:hAnsi="Arial" w:cs="Arial"/>
          <w:lang w:val="es-ES"/>
        </w:rPr>
        <w:t>mediante</w:t>
      </w:r>
      <w:r w:rsidRPr="00E30FB6">
        <w:rPr>
          <w:rFonts w:ascii="Arial" w:eastAsia="Arial" w:hAnsi="Arial" w:cs="Arial"/>
          <w:spacing w:val="-6"/>
          <w:lang w:val="es-ES"/>
        </w:rPr>
        <w:t xml:space="preserve"> </w:t>
      </w:r>
      <w:r w:rsidRPr="00E30FB6">
        <w:rPr>
          <w:rFonts w:ascii="Arial" w:eastAsia="Arial" w:hAnsi="Arial" w:cs="Arial"/>
          <w:lang w:val="es-ES"/>
        </w:rPr>
        <w:t>certificación</w:t>
      </w:r>
      <w:r w:rsidRPr="00E30FB6">
        <w:rPr>
          <w:rFonts w:ascii="Arial" w:eastAsia="Arial" w:hAnsi="Arial" w:cs="Arial"/>
          <w:spacing w:val="-6"/>
          <w:lang w:val="es-ES"/>
        </w:rPr>
        <w:t xml:space="preserve"> </w:t>
      </w:r>
      <w:r w:rsidRPr="00E30FB6">
        <w:rPr>
          <w:rFonts w:ascii="Arial" w:eastAsia="Arial" w:hAnsi="Arial" w:cs="Arial"/>
          <w:lang w:val="es-ES"/>
        </w:rPr>
        <w:t>expedida</w:t>
      </w:r>
      <w:r w:rsidRPr="00E30FB6">
        <w:rPr>
          <w:rFonts w:ascii="Arial" w:eastAsia="Arial" w:hAnsi="Arial" w:cs="Arial"/>
          <w:spacing w:val="-6"/>
          <w:lang w:val="es-ES"/>
        </w:rPr>
        <w:t xml:space="preserve"> </w:t>
      </w:r>
      <w:r w:rsidRPr="00E30FB6">
        <w:rPr>
          <w:rFonts w:ascii="Arial" w:eastAsia="Arial" w:hAnsi="Arial" w:cs="Arial"/>
          <w:lang w:val="es-ES"/>
        </w:rPr>
        <w:t>por</w:t>
      </w:r>
      <w:r w:rsidRPr="00E30FB6">
        <w:rPr>
          <w:rFonts w:ascii="Arial" w:eastAsia="Arial" w:hAnsi="Arial" w:cs="Arial"/>
          <w:spacing w:val="-6"/>
          <w:lang w:val="es-ES"/>
        </w:rPr>
        <w:t xml:space="preserve"> </w:t>
      </w:r>
      <w:r w:rsidRPr="00E30FB6">
        <w:rPr>
          <w:rFonts w:ascii="Arial" w:eastAsia="Arial" w:hAnsi="Arial" w:cs="Arial"/>
          <w:lang w:val="es-ES"/>
        </w:rPr>
        <w:t>el</w:t>
      </w:r>
      <w:r w:rsidRPr="00E30FB6">
        <w:rPr>
          <w:rFonts w:ascii="Arial" w:eastAsia="Arial" w:hAnsi="Arial" w:cs="Arial"/>
          <w:spacing w:val="-6"/>
          <w:lang w:val="es-ES"/>
        </w:rPr>
        <w:t xml:space="preserve"> </w:t>
      </w:r>
      <w:r w:rsidRPr="00E30FB6">
        <w:rPr>
          <w:rFonts w:ascii="Arial" w:eastAsia="Arial" w:hAnsi="Arial" w:cs="Arial"/>
          <w:lang w:val="es-ES"/>
        </w:rPr>
        <w:t>revisor</w:t>
      </w:r>
      <w:r w:rsidRPr="00E30FB6">
        <w:rPr>
          <w:rFonts w:ascii="Arial" w:eastAsia="Arial" w:hAnsi="Arial" w:cs="Arial"/>
          <w:spacing w:val="-6"/>
          <w:lang w:val="es-ES"/>
        </w:rPr>
        <w:t xml:space="preserve"> </w:t>
      </w:r>
      <w:r w:rsidRPr="00E30FB6">
        <w:rPr>
          <w:rFonts w:ascii="Arial" w:eastAsia="Arial" w:hAnsi="Arial" w:cs="Arial"/>
          <w:lang w:val="es-ES"/>
        </w:rPr>
        <w:t>fiscal,</w:t>
      </w:r>
      <w:r w:rsidRPr="00E30FB6">
        <w:rPr>
          <w:rFonts w:ascii="Arial" w:eastAsia="Arial" w:hAnsi="Arial" w:cs="Arial"/>
          <w:spacing w:val="-5"/>
          <w:lang w:val="es-ES"/>
        </w:rPr>
        <w:t xml:space="preserve"> </w:t>
      </w:r>
      <w:r w:rsidRPr="00E30FB6">
        <w:rPr>
          <w:rFonts w:ascii="Arial" w:eastAsia="Arial" w:hAnsi="Arial" w:cs="Arial"/>
          <w:lang w:val="es-ES"/>
        </w:rPr>
        <w:t>cuando</w:t>
      </w:r>
      <w:r w:rsidRPr="00E30FB6">
        <w:rPr>
          <w:rFonts w:ascii="Arial" w:eastAsia="Arial" w:hAnsi="Arial" w:cs="Arial"/>
          <w:spacing w:val="-6"/>
          <w:lang w:val="es-ES"/>
        </w:rPr>
        <w:t xml:space="preserve"> </w:t>
      </w:r>
      <w:r w:rsidRPr="00E30FB6">
        <w:rPr>
          <w:rFonts w:ascii="Arial" w:eastAsia="Arial" w:hAnsi="Arial" w:cs="Arial"/>
          <w:lang w:val="es-ES"/>
        </w:rPr>
        <w:t>este</w:t>
      </w:r>
      <w:r w:rsidRPr="00E30FB6">
        <w:rPr>
          <w:rFonts w:ascii="Arial" w:eastAsia="Arial" w:hAnsi="Arial" w:cs="Arial"/>
          <w:spacing w:val="-6"/>
          <w:lang w:val="es-ES"/>
        </w:rPr>
        <w:t xml:space="preserve"> </w:t>
      </w:r>
      <w:r w:rsidRPr="00E30FB6">
        <w:rPr>
          <w:rFonts w:ascii="Arial" w:eastAsia="Arial" w:hAnsi="Arial" w:cs="Arial"/>
          <w:lang w:val="es-ES"/>
        </w:rPr>
        <w:t>exista de</w:t>
      </w:r>
      <w:r w:rsidRPr="00E30FB6">
        <w:rPr>
          <w:rFonts w:ascii="Arial" w:eastAsia="Arial" w:hAnsi="Arial" w:cs="Arial"/>
          <w:spacing w:val="-9"/>
          <w:lang w:val="es-ES"/>
        </w:rPr>
        <w:t xml:space="preserve"> </w:t>
      </w:r>
      <w:r w:rsidRPr="00E30FB6">
        <w:rPr>
          <w:rFonts w:ascii="Arial" w:eastAsia="Arial" w:hAnsi="Arial" w:cs="Arial"/>
          <w:lang w:val="es-ES"/>
        </w:rPr>
        <w:t>acuerdo</w:t>
      </w:r>
      <w:r w:rsidRPr="00E30FB6">
        <w:rPr>
          <w:rFonts w:ascii="Arial" w:eastAsia="Arial" w:hAnsi="Arial" w:cs="Arial"/>
          <w:spacing w:val="-8"/>
          <w:lang w:val="es-ES"/>
        </w:rPr>
        <w:t xml:space="preserve"> </w:t>
      </w:r>
      <w:r w:rsidRPr="00E30FB6">
        <w:rPr>
          <w:rFonts w:ascii="Arial" w:eastAsia="Arial" w:hAnsi="Arial" w:cs="Arial"/>
          <w:lang w:val="es-ES"/>
        </w:rPr>
        <w:t>con</w:t>
      </w:r>
      <w:r w:rsidRPr="00E30FB6">
        <w:rPr>
          <w:rFonts w:ascii="Arial" w:eastAsia="Arial" w:hAnsi="Arial" w:cs="Arial"/>
          <w:spacing w:val="-8"/>
          <w:lang w:val="es-ES"/>
        </w:rPr>
        <w:t xml:space="preserve"> </w:t>
      </w:r>
      <w:r w:rsidRPr="00E30FB6">
        <w:rPr>
          <w:rFonts w:ascii="Arial" w:eastAsia="Arial" w:hAnsi="Arial" w:cs="Arial"/>
          <w:lang w:val="es-ES"/>
        </w:rPr>
        <w:t>los</w:t>
      </w:r>
      <w:r w:rsidRPr="00E30FB6">
        <w:rPr>
          <w:rFonts w:ascii="Arial" w:eastAsia="Arial" w:hAnsi="Arial" w:cs="Arial"/>
          <w:spacing w:val="-8"/>
          <w:lang w:val="es-ES"/>
        </w:rPr>
        <w:t xml:space="preserve"> </w:t>
      </w:r>
      <w:r w:rsidRPr="00E30FB6">
        <w:rPr>
          <w:rFonts w:ascii="Arial" w:eastAsia="Arial" w:hAnsi="Arial" w:cs="Arial"/>
          <w:lang w:val="es-ES"/>
        </w:rPr>
        <w:t>requerimientos</w:t>
      </w:r>
      <w:r w:rsidRPr="00E30FB6">
        <w:rPr>
          <w:rFonts w:ascii="Arial" w:eastAsia="Arial" w:hAnsi="Arial" w:cs="Arial"/>
          <w:spacing w:val="-9"/>
          <w:lang w:val="es-ES"/>
        </w:rPr>
        <w:t xml:space="preserve"> </w:t>
      </w:r>
      <w:r w:rsidRPr="00E30FB6">
        <w:rPr>
          <w:rFonts w:ascii="Arial" w:eastAsia="Arial" w:hAnsi="Arial" w:cs="Arial"/>
          <w:lang w:val="es-ES"/>
        </w:rPr>
        <w:t>de</w:t>
      </w:r>
      <w:r w:rsidRPr="00E30FB6">
        <w:rPr>
          <w:rFonts w:ascii="Arial" w:eastAsia="Arial" w:hAnsi="Arial" w:cs="Arial"/>
          <w:spacing w:val="-8"/>
          <w:lang w:val="es-ES"/>
        </w:rPr>
        <w:t xml:space="preserve"> </w:t>
      </w:r>
      <w:r w:rsidRPr="00E30FB6">
        <w:rPr>
          <w:rFonts w:ascii="Arial" w:eastAsia="Arial" w:hAnsi="Arial" w:cs="Arial"/>
          <w:lang w:val="es-ES"/>
        </w:rPr>
        <w:t>Ley,</w:t>
      </w:r>
      <w:r w:rsidRPr="00E30FB6">
        <w:rPr>
          <w:rFonts w:ascii="Arial" w:eastAsia="Arial" w:hAnsi="Arial" w:cs="Arial"/>
          <w:spacing w:val="-8"/>
          <w:lang w:val="es-ES"/>
        </w:rPr>
        <w:t xml:space="preserve"> </w:t>
      </w:r>
      <w:r w:rsidRPr="00E30FB6">
        <w:rPr>
          <w:rFonts w:ascii="Arial" w:eastAsia="Arial" w:hAnsi="Arial" w:cs="Arial"/>
          <w:lang w:val="es-ES"/>
        </w:rPr>
        <w:t>o</w:t>
      </w:r>
      <w:r w:rsidRPr="00E30FB6">
        <w:rPr>
          <w:rFonts w:ascii="Arial" w:eastAsia="Arial" w:hAnsi="Arial" w:cs="Arial"/>
          <w:spacing w:val="-8"/>
          <w:lang w:val="es-ES"/>
        </w:rPr>
        <w:t xml:space="preserve"> </w:t>
      </w:r>
      <w:r w:rsidRPr="00E30FB6">
        <w:rPr>
          <w:rFonts w:ascii="Arial" w:eastAsia="Arial" w:hAnsi="Arial" w:cs="Arial"/>
          <w:lang w:val="es-ES"/>
        </w:rPr>
        <w:t>por</w:t>
      </w:r>
      <w:r w:rsidRPr="00E30FB6">
        <w:rPr>
          <w:rFonts w:ascii="Arial" w:eastAsia="Arial" w:hAnsi="Arial" w:cs="Arial"/>
          <w:spacing w:val="-9"/>
          <w:lang w:val="es-ES"/>
        </w:rPr>
        <w:t xml:space="preserve"> </w:t>
      </w:r>
      <w:r w:rsidRPr="00E30FB6">
        <w:rPr>
          <w:rFonts w:ascii="Arial" w:eastAsia="Arial" w:hAnsi="Arial" w:cs="Arial"/>
          <w:lang w:val="es-ES"/>
        </w:rPr>
        <w:t>el</w:t>
      </w:r>
      <w:r w:rsidRPr="00E30FB6">
        <w:rPr>
          <w:rFonts w:ascii="Arial" w:eastAsia="Arial" w:hAnsi="Arial" w:cs="Arial"/>
          <w:spacing w:val="-8"/>
          <w:lang w:val="es-ES"/>
        </w:rPr>
        <w:t xml:space="preserve"> </w:t>
      </w:r>
      <w:r w:rsidRPr="00E30FB6">
        <w:rPr>
          <w:rFonts w:ascii="Arial" w:eastAsia="Arial" w:hAnsi="Arial" w:cs="Arial"/>
          <w:lang w:val="es-ES"/>
        </w:rPr>
        <w:t>representante</w:t>
      </w:r>
      <w:r w:rsidRPr="00E30FB6">
        <w:rPr>
          <w:rFonts w:ascii="Arial" w:eastAsia="Arial" w:hAnsi="Arial" w:cs="Arial"/>
          <w:spacing w:val="-8"/>
          <w:lang w:val="es-ES"/>
        </w:rPr>
        <w:t xml:space="preserve"> </w:t>
      </w:r>
      <w:r w:rsidRPr="00E30FB6">
        <w:rPr>
          <w:rFonts w:ascii="Arial" w:eastAsia="Arial" w:hAnsi="Arial" w:cs="Arial"/>
          <w:lang w:val="es-ES"/>
        </w:rPr>
        <w:t>legal,</w:t>
      </w:r>
      <w:r w:rsidRPr="00E30FB6">
        <w:rPr>
          <w:rFonts w:ascii="Arial" w:eastAsia="Arial" w:hAnsi="Arial" w:cs="Arial"/>
          <w:spacing w:val="-8"/>
          <w:lang w:val="es-ES"/>
        </w:rPr>
        <w:t xml:space="preserve"> </w:t>
      </w:r>
      <w:r w:rsidRPr="00E30FB6">
        <w:rPr>
          <w:rFonts w:ascii="Arial" w:eastAsia="Arial" w:hAnsi="Arial" w:cs="Arial"/>
          <w:lang w:val="es-ES"/>
        </w:rPr>
        <w:t>durante</w:t>
      </w:r>
      <w:r w:rsidRPr="00E30FB6">
        <w:rPr>
          <w:rFonts w:ascii="Arial" w:eastAsia="Arial" w:hAnsi="Arial" w:cs="Arial"/>
          <w:spacing w:val="-9"/>
          <w:lang w:val="es-ES"/>
        </w:rPr>
        <w:t xml:space="preserve"> </w:t>
      </w:r>
      <w:r w:rsidRPr="00E30FB6">
        <w:rPr>
          <w:rFonts w:ascii="Arial" w:eastAsia="Arial" w:hAnsi="Arial" w:cs="Arial"/>
          <w:lang w:val="es-ES"/>
        </w:rPr>
        <w:t>un</w:t>
      </w:r>
      <w:r w:rsidRPr="00E30FB6">
        <w:rPr>
          <w:rFonts w:ascii="Arial" w:eastAsia="Arial" w:hAnsi="Arial" w:cs="Arial"/>
          <w:spacing w:val="-8"/>
          <w:lang w:val="es-ES"/>
        </w:rPr>
        <w:t xml:space="preserve"> </w:t>
      </w:r>
      <w:r w:rsidRPr="00E30FB6">
        <w:rPr>
          <w:rFonts w:ascii="Arial" w:eastAsia="Arial" w:hAnsi="Arial" w:cs="Arial"/>
          <w:lang w:val="es-ES"/>
        </w:rPr>
        <w:t>lapso equivalente al que exija el respectivo régimen de contratación para el que se hubiera constituido la sociedad, el cual, en todo caso, no será inferior a los seis (6) meses anteriores a la celebración del contrato</w:t>
      </w:r>
      <w:r w:rsidRPr="00E30FB6">
        <w:rPr>
          <w:rFonts w:ascii="Arial" w:eastAsia="Arial" w:hAnsi="Arial" w:cs="Arial"/>
          <w:vertAlign w:val="superscript"/>
          <w:lang w:val="es-ES"/>
        </w:rPr>
        <w:footnoteReference w:id="19"/>
      </w:r>
      <w:r w:rsidRPr="00E30FB6">
        <w:rPr>
          <w:rFonts w:ascii="Arial" w:eastAsia="Arial" w:hAnsi="Arial" w:cs="Arial"/>
          <w:lang w:val="es-ES"/>
        </w:rPr>
        <w:t>. Si bien este certificado no es un requisito</w:t>
      </w:r>
      <w:r w:rsidRPr="00E30FB6">
        <w:rPr>
          <w:rFonts w:ascii="Arial" w:eastAsia="Arial" w:hAnsi="Arial" w:cs="Arial"/>
          <w:spacing w:val="45"/>
          <w:lang w:val="es-ES"/>
        </w:rPr>
        <w:t xml:space="preserve"> </w:t>
      </w:r>
      <w:r w:rsidRPr="00E30FB6">
        <w:rPr>
          <w:rFonts w:ascii="Arial" w:eastAsia="Arial" w:hAnsi="Arial" w:cs="Arial"/>
          <w:lang w:val="es-ES"/>
        </w:rPr>
        <w:t xml:space="preserve">para perfeccionar ni para ejecutarlo, sí lo es para admitir la oferta en el procedimiento de selección. Cabe señalar que la acreditación en los términos indicado solo procede frente a las </w:t>
      </w:r>
      <w:r w:rsidRPr="00E30FB6">
        <w:rPr>
          <w:rFonts w:ascii="Arial" w:eastAsia="Arial" w:hAnsi="Arial" w:cs="Arial"/>
          <w:i/>
          <w:iCs/>
          <w:lang w:val="es-ES"/>
        </w:rPr>
        <w:t xml:space="preserve">personas jurídicas </w:t>
      </w:r>
      <w:r w:rsidRPr="00E30FB6">
        <w:rPr>
          <w:rFonts w:ascii="Arial" w:eastAsia="Arial" w:hAnsi="Arial" w:cs="Arial"/>
          <w:lang w:val="es-ES"/>
        </w:rPr>
        <w:t>–Ley 789 de 2002, art. 50, inciso 3°–.</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i/>
          <w:iCs/>
          <w:lang w:val="es-ES"/>
        </w:rPr>
        <w:t>ii)</w:t>
      </w:r>
      <w:r>
        <w:rPr>
          <w:rFonts w:ascii="Arial" w:eastAsia="Arial" w:hAnsi="Arial" w:cs="Arial"/>
          <w:b/>
          <w:lang w:val="es-ES"/>
        </w:rPr>
        <w:t xml:space="preserve"> </w:t>
      </w:r>
      <w:r w:rsidRPr="00E30FB6">
        <w:rPr>
          <w:rFonts w:ascii="Arial" w:eastAsia="Arial" w:hAnsi="Arial" w:cs="Arial"/>
          <w:lang w:val="es-ES"/>
        </w:rPr>
        <w:t xml:space="preserve">En el momento del </w:t>
      </w:r>
      <w:r w:rsidRPr="00E30FB6">
        <w:rPr>
          <w:rFonts w:ascii="Arial" w:eastAsia="Arial" w:hAnsi="Arial" w:cs="Arial"/>
          <w:i/>
          <w:iCs/>
          <w:lang w:val="es-ES"/>
        </w:rPr>
        <w:t>perfeccionamiento del contrato estatal</w:t>
      </w:r>
      <w:r w:rsidRPr="00E30FB6">
        <w:rPr>
          <w:rFonts w:ascii="Arial" w:eastAsia="Arial" w:hAnsi="Arial" w:cs="Arial"/>
          <w:lang w:val="es-ES"/>
        </w:rPr>
        <w:t xml:space="preserve"> se hace necesario que la entidad pública verifique que se encuentra a paz y salvo del pago de seguridad social. En este </w:t>
      </w:r>
      <w:r w:rsidRPr="00E30FB6">
        <w:rPr>
          <w:rFonts w:ascii="Arial" w:eastAsia="Arial" w:hAnsi="Arial" w:cs="Arial"/>
          <w:lang w:val="es-ES"/>
        </w:rPr>
        <w:lastRenderedPageBreak/>
        <w:t>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i/>
          <w:iCs/>
          <w:lang w:val="es-ES"/>
        </w:rPr>
        <w:t>iii)</w:t>
      </w:r>
      <w:r>
        <w:rPr>
          <w:rFonts w:ascii="Arial" w:eastAsia="Arial" w:hAnsi="Arial" w:cs="Arial"/>
          <w:b/>
          <w:lang w:val="es-ES"/>
        </w:rPr>
        <w:t xml:space="preserve"> </w:t>
      </w:r>
      <w:r w:rsidRPr="00E30FB6">
        <w:rPr>
          <w:rFonts w:ascii="Arial" w:eastAsia="Arial" w:hAnsi="Arial" w:cs="Arial"/>
          <w:lang w:val="es-ES"/>
        </w:rPr>
        <w:t xml:space="preserve">El pago de los aportes de seguridad social es un </w:t>
      </w:r>
      <w:r w:rsidRPr="00E30FB6">
        <w:rPr>
          <w:rFonts w:ascii="Arial" w:eastAsia="Arial" w:hAnsi="Arial" w:cs="Arial"/>
          <w:i/>
          <w:iCs/>
          <w:lang w:val="es-ES"/>
        </w:rPr>
        <w:t>requisito de ejecución</w:t>
      </w:r>
      <w:r w:rsidRPr="00E30FB6">
        <w:rPr>
          <w:rFonts w:ascii="Arial" w:eastAsia="Arial" w:hAnsi="Arial" w:cs="Arial"/>
          <w:lang w:val="es-ES"/>
        </w:rPr>
        <w:t xml:space="preserve"> del contrato, es decir, es un elemento </w:t>
      </w:r>
      <w:r w:rsidRPr="00E30FB6">
        <w:rPr>
          <w:rFonts w:ascii="Arial" w:eastAsia="Arial" w:hAnsi="Arial" w:cs="Arial"/>
          <w:i/>
          <w:lang w:val="es-ES"/>
        </w:rPr>
        <w:t>sine qua non</w:t>
      </w:r>
      <w:r w:rsidRPr="00E30FB6">
        <w:rPr>
          <w:rFonts w:ascii="Arial" w:eastAsia="Arial" w:hAnsi="Arial" w:cs="Arial"/>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iv)</w:t>
      </w:r>
      <w:r w:rsidRPr="00E30FB6">
        <w:rPr>
          <w:rFonts w:ascii="Arial" w:eastAsia="Arial" w:hAnsi="Arial" w:cs="Arial"/>
          <w:lang w:val="es-ES"/>
        </w:rPr>
        <w:t xml:space="preserve"> </w:t>
      </w:r>
      <w:r w:rsidRPr="00E30FB6">
        <w:rPr>
          <w:rFonts w:ascii="Arial" w:eastAsia="Arial" w:hAnsi="Arial" w:cs="Arial"/>
          <w:i/>
          <w:iCs/>
          <w:lang w:val="es-ES"/>
        </w:rPr>
        <w:t>Durante la ejecución del contrato</w:t>
      </w:r>
      <w:r w:rsidRPr="00E30FB6">
        <w:rPr>
          <w:rFonts w:ascii="Arial" w:eastAsia="Arial" w:hAnsi="Arial" w:cs="Arial"/>
          <w:lang w:val="es-ES"/>
        </w:rPr>
        <w:t xml:space="preserve">, la Entidad Estatal debe verificar el pago a los aportes a seguridad social, verificación que deberá efectuar para realizar cada pago originado en el contrato –parágrafo 1, art. 41 de la Ley 80 de 1993, modificado por el art. 23 de la Ley 1150 de 2007–. </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v)</w:t>
      </w:r>
      <w:r w:rsidRPr="00E30FB6">
        <w:rPr>
          <w:rFonts w:ascii="Arial" w:eastAsia="Arial" w:hAnsi="Arial" w:cs="Arial"/>
          <w:lang w:val="es-ES"/>
        </w:rPr>
        <w:t xml:space="preserve"> Finalmente,</w:t>
      </w:r>
      <w:r w:rsidRPr="00E30FB6">
        <w:rPr>
          <w:rFonts w:ascii="Arial" w:eastAsia="Arial" w:hAnsi="Arial" w:cs="Arial"/>
          <w:spacing w:val="-4"/>
          <w:lang w:val="es-ES"/>
        </w:rPr>
        <w:t xml:space="preserve"> </w:t>
      </w:r>
      <w:r w:rsidRPr="00E30FB6">
        <w:rPr>
          <w:rFonts w:ascii="Arial" w:eastAsia="Arial" w:hAnsi="Arial" w:cs="Arial"/>
          <w:lang w:val="es-ES"/>
        </w:rPr>
        <w:t>en</w:t>
      </w:r>
      <w:r w:rsidRPr="00E30FB6">
        <w:rPr>
          <w:rFonts w:ascii="Arial" w:eastAsia="Arial" w:hAnsi="Arial" w:cs="Arial"/>
          <w:spacing w:val="-6"/>
          <w:lang w:val="es-ES"/>
        </w:rPr>
        <w:t xml:space="preserve"> </w:t>
      </w:r>
      <w:r w:rsidRPr="00E30FB6">
        <w:rPr>
          <w:rFonts w:ascii="Arial" w:eastAsia="Arial" w:hAnsi="Arial" w:cs="Arial"/>
          <w:lang w:val="es-ES"/>
        </w:rPr>
        <w:t>virtud</w:t>
      </w:r>
      <w:r w:rsidRPr="00E30FB6">
        <w:rPr>
          <w:rFonts w:ascii="Arial" w:eastAsia="Arial" w:hAnsi="Arial" w:cs="Arial"/>
          <w:spacing w:val="-5"/>
          <w:lang w:val="es-ES"/>
        </w:rPr>
        <w:t xml:space="preserve"> </w:t>
      </w:r>
      <w:r w:rsidRPr="00E30FB6">
        <w:rPr>
          <w:rFonts w:ascii="Arial" w:eastAsia="Arial" w:hAnsi="Arial" w:cs="Arial"/>
          <w:lang w:val="es-ES"/>
        </w:rPr>
        <w:t>del</w:t>
      </w:r>
      <w:r w:rsidRPr="00E30FB6">
        <w:rPr>
          <w:rFonts w:ascii="Arial" w:eastAsia="Arial" w:hAnsi="Arial" w:cs="Arial"/>
          <w:spacing w:val="-6"/>
          <w:lang w:val="es-ES"/>
        </w:rPr>
        <w:t xml:space="preserve"> </w:t>
      </w:r>
      <w:r w:rsidRPr="00E30FB6">
        <w:rPr>
          <w:rFonts w:ascii="Arial" w:eastAsia="Arial" w:hAnsi="Arial" w:cs="Arial"/>
          <w:lang w:val="es-ES"/>
        </w:rPr>
        <w:t>artículo</w:t>
      </w:r>
      <w:r w:rsidRPr="00E30FB6">
        <w:rPr>
          <w:rFonts w:ascii="Arial" w:eastAsia="Arial" w:hAnsi="Arial" w:cs="Arial"/>
          <w:spacing w:val="-6"/>
          <w:lang w:val="es-ES"/>
        </w:rPr>
        <w:t xml:space="preserve"> </w:t>
      </w:r>
      <w:r w:rsidRPr="00E30FB6">
        <w:rPr>
          <w:rFonts w:ascii="Arial" w:eastAsia="Arial" w:hAnsi="Arial" w:cs="Arial"/>
          <w:lang w:val="es-ES"/>
        </w:rPr>
        <w:t>50</w:t>
      </w:r>
      <w:r w:rsidRPr="00E30FB6">
        <w:rPr>
          <w:rFonts w:ascii="Arial" w:eastAsia="Arial" w:hAnsi="Arial" w:cs="Arial"/>
          <w:spacing w:val="-5"/>
          <w:lang w:val="es-ES"/>
        </w:rPr>
        <w:t xml:space="preserve"> </w:t>
      </w:r>
      <w:r w:rsidRPr="00E30FB6">
        <w:rPr>
          <w:rFonts w:ascii="Arial" w:eastAsia="Arial" w:hAnsi="Arial" w:cs="Arial"/>
          <w:lang w:val="es-ES"/>
        </w:rPr>
        <w:t>de</w:t>
      </w:r>
      <w:r w:rsidRPr="00E30FB6">
        <w:rPr>
          <w:rFonts w:ascii="Arial" w:eastAsia="Arial" w:hAnsi="Arial" w:cs="Arial"/>
          <w:spacing w:val="-6"/>
          <w:lang w:val="es-ES"/>
        </w:rPr>
        <w:t xml:space="preserve"> </w:t>
      </w:r>
      <w:r w:rsidRPr="00E30FB6">
        <w:rPr>
          <w:rFonts w:ascii="Arial" w:eastAsia="Arial" w:hAnsi="Arial" w:cs="Arial"/>
          <w:lang w:val="es-ES"/>
        </w:rPr>
        <w:t>la</w:t>
      </w:r>
      <w:r w:rsidRPr="00E30FB6">
        <w:rPr>
          <w:rFonts w:ascii="Arial" w:eastAsia="Arial" w:hAnsi="Arial" w:cs="Arial"/>
          <w:spacing w:val="-6"/>
          <w:lang w:val="es-ES"/>
        </w:rPr>
        <w:t xml:space="preserve"> </w:t>
      </w:r>
      <w:r w:rsidRPr="00E30FB6">
        <w:rPr>
          <w:rFonts w:ascii="Arial" w:eastAsia="Arial" w:hAnsi="Arial" w:cs="Arial"/>
          <w:lang w:val="es-ES"/>
        </w:rPr>
        <w:t>Ley</w:t>
      </w:r>
      <w:r w:rsidRPr="00E30FB6">
        <w:rPr>
          <w:rFonts w:ascii="Arial" w:eastAsia="Arial" w:hAnsi="Arial" w:cs="Arial"/>
          <w:spacing w:val="-5"/>
          <w:lang w:val="es-ES"/>
        </w:rPr>
        <w:t xml:space="preserve"> </w:t>
      </w:r>
      <w:r w:rsidRPr="00E30FB6">
        <w:rPr>
          <w:rFonts w:ascii="Arial" w:eastAsia="Arial" w:hAnsi="Arial" w:cs="Arial"/>
          <w:lang w:val="es-ES"/>
        </w:rPr>
        <w:t>789</w:t>
      </w:r>
      <w:r w:rsidRPr="00E30FB6">
        <w:rPr>
          <w:rFonts w:ascii="Arial" w:eastAsia="Arial" w:hAnsi="Arial" w:cs="Arial"/>
          <w:spacing w:val="-6"/>
          <w:lang w:val="es-ES"/>
        </w:rPr>
        <w:t xml:space="preserve"> </w:t>
      </w:r>
      <w:r w:rsidRPr="00E30FB6">
        <w:rPr>
          <w:rFonts w:ascii="Arial" w:eastAsia="Arial" w:hAnsi="Arial" w:cs="Arial"/>
          <w:lang w:val="es-ES"/>
        </w:rPr>
        <w:t>de</w:t>
      </w:r>
      <w:r w:rsidRPr="00E30FB6">
        <w:rPr>
          <w:rFonts w:ascii="Arial" w:eastAsia="Arial" w:hAnsi="Arial" w:cs="Arial"/>
          <w:spacing w:val="-5"/>
          <w:lang w:val="es-ES"/>
        </w:rPr>
        <w:t xml:space="preserve"> </w:t>
      </w:r>
      <w:r w:rsidRPr="00E30FB6">
        <w:rPr>
          <w:rFonts w:ascii="Arial" w:eastAsia="Arial" w:hAnsi="Arial" w:cs="Arial"/>
          <w:lang w:val="es-ES"/>
        </w:rPr>
        <w:t>2002,</w:t>
      </w:r>
      <w:r w:rsidRPr="00E30FB6">
        <w:rPr>
          <w:rFonts w:ascii="Arial" w:eastAsia="Arial" w:hAnsi="Arial" w:cs="Arial"/>
          <w:spacing w:val="-6"/>
          <w:lang w:val="es-ES"/>
        </w:rPr>
        <w:t xml:space="preserve"> </w:t>
      </w:r>
      <w:r w:rsidRPr="00E30FB6">
        <w:rPr>
          <w:rFonts w:ascii="Arial" w:eastAsia="Arial" w:hAnsi="Arial" w:cs="Arial"/>
          <w:lang w:val="es-ES"/>
        </w:rPr>
        <w:t>la</w:t>
      </w:r>
      <w:r w:rsidRPr="00E30FB6">
        <w:rPr>
          <w:rFonts w:ascii="Arial" w:eastAsia="Arial" w:hAnsi="Arial" w:cs="Arial"/>
          <w:spacing w:val="-6"/>
          <w:lang w:val="es-ES"/>
        </w:rPr>
        <w:t xml:space="preserve"> </w:t>
      </w:r>
      <w:r w:rsidRPr="00E30FB6">
        <w:rPr>
          <w:rFonts w:ascii="Arial" w:eastAsia="Arial" w:hAnsi="Arial" w:cs="Arial"/>
          <w:lang w:val="es-ES"/>
        </w:rPr>
        <w:t>entidad</w:t>
      </w:r>
      <w:r w:rsidRPr="00E30FB6">
        <w:rPr>
          <w:rFonts w:ascii="Arial" w:eastAsia="Arial" w:hAnsi="Arial" w:cs="Arial"/>
          <w:spacing w:val="-5"/>
          <w:lang w:val="es-ES"/>
        </w:rPr>
        <w:t xml:space="preserve"> </w:t>
      </w:r>
      <w:r w:rsidRPr="00E30FB6">
        <w:rPr>
          <w:rFonts w:ascii="Arial" w:eastAsia="Arial" w:hAnsi="Arial" w:cs="Arial"/>
          <w:lang w:val="es-ES"/>
        </w:rPr>
        <w:t xml:space="preserve">verificará, tanto para las personas naturales como para las jurídicas, la realización de los aportes al Sistema de Seguridad Social Integral, al </w:t>
      </w:r>
      <w:r w:rsidRPr="00E30FB6">
        <w:rPr>
          <w:rFonts w:ascii="Arial" w:eastAsia="Arial" w:hAnsi="Arial" w:cs="Arial"/>
          <w:i/>
          <w:iCs/>
          <w:lang w:val="es-ES"/>
        </w:rPr>
        <w:t>momento de su liquidación</w:t>
      </w:r>
      <w:r w:rsidRPr="00E30FB6">
        <w:rPr>
          <w:rFonts w:ascii="Arial" w:eastAsia="Arial" w:hAnsi="Arial" w:cs="Arial"/>
          <w:lang w:val="es-ES"/>
        </w:rPr>
        <w:t>, y dejarán constancia del cumplimiento de las obligaciones del contratista frente a los aportes mencionados durante toda su vigencia, estableciendo una correcta relación entre el monto cancelado y las sumas que debieron</w:t>
      </w:r>
      <w:r w:rsidRPr="00E30FB6">
        <w:rPr>
          <w:rFonts w:ascii="Arial" w:eastAsia="Arial" w:hAnsi="Arial" w:cs="Arial"/>
          <w:spacing w:val="-9"/>
          <w:lang w:val="es-ES"/>
        </w:rPr>
        <w:t xml:space="preserve"> </w:t>
      </w:r>
      <w:r w:rsidRPr="00E30FB6">
        <w:rPr>
          <w:rFonts w:ascii="Arial" w:eastAsia="Arial" w:hAnsi="Arial" w:cs="Arial"/>
          <w:lang w:val="es-ES"/>
        </w:rPr>
        <w:t>cotizar.</w:t>
      </w:r>
    </w:p>
    <w:p w:rsidR="00F3072D" w:rsidRDefault="00F3072D" w:rsidP="00F3072D">
      <w:pPr>
        <w:widowControl w:val="0"/>
        <w:autoSpaceDE w:val="0"/>
        <w:autoSpaceDN w:val="0"/>
        <w:spacing w:after="0" w:line="276" w:lineRule="auto"/>
        <w:ind w:firstLine="709"/>
        <w:jc w:val="both"/>
        <w:rPr>
          <w:rFonts w:ascii="Arial" w:eastAsia="Arial" w:hAnsi="Arial" w:cs="Arial"/>
          <w:lang w:val="es-ES"/>
        </w:rPr>
      </w:pPr>
      <w:r w:rsidRPr="00E30FB6">
        <w:rPr>
          <w:rFonts w:ascii="Arial" w:eastAsia="Arial" w:hAnsi="Arial" w:cs="Arial"/>
          <w:lang w:val="es-ES"/>
        </w:rPr>
        <w:t>A partir de las reglas mencionadas, se evidencia que la afiliación al régimen co</w:t>
      </w:r>
      <w:r>
        <w:rPr>
          <w:rFonts w:ascii="Arial" w:eastAsia="Arial" w:hAnsi="Arial" w:cs="Arial"/>
          <w:lang w:val="es-ES"/>
        </w:rPr>
        <w:t>ntributivo del sistema de salud</w:t>
      </w:r>
      <w:r w:rsidRPr="00E30FB6">
        <w:rPr>
          <w:rFonts w:ascii="Arial" w:eastAsia="Arial" w:hAnsi="Arial" w:cs="Arial"/>
          <w:lang w:val="es-ES"/>
        </w:rPr>
        <w:t xml:space="preserve"> por parte de quien pretenda suscribir un contrato y el contratista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w:t>
      </w:r>
    </w:p>
    <w:p w:rsidR="00F3072D" w:rsidRPr="00E30FB6" w:rsidRDefault="00F3072D" w:rsidP="00F3072D">
      <w:pPr>
        <w:widowControl w:val="0"/>
        <w:autoSpaceDE w:val="0"/>
        <w:autoSpaceDN w:val="0"/>
        <w:spacing w:after="0" w:line="276" w:lineRule="auto"/>
        <w:ind w:firstLine="709"/>
        <w:jc w:val="both"/>
        <w:rPr>
          <w:rFonts w:ascii="Arial" w:eastAsia="Arial" w:hAnsi="Arial" w:cs="Arial"/>
          <w:lang w:val="es-ES"/>
        </w:rPr>
      </w:pPr>
    </w:p>
    <w:p w:rsidR="00F3072D" w:rsidRPr="007E1CD1" w:rsidRDefault="00F3072D" w:rsidP="00F3072D">
      <w:pPr>
        <w:pStyle w:val="Prrafodelista"/>
        <w:numPr>
          <w:ilvl w:val="1"/>
          <w:numId w:val="2"/>
        </w:numPr>
        <w:shd w:val="clear" w:color="auto" w:fill="FFFFFF"/>
        <w:spacing w:line="276" w:lineRule="auto"/>
        <w:ind w:left="0" w:firstLine="0"/>
        <w:jc w:val="both"/>
        <w:rPr>
          <w:rFonts w:ascii="Arial" w:eastAsia="Times New Roman" w:hAnsi="Arial" w:cs="Arial"/>
          <w:color w:val="000000" w:themeColor="text1"/>
          <w:szCs w:val="24"/>
          <w:lang w:val="es-CO" w:eastAsia="es-CO"/>
        </w:rPr>
      </w:pPr>
      <w:r w:rsidRPr="007E1CD1">
        <w:rPr>
          <w:rFonts w:ascii="Arial" w:eastAsia="Times New Roman" w:hAnsi="Arial" w:cs="Arial"/>
          <w:b/>
          <w:bCs/>
          <w:color w:val="000000" w:themeColor="text1"/>
          <w:lang w:eastAsia="es-CO"/>
        </w:rPr>
        <w:t xml:space="preserve"> Examen médico pre ocupacional: definición y fundamento normativo de la obligación de aportarlo en materia de contratación</w:t>
      </w:r>
    </w:p>
    <w:p w:rsidR="00F3072D" w:rsidRPr="00E30FB6" w:rsidRDefault="00F3072D" w:rsidP="00F3072D">
      <w:pPr>
        <w:shd w:val="clear" w:color="auto" w:fill="FFFFFF"/>
        <w:spacing w:before="120" w:after="120" w:line="276" w:lineRule="auto"/>
        <w:jc w:val="both"/>
        <w:rPr>
          <w:rFonts w:ascii="Arial" w:eastAsia="Times New Roman" w:hAnsi="Arial" w:cs="Arial"/>
          <w:b/>
          <w:bCs/>
          <w:color w:val="000000" w:themeColor="text1"/>
          <w:lang w:eastAsia="es-CO"/>
        </w:rPr>
      </w:pPr>
      <w:r w:rsidRPr="00E30FB6">
        <w:rPr>
          <w:rFonts w:ascii="Arial" w:eastAsia="Times New Roman" w:hAnsi="Arial" w:cs="Arial"/>
          <w:color w:val="000000" w:themeColor="text1"/>
          <w:lang w:eastAsia="es-CO"/>
        </w:rPr>
        <w:t xml:space="preserve">El examen médico pre ocupacional es un acto médico en el que se determinan las condiciones de salud, física, mental y social de quien va a contratar con una entidad pública. Este examen deberá practicarse antes de la suscripción del contrato y en él se interrogan las condiciones de salud del futuro contratista en función de las obligaciones contractuales que se van a ejecutar y </w:t>
      </w:r>
      <w:r w:rsidRPr="00E30FB6">
        <w:rPr>
          <w:rFonts w:ascii="Arial" w:eastAsia="Times New Roman" w:hAnsi="Arial" w:cs="Arial"/>
          <w:color w:val="000000" w:themeColor="text1"/>
          <w:lang w:eastAsia="es-CO"/>
        </w:rPr>
        <w:lastRenderedPageBreak/>
        <w:t>el factor de riesgo del contrato</w:t>
      </w:r>
      <w:r w:rsidRPr="00E30FB6">
        <w:rPr>
          <w:rStyle w:val="Refdenotaalpie"/>
          <w:rFonts w:ascii="Arial" w:eastAsia="Times New Roman" w:hAnsi="Arial" w:cs="Arial"/>
          <w:color w:val="000000" w:themeColor="text1"/>
          <w:lang w:eastAsia="es-CO"/>
        </w:rPr>
        <w:footnoteReference w:id="20"/>
      </w:r>
      <w:r w:rsidRPr="00E30FB6">
        <w:rPr>
          <w:rFonts w:ascii="Arial" w:eastAsia="Times New Roman" w:hAnsi="Arial" w:cs="Arial"/>
          <w:color w:val="000000" w:themeColor="text1"/>
          <w:lang w:eastAsia="es-CO"/>
        </w:rPr>
        <w:t>.</w:t>
      </w:r>
      <w:r>
        <w:rPr>
          <w:rFonts w:ascii="Arial" w:eastAsia="Times New Roman" w:hAnsi="Arial" w:cs="Arial"/>
          <w:color w:val="000000" w:themeColor="text1"/>
          <w:lang w:eastAsia="es-CO"/>
        </w:rPr>
        <w:t xml:space="preserve"> </w:t>
      </w:r>
      <w:r w:rsidRPr="00E30FB6">
        <w:rPr>
          <w:rFonts w:ascii="Arial" w:eastAsia="Times New Roman" w:hAnsi="Arial" w:cs="Arial"/>
          <w:color w:val="000000" w:themeColor="text1"/>
          <w:lang w:eastAsia="es-CO"/>
        </w:rPr>
        <w:t>La finalidad de este examen consiste en determinar la aptitud del contratista para el ejercicio de las obligaciones del contrato y conocer las restricciones de salud que ameriten adoptar alguna medida administrativa en ejercicio del contrato.</w:t>
      </w: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szCs w:val="24"/>
          <w:lang w:eastAsia="es-CO"/>
        </w:rPr>
      </w:pPr>
      <w:r w:rsidRPr="00E30FB6">
        <w:rPr>
          <w:rFonts w:ascii="Arial" w:eastAsia="Times New Roman" w:hAnsi="Arial" w:cs="Arial"/>
          <w:color w:val="000000" w:themeColor="text1"/>
          <w:lang w:eastAsia="es-CO"/>
        </w:rPr>
        <w:t>El marco normativo del examen médico pre ocupacional lo integran i) el parágrafo 3 del artículo 2 de la Ley 1562 de 2012 y ii) el artículo 2.2.4.2.2.18 del Decreto 1072 de 2015. El parágrafo 3 del artículo 2 de la Ley 1562 de 2012</w:t>
      </w:r>
      <w:r w:rsidRPr="00E30FB6">
        <w:rPr>
          <w:rStyle w:val="Refdenotaalpie"/>
          <w:rFonts w:ascii="Arial" w:eastAsia="Times New Roman" w:hAnsi="Arial" w:cs="Arial"/>
          <w:color w:val="000000" w:themeColor="text1"/>
          <w:lang w:eastAsia="es-CO"/>
        </w:rPr>
        <w:footnoteReference w:id="21"/>
      </w:r>
      <w:r w:rsidRPr="00E30FB6">
        <w:rPr>
          <w:rFonts w:ascii="Arial" w:eastAsia="Times New Roman" w:hAnsi="Arial" w:cs="Arial"/>
          <w:color w:val="000000" w:themeColor="text1"/>
          <w:lang w:eastAsia="es-CO"/>
        </w:rPr>
        <w:t xml:space="preserve"> asimiló el régimen de salud ocupacional de contratistas al de trabajadores dependientes, y en este orden, impuso la obligación a los contratantes de afiliar a aquellos al sistema general de riesgos laborales. </w:t>
      </w: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En desarrollo de este deber de prevención y gestión de riesgos laborales, el Decreto 1072 de 2015, en el artículo 2.2.4.2.2.18, consagró la obligación de realizar el examen médico ocupacional a los contratistas, así: </w:t>
      </w:r>
    </w:p>
    <w:p w:rsidR="00F3072D" w:rsidRDefault="00F3072D" w:rsidP="00F3072D">
      <w:pPr>
        <w:shd w:val="clear" w:color="auto" w:fill="FFFFFF"/>
        <w:tabs>
          <w:tab w:val="center" w:pos="4419"/>
        </w:tabs>
        <w:spacing w:after="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E30FB6">
        <w:rPr>
          <w:rFonts w:ascii="Arial" w:hAnsi="Arial" w:cs="Arial"/>
          <w:color w:val="000000" w:themeColor="text1"/>
          <w:sz w:val="21"/>
          <w:szCs w:val="21"/>
        </w:rPr>
        <w:t xml:space="preserve">Artículo 2.2.4.2.2.18. Exámenes médicos ocupacionales. En virtud de lo </w:t>
      </w:r>
      <w:r w:rsidRPr="00E30FB6">
        <w:rPr>
          <w:rFonts w:ascii="Arial" w:eastAsia="Times New Roman" w:hAnsi="Arial" w:cs="Arial"/>
          <w:color w:val="000000" w:themeColor="text1"/>
          <w:sz w:val="21"/>
          <w:szCs w:val="21"/>
          <w:lang w:eastAsia="es-CO"/>
        </w:rPr>
        <w:t>establecido</w:t>
      </w:r>
      <w:r w:rsidRPr="00E30FB6">
        <w:rPr>
          <w:rFonts w:ascii="Arial" w:hAnsi="Arial" w:cs="Arial"/>
          <w:color w:val="000000" w:themeColor="text1"/>
          <w:sz w:val="21"/>
          <w:szCs w:val="21"/>
        </w:rPr>
        <w:t xml:space="preserve"> en el parágrafo 3° del artículo 2° de la Ley 1562 de 2012, la entidad o institución contratante deberá establecer las medidas para que los contratistas sean incluidos en sus Sistemas de Vigilancia Epidemiológica, para lo cual podrán tener en cuenta los términos de duración de los respectivos contratos. El costo de los exámenes periódicos será asumido </w:t>
      </w:r>
      <w:r>
        <w:rPr>
          <w:rFonts w:ascii="Arial" w:hAnsi="Arial" w:cs="Arial"/>
          <w:color w:val="000000" w:themeColor="text1"/>
          <w:sz w:val="21"/>
          <w:szCs w:val="21"/>
        </w:rPr>
        <w:t>por el contratante.</w:t>
      </w:r>
    </w:p>
    <w:p w:rsidR="00F3072D" w:rsidRPr="00E30FB6" w:rsidRDefault="00F3072D" w:rsidP="00F3072D">
      <w:pPr>
        <w:shd w:val="clear" w:color="auto" w:fill="FFFFFF"/>
        <w:tabs>
          <w:tab w:val="center" w:pos="4419"/>
        </w:tabs>
        <w:spacing w:after="0" w:line="240" w:lineRule="auto"/>
        <w:ind w:left="709" w:right="709"/>
        <w:jc w:val="both"/>
        <w:rPr>
          <w:rFonts w:ascii="Arial" w:hAnsi="Arial" w:cs="Arial"/>
          <w:color w:val="000000" w:themeColor="text1"/>
          <w:sz w:val="21"/>
          <w:szCs w:val="21"/>
        </w:rPr>
      </w:pPr>
    </w:p>
    <w:p w:rsidR="00F3072D" w:rsidRPr="00E30FB6" w:rsidRDefault="00F3072D" w:rsidP="00F3072D">
      <w:pPr>
        <w:shd w:val="clear" w:color="auto" w:fill="FFFFFF"/>
        <w:spacing w:after="0" w:line="240" w:lineRule="auto"/>
        <w:ind w:left="709" w:right="709"/>
        <w:jc w:val="both"/>
        <w:rPr>
          <w:rFonts w:ascii="Arial" w:eastAsia="Times New Roman" w:hAnsi="Arial" w:cs="Arial"/>
          <w:color w:val="000000" w:themeColor="text1"/>
          <w:lang w:eastAsia="es-CO"/>
        </w:rPr>
      </w:pPr>
      <w:r w:rsidRPr="00E30FB6">
        <w:rPr>
          <w:rFonts w:ascii="Arial" w:hAnsi="Arial" w:cs="Arial"/>
          <w:color w:val="000000" w:themeColor="text1"/>
          <w:sz w:val="21"/>
          <w:szCs w:val="21"/>
        </w:rPr>
        <w:t xml:space="preserve">A partir del 15 de abril de 2013, las personas que tengan contrato formal de prestación de servicios en ejecución, tendrán un plazo de seis (6) meses para practicarse un examen </w:t>
      </w:r>
      <w:proofErr w:type="spellStart"/>
      <w:r w:rsidRPr="00E30FB6">
        <w:rPr>
          <w:rFonts w:ascii="Arial" w:hAnsi="Arial" w:cs="Arial"/>
          <w:color w:val="000000" w:themeColor="text1"/>
          <w:sz w:val="21"/>
          <w:szCs w:val="21"/>
        </w:rPr>
        <w:t>preocupacional</w:t>
      </w:r>
      <w:proofErr w:type="spellEnd"/>
      <w:r w:rsidRPr="00E30FB6">
        <w:rPr>
          <w:rFonts w:ascii="Arial" w:hAnsi="Arial" w:cs="Arial"/>
          <w:color w:val="000000" w:themeColor="text1"/>
          <w:sz w:val="21"/>
          <w:szCs w:val="21"/>
        </w:rPr>
        <w:t xml:space="preserve"> y allegar el certificado respectivo al contratante. El costo de los exámenes </w:t>
      </w:r>
      <w:proofErr w:type="spellStart"/>
      <w:r w:rsidRPr="00E30FB6">
        <w:rPr>
          <w:rFonts w:ascii="Arial" w:hAnsi="Arial" w:cs="Arial"/>
          <w:color w:val="000000" w:themeColor="text1"/>
          <w:sz w:val="21"/>
          <w:szCs w:val="21"/>
        </w:rPr>
        <w:t>preocupacionales</w:t>
      </w:r>
      <w:proofErr w:type="spellEnd"/>
      <w:r w:rsidRPr="00E30FB6">
        <w:rPr>
          <w:rFonts w:ascii="Arial" w:hAnsi="Arial" w:cs="Arial"/>
          <w:color w:val="000000" w:themeColor="text1"/>
          <w:sz w:val="21"/>
          <w:szCs w:val="21"/>
        </w:rPr>
        <w:t xml:space="preserve"> será asumido por el contratista</w:t>
      </w:r>
      <w:r>
        <w:rPr>
          <w:rFonts w:ascii="Arial" w:eastAsia="Times New Roman" w:hAnsi="Arial" w:cs="Arial"/>
          <w:color w:val="000000" w:themeColor="text1"/>
          <w:sz w:val="21"/>
          <w:szCs w:val="21"/>
          <w:lang w:eastAsia="es-CO"/>
        </w:rPr>
        <w:t xml:space="preserve">”. </w:t>
      </w:r>
      <w:r w:rsidRPr="00E30FB6">
        <w:rPr>
          <w:rFonts w:ascii="Arial" w:eastAsia="Times New Roman" w:hAnsi="Arial" w:cs="Arial"/>
          <w:color w:val="000000" w:themeColor="text1"/>
          <w:sz w:val="21"/>
          <w:szCs w:val="21"/>
          <w:lang w:eastAsia="es-CO"/>
        </w:rPr>
        <w:tab/>
      </w:r>
    </w:p>
    <w:p w:rsidR="00F3072D" w:rsidRDefault="00F3072D" w:rsidP="00F3072D">
      <w:pPr>
        <w:shd w:val="clear" w:color="auto" w:fill="FFFFFF"/>
        <w:spacing w:after="0" w:line="276" w:lineRule="auto"/>
        <w:ind w:firstLine="709"/>
        <w:jc w:val="both"/>
        <w:rPr>
          <w:rFonts w:ascii="Arial" w:eastAsia="Times New Roman" w:hAnsi="Arial" w:cs="Arial"/>
          <w:color w:val="000000" w:themeColor="text1"/>
          <w:lang w:eastAsia="es-CO"/>
        </w:rPr>
      </w:pP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La disposición en cita regula la obligatoriedad y vigencia del examen médico ocupacional para contratistas de entidades estatales</w:t>
      </w:r>
      <w:r w:rsidRPr="00E30FB6">
        <w:rPr>
          <w:rStyle w:val="Refdenotaalpie"/>
          <w:rFonts w:ascii="Arial" w:eastAsia="Times New Roman" w:hAnsi="Arial" w:cs="Arial"/>
          <w:color w:val="000000" w:themeColor="text1"/>
          <w:lang w:eastAsia="es-CO"/>
        </w:rPr>
        <w:footnoteReference w:id="22"/>
      </w:r>
      <w:r w:rsidRPr="00E30FB6">
        <w:rPr>
          <w:rFonts w:ascii="Arial" w:eastAsia="Times New Roman" w:hAnsi="Arial" w:cs="Arial"/>
          <w:color w:val="000000" w:themeColor="text1"/>
          <w:lang w:eastAsia="es-CO"/>
        </w:rPr>
        <w:t xml:space="preserve">. La norma establece en el inciso 2 la obligación de practicarse el examen </w:t>
      </w:r>
      <w:proofErr w:type="spellStart"/>
      <w:r w:rsidRPr="00E30FB6">
        <w:rPr>
          <w:rFonts w:ascii="Arial" w:eastAsia="Times New Roman" w:hAnsi="Arial" w:cs="Arial"/>
          <w:color w:val="000000" w:themeColor="text1"/>
          <w:lang w:eastAsia="es-CO"/>
        </w:rPr>
        <w:t>preocupacional</w:t>
      </w:r>
      <w:proofErr w:type="spellEnd"/>
      <w:r w:rsidRPr="00E30FB6">
        <w:rPr>
          <w:rFonts w:ascii="Arial" w:eastAsia="Times New Roman" w:hAnsi="Arial" w:cs="Arial"/>
          <w:color w:val="000000" w:themeColor="text1"/>
          <w:lang w:eastAsia="es-CO"/>
        </w:rPr>
        <w:t xml:space="preserve">, que como se dijo, consiste en una valoración de la aptitud del contratista para cumplir las obligaciones contractuales. Al respecto, el Ministerio del Trabajo señaló sobre la obligatoriedad de practicarse este examen: </w:t>
      </w:r>
      <w:r>
        <w:rPr>
          <w:rFonts w:ascii="Arial" w:eastAsia="Times New Roman" w:hAnsi="Arial" w:cs="Arial"/>
          <w:color w:val="000000" w:themeColor="text1"/>
          <w:lang w:eastAsia="es-CO"/>
        </w:rPr>
        <w:t>“</w:t>
      </w:r>
      <w:r w:rsidRPr="00E30FB6">
        <w:rPr>
          <w:rFonts w:ascii="Arial" w:eastAsia="Times New Roman" w:hAnsi="Arial" w:cs="Arial"/>
          <w:color w:val="000000" w:themeColor="text1"/>
          <w:lang w:eastAsia="es-CO"/>
        </w:rPr>
        <w:t xml:space="preserve">Tal y como lo establece la norma citada, a partir del 15 de abril de 2015 los contratistas deben efectuarse un examen médico pre </w:t>
      </w:r>
      <w:r w:rsidRPr="00E30FB6">
        <w:rPr>
          <w:rFonts w:ascii="Arial" w:eastAsia="Times New Roman" w:hAnsi="Arial" w:cs="Arial"/>
          <w:color w:val="000000" w:themeColor="text1"/>
          <w:lang w:eastAsia="es-CO"/>
        </w:rPr>
        <w:lastRenderedPageBreak/>
        <w:t>ocupacional el cual debe ser allegado a su contratante dentro de los seis meses posteriores al perfeccionamiento del contrato respectivo</w:t>
      </w:r>
      <w:r>
        <w:rPr>
          <w:rFonts w:ascii="Arial" w:eastAsia="Times New Roman" w:hAnsi="Arial" w:cs="Arial"/>
          <w:color w:val="000000" w:themeColor="text1"/>
          <w:lang w:eastAsia="es-CO"/>
        </w:rPr>
        <w:t>”</w:t>
      </w:r>
      <w:r w:rsidRPr="00E30FB6">
        <w:rPr>
          <w:rStyle w:val="Refdenotaalpie"/>
          <w:rFonts w:ascii="Arial" w:eastAsia="Times New Roman" w:hAnsi="Arial" w:cs="Arial"/>
          <w:color w:val="000000" w:themeColor="text1"/>
          <w:lang w:eastAsia="es-CO"/>
        </w:rPr>
        <w:footnoteReference w:id="23"/>
      </w:r>
      <w:r w:rsidRPr="00E30FB6">
        <w:rPr>
          <w:rFonts w:ascii="Arial" w:eastAsia="Times New Roman" w:hAnsi="Arial" w:cs="Arial"/>
          <w:color w:val="000000" w:themeColor="text1"/>
          <w:lang w:eastAsia="es-CO"/>
        </w:rPr>
        <w:t xml:space="preserve">. </w:t>
      </w: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En este orden, el examen médico </w:t>
      </w:r>
      <w:proofErr w:type="spellStart"/>
      <w:r w:rsidRPr="00E30FB6">
        <w:rPr>
          <w:rFonts w:ascii="Arial" w:eastAsia="Times New Roman" w:hAnsi="Arial" w:cs="Arial"/>
          <w:color w:val="000000" w:themeColor="text1"/>
          <w:lang w:eastAsia="es-CO"/>
        </w:rPr>
        <w:t>preocupacional</w:t>
      </w:r>
      <w:proofErr w:type="spellEnd"/>
      <w:r w:rsidRPr="00E30FB6">
        <w:rPr>
          <w:rFonts w:ascii="Arial" w:eastAsia="Times New Roman" w:hAnsi="Arial" w:cs="Arial"/>
          <w:color w:val="000000" w:themeColor="text1"/>
          <w:lang w:eastAsia="es-CO"/>
        </w:rPr>
        <w:t xml:space="preserve"> es una exigencia para quienes pretendan contratar con una entidad pública. En este examen deberá constatarse no solo el estado físico del interesado, sino además sus condiciones mentales y sociales, teniendo en cuenta las funciones que desarrollará en cumplimiento de las obligaciones del contrato. Vale precisar que la norma estableció un plazo de 6 meses para practicarse el examen, contados desde una fecha anterior </w:t>
      </w:r>
      <w:r w:rsidRPr="00E30FB6">
        <w:rPr>
          <w:rFonts w:ascii="Arial" w:eastAsia="Calibri" w:hAnsi="Arial" w:cs="Arial"/>
          <w:b/>
          <w:color w:val="000000" w:themeColor="text1"/>
        </w:rPr>
        <w:t>─</w:t>
      </w:r>
      <w:r w:rsidRPr="00E30FB6">
        <w:rPr>
          <w:rFonts w:ascii="Arial" w:eastAsia="Times New Roman" w:hAnsi="Arial" w:cs="Arial"/>
          <w:color w:val="000000" w:themeColor="text1"/>
          <w:lang w:eastAsia="es-CO"/>
        </w:rPr>
        <w:t>el 15 de abril de 2013</w:t>
      </w:r>
      <w:r w:rsidRPr="00E30FB6">
        <w:rPr>
          <w:rFonts w:ascii="Arial" w:eastAsia="Calibri" w:hAnsi="Arial" w:cs="Arial"/>
          <w:b/>
          <w:color w:val="000000" w:themeColor="text1"/>
        </w:rPr>
        <w:t>─</w:t>
      </w:r>
      <w:r w:rsidRPr="00E30FB6">
        <w:rPr>
          <w:rFonts w:ascii="Arial" w:eastAsia="Times New Roman" w:hAnsi="Arial" w:cs="Arial"/>
          <w:color w:val="000000" w:themeColor="text1"/>
          <w:lang w:eastAsia="es-CO"/>
        </w:rPr>
        <w:t xml:space="preserve"> a la entrada en vigencia del decreto único reglamentario consultado; ello responde a que este último compiló las disposiciones que en materia de riesgos profesionales habían sido expedidas por el gobierno nacional, entre las que se encuentra la disposición en cita que corresponde al artículo 18 del Decreto 723 de 2013.</w:t>
      </w: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En segundo lugar, la norma impone al contratista el deber de aportar el certificado médico al contratante. Esta exigencia resulta lógica, si lo que se quiere es gestionar los riesgos laborales, pues le permitirá a la entidad conocer el estado de salud del contratista para el ejercicio de las obligaciones del contrato y las condiciones especiales en que aquel deberá prestarlas. </w:t>
      </w:r>
    </w:p>
    <w:p w:rsidR="00F3072D" w:rsidRDefault="00F3072D" w:rsidP="00F3072D">
      <w:pPr>
        <w:shd w:val="clear" w:color="auto" w:fill="FFFFFF"/>
        <w:spacing w:after="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En tercer lugar, señala que el costo de los exámenes pre ocupacionales deberá ser asumido por el contratista. Esta regla no ofrece mayor discusión, el reglamento señaló que todos los contratistas deberán asumir el pago del costo del examen pre ocupacional que se practiquen con la finalidad de ser aportado a un proceso de contratación con una entidad pública. </w:t>
      </w:r>
    </w:p>
    <w:p w:rsidR="00F3072D" w:rsidRPr="00E30FB6" w:rsidRDefault="00F3072D" w:rsidP="00F3072D">
      <w:pPr>
        <w:shd w:val="clear" w:color="auto" w:fill="FFFFFF"/>
        <w:spacing w:after="0" w:line="276" w:lineRule="auto"/>
        <w:ind w:firstLine="709"/>
        <w:jc w:val="both"/>
        <w:rPr>
          <w:rFonts w:ascii="Arial" w:eastAsia="Times New Roman" w:hAnsi="Arial" w:cs="Arial"/>
          <w:color w:val="000000" w:themeColor="text1"/>
          <w:lang w:eastAsia="es-CO"/>
        </w:rPr>
      </w:pPr>
    </w:p>
    <w:p w:rsidR="00F3072D" w:rsidRPr="00E30FB6" w:rsidRDefault="00F3072D" w:rsidP="00F3072D">
      <w:pPr>
        <w:pStyle w:val="Prrafodelista"/>
        <w:numPr>
          <w:ilvl w:val="1"/>
          <w:numId w:val="2"/>
        </w:numPr>
        <w:shd w:val="clear" w:color="auto" w:fill="FFFFFF"/>
        <w:spacing w:after="120" w:line="276" w:lineRule="auto"/>
        <w:jc w:val="both"/>
        <w:rPr>
          <w:rFonts w:ascii="Arial" w:eastAsia="Times New Roman" w:hAnsi="Arial" w:cs="Arial"/>
          <w:b/>
          <w:color w:val="000000" w:themeColor="text1"/>
          <w:lang w:eastAsia="es-CO"/>
        </w:rPr>
      </w:pPr>
      <w:r w:rsidRPr="00E30FB6">
        <w:rPr>
          <w:rFonts w:ascii="Arial" w:eastAsia="Times New Roman" w:hAnsi="Arial" w:cs="Arial"/>
          <w:b/>
          <w:color w:val="000000" w:themeColor="text1"/>
          <w:lang w:eastAsia="es-CO"/>
        </w:rPr>
        <w:t xml:space="preserve">Verificación de antecedentes disciplinarios de los proponentes </w:t>
      </w:r>
    </w:p>
    <w:p w:rsidR="00F3072D" w:rsidRPr="00E30FB6" w:rsidRDefault="00F3072D" w:rsidP="00F3072D">
      <w:pPr>
        <w:pStyle w:val="Textoindependiente"/>
        <w:spacing w:line="276" w:lineRule="auto"/>
        <w:ind w:left="100" w:right="104"/>
        <w:jc w:val="both"/>
      </w:pPr>
      <w:r w:rsidRPr="00E30FB6">
        <w:t>En anteriores oportunidades, la Agencia Nacional de Contratación Pública – Colombia Compra Eficiente – ha señalado, en relación con la necesidad de consultar los antecedentes disciplinarios, lo siguiente:</w:t>
      </w:r>
    </w:p>
    <w:p w:rsidR="00F3072D" w:rsidRPr="00E30FB6" w:rsidRDefault="00F3072D" w:rsidP="00F3072D">
      <w:pPr>
        <w:pStyle w:val="Textoindependiente"/>
        <w:spacing w:before="5"/>
        <w:rPr>
          <w:sz w:val="25"/>
        </w:rPr>
      </w:pPr>
    </w:p>
    <w:p w:rsidR="00F3072D" w:rsidRDefault="00F3072D" w:rsidP="00F3072D">
      <w:pPr>
        <w:pStyle w:val="Textoindependiente"/>
        <w:ind w:left="668" w:right="532"/>
        <w:jc w:val="both"/>
        <w:rPr>
          <w:sz w:val="21"/>
          <w:szCs w:val="21"/>
        </w:rPr>
      </w:pPr>
      <w:r w:rsidRPr="007E1CD1">
        <w:rPr>
          <w:sz w:val="21"/>
          <w:szCs w:val="21"/>
        </w:rPr>
        <w:t>“La normativa del Sistema de Compra Pública no contempla expresamente la obligación de la consulta de antecedentes del contratista por parte de las Entidades Estatales. Sin embargo, las Entidades Estatales tienen el deber de hacer una selección objetiva del contratista verificando su capacidad para contratar con el Estado y su idoneidad para ejecutar el objeto del contrato. Para esto pueden consultar la información de los registros públicos sobre sanciones que consideren convenientes y según la regulación para cada caso.</w:t>
      </w:r>
    </w:p>
    <w:p w:rsidR="00F3072D" w:rsidRPr="007E1CD1" w:rsidRDefault="00F3072D" w:rsidP="00F3072D">
      <w:pPr>
        <w:pStyle w:val="Textoindependiente"/>
        <w:ind w:left="668" w:right="532"/>
        <w:jc w:val="both"/>
        <w:rPr>
          <w:sz w:val="21"/>
          <w:szCs w:val="21"/>
        </w:rPr>
      </w:pPr>
      <w:r>
        <w:rPr>
          <w:sz w:val="21"/>
          <w:szCs w:val="21"/>
        </w:rPr>
        <w:t>[…]</w:t>
      </w:r>
    </w:p>
    <w:p w:rsidR="00F3072D" w:rsidRPr="007E1CD1" w:rsidRDefault="00F3072D" w:rsidP="00F3072D">
      <w:pPr>
        <w:pStyle w:val="Textoindependiente"/>
        <w:ind w:left="668" w:right="530"/>
        <w:jc w:val="both"/>
        <w:rPr>
          <w:sz w:val="21"/>
          <w:szCs w:val="21"/>
        </w:rPr>
      </w:pPr>
      <w:r w:rsidRPr="007E1CD1">
        <w:rPr>
          <w:sz w:val="21"/>
          <w:szCs w:val="21"/>
        </w:rPr>
        <w:t xml:space="preserve">Las sanciones penales y disciplinarias, las inhabilidades que se deriven de las relaciones contractuales con el Estado, de los fallos con responsabilidad fiscal, de las decisiones de pérdida de investidura y de las condenas proferidas contra servidores, ex servidores públicos y particulares que desempeñen funciones públicas en ejercicio de la acción de repetición o llamamiento en garantía, deberán ser registradas a solicitud de la autoridad que las impone en la División de Registro y Control y Correspondencia de la Procuraduría </w:t>
      </w:r>
      <w:r w:rsidRPr="007E1CD1">
        <w:rPr>
          <w:sz w:val="21"/>
          <w:szCs w:val="21"/>
        </w:rPr>
        <w:lastRenderedPageBreak/>
        <w:t>General de la Nación, para efectos de la expedición del certificado de</w:t>
      </w:r>
      <w:r w:rsidRPr="007E1CD1">
        <w:rPr>
          <w:spacing w:val="-21"/>
          <w:sz w:val="21"/>
          <w:szCs w:val="21"/>
        </w:rPr>
        <w:t xml:space="preserve"> </w:t>
      </w:r>
      <w:r w:rsidRPr="007E1CD1">
        <w:rPr>
          <w:sz w:val="21"/>
          <w:szCs w:val="21"/>
        </w:rPr>
        <w:t>antecedentes.</w:t>
      </w:r>
    </w:p>
    <w:p w:rsidR="00F3072D" w:rsidRPr="007E1CD1" w:rsidRDefault="00F3072D" w:rsidP="00F3072D">
      <w:pPr>
        <w:pStyle w:val="Textoindependiente"/>
        <w:spacing w:before="5"/>
        <w:rPr>
          <w:sz w:val="21"/>
          <w:szCs w:val="21"/>
        </w:rPr>
      </w:pPr>
    </w:p>
    <w:p w:rsidR="00F3072D" w:rsidRPr="007E1CD1" w:rsidRDefault="00F3072D" w:rsidP="00F3072D">
      <w:pPr>
        <w:pStyle w:val="Textoindependiente"/>
        <w:ind w:left="668" w:right="531"/>
        <w:jc w:val="both"/>
        <w:rPr>
          <w:sz w:val="21"/>
          <w:szCs w:val="21"/>
        </w:rPr>
      </w:pPr>
      <w:r w:rsidRPr="007E1CD1">
        <w:rPr>
          <w:sz w:val="21"/>
          <w:szCs w:val="21"/>
        </w:rPr>
        <w:t>Lo anterior puede ser consultado por la Entidad Estatal para cumplir con su deber de selección objetiva y para verificar la capacidad para contratar del contratista, esto es que no esté incurso en inhabilidades e incompatibilidades que le impidan contratar con el</w:t>
      </w:r>
      <w:r w:rsidRPr="007E1CD1">
        <w:rPr>
          <w:spacing w:val="-6"/>
          <w:sz w:val="21"/>
          <w:szCs w:val="21"/>
        </w:rPr>
        <w:t xml:space="preserve"> </w:t>
      </w:r>
      <w:r w:rsidRPr="007E1CD1">
        <w:rPr>
          <w:sz w:val="21"/>
          <w:szCs w:val="21"/>
        </w:rPr>
        <w:t>Estado”</w:t>
      </w:r>
      <w:r w:rsidRPr="00C365A6">
        <w:rPr>
          <w:rStyle w:val="Refdenotaalpie"/>
        </w:rPr>
        <w:t xml:space="preserve"> </w:t>
      </w:r>
      <w:r w:rsidRPr="00E30FB6">
        <w:rPr>
          <w:rStyle w:val="Refdenotaalpie"/>
        </w:rPr>
        <w:footnoteReference w:id="24"/>
      </w:r>
      <w:r w:rsidRPr="007E1CD1">
        <w:rPr>
          <w:sz w:val="21"/>
          <w:szCs w:val="21"/>
        </w:rPr>
        <w:t>.</w:t>
      </w:r>
    </w:p>
    <w:p w:rsidR="00F3072D" w:rsidRPr="007E1CD1" w:rsidRDefault="00F3072D" w:rsidP="00F3072D">
      <w:pPr>
        <w:pStyle w:val="Textoindependiente"/>
        <w:spacing w:before="4"/>
        <w:rPr>
          <w:sz w:val="21"/>
          <w:szCs w:val="21"/>
        </w:rPr>
      </w:pP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460997">
        <w:rPr>
          <w:rFonts w:ascii="Arial" w:eastAsia="Arial" w:hAnsi="Arial" w:cs="Arial"/>
          <w:lang w:val="es-ES"/>
        </w:rPr>
        <w:t>En esa línea, en criterio de la Agencia Nacional de Contratación Pública – Colombia Compra Eficiente – las entidades estatales deben consultar el mismo con el objetivo de determinar la capacidad jurídica de los proponentes. En consecuencia, la entrega de dicho certificado por el proponente no constituye un requisito habilitante ni de calificación cuya ausencia determine la imposibilidad de contratar, pues, se itera, tales antecedentes disciplinarios pueden ser consultados por las entidades</w:t>
      </w:r>
      <w:r w:rsidRPr="00460997">
        <w:rPr>
          <w:rFonts w:ascii="Arial" w:eastAsia="Arial" w:hAnsi="Arial" w:cs="Arial"/>
          <w:spacing w:val="-3"/>
          <w:lang w:val="es-ES"/>
        </w:rPr>
        <w:t xml:space="preserve"> </w:t>
      </w:r>
      <w:r w:rsidRPr="00460997">
        <w:rPr>
          <w:rFonts w:ascii="Arial" w:eastAsia="Arial" w:hAnsi="Arial" w:cs="Arial"/>
          <w:lang w:val="es-ES"/>
        </w:rPr>
        <w:t>estatales.</w:t>
      </w:r>
    </w:p>
    <w:p w:rsidR="00F3072D" w:rsidRPr="00E30FB6" w:rsidRDefault="00F3072D" w:rsidP="00F3072D">
      <w:pPr>
        <w:tabs>
          <w:tab w:val="left" w:pos="426"/>
        </w:tabs>
        <w:spacing w:after="0"/>
        <w:jc w:val="both"/>
        <w:rPr>
          <w:rFonts w:ascii="Arial" w:hAnsi="Arial" w:cs="Arial"/>
          <w:b/>
          <w:color w:val="000000" w:themeColor="text1"/>
        </w:rPr>
      </w:pPr>
      <w:r w:rsidRPr="00E30FB6">
        <w:rPr>
          <w:rFonts w:ascii="Arial" w:hAnsi="Arial" w:cs="Arial"/>
          <w:b/>
          <w:color w:val="000000" w:themeColor="text1"/>
        </w:rPr>
        <w:t>3. Respuesta</w:t>
      </w:r>
      <w:bookmarkStart w:id="15" w:name="_Hlk57650395"/>
    </w:p>
    <w:p w:rsidR="00F3072D" w:rsidRPr="00E30FB6" w:rsidRDefault="00F3072D" w:rsidP="00F3072D">
      <w:pPr>
        <w:tabs>
          <w:tab w:val="left" w:pos="426"/>
        </w:tabs>
        <w:spacing w:after="0"/>
        <w:jc w:val="both"/>
        <w:rPr>
          <w:rFonts w:ascii="Arial" w:hAnsi="Arial" w:cs="Arial"/>
          <w:b/>
          <w:color w:val="000000" w:themeColor="text1"/>
        </w:rPr>
      </w:pPr>
    </w:p>
    <w:p w:rsidR="00F3072D" w:rsidRPr="007E1CD1" w:rsidRDefault="00F3072D" w:rsidP="00F3072D">
      <w:pPr>
        <w:pStyle w:val="NormalWeb"/>
        <w:spacing w:after="0"/>
        <w:ind w:left="709" w:right="709"/>
        <w:jc w:val="both"/>
        <w:rPr>
          <w:rFonts w:ascii="Arial" w:hAnsi="Arial" w:cs="Arial"/>
          <w:iCs/>
          <w:color w:val="000000" w:themeColor="text1"/>
          <w:sz w:val="22"/>
          <w:szCs w:val="22"/>
        </w:rPr>
      </w:pPr>
      <w:r w:rsidRPr="007E1CD1">
        <w:rPr>
          <w:rFonts w:ascii="Arial" w:hAnsi="Arial" w:cs="Arial"/>
          <w:iCs/>
          <w:color w:val="000000" w:themeColor="text1"/>
          <w:sz w:val="22"/>
          <w:szCs w:val="22"/>
        </w:rPr>
        <w:t>“</w:t>
      </w:r>
      <w:r w:rsidRPr="007E1CD1">
        <w:rPr>
          <w:rFonts w:ascii="Arial" w:hAnsi="Arial" w:cs="Arial"/>
        </w:rPr>
        <w:t xml:space="preserve"> </w:t>
      </w:r>
      <w:r w:rsidRPr="007E1CD1">
        <w:rPr>
          <w:rFonts w:ascii="Arial" w:hAnsi="Arial" w:cs="Arial"/>
          <w:iCs/>
          <w:color w:val="000000" w:themeColor="text1"/>
          <w:sz w:val="22"/>
          <w:szCs w:val="22"/>
        </w:rPr>
        <w:t xml:space="preserve">La cuestión es saber si ¿es legal que el jurídico/a de la Entidad Pública descarte la candidatura del ciudadano aduciendo que a esa edad ya se debe tener defendida la situación militar?, lo cual a concepto del veedor ciudadano se constituye en una interpretación subjetiva de la norma y que viola el derecho a la igualdad del trabajo y merito, al discriminar al ciudadano por no tener libreta militar, lo cual no quiere decir que no se tenga definida la situación militar ya que el ciudadano aparece en estado ´inscrito´, que es uno de los estados para demostrar que se </w:t>
      </w:r>
      <w:proofErr w:type="spellStart"/>
      <w:r w:rsidRPr="007E1CD1">
        <w:rPr>
          <w:rFonts w:ascii="Arial" w:hAnsi="Arial" w:cs="Arial"/>
          <w:iCs/>
          <w:color w:val="000000" w:themeColor="text1"/>
          <w:sz w:val="22"/>
          <w:szCs w:val="22"/>
        </w:rPr>
        <w:t>esta</w:t>
      </w:r>
      <w:proofErr w:type="spellEnd"/>
      <w:r w:rsidRPr="007E1CD1">
        <w:rPr>
          <w:rFonts w:ascii="Arial" w:hAnsi="Arial" w:cs="Arial"/>
          <w:iCs/>
          <w:color w:val="000000" w:themeColor="text1"/>
          <w:sz w:val="22"/>
          <w:szCs w:val="22"/>
        </w:rPr>
        <w:t xml:space="preserve"> en proceso de resolver y definir la situación militar, en un plazo de 180 días. Igualmente se consulta si en etapa precontractual para contratos por prestación de </w:t>
      </w:r>
      <w:proofErr w:type="gramStart"/>
      <w:r w:rsidRPr="007E1CD1">
        <w:rPr>
          <w:rFonts w:ascii="Arial" w:hAnsi="Arial" w:cs="Arial"/>
          <w:iCs/>
          <w:color w:val="000000" w:themeColor="text1"/>
          <w:sz w:val="22"/>
          <w:szCs w:val="22"/>
        </w:rPr>
        <w:t>servicios:.</w:t>
      </w:r>
      <w:proofErr w:type="gramEnd"/>
    </w:p>
    <w:p w:rsidR="00F3072D" w:rsidRPr="00E30FB6" w:rsidRDefault="00F3072D" w:rsidP="00F3072D">
      <w:pPr>
        <w:tabs>
          <w:tab w:val="left" w:pos="426"/>
        </w:tabs>
        <w:spacing w:after="0"/>
        <w:jc w:val="both"/>
        <w:rPr>
          <w:rFonts w:ascii="Arial" w:hAnsi="Arial" w:cs="Arial"/>
          <w:b/>
          <w:color w:val="000000" w:themeColor="text1"/>
        </w:rPr>
      </w:pPr>
    </w:p>
    <w:p w:rsidR="00F3072D" w:rsidRPr="00E30FB6" w:rsidRDefault="00F3072D" w:rsidP="00F3072D">
      <w:pPr>
        <w:spacing w:after="120" w:line="276" w:lineRule="auto"/>
        <w:jc w:val="both"/>
        <w:rPr>
          <w:rFonts w:ascii="Arial" w:hAnsi="Arial" w:cs="Arial"/>
          <w:color w:val="000000" w:themeColor="text1"/>
          <w:lang w:eastAsia="es-ES"/>
        </w:rPr>
      </w:pPr>
      <w:r w:rsidRPr="00E30FB6">
        <w:rPr>
          <w:rFonts w:ascii="Arial" w:hAnsi="Arial" w:cs="Arial"/>
          <w:color w:val="000000" w:themeColor="text1"/>
          <w:lang w:eastAsia="en-GB"/>
        </w:rPr>
        <w:t xml:space="preserve">De conformidad con lo expuesto </w:t>
      </w:r>
      <w:r w:rsidRPr="00E30FB6">
        <w:rPr>
          <w:rFonts w:ascii="Arial" w:hAnsi="Arial" w:cs="Arial"/>
          <w:bCs/>
          <w:color w:val="000000" w:themeColor="text1"/>
          <w:lang w:eastAsia="es-ES"/>
        </w:rPr>
        <w:t>se tiene que, l</w:t>
      </w:r>
      <w:r w:rsidRPr="00E30FB6">
        <w:rPr>
          <w:rFonts w:ascii="Arial" w:hAnsi="Arial" w:cs="Arial"/>
          <w:color w:val="000000" w:themeColor="text1"/>
        </w:rPr>
        <w:t>a situación militar se acredita resuelta o definida cuando el ciudadano posee tarjeta de reservista militar –primera o segunda clase–, el certificado digital o cédula militar de que de que tratan los artículos 35, 40 y 41 de la Ley 1861 de 2017.</w:t>
      </w:r>
      <w:r w:rsidRPr="00E30FB6">
        <w:rPr>
          <w:rFonts w:ascii="Arial" w:hAnsi="Arial" w:cs="Arial"/>
          <w:color w:val="000000" w:themeColor="text1"/>
          <w:lang w:eastAsia="es-ES"/>
        </w:rPr>
        <w:t xml:space="preserve"> En virtud de lo dispuesto en el artículo 42 de la Ley 1861 de 2017, la regla general es que la definición de la situación militar debe acreditarse para acceder al trabajo, ya sea para ejercer cargos públicos, trabajar en el sector privado o celebrar contratos de prestación de servicios como persona natural, con cualquier entidad de derecho público.</w:t>
      </w:r>
    </w:p>
    <w:p w:rsidR="00F3072D" w:rsidRPr="00E30FB6" w:rsidRDefault="00F3072D" w:rsidP="00F3072D">
      <w:pPr>
        <w:spacing w:after="120" w:line="276" w:lineRule="auto"/>
        <w:ind w:firstLine="708"/>
        <w:jc w:val="both"/>
        <w:rPr>
          <w:rFonts w:ascii="Arial" w:hAnsi="Arial" w:cs="Arial"/>
          <w:color w:val="000000" w:themeColor="text1"/>
        </w:rPr>
      </w:pPr>
      <w:r w:rsidRPr="00E30FB6">
        <w:rPr>
          <w:rFonts w:ascii="Arial" w:hAnsi="Arial" w:cs="Arial"/>
          <w:color w:val="000000" w:themeColor="text1"/>
        </w:rPr>
        <w:t xml:space="preserve">No obstante, el inciso segundo del artículo 42 de la Ley 1861 de 2017 permitió el acceso temporal al trabajo a quienes no hayan definido su situación militar, pero hayan sido declaradas no aptas, exentas o hayan superado la edad máxima de incorporación a filas. Adicionalmente, dicho beneficio se les aplicó a las personas aptas pero exoneradas de pagar la cuota de </w:t>
      </w:r>
      <w:r w:rsidRPr="00E30FB6">
        <w:rPr>
          <w:rFonts w:ascii="Arial" w:hAnsi="Arial" w:cs="Arial"/>
          <w:color w:val="000000" w:themeColor="text1"/>
        </w:rPr>
        <w:lastRenderedPageBreak/>
        <w:t xml:space="preserve">compensación militar, en virtud de lo resuelto en la sentencia de la Corte Constitucional C-277 de 2019. </w:t>
      </w:r>
    </w:p>
    <w:p w:rsidR="00F3072D" w:rsidRPr="00E30FB6" w:rsidRDefault="00F3072D" w:rsidP="00F3072D">
      <w:pPr>
        <w:spacing w:after="120" w:line="276" w:lineRule="auto"/>
        <w:ind w:firstLine="708"/>
        <w:jc w:val="both"/>
        <w:rPr>
          <w:rFonts w:ascii="Arial" w:hAnsi="Arial" w:cs="Arial"/>
          <w:color w:val="000000" w:themeColor="text1"/>
        </w:rPr>
      </w:pPr>
      <w:r w:rsidRPr="00E30FB6">
        <w:rPr>
          <w:rFonts w:ascii="Arial" w:hAnsi="Arial" w:cs="Arial"/>
          <w:color w:val="000000" w:themeColor="text1"/>
        </w:rPr>
        <w:t xml:space="preserve">Es preciso advertir que las disposiciones normativas citadas fueron desarrolladas en el Decreto 977 de 2018, que adicionó el artículo 2.3.1.4.9.1 al Decreto 1070 de 2015, el </w:t>
      </w:r>
      <w:proofErr w:type="gramStart"/>
      <w:r w:rsidRPr="00E30FB6">
        <w:rPr>
          <w:rFonts w:ascii="Arial" w:hAnsi="Arial" w:cs="Arial"/>
          <w:color w:val="000000" w:themeColor="text1"/>
        </w:rPr>
        <w:t>cual  autorizó</w:t>
      </w:r>
      <w:proofErr w:type="gramEnd"/>
      <w:r w:rsidRPr="00E30FB6">
        <w:rPr>
          <w:rFonts w:ascii="Arial" w:hAnsi="Arial" w:cs="Arial"/>
          <w:color w:val="000000" w:themeColor="text1"/>
        </w:rPr>
        <w:t xml:space="preserve"> a las entidades públicas para suscribir contratos de prestación de servicios con personas que hayan sido declaradas no aptas, exentas de prestar el servicio militar obligatorio o que hayan superado la edad máxima de incorporación. A su turno, el artículo 2.3.1.4.9.2. del mismo Decreto estableció que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w:t>
      </w:r>
    </w:p>
    <w:p w:rsidR="00F3072D" w:rsidRPr="00E30FB6" w:rsidRDefault="00F3072D" w:rsidP="00F3072D">
      <w:pPr>
        <w:tabs>
          <w:tab w:val="left" w:pos="1073"/>
        </w:tabs>
        <w:spacing w:after="120" w:line="276" w:lineRule="auto"/>
        <w:ind w:firstLine="709"/>
        <w:jc w:val="both"/>
        <w:rPr>
          <w:rFonts w:ascii="Arial" w:hAnsi="Arial" w:cs="Arial"/>
          <w:bCs/>
          <w:noProof/>
          <w:color w:val="000000" w:themeColor="text1"/>
        </w:rPr>
      </w:pPr>
      <w:r w:rsidRPr="00E30FB6">
        <w:rPr>
          <w:rFonts w:ascii="Arial" w:eastAsia="Times New Roman" w:hAnsi="Arial" w:cs="Arial"/>
          <w:color w:val="000000" w:themeColor="text1"/>
          <w:lang w:eastAsia="es-CO"/>
        </w:rPr>
        <w:t xml:space="preserve">En ese sentido, no cabe duda de que el beneficio contemplado en el artículo 42 de la Ley </w:t>
      </w:r>
      <w:r w:rsidRPr="00E30FB6">
        <w:rPr>
          <w:rFonts w:ascii="Arial" w:hAnsi="Arial" w:cs="Arial"/>
          <w:color w:val="000000" w:themeColor="text1"/>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w:t>
      </w:r>
      <w:r w:rsidRPr="00E30FB6">
        <w:rPr>
          <w:rFonts w:ascii="Arial" w:hAnsi="Arial" w:cs="Arial"/>
          <w:bCs/>
          <w:noProof/>
          <w:color w:val="000000" w:themeColor="text1"/>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Así, si al momento de la consulta el ciudadano que figure como no apto, exento o que supere la edad máxima de incorporación aparecerá en el Sistema de Información de Reclutamiento como en </w:t>
      </w:r>
      <w:r>
        <w:rPr>
          <w:rFonts w:ascii="Arial" w:hAnsi="Arial" w:cs="Arial"/>
          <w:i/>
          <w:iCs/>
          <w:color w:val="000000" w:themeColor="text1"/>
        </w:rPr>
        <w:t>“</w:t>
      </w:r>
      <w:r w:rsidRPr="00E30FB6">
        <w:rPr>
          <w:rFonts w:ascii="Arial" w:hAnsi="Arial" w:cs="Arial"/>
          <w:bCs/>
          <w:i/>
          <w:iCs/>
          <w:noProof/>
          <w:color w:val="000000" w:themeColor="text1"/>
        </w:rPr>
        <w:t>liquidación</w:t>
      </w:r>
      <w:r>
        <w:rPr>
          <w:rFonts w:ascii="Arial" w:hAnsi="Arial" w:cs="Arial"/>
          <w:i/>
          <w:iCs/>
          <w:color w:val="000000" w:themeColor="text1"/>
        </w:rPr>
        <w:t>”</w:t>
      </w:r>
      <w:r w:rsidRPr="00E30FB6">
        <w:rPr>
          <w:rFonts w:ascii="Arial" w:hAnsi="Arial" w:cs="Arial"/>
          <w:i/>
          <w:iCs/>
          <w:color w:val="000000" w:themeColor="text1"/>
        </w:rPr>
        <w:t xml:space="preserve">, </w:t>
      </w:r>
      <w:r w:rsidRPr="00E30FB6">
        <w:rPr>
          <w:rFonts w:ascii="Arial" w:hAnsi="Arial" w:cs="Arial"/>
          <w:color w:val="000000" w:themeColor="text1"/>
        </w:rPr>
        <w:t xml:space="preserve">por el contrario, indica que </w:t>
      </w:r>
      <w:r w:rsidRPr="00E30FB6">
        <w:rPr>
          <w:rFonts w:ascii="Arial" w:hAnsi="Arial" w:cs="Arial"/>
          <w:bCs/>
          <w:noProof/>
          <w:color w:val="000000" w:themeColor="text1"/>
        </w:rPr>
        <w:t xml:space="preserve">si el ciudadano al momento de la consulta no se encuentra inscrito o la leyenda que arroja el portal web indica que su estado es </w:t>
      </w:r>
      <w:r>
        <w:rPr>
          <w:rFonts w:ascii="Arial" w:hAnsi="Arial" w:cs="Arial"/>
          <w:i/>
          <w:iCs/>
          <w:color w:val="000000" w:themeColor="text1"/>
        </w:rPr>
        <w:t>“</w:t>
      </w:r>
      <w:r w:rsidRPr="00E30FB6">
        <w:rPr>
          <w:rFonts w:ascii="Arial" w:hAnsi="Arial" w:cs="Arial"/>
          <w:bCs/>
          <w:i/>
          <w:iCs/>
          <w:noProof/>
          <w:color w:val="000000" w:themeColor="text1"/>
        </w:rPr>
        <w:t>citado a primer examen</w:t>
      </w:r>
      <w:r>
        <w:rPr>
          <w:rFonts w:ascii="Arial" w:hAnsi="Arial" w:cs="Arial"/>
          <w:i/>
          <w:iCs/>
          <w:color w:val="000000" w:themeColor="text1"/>
        </w:rPr>
        <w:t>”</w:t>
      </w:r>
      <w:r w:rsidRPr="00E30FB6">
        <w:rPr>
          <w:rFonts w:ascii="Arial" w:hAnsi="Arial" w:cs="Arial"/>
          <w:bCs/>
          <w:i/>
          <w:iCs/>
          <w:noProof/>
          <w:color w:val="000000" w:themeColor="text1"/>
        </w:rPr>
        <w:t>,</w:t>
      </w:r>
      <w:r w:rsidRPr="00E30FB6">
        <w:rPr>
          <w:rFonts w:ascii="Arial" w:hAnsi="Arial" w:cs="Arial"/>
          <w:bCs/>
          <w:noProof/>
          <w:color w:val="000000" w:themeColor="text1"/>
        </w:rPr>
        <w:t xml:space="preserve"> </w:t>
      </w:r>
      <w:r>
        <w:rPr>
          <w:rFonts w:ascii="Arial" w:hAnsi="Arial" w:cs="Arial"/>
          <w:i/>
          <w:iCs/>
          <w:color w:val="000000" w:themeColor="text1"/>
        </w:rPr>
        <w:t>“</w:t>
      </w:r>
      <w:r w:rsidRPr="00E30FB6">
        <w:rPr>
          <w:rFonts w:ascii="Arial" w:hAnsi="Arial" w:cs="Arial"/>
          <w:bCs/>
          <w:i/>
          <w:iCs/>
          <w:noProof/>
          <w:color w:val="000000" w:themeColor="text1"/>
        </w:rPr>
        <w:t>citado a concentración</w:t>
      </w:r>
      <w:r>
        <w:rPr>
          <w:rFonts w:ascii="Arial" w:hAnsi="Arial" w:cs="Arial"/>
          <w:i/>
          <w:iCs/>
          <w:color w:val="000000" w:themeColor="text1"/>
        </w:rPr>
        <w:t>”</w:t>
      </w:r>
      <w:r w:rsidRPr="00E30FB6">
        <w:rPr>
          <w:rFonts w:ascii="Arial" w:hAnsi="Arial" w:cs="Arial"/>
          <w:bCs/>
          <w:noProof/>
          <w:color w:val="000000" w:themeColor="text1"/>
        </w:rPr>
        <w:t xml:space="preserve"> o </w:t>
      </w:r>
      <w:r>
        <w:rPr>
          <w:rFonts w:ascii="Arial" w:hAnsi="Arial" w:cs="Arial"/>
          <w:i/>
          <w:iCs/>
          <w:color w:val="000000" w:themeColor="text1"/>
        </w:rPr>
        <w:t>“</w:t>
      </w:r>
      <w:r w:rsidRPr="00E30FB6">
        <w:rPr>
          <w:rFonts w:ascii="Arial" w:hAnsi="Arial" w:cs="Arial"/>
          <w:bCs/>
          <w:i/>
          <w:iCs/>
          <w:noProof/>
          <w:color w:val="000000" w:themeColor="text1"/>
        </w:rPr>
        <w:t>remiso</w:t>
      </w:r>
      <w:r>
        <w:rPr>
          <w:rFonts w:ascii="Arial" w:hAnsi="Arial" w:cs="Arial"/>
          <w:i/>
          <w:iCs/>
          <w:color w:val="000000" w:themeColor="text1"/>
        </w:rPr>
        <w:t>”</w:t>
      </w:r>
      <w:r w:rsidRPr="00E30FB6">
        <w:rPr>
          <w:rFonts w:ascii="Arial" w:hAnsi="Arial" w:cs="Arial"/>
          <w:bCs/>
          <w:noProof/>
          <w:color w:val="000000" w:themeColor="text1"/>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rsidR="00F3072D" w:rsidRPr="00E30FB6" w:rsidRDefault="00F3072D" w:rsidP="00F3072D">
      <w:pPr>
        <w:shd w:val="clear" w:color="auto" w:fill="FFFFFF"/>
        <w:spacing w:after="120" w:line="276" w:lineRule="auto"/>
        <w:ind w:right="-58" w:firstLine="708"/>
        <w:jc w:val="both"/>
        <w:rPr>
          <w:rFonts w:ascii="Arial" w:hAnsi="Arial" w:cs="Arial"/>
          <w:color w:val="000000" w:themeColor="text1"/>
        </w:rPr>
      </w:pPr>
      <w:r w:rsidRPr="00E30FB6">
        <w:rPr>
          <w:rFonts w:ascii="Arial" w:hAnsi="Arial" w:cs="Arial"/>
          <w:color w:val="000000" w:themeColor="text1"/>
        </w:rPr>
        <w:t xml:space="preserve">Finalmente, tanto el artículo 42 de la Ley 1861 de 2017 y el artículo 2.3.1.4.9.5 del Decreto 1070 de 2015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rsidR="00F3072D" w:rsidRPr="00E30FB6" w:rsidRDefault="00F3072D" w:rsidP="00F3072D">
      <w:pPr>
        <w:shd w:val="clear" w:color="auto" w:fill="FFFFFF"/>
        <w:spacing w:after="120" w:line="276" w:lineRule="auto"/>
        <w:ind w:right="-57" w:firstLine="709"/>
        <w:jc w:val="both"/>
        <w:rPr>
          <w:rFonts w:ascii="Arial" w:eastAsia="Times New Roman" w:hAnsi="Arial" w:cs="Arial"/>
          <w:color w:val="000000" w:themeColor="text1"/>
          <w:lang w:eastAsia="es-CO"/>
        </w:rPr>
      </w:pPr>
      <w:r w:rsidRPr="00E30FB6">
        <w:rPr>
          <w:rFonts w:ascii="Arial" w:hAnsi="Arial" w:cs="Arial"/>
          <w:color w:val="000000" w:themeColor="text1"/>
        </w:rPr>
        <w:t xml:space="preserve">Sobre el particular esta Agencia estima que, para la acreditación de las referidas circunstancias, las entidades estatales podrán requerir al ciudadano que allegue todas las pruebas que resulten conducentes para demostrar su actuar diligente en la definición de su situación militar. Esto implica que, para efectos de acceder a la prerrogativa establecida en el artículo 42 de la Ley 1861 de 2017, puedan tenerse como válidos medios de prueba como, por ejemplo, </w:t>
      </w:r>
      <w:r w:rsidRPr="00E30FB6">
        <w:rPr>
          <w:rFonts w:ascii="Arial" w:hAnsi="Arial" w:cs="Arial"/>
          <w:color w:val="000000" w:themeColor="text1"/>
        </w:rPr>
        <w:lastRenderedPageBreak/>
        <w:t xml:space="preserve">declaraciones juramentadas o extra juicio, en las que el ciudadano de fe de que ha realizado todas las actuaciones previstas para definir su situación militar,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pudiendo comportar una vulneración a los derechos fundamentales del ciudadano como el trabajo, la igualdad, entre otros. </w:t>
      </w:r>
    </w:p>
    <w:p w:rsidR="00F3072D" w:rsidRPr="00E30FB6" w:rsidRDefault="00F3072D" w:rsidP="00F3072D">
      <w:pPr>
        <w:spacing w:after="0" w:line="276" w:lineRule="auto"/>
        <w:jc w:val="both"/>
        <w:rPr>
          <w:rFonts w:ascii="Arial" w:hAnsi="Arial" w:cs="Arial"/>
          <w:color w:val="000000" w:themeColor="text1"/>
        </w:rPr>
      </w:pPr>
      <w:r w:rsidRPr="00E30FB6">
        <w:rPr>
          <w:rFonts w:ascii="Arial" w:hAnsi="Arial" w:cs="Arial"/>
          <w:color w:val="000000" w:themeColor="text1"/>
        </w:rPr>
        <w:t xml:space="preserve">         En conclusión, 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w:t>
      </w:r>
      <w:r w:rsidRPr="00E30FB6">
        <w:rPr>
          <w:rStyle w:val="Refdenotaalpie"/>
          <w:rFonts w:ascii="Arial" w:hAnsi="Arial" w:cs="Arial"/>
          <w:color w:val="000000" w:themeColor="text1"/>
        </w:rPr>
        <w:footnoteReference w:id="25"/>
      </w:r>
      <w:r w:rsidRPr="00E30FB6">
        <w:rPr>
          <w:rFonts w:ascii="Arial" w:hAnsi="Arial" w:cs="Arial"/>
          <w:color w:val="000000" w:themeColor="text1"/>
        </w:rPr>
        <w:t xml:space="preserve">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rsidR="00F3072D" w:rsidRPr="00E30FB6" w:rsidRDefault="00F3072D" w:rsidP="00F3072D">
      <w:pPr>
        <w:spacing w:after="0" w:line="276" w:lineRule="auto"/>
        <w:jc w:val="both"/>
        <w:rPr>
          <w:rFonts w:ascii="Arial" w:hAnsi="Arial" w:cs="Arial"/>
          <w:color w:val="000000" w:themeColor="text1"/>
        </w:rPr>
      </w:pPr>
    </w:p>
    <w:p w:rsidR="00F3072D" w:rsidRDefault="00F3072D" w:rsidP="00F3072D">
      <w:pPr>
        <w:pStyle w:val="NormalWeb"/>
        <w:spacing w:before="0" w:beforeAutospacing="0" w:after="0" w:afterAutospacing="0"/>
        <w:ind w:left="709" w:right="709"/>
        <w:jc w:val="both"/>
        <w:rPr>
          <w:rFonts w:ascii="Arial" w:hAnsi="Arial" w:cs="Arial"/>
          <w:iCs/>
          <w:color w:val="000000" w:themeColor="text1"/>
          <w:sz w:val="21"/>
          <w:szCs w:val="21"/>
        </w:rPr>
      </w:pPr>
      <w:r>
        <w:rPr>
          <w:rFonts w:ascii="Arial" w:hAnsi="Arial" w:cs="Arial"/>
          <w:iCs/>
          <w:color w:val="000000" w:themeColor="text1"/>
          <w:sz w:val="21"/>
          <w:szCs w:val="21"/>
        </w:rPr>
        <w:t>“</w:t>
      </w:r>
      <w:r w:rsidRPr="007E1CD1">
        <w:rPr>
          <w:rFonts w:ascii="Arial" w:hAnsi="Arial" w:cs="Arial"/>
          <w:iCs/>
          <w:color w:val="000000" w:themeColor="text1"/>
          <w:sz w:val="21"/>
          <w:szCs w:val="21"/>
        </w:rPr>
        <w:t xml:space="preserve">2. </w:t>
      </w:r>
      <w:proofErr w:type="gramStart"/>
      <w:r w:rsidRPr="007E1CD1">
        <w:rPr>
          <w:rFonts w:ascii="Arial" w:hAnsi="Arial" w:cs="Arial"/>
          <w:iCs/>
          <w:color w:val="000000" w:themeColor="text1"/>
          <w:sz w:val="21"/>
          <w:szCs w:val="21"/>
        </w:rPr>
        <w:t>¿ es</w:t>
      </w:r>
      <w:proofErr w:type="gramEnd"/>
      <w:r w:rsidRPr="007E1CD1">
        <w:rPr>
          <w:rFonts w:ascii="Arial" w:hAnsi="Arial" w:cs="Arial"/>
          <w:iCs/>
          <w:color w:val="000000" w:themeColor="text1"/>
          <w:sz w:val="21"/>
          <w:szCs w:val="21"/>
        </w:rPr>
        <w:t xml:space="preserve"> legal exigir al futuro proveedor estar registrado en SIGEP, considerando que el ciudadano no trabaja actualmente con ninguna Entidad Pública?</w:t>
      </w:r>
      <w:r>
        <w:rPr>
          <w:rFonts w:ascii="Arial" w:hAnsi="Arial" w:cs="Arial"/>
          <w:iCs/>
          <w:color w:val="000000" w:themeColor="text1"/>
          <w:sz w:val="21"/>
          <w:szCs w:val="21"/>
        </w:rPr>
        <w:t>”</w:t>
      </w:r>
    </w:p>
    <w:p w:rsidR="00F3072D" w:rsidRPr="007E1CD1" w:rsidRDefault="00F3072D" w:rsidP="00F3072D">
      <w:pPr>
        <w:pStyle w:val="NormalWeb"/>
        <w:spacing w:after="0"/>
        <w:ind w:left="709" w:right="709"/>
        <w:jc w:val="both"/>
        <w:rPr>
          <w:rFonts w:ascii="Arial" w:hAnsi="Arial" w:cs="Arial"/>
          <w:iCs/>
          <w:color w:val="000000" w:themeColor="text1"/>
          <w:sz w:val="21"/>
          <w:szCs w:val="21"/>
        </w:rPr>
      </w:pPr>
    </w:p>
    <w:p w:rsidR="00F3072D" w:rsidRDefault="00F3072D" w:rsidP="00F3072D">
      <w:pPr>
        <w:pStyle w:val="NormalWeb"/>
        <w:spacing w:before="0" w:beforeAutospacing="0" w:after="0" w:afterAutospacing="0"/>
        <w:ind w:left="709" w:right="709"/>
        <w:jc w:val="both"/>
        <w:rPr>
          <w:rFonts w:ascii="Arial" w:hAnsi="Arial" w:cs="Arial"/>
          <w:iCs/>
          <w:color w:val="000000" w:themeColor="text1"/>
          <w:sz w:val="21"/>
          <w:szCs w:val="21"/>
        </w:rPr>
      </w:pPr>
      <w:r>
        <w:rPr>
          <w:rFonts w:ascii="Arial" w:hAnsi="Arial" w:cs="Arial"/>
          <w:iCs/>
          <w:color w:val="000000" w:themeColor="text1"/>
          <w:sz w:val="21"/>
          <w:szCs w:val="21"/>
        </w:rPr>
        <w:t>“</w:t>
      </w:r>
      <w:r w:rsidRPr="007E1CD1">
        <w:rPr>
          <w:rFonts w:ascii="Arial" w:hAnsi="Arial" w:cs="Arial"/>
          <w:iCs/>
          <w:color w:val="000000" w:themeColor="text1"/>
          <w:sz w:val="21"/>
          <w:szCs w:val="21"/>
        </w:rPr>
        <w:t xml:space="preserve">9. ¿para el cumplimiento de los requisitos 10 y 11 de la lista de chequeo (anexo 1), es legal o suficiente con presentar diligenciados los formatos descargables que se encuentran en la página oficial del SIGEP, o es obligatorio tener usuario activo en el SIGEP, considerando que el futuro proveedor no ha trabajado con Entidad Publica en el </w:t>
      </w:r>
      <w:proofErr w:type="spellStart"/>
      <w:r w:rsidRPr="007E1CD1">
        <w:rPr>
          <w:rFonts w:ascii="Arial" w:hAnsi="Arial" w:cs="Arial"/>
          <w:iCs/>
          <w:color w:val="000000" w:themeColor="text1"/>
          <w:sz w:val="21"/>
          <w:szCs w:val="21"/>
        </w:rPr>
        <w:t>ultimo</w:t>
      </w:r>
      <w:proofErr w:type="spellEnd"/>
      <w:r w:rsidRPr="007E1CD1">
        <w:rPr>
          <w:rFonts w:ascii="Arial" w:hAnsi="Arial" w:cs="Arial"/>
          <w:iCs/>
          <w:color w:val="000000" w:themeColor="text1"/>
          <w:sz w:val="21"/>
          <w:szCs w:val="21"/>
        </w:rPr>
        <w:t xml:space="preserve"> año?”</w:t>
      </w:r>
    </w:p>
    <w:p w:rsidR="00F3072D" w:rsidRPr="007E1CD1" w:rsidRDefault="00F3072D" w:rsidP="00F3072D">
      <w:pPr>
        <w:pStyle w:val="NormalWeb"/>
        <w:spacing w:after="0"/>
        <w:ind w:left="709" w:right="709"/>
        <w:jc w:val="both"/>
        <w:rPr>
          <w:rFonts w:ascii="Arial" w:hAnsi="Arial" w:cs="Arial"/>
          <w:iCs/>
          <w:color w:val="000000" w:themeColor="text1"/>
          <w:sz w:val="21"/>
          <w:szCs w:val="21"/>
        </w:rPr>
      </w:pPr>
    </w:p>
    <w:p w:rsidR="00F3072D" w:rsidRDefault="00F3072D" w:rsidP="00F3072D">
      <w:pPr>
        <w:spacing w:after="120" w:line="276" w:lineRule="auto"/>
        <w:ind w:firstLine="708"/>
        <w:jc w:val="both"/>
        <w:rPr>
          <w:rFonts w:ascii="Arial" w:hAnsi="Arial" w:cs="Arial"/>
          <w:i/>
          <w:iCs/>
          <w:color w:val="000000" w:themeColor="text1"/>
          <w:lang w:val="es-ES_tradnl"/>
        </w:rPr>
      </w:pPr>
      <w:r w:rsidRPr="00E30FB6">
        <w:rPr>
          <w:rFonts w:ascii="Arial" w:eastAsia="Arial" w:hAnsi="Arial" w:cs="Arial"/>
        </w:rPr>
        <w:t xml:space="preserve">Conforme a lo expuesto previamente, </w:t>
      </w:r>
      <w:r w:rsidRPr="00E30FB6">
        <w:rPr>
          <w:rFonts w:ascii="Arial" w:eastAsia="Calibri" w:hAnsi="Arial" w:cs="Arial"/>
          <w:bCs/>
          <w:lang w:val="es-ES_tradnl"/>
        </w:rPr>
        <w:t xml:space="preserve">la obligación de solicitar el Formato de Hoja de Vida de la Función Pública tanto para personas naturales como para personas jurídicas tiene un carácter obligatorio, única y exclusivamente para los contratos de prestación de servicios, tal como lo establece la Ley 190 de 1995 y el Decreto 1571 de 1998. Ahora bien, frente a los </w:t>
      </w:r>
      <w:r w:rsidRPr="00E30FB6">
        <w:rPr>
          <w:rFonts w:ascii="Arial" w:eastAsia="Calibri" w:hAnsi="Arial" w:cs="Arial"/>
          <w:bCs/>
          <w:lang w:val="es-ES_tradnl"/>
        </w:rPr>
        <w:lastRenderedPageBreak/>
        <w:t xml:space="preserve">contratos de prestación de servicios, la norma en mención tan sólo se refiere a los </w:t>
      </w:r>
      <w:r w:rsidRPr="00E30FB6">
        <w:rPr>
          <w:rFonts w:ascii="Arial" w:hAnsi="Arial" w:cs="Arial"/>
          <w:color w:val="000000" w:themeColor="text1"/>
          <w:lang w:val="es-ES_tradnl"/>
        </w:rPr>
        <w:t xml:space="preserve">regulados en numeral 3 del artículo 32 de la Ley 80 de 1993, el cual es definido como aquel que </w:t>
      </w:r>
      <w:r>
        <w:rPr>
          <w:rFonts w:ascii="Arial" w:hAnsi="Arial" w:cs="Arial"/>
          <w:color w:val="000000" w:themeColor="text1"/>
          <w:lang w:val="es-ES_tradnl"/>
        </w:rPr>
        <w:t>“</w:t>
      </w:r>
      <w:r w:rsidRPr="00E30FB6">
        <w:rPr>
          <w:rFonts w:ascii="Arial" w:hAnsi="Arial" w:cs="Arial"/>
          <w:i/>
          <w:iCs/>
          <w:color w:val="000000" w:themeColor="text1"/>
          <w:lang w:val="es-ES_tradnl"/>
        </w:rPr>
        <w:t>celebren las entidades estatales para desarrollar actividades relacionadas con la administración o funcionamiento de la entidad. Estos contratos sólo podrán celebrarse con personas naturales y jurídicas cuando dichas actividades no puedan realizarse con personal de planta o requieran conocimientos especializados.</w:t>
      </w:r>
      <w:r>
        <w:rPr>
          <w:rFonts w:ascii="Arial" w:hAnsi="Arial" w:cs="Arial"/>
          <w:i/>
          <w:iCs/>
          <w:color w:val="000000" w:themeColor="text1"/>
          <w:lang w:val="es-ES_tradnl"/>
        </w:rPr>
        <w:t>”</w:t>
      </w:r>
      <w:r w:rsidRPr="00E30FB6">
        <w:rPr>
          <w:rFonts w:ascii="Arial" w:hAnsi="Arial" w:cs="Arial"/>
          <w:i/>
          <w:iCs/>
          <w:color w:val="000000" w:themeColor="text1"/>
          <w:lang w:val="es-ES_tradnl"/>
        </w:rPr>
        <w:t>.</w:t>
      </w:r>
    </w:p>
    <w:p w:rsidR="00F3072D" w:rsidRPr="007E1CD1" w:rsidRDefault="00F3072D" w:rsidP="00F3072D">
      <w:pPr>
        <w:spacing w:after="120" w:line="276" w:lineRule="auto"/>
        <w:ind w:firstLine="709"/>
        <w:jc w:val="both"/>
        <w:rPr>
          <w:rFonts w:ascii="Arial" w:hAnsi="Arial" w:cs="Arial"/>
          <w:i/>
          <w:iCs/>
          <w:color w:val="000000" w:themeColor="text1"/>
          <w:lang w:val="es-ES_tradnl"/>
        </w:rPr>
      </w:pPr>
      <w:r w:rsidRPr="00E30FB6">
        <w:rPr>
          <w:rFonts w:ascii="Arial" w:eastAsia="Calibri" w:hAnsi="Arial" w:cs="Arial"/>
          <w:bCs/>
          <w:lang w:val="es-ES_tradnl"/>
        </w:rPr>
        <w:t xml:space="preserve">Para los otros Procesos de Contratación, no existe en nuestro ordenamiento jurídico norma expresa que obligue a las Entidades Estatales el contemplar en los pliegos de condiciones o los documentos que hagan sus veces, la presentación de dicho documento previo a la celebración del contrato, sin embargo, como se enunció previamente, las Entidades Estatales tienen la autonomía y discrecionalidad de solicitar en los procesos de selección los requisitos habilitantes dentro de los pliegos de condiciones, con el fin de que los procesos contractuales sean objetivos y transparentes. </w:t>
      </w:r>
      <w:r w:rsidRPr="00E30FB6">
        <w:rPr>
          <w:rStyle w:val="normaltextrun"/>
          <w:rFonts w:ascii="Arial" w:hAnsi="Arial" w:cs="Arial"/>
          <w:color w:val="000000"/>
          <w:shd w:val="clear" w:color="auto" w:fill="FFFFFF"/>
          <w:lang w:val="es-ES"/>
        </w:rPr>
        <w:t>De esta manera, siempre y cuando sean adecuados y proporcionales, en virtud de lo estipulado en el artículo 5 de la Ley 1150 de 2007, la Entidad Estatal tiene plena autonomía en la estructuración de sus pliegos condiciones y podrá establecer los requisitos habilitantes en sus Procesos de Contratación, estos deben ser adecuados y proporcionales.</w:t>
      </w:r>
    </w:p>
    <w:p w:rsidR="00F3072D" w:rsidRPr="007E1CD1" w:rsidRDefault="00F3072D" w:rsidP="00F3072D">
      <w:pPr>
        <w:pStyle w:val="NormalWeb"/>
        <w:ind w:left="709" w:right="709"/>
        <w:jc w:val="both"/>
        <w:rPr>
          <w:rFonts w:ascii="Arial" w:hAnsi="Arial" w:cs="Arial"/>
          <w:iCs/>
          <w:color w:val="000000" w:themeColor="text1"/>
          <w:sz w:val="22"/>
        </w:rPr>
      </w:pPr>
      <w:r>
        <w:rPr>
          <w:rFonts w:ascii="Arial" w:hAnsi="Arial" w:cs="Arial"/>
          <w:iCs/>
          <w:color w:val="000000" w:themeColor="text1"/>
          <w:sz w:val="22"/>
        </w:rPr>
        <w:t>“</w:t>
      </w:r>
      <w:r w:rsidRPr="007E1CD1">
        <w:rPr>
          <w:rFonts w:ascii="Arial" w:hAnsi="Arial" w:cs="Arial"/>
          <w:iCs/>
          <w:color w:val="000000" w:themeColor="text1"/>
          <w:sz w:val="22"/>
        </w:rPr>
        <w:t xml:space="preserve">3. </w:t>
      </w:r>
      <w:proofErr w:type="gramStart"/>
      <w:r w:rsidRPr="007E1CD1">
        <w:rPr>
          <w:rFonts w:ascii="Arial" w:hAnsi="Arial" w:cs="Arial"/>
          <w:iCs/>
          <w:color w:val="000000" w:themeColor="text1"/>
          <w:sz w:val="22"/>
        </w:rPr>
        <w:t>¿ para</w:t>
      </w:r>
      <w:proofErr w:type="gramEnd"/>
      <w:r w:rsidRPr="007E1CD1">
        <w:rPr>
          <w:rFonts w:ascii="Arial" w:hAnsi="Arial" w:cs="Arial"/>
          <w:iCs/>
          <w:color w:val="000000" w:themeColor="text1"/>
          <w:sz w:val="22"/>
        </w:rPr>
        <w:t xml:space="preserve"> el cumplimiento del requisito 19 de la lista de chequeo (anexo 1), es legal exigir al candidato que obligatoriamente se encuentre en régimen contributivo de salud o es suficiente con demostrar que se encuentra inscrito a una EPS (certificado ADRES) en régimen subsidiado?</w:t>
      </w:r>
      <w:r>
        <w:rPr>
          <w:rFonts w:ascii="Arial" w:hAnsi="Arial" w:cs="Arial"/>
          <w:iCs/>
          <w:color w:val="000000" w:themeColor="text1"/>
          <w:sz w:val="22"/>
        </w:rPr>
        <w:t>”</w:t>
      </w:r>
    </w:p>
    <w:p w:rsidR="00F3072D" w:rsidRPr="007E1CD1" w:rsidRDefault="00F3072D" w:rsidP="00F3072D">
      <w:pPr>
        <w:pStyle w:val="NormalWeb"/>
        <w:ind w:left="709" w:right="709"/>
        <w:jc w:val="both"/>
        <w:rPr>
          <w:rFonts w:ascii="Arial" w:hAnsi="Arial" w:cs="Arial"/>
          <w:iCs/>
          <w:color w:val="000000" w:themeColor="text1"/>
          <w:sz w:val="22"/>
        </w:rPr>
      </w:pPr>
      <w:r>
        <w:rPr>
          <w:rFonts w:ascii="Arial" w:hAnsi="Arial" w:cs="Arial"/>
          <w:iCs/>
          <w:color w:val="000000" w:themeColor="text1"/>
          <w:sz w:val="22"/>
        </w:rPr>
        <w:t>“</w:t>
      </w:r>
      <w:r w:rsidRPr="007E1CD1">
        <w:rPr>
          <w:rFonts w:ascii="Arial" w:hAnsi="Arial" w:cs="Arial"/>
          <w:iCs/>
          <w:color w:val="000000" w:themeColor="text1"/>
          <w:sz w:val="22"/>
        </w:rPr>
        <w:t>4. ¿es legal que se exija a un futuro proveedor que pague por adelanto la seguridad salud (liquidar planilla), sin tener un contrato firmado para prestación de servicios?</w:t>
      </w:r>
      <w:r>
        <w:rPr>
          <w:rFonts w:ascii="Arial" w:hAnsi="Arial" w:cs="Arial"/>
          <w:iCs/>
          <w:color w:val="000000" w:themeColor="text1"/>
          <w:sz w:val="22"/>
        </w:rPr>
        <w:t>”</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E30FB6">
        <w:rPr>
          <w:rFonts w:ascii="Arial" w:eastAsia="Arial" w:hAnsi="Arial" w:cs="Arial"/>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E30FB6" w:rsidDel="006B64E9">
        <w:rPr>
          <w:rFonts w:ascii="Arial" w:eastAsia="Arial" w:hAnsi="Arial" w:cs="Arial"/>
          <w:lang w:val="es-ES"/>
        </w:rPr>
        <w:t xml:space="preserve"> </w:t>
      </w:r>
      <w:r w:rsidRPr="00E30FB6">
        <w:rPr>
          <w:rFonts w:ascii="Arial" w:eastAsia="Arial" w:hAnsi="Arial" w:cs="Arial"/>
          <w:lang w:val="es-ES"/>
        </w:rPr>
        <w:t>que la acreditación de dicho requisito se realiza en diferentes momentos del proceso contractual, tal como se detalla a continuación</w:t>
      </w:r>
      <w:r>
        <w:rPr>
          <w:rFonts w:ascii="Arial" w:eastAsia="Arial" w:hAnsi="Arial" w:cs="Arial"/>
          <w:lang w:val="es-ES"/>
        </w:rPr>
        <w:t>:</w:t>
      </w:r>
      <w:r w:rsidRPr="00E30FB6">
        <w:rPr>
          <w:rFonts w:ascii="Arial" w:eastAsia="Arial" w:hAnsi="Arial" w:cs="Arial"/>
          <w:lang w:val="es-ES"/>
        </w:rPr>
        <w:t xml:space="preserve"> </w:t>
      </w:r>
    </w:p>
    <w:p w:rsidR="00F3072D" w:rsidRPr="00E30FB6" w:rsidRDefault="00F3072D" w:rsidP="00F3072D">
      <w:pPr>
        <w:widowControl w:val="0"/>
        <w:tabs>
          <w:tab w:val="left" w:pos="567"/>
        </w:tabs>
        <w:autoSpaceDE w:val="0"/>
        <w:autoSpaceDN w:val="0"/>
        <w:spacing w:before="120" w:after="120" w:line="276" w:lineRule="auto"/>
        <w:ind w:firstLine="709"/>
        <w:jc w:val="both"/>
        <w:rPr>
          <w:rFonts w:ascii="Arial" w:eastAsia="Arial" w:hAnsi="Arial" w:cs="Arial"/>
          <w:lang w:val="es-ES"/>
        </w:rPr>
      </w:pPr>
      <w:r w:rsidRPr="00914FED">
        <w:rPr>
          <w:rFonts w:ascii="Arial" w:eastAsia="Arial" w:hAnsi="Arial" w:cs="Arial"/>
          <w:bCs/>
          <w:i/>
          <w:iCs/>
          <w:lang w:val="es-ES"/>
        </w:rPr>
        <w:t>i)</w:t>
      </w:r>
      <w:r w:rsidRPr="00E30FB6">
        <w:rPr>
          <w:rFonts w:ascii="Arial" w:eastAsia="Arial" w:hAnsi="Arial" w:cs="Arial"/>
          <w:lang w:val="es-ES"/>
        </w:rPr>
        <w:t xml:space="preserve"> </w:t>
      </w:r>
      <w:r w:rsidRPr="00E30FB6">
        <w:rPr>
          <w:rFonts w:ascii="Arial" w:eastAsia="Arial" w:hAnsi="Arial" w:cs="Arial"/>
          <w:i/>
          <w:iCs/>
          <w:lang w:val="es-ES"/>
        </w:rPr>
        <w:t>Para presentar la oferta</w:t>
      </w:r>
      <w:r w:rsidRPr="00E30FB6">
        <w:rPr>
          <w:rFonts w:ascii="Arial" w:eastAsia="Arial" w:hAnsi="Arial" w:cs="Arial"/>
          <w:lang w:val="es-ES"/>
        </w:rPr>
        <w:t xml:space="preserve"> los proponentes deben acreditar el pago de los aportes de sus</w:t>
      </w:r>
      <w:r w:rsidRPr="00E30FB6">
        <w:rPr>
          <w:rFonts w:ascii="Arial" w:eastAsia="Arial" w:hAnsi="Arial" w:cs="Arial"/>
          <w:spacing w:val="-6"/>
          <w:lang w:val="es-ES"/>
        </w:rPr>
        <w:t xml:space="preserve"> </w:t>
      </w:r>
      <w:r w:rsidRPr="00E30FB6">
        <w:rPr>
          <w:rFonts w:ascii="Arial" w:eastAsia="Arial" w:hAnsi="Arial" w:cs="Arial"/>
          <w:lang w:val="es-ES"/>
        </w:rPr>
        <w:t>empleados,</w:t>
      </w:r>
      <w:r w:rsidRPr="00E30FB6">
        <w:rPr>
          <w:rFonts w:ascii="Arial" w:eastAsia="Arial" w:hAnsi="Arial" w:cs="Arial"/>
          <w:spacing w:val="-6"/>
          <w:lang w:val="es-ES"/>
        </w:rPr>
        <w:t xml:space="preserve"> </w:t>
      </w:r>
      <w:r w:rsidRPr="00E30FB6">
        <w:rPr>
          <w:rFonts w:ascii="Arial" w:eastAsia="Arial" w:hAnsi="Arial" w:cs="Arial"/>
          <w:lang w:val="es-ES"/>
        </w:rPr>
        <w:t>mediante</w:t>
      </w:r>
      <w:r w:rsidRPr="00E30FB6">
        <w:rPr>
          <w:rFonts w:ascii="Arial" w:eastAsia="Arial" w:hAnsi="Arial" w:cs="Arial"/>
          <w:spacing w:val="-6"/>
          <w:lang w:val="es-ES"/>
        </w:rPr>
        <w:t xml:space="preserve"> </w:t>
      </w:r>
      <w:r w:rsidRPr="00E30FB6">
        <w:rPr>
          <w:rFonts w:ascii="Arial" w:eastAsia="Arial" w:hAnsi="Arial" w:cs="Arial"/>
          <w:lang w:val="es-ES"/>
        </w:rPr>
        <w:t>certificación</w:t>
      </w:r>
      <w:r w:rsidRPr="00E30FB6">
        <w:rPr>
          <w:rFonts w:ascii="Arial" w:eastAsia="Arial" w:hAnsi="Arial" w:cs="Arial"/>
          <w:spacing w:val="-6"/>
          <w:lang w:val="es-ES"/>
        </w:rPr>
        <w:t xml:space="preserve"> </w:t>
      </w:r>
      <w:r w:rsidRPr="00E30FB6">
        <w:rPr>
          <w:rFonts w:ascii="Arial" w:eastAsia="Arial" w:hAnsi="Arial" w:cs="Arial"/>
          <w:lang w:val="es-ES"/>
        </w:rPr>
        <w:t>expedida</w:t>
      </w:r>
      <w:r w:rsidRPr="00E30FB6">
        <w:rPr>
          <w:rFonts w:ascii="Arial" w:eastAsia="Arial" w:hAnsi="Arial" w:cs="Arial"/>
          <w:spacing w:val="-6"/>
          <w:lang w:val="es-ES"/>
        </w:rPr>
        <w:t xml:space="preserve"> </w:t>
      </w:r>
      <w:r w:rsidRPr="00E30FB6">
        <w:rPr>
          <w:rFonts w:ascii="Arial" w:eastAsia="Arial" w:hAnsi="Arial" w:cs="Arial"/>
          <w:lang w:val="es-ES"/>
        </w:rPr>
        <w:t>por</w:t>
      </w:r>
      <w:r w:rsidRPr="00E30FB6">
        <w:rPr>
          <w:rFonts w:ascii="Arial" w:eastAsia="Arial" w:hAnsi="Arial" w:cs="Arial"/>
          <w:spacing w:val="-6"/>
          <w:lang w:val="es-ES"/>
        </w:rPr>
        <w:t xml:space="preserve"> </w:t>
      </w:r>
      <w:r w:rsidRPr="00E30FB6">
        <w:rPr>
          <w:rFonts w:ascii="Arial" w:eastAsia="Arial" w:hAnsi="Arial" w:cs="Arial"/>
          <w:lang w:val="es-ES"/>
        </w:rPr>
        <w:t>el</w:t>
      </w:r>
      <w:r w:rsidRPr="00E30FB6">
        <w:rPr>
          <w:rFonts w:ascii="Arial" w:eastAsia="Arial" w:hAnsi="Arial" w:cs="Arial"/>
          <w:spacing w:val="-6"/>
          <w:lang w:val="es-ES"/>
        </w:rPr>
        <w:t xml:space="preserve"> </w:t>
      </w:r>
      <w:r w:rsidRPr="00E30FB6">
        <w:rPr>
          <w:rFonts w:ascii="Arial" w:eastAsia="Arial" w:hAnsi="Arial" w:cs="Arial"/>
          <w:lang w:val="es-ES"/>
        </w:rPr>
        <w:t>revisor</w:t>
      </w:r>
      <w:r w:rsidRPr="00E30FB6">
        <w:rPr>
          <w:rFonts w:ascii="Arial" w:eastAsia="Arial" w:hAnsi="Arial" w:cs="Arial"/>
          <w:spacing w:val="-6"/>
          <w:lang w:val="es-ES"/>
        </w:rPr>
        <w:t xml:space="preserve"> </w:t>
      </w:r>
      <w:r w:rsidRPr="00E30FB6">
        <w:rPr>
          <w:rFonts w:ascii="Arial" w:eastAsia="Arial" w:hAnsi="Arial" w:cs="Arial"/>
          <w:lang w:val="es-ES"/>
        </w:rPr>
        <w:t>fiscal,</w:t>
      </w:r>
      <w:r w:rsidRPr="00E30FB6">
        <w:rPr>
          <w:rFonts w:ascii="Arial" w:eastAsia="Arial" w:hAnsi="Arial" w:cs="Arial"/>
          <w:spacing w:val="-5"/>
          <w:lang w:val="es-ES"/>
        </w:rPr>
        <w:t xml:space="preserve"> </w:t>
      </w:r>
      <w:r w:rsidRPr="00E30FB6">
        <w:rPr>
          <w:rFonts w:ascii="Arial" w:eastAsia="Arial" w:hAnsi="Arial" w:cs="Arial"/>
          <w:lang w:val="es-ES"/>
        </w:rPr>
        <w:t>cuando</w:t>
      </w:r>
      <w:r w:rsidRPr="00E30FB6">
        <w:rPr>
          <w:rFonts w:ascii="Arial" w:eastAsia="Arial" w:hAnsi="Arial" w:cs="Arial"/>
          <w:spacing w:val="-6"/>
          <w:lang w:val="es-ES"/>
        </w:rPr>
        <w:t xml:space="preserve"> </w:t>
      </w:r>
      <w:r w:rsidRPr="00E30FB6">
        <w:rPr>
          <w:rFonts w:ascii="Arial" w:eastAsia="Arial" w:hAnsi="Arial" w:cs="Arial"/>
          <w:lang w:val="es-ES"/>
        </w:rPr>
        <w:t>este</w:t>
      </w:r>
      <w:r w:rsidRPr="00E30FB6">
        <w:rPr>
          <w:rFonts w:ascii="Arial" w:eastAsia="Arial" w:hAnsi="Arial" w:cs="Arial"/>
          <w:spacing w:val="-6"/>
          <w:lang w:val="es-ES"/>
        </w:rPr>
        <w:t xml:space="preserve"> </w:t>
      </w:r>
      <w:r w:rsidRPr="00E30FB6">
        <w:rPr>
          <w:rFonts w:ascii="Arial" w:eastAsia="Arial" w:hAnsi="Arial" w:cs="Arial"/>
          <w:lang w:val="es-ES"/>
        </w:rPr>
        <w:t>exista de</w:t>
      </w:r>
      <w:r w:rsidRPr="00E30FB6">
        <w:rPr>
          <w:rFonts w:ascii="Arial" w:eastAsia="Arial" w:hAnsi="Arial" w:cs="Arial"/>
          <w:spacing w:val="-9"/>
          <w:lang w:val="es-ES"/>
        </w:rPr>
        <w:t xml:space="preserve"> </w:t>
      </w:r>
      <w:r w:rsidRPr="00E30FB6">
        <w:rPr>
          <w:rFonts w:ascii="Arial" w:eastAsia="Arial" w:hAnsi="Arial" w:cs="Arial"/>
          <w:lang w:val="es-ES"/>
        </w:rPr>
        <w:t>acuerdo</w:t>
      </w:r>
      <w:r w:rsidRPr="00E30FB6">
        <w:rPr>
          <w:rFonts w:ascii="Arial" w:eastAsia="Arial" w:hAnsi="Arial" w:cs="Arial"/>
          <w:spacing w:val="-8"/>
          <w:lang w:val="es-ES"/>
        </w:rPr>
        <w:t xml:space="preserve"> </w:t>
      </w:r>
      <w:r w:rsidRPr="00E30FB6">
        <w:rPr>
          <w:rFonts w:ascii="Arial" w:eastAsia="Arial" w:hAnsi="Arial" w:cs="Arial"/>
          <w:lang w:val="es-ES"/>
        </w:rPr>
        <w:t>con</w:t>
      </w:r>
      <w:r w:rsidRPr="00E30FB6">
        <w:rPr>
          <w:rFonts w:ascii="Arial" w:eastAsia="Arial" w:hAnsi="Arial" w:cs="Arial"/>
          <w:spacing w:val="-8"/>
          <w:lang w:val="es-ES"/>
        </w:rPr>
        <w:t xml:space="preserve"> </w:t>
      </w:r>
      <w:r w:rsidRPr="00E30FB6">
        <w:rPr>
          <w:rFonts w:ascii="Arial" w:eastAsia="Arial" w:hAnsi="Arial" w:cs="Arial"/>
          <w:lang w:val="es-ES"/>
        </w:rPr>
        <w:t>los</w:t>
      </w:r>
      <w:r w:rsidRPr="00E30FB6">
        <w:rPr>
          <w:rFonts w:ascii="Arial" w:eastAsia="Arial" w:hAnsi="Arial" w:cs="Arial"/>
          <w:spacing w:val="-8"/>
          <w:lang w:val="es-ES"/>
        </w:rPr>
        <w:t xml:space="preserve"> </w:t>
      </w:r>
      <w:r w:rsidRPr="00E30FB6">
        <w:rPr>
          <w:rFonts w:ascii="Arial" w:eastAsia="Arial" w:hAnsi="Arial" w:cs="Arial"/>
          <w:lang w:val="es-ES"/>
        </w:rPr>
        <w:t>requerimientos</w:t>
      </w:r>
      <w:r w:rsidRPr="00E30FB6">
        <w:rPr>
          <w:rFonts w:ascii="Arial" w:eastAsia="Arial" w:hAnsi="Arial" w:cs="Arial"/>
          <w:spacing w:val="-9"/>
          <w:lang w:val="es-ES"/>
        </w:rPr>
        <w:t xml:space="preserve"> </w:t>
      </w:r>
      <w:r w:rsidRPr="00E30FB6">
        <w:rPr>
          <w:rFonts w:ascii="Arial" w:eastAsia="Arial" w:hAnsi="Arial" w:cs="Arial"/>
          <w:lang w:val="es-ES"/>
        </w:rPr>
        <w:t>de</w:t>
      </w:r>
      <w:r w:rsidRPr="00E30FB6">
        <w:rPr>
          <w:rFonts w:ascii="Arial" w:eastAsia="Arial" w:hAnsi="Arial" w:cs="Arial"/>
          <w:spacing w:val="-8"/>
          <w:lang w:val="es-ES"/>
        </w:rPr>
        <w:t xml:space="preserve"> </w:t>
      </w:r>
      <w:r w:rsidRPr="00E30FB6">
        <w:rPr>
          <w:rFonts w:ascii="Arial" w:eastAsia="Arial" w:hAnsi="Arial" w:cs="Arial"/>
          <w:lang w:val="es-ES"/>
        </w:rPr>
        <w:t>Ley,</w:t>
      </w:r>
      <w:r w:rsidRPr="00E30FB6">
        <w:rPr>
          <w:rFonts w:ascii="Arial" w:eastAsia="Arial" w:hAnsi="Arial" w:cs="Arial"/>
          <w:spacing w:val="-8"/>
          <w:lang w:val="es-ES"/>
        </w:rPr>
        <w:t xml:space="preserve"> </w:t>
      </w:r>
      <w:r w:rsidRPr="00E30FB6">
        <w:rPr>
          <w:rFonts w:ascii="Arial" w:eastAsia="Arial" w:hAnsi="Arial" w:cs="Arial"/>
          <w:lang w:val="es-ES"/>
        </w:rPr>
        <w:t>o</w:t>
      </w:r>
      <w:r w:rsidRPr="00E30FB6">
        <w:rPr>
          <w:rFonts w:ascii="Arial" w:eastAsia="Arial" w:hAnsi="Arial" w:cs="Arial"/>
          <w:spacing w:val="-8"/>
          <w:lang w:val="es-ES"/>
        </w:rPr>
        <w:t xml:space="preserve"> </w:t>
      </w:r>
      <w:r w:rsidRPr="00E30FB6">
        <w:rPr>
          <w:rFonts w:ascii="Arial" w:eastAsia="Arial" w:hAnsi="Arial" w:cs="Arial"/>
          <w:lang w:val="es-ES"/>
        </w:rPr>
        <w:t>por</w:t>
      </w:r>
      <w:r w:rsidRPr="00E30FB6">
        <w:rPr>
          <w:rFonts w:ascii="Arial" w:eastAsia="Arial" w:hAnsi="Arial" w:cs="Arial"/>
          <w:spacing w:val="-9"/>
          <w:lang w:val="es-ES"/>
        </w:rPr>
        <w:t xml:space="preserve"> </w:t>
      </w:r>
      <w:r w:rsidRPr="00E30FB6">
        <w:rPr>
          <w:rFonts w:ascii="Arial" w:eastAsia="Arial" w:hAnsi="Arial" w:cs="Arial"/>
          <w:lang w:val="es-ES"/>
        </w:rPr>
        <w:t>el</w:t>
      </w:r>
      <w:r w:rsidRPr="00E30FB6">
        <w:rPr>
          <w:rFonts w:ascii="Arial" w:eastAsia="Arial" w:hAnsi="Arial" w:cs="Arial"/>
          <w:spacing w:val="-8"/>
          <w:lang w:val="es-ES"/>
        </w:rPr>
        <w:t xml:space="preserve"> </w:t>
      </w:r>
      <w:r w:rsidRPr="00E30FB6">
        <w:rPr>
          <w:rFonts w:ascii="Arial" w:eastAsia="Arial" w:hAnsi="Arial" w:cs="Arial"/>
          <w:lang w:val="es-ES"/>
        </w:rPr>
        <w:t>representante</w:t>
      </w:r>
      <w:r w:rsidRPr="00E30FB6">
        <w:rPr>
          <w:rFonts w:ascii="Arial" w:eastAsia="Arial" w:hAnsi="Arial" w:cs="Arial"/>
          <w:spacing w:val="-8"/>
          <w:lang w:val="es-ES"/>
        </w:rPr>
        <w:t xml:space="preserve"> </w:t>
      </w:r>
      <w:r w:rsidRPr="00E30FB6">
        <w:rPr>
          <w:rFonts w:ascii="Arial" w:eastAsia="Arial" w:hAnsi="Arial" w:cs="Arial"/>
          <w:lang w:val="es-ES"/>
        </w:rPr>
        <w:t>legal,</w:t>
      </w:r>
      <w:r w:rsidRPr="00E30FB6">
        <w:rPr>
          <w:rFonts w:ascii="Arial" w:eastAsia="Arial" w:hAnsi="Arial" w:cs="Arial"/>
          <w:spacing w:val="-8"/>
          <w:lang w:val="es-ES"/>
        </w:rPr>
        <w:t xml:space="preserve"> </w:t>
      </w:r>
      <w:r w:rsidRPr="00E30FB6">
        <w:rPr>
          <w:rFonts w:ascii="Arial" w:eastAsia="Arial" w:hAnsi="Arial" w:cs="Arial"/>
          <w:lang w:val="es-ES"/>
        </w:rPr>
        <w:t>durante</w:t>
      </w:r>
      <w:r w:rsidRPr="00E30FB6">
        <w:rPr>
          <w:rFonts w:ascii="Arial" w:eastAsia="Arial" w:hAnsi="Arial" w:cs="Arial"/>
          <w:spacing w:val="-9"/>
          <w:lang w:val="es-ES"/>
        </w:rPr>
        <w:t xml:space="preserve"> </w:t>
      </w:r>
      <w:r w:rsidRPr="00E30FB6">
        <w:rPr>
          <w:rFonts w:ascii="Arial" w:eastAsia="Arial" w:hAnsi="Arial" w:cs="Arial"/>
          <w:lang w:val="es-ES"/>
        </w:rPr>
        <w:t>un</w:t>
      </w:r>
      <w:r w:rsidRPr="00E30FB6">
        <w:rPr>
          <w:rFonts w:ascii="Arial" w:eastAsia="Arial" w:hAnsi="Arial" w:cs="Arial"/>
          <w:spacing w:val="-8"/>
          <w:lang w:val="es-ES"/>
        </w:rPr>
        <w:t xml:space="preserve"> </w:t>
      </w:r>
      <w:r w:rsidRPr="00E30FB6">
        <w:rPr>
          <w:rFonts w:ascii="Arial" w:eastAsia="Arial" w:hAnsi="Arial" w:cs="Arial"/>
          <w:lang w:val="es-ES"/>
        </w:rPr>
        <w:t>lapso equivalente al que exija el respectivo régimen de contratación para el que se hubiera constituido la sociedad, el cual, en todo caso, no será inferior a los seis (6) meses anteriores a la celebración del contrato</w:t>
      </w:r>
      <w:r w:rsidRPr="00E30FB6">
        <w:rPr>
          <w:rFonts w:ascii="Arial" w:eastAsia="Arial" w:hAnsi="Arial" w:cs="Arial"/>
          <w:vertAlign w:val="superscript"/>
          <w:lang w:val="es-ES"/>
        </w:rPr>
        <w:footnoteReference w:id="26"/>
      </w:r>
      <w:r w:rsidRPr="00E30FB6">
        <w:rPr>
          <w:rFonts w:ascii="Arial" w:eastAsia="Arial" w:hAnsi="Arial" w:cs="Arial"/>
          <w:lang w:val="es-ES"/>
        </w:rPr>
        <w:t xml:space="preserve">. Si </w:t>
      </w:r>
      <w:r w:rsidRPr="00E30FB6">
        <w:rPr>
          <w:rFonts w:ascii="Arial" w:eastAsia="Arial" w:hAnsi="Arial" w:cs="Arial"/>
          <w:lang w:val="es-ES"/>
        </w:rPr>
        <w:lastRenderedPageBreak/>
        <w:t>bien este certificado no es un requisito</w:t>
      </w:r>
      <w:r w:rsidRPr="00E30FB6">
        <w:rPr>
          <w:rFonts w:ascii="Arial" w:eastAsia="Arial" w:hAnsi="Arial" w:cs="Arial"/>
          <w:spacing w:val="45"/>
          <w:lang w:val="es-ES"/>
        </w:rPr>
        <w:t xml:space="preserve"> </w:t>
      </w:r>
      <w:r w:rsidRPr="00E30FB6">
        <w:rPr>
          <w:rFonts w:ascii="Arial" w:eastAsia="Arial" w:hAnsi="Arial" w:cs="Arial"/>
          <w:lang w:val="es-ES"/>
        </w:rPr>
        <w:t xml:space="preserve">para perfeccionar ni para ejecutarlo, sí lo es para admitir la oferta en el procedimiento de selección. Cabe señalar que la acreditación en los términos indicado solo procede frente a las </w:t>
      </w:r>
      <w:r w:rsidRPr="00E30FB6">
        <w:rPr>
          <w:rFonts w:ascii="Arial" w:eastAsia="Arial" w:hAnsi="Arial" w:cs="Arial"/>
          <w:i/>
          <w:iCs/>
          <w:lang w:val="es-ES"/>
        </w:rPr>
        <w:t xml:space="preserve">personas jurídicas </w:t>
      </w:r>
      <w:r w:rsidRPr="00E30FB6">
        <w:rPr>
          <w:rFonts w:ascii="Arial" w:eastAsia="Arial" w:hAnsi="Arial" w:cs="Arial"/>
          <w:lang w:val="es-ES"/>
        </w:rPr>
        <w:t>–Ley 789 de 2002, art. 50, inciso 3°–.</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ii)</w:t>
      </w:r>
      <w:r w:rsidRPr="00E30FB6">
        <w:rPr>
          <w:rFonts w:ascii="Arial" w:eastAsia="Arial" w:hAnsi="Arial" w:cs="Arial"/>
          <w:lang w:val="es-ES"/>
        </w:rPr>
        <w:t xml:space="preserve"> En el momento del </w:t>
      </w:r>
      <w:r w:rsidRPr="00E30FB6">
        <w:rPr>
          <w:rFonts w:ascii="Arial" w:eastAsia="Arial" w:hAnsi="Arial" w:cs="Arial"/>
          <w:i/>
          <w:iCs/>
          <w:lang w:val="es-ES"/>
        </w:rPr>
        <w:t>perfeccionamiento del contrato estatal</w:t>
      </w:r>
      <w:r w:rsidRPr="00E30FB6">
        <w:rPr>
          <w:rFonts w:ascii="Arial" w:eastAsia="Arial" w:hAnsi="Arial" w:cs="Arial"/>
          <w:lang w:val="es-ES"/>
        </w:rPr>
        <w:t xml:space="preserve">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iii)</w:t>
      </w:r>
      <w:r w:rsidRPr="00E30FB6">
        <w:rPr>
          <w:rFonts w:ascii="Arial" w:eastAsia="Arial" w:hAnsi="Arial" w:cs="Arial"/>
          <w:lang w:val="es-ES"/>
        </w:rPr>
        <w:t xml:space="preserve"> El pago de los aportes de seguridad social es un </w:t>
      </w:r>
      <w:r w:rsidRPr="00E30FB6">
        <w:rPr>
          <w:rFonts w:ascii="Arial" w:eastAsia="Arial" w:hAnsi="Arial" w:cs="Arial"/>
          <w:i/>
          <w:iCs/>
          <w:lang w:val="es-ES"/>
        </w:rPr>
        <w:t>requisito de ejecución</w:t>
      </w:r>
      <w:r w:rsidRPr="00E30FB6">
        <w:rPr>
          <w:rFonts w:ascii="Arial" w:eastAsia="Arial" w:hAnsi="Arial" w:cs="Arial"/>
          <w:lang w:val="es-ES"/>
        </w:rPr>
        <w:t xml:space="preserve"> del contrato, es decir, es un elemento </w:t>
      </w:r>
      <w:r w:rsidRPr="00E30FB6">
        <w:rPr>
          <w:rFonts w:ascii="Arial" w:eastAsia="Arial" w:hAnsi="Arial" w:cs="Arial"/>
          <w:i/>
          <w:lang w:val="es-ES"/>
        </w:rPr>
        <w:t>sine qua non</w:t>
      </w:r>
      <w:r w:rsidRPr="00E30FB6">
        <w:rPr>
          <w:rFonts w:ascii="Arial" w:eastAsia="Arial" w:hAnsi="Arial" w:cs="Arial"/>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iv)</w:t>
      </w:r>
      <w:r w:rsidRPr="00E30FB6">
        <w:rPr>
          <w:rFonts w:ascii="Arial" w:eastAsia="Arial" w:hAnsi="Arial" w:cs="Arial"/>
          <w:lang w:val="es-ES"/>
        </w:rPr>
        <w:t xml:space="preserve"> </w:t>
      </w:r>
      <w:r w:rsidRPr="00E30FB6">
        <w:rPr>
          <w:rFonts w:ascii="Arial" w:eastAsia="Arial" w:hAnsi="Arial" w:cs="Arial"/>
          <w:i/>
          <w:iCs/>
          <w:lang w:val="es-ES"/>
        </w:rPr>
        <w:t>Durante la ejecución del contrato</w:t>
      </w:r>
      <w:r w:rsidRPr="00E30FB6">
        <w:rPr>
          <w:rFonts w:ascii="Arial" w:eastAsia="Arial" w:hAnsi="Arial" w:cs="Arial"/>
          <w:lang w:val="es-ES"/>
        </w:rPr>
        <w:t xml:space="preserve">, la Entidad Estatal debe verificar el pago a los aportes a seguridad social, verificación que deberá efectuar para realizar cada pago originado en el contrato –parágrafo 1, art. 41 de la Ley 80 de 1993, modificado por el art. 23 de la Ley 1150 de 2007–. </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914FED">
        <w:rPr>
          <w:rFonts w:ascii="Arial" w:eastAsia="Arial" w:hAnsi="Arial" w:cs="Arial"/>
          <w:bCs/>
          <w:i/>
          <w:iCs/>
          <w:lang w:val="es-ES"/>
        </w:rPr>
        <w:t>v)</w:t>
      </w:r>
      <w:r w:rsidRPr="00E30FB6">
        <w:rPr>
          <w:rFonts w:ascii="Arial" w:eastAsia="Arial" w:hAnsi="Arial" w:cs="Arial"/>
          <w:lang w:val="es-ES"/>
        </w:rPr>
        <w:t xml:space="preserve"> Finalmente,</w:t>
      </w:r>
      <w:r w:rsidRPr="00E30FB6">
        <w:rPr>
          <w:rFonts w:ascii="Arial" w:eastAsia="Arial" w:hAnsi="Arial" w:cs="Arial"/>
          <w:spacing w:val="-4"/>
          <w:lang w:val="es-ES"/>
        </w:rPr>
        <w:t xml:space="preserve"> </w:t>
      </w:r>
      <w:r w:rsidRPr="00E30FB6">
        <w:rPr>
          <w:rFonts w:ascii="Arial" w:eastAsia="Arial" w:hAnsi="Arial" w:cs="Arial"/>
          <w:lang w:val="es-ES"/>
        </w:rPr>
        <w:t>en</w:t>
      </w:r>
      <w:r w:rsidRPr="00E30FB6">
        <w:rPr>
          <w:rFonts w:ascii="Arial" w:eastAsia="Arial" w:hAnsi="Arial" w:cs="Arial"/>
          <w:spacing w:val="-6"/>
          <w:lang w:val="es-ES"/>
        </w:rPr>
        <w:t xml:space="preserve"> </w:t>
      </w:r>
      <w:r w:rsidRPr="00E30FB6">
        <w:rPr>
          <w:rFonts w:ascii="Arial" w:eastAsia="Arial" w:hAnsi="Arial" w:cs="Arial"/>
          <w:lang w:val="es-ES"/>
        </w:rPr>
        <w:t>virtud</w:t>
      </w:r>
      <w:r w:rsidRPr="00E30FB6">
        <w:rPr>
          <w:rFonts w:ascii="Arial" w:eastAsia="Arial" w:hAnsi="Arial" w:cs="Arial"/>
          <w:spacing w:val="-5"/>
          <w:lang w:val="es-ES"/>
        </w:rPr>
        <w:t xml:space="preserve"> </w:t>
      </w:r>
      <w:r w:rsidRPr="00E30FB6">
        <w:rPr>
          <w:rFonts w:ascii="Arial" w:eastAsia="Arial" w:hAnsi="Arial" w:cs="Arial"/>
          <w:lang w:val="es-ES"/>
        </w:rPr>
        <w:t>del</w:t>
      </w:r>
      <w:r w:rsidRPr="00E30FB6">
        <w:rPr>
          <w:rFonts w:ascii="Arial" w:eastAsia="Arial" w:hAnsi="Arial" w:cs="Arial"/>
          <w:spacing w:val="-6"/>
          <w:lang w:val="es-ES"/>
        </w:rPr>
        <w:t xml:space="preserve"> </w:t>
      </w:r>
      <w:r w:rsidRPr="00E30FB6">
        <w:rPr>
          <w:rFonts w:ascii="Arial" w:eastAsia="Arial" w:hAnsi="Arial" w:cs="Arial"/>
          <w:lang w:val="es-ES"/>
        </w:rPr>
        <w:t>artículo</w:t>
      </w:r>
      <w:r w:rsidRPr="00E30FB6">
        <w:rPr>
          <w:rFonts w:ascii="Arial" w:eastAsia="Arial" w:hAnsi="Arial" w:cs="Arial"/>
          <w:spacing w:val="-6"/>
          <w:lang w:val="es-ES"/>
        </w:rPr>
        <w:t xml:space="preserve"> </w:t>
      </w:r>
      <w:r w:rsidRPr="00E30FB6">
        <w:rPr>
          <w:rFonts w:ascii="Arial" w:eastAsia="Arial" w:hAnsi="Arial" w:cs="Arial"/>
          <w:lang w:val="es-ES"/>
        </w:rPr>
        <w:t>50</w:t>
      </w:r>
      <w:r w:rsidRPr="00E30FB6">
        <w:rPr>
          <w:rFonts w:ascii="Arial" w:eastAsia="Arial" w:hAnsi="Arial" w:cs="Arial"/>
          <w:spacing w:val="-5"/>
          <w:lang w:val="es-ES"/>
        </w:rPr>
        <w:t xml:space="preserve"> </w:t>
      </w:r>
      <w:r w:rsidRPr="00E30FB6">
        <w:rPr>
          <w:rFonts w:ascii="Arial" w:eastAsia="Arial" w:hAnsi="Arial" w:cs="Arial"/>
          <w:lang w:val="es-ES"/>
        </w:rPr>
        <w:t>de</w:t>
      </w:r>
      <w:r w:rsidRPr="00E30FB6">
        <w:rPr>
          <w:rFonts w:ascii="Arial" w:eastAsia="Arial" w:hAnsi="Arial" w:cs="Arial"/>
          <w:spacing w:val="-6"/>
          <w:lang w:val="es-ES"/>
        </w:rPr>
        <w:t xml:space="preserve"> </w:t>
      </w:r>
      <w:r w:rsidRPr="00E30FB6">
        <w:rPr>
          <w:rFonts w:ascii="Arial" w:eastAsia="Arial" w:hAnsi="Arial" w:cs="Arial"/>
          <w:lang w:val="es-ES"/>
        </w:rPr>
        <w:t>la</w:t>
      </w:r>
      <w:r w:rsidRPr="00E30FB6">
        <w:rPr>
          <w:rFonts w:ascii="Arial" w:eastAsia="Arial" w:hAnsi="Arial" w:cs="Arial"/>
          <w:spacing w:val="-6"/>
          <w:lang w:val="es-ES"/>
        </w:rPr>
        <w:t xml:space="preserve"> </w:t>
      </w:r>
      <w:r w:rsidRPr="00E30FB6">
        <w:rPr>
          <w:rFonts w:ascii="Arial" w:eastAsia="Arial" w:hAnsi="Arial" w:cs="Arial"/>
          <w:lang w:val="es-ES"/>
        </w:rPr>
        <w:t>Ley</w:t>
      </w:r>
      <w:r w:rsidRPr="00E30FB6">
        <w:rPr>
          <w:rFonts w:ascii="Arial" w:eastAsia="Arial" w:hAnsi="Arial" w:cs="Arial"/>
          <w:spacing w:val="-5"/>
          <w:lang w:val="es-ES"/>
        </w:rPr>
        <w:t xml:space="preserve"> </w:t>
      </w:r>
      <w:r w:rsidRPr="00E30FB6">
        <w:rPr>
          <w:rFonts w:ascii="Arial" w:eastAsia="Arial" w:hAnsi="Arial" w:cs="Arial"/>
          <w:lang w:val="es-ES"/>
        </w:rPr>
        <w:t>789</w:t>
      </w:r>
      <w:r w:rsidRPr="00E30FB6">
        <w:rPr>
          <w:rFonts w:ascii="Arial" w:eastAsia="Arial" w:hAnsi="Arial" w:cs="Arial"/>
          <w:spacing w:val="-6"/>
          <w:lang w:val="es-ES"/>
        </w:rPr>
        <w:t xml:space="preserve"> </w:t>
      </w:r>
      <w:r w:rsidRPr="00E30FB6">
        <w:rPr>
          <w:rFonts w:ascii="Arial" w:eastAsia="Arial" w:hAnsi="Arial" w:cs="Arial"/>
          <w:lang w:val="es-ES"/>
        </w:rPr>
        <w:t>de</w:t>
      </w:r>
      <w:r w:rsidRPr="00E30FB6">
        <w:rPr>
          <w:rFonts w:ascii="Arial" w:eastAsia="Arial" w:hAnsi="Arial" w:cs="Arial"/>
          <w:spacing w:val="-5"/>
          <w:lang w:val="es-ES"/>
        </w:rPr>
        <w:t xml:space="preserve"> </w:t>
      </w:r>
      <w:r w:rsidRPr="00E30FB6">
        <w:rPr>
          <w:rFonts w:ascii="Arial" w:eastAsia="Arial" w:hAnsi="Arial" w:cs="Arial"/>
          <w:lang w:val="es-ES"/>
        </w:rPr>
        <w:t>2002,</w:t>
      </w:r>
      <w:r w:rsidRPr="00E30FB6">
        <w:rPr>
          <w:rFonts w:ascii="Arial" w:eastAsia="Arial" w:hAnsi="Arial" w:cs="Arial"/>
          <w:spacing w:val="-6"/>
          <w:lang w:val="es-ES"/>
        </w:rPr>
        <w:t xml:space="preserve"> </w:t>
      </w:r>
      <w:r w:rsidRPr="00E30FB6">
        <w:rPr>
          <w:rFonts w:ascii="Arial" w:eastAsia="Arial" w:hAnsi="Arial" w:cs="Arial"/>
          <w:lang w:val="es-ES"/>
        </w:rPr>
        <w:t>la</w:t>
      </w:r>
      <w:r w:rsidRPr="00E30FB6">
        <w:rPr>
          <w:rFonts w:ascii="Arial" w:eastAsia="Arial" w:hAnsi="Arial" w:cs="Arial"/>
          <w:spacing w:val="-6"/>
          <w:lang w:val="es-ES"/>
        </w:rPr>
        <w:t xml:space="preserve"> </w:t>
      </w:r>
      <w:r w:rsidRPr="00E30FB6">
        <w:rPr>
          <w:rFonts w:ascii="Arial" w:eastAsia="Arial" w:hAnsi="Arial" w:cs="Arial"/>
          <w:lang w:val="es-ES"/>
        </w:rPr>
        <w:t>entidad</w:t>
      </w:r>
      <w:r w:rsidRPr="00E30FB6">
        <w:rPr>
          <w:rFonts w:ascii="Arial" w:eastAsia="Arial" w:hAnsi="Arial" w:cs="Arial"/>
          <w:spacing w:val="-5"/>
          <w:lang w:val="es-ES"/>
        </w:rPr>
        <w:t xml:space="preserve"> </w:t>
      </w:r>
      <w:r w:rsidRPr="00E30FB6">
        <w:rPr>
          <w:rFonts w:ascii="Arial" w:eastAsia="Arial" w:hAnsi="Arial" w:cs="Arial"/>
          <w:lang w:val="es-ES"/>
        </w:rPr>
        <w:t xml:space="preserve">verificará, tanto para las personas naturales como para las jurídicas, la realización de los aportes al Sistema de Seguridad Social Integral, al </w:t>
      </w:r>
      <w:r w:rsidRPr="00E30FB6">
        <w:rPr>
          <w:rFonts w:ascii="Arial" w:eastAsia="Arial" w:hAnsi="Arial" w:cs="Arial"/>
          <w:i/>
          <w:iCs/>
          <w:lang w:val="es-ES"/>
        </w:rPr>
        <w:t>momento de su liquidación</w:t>
      </w:r>
      <w:r w:rsidRPr="00E30FB6">
        <w:rPr>
          <w:rFonts w:ascii="Arial" w:eastAsia="Arial" w:hAnsi="Arial" w:cs="Arial"/>
          <w:lang w:val="es-ES"/>
        </w:rPr>
        <w:t>, y dejarán constancia del cumplimiento de las obligaciones del contratista frente a los aportes mencionados durante toda su vigencia, estableciendo una correcta relación entre el monto cancelado y las sumas que debieron</w:t>
      </w:r>
      <w:r w:rsidRPr="00E30FB6">
        <w:rPr>
          <w:rFonts w:ascii="Arial" w:eastAsia="Arial" w:hAnsi="Arial" w:cs="Arial"/>
          <w:spacing w:val="-9"/>
          <w:lang w:val="es-ES"/>
        </w:rPr>
        <w:t xml:space="preserve"> </w:t>
      </w:r>
      <w:r w:rsidRPr="00E30FB6">
        <w:rPr>
          <w:rFonts w:ascii="Arial" w:eastAsia="Arial" w:hAnsi="Arial" w:cs="Arial"/>
          <w:lang w:val="es-ES"/>
        </w:rPr>
        <w:t>cotizar.</w:t>
      </w:r>
    </w:p>
    <w:p w:rsidR="00F3072D" w:rsidRPr="00E30FB6" w:rsidRDefault="00F3072D" w:rsidP="00F3072D">
      <w:pPr>
        <w:widowControl w:val="0"/>
        <w:autoSpaceDE w:val="0"/>
        <w:autoSpaceDN w:val="0"/>
        <w:spacing w:after="120" w:line="276" w:lineRule="auto"/>
        <w:ind w:firstLine="709"/>
        <w:jc w:val="both"/>
        <w:rPr>
          <w:rFonts w:ascii="Arial" w:eastAsia="Arial" w:hAnsi="Arial" w:cs="Arial"/>
          <w:lang w:val="es-ES"/>
        </w:rPr>
      </w:pPr>
      <w:r w:rsidRPr="00E30FB6">
        <w:rPr>
          <w:rFonts w:ascii="Arial" w:eastAsia="Arial" w:hAnsi="Arial" w:cs="Arial"/>
          <w:lang w:val="es-ES"/>
        </w:rPr>
        <w:t xml:space="preserve">A partir de las reglas mencionadas, se evidencia que la afiliación al régimen contributivo </w:t>
      </w:r>
      <w:r w:rsidRPr="00E30FB6">
        <w:rPr>
          <w:rFonts w:ascii="Arial" w:eastAsia="Arial" w:hAnsi="Arial" w:cs="Arial"/>
          <w:lang w:val="es-ES"/>
        </w:rPr>
        <w:lastRenderedPageBreak/>
        <w:t xml:space="preserve">del sistema de </w:t>
      </w:r>
      <w:proofErr w:type="gramStart"/>
      <w:r w:rsidRPr="00E30FB6">
        <w:rPr>
          <w:rFonts w:ascii="Arial" w:eastAsia="Arial" w:hAnsi="Arial" w:cs="Arial"/>
          <w:lang w:val="es-ES"/>
        </w:rPr>
        <w:t>salud  por</w:t>
      </w:r>
      <w:proofErr w:type="gramEnd"/>
      <w:r w:rsidRPr="00E30FB6">
        <w:rPr>
          <w:rFonts w:ascii="Arial" w:eastAsia="Arial" w:hAnsi="Arial" w:cs="Arial"/>
          <w:lang w:val="es-ES"/>
        </w:rPr>
        <w:t xml:space="preserve"> parte de quien pretenda suscribir un contrato y el contratista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w:t>
      </w:r>
    </w:p>
    <w:p w:rsidR="00F3072D" w:rsidRDefault="00F3072D" w:rsidP="00F3072D">
      <w:pPr>
        <w:pStyle w:val="NormalWeb"/>
        <w:spacing w:before="0" w:beforeAutospacing="0" w:after="0" w:afterAutospacing="0"/>
        <w:ind w:left="709" w:right="709"/>
        <w:jc w:val="both"/>
        <w:rPr>
          <w:rFonts w:ascii="Arial" w:hAnsi="Arial" w:cs="Arial"/>
          <w:color w:val="000000" w:themeColor="text1"/>
          <w:sz w:val="21"/>
          <w:szCs w:val="21"/>
        </w:rPr>
      </w:pPr>
      <w:r w:rsidRPr="00914FED">
        <w:rPr>
          <w:rFonts w:ascii="Arial" w:hAnsi="Arial" w:cs="Arial"/>
          <w:color w:val="000000" w:themeColor="text1"/>
          <w:sz w:val="21"/>
          <w:szCs w:val="21"/>
        </w:rPr>
        <w:t xml:space="preserve">“5. </w:t>
      </w:r>
      <w:proofErr w:type="gramStart"/>
      <w:r w:rsidRPr="00914FED">
        <w:rPr>
          <w:rFonts w:ascii="Arial" w:hAnsi="Arial" w:cs="Arial"/>
          <w:color w:val="000000" w:themeColor="text1"/>
          <w:sz w:val="21"/>
          <w:szCs w:val="21"/>
        </w:rPr>
        <w:t>¿ para</w:t>
      </w:r>
      <w:proofErr w:type="gramEnd"/>
      <w:r w:rsidRPr="00914FED">
        <w:rPr>
          <w:rFonts w:ascii="Arial" w:hAnsi="Arial" w:cs="Arial"/>
          <w:color w:val="000000" w:themeColor="text1"/>
          <w:sz w:val="21"/>
          <w:szCs w:val="21"/>
        </w:rPr>
        <w:t xml:space="preserve"> el cumplimiento del requisito 7 de la lista de chequeo (anexo 1), es legal que se exija la realización de Examen Médico Ocupacional Con Énfasis Osteomuscular Y </w:t>
      </w:r>
      <w:proofErr w:type="spellStart"/>
      <w:r w:rsidRPr="00914FED">
        <w:rPr>
          <w:rFonts w:ascii="Arial" w:hAnsi="Arial" w:cs="Arial"/>
          <w:color w:val="000000" w:themeColor="text1"/>
          <w:sz w:val="21"/>
          <w:szCs w:val="21"/>
        </w:rPr>
        <w:t>Visiometría</w:t>
      </w:r>
      <w:proofErr w:type="spellEnd"/>
      <w:r w:rsidRPr="00914FED">
        <w:rPr>
          <w:rFonts w:ascii="Arial" w:hAnsi="Arial" w:cs="Arial"/>
          <w:color w:val="000000" w:themeColor="text1"/>
          <w:sz w:val="21"/>
          <w:szCs w:val="21"/>
        </w:rPr>
        <w:t>, sin haber revisado y certificado de cumplimiento de los otros requisitos (etapa precontractual)?”</w:t>
      </w:r>
    </w:p>
    <w:p w:rsidR="00F3072D" w:rsidRPr="00914FED" w:rsidRDefault="00F3072D" w:rsidP="00F3072D">
      <w:pPr>
        <w:pStyle w:val="NormalWeb"/>
        <w:spacing w:after="0"/>
        <w:ind w:left="709" w:right="709"/>
        <w:jc w:val="both"/>
        <w:rPr>
          <w:rFonts w:ascii="Arial" w:hAnsi="Arial" w:cs="Arial"/>
          <w:color w:val="000000" w:themeColor="text1"/>
          <w:sz w:val="21"/>
          <w:szCs w:val="21"/>
        </w:rPr>
      </w:pP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La norma establece en el inciso 2 la obligación de practicarse el examen </w:t>
      </w:r>
      <w:proofErr w:type="spellStart"/>
      <w:r w:rsidRPr="00E30FB6">
        <w:rPr>
          <w:rFonts w:ascii="Arial" w:eastAsia="Times New Roman" w:hAnsi="Arial" w:cs="Arial"/>
          <w:color w:val="000000" w:themeColor="text1"/>
          <w:lang w:eastAsia="es-CO"/>
        </w:rPr>
        <w:t>preocupacional</w:t>
      </w:r>
      <w:proofErr w:type="spellEnd"/>
      <w:r w:rsidRPr="00E30FB6">
        <w:rPr>
          <w:rFonts w:ascii="Arial" w:eastAsia="Times New Roman" w:hAnsi="Arial" w:cs="Arial"/>
          <w:color w:val="000000" w:themeColor="text1"/>
          <w:lang w:eastAsia="es-CO"/>
        </w:rPr>
        <w:t xml:space="preserve">, que como se dijo, consiste en una valoración de la aptitud del contratista para cumplir las obligaciones contractuales. Al respecto, el Ministerio del Trabajo señaló sobre la obligatoriedad de practicarse este examen: </w:t>
      </w:r>
      <w:r>
        <w:rPr>
          <w:rFonts w:ascii="Arial" w:eastAsia="Times New Roman" w:hAnsi="Arial" w:cs="Arial"/>
          <w:color w:val="000000" w:themeColor="text1"/>
          <w:lang w:eastAsia="es-CO"/>
        </w:rPr>
        <w:t>“</w:t>
      </w:r>
      <w:r w:rsidRPr="00E30FB6">
        <w:rPr>
          <w:rFonts w:ascii="Arial" w:eastAsia="Times New Roman" w:hAnsi="Arial" w:cs="Arial"/>
          <w:color w:val="000000" w:themeColor="text1"/>
          <w:lang w:eastAsia="es-CO"/>
        </w:rPr>
        <w:t>Tal y como lo establece la norma citada, a partir del 15 de abril de 2015 los contratistas deben efectuarse un examen médico pre ocupacional el cual debe ser allegado a su contratante dentro de los seis meses posteriores al perfeccionamiento del contrato respectivo</w:t>
      </w:r>
      <w:r>
        <w:rPr>
          <w:rFonts w:ascii="Arial" w:eastAsia="Times New Roman" w:hAnsi="Arial" w:cs="Arial"/>
          <w:color w:val="000000" w:themeColor="text1"/>
          <w:lang w:eastAsia="es-CO"/>
        </w:rPr>
        <w:t>”</w:t>
      </w:r>
      <w:r w:rsidRPr="00E30FB6">
        <w:rPr>
          <w:rStyle w:val="Refdenotaalpie"/>
          <w:rFonts w:ascii="Arial" w:eastAsia="Times New Roman" w:hAnsi="Arial" w:cs="Arial"/>
          <w:color w:val="000000" w:themeColor="text1"/>
          <w:lang w:eastAsia="es-CO"/>
        </w:rPr>
        <w:footnoteReference w:id="27"/>
      </w:r>
      <w:r w:rsidRPr="00E30FB6">
        <w:rPr>
          <w:rFonts w:ascii="Arial" w:eastAsia="Times New Roman" w:hAnsi="Arial" w:cs="Arial"/>
          <w:color w:val="000000" w:themeColor="text1"/>
          <w:lang w:eastAsia="es-CO"/>
        </w:rPr>
        <w:t xml:space="preserve">. </w:t>
      </w:r>
    </w:p>
    <w:p w:rsidR="00F3072D" w:rsidRPr="00E30FB6" w:rsidRDefault="00F3072D" w:rsidP="00F3072D">
      <w:pPr>
        <w:shd w:val="clear" w:color="auto" w:fill="FFFFFF"/>
        <w:spacing w:after="120" w:line="276" w:lineRule="auto"/>
        <w:ind w:firstLine="709"/>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 xml:space="preserve">En este orden, el examen médico </w:t>
      </w:r>
      <w:proofErr w:type="spellStart"/>
      <w:r w:rsidRPr="00E30FB6">
        <w:rPr>
          <w:rFonts w:ascii="Arial" w:eastAsia="Times New Roman" w:hAnsi="Arial" w:cs="Arial"/>
          <w:color w:val="000000" w:themeColor="text1"/>
          <w:lang w:eastAsia="es-CO"/>
        </w:rPr>
        <w:t>preocupacional</w:t>
      </w:r>
      <w:proofErr w:type="spellEnd"/>
      <w:r w:rsidRPr="00E30FB6">
        <w:rPr>
          <w:rFonts w:ascii="Arial" w:eastAsia="Times New Roman" w:hAnsi="Arial" w:cs="Arial"/>
          <w:color w:val="000000" w:themeColor="text1"/>
          <w:lang w:eastAsia="es-CO"/>
        </w:rPr>
        <w:t xml:space="preserve"> es una exigencia para quienes pretendan contratar con una entidad pública. En este examen deberá constatarse no solo el estado físico del interesado, sino además sus condiciones mentales y sociales, teniendo en cuenta las funciones que desarrollará en cumplimiento de las obligaciones del contrato. </w:t>
      </w:r>
    </w:p>
    <w:p w:rsidR="00F3072D" w:rsidRDefault="00F3072D" w:rsidP="00F3072D">
      <w:pPr>
        <w:pStyle w:val="NormalWeb"/>
        <w:spacing w:before="0" w:beforeAutospacing="0" w:after="0" w:afterAutospacing="0"/>
        <w:ind w:left="709" w:right="709"/>
        <w:jc w:val="both"/>
        <w:rPr>
          <w:rFonts w:ascii="Arial" w:hAnsi="Arial" w:cs="Arial"/>
          <w:iCs/>
          <w:color w:val="000000" w:themeColor="text1"/>
          <w:sz w:val="21"/>
          <w:szCs w:val="21"/>
        </w:rPr>
      </w:pPr>
      <w:r w:rsidRPr="007E1CD1">
        <w:rPr>
          <w:rFonts w:ascii="Arial" w:hAnsi="Arial" w:cs="Arial"/>
          <w:iCs/>
          <w:color w:val="000000" w:themeColor="text1"/>
          <w:sz w:val="21"/>
          <w:szCs w:val="21"/>
        </w:rPr>
        <w:t>“6. ¿es legal exigir el expediente o carpeta con el 100% de los documentos y certificados de manera física (impresa o copias) en etapa precontractual, siendo que se entrega una copia en archivo digital?”</w:t>
      </w:r>
    </w:p>
    <w:p w:rsidR="00F3072D" w:rsidRPr="007E1CD1" w:rsidRDefault="00F3072D" w:rsidP="00F3072D">
      <w:pPr>
        <w:pStyle w:val="NormalWeb"/>
        <w:spacing w:after="0"/>
        <w:ind w:left="709" w:right="709"/>
        <w:jc w:val="both"/>
        <w:rPr>
          <w:rFonts w:ascii="Arial" w:hAnsi="Arial" w:cs="Arial"/>
          <w:iCs/>
          <w:color w:val="000000" w:themeColor="text1"/>
          <w:sz w:val="21"/>
          <w:szCs w:val="21"/>
        </w:rPr>
      </w:pPr>
    </w:p>
    <w:p w:rsidR="00F3072D" w:rsidRDefault="00F3072D" w:rsidP="00F3072D">
      <w:pPr>
        <w:pStyle w:val="NormalWeb"/>
        <w:spacing w:before="0" w:beforeAutospacing="0" w:after="0" w:afterAutospacing="0"/>
        <w:ind w:left="709" w:right="709"/>
        <w:jc w:val="both"/>
        <w:rPr>
          <w:rFonts w:ascii="Arial" w:hAnsi="Arial" w:cs="Arial"/>
          <w:iCs/>
          <w:color w:val="000000" w:themeColor="text1"/>
          <w:sz w:val="21"/>
          <w:szCs w:val="21"/>
        </w:rPr>
      </w:pPr>
      <w:r w:rsidRPr="007E1CD1">
        <w:rPr>
          <w:rFonts w:ascii="Arial" w:hAnsi="Arial" w:cs="Arial"/>
          <w:iCs/>
          <w:color w:val="000000" w:themeColor="text1"/>
          <w:sz w:val="21"/>
          <w:szCs w:val="21"/>
        </w:rPr>
        <w:t>“7. ¿para el cumplimiento del requisito 32 (anexo 3) de la lista de chequeo (anexo 1), es legal poner a firmar la cláusula del Formato Contratos Suscritos con Otras Entidades?”</w:t>
      </w:r>
    </w:p>
    <w:p w:rsidR="00F3072D" w:rsidRPr="007E1CD1" w:rsidRDefault="00F3072D" w:rsidP="00F3072D">
      <w:pPr>
        <w:pStyle w:val="NormalWeb"/>
        <w:spacing w:after="0"/>
        <w:ind w:left="709" w:right="709"/>
        <w:jc w:val="both"/>
        <w:rPr>
          <w:rFonts w:ascii="Arial" w:hAnsi="Arial" w:cs="Arial"/>
          <w:iCs/>
          <w:color w:val="000000" w:themeColor="text1"/>
          <w:sz w:val="21"/>
          <w:szCs w:val="21"/>
        </w:rPr>
      </w:pPr>
    </w:p>
    <w:p w:rsidR="00F3072D" w:rsidRPr="00E30FB6" w:rsidRDefault="00F3072D" w:rsidP="00F3072D">
      <w:pPr>
        <w:spacing w:after="120" w:line="276" w:lineRule="auto"/>
        <w:ind w:firstLine="709"/>
        <w:jc w:val="both"/>
        <w:rPr>
          <w:rFonts w:ascii="Arial" w:hAnsi="Arial" w:cs="Arial"/>
          <w:bCs/>
          <w:color w:val="000000" w:themeColor="text1"/>
        </w:rPr>
      </w:pPr>
      <w:r w:rsidRPr="00E30FB6">
        <w:rPr>
          <w:rFonts w:ascii="Arial" w:hAnsi="Arial" w:cs="Arial"/>
          <w:bCs/>
          <w:color w:val="000000" w:themeColor="text1"/>
        </w:rPr>
        <w:t>En ejercicio de las competencias establecidas en el numeral 5</w:t>
      </w:r>
      <w:r>
        <w:rPr>
          <w:rFonts w:ascii="Arial" w:hAnsi="Arial" w:cs="Arial"/>
          <w:bCs/>
          <w:color w:val="000000" w:themeColor="text1"/>
        </w:rPr>
        <w:t>º</w:t>
      </w:r>
      <w:r w:rsidRPr="00E30FB6">
        <w:rPr>
          <w:rFonts w:ascii="Arial" w:hAnsi="Arial" w:cs="Arial"/>
          <w:bCs/>
          <w:color w:val="000000" w:themeColor="text1"/>
        </w:rPr>
        <w:t xml:space="preserve"> del artículo 3 y el numeral 8</w:t>
      </w:r>
      <w:r>
        <w:rPr>
          <w:rFonts w:ascii="Arial" w:hAnsi="Arial" w:cs="Arial"/>
          <w:bCs/>
          <w:color w:val="000000" w:themeColor="text1"/>
        </w:rPr>
        <w:t>º</w:t>
      </w:r>
      <w:r w:rsidRPr="00E30FB6">
        <w:rPr>
          <w:rFonts w:ascii="Arial" w:hAnsi="Arial" w:cs="Arial"/>
          <w:bCs/>
          <w:color w:val="000000" w:themeColor="text1"/>
        </w:rPr>
        <w:t xml:space="preserve"> del artículo 11 del Decreto 4170 de 2011, la Agencia Nacional de Contratación Pública – Colombia Compra Eficiente resuelve consultas sobre </w:t>
      </w:r>
      <w:r w:rsidRPr="00E30FB6">
        <w:rPr>
          <w:rFonts w:ascii="Arial" w:hAnsi="Arial" w:cs="Arial"/>
          <w:color w:val="000000" w:themeColor="text1"/>
        </w:rPr>
        <w:t xml:space="preserve">la aplicación de normas de carácter general en materia de compras y contratación pública. En ese sentido, resolver casos particulares o conceptuar sobre el alcance de normas ajenas a la contratación estatal desborda las atribuciones </w:t>
      </w:r>
      <w:r w:rsidRPr="00E30FB6">
        <w:rPr>
          <w:rFonts w:ascii="Arial" w:hAnsi="Arial" w:cs="Arial"/>
          <w:color w:val="000000" w:themeColor="text1"/>
        </w:rPr>
        <w:lastRenderedPageBreak/>
        <w:t>asignadas por el legislador extraordinario, que no concibió a esta Agencia como una autoridad para solucionar problemas jurídicos particulares</w:t>
      </w:r>
      <w:r w:rsidRPr="00E30FB6">
        <w:rPr>
          <w:rFonts w:ascii="Arial" w:hAnsi="Arial" w:cs="Arial"/>
          <w:bCs/>
          <w:color w:val="000000" w:themeColor="text1"/>
        </w:rPr>
        <w:t xml:space="preserve"> de todos los partícipes del sistema de compra pública y contratación estatal ni para pronunciarse sobre la legalidad de las actuaciones de otras entidades de la administración pública. </w:t>
      </w:r>
    </w:p>
    <w:p w:rsidR="00F3072D" w:rsidRPr="00E30FB6" w:rsidRDefault="00F3072D" w:rsidP="00F3072D">
      <w:pPr>
        <w:tabs>
          <w:tab w:val="left" w:pos="426"/>
        </w:tabs>
        <w:spacing w:before="120" w:after="120" w:line="276" w:lineRule="auto"/>
        <w:ind w:firstLine="709"/>
        <w:jc w:val="both"/>
        <w:rPr>
          <w:rFonts w:ascii="Arial" w:hAnsi="Arial" w:cs="Arial"/>
          <w:color w:val="000000" w:themeColor="text1"/>
        </w:rPr>
      </w:pPr>
      <w:r w:rsidRPr="00E30FB6">
        <w:rPr>
          <w:rFonts w:ascii="Arial" w:hAnsi="Arial" w:cs="Arial"/>
          <w:color w:val="000000" w:themeColor="text1"/>
        </w:rPr>
        <w:t xml:space="preserve">En este orden, la Agencia Nacional de Contratación Pública – Colombia Compra Eficiente no es competente para pronunciarse sobre las preguntas 6 y 7 de la presente petición, porque en ellas se pretende que la Entidad se pronuncie sobre la legalidad de la actuación contractual desplegada por la Escuela Superior de Administración Pública – ESAP, rebasando el marco de competencias de esta Entidad, establecido en el ordenamiento jurídico. </w:t>
      </w:r>
    </w:p>
    <w:p w:rsidR="00F3072D" w:rsidRPr="00E30FB6" w:rsidRDefault="00F3072D" w:rsidP="00F3072D">
      <w:pPr>
        <w:pStyle w:val="NormalWeb"/>
        <w:ind w:left="709" w:right="709"/>
        <w:jc w:val="both"/>
        <w:rPr>
          <w:rFonts w:ascii="Arial" w:hAnsi="Arial" w:cs="Arial"/>
          <w:i/>
          <w:iCs/>
          <w:color w:val="000000" w:themeColor="text1"/>
          <w:sz w:val="22"/>
        </w:rPr>
      </w:pPr>
      <w:r>
        <w:rPr>
          <w:rFonts w:ascii="Arial" w:hAnsi="Arial" w:cs="Arial"/>
          <w:i/>
          <w:iCs/>
          <w:color w:val="000000" w:themeColor="text1"/>
          <w:sz w:val="22"/>
        </w:rPr>
        <w:t>“</w:t>
      </w:r>
      <w:r w:rsidRPr="00E30FB6">
        <w:rPr>
          <w:rFonts w:ascii="Arial" w:hAnsi="Arial" w:cs="Arial"/>
          <w:i/>
          <w:iCs/>
          <w:color w:val="000000" w:themeColor="text1"/>
          <w:sz w:val="22"/>
        </w:rPr>
        <w:t>8. ¿</w:t>
      </w:r>
      <w:r w:rsidRPr="009C7533">
        <w:rPr>
          <w:rFonts w:ascii="Arial" w:hAnsi="Arial" w:cs="Arial"/>
          <w:iCs/>
          <w:color w:val="000000" w:themeColor="text1"/>
          <w:sz w:val="22"/>
        </w:rPr>
        <w:t>para el cumplimiento de los requisitos 1,2,3,4,5,6 de la lista de chequeo (anexo 1), a quién corresponde la responsabilidad de descargar y verificar el cumplimiento de los ítems?”</w:t>
      </w:r>
    </w:p>
    <w:p w:rsidR="00F3072D" w:rsidRDefault="00F3072D" w:rsidP="00F3072D">
      <w:pPr>
        <w:pStyle w:val="Textoindependiente"/>
        <w:spacing w:line="276" w:lineRule="auto"/>
        <w:ind w:left="100" w:right="104" w:firstLine="568"/>
        <w:jc w:val="both"/>
        <w:rPr>
          <w:sz w:val="21"/>
          <w:szCs w:val="21"/>
        </w:rPr>
      </w:pPr>
      <w:r>
        <w:t xml:space="preserve">De acuerdo con lo señalado </w:t>
      </w:r>
      <w:r w:rsidRPr="00914FED">
        <w:rPr>
          <w:i/>
          <w:iCs/>
        </w:rPr>
        <w:t>supra</w:t>
      </w:r>
      <w:r>
        <w:rPr>
          <w:i/>
          <w:iCs/>
        </w:rPr>
        <w:t xml:space="preserve">, </w:t>
      </w:r>
      <w:r>
        <w:rPr>
          <w:sz w:val="21"/>
          <w:szCs w:val="21"/>
        </w:rPr>
        <w:t xml:space="preserve">la </w:t>
      </w:r>
      <w:r w:rsidRPr="007E1CD1">
        <w:rPr>
          <w:sz w:val="21"/>
          <w:szCs w:val="21"/>
        </w:rPr>
        <w:t>normativa del Sistema de Compra Pública no contempla expresamente la obligación de la consulta de antecedentes del contratista por parte de las Entidades Estatales. Sin embargo, las Entidades Estatales tienen el deber de hacer una selección objetiva del contratista verificando su capacidad para contratar con el Estado y su idoneidad para ejecutar el objeto del contrato. Para esto pueden consultar la información de los registros públicos sobre sanciones que consideren convenientes y según la regulación para cada caso.</w:t>
      </w:r>
    </w:p>
    <w:p w:rsidR="00F3072D" w:rsidRPr="00914FED" w:rsidRDefault="00F3072D" w:rsidP="00F3072D">
      <w:pPr>
        <w:pStyle w:val="Textoindependiente"/>
        <w:spacing w:line="276" w:lineRule="auto"/>
        <w:ind w:firstLine="669"/>
        <w:jc w:val="both"/>
      </w:pPr>
      <w:r w:rsidRPr="00914FED">
        <w:t>Las sanciones penales y disciplinarias, las inhabilidades que se deriven de las relaciones contractuales con el Estado, de los fallos con responsabilidad fiscal, de las decisiones de pérdida de investidura y de las condenas proferidas contra servidores, ex servidores públicos y particulares que desempeñen funciones públicas en ejercicio de la acción de repetición o llamamiento en garantía, deberán ser registradas a solicitud de la autoridad que las impone en la División de Registro y Control y Correspondencia de la Procuraduría General de la Nación, para efectos de la expedición del certificado de</w:t>
      </w:r>
      <w:r w:rsidRPr="00914FED">
        <w:rPr>
          <w:spacing w:val="-21"/>
        </w:rPr>
        <w:t xml:space="preserve"> </w:t>
      </w:r>
      <w:r w:rsidRPr="00914FED">
        <w:t>antecedentes. Lo anterior puede ser consultado por la Entidad Estatal para cumplir con su deber de selección objetiva y para verificar la capacidad para contratar del contratista, esto es que no esté incurso en inhabilidades e incompatibilidades que le impidan contratar con el</w:t>
      </w:r>
      <w:r w:rsidRPr="00914FED">
        <w:rPr>
          <w:spacing w:val="-6"/>
        </w:rPr>
        <w:t xml:space="preserve"> </w:t>
      </w:r>
      <w:r w:rsidRPr="00914FED">
        <w:t>Estado”.</w:t>
      </w:r>
    </w:p>
    <w:p w:rsidR="00F3072D" w:rsidRPr="004835A5" w:rsidRDefault="00F3072D" w:rsidP="00F3072D">
      <w:pPr>
        <w:pStyle w:val="Textoindependiente"/>
        <w:spacing w:before="93" w:line="276" w:lineRule="auto"/>
        <w:ind w:left="100" w:right="113" w:firstLine="709"/>
        <w:jc w:val="both"/>
      </w:pPr>
      <w:r w:rsidRPr="00E30FB6">
        <w:t>En consecuencia, la entrega de dicho certificado por el proponente no constituye un requisito habilitante ni de calificación cuya ausencia determine la imposibilidad de contratar, pues, se itera, tales antecedentes disciplinarios pueden ser consultados por las entidades</w:t>
      </w:r>
      <w:r w:rsidRPr="00E30FB6">
        <w:rPr>
          <w:spacing w:val="-3"/>
        </w:rPr>
        <w:t xml:space="preserve"> </w:t>
      </w:r>
      <w:r w:rsidRPr="00E30FB6">
        <w:t>estatales.</w:t>
      </w:r>
    </w:p>
    <w:p w:rsidR="00F3072D" w:rsidRPr="00E30FB6" w:rsidRDefault="00F3072D" w:rsidP="00F3072D">
      <w:pPr>
        <w:tabs>
          <w:tab w:val="left" w:pos="0"/>
        </w:tabs>
        <w:spacing w:after="0" w:line="276" w:lineRule="auto"/>
        <w:jc w:val="both"/>
        <w:rPr>
          <w:rFonts w:ascii="Arial" w:hAnsi="Arial" w:cs="Arial"/>
          <w:bCs/>
          <w:color w:val="000000" w:themeColor="text1"/>
          <w:lang w:bidi="es-ES"/>
        </w:rPr>
      </w:pPr>
    </w:p>
    <w:p w:rsidR="00F3072D" w:rsidRPr="00E30FB6" w:rsidRDefault="00F3072D" w:rsidP="00F3072D">
      <w:pPr>
        <w:spacing w:after="0" w:line="276" w:lineRule="auto"/>
        <w:jc w:val="both"/>
        <w:rPr>
          <w:rFonts w:ascii="Arial" w:eastAsia="Times New Roman" w:hAnsi="Arial" w:cs="Arial"/>
          <w:color w:val="000000" w:themeColor="text1"/>
        </w:rPr>
      </w:pPr>
      <w:r w:rsidRPr="00E30FB6">
        <w:rPr>
          <w:rFonts w:ascii="Arial" w:hAnsi="Arial" w:cs="Arial"/>
          <w:color w:val="000000" w:themeColor="text1"/>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00F3072D" w:rsidRPr="00E30FB6" w:rsidRDefault="00F3072D" w:rsidP="00F3072D">
      <w:pPr>
        <w:spacing w:after="0"/>
        <w:jc w:val="both"/>
        <w:rPr>
          <w:rFonts w:ascii="Arial" w:eastAsia="Times New Roman" w:hAnsi="Arial" w:cs="Arial"/>
          <w:color w:val="000000" w:themeColor="text1"/>
        </w:rPr>
      </w:pPr>
    </w:p>
    <w:p w:rsidR="00F3072D" w:rsidRPr="00E30FB6" w:rsidRDefault="00F3072D" w:rsidP="00F3072D">
      <w:pPr>
        <w:spacing w:after="0"/>
        <w:jc w:val="both"/>
        <w:rPr>
          <w:rFonts w:ascii="Arial" w:eastAsia="Times New Roman" w:hAnsi="Arial" w:cs="Arial"/>
          <w:color w:val="000000" w:themeColor="text1"/>
          <w:lang w:eastAsia="es-CO"/>
        </w:rPr>
      </w:pPr>
      <w:r w:rsidRPr="00E30FB6">
        <w:rPr>
          <w:rFonts w:ascii="Arial" w:eastAsia="Times New Roman" w:hAnsi="Arial" w:cs="Arial"/>
          <w:color w:val="000000" w:themeColor="text1"/>
          <w:lang w:eastAsia="es-CO"/>
        </w:rPr>
        <w:t>Atentamente,</w:t>
      </w:r>
      <w:bookmarkEnd w:id="15"/>
    </w:p>
    <w:p w:rsidR="00F3072D" w:rsidRPr="00E30FB6" w:rsidRDefault="00F3072D" w:rsidP="00F3072D">
      <w:pPr>
        <w:spacing w:after="0"/>
        <w:jc w:val="center"/>
        <w:rPr>
          <w:rFonts w:ascii="Arial" w:eastAsia="Times New Roman" w:hAnsi="Arial" w:cs="Arial"/>
          <w:color w:val="000000"/>
          <w:lang w:eastAsia="es-CO"/>
        </w:rPr>
      </w:pPr>
    </w:p>
    <w:p w:rsidR="00F3072D" w:rsidRPr="00E30FB6" w:rsidRDefault="0029319C" w:rsidP="00F3072D">
      <w:pPr>
        <w:spacing w:after="0"/>
        <w:jc w:val="center"/>
        <w:rPr>
          <w:rFonts w:ascii="Arial" w:eastAsia="Times New Roman" w:hAnsi="Arial" w:cs="Arial"/>
          <w:color w:val="000000"/>
          <w:lang w:eastAsia="es-CO"/>
        </w:rPr>
      </w:pPr>
      <w:r>
        <w:rPr>
          <w:rFonts w:ascii="Arial" w:hAnsi="Arial" w:cs="Arial"/>
          <w:noProof/>
          <w:sz w:val="16"/>
          <w:szCs w:val="16"/>
          <w:lang w:val="en-US"/>
        </w:rPr>
        <w:drawing>
          <wp:inline distT="0" distB="0" distL="0" distR="0" wp14:anchorId="11F7B38F" wp14:editId="66B01EE8">
            <wp:extent cx="3276600" cy="1258405"/>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103" cy="1268200"/>
                    </a:xfrm>
                    <a:prstGeom prst="rect">
                      <a:avLst/>
                    </a:prstGeom>
                    <a:noFill/>
                    <a:ln>
                      <a:noFill/>
                    </a:ln>
                  </pic:spPr>
                </pic:pic>
              </a:graphicData>
            </a:graphic>
          </wp:inline>
        </w:drawing>
      </w:r>
    </w:p>
    <w:p w:rsidR="00F3072D" w:rsidRPr="00E30FB6" w:rsidRDefault="00F3072D" w:rsidP="00F3072D">
      <w:pPr>
        <w:spacing w:after="0"/>
        <w:jc w:val="center"/>
        <w:rPr>
          <w:rFonts w:ascii="Arial" w:eastAsia="Times New Roman" w:hAnsi="Arial" w:cs="Arial"/>
          <w:color w:val="000000"/>
          <w:lang w:eastAsia="es-CO"/>
        </w:rPr>
      </w:pPr>
    </w:p>
    <w:p w:rsidR="00F3072D" w:rsidRPr="00E30FB6" w:rsidRDefault="00F3072D" w:rsidP="00F3072D">
      <w:pPr>
        <w:spacing w:after="0"/>
        <w:jc w:val="center"/>
        <w:rPr>
          <w:rFonts w:ascii="Arial" w:eastAsia="Times New Roman" w:hAnsi="Arial" w:cs="Arial"/>
          <w:color w:val="00000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466"/>
      </w:tblGrid>
      <w:tr w:rsidR="00F3072D" w:rsidRPr="00E30FB6" w:rsidTr="00B10C54">
        <w:trPr>
          <w:trHeight w:val="311"/>
        </w:trPr>
        <w:tc>
          <w:tcPr>
            <w:tcW w:w="1098" w:type="dxa"/>
            <w:vAlign w:val="center"/>
          </w:tcPr>
          <w:p w:rsidR="00F3072D" w:rsidRPr="00E30FB6" w:rsidRDefault="00F3072D" w:rsidP="00B10C54">
            <w:pPr>
              <w:jc w:val="both"/>
              <w:rPr>
                <w:rFonts w:ascii="Arial" w:eastAsia="Times New Roman" w:hAnsi="Arial" w:cs="Arial"/>
                <w:sz w:val="16"/>
                <w:szCs w:val="16"/>
                <w:lang w:eastAsia="es-ES"/>
              </w:rPr>
            </w:pPr>
            <w:r w:rsidRPr="00E30FB6">
              <w:rPr>
                <w:rFonts w:ascii="Arial" w:eastAsia="Times New Roman" w:hAnsi="Arial" w:cs="Arial"/>
                <w:sz w:val="16"/>
                <w:szCs w:val="16"/>
                <w:lang w:eastAsia="es-ES"/>
              </w:rPr>
              <w:t>Elaboró:</w:t>
            </w:r>
          </w:p>
        </w:tc>
        <w:tc>
          <w:tcPr>
            <w:tcW w:w="5466" w:type="dxa"/>
            <w:tcBorders>
              <w:bottom w:val="dotted" w:sz="4" w:space="0" w:color="7F7F7F" w:themeColor="text1" w:themeTint="80"/>
            </w:tcBorders>
            <w:vAlign w:val="center"/>
          </w:tcPr>
          <w:p w:rsidR="00F3072D" w:rsidRPr="00E30FB6" w:rsidRDefault="00F3072D" w:rsidP="00B10C54">
            <w:pPr>
              <w:jc w:val="both"/>
              <w:rPr>
                <w:rFonts w:ascii="Arial" w:eastAsia="Times New Roman" w:hAnsi="Arial" w:cs="Arial"/>
                <w:sz w:val="16"/>
                <w:szCs w:val="16"/>
                <w:lang w:eastAsia="es-ES"/>
              </w:rPr>
            </w:pPr>
            <w:r w:rsidRPr="00E30FB6">
              <w:rPr>
                <w:rFonts w:ascii="Arial" w:eastAsia="Times New Roman" w:hAnsi="Arial" w:cs="Arial"/>
                <w:sz w:val="16"/>
                <w:szCs w:val="16"/>
                <w:lang w:eastAsia="es-ES"/>
              </w:rPr>
              <w:t>Nina Padrón Ballestas</w:t>
            </w:r>
          </w:p>
          <w:p w:rsidR="00F3072D" w:rsidRPr="00E30FB6" w:rsidRDefault="00F3072D" w:rsidP="00B10C54">
            <w:pPr>
              <w:jc w:val="both"/>
              <w:rPr>
                <w:rFonts w:ascii="Arial" w:eastAsia="Times New Roman" w:hAnsi="Arial" w:cs="Arial"/>
                <w:sz w:val="16"/>
                <w:szCs w:val="16"/>
                <w:lang w:eastAsia="es-ES"/>
              </w:rPr>
            </w:pPr>
            <w:r w:rsidRPr="00E30FB6">
              <w:rPr>
                <w:rFonts w:ascii="Arial" w:eastAsia="Times New Roman" w:hAnsi="Arial" w:cs="Arial"/>
                <w:sz w:val="16"/>
                <w:szCs w:val="16"/>
                <w:lang w:eastAsia="es-ES"/>
              </w:rPr>
              <w:t xml:space="preserve">Contratista de la Subdirección de Gestión Contractual </w:t>
            </w:r>
          </w:p>
        </w:tc>
      </w:tr>
      <w:tr w:rsidR="00F3072D" w:rsidRPr="00E30FB6" w:rsidTr="00B10C54">
        <w:trPr>
          <w:trHeight w:val="326"/>
        </w:trPr>
        <w:tc>
          <w:tcPr>
            <w:tcW w:w="1098" w:type="dxa"/>
            <w:vAlign w:val="center"/>
          </w:tcPr>
          <w:p w:rsidR="00F3072D" w:rsidRPr="00E30FB6" w:rsidRDefault="00F3072D" w:rsidP="00B10C54">
            <w:pPr>
              <w:jc w:val="both"/>
              <w:rPr>
                <w:rFonts w:ascii="Arial" w:eastAsia="Times New Roman" w:hAnsi="Arial" w:cs="Arial"/>
                <w:sz w:val="16"/>
                <w:szCs w:val="16"/>
                <w:lang w:eastAsia="es-ES"/>
              </w:rPr>
            </w:pPr>
            <w:r w:rsidRPr="00E30FB6">
              <w:rPr>
                <w:rFonts w:ascii="Arial" w:eastAsia="Times New Roman" w:hAnsi="Arial" w:cs="Arial"/>
                <w:sz w:val="16"/>
                <w:szCs w:val="16"/>
                <w:lang w:eastAsia="es-ES"/>
              </w:rPr>
              <w:t>Revisó:</w:t>
            </w:r>
          </w:p>
        </w:tc>
        <w:tc>
          <w:tcPr>
            <w:tcW w:w="5466" w:type="dxa"/>
            <w:tcBorders>
              <w:top w:val="dotted" w:sz="4" w:space="0" w:color="7F7F7F" w:themeColor="text1" w:themeTint="80"/>
              <w:bottom w:val="dotted" w:sz="4" w:space="0" w:color="7F7F7F" w:themeColor="text1" w:themeTint="80"/>
            </w:tcBorders>
            <w:vAlign w:val="center"/>
          </w:tcPr>
          <w:p w:rsidR="00F3072D" w:rsidRPr="00E30FB6" w:rsidRDefault="00F3072D" w:rsidP="00B10C54">
            <w:pPr>
              <w:jc w:val="both"/>
              <w:rPr>
                <w:rFonts w:ascii="Arial" w:hAnsi="Arial" w:cs="Arial"/>
                <w:color w:val="000000" w:themeColor="text1"/>
                <w:sz w:val="16"/>
                <w:szCs w:val="16"/>
                <w:lang w:eastAsia="es-ES"/>
              </w:rPr>
            </w:pPr>
            <w:r w:rsidRPr="00E30FB6">
              <w:rPr>
                <w:rFonts w:ascii="Arial" w:hAnsi="Arial" w:cs="Arial"/>
                <w:color w:val="000000" w:themeColor="text1"/>
                <w:sz w:val="16"/>
                <w:szCs w:val="16"/>
                <w:lang w:eastAsia="es-ES"/>
              </w:rPr>
              <w:t>Alejandro Sarmiento Cantillo</w:t>
            </w:r>
          </w:p>
          <w:p w:rsidR="00F3072D" w:rsidRPr="00E30FB6" w:rsidRDefault="00F3072D" w:rsidP="00B10C54">
            <w:pPr>
              <w:jc w:val="both"/>
              <w:rPr>
                <w:rFonts w:ascii="Arial" w:hAnsi="Arial" w:cs="Arial"/>
                <w:color w:val="000000" w:themeColor="text1"/>
                <w:sz w:val="16"/>
                <w:szCs w:val="16"/>
                <w:lang w:eastAsia="es-ES"/>
              </w:rPr>
            </w:pPr>
            <w:r w:rsidRPr="00E30FB6">
              <w:rPr>
                <w:rFonts w:ascii="Arial" w:hAnsi="Arial" w:cs="Arial"/>
                <w:color w:val="000000" w:themeColor="text1"/>
                <w:sz w:val="16"/>
                <w:szCs w:val="16"/>
                <w:lang w:eastAsia="es-ES"/>
              </w:rPr>
              <w:t>Gestor T1</w:t>
            </w:r>
            <w:r>
              <w:rPr>
                <w:rFonts w:ascii="Arial" w:hAnsi="Arial" w:cs="Arial"/>
                <w:color w:val="000000" w:themeColor="text1"/>
                <w:sz w:val="16"/>
                <w:szCs w:val="16"/>
                <w:lang w:eastAsia="es-ES"/>
              </w:rPr>
              <w:t>-</w:t>
            </w:r>
            <w:r w:rsidRPr="00E30FB6">
              <w:rPr>
                <w:rFonts w:ascii="Arial" w:hAnsi="Arial" w:cs="Arial"/>
                <w:color w:val="000000" w:themeColor="text1"/>
                <w:sz w:val="16"/>
                <w:szCs w:val="16"/>
                <w:lang w:eastAsia="es-ES"/>
              </w:rPr>
              <w:t>15</w:t>
            </w:r>
            <w:r>
              <w:rPr>
                <w:rFonts w:ascii="Arial" w:hAnsi="Arial" w:cs="Arial"/>
                <w:color w:val="000000" w:themeColor="text1"/>
                <w:sz w:val="16"/>
                <w:szCs w:val="16"/>
                <w:lang w:eastAsia="es-ES"/>
              </w:rPr>
              <w:t xml:space="preserve"> de la Subdirección de Gestión Contractual</w:t>
            </w:r>
          </w:p>
        </w:tc>
      </w:tr>
      <w:tr w:rsidR="00F3072D" w:rsidRPr="00E30FB6" w:rsidTr="00B10C54">
        <w:trPr>
          <w:trHeight w:val="297"/>
        </w:trPr>
        <w:tc>
          <w:tcPr>
            <w:tcW w:w="1098" w:type="dxa"/>
            <w:vAlign w:val="center"/>
          </w:tcPr>
          <w:p w:rsidR="00F3072D" w:rsidRPr="00E30FB6" w:rsidRDefault="00F3072D" w:rsidP="00B10C54">
            <w:pPr>
              <w:jc w:val="both"/>
              <w:rPr>
                <w:rFonts w:ascii="Arial" w:eastAsia="Times New Roman" w:hAnsi="Arial" w:cs="Arial"/>
                <w:sz w:val="16"/>
                <w:szCs w:val="16"/>
                <w:lang w:eastAsia="es-ES"/>
              </w:rPr>
            </w:pPr>
            <w:r w:rsidRPr="00E30FB6">
              <w:rPr>
                <w:rFonts w:ascii="Arial" w:eastAsia="Times New Roman" w:hAnsi="Arial" w:cs="Arial"/>
                <w:sz w:val="16"/>
                <w:szCs w:val="16"/>
                <w:lang w:eastAsia="es-ES"/>
              </w:rPr>
              <w:t>Aprobó:</w:t>
            </w:r>
          </w:p>
        </w:tc>
        <w:tc>
          <w:tcPr>
            <w:tcW w:w="5466" w:type="dxa"/>
            <w:tcBorders>
              <w:top w:val="dotted" w:sz="4" w:space="0" w:color="7F7F7F" w:themeColor="text1" w:themeTint="80"/>
              <w:bottom w:val="dotted" w:sz="4" w:space="0" w:color="7F7F7F" w:themeColor="text1" w:themeTint="80"/>
            </w:tcBorders>
            <w:vAlign w:val="center"/>
          </w:tcPr>
          <w:p w:rsidR="00F3072D" w:rsidRPr="00E30FB6" w:rsidRDefault="00F3072D" w:rsidP="00B10C54">
            <w:pPr>
              <w:jc w:val="both"/>
              <w:rPr>
                <w:rFonts w:ascii="Arial" w:hAnsi="Arial" w:cs="Arial"/>
                <w:sz w:val="16"/>
                <w:szCs w:val="16"/>
                <w:lang w:eastAsia="es-ES"/>
              </w:rPr>
            </w:pPr>
            <w:proofErr w:type="spellStart"/>
            <w:r w:rsidRPr="00E30FB6">
              <w:rPr>
                <w:rFonts w:ascii="Arial" w:hAnsi="Arial" w:cs="Arial"/>
                <w:sz w:val="16"/>
                <w:szCs w:val="16"/>
                <w:lang w:eastAsia="es-ES"/>
              </w:rPr>
              <w:t>Nohelia</w:t>
            </w:r>
            <w:proofErr w:type="spellEnd"/>
            <w:r w:rsidRPr="00E30FB6">
              <w:rPr>
                <w:rFonts w:ascii="Arial" w:hAnsi="Arial" w:cs="Arial"/>
                <w:sz w:val="16"/>
                <w:szCs w:val="16"/>
                <w:lang w:eastAsia="es-ES"/>
              </w:rPr>
              <w:t xml:space="preserve"> del Carmen </w:t>
            </w:r>
            <w:proofErr w:type="spellStart"/>
            <w:r w:rsidRPr="00E30FB6">
              <w:rPr>
                <w:rFonts w:ascii="Arial" w:hAnsi="Arial" w:cs="Arial"/>
                <w:sz w:val="16"/>
                <w:szCs w:val="16"/>
                <w:lang w:eastAsia="es-ES"/>
              </w:rPr>
              <w:t>Zawady</w:t>
            </w:r>
            <w:proofErr w:type="spellEnd"/>
            <w:r w:rsidRPr="00E30FB6">
              <w:rPr>
                <w:rFonts w:ascii="Arial" w:hAnsi="Arial" w:cs="Arial"/>
                <w:sz w:val="16"/>
                <w:szCs w:val="16"/>
                <w:lang w:eastAsia="es-ES"/>
              </w:rPr>
              <w:t xml:space="preserve"> Palacio</w:t>
            </w:r>
          </w:p>
          <w:p w:rsidR="00F3072D" w:rsidRPr="00E30FB6" w:rsidRDefault="00F3072D" w:rsidP="00B10C54">
            <w:pPr>
              <w:jc w:val="both"/>
              <w:rPr>
                <w:rFonts w:ascii="Arial" w:eastAsia="Times New Roman" w:hAnsi="Arial" w:cs="Arial"/>
                <w:sz w:val="16"/>
                <w:szCs w:val="16"/>
                <w:lang w:eastAsia="es-ES"/>
              </w:rPr>
            </w:pPr>
            <w:r w:rsidRPr="00E30FB6">
              <w:rPr>
                <w:rFonts w:ascii="Arial" w:hAnsi="Arial" w:cs="Arial"/>
                <w:sz w:val="16"/>
                <w:szCs w:val="16"/>
                <w:lang w:eastAsia="es-ES"/>
              </w:rPr>
              <w:t>Subdirectora de Gestión Contractual ANCP – CCE</w:t>
            </w:r>
          </w:p>
        </w:tc>
      </w:tr>
    </w:tbl>
    <w:p w:rsidR="00F3072D" w:rsidRPr="00E30FB6" w:rsidRDefault="00F3072D" w:rsidP="00F3072D">
      <w:pPr>
        <w:spacing w:after="0" w:line="240" w:lineRule="auto"/>
        <w:rPr>
          <w:rFonts w:ascii="Arial" w:hAnsi="Arial" w:cs="Arial"/>
          <w:b/>
          <w:color w:val="404040" w:themeColor="text1" w:themeTint="BF"/>
          <w:lang w:val="es-ES"/>
        </w:rPr>
      </w:pPr>
    </w:p>
    <w:p w:rsidR="00F3072D" w:rsidRPr="00E30FB6" w:rsidRDefault="00F3072D" w:rsidP="00F3072D">
      <w:pPr>
        <w:rPr>
          <w:rFonts w:ascii="Arial" w:hAnsi="Arial" w:cs="Arial"/>
          <w:lang w:val="es-ES"/>
        </w:rPr>
      </w:pPr>
    </w:p>
    <w:p w:rsidR="00F3072D" w:rsidRPr="00E30FB6" w:rsidRDefault="00F3072D" w:rsidP="00F3072D">
      <w:pPr>
        <w:rPr>
          <w:rFonts w:ascii="Arial" w:hAnsi="Arial" w:cs="Arial"/>
          <w:lang w:val="es-MX"/>
        </w:rPr>
      </w:pPr>
    </w:p>
    <w:p w:rsidR="00F3072D" w:rsidRPr="00E30FB6" w:rsidRDefault="00F3072D" w:rsidP="00F3072D">
      <w:pPr>
        <w:rPr>
          <w:rFonts w:ascii="Arial" w:hAnsi="Arial" w:cs="Arial"/>
          <w:lang w:val="es-MX"/>
        </w:rPr>
      </w:pPr>
    </w:p>
    <w:p w:rsidR="00F3072D" w:rsidRPr="00E30FB6" w:rsidRDefault="00F3072D" w:rsidP="00F3072D">
      <w:pPr>
        <w:rPr>
          <w:rFonts w:ascii="Arial" w:hAnsi="Arial" w:cs="Arial"/>
          <w:lang w:val="es-MX"/>
        </w:rPr>
      </w:pPr>
    </w:p>
    <w:p w:rsidR="00F3072D" w:rsidRPr="00517D74" w:rsidRDefault="00F3072D" w:rsidP="00F3072D">
      <w:pPr>
        <w:rPr>
          <w:lang w:val="es-MX"/>
        </w:rPr>
      </w:pPr>
    </w:p>
    <w:p w:rsidR="00F3072D" w:rsidRPr="00E30FB6" w:rsidRDefault="00F3072D" w:rsidP="00F3072D">
      <w:pPr>
        <w:rPr>
          <w:rFonts w:ascii="Arial" w:hAnsi="Arial" w:cs="Arial"/>
          <w:lang w:val="es-MX"/>
        </w:rPr>
      </w:pPr>
    </w:p>
    <w:p w:rsidR="00E163A3" w:rsidRPr="00F3072D" w:rsidRDefault="00E163A3">
      <w:pPr>
        <w:rPr>
          <w:lang w:val="es-MX"/>
        </w:rPr>
      </w:pPr>
    </w:p>
    <w:sectPr w:rsidR="00E163A3" w:rsidRPr="00F3072D" w:rsidSect="0039439C">
      <w:headerReference w:type="default" r:id="rId10"/>
      <w:footerReference w:type="default" r:id="rId11"/>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E2" w:rsidRDefault="001747E2" w:rsidP="00F3072D">
      <w:pPr>
        <w:spacing w:after="0" w:line="240" w:lineRule="auto"/>
      </w:pPr>
      <w:r>
        <w:separator/>
      </w:r>
    </w:p>
  </w:endnote>
  <w:endnote w:type="continuationSeparator" w:id="0">
    <w:p w:rsidR="001747E2" w:rsidRDefault="001747E2" w:rsidP="00F3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81" w:rsidRDefault="00FE5A45" w:rsidP="008614E5">
    <w:pPr>
      <w:pStyle w:val="Piedepgina"/>
    </w:pPr>
    <w:r>
      <w:rPr>
        <w:noProof/>
        <w:lang w:val="en-US"/>
      </w:rPr>
      <w:drawing>
        <wp:inline distT="0" distB="0" distL="0" distR="0" wp14:anchorId="76F0BF36" wp14:editId="0CE46C49">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DD6281" w:rsidRPr="00080DA3"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DD6281" w:rsidRPr="004B6B0E" w:rsidRDefault="00FE5A45"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DD6281" w:rsidRPr="00080DA3" w:rsidRDefault="00FE5A45"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96E38" w:rsidRPr="00496E38">
            <w:rPr>
              <w:b/>
              <w:bCs/>
              <w:noProof/>
              <w:sz w:val="18"/>
              <w:szCs w:val="18"/>
            </w:rPr>
            <w:t>20</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96E38" w:rsidRPr="00496E38">
            <w:rPr>
              <w:b/>
              <w:bCs/>
              <w:noProof/>
              <w:sz w:val="18"/>
              <w:szCs w:val="18"/>
            </w:rPr>
            <w:t>32</w:t>
          </w:r>
          <w:r w:rsidRPr="00080DA3">
            <w:rPr>
              <w:rFonts w:ascii="Geomanist Light" w:hAnsi="Geomanist Light"/>
              <w:b/>
              <w:bCs/>
              <w:sz w:val="18"/>
              <w:szCs w:val="18"/>
            </w:rPr>
            <w:fldChar w:fldCharType="end"/>
          </w:r>
        </w:p>
      </w:tc>
    </w:tr>
  </w:tbl>
  <w:p w:rsidR="00DD6281" w:rsidRDefault="001747E2"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E2" w:rsidRDefault="001747E2" w:rsidP="00F3072D">
      <w:pPr>
        <w:spacing w:after="0" w:line="240" w:lineRule="auto"/>
      </w:pPr>
      <w:r>
        <w:separator/>
      </w:r>
    </w:p>
  </w:footnote>
  <w:footnote w:type="continuationSeparator" w:id="0">
    <w:p w:rsidR="001747E2" w:rsidRDefault="001747E2" w:rsidP="00F3072D">
      <w:pPr>
        <w:spacing w:after="0" w:line="240" w:lineRule="auto"/>
      </w:pPr>
      <w:r>
        <w:continuationSeparator/>
      </w:r>
    </w:p>
  </w:footnote>
  <w:footnote w:id="1">
    <w:p w:rsidR="00F3072D" w:rsidRDefault="00F3072D" w:rsidP="00F3072D">
      <w:pPr>
        <w:pStyle w:val="Textonotapie"/>
        <w:ind w:firstLine="709"/>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sz w:val="18"/>
          <w:szCs w:val="18"/>
          <w:lang w:val="es-CO"/>
        </w:rPr>
        <w:t xml:space="preserve">Estos conceptos pueden ser consultados en el siguiente link </w:t>
      </w:r>
      <w:hyperlink r:id="rId1" w:history="1">
        <w:r w:rsidRPr="00494AAD">
          <w:rPr>
            <w:rStyle w:val="Hipervnculo"/>
            <w:rFonts w:ascii="Arial" w:hAnsi="Arial" w:cs="Arial"/>
            <w:sz w:val="18"/>
            <w:szCs w:val="18"/>
            <w:lang w:val="es-CO"/>
          </w:rPr>
          <w:t>https://relatoria.colombiacompra.gov.co/busqueda/conceptos</w:t>
        </w:r>
      </w:hyperlink>
    </w:p>
    <w:p w:rsidR="00F3072D" w:rsidRPr="009C7533" w:rsidRDefault="00F3072D" w:rsidP="00F3072D">
      <w:pPr>
        <w:pStyle w:val="Textonotapie"/>
        <w:ind w:firstLine="709"/>
        <w:jc w:val="both"/>
        <w:rPr>
          <w:rFonts w:ascii="Arial" w:hAnsi="Arial" w:cs="Arial"/>
          <w:sz w:val="18"/>
          <w:szCs w:val="18"/>
          <w:lang w:val="es-CO"/>
        </w:rPr>
      </w:pPr>
    </w:p>
  </w:footnote>
  <w:footnote w:id="2">
    <w:p w:rsidR="00F3072D" w:rsidRPr="009C7533" w:rsidRDefault="00F3072D" w:rsidP="00F3072D">
      <w:pPr>
        <w:pStyle w:val="Textonotapie"/>
        <w:ind w:firstLine="708"/>
        <w:jc w:val="both"/>
        <w:rPr>
          <w:rFonts w:ascii="Arial" w:hAnsi="Arial" w:cs="Arial"/>
          <w:color w:val="000000" w:themeColor="text1"/>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color w:val="000000" w:themeColor="text1"/>
          <w:sz w:val="18"/>
          <w:szCs w:val="18"/>
        </w:rPr>
        <w:t>Artículo 17 de la Ley 1861 de 2017.</w:t>
      </w:r>
    </w:p>
    <w:p w:rsidR="00F3072D" w:rsidRPr="009C7533" w:rsidRDefault="00F3072D" w:rsidP="00F3072D">
      <w:pPr>
        <w:pStyle w:val="Textonotapie"/>
        <w:ind w:firstLine="708"/>
        <w:jc w:val="both"/>
        <w:rPr>
          <w:rFonts w:ascii="Arial" w:hAnsi="Arial" w:cs="Arial"/>
          <w:sz w:val="18"/>
          <w:szCs w:val="18"/>
          <w:lang w:val="es-CO"/>
        </w:rPr>
      </w:pPr>
    </w:p>
  </w:footnote>
  <w:footnote w:id="3">
    <w:p w:rsidR="00F3072D" w:rsidRDefault="00F3072D" w:rsidP="00F3072D">
      <w:pPr>
        <w:pStyle w:val="Textonotapie"/>
        <w:ind w:firstLine="708"/>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Artículos 26 a 28, </w:t>
      </w:r>
      <w:r w:rsidRPr="009C7533">
        <w:rPr>
          <w:rFonts w:ascii="Arial" w:hAnsi="Arial" w:cs="Arial"/>
          <w:i/>
          <w:iCs/>
          <w:sz w:val="18"/>
          <w:szCs w:val="18"/>
        </w:rPr>
        <w:t>Ibídem</w:t>
      </w:r>
      <w:r w:rsidRPr="009C7533">
        <w:rPr>
          <w:rFonts w:ascii="Arial" w:hAnsi="Arial" w:cs="Arial"/>
          <w:sz w:val="18"/>
          <w:szCs w:val="18"/>
        </w:rPr>
        <w:t xml:space="preserve">. </w:t>
      </w:r>
    </w:p>
    <w:p w:rsidR="00F3072D" w:rsidRPr="009C7533" w:rsidRDefault="00F3072D" w:rsidP="00F3072D">
      <w:pPr>
        <w:pStyle w:val="Textonotapie"/>
        <w:ind w:firstLine="708"/>
        <w:jc w:val="both"/>
        <w:rPr>
          <w:rFonts w:ascii="Arial" w:hAnsi="Arial" w:cs="Arial"/>
          <w:sz w:val="18"/>
          <w:szCs w:val="18"/>
          <w:lang w:val="es-CO"/>
        </w:rPr>
      </w:pPr>
    </w:p>
  </w:footnote>
  <w:footnote w:id="4">
    <w:p w:rsidR="00F3072D" w:rsidRPr="009C7533" w:rsidRDefault="00F3072D" w:rsidP="00F3072D">
      <w:pPr>
        <w:spacing w:after="0" w:line="240" w:lineRule="auto"/>
        <w:ind w:firstLine="709"/>
        <w:jc w:val="both"/>
        <w:rPr>
          <w:rFonts w:ascii="Arial" w:hAnsi="Arial" w:cs="Arial"/>
          <w:color w:val="000000"/>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color w:val="000000"/>
          <w:sz w:val="18"/>
          <w:szCs w:val="18"/>
          <w:lang w:val="es-ES"/>
        </w:rPr>
        <w:t>«</w:t>
      </w:r>
      <w:r w:rsidRPr="009C7533">
        <w:rPr>
          <w:rFonts w:ascii="Arial" w:hAnsi="Arial" w:cs="Arial"/>
          <w:sz w:val="18"/>
          <w:szCs w:val="18"/>
          <w:lang w:val="es-ES"/>
        </w:rPr>
        <w:t>Artículo 35. Tarjeta De Reservista Militar o Policial. Es el documento con el cual se comprueba que el ciudadano definió su situación militar</w:t>
      </w:r>
      <w:r w:rsidRPr="009C7533">
        <w:rPr>
          <w:rFonts w:ascii="Arial" w:hAnsi="Arial" w:cs="Arial"/>
          <w:color w:val="000000"/>
          <w:sz w:val="18"/>
          <w:szCs w:val="18"/>
          <w:lang w:val="es-ES"/>
        </w:rPr>
        <w:t>».</w:t>
      </w:r>
    </w:p>
  </w:footnote>
  <w:footnote w:id="5">
    <w:p w:rsidR="00F3072D" w:rsidRPr="009C7533" w:rsidRDefault="00F3072D" w:rsidP="00F3072D">
      <w:pPr>
        <w:spacing w:after="0" w:line="240" w:lineRule="auto"/>
        <w:ind w:firstLine="709"/>
        <w:jc w:val="both"/>
        <w:rPr>
          <w:rFonts w:ascii="Arial" w:hAnsi="Arial" w:cs="Arial"/>
          <w:sz w:val="18"/>
          <w:szCs w:val="18"/>
        </w:rPr>
      </w:pPr>
    </w:p>
    <w:p w:rsidR="00F3072D" w:rsidRPr="009C7533" w:rsidRDefault="00F3072D" w:rsidP="00F3072D">
      <w:pPr>
        <w:spacing w:after="60" w:line="240" w:lineRule="auto"/>
        <w:ind w:firstLine="709"/>
        <w:jc w:val="both"/>
        <w:rPr>
          <w:rFonts w:ascii="Arial" w:hAnsi="Arial" w:cs="Arial"/>
          <w:color w:val="000000"/>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color w:val="000000"/>
          <w:sz w:val="18"/>
          <w:szCs w:val="18"/>
          <w:lang w:val="es-ES"/>
        </w:rPr>
        <w:t>«Artículo 40. Documento Público. Las tarjetas de reservista se clasificarán como material reservado adquiriendo el carácter de documento público, una vez hayan sido expedidas legalmente por la respectiva Dirección de Reclutamiento.</w:t>
      </w:r>
    </w:p>
    <w:p w:rsidR="00F3072D" w:rsidRPr="009C7533" w:rsidRDefault="00F3072D" w:rsidP="00F3072D">
      <w:pPr>
        <w:spacing w:after="0" w:line="240" w:lineRule="auto"/>
        <w:ind w:firstLine="709"/>
        <w:jc w:val="both"/>
        <w:rPr>
          <w:rFonts w:ascii="Arial" w:hAnsi="Arial" w:cs="Arial"/>
          <w:color w:val="000000"/>
          <w:sz w:val="18"/>
          <w:szCs w:val="18"/>
          <w:lang w:val="es-ES"/>
        </w:rPr>
      </w:pPr>
      <w:proofErr w:type="gramStart"/>
      <w:r w:rsidRPr="009C7533">
        <w:rPr>
          <w:rFonts w:ascii="Arial" w:hAnsi="Arial" w:cs="Arial"/>
          <w:color w:val="000000"/>
          <w:sz w:val="18"/>
          <w:szCs w:val="18"/>
          <w:lang w:val="es-ES"/>
        </w:rPr>
        <w:t>»Parágrafo</w:t>
      </w:r>
      <w:proofErr w:type="gramEnd"/>
      <w:r w:rsidRPr="009C7533">
        <w:rPr>
          <w:rFonts w:ascii="Arial" w:hAnsi="Arial" w:cs="Arial"/>
          <w:color w:val="000000"/>
          <w:sz w:val="18"/>
          <w:szCs w:val="18"/>
          <w:lang w:val="es-ES"/>
        </w:rPr>
        <w:t xml:space="preserve">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6">
    <w:p w:rsidR="00F3072D" w:rsidRPr="009C7533" w:rsidRDefault="00F3072D" w:rsidP="00F3072D">
      <w:pPr>
        <w:pStyle w:val="Textonotapie"/>
        <w:ind w:firstLine="708"/>
        <w:jc w:val="both"/>
        <w:rPr>
          <w:rFonts w:ascii="Arial" w:hAnsi="Arial" w:cs="Arial"/>
          <w:sz w:val="18"/>
          <w:szCs w:val="18"/>
        </w:rPr>
      </w:pPr>
    </w:p>
    <w:p w:rsidR="00F3072D" w:rsidRPr="009C7533" w:rsidRDefault="00F3072D" w:rsidP="00F3072D">
      <w:pPr>
        <w:pStyle w:val="Textonotapie"/>
        <w:ind w:firstLine="708"/>
        <w:jc w:val="both"/>
        <w:rPr>
          <w:rFonts w:ascii="Arial" w:hAnsi="Arial" w:cs="Arial"/>
          <w:color w:val="000000"/>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color w:val="000000"/>
          <w:sz w:val="18"/>
          <w:szCs w:val="18"/>
          <w:lang w:val="es-ES"/>
        </w:rPr>
        <w:t>«</w:t>
      </w:r>
      <w:r w:rsidRPr="009C7533">
        <w:rPr>
          <w:rFonts w:ascii="Arial" w:hAnsi="Arial" w:cs="Arial"/>
          <w:sz w:val="18"/>
          <w:szCs w:val="18"/>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9C7533">
        <w:rPr>
          <w:rFonts w:ascii="Arial" w:hAnsi="Arial" w:cs="Arial"/>
          <w:color w:val="000000"/>
          <w:sz w:val="18"/>
          <w:szCs w:val="18"/>
          <w:lang w:val="es-ES"/>
        </w:rPr>
        <w:t>».</w:t>
      </w:r>
    </w:p>
    <w:p w:rsidR="00F3072D" w:rsidRPr="009C7533" w:rsidRDefault="00F3072D" w:rsidP="00F3072D">
      <w:pPr>
        <w:pStyle w:val="Textonotapie"/>
        <w:ind w:firstLine="708"/>
        <w:jc w:val="both"/>
        <w:rPr>
          <w:rFonts w:ascii="Arial" w:hAnsi="Arial" w:cs="Arial"/>
          <w:i/>
          <w:iCs/>
          <w:sz w:val="18"/>
          <w:szCs w:val="18"/>
          <w:lang w:val="es-CO"/>
        </w:rPr>
      </w:pPr>
    </w:p>
  </w:footnote>
  <w:footnote w:id="7">
    <w:p w:rsidR="00F3072D" w:rsidRPr="009C7533" w:rsidRDefault="00F3072D" w:rsidP="00F3072D">
      <w:pPr>
        <w:spacing w:after="0" w:line="240" w:lineRule="auto"/>
        <w:ind w:firstLine="709"/>
        <w:jc w:val="both"/>
        <w:rPr>
          <w:rFonts w:ascii="Arial" w:hAnsi="Arial" w:cs="Arial"/>
          <w:color w:val="000000"/>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color w:val="000000"/>
          <w:sz w:val="18"/>
          <w:szCs w:val="18"/>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2" w:history="1">
        <w:r w:rsidRPr="009C7533">
          <w:rPr>
            <w:rStyle w:val="Hipervnculo"/>
            <w:rFonts w:ascii="Arial" w:hAnsi="Arial" w:cs="Arial"/>
            <w:sz w:val="18"/>
            <w:szCs w:val="18"/>
          </w:rPr>
          <w:t>https://www.colombiacompra.gov.co/sites/cce_public/files/cce_circulares/cce-eicp-ma-06_circular_externa_con_comentarios_de_ciudadanos-_v2f_002.pdf</w:t>
        </w:r>
      </w:hyperlink>
      <w:r w:rsidRPr="009C7533">
        <w:rPr>
          <w:rFonts w:ascii="Arial" w:hAnsi="Arial" w:cs="Arial"/>
          <w:color w:val="000000"/>
          <w:sz w:val="18"/>
          <w:szCs w:val="18"/>
          <w:lang w:val="es-ES"/>
        </w:rPr>
        <w:t xml:space="preserve"> </w:t>
      </w:r>
    </w:p>
    <w:p w:rsidR="00F3072D" w:rsidRPr="009C7533" w:rsidRDefault="00F3072D" w:rsidP="00F3072D">
      <w:pPr>
        <w:spacing w:after="0" w:line="240" w:lineRule="auto"/>
        <w:ind w:firstLine="709"/>
        <w:jc w:val="both"/>
        <w:rPr>
          <w:rFonts w:ascii="Arial" w:hAnsi="Arial" w:cs="Arial"/>
          <w:sz w:val="18"/>
          <w:szCs w:val="18"/>
        </w:rPr>
      </w:pPr>
    </w:p>
  </w:footnote>
  <w:footnote w:id="8">
    <w:p w:rsidR="00F3072D" w:rsidRPr="009C7533" w:rsidRDefault="00F3072D" w:rsidP="00F3072D">
      <w:pPr>
        <w:pStyle w:val="Textonotapie"/>
        <w:ind w:firstLine="708"/>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CORTE CONSTITUCIONAL. Sentencia C-277 del 19 de junio de 2019. M.P. Carlos Bernal Pulido.</w:t>
      </w:r>
    </w:p>
  </w:footnote>
  <w:footnote w:id="9">
    <w:p w:rsidR="00F3072D" w:rsidRPr="009C7533" w:rsidRDefault="00F3072D" w:rsidP="00F3072D">
      <w:pPr>
        <w:pStyle w:val="Textonotapie"/>
        <w:ind w:firstLine="708"/>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i/>
          <w:iCs/>
          <w:sz w:val="18"/>
          <w:szCs w:val="18"/>
        </w:rPr>
        <w:t>Ibíd</w:t>
      </w:r>
      <w:r w:rsidRPr="009C7533">
        <w:rPr>
          <w:rFonts w:ascii="Arial" w:hAnsi="Arial" w:cs="Arial"/>
          <w:sz w:val="18"/>
          <w:szCs w:val="18"/>
        </w:rPr>
        <w:t xml:space="preserve">. </w:t>
      </w:r>
    </w:p>
    <w:p w:rsidR="00F3072D" w:rsidRPr="009C7533" w:rsidRDefault="00F3072D" w:rsidP="00F3072D">
      <w:pPr>
        <w:pStyle w:val="Textonotapie"/>
        <w:ind w:firstLine="708"/>
        <w:rPr>
          <w:rFonts w:ascii="Arial" w:hAnsi="Arial" w:cs="Arial"/>
          <w:sz w:val="18"/>
          <w:szCs w:val="18"/>
          <w:lang w:val="es-CO"/>
        </w:rPr>
      </w:pPr>
    </w:p>
  </w:footnote>
  <w:footnote w:id="10">
    <w:p w:rsidR="00F3072D" w:rsidRPr="009C7533" w:rsidRDefault="00F3072D" w:rsidP="00F3072D">
      <w:pPr>
        <w:pStyle w:val="Car1"/>
        <w:ind w:firstLine="708"/>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footnote>
  <w:footnote w:id="11">
    <w:p w:rsidR="00F3072D" w:rsidRPr="009C7533" w:rsidRDefault="00F3072D" w:rsidP="00F3072D">
      <w:pPr>
        <w:pStyle w:val="Car1"/>
        <w:ind w:firstLine="709"/>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w:t>
      </w:r>
      <w:proofErr w:type="spellStart"/>
      <w:r w:rsidRPr="009C7533">
        <w:rPr>
          <w:rFonts w:ascii="Arial" w:hAnsi="Arial" w:cs="Arial"/>
          <w:sz w:val="18"/>
          <w:szCs w:val="18"/>
        </w:rPr>
        <w:t>adoptabilidad</w:t>
      </w:r>
      <w:proofErr w:type="spellEnd"/>
      <w:r w:rsidRPr="009C7533">
        <w:rPr>
          <w:rFonts w:ascii="Arial" w:hAnsi="Arial" w:cs="Arial"/>
          <w:sz w:val="18"/>
          <w:szCs w:val="18"/>
        </w:rPr>
        <w:t xml:space="preserve">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rsidR="00F3072D" w:rsidRPr="009C7533" w:rsidRDefault="00F3072D" w:rsidP="00F3072D">
      <w:pPr>
        <w:pStyle w:val="Textonotapie"/>
        <w:rPr>
          <w:rFonts w:ascii="Arial" w:hAnsi="Arial" w:cs="Arial"/>
          <w:sz w:val="18"/>
          <w:szCs w:val="18"/>
        </w:rPr>
      </w:pPr>
    </w:p>
  </w:footnote>
  <w:footnote w:id="12">
    <w:p w:rsidR="00F3072D" w:rsidRPr="009C7533" w:rsidRDefault="00F3072D" w:rsidP="00F3072D">
      <w:pPr>
        <w:pStyle w:val="Car1"/>
        <w:ind w:firstLine="709"/>
        <w:jc w:val="both"/>
        <w:rPr>
          <w:rFonts w:ascii="Arial" w:hAnsi="Arial" w:cs="Arial"/>
          <w:color w:val="000000"/>
          <w:sz w:val="18"/>
          <w:szCs w:val="18"/>
          <w:lang w:val="es-ES"/>
        </w:rPr>
      </w:pPr>
      <w:r w:rsidRPr="009C7533">
        <w:rPr>
          <w:rStyle w:val="Refdenotaalpie"/>
          <w:rFonts w:ascii="Arial" w:hAnsi="Arial" w:cs="Arial"/>
          <w:sz w:val="18"/>
          <w:szCs w:val="18"/>
        </w:rPr>
        <w:footnoteRef/>
      </w:r>
      <w:r w:rsidRPr="009C7533">
        <w:rPr>
          <w:rFonts w:ascii="Arial" w:hAnsi="Arial" w:cs="Arial"/>
          <w:color w:val="000000"/>
          <w:sz w:val="18"/>
          <w:szCs w:val="18"/>
          <w:lang w:val="es-ES"/>
        </w:rPr>
        <w:t>«</w:t>
      </w:r>
      <w:r w:rsidRPr="009C7533">
        <w:rPr>
          <w:rFonts w:ascii="Arial" w:hAnsi="Arial" w:cs="Arial"/>
          <w:color w:val="000000"/>
          <w:sz w:val="18"/>
          <w:szCs w:val="18"/>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9C7533">
        <w:rPr>
          <w:rFonts w:ascii="Arial" w:hAnsi="Arial" w:cs="Arial"/>
          <w:color w:val="000000"/>
          <w:sz w:val="18"/>
          <w:szCs w:val="18"/>
          <w:lang w:val="es-ES"/>
        </w:rPr>
        <w:t>».</w:t>
      </w:r>
    </w:p>
    <w:p w:rsidR="00F3072D" w:rsidRPr="009C7533" w:rsidRDefault="00F3072D" w:rsidP="00F3072D">
      <w:pPr>
        <w:pStyle w:val="Textonotapie"/>
        <w:rPr>
          <w:rFonts w:ascii="Arial" w:hAnsi="Arial" w:cs="Arial"/>
          <w:sz w:val="18"/>
          <w:szCs w:val="18"/>
          <w:lang w:val="es-ES"/>
        </w:rPr>
      </w:pPr>
    </w:p>
  </w:footnote>
  <w:footnote w:id="13">
    <w:p w:rsidR="00F3072D" w:rsidRPr="009C7533" w:rsidRDefault="00F3072D" w:rsidP="00F3072D">
      <w:pPr>
        <w:pStyle w:val="Textonotapie"/>
        <w:ind w:firstLine="708"/>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CORTE CONSTITUCIONAL. Sentencia C-277 del 19 de junio de 2019. M.P. Carlos Bernal Pulido.</w:t>
      </w:r>
    </w:p>
  </w:footnote>
  <w:footnote w:id="14">
    <w:p w:rsidR="00F3072D" w:rsidRPr="009C7533" w:rsidRDefault="00F3072D" w:rsidP="00F3072D">
      <w:pPr>
        <w:pStyle w:val="Textonotapie"/>
        <w:ind w:firstLine="708"/>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Corte Constitucional, Magistrado Ponente: Carlos Bernal Pulido, Sentencia de Constitucionalidad C-277 del 19 de junio de 2019.</w:t>
      </w:r>
    </w:p>
  </w:footnote>
  <w:footnote w:id="15">
    <w:p w:rsidR="00F3072D" w:rsidRPr="009C7533" w:rsidRDefault="00F3072D" w:rsidP="00F3072D">
      <w:pPr>
        <w:pStyle w:val="Textonotapie"/>
        <w:ind w:firstLine="708"/>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CORTE CONSTITUCIONAL. Sala Novena de Revisión de Tutelas, Sentencia T-313 del 5 de septiembre de 2022. M.P. Natalia Ángel Cabo.</w:t>
      </w:r>
    </w:p>
  </w:footnote>
  <w:footnote w:id="16">
    <w:p w:rsidR="00F3072D" w:rsidRPr="009C7533" w:rsidRDefault="00F3072D" w:rsidP="00F3072D">
      <w:pPr>
        <w:pStyle w:val="Textonotapie"/>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hAnsi="Arial" w:cs="Arial"/>
          <w:sz w:val="18"/>
          <w:szCs w:val="18"/>
          <w:lang w:val="es-CO"/>
        </w:rPr>
        <w:t>Corte Constitucional. M.P. Fabio Morón Díaz, en sentencia del 10 de julio de 1997.</w:t>
      </w:r>
    </w:p>
  </w:footnote>
  <w:footnote w:id="17">
    <w:p w:rsidR="00F3072D" w:rsidRPr="009C7533" w:rsidRDefault="00F3072D" w:rsidP="00F3072D">
      <w:pPr>
        <w:widowControl w:val="0"/>
        <w:autoSpaceDE w:val="0"/>
        <w:autoSpaceDN w:val="0"/>
        <w:spacing w:after="0"/>
        <w:ind w:firstLine="708"/>
        <w:jc w:val="both"/>
        <w:rPr>
          <w:rFonts w:ascii="Arial" w:eastAsia="Arial" w:hAnsi="Arial" w:cs="Arial"/>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eastAsia="Arial" w:hAnsi="Arial" w:cs="Arial"/>
          <w:sz w:val="18"/>
          <w:szCs w:val="18"/>
          <w:lang w:val="es-ES"/>
        </w:rPr>
        <w:t xml:space="preserve">Ley 789 de 2002: </w:t>
      </w:r>
      <w:r>
        <w:rPr>
          <w:rFonts w:ascii="Arial" w:eastAsia="Arial" w:hAnsi="Arial" w:cs="Arial"/>
          <w:sz w:val="18"/>
          <w:szCs w:val="18"/>
          <w:lang w:val="es-ES"/>
        </w:rPr>
        <w:t>“</w:t>
      </w:r>
      <w:r w:rsidRPr="009C7533">
        <w:rPr>
          <w:rFonts w:ascii="Arial" w:eastAsia="Arial" w:hAnsi="Arial" w:cs="Arial"/>
          <w:sz w:val="18"/>
          <w:szCs w:val="18"/>
          <w:lang w:val="es-ES"/>
        </w:rPr>
        <w:t>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sus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obligaciones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con</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los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sistemas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salud,</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riesgos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profesionales,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pensiones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y</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aportes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a</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Cajas de Compensación Familiar, Instituto Colombiano de Bienestar Familiar y Servicio Nacional de Aprendizaje,</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cuando</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a</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ello</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haya</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lugar.</w:t>
      </w:r>
      <w:r w:rsidRPr="009C7533">
        <w:rPr>
          <w:rFonts w:ascii="Arial" w:eastAsia="Arial" w:hAnsi="Arial" w:cs="Arial"/>
          <w:spacing w:val="-11"/>
          <w:sz w:val="18"/>
          <w:szCs w:val="18"/>
          <w:lang w:val="es-ES"/>
        </w:rPr>
        <w:t xml:space="preserve"> </w:t>
      </w:r>
      <w:r w:rsidRPr="009C7533">
        <w:rPr>
          <w:rFonts w:ascii="Arial" w:eastAsia="Arial" w:hAnsi="Arial" w:cs="Arial"/>
          <w:sz w:val="18"/>
          <w:szCs w:val="18"/>
          <w:lang w:val="es-ES"/>
        </w:rPr>
        <w:t>Las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Entidades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públicas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en</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el</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momento</w:t>
      </w:r>
      <w:r w:rsidRPr="009C7533">
        <w:rPr>
          <w:rFonts w:ascii="Arial" w:eastAsia="Arial" w:hAnsi="Arial" w:cs="Arial"/>
          <w:spacing w:val="-11"/>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liquidar</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los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cotizadas.</w:t>
      </w:r>
    </w:p>
    <w:p w:rsidR="00F3072D" w:rsidRPr="009C7533" w:rsidRDefault="00F3072D" w:rsidP="00F3072D">
      <w:pPr>
        <w:widowControl w:val="0"/>
        <w:autoSpaceDE w:val="0"/>
        <w:autoSpaceDN w:val="0"/>
        <w:spacing w:after="0"/>
        <w:ind w:firstLine="708"/>
        <w:jc w:val="both"/>
        <w:rPr>
          <w:rFonts w:ascii="Arial" w:eastAsia="Arial" w:hAnsi="Arial" w:cs="Arial"/>
          <w:sz w:val="18"/>
          <w:szCs w:val="18"/>
          <w:lang w:val="es-ES"/>
        </w:rPr>
      </w:pPr>
      <w:r w:rsidRPr="009C7533">
        <w:rPr>
          <w:rFonts w:ascii="Arial" w:eastAsia="Arial" w:hAnsi="Arial"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00F3072D" w:rsidRPr="009C7533" w:rsidRDefault="00F3072D" w:rsidP="00F3072D">
      <w:pPr>
        <w:widowControl w:val="0"/>
        <w:autoSpaceDE w:val="0"/>
        <w:autoSpaceDN w:val="0"/>
        <w:spacing w:after="0"/>
        <w:ind w:firstLine="708"/>
        <w:jc w:val="both"/>
        <w:rPr>
          <w:rFonts w:ascii="Arial" w:eastAsia="Arial" w:hAnsi="Arial" w:cs="Arial"/>
          <w:sz w:val="18"/>
          <w:szCs w:val="18"/>
          <w:lang w:val="es-ES"/>
        </w:rPr>
      </w:pPr>
      <w:r w:rsidRPr="009C7533">
        <w:rPr>
          <w:rFonts w:ascii="Arial" w:eastAsia="Arial" w:hAnsi="Arial" w:cs="Arial"/>
          <w:sz w:val="18"/>
          <w:szCs w:val="18"/>
          <w:lang w:val="es-ES"/>
        </w:rPr>
        <w:t>Cuando</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la</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contratación</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se</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realice</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con</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personas</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jurídicas,</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se</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deberá</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acreditar</w:t>
      </w:r>
      <w:r w:rsidRPr="009C7533">
        <w:rPr>
          <w:rFonts w:ascii="Arial" w:eastAsia="Arial" w:hAnsi="Arial" w:cs="Arial"/>
          <w:spacing w:val="-7"/>
          <w:sz w:val="18"/>
          <w:szCs w:val="18"/>
          <w:lang w:val="es-ES"/>
        </w:rPr>
        <w:t xml:space="preserve"> </w:t>
      </w:r>
      <w:r w:rsidRPr="009C7533">
        <w:rPr>
          <w:rFonts w:ascii="Arial" w:eastAsia="Arial" w:hAnsi="Arial" w:cs="Arial"/>
          <w:sz w:val="18"/>
          <w:szCs w:val="18"/>
          <w:lang w:val="es-ES"/>
        </w:rPr>
        <w:t>el</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pago</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8"/>
          <w:sz w:val="18"/>
          <w:szCs w:val="18"/>
          <w:lang w:val="es-ES"/>
        </w:rPr>
        <w:t xml:space="preserve"> </w:t>
      </w:r>
      <w:r w:rsidRPr="009C7533">
        <w:rPr>
          <w:rFonts w:ascii="Arial" w:eastAsia="Arial" w:hAnsi="Arial" w:cs="Arial"/>
          <w:sz w:val="18"/>
          <w:szCs w:val="18"/>
          <w:lang w:val="es-ES"/>
        </w:rPr>
        <w:t>los aportes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sus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empleados,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a</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los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sistemas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mencionados</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mediante</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certificación</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expedida</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por</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el</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9C7533">
        <w:rPr>
          <w:rFonts w:ascii="Arial" w:eastAsia="Arial" w:hAnsi="Arial" w:cs="Arial"/>
          <w:spacing w:val="-20"/>
          <w:sz w:val="18"/>
          <w:szCs w:val="18"/>
          <w:lang w:val="es-ES"/>
        </w:rPr>
        <w:t xml:space="preserve"> </w:t>
      </w:r>
      <w:r w:rsidRPr="009C7533">
        <w:rPr>
          <w:rFonts w:ascii="Arial" w:eastAsia="Arial" w:hAnsi="Arial" w:cs="Arial"/>
          <w:sz w:val="18"/>
          <w:szCs w:val="18"/>
          <w:lang w:val="es-ES"/>
        </w:rPr>
        <w:t>constitución.</w:t>
      </w:r>
    </w:p>
    <w:p w:rsidR="00F3072D" w:rsidRPr="009C7533" w:rsidRDefault="00F3072D" w:rsidP="00F3072D">
      <w:pPr>
        <w:pStyle w:val="Textonotapie"/>
        <w:jc w:val="both"/>
        <w:rPr>
          <w:rFonts w:ascii="Arial" w:eastAsia="Arial" w:hAnsi="Arial" w:cs="Arial"/>
          <w:sz w:val="18"/>
          <w:szCs w:val="18"/>
          <w:lang w:val="es-ES"/>
        </w:rPr>
      </w:pPr>
      <w:r w:rsidRPr="009C7533">
        <w:rPr>
          <w:rFonts w:ascii="Arial" w:eastAsia="Arial" w:hAnsi="Arial" w:cs="Arial"/>
          <w:sz w:val="18"/>
          <w:szCs w:val="18"/>
          <w:lang w:val="es-ES"/>
        </w:rPr>
        <w:tab/>
        <w:t>Para</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la</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presentación</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ofertas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por</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parte</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de</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personas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jurídicas</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será</w:t>
      </w:r>
      <w:r w:rsidRPr="009C7533">
        <w:rPr>
          <w:rFonts w:ascii="Arial" w:eastAsia="Arial" w:hAnsi="Arial" w:cs="Arial"/>
          <w:spacing w:val="-10"/>
          <w:sz w:val="18"/>
          <w:szCs w:val="18"/>
          <w:lang w:val="es-ES"/>
        </w:rPr>
        <w:t xml:space="preserve"> </w:t>
      </w:r>
      <w:r w:rsidRPr="009C7533">
        <w:rPr>
          <w:rFonts w:ascii="Arial" w:eastAsia="Arial" w:hAnsi="Arial" w:cs="Arial"/>
          <w:sz w:val="18"/>
          <w:szCs w:val="18"/>
          <w:lang w:val="es-ES"/>
        </w:rPr>
        <w:t>indispensable</w:t>
      </w:r>
      <w:r w:rsidRPr="009C7533">
        <w:rPr>
          <w:rFonts w:ascii="Arial" w:eastAsia="Arial" w:hAnsi="Arial" w:cs="Arial"/>
          <w:spacing w:val="-9"/>
          <w:sz w:val="18"/>
          <w:szCs w:val="18"/>
          <w:lang w:val="es-ES"/>
        </w:rPr>
        <w:t xml:space="preserve"> </w:t>
      </w:r>
      <w:r w:rsidRPr="009C7533">
        <w:rPr>
          <w:rFonts w:ascii="Arial" w:eastAsia="Arial" w:hAnsi="Arial" w:cs="Arial"/>
          <w:sz w:val="18"/>
          <w:szCs w:val="18"/>
          <w:lang w:val="es-ES"/>
        </w:rPr>
        <w:t>acreditar el requisito señalado anteriormente. El funcionario que no deje constancia de la verificación del cumplimiento de este requisito incurrirá en causal de mala</w:t>
      </w:r>
      <w:r w:rsidRPr="009C7533">
        <w:rPr>
          <w:rFonts w:ascii="Arial" w:eastAsia="Arial" w:hAnsi="Arial" w:cs="Arial"/>
          <w:spacing w:val="-12"/>
          <w:sz w:val="18"/>
          <w:szCs w:val="18"/>
          <w:lang w:val="es-ES"/>
        </w:rPr>
        <w:t xml:space="preserve"> </w:t>
      </w:r>
      <w:r w:rsidRPr="009C7533">
        <w:rPr>
          <w:rFonts w:ascii="Arial" w:eastAsia="Arial" w:hAnsi="Arial" w:cs="Arial"/>
          <w:sz w:val="18"/>
          <w:szCs w:val="18"/>
          <w:lang w:val="es-ES"/>
        </w:rPr>
        <w:t>conducta</w:t>
      </w:r>
      <w:r>
        <w:rPr>
          <w:rFonts w:ascii="Arial" w:eastAsia="Arial" w:hAnsi="Arial" w:cs="Arial"/>
          <w:sz w:val="18"/>
          <w:szCs w:val="18"/>
          <w:lang w:val="es-ES"/>
        </w:rPr>
        <w:t>”.</w:t>
      </w:r>
    </w:p>
    <w:p w:rsidR="00F3072D" w:rsidRPr="009C7533" w:rsidRDefault="00F3072D" w:rsidP="00F3072D">
      <w:pPr>
        <w:pStyle w:val="Textonotapie"/>
        <w:jc w:val="both"/>
        <w:rPr>
          <w:rFonts w:ascii="Arial" w:hAnsi="Arial" w:cs="Arial"/>
          <w:sz w:val="18"/>
          <w:szCs w:val="18"/>
          <w:lang w:val="es-CO"/>
        </w:rPr>
      </w:pPr>
    </w:p>
  </w:footnote>
  <w:footnote w:id="18">
    <w:p w:rsidR="00F3072D" w:rsidRPr="009C7533" w:rsidRDefault="00F3072D" w:rsidP="00F3072D">
      <w:pPr>
        <w:pStyle w:val="Textonotapie"/>
        <w:ind w:firstLine="708"/>
        <w:jc w:val="both"/>
        <w:rPr>
          <w:rFonts w:ascii="Arial" w:eastAsia="Arial" w:hAnsi="Arial" w:cs="Arial"/>
          <w:sz w:val="18"/>
          <w:szCs w:val="18"/>
          <w:lang w:val="es-ES"/>
        </w:rPr>
      </w:pPr>
      <w:r w:rsidRPr="009C7533">
        <w:rPr>
          <w:rStyle w:val="Refdenotaalpie"/>
          <w:rFonts w:ascii="Arial" w:hAnsi="Arial" w:cs="Arial"/>
          <w:sz w:val="18"/>
          <w:szCs w:val="18"/>
        </w:rPr>
        <w:footnoteRef/>
      </w:r>
      <w:r w:rsidRPr="009C7533">
        <w:rPr>
          <w:rFonts w:ascii="Arial" w:hAnsi="Arial" w:cs="Arial"/>
          <w:sz w:val="18"/>
          <w:szCs w:val="18"/>
        </w:rPr>
        <w:t xml:space="preserve"> </w:t>
      </w:r>
      <w:r w:rsidRPr="009C7533">
        <w:rPr>
          <w:rFonts w:ascii="Arial" w:eastAsia="Arial" w:hAnsi="Arial" w:cs="Arial"/>
          <w:sz w:val="18"/>
          <w:szCs w:val="18"/>
          <w:lang w:val="es-ES"/>
        </w:rPr>
        <w:t xml:space="preserve">Consejo de Estado. Sección Tercera. Subsección C. Sentencia del 8 de junio de 2011. </w:t>
      </w:r>
      <w:proofErr w:type="spellStart"/>
      <w:r w:rsidRPr="009C7533">
        <w:rPr>
          <w:rFonts w:ascii="Arial" w:eastAsia="Arial" w:hAnsi="Arial" w:cs="Arial"/>
          <w:sz w:val="18"/>
          <w:szCs w:val="18"/>
          <w:lang w:val="es-ES"/>
        </w:rPr>
        <w:t>Exp</w:t>
      </w:r>
      <w:proofErr w:type="spellEnd"/>
      <w:r w:rsidRPr="009C7533">
        <w:rPr>
          <w:rFonts w:ascii="Arial" w:eastAsia="Arial" w:hAnsi="Arial" w:cs="Arial"/>
          <w:sz w:val="18"/>
          <w:szCs w:val="18"/>
          <w:lang w:val="es-ES"/>
        </w:rPr>
        <w:t>. 20001-23-31-000-2005-00409-01(AP), C.P. Enrique Gil Botero.</w:t>
      </w:r>
    </w:p>
  </w:footnote>
  <w:footnote w:id="19">
    <w:p w:rsidR="00F3072D" w:rsidRPr="009C7533" w:rsidRDefault="00F3072D" w:rsidP="00F3072D">
      <w:pPr>
        <w:pStyle w:val="Textonotapie"/>
        <w:ind w:firstLine="708"/>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Respecto a la revisoría fiscal de las sociedades extranjeras con sucursal en Colombia, el artículo 472.6 del Código de Comercio dispone que </w:t>
      </w:r>
      <w:r w:rsidRPr="009C7533">
        <w:rPr>
          <w:rFonts w:ascii="Arial" w:hAnsi="Arial" w:cs="Arial"/>
          <w:sz w:val="18"/>
          <w:szCs w:val="18"/>
          <w:lang w:val="es-CO"/>
        </w:rPr>
        <w:t xml:space="preserve">la resolución o acto en que la sociedad acuerda establecer negocios permanentes en Colombia expresará «La designación del revisor fiscal, quien será persona natural con residencia permanente en Colombia». </w:t>
      </w:r>
    </w:p>
    <w:p w:rsidR="00F3072D" w:rsidRPr="009C7533" w:rsidRDefault="00F3072D" w:rsidP="00F3072D">
      <w:pPr>
        <w:pStyle w:val="Textonotapie"/>
        <w:ind w:firstLine="708"/>
        <w:jc w:val="both"/>
        <w:rPr>
          <w:rFonts w:ascii="Arial" w:hAnsi="Arial" w:cs="Arial"/>
          <w:sz w:val="18"/>
          <w:szCs w:val="18"/>
        </w:rPr>
      </w:pPr>
      <w:r w:rsidRPr="009C7533">
        <w:rPr>
          <w:rFonts w:ascii="Arial" w:hAnsi="Arial" w:cs="Arial"/>
          <w:sz w:val="18"/>
          <w:szCs w:val="18"/>
          <w:lang w:val="es-CO"/>
        </w:rPr>
        <w:t xml:space="preserve">Por lo demás, el artículo el artículo 489 </w:t>
      </w:r>
      <w:proofErr w:type="spellStart"/>
      <w:r w:rsidRPr="009C7533">
        <w:rPr>
          <w:rFonts w:ascii="Arial" w:hAnsi="Arial" w:cs="Arial"/>
          <w:i/>
          <w:iCs/>
          <w:sz w:val="18"/>
          <w:szCs w:val="18"/>
          <w:lang w:val="es-CO"/>
        </w:rPr>
        <w:t>ibidem</w:t>
      </w:r>
      <w:proofErr w:type="spellEnd"/>
      <w:r w:rsidRPr="009C7533">
        <w:rPr>
          <w:rFonts w:ascii="Arial" w:hAnsi="Arial" w:cs="Arial"/>
          <w:sz w:val="18"/>
          <w:szCs w:val="18"/>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w:t>
      </w:r>
      <w:proofErr w:type="gramStart"/>
      <w:r w:rsidRPr="009C7533">
        <w:rPr>
          <w:rFonts w:ascii="Arial" w:hAnsi="Arial" w:cs="Arial"/>
          <w:sz w:val="18"/>
          <w:szCs w:val="18"/>
          <w:lang w:val="es-CO"/>
        </w:rPr>
        <w:t>«</w:t>
      </w:r>
      <w:r w:rsidRPr="009C7533">
        <w:rPr>
          <w:rFonts w:ascii="Arial" w:eastAsia="Times New Roman" w:hAnsi="Arial" w:cs="Arial"/>
          <w:color w:val="000000"/>
          <w:sz w:val="18"/>
          <w:szCs w:val="18"/>
          <w:lang w:eastAsia="es-ES_tradnl"/>
        </w:rPr>
        <w:t xml:space="preserve"> </w:t>
      </w:r>
      <w:r w:rsidRPr="009C7533">
        <w:rPr>
          <w:rFonts w:ascii="Arial" w:hAnsi="Arial" w:cs="Arial"/>
          <w:sz w:val="18"/>
          <w:szCs w:val="18"/>
          <w:lang w:val="es-CO"/>
        </w:rPr>
        <w:t>Estos</w:t>
      </w:r>
      <w:proofErr w:type="gramEnd"/>
      <w:r w:rsidRPr="009C7533">
        <w:rPr>
          <w:rFonts w:ascii="Arial" w:hAnsi="Arial" w:cs="Arial"/>
          <w:sz w:val="18"/>
          <w:szCs w:val="18"/>
          <w:lang w:val="es-CO"/>
        </w:rPr>
        <w:t xml:space="preserve"> revisores deberán, además, informar a la correspondiente Superintendencia cualquier irregularidad de las que puedan ser causales de suspensión o de revocación del permiso de funcionamiento de tales sociedades».</w:t>
      </w:r>
    </w:p>
  </w:footnote>
  <w:footnote w:id="20">
    <w:p w:rsidR="00F3072D" w:rsidRPr="009C7533" w:rsidRDefault="00F3072D" w:rsidP="00F3072D">
      <w:pPr>
        <w:pStyle w:val="Textonotapie"/>
        <w:ind w:firstLine="709"/>
        <w:rPr>
          <w:rFonts w:ascii="Arial" w:hAnsi="Arial" w:cs="Arial"/>
          <w:color w:val="000000" w:themeColor="text1"/>
          <w:sz w:val="18"/>
          <w:szCs w:val="18"/>
        </w:rPr>
      </w:pPr>
      <w:r w:rsidRPr="009C7533">
        <w:rPr>
          <w:rStyle w:val="Refdenotaalpie"/>
          <w:rFonts w:ascii="Arial" w:hAnsi="Arial" w:cs="Arial"/>
          <w:color w:val="000000" w:themeColor="text1"/>
          <w:sz w:val="18"/>
          <w:szCs w:val="18"/>
        </w:rPr>
        <w:footnoteRef/>
      </w:r>
      <w:r w:rsidRPr="009C7533">
        <w:rPr>
          <w:rFonts w:ascii="Arial" w:hAnsi="Arial" w:cs="Arial"/>
          <w:color w:val="000000" w:themeColor="text1"/>
          <w:sz w:val="18"/>
          <w:szCs w:val="18"/>
        </w:rPr>
        <w:t xml:space="preserve">Resolución 2346 de 2007 del 11 de julio de 2007, expedida por </w:t>
      </w:r>
      <w:proofErr w:type="gramStart"/>
      <w:r w:rsidRPr="009C7533">
        <w:rPr>
          <w:rFonts w:ascii="Arial" w:hAnsi="Arial" w:cs="Arial"/>
          <w:color w:val="000000" w:themeColor="text1"/>
          <w:sz w:val="18"/>
          <w:szCs w:val="18"/>
        </w:rPr>
        <w:t>el  Ministerio</w:t>
      </w:r>
      <w:proofErr w:type="gramEnd"/>
      <w:r w:rsidRPr="009C7533">
        <w:rPr>
          <w:rFonts w:ascii="Arial" w:hAnsi="Arial" w:cs="Arial"/>
          <w:color w:val="000000" w:themeColor="text1"/>
          <w:sz w:val="18"/>
          <w:szCs w:val="18"/>
        </w:rPr>
        <w:t xml:space="preserve"> de la Protección Social. </w:t>
      </w:r>
    </w:p>
    <w:p w:rsidR="00F3072D" w:rsidRPr="009C7533" w:rsidRDefault="00F3072D" w:rsidP="00F3072D">
      <w:pPr>
        <w:pStyle w:val="Textonotapie"/>
        <w:ind w:firstLine="708"/>
        <w:rPr>
          <w:rFonts w:ascii="Arial" w:hAnsi="Arial" w:cs="Arial"/>
          <w:color w:val="000000" w:themeColor="text1"/>
          <w:sz w:val="18"/>
          <w:szCs w:val="18"/>
        </w:rPr>
      </w:pPr>
    </w:p>
  </w:footnote>
  <w:footnote w:id="21">
    <w:p w:rsidR="00F3072D" w:rsidRPr="009C7533" w:rsidRDefault="00F3072D" w:rsidP="00F3072D">
      <w:pPr>
        <w:pStyle w:val="pa6"/>
        <w:spacing w:before="0" w:beforeAutospacing="0" w:after="0" w:afterAutospacing="0"/>
        <w:ind w:firstLine="708"/>
        <w:jc w:val="both"/>
        <w:rPr>
          <w:rFonts w:ascii="Arial" w:hAnsi="Arial" w:cs="Arial"/>
          <w:color w:val="000000" w:themeColor="text1"/>
          <w:sz w:val="18"/>
          <w:szCs w:val="18"/>
        </w:rPr>
      </w:pPr>
      <w:r w:rsidRPr="009C7533">
        <w:rPr>
          <w:rStyle w:val="Refdenotaalpie"/>
          <w:rFonts w:ascii="Arial" w:hAnsi="Arial" w:cs="Arial"/>
          <w:color w:val="000000" w:themeColor="text1"/>
          <w:sz w:val="18"/>
          <w:szCs w:val="18"/>
        </w:rPr>
        <w:footnoteRef/>
      </w:r>
      <w:r w:rsidRPr="009C7533">
        <w:rPr>
          <w:rFonts w:ascii="Arial" w:hAnsi="Arial" w:cs="Arial"/>
          <w:color w:val="000000" w:themeColor="text1"/>
          <w:sz w:val="18"/>
          <w:szCs w:val="18"/>
        </w:rPr>
        <w:t xml:space="preserve"> «</w:t>
      </w:r>
      <w:r w:rsidRPr="009C7533">
        <w:rPr>
          <w:rStyle w:val="a1"/>
          <w:rFonts w:ascii="Arial" w:hAnsi="Arial" w:cs="Arial"/>
          <w:color w:val="000000" w:themeColor="text1"/>
          <w:sz w:val="18"/>
          <w:szCs w:val="18"/>
        </w:rPr>
        <w:t>Artículo 2°. Modifíquese el artículo 13 del </w:t>
      </w:r>
      <w:hyperlink r:id="rId3" w:tooltip="Haga clic para abrir TODO el Decreto ley 1295 de 1994" w:history="1">
        <w:r w:rsidRPr="009C7533">
          <w:rPr>
            <w:rStyle w:val="Hipervnculo"/>
            <w:rFonts w:ascii="Arial" w:eastAsiaTheme="majorEastAsia" w:hAnsi="Arial" w:cs="Arial"/>
            <w:color w:val="000000" w:themeColor="text1"/>
            <w:sz w:val="18"/>
            <w:szCs w:val="18"/>
          </w:rPr>
          <w:t>Decreto ley 1295 de 1994</w:t>
        </w:r>
      </w:hyperlink>
      <w:r w:rsidRPr="009C7533">
        <w:rPr>
          <w:rStyle w:val="a1"/>
          <w:rFonts w:ascii="Arial" w:hAnsi="Arial" w:cs="Arial"/>
          <w:color w:val="000000" w:themeColor="text1"/>
          <w:sz w:val="18"/>
          <w:szCs w:val="18"/>
        </w:rPr>
        <w:t>, el cual quedará así:</w:t>
      </w:r>
    </w:p>
    <w:p w:rsidR="00F3072D" w:rsidRPr="009C7533" w:rsidRDefault="00F3072D" w:rsidP="00F3072D">
      <w:pPr>
        <w:pStyle w:val="pa6"/>
        <w:spacing w:before="0" w:beforeAutospacing="0" w:after="0" w:afterAutospacing="0"/>
        <w:ind w:firstLine="708"/>
        <w:jc w:val="both"/>
        <w:rPr>
          <w:rStyle w:val="a1"/>
          <w:rFonts w:ascii="Arial" w:hAnsi="Arial" w:cs="Arial"/>
          <w:color w:val="000000" w:themeColor="text1"/>
          <w:sz w:val="18"/>
          <w:szCs w:val="18"/>
        </w:rPr>
      </w:pPr>
      <w:r w:rsidRPr="009C7533">
        <w:rPr>
          <w:rStyle w:val="a1"/>
          <w:rFonts w:ascii="Arial" w:hAnsi="Arial" w:cs="Arial"/>
          <w:bCs/>
          <w:color w:val="000000" w:themeColor="text1"/>
          <w:sz w:val="18"/>
          <w:szCs w:val="18"/>
        </w:rPr>
        <w:t>Artículo 13. Afiliados. </w:t>
      </w:r>
      <w:r w:rsidRPr="009C7533">
        <w:rPr>
          <w:rStyle w:val="a1"/>
          <w:rFonts w:ascii="Arial" w:hAnsi="Arial" w:cs="Arial"/>
          <w:color w:val="000000" w:themeColor="text1"/>
          <w:sz w:val="18"/>
          <w:szCs w:val="18"/>
        </w:rPr>
        <w:t>Son afiliados al Sistema General de Riesgos Laborales:</w:t>
      </w:r>
    </w:p>
    <w:p w:rsidR="00F3072D" w:rsidRPr="009C7533" w:rsidRDefault="00F3072D" w:rsidP="00F3072D">
      <w:pPr>
        <w:pStyle w:val="pa6"/>
        <w:spacing w:before="0" w:beforeAutospacing="0" w:after="0" w:afterAutospacing="0"/>
        <w:ind w:firstLine="708"/>
        <w:jc w:val="both"/>
        <w:rPr>
          <w:rStyle w:val="a1"/>
          <w:rFonts w:ascii="Arial" w:hAnsi="Arial" w:cs="Arial"/>
          <w:color w:val="000000" w:themeColor="text1"/>
          <w:sz w:val="18"/>
          <w:szCs w:val="18"/>
        </w:rPr>
      </w:pPr>
      <w:r w:rsidRPr="009C7533">
        <w:rPr>
          <w:rStyle w:val="a1"/>
          <w:rFonts w:ascii="Arial" w:hAnsi="Arial" w:cs="Arial"/>
          <w:color w:val="000000" w:themeColor="text1"/>
          <w:sz w:val="18"/>
          <w:szCs w:val="18"/>
        </w:rPr>
        <w:t>[…]</w:t>
      </w:r>
    </w:p>
    <w:p w:rsidR="00F3072D" w:rsidRPr="009C7533" w:rsidRDefault="00F3072D" w:rsidP="00F3072D">
      <w:pPr>
        <w:pStyle w:val="pa6"/>
        <w:spacing w:before="0" w:beforeAutospacing="0" w:after="0" w:afterAutospacing="0"/>
        <w:ind w:firstLine="708"/>
        <w:jc w:val="both"/>
        <w:rPr>
          <w:rFonts w:ascii="Arial" w:hAnsi="Arial" w:cs="Arial"/>
          <w:color w:val="000000" w:themeColor="text1"/>
          <w:sz w:val="18"/>
          <w:szCs w:val="18"/>
        </w:rPr>
      </w:pPr>
      <w:r w:rsidRPr="009C7533">
        <w:rPr>
          <w:rStyle w:val="a1"/>
          <w:rFonts w:ascii="Arial" w:hAnsi="Arial" w:cs="Arial"/>
          <w:color w:val="000000" w:themeColor="text1"/>
          <w:sz w:val="18"/>
          <w:szCs w:val="18"/>
        </w:rPr>
        <w:t xml:space="preserve">Parágrafo 3°. Para la realización de actividades de prevención, promoción y Salud Ocupacional en general, el trabajador independiente se asimila al trabajador dependiente y la afiliación del contratista al sistema correrá por cuenta del contratante y el pago por cuenta del contratista; salvo lo estipulado en el numeral seis (6) de este mismo artículo». </w:t>
      </w:r>
    </w:p>
    <w:p w:rsidR="00F3072D" w:rsidRPr="009C7533" w:rsidRDefault="00F3072D" w:rsidP="00F3072D">
      <w:pPr>
        <w:pStyle w:val="Textonotapie"/>
        <w:rPr>
          <w:rFonts w:ascii="Arial" w:hAnsi="Arial" w:cs="Arial"/>
          <w:color w:val="000000" w:themeColor="text1"/>
          <w:sz w:val="18"/>
          <w:szCs w:val="18"/>
          <w:lang w:val="es-CO"/>
        </w:rPr>
      </w:pPr>
      <w:r w:rsidRPr="009C7533">
        <w:rPr>
          <w:rFonts w:ascii="Arial" w:hAnsi="Arial" w:cs="Arial"/>
          <w:color w:val="000000" w:themeColor="text1"/>
          <w:sz w:val="18"/>
          <w:szCs w:val="18"/>
        </w:rPr>
        <w:t> </w:t>
      </w:r>
    </w:p>
  </w:footnote>
  <w:footnote w:id="22">
    <w:p w:rsidR="00F3072D" w:rsidRPr="009C7533" w:rsidRDefault="00F3072D" w:rsidP="00F3072D">
      <w:pPr>
        <w:pStyle w:val="Textonotapie"/>
        <w:ind w:firstLine="708"/>
        <w:rPr>
          <w:rFonts w:ascii="Arial" w:hAnsi="Arial" w:cs="Arial"/>
          <w:color w:val="000000" w:themeColor="text1"/>
          <w:sz w:val="18"/>
          <w:szCs w:val="18"/>
        </w:rPr>
      </w:pPr>
      <w:r w:rsidRPr="009C7533">
        <w:rPr>
          <w:rStyle w:val="Refdenotaalpie"/>
          <w:rFonts w:ascii="Arial" w:hAnsi="Arial" w:cs="Arial"/>
          <w:color w:val="000000" w:themeColor="text1"/>
          <w:sz w:val="18"/>
          <w:szCs w:val="18"/>
        </w:rPr>
        <w:footnoteRef/>
      </w:r>
      <w:r w:rsidRPr="009C7533">
        <w:rPr>
          <w:rFonts w:ascii="Arial" w:hAnsi="Arial" w:cs="Arial"/>
          <w:color w:val="000000" w:themeColor="text1"/>
          <w:sz w:val="18"/>
          <w:szCs w:val="18"/>
        </w:rPr>
        <w:t xml:space="preserve">Esta norma es aplicable por la asimilación de regímenes que consagró el parágrafo 3 de la Ley 1562 de 2012.  </w:t>
      </w:r>
    </w:p>
    <w:p w:rsidR="00F3072D" w:rsidRPr="009C7533" w:rsidRDefault="00F3072D" w:rsidP="00F3072D">
      <w:pPr>
        <w:pStyle w:val="Textonotapie"/>
        <w:ind w:firstLine="708"/>
        <w:rPr>
          <w:rFonts w:ascii="Arial" w:hAnsi="Arial" w:cs="Arial"/>
          <w:color w:val="000000" w:themeColor="text1"/>
          <w:sz w:val="18"/>
          <w:szCs w:val="18"/>
          <w:lang w:val="es-CO"/>
        </w:rPr>
      </w:pPr>
    </w:p>
  </w:footnote>
  <w:footnote w:id="23">
    <w:p w:rsidR="00F3072D" w:rsidRPr="009C7533" w:rsidRDefault="00F3072D" w:rsidP="00F3072D">
      <w:pPr>
        <w:pStyle w:val="Textonotapie"/>
        <w:ind w:firstLine="708"/>
        <w:rPr>
          <w:rFonts w:ascii="Arial" w:hAnsi="Arial" w:cs="Arial"/>
          <w:color w:val="000000" w:themeColor="text1"/>
          <w:sz w:val="18"/>
          <w:szCs w:val="18"/>
          <w:lang w:val="es-CO"/>
        </w:rPr>
      </w:pPr>
      <w:r w:rsidRPr="009C7533">
        <w:rPr>
          <w:rStyle w:val="Refdenotaalpie"/>
          <w:rFonts w:ascii="Arial" w:hAnsi="Arial" w:cs="Arial"/>
          <w:color w:val="000000" w:themeColor="text1"/>
          <w:sz w:val="18"/>
          <w:szCs w:val="18"/>
        </w:rPr>
        <w:footnoteRef/>
      </w:r>
      <w:r w:rsidRPr="009C7533">
        <w:rPr>
          <w:rFonts w:ascii="Arial" w:hAnsi="Arial" w:cs="Arial"/>
          <w:color w:val="000000" w:themeColor="text1"/>
          <w:sz w:val="18"/>
          <w:szCs w:val="18"/>
        </w:rPr>
        <w:t xml:space="preserve"> </w:t>
      </w:r>
      <w:r w:rsidRPr="009C7533">
        <w:rPr>
          <w:rFonts w:ascii="Arial" w:hAnsi="Arial" w:cs="Arial"/>
          <w:color w:val="000000" w:themeColor="text1"/>
          <w:sz w:val="18"/>
          <w:szCs w:val="18"/>
          <w:lang w:val="es-CO"/>
        </w:rPr>
        <w:t xml:space="preserve">Ministerio del Trabajo. Concepto del 9 de enero de 2019. Rad. 40815. </w:t>
      </w:r>
    </w:p>
  </w:footnote>
  <w:footnote w:id="24">
    <w:p w:rsidR="00F3072D" w:rsidRPr="009C7533" w:rsidRDefault="00F3072D" w:rsidP="00F3072D">
      <w:pPr>
        <w:spacing w:before="73" w:after="0"/>
        <w:ind w:left="102" w:firstLine="606"/>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w:t>
      </w:r>
      <w:r>
        <w:rPr>
          <w:rFonts w:ascii="Arial" w:hAnsi="Arial" w:cs="Arial"/>
          <w:sz w:val="18"/>
          <w:szCs w:val="18"/>
        </w:rPr>
        <w:t>Agencia Nacional de Contratación Pública-Colombia Compra Eficiente</w:t>
      </w:r>
      <w:r>
        <w:rPr>
          <w:rFonts w:ascii="Arial" w:hAnsi="Arial" w:cs="Arial"/>
          <w:sz w:val="18"/>
          <w:szCs w:val="18"/>
        </w:rPr>
        <w:softHyphen/>
        <w:t xml:space="preserve">-. Radicado </w:t>
      </w:r>
      <w:r w:rsidRPr="009C7533">
        <w:rPr>
          <w:rFonts w:ascii="Arial" w:hAnsi="Arial" w:cs="Arial"/>
          <w:sz w:val="18"/>
          <w:szCs w:val="18"/>
        </w:rPr>
        <w:t>4201713000005732</w:t>
      </w:r>
      <w:r>
        <w:rPr>
          <w:rFonts w:ascii="Arial" w:hAnsi="Arial" w:cs="Arial"/>
          <w:sz w:val="18"/>
          <w:szCs w:val="18"/>
        </w:rPr>
        <w:t xml:space="preserve"> de 2017.</w:t>
      </w:r>
    </w:p>
  </w:footnote>
  <w:footnote w:id="25">
    <w:p w:rsidR="00F3072D" w:rsidRPr="009C7533" w:rsidRDefault="00F3072D" w:rsidP="00F3072D">
      <w:pPr>
        <w:pStyle w:val="Textonotapie"/>
        <w:ind w:firstLine="708"/>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Con el simple registro en el enlace: </w:t>
      </w:r>
      <w:hyperlink r:id="rId4" w:history="1">
        <w:r w:rsidRPr="009C7533">
          <w:rPr>
            <w:rStyle w:val="Hipervnculo"/>
            <w:rFonts w:ascii="Arial" w:hAnsi="Arial" w:cs="Arial"/>
            <w:sz w:val="18"/>
            <w:szCs w:val="18"/>
          </w:rPr>
          <w:t>https://www.libretamilitar.mil.co/Modules/Account/Register</w:t>
        </w:r>
      </w:hyperlink>
      <w:r w:rsidRPr="009C7533">
        <w:rPr>
          <w:rFonts w:ascii="Arial" w:hAnsi="Arial" w:cs="Arial"/>
          <w:sz w:val="18"/>
          <w:szCs w:val="18"/>
        </w:rPr>
        <w:t xml:space="preserve"> o la asistencia al Batallón más cercano, se entienden realizadas las actuaciones tendientes a definir su situación militar. </w:t>
      </w:r>
    </w:p>
  </w:footnote>
  <w:footnote w:id="26">
    <w:p w:rsidR="00F3072D" w:rsidRPr="009C7533" w:rsidRDefault="00F3072D" w:rsidP="00F3072D">
      <w:pPr>
        <w:pStyle w:val="Textonotapie"/>
        <w:ind w:firstLine="708"/>
        <w:jc w:val="both"/>
        <w:rPr>
          <w:rFonts w:ascii="Arial" w:hAnsi="Arial" w:cs="Arial"/>
          <w:sz w:val="18"/>
          <w:szCs w:val="18"/>
          <w:lang w:val="es-CO"/>
        </w:rPr>
      </w:pPr>
      <w:r w:rsidRPr="009C7533">
        <w:rPr>
          <w:rStyle w:val="Refdenotaalpie"/>
          <w:rFonts w:ascii="Arial" w:hAnsi="Arial" w:cs="Arial"/>
          <w:sz w:val="18"/>
          <w:szCs w:val="18"/>
        </w:rPr>
        <w:footnoteRef/>
      </w:r>
      <w:r w:rsidRPr="009C7533">
        <w:rPr>
          <w:rFonts w:ascii="Arial" w:hAnsi="Arial" w:cs="Arial"/>
          <w:sz w:val="18"/>
          <w:szCs w:val="18"/>
        </w:rPr>
        <w:t xml:space="preserve"> Respecto a la revisoría fiscal de las sociedades extranjeras con sucursal en Colombia, el artículo 472.6 del Código de Comercio dispone que </w:t>
      </w:r>
      <w:r w:rsidRPr="009C7533">
        <w:rPr>
          <w:rFonts w:ascii="Arial" w:hAnsi="Arial" w:cs="Arial"/>
          <w:sz w:val="18"/>
          <w:szCs w:val="18"/>
          <w:lang w:val="es-CO"/>
        </w:rPr>
        <w:t xml:space="preserve">la resolución o acto en que la sociedad acuerda establecer negocios permanentes en Colombia expresará «La designación del revisor fiscal, quien será persona natural con residencia permanente en Colombia». </w:t>
      </w:r>
    </w:p>
    <w:p w:rsidR="00F3072D" w:rsidRPr="009C7533" w:rsidRDefault="00F3072D" w:rsidP="00F3072D">
      <w:pPr>
        <w:pStyle w:val="Textonotapie"/>
        <w:ind w:firstLine="708"/>
        <w:jc w:val="both"/>
        <w:rPr>
          <w:rFonts w:ascii="Arial" w:hAnsi="Arial" w:cs="Arial"/>
          <w:sz w:val="18"/>
          <w:szCs w:val="18"/>
        </w:rPr>
      </w:pPr>
      <w:r w:rsidRPr="009C7533">
        <w:rPr>
          <w:rFonts w:ascii="Arial" w:hAnsi="Arial" w:cs="Arial"/>
          <w:sz w:val="18"/>
          <w:szCs w:val="18"/>
          <w:lang w:val="es-CO"/>
        </w:rPr>
        <w:t xml:space="preserve">Por lo demás, el artículo el artículo 489 </w:t>
      </w:r>
      <w:proofErr w:type="spellStart"/>
      <w:r w:rsidRPr="009C7533">
        <w:rPr>
          <w:rFonts w:ascii="Arial" w:hAnsi="Arial" w:cs="Arial"/>
          <w:i/>
          <w:iCs/>
          <w:sz w:val="18"/>
          <w:szCs w:val="18"/>
          <w:lang w:val="es-CO"/>
        </w:rPr>
        <w:t>ibidem</w:t>
      </w:r>
      <w:proofErr w:type="spellEnd"/>
      <w:r w:rsidRPr="009C7533">
        <w:rPr>
          <w:rFonts w:ascii="Arial" w:hAnsi="Arial" w:cs="Arial"/>
          <w:sz w:val="18"/>
          <w:szCs w:val="18"/>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w:t>
      </w:r>
      <w:proofErr w:type="gramStart"/>
      <w:r w:rsidRPr="009C7533">
        <w:rPr>
          <w:rFonts w:ascii="Arial" w:hAnsi="Arial" w:cs="Arial"/>
          <w:sz w:val="18"/>
          <w:szCs w:val="18"/>
          <w:lang w:val="es-CO"/>
        </w:rPr>
        <w:t>«</w:t>
      </w:r>
      <w:r w:rsidRPr="009C7533">
        <w:rPr>
          <w:rFonts w:ascii="Arial" w:eastAsia="Times New Roman" w:hAnsi="Arial" w:cs="Arial"/>
          <w:color w:val="000000"/>
          <w:sz w:val="18"/>
          <w:szCs w:val="18"/>
          <w:lang w:eastAsia="es-ES_tradnl"/>
        </w:rPr>
        <w:t xml:space="preserve"> </w:t>
      </w:r>
      <w:r w:rsidRPr="009C7533">
        <w:rPr>
          <w:rFonts w:ascii="Arial" w:hAnsi="Arial" w:cs="Arial"/>
          <w:sz w:val="18"/>
          <w:szCs w:val="18"/>
          <w:lang w:val="es-CO"/>
        </w:rPr>
        <w:t>Estos</w:t>
      </w:r>
      <w:proofErr w:type="gramEnd"/>
      <w:r w:rsidRPr="009C7533">
        <w:rPr>
          <w:rFonts w:ascii="Arial" w:hAnsi="Arial" w:cs="Arial"/>
          <w:sz w:val="18"/>
          <w:szCs w:val="18"/>
          <w:lang w:val="es-CO"/>
        </w:rPr>
        <w:t xml:space="preserve"> revisores deberán, además, informar a la correspondiente Superintendencia cualquier irregularidad de las que puedan ser causales de suspensión o de revocación del permiso de funcionamiento de tales sociedades».</w:t>
      </w:r>
    </w:p>
  </w:footnote>
  <w:footnote w:id="27">
    <w:p w:rsidR="00F3072D" w:rsidRPr="009C7533" w:rsidRDefault="00F3072D" w:rsidP="00F3072D">
      <w:pPr>
        <w:pStyle w:val="Textonotapie"/>
        <w:ind w:firstLine="708"/>
        <w:rPr>
          <w:rFonts w:ascii="Arial" w:hAnsi="Arial" w:cs="Arial"/>
          <w:color w:val="000000" w:themeColor="text1"/>
          <w:sz w:val="18"/>
          <w:szCs w:val="18"/>
          <w:lang w:val="es-CO"/>
        </w:rPr>
      </w:pPr>
      <w:r w:rsidRPr="009C7533">
        <w:rPr>
          <w:rStyle w:val="Refdenotaalpie"/>
          <w:rFonts w:ascii="Arial" w:hAnsi="Arial" w:cs="Arial"/>
          <w:color w:val="000000" w:themeColor="text1"/>
          <w:sz w:val="18"/>
          <w:szCs w:val="18"/>
        </w:rPr>
        <w:footnoteRef/>
      </w:r>
      <w:r w:rsidRPr="009C7533">
        <w:rPr>
          <w:rFonts w:ascii="Arial" w:hAnsi="Arial" w:cs="Arial"/>
          <w:color w:val="000000" w:themeColor="text1"/>
          <w:sz w:val="18"/>
          <w:szCs w:val="18"/>
        </w:rPr>
        <w:t xml:space="preserve"> </w:t>
      </w:r>
      <w:r w:rsidRPr="009C7533">
        <w:rPr>
          <w:rFonts w:ascii="Arial" w:hAnsi="Arial" w:cs="Arial"/>
          <w:color w:val="000000" w:themeColor="text1"/>
          <w:sz w:val="18"/>
          <w:szCs w:val="18"/>
          <w:lang w:val="es-CO"/>
        </w:rPr>
        <w:t xml:space="preserve">Ministerio del Trabajo. Concepto del 9 de enero de 2019. Rad. 40815.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81" w:rsidRPr="007566FE" w:rsidRDefault="00FE5A45"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1892BE57" wp14:editId="509CD36A">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00DD6281" w:rsidRPr="007566FE" w:rsidRDefault="00FE5A45"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rsidR="00DD6281" w:rsidRDefault="00FE5A45"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2B67721C" wp14:editId="3A916587">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rsidR="00DD6281" w:rsidRPr="007566FE" w:rsidRDefault="001747E2" w:rsidP="008614E5">
    <w:pPr>
      <w:spacing w:after="0"/>
      <w:rPr>
        <w:rFonts w:ascii="Geomanist Light" w:hAnsi="Geomanist Light"/>
        <w:color w:val="002060"/>
        <w:sz w:val="16"/>
        <w:szCs w:val="16"/>
      </w:rPr>
    </w:pPr>
  </w:p>
  <w:p w:rsidR="00DD6281" w:rsidRPr="00906B3C" w:rsidRDefault="001747E2"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522E"/>
    <w:multiLevelType w:val="multilevel"/>
    <w:tmpl w:val="DA709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 w15:restartNumberingAfterBreak="0">
    <w:nsid w:val="17037C3B"/>
    <w:multiLevelType w:val="multilevel"/>
    <w:tmpl w:val="565C705E"/>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E02A43"/>
    <w:multiLevelType w:val="multilevel"/>
    <w:tmpl w:val="DEBEC878"/>
    <w:lvl w:ilvl="0">
      <w:start w:val="2"/>
      <w:numFmt w:val="decimal"/>
      <w:lvlText w:val="%1"/>
      <w:lvlJc w:val="left"/>
      <w:pPr>
        <w:ind w:left="360" w:hanging="360"/>
      </w:pPr>
      <w:rPr>
        <w:rFonts w:asciiTheme="minorHAnsi" w:eastAsiaTheme="minorHAnsi" w:hAnsiTheme="minorHAnsi" w:cstheme="minorBidi" w:hint="default"/>
        <w:b w:val="0"/>
      </w:rPr>
    </w:lvl>
    <w:lvl w:ilvl="1">
      <w:start w:val="7"/>
      <w:numFmt w:val="decimal"/>
      <w:lvlText w:val="%1.%2"/>
      <w:lvlJc w:val="left"/>
      <w:pPr>
        <w:ind w:left="360" w:hanging="360"/>
      </w:pPr>
      <w:rPr>
        <w:rFonts w:ascii="Arial" w:eastAsiaTheme="minorHAnsi" w:hAnsi="Arial" w:cs="Arial" w:hint="default"/>
        <w:b/>
      </w:rPr>
    </w:lvl>
    <w:lvl w:ilvl="2">
      <w:start w:val="1"/>
      <w:numFmt w:val="decimal"/>
      <w:lvlText w:val="%1.%2.%3"/>
      <w:lvlJc w:val="left"/>
      <w:pPr>
        <w:ind w:left="720" w:hanging="720"/>
      </w:pPr>
      <w:rPr>
        <w:rFonts w:asciiTheme="minorHAnsi" w:eastAsiaTheme="minorHAnsi" w:hAnsiTheme="minorHAnsi" w:cstheme="minorBidi" w:hint="default"/>
        <w:b w:val="0"/>
      </w:rPr>
    </w:lvl>
    <w:lvl w:ilvl="3">
      <w:start w:val="1"/>
      <w:numFmt w:val="decimal"/>
      <w:lvlText w:val="%1.%2.%3.%4"/>
      <w:lvlJc w:val="left"/>
      <w:pPr>
        <w:ind w:left="720" w:hanging="720"/>
      </w:pPr>
      <w:rPr>
        <w:rFonts w:asciiTheme="minorHAnsi" w:eastAsiaTheme="minorHAnsi" w:hAnsiTheme="minorHAnsi" w:cstheme="minorBidi" w:hint="default"/>
        <w:b w:val="0"/>
      </w:rPr>
    </w:lvl>
    <w:lvl w:ilvl="4">
      <w:start w:val="1"/>
      <w:numFmt w:val="decimal"/>
      <w:lvlText w:val="%1.%2.%3.%4.%5"/>
      <w:lvlJc w:val="left"/>
      <w:pPr>
        <w:ind w:left="1080" w:hanging="1080"/>
      </w:pPr>
      <w:rPr>
        <w:rFonts w:asciiTheme="minorHAnsi" w:eastAsiaTheme="minorHAnsi" w:hAnsiTheme="minorHAnsi" w:cstheme="minorBidi" w:hint="default"/>
        <w:b w:val="0"/>
      </w:rPr>
    </w:lvl>
    <w:lvl w:ilvl="5">
      <w:start w:val="1"/>
      <w:numFmt w:val="decimal"/>
      <w:lvlText w:val="%1.%2.%3.%4.%5.%6"/>
      <w:lvlJc w:val="left"/>
      <w:pPr>
        <w:ind w:left="1080" w:hanging="1080"/>
      </w:pPr>
      <w:rPr>
        <w:rFonts w:asciiTheme="minorHAnsi" w:eastAsiaTheme="minorHAnsi" w:hAnsiTheme="minorHAnsi" w:cstheme="minorBidi" w:hint="default"/>
        <w:b w:val="0"/>
      </w:rPr>
    </w:lvl>
    <w:lvl w:ilvl="6">
      <w:start w:val="1"/>
      <w:numFmt w:val="decimal"/>
      <w:lvlText w:val="%1.%2.%3.%4.%5.%6.%7"/>
      <w:lvlJc w:val="left"/>
      <w:pPr>
        <w:ind w:left="1440" w:hanging="1440"/>
      </w:pPr>
      <w:rPr>
        <w:rFonts w:asciiTheme="minorHAnsi" w:eastAsiaTheme="minorHAnsi" w:hAnsiTheme="minorHAnsi" w:cstheme="minorBidi" w:hint="default"/>
        <w:b w:val="0"/>
      </w:rPr>
    </w:lvl>
    <w:lvl w:ilvl="7">
      <w:start w:val="1"/>
      <w:numFmt w:val="decimal"/>
      <w:lvlText w:val="%1.%2.%3.%4.%5.%6.%7.%8"/>
      <w:lvlJc w:val="left"/>
      <w:pPr>
        <w:ind w:left="1440" w:hanging="1440"/>
      </w:pPr>
      <w:rPr>
        <w:rFonts w:asciiTheme="minorHAnsi" w:eastAsiaTheme="minorHAnsi" w:hAnsiTheme="minorHAnsi" w:cstheme="minorBidi" w:hint="default"/>
        <w:b w:val="0"/>
      </w:rPr>
    </w:lvl>
    <w:lvl w:ilvl="8">
      <w:start w:val="1"/>
      <w:numFmt w:val="decimal"/>
      <w:lvlText w:val="%1.%2.%3.%4.%5.%6.%7.%8.%9"/>
      <w:lvlJc w:val="left"/>
      <w:pPr>
        <w:ind w:left="1800" w:hanging="1800"/>
      </w:pPr>
      <w:rPr>
        <w:rFonts w:asciiTheme="minorHAnsi" w:eastAsiaTheme="minorHAnsi" w:hAnsiTheme="minorHAnsi" w:cstheme="minorBidi" w:hint="default"/>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2D"/>
    <w:rsid w:val="001747E2"/>
    <w:rsid w:val="0029319C"/>
    <w:rsid w:val="003C47B9"/>
    <w:rsid w:val="00496E38"/>
    <w:rsid w:val="00E163A3"/>
    <w:rsid w:val="00F3072D"/>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3EAA"/>
  <w15:chartTrackingRefBased/>
  <w15:docId w15:val="{0DFDF731-26F0-4599-AB1D-681FD671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2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72D"/>
    <w:rPr>
      <w:lang w:val="es-CO"/>
    </w:rPr>
  </w:style>
  <w:style w:type="paragraph" w:styleId="Piedepgina">
    <w:name w:val="footer"/>
    <w:basedOn w:val="Normal"/>
    <w:link w:val="PiedepginaCar"/>
    <w:uiPriority w:val="99"/>
    <w:unhideWhenUsed/>
    <w:rsid w:val="00F3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72D"/>
    <w:rPr>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3072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3072D"/>
    <w:pPr>
      <w:spacing w:after="0" w:line="240" w:lineRule="auto"/>
    </w:pPr>
    <w:rPr>
      <w:sz w:val="20"/>
      <w:szCs w:val="20"/>
      <w:lang w:val="es-MX"/>
    </w:rPr>
  </w:style>
  <w:style w:type="character" w:customStyle="1" w:styleId="TextonotapieCar1">
    <w:name w:val="Texto nota pie Car1"/>
    <w:basedOn w:val="Fuentedeprrafopredeter"/>
    <w:uiPriority w:val="99"/>
    <w:semiHidden/>
    <w:rsid w:val="00F3072D"/>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F3072D"/>
    <w:rPr>
      <w:vertAlign w:val="superscript"/>
    </w:rPr>
  </w:style>
  <w:style w:type="character" w:customStyle="1" w:styleId="normaltextrun">
    <w:name w:val="normaltextrun"/>
    <w:basedOn w:val="Fuentedeprrafopredeter"/>
    <w:rsid w:val="00F3072D"/>
  </w:style>
  <w:style w:type="table" w:styleId="Tablaconcuadrcula">
    <w:name w:val="Table Grid"/>
    <w:basedOn w:val="Tablanormal"/>
    <w:uiPriority w:val="59"/>
    <w:qFormat/>
    <w:rsid w:val="00F3072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F3072D"/>
    <w:pPr>
      <w:ind w:left="720"/>
      <w:contextualSpacing/>
    </w:pPr>
    <w:rPr>
      <w:rFonts w:ascii="Geomanist Light" w:hAnsi="Geomanist Light"/>
      <w:lang w:val="es-ES"/>
    </w:rPr>
  </w:style>
  <w:style w:type="paragraph" w:styleId="Sinespaciado">
    <w:name w:val="No Spacing"/>
    <w:uiPriority w:val="1"/>
    <w:qFormat/>
    <w:rsid w:val="00F3072D"/>
    <w:pPr>
      <w:spacing w:after="0" w:line="240" w:lineRule="auto"/>
    </w:pPr>
    <w:rPr>
      <w:lang w:val="es-CO"/>
    </w:rPr>
  </w:style>
  <w:style w:type="table" w:customStyle="1" w:styleId="Tablaconcuadrcula1">
    <w:name w:val="Tabla con cuadrícula1"/>
    <w:basedOn w:val="Tablanormal"/>
    <w:next w:val="Tablaconcuadrcula"/>
    <w:uiPriority w:val="39"/>
    <w:qFormat/>
    <w:rsid w:val="00F3072D"/>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3072D"/>
    <w:pPr>
      <w:spacing w:line="240" w:lineRule="exact"/>
      <w:jc w:val="both"/>
    </w:pPr>
    <w:rPr>
      <w:vertAlign w:val="superscript"/>
      <w:lang w:val="en-US"/>
    </w:rPr>
  </w:style>
  <w:style w:type="character" w:styleId="Hipervnculo">
    <w:name w:val="Hyperlink"/>
    <w:basedOn w:val="Fuentedeprrafopredeter"/>
    <w:uiPriority w:val="99"/>
    <w:unhideWhenUsed/>
    <w:rsid w:val="00F3072D"/>
    <w:rPr>
      <w:color w:val="0563C1" w:themeColor="hyperlink"/>
      <w:u w:val="single"/>
    </w:rPr>
  </w:style>
  <w:style w:type="paragraph" w:styleId="NormalWeb">
    <w:name w:val="Normal (Web)"/>
    <w:basedOn w:val="Normal"/>
    <w:link w:val="NormalWebCar"/>
    <w:uiPriority w:val="99"/>
    <w:unhideWhenUsed/>
    <w:rsid w:val="00F307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F3072D"/>
    <w:rPr>
      <w:rFonts w:ascii="Times New Roman" w:eastAsia="Times New Roman" w:hAnsi="Times New Roman" w:cs="Times New Roman"/>
      <w:sz w:val="24"/>
      <w:szCs w:val="24"/>
      <w:lang w:val="es-CO" w:eastAsia="es-CO"/>
    </w:rPr>
  </w:style>
  <w:style w:type="paragraph" w:customStyle="1" w:styleId="Car1">
    <w:name w:val="Car1"/>
    <w:basedOn w:val="Normal"/>
    <w:next w:val="Textonotapie"/>
    <w:uiPriority w:val="99"/>
    <w:unhideWhenUsed/>
    <w:qFormat/>
    <w:rsid w:val="00F3072D"/>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3072D"/>
    <w:rPr>
      <w:rFonts w:ascii="Geomanist Light" w:hAnsi="Geomanist Light"/>
      <w:lang w:val="es-ES"/>
    </w:rPr>
  </w:style>
  <w:style w:type="paragraph" w:customStyle="1" w:styleId="pa6">
    <w:name w:val="pa6"/>
    <w:basedOn w:val="Normal"/>
    <w:rsid w:val="00F307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
    <w:name w:val="a1"/>
    <w:basedOn w:val="Fuentedeprrafopredeter"/>
    <w:rsid w:val="00F3072D"/>
  </w:style>
  <w:style w:type="paragraph" w:styleId="Textoindependiente">
    <w:name w:val="Body Text"/>
    <w:basedOn w:val="Normal"/>
    <w:link w:val="TextoindependienteCar"/>
    <w:uiPriority w:val="1"/>
    <w:qFormat/>
    <w:rsid w:val="00F3072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3072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8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formato-unico-de-hoja-de-vida-persona-nat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lexbase.biz/lexbase/normas/decretos/1994/D1295de1994.htm" TargetMode="External"/><Relationship Id="rId2" Type="http://schemas.openxmlformats.org/officeDocument/2006/relationships/hyperlink" Target="https://www.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libretamilitar.mil.co/Modules/Account/Regi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78A1FF-A2D2-4E0C-BE50-3B04BA3EB856}"/>
</file>

<file path=customXml/itemProps2.xml><?xml version="1.0" encoding="utf-8"?>
<ds:datastoreItem xmlns:ds="http://schemas.openxmlformats.org/officeDocument/2006/customXml" ds:itemID="{3155BB46-334D-48DE-A47B-0F9E337A7BE1}"/>
</file>

<file path=customXml/itemProps3.xml><?xml version="1.0" encoding="utf-8"?>
<ds:datastoreItem xmlns:ds="http://schemas.openxmlformats.org/officeDocument/2006/customXml" ds:itemID="{EF37474D-683E-4E64-9F1E-6F61672C1D7D}"/>
</file>

<file path=docProps/app.xml><?xml version="1.0" encoding="utf-8"?>
<Properties xmlns="http://schemas.openxmlformats.org/officeDocument/2006/extended-properties" xmlns:vt="http://schemas.openxmlformats.org/officeDocument/2006/docPropsVTypes">
  <Template>Normal</Template>
  <TotalTime>42</TotalTime>
  <Pages>32</Pages>
  <Words>12860</Words>
  <Characters>73302</Characters>
  <Application>Microsoft Office Word</Application>
  <DocSecurity>0</DocSecurity>
  <Lines>610</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María Padrón</dc:creator>
  <cp:keywords/>
  <dc:description/>
  <cp:lastModifiedBy>Nina Padron</cp:lastModifiedBy>
  <cp:revision>3</cp:revision>
  <dcterms:created xsi:type="dcterms:W3CDTF">2023-04-19T23:02:00Z</dcterms:created>
  <dcterms:modified xsi:type="dcterms:W3CDTF">2023-05-18T22:27:00Z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