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2CD" w:rsidRPr="00F636DF" w:rsidRDefault="00D152CD" w:rsidP="00D152CD">
      <w:pPr>
        <w:contextualSpacing/>
        <w:jc w:val="both"/>
        <w:rPr>
          <w:rFonts w:ascii="Arial" w:eastAsia="Arial" w:hAnsi="Arial" w:cs="Arial"/>
          <w:b/>
          <w:lang w:val="es-ES_tradnl"/>
        </w:rPr>
      </w:pPr>
      <w:r w:rsidRPr="00F636DF">
        <w:rPr>
          <w:rFonts w:ascii="Arial" w:hAnsi="Arial" w:cs="Arial"/>
          <w:b/>
          <w:bCs/>
          <w:lang w:val="es-ES_tradnl" w:eastAsia="es-CO"/>
        </w:rPr>
        <w:t xml:space="preserve">LEY DE GARANTÍAS ELECTORALES </w:t>
      </w:r>
      <w:r w:rsidRPr="00F636DF">
        <w:rPr>
          <w:rFonts w:ascii="Arial" w:eastAsia="Calibri" w:hAnsi="Arial" w:cs="Arial"/>
          <w:b/>
          <w:lang w:val="es-ES_tradnl"/>
        </w:rPr>
        <w:t xml:space="preserve">– </w:t>
      </w:r>
      <w:bookmarkStart w:id="0" w:name="_Hlk97713315"/>
      <w:r w:rsidRPr="00F636DF">
        <w:rPr>
          <w:rFonts w:ascii="Arial" w:eastAsia="Arial" w:hAnsi="Arial" w:cs="Arial"/>
          <w:b/>
          <w:lang w:val="es-ES_tradnl"/>
        </w:rPr>
        <w:t xml:space="preserve">Definición </w:t>
      </w:r>
      <w:r w:rsidRPr="00F636DF">
        <w:rPr>
          <w:rFonts w:ascii="Arial" w:eastAsia="Calibri" w:hAnsi="Arial" w:cs="Arial"/>
          <w:b/>
          <w:lang w:val="es-ES_tradnl"/>
        </w:rPr>
        <w:t>– Finalidad</w:t>
      </w:r>
      <w:r w:rsidRPr="00F636DF">
        <w:rPr>
          <w:rFonts w:ascii="Arial" w:eastAsia="Calibri" w:hAnsi="Arial" w:cs="Arial"/>
          <w:b/>
          <w:bCs/>
          <w:lang w:val="es-ES_tradnl"/>
        </w:rPr>
        <w:t xml:space="preserve"> </w:t>
      </w:r>
    </w:p>
    <w:bookmarkEnd w:id="0"/>
    <w:p w:rsidR="00D152CD" w:rsidRPr="00F636DF" w:rsidRDefault="00D152CD" w:rsidP="00D152CD">
      <w:pPr>
        <w:contextualSpacing/>
        <w:jc w:val="both"/>
        <w:rPr>
          <w:rFonts w:ascii="Arial" w:hAnsi="Arial" w:cs="Arial"/>
          <w:b/>
          <w:sz w:val="21"/>
          <w:szCs w:val="21"/>
          <w:lang w:val="es-ES_tradnl" w:eastAsia="es-CO"/>
        </w:rPr>
      </w:pPr>
    </w:p>
    <w:p w:rsidR="00D152CD" w:rsidRPr="00F636DF" w:rsidRDefault="00D152CD" w:rsidP="00D152CD">
      <w:pPr>
        <w:tabs>
          <w:tab w:val="left" w:pos="426"/>
        </w:tabs>
        <w:contextualSpacing/>
        <w:jc w:val="both"/>
        <w:rPr>
          <w:rFonts w:ascii="Arial" w:eastAsia="Arial" w:hAnsi="Arial" w:cs="Arial"/>
          <w:sz w:val="21"/>
          <w:szCs w:val="21"/>
          <w:lang w:val="es-ES_tradnl"/>
        </w:rPr>
      </w:pPr>
      <w:r w:rsidRPr="00F636DF">
        <w:rPr>
          <w:rFonts w:ascii="Arial" w:eastAsia="Calibri" w:hAnsi="Arial" w:cs="Arial"/>
          <w:noProof/>
          <w:sz w:val="21"/>
          <w:szCs w:val="21"/>
          <w:lang w:val="es-ES_tradnl"/>
        </w:rPr>
        <w:t xml:space="preserve">[…] </w:t>
      </w:r>
      <w:r w:rsidRPr="00F636DF">
        <w:rPr>
          <w:rFonts w:ascii="Arial" w:hAnsi="Arial" w:cs="Arial"/>
          <w:bCs/>
          <w:sz w:val="21"/>
          <w:szCs w:val="21"/>
          <w:lang w:eastAsia="es-CO"/>
        </w:rPr>
        <w:t xml:space="preserve">la Ley 996 de 2005, conocida como </w:t>
      </w:r>
      <w:r>
        <w:rPr>
          <w:rFonts w:ascii="Arial" w:hAnsi="Arial" w:cs="Arial"/>
          <w:bCs/>
          <w:sz w:val="21"/>
          <w:szCs w:val="21"/>
          <w:lang w:eastAsia="es-CO"/>
        </w:rPr>
        <w:t>“</w:t>
      </w:r>
      <w:r w:rsidRPr="00F636DF">
        <w:rPr>
          <w:rFonts w:ascii="Arial" w:hAnsi="Arial" w:cs="Arial"/>
          <w:bCs/>
          <w:sz w:val="21"/>
          <w:szCs w:val="21"/>
          <w:lang w:eastAsia="es-CO"/>
        </w:rPr>
        <w:t>Ley de Garantías Electorales</w:t>
      </w:r>
      <w:r>
        <w:rPr>
          <w:rFonts w:ascii="Arial" w:hAnsi="Arial" w:cs="Arial"/>
          <w:bCs/>
          <w:sz w:val="21"/>
          <w:szCs w:val="21"/>
          <w:lang w:eastAsia="es-CO"/>
        </w:rPr>
        <w:t>”</w:t>
      </w:r>
      <w:r w:rsidRPr="00F636DF">
        <w:rPr>
          <w:rFonts w:ascii="Arial" w:hAnsi="Arial" w:cs="Arial"/>
          <w:bCs/>
          <w:sz w:val="21"/>
          <w:szCs w:val="21"/>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F636DF">
        <w:rPr>
          <w:rFonts w:ascii="Arial" w:eastAsia="Calibri" w:hAnsi="Arial" w:cs="Arial"/>
          <w:noProof/>
          <w:sz w:val="21"/>
          <w:szCs w:val="21"/>
          <w:lang w:val="es-ES_tradnl"/>
        </w:rPr>
        <w:t xml:space="preserve"> </w:t>
      </w:r>
      <w:r w:rsidRPr="00F636DF">
        <w:rPr>
          <w:rFonts w:ascii="Arial" w:eastAsia="Arial" w:hAnsi="Arial" w:cs="Arial"/>
          <w:sz w:val="21"/>
          <w:szCs w:val="21"/>
          <w:lang w:val="es-ES_tradnl"/>
        </w:rPr>
        <w:t xml:space="preserve">[…] </w:t>
      </w:r>
    </w:p>
    <w:p w:rsidR="00D152CD" w:rsidRPr="00F636DF" w:rsidRDefault="00D152CD" w:rsidP="00D152CD">
      <w:pPr>
        <w:tabs>
          <w:tab w:val="left" w:pos="426"/>
        </w:tabs>
        <w:contextualSpacing/>
        <w:jc w:val="both"/>
        <w:rPr>
          <w:rFonts w:ascii="Arial" w:eastAsia="Arial" w:hAnsi="Arial" w:cs="Arial"/>
          <w:sz w:val="21"/>
          <w:szCs w:val="21"/>
          <w:lang w:val="es-ES_tradnl"/>
        </w:rPr>
      </w:pPr>
    </w:p>
    <w:p w:rsidR="00D152CD" w:rsidRPr="00F636DF" w:rsidRDefault="00D152CD" w:rsidP="00D152CD">
      <w:pPr>
        <w:tabs>
          <w:tab w:val="left" w:pos="426"/>
        </w:tabs>
        <w:contextualSpacing/>
        <w:jc w:val="both"/>
        <w:rPr>
          <w:rFonts w:ascii="Arial" w:hAnsi="Arial" w:cs="Arial"/>
          <w:bCs/>
          <w:sz w:val="21"/>
          <w:szCs w:val="21"/>
          <w:lang w:eastAsia="es-CO"/>
        </w:rPr>
      </w:pPr>
      <w:r w:rsidRPr="00F636DF">
        <w:rPr>
          <w:rFonts w:ascii="Arial" w:hAnsi="Arial" w:cs="Arial"/>
          <w:bCs/>
          <w:sz w:val="21"/>
          <w:szCs w:val="21"/>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rsidR="00D152CD" w:rsidRPr="00F636DF" w:rsidRDefault="00D152CD" w:rsidP="00D152CD">
      <w:pPr>
        <w:tabs>
          <w:tab w:val="left" w:pos="426"/>
        </w:tabs>
        <w:contextualSpacing/>
        <w:jc w:val="both"/>
        <w:rPr>
          <w:rFonts w:ascii="Arial" w:eastAsia="Arial" w:hAnsi="Arial" w:cs="Arial"/>
          <w:sz w:val="21"/>
          <w:szCs w:val="21"/>
          <w:lang w:val="es-ES_tradnl"/>
        </w:rPr>
      </w:pPr>
    </w:p>
    <w:p w:rsidR="00D152CD" w:rsidRPr="00F636DF" w:rsidRDefault="00D152CD" w:rsidP="00D152CD">
      <w:pPr>
        <w:tabs>
          <w:tab w:val="left" w:pos="426"/>
        </w:tabs>
        <w:contextualSpacing/>
        <w:jc w:val="both"/>
        <w:rPr>
          <w:rFonts w:ascii="Arial" w:eastAsia="Calibri" w:hAnsi="Arial" w:cs="Arial"/>
          <w:b/>
          <w:bCs/>
          <w:lang w:val="es-ES_tradnl"/>
        </w:rPr>
      </w:pPr>
      <w:r w:rsidRPr="00F636DF">
        <w:rPr>
          <w:rFonts w:ascii="Arial" w:eastAsia="Calibri" w:hAnsi="Arial" w:cs="Arial"/>
          <w:b/>
          <w:bCs/>
          <w:lang w:val="es-ES_tradnl"/>
        </w:rPr>
        <w:t>LEY DE GARANTÍAS ELECTORALES</w:t>
      </w:r>
      <w:r w:rsidRPr="00F636DF">
        <w:rPr>
          <w:rFonts w:ascii="Arial" w:eastAsia="Calibri" w:hAnsi="Arial" w:cs="Arial"/>
          <w:b/>
          <w:lang w:val="es-ES_tradnl"/>
        </w:rPr>
        <w:t xml:space="preserve"> –</w:t>
      </w:r>
      <w:r w:rsidRPr="00F636DF">
        <w:rPr>
          <w:rFonts w:ascii="Arial" w:eastAsia="Calibri" w:hAnsi="Arial" w:cs="Arial"/>
          <w:b/>
          <w:bCs/>
          <w:lang w:val="es-ES_tradnl"/>
        </w:rPr>
        <w:t xml:space="preserve"> Restricciones </w:t>
      </w:r>
    </w:p>
    <w:p w:rsidR="00D152CD" w:rsidRPr="00F636DF" w:rsidRDefault="00D152CD" w:rsidP="00D152CD">
      <w:pPr>
        <w:tabs>
          <w:tab w:val="left" w:pos="426"/>
        </w:tabs>
        <w:contextualSpacing/>
        <w:jc w:val="both"/>
        <w:rPr>
          <w:rFonts w:ascii="Arial" w:eastAsia="Calibri" w:hAnsi="Arial" w:cs="Arial"/>
          <w:b/>
          <w:bCs/>
          <w:sz w:val="21"/>
          <w:szCs w:val="21"/>
          <w:lang w:val="es-ES_tradnl"/>
        </w:rPr>
      </w:pPr>
    </w:p>
    <w:p w:rsidR="00D152CD" w:rsidRPr="00F636DF" w:rsidRDefault="00D152CD" w:rsidP="00D152CD">
      <w:pPr>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 xml:space="preserve">[…] la Ley 996 de 2005 establece dos (2) tipos de restricciones en materia de contratación, las cuales coinciden parcialmente. </w:t>
      </w:r>
      <w:r w:rsidRPr="00F636DF">
        <w:rPr>
          <w:rFonts w:ascii="Arial" w:eastAsia="Arial" w:hAnsi="Arial" w:cs="Arial"/>
          <w:i/>
          <w:iCs/>
          <w:sz w:val="21"/>
          <w:szCs w:val="21"/>
          <w:lang w:val="es-ES" w:eastAsia="es-ES" w:bidi="es-ES"/>
        </w:rPr>
        <w:t>En primer lugar</w:t>
      </w:r>
      <w:r w:rsidRPr="00F636DF">
        <w:rPr>
          <w:rFonts w:ascii="Arial" w:eastAsia="Arial" w:hAnsi="Arial" w:cs="Arial"/>
          <w:sz w:val="21"/>
          <w:szCs w:val="21"/>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F636DF">
        <w:rPr>
          <w:rFonts w:ascii="Arial" w:eastAsia="Arial" w:hAnsi="Arial" w:cs="Arial"/>
          <w:i/>
          <w:iCs/>
          <w:sz w:val="21"/>
          <w:szCs w:val="21"/>
          <w:lang w:val="es-ES" w:eastAsia="es-ES" w:bidi="es-ES"/>
        </w:rPr>
        <w:t>En segundo lugar</w:t>
      </w:r>
      <w:r w:rsidRPr="00F636DF">
        <w:rPr>
          <w:rFonts w:ascii="Arial" w:eastAsia="Arial" w:hAnsi="Arial" w:cs="Arial"/>
          <w:sz w:val="21"/>
          <w:szCs w:val="21"/>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00D152CD" w:rsidRPr="00F636DF" w:rsidRDefault="00D152CD" w:rsidP="00D152CD">
      <w:pPr>
        <w:contextualSpacing/>
        <w:jc w:val="both"/>
        <w:rPr>
          <w:rFonts w:ascii="Arial" w:eastAsia="Arial" w:hAnsi="Arial" w:cs="Arial"/>
          <w:sz w:val="21"/>
          <w:szCs w:val="21"/>
          <w:lang w:val="es-ES" w:eastAsia="es-ES" w:bidi="es-ES"/>
        </w:rPr>
      </w:pPr>
    </w:p>
    <w:p w:rsidR="00D152CD" w:rsidRPr="00F636DF" w:rsidRDefault="00D152CD" w:rsidP="00D152CD">
      <w:pPr>
        <w:tabs>
          <w:tab w:val="left" w:pos="426"/>
        </w:tabs>
        <w:contextualSpacing/>
        <w:jc w:val="both"/>
        <w:rPr>
          <w:rFonts w:ascii="Arial" w:eastAsia="Calibri" w:hAnsi="Arial" w:cs="Arial"/>
          <w:b/>
          <w:bCs/>
          <w:lang w:val="es-ES_tradnl"/>
        </w:rPr>
      </w:pPr>
      <w:bookmarkStart w:id="1" w:name="_Hlk77165666"/>
      <w:bookmarkStart w:id="2" w:name="_Hlk97039670"/>
      <w:r w:rsidRPr="00F636DF">
        <w:rPr>
          <w:rFonts w:ascii="Arial" w:eastAsia="Calibri" w:hAnsi="Arial" w:cs="Arial"/>
          <w:b/>
          <w:bCs/>
          <w:lang w:val="es-ES_tradnl"/>
        </w:rPr>
        <w:t>LEY DE GARANTÍAS ELECTORALES</w:t>
      </w:r>
      <w:r w:rsidRPr="00F636DF">
        <w:rPr>
          <w:rFonts w:ascii="Arial" w:eastAsia="Calibri" w:hAnsi="Arial" w:cs="Arial"/>
          <w:b/>
          <w:lang w:val="es-ES_tradnl"/>
        </w:rPr>
        <w:t xml:space="preserve"> –</w:t>
      </w:r>
      <w:r w:rsidRPr="00F636DF">
        <w:rPr>
          <w:rFonts w:ascii="Arial" w:eastAsia="Calibri" w:hAnsi="Arial" w:cs="Arial"/>
          <w:b/>
          <w:bCs/>
          <w:lang w:val="es-ES_tradnl"/>
        </w:rPr>
        <w:t xml:space="preserve"> P</w:t>
      </w:r>
      <w:proofErr w:type="spellStart"/>
      <w:r w:rsidRPr="00F636DF">
        <w:rPr>
          <w:rFonts w:ascii="Arial" w:hAnsi="Arial" w:cs="Arial"/>
          <w:b/>
          <w:lang w:val="es-ES" w:eastAsia="es-CO"/>
        </w:rPr>
        <w:t>rohibición</w:t>
      </w:r>
      <w:bookmarkEnd w:id="1"/>
      <w:proofErr w:type="spellEnd"/>
      <w:r w:rsidRPr="00F636DF">
        <w:rPr>
          <w:rFonts w:ascii="Arial" w:hAnsi="Arial" w:cs="Arial"/>
          <w:b/>
          <w:lang w:val="es-ES" w:eastAsia="es-CO"/>
        </w:rPr>
        <w:t xml:space="preserve"> – Contratación directa – Alcance </w:t>
      </w:r>
    </w:p>
    <w:bookmarkEnd w:id="2"/>
    <w:p w:rsidR="00D152CD" w:rsidRPr="00F636DF" w:rsidRDefault="00D152CD" w:rsidP="00D152CD">
      <w:pPr>
        <w:tabs>
          <w:tab w:val="left" w:pos="426"/>
        </w:tabs>
        <w:contextualSpacing/>
        <w:jc w:val="both"/>
        <w:rPr>
          <w:rFonts w:ascii="Arial" w:eastAsia="Calibri" w:hAnsi="Arial" w:cs="Arial"/>
          <w:noProof/>
          <w:sz w:val="21"/>
          <w:szCs w:val="21"/>
          <w:lang w:val="es-ES_tradnl"/>
        </w:rPr>
      </w:pPr>
    </w:p>
    <w:p w:rsidR="00D152CD" w:rsidRPr="00F636DF" w:rsidRDefault="00D152CD" w:rsidP="00D152CD">
      <w:pPr>
        <w:tabs>
          <w:tab w:val="left" w:pos="426"/>
        </w:tabs>
        <w:contextualSpacing/>
        <w:jc w:val="both"/>
        <w:rPr>
          <w:rFonts w:ascii="Arial" w:hAnsi="Arial" w:cs="Arial"/>
          <w:sz w:val="21"/>
          <w:szCs w:val="21"/>
          <w:lang w:eastAsia="x-none"/>
        </w:rPr>
      </w:pPr>
      <w:r w:rsidRPr="00F636DF">
        <w:rPr>
          <w:rFonts w:ascii="Arial" w:eastAsia="Calibri" w:hAnsi="Arial" w:cs="Arial"/>
          <w:noProof/>
          <w:sz w:val="21"/>
          <w:szCs w:val="21"/>
          <w:lang w:val="es-ES_tradnl"/>
        </w:rPr>
        <w:t xml:space="preserve">[…] </w:t>
      </w:r>
      <w:r w:rsidRPr="00F636DF">
        <w:rPr>
          <w:rFonts w:ascii="Arial" w:hAnsi="Arial" w:cs="Arial"/>
          <w:sz w:val="21"/>
          <w:szCs w:val="21"/>
          <w:lang w:eastAsia="x-none"/>
        </w:rPr>
        <w:t xml:space="preserve">la prohibición del artículo 33 de la Ley de Garantías Electorales se refiere a </w:t>
      </w:r>
      <w:r>
        <w:rPr>
          <w:rFonts w:ascii="Arial" w:hAnsi="Arial" w:cs="Arial"/>
          <w:sz w:val="21"/>
          <w:szCs w:val="21"/>
        </w:rPr>
        <w:t>“</w:t>
      </w:r>
      <w:r w:rsidRPr="00F636DF">
        <w:rPr>
          <w:rFonts w:ascii="Arial" w:hAnsi="Arial" w:cs="Arial"/>
          <w:sz w:val="21"/>
          <w:szCs w:val="21"/>
          <w:lang w:eastAsia="x-none"/>
        </w:rPr>
        <w:t>cualquier sistema que no implique convocatoria pública y posibilidad de pluralidad de oferentes</w:t>
      </w:r>
      <w:r>
        <w:rPr>
          <w:rFonts w:ascii="Arial" w:hAnsi="Arial" w:cs="Arial"/>
          <w:sz w:val="21"/>
          <w:szCs w:val="21"/>
        </w:rPr>
        <w:t>”</w:t>
      </w:r>
      <w:r w:rsidRPr="00F636DF">
        <w:rPr>
          <w:rFonts w:ascii="Arial" w:hAnsi="Arial" w:cs="Arial"/>
          <w:sz w:val="21"/>
          <w:szCs w:val="21"/>
          <w:lang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w:t>
      </w:r>
    </w:p>
    <w:p w:rsidR="00D152CD" w:rsidRPr="00F636DF" w:rsidRDefault="00D152CD" w:rsidP="00D152CD">
      <w:pPr>
        <w:tabs>
          <w:tab w:val="left" w:pos="426"/>
        </w:tabs>
        <w:contextualSpacing/>
        <w:jc w:val="both"/>
        <w:rPr>
          <w:rFonts w:ascii="Arial" w:eastAsia="Calibri" w:hAnsi="Arial" w:cs="Arial"/>
          <w:noProof/>
          <w:sz w:val="21"/>
          <w:szCs w:val="21"/>
          <w:lang w:val="es-ES_tradnl"/>
        </w:rPr>
      </w:pPr>
    </w:p>
    <w:p w:rsidR="00D152CD" w:rsidRDefault="00D152CD" w:rsidP="00D152CD">
      <w:pPr>
        <w:contextualSpacing/>
        <w:jc w:val="both"/>
        <w:rPr>
          <w:rFonts w:ascii="Arial" w:hAnsi="Arial" w:cs="Arial"/>
          <w:bCs/>
          <w:sz w:val="21"/>
          <w:szCs w:val="21"/>
          <w:lang w:eastAsia="x-none"/>
        </w:rPr>
      </w:pPr>
      <w:r w:rsidRPr="00F636DF">
        <w:rPr>
          <w:rFonts w:ascii="Arial" w:hAnsi="Arial" w:cs="Arial"/>
          <w:bCs/>
          <w:sz w:val="21"/>
          <w:szCs w:val="21"/>
          <w:lang w:eastAsia="x-none"/>
        </w:rPr>
        <w:t xml:space="preserve">Así las cosas, ha de entenderse que, para los efectos de la Ley de Garantías Electorales y, en particular, para la prohibición o restricción temporal contenida en su artículo 33, </w:t>
      </w:r>
      <w:r>
        <w:rPr>
          <w:rFonts w:ascii="Arial" w:hAnsi="Arial" w:cs="Arial"/>
          <w:bCs/>
          <w:sz w:val="21"/>
          <w:szCs w:val="21"/>
          <w:lang w:eastAsia="x-none"/>
        </w:rPr>
        <w:t>“</w:t>
      </w:r>
      <w:r w:rsidRPr="00F636DF">
        <w:rPr>
          <w:rFonts w:ascii="Arial" w:hAnsi="Arial" w:cs="Arial"/>
          <w:bCs/>
          <w:sz w:val="21"/>
          <w:szCs w:val="21"/>
          <w:lang w:eastAsia="x-none"/>
        </w:rPr>
        <w:t>contratación directa</w:t>
      </w:r>
      <w:r>
        <w:rPr>
          <w:rFonts w:ascii="Arial" w:hAnsi="Arial" w:cs="Arial"/>
          <w:bCs/>
          <w:sz w:val="21"/>
          <w:szCs w:val="21"/>
          <w:lang w:eastAsia="x-none"/>
        </w:rPr>
        <w:t>”</w:t>
      </w:r>
      <w:r w:rsidRPr="00F636DF">
        <w:rPr>
          <w:rFonts w:ascii="Arial" w:hAnsi="Arial" w:cs="Arial"/>
          <w:bCs/>
          <w:sz w:val="21"/>
          <w:szCs w:val="21"/>
          <w:lang w:eastAsia="x-none"/>
        </w:rPr>
        <w:t xml:space="preserve"> es cualquier sistema de selección o procedimiento de contratación utilizado por las entidades estatales que no incluya la convocatoria pública en alguna de sus etapas, ni permita la participación de una pluralidad de oferentes.</w:t>
      </w:r>
    </w:p>
    <w:p w:rsidR="00D152CD" w:rsidRPr="00F636DF" w:rsidRDefault="00D152CD" w:rsidP="00D152CD">
      <w:pPr>
        <w:contextualSpacing/>
        <w:jc w:val="both"/>
        <w:rPr>
          <w:rFonts w:ascii="Arial" w:hAnsi="Arial" w:cs="Arial"/>
          <w:bCs/>
          <w:sz w:val="21"/>
          <w:szCs w:val="21"/>
          <w:lang w:eastAsia="x-none"/>
        </w:rPr>
      </w:pPr>
      <w:r w:rsidRPr="00F636DF">
        <w:rPr>
          <w:rFonts w:ascii="Arial" w:hAnsi="Arial" w:cs="Arial"/>
          <w:sz w:val="21"/>
          <w:szCs w:val="21"/>
          <w:vertAlign w:val="superscript"/>
          <w:lang w:eastAsia="x-none"/>
        </w:rPr>
        <w:lastRenderedPageBreak/>
        <w:t xml:space="preserve"> </w:t>
      </w:r>
    </w:p>
    <w:p w:rsidR="00D152CD" w:rsidRPr="00926285" w:rsidRDefault="00D152CD" w:rsidP="00D152CD">
      <w:pPr>
        <w:tabs>
          <w:tab w:val="left" w:pos="426"/>
        </w:tabs>
        <w:contextualSpacing/>
        <w:jc w:val="both"/>
        <w:rPr>
          <w:rFonts w:ascii="Arial" w:eastAsia="Calibri" w:hAnsi="Arial" w:cs="Arial"/>
          <w:b/>
          <w:bCs/>
          <w:lang w:val="es-ES_tradnl"/>
        </w:rPr>
      </w:pPr>
      <w:r w:rsidRPr="00926285">
        <w:rPr>
          <w:rFonts w:ascii="Arial" w:eastAsia="Calibri" w:hAnsi="Arial" w:cs="Arial"/>
          <w:b/>
          <w:bCs/>
          <w:lang w:val="es-ES_tradnl"/>
        </w:rPr>
        <w:t>LEY DE GARANTÍAS ELECTORALES</w:t>
      </w:r>
      <w:r w:rsidRPr="00926285">
        <w:rPr>
          <w:rFonts w:ascii="Arial" w:eastAsia="Calibri" w:hAnsi="Arial" w:cs="Arial"/>
          <w:b/>
          <w:lang w:val="es-ES_tradnl"/>
        </w:rPr>
        <w:t xml:space="preserve"> –</w:t>
      </w:r>
      <w:r w:rsidRPr="00926285">
        <w:rPr>
          <w:rFonts w:ascii="Arial" w:eastAsia="Calibri" w:hAnsi="Arial" w:cs="Arial"/>
          <w:b/>
          <w:bCs/>
          <w:lang w:val="es-ES_tradnl"/>
        </w:rPr>
        <w:t xml:space="preserve"> P</w:t>
      </w:r>
      <w:proofErr w:type="spellStart"/>
      <w:r w:rsidRPr="00926285">
        <w:rPr>
          <w:rFonts w:ascii="Arial" w:hAnsi="Arial" w:cs="Arial"/>
          <w:b/>
          <w:lang w:val="es-ES" w:eastAsia="es-CO"/>
        </w:rPr>
        <w:t>rohibición</w:t>
      </w:r>
      <w:proofErr w:type="spellEnd"/>
      <w:r w:rsidRPr="00926285">
        <w:rPr>
          <w:rFonts w:ascii="Arial" w:hAnsi="Arial" w:cs="Arial"/>
          <w:b/>
          <w:lang w:val="es-ES" w:eastAsia="es-CO"/>
        </w:rPr>
        <w:t xml:space="preserve"> – Contratación directa – Excepciones</w:t>
      </w:r>
    </w:p>
    <w:p w:rsidR="00D152CD" w:rsidRPr="00F636DF" w:rsidRDefault="00D152CD" w:rsidP="00D152CD">
      <w:pPr>
        <w:contextualSpacing/>
        <w:jc w:val="both"/>
        <w:rPr>
          <w:rFonts w:ascii="Arial" w:eastAsia="Calibri" w:hAnsi="Arial" w:cs="Arial"/>
          <w:noProof/>
          <w:sz w:val="21"/>
          <w:szCs w:val="21"/>
          <w:lang w:val="es-ES_tradnl"/>
        </w:rPr>
      </w:pPr>
    </w:p>
    <w:p w:rsidR="00D152CD" w:rsidRPr="00F636DF" w:rsidRDefault="00D152CD" w:rsidP="00D152CD">
      <w:pPr>
        <w:contextualSpacing/>
        <w:jc w:val="both"/>
        <w:rPr>
          <w:rFonts w:ascii="Arial" w:hAnsi="Arial" w:cs="Arial"/>
          <w:bCs/>
          <w:sz w:val="21"/>
          <w:szCs w:val="21"/>
          <w:lang w:eastAsia="es-CO"/>
        </w:rPr>
      </w:pPr>
      <w:r w:rsidRPr="00F636DF">
        <w:rPr>
          <w:rFonts w:ascii="Arial" w:eastAsia="Calibri" w:hAnsi="Arial" w:cs="Arial"/>
          <w:noProof/>
          <w:sz w:val="21"/>
          <w:szCs w:val="21"/>
          <w:lang w:val="es-ES_tradnl"/>
        </w:rPr>
        <w:t xml:space="preserve">[…] </w:t>
      </w:r>
      <w:r w:rsidRPr="00F636DF">
        <w:rPr>
          <w:rFonts w:ascii="Arial" w:hAnsi="Arial" w:cs="Arial"/>
          <w:bCs/>
          <w:sz w:val="21"/>
          <w:szCs w:val="21"/>
          <w:lang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F636DF">
        <w:rPr>
          <w:rFonts w:ascii="Arial" w:hAnsi="Arial" w:cs="Arial"/>
          <w:bCs/>
          <w:sz w:val="21"/>
          <w:szCs w:val="21"/>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00D152CD" w:rsidRPr="00F636DF" w:rsidRDefault="00D152CD" w:rsidP="00D152CD">
      <w:pPr>
        <w:tabs>
          <w:tab w:val="left" w:pos="426"/>
        </w:tabs>
        <w:contextualSpacing/>
        <w:jc w:val="both"/>
        <w:rPr>
          <w:rFonts w:ascii="Arial" w:hAnsi="Arial" w:cs="Arial"/>
          <w:b/>
          <w:bCs/>
          <w:sz w:val="21"/>
          <w:szCs w:val="21"/>
          <w:lang w:eastAsia="es-CO"/>
        </w:rPr>
      </w:pPr>
    </w:p>
    <w:p w:rsidR="00D152CD" w:rsidRPr="00146F73" w:rsidRDefault="00D152CD" w:rsidP="00D152CD">
      <w:pPr>
        <w:tabs>
          <w:tab w:val="left" w:pos="426"/>
        </w:tabs>
        <w:contextualSpacing/>
        <w:jc w:val="both"/>
        <w:rPr>
          <w:rFonts w:ascii="Arial" w:hAnsi="Arial" w:cs="Arial"/>
          <w:bCs/>
          <w:color w:val="FF0000"/>
          <w:sz w:val="21"/>
          <w:szCs w:val="21"/>
          <w:lang w:eastAsia="x-none"/>
        </w:rPr>
      </w:pPr>
    </w:p>
    <w:p w:rsidR="00D152CD" w:rsidRPr="00926285" w:rsidRDefault="00D152CD" w:rsidP="00D152CD">
      <w:pPr>
        <w:tabs>
          <w:tab w:val="left" w:pos="426"/>
        </w:tabs>
        <w:contextualSpacing/>
        <w:jc w:val="both"/>
        <w:rPr>
          <w:rFonts w:ascii="Arial" w:eastAsia="Calibri" w:hAnsi="Arial" w:cs="Arial"/>
          <w:b/>
          <w:bCs/>
          <w:noProof/>
        </w:rPr>
      </w:pPr>
      <w:r w:rsidRPr="00926285">
        <w:rPr>
          <w:rFonts w:ascii="Arial" w:eastAsia="Calibri" w:hAnsi="Arial" w:cs="Arial"/>
          <w:b/>
          <w:bCs/>
          <w:noProof/>
        </w:rPr>
        <w:t>LEY DE GARANTÍAS ELECTORALES ‒ Prohibición por elección de cargos populares – Convenios y contratos interadministrativos – Alcance</w:t>
      </w:r>
    </w:p>
    <w:p w:rsidR="00D152CD" w:rsidRPr="00F636DF" w:rsidRDefault="00D152CD" w:rsidP="00D152CD">
      <w:pPr>
        <w:tabs>
          <w:tab w:val="left" w:pos="426"/>
        </w:tabs>
        <w:contextualSpacing/>
        <w:jc w:val="both"/>
        <w:rPr>
          <w:rFonts w:ascii="Arial" w:eastAsia="Calibri" w:hAnsi="Arial" w:cs="Arial"/>
          <w:bCs/>
          <w:sz w:val="21"/>
          <w:szCs w:val="21"/>
        </w:rPr>
      </w:pPr>
    </w:p>
    <w:p w:rsidR="00D152CD" w:rsidRPr="00F636DF" w:rsidRDefault="00D152CD" w:rsidP="00D152CD">
      <w:pPr>
        <w:tabs>
          <w:tab w:val="left" w:pos="426"/>
        </w:tabs>
        <w:contextualSpacing/>
        <w:jc w:val="both"/>
        <w:rPr>
          <w:rFonts w:ascii="Arial" w:hAnsi="Arial" w:cs="Arial"/>
          <w:bCs/>
          <w:sz w:val="21"/>
          <w:szCs w:val="21"/>
          <w:lang w:eastAsia="x-none"/>
        </w:rPr>
      </w:pPr>
      <w:r w:rsidRPr="00F636DF">
        <w:rPr>
          <w:rFonts w:ascii="Arial" w:eastAsia="Calibri" w:hAnsi="Arial" w:cs="Arial"/>
          <w:bCs/>
          <w:sz w:val="21"/>
          <w:szCs w:val="21"/>
        </w:rPr>
        <w:t xml:space="preserve">El parágrafo del artículo 38 de la Ley 996 de 2005 dispone que </w:t>
      </w:r>
      <w:r>
        <w:rPr>
          <w:rFonts w:ascii="Arial" w:eastAsia="Calibri" w:hAnsi="Arial" w:cs="Arial"/>
          <w:bCs/>
          <w:sz w:val="21"/>
          <w:szCs w:val="21"/>
        </w:rPr>
        <w:t>“</w:t>
      </w:r>
      <w:r w:rsidRPr="00F636DF">
        <w:rPr>
          <w:rFonts w:ascii="Arial" w:eastAsia="Calibri" w:hAnsi="Arial" w:cs="Arial"/>
          <w:bCs/>
          <w:sz w:val="21"/>
          <w:szCs w:val="21"/>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Pr>
          <w:rFonts w:ascii="Arial" w:eastAsia="Calibri" w:hAnsi="Arial" w:cs="Arial"/>
          <w:bCs/>
          <w:sz w:val="21"/>
          <w:szCs w:val="21"/>
        </w:rPr>
        <w:t>”</w:t>
      </w:r>
      <w:r w:rsidRPr="00F636DF">
        <w:rPr>
          <w:rFonts w:ascii="Arial" w:eastAsia="Calibri" w:hAnsi="Arial" w:cs="Arial"/>
          <w:bCs/>
          <w:sz w:val="21"/>
          <w:szCs w:val="21"/>
        </w:rPr>
        <w:t>.</w:t>
      </w:r>
      <w:r w:rsidRPr="00F636DF">
        <w:rPr>
          <w:rFonts w:ascii="Arial" w:hAnsi="Arial" w:cs="Arial"/>
          <w:bCs/>
          <w:iCs/>
          <w:sz w:val="21"/>
          <w:szCs w:val="21"/>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rsidR="00D152CD" w:rsidRPr="00F636DF" w:rsidRDefault="00D152CD" w:rsidP="00D152CD">
      <w:pPr>
        <w:tabs>
          <w:tab w:val="left" w:pos="426"/>
        </w:tabs>
        <w:contextualSpacing/>
        <w:jc w:val="both"/>
        <w:rPr>
          <w:rFonts w:ascii="Arial" w:eastAsia="Calibri" w:hAnsi="Arial" w:cs="Arial"/>
          <w:noProof/>
          <w:sz w:val="21"/>
          <w:szCs w:val="21"/>
        </w:rPr>
      </w:pPr>
    </w:p>
    <w:p w:rsidR="00D152CD" w:rsidRPr="00926285" w:rsidRDefault="00D152CD" w:rsidP="00D152CD">
      <w:pPr>
        <w:tabs>
          <w:tab w:val="left" w:pos="426"/>
        </w:tabs>
        <w:contextualSpacing/>
        <w:jc w:val="both"/>
        <w:rPr>
          <w:rFonts w:ascii="Arial" w:eastAsia="Calibri" w:hAnsi="Arial" w:cs="Arial"/>
          <w:b/>
          <w:bCs/>
          <w:noProof/>
        </w:rPr>
      </w:pPr>
      <w:r w:rsidRPr="00926285">
        <w:rPr>
          <w:rFonts w:ascii="Arial" w:eastAsia="Calibri" w:hAnsi="Arial" w:cs="Arial"/>
          <w:b/>
          <w:bCs/>
          <w:noProof/>
        </w:rPr>
        <w:t>LEY DE GARANTÍAS ELECTORALES ‒ Prohibición por elección de cargos populares – Convenios y contratos interadministrativos – Definición – Criterio orgánico</w:t>
      </w:r>
    </w:p>
    <w:p w:rsidR="00D152CD" w:rsidRDefault="00D152CD" w:rsidP="00D152CD">
      <w:pPr>
        <w:widowControl w:val="0"/>
        <w:autoSpaceDE w:val="0"/>
        <w:autoSpaceDN w:val="0"/>
        <w:contextualSpacing/>
        <w:jc w:val="both"/>
        <w:rPr>
          <w:rFonts w:ascii="Arial" w:eastAsia="Calibri" w:hAnsi="Arial" w:cs="Arial"/>
          <w:noProof/>
          <w:sz w:val="21"/>
          <w:szCs w:val="21"/>
        </w:rPr>
      </w:pPr>
    </w:p>
    <w:p w:rsidR="00D152CD" w:rsidRPr="00F636DF" w:rsidRDefault="00D152CD" w:rsidP="00D152CD">
      <w:pPr>
        <w:widowControl w:val="0"/>
        <w:autoSpaceDE w:val="0"/>
        <w:autoSpaceDN w:val="0"/>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F636DF">
        <w:rPr>
          <w:rFonts w:ascii="Arial" w:eastAsia="Arial" w:hAnsi="Arial" w:cs="Arial"/>
          <w:spacing w:val="-6"/>
          <w:sz w:val="21"/>
          <w:szCs w:val="21"/>
          <w:lang w:val="es-ES" w:eastAsia="es-ES" w:bidi="es-ES"/>
        </w:rPr>
        <w:t xml:space="preserve"> </w:t>
      </w:r>
      <w:r w:rsidRPr="00F636DF">
        <w:rPr>
          <w:rFonts w:ascii="Arial" w:eastAsia="Arial" w:hAnsi="Arial" w:cs="Arial"/>
          <w:sz w:val="21"/>
          <w:szCs w:val="21"/>
          <w:lang w:val="es-ES" w:eastAsia="es-ES" w:bidi="es-ES"/>
        </w:rPr>
        <w:t>estatales.</w:t>
      </w:r>
    </w:p>
    <w:p w:rsidR="00D152CD" w:rsidRPr="00F636DF" w:rsidRDefault="00D152CD" w:rsidP="00D152CD">
      <w:pPr>
        <w:tabs>
          <w:tab w:val="left" w:pos="426"/>
        </w:tabs>
        <w:contextualSpacing/>
        <w:jc w:val="both"/>
        <w:rPr>
          <w:rFonts w:ascii="Arial" w:eastAsia="Calibri" w:hAnsi="Arial" w:cs="Arial"/>
          <w:noProof/>
          <w:sz w:val="21"/>
          <w:szCs w:val="21"/>
        </w:rPr>
      </w:pPr>
    </w:p>
    <w:p w:rsidR="00D152CD" w:rsidRPr="00926285" w:rsidRDefault="00D152CD" w:rsidP="00D152CD">
      <w:pPr>
        <w:contextualSpacing/>
        <w:jc w:val="both"/>
        <w:rPr>
          <w:rFonts w:ascii="Arial" w:hAnsi="Arial" w:cs="Arial"/>
          <w:b/>
        </w:rPr>
      </w:pPr>
      <w:r w:rsidRPr="00926285">
        <w:rPr>
          <w:rFonts w:ascii="Arial" w:eastAsia="Calibri" w:hAnsi="Arial" w:cs="Arial"/>
          <w:b/>
        </w:rPr>
        <w:t xml:space="preserve">CONTRATOS Y </w:t>
      </w:r>
      <w:r w:rsidRPr="00926285">
        <w:rPr>
          <w:rFonts w:ascii="Arial" w:hAnsi="Arial" w:cs="Arial"/>
          <w:b/>
        </w:rPr>
        <w:t>CONVENIOS INTERADMINISTRATIVOS – Modalidad de selección</w:t>
      </w:r>
    </w:p>
    <w:p w:rsidR="00D152CD" w:rsidRPr="00F636DF" w:rsidRDefault="00D152CD" w:rsidP="00D152CD">
      <w:pPr>
        <w:contextualSpacing/>
        <w:jc w:val="both"/>
        <w:rPr>
          <w:rFonts w:ascii="Arial" w:hAnsi="Arial" w:cs="Arial"/>
          <w:b/>
          <w:sz w:val="21"/>
          <w:szCs w:val="21"/>
        </w:rPr>
      </w:pPr>
    </w:p>
    <w:p w:rsidR="00D152CD" w:rsidRDefault="00D152CD" w:rsidP="00D152CD">
      <w:pPr>
        <w:widowControl w:val="0"/>
        <w:autoSpaceDE w:val="0"/>
        <w:autoSpaceDN w:val="0"/>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w:t>
      </w:r>
      <w:r w:rsidRPr="00F636DF">
        <w:rPr>
          <w:rFonts w:ascii="Arial" w:eastAsia="Arial" w:hAnsi="Arial" w:cs="Arial"/>
          <w:sz w:val="21"/>
          <w:szCs w:val="21"/>
          <w:lang w:val="es-ES" w:eastAsia="es-ES" w:bidi="es-ES"/>
        </w:rPr>
        <w:lastRenderedPageBreak/>
        <w:t>señalado en la ley o en sus reglamentos, a menos que, según las excepciones previstas en dicha ley, deba adelantarse un procedimiento con pluralidad de oferentes. Nótese que, en este caso, lo que cambia es la modalidad de selección y no la naturaleza de contrato</w:t>
      </w:r>
      <w:r w:rsidRPr="00F636DF">
        <w:rPr>
          <w:rFonts w:ascii="Arial" w:eastAsia="Arial" w:hAnsi="Arial" w:cs="Arial"/>
          <w:spacing w:val="-18"/>
          <w:sz w:val="21"/>
          <w:szCs w:val="21"/>
          <w:lang w:val="es-ES" w:eastAsia="es-ES" w:bidi="es-ES"/>
        </w:rPr>
        <w:t xml:space="preserve"> </w:t>
      </w:r>
      <w:r w:rsidRPr="00F636DF">
        <w:rPr>
          <w:rFonts w:ascii="Arial" w:eastAsia="Arial" w:hAnsi="Arial" w:cs="Arial"/>
          <w:sz w:val="21"/>
          <w:szCs w:val="21"/>
          <w:lang w:val="es-ES" w:eastAsia="es-ES" w:bidi="es-ES"/>
        </w:rPr>
        <w:t>interadministrativo.</w:t>
      </w:r>
    </w:p>
    <w:p w:rsidR="00D152CD" w:rsidRPr="00F636DF" w:rsidRDefault="00D152CD" w:rsidP="00D152CD">
      <w:pPr>
        <w:widowControl w:val="0"/>
        <w:autoSpaceDE w:val="0"/>
        <w:autoSpaceDN w:val="0"/>
        <w:contextualSpacing/>
        <w:jc w:val="both"/>
        <w:rPr>
          <w:rFonts w:ascii="Arial" w:eastAsia="Arial" w:hAnsi="Arial" w:cs="Arial"/>
          <w:sz w:val="21"/>
          <w:szCs w:val="21"/>
          <w:lang w:val="es-ES" w:eastAsia="es-ES" w:bidi="es-ES"/>
        </w:rPr>
      </w:pPr>
    </w:p>
    <w:p w:rsidR="00D152CD" w:rsidRPr="00926285" w:rsidRDefault="00D152CD" w:rsidP="00D152CD">
      <w:pPr>
        <w:contextualSpacing/>
        <w:jc w:val="both"/>
        <w:rPr>
          <w:rFonts w:ascii="Arial" w:hAnsi="Arial" w:cs="Arial"/>
          <w:b/>
        </w:rPr>
      </w:pPr>
      <w:r w:rsidRPr="00926285">
        <w:rPr>
          <w:rFonts w:ascii="Arial" w:eastAsia="Calibri" w:hAnsi="Arial" w:cs="Arial"/>
          <w:b/>
          <w:bCs/>
          <w:noProof/>
        </w:rPr>
        <w:t xml:space="preserve">LEY DE GARANTÍAS ELECTORALES ‒ Prohibición por elección de cargos populares – Convenios y contratos interadministrativos – Tipologia contractual – </w:t>
      </w:r>
      <w:r w:rsidRPr="00926285">
        <w:rPr>
          <w:rFonts w:ascii="Arial" w:hAnsi="Arial" w:cs="Arial"/>
          <w:b/>
        </w:rPr>
        <w:t>Modalidad de selección</w:t>
      </w:r>
    </w:p>
    <w:p w:rsidR="00D152CD" w:rsidRPr="00F636DF" w:rsidRDefault="00D152CD" w:rsidP="00D152CD">
      <w:pPr>
        <w:tabs>
          <w:tab w:val="left" w:pos="426"/>
        </w:tabs>
        <w:contextualSpacing/>
        <w:jc w:val="both"/>
        <w:rPr>
          <w:rFonts w:ascii="Arial" w:hAnsi="Arial" w:cs="Arial"/>
          <w:sz w:val="21"/>
          <w:szCs w:val="21"/>
        </w:rPr>
      </w:pPr>
    </w:p>
    <w:p w:rsidR="00D152CD" w:rsidRPr="00F636DF" w:rsidRDefault="00D152CD" w:rsidP="00D152CD">
      <w:pPr>
        <w:tabs>
          <w:tab w:val="left" w:pos="426"/>
        </w:tabs>
        <w:contextualSpacing/>
        <w:jc w:val="both"/>
        <w:rPr>
          <w:rFonts w:ascii="Arial" w:hAnsi="Arial" w:cs="Arial"/>
          <w:sz w:val="21"/>
          <w:szCs w:val="21"/>
        </w:rPr>
      </w:pPr>
      <w:r w:rsidRPr="00F636DF">
        <w:rPr>
          <w:rFonts w:ascii="Arial" w:hAnsi="Arial" w:cs="Arial"/>
          <w:sz w:val="21"/>
          <w:szCs w:val="21"/>
        </w:rPr>
        <w:t xml:space="preserve">[…] </w:t>
      </w:r>
      <w:r w:rsidRPr="00F636DF">
        <w:rPr>
          <w:rFonts w:ascii="Arial" w:hAnsi="Arial" w:cs="Arial"/>
          <w:bCs/>
          <w:sz w:val="21"/>
          <w:szCs w:val="21"/>
          <w:lang w:eastAsia="es-CO"/>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F636DF">
        <w:rPr>
          <w:rFonts w:ascii="Arial" w:eastAsia="Times New Roman" w:hAnsi="Arial" w:cs="Arial"/>
          <w:bCs/>
          <w:sz w:val="21"/>
          <w:szCs w:val="21"/>
          <w:lang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F636DF">
        <w:rPr>
          <w:rFonts w:ascii="Arial" w:eastAsia="Calibri" w:hAnsi="Arial" w:cs="Arial"/>
          <w:color w:val="000000" w:themeColor="text1"/>
          <w:sz w:val="21"/>
          <w:szCs w:val="21"/>
        </w:rPr>
        <w:t> </w:t>
      </w:r>
    </w:p>
    <w:p w:rsidR="00D152CD" w:rsidRPr="007A0C25" w:rsidRDefault="00D152CD" w:rsidP="00D152CD">
      <w:pPr>
        <w:spacing w:before="120" w:after="120" w:line="276" w:lineRule="auto"/>
        <w:jc w:val="both"/>
        <w:rPr>
          <w:rFonts w:ascii="Arial" w:hAnsi="Arial" w:cs="Arial"/>
          <w:bCs/>
          <w:color w:val="FF0000"/>
          <w:lang w:val="es-ES_tradnl"/>
        </w:rPr>
      </w:pPr>
      <w:r w:rsidRPr="007A0C25">
        <w:rPr>
          <w:rFonts w:ascii="Arial" w:hAnsi="Arial" w:cs="Arial"/>
          <w:bCs/>
          <w:color w:val="FF0000"/>
          <w:lang w:val="es-ES_tradnl"/>
        </w:rPr>
        <w:br w:type="page"/>
      </w:r>
    </w:p>
    <w:p w:rsidR="002F0EF2" w:rsidRPr="00D152CD" w:rsidRDefault="002F0EF2" w:rsidP="002F0EF2">
      <w:pPr>
        <w:rPr>
          <w:rFonts w:ascii="Geomanist Light" w:eastAsia="Times New Roman" w:hAnsi="Geomanist Light" w:cs="Arial"/>
          <w:b/>
          <w:bCs/>
          <w:lang w:val="es-ES_tradnl" w:eastAsia="es-CO"/>
        </w:rPr>
      </w:pPr>
    </w:p>
    <w:p w:rsidR="002F0EF2" w:rsidRDefault="002F0EF2" w:rsidP="002F0EF2">
      <w:pPr>
        <w:spacing w:after="0"/>
        <w:rPr>
          <w:rFonts w:ascii="Arial" w:eastAsia="Geomanist Light" w:hAnsi="Arial" w:cs="Arial"/>
          <w:color w:val="201F1E"/>
          <w:lang w:val="es-MX"/>
        </w:rPr>
      </w:pPr>
      <w:r w:rsidRPr="00914786">
        <w:rPr>
          <w:rFonts w:ascii="Arial" w:eastAsia="Geomanist Light" w:hAnsi="Arial" w:cs="Arial"/>
          <w:color w:val="000000" w:themeColor="text1"/>
          <w:lang w:val="es-MX"/>
        </w:rPr>
        <w:t>Bogotá D.C., </w:t>
      </w:r>
      <w:r w:rsidR="00D152CD">
        <w:rPr>
          <w:rFonts w:ascii="Arial" w:eastAsia="Geomanist Light" w:hAnsi="Arial" w:cs="Arial"/>
          <w:color w:val="201F1E"/>
          <w:lang w:val="es-MX"/>
        </w:rPr>
        <w:t xml:space="preserve">4 de mayo de 2023 </w:t>
      </w:r>
    </w:p>
    <w:p w:rsidR="00D152CD" w:rsidRDefault="00D152CD" w:rsidP="002F0EF2">
      <w:pPr>
        <w:spacing w:after="0"/>
        <w:rPr>
          <w:rFonts w:ascii="Arial" w:eastAsia="Geomanist Light" w:hAnsi="Arial" w:cs="Arial"/>
          <w:color w:val="201F1E"/>
          <w:lang w:val="es-MX"/>
        </w:rPr>
      </w:pPr>
    </w:p>
    <w:p w:rsidR="00D152CD" w:rsidRPr="00914786" w:rsidRDefault="00D152CD" w:rsidP="00D152CD">
      <w:pPr>
        <w:spacing w:after="0"/>
        <w:jc w:val="right"/>
        <w:rPr>
          <w:rFonts w:ascii="Arial" w:eastAsia="Geomanist Light" w:hAnsi="Arial" w:cs="Arial"/>
          <w:color w:val="201F1E"/>
          <w:lang w:val="es-MX"/>
        </w:rPr>
      </w:pPr>
      <w:r w:rsidRPr="00D152CD">
        <w:rPr>
          <w:rFonts w:ascii="Arial" w:eastAsia="Geomanist Light" w:hAnsi="Arial" w:cs="Arial"/>
          <w:color w:val="201F1E"/>
          <w:lang w:val="es-MX"/>
        </w:rPr>
        <w:drawing>
          <wp:inline distT="0" distB="0" distL="0" distR="0" wp14:anchorId="6CD3AE46" wp14:editId="792D5375">
            <wp:extent cx="2191056" cy="6287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91056" cy="628738"/>
                    </a:xfrm>
                    <a:prstGeom prst="rect">
                      <a:avLst/>
                    </a:prstGeom>
                  </pic:spPr>
                </pic:pic>
              </a:graphicData>
            </a:graphic>
          </wp:inline>
        </w:drawing>
      </w:r>
    </w:p>
    <w:p w:rsidR="002F0EF2" w:rsidRDefault="002F0EF2" w:rsidP="002F0EF2">
      <w:pPr>
        <w:spacing w:after="0" w:line="240" w:lineRule="auto"/>
        <w:jc w:val="right"/>
        <w:textAlignment w:val="baseline"/>
        <w:rPr>
          <w:rFonts w:ascii="Geomanist Light" w:eastAsia="Times New Roman" w:hAnsi="Geomanist Light" w:cs="Arial"/>
          <w:lang w:eastAsia="es-CO"/>
        </w:rPr>
      </w:pPr>
    </w:p>
    <w:p w:rsidR="002F0EF2" w:rsidRPr="00080DA3" w:rsidRDefault="002F0EF2" w:rsidP="002F0EF2">
      <w:pPr>
        <w:spacing w:after="0" w:line="240" w:lineRule="auto"/>
        <w:jc w:val="right"/>
        <w:textAlignment w:val="baseline"/>
        <w:rPr>
          <w:rFonts w:ascii="Geomanist Light" w:eastAsia="Times New Roman" w:hAnsi="Geomanist Light" w:cs="Arial"/>
          <w:lang w:eastAsia="es-CO"/>
        </w:rPr>
      </w:pPr>
    </w:p>
    <w:p w:rsidR="002F0EF2" w:rsidRPr="007A0C25" w:rsidRDefault="002F0EF2" w:rsidP="002F0EF2">
      <w:pPr>
        <w:contextualSpacing/>
        <w:rPr>
          <w:rFonts w:ascii="Arial" w:hAnsi="Arial" w:cs="Arial"/>
          <w:lang w:val="es-ES_tradnl"/>
        </w:rPr>
      </w:pPr>
      <w:bookmarkStart w:id="3" w:name="_Hlk70510939"/>
      <w:bookmarkStart w:id="4" w:name="_Hlk34951122"/>
      <w:r>
        <w:rPr>
          <w:rFonts w:ascii="Arial" w:hAnsi="Arial" w:cs="Arial"/>
          <w:lang w:val="es-ES_tradnl"/>
        </w:rPr>
        <w:t>Docto</w:t>
      </w:r>
      <w:r w:rsidRPr="007A0C25">
        <w:rPr>
          <w:rFonts w:ascii="Arial" w:hAnsi="Arial" w:cs="Arial"/>
          <w:lang w:val="es-ES_tradnl"/>
        </w:rPr>
        <w:t>ra</w:t>
      </w:r>
    </w:p>
    <w:p w:rsidR="002F0EF2" w:rsidRDefault="002F0EF2" w:rsidP="002F0EF2">
      <w:pPr>
        <w:contextualSpacing/>
        <w:rPr>
          <w:rFonts w:ascii="Arial" w:hAnsi="Arial" w:cs="Arial"/>
          <w:b/>
          <w:lang w:val="es-ES_tradnl"/>
        </w:rPr>
      </w:pPr>
      <w:r>
        <w:rPr>
          <w:rFonts w:ascii="Arial" w:hAnsi="Arial" w:cs="Arial"/>
          <w:b/>
          <w:lang w:val="es-ES_tradnl"/>
        </w:rPr>
        <w:t>Tatiana Beltrán Sierra</w:t>
      </w:r>
    </w:p>
    <w:p w:rsidR="002F0EF2" w:rsidRDefault="002F0EF2" w:rsidP="002F0EF2">
      <w:pPr>
        <w:contextualSpacing/>
        <w:rPr>
          <w:rFonts w:ascii="Arial" w:hAnsi="Arial" w:cs="Arial"/>
          <w:lang w:val="es-ES_tradnl"/>
        </w:rPr>
      </w:pPr>
      <w:r>
        <w:rPr>
          <w:rFonts w:ascii="Arial" w:hAnsi="Arial" w:cs="Arial"/>
          <w:lang w:val="es-ES_tradnl"/>
        </w:rPr>
        <w:t>Secretaría de Suministros y Servicios</w:t>
      </w:r>
    </w:p>
    <w:p w:rsidR="002F0EF2" w:rsidRDefault="002F0EF2" w:rsidP="002F0EF2">
      <w:pPr>
        <w:contextualSpacing/>
        <w:rPr>
          <w:rFonts w:ascii="Arial" w:hAnsi="Arial" w:cs="Arial"/>
          <w:lang w:val="es-ES_tradnl"/>
        </w:rPr>
      </w:pPr>
      <w:r>
        <w:rPr>
          <w:rFonts w:ascii="Arial" w:hAnsi="Arial" w:cs="Arial"/>
          <w:lang w:val="es-ES_tradnl"/>
        </w:rPr>
        <w:t>Alcaldía de Medellín</w:t>
      </w:r>
    </w:p>
    <w:p w:rsidR="002F0EF2" w:rsidRPr="009609C3" w:rsidRDefault="002F0EF2" w:rsidP="002F0EF2">
      <w:pPr>
        <w:contextualSpacing/>
        <w:rPr>
          <w:rFonts w:ascii="Arial" w:hAnsi="Arial" w:cs="Arial"/>
          <w:bCs/>
          <w:lang w:val="es-ES_tradnl"/>
        </w:rPr>
      </w:pPr>
      <w:r>
        <w:rPr>
          <w:rFonts w:ascii="Arial" w:hAnsi="Arial" w:cs="Arial"/>
          <w:lang w:val="es-ES_tradnl"/>
        </w:rPr>
        <w:t>Medellín, Antioquia</w:t>
      </w:r>
    </w:p>
    <w:p w:rsidR="002F0EF2" w:rsidRPr="007A0C25" w:rsidRDefault="002F0EF2" w:rsidP="002F0EF2">
      <w:pPr>
        <w:ind w:left="2124" w:firstLine="708"/>
        <w:contextualSpacing/>
        <w:rPr>
          <w:rFonts w:ascii="Arial" w:hAnsi="Arial" w:cs="Arial"/>
          <w:b/>
          <w:bCs/>
          <w:lang w:val="es-ES_tradnl"/>
        </w:rPr>
      </w:pPr>
      <w:r w:rsidRPr="007A0C25">
        <w:rPr>
          <w:rFonts w:ascii="Arial" w:hAnsi="Arial" w:cs="Arial"/>
          <w:b/>
          <w:bCs/>
          <w:lang w:val="es-ES_tradnl"/>
        </w:rPr>
        <w:t xml:space="preserve">Concepto C – </w:t>
      </w:r>
      <w:r>
        <w:rPr>
          <w:rFonts w:ascii="Arial" w:hAnsi="Arial" w:cs="Arial"/>
          <w:b/>
          <w:bCs/>
          <w:lang w:val="es-ES_tradnl"/>
        </w:rPr>
        <w:t>098</w:t>
      </w:r>
      <w:r w:rsidRPr="007A0C25">
        <w:rPr>
          <w:rFonts w:ascii="Arial" w:hAnsi="Arial" w:cs="Arial"/>
          <w:b/>
          <w:bCs/>
          <w:lang w:val="es-ES_tradnl"/>
        </w:rPr>
        <w:t xml:space="preserve"> de 202</w:t>
      </w:r>
      <w:r>
        <w:rPr>
          <w:rFonts w:ascii="Arial" w:hAnsi="Arial" w:cs="Arial"/>
          <w:b/>
          <w:bCs/>
          <w:lang w:val="es-ES_tradnl"/>
        </w:rPr>
        <w:t>3</w:t>
      </w:r>
    </w:p>
    <w:p w:rsidR="002F0EF2" w:rsidRPr="007A0C25" w:rsidRDefault="002F0EF2" w:rsidP="002F0EF2">
      <w:pPr>
        <w:ind w:left="2824" w:hanging="2818"/>
        <w:contextualSpacing/>
        <w:jc w:val="both"/>
        <w:rPr>
          <w:rFonts w:ascii="Arial" w:eastAsia="Calibri" w:hAnsi="Arial" w:cs="Arial"/>
          <w:b/>
          <w:noProof/>
          <w:lang w:val="es-ES_tradnl"/>
        </w:rPr>
      </w:pPr>
    </w:p>
    <w:p w:rsidR="002F0EF2" w:rsidRPr="00926285" w:rsidRDefault="002F0EF2" w:rsidP="002F0EF2">
      <w:pPr>
        <w:ind w:left="2832" w:hanging="2184"/>
        <w:contextualSpacing/>
        <w:jc w:val="both"/>
        <w:rPr>
          <w:rFonts w:ascii="Arial" w:hAnsi="Arial" w:cs="Arial"/>
        </w:rPr>
      </w:pPr>
      <w:r w:rsidRPr="007A0C25">
        <w:rPr>
          <w:rFonts w:ascii="Arial" w:eastAsia="Calibri" w:hAnsi="Arial" w:cs="Arial"/>
          <w:b/>
          <w:noProof/>
          <w:lang w:val="es-ES_tradnl"/>
        </w:rPr>
        <w:t>Temas</w:t>
      </w:r>
      <w:r w:rsidRPr="007A0C25">
        <w:rPr>
          <w:rFonts w:ascii="Arial" w:eastAsia="Calibri" w:hAnsi="Arial" w:cs="Arial"/>
          <w:bCs/>
          <w:noProof/>
          <w:lang w:val="es-ES_tradnl"/>
        </w:rPr>
        <w:t xml:space="preserve">: </w:t>
      </w:r>
      <w:r w:rsidRPr="007A0C25">
        <w:rPr>
          <w:rFonts w:ascii="Arial" w:eastAsia="Calibri" w:hAnsi="Arial" w:cs="Arial"/>
          <w:bCs/>
          <w:noProof/>
          <w:lang w:val="es-ES_tradnl"/>
        </w:rPr>
        <w:tab/>
      </w:r>
      <w:r w:rsidRPr="002E7A58">
        <w:rPr>
          <w:rFonts w:ascii="Arial" w:eastAsia="Calibri" w:hAnsi="Arial" w:cs="Arial"/>
          <w:bCs/>
          <w:noProof/>
          <w:lang w:val="es-ES_tradnl"/>
        </w:rPr>
        <w:t xml:space="preserve">LEY DE GARANTÍAS ELECTORALES – Definición – Finalidad / LEY DE GARANTÍAS ELECTORALES – Restricciones /  LEY DE GARANTÍAS ELECTORALES ‒ Prohibición por elección de cargos populares – Convenios y contratos interadministrativos – Alcance / LEY DE GARANTÍAS ELECTORALES ‒ Prohibición por elección de cargos populares – Convenios y contratos interadministrativos – Definición – Criterio orgánico / CONTRATOS Y CONVENIOS INTERADMINISTRATIVOS – Modalidad de selección / LEY DE GARANTÍAS ELECTORALES ‒ Prohibición por elección de cargos </w:t>
      </w:r>
      <w:r>
        <w:rPr>
          <w:rFonts w:ascii="Arial" w:eastAsia="Calibri" w:hAnsi="Arial" w:cs="Arial"/>
          <w:bCs/>
          <w:noProof/>
          <w:lang w:val="es-ES_tradnl"/>
        </w:rPr>
        <w:t>9</w:t>
      </w:r>
      <w:r w:rsidRPr="002E7A58">
        <w:rPr>
          <w:rFonts w:ascii="Arial" w:eastAsia="Calibri" w:hAnsi="Arial" w:cs="Arial"/>
          <w:bCs/>
          <w:noProof/>
          <w:lang w:val="es-ES_tradnl"/>
        </w:rPr>
        <w:t>populares – Convenios y contratos interadministrativos – Tipologia contractual – Modalidad de selección</w:t>
      </w:r>
    </w:p>
    <w:p w:rsidR="002F0EF2" w:rsidRDefault="002F0EF2" w:rsidP="002F0EF2">
      <w:pPr>
        <w:ind w:left="2835" w:hanging="2835"/>
        <w:contextualSpacing/>
        <w:jc w:val="both"/>
        <w:rPr>
          <w:rFonts w:ascii="Arial" w:eastAsia="Calibri" w:hAnsi="Arial" w:cs="Arial"/>
          <w:b/>
          <w:noProof/>
          <w:lang w:val="es-ES_tradnl"/>
        </w:rPr>
      </w:pPr>
    </w:p>
    <w:p w:rsidR="002F0EF2" w:rsidRPr="007A0C25" w:rsidRDefault="002F0EF2" w:rsidP="002F0EF2">
      <w:pPr>
        <w:ind w:left="2835" w:hanging="2835"/>
        <w:contextualSpacing/>
        <w:jc w:val="both"/>
        <w:rPr>
          <w:rFonts w:ascii="Arial" w:hAnsi="Arial" w:cs="Arial"/>
          <w:lang w:val="es-ES_tradnl"/>
        </w:rPr>
      </w:pPr>
      <w:r w:rsidRPr="007A0C25">
        <w:rPr>
          <w:rFonts w:ascii="Arial" w:eastAsia="Calibri" w:hAnsi="Arial" w:cs="Arial"/>
          <w:b/>
          <w:noProof/>
          <w:lang w:val="es-ES_tradnl"/>
        </w:rPr>
        <w:t>Radicación</w:t>
      </w:r>
      <w:r w:rsidRPr="007A0C25">
        <w:rPr>
          <w:rFonts w:ascii="Arial" w:eastAsia="Calibri" w:hAnsi="Arial" w:cs="Arial"/>
          <w:bCs/>
          <w:noProof/>
          <w:lang w:val="es-ES_tradnl"/>
        </w:rPr>
        <w:t>:</w:t>
      </w:r>
      <w:r w:rsidRPr="007A0C25">
        <w:rPr>
          <w:rFonts w:ascii="Arial" w:eastAsia="Calibri" w:hAnsi="Arial" w:cs="Arial"/>
          <w:bCs/>
          <w:noProof/>
          <w:lang w:val="es-ES_tradnl"/>
        </w:rPr>
        <w:tab/>
        <w:t xml:space="preserve">Respuesta a consulta </w:t>
      </w:r>
      <w:r w:rsidRPr="009609C3">
        <w:rPr>
          <w:rFonts w:ascii="Arial" w:eastAsia="Calibri" w:hAnsi="Arial" w:cs="Arial"/>
          <w:bCs/>
          <w:noProof/>
          <w:lang w:val="es-ES_tradnl"/>
        </w:rPr>
        <w:t>P20230317002568</w:t>
      </w:r>
      <w:r w:rsidRPr="009609C3">
        <w:rPr>
          <w:rFonts w:ascii="Arial" w:eastAsia="Calibri" w:hAnsi="Arial" w:cs="Arial"/>
          <w:bCs/>
          <w:noProof/>
          <w:lang w:val="es-ES_tradnl"/>
        </w:rPr>
        <w:tab/>
      </w:r>
    </w:p>
    <w:p w:rsidR="002F0EF2" w:rsidRPr="007A0C25" w:rsidRDefault="002F0EF2" w:rsidP="002F0EF2">
      <w:pPr>
        <w:contextualSpacing/>
        <w:rPr>
          <w:rFonts w:ascii="Arial" w:hAnsi="Arial" w:cs="Arial"/>
          <w:lang w:val="es-ES_tradnl"/>
        </w:rPr>
      </w:pPr>
    </w:p>
    <w:p w:rsidR="002F0EF2" w:rsidRPr="007A0C25" w:rsidRDefault="002F0EF2" w:rsidP="002F0EF2">
      <w:pPr>
        <w:contextualSpacing/>
        <w:rPr>
          <w:rFonts w:ascii="Arial" w:hAnsi="Arial" w:cs="Arial"/>
          <w:lang w:val="es-ES_tradnl"/>
        </w:rPr>
      </w:pPr>
      <w:r w:rsidRPr="007A0C25">
        <w:rPr>
          <w:rFonts w:ascii="Arial" w:hAnsi="Arial" w:cs="Arial"/>
          <w:lang w:val="es-ES_tradnl"/>
        </w:rPr>
        <w:t xml:space="preserve">Estimada </w:t>
      </w:r>
      <w:r>
        <w:rPr>
          <w:rFonts w:ascii="Arial" w:hAnsi="Arial" w:cs="Arial"/>
          <w:lang w:val="es-ES_tradnl"/>
        </w:rPr>
        <w:t xml:space="preserve">Doctora Tatiana Beltrán, </w:t>
      </w:r>
    </w:p>
    <w:p w:rsidR="002F0EF2" w:rsidRPr="007A0C25" w:rsidRDefault="002F0EF2" w:rsidP="002F0EF2">
      <w:pPr>
        <w:contextualSpacing/>
        <w:rPr>
          <w:rFonts w:ascii="Arial" w:hAnsi="Arial" w:cs="Arial"/>
          <w:lang w:val="es-ES_tradnl"/>
        </w:rPr>
      </w:pPr>
    </w:p>
    <w:p w:rsidR="002F0EF2" w:rsidRPr="00F87CD1" w:rsidRDefault="002F0EF2" w:rsidP="002F0EF2">
      <w:pPr>
        <w:spacing w:after="120" w:line="276" w:lineRule="auto"/>
        <w:ind w:right="51"/>
        <w:jc w:val="both"/>
        <w:rPr>
          <w:rFonts w:ascii="Arial" w:eastAsia="Calibri" w:hAnsi="Arial" w:cs="Arial"/>
        </w:rPr>
      </w:pPr>
      <w:r w:rsidRPr="00F87CD1">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w:t>
      </w:r>
      <w:r>
        <w:rPr>
          <w:rFonts w:ascii="Arial" w:eastAsia="Calibri" w:hAnsi="Arial" w:cs="Arial"/>
        </w:rPr>
        <w:t>consulta</w:t>
      </w:r>
      <w:r w:rsidRPr="00F87CD1">
        <w:rPr>
          <w:rFonts w:ascii="Arial" w:eastAsia="Calibri" w:hAnsi="Arial" w:cs="Arial"/>
        </w:rPr>
        <w:t xml:space="preserve"> del </w:t>
      </w:r>
      <w:r>
        <w:rPr>
          <w:rFonts w:ascii="Arial" w:eastAsia="Calibri" w:hAnsi="Arial" w:cs="Arial"/>
        </w:rPr>
        <w:t>21 de marzo</w:t>
      </w:r>
      <w:r w:rsidRPr="00F87CD1">
        <w:rPr>
          <w:rFonts w:ascii="Arial" w:eastAsia="Calibri" w:hAnsi="Arial" w:cs="Arial"/>
        </w:rPr>
        <w:t xml:space="preserve"> de 2023.      </w:t>
      </w:r>
    </w:p>
    <w:p w:rsidR="002F0EF2" w:rsidRPr="007A0C25" w:rsidRDefault="002F0EF2" w:rsidP="002F0EF2">
      <w:pPr>
        <w:spacing w:line="276" w:lineRule="auto"/>
        <w:contextualSpacing/>
        <w:rPr>
          <w:rFonts w:ascii="Arial" w:hAnsi="Arial" w:cs="Arial"/>
          <w:b/>
          <w:lang w:val="es-ES_tradnl"/>
        </w:rPr>
      </w:pPr>
    </w:p>
    <w:p w:rsidR="002F0EF2" w:rsidRPr="007A0C25" w:rsidRDefault="002F0EF2" w:rsidP="002F0EF2">
      <w:pPr>
        <w:spacing w:line="276" w:lineRule="auto"/>
        <w:contextualSpacing/>
        <w:rPr>
          <w:rFonts w:ascii="Arial" w:hAnsi="Arial" w:cs="Arial"/>
          <w:b/>
          <w:lang w:val="es-ES_tradnl"/>
        </w:rPr>
      </w:pPr>
      <w:r w:rsidRPr="007A0C25">
        <w:rPr>
          <w:rFonts w:ascii="Arial" w:hAnsi="Arial" w:cs="Arial"/>
          <w:b/>
          <w:lang w:val="es-ES_tradnl"/>
        </w:rPr>
        <w:t xml:space="preserve">1. Problema planteado </w:t>
      </w:r>
    </w:p>
    <w:p w:rsidR="002F0EF2" w:rsidRPr="007A0C25" w:rsidRDefault="002F0EF2" w:rsidP="002F0EF2">
      <w:pPr>
        <w:spacing w:line="276" w:lineRule="auto"/>
        <w:contextualSpacing/>
        <w:jc w:val="both"/>
        <w:rPr>
          <w:rFonts w:ascii="Arial" w:hAnsi="Arial" w:cs="Arial"/>
          <w:lang w:val="es-ES_tradnl"/>
        </w:rPr>
      </w:pPr>
    </w:p>
    <w:p w:rsidR="002F0EF2" w:rsidRPr="007A0C25" w:rsidRDefault="002F0EF2" w:rsidP="002F0EF2">
      <w:pPr>
        <w:spacing w:line="276" w:lineRule="auto"/>
        <w:contextualSpacing/>
        <w:jc w:val="both"/>
        <w:rPr>
          <w:rFonts w:ascii="Arial" w:hAnsi="Arial" w:cs="Arial"/>
          <w:lang w:val="es-ES_tradnl"/>
        </w:rPr>
      </w:pPr>
      <w:r w:rsidRPr="007A0C25">
        <w:rPr>
          <w:rFonts w:ascii="Arial" w:hAnsi="Arial" w:cs="Arial"/>
          <w:lang w:val="es-ES_tradnl"/>
        </w:rPr>
        <w:t xml:space="preserve">Respecto de la Ley de Garantías Electorales, usted formula la siguiente consulta: </w:t>
      </w:r>
    </w:p>
    <w:p w:rsidR="002F0EF2" w:rsidRPr="007A0C25" w:rsidRDefault="002F0EF2" w:rsidP="002F0EF2">
      <w:pPr>
        <w:spacing w:line="276" w:lineRule="auto"/>
        <w:contextualSpacing/>
        <w:jc w:val="both"/>
        <w:rPr>
          <w:rFonts w:ascii="Arial" w:hAnsi="Arial" w:cs="Arial"/>
          <w:lang w:val="es-ES_tradnl"/>
        </w:rPr>
      </w:pPr>
    </w:p>
    <w:p w:rsidR="002F0EF2" w:rsidRPr="007A0C25" w:rsidRDefault="002F0EF2" w:rsidP="002F0EF2">
      <w:pPr>
        <w:ind w:left="567" w:right="788"/>
        <w:contextualSpacing/>
        <w:jc w:val="both"/>
        <w:rPr>
          <w:rFonts w:ascii="Arial" w:hAnsi="Arial" w:cs="Arial"/>
          <w:sz w:val="21"/>
          <w:szCs w:val="21"/>
          <w:lang w:val="es-ES_tradnl"/>
        </w:rPr>
      </w:pPr>
      <w:r>
        <w:rPr>
          <w:rFonts w:ascii="Arial" w:hAnsi="Arial" w:cs="Arial"/>
          <w:sz w:val="21"/>
          <w:szCs w:val="21"/>
          <w:lang w:val="es-ES_tradnl"/>
        </w:rPr>
        <w:lastRenderedPageBreak/>
        <w:t>“</w:t>
      </w:r>
      <w:r w:rsidRPr="009609C3">
        <w:rPr>
          <w:rFonts w:ascii="Arial" w:hAnsi="Arial" w:cs="Arial"/>
          <w:sz w:val="21"/>
          <w:szCs w:val="21"/>
          <w:lang w:val="es-ES_tradnl"/>
        </w:rPr>
        <w:t>solicitamos amablemente nos informe, cuál es la postura de la Agencia para las elecciones del 29 de octubre de 2023, lineamientos adicionales a los establecidos en la Ley 996 de 2005 en el parágrafo del artículo 38, en relación con la contratación de las entidades, los contratos interadministrativos, y en especial, la modificación de planta de personal que llegase a abarcar los contratos de prestación de servicios, y los denominados de apoyo a la gestión</w:t>
      </w:r>
      <w:r>
        <w:rPr>
          <w:rFonts w:ascii="Arial" w:hAnsi="Arial" w:cs="Arial"/>
          <w:sz w:val="21"/>
          <w:szCs w:val="21"/>
          <w:lang w:val="es-ES_tradnl"/>
        </w:rPr>
        <w:t xml:space="preserve">”. </w:t>
      </w:r>
    </w:p>
    <w:p w:rsidR="002F0EF2" w:rsidRPr="007A0C25" w:rsidRDefault="002F0EF2" w:rsidP="002F0EF2">
      <w:pPr>
        <w:ind w:left="567" w:right="788"/>
        <w:contextualSpacing/>
        <w:jc w:val="both"/>
        <w:rPr>
          <w:rFonts w:ascii="Arial" w:hAnsi="Arial" w:cs="Arial"/>
          <w:sz w:val="21"/>
          <w:szCs w:val="21"/>
          <w:lang w:val="es-ES_tradnl"/>
        </w:rPr>
      </w:pPr>
    </w:p>
    <w:p w:rsidR="002F0EF2" w:rsidRPr="007A0C25" w:rsidRDefault="002F0EF2" w:rsidP="002F0EF2">
      <w:pPr>
        <w:contextualSpacing/>
        <w:rPr>
          <w:rFonts w:ascii="Arial" w:hAnsi="Arial" w:cs="Arial"/>
          <w:b/>
          <w:lang w:val="es-ES_tradnl"/>
        </w:rPr>
      </w:pPr>
      <w:r w:rsidRPr="007A0C25">
        <w:rPr>
          <w:rFonts w:ascii="Arial" w:hAnsi="Arial" w:cs="Arial"/>
          <w:b/>
          <w:lang w:val="es-ES_tradnl"/>
        </w:rPr>
        <w:t xml:space="preserve">2. Consideraciones </w:t>
      </w:r>
    </w:p>
    <w:p w:rsidR="002F0EF2" w:rsidRPr="007A0C25" w:rsidRDefault="002F0EF2" w:rsidP="002F0EF2">
      <w:pPr>
        <w:contextualSpacing/>
        <w:jc w:val="both"/>
        <w:rPr>
          <w:rFonts w:ascii="Arial" w:hAnsi="Arial" w:cs="Arial"/>
          <w:bCs/>
          <w:lang w:val="es-ES"/>
        </w:rPr>
      </w:pPr>
    </w:p>
    <w:p w:rsidR="002F0EF2" w:rsidRPr="00BD40F9" w:rsidRDefault="002F0EF2" w:rsidP="002F0EF2">
      <w:pPr>
        <w:spacing w:after="120" w:line="276" w:lineRule="auto"/>
        <w:jc w:val="both"/>
        <w:rPr>
          <w:rFonts w:ascii="Arial" w:eastAsia="Calibri" w:hAnsi="Arial" w:cs="Arial"/>
          <w:lang w:val="es-ES_tradnl"/>
        </w:rPr>
      </w:pPr>
      <w:r w:rsidRPr="00BD40F9">
        <w:rPr>
          <w:rFonts w:ascii="Arial" w:eastAsia="Arial" w:hAnsi="Arial" w:cs="Arial"/>
          <w:lang w:val="es-MX" w:eastAsia="es-ES_tradnl"/>
        </w:rPr>
        <w:t>En ejercicio de las competencias establecidas en los artículos 3</w:t>
      </w:r>
      <w:r>
        <w:rPr>
          <w:rFonts w:ascii="Arial" w:eastAsia="Arial" w:hAnsi="Arial" w:cs="Arial"/>
          <w:lang w:val="es-MX" w:eastAsia="es-ES_tradnl"/>
        </w:rPr>
        <w:t xml:space="preserve">, numeral </w:t>
      </w:r>
      <w:r w:rsidRPr="00BD40F9">
        <w:rPr>
          <w:rFonts w:ascii="Arial" w:eastAsia="Arial" w:hAnsi="Arial" w:cs="Arial"/>
          <w:lang w:val="es-MX" w:eastAsia="es-ES_tradnl"/>
        </w:rPr>
        <w:t>5</w:t>
      </w:r>
      <w:r>
        <w:rPr>
          <w:rFonts w:ascii="Arial" w:eastAsia="Arial" w:hAnsi="Arial" w:cs="Arial"/>
          <w:lang w:val="es-MX" w:eastAsia="es-ES_tradnl"/>
        </w:rPr>
        <w:t>°</w:t>
      </w:r>
      <w:r w:rsidRPr="00BD40F9">
        <w:rPr>
          <w:rFonts w:ascii="Arial" w:eastAsia="Arial" w:hAnsi="Arial" w:cs="Arial"/>
          <w:lang w:val="es-MX" w:eastAsia="es-ES_tradnl"/>
        </w:rPr>
        <w:t xml:space="preserve"> y 11</w:t>
      </w:r>
      <w:r>
        <w:rPr>
          <w:rFonts w:ascii="Arial" w:eastAsia="Arial" w:hAnsi="Arial" w:cs="Arial"/>
          <w:lang w:val="es-MX" w:eastAsia="es-ES_tradnl"/>
        </w:rPr>
        <w:t xml:space="preserve">, numeral </w:t>
      </w:r>
      <w:r w:rsidRPr="00BD40F9">
        <w:rPr>
          <w:rFonts w:ascii="Arial" w:eastAsia="Arial" w:hAnsi="Arial" w:cs="Arial"/>
          <w:lang w:val="es-MX" w:eastAsia="es-ES_tradnl"/>
        </w:rPr>
        <w:t>8</w:t>
      </w:r>
      <w:r>
        <w:rPr>
          <w:rFonts w:ascii="Arial" w:eastAsia="Arial" w:hAnsi="Arial" w:cs="Arial"/>
          <w:lang w:val="es-MX" w:eastAsia="es-ES_tradnl"/>
        </w:rPr>
        <w:t>°</w:t>
      </w:r>
      <w:r w:rsidRPr="00BD40F9">
        <w:rPr>
          <w:rFonts w:ascii="Arial" w:eastAsia="Arial" w:hAnsi="Arial" w:cs="Arial"/>
          <w:lang w:val="es-MX" w:eastAsia="es-ES_tradnl"/>
        </w:rPr>
        <w:t xml:space="preserve">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BD40F9">
        <w:rPr>
          <w:rFonts w:ascii="Arial" w:eastAsia="Arial" w:hAnsi="Arial" w:cs="Arial"/>
          <w:vertAlign w:val="superscript"/>
          <w:lang w:val="es-MX" w:eastAsia="es-ES_tradnl"/>
        </w:rPr>
        <w:footnoteReference w:id="1"/>
      </w:r>
      <w:r w:rsidRPr="00BD40F9">
        <w:rPr>
          <w:rFonts w:ascii="Arial" w:eastAsia="Arial" w:hAnsi="Arial" w:cs="Arial"/>
          <w:lang w:val="es-MX" w:eastAsia="es-ES_tradnl"/>
        </w:rPr>
        <w:t xml:space="preserve">. </w:t>
      </w:r>
      <w:r w:rsidRPr="00BD40F9">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rsidR="002F0EF2" w:rsidRDefault="002F0EF2" w:rsidP="002F0EF2">
      <w:pPr>
        <w:spacing w:after="120" w:line="276" w:lineRule="auto"/>
        <w:ind w:firstLine="708"/>
        <w:jc w:val="both"/>
        <w:rPr>
          <w:rFonts w:ascii="Arial" w:eastAsia="Calibri" w:hAnsi="Arial" w:cs="Arial"/>
          <w:lang w:val="es-ES"/>
        </w:rPr>
      </w:pPr>
      <w:r w:rsidRPr="00BD40F9">
        <w:rPr>
          <w:rFonts w:ascii="Arial" w:eastAsia="Calibri" w:hAnsi="Arial"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w:t>
      </w:r>
      <w:r>
        <w:rPr>
          <w:rFonts w:ascii="Arial" w:eastAsia="Calibri" w:hAnsi="Arial" w:cs="Arial"/>
          <w:lang w:val="es-ES_tradnl"/>
        </w:rPr>
        <w:t>sos puntuales</w:t>
      </w:r>
      <w:r w:rsidRPr="00BD40F9">
        <w:rPr>
          <w:rFonts w:ascii="Arial" w:eastAsia="Calibri" w:hAnsi="Arial" w:cs="Arial"/>
          <w:lang w:val="es-ES_tradnl"/>
        </w:rPr>
        <w:t>.</w:t>
      </w:r>
      <w:r>
        <w:rPr>
          <w:rFonts w:ascii="Arial" w:eastAsia="Calibri" w:hAnsi="Arial" w:cs="Arial"/>
        </w:rPr>
        <w:t xml:space="preserve"> </w:t>
      </w:r>
      <w:r w:rsidRPr="00BD40F9">
        <w:rPr>
          <w:rFonts w:ascii="Arial" w:eastAsia="Calibri" w:hAnsi="Arial" w:cs="Arial"/>
        </w:rPr>
        <w:t xml:space="preserve">Así las cosas, </w:t>
      </w:r>
      <w:r w:rsidRPr="00BD40F9">
        <w:rPr>
          <w:rFonts w:ascii="Arial" w:eastAsia="Calibri" w:hAnsi="Arial" w:cs="Arial"/>
          <w:lang w:val="es-ES"/>
        </w:rPr>
        <w:t xml:space="preserve">la Agencia –dentro de los límites de sus atribuciones, esto es, </w:t>
      </w:r>
      <w:bookmarkStart w:id="5" w:name="_Hlk61025408"/>
      <w:r w:rsidRPr="00BD40F9">
        <w:rPr>
          <w:rFonts w:ascii="Arial" w:eastAsia="Calibri" w:hAnsi="Arial" w:cs="Arial"/>
          <w:lang w:val="es-ES"/>
        </w:rPr>
        <w:t>haciendo abstracción del caso particular expuesto</w:t>
      </w:r>
      <w:bookmarkEnd w:id="5"/>
      <w:r w:rsidRPr="00BD40F9">
        <w:rPr>
          <w:rFonts w:ascii="Arial" w:eastAsia="Calibri" w:hAnsi="Arial" w:cs="Arial"/>
          <w:lang w:val="es-ES"/>
        </w:rPr>
        <w:t xml:space="preserve">, resolverá la consulta conforme a las normas generales en materia de contratación estatal. </w:t>
      </w:r>
    </w:p>
    <w:p w:rsidR="002F0EF2" w:rsidRPr="009609C3" w:rsidRDefault="002F0EF2" w:rsidP="002F0EF2">
      <w:pPr>
        <w:spacing w:after="120" w:line="276" w:lineRule="auto"/>
        <w:ind w:firstLine="708"/>
        <w:jc w:val="both"/>
        <w:rPr>
          <w:rFonts w:ascii="Arial" w:eastAsia="Calibri" w:hAnsi="Arial" w:cs="Arial"/>
          <w:lang w:val="es-ES"/>
        </w:rPr>
      </w:pPr>
      <w:r w:rsidRPr="00146F73">
        <w:rPr>
          <w:rFonts w:ascii="Arial" w:hAnsi="Arial" w:cs="Arial"/>
          <w:bCs/>
          <w:lang w:val="es-ES"/>
        </w:rPr>
        <w:t xml:space="preserve">Para responder su solicitud, </w:t>
      </w:r>
      <w:r>
        <w:rPr>
          <w:rFonts w:ascii="Arial" w:hAnsi="Arial" w:cs="Arial"/>
          <w:bCs/>
          <w:lang w:val="es-ES"/>
        </w:rPr>
        <w:t xml:space="preserve">esta </w:t>
      </w:r>
      <w:r w:rsidRPr="00146F73">
        <w:rPr>
          <w:rFonts w:ascii="Arial" w:hAnsi="Arial" w:cs="Arial"/>
          <w:bCs/>
          <w:lang w:val="es-ES"/>
        </w:rPr>
        <w:t xml:space="preserve">Subdirección analizará los siguientes </w:t>
      </w:r>
      <w:proofErr w:type="gramStart"/>
      <w:r w:rsidRPr="00146F73">
        <w:rPr>
          <w:rFonts w:ascii="Arial" w:hAnsi="Arial" w:cs="Arial"/>
          <w:bCs/>
          <w:lang w:val="es-ES"/>
        </w:rPr>
        <w:t>temas:</w:t>
      </w:r>
      <w:r w:rsidRPr="007A0C25">
        <w:rPr>
          <w:rFonts w:ascii="Arial" w:hAnsi="Arial" w:cs="Arial"/>
          <w:bCs/>
          <w:lang w:val="es-ES"/>
        </w:rPr>
        <w:t>:</w:t>
      </w:r>
      <w:proofErr w:type="gramEnd"/>
      <w:r w:rsidRPr="007A0C25">
        <w:rPr>
          <w:rFonts w:ascii="Arial" w:hAnsi="Arial" w:cs="Arial"/>
          <w:bCs/>
          <w:lang w:val="es-ES"/>
        </w:rPr>
        <w:t xml:space="preserve"> </w:t>
      </w:r>
      <w:r w:rsidRPr="007A0C25">
        <w:rPr>
          <w:rFonts w:ascii="Arial" w:hAnsi="Arial" w:cs="Arial"/>
          <w:bCs/>
        </w:rPr>
        <w:t>i) definición y finalidad de la Ley de Garantías Electorales</w:t>
      </w:r>
      <w:r>
        <w:rPr>
          <w:rFonts w:ascii="Arial" w:hAnsi="Arial" w:cs="Arial"/>
          <w:bCs/>
        </w:rPr>
        <w:t xml:space="preserve"> y </w:t>
      </w:r>
      <w:r w:rsidRPr="007A0C25">
        <w:rPr>
          <w:rFonts w:ascii="Arial" w:hAnsi="Arial" w:cs="Arial"/>
          <w:bCs/>
        </w:rPr>
        <w:t>i</w:t>
      </w:r>
      <w:r>
        <w:rPr>
          <w:rFonts w:ascii="Arial" w:hAnsi="Arial" w:cs="Arial"/>
          <w:bCs/>
        </w:rPr>
        <w:t>i</w:t>
      </w:r>
      <w:r w:rsidRPr="007A0C25">
        <w:rPr>
          <w:rFonts w:ascii="Arial" w:hAnsi="Arial" w:cs="Arial"/>
          <w:bCs/>
        </w:rPr>
        <w:t xml:space="preserve">) restricciones en los comicios para cargos de elección popular. </w:t>
      </w:r>
    </w:p>
    <w:p w:rsidR="002F0EF2" w:rsidRPr="007A0C25" w:rsidRDefault="002F0EF2" w:rsidP="002F0EF2">
      <w:pPr>
        <w:tabs>
          <w:tab w:val="left" w:pos="426"/>
        </w:tabs>
        <w:spacing w:after="0" w:line="276" w:lineRule="auto"/>
        <w:ind w:firstLine="709"/>
        <w:jc w:val="both"/>
        <w:rPr>
          <w:rFonts w:ascii="Arial" w:eastAsia="Calibri" w:hAnsi="Arial" w:cs="Arial"/>
          <w:lang w:val="es-ES_tradnl"/>
        </w:rPr>
      </w:pPr>
      <w:bookmarkStart w:id="6" w:name="_Hlk96420693"/>
      <w:r w:rsidRPr="007A0C25">
        <w:rPr>
          <w:rFonts w:ascii="Arial" w:eastAsia="Calibri" w:hAnsi="Arial" w:cs="Arial"/>
          <w:lang w:val="es-ES_tradnl"/>
        </w:rPr>
        <w:t xml:space="preserve">La Agencia Nacional de Contratación Pública – Colombia Compra Eficiente ha impartido lineamientos sobre la aplicación de la Ley 996 de 2005 y también se ha pronunciado al respecto, </w:t>
      </w:r>
      <w:r w:rsidRPr="007A0C25">
        <w:rPr>
          <w:rFonts w:ascii="Arial" w:eastAsia="Calibri" w:hAnsi="Arial" w:cs="Arial"/>
          <w:lang w:val="es-ES_tradnl"/>
        </w:rPr>
        <w:lastRenderedPageBreak/>
        <w:t xml:space="preserve">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Pr="007A0C25">
        <w:rPr>
          <w:rFonts w:ascii="Arial" w:eastAsia="Calibri" w:hAnsi="Arial" w:cs="Arial"/>
          <w:bCs/>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Pr>
          <w:rFonts w:ascii="Arial" w:eastAsia="Calibri" w:hAnsi="Arial" w:cs="Arial"/>
          <w:bCs/>
        </w:rPr>
        <w:t>,</w:t>
      </w:r>
      <w:r w:rsidRPr="007A0C25">
        <w:rPr>
          <w:rFonts w:ascii="Arial" w:eastAsia="Calibri" w:hAnsi="Arial" w:cs="Arial"/>
          <w:bCs/>
        </w:rPr>
        <w:t xml:space="preserve"> C-164 del 22 de marzo de 2022</w:t>
      </w:r>
      <w:r>
        <w:rPr>
          <w:rFonts w:ascii="Arial" w:eastAsia="Calibri" w:hAnsi="Arial" w:cs="Arial"/>
          <w:bCs/>
        </w:rPr>
        <w:t>, C-608 del 23 de septiembre de 2022 y C-049 de 14 de abril de 2023</w:t>
      </w:r>
      <w:r w:rsidRPr="007A0C25">
        <w:rPr>
          <w:rFonts w:ascii="Arial" w:eastAsia="Calibri" w:hAnsi="Arial" w:cs="Arial"/>
          <w:lang w:val="es-ES_tradnl"/>
        </w:rPr>
        <w:t>. La tesis desarrollada en estos conceptos se reitera y complementa a continuación:</w:t>
      </w:r>
      <w:bookmarkEnd w:id="6"/>
    </w:p>
    <w:p w:rsidR="002F0EF2" w:rsidRPr="007A0C25" w:rsidRDefault="002F0EF2" w:rsidP="002F0EF2">
      <w:pPr>
        <w:tabs>
          <w:tab w:val="left" w:pos="426"/>
        </w:tabs>
        <w:spacing w:line="276" w:lineRule="auto"/>
        <w:contextualSpacing/>
        <w:jc w:val="both"/>
        <w:rPr>
          <w:rFonts w:ascii="Arial" w:eastAsia="Calibri" w:hAnsi="Arial" w:cs="Arial"/>
          <w:lang w:val="es-ES_tradnl"/>
        </w:rPr>
      </w:pPr>
    </w:p>
    <w:p w:rsidR="002F0EF2" w:rsidRPr="007A0C25" w:rsidRDefault="002F0EF2" w:rsidP="002F0EF2">
      <w:pPr>
        <w:tabs>
          <w:tab w:val="left" w:pos="426"/>
        </w:tabs>
        <w:spacing w:line="276" w:lineRule="auto"/>
        <w:contextualSpacing/>
        <w:jc w:val="both"/>
        <w:rPr>
          <w:rFonts w:ascii="Arial" w:eastAsia="Calibri" w:hAnsi="Arial" w:cs="Arial"/>
          <w:b/>
          <w:bCs/>
        </w:rPr>
      </w:pPr>
      <w:r w:rsidRPr="007A0C25">
        <w:rPr>
          <w:rFonts w:ascii="Arial" w:eastAsia="Calibri" w:hAnsi="Arial" w:cs="Arial"/>
          <w:b/>
          <w:bCs/>
        </w:rPr>
        <w:t>2.1. Definición y finalidad de la Ley de Garantías Electorales: alcance de las restricciones</w:t>
      </w:r>
    </w:p>
    <w:p w:rsidR="002F0EF2" w:rsidRPr="007A0C25" w:rsidRDefault="002F0EF2" w:rsidP="002F0EF2">
      <w:pPr>
        <w:tabs>
          <w:tab w:val="left" w:pos="426"/>
        </w:tabs>
        <w:spacing w:line="276" w:lineRule="auto"/>
        <w:ind w:firstLine="709"/>
        <w:contextualSpacing/>
        <w:jc w:val="both"/>
        <w:rPr>
          <w:rFonts w:ascii="Arial" w:eastAsia="Calibri" w:hAnsi="Arial" w:cs="Arial"/>
          <w:bCs/>
        </w:rPr>
      </w:pPr>
    </w:p>
    <w:p w:rsidR="002F0EF2" w:rsidRPr="007A0C25" w:rsidRDefault="002F0EF2" w:rsidP="002F0EF2">
      <w:pPr>
        <w:tabs>
          <w:tab w:val="left" w:pos="426"/>
        </w:tabs>
        <w:spacing w:after="120" w:line="276" w:lineRule="auto"/>
        <w:jc w:val="both"/>
        <w:rPr>
          <w:rFonts w:ascii="Arial" w:hAnsi="Arial" w:cs="Arial"/>
          <w:bCs/>
          <w:lang w:eastAsia="es-CO"/>
        </w:rPr>
      </w:pPr>
      <w:r w:rsidRPr="007A0C25">
        <w:rPr>
          <w:rFonts w:ascii="Arial" w:eastAsia="Calibri" w:hAnsi="Arial" w:cs="Arial"/>
          <w:bCs/>
        </w:rPr>
        <w:t>El ordenamiento jurídico colombiano contempla previsiones claras para evitar la obtención de beneficios personales en asuntos propios de la administración pública</w:t>
      </w:r>
      <w:r w:rsidRPr="007A0C25">
        <w:rPr>
          <w:rFonts w:ascii="Arial" w:eastAsia="Calibri" w:hAnsi="Arial" w:cs="Arial"/>
          <w:bCs/>
          <w:i/>
          <w:iCs/>
        </w:rPr>
        <w:t xml:space="preserve">. </w:t>
      </w:r>
      <w:r w:rsidRPr="007A0C25">
        <w:rPr>
          <w:rFonts w:ascii="Arial" w:eastAsia="Calibri" w:hAnsi="Arial" w:cs="Arial"/>
          <w:bCs/>
        </w:rPr>
        <w:t xml:space="preserve">Por ejemplo, el artículo 127 de la Constitución Política establece una prohibición contractual a los servidores públicos y </w:t>
      </w:r>
      <w:r w:rsidRPr="007A0C25">
        <w:rPr>
          <w:rFonts w:ascii="Arial" w:eastAsia="Calibri" w:hAnsi="Arial" w:cs="Arial"/>
          <w:bCs/>
        </w:rPr>
        <w:lastRenderedPageBreak/>
        <w:t>en cuanto a aspectos políticos consagra restricciones a ciertos empleados del Estado, incluso en época no electoral</w:t>
      </w:r>
      <w:r w:rsidRPr="007A0C25">
        <w:rPr>
          <w:rFonts w:ascii="Arial" w:eastAsia="Calibri" w:hAnsi="Arial" w:cs="Arial"/>
          <w:bCs/>
          <w:vertAlign w:val="superscript"/>
        </w:rPr>
        <w:footnoteReference w:id="2"/>
      </w:r>
      <w:r w:rsidRPr="007A0C25">
        <w:rPr>
          <w:rFonts w:ascii="Arial" w:eastAsia="Calibri" w:hAnsi="Arial" w:cs="Arial"/>
          <w:bCs/>
        </w:rPr>
        <w:t xml:space="preserve">. </w:t>
      </w:r>
    </w:p>
    <w:p w:rsidR="002F0EF2" w:rsidRPr="007A0C25" w:rsidRDefault="002F0EF2" w:rsidP="002F0EF2">
      <w:pPr>
        <w:tabs>
          <w:tab w:val="left" w:pos="426"/>
        </w:tabs>
        <w:spacing w:line="276" w:lineRule="auto"/>
        <w:ind w:firstLine="709"/>
        <w:jc w:val="both"/>
        <w:rPr>
          <w:rFonts w:ascii="Arial" w:hAnsi="Arial" w:cs="Arial"/>
          <w:bCs/>
          <w:lang w:eastAsia="es-CO"/>
        </w:rPr>
      </w:pPr>
      <w:r w:rsidRPr="007A0C25">
        <w:rPr>
          <w:rFonts w:ascii="Arial" w:hAnsi="Arial" w:cs="Arial"/>
          <w:bCs/>
          <w:lang w:eastAsia="es-CO"/>
        </w:rPr>
        <w:t xml:space="preserve">En el mismo sentido, </w:t>
      </w:r>
      <w:bookmarkStart w:id="7" w:name="_Hlk99576829"/>
      <w:r w:rsidRPr="007A0C25">
        <w:rPr>
          <w:rFonts w:ascii="Arial" w:hAnsi="Arial" w:cs="Arial"/>
          <w:bCs/>
          <w:lang w:eastAsia="es-CO"/>
        </w:rPr>
        <w:t xml:space="preserve">la Ley 996 de 2005, conocida como </w:t>
      </w:r>
      <w:r>
        <w:rPr>
          <w:rFonts w:ascii="Arial" w:hAnsi="Arial" w:cs="Arial"/>
          <w:bCs/>
          <w:lang w:eastAsia="es-CO"/>
        </w:rPr>
        <w:t>“</w:t>
      </w:r>
      <w:r w:rsidRPr="007A0C25">
        <w:rPr>
          <w:rFonts w:ascii="Arial" w:hAnsi="Arial" w:cs="Arial"/>
          <w:bCs/>
          <w:lang w:eastAsia="es-CO"/>
        </w:rPr>
        <w:t>Ley de Garantías Electorales</w:t>
      </w:r>
      <w:r>
        <w:rPr>
          <w:rFonts w:ascii="Arial" w:hAnsi="Arial" w:cs="Arial"/>
          <w:bCs/>
          <w:lang w:eastAsia="es-CO"/>
        </w:rPr>
        <w:t>”</w:t>
      </w:r>
      <w:r w:rsidRPr="007A0C25">
        <w:rPr>
          <w:rFonts w:ascii="Arial" w:hAnsi="Arial" w:cs="Arial"/>
          <w:bCs/>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A0C25">
        <w:rPr>
          <w:rFonts w:ascii="Arial" w:hAnsi="Arial" w:cs="Arial"/>
          <w:bCs/>
          <w:vertAlign w:val="superscript"/>
          <w:lang w:eastAsia="es-CO"/>
        </w:rPr>
        <w:footnoteReference w:id="3"/>
      </w:r>
      <w:r w:rsidRPr="007A0C25">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w:t>
      </w:r>
      <w:r w:rsidRPr="007A0C25">
        <w:rPr>
          <w:rFonts w:ascii="Arial" w:eastAsia="Calibri" w:hAnsi="Arial" w:cs="Arial"/>
          <w:noProof/>
          <w:lang w:val="es-ES_tradnl"/>
        </w:rPr>
        <w:t xml:space="preserve"> </w:t>
      </w:r>
      <w:bookmarkEnd w:id="7"/>
      <w:r w:rsidRPr="007A0C25">
        <w:rPr>
          <w:rFonts w:ascii="Arial" w:hAnsi="Arial" w:cs="Arial"/>
          <w:bCs/>
          <w:lang w:eastAsia="es-CO"/>
        </w:rPr>
        <w:t>En armonía con lo anterior, la Corte Constitucional ha abordado la definición de la Ley de Garantías Electorales. De esta manera, explica que tiene como propósito:</w:t>
      </w:r>
    </w:p>
    <w:p w:rsidR="002F0EF2" w:rsidRPr="007A0C25" w:rsidRDefault="002F0EF2" w:rsidP="002F0EF2">
      <w:pPr>
        <w:ind w:right="709"/>
        <w:contextualSpacing/>
        <w:jc w:val="both"/>
        <w:rPr>
          <w:rFonts w:ascii="Arial" w:hAnsi="Arial" w:cs="Arial"/>
          <w:color w:val="FF0000"/>
          <w:lang w:val="es-ES" w:eastAsia="es-CO"/>
        </w:rPr>
      </w:pPr>
    </w:p>
    <w:p w:rsidR="002F0EF2" w:rsidRPr="007A0C25" w:rsidRDefault="002F0EF2" w:rsidP="002F0EF2">
      <w:pPr>
        <w:ind w:left="709" w:right="709"/>
        <w:contextualSpacing/>
        <w:jc w:val="both"/>
        <w:rPr>
          <w:rFonts w:ascii="Arial" w:hAnsi="Arial" w:cs="Arial"/>
          <w:bCs/>
          <w:sz w:val="21"/>
          <w:szCs w:val="21"/>
          <w:lang w:eastAsia="es-CO"/>
        </w:rPr>
      </w:pPr>
      <w:r w:rsidRPr="007A0C25">
        <w:rPr>
          <w:rFonts w:ascii="Arial" w:hAnsi="Arial" w:cs="Arial"/>
          <w:sz w:val="21"/>
          <w:szCs w:val="21"/>
          <w:lang w:val="es-ES" w:eastAsia="es-CO"/>
        </w:rPr>
        <w:t xml:space="preserve">[…] </w:t>
      </w:r>
      <w:r w:rsidRPr="007A0C25">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rsidR="002F0EF2" w:rsidRPr="007A0C25" w:rsidRDefault="002F0EF2" w:rsidP="002F0EF2">
      <w:pPr>
        <w:ind w:left="709" w:right="709"/>
        <w:contextualSpacing/>
        <w:jc w:val="both"/>
        <w:rPr>
          <w:rFonts w:ascii="Arial" w:hAnsi="Arial" w:cs="Arial"/>
          <w:bCs/>
          <w:sz w:val="21"/>
          <w:szCs w:val="21"/>
          <w:lang w:eastAsia="es-CO"/>
        </w:rPr>
      </w:pPr>
    </w:p>
    <w:p w:rsidR="002F0EF2" w:rsidRPr="007A0C25" w:rsidRDefault="002F0EF2" w:rsidP="002F0EF2">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 </w:t>
      </w:r>
    </w:p>
    <w:p w:rsidR="002F0EF2" w:rsidRPr="007A0C25" w:rsidRDefault="002F0EF2" w:rsidP="002F0EF2">
      <w:pPr>
        <w:ind w:right="709"/>
        <w:contextualSpacing/>
        <w:jc w:val="both"/>
        <w:rPr>
          <w:rFonts w:ascii="Arial" w:hAnsi="Arial" w:cs="Arial"/>
          <w:bCs/>
          <w:sz w:val="21"/>
          <w:szCs w:val="21"/>
          <w:lang w:eastAsia="es-CO"/>
        </w:rPr>
      </w:pPr>
    </w:p>
    <w:p w:rsidR="002F0EF2" w:rsidRPr="007A0C25" w:rsidRDefault="002F0EF2" w:rsidP="002F0EF2">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7A0C25">
        <w:rPr>
          <w:rFonts w:ascii="Arial" w:eastAsia="Calibri" w:hAnsi="Arial" w:cs="Arial"/>
          <w:sz w:val="21"/>
          <w:szCs w:val="21"/>
          <w:vertAlign w:val="superscript"/>
        </w:rPr>
        <w:footnoteReference w:id="4"/>
      </w:r>
    </w:p>
    <w:p w:rsidR="002F0EF2" w:rsidRPr="007A0C25" w:rsidRDefault="002F0EF2" w:rsidP="002F0EF2">
      <w:pPr>
        <w:spacing w:line="276" w:lineRule="auto"/>
        <w:ind w:left="708" w:right="709"/>
        <w:contextualSpacing/>
        <w:jc w:val="both"/>
        <w:rPr>
          <w:rFonts w:ascii="Arial" w:hAnsi="Arial" w:cs="Arial"/>
          <w:bCs/>
          <w:lang w:eastAsia="es-CO"/>
        </w:rPr>
      </w:pPr>
    </w:p>
    <w:p w:rsidR="002F0EF2" w:rsidRPr="007A0C25" w:rsidRDefault="002F0EF2" w:rsidP="002F0EF2">
      <w:pPr>
        <w:spacing w:line="276" w:lineRule="auto"/>
        <w:ind w:firstLine="709"/>
        <w:contextualSpacing/>
        <w:jc w:val="both"/>
        <w:rPr>
          <w:rFonts w:ascii="Arial" w:hAnsi="Arial" w:cs="Arial"/>
          <w:bCs/>
          <w:lang w:eastAsia="es-CO"/>
        </w:rPr>
      </w:pPr>
      <w:bookmarkStart w:id="8" w:name="_Hlk78818186"/>
      <w:r w:rsidRPr="007A0C25">
        <w:rPr>
          <w:rFonts w:ascii="Arial" w:hAnsi="Arial" w:cs="Arial"/>
          <w:bCs/>
          <w:lang w:eastAsia="es-CO"/>
        </w:rPr>
        <w:t xml:space="preserve">En este contexto, la Ley de Garantías Electorales establece el marco jurídico para el desarrollo de las elecciones, procurando condiciones de igualdad y transparencia para los </w:t>
      </w:r>
      <w:r w:rsidRPr="007A0C25">
        <w:rPr>
          <w:rFonts w:ascii="Arial" w:hAnsi="Arial" w:cs="Arial"/>
          <w:bCs/>
          <w:lang w:eastAsia="es-CO"/>
        </w:rPr>
        <w:lastRenderedPageBreak/>
        <w:t xml:space="preserve">aspirantes y paralelamente se incluyen restricciones en el actuar de los servidores públicos, evitando interferencias en la contienda electoral, así como la posible desviación de recursos públicos en aspiraciones electorales. </w:t>
      </w:r>
      <w:bookmarkEnd w:id="8"/>
      <w:r w:rsidRPr="007A0C25">
        <w:rPr>
          <w:rFonts w:ascii="Arial" w:hAnsi="Arial" w:cs="Arial"/>
          <w:bCs/>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rsidR="002F0EF2" w:rsidRPr="007A0C25" w:rsidRDefault="002F0EF2" w:rsidP="002F0EF2">
      <w:pPr>
        <w:spacing w:line="276" w:lineRule="auto"/>
        <w:ind w:firstLine="709"/>
        <w:contextualSpacing/>
        <w:jc w:val="both"/>
        <w:rPr>
          <w:rFonts w:ascii="Arial" w:hAnsi="Arial" w:cs="Arial"/>
          <w:bCs/>
          <w:lang w:eastAsia="es-CO"/>
        </w:rPr>
      </w:pPr>
    </w:p>
    <w:p w:rsidR="002F0EF2" w:rsidRPr="007A0C25" w:rsidRDefault="002F0EF2" w:rsidP="002F0EF2">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7A0C25">
        <w:rPr>
          <w:rFonts w:ascii="Arial" w:hAnsi="Arial" w:cs="Arial"/>
          <w:bCs/>
          <w:sz w:val="21"/>
          <w:szCs w:val="21"/>
          <w:lang w:eastAsia="es-CO"/>
        </w:rPr>
        <w:t>legis</w:t>
      </w:r>
      <w:proofErr w:type="spellEnd"/>
      <w:r w:rsidRPr="007A0C25">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002F0EF2" w:rsidRPr="007A0C25" w:rsidRDefault="002F0EF2" w:rsidP="002F0EF2">
      <w:pPr>
        <w:ind w:left="709" w:right="709"/>
        <w:contextualSpacing/>
        <w:jc w:val="both"/>
        <w:rPr>
          <w:rFonts w:ascii="Arial" w:hAnsi="Arial" w:cs="Arial"/>
          <w:bCs/>
          <w:sz w:val="21"/>
          <w:szCs w:val="21"/>
          <w:lang w:eastAsia="es-CO"/>
        </w:rPr>
      </w:pPr>
    </w:p>
    <w:p w:rsidR="002F0EF2" w:rsidRPr="007A0C25" w:rsidRDefault="002F0EF2" w:rsidP="002F0EF2">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La jurisprudencia de la Corte Constitucional</w:t>
      </w:r>
      <w:r w:rsidRPr="007A0C25">
        <w:rPr>
          <w:rFonts w:ascii="Arial" w:hAnsi="Arial" w:cs="Arial"/>
          <w:bCs/>
          <w:sz w:val="21"/>
          <w:szCs w:val="21"/>
          <w:vertAlign w:val="superscript"/>
          <w:lang w:eastAsia="es-CO"/>
        </w:rPr>
        <w:footnoteReference w:id="5"/>
      </w:r>
      <w:r w:rsidRPr="007A0C25">
        <w:rPr>
          <w:rFonts w:ascii="Arial" w:hAnsi="Arial" w:cs="Arial"/>
          <w:bCs/>
          <w:sz w:val="21"/>
          <w:szCs w:val="21"/>
          <w:lang w:eastAsia="es-CO"/>
        </w:rPr>
        <w:t> y del Consejo de Estado</w:t>
      </w:r>
      <w:r w:rsidRPr="007A0C25">
        <w:rPr>
          <w:rFonts w:ascii="Arial" w:hAnsi="Arial" w:cs="Arial"/>
          <w:bCs/>
          <w:sz w:val="21"/>
          <w:szCs w:val="21"/>
          <w:vertAlign w:val="superscript"/>
          <w:lang w:eastAsia="es-CO"/>
        </w:rPr>
        <w:footnoteReference w:id="6"/>
      </w:r>
      <w:r w:rsidRPr="007A0C25">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7A0C25">
        <w:rPr>
          <w:rFonts w:ascii="Arial" w:hAnsi="Arial" w:cs="Arial"/>
          <w:bCs/>
          <w:sz w:val="21"/>
          <w:szCs w:val="21"/>
          <w:vertAlign w:val="superscript"/>
          <w:lang w:eastAsia="es-CO"/>
        </w:rPr>
        <w:footnoteReference w:id="7"/>
      </w:r>
      <w:r w:rsidRPr="007A0C25">
        <w:rPr>
          <w:rFonts w:ascii="Arial" w:hAnsi="Arial" w:cs="Arial"/>
          <w:bCs/>
          <w:sz w:val="21"/>
          <w:szCs w:val="21"/>
          <w:lang w:eastAsia="es-CO"/>
        </w:rPr>
        <w:t>.</w:t>
      </w:r>
    </w:p>
    <w:p w:rsidR="002F0EF2" w:rsidRPr="007A0C25" w:rsidRDefault="002F0EF2" w:rsidP="002F0EF2">
      <w:pPr>
        <w:spacing w:line="276" w:lineRule="auto"/>
        <w:ind w:right="709"/>
        <w:contextualSpacing/>
        <w:jc w:val="both"/>
        <w:rPr>
          <w:rFonts w:ascii="Arial" w:hAnsi="Arial" w:cs="Arial"/>
          <w:bCs/>
          <w:color w:val="FF0000"/>
          <w:lang w:eastAsia="es-CO"/>
        </w:rPr>
      </w:pPr>
    </w:p>
    <w:p w:rsidR="002F0EF2" w:rsidRPr="007A0C25" w:rsidRDefault="002F0EF2" w:rsidP="002F0EF2">
      <w:pPr>
        <w:spacing w:after="120" w:line="276" w:lineRule="auto"/>
        <w:ind w:firstLine="709"/>
        <w:jc w:val="both"/>
        <w:rPr>
          <w:rFonts w:ascii="Arial" w:eastAsia="Arial" w:hAnsi="Arial" w:cs="Arial"/>
          <w:lang w:val="es-ES" w:eastAsia="es-ES" w:bidi="es-ES"/>
        </w:rPr>
      </w:pPr>
      <w:r w:rsidRPr="007A0C25">
        <w:rPr>
          <w:rFonts w:ascii="Arial" w:hAnsi="Arial" w:cs="Arial"/>
          <w:bCs/>
          <w:lang w:eastAsia="es-CO"/>
        </w:rPr>
        <w:t>De</w:t>
      </w:r>
      <w:r w:rsidRPr="007A0C25">
        <w:rPr>
          <w:rFonts w:ascii="Arial" w:eastAsia="Arial" w:hAnsi="Arial" w:cs="Arial"/>
          <w:lang w:val="es-ES" w:eastAsia="es-ES" w:bidi="es-ES"/>
        </w:rPr>
        <w:t xml:space="preserve"> conformidad con lo anterior, </w:t>
      </w:r>
      <w:bookmarkStart w:id="9" w:name="_Hlk77236098"/>
      <w:r w:rsidRPr="007A0C25">
        <w:rPr>
          <w:rFonts w:ascii="Arial" w:eastAsia="Arial" w:hAnsi="Arial" w:cs="Arial"/>
          <w:lang w:val="es-ES" w:eastAsia="es-ES"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w:t>
      </w:r>
      <w:r w:rsidRPr="007A0C25">
        <w:rPr>
          <w:rFonts w:ascii="Arial" w:eastAsia="Arial" w:hAnsi="Arial" w:cs="Arial"/>
          <w:lang w:val="es-ES" w:eastAsia="es-ES" w:bidi="es-ES"/>
        </w:rPr>
        <w:lastRenderedPageBreak/>
        <w:t>campañas electorales claramente diferenciadas: las presidenciales y las demás que se adelanten para la elección de los demás cargos de elección popular, tanto a nivel nacional como territorial.</w:t>
      </w:r>
      <w:bookmarkEnd w:id="9"/>
    </w:p>
    <w:p w:rsidR="002F0EF2" w:rsidRPr="007A0C25" w:rsidRDefault="002F0EF2" w:rsidP="002F0EF2">
      <w:pPr>
        <w:spacing w:after="120" w:line="276" w:lineRule="auto"/>
        <w:ind w:firstLine="708"/>
        <w:jc w:val="both"/>
        <w:rPr>
          <w:rFonts w:ascii="Arial" w:eastAsia="Calibri" w:hAnsi="Arial" w:cs="Arial"/>
        </w:rPr>
      </w:pPr>
      <w:r w:rsidRPr="007A0C25">
        <w:rPr>
          <w:rFonts w:ascii="Arial" w:eastAsia="Calibri" w:hAnsi="Arial" w:cs="Arial"/>
        </w:rPr>
        <w:t xml:space="preserve">Por un lado, el artículo 33 de la Ley 996 de 2005 prohíbe </w:t>
      </w:r>
      <w:r>
        <w:rPr>
          <w:rFonts w:ascii="Arial" w:eastAsia="Calibri" w:hAnsi="Arial" w:cs="Arial"/>
          <w:bCs/>
        </w:rPr>
        <w:t>“</w:t>
      </w:r>
      <w:r w:rsidRPr="007A0C25">
        <w:rPr>
          <w:rFonts w:ascii="Arial" w:eastAsia="Calibri" w:hAnsi="Arial" w:cs="Arial"/>
          <w:bCs/>
        </w:rPr>
        <w:t xml:space="preserve">[…] </w:t>
      </w:r>
      <w:r w:rsidRPr="007A0C25">
        <w:rPr>
          <w:rFonts w:ascii="Arial" w:eastAsia="Calibri" w:hAnsi="Arial" w:cs="Arial"/>
        </w:rPr>
        <w:t>la contratación directa por parte de todos los entes del Estado</w:t>
      </w:r>
      <w:r>
        <w:rPr>
          <w:rFonts w:ascii="Arial" w:eastAsia="Calibri" w:hAnsi="Arial" w:cs="Arial"/>
          <w:bCs/>
        </w:rPr>
        <w:t>”</w:t>
      </w:r>
      <w:r w:rsidRPr="007A0C25">
        <w:rPr>
          <w:rFonts w:ascii="Arial" w:eastAsia="Calibri" w:hAnsi="Arial" w:cs="Arial"/>
        </w:rPr>
        <w:t xml:space="preserve"> durante los cuatro (4) meses anteriores a las elecciones presidenciales, salvo </w:t>
      </w:r>
      <w:r>
        <w:rPr>
          <w:rFonts w:ascii="Arial" w:eastAsia="Calibri" w:hAnsi="Arial" w:cs="Arial"/>
          <w:bCs/>
        </w:rPr>
        <w:t>“</w:t>
      </w:r>
      <w:r w:rsidRPr="007A0C25">
        <w:rPr>
          <w:rFonts w:ascii="Arial" w:eastAsia="Calibri" w:hAnsi="Arial" w:cs="Arial"/>
          <w:bCs/>
        </w:rPr>
        <w:t xml:space="preserve">[…] </w:t>
      </w:r>
      <w:r w:rsidRPr="007A0C25">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bCs/>
        </w:rPr>
        <w:t>”</w:t>
      </w:r>
      <w:r w:rsidRPr="007A0C25">
        <w:rPr>
          <w:rFonts w:ascii="Arial" w:eastAsia="Calibri" w:hAnsi="Arial" w:cs="Arial"/>
          <w:bCs/>
          <w:vertAlign w:val="superscript"/>
        </w:rPr>
        <w:footnoteReference w:id="8"/>
      </w:r>
      <w:r w:rsidRPr="007A0C25">
        <w:rPr>
          <w:rFonts w:ascii="Arial" w:eastAsia="Calibri" w:hAnsi="Arial" w:cs="Arial"/>
        </w:rPr>
        <w:t>.</w:t>
      </w:r>
    </w:p>
    <w:p w:rsidR="002F0EF2" w:rsidRPr="007A0C25" w:rsidRDefault="002F0EF2" w:rsidP="002F0EF2">
      <w:pPr>
        <w:widowControl w:val="0"/>
        <w:autoSpaceDE w:val="0"/>
        <w:autoSpaceDN w:val="0"/>
        <w:spacing w:after="120" w:line="276" w:lineRule="auto"/>
        <w:ind w:right="113" w:firstLine="708"/>
        <w:jc w:val="both"/>
        <w:rPr>
          <w:rFonts w:ascii="Arial" w:eastAsia="Arial" w:hAnsi="Arial" w:cs="Arial"/>
          <w:lang w:val="es-ES" w:eastAsia="es-ES" w:bidi="es-ES"/>
        </w:rPr>
      </w:pPr>
      <w:r w:rsidRPr="007A0C25">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Pr>
          <w:rFonts w:ascii="Arial" w:eastAsia="Calibri" w:hAnsi="Arial" w:cs="Arial"/>
          <w:bCs/>
        </w:rPr>
        <w:t>“</w:t>
      </w:r>
      <w:r w:rsidRPr="007A0C25">
        <w:rPr>
          <w:rFonts w:ascii="Arial" w:eastAsia="Calibri" w:hAnsi="Arial" w:cs="Arial"/>
          <w:bCs/>
        </w:rPr>
        <w:t xml:space="preserve">[…] </w:t>
      </w:r>
      <w:r w:rsidRPr="007A0C25">
        <w:rPr>
          <w:rFonts w:ascii="Arial" w:eastAsia="Calibri" w:hAnsi="Arial" w:cs="Aria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bCs/>
        </w:rPr>
        <w:t>”</w:t>
      </w:r>
      <w:r w:rsidRPr="007A0C25">
        <w:rPr>
          <w:rFonts w:ascii="Arial" w:eastAsia="Calibri" w:hAnsi="Arial" w:cs="Arial"/>
          <w:bCs/>
          <w:vertAlign w:val="superscript"/>
        </w:rPr>
        <w:footnoteReference w:id="9"/>
      </w:r>
      <w:r w:rsidRPr="007A0C25">
        <w:rPr>
          <w:rFonts w:ascii="Arial" w:eastAsia="Calibri" w:hAnsi="Arial" w:cs="Arial"/>
        </w:rPr>
        <w:t>.</w:t>
      </w:r>
      <w:r w:rsidRPr="007A0C25">
        <w:rPr>
          <w:rFonts w:ascii="Arial" w:eastAsia="Arial" w:hAnsi="Arial" w:cs="Arial"/>
          <w:lang w:val="es-ES" w:eastAsia="es-ES" w:bidi="es-ES"/>
        </w:rPr>
        <w:t xml:space="preserve"> </w:t>
      </w:r>
    </w:p>
    <w:p w:rsidR="002F0EF2" w:rsidRPr="007A0C25" w:rsidRDefault="002F0EF2" w:rsidP="002F0EF2">
      <w:pPr>
        <w:widowControl w:val="0"/>
        <w:autoSpaceDE w:val="0"/>
        <w:autoSpaceDN w:val="0"/>
        <w:spacing w:line="276" w:lineRule="auto"/>
        <w:ind w:right="113" w:firstLine="709"/>
        <w:contextualSpacing/>
        <w:jc w:val="both"/>
        <w:rPr>
          <w:rFonts w:ascii="Arial" w:eastAsia="Arial" w:hAnsi="Arial" w:cs="Arial"/>
          <w:lang w:val="es-ES" w:eastAsia="es-ES" w:bidi="es-ES"/>
        </w:rPr>
      </w:pPr>
      <w:r w:rsidRPr="007A0C25">
        <w:rPr>
          <w:rFonts w:ascii="Arial" w:eastAsia="Arial" w:hAnsi="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rsidR="002F0EF2" w:rsidRPr="007A0C25" w:rsidRDefault="002F0EF2" w:rsidP="002F0EF2">
      <w:pPr>
        <w:widowControl w:val="0"/>
        <w:autoSpaceDE w:val="0"/>
        <w:autoSpaceDN w:val="0"/>
        <w:spacing w:line="276" w:lineRule="auto"/>
        <w:ind w:left="805" w:right="812"/>
        <w:contextualSpacing/>
        <w:jc w:val="both"/>
        <w:rPr>
          <w:rFonts w:ascii="Arial" w:eastAsia="Arial" w:hAnsi="Arial" w:cs="Arial"/>
          <w:color w:val="FF0000"/>
          <w:lang w:val="es-ES" w:eastAsia="es-ES" w:bidi="es-ES"/>
        </w:rPr>
      </w:pPr>
    </w:p>
    <w:p w:rsidR="002F0EF2" w:rsidRPr="007A0C25" w:rsidRDefault="002F0EF2" w:rsidP="002F0EF2">
      <w:pPr>
        <w:widowControl w:val="0"/>
        <w:autoSpaceDE w:val="0"/>
        <w:autoSpaceDN w:val="0"/>
        <w:ind w:left="709" w:right="709"/>
        <w:contextualSpacing/>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w:t>
      </w:r>
      <w:r w:rsidRPr="007A0C2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w:t>
      </w:r>
      <w:r w:rsidRPr="007A0C25">
        <w:rPr>
          <w:rFonts w:ascii="Arial" w:eastAsia="Arial" w:hAnsi="Arial" w:cs="Arial"/>
          <w:sz w:val="21"/>
          <w:szCs w:val="21"/>
          <w:lang w:val="es-ES" w:eastAsia="es-ES" w:bidi="es-ES"/>
        </w:rPr>
        <w:lastRenderedPageBreak/>
        <w:t xml:space="preserve">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2" w:name="_Hlk76109421"/>
      <w:r w:rsidRPr="007A0C25">
        <w:rPr>
          <w:rFonts w:ascii="Arial" w:eastAsia="Arial" w:hAnsi="Arial" w:cs="Arial"/>
          <w:sz w:val="21"/>
          <w:szCs w:val="21"/>
          <w:lang w:val="es-ES" w:eastAsia="es-ES" w:bidi="es-ES"/>
        </w:rPr>
        <w:t>se integran parcialmente</w:t>
      </w:r>
      <w:bookmarkEnd w:id="12"/>
      <w:r w:rsidRPr="007A0C2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A0C25">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Pr>
          <w:rFonts w:ascii="Arial" w:eastAsia="Arial" w:hAnsi="Arial" w:cs="Arial"/>
          <w:bCs/>
          <w:sz w:val="21"/>
          <w:szCs w:val="21"/>
          <w:lang w:val="es-ES" w:eastAsia="es-ES" w:bidi="es-ES"/>
        </w:rPr>
        <w:t>”</w:t>
      </w:r>
      <w:r w:rsidRPr="007A0C25">
        <w:rPr>
          <w:rFonts w:ascii="Arial" w:eastAsia="Arial" w:hAnsi="Arial" w:cs="Arial"/>
          <w:sz w:val="21"/>
          <w:szCs w:val="21"/>
          <w:vertAlign w:val="superscript"/>
          <w:lang w:val="es-ES" w:eastAsia="es-ES" w:bidi="es-ES"/>
        </w:rPr>
        <w:footnoteReference w:id="10"/>
      </w:r>
    </w:p>
    <w:p w:rsidR="002F0EF2" w:rsidRPr="007A0C25" w:rsidRDefault="002F0EF2" w:rsidP="002F0EF2">
      <w:pPr>
        <w:widowControl w:val="0"/>
        <w:autoSpaceDE w:val="0"/>
        <w:autoSpaceDN w:val="0"/>
        <w:spacing w:line="276" w:lineRule="auto"/>
        <w:contextualSpacing/>
        <w:rPr>
          <w:rFonts w:ascii="Arial" w:eastAsia="Arial" w:hAnsi="Arial" w:cs="Arial"/>
          <w:color w:val="FF0000"/>
          <w:lang w:val="es-ES" w:eastAsia="es-ES" w:bidi="es-ES"/>
        </w:rPr>
      </w:pPr>
    </w:p>
    <w:p w:rsidR="002F0EF2" w:rsidRPr="007A0C25" w:rsidRDefault="002F0EF2" w:rsidP="002F0EF2">
      <w:pPr>
        <w:spacing w:after="120" w:line="276" w:lineRule="auto"/>
        <w:ind w:firstLine="709"/>
        <w:jc w:val="both"/>
        <w:rPr>
          <w:rFonts w:ascii="Arial" w:eastAsia="Arial" w:hAnsi="Arial" w:cs="Arial"/>
          <w:lang w:val="es-ES" w:eastAsia="es-ES" w:bidi="es-ES"/>
        </w:rPr>
      </w:pPr>
      <w:r w:rsidRPr="007A0C25">
        <w:rPr>
          <w:rFonts w:ascii="Arial" w:eastAsia="Arial" w:hAnsi="Arial" w:cs="Arial"/>
          <w:lang w:val="es-ES" w:eastAsia="es-ES" w:bidi="es-ES"/>
        </w:rPr>
        <w:t xml:space="preserve">De conformidad con lo anterior, </w:t>
      </w:r>
      <w:bookmarkStart w:id="13" w:name="_Hlk77236420"/>
      <w:bookmarkStart w:id="14" w:name="_Hlk78818435"/>
      <w:bookmarkStart w:id="15" w:name="_Hlk75780333"/>
      <w:r w:rsidRPr="007A0C25">
        <w:rPr>
          <w:rFonts w:ascii="Arial" w:eastAsia="Arial" w:hAnsi="Arial" w:cs="Arial"/>
          <w:lang w:val="es-ES" w:eastAsia="es-ES" w:bidi="es-ES"/>
        </w:rPr>
        <w:t xml:space="preserve">la Ley 996 de 2005 establece dos (2) tipos de restricciones en materia de contratación, las cuales coinciden parcialmente. </w:t>
      </w:r>
      <w:r w:rsidRPr="007A0C25">
        <w:rPr>
          <w:rFonts w:ascii="Arial" w:eastAsia="Arial" w:hAnsi="Arial" w:cs="Arial"/>
          <w:i/>
          <w:iCs/>
          <w:lang w:val="es-ES" w:eastAsia="es-ES" w:bidi="es-ES"/>
        </w:rPr>
        <w:t>En primer lugar</w:t>
      </w:r>
      <w:r w:rsidRPr="007A0C25">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7A0C25">
        <w:rPr>
          <w:rFonts w:ascii="Arial" w:eastAsia="Arial" w:hAnsi="Arial" w:cs="Arial"/>
          <w:i/>
          <w:iCs/>
          <w:lang w:val="es-ES" w:eastAsia="es-ES" w:bidi="es-ES"/>
        </w:rPr>
        <w:t>En segundo lugar</w:t>
      </w:r>
      <w:r w:rsidRPr="007A0C25">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3"/>
    </w:p>
    <w:bookmarkEnd w:id="14"/>
    <w:p w:rsidR="002F0EF2" w:rsidRPr="007A0C25" w:rsidRDefault="002F0EF2" w:rsidP="002F0EF2">
      <w:pPr>
        <w:spacing w:after="120" w:line="276" w:lineRule="auto"/>
        <w:ind w:firstLine="709"/>
        <w:jc w:val="both"/>
        <w:rPr>
          <w:rFonts w:ascii="Arial" w:eastAsia="Arial" w:hAnsi="Arial" w:cs="Arial"/>
          <w:lang w:val="es-ES" w:eastAsia="es-ES" w:bidi="es-ES"/>
        </w:rPr>
      </w:pPr>
      <w:r w:rsidRPr="007A0C25">
        <w:rPr>
          <w:rFonts w:ascii="Arial" w:eastAsia="Arial" w:hAnsi="Arial" w:cs="Arial"/>
          <w:lang w:val="es-ES" w:eastAsia="es-ES" w:bidi="es-ES"/>
        </w:rPr>
        <w:t xml:space="preserve">Ambas restricciones no son excluyentes, lo que permite concluir </w:t>
      </w:r>
      <w:proofErr w:type="gramStart"/>
      <w:r w:rsidRPr="007A0C25">
        <w:rPr>
          <w:rFonts w:ascii="Arial" w:eastAsia="Arial" w:hAnsi="Arial" w:cs="Arial"/>
          <w:lang w:val="es-ES" w:eastAsia="es-ES" w:bidi="es-ES"/>
        </w:rPr>
        <w:t>que</w:t>
      </w:r>
      <w:proofErr w:type="gramEnd"/>
      <w:r w:rsidRPr="007A0C25">
        <w:rPr>
          <w:rFonts w:ascii="Arial" w:eastAsia="Arial" w:hAnsi="Arial" w:cs="Arial"/>
          <w:lang w:val="es-ES" w:eastAsia="es-ES" w:bidi="es-ES"/>
        </w:rPr>
        <w:t xml:space="preserv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5"/>
    <w:p w:rsidR="002F0EF2" w:rsidRPr="007A0C25" w:rsidRDefault="002F0EF2" w:rsidP="002F0EF2">
      <w:pPr>
        <w:spacing w:line="276" w:lineRule="auto"/>
        <w:ind w:firstLine="709"/>
        <w:contextualSpacing/>
        <w:jc w:val="both"/>
        <w:rPr>
          <w:rFonts w:ascii="Arial" w:eastAsia="Arial" w:hAnsi="Arial" w:cs="Arial"/>
          <w:lang w:val="es-ES" w:eastAsia="es-ES" w:bidi="es-ES"/>
        </w:rPr>
      </w:pPr>
      <w:r w:rsidRPr="007A0C25">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w:t>
      </w:r>
      <w:r w:rsidRPr="007A0C25">
        <w:rPr>
          <w:rFonts w:ascii="Arial" w:eastAsia="Arial" w:hAnsi="Arial" w:cs="Arial"/>
          <w:lang w:val="es-ES" w:eastAsia="es-ES" w:bidi="es-ES"/>
        </w:rPr>
        <w:lastRenderedPageBreak/>
        <w:t xml:space="preserve">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002F0EF2" w:rsidRPr="007A0C25" w:rsidRDefault="002F0EF2" w:rsidP="002F0EF2">
      <w:pPr>
        <w:spacing w:line="276" w:lineRule="auto"/>
        <w:jc w:val="both"/>
        <w:rPr>
          <w:rFonts w:ascii="Arial" w:hAnsi="Arial" w:cs="Arial"/>
          <w:bCs/>
          <w:lang w:val="es-ES_tradnl" w:eastAsia="x-none"/>
        </w:rPr>
      </w:pPr>
      <w:bookmarkStart w:id="16" w:name="_Hlk75787147"/>
    </w:p>
    <w:p w:rsidR="002F0EF2" w:rsidRPr="007A0C25" w:rsidRDefault="002F0EF2" w:rsidP="002F0EF2">
      <w:pPr>
        <w:spacing w:line="276" w:lineRule="auto"/>
        <w:jc w:val="both"/>
        <w:rPr>
          <w:rFonts w:ascii="Arial" w:eastAsia="Calibri" w:hAnsi="Arial" w:cs="Arial"/>
          <w:b/>
          <w:bCs/>
        </w:rPr>
      </w:pPr>
      <w:bookmarkStart w:id="17" w:name="_Hlk75784645"/>
      <w:bookmarkEnd w:id="16"/>
      <w:r w:rsidRPr="007A0C25">
        <w:rPr>
          <w:rFonts w:ascii="Arial" w:eastAsia="Calibri" w:hAnsi="Arial" w:cs="Arial"/>
          <w:b/>
          <w:bCs/>
        </w:rPr>
        <w:t>2.</w:t>
      </w:r>
      <w:r>
        <w:rPr>
          <w:rFonts w:ascii="Arial" w:eastAsia="Calibri" w:hAnsi="Arial" w:cs="Arial"/>
          <w:b/>
          <w:bCs/>
        </w:rPr>
        <w:t>2</w:t>
      </w:r>
      <w:r w:rsidRPr="007A0C25">
        <w:rPr>
          <w:rFonts w:ascii="Arial" w:eastAsia="Calibri" w:hAnsi="Arial" w:cs="Arial"/>
          <w:b/>
          <w:bCs/>
        </w:rPr>
        <w:t xml:space="preserve">. </w:t>
      </w:r>
      <w:bookmarkStart w:id="18" w:name="_Hlk77153296"/>
      <w:r w:rsidRPr="007A0C25">
        <w:rPr>
          <w:rFonts w:ascii="Arial" w:hAnsi="Arial" w:cs="Arial"/>
          <w:b/>
          <w:bCs/>
          <w:lang w:eastAsia="es-CO"/>
        </w:rPr>
        <w:t xml:space="preserve">Restricciones </w:t>
      </w:r>
      <w:bookmarkStart w:id="19" w:name="_Hlk75643279"/>
      <w:r w:rsidRPr="007A0C25">
        <w:rPr>
          <w:rFonts w:ascii="Arial" w:hAnsi="Arial" w:cs="Arial"/>
          <w:b/>
          <w:bCs/>
          <w:lang w:eastAsia="es-CO"/>
        </w:rPr>
        <w:t xml:space="preserve">para la celebración de contratos y convenios interadministrativos en los comicios para cargos de elección popular </w:t>
      </w:r>
    </w:p>
    <w:p w:rsidR="002F0EF2" w:rsidRPr="007A0C25" w:rsidRDefault="002F0EF2" w:rsidP="002F0EF2">
      <w:pPr>
        <w:tabs>
          <w:tab w:val="left" w:pos="426"/>
        </w:tabs>
        <w:spacing w:line="276" w:lineRule="auto"/>
        <w:jc w:val="both"/>
        <w:rPr>
          <w:rFonts w:ascii="Arial" w:eastAsia="Calibri" w:hAnsi="Arial" w:cs="Arial"/>
          <w:bCs/>
        </w:rPr>
      </w:pPr>
      <w:bookmarkStart w:id="20" w:name="_Hlk88210558"/>
      <w:bookmarkEnd w:id="18"/>
      <w:bookmarkEnd w:id="19"/>
    </w:p>
    <w:p w:rsidR="002F0EF2" w:rsidRPr="007A0C25" w:rsidRDefault="002F0EF2" w:rsidP="002F0EF2">
      <w:pPr>
        <w:tabs>
          <w:tab w:val="left" w:pos="426"/>
        </w:tabs>
        <w:spacing w:after="120" w:line="276" w:lineRule="auto"/>
        <w:jc w:val="both"/>
        <w:rPr>
          <w:rFonts w:ascii="Arial" w:eastAsia="Calibri" w:hAnsi="Arial" w:cs="Arial"/>
          <w:bCs/>
        </w:rPr>
      </w:pPr>
      <w:bookmarkStart w:id="21" w:name="_Hlk114827887"/>
      <w:r w:rsidRPr="007A0C25">
        <w:rPr>
          <w:rFonts w:ascii="Arial" w:eastAsia="Calibri" w:hAnsi="Arial" w:cs="Arial"/>
          <w:bCs/>
        </w:rPr>
        <w:t xml:space="preserve">El parágrafo del artículo 38 de la Ley 996 de 2005 dispone que </w:t>
      </w:r>
      <w:r>
        <w:rPr>
          <w:rFonts w:ascii="Arial" w:eastAsia="Calibri" w:hAnsi="Arial" w:cs="Arial"/>
          <w:bCs/>
        </w:rPr>
        <w:t>“</w:t>
      </w:r>
      <w:r w:rsidRPr="007A0C25">
        <w:rPr>
          <w:rFonts w:ascii="Arial" w:eastAsia="Calibri" w:hAnsi="Arial" w:cs="Arial"/>
          <w:bCs/>
        </w:rPr>
        <w:t xml:space="preserve">[l]os Gobernadores, Alcaldes Municipales y/o Distritales, Secretarios, Gerentes y directores de </w:t>
      </w:r>
      <w:r w:rsidRPr="00CC153F">
        <w:rPr>
          <w:rFonts w:ascii="Arial" w:eastAsia="Calibri" w:hAnsi="Arial" w:cs="Arial"/>
          <w:bCs/>
          <w:u w:val="single"/>
        </w:rPr>
        <w:t>Entidades Descentralizadas del orden Municipal</w:t>
      </w:r>
      <w:r w:rsidRPr="007A0C25">
        <w:rPr>
          <w:rFonts w:ascii="Arial" w:eastAsia="Calibri" w:hAnsi="Arial" w:cs="Arial"/>
          <w:bCs/>
        </w:rPr>
        <w:t>, Departamental o Distrital, dentro de los cuatro (4) meses anteriores a las elecciones, no podrán celebrar convenios interadministrativos para la ejecución de recursos públicos</w:t>
      </w:r>
      <w:r>
        <w:rPr>
          <w:rFonts w:ascii="Arial" w:eastAsia="Calibri" w:hAnsi="Arial" w:cs="Arial"/>
          <w:bCs/>
        </w:rPr>
        <w:t>”</w:t>
      </w:r>
      <w:r w:rsidRPr="007A0C25">
        <w:rPr>
          <w:rFonts w:ascii="Arial" w:eastAsia="Calibri" w:hAnsi="Arial" w:cs="Arial"/>
          <w:bCs/>
        </w:rPr>
        <w:t>.</w:t>
      </w:r>
      <w:r w:rsidRPr="007A0C25">
        <w:rPr>
          <w:rFonts w:ascii="Arial" w:hAnsi="Arial" w:cs="Arial"/>
          <w:bCs/>
          <w:iCs/>
          <w:lang w:eastAsia="x-none"/>
        </w:rPr>
        <w:t xml:space="preserve"> </w:t>
      </w:r>
      <w:bookmarkStart w:id="22" w:name="_Hlk99578153"/>
      <w:bookmarkEnd w:id="20"/>
      <w:r w:rsidRPr="007A0C25">
        <w:rPr>
          <w:rFonts w:ascii="Arial" w:hAnsi="Arial" w:cs="Arial"/>
          <w:bCs/>
          <w:iCs/>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1"/>
      <w:bookmarkEnd w:id="22"/>
      <w:r w:rsidRPr="007A0C25">
        <w:rPr>
          <w:rFonts w:ascii="Arial" w:hAnsi="Arial" w:cs="Arial"/>
          <w:bCs/>
          <w:iCs/>
          <w:vertAlign w:val="superscript"/>
          <w:lang w:eastAsia="x-none"/>
        </w:rPr>
        <w:footnoteReference w:id="11"/>
      </w:r>
      <w:r w:rsidRPr="007A0C25">
        <w:rPr>
          <w:rFonts w:ascii="Arial" w:hAnsi="Arial" w:cs="Arial"/>
          <w:bCs/>
          <w:iCs/>
          <w:lang w:eastAsia="x-none"/>
        </w:rPr>
        <w:t>.</w:t>
      </w:r>
      <w:r w:rsidRPr="007A0C25">
        <w:rPr>
          <w:rFonts w:ascii="Arial" w:eastAsia="Calibri" w:hAnsi="Arial" w:cs="Arial"/>
        </w:rPr>
        <w:t xml:space="preserve"> </w:t>
      </w:r>
    </w:p>
    <w:p w:rsidR="002F0EF2" w:rsidRPr="007A0C25" w:rsidRDefault="002F0EF2" w:rsidP="002F0EF2">
      <w:pPr>
        <w:widowControl w:val="0"/>
        <w:autoSpaceDE w:val="0"/>
        <w:autoSpaceDN w:val="0"/>
        <w:spacing w:after="120" w:line="276" w:lineRule="auto"/>
        <w:ind w:firstLine="707"/>
        <w:jc w:val="both"/>
        <w:rPr>
          <w:rFonts w:ascii="Arial" w:eastAsia="Arial" w:hAnsi="Arial" w:cs="Arial"/>
          <w:lang w:val="es-ES" w:eastAsia="es-ES" w:bidi="es-ES"/>
        </w:rPr>
      </w:pPr>
      <w:r w:rsidRPr="007A0C25">
        <w:rPr>
          <w:rFonts w:ascii="Arial" w:eastAsia="Calibri" w:hAnsi="Arial" w:cs="Arial"/>
          <w:bCs/>
          <w:lang w:eastAsia="es-ES" w:bidi="es-ES"/>
        </w:rPr>
        <w:t xml:space="preserve">Ahora bien, </w:t>
      </w:r>
      <w:bookmarkStart w:id="23" w:name="_Hlk78820161"/>
      <w:r w:rsidRPr="007A0C25">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bookmarkStart w:id="24" w:name="_Hlk114827997"/>
      <w:r w:rsidRPr="007A0C25">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7A0C25">
        <w:rPr>
          <w:rFonts w:ascii="Arial" w:eastAsia="Arial" w:hAnsi="Arial" w:cs="Arial"/>
          <w:vertAlign w:val="superscript"/>
          <w:lang w:val="es-ES" w:eastAsia="es-ES" w:bidi="es-ES"/>
        </w:rPr>
        <w:footnoteReference w:id="12"/>
      </w:r>
      <w:r w:rsidRPr="007A0C25">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A0C25">
        <w:rPr>
          <w:rFonts w:ascii="Arial" w:eastAsia="Arial" w:hAnsi="Arial" w:cs="Arial"/>
          <w:spacing w:val="-6"/>
          <w:lang w:val="es-ES" w:eastAsia="es-ES" w:bidi="es-ES"/>
        </w:rPr>
        <w:t xml:space="preserve"> </w:t>
      </w:r>
      <w:r w:rsidRPr="007A0C25">
        <w:rPr>
          <w:rFonts w:ascii="Arial" w:eastAsia="Arial" w:hAnsi="Arial" w:cs="Arial"/>
          <w:lang w:val="es-ES" w:eastAsia="es-ES" w:bidi="es-ES"/>
        </w:rPr>
        <w:t>estatales.</w:t>
      </w:r>
    </w:p>
    <w:p w:rsidR="002F0EF2" w:rsidRPr="007A0C25" w:rsidRDefault="002F0EF2" w:rsidP="002F0EF2">
      <w:pPr>
        <w:widowControl w:val="0"/>
        <w:autoSpaceDE w:val="0"/>
        <w:autoSpaceDN w:val="0"/>
        <w:spacing w:before="117" w:after="120" w:line="276" w:lineRule="auto"/>
        <w:ind w:firstLine="707"/>
        <w:jc w:val="both"/>
        <w:rPr>
          <w:rFonts w:ascii="Arial" w:eastAsia="Arial" w:hAnsi="Arial" w:cs="Arial"/>
          <w:lang w:val="es-ES" w:eastAsia="es-ES" w:bidi="es-ES"/>
        </w:rPr>
      </w:pPr>
      <w:bookmarkStart w:id="25" w:name="_Hlk78820654"/>
      <w:bookmarkEnd w:id="23"/>
      <w:bookmarkEnd w:id="24"/>
      <w:r w:rsidRPr="007A0C25">
        <w:rPr>
          <w:rFonts w:ascii="Arial" w:eastAsia="Arial" w:hAnsi="Arial" w:cs="Arial"/>
          <w:lang w:val="es-ES" w:eastAsia="es-ES" w:bidi="es-ES"/>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w:t>
      </w:r>
      <w:r w:rsidRPr="007A0C25">
        <w:rPr>
          <w:rFonts w:ascii="Arial" w:eastAsia="Arial" w:hAnsi="Arial" w:cs="Arial"/>
          <w:lang w:val="es-ES" w:eastAsia="es-ES" w:bidi="es-ES"/>
        </w:rPr>
        <w:lastRenderedPageBreak/>
        <w:t>interadministrativo.</w:t>
      </w:r>
    </w:p>
    <w:p w:rsidR="002F0EF2" w:rsidRPr="007A0C25" w:rsidRDefault="002F0EF2" w:rsidP="002F0EF2">
      <w:pPr>
        <w:widowControl w:val="0"/>
        <w:autoSpaceDE w:val="0"/>
        <w:autoSpaceDN w:val="0"/>
        <w:spacing w:before="121" w:after="120" w:line="276" w:lineRule="auto"/>
        <w:ind w:firstLine="707"/>
        <w:jc w:val="both"/>
        <w:rPr>
          <w:rFonts w:ascii="Arial" w:eastAsia="Arial" w:hAnsi="Arial" w:cs="Arial"/>
          <w:lang w:val="es-ES" w:eastAsia="es-ES" w:bidi="es-ES"/>
        </w:rPr>
      </w:pPr>
      <w:bookmarkStart w:id="26" w:name="_Hlk99578261"/>
      <w:bookmarkEnd w:id="25"/>
      <w:r w:rsidRPr="007A0C25">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A0C25">
        <w:rPr>
          <w:rFonts w:ascii="Arial" w:eastAsia="Arial" w:hAnsi="Arial" w:cs="Arial"/>
          <w:vertAlign w:val="superscript"/>
          <w:lang w:val="es-ES" w:eastAsia="es-ES" w:bidi="es-ES"/>
        </w:rPr>
        <w:footnoteReference w:id="13"/>
      </w:r>
      <w:r w:rsidRPr="007A0C25">
        <w:rPr>
          <w:rFonts w:ascii="Arial" w:eastAsia="Arial" w:hAnsi="Arial" w:cs="Arial"/>
          <w:lang w:val="es-ES" w:eastAsia="es-ES" w:bidi="es-ES"/>
        </w:rPr>
        <w:t>. Nótese que, en este caso, lo que cambia es la modalidad de selección y no la naturaleza de contrato</w:t>
      </w:r>
      <w:r w:rsidRPr="007A0C25">
        <w:rPr>
          <w:rFonts w:ascii="Arial" w:eastAsia="Arial" w:hAnsi="Arial" w:cs="Arial"/>
          <w:spacing w:val="-18"/>
          <w:lang w:val="es-ES" w:eastAsia="es-ES" w:bidi="es-ES"/>
        </w:rPr>
        <w:t xml:space="preserve"> </w:t>
      </w:r>
      <w:r w:rsidRPr="007A0C25">
        <w:rPr>
          <w:rFonts w:ascii="Arial" w:eastAsia="Arial" w:hAnsi="Arial" w:cs="Arial"/>
          <w:lang w:val="es-ES" w:eastAsia="es-ES" w:bidi="es-ES"/>
        </w:rPr>
        <w:t>interadministrativo.</w:t>
      </w:r>
    </w:p>
    <w:bookmarkEnd w:id="26"/>
    <w:p w:rsidR="002F0EF2" w:rsidRPr="007A0C25" w:rsidRDefault="002F0EF2" w:rsidP="002F0EF2">
      <w:pPr>
        <w:widowControl w:val="0"/>
        <w:autoSpaceDE w:val="0"/>
        <w:autoSpaceDN w:val="0"/>
        <w:spacing w:before="114" w:line="276" w:lineRule="auto"/>
        <w:ind w:firstLine="707"/>
        <w:jc w:val="both"/>
        <w:rPr>
          <w:rFonts w:ascii="Arial" w:eastAsia="Arial" w:hAnsi="Arial" w:cs="Arial"/>
          <w:lang w:val="es-ES" w:eastAsia="es-ES" w:bidi="es-ES"/>
        </w:rPr>
      </w:pPr>
      <w:r w:rsidRPr="007A0C25">
        <w:rPr>
          <w:rFonts w:ascii="Arial" w:eastAsia="Arial" w:hAnsi="Arial" w:cs="Arial"/>
          <w:lang w:val="es-ES" w:eastAsia="es-ES" w:bidi="es-ES"/>
        </w:rPr>
        <w:t xml:space="preserve">La Corte Constitucional expresó en la Sentencia C–671 de 2015 que </w:t>
      </w:r>
      <w:r>
        <w:rPr>
          <w:rFonts w:ascii="Arial" w:eastAsia="Arial" w:hAnsi="Arial" w:cs="Arial"/>
          <w:lang w:val="es-ES" w:eastAsia="es-ES" w:bidi="es-ES"/>
        </w:rPr>
        <w:t>“</w:t>
      </w:r>
      <w:r w:rsidRPr="007A0C25">
        <w:rPr>
          <w:rFonts w:ascii="Arial" w:eastAsia="Arial" w:hAnsi="Arial" w:cs="Arial"/>
          <w:lang w:val="es-ES" w:eastAsia="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Pr>
          <w:rFonts w:ascii="Arial" w:eastAsia="Arial" w:hAnsi="Arial" w:cs="Arial"/>
          <w:lang w:val="es-ES" w:eastAsia="es-ES" w:bidi="es-ES"/>
        </w:rPr>
        <w:t>”</w:t>
      </w:r>
      <w:r w:rsidRPr="007A0C25">
        <w:rPr>
          <w:rFonts w:ascii="Arial" w:eastAsia="Arial" w:hAnsi="Arial" w:cs="Arial"/>
          <w:lang w:val="es-ES" w:eastAsia="es-ES" w:bidi="es-ES"/>
        </w:rPr>
        <w:t xml:space="preserve">. Así las cosas, esta clase de acuerdos de voluntades se definen por un criterio orgánico, por lo que uno de sus elementos esenciales es que en los extremos de la relación jurídico </w:t>
      </w:r>
      <w:proofErr w:type="spellStart"/>
      <w:r w:rsidRPr="007A0C25">
        <w:rPr>
          <w:rFonts w:ascii="Arial" w:eastAsia="Arial" w:hAnsi="Arial" w:cs="Arial"/>
          <w:lang w:val="es-ES" w:eastAsia="es-ES" w:bidi="es-ES"/>
        </w:rPr>
        <w:t>negocial</w:t>
      </w:r>
      <w:proofErr w:type="spellEnd"/>
      <w:r w:rsidRPr="007A0C25">
        <w:rPr>
          <w:rFonts w:ascii="Arial" w:eastAsia="Arial" w:hAnsi="Arial" w:cs="Arial"/>
          <w:lang w:val="es-ES" w:eastAsia="es-ES" w:bidi="es-ES"/>
        </w:rPr>
        <w:t xml:space="preserve"> concurran personas de derecho público. Adicionalmente, el Consejo de Estado ha indicado, frente al convenio interadministrativo y sus características,</w:t>
      </w:r>
      <w:r w:rsidRPr="007A0C25">
        <w:rPr>
          <w:rFonts w:ascii="Arial" w:eastAsia="Arial" w:hAnsi="Arial" w:cs="Arial"/>
          <w:spacing w:val="-13"/>
          <w:lang w:val="es-ES" w:eastAsia="es-ES" w:bidi="es-ES"/>
        </w:rPr>
        <w:t xml:space="preserve"> </w:t>
      </w:r>
      <w:r w:rsidRPr="007A0C25">
        <w:rPr>
          <w:rFonts w:ascii="Arial" w:eastAsia="Arial" w:hAnsi="Arial" w:cs="Arial"/>
          <w:lang w:val="es-ES" w:eastAsia="es-ES" w:bidi="es-ES"/>
        </w:rPr>
        <w:t>que:</w:t>
      </w:r>
    </w:p>
    <w:p w:rsidR="002F0EF2" w:rsidRPr="007A0C25" w:rsidRDefault="002F0EF2" w:rsidP="002F0EF2">
      <w:pPr>
        <w:widowControl w:val="0"/>
        <w:autoSpaceDE w:val="0"/>
        <w:autoSpaceDN w:val="0"/>
        <w:spacing w:line="276" w:lineRule="auto"/>
        <w:ind w:firstLine="707"/>
        <w:contextualSpacing/>
        <w:jc w:val="both"/>
        <w:rPr>
          <w:rFonts w:ascii="Arial" w:eastAsia="Arial" w:hAnsi="Arial" w:cs="Arial"/>
          <w:lang w:val="es-ES" w:eastAsia="es-ES" w:bidi="es-ES"/>
        </w:rPr>
      </w:pPr>
    </w:p>
    <w:p w:rsidR="002F0EF2" w:rsidRPr="007A0C25" w:rsidRDefault="002F0EF2" w:rsidP="002F0EF2">
      <w:pPr>
        <w:ind w:left="709" w:right="709"/>
        <w:contextualSpacing/>
        <w:jc w:val="both"/>
        <w:rPr>
          <w:rFonts w:ascii="Arial" w:eastAsia="Calibri" w:hAnsi="Arial" w:cs="Arial"/>
          <w:sz w:val="21"/>
        </w:rPr>
      </w:pPr>
      <w:r w:rsidRPr="007A0C25">
        <w:rPr>
          <w:rFonts w:ascii="Arial" w:eastAsia="Calibri" w:hAnsi="Arial" w:cs="Arial"/>
          <w:sz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w:t>
      </w:r>
      <w:r w:rsidRPr="007A0C25">
        <w:rPr>
          <w:rFonts w:ascii="Arial" w:eastAsia="Calibri" w:hAnsi="Arial" w:cs="Arial"/>
          <w:sz w:val="21"/>
        </w:rPr>
        <w:lastRenderedPageBreak/>
        <w:t>cual se deben ventilar las diferencias que sobre el particular surjan es la de controversias contractuales</w:t>
      </w:r>
      <w:r w:rsidRPr="007A0C25">
        <w:rPr>
          <w:rFonts w:ascii="Arial" w:eastAsia="Calibri" w:hAnsi="Arial" w:cs="Arial"/>
          <w:sz w:val="21"/>
          <w:vertAlign w:val="superscript"/>
        </w:rPr>
        <w:footnoteReference w:id="14"/>
      </w:r>
      <w:r w:rsidRPr="007A0C25">
        <w:rPr>
          <w:rFonts w:ascii="Arial" w:eastAsia="Calibri" w:hAnsi="Arial" w:cs="Arial"/>
          <w:sz w:val="21"/>
        </w:rPr>
        <w:t>.</w:t>
      </w:r>
    </w:p>
    <w:p w:rsidR="002F0EF2" w:rsidRPr="007A0C25" w:rsidRDefault="002F0EF2" w:rsidP="002F0EF2">
      <w:pPr>
        <w:spacing w:line="276" w:lineRule="auto"/>
        <w:ind w:left="709" w:right="709"/>
        <w:contextualSpacing/>
        <w:jc w:val="both"/>
        <w:rPr>
          <w:rFonts w:ascii="Arial" w:eastAsia="Calibri" w:hAnsi="Arial" w:cs="Arial"/>
        </w:rPr>
      </w:pPr>
    </w:p>
    <w:p w:rsidR="002F0EF2" w:rsidRPr="007A0C25" w:rsidRDefault="002F0EF2" w:rsidP="002F0EF2">
      <w:pPr>
        <w:widowControl w:val="0"/>
        <w:autoSpaceDE w:val="0"/>
        <w:autoSpaceDN w:val="0"/>
        <w:spacing w:after="120" w:line="276" w:lineRule="auto"/>
        <w:ind w:firstLine="707"/>
        <w:jc w:val="both"/>
        <w:rPr>
          <w:rFonts w:ascii="Arial" w:eastAsia="Arial" w:hAnsi="Arial" w:cs="Arial"/>
          <w:lang w:val="es-ES" w:eastAsia="es-ES" w:bidi="es-ES"/>
        </w:rPr>
      </w:pPr>
      <w:r w:rsidRPr="007A0C25">
        <w:rPr>
          <w:rFonts w:ascii="Arial" w:eastAsia="Arial" w:hAnsi="Arial" w:cs="Arial"/>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r w:rsidRPr="002C7566">
        <w:rPr>
          <w:rFonts w:ascii="Arial" w:eastAsia="Arial" w:hAnsi="Arial" w:cs="Arial"/>
          <w:u w:val="single"/>
          <w:lang w:val="es-ES" w:eastAsia="es-ES" w:bidi="es-ES"/>
        </w:rPr>
        <w:t>El Estatuto General de Contratación de la Administración Pública establece la contratación directa como la modalidad de selección aplicable, por regla general, a la celebración de los contratos interadministrativos</w:t>
      </w:r>
      <w:r w:rsidRPr="007A0C25">
        <w:rPr>
          <w:rFonts w:ascii="Arial" w:eastAsia="Arial" w:hAnsi="Arial" w:cs="Arial"/>
          <w:lang w:val="es-ES" w:eastAsia="es-ES" w:bidi="es-ES"/>
        </w:rPr>
        <w:t>.</w:t>
      </w:r>
    </w:p>
    <w:p w:rsidR="002F0EF2" w:rsidRPr="007A0C25" w:rsidRDefault="002F0EF2" w:rsidP="002F0EF2">
      <w:pPr>
        <w:widowControl w:val="0"/>
        <w:autoSpaceDE w:val="0"/>
        <w:autoSpaceDN w:val="0"/>
        <w:spacing w:before="119" w:after="120" w:line="276" w:lineRule="auto"/>
        <w:ind w:firstLine="707"/>
        <w:jc w:val="both"/>
        <w:rPr>
          <w:rFonts w:ascii="Arial" w:eastAsia="Arial" w:hAnsi="Arial" w:cs="Arial"/>
          <w:lang w:val="es-ES" w:eastAsia="es-ES" w:bidi="es-ES"/>
        </w:rPr>
      </w:pPr>
      <w:r w:rsidRPr="007A0C25">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7A0C25">
        <w:rPr>
          <w:rFonts w:ascii="Arial" w:eastAsia="Arial" w:hAnsi="Arial" w:cs="Arial"/>
          <w:spacing w:val="-3"/>
          <w:lang w:val="es-ES" w:eastAsia="es-ES" w:bidi="es-ES"/>
        </w:rPr>
        <w:t xml:space="preserve"> </w:t>
      </w:r>
      <w:r w:rsidRPr="007A0C25">
        <w:rPr>
          <w:rFonts w:ascii="Arial" w:eastAsia="Arial" w:hAnsi="Arial" w:cs="Arial"/>
          <w:lang w:val="es-ES" w:eastAsia="es-ES" w:bidi="es-ES"/>
        </w:rPr>
        <w:t>estatales.</w:t>
      </w:r>
    </w:p>
    <w:p w:rsidR="002F0EF2" w:rsidRPr="007A0C25" w:rsidRDefault="002F0EF2" w:rsidP="002F0EF2">
      <w:pPr>
        <w:widowControl w:val="0"/>
        <w:autoSpaceDE w:val="0"/>
        <w:autoSpaceDN w:val="0"/>
        <w:spacing w:before="120" w:after="120" w:line="276" w:lineRule="auto"/>
        <w:ind w:firstLine="709"/>
        <w:jc w:val="both"/>
        <w:rPr>
          <w:rFonts w:ascii="Arial" w:eastAsia="Arial" w:hAnsi="Arial" w:cs="Arial"/>
          <w:lang w:val="es-ES" w:eastAsia="es-ES" w:bidi="es-ES"/>
        </w:rPr>
      </w:pPr>
      <w:r w:rsidRPr="007A0C25">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7A0C25">
        <w:rPr>
          <w:rFonts w:ascii="Arial" w:eastAsia="Arial" w:hAnsi="Arial" w:cs="Arial"/>
          <w:spacing w:val="-4"/>
          <w:lang w:val="es-ES" w:eastAsia="es-ES" w:bidi="es-ES"/>
        </w:rPr>
        <w:t xml:space="preserve"> </w:t>
      </w:r>
      <w:r w:rsidRPr="007A0C25">
        <w:rPr>
          <w:rFonts w:ascii="Arial" w:eastAsia="Arial" w:hAnsi="Arial" w:cs="Arial"/>
          <w:lang w:val="es-ES" w:eastAsia="es-ES" w:bidi="es-ES"/>
        </w:rPr>
        <w:t>estatales.</w:t>
      </w:r>
    </w:p>
    <w:p w:rsidR="002F0EF2" w:rsidRPr="007A0C25" w:rsidRDefault="002F0EF2" w:rsidP="002F0EF2">
      <w:pPr>
        <w:widowControl w:val="0"/>
        <w:autoSpaceDE w:val="0"/>
        <w:autoSpaceDN w:val="0"/>
        <w:spacing w:before="122" w:after="120" w:line="276" w:lineRule="auto"/>
        <w:ind w:firstLine="708"/>
        <w:jc w:val="both"/>
        <w:rPr>
          <w:rFonts w:ascii="Arial" w:eastAsia="Arial" w:hAnsi="Arial" w:cs="Arial"/>
          <w:lang w:val="es-ES" w:eastAsia="es-ES" w:bidi="es-ES"/>
        </w:rPr>
      </w:pPr>
      <w:r w:rsidRPr="007A0C25">
        <w:rPr>
          <w:rFonts w:ascii="Arial" w:eastAsia="Arial" w:hAnsi="Arial" w:cs="Arial"/>
          <w:lang w:val="es-ES" w:eastAsia="es-ES" w:bidi="es-ES"/>
        </w:rPr>
        <w:t xml:space="preserve">Es bueno destacar que el Decreto 1082 de 2015 dispone que los convenios o contratos interadministrativos, así denominados en su artículo 2.2.1.2.1.4.4, </w:t>
      </w:r>
      <w:r w:rsidRPr="00A31DE0">
        <w:rPr>
          <w:rFonts w:ascii="Arial" w:eastAsia="Arial" w:hAnsi="Arial" w:cs="Arial"/>
          <w:u w:val="single"/>
          <w:lang w:val="es-ES" w:eastAsia="es-ES" w:bidi="es-ES"/>
        </w:rPr>
        <w:t>se contratan directamente</w:t>
      </w:r>
      <w:r w:rsidRPr="007A0C25">
        <w:rPr>
          <w:rFonts w:ascii="Arial" w:eastAsia="Arial" w:hAnsi="Arial" w:cs="Arial"/>
          <w:lang w:val="es-ES" w:eastAsia="es-ES" w:bidi="es-ES"/>
        </w:rPr>
        <w:t xml:space="preserv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w:t>
      </w:r>
      <w:r w:rsidRPr="007A0C25">
        <w:rPr>
          <w:rFonts w:ascii="Arial" w:eastAsia="Arial" w:hAnsi="Arial" w:cs="Arial"/>
          <w:lang w:val="es-ES" w:eastAsia="es-ES" w:bidi="es-ES"/>
        </w:rPr>
        <w:lastRenderedPageBreak/>
        <w:t>privado y a la definición contenida en el Código Civil, puede afirmarse que se trata de figuras equivalentes.</w:t>
      </w:r>
    </w:p>
    <w:p w:rsidR="002F0EF2" w:rsidRPr="007A0C25" w:rsidRDefault="002F0EF2" w:rsidP="002F0EF2">
      <w:pPr>
        <w:widowControl w:val="0"/>
        <w:autoSpaceDE w:val="0"/>
        <w:autoSpaceDN w:val="0"/>
        <w:spacing w:after="120" w:line="276" w:lineRule="auto"/>
        <w:ind w:firstLine="708"/>
        <w:jc w:val="both"/>
        <w:rPr>
          <w:rFonts w:ascii="Arial" w:eastAsia="Calibri" w:hAnsi="Arial" w:cs="Arial"/>
          <w:bCs/>
          <w:lang w:eastAsia="es-ES" w:bidi="es-ES"/>
        </w:rPr>
      </w:pPr>
      <w:r w:rsidRPr="007A0C25">
        <w:rPr>
          <w:rFonts w:ascii="Arial" w:eastAsia="Arial" w:hAnsi="Arial" w:cs="Arial"/>
          <w:lang w:val="es-ES" w:eastAsia="es-ES" w:bidi="es-ES"/>
        </w:rPr>
        <w:t xml:space="preserve">Por tanto, aunque el artículo 95 de la Ley 489 de 1998 dispone que </w:t>
      </w:r>
      <w:r>
        <w:rPr>
          <w:rFonts w:ascii="Arial" w:eastAsia="Arial" w:hAnsi="Arial" w:cs="Arial"/>
          <w:lang w:val="es-ES" w:eastAsia="es-ES" w:bidi="es-ES"/>
        </w:rPr>
        <w:t>“</w:t>
      </w:r>
      <w:r w:rsidRPr="007A0C25">
        <w:rPr>
          <w:rFonts w:ascii="Arial" w:eastAsia="Arial" w:hAnsi="Arial" w:cs="Arial"/>
          <w:lang w:val="es-ES" w:eastAsia="es-ES" w:bidi="es-ES"/>
        </w:rPr>
        <w:t>Las entidades públicas podrán asociarse con el fin de cooperar en el cumplimiento de funciones administrativas o de prestar conjuntamente servicios que se hallen a su cargo, mediante la celebración de convenios interadministrativos […]</w:t>
      </w:r>
      <w:r>
        <w:rPr>
          <w:rFonts w:ascii="Arial" w:eastAsia="Arial" w:hAnsi="Arial" w:cs="Arial"/>
          <w:lang w:val="es-ES" w:eastAsia="es-ES" w:bidi="es-ES"/>
        </w:rPr>
        <w:t>”</w:t>
      </w:r>
      <w:r w:rsidRPr="007A0C25">
        <w:rPr>
          <w:rFonts w:ascii="Arial" w:eastAsia="Arial" w:hAnsi="Arial" w:cs="Arial"/>
          <w:lang w:val="es-ES" w:eastAsia="es-ES" w:bidi="es-ES"/>
        </w:rPr>
        <w:t xml:space="preserve">, esto no significa que dichos acuerdos estén exceptuados del Estatuto General de Contratación de la Administración Pública por no tener carácter contractual. Por ello, la jurisprudencia considera que </w:t>
      </w:r>
      <w:r>
        <w:rPr>
          <w:rFonts w:ascii="Arial" w:eastAsia="Arial" w:hAnsi="Arial" w:cs="Arial"/>
          <w:lang w:val="es-ES" w:eastAsia="es-ES" w:bidi="es-ES"/>
        </w:rPr>
        <w:t>“</w:t>
      </w:r>
      <w:r w:rsidRPr="007A0C25">
        <w:rPr>
          <w:rFonts w:ascii="Arial" w:eastAsia="Arial" w:hAnsi="Arial" w:cs="Arial"/>
          <w:lang w:val="es-ES" w:eastAsia="es-ES" w:bidi="es-ES"/>
        </w:rPr>
        <w:t>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7A0C25">
        <w:rPr>
          <w:rFonts w:ascii="Arial" w:eastAsia="Arial" w:hAnsi="Arial" w:cs="Arial"/>
          <w:spacing w:val="-4"/>
          <w:lang w:val="es-ES" w:eastAsia="es-ES" w:bidi="es-ES"/>
        </w:rPr>
        <w:t xml:space="preserve"> </w:t>
      </w:r>
      <w:r w:rsidRPr="007A0C25">
        <w:rPr>
          <w:rFonts w:ascii="Arial" w:eastAsia="Arial" w:hAnsi="Arial" w:cs="Arial"/>
          <w:lang w:val="es-ES" w:eastAsia="es-ES" w:bidi="es-ES"/>
        </w:rPr>
        <w:t>[…]</w:t>
      </w:r>
      <w:r>
        <w:rPr>
          <w:rFonts w:ascii="Arial" w:eastAsia="Arial" w:hAnsi="Arial" w:cs="Arial"/>
          <w:lang w:val="es-ES" w:eastAsia="es-ES" w:bidi="es-ES"/>
        </w:rPr>
        <w:t>”</w:t>
      </w:r>
      <w:r w:rsidRPr="007A0C25">
        <w:rPr>
          <w:rFonts w:ascii="Arial" w:eastAsia="Arial" w:hAnsi="Arial" w:cs="Arial"/>
          <w:vertAlign w:val="superscript"/>
          <w:lang w:val="es-ES" w:eastAsia="es-ES" w:bidi="es-ES"/>
        </w:rPr>
        <w:footnoteReference w:id="15"/>
      </w:r>
      <w:r w:rsidRPr="007A0C25">
        <w:rPr>
          <w:rFonts w:ascii="Arial" w:eastAsia="Arial" w:hAnsi="Arial" w:cs="Arial"/>
          <w:lang w:val="es-ES" w:eastAsia="es-ES" w:bidi="es-ES"/>
        </w:rPr>
        <w:t>.</w:t>
      </w:r>
      <w:bookmarkStart w:id="27" w:name="_Hlk77171241"/>
    </w:p>
    <w:p w:rsidR="002F0EF2" w:rsidRPr="007A0C25" w:rsidRDefault="002F0EF2" w:rsidP="002F0EF2">
      <w:pPr>
        <w:widowControl w:val="0"/>
        <w:autoSpaceDE w:val="0"/>
        <w:autoSpaceDN w:val="0"/>
        <w:spacing w:line="276" w:lineRule="auto"/>
        <w:ind w:firstLine="709"/>
        <w:contextualSpacing/>
        <w:jc w:val="both"/>
        <w:rPr>
          <w:rFonts w:ascii="Arial" w:eastAsia="Arial" w:hAnsi="Arial" w:cs="Arial"/>
          <w:lang w:val="es-ES" w:eastAsia="es-ES" w:bidi="es-ES"/>
        </w:rPr>
      </w:pPr>
      <w:r w:rsidRPr="007A0C25">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rsidR="002F0EF2" w:rsidRPr="007A0C25" w:rsidRDefault="002F0EF2" w:rsidP="002F0EF2">
      <w:pPr>
        <w:widowControl w:val="0"/>
        <w:autoSpaceDE w:val="0"/>
        <w:autoSpaceDN w:val="0"/>
        <w:spacing w:line="276" w:lineRule="auto"/>
        <w:ind w:firstLine="709"/>
        <w:contextualSpacing/>
        <w:jc w:val="both"/>
        <w:rPr>
          <w:rFonts w:ascii="Arial" w:eastAsia="Arial" w:hAnsi="Arial" w:cs="Arial"/>
          <w:lang w:val="es-ES" w:eastAsia="es-ES" w:bidi="es-ES"/>
        </w:rPr>
      </w:pPr>
    </w:p>
    <w:p w:rsidR="002F0EF2" w:rsidRPr="007A0C25" w:rsidRDefault="002F0EF2" w:rsidP="002F0EF2">
      <w:pPr>
        <w:ind w:left="709" w:right="709"/>
        <w:contextualSpacing/>
        <w:jc w:val="both"/>
        <w:rPr>
          <w:rFonts w:ascii="Arial" w:eastAsia="Calibri" w:hAnsi="Arial" w:cs="Arial"/>
          <w:sz w:val="21"/>
          <w:szCs w:val="21"/>
          <w:lang w:val="es-ES_tradnl"/>
        </w:rPr>
      </w:pPr>
      <w:r w:rsidRPr="007A0C25">
        <w:rPr>
          <w:rFonts w:ascii="Arial" w:eastAsia="Calibri" w:hAnsi="Arial" w:cs="Arial"/>
          <w:sz w:val="21"/>
          <w:szCs w:val="21"/>
          <w:lang w:val="es-ES_tradnl"/>
        </w:rPr>
        <w:t>La Sala de Consulta y Servicio Civil</w:t>
      </w:r>
      <w:r w:rsidRPr="007A0C25">
        <w:rPr>
          <w:rFonts w:ascii="Arial" w:eastAsia="Calibri" w:hAnsi="Arial" w:cs="Arial"/>
          <w:sz w:val="21"/>
          <w:szCs w:val="21"/>
          <w:vertAlign w:val="superscript"/>
          <w:lang w:val="es-ES_tradnl"/>
        </w:rPr>
        <w:footnoteReference w:id="16"/>
      </w:r>
      <w:r w:rsidRPr="007A0C25">
        <w:rPr>
          <w:rFonts w:ascii="Arial" w:eastAsia="Calibri" w:hAnsi="Arial" w:cs="Arial"/>
          <w:sz w:val="21"/>
          <w:szCs w:val="21"/>
          <w:lang w:val="es-ES_tradnl"/>
        </w:rPr>
        <w:t xml:space="preserve"> de esta Corporación se ha referido a los </w:t>
      </w:r>
      <w:r w:rsidRPr="007A0C25">
        <w:rPr>
          <w:rFonts w:ascii="Arial" w:eastAsia="Calibri" w:hAnsi="Arial" w:cs="Arial"/>
          <w:i/>
          <w:sz w:val="21"/>
          <w:szCs w:val="21"/>
          <w:lang w:val="es-ES_tradnl"/>
        </w:rPr>
        <w:t>“convenios interadministrativos”</w:t>
      </w:r>
      <w:r w:rsidRPr="007A0C25">
        <w:rPr>
          <w:rFonts w:ascii="Arial" w:eastAsia="Calibri" w:hAnsi="Arial" w:cs="Arial"/>
          <w:sz w:val="21"/>
          <w:szCs w:val="21"/>
          <w:lang w:val="es-ES_tradnl"/>
        </w:rPr>
        <w:t xml:space="preserve"> a los cuales alude el artículo 95 de la Ley 489 de 1998, calificándolos de </w:t>
      </w:r>
      <w:r w:rsidRPr="007A0C25">
        <w:rPr>
          <w:rFonts w:ascii="Arial" w:eastAsia="Calibri" w:hAnsi="Arial" w:cs="Arial"/>
          <w:i/>
          <w:sz w:val="21"/>
          <w:szCs w:val="21"/>
          <w:lang w:val="es-ES_tradnl"/>
        </w:rPr>
        <w:t xml:space="preserve">“puros” </w:t>
      </w:r>
      <w:r w:rsidRPr="007A0C25">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7A0C25">
        <w:rPr>
          <w:rFonts w:ascii="Arial" w:eastAsia="Calibri" w:hAnsi="Arial" w:cs="Arial"/>
          <w:i/>
          <w:sz w:val="21"/>
          <w:szCs w:val="21"/>
          <w:lang w:val="es-ES_tradnl"/>
        </w:rPr>
        <w:t>“intercambio patrimonial”</w:t>
      </w:r>
      <w:r w:rsidRPr="007A0C25">
        <w:rPr>
          <w:rFonts w:ascii="Arial" w:eastAsia="Calibri" w:hAnsi="Arial" w:cs="Arial"/>
          <w:sz w:val="21"/>
          <w:szCs w:val="21"/>
          <w:lang w:val="es-ES_tradnl"/>
        </w:rPr>
        <w:t>. Sin perjuicio de lo anterior, en otra oportunidad, la misma Sala</w:t>
      </w:r>
      <w:r w:rsidRPr="007A0C25">
        <w:rPr>
          <w:rFonts w:ascii="Arial" w:eastAsia="Calibri" w:hAnsi="Arial" w:cs="Arial"/>
          <w:sz w:val="21"/>
          <w:szCs w:val="21"/>
          <w:vertAlign w:val="superscript"/>
          <w:lang w:val="es-ES_tradnl"/>
        </w:rPr>
        <w:footnoteReference w:id="17"/>
      </w:r>
      <w:r w:rsidRPr="007A0C25">
        <w:rPr>
          <w:rFonts w:ascii="Arial" w:eastAsia="Calibri" w:hAnsi="Arial" w:cs="Arial"/>
          <w:sz w:val="21"/>
          <w:szCs w:val="21"/>
          <w:lang w:val="es-ES_tradnl"/>
        </w:rPr>
        <w:t xml:space="preserve"> había indicado que, si bien en dichos convenios no se daba un </w:t>
      </w:r>
      <w:r w:rsidRPr="007A0C25">
        <w:rPr>
          <w:rFonts w:ascii="Arial" w:eastAsia="Calibri" w:hAnsi="Arial" w:cs="Arial"/>
          <w:i/>
          <w:sz w:val="21"/>
          <w:szCs w:val="21"/>
          <w:lang w:val="es-ES_tradnl"/>
        </w:rPr>
        <w:t>“verdadero intercambio de bienes o servicios (contrato conmutativo)”</w:t>
      </w:r>
      <w:r w:rsidRPr="007A0C25">
        <w:rPr>
          <w:rFonts w:ascii="Arial" w:eastAsia="Calibri" w:hAnsi="Arial" w:cs="Arial"/>
          <w:sz w:val="21"/>
          <w:szCs w:val="21"/>
          <w:lang w:val="es-ES_tradnl"/>
        </w:rPr>
        <w:t>, ello no impedía que se conviniera una remuneración a cargo de alguna(s) entidad(es).</w:t>
      </w:r>
    </w:p>
    <w:p w:rsidR="002F0EF2" w:rsidRPr="007A0C25" w:rsidRDefault="002F0EF2" w:rsidP="002F0EF2">
      <w:pPr>
        <w:ind w:left="709" w:right="709"/>
        <w:contextualSpacing/>
        <w:jc w:val="both"/>
        <w:rPr>
          <w:rFonts w:ascii="Arial" w:eastAsia="Calibri" w:hAnsi="Arial" w:cs="Arial"/>
          <w:sz w:val="21"/>
          <w:szCs w:val="21"/>
          <w:lang w:val="es-ES_tradnl"/>
        </w:rPr>
      </w:pPr>
    </w:p>
    <w:p w:rsidR="002F0EF2" w:rsidRPr="007A0C25" w:rsidRDefault="002F0EF2" w:rsidP="002F0EF2">
      <w:pPr>
        <w:widowControl w:val="0"/>
        <w:autoSpaceDE w:val="0"/>
        <w:autoSpaceDN w:val="0"/>
        <w:ind w:left="709" w:right="709"/>
        <w:contextualSpacing/>
        <w:jc w:val="both"/>
        <w:rPr>
          <w:rFonts w:ascii="Arial" w:eastAsia="Arial" w:hAnsi="Arial" w:cs="Arial"/>
          <w:sz w:val="21"/>
          <w:szCs w:val="21"/>
          <w:lang w:val="es-ES" w:eastAsia="es-ES" w:bidi="es-ES"/>
        </w:rPr>
      </w:pPr>
      <w:r w:rsidRPr="007A0C25">
        <w:rPr>
          <w:rFonts w:ascii="Arial" w:eastAsia="Arial" w:hAnsi="Arial" w:cs="Arial"/>
          <w:sz w:val="21"/>
          <w:szCs w:val="21"/>
          <w:lang w:val="es-ES_tradnl" w:eastAsia="es-ES" w:bidi="es-ES"/>
        </w:rPr>
        <w:t xml:space="preserve">Lo expuesto evidencia que, en general, las interpretaciones en torno a los </w:t>
      </w:r>
      <w:r w:rsidRPr="007A0C25">
        <w:rPr>
          <w:rFonts w:ascii="Arial" w:eastAsia="Arial" w:hAnsi="Arial" w:cs="Arial"/>
          <w:i/>
          <w:sz w:val="21"/>
          <w:szCs w:val="21"/>
          <w:lang w:val="es-ES_tradnl" w:eastAsia="es-ES" w:bidi="es-ES"/>
        </w:rPr>
        <w:t>“convenios interadministrativos”</w:t>
      </w:r>
      <w:r w:rsidRPr="007A0C25">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w:t>
      </w:r>
      <w:r w:rsidRPr="007A0C25">
        <w:rPr>
          <w:rFonts w:ascii="Arial" w:eastAsia="Arial" w:hAnsi="Arial" w:cs="Arial"/>
          <w:sz w:val="21"/>
          <w:szCs w:val="21"/>
          <w:lang w:val="es-ES_tradnl" w:eastAsia="es-ES" w:bidi="es-ES"/>
        </w:rPr>
        <w:lastRenderedPageBreak/>
        <w:t>las cuales tienen por objeto prestaciones patrimoniales</w:t>
      </w:r>
      <w:r w:rsidRPr="007A0C25">
        <w:rPr>
          <w:rFonts w:ascii="Arial" w:eastAsia="Arial" w:hAnsi="Arial" w:cs="Arial"/>
          <w:sz w:val="21"/>
          <w:szCs w:val="21"/>
          <w:vertAlign w:val="superscript"/>
          <w:lang w:val="es-ES_tradnl" w:eastAsia="es-ES" w:bidi="es-ES"/>
        </w:rPr>
        <w:footnoteReference w:id="18"/>
      </w:r>
      <w:r w:rsidRPr="007A0C25">
        <w:rPr>
          <w:rFonts w:ascii="Arial" w:eastAsia="Arial" w:hAnsi="Arial" w:cs="Arial"/>
          <w:sz w:val="21"/>
          <w:szCs w:val="21"/>
          <w:vertAlign w:val="superscript"/>
          <w:lang w:val="es-ES_tradnl" w:eastAsia="es-ES" w:bidi="es-ES"/>
        </w:rPr>
        <w:footnoteReference w:id="19"/>
      </w:r>
      <w:r w:rsidRPr="007A0C25">
        <w:rPr>
          <w:rFonts w:ascii="Arial" w:eastAsia="Arial" w:hAnsi="Arial" w:cs="Arial"/>
          <w:sz w:val="21"/>
          <w:szCs w:val="21"/>
          <w:lang w:val="es-ES_tradnl" w:eastAsia="es-ES" w:bidi="es-ES"/>
        </w:rPr>
        <w:t>.</w:t>
      </w:r>
    </w:p>
    <w:p w:rsidR="002F0EF2" w:rsidRPr="007A0C25" w:rsidRDefault="002F0EF2" w:rsidP="002F0EF2">
      <w:pPr>
        <w:widowControl w:val="0"/>
        <w:autoSpaceDE w:val="0"/>
        <w:autoSpaceDN w:val="0"/>
        <w:spacing w:line="276" w:lineRule="auto"/>
        <w:contextualSpacing/>
        <w:jc w:val="both"/>
        <w:rPr>
          <w:rFonts w:ascii="Arial" w:eastAsia="Arial" w:hAnsi="Arial" w:cs="Arial"/>
          <w:lang w:val="es-ES" w:eastAsia="es-ES" w:bidi="es-ES"/>
        </w:rPr>
      </w:pPr>
    </w:p>
    <w:p w:rsidR="002F0EF2" w:rsidRPr="007A0C25" w:rsidRDefault="002F0EF2" w:rsidP="002F0EF2">
      <w:pPr>
        <w:widowControl w:val="0"/>
        <w:autoSpaceDE w:val="0"/>
        <w:autoSpaceDN w:val="0"/>
        <w:spacing w:after="120" w:line="276" w:lineRule="auto"/>
        <w:ind w:firstLine="709"/>
        <w:jc w:val="both"/>
        <w:rPr>
          <w:rFonts w:ascii="Arial" w:eastAsia="Arial" w:hAnsi="Arial" w:cs="Arial"/>
          <w:lang w:val="es-ES" w:eastAsia="es-ES" w:bidi="es-ES"/>
        </w:rPr>
      </w:pPr>
      <w:r w:rsidRPr="007A0C25">
        <w:rPr>
          <w:rFonts w:ascii="Arial" w:eastAsia="Arial" w:hAnsi="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7A0C25">
        <w:rPr>
          <w:rFonts w:ascii="Arial" w:eastAsia="Arial" w:hAnsi="Arial" w:cs="Arial"/>
          <w:vertAlign w:val="superscript"/>
          <w:lang w:val="es-ES" w:eastAsia="es-ES" w:bidi="es-ES"/>
        </w:rPr>
        <w:footnoteReference w:id="20"/>
      </w:r>
      <w:r w:rsidRPr="007A0C25">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7A0C25">
        <w:rPr>
          <w:rFonts w:ascii="Arial" w:eastAsia="Arial" w:hAnsi="Arial" w:cs="Arial"/>
          <w:vertAlign w:val="superscript"/>
          <w:lang w:val="es-ES" w:eastAsia="es-ES" w:bidi="es-ES"/>
        </w:rPr>
        <w:footnoteReference w:id="21"/>
      </w:r>
      <w:r w:rsidRPr="007A0C25">
        <w:rPr>
          <w:rFonts w:ascii="Arial" w:eastAsia="Arial" w:hAnsi="Arial" w:cs="Arial"/>
          <w:lang w:val="es-ES" w:eastAsia="es-ES" w:bidi="es-ES"/>
        </w:rPr>
        <w:t>.</w:t>
      </w:r>
    </w:p>
    <w:p w:rsidR="002F0EF2" w:rsidRPr="007A0C25" w:rsidRDefault="002F0EF2" w:rsidP="002F0EF2">
      <w:pPr>
        <w:widowControl w:val="0"/>
        <w:autoSpaceDE w:val="0"/>
        <w:autoSpaceDN w:val="0"/>
        <w:spacing w:line="276" w:lineRule="auto"/>
        <w:ind w:firstLine="709"/>
        <w:contextualSpacing/>
        <w:jc w:val="both"/>
        <w:rPr>
          <w:rFonts w:ascii="Arial" w:eastAsia="Arial" w:hAnsi="Arial" w:cs="Arial"/>
          <w:lang w:val="es-ES" w:eastAsia="es-ES" w:bidi="es-ES"/>
        </w:rPr>
      </w:pPr>
      <w:r w:rsidRPr="007A0C25">
        <w:rPr>
          <w:rFonts w:ascii="Arial" w:eastAsia="Arial" w:hAnsi="Arial" w:cs="Arial"/>
          <w:lang w:val="es-ES" w:eastAsia="es-ES" w:bidi="es-ES"/>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rsidR="002F0EF2" w:rsidRPr="007A0C25" w:rsidRDefault="002F0EF2" w:rsidP="002F0EF2">
      <w:pPr>
        <w:widowControl w:val="0"/>
        <w:autoSpaceDE w:val="0"/>
        <w:autoSpaceDN w:val="0"/>
        <w:spacing w:line="276" w:lineRule="auto"/>
        <w:contextualSpacing/>
        <w:jc w:val="both"/>
        <w:rPr>
          <w:rFonts w:ascii="Arial" w:eastAsia="Arial" w:hAnsi="Arial" w:cs="Arial"/>
          <w:lang w:val="es-ES" w:eastAsia="es-ES" w:bidi="es-ES"/>
        </w:rPr>
      </w:pPr>
    </w:p>
    <w:p w:rsidR="002F0EF2" w:rsidRPr="007A0C25" w:rsidRDefault="002F0EF2" w:rsidP="002F0EF2">
      <w:pPr>
        <w:ind w:left="709" w:right="709"/>
        <w:contextualSpacing/>
        <w:jc w:val="both"/>
        <w:rPr>
          <w:rFonts w:ascii="Arial" w:eastAsia="Calibri" w:hAnsi="Arial" w:cs="Arial"/>
          <w:sz w:val="21"/>
          <w:szCs w:val="21"/>
        </w:rPr>
      </w:pPr>
      <w:r w:rsidRPr="007A0C25">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7A0C25">
        <w:rPr>
          <w:rFonts w:ascii="Arial" w:eastAsia="Calibri" w:hAnsi="Arial" w:cs="Arial"/>
          <w:sz w:val="21"/>
          <w:szCs w:val="21"/>
        </w:rPr>
        <w:t xml:space="preserve">para tal fin, se entenderán en el mismo sentido. Es </w:t>
      </w:r>
      <w:r w:rsidRPr="007A0C25">
        <w:rPr>
          <w:rFonts w:ascii="Arial" w:eastAsia="Calibri" w:hAnsi="Arial" w:cs="Arial"/>
          <w:sz w:val="21"/>
          <w:szCs w:val="21"/>
        </w:rPr>
        <w:lastRenderedPageBreak/>
        <w:t>así como el Decreto 1082 de 2015 trata indistintamente a los convenios y contratos interadministrativos, al establecer la contratación directa como la modalidad de selección para la contratación entre entidades públicas a través de estas dos figuras jurídicas.</w:t>
      </w:r>
    </w:p>
    <w:p w:rsidR="002F0EF2" w:rsidRPr="007A0C25" w:rsidRDefault="002F0EF2" w:rsidP="002F0EF2">
      <w:pPr>
        <w:ind w:left="709" w:right="709"/>
        <w:contextualSpacing/>
        <w:jc w:val="both"/>
        <w:rPr>
          <w:rFonts w:ascii="Arial" w:eastAsia="Calibri" w:hAnsi="Arial" w:cs="Arial"/>
          <w:sz w:val="21"/>
          <w:szCs w:val="21"/>
        </w:rPr>
      </w:pPr>
      <w:r w:rsidRPr="007A0C25">
        <w:rPr>
          <w:rFonts w:ascii="Arial" w:eastAsia="Calibri" w:hAnsi="Arial" w:cs="Arial"/>
          <w:sz w:val="21"/>
          <w:szCs w:val="21"/>
        </w:rPr>
        <w:t xml:space="preserve"> </w:t>
      </w:r>
    </w:p>
    <w:p w:rsidR="002F0EF2" w:rsidRPr="007A0C25" w:rsidRDefault="002F0EF2" w:rsidP="002F0EF2">
      <w:pPr>
        <w:ind w:left="709" w:right="709"/>
        <w:contextualSpacing/>
        <w:jc w:val="both"/>
        <w:rPr>
          <w:rFonts w:ascii="Arial" w:eastAsia="Calibri" w:hAnsi="Arial" w:cs="Arial"/>
          <w:sz w:val="21"/>
          <w:szCs w:val="21"/>
        </w:rPr>
      </w:pPr>
      <w:r w:rsidRPr="007A0C25">
        <w:rPr>
          <w:rFonts w:ascii="Arial" w:eastAsia="Calibri"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rsidR="002F0EF2" w:rsidRPr="007A0C25" w:rsidRDefault="002F0EF2" w:rsidP="002F0EF2">
      <w:pPr>
        <w:ind w:left="709" w:right="709"/>
        <w:contextualSpacing/>
        <w:jc w:val="both"/>
        <w:rPr>
          <w:rFonts w:ascii="Arial" w:eastAsia="Calibri" w:hAnsi="Arial" w:cs="Arial"/>
          <w:sz w:val="21"/>
          <w:szCs w:val="21"/>
        </w:rPr>
      </w:pPr>
    </w:p>
    <w:p w:rsidR="002F0EF2" w:rsidRPr="007A0C25" w:rsidRDefault="002F0EF2" w:rsidP="002F0EF2">
      <w:pPr>
        <w:ind w:left="709" w:right="709"/>
        <w:contextualSpacing/>
        <w:jc w:val="both"/>
        <w:rPr>
          <w:rFonts w:ascii="Calibri" w:eastAsia="Calibri" w:hAnsi="Calibri"/>
        </w:rPr>
      </w:pPr>
      <w:r w:rsidRPr="007A0C25">
        <w:rPr>
          <w:rFonts w:ascii="Arial" w:eastAsia="Calibri"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rsidR="002F0EF2" w:rsidRPr="007A0C25" w:rsidRDefault="002F0EF2" w:rsidP="002F0EF2">
      <w:pPr>
        <w:widowControl w:val="0"/>
        <w:autoSpaceDE w:val="0"/>
        <w:autoSpaceDN w:val="0"/>
        <w:spacing w:line="276" w:lineRule="auto"/>
        <w:contextualSpacing/>
        <w:jc w:val="both"/>
        <w:rPr>
          <w:rFonts w:ascii="Arial" w:eastAsia="Arial" w:hAnsi="Arial" w:cs="Arial"/>
          <w:lang w:val="es-ES" w:eastAsia="es-ES" w:bidi="es-ES"/>
        </w:rPr>
      </w:pPr>
    </w:p>
    <w:p w:rsidR="002F0EF2" w:rsidRPr="007A0C25" w:rsidRDefault="002F0EF2" w:rsidP="002F0EF2">
      <w:pPr>
        <w:widowControl w:val="0"/>
        <w:autoSpaceDE w:val="0"/>
        <w:autoSpaceDN w:val="0"/>
        <w:spacing w:after="120" w:line="276" w:lineRule="auto"/>
        <w:ind w:firstLine="709"/>
        <w:jc w:val="both"/>
        <w:rPr>
          <w:rFonts w:ascii="Arial" w:eastAsia="Calibri" w:hAnsi="Arial" w:cs="Arial"/>
          <w:bCs/>
          <w:lang w:eastAsia="es-ES" w:bidi="es-ES"/>
        </w:rPr>
      </w:pPr>
      <w:r w:rsidRPr="007A0C25">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7"/>
    </w:p>
    <w:p w:rsidR="002F0EF2" w:rsidRPr="007A0C25" w:rsidRDefault="002F0EF2" w:rsidP="002F0EF2">
      <w:pPr>
        <w:tabs>
          <w:tab w:val="left" w:pos="426"/>
        </w:tabs>
        <w:spacing w:after="120" w:line="276" w:lineRule="auto"/>
        <w:ind w:firstLine="709"/>
        <w:jc w:val="both"/>
        <w:rPr>
          <w:rFonts w:ascii="Arial" w:hAnsi="Arial" w:cs="Arial"/>
          <w:bCs/>
          <w:lang w:eastAsia="es-CO"/>
        </w:rPr>
      </w:pPr>
      <w:r w:rsidRPr="00172738">
        <w:rPr>
          <w:rFonts w:ascii="Arial" w:hAnsi="Arial" w:cs="Arial"/>
          <w:bCs/>
          <w:lang w:eastAsia="es-CO"/>
        </w:rPr>
        <w:t xml:space="preserve">Conforme a lo expuesto, de cara a la pregunta planteada debe señalarse que </w:t>
      </w:r>
      <w:bookmarkStart w:id="28" w:name="_Hlk114828165"/>
      <w:r w:rsidRPr="00172738">
        <w:rPr>
          <w:rFonts w:ascii="Arial" w:hAnsi="Arial" w:cs="Arial"/>
          <w:bCs/>
          <w:lang w:eastAsia="es-CO"/>
        </w:rPr>
        <w:t xml:space="preserve">el parágrafo del artículo 38 de la Ley 996 de 2005 prohíbe a los alcaldes, gobernadores, secretarios, gerentes y directores de </w:t>
      </w:r>
      <w:r w:rsidRPr="009609C3">
        <w:rPr>
          <w:rFonts w:ascii="Arial" w:hAnsi="Arial" w:cs="Arial"/>
          <w:bCs/>
          <w:lang w:eastAsia="es-CO"/>
        </w:rPr>
        <w:t>las entidades del orden municipal,</w:t>
      </w:r>
      <w:r w:rsidRPr="00172738">
        <w:rPr>
          <w:rFonts w:ascii="Arial" w:hAnsi="Arial" w:cs="Arial"/>
          <w:bCs/>
          <w:lang w:eastAsia="es-CO"/>
        </w:rPr>
        <w:t xml:space="preserve"> departamental o distrital celebrar convenios y contratos interadministrativos para la ejecución de recursos públicos. En este sentido, l</w:t>
      </w:r>
      <w:r>
        <w:rPr>
          <w:rFonts w:ascii="Arial" w:hAnsi="Arial" w:cs="Arial"/>
          <w:bCs/>
          <w:lang w:eastAsia="es-CO"/>
        </w:rPr>
        <w:t>a</w:t>
      </w:r>
      <w:r w:rsidRPr="00172738">
        <w:rPr>
          <w:rFonts w:ascii="Arial" w:hAnsi="Arial" w:cs="Arial"/>
          <w:bCs/>
          <w:lang w:eastAsia="es-CO"/>
        </w:rPr>
        <w:t>s</w:t>
      </w:r>
      <w:r>
        <w:rPr>
          <w:rFonts w:ascii="Arial" w:hAnsi="Arial" w:cs="Arial"/>
          <w:bCs/>
          <w:lang w:eastAsia="es-CO"/>
        </w:rPr>
        <w:t xml:space="preserve"> entidades referidas,</w:t>
      </w:r>
      <w:r w:rsidRPr="00172738">
        <w:rPr>
          <w:rFonts w:ascii="Arial" w:hAnsi="Arial" w:cs="Arial"/>
          <w:bCs/>
          <w:lang w:eastAsia="es-CO"/>
        </w:rPr>
        <w:t xml:space="preserve"> no </w:t>
      </w:r>
      <w:r>
        <w:rPr>
          <w:rFonts w:ascii="Arial" w:hAnsi="Arial" w:cs="Arial"/>
          <w:bCs/>
          <w:lang w:eastAsia="es-CO"/>
        </w:rPr>
        <w:t xml:space="preserve">solo no </w:t>
      </w:r>
      <w:r w:rsidRPr="00172738">
        <w:rPr>
          <w:rFonts w:ascii="Arial" w:hAnsi="Arial" w:cs="Arial"/>
          <w:bCs/>
          <w:lang w:eastAsia="es-CO"/>
        </w:rPr>
        <w:t>podrán celebrar tales convenios o contratos</w:t>
      </w:r>
      <w:r>
        <w:rPr>
          <w:rFonts w:ascii="Arial" w:hAnsi="Arial" w:cs="Arial"/>
          <w:bCs/>
          <w:lang w:eastAsia="es-CO"/>
        </w:rPr>
        <w:t xml:space="preserve"> interadministrativos</w:t>
      </w:r>
      <w:r w:rsidRPr="00172738">
        <w:rPr>
          <w:rFonts w:ascii="Arial" w:hAnsi="Arial" w:cs="Arial"/>
          <w:bCs/>
          <w:lang w:eastAsia="es-CO"/>
        </w:rPr>
        <w:t xml:space="preserve"> durante el periodo de aplicación de la Ley de Garantías Electorales,</w:t>
      </w:r>
      <w:r>
        <w:rPr>
          <w:rFonts w:ascii="Arial" w:hAnsi="Arial" w:cs="Arial"/>
          <w:bCs/>
          <w:lang w:eastAsia="es-CO"/>
        </w:rPr>
        <w:t xml:space="preserve"> sino que tampoco podrán celebrar contratos a través de la modalidad de contratación directa con las referidas entidades previstas en el parágrafo del </w:t>
      </w:r>
      <w:r w:rsidRPr="00565243">
        <w:rPr>
          <w:rFonts w:ascii="Arial" w:hAnsi="Arial" w:cs="Arial"/>
          <w:bCs/>
          <w:lang w:eastAsia="es-CO"/>
        </w:rPr>
        <w:t>artículo 38 de la Ley 996 de 2005</w:t>
      </w:r>
      <w:r>
        <w:rPr>
          <w:rFonts w:ascii="Arial" w:hAnsi="Arial" w:cs="Arial"/>
          <w:bCs/>
          <w:lang w:eastAsia="es-CO"/>
        </w:rPr>
        <w:t xml:space="preserve">, distinto si lo celebran con entidades del orden nacional.  </w:t>
      </w:r>
      <w:r w:rsidRPr="00172738">
        <w:rPr>
          <w:rFonts w:ascii="Arial" w:hAnsi="Arial" w:cs="Arial"/>
          <w:bCs/>
          <w:lang w:eastAsia="es-CO"/>
        </w:rPr>
        <w:t xml:space="preserve"> </w:t>
      </w:r>
      <w:r>
        <w:rPr>
          <w:rFonts w:ascii="Arial" w:hAnsi="Arial" w:cs="Arial"/>
          <w:bCs/>
          <w:lang w:eastAsia="es-CO"/>
        </w:rPr>
        <w:t xml:space="preserve">La </w:t>
      </w:r>
      <w:r w:rsidRPr="00172738">
        <w:rPr>
          <w:rFonts w:ascii="Arial" w:hAnsi="Arial" w:cs="Arial"/>
          <w:bCs/>
          <w:lang w:eastAsia="es-CO"/>
        </w:rPr>
        <w:t xml:space="preserve">citada disposición hace referencia a dicha tipología contractual </w:t>
      </w:r>
      <w:r w:rsidRPr="00172738">
        <w:rPr>
          <w:rFonts w:ascii="Arial" w:hAnsi="Arial" w:cs="Arial"/>
          <w:bCs/>
          <w:lang w:eastAsia="es-CO"/>
        </w:rPr>
        <w:lastRenderedPageBreak/>
        <w:t>sin que el legislador hubiere contemplado excepción alguna frente a la modalidad de selección o naturaleza de su objeto.</w:t>
      </w:r>
      <w:r w:rsidRPr="007A0C25">
        <w:rPr>
          <w:rFonts w:ascii="Arial" w:eastAsia="Times New Roman" w:hAnsi="Arial" w:cs="Arial"/>
          <w:bCs/>
          <w:lang w:eastAsia="es-CO"/>
        </w:rPr>
        <w:t xml:space="preserve"> </w:t>
      </w:r>
      <w:r w:rsidRPr="00172738">
        <w:rPr>
          <w:rFonts w:ascii="Arial" w:eastAsia="Times New Roman" w:hAnsi="Arial" w:cs="Arial"/>
          <w:bCs/>
          <w:lang w:eastAsia="es-CO"/>
        </w:rPr>
        <w:t>De esta manera, la prohibición aplica a todos los contratos interadministrativos con independencia de que estén o no precedidos de un procedimiento de selección con pluralidad de oferentes.</w:t>
      </w:r>
      <w:r w:rsidRPr="007A0C25">
        <w:rPr>
          <w:rFonts w:ascii="Arial" w:eastAsia="Times New Roman" w:hAnsi="Arial" w:cs="Arial"/>
          <w:bCs/>
          <w:lang w:eastAsia="es-CO"/>
        </w:rPr>
        <w:t xml:space="preserve"> Esto por cuanto, como se indicó, el contrato o convenio interadministrativo no se define por la modalidad de selección, sino por la naturaleza pública de quienes lo celebran, es decir, por un criterio orgánico.</w:t>
      </w:r>
      <w:r>
        <w:rPr>
          <w:rFonts w:ascii="Arial" w:eastAsia="Times New Roman" w:hAnsi="Arial" w:cs="Arial"/>
          <w:bCs/>
          <w:lang w:eastAsia="es-CO"/>
        </w:rPr>
        <w:t xml:space="preserve"> En todo caso se reitera el carácter de interpretación restrictiva que tienen las restricciones previstas en la Ley de Garantías. </w:t>
      </w:r>
      <w:r w:rsidRPr="007A0C25">
        <w:rPr>
          <w:rFonts w:ascii="Arial" w:eastAsia="Calibri" w:hAnsi="Arial" w:cs="Arial"/>
          <w:color w:val="000000" w:themeColor="text1"/>
        </w:rPr>
        <w:t> </w:t>
      </w:r>
      <w:bookmarkEnd w:id="28"/>
    </w:p>
    <w:bookmarkEnd w:id="17"/>
    <w:p w:rsidR="002F0EF2" w:rsidRPr="007A0C25" w:rsidRDefault="002F0EF2" w:rsidP="002F0EF2">
      <w:pPr>
        <w:tabs>
          <w:tab w:val="left" w:pos="426"/>
        </w:tabs>
        <w:spacing w:line="276" w:lineRule="auto"/>
        <w:jc w:val="both"/>
        <w:rPr>
          <w:rFonts w:ascii="Arial" w:eastAsia="Calibri" w:hAnsi="Arial" w:cs="Arial"/>
        </w:rPr>
      </w:pPr>
    </w:p>
    <w:p w:rsidR="002F0EF2" w:rsidRPr="007A0C25" w:rsidRDefault="002F0EF2" w:rsidP="002F0EF2">
      <w:pPr>
        <w:spacing w:line="276" w:lineRule="auto"/>
        <w:ind w:right="79"/>
        <w:jc w:val="both"/>
        <w:rPr>
          <w:rFonts w:ascii="Arial" w:eastAsia="Calibri" w:hAnsi="Arial" w:cs="Arial"/>
          <w:b/>
          <w:noProof/>
          <w:lang w:val="es-ES_tradnl"/>
        </w:rPr>
      </w:pPr>
      <w:bookmarkStart w:id="29" w:name="_1y810tw" w:colFirst="0" w:colLast="0"/>
      <w:bookmarkStart w:id="30" w:name="_2xcytpi" w:colFirst="0" w:colLast="0"/>
      <w:bookmarkStart w:id="31" w:name="_1ci93xb" w:colFirst="0" w:colLast="0"/>
      <w:bookmarkStart w:id="32" w:name="_3whwml4" w:colFirst="0" w:colLast="0"/>
      <w:bookmarkEnd w:id="29"/>
      <w:bookmarkEnd w:id="30"/>
      <w:bookmarkEnd w:id="31"/>
      <w:bookmarkEnd w:id="32"/>
      <w:r w:rsidRPr="007A0C25">
        <w:rPr>
          <w:rFonts w:ascii="Arial" w:eastAsia="Calibri" w:hAnsi="Arial" w:cs="Arial"/>
          <w:b/>
          <w:noProof/>
          <w:lang w:val="es-ES_tradnl"/>
        </w:rPr>
        <w:t>3. Respuesta</w:t>
      </w:r>
    </w:p>
    <w:p w:rsidR="002F0EF2" w:rsidRPr="007A0C25" w:rsidRDefault="002F0EF2" w:rsidP="002F0EF2">
      <w:pPr>
        <w:ind w:left="567" w:right="788"/>
        <w:contextualSpacing/>
        <w:jc w:val="both"/>
        <w:rPr>
          <w:rFonts w:ascii="Arial" w:hAnsi="Arial" w:cs="Arial"/>
          <w:sz w:val="21"/>
          <w:szCs w:val="21"/>
          <w:lang w:val="es-ES_tradnl"/>
        </w:rPr>
      </w:pPr>
      <w:r w:rsidRPr="009A6868">
        <w:rPr>
          <w:rFonts w:ascii="Arial" w:hAnsi="Arial" w:cs="Arial"/>
          <w:sz w:val="21"/>
          <w:szCs w:val="21"/>
          <w:lang w:val="es-ES_tradnl"/>
        </w:rPr>
        <w:t>“</w:t>
      </w:r>
      <w:r w:rsidRPr="009609C3">
        <w:rPr>
          <w:rFonts w:ascii="Arial" w:hAnsi="Arial" w:cs="Arial"/>
          <w:sz w:val="21"/>
          <w:szCs w:val="21"/>
          <w:lang w:val="es-ES_tradnl"/>
        </w:rPr>
        <w:t>solicitamos amablemente nos informe, cuál es la postura de la Agencia para las elecciones del 29 de octubre de 2023, lineamientos adicionales a los establecidos en la Ley 996 de 2005 en el parágrafo del artículo 38, en relación con la contratación de las entidades, los contratos interadministrativos, y en especial, la modificación de planta de personal que llegase a abarcar los contratos de prestación de servicios, y los denominados de apoyo a la gestión</w:t>
      </w:r>
      <w:r>
        <w:rPr>
          <w:rFonts w:ascii="Arial" w:hAnsi="Arial" w:cs="Arial"/>
          <w:sz w:val="21"/>
          <w:szCs w:val="21"/>
          <w:lang w:val="es-ES_tradnl"/>
        </w:rPr>
        <w:t>”.</w:t>
      </w:r>
    </w:p>
    <w:p w:rsidR="002F0EF2" w:rsidRDefault="002F0EF2" w:rsidP="002F0EF2">
      <w:pPr>
        <w:spacing w:after="0" w:line="276" w:lineRule="auto"/>
        <w:jc w:val="both"/>
        <w:rPr>
          <w:rFonts w:ascii="Arial" w:eastAsia="Arial" w:hAnsi="Arial" w:cs="Arial"/>
        </w:rPr>
      </w:pPr>
    </w:p>
    <w:p w:rsidR="002F0EF2" w:rsidRPr="007A0C25" w:rsidRDefault="002F0EF2" w:rsidP="002F0EF2">
      <w:pPr>
        <w:spacing w:after="120" w:line="276" w:lineRule="auto"/>
        <w:jc w:val="both"/>
        <w:rPr>
          <w:rFonts w:ascii="Arial" w:eastAsia="Arial" w:hAnsi="Arial" w:cs="Arial"/>
          <w:lang w:val="es-ES" w:eastAsia="es-ES" w:bidi="es-ES"/>
        </w:rPr>
      </w:pPr>
      <w:r w:rsidRPr="007A0C25">
        <w:rPr>
          <w:rFonts w:ascii="Arial" w:eastAsia="Arial" w:hAnsi="Arial" w:cs="Arial"/>
        </w:rPr>
        <w:t xml:space="preserve">De acuerdo con la interpretación de las normas generales del sistema de compras y contratación pública, </w:t>
      </w:r>
      <w:r w:rsidRPr="007A0C25">
        <w:rPr>
          <w:rFonts w:ascii="Arial" w:eastAsia="Arial" w:hAnsi="Arial" w:cs="Arial"/>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rsidR="002F0EF2" w:rsidRPr="007A0C25" w:rsidRDefault="002F0EF2" w:rsidP="002F0EF2">
      <w:pPr>
        <w:spacing w:after="120" w:line="276" w:lineRule="auto"/>
        <w:ind w:firstLine="708"/>
        <w:jc w:val="both"/>
        <w:rPr>
          <w:rFonts w:ascii="Arial" w:hAnsi="Arial" w:cs="Arial"/>
          <w:bCs/>
          <w:lang w:val="es-ES_tradnl" w:eastAsia="es-CO"/>
        </w:rPr>
      </w:pPr>
      <w:r w:rsidRPr="007A0C25">
        <w:rPr>
          <w:rFonts w:ascii="Arial" w:hAnsi="Arial" w:cs="Arial"/>
          <w:bCs/>
          <w:lang w:val="es-ES_tradnl" w:eastAsia="es-CO"/>
        </w:rPr>
        <w:t xml:space="preserve">Por un lado, el 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Pr="007A0C25">
        <w:rPr>
          <w:rFonts w:ascii="Arial" w:hAnsi="Arial" w:cs="Arial"/>
          <w:bCs/>
          <w:lang w:eastAsia="es-CO"/>
        </w:rPr>
        <w:t xml:space="preserve">Los destinatarios de la prohibición son </w:t>
      </w:r>
      <w:r>
        <w:rPr>
          <w:rFonts w:ascii="Arial" w:hAnsi="Arial" w:cs="Arial"/>
          <w:bCs/>
          <w:lang w:eastAsia="es-CO"/>
        </w:rPr>
        <w:t>“</w:t>
      </w:r>
      <w:r w:rsidRPr="007A0C25">
        <w:rPr>
          <w:rFonts w:ascii="Arial" w:hAnsi="Arial" w:cs="Arial"/>
          <w:bCs/>
          <w:lang w:eastAsia="es-CO"/>
        </w:rPr>
        <w:t>todos los entes del Estado</w:t>
      </w:r>
      <w:r>
        <w:rPr>
          <w:rFonts w:ascii="Arial" w:hAnsi="Arial" w:cs="Arial"/>
          <w:bCs/>
          <w:lang w:eastAsia="es-CO"/>
        </w:rPr>
        <w:t>”</w:t>
      </w:r>
      <w:r w:rsidRPr="007A0C25">
        <w:rPr>
          <w:rFonts w:ascii="Arial" w:hAnsi="Arial" w:cs="Arial"/>
          <w:bCs/>
          <w:lang w:eastAsia="es-CO"/>
        </w:rPr>
        <w:t xml:space="preserve">, expresión que contempla a los diferentes organismos o entidades autorizadas por la ley para suscribir contratos. En efecto, como ha sostenido el Consejo de Estado, el vocablo </w:t>
      </w:r>
      <w:r>
        <w:rPr>
          <w:rFonts w:ascii="Arial" w:hAnsi="Arial" w:cs="Arial"/>
          <w:bCs/>
          <w:lang w:eastAsia="es-CO"/>
        </w:rPr>
        <w:t>“</w:t>
      </w:r>
      <w:r w:rsidRPr="007A0C25">
        <w:rPr>
          <w:rFonts w:ascii="Arial" w:hAnsi="Arial" w:cs="Arial"/>
          <w:bCs/>
          <w:lang w:eastAsia="es-CO"/>
        </w:rPr>
        <w:t>todos</w:t>
      </w:r>
      <w:r>
        <w:rPr>
          <w:rFonts w:ascii="Arial" w:hAnsi="Arial" w:cs="Arial"/>
          <w:bCs/>
          <w:lang w:eastAsia="es-CO"/>
        </w:rPr>
        <w:t>”</w:t>
      </w:r>
      <w:r w:rsidRPr="007A0C25">
        <w:rPr>
          <w:rFonts w:ascii="Arial" w:hAnsi="Arial" w:cs="Arial"/>
          <w:bCs/>
          <w:lang w:eastAsia="es-CO"/>
        </w:rPr>
        <w:t xml:space="preserve">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002F0EF2" w:rsidRPr="007A0C25" w:rsidRDefault="002F0EF2" w:rsidP="002F0EF2">
      <w:pPr>
        <w:spacing w:after="120" w:line="276" w:lineRule="auto"/>
        <w:ind w:firstLine="709"/>
        <w:jc w:val="both"/>
        <w:rPr>
          <w:rFonts w:ascii="Arial" w:hAnsi="Arial" w:cs="Arial"/>
          <w:bCs/>
          <w:lang w:val="es-ES_tradnl" w:eastAsia="es-CO" w:bidi="es-ES"/>
        </w:rPr>
      </w:pPr>
      <w:r w:rsidRPr="007A0C25">
        <w:rPr>
          <w:rFonts w:ascii="Arial" w:hAnsi="Arial" w:cs="Arial"/>
          <w:bCs/>
          <w:lang w:eastAsia="es-CO"/>
        </w:rPr>
        <w:t xml:space="preserve">De otro lado, el parágrafo del artículo 38 de la Ley de Garantías Electorales, establece una restricción en virtud de la cual, durante el periodo de cuatro meses anteriores a cualquier jornada de elecciones, las entidades territoriales, </w:t>
      </w:r>
      <w:r w:rsidRPr="00172738">
        <w:rPr>
          <w:rFonts w:ascii="Arial" w:hAnsi="Arial" w:cs="Arial"/>
          <w:bCs/>
          <w:lang w:eastAsia="es-CO"/>
        </w:rPr>
        <w:t>como es el caso de los municipios a los cuales se hace referencia en su consulta</w:t>
      </w:r>
      <w:r w:rsidRPr="007A0C25">
        <w:rPr>
          <w:rFonts w:ascii="Arial" w:hAnsi="Arial" w:cs="Arial"/>
          <w:bCs/>
          <w:lang w:eastAsia="es-CO"/>
        </w:rPr>
        <w:t xml:space="preserve">, no pueden suscribir convenios interadministrativos que impliquen la ejecución de recursos públicos. Para determinar el alcance de la prohibición consagrada por la Ley de Garantías Electorales, conviene precisar la tipología de convenios o </w:t>
      </w:r>
      <w:r w:rsidRPr="007A0C25">
        <w:rPr>
          <w:rFonts w:ascii="Arial" w:hAnsi="Arial" w:cs="Arial"/>
          <w:bCs/>
          <w:lang w:eastAsia="es-CO"/>
        </w:rPr>
        <w:lastRenderedPageBreak/>
        <w:t xml:space="preserve">contratos interadministrativos. </w:t>
      </w:r>
      <w:r w:rsidRPr="007A0C25">
        <w:rPr>
          <w:rFonts w:ascii="Arial" w:hAnsi="Arial" w:cs="Arial"/>
          <w:bCs/>
          <w:lang w:val="es-ES_tradnl" w:eastAsia="es-CO"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rsidR="002F0EF2" w:rsidRPr="007A0C25" w:rsidRDefault="002F0EF2" w:rsidP="002F0EF2">
      <w:pPr>
        <w:tabs>
          <w:tab w:val="left" w:pos="426"/>
        </w:tabs>
        <w:spacing w:after="120" w:line="276" w:lineRule="auto"/>
        <w:ind w:firstLine="709"/>
        <w:jc w:val="both"/>
        <w:rPr>
          <w:rFonts w:ascii="Arial" w:hAnsi="Arial" w:cs="Arial"/>
          <w:bCs/>
          <w:lang w:eastAsia="es-CO"/>
        </w:rPr>
      </w:pPr>
      <w:r w:rsidRPr="00172738">
        <w:rPr>
          <w:rFonts w:ascii="Arial" w:hAnsi="Arial" w:cs="Arial"/>
          <w:bCs/>
          <w:lang w:eastAsia="es-CO"/>
        </w:rPr>
        <w:t xml:space="preserve">Conforme a lo expuesto, de cara a la pregunta planteada debe señalarse que el parágrafo del artículo 38 de la Ley 996 de 2005 prohíbe a los alcaldes, gobernadores, secretarios, gerentes y directores de </w:t>
      </w:r>
      <w:r w:rsidRPr="009609C3">
        <w:rPr>
          <w:rFonts w:ascii="Arial" w:hAnsi="Arial" w:cs="Arial"/>
          <w:bCs/>
          <w:lang w:eastAsia="es-CO"/>
        </w:rPr>
        <w:t>las entidades del orden municipal,</w:t>
      </w:r>
      <w:r w:rsidRPr="00172738">
        <w:rPr>
          <w:rFonts w:ascii="Arial" w:hAnsi="Arial" w:cs="Arial"/>
          <w:bCs/>
          <w:lang w:eastAsia="es-CO"/>
        </w:rPr>
        <w:t xml:space="preserve"> departamental o distrital celebrar convenios y contratos interadministrativos para la ejecución de recursos públicos. En este sentido, l</w:t>
      </w:r>
      <w:r>
        <w:rPr>
          <w:rFonts w:ascii="Arial" w:hAnsi="Arial" w:cs="Arial"/>
          <w:bCs/>
          <w:lang w:eastAsia="es-CO"/>
        </w:rPr>
        <w:t>a</w:t>
      </w:r>
      <w:r w:rsidRPr="00172738">
        <w:rPr>
          <w:rFonts w:ascii="Arial" w:hAnsi="Arial" w:cs="Arial"/>
          <w:bCs/>
          <w:lang w:eastAsia="es-CO"/>
        </w:rPr>
        <w:t>s</w:t>
      </w:r>
      <w:r>
        <w:rPr>
          <w:rFonts w:ascii="Arial" w:hAnsi="Arial" w:cs="Arial"/>
          <w:bCs/>
          <w:lang w:eastAsia="es-CO"/>
        </w:rPr>
        <w:t xml:space="preserve"> entidades referidas,</w:t>
      </w:r>
      <w:r w:rsidRPr="00172738">
        <w:rPr>
          <w:rFonts w:ascii="Arial" w:hAnsi="Arial" w:cs="Arial"/>
          <w:bCs/>
          <w:lang w:eastAsia="es-CO"/>
        </w:rPr>
        <w:t xml:space="preserve"> no </w:t>
      </w:r>
      <w:r>
        <w:rPr>
          <w:rFonts w:ascii="Arial" w:hAnsi="Arial" w:cs="Arial"/>
          <w:bCs/>
          <w:lang w:eastAsia="es-CO"/>
        </w:rPr>
        <w:t xml:space="preserve">solo no </w:t>
      </w:r>
      <w:r w:rsidRPr="00172738">
        <w:rPr>
          <w:rFonts w:ascii="Arial" w:hAnsi="Arial" w:cs="Arial"/>
          <w:bCs/>
          <w:lang w:eastAsia="es-CO"/>
        </w:rPr>
        <w:t>podrán celebrar tales convenios o contratos</w:t>
      </w:r>
      <w:r>
        <w:rPr>
          <w:rFonts w:ascii="Arial" w:hAnsi="Arial" w:cs="Arial"/>
          <w:bCs/>
          <w:lang w:eastAsia="es-CO"/>
        </w:rPr>
        <w:t xml:space="preserve"> interadministrativos</w:t>
      </w:r>
      <w:r w:rsidRPr="00172738">
        <w:rPr>
          <w:rFonts w:ascii="Arial" w:hAnsi="Arial" w:cs="Arial"/>
          <w:bCs/>
          <w:lang w:eastAsia="es-CO"/>
        </w:rPr>
        <w:t xml:space="preserve"> durante el periodo de aplicación de la Ley de Garantías Electorales,</w:t>
      </w:r>
      <w:r>
        <w:rPr>
          <w:rFonts w:ascii="Arial" w:hAnsi="Arial" w:cs="Arial"/>
          <w:bCs/>
          <w:lang w:eastAsia="es-CO"/>
        </w:rPr>
        <w:t xml:space="preserve"> sino que tampoco podrán celebrar contratos a través de la modalidad de contratación directa con las referidas entidades previstas en el parágrafo del </w:t>
      </w:r>
      <w:r w:rsidRPr="00565243">
        <w:rPr>
          <w:rFonts w:ascii="Arial" w:hAnsi="Arial" w:cs="Arial"/>
          <w:bCs/>
          <w:lang w:eastAsia="es-CO"/>
        </w:rPr>
        <w:t>artículo 38 de la Ley 996 de 2005</w:t>
      </w:r>
      <w:r>
        <w:rPr>
          <w:rFonts w:ascii="Arial" w:hAnsi="Arial" w:cs="Arial"/>
          <w:bCs/>
          <w:lang w:eastAsia="es-CO"/>
        </w:rPr>
        <w:t xml:space="preserve">, distinto si lo celebran con entidades del orden nacional.  </w:t>
      </w:r>
      <w:r w:rsidRPr="00172738">
        <w:rPr>
          <w:rFonts w:ascii="Arial" w:hAnsi="Arial" w:cs="Arial"/>
          <w:bCs/>
          <w:lang w:eastAsia="es-CO"/>
        </w:rPr>
        <w:t xml:space="preserve"> </w:t>
      </w:r>
      <w:r>
        <w:rPr>
          <w:rFonts w:ascii="Arial" w:hAnsi="Arial" w:cs="Arial"/>
          <w:bCs/>
          <w:lang w:eastAsia="es-CO"/>
        </w:rPr>
        <w:t xml:space="preserve">La </w:t>
      </w:r>
      <w:r w:rsidRPr="00172738">
        <w:rPr>
          <w:rFonts w:ascii="Arial" w:hAnsi="Arial" w:cs="Arial"/>
          <w:bCs/>
          <w:lang w:eastAsia="es-CO"/>
        </w:rPr>
        <w:t>citada disposición hace referencia a dicha tipología contractual sin que el legislador hubiere contemplado excepción alguna frente a la modalidad de selección o naturaleza de su objeto.</w:t>
      </w:r>
      <w:r w:rsidRPr="007A0C25">
        <w:rPr>
          <w:rFonts w:ascii="Arial" w:eastAsia="Times New Roman" w:hAnsi="Arial" w:cs="Arial"/>
          <w:bCs/>
          <w:lang w:eastAsia="es-CO"/>
        </w:rPr>
        <w:t xml:space="preserve"> </w:t>
      </w:r>
      <w:r w:rsidRPr="00172738">
        <w:rPr>
          <w:rFonts w:ascii="Arial" w:eastAsia="Times New Roman" w:hAnsi="Arial" w:cs="Arial"/>
          <w:bCs/>
          <w:lang w:eastAsia="es-CO"/>
        </w:rPr>
        <w:t>De esta manera, la prohibición aplica a todos los contratos interadministrativos con independencia de que estén o no precedidos de un procedimiento de selección con pluralidad de oferentes.</w:t>
      </w:r>
      <w:r w:rsidRPr="007A0C25">
        <w:rPr>
          <w:rFonts w:ascii="Arial" w:eastAsia="Times New Roman" w:hAnsi="Arial" w:cs="Arial"/>
          <w:bCs/>
          <w:lang w:eastAsia="es-CO"/>
        </w:rPr>
        <w:t xml:space="preserve"> Esto por cuanto, como se indicó, el contrato o convenio interadministrativo no se define por la modalidad de selección, sino por la naturaleza pública de quienes lo celebran, es decir, por un criterio orgánico.</w:t>
      </w:r>
      <w:r>
        <w:rPr>
          <w:rFonts w:ascii="Arial" w:eastAsia="Times New Roman" w:hAnsi="Arial" w:cs="Arial"/>
          <w:bCs/>
          <w:lang w:eastAsia="es-CO"/>
        </w:rPr>
        <w:t xml:space="preserve"> En todo caso se reitera el carácter de interpretación restrictiva que tienen las restricciones previstas en la Ley de Garantías. </w:t>
      </w:r>
      <w:r w:rsidRPr="007A0C25">
        <w:rPr>
          <w:rFonts w:ascii="Arial" w:eastAsia="Calibri" w:hAnsi="Arial" w:cs="Arial"/>
          <w:color w:val="000000" w:themeColor="text1"/>
        </w:rPr>
        <w:t> </w:t>
      </w:r>
    </w:p>
    <w:p w:rsidR="002F0EF2" w:rsidRDefault="002F0EF2" w:rsidP="002F0EF2">
      <w:pPr>
        <w:spacing w:line="276" w:lineRule="auto"/>
        <w:ind w:firstLine="709"/>
        <w:jc w:val="both"/>
        <w:rPr>
          <w:rFonts w:ascii="Arial" w:hAnsi="Arial" w:cs="Arial"/>
          <w:bCs/>
          <w:lang w:val="es-ES"/>
        </w:rPr>
      </w:pPr>
      <w:r w:rsidRPr="007A0C25">
        <w:rPr>
          <w:rFonts w:ascii="Arial" w:eastAsia="Calibri" w:hAnsi="Arial" w:cs="Arial"/>
          <w:bCs/>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lang w:val="es-ES"/>
        </w:rPr>
        <w:t xml:space="preserve"> </w:t>
      </w:r>
    </w:p>
    <w:p w:rsidR="002F0EF2" w:rsidRPr="004E634E" w:rsidRDefault="002F0EF2" w:rsidP="002F0EF2">
      <w:pPr>
        <w:spacing w:after="120" w:line="276" w:lineRule="auto"/>
        <w:jc w:val="both"/>
        <w:rPr>
          <w:rFonts w:ascii="Times New Roman" w:eastAsia="Times New Roman" w:hAnsi="Times New Roman" w:cs="Times New Roman"/>
          <w:szCs w:val="24"/>
          <w:lang w:eastAsia="es-ES_tradnl"/>
        </w:rPr>
      </w:pPr>
      <w:r w:rsidRPr="00F87CD1">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002F0EF2" w:rsidRPr="007A0C25" w:rsidRDefault="002F0EF2" w:rsidP="002F0EF2">
      <w:pPr>
        <w:spacing w:after="0" w:line="276" w:lineRule="auto"/>
        <w:jc w:val="both"/>
        <w:rPr>
          <w:rFonts w:ascii="Arial" w:hAnsi="Arial" w:cs="Arial"/>
          <w:lang w:val="es-ES_tradnl" w:eastAsia="es-CO"/>
        </w:rPr>
      </w:pPr>
      <w:bookmarkStart w:id="33" w:name="_Hlk50986665"/>
      <w:bookmarkStart w:id="34" w:name="_Hlk52766744"/>
      <w:r w:rsidRPr="007A0C25">
        <w:rPr>
          <w:rFonts w:ascii="Arial" w:hAnsi="Arial" w:cs="Arial"/>
          <w:lang w:val="es-ES_tradnl" w:eastAsia="es-CO"/>
        </w:rPr>
        <w:t>Atentamente,</w:t>
      </w:r>
    </w:p>
    <w:bookmarkEnd w:id="3"/>
    <w:bookmarkEnd w:id="33"/>
    <w:bookmarkEnd w:id="34"/>
    <w:p w:rsidR="002F0EF2" w:rsidRPr="002E4D55" w:rsidRDefault="00D152CD" w:rsidP="002F0EF2">
      <w:pPr>
        <w:spacing w:after="200" w:line="276" w:lineRule="auto"/>
        <w:jc w:val="center"/>
      </w:pPr>
      <w:r w:rsidRPr="00430FB8">
        <w:rPr>
          <w:rFonts w:ascii="Calibri" w:eastAsia="Calibri" w:hAnsi="Calibri" w:cs="Times New Roman"/>
          <w:noProof/>
          <w:lang w:val="en-US"/>
        </w:rPr>
        <w:lastRenderedPageBreak/>
        <w:drawing>
          <wp:inline distT="0" distB="0" distL="0" distR="0" wp14:anchorId="42050C73" wp14:editId="56BB751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7"/>
                    <a:stretch>
                      <a:fillRect/>
                    </a:stretch>
                  </pic:blipFill>
                  <pic:spPr>
                    <a:xfrm>
                      <a:off x="0" y="0"/>
                      <a:ext cx="2785707" cy="1068836"/>
                    </a:xfrm>
                    <a:prstGeom prst="rect">
                      <a:avLst/>
                    </a:prstGeom>
                  </pic:spPr>
                </pic:pic>
              </a:graphicData>
            </a:graphic>
          </wp:inline>
        </w:drawing>
      </w:r>
      <w:bookmarkStart w:id="35" w:name="_GoBack"/>
      <w:bookmarkEnd w:id="35"/>
    </w:p>
    <w:tbl>
      <w:tblPr>
        <w:tblStyle w:val="Tablaconcuadrc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2F0EF2" w:rsidRPr="002E4D55" w:rsidTr="00723945">
        <w:trPr>
          <w:trHeight w:val="315"/>
        </w:trPr>
        <w:tc>
          <w:tcPr>
            <w:tcW w:w="812" w:type="dxa"/>
            <w:vAlign w:val="center"/>
            <w:hideMark/>
          </w:tcPr>
          <w:p w:rsidR="002F0EF2" w:rsidRPr="002E4D55" w:rsidRDefault="002F0EF2" w:rsidP="00723945">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Elaboró:</w:t>
            </w:r>
          </w:p>
        </w:tc>
        <w:tc>
          <w:tcPr>
            <w:tcW w:w="4291" w:type="dxa"/>
            <w:tcBorders>
              <w:top w:val="nil"/>
              <w:left w:val="nil"/>
              <w:bottom w:val="dotted" w:sz="4" w:space="0" w:color="7F7F7F"/>
              <w:right w:val="nil"/>
            </w:tcBorders>
            <w:vAlign w:val="center"/>
            <w:hideMark/>
          </w:tcPr>
          <w:p w:rsidR="002F0EF2" w:rsidRPr="002E4D55" w:rsidRDefault="002F0EF2" w:rsidP="00723945">
            <w:pPr>
              <w:rPr>
                <w:rFonts w:ascii="Arial" w:hAnsi="Arial" w:cs="Arial"/>
                <w:sz w:val="16"/>
                <w:szCs w:val="16"/>
                <w:lang w:eastAsia="es-ES"/>
              </w:rPr>
            </w:pPr>
            <w:r w:rsidRPr="002E4D55">
              <w:rPr>
                <w:rFonts w:ascii="Arial" w:hAnsi="Arial" w:cs="Arial"/>
                <w:sz w:val="16"/>
                <w:szCs w:val="16"/>
                <w:lang w:eastAsia="es-ES"/>
              </w:rPr>
              <w:t xml:space="preserve">Nina María Padrón Ballestas </w:t>
            </w:r>
          </w:p>
          <w:p w:rsidR="002F0EF2" w:rsidRPr="002E4D55" w:rsidRDefault="002F0EF2" w:rsidP="00723945">
            <w:pPr>
              <w:rPr>
                <w:rFonts w:ascii="Arial" w:eastAsia="Times New Roman" w:hAnsi="Arial" w:cs="Arial"/>
                <w:color w:val="000000"/>
                <w:sz w:val="16"/>
                <w:szCs w:val="16"/>
                <w:lang w:eastAsia="es-ES"/>
              </w:rPr>
            </w:pPr>
            <w:r w:rsidRPr="002E4D55">
              <w:rPr>
                <w:rFonts w:ascii="Arial" w:hAnsi="Arial" w:cs="Arial"/>
                <w:sz w:val="16"/>
                <w:szCs w:val="16"/>
                <w:lang w:eastAsia="es-ES"/>
              </w:rPr>
              <w:t>Contratista de la Subdirección de Gestión Contractual</w:t>
            </w:r>
            <w:r w:rsidRPr="002E4D55" w:rsidDel="004628B9">
              <w:rPr>
                <w:rFonts w:ascii="Arial" w:eastAsia="Times New Roman" w:hAnsi="Arial" w:cs="Arial"/>
                <w:color w:val="000000"/>
                <w:sz w:val="16"/>
                <w:szCs w:val="16"/>
                <w:lang w:eastAsia="es-ES"/>
              </w:rPr>
              <w:t xml:space="preserve"> </w:t>
            </w:r>
          </w:p>
        </w:tc>
      </w:tr>
      <w:tr w:rsidR="002F0EF2" w:rsidRPr="002E4D55" w:rsidTr="00723945">
        <w:trPr>
          <w:trHeight w:val="330"/>
        </w:trPr>
        <w:tc>
          <w:tcPr>
            <w:tcW w:w="812" w:type="dxa"/>
            <w:vAlign w:val="center"/>
            <w:hideMark/>
          </w:tcPr>
          <w:p w:rsidR="002F0EF2" w:rsidRPr="002E4D55" w:rsidRDefault="002F0EF2" w:rsidP="00723945">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rsidR="002F0EF2" w:rsidRPr="002E4D55" w:rsidRDefault="002F0EF2" w:rsidP="00723945">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Alejandro Sarmiento Cantillo</w:t>
            </w:r>
          </w:p>
          <w:p w:rsidR="002F0EF2" w:rsidRPr="002E4D55" w:rsidRDefault="002F0EF2" w:rsidP="00723945">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Gestor T1-15 </w:t>
            </w:r>
            <w:r w:rsidRPr="002E4D55">
              <w:rPr>
                <w:rFonts w:ascii="Arial" w:eastAsia="Times New Roman" w:hAnsi="Arial" w:cs="Arial"/>
                <w:color w:val="000000"/>
                <w:sz w:val="16"/>
                <w:szCs w:val="16"/>
                <w:lang w:eastAsia="es-ES"/>
              </w:rPr>
              <w:t xml:space="preserve"> de la Subdirección de Gestión Contractual</w:t>
            </w:r>
          </w:p>
        </w:tc>
      </w:tr>
      <w:tr w:rsidR="002F0EF2" w:rsidRPr="00F06958" w:rsidTr="00723945">
        <w:trPr>
          <w:trHeight w:val="300"/>
        </w:trPr>
        <w:tc>
          <w:tcPr>
            <w:tcW w:w="812" w:type="dxa"/>
            <w:vAlign w:val="center"/>
            <w:hideMark/>
          </w:tcPr>
          <w:p w:rsidR="002F0EF2" w:rsidRPr="002E4D55" w:rsidRDefault="002F0EF2" w:rsidP="00723945">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rsidR="002F0EF2" w:rsidRPr="002E4D55" w:rsidRDefault="002F0EF2" w:rsidP="00723945">
            <w:proofErr w:type="spellStart"/>
            <w:r>
              <w:rPr>
                <w:rFonts w:ascii="Arial" w:eastAsia="Arial" w:hAnsi="Arial" w:cs="Arial"/>
                <w:color w:val="000000"/>
                <w:sz w:val="16"/>
                <w:szCs w:val="16"/>
              </w:rPr>
              <w:t>Nohelia</w:t>
            </w:r>
            <w:proofErr w:type="spellEnd"/>
            <w:r>
              <w:rPr>
                <w:rFonts w:ascii="Arial" w:eastAsia="Arial" w:hAnsi="Arial" w:cs="Arial"/>
                <w:color w:val="000000"/>
                <w:sz w:val="16"/>
                <w:szCs w:val="16"/>
              </w:rPr>
              <w:t xml:space="preserve"> del Carmen </w:t>
            </w:r>
            <w:proofErr w:type="spellStart"/>
            <w:r>
              <w:rPr>
                <w:rFonts w:ascii="Arial" w:eastAsia="Arial" w:hAnsi="Arial" w:cs="Arial"/>
                <w:color w:val="000000"/>
                <w:sz w:val="16"/>
                <w:szCs w:val="16"/>
              </w:rPr>
              <w:t>Zawady</w:t>
            </w:r>
            <w:proofErr w:type="spellEnd"/>
            <w:r>
              <w:rPr>
                <w:rFonts w:ascii="Arial" w:eastAsia="Arial" w:hAnsi="Arial" w:cs="Arial"/>
                <w:color w:val="000000"/>
                <w:sz w:val="16"/>
                <w:szCs w:val="16"/>
              </w:rPr>
              <w:t xml:space="preserve"> Palacio</w:t>
            </w:r>
          </w:p>
          <w:p w:rsidR="002F0EF2" w:rsidRPr="00F06958" w:rsidRDefault="002F0EF2" w:rsidP="00723945">
            <w:pPr>
              <w:rPr>
                <w:rFonts w:ascii="Arial" w:eastAsia="Times New Roman" w:hAnsi="Arial" w:cs="Arial"/>
                <w:color w:val="000000"/>
                <w:sz w:val="16"/>
                <w:szCs w:val="16"/>
                <w:lang w:eastAsia="es-ES"/>
              </w:rPr>
            </w:pPr>
            <w:r w:rsidRPr="002E4D55">
              <w:rPr>
                <w:rFonts w:ascii="Arial" w:eastAsia="Arial" w:hAnsi="Arial" w:cs="Arial"/>
                <w:color w:val="000000"/>
                <w:sz w:val="16"/>
                <w:szCs w:val="16"/>
              </w:rPr>
              <w:t xml:space="preserve">Subdirector de </w:t>
            </w:r>
            <w:r>
              <w:rPr>
                <w:rFonts w:ascii="Arial" w:eastAsia="Arial" w:hAnsi="Arial" w:cs="Arial"/>
                <w:color w:val="000000"/>
                <w:sz w:val="16"/>
                <w:szCs w:val="16"/>
              </w:rPr>
              <w:t xml:space="preserve">Gestión Contractual </w:t>
            </w:r>
          </w:p>
        </w:tc>
      </w:tr>
    </w:tbl>
    <w:p w:rsidR="002F0EF2" w:rsidRDefault="002F0EF2" w:rsidP="002F0EF2">
      <w:pPr>
        <w:spacing w:after="200" w:line="276" w:lineRule="auto"/>
        <w:jc w:val="center"/>
      </w:pPr>
    </w:p>
    <w:bookmarkEnd w:id="4"/>
    <w:p w:rsidR="002F0EF2" w:rsidRPr="006219F8" w:rsidRDefault="002F0EF2" w:rsidP="002F0EF2">
      <w:pPr>
        <w:spacing w:after="0" w:line="240" w:lineRule="auto"/>
        <w:rPr>
          <w:lang w:val="es-MX"/>
        </w:rPr>
      </w:pPr>
    </w:p>
    <w:p w:rsidR="006B6084" w:rsidRPr="002F0EF2" w:rsidRDefault="006B6084" w:rsidP="002F0EF2"/>
    <w:sectPr w:rsidR="006B6084" w:rsidRPr="002F0EF2" w:rsidSect="0039439C">
      <w:headerReference w:type="default" r:id="rId8"/>
      <w:footerReference w:type="default" r:id="rId9"/>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14" w:rsidRDefault="00573514" w:rsidP="003E38D6">
      <w:pPr>
        <w:spacing w:after="0" w:line="240" w:lineRule="auto"/>
      </w:pPr>
      <w:r>
        <w:separator/>
      </w:r>
    </w:p>
  </w:endnote>
  <w:endnote w:type="continuationSeparator" w:id="0">
    <w:p w:rsidR="00573514" w:rsidRDefault="00573514" w:rsidP="003E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001"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4E" w:rsidRDefault="009B4E82" w:rsidP="008614E5">
    <w:pPr>
      <w:pStyle w:val="Piedepgina"/>
    </w:pPr>
    <w:r>
      <w:rPr>
        <w:noProof/>
        <w:lang w:val="en-US"/>
      </w:rPr>
      <w:drawing>
        <wp:inline distT="0" distB="0" distL="0" distR="0" wp14:anchorId="341271A7" wp14:editId="429EF47A">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4E634E" w:rsidRPr="00080DA3"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rsidR="004E634E" w:rsidRPr="00080DA3" w:rsidRDefault="009B4E82"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4E634E" w:rsidRPr="00080DA3" w:rsidRDefault="009B4E82"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rsidR="004E634E" w:rsidRPr="00080DA3" w:rsidRDefault="009B4E82"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rsidR="004E634E" w:rsidRPr="004B6B0E" w:rsidRDefault="009B4E82"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rsidR="004E634E" w:rsidRPr="00080DA3" w:rsidRDefault="009B4E82"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4E634E" w:rsidRPr="00080DA3" w:rsidRDefault="009B4E82"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rsidR="004E634E" w:rsidRPr="00080DA3" w:rsidRDefault="009B4E82"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D152CD">
            <w:rPr>
              <w:rFonts w:ascii="Geomanist Light" w:hAnsi="Geomanist Light"/>
              <w:b/>
              <w:bCs/>
              <w:noProof/>
              <w:sz w:val="18"/>
              <w:szCs w:val="18"/>
            </w:rPr>
            <w:t>19</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D152CD">
            <w:rPr>
              <w:rFonts w:ascii="Geomanist Light" w:hAnsi="Geomanist Light"/>
              <w:b/>
              <w:bCs/>
              <w:noProof/>
              <w:sz w:val="18"/>
              <w:szCs w:val="18"/>
            </w:rPr>
            <w:t>19</w:t>
          </w:r>
          <w:r w:rsidRPr="00080DA3">
            <w:rPr>
              <w:rFonts w:ascii="Geomanist Light" w:hAnsi="Geomanist Light"/>
              <w:b/>
              <w:bCs/>
              <w:sz w:val="18"/>
              <w:szCs w:val="18"/>
            </w:rPr>
            <w:fldChar w:fldCharType="end"/>
          </w:r>
        </w:p>
      </w:tc>
    </w:tr>
  </w:tbl>
  <w:p w:rsidR="004E634E" w:rsidRDefault="00573514"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14" w:rsidRDefault="00573514" w:rsidP="003E38D6">
      <w:pPr>
        <w:spacing w:after="0" w:line="240" w:lineRule="auto"/>
      </w:pPr>
      <w:r>
        <w:separator/>
      </w:r>
    </w:p>
  </w:footnote>
  <w:footnote w:type="continuationSeparator" w:id="0">
    <w:p w:rsidR="00573514" w:rsidRDefault="00573514" w:rsidP="003E38D6">
      <w:pPr>
        <w:spacing w:after="0" w:line="240" w:lineRule="auto"/>
      </w:pPr>
      <w:r>
        <w:continuationSeparator/>
      </w:r>
    </w:p>
  </w:footnote>
  <w:footnote w:id="1">
    <w:p w:rsidR="002F0EF2" w:rsidRPr="00D77B72" w:rsidRDefault="002F0EF2" w:rsidP="002F0EF2">
      <w:pPr>
        <w:pBdr>
          <w:top w:val="nil"/>
          <w:left w:val="nil"/>
          <w:bottom w:val="nil"/>
          <w:right w:val="nil"/>
          <w:between w:val="nil"/>
        </w:pBdr>
        <w:spacing w:after="0" w:line="240" w:lineRule="auto"/>
        <w:ind w:firstLine="709"/>
        <w:jc w:val="both"/>
        <w:rPr>
          <w:rFonts w:ascii="Arial" w:eastAsia="Arial" w:hAnsi="Arial" w:cs="Arial"/>
          <w:sz w:val="19"/>
          <w:szCs w:val="19"/>
        </w:rPr>
      </w:pPr>
      <w:r w:rsidRPr="00D77B72">
        <w:rPr>
          <w:rFonts w:ascii="Arial" w:hAnsi="Arial" w:cs="Arial"/>
          <w:sz w:val="19"/>
          <w:szCs w:val="19"/>
          <w:vertAlign w:val="superscript"/>
        </w:rPr>
        <w:footnoteRef/>
      </w:r>
      <w:r w:rsidRPr="00D77B72">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77B72">
        <w:rPr>
          <w:rFonts w:ascii="Arial" w:eastAsia="Arial" w:hAnsi="Arial" w:cs="Arial"/>
          <w:i/>
          <w:sz w:val="19"/>
          <w:szCs w:val="19"/>
        </w:rPr>
        <w:t xml:space="preserve">ibídem </w:t>
      </w:r>
      <w:r w:rsidRPr="00D77B72">
        <w:rPr>
          <w:rFonts w:ascii="Arial" w:eastAsia="Arial" w:hAnsi="Arial" w:cs="Arial"/>
          <w:sz w:val="19"/>
          <w:szCs w:val="19"/>
        </w:rPr>
        <w:t xml:space="preserve">señala, de manera precisa, las funciones de Colombia Compra Eficiente. Concretamente, el numeral 5º de este artículo establece que le corresponde a esta entidad: </w:t>
      </w:r>
      <w:r>
        <w:rPr>
          <w:rFonts w:ascii="Arial" w:eastAsia="Arial" w:hAnsi="Arial" w:cs="Arial"/>
          <w:sz w:val="19"/>
          <w:szCs w:val="19"/>
        </w:rPr>
        <w:t>“</w:t>
      </w:r>
      <w:r w:rsidRPr="00D77B72">
        <w:rPr>
          <w:rFonts w:ascii="Arial" w:eastAsia="Arial" w:hAnsi="Arial" w:cs="Arial"/>
          <w:sz w:val="19"/>
          <w:szCs w:val="19"/>
        </w:rPr>
        <w:t>[a]</w:t>
      </w:r>
      <w:proofErr w:type="spellStart"/>
      <w:r w:rsidRPr="00D77B72">
        <w:rPr>
          <w:rFonts w:ascii="Arial" w:eastAsia="Arial" w:hAnsi="Arial" w:cs="Arial"/>
          <w:sz w:val="19"/>
          <w:szCs w:val="19"/>
        </w:rPr>
        <w:t>bsolver</w:t>
      </w:r>
      <w:proofErr w:type="spellEnd"/>
      <w:r w:rsidRPr="00D77B72">
        <w:rPr>
          <w:rFonts w:ascii="Arial" w:eastAsia="Arial" w:hAnsi="Arial" w:cs="Arial"/>
          <w:sz w:val="19"/>
          <w:szCs w:val="19"/>
        </w:rPr>
        <w:t xml:space="preserve"> consultas sobre la aplicación de normas de carácter general y expedir circulares externas en materia de compras y contratación pública</w:t>
      </w:r>
      <w:r>
        <w:rPr>
          <w:rFonts w:ascii="Arial" w:eastAsia="Arial" w:hAnsi="Arial" w:cs="Arial"/>
          <w:sz w:val="19"/>
          <w:szCs w:val="19"/>
        </w:rPr>
        <w:t>”</w:t>
      </w:r>
      <w:r w:rsidRPr="00D77B72">
        <w:rPr>
          <w:rFonts w:ascii="Arial" w:eastAsia="Arial" w:hAnsi="Arial" w:cs="Arial"/>
          <w:sz w:val="19"/>
          <w:szCs w:val="19"/>
        </w:rPr>
        <w:t>. Esta se fija con límites claros, con el objeto de evitar que la Agencia actúe como una instancia de validación de las actuaciones de las entidades sujetas a la Ley 80 de 1993 o de los demás participantes de la contratación pública.</w:t>
      </w:r>
    </w:p>
    <w:p w:rsidR="002F0EF2" w:rsidRPr="00D77B72" w:rsidRDefault="002F0EF2" w:rsidP="002F0EF2">
      <w:pPr>
        <w:pBdr>
          <w:top w:val="nil"/>
          <w:left w:val="nil"/>
          <w:bottom w:val="nil"/>
          <w:right w:val="nil"/>
          <w:between w:val="nil"/>
        </w:pBdr>
        <w:spacing w:after="0" w:line="240" w:lineRule="auto"/>
        <w:ind w:firstLine="709"/>
        <w:jc w:val="both"/>
        <w:rPr>
          <w:rFonts w:ascii="Arial" w:eastAsia="Arial" w:hAnsi="Arial" w:cs="Arial"/>
          <w:sz w:val="19"/>
          <w:szCs w:val="19"/>
        </w:rPr>
      </w:pPr>
    </w:p>
  </w:footnote>
  <w:footnote w:id="2">
    <w:p w:rsidR="002F0EF2" w:rsidRPr="00082ACC" w:rsidRDefault="002F0EF2" w:rsidP="002F0EF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El artículo 127 de la Constitución Política señala: </w:t>
      </w:r>
      <w:r>
        <w:rPr>
          <w:rFonts w:ascii="Arial" w:hAnsi="Arial" w:cs="Arial"/>
          <w:sz w:val="19"/>
          <w:szCs w:val="19"/>
        </w:rPr>
        <w:t>“</w:t>
      </w:r>
      <w:r w:rsidRPr="00082ACC">
        <w:rPr>
          <w:rFonts w:ascii="Arial" w:hAnsi="Arial" w:cs="Arial"/>
          <w:sz w:val="19"/>
          <w:szCs w:val="19"/>
        </w:rPr>
        <w:t xml:space="preserve">Los servidores públicos no podrán celebrar, por si o por interpuesta persona, o en representación de otro, contrato alguno con entidades públicas o con personas privadas que manejen o administren recursos públicos, salvo las excepciones legales. </w:t>
      </w:r>
    </w:p>
    <w:p w:rsidR="002F0EF2" w:rsidRPr="00082ACC" w:rsidRDefault="002F0EF2" w:rsidP="002F0EF2">
      <w:pPr>
        <w:pStyle w:val="Textonotapie"/>
        <w:ind w:firstLine="709"/>
        <w:contextualSpacing/>
        <w:jc w:val="both"/>
        <w:rPr>
          <w:rFonts w:ascii="Arial" w:hAnsi="Arial" w:cs="Arial"/>
          <w:sz w:val="19"/>
          <w:szCs w:val="19"/>
        </w:rPr>
      </w:pPr>
      <w:r>
        <w:rPr>
          <w:rFonts w:ascii="Arial" w:hAnsi="Arial" w:cs="Arial"/>
          <w:sz w:val="19"/>
          <w:szCs w:val="19"/>
        </w:rPr>
        <w:t>“</w:t>
      </w:r>
      <w:r w:rsidRPr="00082ACC">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r>
        <w:rPr>
          <w:rFonts w:ascii="Arial" w:hAnsi="Arial" w:cs="Arial"/>
          <w:sz w:val="19"/>
          <w:szCs w:val="19"/>
        </w:rPr>
        <w:t>”</w:t>
      </w:r>
      <w:r w:rsidRPr="00082ACC">
        <w:rPr>
          <w:rFonts w:ascii="Arial" w:hAnsi="Arial" w:cs="Arial"/>
          <w:sz w:val="19"/>
          <w:szCs w:val="19"/>
        </w:rPr>
        <w:t>.</w:t>
      </w:r>
    </w:p>
  </w:footnote>
  <w:footnote w:id="3">
    <w:p w:rsidR="002F0EF2" w:rsidRPr="00082ACC" w:rsidRDefault="002F0EF2" w:rsidP="002F0EF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Gaceta del Congreso de la República No. 71 del 2005.</w:t>
      </w:r>
    </w:p>
  </w:footnote>
  <w:footnote w:id="4">
    <w:p w:rsidR="002F0EF2" w:rsidRPr="00082ACC" w:rsidRDefault="002F0EF2" w:rsidP="002F0EF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 C- 1153 de 2005, M.P. Marco Gerardo Monroy Cabra.</w:t>
      </w:r>
    </w:p>
  </w:footnote>
  <w:footnote w:id="5">
    <w:p w:rsidR="002F0EF2" w:rsidRPr="00082ACC" w:rsidRDefault="002F0EF2" w:rsidP="002F0EF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rsidR="002F0EF2" w:rsidRPr="00082ACC" w:rsidRDefault="002F0EF2" w:rsidP="002F0EF2">
      <w:pPr>
        <w:pStyle w:val="Textonotapie"/>
        <w:ind w:firstLine="709"/>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rsidR="002F0EF2" w:rsidRPr="00082ACC" w:rsidRDefault="002F0EF2" w:rsidP="002F0EF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de fecha 24 de julio de 2013, radicado 2166, Consejero Ponente: Álvaro </w:t>
      </w:r>
      <w:proofErr w:type="spellStart"/>
      <w:r w:rsidRPr="00082ACC">
        <w:rPr>
          <w:rFonts w:ascii="Arial" w:hAnsi="Arial" w:cs="Arial"/>
          <w:sz w:val="19"/>
          <w:szCs w:val="19"/>
        </w:rPr>
        <w:t>Namén</w:t>
      </w:r>
      <w:proofErr w:type="spellEnd"/>
      <w:r w:rsidRPr="00082ACC">
        <w:rPr>
          <w:rFonts w:ascii="Arial" w:hAnsi="Arial" w:cs="Arial"/>
          <w:sz w:val="19"/>
          <w:szCs w:val="19"/>
        </w:rPr>
        <w:t xml:space="preserve"> Vargas.  </w:t>
      </w:r>
    </w:p>
  </w:footnote>
  <w:footnote w:id="8">
    <w:p w:rsidR="002F0EF2" w:rsidRPr="00082ACC" w:rsidRDefault="002F0EF2" w:rsidP="002F0EF2">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10" w:name="33"/>
      <w:r>
        <w:rPr>
          <w:rFonts w:ascii="Arial" w:eastAsia="Calibri" w:hAnsi="Arial" w:cs="Arial"/>
          <w:color w:val="000000"/>
          <w:sz w:val="19"/>
          <w:szCs w:val="19"/>
        </w:rPr>
        <w:t>“</w:t>
      </w:r>
      <w:r w:rsidRPr="00082ACC">
        <w:rPr>
          <w:rFonts w:ascii="Arial" w:hAnsi="Arial" w:cs="Arial"/>
          <w:sz w:val="19"/>
          <w:szCs w:val="19"/>
        </w:rPr>
        <w:t>Artículo 33. Restricciones a la contratación pública.</w:t>
      </w:r>
      <w:bookmarkEnd w:id="10"/>
      <w:r w:rsidRPr="00082ACC">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rsidR="002F0EF2" w:rsidRPr="00082ACC" w:rsidRDefault="002F0EF2" w:rsidP="002F0EF2">
      <w:pPr>
        <w:ind w:firstLine="709"/>
        <w:contextualSpacing/>
        <w:jc w:val="both"/>
        <w:rPr>
          <w:rFonts w:ascii="Arial" w:hAnsi="Arial" w:cs="Arial"/>
          <w:sz w:val="19"/>
          <w:szCs w:val="19"/>
        </w:rPr>
      </w:pPr>
      <w:proofErr w:type="gramStart"/>
      <w:r>
        <w:rPr>
          <w:rFonts w:ascii="Arial" w:eastAsia="Calibri" w:hAnsi="Arial" w:cs="Arial"/>
          <w:color w:val="000000"/>
          <w:sz w:val="19"/>
          <w:szCs w:val="19"/>
        </w:rPr>
        <w:t>“</w:t>
      </w:r>
      <w:r w:rsidRPr="00082ACC">
        <w:rPr>
          <w:rFonts w:ascii="Arial" w:hAnsi="Arial" w:cs="Arial"/>
          <w:sz w:val="19"/>
          <w:szCs w:val="19"/>
        </w:rPr>
        <w:t xml:space="preserve"> Queda</w:t>
      </w:r>
      <w:proofErr w:type="gramEnd"/>
      <w:r w:rsidRPr="00082ACC">
        <w:rPr>
          <w:rFonts w:ascii="Arial"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color w:val="000000"/>
          <w:sz w:val="19"/>
          <w:szCs w:val="19"/>
        </w:rPr>
        <w:t>”</w:t>
      </w:r>
      <w:r w:rsidRPr="00082ACC">
        <w:rPr>
          <w:rFonts w:ascii="Arial" w:hAnsi="Arial" w:cs="Arial"/>
          <w:sz w:val="19"/>
          <w:szCs w:val="19"/>
        </w:rPr>
        <w:t>.</w:t>
      </w:r>
    </w:p>
  </w:footnote>
  <w:footnote w:id="9">
    <w:p w:rsidR="002F0EF2" w:rsidRPr="00082ACC" w:rsidRDefault="002F0EF2" w:rsidP="002F0EF2">
      <w:pPr>
        <w:pStyle w:val="NormalWeb"/>
        <w:spacing w:before="0" w:beforeAutospacing="0" w:after="0" w:afterAutospacing="0" w:line="240" w:lineRule="auto"/>
        <w:ind w:firstLine="709"/>
        <w:contextualSpacing/>
        <w:rPr>
          <w:rFonts w:ascii="Arial" w:hAnsi="Arial" w:cs="Arial"/>
          <w:sz w:val="19"/>
          <w:szCs w:val="19"/>
          <w:lang w:val="es-MX"/>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11" w:name="38"/>
      <w:r>
        <w:rPr>
          <w:rFonts w:ascii="Arial" w:eastAsia="Calibri" w:hAnsi="Arial" w:cs="Arial"/>
          <w:color w:val="000000"/>
          <w:sz w:val="19"/>
          <w:szCs w:val="19"/>
        </w:rPr>
        <w:t>“</w:t>
      </w:r>
      <w:r w:rsidRPr="00082ACC">
        <w:rPr>
          <w:rFonts w:ascii="Arial" w:hAnsi="Arial" w:cs="Arial"/>
          <w:sz w:val="19"/>
          <w:szCs w:val="19"/>
          <w:lang w:val="es-MX"/>
        </w:rPr>
        <w:t>Artículo 38. Prohibiciones para los servidores públicos. A los empleados del Estado les está prohibido:</w:t>
      </w:r>
      <w:bookmarkEnd w:id="11"/>
    </w:p>
    <w:p w:rsidR="002F0EF2" w:rsidRPr="00082ACC" w:rsidRDefault="002F0EF2" w:rsidP="002F0EF2">
      <w:pPr>
        <w:pStyle w:val="NormalWeb"/>
        <w:spacing w:before="0" w:beforeAutospacing="0" w:after="0" w:afterAutospacing="0" w:line="240" w:lineRule="auto"/>
        <w:ind w:firstLine="709"/>
        <w:contextualSpacing/>
        <w:rPr>
          <w:rFonts w:ascii="Arial" w:hAnsi="Arial" w:cs="Arial"/>
          <w:sz w:val="19"/>
          <w:szCs w:val="19"/>
          <w:lang w:val="es-MX"/>
        </w:rPr>
      </w:pPr>
      <w:r>
        <w:rPr>
          <w:rFonts w:ascii="Arial" w:eastAsia="Calibri" w:hAnsi="Arial" w:cs="Arial"/>
          <w:color w:val="000000"/>
          <w:sz w:val="19"/>
          <w:szCs w:val="19"/>
        </w:rPr>
        <w:t>“</w:t>
      </w:r>
      <w:r w:rsidRPr="00082ACC">
        <w:rPr>
          <w:rFonts w:ascii="Arial" w:hAnsi="Arial" w:cs="Arial"/>
          <w:sz w:val="19"/>
          <w:szCs w:val="19"/>
          <w:lang w:val="es-MX"/>
        </w:rPr>
        <w:t xml:space="preserve"> […]</w:t>
      </w:r>
    </w:p>
    <w:p w:rsidR="002F0EF2" w:rsidRPr="00082ACC" w:rsidRDefault="002F0EF2" w:rsidP="002F0EF2">
      <w:pPr>
        <w:pStyle w:val="NormalWeb"/>
        <w:spacing w:before="0" w:beforeAutospacing="0" w:after="0" w:afterAutospacing="0" w:line="240" w:lineRule="auto"/>
        <w:ind w:firstLine="709"/>
        <w:contextualSpacing/>
        <w:rPr>
          <w:rFonts w:ascii="Arial" w:hAnsi="Arial" w:cs="Arial"/>
          <w:sz w:val="19"/>
          <w:szCs w:val="19"/>
          <w:lang w:val="es-MX"/>
        </w:rPr>
      </w:pPr>
      <w:proofErr w:type="gramStart"/>
      <w:r>
        <w:rPr>
          <w:rFonts w:ascii="Arial" w:eastAsia="Calibri" w:hAnsi="Arial" w:cs="Arial"/>
          <w:color w:val="000000"/>
          <w:sz w:val="19"/>
          <w:szCs w:val="19"/>
        </w:rPr>
        <w:t>“</w:t>
      </w:r>
      <w:r w:rsidRPr="00082ACC">
        <w:rPr>
          <w:rStyle w:val="baj"/>
          <w:rFonts w:ascii="Arial" w:hAnsi="Arial" w:cs="Arial"/>
          <w:sz w:val="19"/>
          <w:szCs w:val="19"/>
          <w:lang w:val="es-MX"/>
        </w:rPr>
        <w:t xml:space="preserve"> Parágrafo</w:t>
      </w:r>
      <w:proofErr w:type="gramEnd"/>
      <w:r w:rsidRPr="00082ACC">
        <w:rPr>
          <w:rStyle w:val="baj"/>
          <w:rFonts w:ascii="Arial" w:hAnsi="Arial" w:cs="Arial"/>
          <w:sz w:val="19"/>
          <w:szCs w:val="19"/>
          <w:lang w:val="es-MX"/>
        </w:rPr>
        <w:t>.</w:t>
      </w:r>
      <w:r w:rsidRPr="00082AC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color w:val="000000"/>
          <w:sz w:val="19"/>
          <w:szCs w:val="19"/>
        </w:rPr>
        <w:t>”</w:t>
      </w:r>
      <w:r w:rsidRPr="00082ACC">
        <w:rPr>
          <w:rFonts w:ascii="Arial" w:hAnsi="Arial" w:cs="Arial"/>
          <w:sz w:val="19"/>
          <w:szCs w:val="19"/>
          <w:lang w:val="es-MX"/>
        </w:rPr>
        <w:t>.</w:t>
      </w:r>
    </w:p>
  </w:footnote>
  <w:footnote w:id="10">
    <w:p w:rsidR="002F0EF2" w:rsidRPr="00082ACC" w:rsidRDefault="002F0EF2" w:rsidP="002F0EF2">
      <w:pPr>
        <w:ind w:left="100" w:right="244" w:firstLine="709"/>
        <w:contextualSpacing/>
        <w:jc w:val="both"/>
        <w:rPr>
          <w:rFonts w:ascii="Arial" w:hAnsi="Arial" w:cs="Arial"/>
          <w:sz w:val="19"/>
          <w:szCs w:val="19"/>
          <w:lang w:val="es-ES"/>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rsidR="002F0EF2" w:rsidRPr="00082ACC" w:rsidRDefault="002F0EF2" w:rsidP="002F0EF2">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12">
    <w:p w:rsidR="002F0EF2" w:rsidRPr="00082ACC" w:rsidRDefault="002F0EF2" w:rsidP="002F0EF2">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Decreto 1082 de 2015: </w:t>
      </w:r>
      <w:r>
        <w:rPr>
          <w:rFonts w:ascii="Arial" w:hAnsi="Arial" w:cs="Arial"/>
          <w:sz w:val="19"/>
          <w:szCs w:val="19"/>
        </w:rPr>
        <w:t>“</w:t>
      </w:r>
      <w:r w:rsidRPr="00082ACC">
        <w:rPr>
          <w:rFonts w:ascii="Arial" w:hAnsi="Arial" w:cs="Arial"/>
          <w:sz w:val="19"/>
          <w:szCs w:val="19"/>
        </w:rPr>
        <w:t xml:space="preserve">Artículo 2.2.1.2.1.4.4. Convenios o contratos interadministrativos. La modalidad de selección para la contratación entre Entidades Estatales es la contratación directa; </w:t>
      </w:r>
      <w:proofErr w:type="gramStart"/>
      <w:r w:rsidRPr="00082ACC">
        <w:rPr>
          <w:rFonts w:ascii="Arial" w:hAnsi="Arial" w:cs="Arial"/>
          <w:sz w:val="19"/>
          <w:szCs w:val="19"/>
        </w:rPr>
        <w:t>y</w:t>
      </w:r>
      <w:proofErr w:type="gramEnd"/>
      <w:r w:rsidRPr="00082ACC">
        <w:rPr>
          <w:rFonts w:ascii="Arial" w:hAnsi="Arial" w:cs="Arial"/>
          <w:sz w:val="19"/>
          <w:szCs w:val="19"/>
        </w:rPr>
        <w:t xml:space="preserve"> en consecuencia, le es aplicable lo establecido en el artículo 2.2.1.2.1.4.1 del presente decreto.</w:t>
      </w:r>
    </w:p>
    <w:p w:rsidR="002F0EF2" w:rsidRPr="00082ACC" w:rsidRDefault="002F0EF2" w:rsidP="002F0EF2">
      <w:pPr>
        <w:ind w:firstLine="709"/>
        <w:contextualSpacing/>
        <w:jc w:val="both"/>
        <w:rPr>
          <w:rFonts w:ascii="Arial" w:hAnsi="Arial" w:cs="Arial"/>
          <w:sz w:val="19"/>
          <w:szCs w:val="19"/>
        </w:rPr>
      </w:pPr>
      <w:r>
        <w:rPr>
          <w:rFonts w:ascii="Arial" w:hAnsi="Arial" w:cs="Arial"/>
          <w:sz w:val="19"/>
          <w:szCs w:val="19"/>
        </w:rPr>
        <w:t>“</w:t>
      </w:r>
      <w:r w:rsidRPr="00082ACC">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82ACC">
        <w:rPr>
          <w:rFonts w:ascii="Arial" w:hAnsi="Arial" w:cs="Arial"/>
          <w:spacing w:val="-1"/>
          <w:sz w:val="19"/>
          <w:szCs w:val="19"/>
        </w:rPr>
        <w:t xml:space="preserve"> </w:t>
      </w:r>
      <w:r w:rsidRPr="00082ACC">
        <w:rPr>
          <w:rFonts w:ascii="Arial" w:hAnsi="Arial" w:cs="Arial"/>
          <w:sz w:val="19"/>
          <w:szCs w:val="19"/>
        </w:rPr>
        <w:t>Estatales</w:t>
      </w:r>
      <w:r>
        <w:rPr>
          <w:rFonts w:ascii="Arial" w:hAnsi="Arial" w:cs="Arial"/>
          <w:sz w:val="19"/>
          <w:szCs w:val="19"/>
        </w:rPr>
        <w:t>”</w:t>
      </w:r>
      <w:r w:rsidRPr="00082ACC">
        <w:rPr>
          <w:rFonts w:ascii="Arial" w:hAnsi="Arial" w:cs="Arial"/>
          <w:sz w:val="19"/>
          <w:szCs w:val="19"/>
        </w:rPr>
        <w:t>.</w:t>
      </w:r>
    </w:p>
  </w:footnote>
  <w:footnote w:id="13">
    <w:p w:rsidR="002F0EF2" w:rsidRPr="00082ACC" w:rsidRDefault="002F0EF2" w:rsidP="002F0EF2">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Ley 1150 de 2007: </w:t>
      </w:r>
      <w:r>
        <w:rPr>
          <w:rFonts w:ascii="Arial" w:hAnsi="Arial" w:cs="Arial"/>
          <w:sz w:val="19"/>
          <w:szCs w:val="19"/>
        </w:rPr>
        <w:t>“</w:t>
      </w:r>
      <w:r w:rsidRPr="00082ACC">
        <w:rPr>
          <w:rFonts w:ascii="Arial" w:hAnsi="Arial" w:cs="Arial"/>
          <w:sz w:val="19"/>
          <w:szCs w:val="19"/>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82ACC">
        <w:rPr>
          <w:rFonts w:ascii="Arial" w:hAnsi="Arial" w:cs="Arial"/>
          <w:spacing w:val="-6"/>
          <w:sz w:val="19"/>
          <w:szCs w:val="19"/>
        </w:rPr>
        <w:t xml:space="preserve"> </w:t>
      </w:r>
      <w:r w:rsidRPr="00082ACC">
        <w:rPr>
          <w:rFonts w:ascii="Arial" w:hAnsi="Arial" w:cs="Arial"/>
          <w:sz w:val="19"/>
          <w:szCs w:val="19"/>
        </w:rPr>
        <w:t>artículo</w:t>
      </w:r>
      <w:r>
        <w:rPr>
          <w:rFonts w:ascii="Arial" w:hAnsi="Arial" w:cs="Arial"/>
          <w:sz w:val="19"/>
          <w:szCs w:val="19"/>
        </w:rPr>
        <w:t>”</w:t>
      </w:r>
      <w:r w:rsidRPr="00082ACC">
        <w:rPr>
          <w:rFonts w:ascii="Arial" w:hAnsi="Arial" w:cs="Arial"/>
          <w:sz w:val="19"/>
          <w:szCs w:val="19"/>
        </w:rPr>
        <w:t>.</w:t>
      </w:r>
    </w:p>
  </w:footnote>
  <w:footnote w:id="14">
    <w:p w:rsidR="002F0EF2" w:rsidRPr="00082ACC" w:rsidRDefault="002F0EF2" w:rsidP="002F0EF2">
      <w:pPr>
        <w:ind w:right="454"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position w:val="7"/>
          <w:sz w:val="19"/>
          <w:szCs w:val="19"/>
        </w:rPr>
        <w:t xml:space="preserve"> </w:t>
      </w:r>
      <w:r w:rsidRPr="00082ACC">
        <w:rPr>
          <w:rFonts w:ascii="Arial" w:hAnsi="Arial" w:cs="Arial"/>
          <w:sz w:val="19"/>
          <w:szCs w:val="19"/>
        </w:rPr>
        <w:t>Consejo de Estado. Sección Tercera. Sentencia del 23 de junio de 2010. Radicación No. 66001-23-31-000-1998-00261-01(17.860). Consejero Ponente: Mauricio Fajardo Gómez.</w:t>
      </w:r>
    </w:p>
  </w:footnote>
  <w:footnote w:id="15">
    <w:p w:rsidR="002F0EF2" w:rsidRPr="00082ACC" w:rsidRDefault="002F0EF2" w:rsidP="002F0EF2">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Sección Tercera. Subsección C. Sentencia del 11 de diciembre de 2019. </w:t>
      </w:r>
      <w:proofErr w:type="spellStart"/>
      <w:r w:rsidRPr="00082ACC">
        <w:rPr>
          <w:rFonts w:ascii="Arial" w:hAnsi="Arial" w:cs="Arial"/>
          <w:sz w:val="19"/>
          <w:szCs w:val="19"/>
        </w:rPr>
        <w:t>Exp</w:t>
      </w:r>
      <w:proofErr w:type="spellEnd"/>
      <w:r w:rsidRPr="00082ACC">
        <w:rPr>
          <w:rFonts w:ascii="Arial" w:hAnsi="Arial" w:cs="Arial"/>
          <w:sz w:val="19"/>
          <w:szCs w:val="19"/>
        </w:rPr>
        <w:t>. 46.986. C.P. Jaime Enrique Rodríguez Navas.</w:t>
      </w:r>
    </w:p>
  </w:footnote>
  <w:footnote w:id="16">
    <w:p w:rsidR="002F0EF2" w:rsidRPr="00082ACC" w:rsidRDefault="002F0EF2" w:rsidP="002F0EF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w:t>
      </w:r>
      <w:r>
        <w:rPr>
          <w:rFonts w:ascii="Arial" w:hAnsi="Arial" w:cs="Arial"/>
          <w:sz w:val="19"/>
          <w:szCs w:val="19"/>
        </w:rPr>
        <w:t>“</w:t>
      </w:r>
      <w:r w:rsidRPr="00082ACC">
        <w:rPr>
          <w:rFonts w:ascii="Arial" w:hAnsi="Arial" w:cs="Arial"/>
          <w:sz w:val="19"/>
          <w:szCs w:val="19"/>
        </w:rPr>
        <w:t>CE. SCSC. Concepto de 1 de noviembre de 2016 [Rad. 11001-03-06-000-2016-00125-00(2305)]. MP. Germán Alberto Bula Escobar</w:t>
      </w:r>
      <w:r>
        <w:rPr>
          <w:rFonts w:ascii="Arial" w:hAnsi="Arial" w:cs="Arial"/>
          <w:sz w:val="19"/>
          <w:szCs w:val="19"/>
        </w:rPr>
        <w:t>”</w:t>
      </w:r>
      <w:r w:rsidRPr="00082ACC">
        <w:rPr>
          <w:rFonts w:ascii="Arial" w:hAnsi="Arial" w:cs="Arial"/>
          <w:sz w:val="19"/>
          <w:szCs w:val="19"/>
        </w:rPr>
        <w:t>.</w:t>
      </w:r>
    </w:p>
  </w:footnote>
  <w:footnote w:id="17">
    <w:p w:rsidR="002F0EF2" w:rsidRPr="00082ACC" w:rsidRDefault="002F0EF2" w:rsidP="002F0EF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w:t>
      </w:r>
      <w:r>
        <w:rPr>
          <w:rFonts w:ascii="Arial" w:hAnsi="Arial" w:cs="Arial"/>
          <w:sz w:val="19"/>
          <w:szCs w:val="19"/>
        </w:rPr>
        <w:t>“</w:t>
      </w:r>
      <w:r w:rsidRPr="00082ACC">
        <w:rPr>
          <w:rFonts w:ascii="Arial" w:hAnsi="Arial" w:cs="Arial"/>
          <w:sz w:val="19"/>
          <w:szCs w:val="19"/>
        </w:rPr>
        <w:t xml:space="preserve">CE. SCSC. Concepto de 30 de abril de 2008 [Rad. 11001-03-06-000-2008-00013-00(1881)]. MP. Enrique José Arboleda Perdomo. En esta oportunidad, la Sala indicó que el contenido </w:t>
      </w:r>
      <w:r w:rsidRPr="00082ACC">
        <w:rPr>
          <w:rFonts w:ascii="Arial" w:hAnsi="Arial" w:cs="Arial"/>
          <w:i/>
          <w:sz w:val="19"/>
          <w:szCs w:val="19"/>
        </w:rPr>
        <w:t>“obligacional”</w:t>
      </w:r>
      <w:r w:rsidRPr="00082ACC">
        <w:rPr>
          <w:rFonts w:ascii="Arial" w:hAnsi="Arial" w:cs="Arial"/>
          <w:sz w:val="19"/>
          <w:szCs w:val="19"/>
        </w:rPr>
        <w:t xml:space="preserve"> de los convenios se estructura definiendo el resultado querido por las partes y los medios que cada entidad despliega para la obtención del respectivo objeto</w:t>
      </w:r>
      <w:r>
        <w:rPr>
          <w:rFonts w:ascii="Arial" w:hAnsi="Arial" w:cs="Arial"/>
          <w:sz w:val="19"/>
          <w:szCs w:val="19"/>
        </w:rPr>
        <w:t>”</w:t>
      </w:r>
      <w:r w:rsidRPr="00082ACC">
        <w:rPr>
          <w:rFonts w:ascii="Arial" w:hAnsi="Arial" w:cs="Arial"/>
          <w:sz w:val="19"/>
          <w:szCs w:val="19"/>
        </w:rPr>
        <w:t>.</w:t>
      </w:r>
    </w:p>
  </w:footnote>
  <w:footnote w:id="18">
    <w:p w:rsidR="002F0EF2" w:rsidRPr="00082ACC" w:rsidRDefault="002F0EF2" w:rsidP="002F0EF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w:t>
      </w:r>
      <w:r>
        <w:rPr>
          <w:rFonts w:ascii="Arial" w:hAnsi="Arial" w:cs="Arial"/>
          <w:sz w:val="19"/>
          <w:szCs w:val="19"/>
        </w:rPr>
        <w:t>“</w:t>
      </w:r>
      <w:r w:rsidRPr="00082ACC">
        <w:rPr>
          <w:rFonts w:ascii="Arial" w:hAnsi="Arial" w:cs="Arial"/>
          <w:sz w:val="19"/>
          <w:szCs w:val="19"/>
        </w:rPr>
        <w:t xml:space="preserve">La normativa vigente del EGCAP </w:t>
      </w:r>
      <w:r w:rsidRPr="00082ACC">
        <w:rPr>
          <w:rFonts w:ascii="Arial" w:hAnsi="Arial" w:cs="Arial"/>
          <w:i/>
          <w:sz w:val="19"/>
          <w:szCs w:val="19"/>
        </w:rPr>
        <w:t>[literal c) del numeral 4. del artículo 2 de la Ley 1150/07]</w:t>
      </w:r>
      <w:r w:rsidRPr="00082ACC">
        <w:rPr>
          <w:rFonts w:ascii="Arial" w:hAnsi="Arial" w:cs="Arial"/>
          <w:sz w:val="19"/>
          <w:szCs w:val="19"/>
        </w:rPr>
        <w:t xml:space="preserve"> se refiere a </w:t>
      </w:r>
      <w:r w:rsidRPr="00082ACC">
        <w:rPr>
          <w:rFonts w:ascii="Arial" w:hAnsi="Arial" w:cs="Arial"/>
          <w:i/>
          <w:sz w:val="19"/>
          <w:szCs w:val="19"/>
        </w:rPr>
        <w:t>“contratos interadministrativos”</w:t>
      </w:r>
      <w:r w:rsidRPr="00082AC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r>
        <w:rPr>
          <w:rFonts w:ascii="Arial" w:hAnsi="Arial" w:cs="Arial"/>
          <w:sz w:val="19"/>
          <w:szCs w:val="19"/>
        </w:rPr>
        <w:t>”</w:t>
      </w:r>
      <w:r w:rsidRPr="00082ACC">
        <w:rPr>
          <w:rFonts w:ascii="Arial" w:hAnsi="Arial" w:cs="Arial"/>
          <w:sz w:val="19"/>
          <w:szCs w:val="19"/>
        </w:rPr>
        <w:t>.</w:t>
      </w:r>
    </w:p>
  </w:footnote>
  <w:footnote w:id="19">
    <w:p w:rsidR="002F0EF2" w:rsidRPr="00082ACC" w:rsidRDefault="002F0EF2" w:rsidP="002F0EF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En línea con lo anterior, la Sala de Consulta y Servicio Civil del Consejo de Estado expresó lo siguiente: </w:t>
      </w:r>
      <w:r>
        <w:rPr>
          <w:rFonts w:ascii="Arial" w:hAnsi="Arial" w:cs="Arial"/>
          <w:sz w:val="19"/>
          <w:szCs w:val="19"/>
        </w:rPr>
        <w:t>“</w:t>
      </w:r>
      <w:r w:rsidRPr="00082ACC">
        <w:rPr>
          <w:rFonts w:ascii="Arial" w:hAnsi="Arial" w:cs="Arial"/>
          <w:sz w:val="19"/>
          <w:szCs w:val="19"/>
        </w:rPr>
        <w:t>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Pr>
          <w:rFonts w:ascii="Arial" w:hAnsi="Arial" w:cs="Arial"/>
          <w:sz w:val="19"/>
          <w:szCs w:val="19"/>
        </w:rPr>
        <w:t>”</w:t>
      </w:r>
      <w:r w:rsidRPr="00082ACC">
        <w:rPr>
          <w:rFonts w:ascii="Arial" w:hAnsi="Arial" w:cs="Arial"/>
          <w:sz w:val="19"/>
          <w:szCs w:val="19"/>
        </w:rPr>
        <w:t xml:space="preserve">. (Consejo de Estado. Sala de Consulta y Servicio Civil. Concepto 26 de julio de 2016. </w:t>
      </w:r>
      <w:proofErr w:type="spellStart"/>
      <w:r w:rsidRPr="00082ACC">
        <w:rPr>
          <w:rFonts w:ascii="Arial" w:hAnsi="Arial" w:cs="Arial"/>
          <w:sz w:val="19"/>
          <w:szCs w:val="19"/>
        </w:rPr>
        <w:t>Exp</w:t>
      </w:r>
      <w:proofErr w:type="spellEnd"/>
      <w:r w:rsidRPr="00082ACC">
        <w:rPr>
          <w:rFonts w:ascii="Arial" w:hAnsi="Arial" w:cs="Arial"/>
          <w:sz w:val="19"/>
          <w:szCs w:val="19"/>
        </w:rPr>
        <w:t xml:space="preserve">. 2.257. M.P. Álvaro </w:t>
      </w:r>
      <w:proofErr w:type="spellStart"/>
      <w:r w:rsidRPr="00082ACC">
        <w:rPr>
          <w:rFonts w:ascii="Arial" w:hAnsi="Arial" w:cs="Arial"/>
          <w:sz w:val="19"/>
          <w:szCs w:val="19"/>
        </w:rPr>
        <w:t>Namén</w:t>
      </w:r>
      <w:proofErr w:type="spellEnd"/>
      <w:r w:rsidRPr="00082ACC">
        <w:rPr>
          <w:rFonts w:ascii="Arial" w:hAnsi="Arial" w:cs="Arial"/>
          <w:sz w:val="19"/>
          <w:szCs w:val="19"/>
        </w:rPr>
        <w:t xml:space="preserve"> Vargas).</w:t>
      </w:r>
    </w:p>
  </w:footnote>
  <w:footnote w:id="20">
    <w:p w:rsidR="002F0EF2" w:rsidRPr="00082ACC" w:rsidRDefault="002F0EF2" w:rsidP="002F0EF2">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Es lo que sucede, por ejemplo, con el Decreto 092 de 2017, que en su desarrollo hace referencia tanto a los </w:t>
      </w:r>
      <w:r>
        <w:rPr>
          <w:rFonts w:ascii="Arial" w:hAnsi="Arial" w:cs="Arial"/>
          <w:sz w:val="19"/>
          <w:szCs w:val="19"/>
        </w:rPr>
        <w:t>“</w:t>
      </w:r>
      <w:r w:rsidRPr="00082ACC">
        <w:rPr>
          <w:rFonts w:ascii="Arial" w:hAnsi="Arial" w:cs="Arial"/>
          <w:sz w:val="19"/>
          <w:szCs w:val="19"/>
        </w:rPr>
        <w:t>contratos</w:t>
      </w:r>
      <w:r>
        <w:rPr>
          <w:rFonts w:ascii="Arial" w:hAnsi="Arial" w:cs="Arial"/>
          <w:sz w:val="19"/>
          <w:szCs w:val="19"/>
        </w:rPr>
        <w:t>”</w:t>
      </w:r>
      <w:r w:rsidRPr="00082ACC">
        <w:rPr>
          <w:rFonts w:ascii="Arial" w:hAnsi="Arial" w:cs="Arial"/>
          <w:sz w:val="19"/>
          <w:szCs w:val="19"/>
        </w:rPr>
        <w:t xml:space="preserve"> como a los </w:t>
      </w:r>
      <w:r>
        <w:rPr>
          <w:rFonts w:ascii="Arial" w:hAnsi="Arial" w:cs="Arial"/>
          <w:sz w:val="19"/>
          <w:szCs w:val="19"/>
        </w:rPr>
        <w:t>“</w:t>
      </w:r>
      <w:r w:rsidRPr="00082ACC">
        <w:rPr>
          <w:rFonts w:ascii="Arial" w:hAnsi="Arial" w:cs="Arial"/>
          <w:sz w:val="19"/>
          <w:szCs w:val="19"/>
        </w:rPr>
        <w:t>convenios</w:t>
      </w:r>
      <w:r>
        <w:rPr>
          <w:rFonts w:ascii="Arial" w:hAnsi="Arial" w:cs="Arial"/>
          <w:sz w:val="19"/>
          <w:szCs w:val="19"/>
        </w:rPr>
        <w:t>”</w:t>
      </w:r>
      <w:r w:rsidRPr="00082ACC">
        <w:rPr>
          <w:rFonts w:ascii="Arial" w:hAnsi="Arial" w:cs="Arial"/>
          <w:sz w:val="19"/>
          <w:szCs w:val="19"/>
        </w:rPr>
        <w:t xml:space="preserve">. </w:t>
      </w:r>
    </w:p>
  </w:footnote>
  <w:footnote w:id="21">
    <w:p w:rsidR="002F0EF2" w:rsidRPr="00082ACC" w:rsidRDefault="002F0EF2" w:rsidP="002F0EF2">
      <w:pPr>
        <w:pStyle w:val="Textonotapie"/>
        <w:ind w:firstLine="708"/>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w:t>
      </w:r>
      <w:r>
        <w:rPr>
          <w:rFonts w:ascii="Arial" w:hAnsi="Arial" w:cs="Arial"/>
          <w:sz w:val="19"/>
          <w:szCs w:val="19"/>
        </w:rPr>
        <w:t>”</w:t>
      </w:r>
      <w:r w:rsidRPr="00082ACC">
        <w:rPr>
          <w:rFonts w:ascii="Arial" w:hAnsi="Arial" w:cs="Arial"/>
          <w:sz w:val="19"/>
          <w:szCs w:val="19"/>
        </w:rPr>
        <w:t>.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4E" w:rsidRPr="007566FE" w:rsidRDefault="009B4E82"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9264" behindDoc="1" locked="0" layoutInCell="1" hidden="0" allowOverlap="1" wp14:anchorId="20DCB1CA" wp14:editId="4D9D54EB">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rsidR="004E634E" w:rsidRPr="007566FE" w:rsidRDefault="009B4E82"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rsidR="004E634E" w:rsidRDefault="009B4E82"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60288" behindDoc="1" locked="0" layoutInCell="1" allowOverlap="1" wp14:anchorId="27CFA09A" wp14:editId="6350F6A1">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rsidR="004E634E" w:rsidRPr="007566FE" w:rsidRDefault="00573514" w:rsidP="008614E5">
    <w:pPr>
      <w:spacing w:after="0"/>
      <w:rPr>
        <w:rFonts w:ascii="Geomanist Light" w:hAnsi="Geomanist Light"/>
        <w:color w:val="002060"/>
        <w:sz w:val="16"/>
        <w:szCs w:val="16"/>
      </w:rPr>
    </w:pPr>
  </w:p>
  <w:p w:rsidR="004E634E" w:rsidRPr="00906B3C" w:rsidRDefault="00573514" w:rsidP="00906B3C">
    <w:pPr>
      <w:pStyle w:val="Encabezado"/>
      <w:tabs>
        <w:tab w:val="clear" w:pos="4419"/>
        <w:tab w:val="clear" w:pos="8838"/>
      </w:tabs>
      <w:ind w:left="3545" w:firstLine="709"/>
      <w:rPr>
        <w:b/>
        <w:bCs/>
        <w:color w:val="A5A5A5" w:themeColor="accent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D6"/>
    <w:rsid w:val="002F0EF2"/>
    <w:rsid w:val="003E38D6"/>
    <w:rsid w:val="00573514"/>
    <w:rsid w:val="00631B1F"/>
    <w:rsid w:val="006B6084"/>
    <w:rsid w:val="009B4E82"/>
    <w:rsid w:val="00D1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5467"/>
  <w15:chartTrackingRefBased/>
  <w15:docId w15:val="{9154DE73-30BA-43F2-9446-303054EB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EF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38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38D6"/>
    <w:rPr>
      <w:lang w:val="es-CO"/>
    </w:rPr>
  </w:style>
  <w:style w:type="paragraph" w:styleId="Piedepgina">
    <w:name w:val="footer"/>
    <w:basedOn w:val="Normal"/>
    <w:link w:val="PiedepginaCar"/>
    <w:uiPriority w:val="99"/>
    <w:unhideWhenUsed/>
    <w:rsid w:val="003E38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38D6"/>
    <w:rPr>
      <w:lang w:val="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E38D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3E38D6"/>
    <w:pPr>
      <w:spacing w:after="0" w:line="240" w:lineRule="auto"/>
    </w:pPr>
    <w:rPr>
      <w:sz w:val="20"/>
      <w:szCs w:val="20"/>
      <w:lang w:val="es-MX"/>
    </w:rPr>
  </w:style>
  <w:style w:type="character" w:customStyle="1" w:styleId="TextonotapieCar1">
    <w:name w:val="Texto nota pie Car1"/>
    <w:basedOn w:val="Fuentedeprrafopredeter"/>
    <w:uiPriority w:val="99"/>
    <w:semiHidden/>
    <w:rsid w:val="003E38D6"/>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3E38D6"/>
    <w:rPr>
      <w:vertAlign w:val="superscript"/>
    </w:rPr>
  </w:style>
  <w:style w:type="table" w:styleId="Tablaconcuadrcula">
    <w:name w:val="Table Grid"/>
    <w:basedOn w:val="Tablanormal"/>
    <w:uiPriority w:val="39"/>
    <w:rsid w:val="003E38D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E38D6"/>
    <w:pPr>
      <w:spacing w:line="240" w:lineRule="exact"/>
    </w:pPr>
    <w:rPr>
      <w:vertAlign w:val="superscript"/>
      <w:lang w:val="en-US"/>
    </w:rPr>
  </w:style>
  <w:style w:type="paragraph" w:styleId="NormalWeb">
    <w:name w:val="Normal (Web)"/>
    <w:basedOn w:val="Normal"/>
    <w:link w:val="NormalWebCar"/>
    <w:uiPriority w:val="99"/>
    <w:unhideWhenUsed/>
    <w:rsid w:val="003E38D6"/>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character" w:customStyle="1" w:styleId="baj">
    <w:name w:val="b_aj"/>
    <w:basedOn w:val="Fuentedeprrafopredeter"/>
    <w:rsid w:val="003E38D6"/>
  </w:style>
  <w:style w:type="character" w:customStyle="1" w:styleId="NormalWebCar">
    <w:name w:val="Normal (Web) Car"/>
    <w:link w:val="NormalWeb"/>
    <w:uiPriority w:val="99"/>
    <w:rsid w:val="003E38D6"/>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3BEBB0-5D7C-4981-AD12-0DC4DC00620C}"/>
</file>

<file path=customXml/itemProps2.xml><?xml version="1.0" encoding="utf-8"?>
<ds:datastoreItem xmlns:ds="http://schemas.openxmlformats.org/officeDocument/2006/customXml" ds:itemID="{6F3B00DD-1EB0-4DF0-9026-A17E388EF521}"/>
</file>

<file path=customXml/itemProps3.xml><?xml version="1.0" encoding="utf-8"?>
<ds:datastoreItem xmlns:ds="http://schemas.openxmlformats.org/officeDocument/2006/customXml" ds:itemID="{74E823F9-F2FB-4327-9885-AA589F8E6D10}"/>
</file>

<file path=docProps/app.xml><?xml version="1.0" encoding="utf-8"?>
<Properties xmlns="http://schemas.openxmlformats.org/officeDocument/2006/extended-properties" xmlns:vt="http://schemas.openxmlformats.org/officeDocument/2006/docPropsVTypes">
  <Template>Normal</Template>
  <TotalTime>2</TotalTime>
  <Pages>19</Pages>
  <Words>6932</Words>
  <Characters>39519</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Nina Padron</cp:lastModifiedBy>
  <cp:revision>3</cp:revision>
  <dcterms:created xsi:type="dcterms:W3CDTF">2023-05-04T08:05:00Z</dcterms:created>
  <dcterms:modified xsi:type="dcterms:W3CDTF">2023-05-19T00:00:00Z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