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AE8D5" w14:textId="77777777" w:rsidR="005F2213" w:rsidRPr="002D7BEE" w:rsidRDefault="005F2213" w:rsidP="005F2213">
      <w:pPr>
        <w:tabs>
          <w:tab w:val="left" w:pos="426"/>
        </w:tabs>
        <w:contextualSpacing/>
        <w:jc w:val="both"/>
        <w:rPr>
          <w:rFonts w:ascii="Arial" w:eastAsia="Calibri" w:hAnsi="Arial" w:cs="Arial"/>
          <w:b/>
        </w:rPr>
      </w:pPr>
      <w:r w:rsidRPr="002D7BEE">
        <w:rPr>
          <w:rFonts w:ascii="Arial" w:eastAsia="Calibri" w:hAnsi="Arial" w:cs="Arial"/>
          <w:b/>
        </w:rPr>
        <w:t>INSTITUCIONES EDUCATIVAS OFICIAL</w:t>
      </w:r>
      <w:bookmarkStart w:id="0" w:name="_Hlk39676694"/>
      <w:r w:rsidRPr="002D7BEE">
        <w:rPr>
          <w:rFonts w:ascii="Arial" w:eastAsia="Calibri" w:hAnsi="Arial" w:cs="Arial"/>
          <w:b/>
        </w:rPr>
        <w:t>ES –</w:t>
      </w:r>
      <w:bookmarkEnd w:id="0"/>
      <w:r w:rsidRPr="002D7BEE">
        <w:rPr>
          <w:rFonts w:ascii="Arial" w:eastAsia="Calibri" w:hAnsi="Arial" w:cs="Arial"/>
          <w:b/>
        </w:rPr>
        <w:t xml:space="preserve"> Naturaleza jurídica – Capacidad para contratar</w:t>
      </w:r>
    </w:p>
    <w:p w14:paraId="65B2F53D" w14:textId="77777777" w:rsidR="005F2213" w:rsidRPr="002D7BEE" w:rsidRDefault="005F2213" w:rsidP="005F2213">
      <w:pPr>
        <w:tabs>
          <w:tab w:val="left" w:pos="426"/>
        </w:tabs>
        <w:contextualSpacing/>
        <w:jc w:val="both"/>
        <w:rPr>
          <w:rFonts w:ascii="Arial" w:eastAsia="Calibri" w:hAnsi="Arial" w:cs="Arial"/>
          <w:b/>
          <w:sz w:val="20"/>
          <w:szCs w:val="20"/>
        </w:rPr>
      </w:pPr>
    </w:p>
    <w:p w14:paraId="1D771867"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instituciones educativas, que pueden ser de los diferentes niveles, pero estas no son entidades descentralizadas. </w:t>
      </w:r>
    </w:p>
    <w:p w14:paraId="7CEFE8D4" w14:textId="77777777" w:rsidR="005F2213" w:rsidRPr="002D7BEE" w:rsidRDefault="005F2213" w:rsidP="005F2213">
      <w:pPr>
        <w:contextualSpacing/>
        <w:jc w:val="both"/>
        <w:rPr>
          <w:rFonts w:ascii="Arial" w:hAnsi="Arial" w:cs="Arial"/>
          <w:sz w:val="20"/>
          <w:szCs w:val="20"/>
        </w:rPr>
      </w:pPr>
    </w:p>
    <w:p w14:paraId="1AC3FCD0"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 </w:t>
      </w:r>
    </w:p>
    <w:p w14:paraId="6BC66B56" w14:textId="77777777" w:rsidR="005F2213" w:rsidRPr="002D7BEE" w:rsidRDefault="005F2213" w:rsidP="005F2213">
      <w:pPr>
        <w:contextualSpacing/>
        <w:jc w:val="both"/>
        <w:rPr>
          <w:rFonts w:ascii="Arial" w:hAnsi="Arial" w:cs="Arial"/>
          <w:sz w:val="20"/>
          <w:szCs w:val="20"/>
        </w:rPr>
      </w:pPr>
    </w:p>
    <w:p w14:paraId="3610AFCA" w14:textId="77777777" w:rsidR="005F2213" w:rsidRPr="002D7BEE" w:rsidRDefault="005F2213" w:rsidP="005F2213">
      <w:pPr>
        <w:contextualSpacing/>
        <w:jc w:val="both"/>
        <w:rPr>
          <w:rFonts w:ascii="Arial" w:hAnsi="Arial" w:cs="Arial"/>
          <w:b/>
          <w:bCs/>
        </w:rPr>
      </w:pPr>
      <w:r w:rsidRPr="002D7BEE">
        <w:rPr>
          <w:rFonts w:ascii="Arial" w:hAnsi="Arial" w:cs="Arial"/>
          <w:b/>
          <w:bCs/>
        </w:rPr>
        <w:t xml:space="preserve">INSTITUCIONES EDUCATIVAS OFICIALES – Contratación – Umbral – Veinte salarios mínimos legales mensuales vigentes </w:t>
      </w:r>
    </w:p>
    <w:p w14:paraId="3934A170" w14:textId="77777777" w:rsidR="005F2213" w:rsidRPr="002D7BEE" w:rsidRDefault="005F2213" w:rsidP="005F2213">
      <w:pPr>
        <w:contextualSpacing/>
        <w:jc w:val="both"/>
        <w:rPr>
          <w:rFonts w:ascii="Arial" w:hAnsi="Arial" w:cs="Arial"/>
          <w:b/>
          <w:bCs/>
          <w:sz w:val="20"/>
          <w:szCs w:val="20"/>
        </w:rPr>
      </w:pPr>
    </w:p>
    <w:p w14:paraId="33222359"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14:paraId="3FB2E91F" w14:textId="77777777" w:rsidR="005F2213" w:rsidRPr="002D7BEE" w:rsidRDefault="005F2213" w:rsidP="005F2213">
      <w:pPr>
        <w:contextualSpacing/>
        <w:jc w:val="both"/>
        <w:rPr>
          <w:rFonts w:ascii="Arial" w:hAnsi="Arial" w:cs="Arial"/>
          <w:sz w:val="20"/>
          <w:szCs w:val="20"/>
        </w:rPr>
      </w:pPr>
    </w:p>
    <w:p w14:paraId="4DA6114B" w14:textId="77777777"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w:t>
      </w:r>
    </w:p>
    <w:p w14:paraId="76F24B93" w14:textId="77777777" w:rsidR="005F2213" w:rsidRPr="002D7BEE" w:rsidRDefault="005F2213" w:rsidP="005F2213">
      <w:pPr>
        <w:contextualSpacing/>
        <w:jc w:val="both"/>
        <w:rPr>
          <w:rFonts w:ascii="Arial" w:eastAsia="Times New Roman" w:hAnsi="Arial" w:cs="Arial"/>
          <w:sz w:val="20"/>
          <w:szCs w:val="20"/>
          <w:lang w:eastAsia="es-MX"/>
        </w:rPr>
      </w:pPr>
    </w:p>
    <w:p w14:paraId="484A44BB" w14:textId="77777777" w:rsidR="005F2213" w:rsidRPr="002D7BEE" w:rsidRDefault="005F2213" w:rsidP="005F2213">
      <w:pPr>
        <w:contextualSpacing/>
        <w:jc w:val="both"/>
        <w:rPr>
          <w:rFonts w:ascii="Arial" w:eastAsia="Times New Roman" w:hAnsi="Arial" w:cs="Arial"/>
          <w:sz w:val="20"/>
          <w:szCs w:val="20"/>
          <w:lang w:eastAsia="es-MX"/>
        </w:rPr>
      </w:pPr>
      <w:r w:rsidRPr="002D7BEE">
        <w:rPr>
          <w:rFonts w:ascii="Arial" w:eastAsia="Times New Roman" w:hAnsi="Arial" w:cs="Arial"/>
          <w:sz w:val="20"/>
          <w:szCs w:val="20"/>
          <w:lang w:eastAsia="es-MX"/>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643B9D5D" w14:textId="77777777" w:rsidR="005F2213" w:rsidRPr="002D7BEE" w:rsidRDefault="005F2213" w:rsidP="005F2213">
      <w:pPr>
        <w:contextualSpacing/>
        <w:jc w:val="both"/>
        <w:rPr>
          <w:rFonts w:ascii="Arial" w:eastAsia="Times New Roman" w:hAnsi="Arial" w:cs="Arial"/>
          <w:sz w:val="20"/>
          <w:szCs w:val="20"/>
          <w:lang w:eastAsia="es-MX"/>
        </w:rPr>
      </w:pPr>
    </w:p>
    <w:p w14:paraId="5E10D40C" w14:textId="77777777" w:rsidR="005F2213" w:rsidRPr="002D7BEE" w:rsidRDefault="005F2213" w:rsidP="005F2213">
      <w:pPr>
        <w:contextualSpacing/>
        <w:jc w:val="both"/>
        <w:rPr>
          <w:rFonts w:ascii="Arial" w:eastAsia="Times New Roman" w:hAnsi="Arial" w:cs="Arial"/>
          <w:sz w:val="20"/>
          <w:szCs w:val="20"/>
          <w:lang w:eastAsia="es-MX"/>
        </w:rPr>
      </w:pPr>
      <w:r w:rsidRPr="002D7BEE">
        <w:rPr>
          <w:rFonts w:ascii="Arial" w:eastAsia="Times New Roman" w:hAnsi="Arial" w:cs="Arial"/>
          <w:sz w:val="20"/>
          <w:szCs w:val="20"/>
          <w:lang w:eastAsia="es-MX"/>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Estatuto General de Contratación, procediendo la aplicación de las modalidades de selección definidas en la Ley 1150 de 2007, así como los requisitos y formalidades establecidos en el Decreto 1082 del 2015 y demás normas aplicables.</w:t>
      </w:r>
    </w:p>
    <w:p w14:paraId="46A3B357" w14:textId="77777777" w:rsidR="005F2213" w:rsidRPr="002D7BEE" w:rsidRDefault="005F2213" w:rsidP="005F2213">
      <w:pPr>
        <w:contextualSpacing/>
        <w:jc w:val="both"/>
        <w:rPr>
          <w:rFonts w:ascii="Arial" w:eastAsia="Calibri" w:hAnsi="Arial" w:cs="Arial"/>
          <w:b/>
          <w:sz w:val="20"/>
          <w:szCs w:val="20"/>
        </w:rPr>
      </w:pPr>
    </w:p>
    <w:p w14:paraId="1123E86D" w14:textId="77777777" w:rsidR="005F2213" w:rsidRPr="002D7BEE" w:rsidRDefault="005F2213" w:rsidP="005F2213">
      <w:pPr>
        <w:contextualSpacing/>
        <w:jc w:val="both"/>
        <w:rPr>
          <w:rFonts w:ascii="Arial" w:hAnsi="Arial" w:cs="Arial"/>
          <w:b/>
          <w:bCs/>
          <w:iCs/>
          <w:lang w:val="es-ES_tradnl"/>
        </w:rPr>
      </w:pPr>
      <w:bookmarkStart w:id="1" w:name="_Hlk109054766"/>
      <w:r w:rsidRPr="002D7BEE">
        <w:rPr>
          <w:rFonts w:ascii="Arial" w:hAnsi="Arial" w:cs="Arial"/>
          <w:b/>
          <w:bCs/>
          <w:iCs/>
          <w:lang w:val="es-ES_tradnl"/>
        </w:rPr>
        <w:t xml:space="preserve">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w:t>
      </w:r>
    </w:p>
    <w:p w14:paraId="29984C94" w14:textId="77777777" w:rsidR="005F2213" w:rsidRPr="002D7BEE" w:rsidRDefault="005F2213" w:rsidP="005F2213">
      <w:pPr>
        <w:contextualSpacing/>
        <w:jc w:val="both"/>
        <w:rPr>
          <w:rFonts w:ascii="Arial" w:hAnsi="Arial" w:cs="Arial"/>
          <w:b/>
          <w:bCs/>
          <w:iCs/>
          <w:sz w:val="20"/>
          <w:szCs w:val="20"/>
          <w:lang w:val="es-ES_tradnl"/>
        </w:rPr>
      </w:pPr>
    </w:p>
    <w:p w14:paraId="52BE9F55" w14:textId="0BF03381" w:rsidR="005F2213" w:rsidRPr="002D7BEE" w:rsidRDefault="005F2213" w:rsidP="005F2213">
      <w:pPr>
        <w:contextualSpacing/>
        <w:jc w:val="both"/>
        <w:rPr>
          <w:rFonts w:ascii="Arial" w:eastAsia="Times New Roman" w:hAnsi="Arial" w:cs="Arial"/>
          <w:sz w:val="20"/>
          <w:szCs w:val="20"/>
          <w:lang w:eastAsia="es-CO"/>
        </w:rPr>
      </w:pPr>
      <w:r w:rsidRPr="002D7BEE">
        <w:rPr>
          <w:rFonts w:ascii="Arial" w:eastAsia="Times New Roman" w:hAnsi="Arial" w:cs="Arial"/>
          <w:sz w:val="20"/>
          <w:szCs w:val="20"/>
          <w:lang w:eastAsia="es-CO"/>
        </w:rPr>
        <w:t xml:space="preserve">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w:t>
      </w:r>
      <w:r w:rsidRPr="002D7BEE">
        <w:rPr>
          <w:rFonts w:ascii="Arial" w:eastAsia="Times New Roman" w:hAnsi="Arial" w:cs="Arial"/>
          <w:sz w:val="20"/>
          <w:szCs w:val="20"/>
          <w:lang w:eastAsia="es-CO"/>
        </w:rPr>
        <w:lastRenderedPageBreak/>
        <w:t xml:space="preserve">en la información y el principio de buena fe. El principio de máxima publicidad establece que </w:t>
      </w:r>
      <w:r w:rsidR="00610078">
        <w:rPr>
          <w:rFonts w:ascii="Arial" w:eastAsia="Times New Roman" w:hAnsi="Arial" w:cs="Arial"/>
          <w:sz w:val="20"/>
          <w:szCs w:val="20"/>
          <w:lang w:eastAsia="es-CO"/>
        </w:rPr>
        <w:t>“</w:t>
      </w:r>
      <w:r w:rsidRPr="002D7BEE">
        <w:rPr>
          <w:rFonts w:ascii="Arial" w:eastAsia="Times New Roman" w:hAnsi="Arial" w:cs="Arial"/>
          <w:sz w:val="20"/>
          <w:szCs w:val="20"/>
          <w:lang w:eastAsia="es-CO"/>
        </w:rPr>
        <w:t>toda información en posesión, bajo control o custodia de un sujeto obligado es pública y no podrá ser reservada o limitada sino por disposición constitucional o legal</w:t>
      </w:r>
      <w:r w:rsidR="00610078">
        <w:rPr>
          <w:rFonts w:ascii="Arial" w:eastAsia="Times New Roman" w:hAnsi="Arial" w:cs="Arial"/>
          <w:sz w:val="20"/>
          <w:szCs w:val="20"/>
          <w:lang w:eastAsia="es-CO"/>
        </w:rPr>
        <w:t>”</w:t>
      </w:r>
      <w:r w:rsidRPr="002D7BEE">
        <w:rPr>
          <w:rFonts w:ascii="Arial" w:eastAsia="Times New Roman" w:hAnsi="Arial" w:cs="Arial"/>
          <w:sz w:val="20"/>
          <w:szCs w:val="20"/>
          <w:lang w:eastAsia="es-CO"/>
        </w:rPr>
        <w:t>. El principio de transparencia en la información alude al deber de los sujetos de proporcionar y facilitar el acceso a la misma en los términos más amplios posibles, a través de los medios y procedimientos que establezca la</w:t>
      </w:r>
      <w:r w:rsidRPr="002D7BEE">
        <w:rPr>
          <w:rFonts w:ascii="Arial" w:eastAsia="Times New Roman" w:hAnsi="Arial" w:cs="Arial"/>
          <w:spacing w:val="-2"/>
          <w:sz w:val="20"/>
          <w:szCs w:val="20"/>
          <w:lang w:eastAsia="es-CO"/>
        </w:rPr>
        <w:t xml:space="preserve"> </w:t>
      </w:r>
      <w:r w:rsidRPr="002D7BEE">
        <w:rPr>
          <w:rFonts w:ascii="Arial" w:eastAsia="Times New Roman" w:hAnsi="Arial" w:cs="Arial"/>
          <w:sz w:val="20"/>
          <w:szCs w:val="20"/>
          <w:lang w:eastAsia="es-CO"/>
        </w:rPr>
        <w:t>ley. Y el principio de buena fe hace referencia al deber de todo sujeto obligado de cumplir con las obligaciones derivadas del derecho de acceso a la información pública con motivación honesta, leal y desprovista de cualquier intención dolosa o culposa</w:t>
      </w:r>
    </w:p>
    <w:p w14:paraId="75F36A59" w14:textId="77777777" w:rsidR="005F2213" w:rsidRPr="002D7BEE" w:rsidRDefault="005F2213" w:rsidP="005F2213">
      <w:pPr>
        <w:contextualSpacing/>
        <w:jc w:val="both"/>
        <w:rPr>
          <w:rFonts w:ascii="Arial" w:eastAsia="Times New Roman" w:hAnsi="Arial" w:cs="Arial"/>
          <w:sz w:val="20"/>
          <w:szCs w:val="20"/>
          <w:lang w:eastAsia="es-CO"/>
        </w:rPr>
      </w:pPr>
    </w:p>
    <w:p w14:paraId="1643DCCF" w14:textId="77777777" w:rsidR="005F2213" w:rsidRPr="002D7BEE" w:rsidRDefault="005F2213" w:rsidP="005F2213">
      <w:pPr>
        <w:contextualSpacing/>
        <w:jc w:val="both"/>
        <w:rPr>
          <w:rFonts w:ascii="Arial" w:eastAsia="Arial MT" w:hAnsi="Arial" w:cs="Arial"/>
          <w:sz w:val="20"/>
          <w:szCs w:val="20"/>
          <w:lang w:val="es-ES"/>
        </w:rPr>
      </w:pPr>
      <w:r w:rsidRPr="002D7BEE">
        <w:rPr>
          <w:rFonts w:ascii="Arial" w:eastAsia="Times New Roman" w:hAnsi="Arial" w:cs="Arial"/>
          <w:sz w:val="20"/>
          <w:szCs w:val="20"/>
          <w:lang w:eastAsia="es-CO"/>
        </w:rPr>
        <w:t xml:space="preserve">La citada Ley establece, en el literal e) del artículo 9, que los </w:t>
      </w:r>
      <w:r w:rsidRPr="002D7BEE">
        <w:rPr>
          <w:rFonts w:ascii="Arial" w:eastAsia="Times New Roman" w:hAnsi="Arial" w:cs="Arial"/>
          <w:i/>
          <w:iCs/>
          <w:sz w:val="20"/>
          <w:szCs w:val="20"/>
          <w:lang w:eastAsia="es-CO"/>
        </w:rPr>
        <w:t xml:space="preserve">sujetos obligados </w:t>
      </w:r>
      <w:r w:rsidRPr="002D7BEE">
        <w:rPr>
          <w:rFonts w:ascii="Arial" w:eastAsia="Times New Roman" w:hAnsi="Arial" w:cs="Arial"/>
          <w:sz w:val="20"/>
          <w:szCs w:val="20"/>
          <w:lang w:eastAsia="es-CO"/>
        </w:rPr>
        <w:t xml:space="preserve">deben publicar la información relativa a su contratación. </w:t>
      </w:r>
      <w:r w:rsidRPr="002D7BEE">
        <w:rPr>
          <w:rFonts w:ascii="Arial" w:eastAsia="Arial MT" w:hAnsi="Arial" w:cs="Arial"/>
          <w:sz w:val="20"/>
          <w:szCs w:val="20"/>
          <w:lang w:val="es-ES"/>
        </w:rPr>
        <w:t xml:space="preserve">El artículo 5 </w:t>
      </w:r>
      <w:r w:rsidRPr="002D7BEE">
        <w:rPr>
          <w:rFonts w:ascii="Arial" w:eastAsia="Arial MT" w:hAnsi="Arial" w:cs="Arial"/>
          <w:i/>
          <w:iCs/>
          <w:sz w:val="20"/>
          <w:szCs w:val="20"/>
          <w:lang w:val="es-ES"/>
        </w:rPr>
        <w:t>ibidem</w:t>
      </w:r>
      <w:r w:rsidRPr="002D7BEE">
        <w:rPr>
          <w:rFonts w:ascii="Arial" w:eastAsia="Arial MT" w:hAnsi="Arial" w:cs="Arial"/>
          <w:sz w:val="20"/>
          <w:szCs w:val="20"/>
          <w:lang w:val="es-ES"/>
        </w:rPr>
        <w:t xml:space="preserve">,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 </w:t>
      </w:r>
    </w:p>
    <w:p w14:paraId="447AAA12" w14:textId="77777777" w:rsidR="005F2213" w:rsidRPr="002D7BEE" w:rsidRDefault="005F2213" w:rsidP="005F2213">
      <w:pPr>
        <w:contextualSpacing/>
        <w:jc w:val="both"/>
        <w:rPr>
          <w:rFonts w:ascii="Arial" w:eastAsia="Times New Roman" w:hAnsi="Arial" w:cs="Arial"/>
          <w:sz w:val="20"/>
          <w:szCs w:val="20"/>
          <w:lang w:eastAsia="es-CO"/>
        </w:rPr>
      </w:pPr>
    </w:p>
    <w:p w14:paraId="30DB4936" w14:textId="77777777" w:rsidR="005F2213" w:rsidRPr="002D7BEE" w:rsidRDefault="005F2213" w:rsidP="005F2213">
      <w:pPr>
        <w:contextualSpacing/>
        <w:jc w:val="both"/>
        <w:rPr>
          <w:rFonts w:ascii="Arial" w:hAnsi="Arial" w:cs="Arial"/>
          <w:b/>
          <w:bCs/>
          <w:iCs/>
          <w:lang w:val="es-ES_tradnl"/>
        </w:rPr>
      </w:pPr>
      <w:r w:rsidRPr="002D7BEE">
        <w:rPr>
          <w:rFonts w:ascii="Arial" w:hAnsi="Arial" w:cs="Arial"/>
          <w:b/>
          <w:bCs/>
          <w:iCs/>
          <w:lang w:val="es-ES_tradnl"/>
        </w:rPr>
        <w:t xml:space="preserve">SECOP II </w:t>
      </w:r>
      <w:r w:rsidRPr="002D7BEE">
        <w:rPr>
          <w:rFonts w:ascii="Arial" w:eastAsia="Calibri" w:hAnsi="Arial" w:cs="Arial"/>
          <w:b/>
          <w:lang w:val="es-ES_tradnl"/>
        </w:rPr>
        <w:t>–</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 Modificación artículo 53 de la Ley 2195 de 2022</w:t>
      </w:r>
    </w:p>
    <w:p w14:paraId="679459D5" w14:textId="77777777" w:rsidR="005F2213" w:rsidRPr="002D7BEE" w:rsidRDefault="005F2213" w:rsidP="005F2213">
      <w:pPr>
        <w:contextualSpacing/>
        <w:jc w:val="both"/>
        <w:rPr>
          <w:rFonts w:ascii="Arial" w:hAnsi="Arial" w:cs="Arial"/>
          <w:b/>
          <w:bCs/>
          <w:iCs/>
          <w:sz w:val="20"/>
          <w:szCs w:val="20"/>
          <w:lang w:val="es-ES_tradnl"/>
        </w:rPr>
      </w:pPr>
    </w:p>
    <w:p w14:paraId="41472994" w14:textId="186404F5" w:rsidR="005F2213" w:rsidRPr="002D7BEE" w:rsidRDefault="005F2213" w:rsidP="005F2213">
      <w:pPr>
        <w:contextualSpacing/>
        <w:jc w:val="both"/>
        <w:rPr>
          <w:rFonts w:ascii="Arial" w:hAnsi="Arial" w:cs="Arial"/>
          <w:sz w:val="20"/>
          <w:szCs w:val="20"/>
        </w:rPr>
      </w:pPr>
      <w:r w:rsidRPr="002D7BEE">
        <w:rPr>
          <w:rFonts w:ascii="Arial" w:hAnsi="Arial" w:cs="Arial"/>
          <w:sz w:val="20"/>
          <w:szCs w:val="20"/>
        </w:rPr>
        <w:t xml:space="preserve">[…] la Ley 2195 de 2022, por medio de la cual se adoptan medidas en materia de transparencia, prevención y lucha contra la corrupción. </w:t>
      </w:r>
      <w:r w:rsidRPr="002D7BEE">
        <w:rPr>
          <w:rFonts w:ascii="Arial" w:eastAsia="Calibri" w:hAnsi="Arial" w:cs="Arial"/>
          <w:sz w:val="20"/>
          <w:szCs w:val="20"/>
          <w:lang w:val="es-ES_tradnl" w:eastAsia="es-ES_tradnl"/>
        </w:rPr>
        <w:t xml:space="preserve">Según el artículo 1°, esta Ley </w:t>
      </w:r>
      <w:r w:rsidR="00610078">
        <w:rPr>
          <w:rFonts w:ascii="Arial" w:eastAsia="Calibri" w:hAnsi="Arial" w:cs="Arial"/>
          <w:sz w:val="20"/>
          <w:szCs w:val="20"/>
          <w:lang w:val="es-ES_tradnl" w:eastAsia="es-ES_tradnl"/>
        </w:rPr>
        <w:t>“</w:t>
      </w:r>
      <w:r w:rsidRPr="002D7BEE">
        <w:rPr>
          <w:rFonts w:ascii="Arial" w:eastAsia="Times New Roman" w:hAnsi="Arial" w:cs="Arial"/>
          <w:sz w:val="20"/>
          <w:szCs w:val="20"/>
          <w:lang w:val="es-ES_tradnl" w:eastAsia="es-ES_tradnl"/>
        </w:rPr>
        <w:t xml:space="preserve">[…] </w:t>
      </w:r>
      <w:r w:rsidRPr="002D7BEE">
        <w:rPr>
          <w:rFonts w:ascii="Arial" w:eastAsia="Calibri" w:hAnsi="Arial" w:cs="Arial"/>
          <w:sz w:val="20"/>
          <w:szCs w:val="20"/>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610078">
        <w:rPr>
          <w:rFonts w:ascii="Arial" w:eastAsia="Calibri" w:hAnsi="Arial" w:cs="Arial"/>
          <w:sz w:val="20"/>
          <w:szCs w:val="20"/>
          <w:lang w:val="es-ES_tradnl" w:eastAsia="es-ES_tradnl"/>
        </w:rPr>
        <w:t>”</w:t>
      </w:r>
      <w:r w:rsidRPr="002D7BEE">
        <w:rPr>
          <w:rFonts w:ascii="Arial" w:eastAsia="Calibri" w:hAnsi="Arial" w:cs="Arial"/>
          <w:sz w:val="20"/>
          <w:szCs w:val="20"/>
          <w:lang w:val="es-ES_tradnl" w:eastAsia="es-ES_tradnl"/>
        </w:rPr>
        <w:t xml:space="preserve">. Dentro del capítulo VIII de la Ley en mención, que lleva por título </w:t>
      </w:r>
      <w:r w:rsidR="00610078">
        <w:rPr>
          <w:rFonts w:ascii="Arial" w:eastAsia="Calibri" w:hAnsi="Arial" w:cs="Arial"/>
          <w:sz w:val="20"/>
          <w:szCs w:val="20"/>
          <w:lang w:val="es-ES_tradnl" w:eastAsia="es-ES_tradnl"/>
        </w:rPr>
        <w:t>“</w:t>
      </w:r>
      <w:r w:rsidRPr="002D7BEE">
        <w:rPr>
          <w:rFonts w:ascii="Arial" w:eastAsia="Calibri" w:hAnsi="Arial" w:cs="Arial"/>
          <w:sz w:val="20"/>
          <w:szCs w:val="20"/>
          <w:lang w:val="es-ES_tradnl" w:eastAsia="es-ES_tradnl"/>
        </w:rPr>
        <w:t>Disposiciones en materia contractual para la moralización y la transparencia</w:t>
      </w:r>
      <w:r w:rsidR="00610078">
        <w:rPr>
          <w:rFonts w:ascii="Arial" w:eastAsia="Calibri" w:hAnsi="Arial" w:cs="Arial"/>
          <w:sz w:val="20"/>
          <w:szCs w:val="20"/>
          <w:lang w:val="es-ES_tradnl" w:eastAsia="es-ES_tradnl"/>
        </w:rPr>
        <w:t>”</w:t>
      </w:r>
      <w:r w:rsidRPr="002D7BEE">
        <w:rPr>
          <w:rFonts w:ascii="Arial" w:eastAsia="Calibri" w:hAnsi="Arial" w:cs="Arial"/>
          <w:sz w:val="20"/>
          <w:szCs w:val="20"/>
          <w:lang w:val="es-ES_tradnl" w:eastAsia="es-ES_tradnl"/>
        </w:rPr>
        <w:t xml:space="preserve">, se ubica </w:t>
      </w:r>
      <w:r w:rsidRPr="002D7BEE">
        <w:rPr>
          <w:rFonts w:ascii="Arial" w:hAnsi="Arial" w:cs="Arial"/>
          <w:sz w:val="20"/>
          <w:szCs w:val="20"/>
        </w:rPr>
        <w:t xml:space="preserve">el artículo 53, a través del cual se adiciona el artículo 13 de la Ley 1150 de 2007. La referida disposición les asigna a las entidades estatales que por disposición legal cuenten con un </w:t>
      </w:r>
      <w:r w:rsidR="00667C4F">
        <w:rPr>
          <w:rFonts w:ascii="Arial" w:hAnsi="Arial" w:cs="Arial"/>
          <w:sz w:val="20"/>
          <w:szCs w:val="20"/>
        </w:rPr>
        <w:t>3 d</w:t>
      </w:r>
      <w:r w:rsidRPr="002D7BEE">
        <w:rPr>
          <w:rFonts w:ascii="Arial" w:hAnsi="Arial" w:cs="Arial"/>
          <w:sz w:val="20"/>
          <w:szCs w:val="20"/>
        </w:rPr>
        <w:t>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6212ED81" w14:textId="77777777" w:rsidR="005F2213" w:rsidRPr="002D7BEE" w:rsidRDefault="005F2213" w:rsidP="005F2213">
      <w:pPr>
        <w:contextualSpacing/>
        <w:jc w:val="both"/>
        <w:rPr>
          <w:rFonts w:ascii="Arial" w:eastAsia="Calibri" w:hAnsi="Arial" w:cs="Arial"/>
          <w:b/>
          <w:sz w:val="20"/>
          <w:szCs w:val="20"/>
          <w:lang w:val="es-ES_tradnl"/>
        </w:rPr>
      </w:pPr>
    </w:p>
    <w:p w14:paraId="0B2E466F"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w:t>
      </w:r>
      <w:r w:rsidRPr="002D7BEE">
        <w:rPr>
          <w:rFonts w:ascii="Arial" w:eastAsia="Calibri" w:hAnsi="Arial" w:cs="Arial"/>
          <w:b/>
          <w:lang w:val="es-ES_tradnl"/>
        </w:rPr>
        <w:t>–</w:t>
      </w:r>
      <w:r w:rsidRPr="002D7BEE">
        <w:rPr>
          <w:rFonts w:ascii="Arial" w:hAnsi="Arial" w:cs="Arial"/>
          <w:b/>
          <w:bCs/>
          <w:iCs/>
          <w:lang w:val="es-ES_tradnl"/>
        </w:rPr>
        <w:t xml:space="preserve"> </w:t>
      </w:r>
      <w:r w:rsidRPr="002D7BEE">
        <w:rPr>
          <w:rFonts w:ascii="Arial" w:eastAsia="Calibri" w:hAnsi="Arial" w:cs="Arial"/>
          <w:b/>
          <w:lang w:val="es-ES_tradnl"/>
        </w:rPr>
        <w:t xml:space="preserve">Vigencia   </w:t>
      </w:r>
    </w:p>
    <w:p w14:paraId="0950B844" w14:textId="77777777" w:rsidR="005F2213" w:rsidRPr="002D7BEE" w:rsidRDefault="005F2213" w:rsidP="005F2213">
      <w:pPr>
        <w:contextualSpacing/>
        <w:jc w:val="both"/>
        <w:rPr>
          <w:rFonts w:ascii="Arial" w:eastAsia="Calibri" w:hAnsi="Arial" w:cs="Arial"/>
          <w:sz w:val="20"/>
          <w:szCs w:val="20"/>
          <w:lang w:val="es-ES_tradnl"/>
        </w:rPr>
      </w:pPr>
    </w:p>
    <w:p w14:paraId="78B9B50F" w14:textId="6CFF04A7" w:rsidR="005F2213" w:rsidRPr="002D7BEE" w:rsidRDefault="005F2213" w:rsidP="005F2213">
      <w:pPr>
        <w:contextualSpacing/>
        <w:jc w:val="both"/>
        <w:rPr>
          <w:rFonts w:ascii="Arial" w:eastAsia="Calibri" w:hAnsi="Arial" w:cs="Arial"/>
          <w:sz w:val="20"/>
          <w:szCs w:val="20"/>
          <w:lang w:val="es-ES_tradnl"/>
        </w:rPr>
      </w:pPr>
      <w:r w:rsidRPr="002D7BEE">
        <w:rPr>
          <w:rFonts w:ascii="Arial" w:eastAsia="Calibri" w:hAnsi="Arial" w:cs="Arial"/>
          <w:sz w:val="20"/>
          <w:szCs w:val="20"/>
          <w:lang w:val="es-ES_tradnl"/>
        </w:rPr>
        <w:t xml:space="preserve">Por otro lado, el inciso final del artículo 53 dispone que </w:t>
      </w:r>
      <w:r w:rsidR="00610078">
        <w:rPr>
          <w:rFonts w:ascii="Arial" w:eastAsia="Calibri" w:hAnsi="Arial" w:cs="Arial"/>
          <w:sz w:val="20"/>
          <w:szCs w:val="20"/>
          <w:lang w:val="es-ES_tradnl"/>
        </w:rPr>
        <w:t>“</w:t>
      </w:r>
      <w:r w:rsidRPr="002D7BEE">
        <w:rPr>
          <w:rFonts w:ascii="Arial" w:eastAsia="Calibri" w:hAnsi="Arial" w:cs="Arial"/>
          <w:sz w:val="20"/>
          <w:szCs w:val="20"/>
          <w:lang w:val="es-ES_tradnl"/>
        </w:rPr>
        <w:t>A partir de la entrada en vigencia de la presente Ley, se establecerá un periodo de transición de seis (6) meses, para que las entidades den cumplimiento efectivo a lo aquí establecido</w:t>
      </w:r>
      <w:r w:rsidR="00610078">
        <w:rPr>
          <w:rFonts w:ascii="Arial" w:eastAsia="Calibri" w:hAnsi="Arial" w:cs="Arial"/>
          <w:sz w:val="20"/>
          <w:szCs w:val="20"/>
          <w:lang w:val="es-ES_tradnl"/>
        </w:rPr>
        <w:t>”</w:t>
      </w:r>
      <w:r w:rsidRPr="002D7BEE">
        <w:rPr>
          <w:rFonts w:ascii="Arial" w:eastAsia="Calibri" w:hAnsi="Arial" w:cs="Arial"/>
          <w:sz w:val="20"/>
          <w:szCs w:val="20"/>
          <w:lang w:val="es-ES_tradnl"/>
        </w:rPr>
        <w:t xml:space="preserve">.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 </w:t>
      </w:r>
    </w:p>
    <w:p w14:paraId="0763EEAC" w14:textId="77777777" w:rsidR="005F2213" w:rsidRPr="002D7BEE" w:rsidRDefault="005F2213" w:rsidP="005F2213">
      <w:pPr>
        <w:contextualSpacing/>
        <w:jc w:val="both"/>
        <w:rPr>
          <w:rFonts w:ascii="Arial" w:eastAsia="Calibri" w:hAnsi="Arial" w:cs="Arial"/>
          <w:b/>
          <w:sz w:val="20"/>
          <w:szCs w:val="20"/>
          <w:lang w:val="es-ES_tradnl"/>
        </w:rPr>
      </w:pPr>
      <w:bookmarkStart w:id="2" w:name="_GoBack"/>
    </w:p>
    <w:p w14:paraId="1FC7F775"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lastRenderedPageBreak/>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w:t>
      </w:r>
      <w:r w:rsidRPr="002D7BEE">
        <w:rPr>
          <w:rFonts w:ascii="Arial" w:hAnsi="Arial" w:cs="Arial"/>
          <w:b/>
          <w:bCs/>
          <w:iCs/>
          <w:lang w:val="es-ES_tradnl"/>
        </w:rPr>
        <w:t xml:space="preserve"> Entidades estatales exceptuadas del estatuto general de contratación de la administración pública </w:t>
      </w:r>
      <w:r w:rsidRPr="002D7BEE">
        <w:rPr>
          <w:rFonts w:ascii="Arial" w:eastAsia="Calibri" w:hAnsi="Arial" w:cs="Arial"/>
          <w:b/>
          <w:lang w:val="es-ES_tradnl"/>
        </w:rPr>
        <w:t>–</w:t>
      </w:r>
      <w:r w:rsidRPr="002D7BEE">
        <w:rPr>
          <w:rFonts w:ascii="Arial" w:eastAsia="Calibri" w:hAnsi="Arial" w:cs="Arial"/>
          <w:b/>
          <w:bCs/>
          <w:lang w:val="es-ES_tradnl" w:eastAsia="es-ES_tradnl"/>
        </w:rPr>
        <w:t xml:space="preserve"> Instituciones educativas oficiales</w:t>
      </w:r>
    </w:p>
    <w:p w14:paraId="556CF51B" w14:textId="77777777" w:rsidR="005F2213" w:rsidRPr="002D7BEE" w:rsidRDefault="005F2213" w:rsidP="005F2213">
      <w:pPr>
        <w:contextualSpacing/>
        <w:jc w:val="both"/>
        <w:rPr>
          <w:rFonts w:ascii="Arial" w:eastAsia="Calibri" w:hAnsi="Arial" w:cs="Arial"/>
          <w:b/>
          <w:sz w:val="20"/>
          <w:szCs w:val="20"/>
          <w:lang w:val="es-ES_tradnl"/>
        </w:rPr>
      </w:pPr>
    </w:p>
    <w:p w14:paraId="5003F017" w14:textId="77777777" w:rsidR="005F2213" w:rsidRPr="002D7BEE" w:rsidRDefault="005F2213" w:rsidP="005F2213">
      <w:pPr>
        <w:contextualSpacing/>
        <w:jc w:val="both"/>
        <w:rPr>
          <w:rFonts w:ascii="Arial" w:eastAsia="Calibri" w:hAnsi="Arial" w:cs="Arial"/>
          <w:iCs/>
          <w:sz w:val="20"/>
          <w:szCs w:val="20"/>
          <w:lang w:val="es-ES" w:eastAsia="es-ES_tradnl"/>
        </w:rPr>
      </w:pPr>
      <w:r w:rsidRPr="002D7BEE">
        <w:rPr>
          <w:rFonts w:ascii="Arial" w:eastAsia="Calibri" w:hAnsi="Arial" w:cs="Arial"/>
          <w:sz w:val="20"/>
          <w:szCs w:val="20"/>
          <w:lang w:val="es-ES_tradn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 contractuales que expidan en los procesos de régimen especial que adelanten. 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2D7BEE">
        <w:rPr>
          <w:rFonts w:ascii="Arial" w:eastAsia="Calibri" w:hAnsi="Arial" w:cs="Arial"/>
          <w:iCs/>
          <w:sz w:val="20"/>
          <w:szCs w:val="20"/>
          <w:lang w:val="es-ES" w:eastAsia="es-ES_tradnl"/>
        </w:rPr>
        <w:t>Esto significa que, dado que la disposición materia de estudio no definió la obligatoriedad sobre el uso transaccional del SECOP II para las entidades exceptuadas, estas podrán usarla de forma transaccional o publicitaria.</w:t>
      </w:r>
    </w:p>
    <w:p w14:paraId="421E6FAF" w14:textId="77777777" w:rsidR="005F2213" w:rsidRPr="002D7BEE" w:rsidRDefault="005F2213" w:rsidP="005F2213">
      <w:pPr>
        <w:contextualSpacing/>
        <w:jc w:val="both"/>
        <w:rPr>
          <w:rFonts w:ascii="Arial" w:eastAsia="Calibri" w:hAnsi="Arial" w:cs="Arial"/>
          <w:sz w:val="20"/>
          <w:szCs w:val="20"/>
          <w:lang w:val="es-ES_tradnl"/>
        </w:rPr>
      </w:pPr>
    </w:p>
    <w:p w14:paraId="24AF516F" w14:textId="77777777" w:rsidR="005F2213" w:rsidRPr="002D7BEE" w:rsidRDefault="005F2213" w:rsidP="005F2213">
      <w:pPr>
        <w:contextualSpacing/>
        <w:jc w:val="both"/>
        <w:rPr>
          <w:rFonts w:ascii="Arial" w:eastAsia="Calibri" w:hAnsi="Arial" w:cs="Arial"/>
          <w:b/>
          <w:lang w:val="es-ES_tradnl"/>
        </w:rPr>
      </w:pPr>
      <w:r w:rsidRPr="002D7BEE">
        <w:rPr>
          <w:rFonts w:ascii="Arial" w:eastAsia="Calibri" w:hAnsi="Arial" w:cs="Arial"/>
          <w:b/>
          <w:lang w:val="es-ES_tradnl"/>
        </w:rPr>
        <w:t>SECOP II –</w:t>
      </w:r>
      <w:r w:rsidRPr="002D7BEE">
        <w:rPr>
          <w:rFonts w:ascii="Arial" w:hAnsi="Arial" w:cs="Arial"/>
          <w:b/>
          <w:bCs/>
          <w:iCs/>
          <w:lang w:val="es-ES_tradnl"/>
        </w:rPr>
        <w:t xml:space="preserve"> Deber de publicidad </w:t>
      </w:r>
      <w:r w:rsidRPr="002D7BEE">
        <w:rPr>
          <w:rFonts w:ascii="Arial" w:eastAsia="Calibri" w:hAnsi="Arial" w:cs="Arial"/>
          <w:b/>
          <w:lang w:val="es-ES_tradnl"/>
        </w:rPr>
        <w:t xml:space="preserve">– </w:t>
      </w:r>
      <w:r w:rsidRPr="002D7BEE">
        <w:rPr>
          <w:rFonts w:ascii="Arial" w:hAnsi="Arial" w:cs="Arial"/>
          <w:b/>
          <w:bCs/>
          <w:iCs/>
          <w:lang w:val="es-ES_tradnl"/>
        </w:rPr>
        <w:t xml:space="preserve">Entidades estatales exceptuadas del estatuto general de contratación de la administración pública </w:t>
      </w:r>
      <w:r w:rsidRPr="002D7BEE">
        <w:rPr>
          <w:rFonts w:ascii="Arial" w:eastAsia="Calibri" w:hAnsi="Arial" w:cs="Arial"/>
          <w:b/>
          <w:lang w:val="es-ES_tradnl"/>
        </w:rPr>
        <w:t xml:space="preserve">– Uso </w:t>
      </w:r>
      <w:bookmarkEnd w:id="1"/>
    </w:p>
    <w:p w14:paraId="74D3E663" w14:textId="77777777" w:rsidR="005F2213" w:rsidRPr="002D7BEE" w:rsidRDefault="005F2213" w:rsidP="005F2213">
      <w:pPr>
        <w:contextualSpacing/>
        <w:jc w:val="both"/>
        <w:rPr>
          <w:rFonts w:ascii="Arial" w:eastAsia="Calibri" w:hAnsi="Arial" w:cs="Arial"/>
          <w:b/>
          <w:sz w:val="20"/>
          <w:szCs w:val="20"/>
          <w:lang w:val="es-ES_tradnl"/>
        </w:rPr>
      </w:pPr>
    </w:p>
    <w:p w14:paraId="003A66B8" w14:textId="77777777" w:rsidR="005F2213" w:rsidRPr="002D7BEE" w:rsidRDefault="005F2213" w:rsidP="005F2213">
      <w:pPr>
        <w:contextualSpacing/>
        <w:jc w:val="both"/>
        <w:rPr>
          <w:rFonts w:ascii="Arial" w:eastAsia="Calibri" w:hAnsi="Arial" w:cs="Arial"/>
          <w:b/>
          <w:sz w:val="20"/>
          <w:szCs w:val="20"/>
          <w:lang w:val="es-ES_tradnl"/>
        </w:rPr>
      </w:pPr>
      <w:r w:rsidRPr="002D7BEE">
        <w:rPr>
          <w:rFonts w:ascii="Arial" w:eastAsia="Calibri" w:hAnsi="Arial" w:cs="Arial"/>
          <w:iCs/>
          <w:sz w:val="20"/>
          <w:szCs w:val="20"/>
          <w:lang w:val="es-ES" w:eastAsia="es-ES_tradnl"/>
        </w:rPr>
        <w:t xml:space="preserve">[…] </w:t>
      </w:r>
      <w:r w:rsidRPr="002D7BEE">
        <w:rPr>
          <w:rFonts w:ascii="Arial" w:hAnsi="Arial" w:cs="Arial"/>
          <w:sz w:val="20"/>
          <w:szCs w:val="20"/>
        </w:rPr>
        <w:t xml:space="preserve">Conforme a lo anterior, al estar exceptuadas del Estatuto General de Contratación de la Administración Pública la contratación de las instituciones educativas oficiales realizada por debajo de los veinte (20) salarios mínimos legales mensuales vigentes, es posible concluir que dichas instituciones se encuentran dentro del ámbito 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2D7BEE">
        <w:rPr>
          <w:rFonts w:ascii="Arial" w:eastAsia="Times New Roman" w:hAnsi="Arial" w:cs="Arial"/>
          <w:i/>
          <w:iCs/>
          <w:sz w:val="20"/>
          <w:szCs w:val="20"/>
          <w:lang w:eastAsia="es-ES"/>
        </w:rPr>
        <w:t>Contratación Régimen Especial (con ofertas) o Contratación Régimen Especial (sin ofertas)</w:t>
      </w:r>
      <w:r w:rsidRPr="002D7BEE">
        <w:rPr>
          <w:rFonts w:ascii="Arial" w:eastAsia="Times New Roman" w:hAnsi="Arial" w:cs="Arial"/>
          <w:sz w:val="20"/>
          <w:szCs w:val="20"/>
          <w:lang w:eastAsia="es-ES"/>
        </w:rPr>
        <w:t>, a través de los cuales podrán publicar los documentos que deban expedir en el marco de la misma, según las formalidades determinadas por el respectivo consejo directivo.</w:t>
      </w:r>
    </w:p>
    <w:bookmarkEnd w:id="2"/>
    <w:p w14:paraId="6DC49099" w14:textId="77777777" w:rsidR="006402E8" w:rsidRDefault="005F2213" w:rsidP="006402E8">
      <w:pPr>
        <w:rPr>
          <w:rFonts w:ascii="Geomanist Light" w:eastAsia="Times New Roman" w:hAnsi="Geomanist Light" w:cs="Arial"/>
          <w:b/>
          <w:bCs/>
          <w:lang w:val="es-MX" w:eastAsia="es-CO"/>
        </w:rPr>
      </w:pPr>
      <w:r>
        <w:rPr>
          <w:rFonts w:ascii="Arial" w:hAnsi="Arial" w:cs="Arial"/>
          <w:lang w:val="es-MX"/>
          <w14:ligatures w14:val="standardContextual"/>
        </w:rPr>
        <w:br w:type="page"/>
      </w:r>
    </w:p>
    <w:p w14:paraId="28EC1DA4" w14:textId="2F27F819" w:rsidR="006402E8" w:rsidRPr="00916AD3" w:rsidRDefault="006402E8" w:rsidP="006402E8">
      <w:pPr>
        <w:rPr>
          <w:rFonts w:ascii="Geomanist Light" w:eastAsia="Geomanist Light" w:hAnsi="Geomanist Light" w:cs="Geomanist Light"/>
          <w:color w:val="201F1E"/>
          <w:lang w:val="es-MX"/>
        </w:rPr>
      </w:pPr>
      <w:r w:rsidRPr="6B8BD3AC">
        <w:rPr>
          <w:rFonts w:ascii="Geomanist Light" w:eastAsia="Geomanist Light" w:hAnsi="Geomanist Light" w:cs="Geomanist Light"/>
          <w:color w:val="000000" w:themeColor="text1"/>
          <w:lang w:val="es-MX"/>
        </w:rPr>
        <w:lastRenderedPageBreak/>
        <w:t>Bogotá D.C., </w:t>
      </w:r>
      <w:r w:rsidR="00A65946">
        <w:rPr>
          <w:rFonts w:ascii="Geomanist Light" w:eastAsia="Geomanist Light" w:hAnsi="Geomanist Light" w:cs="Geomanist Light"/>
          <w:color w:val="201F1E"/>
          <w:lang w:val="es-MX"/>
        </w:rPr>
        <w:t>18 de mayo de 2023</w:t>
      </w:r>
    </w:p>
    <w:p w14:paraId="0539F153" w14:textId="77777777" w:rsidR="006402E8" w:rsidRPr="00916AD3" w:rsidRDefault="006402E8" w:rsidP="006402E8">
      <w:pPr>
        <w:spacing w:after="0" w:line="240" w:lineRule="auto"/>
        <w:jc w:val="right"/>
        <w:rPr>
          <w:rFonts w:ascii="Arial" w:eastAsia="ArialMT" w:hAnsi="Arial" w:cs="Arial"/>
          <w:lang w:val="es-MX"/>
          <w14:ligatures w14:val="standardContextual"/>
        </w:rPr>
      </w:pPr>
    </w:p>
    <w:p w14:paraId="6164E552" w14:textId="3947D8A0" w:rsidR="006402E8" w:rsidRPr="007B29AC" w:rsidRDefault="00A65946" w:rsidP="00A65946">
      <w:pPr>
        <w:spacing w:after="0" w:line="240" w:lineRule="auto"/>
        <w:jc w:val="right"/>
        <w:rPr>
          <w:rFonts w:ascii="Arial" w:eastAsia="ArialMT" w:hAnsi="Arial" w:cs="Arial"/>
          <w14:ligatures w14:val="standardContextual"/>
        </w:rPr>
      </w:pPr>
      <w:r w:rsidRPr="00A65946">
        <w:rPr>
          <w:rFonts w:ascii="Arial" w:eastAsia="ArialMT" w:hAnsi="Arial" w:cs="Arial"/>
          <w14:ligatures w14:val="standardContextual"/>
        </w:rPr>
        <w:drawing>
          <wp:inline distT="0" distB="0" distL="0" distR="0" wp14:anchorId="524E4D00" wp14:editId="20ECDC82">
            <wp:extent cx="2210108" cy="6668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0108" cy="666843"/>
                    </a:xfrm>
                    <a:prstGeom prst="rect">
                      <a:avLst/>
                    </a:prstGeom>
                  </pic:spPr>
                </pic:pic>
              </a:graphicData>
            </a:graphic>
          </wp:inline>
        </w:drawing>
      </w:r>
    </w:p>
    <w:p w14:paraId="76BE55E6" w14:textId="77777777" w:rsidR="006402E8" w:rsidRPr="007B29AC" w:rsidRDefault="006402E8" w:rsidP="006402E8">
      <w:pPr>
        <w:spacing w:after="0" w:line="240" w:lineRule="auto"/>
        <w:rPr>
          <w:rFonts w:ascii="Arial" w:eastAsia="Calibri" w:hAnsi="Arial" w:cs="Arial"/>
          <w:lang w:val="es-MX"/>
          <w14:ligatures w14:val="standardContextual"/>
        </w:rPr>
      </w:pPr>
      <w:r w:rsidRPr="007B29AC">
        <w:rPr>
          <w:rFonts w:ascii="Arial" w:eastAsia="Calibri" w:hAnsi="Arial" w:cs="Arial"/>
          <w:lang w:val="es-MX"/>
          <w14:ligatures w14:val="standardContextual"/>
        </w:rPr>
        <w:t>Señor</w:t>
      </w:r>
      <w:r>
        <w:rPr>
          <w:rFonts w:ascii="Arial" w:eastAsia="Calibri" w:hAnsi="Arial" w:cs="Arial"/>
          <w:lang w:val="es-MX"/>
          <w14:ligatures w14:val="standardContextual"/>
        </w:rPr>
        <w:t>a</w:t>
      </w:r>
    </w:p>
    <w:p w14:paraId="7EF253F5" w14:textId="77777777" w:rsidR="006402E8" w:rsidRPr="007B29AC" w:rsidRDefault="006402E8" w:rsidP="006402E8">
      <w:pPr>
        <w:spacing w:after="0" w:line="240" w:lineRule="auto"/>
        <w:rPr>
          <w:rFonts w:ascii="Arial" w:eastAsia="Calibri" w:hAnsi="Arial" w:cs="Arial"/>
          <w:lang w:val="es-MX"/>
        </w:rPr>
      </w:pPr>
      <w:r>
        <w:rPr>
          <w:rFonts w:ascii="Arial" w:hAnsi="Arial" w:cs="Arial"/>
          <w:b/>
          <w:bCs/>
          <w:lang w:val="es-MX"/>
          <w14:ligatures w14:val="standardContextual"/>
        </w:rPr>
        <w:t xml:space="preserve">Eliana Clavijo Herrán </w:t>
      </w:r>
    </w:p>
    <w:p w14:paraId="318BE480" w14:textId="77777777" w:rsidR="006402E8" w:rsidRPr="007B29AC" w:rsidRDefault="006402E8" w:rsidP="006402E8">
      <w:pPr>
        <w:spacing w:after="0" w:line="240" w:lineRule="auto"/>
        <w:rPr>
          <w:rFonts w:ascii="Arial" w:eastAsia="Calibri" w:hAnsi="Arial" w:cs="Arial"/>
          <w:lang w:val="es-MX"/>
          <w14:ligatures w14:val="standardContextual"/>
        </w:rPr>
      </w:pPr>
      <w:r>
        <w:rPr>
          <w:rFonts w:ascii="Arial" w:hAnsi="Arial" w:cs="Arial"/>
          <w:lang w:val="es-MX"/>
          <w14:ligatures w14:val="standardContextual"/>
        </w:rPr>
        <w:t>Villavicencio, Meta</w:t>
      </w:r>
    </w:p>
    <w:p w14:paraId="5EC9DE23" w14:textId="77777777" w:rsidR="006402E8" w:rsidRPr="007B29AC" w:rsidRDefault="006402E8" w:rsidP="006402E8">
      <w:pPr>
        <w:spacing w:after="0" w:line="240" w:lineRule="auto"/>
        <w:rPr>
          <w:rFonts w:ascii="Arial" w:eastAsia="Calibri" w:hAnsi="Arial" w:cs="Arial"/>
          <w:lang w:val="es-MX"/>
          <w14:ligatures w14:val="standardContextual"/>
        </w:rPr>
      </w:pPr>
    </w:p>
    <w:p w14:paraId="015BC42D" w14:textId="77777777" w:rsidR="006402E8" w:rsidRPr="007B29AC" w:rsidRDefault="006402E8" w:rsidP="006402E8">
      <w:pPr>
        <w:spacing w:after="0" w:line="240" w:lineRule="auto"/>
        <w:rPr>
          <w:rFonts w:ascii="Arial" w:eastAsia="Calibri" w:hAnsi="Arial" w:cs="Arial"/>
          <w:lang w:val="es-MX"/>
          <w14:ligatures w14:val="standardContextual"/>
        </w:rPr>
      </w:pPr>
    </w:p>
    <w:p w14:paraId="3881B58F" w14:textId="77777777" w:rsidR="006402E8" w:rsidRPr="007B29AC" w:rsidRDefault="006402E8" w:rsidP="006402E8">
      <w:pPr>
        <w:tabs>
          <w:tab w:val="center" w:pos="4419"/>
          <w:tab w:val="left" w:pos="6345"/>
        </w:tabs>
        <w:spacing w:after="0" w:line="240" w:lineRule="auto"/>
        <w:contextualSpacing/>
        <w:rPr>
          <w:rFonts w:ascii="Arial" w:eastAsia="Calibri" w:hAnsi="Arial" w:cs="Arial"/>
          <w:b/>
          <w:lang w:val="es-MX"/>
          <w14:ligatures w14:val="standardContextual"/>
        </w:rPr>
      </w:pPr>
      <w:r w:rsidRPr="007B29AC">
        <w:rPr>
          <w:rFonts w:ascii="Arial" w:eastAsia="Calibri" w:hAnsi="Arial" w:cs="Arial"/>
          <w:b/>
          <w:lang w:val="es-MX"/>
          <w14:ligatures w14:val="standardContextual"/>
        </w:rPr>
        <w:t xml:space="preserve">                          </w:t>
      </w:r>
      <w:r>
        <w:rPr>
          <w:rFonts w:ascii="Arial" w:eastAsia="Calibri" w:hAnsi="Arial" w:cs="Arial"/>
          <w:b/>
          <w:lang w:val="es-MX"/>
          <w14:ligatures w14:val="standardContextual"/>
        </w:rPr>
        <w:t xml:space="preserve">                  Concepto C–130</w:t>
      </w:r>
      <w:r w:rsidRPr="007B29AC">
        <w:rPr>
          <w:rFonts w:ascii="Arial" w:eastAsia="Calibri" w:hAnsi="Arial" w:cs="Arial"/>
          <w:b/>
          <w:lang w:val="es-MX"/>
          <w14:ligatures w14:val="standardContextual"/>
        </w:rPr>
        <w:t xml:space="preserve"> de 2023 </w:t>
      </w:r>
      <w:r w:rsidRPr="007B29AC">
        <w:rPr>
          <w:rFonts w:ascii="Arial" w:eastAsia="Calibri" w:hAnsi="Arial" w:cs="Arial"/>
          <w:b/>
          <w:lang w:val="es-MX"/>
          <w14:ligatures w14:val="standardContextual"/>
        </w:rPr>
        <w:tab/>
      </w:r>
    </w:p>
    <w:p w14:paraId="631F062A" w14:textId="77777777" w:rsidR="006402E8" w:rsidRPr="007B29AC" w:rsidRDefault="006402E8" w:rsidP="006402E8">
      <w:pPr>
        <w:tabs>
          <w:tab w:val="center" w:pos="4419"/>
          <w:tab w:val="left" w:pos="6345"/>
        </w:tabs>
        <w:spacing w:after="0" w:line="240" w:lineRule="auto"/>
        <w:contextualSpacing/>
        <w:rPr>
          <w:rFonts w:ascii="Arial" w:eastAsia="Calibri" w:hAnsi="Arial" w:cs="Arial"/>
          <w:b/>
          <w:lang w:val="es-MX"/>
          <w14:ligatures w14:val="standardContextua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402E8" w:rsidRPr="007B29AC" w14:paraId="3EFD0D3F" w14:textId="77777777" w:rsidTr="008B43B1">
        <w:tc>
          <w:tcPr>
            <w:tcW w:w="2689" w:type="dxa"/>
            <w:hideMark/>
          </w:tcPr>
          <w:p w14:paraId="383C6F0C" w14:textId="77777777" w:rsidR="006402E8" w:rsidRPr="007B29AC" w:rsidRDefault="006402E8" w:rsidP="008B43B1">
            <w:pPr>
              <w:contextualSpacing/>
              <w:jc w:val="both"/>
              <w:rPr>
                <w:rFonts w:ascii="Arial" w:eastAsia="Calibri" w:hAnsi="Arial" w:cs="Arial"/>
                <w:b/>
                <w:lang w:val="es-ES_tradnl" w:eastAsia="es-ES_tradnl"/>
              </w:rPr>
            </w:pPr>
            <w:r w:rsidRPr="007B29AC">
              <w:rPr>
                <w:rFonts w:ascii="Arial" w:eastAsia="Calibri" w:hAnsi="Arial" w:cs="Arial"/>
                <w:b/>
                <w:lang w:val="es-ES_tradnl" w:eastAsia="es-ES_tradnl"/>
              </w:rPr>
              <w:t xml:space="preserve">Temas: </w:t>
            </w:r>
          </w:p>
        </w:tc>
        <w:tc>
          <w:tcPr>
            <w:tcW w:w="6237" w:type="dxa"/>
            <w:hideMark/>
          </w:tcPr>
          <w:p w14:paraId="017CE785" w14:textId="77777777" w:rsidR="006402E8" w:rsidRPr="007B29AC" w:rsidRDefault="006402E8" w:rsidP="008B43B1">
            <w:pPr>
              <w:tabs>
                <w:tab w:val="left" w:pos="426"/>
              </w:tabs>
              <w:contextualSpacing/>
              <w:jc w:val="both"/>
              <w:rPr>
                <w:rFonts w:ascii="Arial" w:eastAsia="Calibri" w:hAnsi="Arial" w:cs="Arial"/>
                <w:bCs/>
                <w:lang w:val="es-ES_tradnl"/>
              </w:rPr>
            </w:pPr>
            <w:r w:rsidRPr="007B29AC">
              <w:rPr>
                <w:rFonts w:ascii="Arial" w:eastAsia="Calibri" w:hAnsi="Arial" w:cs="Arial"/>
                <w:bCs/>
              </w:rPr>
              <w:t xml:space="preserve">INSTITUCIONES EDUCATIVAS OFICIALES – Naturaleza jurídica – Capacidad para contratar / </w:t>
            </w:r>
            <w:r w:rsidRPr="007B29AC">
              <w:rPr>
                <w:rFonts w:ascii="Arial" w:hAnsi="Arial" w:cs="Arial"/>
                <w:bCs/>
              </w:rPr>
              <w:t xml:space="preserve">INSTITUCIONES EDUCATIVAS OFICIALES – Contratación – Umbral – Veinte salarios mínimos legales mensuales vigentes / </w:t>
            </w:r>
            <w:r w:rsidRPr="007B29AC">
              <w:rPr>
                <w:rFonts w:ascii="Arial" w:hAnsi="Arial" w:cs="Arial"/>
                <w:bCs/>
                <w:iCs/>
                <w:lang w:val="es-ES_tradnl"/>
              </w:rPr>
              <w:t xml:space="preserve">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 SECOP II </w:t>
            </w:r>
            <w:r w:rsidRPr="007B29AC">
              <w:rPr>
                <w:rFonts w:ascii="Arial" w:eastAsia="Calibri" w:hAnsi="Arial" w:cs="Arial"/>
                <w:bCs/>
                <w:lang w:val="es-ES_tradnl"/>
              </w:rPr>
              <w:t>–</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 Modificación artículo 53 de la Ley 2195 de 2022 / </w:t>
            </w:r>
            <w:r w:rsidRPr="007B29AC">
              <w:rPr>
                <w:rFonts w:ascii="Arial" w:eastAsia="Calibri" w:hAnsi="Arial" w:cs="Arial"/>
                <w:bCs/>
                <w:lang w:val="es-ES_tradnl"/>
              </w:rPr>
              <w:t>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w:t>
            </w:r>
            <w:r w:rsidRPr="007B29AC">
              <w:rPr>
                <w:rFonts w:ascii="Arial" w:eastAsia="Calibri" w:hAnsi="Arial" w:cs="Arial"/>
                <w:bCs/>
                <w:lang w:val="es-ES_tradnl"/>
              </w:rPr>
              <w:t>–</w:t>
            </w:r>
            <w:r w:rsidRPr="007B29AC">
              <w:rPr>
                <w:rFonts w:ascii="Arial" w:hAnsi="Arial" w:cs="Arial"/>
                <w:bCs/>
                <w:iCs/>
                <w:lang w:val="es-ES_tradnl"/>
              </w:rPr>
              <w:t xml:space="preserve"> </w:t>
            </w:r>
            <w:r w:rsidRPr="007B29AC">
              <w:rPr>
                <w:rFonts w:ascii="Arial" w:eastAsia="Calibri" w:hAnsi="Arial" w:cs="Arial"/>
                <w:bCs/>
                <w:lang w:val="es-ES_tradnl"/>
              </w:rPr>
              <w:t>Vigencia / 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w:t>
            </w:r>
            <w:r w:rsidRPr="007B29AC">
              <w:rPr>
                <w:rFonts w:ascii="Arial" w:hAnsi="Arial" w:cs="Arial"/>
                <w:bCs/>
                <w:iCs/>
                <w:lang w:val="es-ES_tradnl"/>
              </w:rPr>
              <w:t xml:space="preserve"> Entidades estatales exceptuadas del estatuto general de contratación de la administración pública </w:t>
            </w:r>
            <w:r w:rsidRPr="007B29AC">
              <w:rPr>
                <w:rFonts w:ascii="Arial" w:eastAsia="Calibri" w:hAnsi="Arial" w:cs="Arial"/>
                <w:bCs/>
                <w:lang w:val="es-ES_tradnl"/>
              </w:rPr>
              <w:t>–</w:t>
            </w:r>
            <w:r w:rsidRPr="007B29AC">
              <w:rPr>
                <w:rFonts w:ascii="Arial" w:eastAsia="Calibri" w:hAnsi="Arial" w:cs="Arial"/>
                <w:bCs/>
                <w:lang w:val="es-ES_tradnl" w:eastAsia="es-ES_tradnl"/>
              </w:rPr>
              <w:t xml:space="preserve"> Instituciones educativas oficiales / </w:t>
            </w:r>
            <w:r w:rsidRPr="007B29AC">
              <w:rPr>
                <w:rFonts w:ascii="Arial" w:eastAsia="Calibri" w:hAnsi="Arial" w:cs="Arial"/>
                <w:bCs/>
                <w:lang w:val="es-ES_tradnl"/>
              </w:rPr>
              <w:t>SECOP II –</w:t>
            </w:r>
            <w:r w:rsidRPr="007B29AC">
              <w:rPr>
                <w:rFonts w:ascii="Arial" w:hAnsi="Arial" w:cs="Arial"/>
                <w:bCs/>
                <w:iCs/>
                <w:lang w:val="es-ES_tradnl"/>
              </w:rPr>
              <w:t xml:space="preserve"> Deber de publicidad </w:t>
            </w:r>
            <w:r w:rsidRPr="007B29AC">
              <w:rPr>
                <w:rFonts w:ascii="Arial" w:eastAsia="Calibri" w:hAnsi="Arial" w:cs="Arial"/>
                <w:bCs/>
                <w:lang w:val="es-ES_tradnl"/>
              </w:rPr>
              <w:t xml:space="preserve">– </w:t>
            </w:r>
            <w:r w:rsidRPr="007B29AC">
              <w:rPr>
                <w:rFonts w:ascii="Arial" w:hAnsi="Arial" w:cs="Arial"/>
                <w:bCs/>
                <w:iCs/>
                <w:lang w:val="es-ES_tradnl"/>
              </w:rPr>
              <w:t xml:space="preserve">Entidades estatales exceptuadas del estatuto general de contratación de la administración pública </w:t>
            </w:r>
            <w:r w:rsidRPr="007B29AC">
              <w:rPr>
                <w:rFonts w:ascii="Arial" w:eastAsia="Calibri" w:hAnsi="Arial" w:cs="Arial"/>
                <w:bCs/>
                <w:lang w:val="es-ES_tradnl"/>
              </w:rPr>
              <w:t xml:space="preserve">– Uso </w:t>
            </w:r>
          </w:p>
          <w:p w14:paraId="2FCA89B9" w14:textId="77777777" w:rsidR="006402E8" w:rsidRPr="007B29AC" w:rsidRDefault="006402E8" w:rsidP="008B43B1">
            <w:pPr>
              <w:widowControl w:val="0"/>
              <w:autoSpaceDE w:val="0"/>
              <w:autoSpaceDN w:val="0"/>
              <w:adjustRightInd w:val="0"/>
              <w:contextualSpacing/>
              <w:jc w:val="both"/>
              <w:rPr>
                <w:rFonts w:ascii="Arial" w:hAnsi="Arial" w:cs="Arial"/>
                <w:lang w:val="es-ES_tradnl"/>
              </w:rPr>
            </w:pPr>
          </w:p>
          <w:p w14:paraId="08123EBA" w14:textId="77777777" w:rsidR="006402E8" w:rsidRPr="007B29AC" w:rsidRDefault="006402E8" w:rsidP="008B43B1">
            <w:pPr>
              <w:widowControl w:val="0"/>
              <w:autoSpaceDE w:val="0"/>
              <w:autoSpaceDN w:val="0"/>
              <w:adjustRightInd w:val="0"/>
              <w:contextualSpacing/>
              <w:jc w:val="both"/>
              <w:rPr>
                <w:rFonts w:ascii="Arial" w:hAnsi="Arial" w:cs="Arial"/>
                <w:lang w:val="es-ES_tradnl"/>
              </w:rPr>
            </w:pPr>
          </w:p>
        </w:tc>
      </w:tr>
      <w:tr w:rsidR="006402E8" w:rsidRPr="007B29AC" w14:paraId="3A2230D6" w14:textId="77777777" w:rsidTr="008B43B1">
        <w:tc>
          <w:tcPr>
            <w:tcW w:w="2689" w:type="dxa"/>
          </w:tcPr>
          <w:p w14:paraId="0CF1F767" w14:textId="77777777" w:rsidR="006402E8" w:rsidRPr="007B29AC" w:rsidRDefault="006402E8" w:rsidP="008B43B1">
            <w:pPr>
              <w:contextualSpacing/>
              <w:jc w:val="both"/>
              <w:rPr>
                <w:rFonts w:ascii="Arial" w:eastAsia="Calibri" w:hAnsi="Arial" w:cs="Arial"/>
                <w:b/>
                <w:lang w:val="es-ES_tradnl" w:eastAsia="es-ES_tradnl"/>
              </w:rPr>
            </w:pPr>
            <w:r w:rsidRPr="007B29AC">
              <w:rPr>
                <w:rFonts w:ascii="Arial" w:eastAsia="Calibri" w:hAnsi="Arial" w:cs="Arial"/>
                <w:b/>
                <w:lang w:val="es-ES_tradnl" w:eastAsia="es-ES_tradnl"/>
              </w:rPr>
              <w:t>Radicación:</w:t>
            </w:r>
          </w:p>
        </w:tc>
        <w:tc>
          <w:tcPr>
            <w:tcW w:w="6237" w:type="dxa"/>
          </w:tcPr>
          <w:p w14:paraId="39ACED8E" w14:textId="77777777" w:rsidR="006402E8" w:rsidRPr="007B29AC" w:rsidRDefault="006402E8" w:rsidP="008B43B1">
            <w:pPr>
              <w:widowControl w:val="0"/>
              <w:autoSpaceDE w:val="0"/>
              <w:autoSpaceDN w:val="0"/>
              <w:adjustRightInd w:val="0"/>
              <w:contextualSpacing/>
              <w:jc w:val="both"/>
              <w:rPr>
                <w:rFonts w:ascii="Arial" w:hAnsi="Arial" w:cs="Arial"/>
                <w:lang w:val="es-ES_tradnl"/>
              </w:rPr>
            </w:pPr>
            <w:r w:rsidRPr="007B29AC">
              <w:rPr>
                <w:rFonts w:ascii="Arial" w:hAnsi="Arial" w:cs="Arial"/>
                <w:lang w:val="es-ES_tradnl"/>
              </w:rPr>
              <w:t>Respuesta a la consulta</w:t>
            </w:r>
            <w:r w:rsidRPr="00610078">
              <w:rPr>
                <w:rFonts w:ascii="Arial" w:hAnsi="Arial" w:cs="Arial"/>
                <w:lang w:val="es-ES_tradnl"/>
              </w:rPr>
              <w:t> P20230403003038</w:t>
            </w:r>
          </w:p>
        </w:tc>
      </w:tr>
    </w:tbl>
    <w:p w14:paraId="4CB849D3" w14:textId="77777777" w:rsidR="006402E8" w:rsidRPr="007B29AC" w:rsidRDefault="006402E8" w:rsidP="006402E8">
      <w:pPr>
        <w:tabs>
          <w:tab w:val="center" w:pos="4419"/>
          <w:tab w:val="left" w:pos="6345"/>
        </w:tabs>
        <w:spacing w:after="0" w:line="276" w:lineRule="auto"/>
        <w:rPr>
          <w:rFonts w:ascii="Arial" w:eastAsia="Calibri" w:hAnsi="Arial" w:cs="Arial"/>
          <w:b/>
          <w:lang w:val="es-MX"/>
          <w14:ligatures w14:val="standardContextual"/>
        </w:rPr>
      </w:pPr>
    </w:p>
    <w:p w14:paraId="54F4F373" w14:textId="77777777" w:rsidR="006402E8" w:rsidRPr="007B29AC" w:rsidRDefault="006402E8" w:rsidP="006402E8">
      <w:pPr>
        <w:spacing w:after="0" w:line="276" w:lineRule="auto"/>
        <w:rPr>
          <w:rFonts w:ascii="Arial" w:eastAsia="Calibri" w:hAnsi="Arial" w:cs="Arial"/>
          <w:lang w:val="es-MX"/>
          <w14:ligatures w14:val="standardContextual"/>
        </w:rPr>
      </w:pPr>
    </w:p>
    <w:p w14:paraId="542C6DC6" w14:textId="77777777" w:rsidR="006402E8" w:rsidRPr="007B29AC" w:rsidRDefault="006402E8" w:rsidP="006402E8">
      <w:pPr>
        <w:spacing w:after="0" w:line="276" w:lineRule="auto"/>
        <w:rPr>
          <w:rFonts w:ascii="Arial" w:eastAsia="Calibri" w:hAnsi="Arial" w:cs="Arial"/>
          <w:lang w:val="es-MX"/>
          <w14:ligatures w14:val="standardContextual"/>
        </w:rPr>
      </w:pPr>
      <w:r w:rsidRPr="007B29AC">
        <w:rPr>
          <w:rFonts w:ascii="Arial" w:eastAsia="Calibri" w:hAnsi="Arial" w:cs="Arial"/>
          <w:lang w:val="es-MX"/>
          <w14:ligatures w14:val="standardContextual"/>
        </w:rPr>
        <w:t xml:space="preserve">Estimado </w:t>
      </w:r>
      <w:r>
        <w:rPr>
          <w:rFonts w:ascii="Arial" w:eastAsia="Calibri" w:hAnsi="Arial" w:cs="Arial"/>
          <w:lang w:val="es-MX"/>
          <w14:ligatures w14:val="standardContextual"/>
        </w:rPr>
        <w:t xml:space="preserve">señora Clavijo: </w:t>
      </w:r>
    </w:p>
    <w:p w14:paraId="477C2D74" w14:textId="77777777" w:rsidR="006402E8" w:rsidRPr="007B29AC" w:rsidRDefault="006402E8" w:rsidP="006402E8">
      <w:pPr>
        <w:spacing w:after="0" w:line="276" w:lineRule="auto"/>
        <w:rPr>
          <w:rFonts w:ascii="Arial" w:eastAsia="Calibri" w:hAnsi="Arial" w:cs="Arial"/>
          <w:lang w:val="es-MX"/>
          <w14:ligatures w14:val="standardContextual"/>
        </w:rPr>
      </w:pPr>
    </w:p>
    <w:p w14:paraId="01E8A3E5" w14:textId="77777777" w:rsidR="006402E8" w:rsidRPr="007B29AC" w:rsidRDefault="006402E8" w:rsidP="006402E8">
      <w:pPr>
        <w:spacing w:after="0" w:line="276" w:lineRule="auto"/>
        <w:ind w:right="51"/>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t xml:space="preserve">En ejercicio de la competencia otorgada por el numeral 8° del artículo 11 y el numeral 5° del artículo 3 del Decreto Ley 4170 de 2011, la Agencia Nacional de Contratación Pública – Colombia Compra Eficiente responde las consultas realizadas el 3 </w:t>
      </w:r>
      <w:r>
        <w:rPr>
          <w:rFonts w:ascii="Arial" w:eastAsia="Calibri" w:hAnsi="Arial" w:cs="Arial"/>
          <w:lang w:val="es-ES_tradnl"/>
          <w14:ligatures w14:val="standardContextual"/>
        </w:rPr>
        <w:t xml:space="preserve">de abril de 2023. </w:t>
      </w:r>
    </w:p>
    <w:p w14:paraId="54E4391E" w14:textId="77777777" w:rsidR="006402E8" w:rsidRPr="007B29AC" w:rsidRDefault="006402E8" w:rsidP="006402E8">
      <w:pPr>
        <w:tabs>
          <w:tab w:val="left" w:pos="284"/>
        </w:tabs>
        <w:spacing w:after="0" w:line="276" w:lineRule="auto"/>
        <w:jc w:val="both"/>
        <w:rPr>
          <w:rFonts w:ascii="Arial" w:eastAsia="Calibri" w:hAnsi="Arial" w:cs="Arial"/>
          <w:b/>
          <w:lang w:val="es-MX"/>
          <w14:ligatures w14:val="standardContextual"/>
        </w:rPr>
      </w:pPr>
    </w:p>
    <w:p w14:paraId="52702531" w14:textId="77777777" w:rsidR="006402E8" w:rsidRPr="007B29AC" w:rsidRDefault="006402E8" w:rsidP="006402E8">
      <w:pPr>
        <w:tabs>
          <w:tab w:val="left" w:pos="284"/>
        </w:tabs>
        <w:spacing w:after="0" w:line="276" w:lineRule="auto"/>
        <w:jc w:val="both"/>
        <w:rPr>
          <w:rFonts w:ascii="Arial" w:eastAsia="Calibri" w:hAnsi="Arial" w:cs="Arial"/>
          <w:b/>
          <w:lang w:val="es-MX"/>
          <w14:ligatures w14:val="standardContextual"/>
        </w:rPr>
      </w:pPr>
      <w:r w:rsidRPr="007B29AC">
        <w:rPr>
          <w:rFonts w:ascii="Arial" w:eastAsia="Calibri" w:hAnsi="Arial" w:cs="Arial"/>
          <w:b/>
          <w:lang w:val="es-MX"/>
          <w14:ligatures w14:val="standardContextual"/>
        </w:rPr>
        <w:t xml:space="preserve">1. Problemas planteados </w:t>
      </w:r>
    </w:p>
    <w:p w14:paraId="334FABDB" w14:textId="77777777" w:rsidR="006402E8" w:rsidRPr="007B29AC" w:rsidRDefault="006402E8" w:rsidP="006402E8">
      <w:pPr>
        <w:tabs>
          <w:tab w:val="left" w:pos="284"/>
        </w:tabs>
        <w:spacing w:after="0" w:line="276" w:lineRule="auto"/>
        <w:jc w:val="both"/>
        <w:rPr>
          <w:rFonts w:ascii="Arial" w:eastAsia="Calibri" w:hAnsi="Arial" w:cs="Arial"/>
          <w:b/>
          <w:lang w:val="es-MX"/>
          <w14:ligatures w14:val="standardContextual"/>
        </w:rPr>
      </w:pPr>
    </w:p>
    <w:p w14:paraId="1280CF59" w14:textId="77777777" w:rsidR="006402E8" w:rsidRPr="007B29AC" w:rsidRDefault="006402E8" w:rsidP="006402E8">
      <w:pPr>
        <w:spacing w:after="0" w:line="276" w:lineRule="auto"/>
        <w:contextualSpacing/>
        <w:jc w:val="both"/>
        <w:rPr>
          <w:rFonts w:ascii="Arial" w:hAnsi="Arial" w:cs="Arial"/>
          <w:lang w:val="es-ES_tradnl"/>
          <w14:ligatures w14:val="standardContextual"/>
        </w:rPr>
      </w:pPr>
      <w:r w:rsidRPr="007B29AC">
        <w:rPr>
          <w:rFonts w:ascii="Arial" w:hAnsi="Arial" w:cs="Arial"/>
          <w:lang w:val="es-ES_tradnl"/>
          <w14:ligatures w14:val="standardContextual"/>
        </w:rPr>
        <w:lastRenderedPageBreak/>
        <w:t>Usted formula la siguiente consulta en relación con la aplicación del artículo 53 de la Ley 2195 de 2022 por parte de las instituciones educativas oficiales:</w:t>
      </w:r>
    </w:p>
    <w:p w14:paraId="729F3430" w14:textId="77777777" w:rsidR="006402E8" w:rsidRPr="007B29AC" w:rsidRDefault="006402E8" w:rsidP="006402E8">
      <w:pPr>
        <w:autoSpaceDE w:val="0"/>
        <w:autoSpaceDN w:val="0"/>
        <w:adjustRightInd w:val="0"/>
        <w:spacing w:after="0" w:line="276" w:lineRule="auto"/>
        <w:contextualSpacing/>
        <w:jc w:val="both"/>
        <w:rPr>
          <w:rFonts w:ascii="Arial" w:eastAsia="Calibri" w:hAnsi="Arial" w:cs="Arial"/>
          <w:bCs/>
          <w:highlight w:val="yellow"/>
          <w:lang w:val="es-ES_tradnl"/>
          <w14:ligatures w14:val="standardContextual"/>
        </w:rPr>
      </w:pPr>
    </w:p>
    <w:p w14:paraId="60A211BE"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lang w:val="es-MX"/>
          <w14:ligatures w14:val="standardContextual"/>
        </w:rPr>
        <w:t>“</w:t>
      </w:r>
      <w:r>
        <w:rPr>
          <w:rFonts w:ascii="Arial" w:hAnsi="Arial" w:cs="Arial"/>
          <w:sz w:val="21"/>
          <w:szCs w:val="21"/>
          <w:lang w:val="es-MX"/>
          <w14:ligatures w14:val="standardContextual"/>
        </w:rPr>
        <w:t>[…]</w:t>
      </w:r>
      <w:r w:rsidRPr="00610078">
        <w:rPr>
          <w:rFonts w:ascii="Arial" w:hAnsi="Arial" w:cs="Arial"/>
          <w:sz w:val="21"/>
          <w:szCs w:val="21"/>
        </w:rPr>
        <w:t xml:space="preserve">1. ¿Sí las instituciones educativas distritales cuando se encuentra en su régimen especial y hacen uso de la herramienta publicitaria SECOPII y han de publicar su convocatoria o invitación también tendrá en cuenta los 3 días siguientes  posterior a su expedición para su publicación, HACIENDO CASO OMISO A EL CRONOGRAMA DE SU CONVOCATORIA O INVITACION, es decir, que no respetaran los términos en tiempo real de su cronograma de su invitación o proceso en curso de selección? ¿No afectaría la conclusión anterior esto principios como el de transparencia, publicidad, libre concurrencia, debido proceso, que debo garantizar a los interesados o futuros oferentes si no publico conforme a mi cronograma si no 3 días después a la expedición? ¿si en el SECOPI cuando las entidades de ley 80 la utilizaban siendo plataforma meramente publicitaria respetaba los términos en tiempo real del cronograma porque en esta plataforma del SECOPII cuando es publicitaria no se respetan estos términos en el régimen especial? ¿Por qué solo se respeta el tiempo real del cronograma cuando el proceso es transaccional y porque no se respeta estos los termino oportunos o reales si es publicitario el uso de la plataforma del SECOPII pese que hay un cronograma igual en físico y el Decreto 1082 de 2015 en su artículo </w:t>
      </w:r>
    </w:p>
    <w:p w14:paraId="448F8D0D"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 xml:space="preserve"> 2.2.1.1.1.7.1. no diferencia entre plataformas si no que deja la claridad q si es una convocatoria o invitación se respetaran esos términos oportunos del cronograma del proceso de selección? </w:t>
      </w:r>
    </w:p>
    <w:p w14:paraId="5222FC32"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2. ¿Qué pasaría cuando un ente de control revise esta diferencia que podemos acudir al concepto de la publicación de los documentos 3 días a su expedición sin respetar el cronograma de invitación o convocatoria cuando usemos la herramienta de SECOPII como publicitaria pero cuando es transaccional respetamos el cronograma?</w:t>
      </w:r>
    </w:p>
    <w:p w14:paraId="2331E727"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De acuerdo a lo anterior bajos las interpretaciones de la norma allí determinada en el concepto de CCE no es viable que se realice esta conclusión de Colombia compra eficiente de dividir la oportunidad de la publicación de los procesos de selección que cuando se use la herramienta publicitaria será los 3 días después a su expedición, pero cuando sea transaccional también serán los 3 días después a su expedición sin perjuicio de respetar el tiempo real de la publicación del cronograma o carta de invitación.</w:t>
      </w:r>
    </w:p>
    <w:p w14:paraId="4C7D869A"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Pedimos que sea analizada esta respuesta y que se tenga en cuenta así, bajo el respeto de los principios y el ojo de los entes de control, como lo interesados y futuros oferentes que pelearan al colegio porque no se publicó la invitación en los términos oportunos del cronograma sino 3 días después, quedando así:</w:t>
      </w:r>
    </w:p>
    <w:p w14:paraId="06A1AE12"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iCs/>
          <w:sz w:val="21"/>
          <w:szCs w:val="21"/>
        </w:rPr>
        <w:t xml:space="preserve">De conformidad con lo expuesto se concluye que el término que tienen las entidades estatales que por disposición legal cuenten con un régimen contractual excepcional al del Estatuto General de Contratación de la Administración Pública para publicar en el SECOP II es de tres (3) días posterior a su expedición. Lo anterior, sin perjuicio de que dichas entidades en el uso de la plataforma de SECOPII de manera publicitario o transaccional, caso en el cual la publicación de los documentos deberá hacerse en </w:t>
      </w:r>
      <w:r w:rsidRPr="00610078">
        <w:rPr>
          <w:rFonts w:ascii="Arial" w:hAnsi="Arial" w:cs="Arial"/>
          <w:iCs/>
          <w:sz w:val="21"/>
          <w:szCs w:val="21"/>
        </w:rPr>
        <w:lastRenderedPageBreak/>
        <w:t xml:space="preserve">tiempo real, de acuerdo al cronograma definido para el proceso de selección según invitación o convocatoria […]”. </w:t>
      </w:r>
    </w:p>
    <w:p w14:paraId="039FA024" w14:textId="77777777" w:rsidR="006402E8" w:rsidRPr="007B29AC" w:rsidRDefault="006402E8" w:rsidP="006402E8">
      <w:pPr>
        <w:spacing w:after="0" w:line="240" w:lineRule="auto"/>
        <w:ind w:left="709" w:right="709"/>
        <w:contextualSpacing/>
        <w:jc w:val="both"/>
        <w:rPr>
          <w:rFonts w:ascii="Arial" w:eastAsia="Calibri" w:hAnsi="Arial" w:cs="Arial"/>
          <w:bCs/>
          <w14:ligatures w14:val="standardContextual"/>
        </w:rPr>
      </w:pPr>
    </w:p>
    <w:p w14:paraId="1DCF3004" w14:textId="77777777" w:rsidR="006402E8" w:rsidRPr="007B29AC" w:rsidRDefault="006402E8" w:rsidP="006402E8">
      <w:pPr>
        <w:autoSpaceDE w:val="0"/>
        <w:autoSpaceDN w:val="0"/>
        <w:adjustRightInd w:val="0"/>
        <w:spacing w:after="0" w:line="276" w:lineRule="auto"/>
        <w:jc w:val="both"/>
        <w:rPr>
          <w:rFonts w:ascii="Arial" w:eastAsia="Calibri" w:hAnsi="Arial" w:cs="Arial"/>
          <w:b/>
          <w14:ligatures w14:val="standardContextual"/>
        </w:rPr>
      </w:pPr>
      <w:r w:rsidRPr="007B29AC">
        <w:rPr>
          <w:rFonts w:ascii="Arial" w:eastAsia="Calibri" w:hAnsi="Arial" w:cs="Arial"/>
          <w:b/>
          <w14:ligatures w14:val="standardContextual"/>
        </w:rPr>
        <w:t>2. Consideraciones</w:t>
      </w:r>
    </w:p>
    <w:p w14:paraId="3071C001" w14:textId="77777777" w:rsidR="006402E8" w:rsidRPr="007B29AC" w:rsidRDefault="006402E8" w:rsidP="006402E8">
      <w:pPr>
        <w:tabs>
          <w:tab w:val="left" w:pos="426"/>
        </w:tabs>
        <w:spacing w:after="0" w:line="276" w:lineRule="auto"/>
        <w:jc w:val="both"/>
        <w:rPr>
          <w:rFonts w:ascii="Arial" w:eastAsia="Calibri" w:hAnsi="Arial" w:cs="Arial"/>
          <w:b/>
          <w:lang w:val="es-MX"/>
          <w14:ligatures w14:val="standardContextual"/>
        </w:rPr>
      </w:pPr>
    </w:p>
    <w:p w14:paraId="16DFA2D5" w14:textId="77777777" w:rsidR="006402E8" w:rsidRPr="00BD40F9" w:rsidRDefault="006402E8" w:rsidP="006402E8">
      <w:pPr>
        <w:spacing w:after="120" w:line="276" w:lineRule="auto"/>
        <w:jc w:val="both"/>
        <w:rPr>
          <w:rFonts w:ascii="Arial" w:eastAsia="Calibri" w:hAnsi="Arial" w:cs="Arial"/>
          <w:lang w:val="es-ES_tradnl"/>
        </w:rPr>
      </w:pPr>
      <w:r w:rsidRPr="00BD40F9">
        <w:rPr>
          <w:rFonts w:ascii="Arial" w:eastAsia="Arial" w:hAnsi="Arial" w:cs="Arial"/>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D40F9">
        <w:rPr>
          <w:rFonts w:ascii="Arial" w:eastAsia="Arial" w:hAnsi="Arial" w:cs="Arial"/>
          <w:vertAlign w:val="superscript"/>
          <w:lang w:val="es-MX" w:eastAsia="es-ES_tradnl"/>
        </w:rPr>
        <w:footnoteReference w:id="2"/>
      </w:r>
      <w:r w:rsidRPr="00BD40F9">
        <w:rPr>
          <w:rFonts w:ascii="Arial" w:eastAsia="Arial" w:hAnsi="Arial" w:cs="Arial"/>
          <w:lang w:val="es-MX" w:eastAsia="es-ES_tradnl"/>
        </w:rPr>
        <w:t xml:space="preserve">. </w:t>
      </w:r>
      <w:r w:rsidRPr="00BD40F9">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1C768F43" w14:textId="77777777" w:rsidR="006402E8" w:rsidRPr="00BD40F9" w:rsidRDefault="006402E8" w:rsidP="006402E8">
      <w:pPr>
        <w:spacing w:after="120" w:line="276" w:lineRule="auto"/>
        <w:ind w:firstLine="708"/>
        <w:jc w:val="both"/>
        <w:rPr>
          <w:rFonts w:ascii="Arial" w:eastAsia="Calibri" w:hAnsi="Arial" w:cs="Arial"/>
          <w:lang w:val="es-ES_tradnl"/>
        </w:rPr>
      </w:pPr>
      <w:r w:rsidRPr="00BD40F9">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w:t>
      </w:r>
      <w:r>
        <w:rPr>
          <w:rFonts w:ascii="Arial" w:eastAsia="Calibri" w:hAnsi="Arial" w:cs="Arial"/>
          <w:lang w:val="es-ES_tradnl"/>
        </w:rPr>
        <w:t xml:space="preserve">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0B62B491" w14:textId="77777777" w:rsidR="006402E8" w:rsidRPr="00610078" w:rsidRDefault="006402E8" w:rsidP="006402E8">
      <w:pPr>
        <w:spacing w:before="120" w:after="0" w:line="276" w:lineRule="auto"/>
        <w:ind w:firstLine="709"/>
        <w:jc w:val="both"/>
        <w:rPr>
          <w:rFonts w:ascii="Arial" w:eastAsia="Calibri" w:hAnsi="Arial" w:cs="Arial"/>
          <w:lang w:val="es-ES"/>
        </w:rPr>
      </w:pPr>
      <w:r w:rsidRPr="00BD40F9">
        <w:rPr>
          <w:rFonts w:ascii="Arial" w:eastAsia="Calibri" w:hAnsi="Arial" w:cs="Arial"/>
        </w:rPr>
        <w:t xml:space="preserve">Así las cosas, </w:t>
      </w:r>
      <w:r w:rsidRPr="00BD40F9">
        <w:rPr>
          <w:rFonts w:ascii="Arial" w:eastAsia="Calibri" w:hAnsi="Arial" w:cs="Arial"/>
          <w:lang w:val="es-ES"/>
        </w:rPr>
        <w:t>la Agencia –dentro de los límite</w:t>
      </w:r>
      <w:r>
        <w:rPr>
          <w:rFonts w:ascii="Arial" w:eastAsia="Calibri" w:hAnsi="Arial" w:cs="Arial"/>
          <w:lang w:val="es-ES"/>
        </w:rPr>
        <w:t>s de sus atribuciones – p</w:t>
      </w:r>
      <w:r w:rsidRPr="007B29AC">
        <w:rPr>
          <w:rFonts w:ascii="Arial" w:eastAsia="Calibri" w:hAnsi="Arial" w:cs="Arial"/>
          <w:lang w:val="es-MX"/>
          <w14:ligatures w14:val="standardContextual"/>
        </w:rPr>
        <w:t xml:space="preserve">ara resolver las inquietudes planteadas se abordarán los siguientes temas: </w:t>
      </w:r>
      <w:r w:rsidRPr="007B29AC">
        <w:rPr>
          <w:rFonts w:ascii="Arial" w:eastAsia="Calibri" w:hAnsi="Arial" w:cs="Arial"/>
          <w:bCs/>
          <w:lang w:val="es-MX"/>
          <w14:ligatures w14:val="standardContextual"/>
        </w:rPr>
        <w:t xml:space="preserve">i) Naturaleza Jurídica de las Instituciones Educativas de carácter oficial y su régimen de contratación; ii) principio de publicidad y derecho de acceso a la información pública en materia de contratación pública. Alcance del artículo 53 de la Ley 2195 de la Ley 2195 de 2022 y; iii) </w:t>
      </w:r>
      <w:r w:rsidRPr="007B29AC">
        <w:rPr>
          <w:rFonts w:ascii="Arial" w:eastAsia="Calibri" w:hAnsi="Arial" w:cs="Arial"/>
          <w:bCs/>
          <w:lang w:val="es-ES_tradnl" w:eastAsia="es-ES_tradnl"/>
          <w14:ligatures w14:val="standardContextual"/>
        </w:rPr>
        <w:t xml:space="preserve">Uso del SECOP II por parte de las instituciones educativas oficiales como medio de publicidad de la actividad contractual </w:t>
      </w:r>
      <w:r w:rsidRPr="007B29AC">
        <w:rPr>
          <w:rFonts w:ascii="Arial" w:eastAsia="Times New Roman" w:hAnsi="Arial" w:cs="Arial"/>
          <w:bCs/>
          <w:iCs/>
          <w:lang w:val="es-ES_tradnl" w:eastAsia="es-ES_tradnl"/>
          <w14:ligatures w14:val="standardContextual"/>
        </w:rPr>
        <w:lastRenderedPageBreak/>
        <w:t xml:space="preserve">exceptuada del Estatuto General de Contratación de la Administración Pública – en adelante EGCAP. </w:t>
      </w:r>
    </w:p>
    <w:p w14:paraId="64B5CD21" w14:textId="77777777" w:rsidR="006402E8" w:rsidRPr="007B29AC" w:rsidRDefault="006402E8" w:rsidP="006402E8">
      <w:pPr>
        <w:spacing w:after="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 xml:space="preserve">La Agencia Nacional de Contratación Pública – Colombia Compra Eficiente estudió el tema de la naturaleza jurídica de las instituciones educativas y su régimen de contratación en los conceptos con radicado No. 2201913000006285 del 27 de agosto de 2019, </w:t>
      </w:r>
      <w:hyperlink r:id="rId12" w:tgtFrame="_blank" w:history="1">
        <w:r w:rsidRPr="007B29AC">
          <w:rPr>
            <w:rFonts w:ascii="Arial" w:hAnsi="Arial" w:cs="Arial"/>
            <w:lang w:val="es-MX"/>
            <w14:ligatures w14:val="standardContextual"/>
          </w:rPr>
          <w:t>2201913000006068</w:t>
        </w:r>
      </w:hyperlink>
      <w:r w:rsidRPr="007B29AC">
        <w:rPr>
          <w:rFonts w:ascii="Arial" w:hAnsi="Arial" w:cs="Arial"/>
          <w:lang w:val="es-MX"/>
          <w14:ligatures w14:val="standardContextual"/>
        </w:rPr>
        <w:t xml:space="preserve"> del 28 de agosto de 2019, 2201913000008174 del 31 de octubre de 2019,  </w:t>
      </w:r>
      <w:hyperlink r:id="rId13" w:tgtFrame="_blank" w:history="1">
        <w:r w:rsidRPr="007B29AC">
          <w:rPr>
            <w:rFonts w:ascii="Arial" w:hAnsi="Arial" w:cs="Arial"/>
            <w:lang w:val="es-MX"/>
            <w14:ligatures w14:val="standardContextual"/>
          </w:rPr>
          <w:t>2201913000008197</w:t>
        </w:r>
      </w:hyperlink>
      <w:r w:rsidRPr="007B29AC">
        <w:rPr>
          <w:rFonts w:ascii="Arial" w:hAnsi="Arial" w:cs="Arial"/>
          <w:lang w:val="es-MX"/>
          <w14:ligatures w14:val="standardContextual"/>
        </w:rPr>
        <w:t xml:space="preserve"> del 1 de noviembre de 2019, C-181 del 6 de abril de 2020, C-272 del 27 de abril de 2020, C-284 del 27 de mayo de 2010, C-399 del 23 de junio de 2020, C-574 del 28 de agosto de 2020, C-355 del 2 de junio de 2022, </w:t>
      </w:r>
      <w:r>
        <w:rPr>
          <w:rFonts w:ascii="Arial" w:hAnsi="Arial" w:cs="Arial"/>
          <w:lang w:val="es-MX"/>
          <w14:ligatures w14:val="standardContextual"/>
        </w:rPr>
        <w:t>C-544 del 30 de agosto de 2022,</w:t>
      </w:r>
      <w:r w:rsidRPr="007B29AC">
        <w:rPr>
          <w:rFonts w:ascii="Arial" w:hAnsi="Arial" w:cs="Arial"/>
          <w:lang w:val="es-MX"/>
          <w14:ligatures w14:val="standardContextual"/>
        </w:rPr>
        <w:t xml:space="preserve"> C-596 de 20 de septiembre de 2022</w:t>
      </w:r>
      <w:r>
        <w:rPr>
          <w:rFonts w:ascii="Arial" w:hAnsi="Arial" w:cs="Arial"/>
          <w:lang w:val="es-MX"/>
          <w14:ligatures w14:val="standardContextual"/>
        </w:rPr>
        <w:t xml:space="preserve"> y C-055 de 19 de abril de 2023</w:t>
      </w:r>
      <w:r w:rsidRPr="007B29AC">
        <w:rPr>
          <w:rFonts w:ascii="Arial" w:hAnsi="Arial" w:cs="Arial"/>
          <w:lang w:val="es-MX"/>
          <w14:ligatures w14:val="standardContextual"/>
        </w:rPr>
        <w:t xml:space="preserve">. Así mismo, esta </w:t>
      </w:r>
      <w:r w:rsidRPr="007B29AC">
        <w:rPr>
          <w:rFonts w:ascii="Arial" w:eastAsia="Times New Roman" w:hAnsi="Arial" w:cs="Arial"/>
          <w:lang w:val="es-ES_tradnl" w:eastAsia="es-ES_tradnl"/>
          <w14:ligatures w14:val="standardContextual"/>
        </w:rPr>
        <w:t xml:space="preserve">Agencia </w:t>
      </w:r>
      <w:r w:rsidRPr="007B29AC">
        <w:rPr>
          <w:rFonts w:ascii="Arial" w:eastAsia="Times New Roman" w:hAnsi="Arial" w:cs="Arial"/>
          <w:lang w:val="es-MX" w:eastAsia="es-ES_tradnl"/>
          <w14:ligatures w14:val="standardContextual"/>
        </w:rPr>
        <w:t xml:space="preserve">se ha pronunciado en múltiples ocasiones sobre los principios de publicidad y de acceso a la información pública en la contratación estatal, y sobre </w:t>
      </w:r>
      <w:r w:rsidRPr="007B29AC">
        <w:rPr>
          <w:rFonts w:ascii="Arial" w:eastAsia="Calibri" w:hAnsi="Arial" w:cs="Arial"/>
          <w:lang w:val="es-ES" w:eastAsia="es-ES_tradnl"/>
          <w14:ligatures w14:val="standardContextual"/>
        </w:rPr>
        <w:t xml:space="preserve">los fundamentos normativos del deber de publicar la documentación contractual en las plataformas SECOP I y SECOP II, en conceptos como el </w:t>
      </w:r>
      <w:r w:rsidRPr="007B29AC">
        <w:rPr>
          <w:rFonts w:ascii="Arial" w:eastAsia="Times New Roman" w:hAnsi="Arial" w:cs="Arial"/>
          <w:lang w:val="es-MX" w:eastAsia="es-ES_tradnl"/>
          <w14:ligatures w14:val="standardContextual"/>
        </w:rPr>
        <w:t>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y C-379 del 22 de junio de 2022</w:t>
      </w:r>
      <w:r w:rsidRPr="007B29AC">
        <w:rPr>
          <w:rFonts w:ascii="Arial" w:eastAsia="Times New Roman" w:hAnsi="Arial" w:cs="Arial"/>
          <w:lang w:val="es-ES_tradnl" w:eastAsia="es-ES_tradnl"/>
          <w14:ligatures w14:val="standardContextual"/>
        </w:rPr>
        <w:t xml:space="preserve">. De igual manera, recientemente se pronunció sobre la interpretación del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y C-508 del 30 de agosto de 2022, </w:t>
      </w:r>
      <w:r w:rsidRPr="007B29AC">
        <w:rPr>
          <w:rFonts w:ascii="Arial" w:hAnsi="Arial" w:cs="Arial"/>
          <w:lang w:val="es-MX"/>
          <w14:ligatures w14:val="standardContextual"/>
        </w:rPr>
        <w:t>C-544 del 30 de agosto de 2022, C-552 del 1 de septiembre de 2022 y C-568 del 12 de septiembre de 2022, entre otros</w:t>
      </w:r>
      <w:r w:rsidRPr="007B29AC">
        <w:rPr>
          <w:rFonts w:ascii="Arial" w:hAnsi="Arial" w:cs="Arial"/>
          <w:vertAlign w:val="superscript"/>
          <w:lang w:val="es-MX" w:eastAsia="en-GB"/>
          <w14:ligatures w14:val="standardContextual"/>
        </w:rPr>
        <w:footnoteReference w:id="3"/>
      </w:r>
      <w:r w:rsidRPr="007B29AC">
        <w:rPr>
          <w:rFonts w:ascii="Arial" w:hAnsi="Arial" w:cs="Arial"/>
          <w:lang w:val="es-MX"/>
          <w14:ligatures w14:val="standardContextual"/>
        </w:rPr>
        <w:t>. Las tesis expuestas se reiteran a continuación y se complementan en lo pertinente.</w:t>
      </w:r>
    </w:p>
    <w:p w14:paraId="2D8B5C82" w14:textId="77777777" w:rsidR="006402E8" w:rsidRPr="007B29AC" w:rsidRDefault="006402E8" w:rsidP="006402E8">
      <w:pPr>
        <w:tabs>
          <w:tab w:val="left" w:pos="426"/>
        </w:tabs>
        <w:spacing w:after="0" w:line="276" w:lineRule="auto"/>
        <w:jc w:val="both"/>
        <w:rPr>
          <w:rFonts w:ascii="Arial" w:eastAsia="Calibri" w:hAnsi="Arial" w:cs="Arial"/>
          <w:b/>
          <w:lang w:val="es-MX"/>
          <w14:ligatures w14:val="standardContextual"/>
        </w:rPr>
      </w:pPr>
    </w:p>
    <w:p w14:paraId="5668A1D2" w14:textId="77777777" w:rsidR="006402E8" w:rsidRPr="007B29AC" w:rsidRDefault="006402E8" w:rsidP="006402E8">
      <w:pPr>
        <w:tabs>
          <w:tab w:val="left" w:pos="426"/>
        </w:tabs>
        <w:spacing w:after="0" w:line="276" w:lineRule="auto"/>
        <w:jc w:val="both"/>
        <w:rPr>
          <w:rFonts w:ascii="Arial" w:eastAsia="Calibri" w:hAnsi="Arial" w:cs="Arial"/>
          <w:b/>
          <w:lang w:val="es-MX"/>
          <w14:ligatures w14:val="standardContextual"/>
        </w:rPr>
      </w:pPr>
      <w:bookmarkStart w:id="3" w:name="_Hlk114560518"/>
      <w:r w:rsidRPr="007B29AC">
        <w:rPr>
          <w:rFonts w:ascii="Arial" w:eastAsia="Calibri" w:hAnsi="Arial" w:cs="Arial"/>
          <w:b/>
          <w:lang w:val="es-MX"/>
          <w14:ligatures w14:val="standardContextual"/>
        </w:rPr>
        <w:t>2.1. Naturaleza Jurídica de las Instituciones Educativas de carácter oficial y su régimen de contratación</w:t>
      </w:r>
    </w:p>
    <w:bookmarkEnd w:id="3"/>
    <w:p w14:paraId="0714D0C8" w14:textId="77777777" w:rsidR="006402E8" w:rsidRPr="007B29AC" w:rsidRDefault="006402E8" w:rsidP="006402E8">
      <w:pPr>
        <w:tabs>
          <w:tab w:val="left" w:pos="426"/>
        </w:tabs>
        <w:spacing w:after="0" w:line="276" w:lineRule="auto"/>
        <w:jc w:val="both"/>
        <w:rPr>
          <w:rFonts w:ascii="Arial" w:eastAsia="Calibri" w:hAnsi="Arial" w:cs="Arial"/>
          <w:b/>
          <w:lang w:val="es-MX"/>
          <w14:ligatures w14:val="standardContextual"/>
        </w:rPr>
      </w:pPr>
    </w:p>
    <w:p w14:paraId="449A33D1" w14:textId="77777777" w:rsidR="006402E8" w:rsidRPr="007B29AC" w:rsidRDefault="006402E8" w:rsidP="006402E8">
      <w:pPr>
        <w:spacing w:after="120" w:line="276" w:lineRule="auto"/>
        <w:jc w:val="both"/>
        <w:rPr>
          <w:rFonts w:ascii="Arial" w:hAnsi="Arial" w:cs="Arial"/>
          <w:lang w:val="es-MX"/>
          <w14:ligatures w14:val="standardContextual"/>
        </w:rPr>
      </w:pPr>
      <w:r w:rsidRPr="007B29AC">
        <w:rPr>
          <w:rFonts w:ascii="Arial" w:hAnsi="Arial" w:cs="Arial"/>
          <w:lang w:val="es-MX"/>
          <w14:ligatures w14:val="standardContextual"/>
        </w:rPr>
        <w:t xml:space="preserve">Las Leyes 60 de 1993 y 715 de 2001 descentralizaron el sistema educativo en Colombia, asignándoles a los departamentos, distritos y municipios las competencias y los recursos para dirigir las instituciones educativas. Es decir, el sistema educativo está descentralizado por las competencias propias que se les ha otorgado a las entidades territoriales para administrar las </w:t>
      </w:r>
      <w:r w:rsidRPr="007B29AC">
        <w:rPr>
          <w:rFonts w:ascii="Arial" w:hAnsi="Arial" w:cs="Arial"/>
          <w:lang w:val="es-MX"/>
          <w14:ligatures w14:val="standardContextual"/>
        </w:rPr>
        <w:lastRenderedPageBreak/>
        <w:t xml:space="preserve">instituciones educativas, que pueden ser de los diferentes niveles, pero estas no son entidades descentralizadas. </w:t>
      </w:r>
    </w:p>
    <w:p w14:paraId="6AC2A460" w14:textId="77777777" w:rsidR="006402E8" w:rsidRPr="007B29AC" w:rsidRDefault="006402E8" w:rsidP="006402E8">
      <w:pPr>
        <w:spacing w:after="12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les permiten a las instituciones realizar la gestión y ejecución presupuestal de los recursos que reciben los establecimientos educativos</w:t>
      </w:r>
      <w:r w:rsidRPr="007B29AC">
        <w:rPr>
          <w:rFonts w:ascii="Arial" w:hAnsi="Arial" w:cs="Arial"/>
          <w:vertAlign w:val="superscript"/>
          <w:lang w:val="es-MX"/>
          <w14:ligatures w14:val="standardContextual"/>
        </w:rPr>
        <w:footnoteReference w:id="4"/>
      </w:r>
      <w:r w:rsidRPr="007B29AC">
        <w:rPr>
          <w:rFonts w:ascii="Arial" w:hAnsi="Arial" w:cs="Arial"/>
          <w:lang w:val="es-MX"/>
          <w14:ligatures w14:val="standardContextual"/>
        </w:rPr>
        <w:t>.</w:t>
      </w:r>
    </w:p>
    <w:p w14:paraId="4828F3B5" w14:textId="77777777" w:rsidR="006402E8" w:rsidRPr="007B29AC" w:rsidRDefault="006402E8" w:rsidP="006402E8">
      <w:pPr>
        <w:spacing w:after="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t>Los fondos de servicios educativos tampoco cuentan con personería jurídica según lo previsto en el artículo 2.3.1.6.3.4 del Decreto 1075 de 2015, Decreto Único Reglamentario del Sector Educación:</w:t>
      </w:r>
    </w:p>
    <w:p w14:paraId="661A31C1" w14:textId="77777777" w:rsidR="006402E8" w:rsidRPr="007B29AC" w:rsidRDefault="006402E8" w:rsidP="006402E8">
      <w:pPr>
        <w:spacing w:after="0" w:line="276" w:lineRule="auto"/>
        <w:ind w:firstLine="709"/>
        <w:contextualSpacing/>
        <w:jc w:val="both"/>
        <w:rPr>
          <w:rFonts w:ascii="Arial" w:hAnsi="Arial" w:cs="Arial"/>
          <w:lang w:val="es-MX"/>
          <w14:ligatures w14:val="standardContextual"/>
        </w:rPr>
      </w:pPr>
    </w:p>
    <w:p w14:paraId="15F3B280" w14:textId="77777777" w:rsidR="006402E8" w:rsidRPr="007B29AC" w:rsidRDefault="006402E8" w:rsidP="006402E8">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“Artículo 2.3.1.6.3.4. Ordenación del gasto. Los fondos de servicios educativos carecen de personería jurídica. El rector o director rural es el ordenador del gasto del Fondo de Servicios Educativos y su ejercicio no implica representación legal”</w:t>
      </w:r>
      <w:r w:rsidRPr="007B29AC">
        <w:rPr>
          <w:rFonts w:ascii="Arial" w:hAnsi="Arial" w:cs="Arial"/>
          <w:sz w:val="20"/>
          <w:szCs w:val="20"/>
          <w:vertAlign w:val="superscript"/>
          <w:lang w:val="es-MX"/>
          <w14:ligatures w14:val="standardContextual"/>
        </w:rPr>
        <w:footnoteReference w:id="5"/>
      </w:r>
      <w:r w:rsidRPr="007B29AC">
        <w:rPr>
          <w:rFonts w:ascii="Arial" w:hAnsi="Arial" w:cs="Arial"/>
          <w:sz w:val="20"/>
          <w:szCs w:val="20"/>
          <w:lang w:val="es-MX"/>
          <w14:ligatures w14:val="standardContextual"/>
        </w:rPr>
        <w:t>.</w:t>
      </w:r>
    </w:p>
    <w:p w14:paraId="411395DE" w14:textId="77777777" w:rsidR="006402E8" w:rsidRPr="007B29AC" w:rsidRDefault="006402E8" w:rsidP="006402E8">
      <w:pPr>
        <w:spacing w:after="0" w:line="276" w:lineRule="auto"/>
        <w:contextualSpacing/>
        <w:jc w:val="both"/>
        <w:rPr>
          <w:rFonts w:ascii="Arial" w:hAnsi="Arial" w:cs="Arial"/>
          <w:lang w:val="es-MX"/>
          <w14:ligatures w14:val="standardContextual"/>
        </w:rPr>
      </w:pPr>
    </w:p>
    <w:p w14:paraId="2769366C" w14:textId="77777777" w:rsidR="006402E8" w:rsidRPr="007B29AC" w:rsidRDefault="006402E8" w:rsidP="006402E8">
      <w:pPr>
        <w:spacing w:after="120" w:line="276" w:lineRule="auto"/>
        <w:ind w:firstLine="709"/>
        <w:jc w:val="both"/>
        <w:rPr>
          <w:rFonts w:ascii="Arial" w:hAnsi="Arial" w:cs="Arial"/>
          <w:lang w:val="es-MX"/>
          <w14:ligatures w14:val="standardContextual"/>
        </w:rPr>
      </w:pPr>
      <w:bookmarkStart w:id="4" w:name="_Hlk114553994"/>
      <w:r w:rsidRPr="007B29AC">
        <w:rPr>
          <w:rFonts w:ascii="Arial" w:hAnsi="Arial" w:cs="Arial"/>
          <w:lang w:val="es-MX"/>
          <w14:ligatures w14:val="standardContextual"/>
        </w:rPr>
        <w:t>Respecto de la capacidad para contratar con la que cuentan las instituciones educativas por medio de los fondos de servicios educativos, hay que precisar que cuando se trata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w:t>
      </w:r>
      <w:r w:rsidRPr="007B29AC">
        <w:rPr>
          <w:rFonts w:ascii="Arial" w:hAnsi="Arial" w:cs="Arial"/>
          <w:vertAlign w:val="superscript"/>
          <w:lang w:val="es-MX"/>
          <w14:ligatures w14:val="standardContextual"/>
        </w:rPr>
        <w:footnoteReference w:id="6"/>
      </w:r>
      <w:r w:rsidRPr="007B29AC">
        <w:rPr>
          <w:rFonts w:ascii="Arial" w:hAnsi="Arial" w:cs="Arial"/>
          <w:lang w:val="es-MX"/>
          <w14:ligatures w14:val="standardContextual"/>
        </w:rPr>
        <w:t xml:space="preserve">. </w:t>
      </w:r>
    </w:p>
    <w:p w14:paraId="0A599FBC" w14:textId="77777777" w:rsidR="006402E8" w:rsidRPr="007B29AC" w:rsidRDefault="006402E8" w:rsidP="006402E8">
      <w:pPr>
        <w:spacing w:after="120" w:line="276" w:lineRule="auto"/>
        <w:ind w:firstLine="709"/>
        <w:jc w:val="both"/>
        <w:rPr>
          <w:rFonts w:ascii="Arial" w:hAnsi="Arial" w:cs="Arial"/>
          <w:lang w:val="es-MX"/>
          <w14:ligatures w14:val="standardContextual"/>
        </w:rPr>
      </w:pPr>
      <w:r w:rsidRPr="007B29AC">
        <w:rPr>
          <w:rFonts w:ascii="Arial" w:hAnsi="Arial" w:cs="Arial"/>
          <w:lang w:val="es-MX"/>
          <w14:ligatures w14:val="standardContextual"/>
        </w:rPr>
        <w:lastRenderedPageBreak/>
        <w:t xml:space="preserve">Esto significa que la contratación que realicen las instituciones educativas, siempre que se ubique por debajo del referido umbral, no deberá ceñirse a las reglas del EGCAP, sino a las determinadas por el reglamento expedido por el consejo directivo de la institución educativa conforme al artículo 13 de la Ley 715 de 2001, que implica que tales reglamentos se expidan de conformidad con los principios de igualdad, moralidad, imparcialidad y publicidad,  así como de acuerdo con la experiencia y el análisis concreto de las necesidades del establecimiento, determinando los trámites, garantías y constancias que deben cumplirse para que el rector o director celebre cualquier acto o contrato que cree, extinga o modifique obligaciones con cargo al respectivo fondo de servicios educativos. </w:t>
      </w:r>
    </w:p>
    <w:p w14:paraId="2B51A240" w14:textId="77777777" w:rsidR="006402E8" w:rsidRPr="007B29AC" w:rsidRDefault="006402E8" w:rsidP="006402E8">
      <w:pPr>
        <w:spacing w:after="120" w:line="276" w:lineRule="auto"/>
        <w:ind w:firstLine="709"/>
        <w:jc w:val="both"/>
        <w:rPr>
          <w:rFonts w:ascii="Arial" w:eastAsia="Times New Roman" w:hAnsi="Arial" w:cs="Arial"/>
          <w:szCs w:val="24"/>
          <w:lang w:eastAsia="es-MX"/>
          <w14:ligatures w14:val="standardContextual"/>
        </w:rPr>
      </w:pPr>
      <w:bookmarkStart w:id="5" w:name="_Hlk114554080"/>
      <w:bookmarkEnd w:id="4"/>
      <w:r w:rsidRPr="007B29AC">
        <w:rPr>
          <w:rFonts w:ascii="Arial" w:eastAsia="Times New Roman" w:hAnsi="Arial" w:cs="Arial"/>
          <w:szCs w:val="24"/>
          <w:lang w:eastAsia="es-MX"/>
          <w14:ligatures w14:val="standardContextual"/>
        </w:rPr>
        <w:t xml:space="preserve">En ese sentido, tratándose de la contratación realizada por dichas instituciones por debajo de la cuantía de veinte (20) salarios mínimos legales mensuales vigentes, es el consejo directivo quien tiene la competencia para establecer las reglas conforme a las cuales debe realizarse la adquisición de bienes, obras y servicios, incluidos los procedimientos, mecanismos, requisitos y formalidades que deben respetarse en estos procesos de contratación. </w:t>
      </w:r>
    </w:p>
    <w:p w14:paraId="75CA3881" w14:textId="77777777" w:rsidR="006402E8" w:rsidRPr="007B29AC" w:rsidRDefault="006402E8" w:rsidP="006402E8">
      <w:pPr>
        <w:spacing w:after="12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Por el contrario, cuando la celebración de contratos a que haya lugar con recursos del fondo de servicios educativos supere la cuantía de los veinte (20) salarios mínimos legales mensuales vigentes, debe hacerse con estricta sujeción a lo dispuesto en la Ley 80 de 1993. Es decir, las reglas a las que deben sujetarse los procedimientos dentro de los que se enmarque esta contratación son las del EGCAP, procediendo la aplicación de las modalidades de selección definidas en la Ley 1150 de 2007, así como los requisitos y formalidades establecidos en el Decreto 1082 del 2015 y demás normas aplicables.</w:t>
      </w:r>
    </w:p>
    <w:bookmarkEnd w:id="5"/>
    <w:p w14:paraId="69E6A319" w14:textId="77777777" w:rsidR="006402E8" w:rsidRPr="007B29AC" w:rsidRDefault="006402E8" w:rsidP="006402E8">
      <w:pPr>
        <w:spacing w:before="120" w:after="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lang w:eastAsia="es-MX"/>
          <w14:ligatures w14:val="standardContextual"/>
        </w:rPr>
        <w:t xml:space="preserve">En lo que respecta al régimen sustantivo de los contratos estatales sometidos a la Ley 80 de 1993, el inciso primero del artículo 13 dispone que: “Los contratos que celebren las entidades a que se refiere el artículo 2o. del presente estatuto se regirán por las disposiciones comerciales y civiles pertinentes, salvo en las materias particularmente reguladas en esta ley”. En concordancia con los artículos 32 y 40 </w:t>
      </w:r>
      <w:r w:rsidRPr="007B29AC">
        <w:rPr>
          <w:rFonts w:ascii="Arial" w:eastAsia="Times New Roman" w:hAnsi="Arial" w:cs="Arial"/>
          <w:i/>
          <w:iCs/>
          <w:lang w:eastAsia="es-MX"/>
          <w14:ligatures w14:val="standardContextual"/>
        </w:rPr>
        <w:t>ibídem</w:t>
      </w:r>
      <w:r w:rsidRPr="007B29AC">
        <w:rPr>
          <w:rFonts w:ascii="Arial" w:eastAsia="Times New Roman" w:hAnsi="Arial" w:cs="Arial"/>
          <w:vertAlign w:val="superscript"/>
          <w:lang w:eastAsia="es-MX"/>
          <w14:ligatures w14:val="standardContextual"/>
        </w:rPr>
        <w:footnoteReference w:id="7"/>
      </w:r>
      <w:r w:rsidRPr="007B29AC">
        <w:rPr>
          <w:rFonts w:ascii="Arial" w:eastAsia="Times New Roman" w:hAnsi="Arial" w:cs="Arial"/>
          <w:lang w:eastAsia="es-MX"/>
          <w14:ligatures w14:val="standardContextual"/>
        </w:rPr>
        <w:t xml:space="preserve">, esto significa que los contratos de las entidades sometidas al EGCAP se rigen generalmente por el derecho privado y, excepcionalmente, por el </w:t>
      </w:r>
      <w:r w:rsidRPr="007B29AC">
        <w:rPr>
          <w:rFonts w:ascii="Arial" w:eastAsia="Times New Roman" w:hAnsi="Arial" w:cs="Arial"/>
          <w:lang w:eastAsia="es-MX"/>
          <w14:ligatures w14:val="standardContextual"/>
        </w:rPr>
        <w:lastRenderedPageBreak/>
        <w:t>derecho público, pues las normas civiles y comerciales son el derecho común de los contratos estatales</w:t>
      </w:r>
      <w:r w:rsidRPr="007B29AC">
        <w:rPr>
          <w:rFonts w:ascii="Arial" w:eastAsia="Times New Roman" w:hAnsi="Arial" w:cs="Arial"/>
          <w:vertAlign w:val="superscript"/>
          <w:lang w:eastAsia="es-MX"/>
          <w14:ligatures w14:val="standardContextual"/>
        </w:rPr>
        <w:footnoteReference w:id="8"/>
      </w:r>
      <w:r w:rsidRPr="007B29AC">
        <w:rPr>
          <w:rFonts w:ascii="Arial" w:eastAsia="Times New Roman" w:hAnsi="Arial" w:cs="Arial"/>
          <w:lang w:eastAsia="es-MX"/>
          <w14:ligatures w14:val="standardContextual"/>
        </w:rPr>
        <w:t>. Así lo ha entendido la doctrina:</w:t>
      </w:r>
    </w:p>
    <w:p w14:paraId="500BE832" w14:textId="77777777" w:rsidR="006402E8" w:rsidRPr="007B29AC" w:rsidRDefault="006402E8" w:rsidP="006402E8">
      <w:pPr>
        <w:spacing w:after="0" w:line="276" w:lineRule="auto"/>
        <w:ind w:firstLine="709"/>
        <w:contextualSpacing/>
        <w:jc w:val="both"/>
        <w:rPr>
          <w:rFonts w:ascii="Arial" w:eastAsia="Times New Roman" w:hAnsi="Arial" w:cs="Arial"/>
          <w:szCs w:val="24"/>
          <w:lang w:eastAsia="es-MX"/>
          <w14:ligatures w14:val="standardContextual"/>
        </w:rPr>
      </w:pPr>
    </w:p>
    <w:p w14:paraId="73D7B880" w14:textId="77777777" w:rsidR="006402E8" w:rsidRPr="007B29AC" w:rsidRDefault="006402E8" w:rsidP="006402E8">
      <w:pPr>
        <w:spacing w:after="0" w:line="240" w:lineRule="auto"/>
        <w:ind w:left="709" w:right="709"/>
        <w:contextualSpacing/>
        <w:jc w:val="both"/>
        <w:rPr>
          <w:rFonts w:ascii="Arial" w:eastAsia="Times New Roman" w:hAnsi="Arial" w:cs="Arial"/>
          <w:sz w:val="20"/>
          <w:szCs w:val="20"/>
          <w:lang w:eastAsia="es-MX"/>
          <w14:ligatures w14:val="standardContextual"/>
        </w:rPr>
      </w:pPr>
      <w:r w:rsidRPr="007B29AC">
        <w:rPr>
          <w:rFonts w:ascii="Arial" w:eastAsia="Times New Roman" w:hAnsi="Arial" w:cs="Arial"/>
          <w:sz w:val="20"/>
          <w:szCs w:val="20"/>
          <w:lang w:eastAsia="es-MX"/>
          <w14:ligatures w14:val="standardContextual"/>
        </w:rPr>
        <w:t>“[…] no hace otra cosa que aprovechar ciertos principios rectores de las contratación general que aunque tengan su consagración en códigos de derecho privado como el civil y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Extremos éstos que de derecho privado no tienen sino […] el nombre y que la tradición, desde su origen romano se acostumbró a calificarlos así y a no preocuparse por su cuestionamiento. En otras palabras, extremos como los indicados […] son […] de derecho propio, aplicables a toda relación contractual, con prescindencia de los sujetos involucrados en la misma”</w:t>
      </w:r>
      <w:r w:rsidRPr="007B29AC">
        <w:rPr>
          <w:rFonts w:ascii="Arial" w:eastAsia="Times New Roman" w:hAnsi="Arial" w:cs="Arial"/>
          <w:sz w:val="20"/>
          <w:szCs w:val="20"/>
          <w:vertAlign w:val="superscript"/>
          <w:lang w:eastAsia="es-MX"/>
          <w14:ligatures w14:val="standardContextual"/>
        </w:rPr>
        <w:footnoteReference w:id="9"/>
      </w:r>
      <w:r w:rsidRPr="007B29AC">
        <w:rPr>
          <w:rFonts w:ascii="Arial" w:eastAsia="Times New Roman" w:hAnsi="Arial" w:cs="Arial"/>
          <w:sz w:val="20"/>
          <w:szCs w:val="20"/>
          <w:lang w:eastAsia="es-MX"/>
          <w14:ligatures w14:val="standardContextual"/>
        </w:rPr>
        <w:t xml:space="preserve">. </w:t>
      </w:r>
    </w:p>
    <w:p w14:paraId="35CE0DBF" w14:textId="77777777" w:rsidR="006402E8" w:rsidRPr="007B29AC" w:rsidRDefault="006402E8" w:rsidP="006402E8">
      <w:pPr>
        <w:spacing w:after="0" w:line="276" w:lineRule="auto"/>
        <w:ind w:left="709" w:right="709"/>
        <w:contextualSpacing/>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 xml:space="preserve"> </w:t>
      </w:r>
    </w:p>
    <w:p w14:paraId="3CF22CFB" w14:textId="77777777" w:rsidR="006402E8" w:rsidRPr="007B29AC" w:rsidRDefault="006402E8" w:rsidP="006402E8">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Ello no implica una privatización fuerte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EGCAP, es posible aplicar las normas civiles y comerciales.</w:t>
      </w:r>
    </w:p>
    <w:p w14:paraId="31B475CC" w14:textId="77777777" w:rsidR="006402E8" w:rsidRPr="007B29AC" w:rsidRDefault="006402E8" w:rsidP="006402E8">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 xml:space="preserve">En lo que respecta a los contratos exceptuados de la Ley 80 de 1993, si bien el régimen sustantivo no se rige por los citados artículos 13, 32 y 40 del Estatuto de Contratación, es necesario aplicar las normas generales de las obligaciones y de los contratos dispuestas en el Código Civil y de Comercio. Esto en la medida que, como se explicó, el derecho privado es aplicable a todo contrato con independencia de los sujetos, especialmente en lo relacionado con los requisitos de consentimiento válido, objeto y causa lícitos, capacidad, elementos esenciales según la naturaleza de cada contrato, responsabilidad, naturaleza de las obligaciones emanadas de los mismos, etc., pues contiene las reglas comunes de la materia. </w:t>
      </w:r>
    </w:p>
    <w:p w14:paraId="7317DA10" w14:textId="77777777" w:rsidR="006402E8" w:rsidRPr="007B29AC" w:rsidRDefault="006402E8" w:rsidP="006402E8">
      <w:pPr>
        <w:spacing w:after="120" w:line="276" w:lineRule="auto"/>
        <w:jc w:val="both"/>
        <w:rPr>
          <w:rFonts w:ascii="Arial" w:eastAsia="Times New Roman" w:hAnsi="Arial" w:cs="Arial"/>
          <w:szCs w:val="24"/>
          <w:lang w:eastAsia="es-MX"/>
          <w14:ligatures w14:val="standardContextual"/>
        </w:rPr>
      </w:pPr>
      <w:r w:rsidRPr="007B29AC">
        <w:rPr>
          <w:rFonts w:ascii="Arial" w:eastAsia="Times New Roman" w:hAnsi="Arial" w:cs="Arial"/>
          <w:szCs w:val="24"/>
          <w:lang w:eastAsia="es-MX"/>
          <w14:ligatures w14:val="standardContextual"/>
        </w:rPr>
        <w:tab/>
        <w:t xml:space="preserve">En consecuencia, cuando los contratos no superen los veinte (20) salarios mínimos legales mensuales vigentes, el régimen sustantivo de los contratos celebrados con recursos del fondo de servicios educativos también se rige por el derecho privado. Dado que el artículo 13 de la Ley 715 de 2001, en concordancia con el artículo 2.3.1.6.3.17. del Decreto 1075 de 2015, permite que el consejo directivo regule “[…] los trámites, garantías y constancias que deben cumplirse para que el rector o director celebre cualquier acto o contrato que cree, extinga o </w:t>
      </w:r>
      <w:r w:rsidRPr="007B29AC">
        <w:rPr>
          <w:rFonts w:ascii="Arial" w:eastAsia="Times New Roman" w:hAnsi="Arial" w:cs="Arial"/>
          <w:szCs w:val="24"/>
          <w:lang w:eastAsia="es-MX"/>
          <w14:ligatures w14:val="standardContextual"/>
        </w:rPr>
        <w:lastRenderedPageBreak/>
        <w:t xml:space="preserve">modifique obligaciones que deban registrarse en el Fondo […]”, el reglamento que defina los procedimientos aplicables complementa las normas civiles y comerciales, sin que este acto administrativo pueda modificar o derogar estas últimas por tratarse de aspectos regulados en la ley. </w:t>
      </w:r>
    </w:p>
    <w:p w14:paraId="75159889" w14:textId="77777777" w:rsidR="006402E8" w:rsidRPr="007B29AC" w:rsidRDefault="006402E8" w:rsidP="006402E8">
      <w:pPr>
        <w:spacing w:after="0" w:line="276" w:lineRule="auto"/>
        <w:ind w:firstLine="709"/>
        <w:jc w:val="both"/>
        <w:rPr>
          <w:rFonts w:ascii="Arial" w:eastAsia="Times New Roman" w:hAnsi="Arial" w:cs="Arial"/>
          <w:szCs w:val="24"/>
          <w:lang w:eastAsia="es-MX"/>
          <w14:ligatures w14:val="standardContextual"/>
        </w:rPr>
      </w:pPr>
      <w:r w:rsidRPr="007B29AC">
        <w:rPr>
          <w:rFonts w:ascii="Arial" w:eastAsia="Times New Roman" w:hAnsi="Arial" w:cs="Arial"/>
          <w:lang w:eastAsia="es-MX"/>
          <w14:ligatures w14:val="standardContextual"/>
        </w:rPr>
        <w:t>Naturalmente, los contratos mencionados en el párrafo precedente no se rigen exclusivamente por las normas civiles y comerciales, pues además del reglamento del consejo directivo, el artículo 13 de la Ley 1150 de 2007 dispone que la contratación exceptuada del EGCAP también se rige por los principios de la función administrativa, los principios de la gestión fiscal y el régimen de inhabilidades e incompatibilidades previsto para la contratación estatal</w:t>
      </w:r>
      <w:r w:rsidRPr="007B29AC">
        <w:rPr>
          <w:rFonts w:ascii="Arial" w:eastAsia="Times New Roman" w:hAnsi="Arial" w:cs="Arial"/>
          <w:vertAlign w:val="superscript"/>
          <w:lang w:eastAsia="es-MX"/>
          <w14:ligatures w14:val="standardContextual"/>
        </w:rPr>
        <w:footnoteReference w:id="10"/>
      </w:r>
      <w:r w:rsidRPr="007B29AC">
        <w:rPr>
          <w:rFonts w:ascii="Arial" w:eastAsia="Times New Roman" w:hAnsi="Arial" w:cs="Arial"/>
          <w:lang w:eastAsia="es-MX"/>
          <w14:ligatures w14:val="standardContextual"/>
        </w:rPr>
        <w:t xml:space="preserve">. Así mismo, el citado artículo consagra el deber de publicación en el SECOP II de la actividad contractual por parte de las entidades exceptuadas, el cual se desarrollará a continuación. </w:t>
      </w:r>
    </w:p>
    <w:p w14:paraId="5889C25E" w14:textId="77777777" w:rsidR="006402E8" w:rsidRPr="007B29AC" w:rsidRDefault="006402E8" w:rsidP="006402E8">
      <w:pPr>
        <w:spacing w:after="0" w:line="276" w:lineRule="auto"/>
        <w:ind w:firstLine="709"/>
        <w:contextualSpacing/>
        <w:jc w:val="both"/>
        <w:rPr>
          <w:rFonts w:ascii="Arial" w:hAnsi="Arial" w:cs="Arial"/>
          <w:lang w:val="es-MX"/>
          <w14:ligatures w14:val="standardContextual"/>
        </w:rPr>
      </w:pPr>
    </w:p>
    <w:p w14:paraId="37F28111" w14:textId="77777777" w:rsidR="006402E8" w:rsidRPr="007B29AC" w:rsidRDefault="006402E8" w:rsidP="006402E8">
      <w:pPr>
        <w:tabs>
          <w:tab w:val="left" w:pos="426"/>
        </w:tabs>
        <w:spacing w:after="0" w:line="276" w:lineRule="auto"/>
        <w:contextualSpacing/>
        <w:jc w:val="both"/>
        <w:rPr>
          <w:rFonts w:ascii="Arial" w:eastAsia="Calibri" w:hAnsi="Arial" w:cs="Arial"/>
          <w:b/>
          <w:lang w:val="es-MX"/>
          <w14:ligatures w14:val="standardContextual"/>
        </w:rPr>
      </w:pPr>
      <w:bookmarkStart w:id="6" w:name="_Hlk114560532"/>
      <w:r w:rsidRPr="007B29AC">
        <w:rPr>
          <w:rFonts w:ascii="Arial" w:eastAsia="Calibri" w:hAnsi="Arial" w:cs="Arial"/>
          <w:b/>
          <w:lang w:val="es-MX"/>
          <w14:ligatures w14:val="standardContextual"/>
        </w:rPr>
        <w:t>2.2. Principio de publicidad y derecho de acceso a la información pública en materia de contratación pública. Alcance del artículo 53 de la Ley 2195 de la Ley 2195 de 2022.</w:t>
      </w:r>
    </w:p>
    <w:bookmarkEnd w:id="6"/>
    <w:p w14:paraId="6D4E38BF" w14:textId="77777777" w:rsidR="006402E8" w:rsidRPr="007B29AC" w:rsidRDefault="006402E8" w:rsidP="006402E8">
      <w:pPr>
        <w:tabs>
          <w:tab w:val="left" w:pos="426"/>
        </w:tabs>
        <w:spacing w:after="0" w:line="276" w:lineRule="auto"/>
        <w:contextualSpacing/>
        <w:jc w:val="both"/>
        <w:rPr>
          <w:rFonts w:ascii="Arial" w:eastAsia="Calibri" w:hAnsi="Arial" w:cs="Arial"/>
          <w:b/>
          <w:lang w:val="es-MX"/>
          <w14:ligatures w14:val="standardContextual"/>
        </w:rPr>
      </w:pPr>
    </w:p>
    <w:p w14:paraId="6CE3F3D7" w14:textId="77777777" w:rsidR="006402E8" w:rsidRPr="007B29AC" w:rsidRDefault="006402E8" w:rsidP="006402E8">
      <w:pPr>
        <w:tabs>
          <w:tab w:val="left" w:pos="426"/>
        </w:tabs>
        <w:spacing w:after="0" w:line="276" w:lineRule="auto"/>
        <w:contextualSpacing/>
        <w:jc w:val="both"/>
        <w:rPr>
          <w:rFonts w:ascii="Arial" w:eastAsia="Calibri" w:hAnsi="Arial" w:cs="Arial"/>
          <w:b/>
          <w:lang w:val="es-MX"/>
          <w14:ligatures w14:val="standardContextual"/>
        </w:rPr>
      </w:pPr>
      <w:bookmarkStart w:id="7" w:name="_Hlk114560557"/>
    </w:p>
    <w:p w14:paraId="000E7413" w14:textId="77777777" w:rsidR="006402E8" w:rsidRPr="007B29AC" w:rsidRDefault="006402E8" w:rsidP="006402E8">
      <w:pPr>
        <w:spacing w:after="120" w:line="276" w:lineRule="auto"/>
        <w:jc w:val="both"/>
        <w:rPr>
          <w:rFonts w:ascii="Arial" w:eastAsia="Times New Roman" w:hAnsi="Arial" w:cs="Arial"/>
          <w:lang w:val="es-MX" w:eastAsia="es-CO"/>
          <w14:ligatures w14:val="standardContextual"/>
        </w:rPr>
      </w:pPr>
      <w:bookmarkStart w:id="8" w:name="_Hlk109055109"/>
      <w:bookmarkStart w:id="9" w:name="_Hlk109111865"/>
      <w:bookmarkStart w:id="10" w:name="_Hlk112856002"/>
      <w:r w:rsidRPr="007B29AC">
        <w:rPr>
          <w:rFonts w:ascii="Arial" w:eastAsia="Times New Roman" w:hAnsi="Arial" w:cs="Arial"/>
          <w:lang w:val="es-MX" w:eastAsia="es-CO"/>
          <w14:ligatures w14:val="standardContextual"/>
        </w:rPr>
        <w:t>La Ley 1712 de 2014, por medio de la cual se crea la Ley de Transparencia y del Derecho de Acceso a la Información Pública Nacional y se dictan otras disposiciones,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7B29AC">
        <w:rPr>
          <w:rFonts w:ascii="Arial" w:eastAsia="Times New Roman" w:hAnsi="Arial" w:cs="Arial"/>
          <w:vertAlign w:val="superscript"/>
          <w:lang w:val="es-MX" w:eastAsia="es-CO"/>
          <w14:ligatures w14:val="standardContextual"/>
        </w:rPr>
        <w:footnoteReference w:id="11"/>
      </w:r>
      <w:r w:rsidRPr="007B29AC">
        <w:rPr>
          <w:rFonts w:ascii="Arial" w:eastAsia="Times New Roman" w:hAnsi="Arial" w:cs="Arial"/>
          <w:lang w:val="es-MX" w:eastAsia="es-CO"/>
          <w14:ligatures w14:val="standardContextual"/>
        </w:rPr>
        <w:t>. El principio de transparencia en la información alude al deber de los sujetos de proporcionar y facilitar el acceso a la misma en los términos más amplios posibles, a través de los medios y procedimientos que establezca la</w:t>
      </w:r>
      <w:r w:rsidRPr="007B29AC">
        <w:rPr>
          <w:rFonts w:ascii="Arial" w:eastAsia="Times New Roman" w:hAnsi="Arial" w:cs="Arial"/>
          <w:spacing w:val="-2"/>
          <w:lang w:val="es-MX" w:eastAsia="es-CO"/>
          <w14:ligatures w14:val="standardContextual"/>
        </w:rPr>
        <w:t xml:space="preserve"> </w:t>
      </w:r>
      <w:r w:rsidRPr="007B29AC">
        <w:rPr>
          <w:rFonts w:ascii="Arial" w:eastAsia="Times New Roman" w:hAnsi="Arial" w:cs="Arial"/>
          <w:lang w:val="es-MX" w:eastAsia="es-CO"/>
          <w14:ligatures w14:val="standardContextual"/>
        </w:rPr>
        <w:t>ley</w:t>
      </w:r>
      <w:r w:rsidRPr="007B29AC">
        <w:rPr>
          <w:rFonts w:ascii="Arial" w:eastAsia="Times New Roman" w:hAnsi="Arial" w:cs="Arial"/>
          <w:vertAlign w:val="superscript"/>
          <w:lang w:val="es-MX" w:eastAsia="es-CO"/>
          <w14:ligatures w14:val="standardContextual"/>
        </w:rPr>
        <w:footnoteReference w:id="12"/>
      </w:r>
      <w:r w:rsidRPr="007B29AC">
        <w:rPr>
          <w:rFonts w:ascii="Arial" w:eastAsia="Times New Roman" w:hAnsi="Arial" w:cs="Arial"/>
          <w:lang w:val="es-MX" w:eastAsia="es-CO"/>
          <w14:ligatures w14:val="standardContextual"/>
        </w:rPr>
        <w:t xml:space="preserve">. Y el principio de buena fe hace referencia al </w:t>
      </w:r>
      <w:r w:rsidRPr="007B29AC">
        <w:rPr>
          <w:rFonts w:ascii="Arial" w:eastAsia="Times New Roman" w:hAnsi="Arial" w:cs="Arial"/>
          <w:lang w:val="es-MX" w:eastAsia="es-CO"/>
          <w14:ligatures w14:val="standardContextual"/>
        </w:rPr>
        <w:lastRenderedPageBreak/>
        <w:t>deber de todo sujeto obligado de cumplir con las obligaciones derivadas del derecho de acceso a la información pública con motivación honesta, leal y desprovista de cualquier intención dolosa o culposa</w:t>
      </w:r>
      <w:bookmarkEnd w:id="8"/>
      <w:r w:rsidRPr="007B29AC">
        <w:rPr>
          <w:rFonts w:ascii="Arial" w:eastAsia="Times New Roman" w:hAnsi="Arial" w:cs="Arial"/>
          <w:vertAlign w:val="superscript"/>
          <w:lang w:val="es-MX" w:eastAsia="es-CO"/>
          <w14:ligatures w14:val="standardContextual"/>
        </w:rPr>
        <w:footnoteReference w:id="13"/>
      </w:r>
      <w:r w:rsidRPr="007B29AC">
        <w:rPr>
          <w:rFonts w:ascii="Arial" w:eastAsia="Times New Roman" w:hAnsi="Arial" w:cs="Arial"/>
          <w:lang w:val="es-MX" w:eastAsia="es-CO"/>
          <w14:ligatures w14:val="standardContextual"/>
        </w:rPr>
        <w:t xml:space="preserve">. </w:t>
      </w:r>
    </w:p>
    <w:p w14:paraId="45879ED8" w14:textId="77777777" w:rsidR="006402E8" w:rsidRPr="007B29AC" w:rsidRDefault="006402E8" w:rsidP="006402E8">
      <w:pPr>
        <w:spacing w:after="120" w:line="276" w:lineRule="auto"/>
        <w:ind w:firstLine="708"/>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 xml:space="preserve">La citada Ley establece, </w:t>
      </w:r>
      <w:bookmarkStart w:id="12" w:name="_Hlk112225357"/>
      <w:r w:rsidRPr="007B29AC">
        <w:rPr>
          <w:rFonts w:ascii="Arial" w:eastAsia="Times New Roman" w:hAnsi="Arial" w:cs="Arial"/>
          <w:lang w:val="es-MX" w:eastAsia="es-CO"/>
          <w14:ligatures w14:val="standardContextual"/>
        </w:rPr>
        <w:t xml:space="preserve">en el literal e) del artículo 9, que los </w:t>
      </w:r>
      <w:r w:rsidRPr="007B29AC">
        <w:rPr>
          <w:rFonts w:ascii="Arial" w:eastAsia="Times New Roman" w:hAnsi="Arial" w:cs="Arial"/>
          <w:i/>
          <w:iCs/>
          <w:lang w:val="es-MX" w:eastAsia="es-CO"/>
          <w14:ligatures w14:val="standardContextual"/>
        </w:rPr>
        <w:t xml:space="preserve">sujetos obligados </w:t>
      </w:r>
      <w:r w:rsidRPr="007B29AC">
        <w:rPr>
          <w:rFonts w:ascii="Arial" w:eastAsia="Times New Roman" w:hAnsi="Arial" w:cs="Arial"/>
          <w:lang w:val="es-MX" w:eastAsia="es-CO"/>
          <w14:ligatures w14:val="standardContextual"/>
        </w:rPr>
        <w:t xml:space="preserve">deben publicar la información relativa a su contratación. </w:t>
      </w:r>
      <w:r w:rsidRPr="007B29AC">
        <w:rPr>
          <w:rFonts w:ascii="Arial" w:eastAsia="Arial MT" w:hAnsi="Arial" w:cs="Arial"/>
          <w:lang w:val="es-ES"/>
          <w14:ligatures w14:val="standardContextual"/>
        </w:rPr>
        <w:t xml:space="preserve">El artículo 5 </w:t>
      </w:r>
      <w:r w:rsidRPr="007B29AC">
        <w:rPr>
          <w:rFonts w:ascii="Arial" w:eastAsia="Arial MT" w:hAnsi="Arial" w:cs="Arial"/>
          <w:i/>
          <w:iCs/>
          <w:lang w:val="es-ES"/>
          <w14:ligatures w14:val="standardContextual"/>
        </w:rPr>
        <w:t>ibidem</w:t>
      </w:r>
      <w:r w:rsidRPr="007B29AC">
        <w:rPr>
          <w:rFonts w:ascii="Arial" w:eastAsia="Arial MT" w:hAnsi="Arial" w:cs="Arial"/>
          <w:lang w:val="es-ES"/>
          <w14:ligatures w14:val="standardContextual"/>
        </w:rPr>
        <w:t>, al describir qué se entiende por sujetos obligados, consagra una lista cuyo propósito es incluir a cualquier entidad, órgano, organismo, o persona natural que desempeñe funciones públicas o administre recursos públicos. También son sujetos obligados las empresas públicas, las empresas del Estado y las sociedades en las que el Estado tenga participación, sin que importe su monto</w:t>
      </w:r>
      <w:bookmarkEnd w:id="9"/>
      <w:bookmarkEnd w:id="12"/>
      <w:r w:rsidRPr="007B29AC">
        <w:rPr>
          <w:rFonts w:ascii="Arial" w:eastAsia="Times New Roman" w:hAnsi="Arial" w:cs="Arial"/>
          <w:vertAlign w:val="superscript"/>
          <w:lang w:val="es-MX" w:eastAsia="es-CO"/>
          <w14:ligatures w14:val="standardContextual"/>
        </w:rPr>
        <w:footnoteReference w:id="14"/>
      </w:r>
      <w:r w:rsidRPr="007B29AC">
        <w:rPr>
          <w:rFonts w:ascii="Arial" w:eastAsia="Arial MT" w:hAnsi="Arial" w:cs="Arial"/>
          <w:lang w:val="es-ES"/>
          <w14:ligatures w14:val="standardContextual"/>
        </w:rPr>
        <w:t>.</w:t>
      </w:r>
      <w:r w:rsidRPr="007B29AC">
        <w:rPr>
          <w:rFonts w:ascii="Arial" w:eastAsia="Times New Roman" w:hAnsi="Arial" w:cs="Arial"/>
          <w:lang w:val="es-MX" w:eastAsia="es-CO"/>
          <w14:ligatures w14:val="standardContextual"/>
        </w:rPr>
        <w:t xml:space="preserve"> </w:t>
      </w:r>
    </w:p>
    <w:bookmarkEnd w:id="10"/>
    <w:p w14:paraId="7EE5A92C" w14:textId="77777777" w:rsidR="006402E8" w:rsidRPr="007B29AC" w:rsidRDefault="006402E8" w:rsidP="006402E8">
      <w:pPr>
        <w:spacing w:after="120" w:line="276" w:lineRule="auto"/>
        <w:ind w:firstLine="709"/>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La anterior obligación fue desarrollada por el artículo 2.1.1.2.1.7. del Decreto Único Reglamentario 1081 de 2015</w:t>
      </w:r>
      <w:r w:rsidRPr="007B29AC">
        <w:rPr>
          <w:rFonts w:ascii="Arial" w:eastAsia="Times New Roman" w:hAnsi="Arial" w:cs="Arial"/>
          <w:vertAlign w:val="superscript"/>
          <w:lang w:val="es-MX" w:eastAsia="es-CO"/>
          <w14:ligatures w14:val="standardContextual"/>
        </w:rPr>
        <w:footnoteReference w:id="15"/>
      </w:r>
      <w:r w:rsidRPr="007B29AC">
        <w:rPr>
          <w:rFonts w:ascii="Arial" w:eastAsia="Times New Roman" w:hAnsi="Arial" w:cs="Arial"/>
          <w:lang w:val="es-MX" w:eastAsia="es-CO"/>
          <w14:ligatures w14:val="standardContextual"/>
        </w:rPr>
        <w:t>, el cual dispone que la publicación de la información contractual de los sujetos obligados,</w:t>
      </w:r>
      <w:r w:rsidRPr="007B29AC">
        <w:rPr>
          <w:rFonts w:ascii="Arial" w:eastAsia="Times New Roman" w:hAnsi="Arial" w:cs="Arial"/>
          <w:spacing w:val="3"/>
          <w:lang w:val="es-MX" w:eastAsia="es-CO"/>
          <w14:ligatures w14:val="standardContextual"/>
        </w:rPr>
        <w:t xml:space="preserve"> </w:t>
      </w:r>
      <w:r w:rsidRPr="007B29AC">
        <w:rPr>
          <w:rFonts w:ascii="Arial" w:eastAsia="Times New Roman" w:hAnsi="Arial" w:cs="Arial"/>
          <w:lang w:val="es-MX" w:eastAsia="es-CO"/>
          <w14:ligatures w14:val="standardContextual"/>
        </w:rPr>
        <w:t xml:space="preserve">que contratan con cargo a recursos públicos, debe hacerse en el Sistema Electrónico de Contratación Pública ─ SECOP. </w:t>
      </w:r>
    </w:p>
    <w:p w14:paraId="4B97E941" w14:textId="77777777" w:rsidR="006402E8" w:rsidRPr="007B29AC" w:rsidRDefault="006402E8" w:rsidP="006402E8">
      <w:pPr>
        <w:spacing w:after="120" w:line="276" w:lineRule="auto"/>
        <w:ind w:firstLine="709"/>
        <w:jc w:val="both"/>
        <w:rPr>
          <w:rFonts w:ascii="Arial" w:eastAsia="Times New Roman" w:hAnsi="Arial" w:cs="Arial"/>
          <w:lang w:val="es-MX" w:eastAsia="es-CO"/>
          <w14:ligatures w14:val="standardContextual"/>
        </w:rPr>
      </w:pPr>
      <w:r w:rsidRPr="007B29AC">
        <w:rPr>
          <w:rFonts w:ascii="Arial" w:eastAsia="Times New Roman" w:hAnsi="Arial" w:cs="Arial"/>
          <w:lang w:val="es-MX" w:eastAsia="es-CO"/>
          <w14:ligatures w14:val="standardContextual"/>
        </w:rPr>
        <w:t xml:space="preserve">Así mismo, de acuerdo con el literal g) del artículo 11 de la misma Ley, todos los destinatarios de la llamada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Además de lo anterior, es indispensable precisar que el artículo 3 de la Ley 1150 de 2007 ya había establecido que el Sistema Electrónico para la </w:t>
      </w:r>
      <w:r w:rsidRPr="007B29AC">
        <w:rPr>
          <w:rFonts w:ascii="Arial" w:eastAsia="Times New Roman" w:hAnsi="Arial" w:cs="Arial"/>
          <w:lang w:val="es-MX" w:eastAsia="es-CO"/>
          <w14:ligatures w14:val="standardContextual"/>
        </w:rPr>
        <w:lastRenderedPageBreak/>
        <w:t>Contratación Pública – SECOP “Contará con la información oficial de la contratación realizada con dineros públicos”</w:t>
      </w:r>
      <w:r w:rsidRPr="007B29AC">
        <w:rPr>
          <w:rFonts w:ascii="Arial" w:eastAsia="Times New Roman" w:hAnsi="Arial" w:cs="Arial"/>
          <w:vertAlign w:val="superscript"/>
          <w:lang w:val="es-MX" w:eastAsia="es-CO"/>
          <w14:ligatures w14:val="standardContextual"/>
        </w:rPr>
        <w:footnoteReference w:id="16"/>
      </w:r>
      <w:r w:rsidRPr="007B29AC">
        <w:rPr>
          <w:rFonts w:ascii="Arial" w:eastAsia="Times New Roman" w:hAnsi="Arial" w:cs="Arial"/>
          <w:lang w:val="es-MX" w:eastAsia="es-CO"/>
          <w14:ligatures w14:val="standardContextual"/>
        </w:rPr>
        <w:t>.</w:t>
      </w:r>
    </w:p>
    <w:p w14:paraId="1DDC4E96" w14:textId="77777777" w:rsidR="006402E8" w:rsidRPr="007B29AC" w:rsidRDefault="006402E8" w:rsidP="006402E8">
      <w:pPr>
        <w:spacing w:after="0" w:line="276" w:lineRule="auto"/>
        <w:ind w:firstLine="709"/>
        <w:contextualSpacing/>
        <w:jc w:val="both"/>
        <w:rPr>
          <w:rFonts w:ascii="Arial" w:hAnsi="Arial" w:cs="Arial"/>
          <w:lang w:val="es-MX"/>
          <w14:ligatures w14:val="standardContextual"/>
        </w:rPr>
      </w:pPr>
      <w:bookmarkStart w:id="13" w:name="_Hlk109111930"/>
      <w:r w:rsidRPr="007B29AC">
        <w:rPr>
          <w:rFonts w:ascii="Arial" w:hAnsi="Arial" w:cs="Arial"/>
          <w:lang w:val="es-MX"/>
          <w14:ligatures w14:val="standardContextual"/>
        </w:rPr>
        <w:t xml:space="preserve">Las anteriores disposiciones normativas fueron complementadas con la expedición de </w:t>
      </w:r>
      <w:bookmarkStart w:id="14" w:name="_Hlk112856043"/>
      <w:r w:rsidRPr="007B29AC">
        <w:rPr>
          <w:rFonts w:ascii="Arial" w:hAnsi="Arial" w:cs="Arial"/>
          <w:lang w:val="es-MX"/>
          <w14:ligatures w14:val="standardContextual"/>
        </w:rPr>
        <w:t xml:space="preserve">la Ley </w:t>
      </w:r>
      <w:bookmarkStart w:id="15" w:name="_Hlk112245356"/>
      <w:r w:rsidRPr="007B29AC">
        <w:rPr>
          <w:rFonts w:ascii="Arial" w:hAnsi="Arial" w:cs="Arial"/>
          <w:lang w:val="es-MX"/>
          <w14:ligatures w14:val="standardContextual"/>
        </w:rPr>
        <w:t xml:space="preserve">2195 de 2022, por medio de la cual se adoptan medidas en materia de transparencia, prevención y lucha contra la corrupción. </w:t>
      </w:r>
      <w:r w:rsidRPr="007B29AC">
        <w:rPr>
          <w:rFonts w:ascii="Arial" w:eastAsia="Calibri" w:hAnsi="Arial" w:cs="Arial"/>
          <w:lang w:val="es-ES_tradnl" w:eastAsia="es-ES_tradnl"/>
          <w14:ligatures w14:val="standardContextual"/>
        </w:rPr>
        <w:t>Según el artículo 1°, esta Ley “</w:t>
      </w:r>
      <w:r w:rsidRPr="007B29AC">
        <w:rPr>
          <w:rFonts w:ascii="Arial" w:eastAsia="Times New Roman" w:hAnsi="Arial" w:cs="Arial"/>
          <w:lang w:val="es-ES_tradnl" w:eastAsia="es-ES_tradnl"/>
          <w14:ligatures w14:val="standardContextual"/>
        </w:rPr>
        <w:t xml:space="preserve">[…] </w:t>
      </w:r>
      <w:r w:rsidRPr="007B29AC">
        <w:rPr>
          <w:rFonts w:ascii="Arial" w:eastAsia="Calibri" w:hAnsi="Arial" w:cs="Arial"/>
          <w:lang w:val="es-ES_tradnl" w:eastAsia="es-ES_tradnl"/>
          <w14:ligatures w14:val="standardContextua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la Ley en mención, que lleva por título “Disposiciones en materia contractual para la moralización y la transparencia”, se ubica </w:t>
      </w:r>
      <w:r w:rsidRPr="007B29AC">
        <w:rPr>
          <w:rFonts w:ascii="Arial" w:hAnsi="Arial" w:cs="Arial"/>
          <w:lang w:val="es-MX"/>
          <w14:ligatures w14:val="standardContextual"/>
        </w:rPr>
        <w:t xml:space="preserve">el artículo 53, a través del cual se adiciona el artículo 13 de la Ley 1150 de 2007. La referida disposición les asigna a las entidades estatales que por disposición legal cuenten con un régimen contractual excepcional al del EGCAP la obligación de publicar los documentos relacionados con su actividad contractual en el Sistema Electrónico para la Contratación Pública –SECOP II- o la plataforma transaccional que haga sus veces. </w:t>
      </w:r>
      <w:bookmarkEnd w:id="13"/>
      <w:bookmarkEnd w:id="14"/>
      <w:bookmarkEnd w:id="15"/>
      <w:r w:rsidRPr="007B29AC">
        <w:rPr>
          <w:rFonts w:ascii="Arial" w:hAnsi="Arial" w:cs="Arial"/>
          <w:lang w:val="es-MX"/>
          <w14:ligatures w14:val="standardContextual"/>
        </w:rPr>
        <w:t>Al respecto, la norma citada de manera expresa señala:</w:t>
      </w:r>
    </w:p>
    <w:p w14:paraId="27BFA084" w14:textId="77777777" w:rsidR="006402E8" w:rsidRPr="007B29AC" w:rsidRDefault="006402E8" w:rsidP="006402E8">
      <w:pPr>
        <w:spacing w:after="0" w:line="276" w:lineRule="auto"/>
        <w:ind w:firstLine="301"/>
        <w:contextualSpacing/>
        <w:rPr>
          <w:rFonts w:ascii="Arial" w:hAnsi="Arial" w:cs="Arial"/>
          <w:lang w:val="es-MX"/>
          <w14:ligatures w14:val="standardContextual"/>
        </w:rPr>
      </w:pPr>
    </w:p>
    <w:p w14:paraId="7D7DC17D"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t>“Adiciónese los siguientes incisos al artículo 13 de la Ley 1150 de 2007, el cual quedará así:</w:t>
      </w:r>
    </w:p>
    <w:p w14:paraId="5C74DAEF"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p>
    <w:p w14:paraId="09FFECDA"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A2E1B7F"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p>
    <w:p w14:paraId="15E1A8BD" w14:textId="77777777" w:rsidR="006402E8" w:rsidRPr="007B29AC" w:rsidRDefault="006402E8" w:rsidP="006402E8">
      <w:pPr>
        <w:spacing w:after="0" w:line="240" w:lineRule="auto"/>
        <w:ind w:left="709" w:right="709"/>
        <w:contextualSpacing/>
        <w:jc w:val="both"/>
        <w:rPr>
          <w:rFonts w:ascii="Arial" w:eastAsia="Calibri" w:hAnsi="Arial" w:cs="Arial"/>
          <w:i/>
          <w:iCs/>
          <w:sz w:val="20"/>
          <w:szCs w:val="20"/>
          <w:lang w:val="es-MX"/>
          <w14:ligatures w14:val="standardContextual"/>
        </w:rPr>
      </w:pPr>
      <w:r w:rsidRPr="007B29AC">
        <w:rPr>
          <w:rFonts w:ascii="Arial" w:eastAsia="Calibri" w:hAnsi="Arial" w:cs="Arial"/>
          <w:i/>
          <w:iCs/>
          <w:sz w:val="20"/>
          <w:szCs w:val="20"/>
          <w:lang w:val="es-MX"/>
          <w14:ligatures w14:val="standardContextual"/>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0D1306B9"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p>
    <w:p w14:paraId="2DF59331"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MX"/>
          <w14:ligatures w14:val="standardContextual"/>
        </w:rPr>
      </w:pPr>
      <w:r w:rsidRPr="007B29AC">
        <w:rPr>
          <w:rFonts w:ascii="Arial" w:eastAsia="Calibri" w:hAnsi="Arial" w:cs="Arial"/>
          <w:sz w:val="20"/>
          <w:szCs w:val="20"/>
          <w:lang w:val="es-MX"/>
          <w14:ligatures w14:val="standardContextual"/>
        </w:rPr>
        <w:lastRenderedPageBreak/>
        <w:t>A partir de la entrada en vigencia de la presente Ley, se establecerá un periodo de transición de seis (6) meses, para que las entidades den cumplimiento efectivo a lo aquí establecido”. (Cursiva fuera del original).</w:t>
      </w:r>
    </w:p>
    <w:p w14:paraId="411C8A2E" w14:textId="77777777" w:rsidR="006402E8" w:rsidRPr="007B29AC" w:rsidRDefault="006402E8" w:rsidP="006402E8">
      <w:pPr>
        <w:spacing w:after="0" w:line="276" w:lineRule="auto"/>
        <w:ind w:firstLine="709"/>
        <w:contextualSpacing/>
        <w:jc w:val="both"/>
        <w:rPr>
          <w:rFonts w:ascii="Arial" w:eastAsia="Calibri" w:hAnsi="Arial" w:cs="Arial"/>
          <w:lang w:val="es-ES_tradnl"/>
          <w14:ligatures w14:val="standardContextual"/>
        </w:rPr>
      </w:pPr>
    </w:p>
    <w:p w14:paraId="7EEDD635" w14:textId="77777777" w:rsidR="006402E8" w:rsidRPr="007B29AC" w:rsidRDefault="006402E8" w:rsidP="006402E8">
      <w:pPr>
        <w:spacing w:after="120" w:line="276" w:lineRule="auto"/>
        <w:ind w:firstLine="709"/>
        <w:jc w:val="both"/>
        <w:rPr>
          <w:rFonts w:ascii="Arial" w:eastAsia="Calibri" w:hAnsi="Arial" w:cs="Arial"/>
          <w:lang w:val="es-ES_tradnl" w:eastAsia="es-ES_tradnl"/>
          <w14:ligatures w14:val="standardContextual"/>
        </w:rPr>
      </w:pPr>
      <w:r w:rsidRPr="007B29AC">
        <w:rPr>
          <w:rFonts w:ascii="Arial" w:eastAsia="Calibri" w:hAnsi="Arial" w:cs="Arial"/>
          <w:lang w:val="es-ES_tradnl"/>
          <w14:ligatures w14:val="standardContextual"/>
        </w:rPr>
        <w:t>Cabe destacar que cuando la norma trascrita hace referencia a que el mencionado deber de publicidad debe cumplirse en el SECOP II o “la plataforma transaccional que haga sus veces</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la plataforma que haga sus veces</w:t>
      </w:r>
      <w:r w:rsidRPr="007B29AC">
        <w:rPr>
          <w:rFonts w:ascii="Arial" w:hAnsi="Arial" w:cs="Arial"/>
          <w:lang w:val="es-MX"/>
          <w14:ligatures w14:val="standardContextual"/>
        </w:rPr>
        <w:t>”</w:t>
      </w:r>
      <w:r w:rsidRPr="007B29AC">
        <w:rPr>
          <w:rFonts w:ascii="Arial" w:eastAsia="Calibri" w:hAnsi="Arial" w:cs="Arial"/>
          <w:lang w:val="es-ES_tradnl"/>
          <w14:ligatures w14:val="standardContextual"/>
        </w:rPr>
        <w:t xml:space="preserve"> no puede interpretarse como una autorización para que las entidades obligadas en virtud del artículo 53 de la Ley 2195 de 2022 puedan emplear sus páginas web o sus propios portales electrónicos para cumplir con el deber de publicidad que les asiste. </w:t>
      </w:r>
      <w:r w:rsidRPr="007B29AC">
        <w:rPr>
          <w:rFonts w:ascii="Arial" w:eastAsia="Calibri" w:hAnsi="Arial" w:cs="Arial"/>
          <w:lang w:val="es-ES_tradnl" w:eastAsia="es-ES_tradnl"/>
          <w14:ligatures w14:val="standardContextual"/>
        </w:rPr>
        <w:t>Con esto se logra que la ciudadanía pueda encontrar en un mismo sistema la gestión de la actividad contractual del Estado, garantizándose en mayor grado la transparencia y el acceso a la información y documentación pública.</w:t>
      </w:r>
    </w:p>
    <w:p w14:paraId="053FA4BF" w14:textId="77777777" w:rsidR="006402E8" w:rsidRPr="007B29AC" w:rsidRDefault="006402E8" w:rsidP="006402E8">
      <w:pPr>
        <w:spacing w:before="120" w:after="120" w:line="276" w:lineRule="auto"/>
        <w:ind w:firstLine="709"/>
        <w:jc w:val="both"/>
        <w:rPr>
          <w:rFonts w:ascii="Arial" w:eastAsia="Calibri" w:hAnsi="Arial" w:cs="Arial"/>
          <w:lang w:val="es-ES_tradnl"/>
          <w14:ligatures w14:val="standardContextual"/>
        </w:rPr>
      </w:pPr>
      <w:bookmarkStart w:id="16" w:name="_Hlk109111956"/>
      <w:bookmarkStart w:id="17" w:name="_Hlk112245392"/>
      <w:r w:rsidRPr="007B29AC">
        <w:rPr>
          <w:rFonts w:ascii="Arial" w:eastAsia="Calibri" w:hAnsi="Arial" w:cs="Arial"/>
          <w:lang w:val="es-ES_tradnl"/>
          <w14:ligatures w14:val="standardContextual"/>
        </w:rPr>
        <w:t xml:space="preserve">En cuanto a los documentos que deben ser publicados en el SECOP II, a efectos de cumplir con el mandato consagrado en el artículo 53 de la Ley 2195 de 2022, es preciso advertir que la disposición hace referencia a los documentos relacionados con su </w:t>
      </w:r>
      <w:r w:rsidRPr="007B29AC">
        <w:rPr>
          <w:rFonts w:ascii="Arial" w:eastAsia="Calibri" w:hAnsi="Arial" w:cs="Arial"/>
          <w:i/>
          <w:iCs/>
          <w:lang w:val="es-ES_tradnl"/>
          <w14:ligatures w14:val="standardContextual"/>
        </w:rPr>
        <w:t>actividad contractual,</w:t>
      </w:r>
      <w:r w:rsidRPr="007B29AC">
        <w:rPr>
          <w:rFonts w:ascii="Arial" w:eastAsia="Calibri" w:hAnsi="Arial" w:cs="Arial"/>
          <w:lang w:val="es-ES_tradnl"/>
          <w14:ligatures w14:val="standardContextual"/>
        </w:rPr>
        <w:t xml:space="preserve">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w:t>
      </w:r>
      <w:bookmarkEnd w:id="16"/>
      <w:r w:rsidRPr="007B29AC">
        <w:rPr>
          <w:rFonts w:ascii="Arial" w:eastAsia="Calibri" w:hAnsi="Arial" w:cs="Arial"/>
          <w:lang w:val="es-ES_tradnl"/>
          <w14:ligatures w14:val="standardContextual"/>
        </w:rPr>
        <w:t xml:space="preserve">lo tanto, para que las entidades exceptuadas cumplan con el deber de publicidad consagrado en el artículo 53 de la Ley 2195 de 2022, se requiere que publiquen en el SECOP II todo documento expedido durante las diferentes etapas del proceso contractual, abarcando desde la fase previa a su celebración, pasando por la ejecución y hasta la fase posterior a su ejecución. </w:t>
      </w:r>
    </w:p>
    <w:p w14:paraId="759FDFAB" w14:textId="77777777" w:rsidR="006402E8" w:rsidRPr="007B29AC" w:rsidRDefault="006402E8" w:rsidP="006402E8">
      <w:pPr>
        <w:spacing w:before="120" w:after="120" w:line="276" w:lineRule="auto"/>
        <w:ind w:firstLine="709"/>
        <w:jc w:val="both"/>
        <w:rPr>
          <w:rFonts w:ascii="Arial" w:eastAsia="Calibri" w:hAnsi="Arial" w:cs="Arial"/>
          <w:lang w:val="es-ES"/>
          <w14:ligatures w14:val="standardContextual"/>
        </w:rPr>
      </w:pPr>
      <w:r w:rsidRPr="007B29AC">
        <w:rPr>
          <w:rFonts w:ascii="Arial" w:eastAsia="Calibri" w:hAnsi="Arial" w:cs="Arial"/>
          <w:lang w:val="es-ES"/>
          <w14:ligatures w14:val="standardContextual"/>
        </w:rPr>
        <w:t>Sin perjuicio de lo anterior, vale la pena aclarar que el cumplimiento del deber de publicación de la documentación contractual debe armonizarse con las normas aplicables al tipo de información que estas contienen</w:t>
      </w:r>
      <w:r w:rsidRPr="007B29AC">
        <w:rPr>
          <w:rFonts w:ascii="Arial" w:eastAsia="Calibri" w:hAnsi="Arial" w:cs="Arial"/>
          <w:vertAlign w:val="superscript"/>
          <w:lang w:val="es-ES"/>
          <w14:ligatures w14:val="standardContextual"/>
        </w:rPr>
        <w:footnoteReference w:id="17"/>
      </w:r>
      <w:r w:rsidRPr="007B29AC">
        <w:rPr>
          <w:rFonts w:ascii="Arial" w:eastAsia="Calibri" w:hAnsi="Arial" w:cs="Arial"/>
          <w:lang w:val="es-ES"/>
          <w14:ligatures w14:val="standardContextual"/>
        </w:rPr>
        <w:t xml:space="preserve">. Lo anterior significa que, respecto de datos sensibles, </w:t>
      </w:r>
      <w:r w:rsidRPr="007B29AC">
        <w:rPr>
          <w:rFonts w:ascii="Arial" w:eastAsia="Calibri" w:hAnsi="Arial" w:cs="Arial"/>
          <w:lang w:val="es-ES"/>
          <w14:ligatures w14:val="standardContextual"/>
        </w:rPr>
        <w:lastRenderedPageBreak/>
        <w:t xml:space="preserve">información sometida a reserva o de la cual proceda un tratamiento especial que impida su publicidad, las entidades deberán proceder de conformidad con el tratamiento que impongan tales normas. </w:t>
      </w:r>
    </w:p>
    <w:p w14:paraId="11548A60" w14:textId="77777777" w:rsidR="006402E8" w:rsidRPr="007B29AC" w:rsidRDefault="006402E8" w:rsidP="006402E8">
      <w:pPr>
        <w:spacing w:before="120" w:after="120" w:line="276" w:lineRule="auto"/>
        <w:ind w:firstLine="709"/>
        <w:jc w:val="both"/>
        <w:rPr>
          <w:rFonts w:ascii="Arial" w:eastAsia="Calibri" w:hAnsi="Arial" w:cs="Arial"/>
          <w:lang w:val="es-ES_tradnl"/>
          <w14:ligatures w14:val="standardContextual"/>
        </w:rPr>
      </w:pPr>
      <w:bookmarkStart w:id="18" w:name="_Hlk109111976"/>
      <w:bookmarkStart w:id="19" w:name="_Hlk112856091"/>
      <w:bookmarkStart w:id="20" w:name="_Hlk112245428"/>
      <w:bookmarkEnd w:id="17"/>
      <w:r w:rsidRPr="007B29AC">
        <w:rPr>
          <w:rFonts w:ascii="Arial" w:eastAsia="Calibri" w:hAnsi="Arial" w:cs="Arial"/>
          <w:lang w:val="es-ES_tradnl"/>
          <w14:ligatures w14:val="standardContextual"/>
        </w:rPr>
        <w:t xml:space="preserve">Por otro lado, el inciso final del artículo 53 dispone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trascurrió del 18 de enero al 18 de julio de 2022. </w:t>
      </w:r>
      <w:bookmarkEnd w:id="18"/>
      <w:r w:rsidRPr="007B29AC">
        <w:rPr>
          <w:rFonts w:ascii="Arial" w:eastAsia="Calibri" w:hAnsi="Arial" w:cs="Arial"/>
          <w:lang w:val="es-ES_tradnl"/>
          <w14:ligatures w14:val="standardContextual"/>
        </w:rPr>
        <w:t>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el 18 de julio de 2022</w:t>
      </w:r>
      <w:bookmarkEnd w:id="19"/>
      <w:r w:rsidRPr="007B29AC">
        <w:rPr>
          <w:rFonts w:ascii="Arial" w:hAnsi="Arial" w:cs="Arial"/>
          <w:vertAlign w:val="superscript"/>
          <w:lang w:val="es-MX"/>
          <w14:ligatures w14:val="standardContextual"/>
        </w:rPr>
        <w:footnoteReference w:id="18"/>
      </w:r>
      <w:r w:rsidRPr="007B29AC">
        <w:rPr>
          <w:rFonts w:ascii="Arial" w:hAnsi="Arial" w:cs="Arial"/>
          <w:lang w:val="es-MX"/>
          <w14:ligatures w14:val="standardContextual"/>
        </w:rPr>
        <w:t>.</w:t>
      </w:r>
    </w:p>
    <w:bookmarkEnd w:id="20"/>
    <w:p w14:paraId="734D4409" w14:textId="77777777" w:rsidR="006402E8" w:rsidRPr="007B29AC" w:rsidRDefault="006402E8" w:rsidP="006402E8">
      <w:pPr>
        <w:autoSpaceDE w:val="0"/>
        <w:autoSpaceDN w:val="0"/>
        <w:adjustRightInd w:val="0"/>
        <w:spacing w:after="0" w:line="276" w:lineRule="auto"/>
        <w:ind w:firstLine="709"/>
        <w:contextualSpacing/>
        <w:jc w:val="both"/>
        <w:rPr>
          <w:rFonts w:ascii="Arial" w:eastAsia="Calibri" w:hAnsi="Arial" w:cs="Arial"/>
          <w:lang w:val="es-ES_tradnl" w:eastAsia="es-ES_tradnl"/>
          <w14:ligatures w14:val="standardContextual"/>
        </w:rPr>
      </w:pPr>
      <w:r w:rsidRPr="007B29AC">
        <w:rPr>
          <w:rFonts w:ascii="Arial" w:eastAsia="Calibri" w:hAnsi="Arial" w:cs="Arial"/>
          <w:lang w:val="es-ES_tradnl"/>
          <w14:ligatures w14:val="standardContextual"/>
        </w:rPr>
        <w:t>Finalmente</w:t>
      </w:r>
      <w:r w:rsidRPr="007B29AC">
        <w:rPr>
          <w:rFonts w:ascii="Arial" w:eastAsia="Calibri" w:hAnsi="Arial" w:cs="Arial"/>
          <w:lang w:val="es-ES"/>
          <w14:ligatures w14:val="standardContextual"/>
        </w:rPr>
        <w:t>, debe destacarse que, el Departamento Administrativo de la Presidencia de la Republica expidió la Circular 02 del 1 de junio de 2022, la cual contiene una serie de instrucciones dirigidas a garantizar el cumplimiento del deber legal de publicar en SECOP II por parte de las entidades estatales exceptuadas del EGCAP. Sobre el alcance y vigencia dicha disposición la mencionada circular señaló lo siguiente</w:t>
      </w:r>
      <w:r w:rsidRPr="007B29AC">
        <w:rPr>
          <w:rFonts w:ascii="Arial" w:eastAsia="Calibri" w:hAnsi="Arial" w:cs="Arial"/>
          <w:lang w:val="es-ES_tradnl" w:eastAsia="es-ES_tradnl"/>
          <w14:ligatures w14:val="standardContextual"/>
        </w:rPr>
        <w:t>:</w:t>
      </w:r>
    </w:p>
    <w:p w14:paraId="76381230" w14:textId="77777777" w:rsidR="006402E8" w:rsidRPr="007B29AC" w:rsidRDefault="006402E8" w:rsidP="006402E8">
      <w:pPr>
        <w:autoSpaceDE w:val="0"/>
        <w:autoSpaceDN w:val="0"/>
        <w:adjustRightInd w:val="0"/>
        <w:spacing w:after="0" w:line="276" w:lineRule="auto"/>
        <w:ind w:firstLine="709"/>
        <w:contextualSpacing/>
        <w:jc w:val="both"/>
        <w:rPr>
          <w:rFonts w:ascii="Arial" w:eastAsia="Calibri" w:hAnsi="Arial" w:cs="Arial"/>
          <w:lang w:val="es-ES_tradnl" w:eastAsia="es-ES_tradnl"/>
          <w14:ligatures w14:val="standardContextual"/>
        </w:rPr>
      </w:pPr>
    </w:p>
    <w:p w14:paraId="601EC4A1" w14:textId="77777777" w:rsidR="006402E8" w:rsidRPr="007B29AC" w:rsidRDefault="006402E8" w:rsidP="006402E8">
      <w:pPr>
        <w:autoSpaceDE w:val="0"/>
        <w:autoSpaceDN w:val="0"/>
        <w:adjustRightInd w:val="0"/>
        <w:spacing w:after="0" w:line="240" w:lineRule="auto"/>
        <w:ind w:left="709" w:right="709"/>
        <w:contextualSpacing/>
        <w:jc w:val="both"/>
        <w:rPr>
          <w:rFonts w:ascii="Arial" w:eastAsia="Calibri" w:hAnsi="Arial" w:cs="Arial"/>
          <w:i/>
          <w:iCs/>
          <w:sz w:val="20"/>
          <w:szCs w:val="20"/>
          <w:lang w:val="es-ES_tradnl" w:eastAsia="es-ES_tradnl"/>
          <w14:ligatures w14:val="standardContextual"/>
        </w:rPr>
      </w:pPr>
      <w:r w:rsidRPr="007B29AC">
        <w:rPr>
          <w:rFonts w:ascii="Arial" w:hAnsi="Arial" w:cs="Arial"/>
          <w:i/>
          <w:iCs/>
          <w:sz w:val="20"/>
          <w:szCs w:val="20"/>
          <w:lang w:val="es-MX"/>
          <w14:ligatures w14:val="standardContextual"/>
        </w:rPr>
        <w:t>“Dado que el artículo 53 de la Ley 2195 de 2022 no cambió la forma en que se perfeccionan los contratos suscritos por estas entidades exceptuadas, para cumplir con el deber de publicidad que les asiste, podrán elegir cualquiera de las siguientes opciones: 1. Firmar el contrato electrónicamente (es decir, realiza un uso transaccional de la plataforma). 2. Firmar el contrato en físico y publicar los documentos de ejecución en la etapa precontractual del SECOP 11 (es decir, realiza un uso publicitario de la plataforma).</w:t>
      </w:r>
    </w:p>
    <w:p w14:paraId="176A44CF" w14:textId="77777777" w:rsidR="006402E8" w:rsidRPr="007B29AC" w:rsidRDefault="006402E8" w:rsidP="006402E8">
      <w:pPr>
        <w:autoSpaceDE w:val="0"/>
        <w:autoSpaceDN w:val="0"/>
        <w:adjustRightInd w:val="0"/>
        <w:spacing w:after="0" w:line="240" w:lineRule="auto"/>
        <w:ind w:firstLine="708"/>
        <w:contextualSpacing/>
        <w:jc w:val="both"/>
        <w:rPr>
          <w:rFonts w:ascii="Arial" w:eastAsia="Calibri" w:hAnsi="Arial" w:cs="Arial"/>
          <w:sz w:val="20"/>
          <w:szCs w:val="20"/>
          <w:lang w:val="es-ES_tradnl" w:eastAsia="es-ES_tradnl"/>
          <w14:ligatures w14:val="standardContextual"/>
        </w:rPr>
      </w:pPr>
    </w:p>
    <w:p w14:paraId="62DE7763" w14:textId="77777777" w:rsidR="006402E8" w:rsidRPr="007B29AC" w:rsidRDefault="006402E8" w:rsidP="006402E8">
      <w:pPr>
        <w:autoSpaceDE w:val="0"/>
        <w:autoSpaceDN w:val="0"/>
        <w:adjustRightInd w:val="0"/>
        <w:spacing w:after="0" w:line="240" w:lineRule="auto"/>
        <w:ind w:firstLine="708"/>
        <w:contextualSpacing/>
        <w:jc w:val="both"/>
        <w:rPr>
          <w:rFonts w:ascii="Arial" w:eastAsia="Calibri" w:hAnsi="Arial" w:cs="Arial"/>
          <w:sz w:val="20"/>
          <w:szCs w:val="20"/>
          <w:lang w:val="es-ES_tradnl" w:eastAsia="es-ES_tradnl"/>
          <w14:ligatures w14:val="standardContextual"/>
        </w:rPr>
      </w:pPr>
      <w:r w:rsidRPr="007B29AC">
        <w:rPr>
          <w:rFonts w:ascii="Arial" w:eastAsia="Calibri" w:hAnsi="Arial" w:cs="Arial"/>
          <w:sz w:val="20"/>
          <w:szCs w:val="20"/>
          <w:lang w:val="es-ES_tradnl" w:eastAsia="es-ES_tradnl"/>
          <w14:ligatures w14:val="standardContextual"/>
        </w:rPr>
        <w:t>[…]</w:t>
      </w:r>
    </w:p>
    <w:p w14:paraId="0B970808" w14:textId="77777777" w:rsidR="006402E8" w:rsidRPr="007B29AC" w:rsidRDefault="006402E8" w:rsidP="006402E8">
      <w:pPr>
        <w:spacing w:after="0" w:line="240" w:lineRule="auto"/>
        <w:ind w:left="709" w:right="709"/>
        <w:contextualSpacing/>
        <w:jc w:val="both"/>
        <w:rPr>
          <w:rFonts w:ascii="Arial" w:eastAsia="Times New Roman" w:hAnsi="Arial" w:cs="Arial"/>
          <w:sz w:val="20"/>
          <w:szCs w:val="20"/>
          <w:lang w:eastAsia="es-ES_tradnl"/>
          <w14:ligatures w14:val="standardContextual"/>
        </w:rPr>
      </w:pPr>
    </w:p>
    <w:p w14:paraId="3C1BC012" w14:textId="77777777" w:rsidR="006402E8" w:rsidRPr="007B29AC" w:rsidRDefault="006402E8" w:rsidP="006402E8">
      <w:pPr>
        <w:spacing w:after="0" w:line="240" w:lineRule="auto"/>
        <w:ind w:left="709" w:right="709"/>
        <w:contextualSpacing/>
        <w:jc w:val="both"/>
        <w:rPr>
          <w:rFonts w:ascii="Arial" w:eastAsia="Times New Roman" w:hAnsi="Arial" w:cs="Arial"/>
          <w:i/>
          <w:iCs/>
          <w:sz w:val="20"/>
          <w:szCs w:val="20"/>
          <w:lang w:eastAsia="es-ES_tradnl"/>
          <w14:ligatures w14:val="standardContextual"/>
        </w:rPr>
      </w:pPr>
      <w:r w:rsidRPr="007B29AC">
        <w:rPr>
          <w:rFonts w:ascii="Arial" w:eastAsia="Times New Roman" w:hAnsi="Arial" w:cs="Arial"/>
          <w:sz w:val="20"/>
          <w:szCs w:val="20"/>
          <w:lang w:eastAsia="es-ES_tradnl"/>
          <w14:ligatures w14:val="standardContextual"/>
        </w:rPr>
        <w:t>El deber de las entidades estatales que por disposición legal cuenten con un régimen contractual excepcional al del Estatuto General de Contratación de la Administración Pública, de publicar los documentos relacionados con su actividad contractual en el SECOP II</w:t>
      </w:r>
      <w:r w:rsidRPr="007B29AC">
        <w:rPr>
          <w:rFonts w:ascii="Arial" w:eastAsia="Times New Roman" w:hAnsi="Arial" w:cs="Arial"/>
          <w:i/>
          <w:iCs/>
          <w:sz w:val="20"/>
          <w:szCs w:val="20"/>
          <w:lang w:eastAsia="es-ES_tradnl"/>
          <w14:ligatures w14:val="standardContextual"/>
        </w:rPr>
        <w:t xml:space="preserve">, solo aplica para los contratos suscritos con posterioridad al término dispuesto en el artículo 53 de la Ley 2195 de 2022, esto es, el 18 de julio de 2022. </w:t>
      </w:r>
    </w:p>
    <w:p w14:paraId="0FA44FFA" w14:textId="77777777" w:rsidR="006402E8" w:rsidRPr="007B29AC" w:rsidRDefault="006402E8" w:rsidP="006402E8">
      <w:pPr>
        <w:spacing w:after="0" w:line="240" w:lineRule="auto"/>
        <w:ind w:left="709" w:right="709"/>
        <w:contextualSpacing/>
        <w:jc w:val="both"/>
        <w:rPr>
          <w:rFonts w:ascii="Arial" w:eastAsia="Times New Roman" w:hAnsi="Arial" w:cs="Arial"/>
          <w:sz w:val="20"/>
          <w:szCs w:val="20"/>
          <w:lang w:eastAsia="es-ES_tradnl"/>
          <w14:ligatures w14:val="standardContextual"/>
        </w:rPr>
      </w:pPr>
    </w:p>
    <w:p w14:paraId="2D9CF0B4"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ES_tradnl" w:eastAsia="es-ES_tradnl"/>
          <w14:ligatures w14:val="standardContextual"/>
        </w:rPr>
      </w:pPr>
      <w:r w:rsidRPr="007B29AC">
        <w:rPr>
          <w:rFonts w:ascii="Arial" w:eastAsia="Times New Roman" w:hAnsi="Arial" w:cs="Arial"/>
          <w:sz w:val="20"/>
          <w:szCs w:val="20"/>
          <w:lang w:eastAsia="es-ES_tradnl"/>
          <w14:ligatures w14:val="standardContextual"/>
        </w:rPr>
        <w:t>Lo anterior en concordancia con lo establecido en el artículo 38 de la Ley 153 de 1887, el cual dispone que en todo contrato celebrado se entenderán incorporadas las leyes vigentes al tiempo de su celebración”</w:t>
      </w:r>
      <w:r w:rsidRPr="007B29AC">
        <w:rPr>
          <w:rFonts w:ascii="Arial" w:eastAsia="Times New Roman" w:hAnsi="Arial" w:cs="Arial"/>
          <w:i/>
          <w:iCs/>
          <w:sz w:val="20"/>
          <w:szCs w:val="20"/>
          <w:lang w:eastAsia="es-ES_tradnl"/>
          <w14:ligatures w14:val="standardContextual"/>
        </w:rPr>
        <w:t xml:space="preserve">. </w:t>
      </w:r>
      <w:r w:rsidRPr="007B29AC">
        <w:rPr>
          <w:rFonts w:ascii="Arial" w:eastAsia="Calibri" w:hAnsi="Arial" w:cs="Arial"/>
          <w:sz w:val="20"/>
          <w:szCs w:val="20"/>
          <w14:ligatures w14:val="standardContextual"/>
        </w:rPr>
        <w:t>(Cursiva fuera del original).</w:t>
      </w:r>
    </w:p>
    <w:p w14:paraId="78CAFCC8" w14:textId="77777777" w:rsidR="006402E8" w:rsidRPr="007B29AC" w:rsidRDefault="006402E8" w:rsidP="006402E8">
      <w:pPr>
        <w:spacing w:after="0" w:line="276" w:lineRule="auto"/>
        <w:ind w:firstLine="709"/>
        <w:contextualSpacing/>
        <w:jc w:val="both"/>
        <w:rPr>
          <w:rFonts w:ascii="Arial" w:eastAsia="Calibri" w:hAnsi="Arial" w:cs="Arial"/>
          <w:lang w:val="es-ES_tradnl"/>
          <w14:ligatures w14:val="standardContextual"/>
        </w:rPr>
      </w:pPr>
    </w:p>
    <w:p w14:paraId="1E508B3B" w14:textId="77777777" w:rsidR="006402E8" w:rsidRPr="007B29AC" w:rsidRDefault="006402E8" w:rsidP="006402E8">
      <w:pPr>
        <w:spacing w:after="0" w:line="276" w:lineRule="auto"/>
        <w:ind w:firstLine="709"/>
        <w:contextualSpacing/>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t>Sobre el particular ya se había pronunciado la Agencia Nacional de Contratación Pública – Colombia Compra Eficiente– en la Circular No. 002 del 17 de marzo de 2022</w:t>
      </w:r>
      <w:r w:rsidRPr="007B29AC">
        <w:rPr>
          <w:rFonts w:ascii="Arial" w:eastAsia="Calibri" w:hAnsi="Arial" w:cs="Arial"/>
          <w:vertAlign w:val="superscript"/>
          <w:lang w:val="es-ES_tradnl"/>
          <w14:ligatures w14:val="standardContextual"/>
        </w:rPr>
        <w:footnoteReference w:id="19"/>
      </w:r>
      <w:r w:rsidRPr="007B29AC">
        <w:rPr>
          <w:rFonts w:ascii="Arial" w:eastAsia="Calibri" w:hAnsi="Arial" w:cs="Arial"/>
          <w:lang w:val="es-ES_tradnl"/>
          <w14:ligatures w14:val="standardContextual"/>
        </w:rPr>
        <w:t>, en la que se indicó:</w:t>
      </w:r>
    </w:p>
    <w:p w14:paraId="12FA129B" w14:textId="77777777" w:rsidR="006402E8" w:rsidRPr="007B29AC" w:rsidRDefault="006402E8" w:rsidP="006402E8">
      <w:pPr>
        <w:spacing w:after="0" w:line="276" w:lineRule="auto"/>
        <w:ind w:firstLine="709"/>
        <w:contextualSpacing/>
        <w:jc w:val="both"/>
        <w:rPr>
          <w:rFonts w:ascii="Arial" w:eastAsia="Calibri" w:hAnsi="Arial" w:cs="Arial"/>
          <w:lang w:val="es-ES_tradnl"/>
          <w14:ligatures w14:val="standardContextual"/>
        </w:rPr>
      </w:pPr>
    </w:p>
    <w:p w14:paraId="1EA87251" w14:textId="77777777" w:rsidR="006402E8" w:rsidRPr="007B29AC" w:rsidRDefault="006402E8" w:rsidP="006402E8">
      <w:pPr>
        <w:spacing w:after="0" w:line="240" w:lineRule="auto"/>
        <w:ind w:left="709" w:right="709"/>
        <w:contextualSpacing/>
        <w:jc w:val="both"/>
        <w:rPr>
          <w:rFonts w:ascii="Arial" w:hAnsi="Arial" w:cs="Arial"/>
          <w:sz w:val="20"/>
          <w:szCs w:val="20"/>
          <w:lang w:val="es-MX"/>
          <w14:ligatures w14:val="standardContextual"/>
        </w:rPr>
      </w:pPr>
      <w:r w:rsidRPr="007B29AC">
        <w:rPr>
          <w:rFonts w:ascii="Arial" w:hAnsi="Arial" w:cs="Arial"/>
          <w:sz w:val="20"/>
          <w:szCs w:val="20"/>
          <w:lang w:val="es-MX"/>
          <w14:ligatures w14:val="standardContextual"/>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3F365522" w14:textId="77777777" w:rsidR="006402E8" w:rsidRPr="007B29AC" w:rsidRDefault="006402E8" w:rsidP="006402E8">
      <w:pPr>
        <w:spacing w:after="0" w:line="240" w:lineRule="auto"/>
        <w:ind w:left="709" w:right="709"/>
        <w:contextualSpacing/>
        <w:jc w:val="both"/>
        <w:rPr>
          <w:rFonts w:ascii="Arial" w:hAnsi="Arial" w:cs="Arial"/>
          <w:sz w:val="20"/>
          <w:szCs w:val="20"/>
          <w:lang w:val="es-MX"/>
          <w14:ligatures w14:val="standardContextual"/>
        </w:rPr>
      </w:pPr>
    </w:p>
    <w:p w14:paraId="226CCCAD" w14:textId="77777777" w:rsidR="006402E8" w:rsidRPr="007B29AC" w:rsidRDefault="006402E8" w:rsidP="006402E8">
      <w:pPr>
        <w:spacing w:after="0" w:line="240" w:lineRule="auto"/>
        <w:ind w:left="709" w:right="709"/>
        <w:contextualSpacing/>
        <w:jc w:val="both"/>
        <w:rPr>
          <w:rFonts w:ascii="Arial" w:eastAsia="Calibri" w:hAnsi="Arial" w:cs="Arial"/>
          <w:sz w:val="20"/>
          <w:szCs w:val="20"/>
          <w:lang w:val="es-ES_tradnl"/>
          <w14:ligatures w14:val="standardContextual"/>
        </w:rPr>
      </w:pPr>
      <w:r w:rsidRPr="007B29AC">
        <w:rPr>
          <w:rFonts w:ascii="Arial" w:hAnsi="Arial" w:cs="Arial"/>
          <w:i/>
          <w:iCs/>
          <w:sz w:val="20"/>
          <w:szCs w:val="20"/>
          <w:lang w:val="es-MX"/>
          <w14:ligatures w14:val="standardContextual"/>
        </w:rPr>
        <w:t>En consecuencia, su uso obligatorio empezará a regir a partir del 18 de iulio de 2022, 23:59 horas, sin que sea posible por vía reglamentaria o en sus reglamentos internos de contratación -también conocidos como Manuales de Contratación"-hacer extensivo el plazo previsto en la Ley.</w:t>
      </w:r>
      <w:r w:rsidRPr="007B29AC">
        <w:rPr>
          <w:rFonts w:ascii="Arial" w:hAnsi="Arial" w:cs="Arial"/>
          <w:sz w:val="20"/>
          <w:szCs w:val="20"/>
          <w:lang w:val="es-MX"/>
          <w14:ligatures w14:val="standardContextual"/>
        </w:rPr>
        <w:t xml:space="preserve"> Todos los procesos de contratación creados en el SECOP I antes del 18 de julio de 2022, 23:59 horas, por parte de estas entidades estatales, podrán continuar siendo gestionados en esta plataforma”</w:t>
      </w:r>
      <w:r w:rsidRPr="007B29AC">
        <w:rPr>
          <w:rFonts w:ascii="Arial" w:eastAsia="Calibri" w:hAnsi="Arial" w:cs="Arial"/>
          <w:sz w:val="20"/>
          <w:szCs w:val="20"/>
          <w:lang w:val="es-ES_tradnl"/>
          <w14:ligatures w14:val="standardContextual"/>
        </w:rPr>
        <w:t xml:space="preserve">. (Cursivas fuera de texto). </w:t>
      </w:r>
    </w:p>
    <w:p w14:paraId="42F4BBB9" w14:textId="77777777" w:rsidR="006402E8" w:rsidRPr="007B29AC" w:rsidRDefault="006402E8" w:rsidP="006402E8">
      <w:pPr>
        <w:tabs>
          <w:tab w:val="left" w:pos="1141"/>
        </w:tabs>
        <w:autoSpaceDE w:val="0"/>
        <w:autoSpaceDN w:val="0"/>
        <w:adjustRightInd w:val="0"/>
        <w:spacing w:after="0" w:line="276" w:lineRule="auto"/>
        <w:ind w:firstLine="708"/>
        <w:contextualSpacing/>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tab/>
      </w:r>
    </w:p>
    <w:p w14:paraId="41D28EDC" w14:textId="77777777" w:rsidR="006402E8" w:rsidRPr="007B29AC" w:rsidRDefault="006402E8" w:rsidP="006402E8">
      <w:pPr>
        <w:spacing w:after="120" w:line="276" w:lineRule="auto"/>
        <w:ind w:firstLine="709"/>
        <w:jc w:val="both"/>
        <w:rPr>
          <w:rFonts w:ascii="Arial" w:eastAsia="Calibri" w:hAnsi="Arial" w:cs="Arial"/>
          <w:lang w:val="es-ES_tradnl"/>
          <w14:ligatures w14:val="standardContextual"/>
        </w:rPr>
      </w:pPr>
      <w:bookmarkStart w:id="21" w:name="_Hlk114556636"/>
      <w:r w:rsidRPr="007B29AC">
        <w:rPr>
          <w:rFonts w:ascii="Arial" w:hAnsi="Arial" w:cs="Arial"/>
          <w14:ligatures w14:val="standardContextual"/>
        </w:rPr>
        <w:t xml:space="preserve">Conforme a lo anterior, resulta claro que, a partir del 18 de julio de 2022, las entidades exceptuadas se encuentran obligadas a publicar todos los documentos de su actividad contractual en el SECOP II, sin perjuicio de estar sometidas a regímenes de derecho privado. Siendo este el efecto de la disposición bajo estudio se destaca que </w:t>
      </w:r>
      <w:r w:rsidRPr="007B29AC">
        <w:rPr>
          <w:rFonts w:ascii="Arial" w:eastAsia="Calibri" w:hAnsi="Arial" w:cs="Arial"/>
          <w:lang w:val="es-ES_tradnl"/>
          <w14:ligatures w14:val="standardContextual"/>
        </w:rPr>
        <w:t xml:space="preserve">la modificación introducida por el artículo 53 de la Ley 2195 de 2022 de ninguna manera puede ser interpretada como una modificación del régimen jurídico de las entidades exceptuadas, ni como una norma que regule la forma en la que se perfeccionan los contratos de las entidades exceptuadas. </w:t>
      </w:r>
    </w:p>
    <w:bookmarkEnd w:id="21"/>
    <w:p w14:paraId="45BF61EB" w14:textId="77777777" w:rsidR="006402E8" w:rsidRPr="007B29AC" w:rsidRDefault="006402E8" w:rsidP="006402E8">
      <w:pPr>
        <w:spacing w:after="0" w:line="276" w:lineRule="auto"/>
        <w:ind w:firstLine="709"/>
        <w:jc w:val="both"/>
        <w:rPr>
          <w:rFonts w:ascii="Arial" w:eastAsia="Calibri" w:hAnsi="Arial" w:cs="Arial"/>
          <w:lang w:val="es-ES_tradnl"/>
          <w14:ligatures w14:val="standardContextual"/>
        </w:rPr>
      </w:pPr>
      <w:r w:rsidRPr="007B29AC">
        <w:rPr>
          <w:rFonts w:ascii="Arial" w:eastAsia="Calibri" w:hAnsi="Arial" w:cs="Arial"/>
          <w:lang w:val="es-ES_tradnl"/>
          <w14:ligatures w14:val="standardContextual"/>
        </w:rPr>
        <w:lastRenderedPageBreak/>
        <w:t xml:space="preserve">En ese orden, y en atención a la consulta planteada, el efecto de la norma tampoco es el de imponer formalidades propias del régimen de contratación público en detrimento de las regulaciones establecidas en los manuales de contratación de las entidades exceptuadas. Esto comoquiera que, la referida disposición se limita a señalar el SECOP II como el medio a través del cual les corresponderá a las entidades exceptuadas realizar la publicidad de los documentos que expidan en el curso de su actividad contractual desarrollada al margen del EGCAP. </w:t>
      </w:r>
    </w:p>
    <w:p w14:paraId="5A1C3F99" w14:textId="77777777" w:rsidR="006402E8" w:rsidRPr="00BA5B62" w:rsidRDefault="006402E8" w:rsidP="006402E8">
      <w:pPr>
        <w:autoSpaceDE w:val="0"/>
        <w:autoSpaceDN w:val="0"/>
        <w:adjustRightInd w:val="0"/>
        <w:spacing w:after="100" w:afterAutospacing="1" w:line="276" w:lineRule="auto"/>
        <w:contextualSpacing/>
        <w:jc w:val="both"/>
        <w:rPr>
          <w:rFonts w:ascii="Arial" w:eastAsia="Calibri" w:hAnsi="Arial" w:cs="Arial"/>
          <w:b/>
          <w:bCs/>
          <w:color w:val="000000" w:themeColor="text1"/>
          <w:lang w:val="es-ES_tradnl"/>
        </w:rPr>
      </w:pPr>
    </w:p>
    <w:p w14:paraId="08C0B883" w14:textId="77777777" w:rsidR="006402E8" w:rsidRPr="007B29AC" w:rsidRDefault="006402E8" w:rsidP="006402E8">
      <w:pPr>
        <w:spacing w:after="0" w:line="276" w:lineRule="auto"/>
        <w:contextualSpacing/>
        <w:jc w:val="both"/>
        <w:rPr>
          <w:rFonts w:ascii="Arial" w:eastAsia="Calibri" w:hAnsi="Arial" w:cs="Arial"/>
          <w:b/>
          <w:bCs/>
          <w:lang w:val="es-ES_tradnl" w:eastAsia="es-ES_tradnl"/>
          <w14:ligatures w14:val="standardContextual"/>
        </w:rPr>
      </w:pPr>
      <w:r w:rsidRPr="007B29AC">
        <w:rPr>
          <w:rFonts w:ascii="Arial" w:eastAsia="Calibri" w:hAnsi="Arial" w:cs="Arial"/>
          <w:b/>
          <w:bCs/>
          <w:lang w:val="es-ES_tradnl" w:eastAsia="es-ES_tradnl"/>
          <w14:ligatures w14:val="standardContextual"/>
        </w:rPr>
        <w:t xml:space="preserve">2.3. Uso del SECOP II por parte de las instituciones educativas oficiales como medio de publicidad de la actividad contractual </w:t>
      </w:r>
      <w:r w:rsidRPr="007B29AC">
        <w:rPr>
          <w:rFonts w:ascii="Arial" w:eastAsia="Times New Roman" w:hAnsi="Arial" w:cs="Arial"/>
          <w:b/>
          <w:bCs/>
          <w:iCs/>
          <w:lang w:val="es-ES_tradnl" w:eastAsia="es-ES_tradnl"/>
          <w14:ligatures w14:val="standardContextual"/>
        </w:rPr>
        <w:t>exceptuada del Estatuto General de Contratación de la Administración Pública</w:t>
      </w:r>
    </w:p>
    <w:bookmarkEnd w:id="7"/>
    <w:p w14:paraId="64732A97" w14:textId="77777777" w:rsidR="006402E8" w:rsidRPr="007B29AC" w:rsidRDefault="006402E8" w:rsidP="006402E8">
      <w:pPr>
        <w:autoSpaceDE w:val="0"/>
        <w:autoSpaceDN w:val="0"/>
        <w:adjustRightInd w:val="0"/>
        <w:spacing w:after="0" w:line="276" w:lineRule="auto"/>
        <w:contextualSpacing/>
        <w:jc w:val="both"/>
        <w:rPr>
          <w:rFonts w:ascii="Arial" w:eastAsia="Calibri" w:hAnsi="Arial" w:cs="Arial"/>
          <w:lang w:val="es-ES_tradnl"/>
          <w14:ligatures w14:val="standardContextual"/>
        </w:rPr>
      </w:pPr>
    </w:p>
    <w:p w14:paraId="3135DB1E" w14:textId="77777777" w:rsidR="006402E8" w:rsidRPr="007B29AC" w:rsidRDefault="006402E8" w:rsidP="006402E8">
      <w:pPr>
        <w:spacing w:after="120" w:line="276" w:lineRule="auto"/>
        <w:jc w:val="both"/>
        <w:rPr>
          <w:rFonts w:ascii="Arial" w:eastAsia="Calibri" w:hAnsi="Arial" w:cs="Arial"/>
          <w:lang w:val="es-ES_tradnl" w:eastAsia="es-ES_tradnl"/>
          <w14:ligatures w14:val="standardContextual"/>
        </w:rPr>
      </w:pPr>
      <w:r w:rsidRPr="007B29AC">
        <w:rPr>
          <w:rFonts w:ascii="Arial" w:eastAsia="Calibri" w:hAnsi="Arial" w:cs="Arial"/>
          <w:lang w:val="es-ES_tradnl" w:eastAsia="es-ES_tradnl"/>
          <w14:ligatures w14:val="standardContextual"/>
        </w:rPr>
        <w:t xml:space="preserve">Conforme lo expuesto en el presente concepto, en virtud de la modificación realizada al artículo 13 de la Ley 1150 de 2007 por el artículo 53 de la Ley 2195 de 2022, las entidades estatales con régimen de contratación exceptuado están obligadas a publicar los documentos que expidan en desarrollo de su actividad contractual en el SECOP II. Para dar cumplimiento a este mandato, corresponde a las entidades, en el marco de su autonomía, realizar las respectivas publicaciones valiéndose de las funcionalidades de la referida plataforma. </w:t>
      </w:r>
    </w:p>
    <w:p w14:paraId="7A23D5D4" w14:textId="77777777" w:rsidR="006402E8" w:rsidRPr="007B29AC" w:rsidRDefault="006402E8" w:rsidP="006402E8">
      <w:pPr>
        <w:autoSpaceDE w:val="0"/>
        <w:autoSpaceDN w:val="0"/>
        <w:adjustRightInd w:val="0"/>
        <w:spacing w:after="120" w:line="276" w:lineRule="auto"/>
        <w:ind w:firstLine="708"/>
        <w:jc w:val="both"/>
        <w:rPr>
          <w:rFonts w:ascii="Arial" w:eastAsia="Calibri" w:hAnsi="Arial" w:cs="Arial"/>
          <w:lang w:val="es-ES_tradnl"/>
          <w14:ligatures w14:val="standardContextual"/>
        </w:rPr>
      </w:pPr>
      <w:r w:rsidRPr="007B29AC">
        <w:rPr>
          <w:rFonts w:ascii="Arial" w:eastAsia="Calibri" w:hAnsi="Arial" w:cs="Arial"/>
          <w:iCs/>
          <w:lang w:val="es-ES" w:eastAsia="es-ES_tradnl"/>
          <w14:ligatures w14:val="standardContextual"/>
        </w:rPr>
        <w:t xml:space="preserve">De acuerdo con la conclusión del numeral anterior, el artículo 53 </w:t>
      </w:r>
      <w:r w:rsidRPr="007B29AC">
        <w:rPr>
          <w:rFonts w:ascii="Arial" w:eastAsia="Calibri" w:hAnsi="Arial" w:cs="Arial"/>
          <w:i/>
          <w:lang w:val="es-ES" w:eastAsia="es-ES_tradnl"/>
          <w14:ligatures w14:val="standardContextual"/>
        </w:rPr>
        <w:t>ibidem</w:t>
      </w:r>
      <w:r w:rsidRPr="007B29AC">
        <w:rPr>
          <w:rFonts w:ascii="Arial" w:eastAsia="Calibri" w:hAnsi="Arial" w:cs="Arial"/>
          <w:iCs/>
          <w:lang w:val="es-ES" w:eastAsia="es-ES_tradnl"/>
          <w14:ligatures w14:val="standardContextual"/>
        </w:rPr>
        <w:t xml:space="preserve"> no cambió la forma en que se perfeccionan los contratos que deban celebrar con sujeción regímenes especiales las entidades exceptuadas del EGCAP, sino que estableció el deber darle publicidad a esta actividad contractual a través de SECOP II. </w:t>
      </w:r>
      <w:r w:rsidRPr="007B29AC">
        <w:rPr>
          <w:rFonts w:ascii="Arial" w:eastAsia="Calibri" w:hAnsi="Arial" w:cs="Arial"/>
          <w:lang w:val="es-ES_tradnl"/>
          <w14:ligatures w14:val="standardContextual"/>
        </w:rPr>
        <w:t xml:space="preserve">Esto resulta particularmente relevante para efectos de dar respuesta la consulta, considerando que, según lo explicado en el numera 2.1 de este concepto, la contratación que en virtud de lo dispuesto en el artículo 13 de la Ley 715 de 2001 realizan las instituciones educativas oficiales con cargo a los fondos de servicios educativos, se encuentra, en principio, sometida a dos regímenes determinados por el referido umbral.  De esta manera, la contratación de dichas instituciones por encima de los veinte (20) salarios mínimos legales mensuales vigentes se encuentra sometida al EGCAP, mientras que los contratos celebrados por valores inferiores a dicho monto estarán exceptuados de dicho régimen, estando sometidos a las reglas que determine el respectivo consejo directivo. </w:t>
      </w:r>
    </w:p>
    <w:p w14:paraId="4BCF0E3E" w14:textId="77777777" w:rsidR="006402E8" w:rsidRPr="00BA5B62" w:rsidRDefault="006402E8" w:rsidP="006402E8">
      <w:pPr>
        <w:spacing w:after="120" w:line="276" w:lineRule="auto"/>
        <w:ind w:firstLine="709"/>
        <w:jc w:val="both"/>
        <w:rPr>
          <w:rFonts w:ascii="Arial" w:eastAsia="Calibri" w:hAnsi="Arial" w:cs="Arial"/>
          <w:iCs/>
          <w:lang w:val="es-ES" w:eastAsia="es-ES_tradnl"/>
          <w14:ligatures w14:val="standardContextual"/>
        </w:rPr>
      </w:pPr>
      <w:bookmarkStart w:id="22" w:name="_Hlk114557259"/>
      <w:r w:rsidRPr="007B29AC">
        <w:rPr>
          <w:rFonts w:ascii="Arial" w:eastAsia="Calibri" w:hAnsi="Arial" w:cs="Arial"/>
          <w:lang w:val="es-ES_tradnl"/>
          <w14:ligatures w14:val="standardContextual"/>
        </w:rPr>
        <w:t xml:space="preserve">Conforme a lo anterior, el efecto de lo dispuesto en el artículo 53 de la Ley 2195 de 2022 respecto de los procesos de contratación que adelanten las instituciones educativas oficiales se concreta en que, en atención a lo señalado en la norma bajo estudio, les corresponde publicar en el SECOP II todos los documentos contractuales que expidan en los procesos de régimen especial que adelanten. </w:t>
      </w:r>
      <w:bookmarkStart w:id="23" w:name="_Hlk114557350"/>
      <w:bookmarkEnd w:id="22"/>
      <w:r w:rsidRPr="007B29AC">
        <w:rPr>
          <w:rFonts w:ascii="Arial" w:eastAsia="Calibri" w:hAnsi="Arial" w:cs="Arial"/>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ya que conforme se viene explicando, el efecto del artículo 53 de la Ley 2195 de 2022 se reduce a establecer el SECOP II como medio de publicidad de la actividad contractual sujeta a regímenes especiales. </w:t>
      </w:r>
      <w:r w:rsidRPr="007B29AC">
        <w:rPr>
          <w:rFonts w:ascii="Arial" w:eastAsia="Calibri" w:hAnsi="Arial" w:cs="Arial"/>
          <w:iCs/>
          <w:lang w:val="es-ES" w:eastAsia="es-ES_tradnl"/>
          <w14:ligatures w14:val="standardContextual"/>
        </w:rPr>
        <w:t xml:space="preserve">Esto significa que, dado que la disposición </w:t>
      </w:r>
      <w:r w:rsidRPr="007B29AC">
        <w:rPr>
          <w:rFonts w:ascii="Arial" w:eastAsia="Calibri" w:hAnsi="Arial" w:cs="Arial"/>
          <w:iCs/>
          <w:lang w:val="es-ES" w:eastAsia="es-ES_tradnl"/>
          <w14:ligatures w14:val="standardContextual"/>
        </w:rPr>
        <w:lastRenderedPageBreak/>
        <w:t>materia de estudio no definió la obligatoriedad sobre el uso transaccional del SECOP II para las entidades exceptuadas, estas podrán usarla de forma transaccional o publicitaria.</w:t>
      </w:r>
    </w:p>
    <w:bookmarkEnd w:id="23"/>
    <w:p w14:paraId="61622D79" w14:textId="77777777" w:rsidR="006402E8" w:rsidRPr="007B29AC" w:rsidRDefault="006402E8" w:rsidP="006402E8">
      <w:pPr>
        <w:spacing w:after="120" w:line="276" w:lineRule="auto"/>
        <w:ind w:firstLine="708"/>
        <w:jc w:val="both"/>
        <w:rPr>
          <w:rFonts w:ascii="Arial" w:eastAsia="Calibri" w:hAnsi="Arial" w:cs="Arial"/>
          <w:lang w:val="es-ES_tradnl" w:eastAsia="es-ES_tradnl"/>
          <w14:ligatures w14:val="standardContextual"/>
        </w:rPr>
      </w:pPr>
      <w:r w:rsidRPr="007B29AC">
        <w:rPr>
          <w:rFonts w:ascii="Arial" w:eastAsia="Calibri" w:hAnsi="Arial" w:cs="Arial"/>
          <w:lang w:val="es-ES_tradnl" w:eastAsia="es-ES_tradnl"/>
          <w14:ligatures w14:val="standardContextual"/>
        </w:rPr>
        <w:t>Dicho lo anterior, debe señalarse que la plataforma SECOP II</w:t>
      </w:r>
      <w:r w:rsidRPr="007B29AC">
        <w:rPr>
          <w:rFonts w:ascii="Arial" w:hAnsi="Arial" w:cs="Arial"/>
          <w14:ligatures w14:val="standardContextual"/>
        </w:rPr>
        <w:t xml:space="preserve"> tiene</w:t>
      </w:r>
      <w:r w:rsidRPr="007B29AC">
        <w:rPr>
          <w:rFonts w:ascii="Arial" w:eastAsia="Calibri" w:hAnsi="Arial" w:cs="Arial"/>
          <w:lang w:val="es-ES_tradnl" w:eastAsia="es-ES_tradnl"/>
          <w14:ligatures w14:val="standardContextual"/>
        </w:rPr>
        <w:t xml:space="preserve"> dispuestos los siguientes módulos para las entidades estatales con régimen especial, los cuales cumplen con las funcionalidades que a continuación se describen:</w:t>
      </w:r>
    </w:p>
    <w:p w14:paraId="0E7769B4" w14:textId="77777777" w:rsidR="006402E8" w:rsidRPr="007B29AC" w:rsidRDefault="006402E8" w:rsidP="006402E8">
      <w:pPr>
        <w:spacing w:after="120" w:line="276" w:lineRule="auto"/>
        <w:ind w:firstLine="708"/>
        <w:jc w:val="both"/>
        <w:rPr>
          <w:rFonts w:ascii="Arial" w:eastAsia="Times New Roman" w:hAnsi="Arial" w:cs="Arial"/>
          <w:lang w:val="es-MX" w:eastAsia="es-CO"/>
          <w14:ligatures w14:val="standardContextual"/>
        </w:rPr>
      </w:pPr>
      <w:r w:rsidRPr="007B29AC">
        <w:rPr>
          <w:rFonts w:ascii="Arial" w:eastAsia="Times New Roman" w:hAnsi="Arial" w:cs="Arial"/>
          <w:i/>
          <w:iCs/>
          <w:lang w:val="es-MX" w:eastAsia="es-ES"/>
          <w14:ligatures w14:val="standardContextual"/>
        </w:rPr>
        <w:t>i) Contratación Régimen Especial (con ofertas)</w:t>
      </w:r>
      <w:r w:rsidRPr="007B29AC">
        <w:rPr>
          <w:rFonts w:ascii="Arial" w:eastAsia="Calibri" w:hAnsi="Arial" w:cs="Arial"/>
          <w:iCs/>
          <w:vertAlign w:val="superscript"/>
          <w:lang w:val="es-ES"/>
          <w14:ligatures w14:val="standardContextual"/>
        </w:rPr>
        <w:footnoteReference w:id="20"/>
      </w:r>
      <w:r w:rsidRPr="007B29AC">
        <w:rPr>
          <w:rFonts w:ascii="Arial" w:eastAsia="Times New Roman" w:hAnsi="Arial" w:cs="Arial"/>
          <w:b/>
          <w:bCs/>
          <w:lang w:val="es-MX" w:eastAsia="es-ES"/>
          <w14:ligatures w14:val="standardContextual"/>
        </w:rPr>
        <w:t>:</w:t>
      </w:r>
      <w:r w:rsidRPr="007B29AC">
        <w:rPr>
          <w:rFonts w:ascii="Arial" w:eastAsia="Times New Roman" w:hAnsi="Arial" w:cs="Arial"/>
          <w:lang w:val="es-MX" w:eastAsia="es-ES"/>
          <w14:ligatures w14:val="standardContextual"/>
        </w:rPr>
        <w:t xml:space="preserve"> Permite a las entidades gestionar sus procesos competitivos de contratación de manera electrónica. Mediante este módulo las entidades pueden adelantar el proceso de contratación de manera transaccional, es decir, que </w:t>
      </w:r>
      <w:r w:rsidRPr="007B29AC">
        <w:rPr>
          <w:rFonts w:ascii="Arial" w:eastAsia="Times New Roman" w:hAnsi="Arial" w:cs="Arial"/>
          <w:lang w:val="es-MX" w:eastAsia="es-CO"/>
          <w14:ligatures w14:val="standardContextual"/>
        </w:rPr>
        <w:t>a través de este módulo las entidades estatales pueden estructurar el proceso de contratación, recibir ofertas de los proveedores, generar el contrato de electrónico y realizar la gestión contractual; y</w:t>
      </w:r>
    </w:p>
    <w:p w14:paraId="161EE3B4" w14:textId="77777777" w:rsidR="006402E8" w:rsidRPr="007B29AC" w:rsidRDefault="006402E8" w:rsidP="006402E8">
      <w:pPr>
        <w:spacing w:after="120" w:line="276" w:lineRule="auto"/>
        <w:ind w:firstLine="708"/>
        <w:jc w:val="both"/>
        <w:rPr>
          <w:rFonts w:ascii="Arial" w:hAnsi="Arial" w:cs="Arial"/>
          <w:lang w:val="es-MX"/>
          <w14:ligatures w14:val="standardContextual"/>
        </w:rPr>
      </w:pPr>
      <w:r w:rsidRPr="007B29AC">
        <w:rPr>
          <w:rFonts w:ascii="Arial" w:eastAsia="Times New Roman" w:hAnsi="Arial" w:cs="Arial"/>
          <w:lang w:val="es-MX" w:eastAsia="es-CO"/>
          <w14:ligatures w14:val="standardContextual"/>
        </w:rPr>
        <w:t xml:space="preserve"> ii)</w:t>
      </w:r>
      <w:r w:rsidRPr="007B29AC">
        <w:rPr>
          <w:rFonts w:ascii="Arial" w:hAnsi="Arial" w:cs="Arial"/>
          <w:b/>
          <w:bCs/>
          <w:lang w:val="es-MX" w:eastAsia="es-ES"/>
          <w14:ligatures w14:val="standardContextual"/>
        </w:rPr>
        <w:t xml:space="preserve"> </w:t>
      </w:r>
      <w:r w:rsidRPr="007B29AC">
        <w:rPr>
          <w:rFonts w:ascii="Arial" w:hAnsi="Arial" w:cs="Arial"/>
          <w:i/>
          <w:iCs/>
          <w:lang w:val="es-MX" w:eastAsia="es-ES"/>
          <w14:ligatures w14:val="standardContextual"/>
        </w:rPr>
        <w:t>Contratación Régimen Especial (sin ofertas)</w:t>
      </w:r>
      <w:r w:rsidRPr="007B29AC">
        <w:rPr>
          <w:rFonts w:ascii="Arial" w:eastAsia="Calibri" w:hAnsi="Arial" w:cs="Arial"/>
          <w:vertAlign w:val="superscript"/>
          <w:lang w:val="es-ES"/>
          <w14:ligatures w14:val="standardContextual"/>
        </w:rPr>
        <w:footnoteReference w:id="21"/>
      </w:r>
      <w:r w:rsidRPr="007B29AC">
        <w:rPr>
          <w:rFonts w:ascii="Arial" w:hAnsi="Arial" w:cs="Arial"/>
          <w:i/>
          <w:iCs/>
          <w:lang w:val="es-MX" w:eastAsia="es-ES"/>
          <w14:ligatures w14:val="standardContextual"/>
        </w:rPr>
        <w:t>:</w:t>
      </w:r>
      <w:r w:rsidRPr="007B29AC">
        <w:rPr>
          <w:rFonts w:ascii="Arial" w:hAnsi="Arial" w:cs="Arial"/>
          <w:lang w:val="es-MX" w:eastAsia="es-ES"/>
          <w14:ligatures w14:val="standardContextual"/>
        </w:rPr>
        <w:t xml:space="preserve"> Este módulo permite a las entidades gestionar sus procesos de selección directos. Así mismo, este módulo </w:t>
      </w:r>
      <w:r w:rsidRPr="007B29AC">
        <w:rPr>
          <w:rFonts w:ascii="Arial" w:hAnsi="Arial" w:cs="Arial"/>
          <w:lang w:val="es-MX"/>
          <w14:ligatures w14:val="standardContextual"/>
        </w:rPr>
        <w:t xml:space="preserve">permite estructurar los procesos de contratación, publicar documentos generados por fuera de la plataforma y realizar la gestión contractual en línea. </w:t>
      </w:r>
    </w:p>
    <w:p w14:paraId="3A12248B" w14:textId="77777777" w:rsidR="006402E8" w:rsidRPr="007B29AC" w:rsidRDefault="006402E8" w:rsidP="006402E8">
      <w:pPr>
        <w:autoSpaceDE w:val="0"/>
        <w:autoSpaceDN w:val="0"/>
        <w:adjustRightInd w:val="0"/>
        <w:spacing w:after="120" w:line="276" w:lineRule="auto"/>
        <w:ind w:firstLine="708"/>
        <w:jc w:val="both"/>
        <w:rPr>
          <w:rFonts w:ascii="Arial" w:eastAsia="Times New Roman" w:hAnsi="Arial" w:cs="Arial"/>
          <w:lang w:eastAsia="es-ES_tradnl"/>
          <w14:ligatures w14:val="standardContextual"/>
        </w:rPr>
      </w:pPr>
      <w:r w:rsidRPr="007B29AC">
        <w:rPr>
          <w:rFonts w:ascii="Arial" w:eastAsia="Calibri" w:hAnsi="Arial" w:cs="Arial"/>
          <w:iCs/>
          <w:lang w:val="es-ES" w:eastAsia="es-ES_tradnl"/>
          <w14:ligatures w14:val="standardContextual"/>
        </w:rPr>
        <w:t xml:space="preserve">Los módulos descritos brindan a las entidades exceptuadas la posibilidad de elegir entre </w:t>
      </w:r>
      <w:r w:rsidRPr="007B29AC">
        <w:rPr>
          <w:rFonts w:ascii="Arial" w:hAnsi="Arial" w:cs="Arial"/>
          <w:lang w:val="es-ES"/>
          <w14:ligatures w14:val="standardContextual"/>
        </w:rPr>
        <w:t>firmar</w:t>
      </w:r>
      <w:r w:rsidRPr="007B29AC">
        <w:rPr>
          <w:rFonts w:ascii="Arial" w:hAnsi="Arial" w:cs="Arial"/>
          <w:lang w:val="es-MX"/>
          <w14:ligatures w14:val="standardContextual"/>
        </w:rPr>
        <w:t xml:space="preserve"> el contrato electrónicamente –es decir, realizar un uso transaccional de la plataforma– o firmar el contrato en físico y publicar posteriormente los documentos digitalizados en la plataforma –lo que corresponde a un uso meramente publicitario de la plataforma–. </w:t>
      </w:r>
      <w:r w:rsidRPr="007B29AC">
        <w:rPr>
          <w:rFonts w:ascii="Arial" w:eastAsia="Times New Roman" w:hAnsi="Arial" w:cs="Arial"/>
          <w:lang w:eastAsia="es-ES_tradnl"/>
          <w14:ligatures w14:val="standardContextual"/>
        </w:rPr>
        <w:t xml:space="preserve">Si la entidad opta por lo primero deberá utilizar el módulo de </w:t>
      </w:r>
      <w:r>
        <w:rPr>
          <w:rFonts w:ascii="Arial" w:eastAsia="Times New Roman" w:hAnsi="Arial" w:cs="Arial"/>
          <w:lang w:eastAsia="es-ES_tradnl"/>
          <w14:ligatures w14:val="standardContextual"/>
        </w:rPr>
        <w:t>“</w:t>
      </w:r>
      <w:r w:rsidRPr="007B29AC">
        <w:rPr>
          <w:rFonts w:ascii="Arial" w:eastAsia="Times New Roman" w:hAnsi="Arial" w:cs="Arial"/>
          <w:lang w:eastAsia="es-ES_tradnl"/>
          <w14:ligatures w14:val="standardContextual"/>
        </w:rPr>
        <w:t>Contratación Régimen Especial</w:t>
      </w:r>
      <w:r>
        <w:rPr>
          <w:rFonts w:ascii="Arial" w:eastAsia="Times New Roman" w:hAnsi="Arial" w:cs="Arial"/>
          <w:lang w:eastAsia="es-ES_tradnl"/>
          <w14:ligatures w14:val="standardContextual"/>
        </w:rPr>
        <w:t>”</w:t>
      </w:r>
      <w:r w:rsidRPr="007B29AC">
        <w:rPr>
          <w:rFonts w:ascii="Arial" w:eastAsia="Times New Roman" w:hAnsi="Arial" w:cs="Arial"/>
          <w:lang w:eastAsia="es-ES_tradnl"/>
          <w14:ligatures w14:val="standardContextual"/>
        </w:rPr>
        <w:t xml:space="preserve">, estructurar el proceso de contratación, generar el contrato electrónico y realizar la gestión contractual en línea a través de la plataforma. Por el contrario, si opta por lo segundo, la entidad deberá crear el proceso de contratación en la plataforma mediante el módulo </w:t>
      </w:r>
      <w:r w:rsidRPr="007B29AC">
        <w:rPr>
          <w:rFonts w:ascii="Arial" w:eastAsia="Times New Roman" w:hAnsi="Arial" w:cs="Arial"/>
          <w:i/>
          <w:iCs/>
          <w:lang w:eastAsia="es-ES_tradnl"/>
          <w14:ligatures w14:val="standardContextual"/>
        </w:rPr>
        <w:t>Contratación Régimen Especial (sin ofertas)</w:t>
      </w:r>
      <w:r w:rsidRPr="007B29AC">
        <w:rPr>
          <w:rFonts w:ascii="Arial" w:eastAsia="Times New Roman" w:hAnsi="Arial" w:cs="Arial"/>
          <w:lang w:eastAsia="es-ES_tradnl"/>
          <w14:ligatures w14:val="standardContextual"/>
        </w:rPr>
        <w:t>, cargando todos los documentos del proceso en la sección dispuesta para ello y luego publicar el proceso</w:t>
      </w:r>
      <w:r w:rsidRPr="007B29AC">
        <w:rPr>
          <w:rFonts w:ascii="Arial" w:eastAsia="Times New Roman" w:hAnsi="Arial" w:cs="Arial"/>
          <w:vertAlign w:val="superscript"/>
          <w:lang w:eastAsia="es-ES_tradnl"/>
          <w14:ligatures w14:val="standardContextual"/>
        </w:rPr>
        <w:footnoteReference w:id="22"/>
      </w:r>
      <w:r w:rsidRPr="007B29AC">
        <w:rPr>
          <w:rFonts w:ascii="Arial" w:eastAsia="Times New Roman" w:hAnsi="Arial" w:cs="Arial"/>
          <w:lang w:eastAsia="es-ES_tradnl"/>
          <w14:ligatures w14:val="standardContextual"/>
        </w:rPr>
        <w:t xml:space="preserve">. </w:t>
      </w:r>
    </w:p>
    <w:p w14:paraId="6510AC28" w14:textId="77777777" w:rsidR="006402E8" w:rsidRDefault="006402E8" w:rsidP="006402E8">
      <w:pPr>
        <w:spacing w:after="120" w:line="276" w:lineRule="auto"/>
        <w:ind w:firstLine="709"/>
        <w:jc w:val="both"/>
        <w:rPr>
          <w:rFonts w:ascii="Arial" w:eastAsia="Times New Roman" w:hAnsi="Arial" w:cs="Arial"/>
          <w:lang w:val="es-MX" w:eastAsia="es-ES"/>
          <w14:ligatures w14:val="standardContextual"/>
        </w:rPr>
      </w:pPr>
      <w:r w:rsidRPr="007B29AC">
        <w:rPr>
          <w:rFonts w:ascii="Arial" w:hAnsi="Arial" w:cs="Arial"/>
          <w14:ligatures w14:val="standardContextual"/>
        </w:rPr>
        <w:t xml:space="preserve">Conforme a lo anterior, al estar exceptuadas del EGCAP la contratación de las instituciones educativas oficiales realizada por debajo de los veinte (20) salarios mínimos legales mensuales vigentes, es posible concluir que dichas instituciones se encuentran dentro del ámbito </w:t>
      </w:r>
      <w:r w:rsidRPr="007B29AC">
        <w:rPr>
          <w:rFonts w:ascii="Arial" w:hAnsi="Arial" w:cs="Arial"/>
          <w14:ligatures w14:val="standardContextual"/>
        </w:rPr>
        <w:lastRenderedPageBreak/>
        <w:t xml:space="preserve">de aplicación del artículo 13 de la Ley 1150 de 2007, modificado por el artículo 53 de la Ley 2195 de 2022. En consecuencia, se encuentran en el deber de publicar en el SECOP II su actividad contractual sujeta a régimen especial, para lo cual podrán hacer uso de los módulos de </w:t>
      </w:r>
      <w:r w:rsidRPr="007B29AC">
        <w:rPr>
          <w:rFonts w:ascii="Arial" w:eastAsia="Times New Roman" w:hAnsi="Arial" w:cs="Arial"/>
          <w:i/>
          <w:iCs/>
          <w:lang w:val="es-MX" w:eastAsia="es-ES"/>
          <w14:ligatures w14:val="standardContextual"/>
        </w:rPr>
        <w:t>Contratación Régimen Especial (con ofertas) o Contratación Régimen Especial (sin ofertas)</w:t>
      </w:r>
      <w:r w:rsidRPr="007B29AC">
        <w:rPr>
          <w:rFonts w:ascii="Arial" w:eastAsia="Times New Roman" w:hAnsi="Arial" w:cs="Arial"/>
          <w:lang w:val="es-MX" w:eastAsia="es-ES"/>
          <w14:ligatures w14:val="standardContextual"/>
        </w:rPr>
        <w:t>, a través de los cuales podrán publicar los documentos que deban expedir en el marco de la misma, según las formalidades determinadas por el respectivo consejo directivo.</w:t>
      </w:r>
    </w:p>
    <w:p w14:paraId="4BA95532" w14:textId="77777777" w:rsidR="006402E8" w:rsidRPr="00BA5B62" w:rsidRDefault="006402E8" w:rsidP="006402E8">
      <w:pPr>
        <w:spacing w:after="120" w:line="276" w:lineRule="auto"/>
        <w:ind w:firstLine="709"/>
        <w:jc w:val="both"/>
        <w:rPr>
          <w:rFonts w:ascii="Arial" w:eastAsia="Times New Roman" w:hAnsi="Arial" w:cs="Arial"/>
          <w:lang w:val="es-MX" w:eastAsia="es-ES"/>
          <w14:ligatures w14:val="standardContextual"/>
        </w:rPr>
      </w:pPr>
      <w:r>
        <w:rPr>
          <w:rFonts w:ascii="Arial" w:eastAsia="Calibri" w:hAnsi="Arial" w:cs="Arial"/>
          <w:lang w:val="es-ES" w:eastAsia="es-ES_tradnl"/>
        </w:rPr>
        <w:t xml:space="preserve">Finalmente </w:t>
      </w:r>
      <w:r w:rsidRPr="001670AD">
        <w:rPr>
          <w:rFonts w:ascii="Arial" w:eastAsia="Calibri" w:hAnsi="Arial" w:cs="Arial"/>
          <w:lang w:val="es-ES" w:eastAsia="es-ES_tradnl"/>
        </w:rPr>
        <w:t xml:space="preserve">se concluye que el término que tienen las </w:t>
      </w:r>
      <w:r>
        <w:rPr>
          <w:rFonts w:ascii="Arial" w:hAnsi="Arial" w:cs="Arial"/>
          <w:shd w:val="clear" w:color="auto" w:fill="FFFFFF"/>
        </w:rPr>
        <w:t xml:space="preserve">instituciones educativas de </w:t>
      </w:r>
      <w:r w:rsidRPr="001670AD">
        <w:rPr>
          <w:rFonts w:ascii="Arial" w:hAnsi="Arial" w:cs="Arial"/>
          <w:shd w:val="clear" w:color="auto" w:fill="FFFFFF"/>
        </w:rPr>
        <w:t>publicar en el SECOP II es de tres (3) días posterior a su expedición. Lo anterior, sin perjuicio de que dichas entidades hagan uso transaccional de la plataforma, caso en el cual la publicación de los documentos deberá hacerse en tiempo real, de acuerdo al cronograma definido para el proceso de selección.</w:t>
      </w:r>
    </w:p>
    <w:p w14:paraId="3A3630C3" w14:textId="77777777" w:rsidR="006402E8" w:rsidRDefault="006402E8" w:rsidP="006402E8">
      <w:pPr>
        <w:autoSpaceDE w:val="0"/>
        <w:autoSpaceDN w:val="0"/>
        <w:adjustRightInd w:val="0"/>
        <w:spacing w:after="120" w:line="276" w:lineRule="auto"/>
        <w:jc w:val="both"/>
        <w:rPr>
          <w:rFonts w:ascii="Arial" w:eastAsia="Calibri" w:hAnsi="Arial" w:cs="Arial"/>
          <w:lang w:val="es-ES"/>
        </w:rPr>
      </w:pPr>
      <w:r w:rsidRPr="001670AD">
        <w:rPr>
          <w:rFonts w:ascii="Arial" w:eastAsia="Calibri" w:hAnsi="Arial" w:cs="Arial"/>
          <w:lang w:val="es-ES_tradnl"/>
        </w:rPr>
        <w:t xml:space="preserve">Por último, resulta importante señalar que el pasado </w:t>
      </w:r>
      <w:r w:rsidRPr="001670AD">
        <w:rPr>
          <w:rFonts w:ascii="Arial" w:eastAsia="Calibri" w:hAnsi="Arial" w:cs="Arial"/>
          <w:lang w:val="es-ES"/>
        </w:rPr>
        <w:t>1 de junio, el Departamento Administrativo de la Presidencia de la Republica expidió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w:t>
      </w:r>
    </w:p>
    <w:p w14:paraId="4BF97B43" w14:textId="77777777" w:rsidR="006402E8" w:rsidRPr="00BA5B62" w:rsidRDefault="006402E8" w:rsidP="006402E8">
      <w:pPr>
        <w:spacing w:after="0" w:line="276" w:lineRule="auto"/>
        <w:ind w:firstLine="709"/>
        <w:jc w:val="both"/>
        <w:rPr>
          <w:rFonts w:ascii="Arial" w:hAnsi="Arial" w:cs="Arial"/>
          <w:lang w:val="es-ES"/>
          <w14:ligatures w14:val="standardContextual"/>
        </w:rPr>
      </w:pPr>
    </w:p>
    <w:p w14:paraId="3CFA8BB0" w14:textId="77777777" w:rsidR="006402E8" w:rsidRPr="007B29AC" w:rsidRDefault="006402E8" w:rsidP="006402E8">
      <w:pPr>
        <w:tabs>
          <w:tab w:val="left" w:pos="284"/>
          <w:tab w:val="left" w:pos="426"/>
        </w:tabs>
        <w:spacing w:after="0" w:line="276" w:lineRule="auto"/>
        <w:contextualSpacing/>
        <w:jc w:val="both"/>
        <w:rPr>
          <w:rFonts w:ascii="Arial" w:hAnsi="Arial" w:cs="Arial"/>
          <w:b/>
          <w:lang w:val="es-ES_tradnl"/>
          <w14:ligatures w14:val="standardContextual"/>
        </w:rPr>
      </w:pPr>
    </w:p>
    <w:p w14:paraId="72CDAA50" w14:textId="77777777" w:rsidR="006402E8" w:rsidRPr="007B29AC" w:rsidRDefault="006402E8" w:rsidP="006402E8">
      <w:pPr>
        <w:spacing w:after="0" w:line="276" w:lineRule="auto"/>
        <w:contextualSpacing/>
        <w:jc w:val="both"/>
        <w:rPr>
          <w:sz w:val="24"/>
          <w:lang w:eastAsia="es-ES_tradnl"/>
          <w14:ligatures w14:val="standardContextual"/>
        </w:rPr>
      </w:pPr>
      <w:r w:rsidRPr="007B29AC">
        <w:rPr>
          <w:rFonts w:ascii="Arial" w:hAnsi="Arial" w:cs="Arial"/>
          <w:b/>
          <w:bCs/>
          <w:lang w:val="es-ES" w:eastAsia="es-ES_tradnl"/>
          <w14:ligatures w14:val="standardContextual"/>
        </w:rPr>
        <w:t>3. Respuesta</w:t>
      </w:r>
    </w:p>
    <w:p w14:paraId="570BB4EC" w14:textId="77777777" w:rsidR="006402E8" w:rsidRPr="007B29AC" w:rsidRDefault="006402E8" w:rsidP="006402E8">
      <w:pPr>
        <w:spacing w:after="0" w:line="276" w:lineRule="auto"/>
        <w:contextualSpacing/>
        <w:jc w:val="both"/>
        <w:rPr>
          <w:sz w:val="24"/>
          <w:lang w:val="es-MX" w:eastAsia="es-ES_tradnl"/>
          <w14:ligatures w14:val="standardContextual"/>
        </w:rPr>
      </w:pPr>
      <w:r w:rsidRPr="007B29AC">
        <w:rPr>
          <w:rFonts w:ascii="Arial" w:hAnsi="Arial" w:cs="Arial"/>
          <w:lang w:val="es-ES" w:eastAsia="es-ES_tradnl"/>
          <w14:ligatures w14:val="standardContextual"/>
        </w:rPr>
        <w:t> </w:t>
      </w:r>
    </w:p>
    <w:p w14:paraId="7728B74B"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lang w:val="es-MX"/>
          <w14:ligatures w14:val="standardContextual"/>
        </w:rPr>
        <w:t>“</w:t>
      </w:r>
      <w:r>
        <w:rPr>
          <w:rFonts w:ascii="Arial" w:hAnsi="Arial" w:cs="Arial"/>
          <w:sz w:val="21"/>
          <w:szCs w:val="21"/>
          <w:lang w:val="es-MX"/>
          <w14:ligatures w14:val="standardContextual"/>
        </w:rPr>
        <w:t>[…]</w:t>
      </w:r>
      <w:r w:rsidRPr="00610078">
        <w:rPr>
          <w:rFonts w:ascii="Arial" w:hAnsi="Arial" w:cs="Arial"/>
          <w:sz w:val="21"/>
          <w:szCs w:val="21"/>
        </w:rPr>
        <w:t xml:space="preserve">1. ¿Sí las instituciones educativas distritales cuando se encuentra en su régimen especial y hacen uso de la herramienta publicitaria SECOPII y han de publicar su convocatoria o invitación también tendrá en cuenta los 3 días siguientes  posterior a su expedición para su publicación, HACIENDO CASO OMISO A EL CRONOGRAMA DE SU CONVOCATORIA O INVITACION, es decir, que no respetaran los términos en tiempo real de su cronograma de su invitación o proceso en curso de selección? ¿No afectaría la conclusión anterior esto principios como el de transparencia, publicidad, libre concurrencia, debido proceso, que debo garantizar a los interesados o futuros oferentes si no publico conforme a mi cronograma si no 3 días después a la expedición? ¿si en el SECOPI cuando las entidades de ley 80 la utilizaban siendo plataforma meramente publicitaria respetaba los términos en tiempo real del cronograma porque en esta plataforma del SECOPII cuando es publicitaria no se respetan estos términos en el régimen especial? ¿Por qué solo se respeta el tiempo real del cronograma cuando el proceso es transaccional y porque no se respeta estos los termino oportunos o reales si es publicitario el uso de la plataforma del SECOPII pese que hay un cronograma igual en físico y el Decreto 1082 de 2015 en su artículo </w:t>
      </w:r>
    </w:p>
    <w:p w14:paraId="700CB839"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lastRenderedPageBreak/>
        <w:t xml:space="preserve"> 2.2.1.1.1.7.1. no diferencia entre plataformas si no que deja la claridad q si es una convocatoria o invitación se respetaran esos términos oportunos del cronograma del proceso de selección? </w:t>
      </w:r>
    </w:p>
    <w:p w14:paraId="330445D7"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2. ¿Qué pasaría cuando un ente de control revise esta diferencia que podemos acudir al concepto de la publicación de los documentos 3 días a su expedición sin respetar el cronograma de invitación o convocatoria cuando usemos la herramienta de SECOPII como publicitaria pero cuando es transaccional respetamos el cronograma?</w:t>
      </w:r>
    </w:p>
    <w:p w14:paraId="45F80892"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De acuerdo a lo anterior bajos las interpretaciones de la norma allí determinada en el concepto de CCE no es viable que se realice esta conclusión de Colombia compra eficiente de dividir la oportunidad de la publicación de los procesos de selección que cuando se use la herramienta publicitaria será los 3 días después a su expedición, pero cuando sea transaccional también serán los 3 días después a su expedición sin perjuicio de respetar el tiempo real de la publicación del cronograma o carta de invitación.</w:t>
      </w:r>
    </w:p>
    <w:p w14:paraId="576D9D1C"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sz w:val="21"/>
          <w:szCs w:val="21"/>
        </w:rPr>
        <w:t>Pedimos que sea analizada esta respuesta y que se tenga en cuenta así, bajo el respeto de los principios y el ojo de los entes de control, como lo interesados y futuros oferentes que pelearan al colegio porque no se publicó la invitación en los términos oportunos del cronograma sino 3 días después, quedando así:</w:t>
      </w:r>
    </w:p>
    <w:p w14:paraId="23310D5F" w14:textId="77777777" w:rsidR="006402E8" w:rsidRPr="00610078" w:rsidRDefault="006402E8" w:rsidP="006402E8">
      <w:pPr>
        <w:spacing w:line="240" w:lineRule="auto"/>
        <w:ind w:left="709" w:right="709"/>
        <w:jc w:val="both"/>
        <w:rPr>
          <w:rFonts w:ascii="Arial" w:hAnsi="Arial" w:cs="Arial"/>
          <w:sz w:val="21"/>
          <w:szCs w:val="21"/>
        </w:rPr>
      </w:pPr>
      <w:r w:rsidRPr="00610078">
        <w:rPr>
          <w:rFonts w:ascii="Arial" w:hAnsi="Arial" w:cs="Arial"/>
          <w:iCs/>
          <w:sz w:val="21"/>
          <w:szCs w:val="21"/>
        </w:rPr>
        <w:t xml:space="preserve">De conformidad con lo expuesto se concluye que el término que tienen las entidades estatales que por disposición legal cuenten con un régimen contractual excepcional al del Estatuto General de Contratación de la Administración Pública para publicar en el SECOP II es de tres (3) días posterior a su expedición. Lo anterior, sin perjuicio de que dichas entidades en el uso de la plataforma de SECOPII de manera publicitario o transaccional, caso en el cual la publicación de los documentos deberá hacerse en tiempo real, de acuerdo al cronograma definido para el proceso de selección según invitación o convocatoria […]”. </w:t>
      </w:r>
    </w:p>
    <w:p w14:paraId="2BDAB2F4" w14:textId="77777777" w:rsidR="006402E8" w:rsidRPr="00610078" w:rsidRDefault="006402E8" w:rsidP="006402E8">
      <w:pPr>
        <w:spacing w:after="0" w:line="276" w:lineRule="auto"/>
        <w:jc w:val="both"/>
        <w:rPr>
          <w:rFonts w:ascii="Arial" w:hAnsi="Arial" w:cs="Arial"/>
          <w14:ligatures w14:val="standardContextual"/>
        </w:rPr>
      </w:pPr>
    </w:p>
    <w:p w14:paraId="00101263" w14:textId="77777777" w:rsidR="006402E8" w:rsidRPr="00BD40F9" w:rsidRDefault="006402E8" w:rsidP="006402E8">
      <w:pPr>
        <w:spacing w:after="120" w:line="276" w:lineRule="auto"/>
        <w:jc w:val="both"/>
        <w:rPr>
          <w:rFonts w:ascii="Arial" w:eastAsia="Calibri" w:hAnsi="Arial" w:cs="Arial"/>
          <w:lang w:val="es-ES_tradnl"/>
        </w:rPr>
      </w:pPr>
      <w:r w:rsidRPr="00BD40F9">
        <w:rPr>
          <w:rFonts w:ascii="Arial" w:eastAsia="Arial" w:hAnsi="Arial" w:cs="Arial"/>
          <w:lang w:val="es-MX" w:eastAsia="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D40F9">
        <w:rPr>
          <w:rFonts w:ascii="Arial" w:eastAsia="Arial" w:hAnsi="Arial" w:cs="Arial"/>
          <w:vertAlign w:val="superscript"/>
          <w:lang w:val="es-MX" w:eastAsia="es-ES_tradnl"/>
        </w:rPr>
        <w:footnoteReference w:id="23"/>
      </w:r>
      <w:r w:rsidRPr="00BD40F9">
        <w:rPr>
          <w:rFonts w:ascii="Arial" w:eastAsia="Arial" w:hAnsi="Arial" w:cs="Arial"/>
          <w:lang w:val="es-MX" w:eastAsia="es-ES_tradnl"/>
        </w:rPr>
        <w:t xml:space="preserve">. </w:t>
      </w:r>
      <w:r w:rsidRPr="00BD40F9">
        <w:rPr>
          <w:rFonts w:ascii="Arial" w:eastAsia="Calibri" w:hAnsi="Arial" w:cs="Arial"/>
          <w:lang w:val="es-ES_tradnl"/>
        </w:rPr>
        <w:t xml:space="preserve">Es necesario tener en cuenta que esta entidad solo tiene competencia para responder solicitudes sobre la aplicación de normas </w:t>
      </w:r>
      <w:r w:rsidRPr="00BD40F9">
        <w:rPr>
          <w:rFonts w:ascii="Arial" w:eastAsia="Calibri" w:hAnsi="Arial" w:cs="Arial"/>
          <w:lang w:val="es-ES_tradnl"/>
        </w:rPr>
        <w:lastRenderedPageBreak/>
        <w:t>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039E07FB" w14:textId="77777777" w:rsidR="006402E8" w:rsidRDefault="006402E8" w:rsidP="006402E8">
      <w:pPr>
        <w:spacing w:after="120" w:line="276" w:lineRule="auto"/>
        <w:ind w:firstLine="708"/>
        <w:jc w:val="both"/>
        <w:rPr>
          <w:rFonts w:ascii="Arial" w:eastAsia="Calibri" w:hAnsi="Arial" w:cs="Arial"/>
          <w:lang w:val="es-ES_tradnl"/>
        </w:rPr>
      </w:pPr>
      <w:r w:rsidRPr="00BD40F9">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w:t>
      </w:r>
      <w:r>
        <w:rPr>
          <w:rFonts w:ascii="Arial" w:eastAsia="Calibri" w:hAnsi="Arial" w:cs="Arial"/>
          <w:lang w:val="es-ES_tradnl"/>
        </w:rPr>
        <w:t xml:space="preserve">asesorías sobre casos puntuales, ni mucho menos pronunciarse por la presunta responsabilidad en que se puede derivar de las actuaciones adelantadas en los Procesos de Contratación estatal dado que este último aspecto es de competencia restrictiva de la rama judicial y de los entes de control, según corresponda. </w:t>
      </w:r>
    </w:p>
    <w:p w14:paraId="60A4DB82" w14:textId="77777777" w:rsidR="006402E8" w:rsidRPr="008736D1" w:rsidRDefault="006402E8" w:rsidP="006402E8">
      <w:pPr>
        <w:spacing w:after="120" w:line="276" w:lineRule="auto"/>
        <w:ind w:firstLine="708"/>
        <w:jc w:val="both"/>
        <w:rPr>
          <w:rFonts w:ascii="Arial" w:eastAsia="Calibri" w:hAnsi="Arial" w:cs="Arial"/>
          <w:lang w:val="es-ES_tradnl"/>
        </w:rPr>
      </w:pPr>
      <w:r w:rsidRPr="007B29AC">
        <w:rPr>
          <w:rFonts w:ascii="Arial" w:hAnsi="Arial" w:cs="Arial"/>
          <w:lang w:val="es-MX"/>
          <w14:ligatures w14:val="standardContextual"/>
        </w:rPr>
        <w:t xml:space="preserve">Conforme a lo expuesto, el artículo 13 de la Ley 1150 de 2007, tras la modificación introducida por el artículo 53 de la Ley 2195 de 2022, establece que las entidades estatales exceptuadas del EGCAP deben publicar su actividad contractual en el SECOP II a partir del 18 de julio de 2022. En consecuencia, tales entidades deben publicar todos los documentos que se expidan en el desarrollo de los procesos de contratación que adelanten en sus respectivos regímenes especiales en la referida plataforma. </w:t>
      </w:r>
    </w:p>
    <w:p w14:paraId="2F8601FB" w14:textId="77777777" w:rsidR="006402E8" w:rsidRPr="007B29AC" w:rsidRDefault="006402E8" w:rsidP="006402E8">
      <w:pPr>
        <w:spacing w:after="120" w:line="276" w:lineRule="auto"/>
        <w:ind w:firstLine="708"/>
        <w:jc w:val="both"/>
        <w:rPr>
          <w:rFonts w:ascii="Arial" w:hAnsi="Arial" w:cs="Arial"/>
          <w:lang w:val="es-MX"/>
          <w14:ligatures w14:val="standardContextual"/>
        </w:rPr>
      </w:pPr>
      <w:r w:rsidRPr="007B29AC">
        <w:rPr>
          <w:rFonts w:ascii="Arial" w:hAnsi="Arial" w:cs="Arial"/>
          <w:lang w:val="es-MX"/>
          <w14:ligatures w14:val="standardContextual"/>
        </w:rPr>
        <w:t xml:space="preserve">Teniendo en cuenta que la contratación que realizan las instituciones educativas oficiales que se ubique por debajo de los veinte (20) salarios mínimos mensuales legales vigentes se encuentra exceptuada gel régimen general de contratación pública, conforme lo dispuesto en el artículo 13 de la Ley 715 de 2001, se concluye que dichas entidades se encuentran dentro del ámbito de aplicación del artículo 53 de la Ley 2195 de 2022, en relación con aquellos contratos que no superen el umbral establecido. Por lo tanto, las instituciones educativas oficiales deben publicar en el SECOP II los documentos que expidan en el marco de los procesos de régimen especial que desarrollen con sujeción a las normas establecidas por sus consejos directivos.  </w:t>
      </w:r>
    </w:p>
    <w:p w14:paraId="4306D632" w14:textId="77777777" w:rsidR="006402E8" w:rsidRPr="007B29AC" w:rsidRDefault="006402E8" w:rsidP="006402E8">
      <w:pPr>
        <w:spacing w:after="120" w:line="276" w:lineRule="auto"/>
        <w:ind w:firstLine="709"/>
        <w:jc w:val="both"/>
        <w:rPr>
          <w:rFonts w:ascii="Arial" w:eastAsia="Calibri" w:hAnsi="Arial" w:cs="Arial"/>
          <w:iCs/>
          <w:lang w:val="es-ES" w:eastAsia="es-ES_tradnl"/>
          <w14:ligatures w14:val="standardContextual"/>
        </w:rPr>
      </w:pPr>
      <w:r w:rsidRPr="007B29AC">
        <w:rPr>
          <w:rFonts w:ascii="Arial" w:eastAsia="Calibri" w:hAnsi="Arial" w:cs="Arial"/>
          <w:lang w:val="es-ES_tradnl"/>
          <w14:ligatures w14:val="standardContextual"/>
        </w:rPr>
        <w:t>En este punto, y a fin de dar respuesta a la consulta, resulta importante señalar que, la reforma introducida por el artículo 53 de la Ley 2195 de 2022 de ninguna manera puede ser interpretada como una modificación del régimen jurídico de las entidades exceptuadas, ni como una norma que regule la forma en la que se perfeccionan los contratos de estas entidades, por lo cual se seguirán rigiendo por sus manuales de contratación. Como se ha venido señalando, e</w:t>
      </w:r>
      <w:r w:rsidRPr="007B29AC">
        <w:rPr>
          <w:rFonts w:ascii="Arial" w:hAnsi="Arial" w:cs="Arial"/>
          <w:lang w:val="es-MX"/>
          <w14:ligatures w14:val="standardContextual"/>
        </w:rPr>
        <w:t xml:space="preserve">l efecto de la norma objeto de estudio fue establecer la obligación de que la publicidad de su actividad contractual sujeta a régimen especial se realice a través de la plataforma SECOP II. </w:t>
      </w:r>
      <w:r w:rsidRPr="007B29AC">
        <w:rPr>
          <w:rFonts w:ascii="Arial" w:eastAsia="Calibri" w:hAnsi="Arial" w:cs="Arial"/>
          <w:lang w:val="es-ES_tradnl"/>
          <w14:ligatures w14:val="standardContextual"/>
        </w:rPr>
        <w:t xml:space="preserve">Sin embargo, esto no implica que estas instituciones ahora estén obligadas a desarrollar la contratación de manera electrónica o que forzosamente deban utilizar el SECOP II de manera transaccional. </w:t>
      </w:r>
      <w:r w:rsidRPr="007B29AC">
        <w:rPr>
          <w:rFonts w:ascii="Arial" w:eastAsia="Calibri" w:hAnsi="Arial" w:cs="Arial"/>
          <w:iCs/>
          <w:lang w:val="es-ES" w:eastAsia="es-ES_tradnl"/>
          <w14:ligatures w14:val="standardContextual"/>
        </w:rPr>
        <w:t>En consecuencia, dado que la disposición materia de estudio no definió la obligatoriedad sobre el uso transaccional del SECOP II para las entidades exceptuadas, estas podrán usarla de forma transaccional o publicitaria.</w:t>
      </w:r>
    </w:p>
    <w:p w14:paraId="78541819" w14:textId="77777777" w:rsidR="006402E8" w:rsidRDefault="006402E8" w:rsidP="006402E8">
      <w:pPr>
        <w:spacing w:after="120" w:line="276" w:lineRule="auto"/>
        <w:ind w:firstLine="709"/>
        <w:jc w:val="both"/>
        <w:rPr>
          <w:rFonts w:ascii="Arial" w:eastAsia="Times New Roman" w:hAnsi="Arial" w:cs="Arial"/>
          <w:lang w:eastAsia="es-ES_tradnl"/>
          <w14:ligatures w14:val="standardContextual"/>
        </w:rPr>
      </w:pPr>
      <w:r w:rsidRPr="007B29AC">
        <w:rPr>
          <w:rFonts w:ascii="Arial" w:hAnsi="Arial" w:cs="Arial"/>
          <w:lang w:val="es-MX"/>
          <w14:ligatures w14:val="standardContextual"/>
        </w:rPr>
        <w:lastRenderedPageBreak/>
        <w:t>En cuanto al uso del SECOP II por parte de entidades exceptuadas es menester señalar que dicha plataforma cuenta con dos módulos, uno transaccional –</w:t>
      </w:r>
      <w:r w:rsidRPr="007B29AC">
        <w:rPr>
          <w:rFonts w:ascii="Arial" w:eastAsia="Times New Roman" w:hAnsi="Arial" w:cs="Arial"/>
          <w:i/>
          <w:iCs/>
          <w:lang w:val="es-MX" w:eastAsia="es-ES"/>
          <w14:ligatures w14:val="standardContextual"/>
        </w:rPr>
        <w:t xml:space="preserve">Contratación Régimen Especial (con ofertas)– </w:t>
      </w:r>
      <w:r w:rsidRPr="007B29AC">
        <w:rPr>
          <w:rFonts w:ascii="Arial" w:eastAsia="Times New Roman" w:hAnsi="Arial" w:cs="Arial"/>
          <w:lang w:val="es-MX" w:eastAsia="es-ES"/>
          <w14:ligatures w14:val="standardContextual"/>
        </w:rPr>
        <w:t>y otro meramente publicitario –</w:t>
      </w:r>
      <w:r w:rsidRPr="007B29AC">
        <w:rPr>
          <w:rFonts w:ascii="Arial" w:eastAsia="Times New Roman" w:hAnsi="Arial" w:cs="Arial"/>
          <w:i/>
          <w:iCs/>
          <w:lang w:val="es-MX" w:eastAsia="es-ES"/>
          <w14:ligatures w14:val="standardContextual"/>
        </w:rPr>
        <w:t xml:space="preserve">Contratación Régimen Especial (sin ofertas)–. </w:t>
      </w:r>
      <w:r w:rsidRPr="007B29AC">
        <w:rPr>
          <w:rFonts w:ascii="Arial" w:eastAsia="Times New Roman" w:hAnsi="Arial" w:cs="Arial"/>
          <w:lang w:val="es-MX" w:eastAsia="es-ES"/>
          <w14:ligatures w14:val="standardContextual"/>
        </w:rPr>
        <w:t xml:space="preserve">El primero de estos módulos permite </w:t>
      </w:r>
      <w:r w:rsidRPr="007B29AC">
        <w:rPr>
          <w:rFonts w:ascii="Arial" w:eastAsia="Times New Roman" w:hAnsi="Arial" w:cs="Arial"/>
          <w:lang w:eastAsia="es-ES_tradnl"/>
          <w14:ligatures w14:val="standardContextual"/>
        </w:rPr>
        <w:t xml:space="preserve">estructurar el proceso de contratación, recibir ofertas, generar el contrato y realizar la gestión contractual en línea a través de la plataforma. Por su parte, el módulo publicitario funciona como un repositorio en el que las entidades exceptuadas publican los documentos generados por fuera de la plataforma. Las instituciones educativas oficiales, en cuanto a su contratación exceptuada del Estatuto General de Contratación de la Administración Pública, pueden optar por utilizar cualquiera de estos dos módulos para dar cumplimiento al artículo 53 de la Ley 2195 de 2022. </w:t>
      </w:r>
    </w:p>
    <w:p w14:paraId="4D2D726A" w14:textId="77777777" w:rsidR="006402E8" w:rsidRPr="008736D1" w:rsidRDefault="006402E8" w:rsidP="006402E8">
      <w:pPr>
        <w:spacing w:after="120" w:line="276" w:lineRule="auto"/>
        <w:ind w:firstLine="709"/>
        <w:jc w:val="both"/>
        <w:rPr>
          <w:rFonts w:ascii="Arial" w:eastAsia="Times New Roman" w:hAnsi="Arial" w:cs="Arial"/>
          <w:lang w:eastAsia="es-ES_tradnl"/>
          <w14:ligatures w14:val="standardContextual"/>
        </w:rPr>
      </w:pPr>
      <w:r>
        <w:rPr>
          <w:rFonts w:ascii="Arial" w:eastAsia="Calibri" w:hAnsi="Arial" w:cs="Arial"/>
          <w:lang w:val="es-ES" w:eastAsia="es-ES_tradnl"/>
        </w:rPr>
        <w:t xml:space="preserve">Finalmente </w:t>
      </w:r>
      <w:r w:rsidRPr="001670AD">
        <w:rPr>
          <w:rFonts w:ascii="Arial" w:eastAsia="Calibri" w:hAnsi="Arial" w:cs="Arial"/>
          <w:lang w:val="es-ES" w:eastAsia="es-ES_tradnl"/>
        </w:rPr>
        <w:t xml:space="preserve">se concluye que el término que tienen las </w:t>
      </w:r>
      <w:r>
        <w:rPr>
          <w:rFonts w:ascii="Arial" w:hAnsi="Arial" w:cs="Arial"/>
          <w:shd w:val="clear" w:color="auto" w:fill="FFFFFF"/>
        </w:rPr>
        <w:t xml:space="preserve">instituciones educativas de </w:t>
      </w:r>
      <w:r w:rsidRPr="001670AD">
        <w:rPr>
          <w:rFonts w:ascii="Arial" w:hAnsi="Arial" w:cs="Arial"/>
          <w:shd w:val="clear" w:color="auto" w:fill="FFFFFF"/>
        </w:rPr>
        <w:t>publicar en el SECOP II es de tres (3) días posterior a su expedición. Lo anterior, sin perjuicio de que dichas entidades hagan uso transaccional de la plataforma, caso en el cual la publicación de los documentos deberá hacerse en tiempo real, de acuerdo al cronograma definido para el proceso de selección.</w:t>
      </w:r>
    </w:p>
    <w:p w14:paraId="638B25BF" w14:textId="77777777" w:rsidR="006402E8" w:rsidRPr="008736D1" w:rsidRDefault="006402E8" w:rsidP="006402E8">
      <w:pPr>
        <w:spacing w:after="0" w:line="276" w:lineRule="auto"/>
        <w:ind w:firstLine="709"/>
        <w:contextualSpacing/>
        <w:jc w:val="both"/>
        <w:rPr>
          <w:rFonts w:ascii="Arial" w:hAnsi="Arial" w:cs="Arial"/>
          <w:lang w:val="es-ES"/>
          <w14:ligatures w14:val="standardContextual"/>
        </w:rPr>
      </w:pPr>
    </w:p>
    <w:p w14:paraId="6C33F709" w14:textId="77777777" w:rsidR="006402E8" w:rsidRPr="007B29AC" w:rsidRDefault="006402E8" w:rsidP="006402E8">
      <w:pPr>
        <w:spacing w:after="0" w:line="276" w:lineRule="auto"/>
        <w:ind w:firstLine="709"/>
        <w:contextualSpacing/>
        <w:jc w:val="both"/>
        <w:rPr>
          <w:rFonts w:ascii="Arial" w:hAnsi="Arial" w:cs="Arial"/>
          <w:lang w:val="es-MX"/>
          <w14:ligatures w14:val="standardContextual"/>
        </w:rPr>
      </w:pPr>
    </w:p>
    <w:p w14:paraId="20990EA1" w14:textId="77777777" w:rsidR="006402E8" w:rsidRPr="00AF3278" w:rsidRDefault="006402E8" w:rsidP="006402E8">
      <w:pPr>
        <w:widowControl w:val="0"/>
        <w:autoSpaceDE w:val="0"/>
        <w:autoSpaceDN w:val="0"/>
        <w:spacing w:after="0" w:line="276" w:lineRule="auto"/>
        <w:jc w:val="both"/>
        <w:rPr>
          <w:rFonts w:ascii="Arial" w:eastAsia="Times New Roman" w:hAnsi="Arial" w:cs="Arial"/>
          <w:lang w:val="es-ES" w:eastAsia="es-ES"/>
        </w:rPr>
      </w:pPr>
      <w:r w:rsidRPr="00AF3278">
        <w:rPr>
          <w:rFonts w:ascii="Arial" w:eastAsia="Times New Roman" w:hAnsi="Arial" w:cs="Arial"/>
          <w:lang w:val="es-MX" w:eastAsia="es-ES"/>
        </w:rPr>
        <w:t xml:space="preserve">Este concepto tiene el alcance previsto en el artículo 28 del Código de Procedimiento Administrativo y de lo Contencioso Administrativo </w:t>
      </w:r>
      <w:r w:rsidRPr="00AF3278">
        <w:rPr>
          <w:rFonts w:ascii="Arial" w:eastAsia="Times New Roman" w:hAnsi="Arial" w:cs="Arial"/>
          <w:lang w:val="es-ES" w:eastAsia="es-ES"/>
        </w:rPr>
        <w:t>y las expresiones aquí utilizadas con mayúscula inicial deben ser entendidas con el significado que les otorga el artículo 2.2.1.1.1.3.1. del Decreto 1082 de 2015.</w:t>
      </w:r>
    </w:p>
    <w:p w14:paraId="2AD301CB" w14:textId="77777777" w:rsidR="006402E8" w:rsidRPr="007B29AC" w:rsidRDefault="006402E8" w:rsidP="006402E8">
      <w:pPr>
        <w:widowControl w:val="0"/>
        <w:autoSpaceDE w:val="0"/>
        <w:autoSpaceDN w:val="0"/>
        <w:spacing w:after="0" w:line="276" w:lineRule="auto"/>
        <w:jc w:val="both"/>
        <w:rPr>
          <w:rFonts w:ascii="Arial" w:hAnsi="Arial" w:cs="Arial"/>
          <w:sz w:val="24"/>
          <w:lang w:val="es-MX"/>
          <w14:ligatures w14:val="standardContextual"/>
        </w:rPr>
      </w:pPr>
    </w:p>
    <w:p w14:paraId="7BF89146" w14:textId="77777777" w:rsidR="006402E8" w:rsidRDefault="006402E8" w:rsidP="006402E8">
      <w:pPr>
        <w:spacing w:after="0" w:line="276" w:lineRule="auto"/>
        <w:rPr>
          <w:rFonts w:ascii="Arial" w:eastAsia="Times New Roman" w:hAnsi="Arial" w:cs="Arial"/>
          <w:sz w:val="24"/>
          <w:lang w:val="es-MX" w:eastAsia="es-CO"/>
          <w14:ligatures w14:val="standardContextual"/>
        </w:rPr>
      </w:pPr>
      <w:r w:rsidRPr="007B29AC">
        <w:rPr>
          <w:rFonts w:ascii="Arial" w:eastAsia="Times New Roman" w:hAnsi="Arial" w:cs="Arial"/>
          <w:sz w:val="24"/>
          <w:lang w:val="es-MX" w:eastAsia="es-CO"/>
          <w14:ligatures w14:val="standardContextual"/>
        </w:rPr>
        <w:t>Atentamente,</w:t>
      </w:r>
    </w:p>
    <w:p w14:paraId="09EA240B" w14:textId="5DEA227C" w:rsidR="006402E8" w:rsidRDefault="00A65946" w:rsidP="006402E8">
      <w:pPr>
        <w:spacing w:after="0" w:line="276" w:lineRule="auto"/>
        <w:jc w:val="center"/>
        <w:rPr>
          <w:rFonts w:ascii="Arial" w:eastAsia="Times New Roman" w:hAnsi="Arial" w:cs="Arial"/>
          <w:sz w:val="24"/>
          <w:lang w:val="es-MX" w:eastAsia="es-CO"/>
          <w14:ligatures w14:val="standardContextual"/>
        </w:rPr>
      </w:pPr>
      <w:r>
        <w:rPr>
          <w:noProof/>
          <w:lang w:val="en-US"/>
        </w:rPr>
        <w:drawing>
          <wp:inline distT="0" distB="0" distL="0" distR="0" wp14:anchorId="7A39E67B" wp14:editId="1A4BEB0E">
            <wp:extent cx="2775006" cy="1064730"/>
            <wp:effectExtent l="0" t="0" r="6350" b="254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stretch>
                      <a:fillRect/>
                    </a:stretch>
                  </pic:blipFill>
                  <pic:spPr>
                    <a:xfrm>
                      <a:off x="0" y="0"/>
                      <a:ext cx="2785707" cy="1068836"/>
                    </a:xfrm>
                    <a:prstGeom prst="rect">
                      <a:avLst/>
                    </a:prstGeom>
                  </pic:spPr>
                </pic:pic>
              </a:graphicData>
            </a:graphic>
          </wp:inline>
        </w:drawing>
      </w:r>
    </w:p>
    <w:p w14:paraId="767565FA" w14:textId="77777777" w:rsidR="006402E8" w:rsidRPr="007B29AC" w:rsidRDefault="006402E8" w:rsidP="006402E8">
      <w:pPr>
        <w:spacing w:after="0" w:line="276" w:lineRule="auto"/>
        <w:jc w:val="center"/>
        <w:rPr>
          <w:rFonts w:ascii="Arial" w:eastAsia="Times New Roman" w:hAnsi="Arial" w:cs="Arial"/>
          <w:sz w:val="24"/>
          <w:lang w:val="es-MX" w:eastAsia="es-CO"/>
          <w14:ligatures w14:val="standardContextual"/>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6402E8" w:rsidRPr="007B29AC" w14:paraId="1E97105E" w14:textId="77777777" w:rsidTr="008B43B1">
        <w:trPr>
          <w:trHeight w:val="315"/>
        </w:trPr>
        <w:tc>
          <w:tcPr>
            <w:tcW w:w="810" w:type="dxa"/>
            <w:tcBorders>
              <w:top w:val="nil"/>
              <w:left w:val="nil"/>
              <w:bottom w:val="nil"/>
              <w:right w:val="nil"/>
            </w:tcBorders>
            <w:vAlign w:val="center"/>
            <w:hideMark/>
          </w:tcPr>
          <w:p w14:paraId="10D61991"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Elaboró: </w:t>
            </w:r>
          </w:p>
        </w:tc>
        <w:tc>
          <w:tcPr>
            <w:tcW w:w="6136" w:type="dxa"/>
            <w:tcBorders>
              <w:top w:val="nil"/>
              <w:left w:val="nil"/>
              <w:bottom w:val="dotted" w:sz="6" w:space="0" w:color="7F7F7F"/>
              <w:right w:val="nil"/>
            </w:tcBorders>
            <w:vAlign w:val="center"/>
            <w:hideMark/>
          </w:tcPr>
          <w:p w14:paraId="009F78F7"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Pr>
                <w:rFonts w:ascii="Arial" w:hAnsi="Arial" w:cs="Arial"/>
                <w:sz w:val="16"/>
                <w:szCs w:val="16"/>
                <w:lang w:val="es-MX" w:eastAsia="es-CO"/>
                <w14:ligatures w14:val="standardContextual"/>
              </w:rPr>
              <w:t>Nina María Padrón Ballestas</w:t>
            </w:r>
          </w:p>
          <w:p w14:paraId="00F0526F"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Contratista de la Subdirección de Gestión Contractual</w:t>
            </w:r>
          </w:p>
        </w:tc>
      </w:tr>
      <w:tr w:rsidR="006402E8" w:rsidRPr="007B29AC" w14:paraId="26048CDA" w14:textId="77777777" w:rsidTr="008B43B1">
        <w:trPr>
          <w:trHeight w:val="315"/>
        </w:trPr>
        <w:tc>
          <w:tcPr>
            <w:tcW w:w="810" w:type="dxa"/>
            <w:tcBorders>
              <w:top w:val="nil"/>
              <w:left w:val="nil"/>
              <w:bottom w:val="nil"/>
              <w:right w:val="nil"/>
            </w:tcBorders>
            <w:vAlign w:val="center"/>
            <w:hideMark/>
          </w:tcPr>
          <w:p w14:paraId="245BB349"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Revisó: </w:t>
            </w:r>
          </w:p>
        </w:tc>
        <w:tc>
          <w:tcPr>
            <w:tcW w:w="6136" w:type="dxa"/>
            <w:tcBorders>
              <w:top w:val="dotted" w:sz="6" w:space="0" w:color="7F7F7F"/>
              <w:left w:val="nil"/>
              <w:bottom w:val="dotted" w:sz="6" w:space="0" w:color="7F7F7F"/>
              <w:right w:val="nil"/>
            </w:tcBorders>
            <w:vAlign w:val="center"/>
            <w:hideMark/>
          </w:tcPr>
          <w:p w14:paraId="6CF9CD7F"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Pr>
                <w:rFonts w:ascii="Arial" w:hAnsi="Arial" w:cs="Arial"/>
                <w:sz w:val="16"/>
                <w:szCs w:val="16"/>
                <w:lang w:val="es-MX" w:eastAsia="es-CO"/>
                <w14:ligatures w14:val="standardContextual"/>
              </w:rPr>
              <w:t>Martha Alicia Romero Vargas</w:t>
            </w:r>
          </w:p>
          <w:p w14:paraId="464D7EC1"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Contratista de la Subdirección de Gestión Contractual</w:t>
            </w:r>
          </w:p>
        </w:tc>
      </w:tr>
      <w:tr w:rsidR="006402E8" w:rsidRPr="007B29AC" w14:paraId="2663D555" w14:textId="77777777" w:rsidTr="008B43B1">
        <w:trPr>
          <w:trHeight w:val="300"/>
        </w:trPr>
        <w:tc>
          <w:tcPr>
            <w:tcW w:w="810" w:type="dxa"/>
            <w:tcBorders>
              <w:top w:val="nil"/>
              <w:left w:val="nil"/>
              <w:bottom w:val="nil"/>
              <w:right w:val="nil"/>
            </w:tcBorders>
            <w:vAlign w:val="center"/>
            <w:hideMark/>
          </w:tcPr>
          <w:p w14:paraId="179C5FC3"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MX" w:eastAsia="es-CO"/>
                <w14:ligatures w14:val="standardContextual"/>
              </w:rPr>
              <w:t>Aprobó: </w:t>
            </w:r>
          </w:p>
        </w:tc>
        <w:tc>
          <w:tcPr>
            <w:tcW w:w="6136" w:type="dxa"/>
            <w:tcBorders>
              <w:top w:val="dotted" w:sz="6" w:space="0" w:color="7F7F7F"/>
              <w:left w:val="nil"/>
              <w:bottom w:val="dotted" w:sz="6" w:space="0" w:color="7F7F7F"/>
              <w:right w:val="nil"/>
            </w:tcBorders>
            <w:vAlign w:val="center"/>
            <w:hideMark/>
          </w:tcPr>
          <w:p w14:paraId="65128A23" w14:textId="77777777" w:rsidR="006402E8" w:rsidRPr="007B29AC" w:rsidRDefault="006402E8" w:rsidP="008B43B1">
            <w:pPr>
              <w:spacing w:after="0" w:line="240" w:lineRule="auto"/>
              <w:textAlignment w:val="baseline"/>
              <w:rPr>
                <w:rFonts w:ascii="Arial" w:hAnsi="Arial" w:cs="Arial"/>
                <w:sz w:val="16"/>
                <w:szCs w:val="16"/>
                <w:lang w:val="es-ES_tradnl" w:eastAsia="es-CO"/>
                <w14:ligatures w14:val="standardContextual"/>
              </w:rPr>
            </w:pPr>
            <w:r w:rsidRPr="007B29AC">
              <w:rPr>
                <w:rFonts w:ascii="Arial" w:hAnsi="Arial" w:cs="Arial"/>
                <w:sz w:val="16"/>
                <w:szCs w:val="16"/>
                <w:lang w:val="es-ES_tradnl" w:eastAsia="es-CO"/>
                <w14:ligatures w14:val="standardContextual"/>
              </w:rPr>
              <w:t>Nohelia del Carmen Zawady Palacio</w:t>
            </w:r>
          </w:p>
          <w:p w14:paraId="134A59CD" w14:textId="77777777" w:rsidR="006402E8" w:rsidRPr="007B29AC" w:rsidRDefault="006402E8" w:rsidP="008B43B1">
            <w:pPr>
              <w:spacing w:after="0" w:line="240" w:lineRule="auto"/>
              <w:textAlignment w:val="baseline"/>
              <w:rPr>
                <w:rFonts w:ascii="Arial" w:hAnsi="Arial" w:cs="Arial"/>
                <w:sz w:val="16"/>
                <w:szCs w:val="16"/>
                <w:lang w:val="es-MX" w:eastAsia="es-CO"/>
                <w14:ligatures w14:val="standardContextual"/>
              </w:rPr>
            </w:pPr>
            <w:r w:rsidRPr="007B29AC">
              <w:rPr>
                <w:rFonts w:ascii="Arial" w:hAnsi="Arial" w:cs="Arial"/>
                <w:sz w:val="16"/>
                <w:szCs w:val="16"/>
                <w:lang w:val="es-ES_tradnl" w:eastAsia="es-CO"/>
                <w14:ligatures w14:val="standardContextual"/>
              </w:rPr>
              <w:t>Subdirectora de Gestión Contractual ANCP-CCE</w:t>
            </w:r>
          </w:p>
        </w:tc>
      </w:tr>
    </w:tbl>
    <w:p w14:paraId="5EFBD8C5" w14:textId="77777777" w:rsidR="006402E8" w:rsidRPr="007B29AC" w:rsidRDefault="006402E8" w:rsidP="006402E8">
      <w:pPr>
        <w:spacing w:after="0" w:line="276" w:lineRule="auto"/>
        <w:contextualSpacing/>
        <w:jc w:val="both"/>
        <w:rPr>
          <w:rFonts w:ascii="Arial" w:eastAsia="Times New Roman" w:hAnsi="Arial" w:cs="Arial"/>
          <w:lang w:val="es-MX" w:eastAsia="es-CO"/>
          <w14:ligatures w14:val="standardContextual"/>
        </w:rPr>
      </w:pPr>
    </w:p>
    <w:p w14:paraId="7EB7F4EC" w14:textId="77777777" w:rsidR="006402E8" w:rsidRPr="006219F8" w:rsidRDefault="006402E8" w:rsidP="006402E8">
      <w:pPr>
        <w:rPr>
          <w:lang w:val="es-MX"/>
        </w:rPr>
      </w:pPr>
    </w:p>
    <w:p w14:paraId="723C0F7F" w14:textId="77777777" w:rsidR="006402E8" w:rsidRPr="006219F8" w:rsidRDefault="006402E8" w:rsidP="006402E8">
      <w:pPr>
        <w:rPr>
          <w:lang w:val="es-MX"/>
        </w:rPr>
      </w:pPr>
    </w:p>
    <w:p w14:paraId="7CE20A1D" w14:textId="77777777" w:rsidR="005F2213" w:rsidRDefault="005F2213">
      <w:pPr>
        <w:rPr>
          <w:rFonts w:ascii="Arial" w:hAnsi="Arial" w:cs="Arial"/>
          <w:lang w:val="es-MX"/>
          <w14:ligatures w14:val="standardContextual"/>
        </w:rPr>
      </w:pPr>
    </w:p>
    <w:sectPr w:rsidR="005F2213"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93DDB" w14:textId="77777777" w:rsidR="00C06052" w:rsidRDefault="00C06052" w:rsidP="004A1847">
      <w:pPr>
        <w:spacing w:after="0" w:line="240" w:lineRule="auto"/>
      </w:pPr>
      <w:r>
        <w:separator/>
      </w:r>
    </w:p>
  </w:endnote>
  <w:endnote w:type="continuationSeparator" w:id="0">
    <w:p w14:paraId="4A8D16A8" w14:textId="77777777" w:rsidR="00C06052" w:rsidRDefault="00C06052" w:rsidP="004A1847">
      <w:pPr>
        <w:spacing w:after="0" w:line="240" w:lineRule="auto"/>
      </w:pPr>
      <w:r>
        <w:continuationSeparator/>
      </w:r>
    </w:p>
  </w:endnote>
  <w:endnote w:type="continuationNotice" w:id="1">
    <w:p w14:paraId="3893546F" w14:textId="77777777" w:rsidR="00C06052" w:rsidRDefault="00C06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panose1 w:val="00000000000000000000"/>
    <w:charset w:val="00"/>
    <w:family w:val="auto"/>
    <w:notTrueType/>
    <w:pitch w:val="default"/>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285940E"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A65946">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A65946">
            <w:rPr>
              <w:rFonts w:ascii="Geomanist Light" w:hAnsi="Geomanist Light"/>
              <w:b/>
              <w:bCs/>
              <w:noProof/>
              <w:sz w:val="18"/>
              <w:szCs w:val="18"/>
            </w:rPr>
            <w:t>23</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08B0" w14:textId="77777777" w:rsidR="00C06052" w:rsidRDefault="00C06052" w:rsidP="004A1847">
      <w:pPr>
        <w:spacing w:after="0" w:line="240" w:lineRule="auto"/>
      </w:pPr>
      <w:r>
        <w:separator/>
      </w:r>
    </w:p>
  </w:footnote>
  <w:footnote w:type="continuationSeparator" w:id="0">
    <w:p w14:paraId="03F0A550" w14:textId="77777777" w:rsidR="00C06052" w:rsidRDefault="00C06052" w:rsidP="004A1847">
      <w:pPr>
        <w:spacing w:after="0" w:line="240" w:lineRule="auto"/>
      </w:pPr>
      <w:r>
        <w:continuationSeparator/>
      </w:r>
    </w:p>
  </w:footnote>
  <w:footnote w:type="continuationNotice" w:id="1">
    <w:p w14:paraId="7B748BDC" w14:textId="77777777" w:rsidR="00C06052" w:rsidRDefault="00C06052">
      <w:pPr>
        <w:spacing w:after="0" w:line="240" w:lineRule="auto"/>
      </w:pPr>
    </w:p>
  </w:footnote>
  <w:footnote w:id="2">
    <w:p w14:paraId="20A459DC" w14:textId="77777777" w:rsidR="006402E8" w:rsidRPr="005C1E9C" w:rsidRDefault="006402E8" w:rsidP="006402E8">
      <w:pPr>
        <w:pBdr>
          <w:top w:val="nil"/>
          <w:left w:val="nil"/>
          <w:bottom w:val="nil"/>
          <w:right w:val="nil"/>
          <w:between w:val="nil"/>
        </w:pBdr>
        <w:spacing w:after="0" w:line="240" w:lineRule="auto"/>
        <w:ind w:firstLine="709"/>
        <w:jc w:val="both"/>
        <w:rPr>
          <w:rFonts w:ascii="Arial" w:eastAsia="Arial" w:hAnsi="Arial" w:cs="Arial"/>
          <w:sz w:val="19"/>
          <w:szCs w:val="19"/>
        </w:rPr>
      </w:pPr>
      <w:r w:rsidRPr="005C1E9C">
        <w:rPr>
          <w:rFonts w:ascii="Arial" w:hAnsi="Arial" w:cs="Arial"/>
          <w:sz w:val="19"/>
          <w:szCs w:val="19"/>
          <w:vertAlign w:val="superscript"/>
        </w:rPr>
        <w:footnoteRef/>
      </w:r>
      <w:r w:rsidRPr="005C1E9C">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C1E9C">
        <w:rPr>
          <w:rFonts w:ascii="Arial" w:eastAsia="Arial" w:hAnsi="Arial" w:cs="Arial"/>
          <w:i/>
          <w:sz w:val="19"/>
          <w:szCs w:val="19"/>
        </w:rPr>
        <w:t xml:space="preserve">ibídem </w:t>
      </w:r>
      <w:r w:rsidRPr="005C1E9C">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C182376" w14:textId="77777777" w:rsidR="006402E8" w:rsidRPr="005C1E9C" w:rsidRDefault="006402E8" w:rsidP="006402E8">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3">
    <w:p w14:paraId="25155E34" w14:textId="77777777" w:rsidR="006402E8" w:rsidRPr="002D7BEE" w:rsidRDefault="006402E8" w:rsidP="006402E8">
      <w:pPr>
        <w:pStyle w:val="Textonotapie"/>
        <w:ind w:firstLine="708"/>
        <w:contextualSpacing/>
        <w:jc w:val="both"/>
        <w:rPr>
          <w:rStyle w:val="Hipervnculo"/>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Los conceptos expedidos por la Subdirección de Gestión Contractual de la Agencia Nacional de Contratación Pública pueden ser consultados en plataforma de relatoría a la cual se puede acceder a través del siguiente enlace:  </w:t>
      </w:r>
      <w:hyperlink r:id="rId1" w:history="1">
        <w:r w:rsidRPr="002D7BEE">
          <w:rPr>
            <w:rStyle w:val="Hipervnculo"/>
            <w:rFonts w:ascii="Arial" w:hAnsi="Arial" w:cs="Arial"/>
            <w:sz w:val="18"/>
            <w:szCs w:val="18"/>
          </w:rPr>
          <w:t>https://relatoria.colombiacompra.gov.co/busqueda/conceptos</w:t>
        </w:r>
      </w:hyperlink>
      <w:r w:rsidRPr="002D7BEE">
        <w:rPr>
          <w:rStyle w:val="Hipervnculo"/>
          <w:rFonts w:ascii="Arial" w:hAnsi="Arial" w:cs="Arial"/>
          <w:sz w:val="18"/>
          <w:szCs w:val="18"/>
        </w:rPr>
        <w:t xml:space="preserve"> </w:t>
      </w:r>
    </w:p>
    <w:p w14:paraId="3FCBBFCA" w14:textId="77777777" w:rsidR="006402E8" w:rsidRPr="002D7BEE" w:rsidRDefault="006402E8" w:rsidP="006402E8">
      <w:pPr>
        <w:pStyle w:val="Textonotapie"/>
        <w:ind w:firstLine="708"/>
        <w:contextualSpacing/>
        <w:jc w:val="both"/>
        <w:rPr>
          <w:rFonts w:ascii="Arial" w:hAnsi="Arial" w:cs="Arial"/>
          <w:sz w:val="18"/>
          <w:szCs w:val="18"/>
        </w:rPr>
      </w:pPr>
    </w:p>
  </w:footnote>
  <w:footnote w:id="4">
    <w:p w14:paraId="06898C7E" w14:textId="77777777" w:rsidR="006402E8" w:rsidRPr="002D7BEE" w:rsidRDefault="006402E8" w:rsidP="006402E8">
      <w:pPr>
        <w:pStyle w:val="Textonotapie"/>
        <w:ind w:firstLine="708"/>
        <w:contextualSpacing/>
        <w:jc w:val="both"/>
        <w:rPr>
          <w:rFonts w:ascii="Arial" w:hAnsi="Arial" w:cs="Arial"/>
          <w:color w:val="000000" w:themeColor="text1"/>
          <w:sz w:val="18"/>
          <w:szCs w:val="18"/>
        </w:rPr>
      </w:pPr>
      <w:r w:rsidRPr="002D7BEE">
        <w:rPr>
          <w:rStyle w:val="Refdenotaalpie"/>
          <w:rFonts w:ascii="Arial" w:hAnsi="Arial" w:cs="Arial"/>
          <w:color w:val="000000" w:themeColor="text1"/>
          <w:sz w:val="18"/>
          <w:szCs w:val="18"/>
        </w:rPr>
        <w:footnoteRef/>
      </w:r>
      <w:r w:rsidRPr="002D7BEE">
        <w:rPr>
          <w:rStyle w:val="Refdenotaalpie"/>
          <w:rFonts w:ascii="Arial" w:hAnsi="Arial" w:cs="Arial"/>
          <w:color w:val="000000" w:themeColor="text1"/>
          <w:sz w:val="18"/>
          <w:szCs w:val="18"/>
        </w:rPr>
        <w:t xml:space="preserve"> </w:t>
      </w:r>
      <w:r w:rsidRPr="002D7BEE">
        <w:rPr>
          <w:rFonts w:ascii="Arial" w:hAnsi="Arial" w:cs="Arial"/>
          <w:color w:val="000000" w:themeColor="text1"/>
          <w:sz w:val="18"/>
          <w:szCs w:val="18"/>
        </w:rPr>
        <w:t>Consejo de Estado. Sección Tercera Subsección A. Sentencia del 12 de octubre de 2017. Consejera Ponente: Marta Nubia Velásquez Rico. Radicación número: 68001-23-31-000-2005-03845-01(51.634).</w:t>
      </w:r>
    </w:p>
    <w:p w14:paraId="65DF64A9" w14:textId="77777777" w:rsidR="006402E8" w:rsidRPr="002D7BEE" w:rsidRDefault="006402E8" w:rsidP="006402E8">
      <w:pPr>
        <w:pStyle w:val="Textonotapie"/>
        <w:contextualSpacing/>
        <w:jc w:val="both"/>
        <w:rPr>
          <w:rFonts w:ascii="Arial" w:hAnsi="Arial" w:cs="Arial"/>
          <w:color w:val="000000" w:themeColor="text1"/>
          <w:sz w:val="18"/>
          <w:szCs w:val="18"/>
        </w:rPr>
      </w:pPr>
    </w:p>
  </w:footnote>
  <w:footnote w:id="5">
    <w:p w14:paraId="46258BA6" w14:textId="77777777" w:rsidR="006402E8" w:rsidRPr="002D7BEE" w:rsidRDefault="006402E8" w:rsidP="006402E8">
      <w:pPr>
        <w:pStyle w:val="Textonotapie"/>
        <w:ind w:firstLine="708"/>
        <w:contextualSpacing/>
        <w:jc w:val="both"/>
        <w:rPr>
          <w:rFonts w:ascii="Arial" w:hAnsi="Arial" w:cs="Arial"/>
          <w:color w:val="000000" w:themeColor="text1"/>
          <w:sz w:val="18"/>
          <w:szCs w:val="18"/>
        </w:rPr>
      </w:pPr>
      <w:r w:rsidRPr="002D7BEE">
        <w:rPr>
          <w:rStyle w:val="Refdenotaalpie"/>
          <w:rFonts w:ascii="Arial" w:hAnsi="Arial" w:cs="Arial"/>
          <w:color w:val="000000" w:themeColor="text1"/>
          <w:sz w:val="18"/>
          <w:szCs w:val="18"/>
        </w:rPr>
        <w:footnoteRef/>
      </w:r>
      <w:r w:rsidRPr="002D7BEE">
        <w:rPr>
          <w:rFonts w:ascii="Arial" w:hAnsi="Arial" w:cs="Arial"/>
          <w:color w:val="000000" w:themeColor="text1"/>
          <w:sz w:val="18"/>
          <w:szCs w:val="18"/>
        </w:rPr>
        <w:t xml:space="preserve"> </w:t>
      </w:r>
      <w:r>
        <w:rPr>
          <w:rFonts w:ascii="Arial" w:hAnsi="Arial" w:cs="Arial"/>
          <w:color w:val="000000" w:themeColor="text1"/>
          <w:sz w:val="18"/>
          <w:szCs w:val="18"/>
        </w:rPr>
        <w:t>“</w:t>
      </w:r>
      <w:r w:rsidRPr="002D7BEE">
        <w:rPr>
          <w:rFonts w:ascii="Arial" w:hAnsi="Arial" w:cs="Arial"/>
          <w:color w:val="000000" w:themeColor="text1"/>
          <w:sz w:val="18"/>
          <w:szCs w:val="18"/>
        </w:rPr>
        <w:t>Artículo 2.3.1.6.3.4. Ordenación del gasto. Los fondos de servicios educativos carecen de personería jurídica</w:t>
      </w:r>
      <w:r>
        <w:rPr>
          <w:rFonts w:ascii="Arial" w:hAnsi="Arial" w:cs="Arial"/>
          <w:color w:val="000000" w:themeColor="text1"/>
          <w:sz w:val="18"/>
          <w:szCs w:val="18"/>
        </w:rPr>
        <w:t>”</w:t>
      </w:r>
      <w:r w:rsidRPr="002D7BEE">
        <w:rPr>
          <w:rFonts w:ascii="Arial" w:hAnsi="Arial" w:cs="Arial"/>
          <w:color w:val="000000" w:themeColor="text1"/>
          <w:sz w:val="18"/>
          <w:szCs w:val="18"/>
        </w:rPr>
        <w:t>.</w:t>
      </w:r>
    </w:p>
    <w:p w14:paraId="296B3A7E" w14:textId="77777777" w:rsidR="006402E8" w:rsidRPr="002D7BEE" w:rsidRDefault="006402E8" w:rsidP="006402E8">
      <w:pPr>
        <w:pStyle w:val="Textonotapie"/>
        <w:contextualSpacing/>
        <w:jc w:val="both"/>
        <w:rPr>
          <w:rFonts w:ascii="Arial" w:hAnsi="Arial" w:cs="Arial"/>
          <w:color w:val="000000" w:themeColor="text1"/>
          <w:sz w:val="18"/>
          <w:szCs w:val="18"/>
        </w:rPr>
      </w:pPr>
    </w:p>
  </w:footnote>
  <w:footnote w:id="6">
    <w:p w14:paraId="11AFCFCA" w14:textId="77777777" w:rsidR="006402E8" w:rsidRPr="002D7BEE" w:rsidRDefault="006402E8" w:rsidP="006402E8">
      <w:pPr>
        <w:pStyle w:val="NormalWeb"/>
        <w:spacing w:after="0" w:line="240" w:lineRule="auto"/>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Style w:val="Refdenotaalpie"/>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Artículo 13. Procedimientos de contratación de los fondos de servicios educativos. Todos los actos y contratos que tengan por objeto bienes y obligaciones que hayan de 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14:paraId="20C32DF5" w14:textId="77777777" w:rsidR="006402E8" w:rsidRPr="002D7BEE" w:rsidRDefault="006402E8" w:rsidP="006402E8">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i/>
          <w:iCs/>
          <w:sz w:val="18"/>
          <w:szCs w:val="18"/>
          <w:lang w:eastAsia="es-CO"/>
        </w:rPr>
        <w:t>Los actos y contratos de cuantía superior a veinte (20) salarios mínimos mensuales se regirán por las reglas de la contratación estatal</w:t>
      </w:r>
      <w:r w:rsidRPr="002D7BEE">
        <w:rPr>
          <w:rFonts w:ascii="Arial" w:eastAsia="Times New Roman" w:hAnsi="Arial" w:cs="Arial"/>
          <w:sz w:val="18"/>
          <w:szCs w:val="18"/>
          <w:lang w:eastAsia="es-CO"/>
        </w:rPr>
        <w:t xml:space="preserve">, teniendo en cuenta su valor y naturaleza, y las circunstancias en las que se celebren. El Gobierno Nacional podrá indicar los casos en los cuales la cuantía señalada en el presente inciso será menor. </w:t>
      </w:r>
    </w:p>
    <w:p w14:paraId="7AC6E4F8" w14:textId="77777777" w:rsidR="006402E8" w:rsidRPr="002D7BEE" w:rsidRDefault="006402E8" w:rsidP="006402E8">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sz w:val="18"/>
          <w:szCs w:val="18"/>
          <w:lang w:eastAsia="es-CO"/>
        </w:rPr>
        <w:t>El rector o director celebrará los contratos que hayan de pagarse con cargo a los recursos vinculados a los Fondos, en las condiciones y dentro de los límites que fijen los reglamentos.</w:t>
      </w:r>
    </w:p>
    <w:p w14:paraId="3B4AFD8C" w14:textId="77777777" w:rsidR="006402E8" w:rsidRPr="002D7BEE" w:rsidRDefault="006402E8" w:rsidP="006402E8">
      <w:pPr>
        <w:spacing w:after="0" w:line="240" w:lineRule="auto"/>
        <w:ind w:firstLine="708"/>
        <w:contextualSpacing/>
        <w:jc w:val="both"/>
        <w:rPr>
          <w:rFonts w:ascii="Arial" w:eastAsia="Times New Roman" w:hAnsi="Arial" w:cs="Arial"/>
          <w:sz w:val="18"/>
          <w:szCs w:val="18"/>
          <w:lang w:eastAsia="es-CO"/>
        </w:rPr>
      </w:pPr>
      <w:r w:rsidRPr="002D7BEE">
        <w:rPr>
          <w:rFonts w:ascii="Arial" w:eastAsia="Times New Roman" w:hAnsi="Arial" w:cs="Arial"/>
          <w:i/>
          <w:iCs/>
          <w:sz w:val="18"/>
          <w:szCs w:val="18"/>
          <w:lang w:eastAsia="es-CO"/>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r>
        <w:rPr>
          <w:rFonts w:ascii="Arial" w:eastAsia="Times New Roman" w:hAnsi="Arial" w:cs="Arial"/>
          <w:sz w:val="18"/>
          <w:szCs w:val="18"/>
          <w:lang w:eastAsia="es-CO"/>
        </w:rPr>
        <w:t>”</w:t>
      </w:r>
    </w:p>
    <w:p w14:paraId="46EDBCA6" w14:textId="77777777" w:rsidR="006402E8" w:rsidRPr="002D7BEE" w:rsidRDefault="006402E8" w:rsidP="006402E8">
      <w:pPr>
        <w:pStyle w:val="Textonotapie"/>
        <w:ind w:firstLine="708"/>
        <w:contextualSpacing/>
        <w:jc w:val="both"/>
        <w:rPr>
          <w:rFonts w:ascii="Arial" w:hAnsi="Arial" w:cs="Arial"/>
          <w:color w:val="000000" w:themeColor="text1"/>
          <w:sz w:val="18"/>
          <w:szCs w:val="18"/>
        </w:rPr>
      </w:pPr>
    </w:p>
    <w:p w14:paraId="296B0F83" w14:textId="77777777" w:rsidR="006402E8" w:rsidRPr="002D7BEE" w:rsidRDefault="006402E8" w:rsidP="006402E8">
      <w:pPr>
        <w:pStyle w:val="Textonotapie"/>
        <w:ind w:firstLine="708"/>
        <w:contextualSpacing/>
        <w:jc w:val="both"/>
        <w:rPr>
          <w:rFonts w:ascii="Arial" w:hAnsi="Arial" w:cs="Arial"/>
          <w:color w:val="000000" w:themeColor="text1"/>
          <w:sz w:val="18"/>
          <w:szCs w:val="18"/>
          <w:lang w:val="es-CO"/>
        </w:rPr>
      </w:pPr>
      <w:r w:rsidRPr="002D7BEE">
        <w:rPr>
          <w:rFonts w:ascii="Arial" w:hAnsi="Arial" w:cs="Arial"/>
          <w:color w:val="000000" w:themeColor="text1"/>
          <w:sz w:val="18"/>
          <w:szCs w:val="18"/>
        </w:rPr>
        <w:t xml:space="preserve">Decreto 1075 de 2015: </w:t>
      </w:r>
      <w:r>
        <w:rPr>
          <w:rFonts w:ascii="Arial" w:hAnsi="Arial" w:cs="Arial"/>
          <w:color w:val="000000" w:themeColor="text1"/>
          <w:sz w:val="18"/>
          <w:szCs w:val="18"/>
        </w:rPr>
        <w:t>“</w:t>
      </w:r>
      <w:r w:rsidRPr="002D7BEE">
        <w:rPr>
          <w:rFonts w:ascii="Arial" w:hAnsi="Arial" w:cs="Arial"/>
          <w:color w:val="000000" w:themeColor="text1"/>
          <w:sz w:val="18"/>
          <w:szCs w:val="18"/>
        </w:rPr>
        <w:t>Artículo 2.3.1.6.3.5. Funciones del Consejo Directivo. (…) 6. Reglamentar mediante acuerdo los procedimientos, formalidades y garantías para toda contratación que no supere los veinte (20) salarios mínimos legales mensuales vigentes (SMLMV)</w:t>
      </w:r>
      <w:r>
        <w:rPr>
          <w:rFonts w:ascii="Arial" w:hAnsi="Arial" w:cs="Arial"/>
          <w:color w:val="000000" w:themeColor="text1"/>
          <w:sz w:val="18"/>
          <w:szCs w:val="18"/>
        </w:rPr>
        <w:t>”</w:t>
      </w:r>
      <w:r w:rsidRPr="002D7BEE">
        <w:rPr>
          <w:rFonts w:ascii="Arial" w:hAnsi="Arial" w:cs="Arial"/>
          <w:color w:val="000000" w:themeColor="text1"/>
          <w:sz w:val="18"/>
          <w:szCs w:val="18"/>
        </w:rPr>
        <w:t>.</w:t>
      </w:r>
    </w:p>
  </w:footnote>
  <w:footnote w:id="7">
    <w:p w14:paraId="0B3EDAF3" w14:textId="77777777" w:rsidR="006402E8" w:rsidRPr="002D7BEE"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El artículo 32 de la Ley 80, en lo pertinente, dispone que </w:t>
      </w:r>
      <w:r>
        <w:rPr>
          <w:rFonts w:ascii="Arial" w:hAnsi="Arial" w:cs="Arial"/>
          <w:sz w:val="18"/>
          <w:szCs w:val="18"/>
        </w:rPr>
        <w:t>“</w:t>
      </w:r>
      <w:r w:rsidRPr="002D7BEE">
        <w:rPr>
          <w:rFonts w:ascii="Arial" w:hAnsi="Arial" w:cs="Arial"/>
          <w:sz w:val="18"/>
          <w:szCs w:val="18"/>
        </w:rPr>
        <w:t>Son contratos estatales todos los actos jurídicos generadores de obligaciones que celebren las entidades a que se refiere el presente estatuto, previstos en el derecho privado o en disposiciones especiales, o derivados del ejercicio de la autonomía de la voluntad […]. Por su parte, el inciso primero del artículo 40 del Estatuto General prescribe los siguiente: «Las estipulaciones de los contratos serán las que de acuerdo con las normas civiles, comerciales y las previstas en esta ley, correspondan a su esencia y naturaleza</w:t>
      </w:r>
      <w:r>
        <w:rPr>
          <w:rFonts w:ascii="Arial" w:hAnsi="Arial" w:cs="Arial"/>
          <w:sz w:val="18"/>
          <w:szCs w:val="18"/>
        </w:rPr>
        <w:t>”</w:t>
      </w:r>
      <w:r w:rsidRPr="002D7BEE">
        <w:rPr>
          <w:rFonts w:ascii="Arial" w:hAnsi="Arial" w:cs="Arial"/>
          <w:sz w:val="18"/>
          <w:szCs w:val="18"/>
        </w:rPr>
        <w:t>.</w:t>
      </w:r>
    </w:p>
  </w:footnote>
  <w:footnote w:id="8">
    <w:p w14:paraId="05626543" w14:textId="77777777" w:rsidR="006402E8" w:rsidRPr="002D7BEE" w:rsidRDefault="006402E8" w:rsidP="006402E8">
      <w:pPr>
        <w:pStyle w:val="Textonotapie"/>
        <w:ind w:firstLine="708"/>
        <w:contextualSpacing/>
        <w:jc w:val="both"/>
        <w:rPr>
          <w:rFonts w:ascii="Arial" w:hAnsi="Arial" w:cs="Arial"/>
          <w:sz w:val="18"/>
          <w:szCs w:val="18"/>
        </w:rPr>
      </w:pPr>
    </w:p>
    <w:p w14:paraId="2AD36BAC" w14:textId="77777777" w:rsidR="006402E8" w:rsidRPr="002D7BEE"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Cfr. BENAVIDES, José Luis. El contrato estatal: entre el derecho público y el derecho privado. Segunda edición. Bogotá: Universidad Externado de Colombia, 2009. pp. 78-79.     </w:t>
      </w:r>
    </w:p>
    <w:p w14:paraId="0BD65F08" w14:textId="77777777" w:rsidR="006402E8" w:rsidRPr="002D7BEE" w:rsidRDefault="006402E8" w:rsidP="006402E8">
      <w:pPr>
        <w:pStyle w:val="Textonotapie"/>
        <w:ind w:firstLine="708"/>
        <w:contextualSpacing/>
        <w:jc w:val="both"/>
        <w:rPr>
          <w:rFonts w:ascii="Arial" w:hAnsi="Arial" w:cs="Arial"/>
          <w:sz w:val="18"/>
          <w:szCs w:val="18"/>
          <w:lang w:val="es-ES"/>
        </w:rPr>
      </w:pPr>
      <w:r w:rsidRPr="002D7BEE">
        <w:rPr>
          <w:rFonts w:ascii="Arial" w:hAnsi="Arial" w:cs="Arial"/>
          <w:sz w:val="18"/>
          <w:szCs w:val="18"/>
        </w:rPr>
        <w:t xml:space="preserve"> </w:t>
      </w:r>
    </w:p>
  </w:footnote>
  <w:footnote w:id="9">
    <w:p w14:paraId="3A087C90" w14:textId="77777777" w:rsidR="006402E8" w:rsidRPr="002D7BEE" w:rsidRDefault="006402E8" w:rsidP="006402E8">
      <w:pPr>
        <w:pStyle w:val="Textonotapie"/>
        <w:ind w:firstLine="708"/>
        <w:contextualSpacing/>
        <w:jc w:val="both"/>
        <w:rPr>
          <w:rFonts w:ascii="Arial" w:hAnsi="Arial" w:cs="Arial"/>
          <w:sz w:val="18"/>
          <w:szCs w:val="18"/>
          <w:lang w:val="es-ES"/>
        </w:rPr>
      </w:pPr>
      <w:r w:rsidRPr="002D7BEE">
        <w:rPr>
          <w:rStyle w:val="Refdenotaalpie"/>
          <w:rFonts w:ascii="Arial" w:hAnsi="Arial" w:cs="Arial"/>
          <w:sz w:val="18"/>
          <w:szCs w:val="18"/>
        </w:rPr>
        <w:footnoteRef/>
      </w:r>
      <w:r w:rsidRPr="002D7BEE">
        <w:rPr>
          <w:rFonts w:ascii="Arial" w:hAnsi="Arial" w:cs="Arial"/>
          <w:sz w:val="18"/>
          <w:szCs w:val="18"/>
        </w:rPr>
        <w:t xml:space="preserve"> BETANCUR JARAMILLO, Carlos. Derecho procesal administrativo. Cuarta edición. Medellín: Señal Editora, 1994. pp. 522-523. </w:t>
      </w:r>
    </w:p>
  </w:footnote>
  <w:footnote w:id="10">
    <w:p w14:paraId="729F852A" w14:textId="77777777" w:rsidR="006402E8"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La norma citada dispone que </w:t>
      </w:r>
      <w:r>
        <w:rPr>
          <w:rFonts w:ascii="Arial" w:hAnsi="Arial" w:cs="Arial"/>
          <w:sz w:val="18"/>
          <w:szCs w:val="18"/>
        </w:rPr>
        <w:t>“</w:t>
      </w:r>
      <w:r w:rsidRPr="002D7BEE">
        <w:rPr>
          <w:rFonts w:ascii="Arial" w:hAnsi="Arial" w:cs="Arial"/>
          <w:sz w:val="18"/>
          <w:szCs w:val="18"/>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sz w:val="18"/>
          <w:szCs w:val="18"/>
        </w:rPr>
        <w:t>”</w:t>
      </w:r>
      <w:r w:rsidRPr="002D7BEE">
        <w:rPr>
          <w:rFonts w:ascii="Arial" w:hAnsi="Arial" w:cs="Arial"/>
          <w:sz w:val="18"/>
          <w:szCs w:val="18"/>
        </w:rPr>
        <w:t>.</w:t>
      </w:r>
    </w:p>
    <w:p w14:paraId="6CC488D4" w14:textId="77777777" w:rsidR="006402E8" w:rsidRPr="002D7BEE" w:rsidRDefault="006402E8" w:rsidP="006402E8">
      <w:pPr>
        <w:pStyle w:val="Textonotapie"/>
        <w:ind w:firstLine="708"/>
        <w:contextualSpacing/>
        <w:jc w:val="both"/>
        <w:rPr>
          <w:rFonts w:ascii="Arial" w:hAnsi="Arial" w:cs="Arial"/>
          <w:sz w:val="18"/>
          <w:szCs w:val="18"/>
          <w:lang w:val="es-ES"/>
        </w:rPr>
      </w:pPr>
    </w:p>
  </w:footnote>
  <w:footnote w:id="11">
    <w:p w14:paraId="4AC20E7F" w14:textId="77777777" w:rsidR="006402E8" w:rsidRPr="002D7BEE" w:rsidRDefault="006402E8" w:rsidP="006402E8">
      <w:pPr>
        <w:spacing w:after="0" w:line="240" w:lineRule="auto"/>
        <w:ind w:firstLine="707"/>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sz w:val="18"/>
          <w:szCs w:val="18"/>
        </w:rPr>
        <w:t>”</w:t>
      </w:r>
      <w:r w:rsidRPr="002D7BEE">
        <w:rPr>
          <w:rFonts w:ascii="Arial" w:hAnsi="Arial" w:cs="Arial"/>
          <w:sz w:val="18"/>
          <w:szCs w:val="18"/>
        </w:rPr>
        <w:t>.</w:t>
      </w:r>
    </w:p>
  </w:footnote>
  <w:footnote w:id="12">
    <w:p w14:paraId="11B3041E" w14:textId="77777777" w:rsidR="006402E8" w:rsidRPr="002D7BEE" w:rsidRDefault="006402E8" w:rsidP="006402E8">
      <w:pPr>
        <w:pStyle w:val="Textonotapie"/>
        <w:contextualSpacing/>
        <w:jc w:val="both"/>
        <w:rPr>
          <w:rFonts w:ascii="Arial" w:hAnsi="Arial" w:cs="Arial"/>
          <w:sz w:val="18"/>
          <w:szCs w:val="18"/>
        </w:rPr>
      </w:pPr>
    </w:p>
    <w:p w14:paraId="1BB1AE8B" w14:textId="77777777" w:rsidR="006402E8" w:rsidRPr="002D7BEE" w:rsidRDefault="006402E8" w:rsidP="006402E8">
      <w:pPr>
        <w:pStyle w:val="Textonotapie"/>
        <w:ind w:firstLine="707"/>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 xml:space="preserve">Artículo 3. </w:t>
      </w:r>
      <w:bookmarkStart w:id="11" w:name="3"/>
      <w:r w:rsidRPr="002D7BEE">
        <w:rPr>
          <w:rFonts w:ascii="Arial" w:hAnsi="Arial" w:cs="Arial"/>
          <w:sz w:val="18"/>
          <w:szCs w:val="18"/>
          <w:lang w:val="es-CO"/>
        </w:rPr>
        <w:t>Otros principios de la transparencia y acceso a la información pública.</w:t>
      </w:r>
      <w:bookmarkEnd w:id="11"/>
      <w:r w:rsidRPr="002D7BEE">
        <w:rPr>
          <w:rFonts w:ascii="Arial" w:hAnsi="Arial" w:cs="Arial"/>
          <w:sz w:val="18"/>
          <w:szCs w:val="18"/>
          <w:lang w:val="es-CO"/>
        </w:rPr>
        <w:t> </w:t>
      </w:r>
    </w:p>
    <w:p w14:paraId="0A81D474" w14:textId="77777777" w:rsidR="006402E8" w:rsidRPr="002D7BEE" w:rsidRDefault="006402E8" w:rsidP="006402E8">
      <w:pPr>
        <w:pStyle w:val="Textonotapie"/>
        <w:ind w:firstLine="707"/>
        <w:contextualSpacing/>
        <w:jc w:val="both"/>
        <w:rPr>
          <w:rFonts w:ascii="Arial" w:hAnsi="Arial" w:cs="Arial"/>
          <w:sz w:val="18"/>
          <w:szCs w:val="18"/>
          <w:lang w:val="es-CO"/>
        </w:rPr>
      </w:pPr>
      <w:r w:rsidRPr="002D7BEE">
        <w:rPr>
          <w:rFonts w:ascii="Arial" w:hAnsi="Arial" w:cs="Arial"/>
          <w:sz w:val="18"/>
          <w:szCs w:val="18"/>
          <w:lang w:val="es-CO"/>
        </w:rPr>
        <w:t>[…]</w:t>
      </w:r>
    </w:p>
    <w:p w14:paraId="31C02455" w14:textId="77777777" w:rsidR="006402E8" w:rsidRPr="002D7BEE" w:rsidRDefault="006402E8" w:rsidP="006402E8">
      <w:pPr>
        <w:pStyle w:val="Textonotapie"/>
        <w:ind w:firstLine="707"/>
        <w:contextualSpacing/>
        <w:jc w:val="both"/>
        <w:rPr>
          <w:rFonts w:ascii="Arial" w:hAnsi="Arial" w:cs="Arial"/>
          <w:sz w:val="18"/>
          <w:szCs w:val="18"/>
        </w:rPr>
      </w:pPr>
      <w:r w:rsidRPr="002D7BEE">
        <w:rPr>
          <w:rStyle w:val="baj"/>
          <w:rFonts w:ascii="Arial" w:hAnsi="Arial" w:cs="Arial"/>
          <w:b/>
          <w:bCs/>
          <w:sz w:val="18"/>
          <w:szCs w:val="18"/>
        </w:rPr>
        <w:t>Principio de transparencia</w:t>
      </w:r>
      <w:r w:rsidRPr="002D7BEE">
        <w:rPr>
          <w:rFonts w:ascii="Arial" w:hAnsi="Arial"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r>
        <w:rPr>
          <w:rFonts w:ascii="Arial" w:hAnsi="Arial" w:cs="Arial"/>
          <w:sz w:val="18"/>
          <w:szCs w:val="18"/>
        </w:rPr>
        <w:t>”</w:t>
      </w:r>
      <w:r w:rsidRPr="002D7BEE">
        <w:rPr>
          <w:rFonts w:ascii="Arial" w:hAnsi="Arial" w:cs="Arial"/>
          <w:sz w:val="18"/>
          <w:szCs w:val="18"/>
        </w:rPr>
        <w:t>.</w:t>
      </w:r>
    </w:p>
    <w:p w14:paraId="333EA194" w14:textId="77777777" w:rsidR="006402E8" w:rsidRPr="002D7BEE" w:rsidRDefault="006402E8" w:rsidP="006402E8">
      <w:pPr>
        <w:pStyle w:val="Textonotapie"/>
        <w:contextualSpacing/>
        <w:jc w:val="both"/>
        <w:rPr>
          <w:rFonts w:ascii="Arial" w:hAnsi="Arial" w:cs="Arial"/>
          <w:sz w:val="18"/>
          <w:szCs w:val="18"/>
          <w:lang w:val="es-CO"/>
        </w:rPr>
      </w:pPr>
    </w:p>
  </w:footnote>
  <w:footnote w:id="13">
    <w:p w14:paraId="04C9764C" w14:textId="77777777" w:rsidR="006402E8" w:rsidRPr="002D7BEE" w:rsidRDefault="006402E8" w:rsidP="006402E8">
      <w:pPr>
        <w:pStyle w:val="Textonotapie"/>
        <w:ind w:firstLine="707"/>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vertAlign w:val="superscript"/>
        </w:rPr>
        <w:t xml:space="preserve"> </w:t>
      </w:r>
      <w:r w:rsidRPr="002D7BEE">
        <w:rPr>
          <w:rFonts w:ascii="Arial" w:hAnsi="Arial" w:cs="Arial"/>
          <w:sz w:val="18"/>
          <w:szCs w:val="18"/>
        </w:rPr>
        <w:t xml:space="preserve">Ley 1712 de 2014: </w:t>
      </w:r>
      <w:r>
        <w:rPr>
          <w:rFonts w:ascii="Arial" w:hAnsi="Arial" w:cs="Arial"/>
          <w:sz w:val="18"/>
          <w:szCs w:val="18"/>
        </w:rPr>
        <w:t>“</w:t>
      </w:r>
      <w:r w:rsidRPr="002D7BEE">
        <w:rPr>
          <w:rFonts w:ascii="Arial" w:hAnsi="Arial" w:cs="Arial"/>
          <w:sz w:val="18"/>
          <w:szCs w:val="18"/>
        </w:rPr>
        <w:t xml:space="preserve">Artículo 3. </w:t>
      </w:r>
      <w:r w:rsidRPr="002D7BEE">
        <w:rPr>
          <w:rFonts w:ascii="Arial" w:hAnsi="Arial" w:cs="Arial"/>
          <w:sz w:val="18"/>
          <w:szCs w:val="18"/>
          <w:lang w:val="es-CO"/>
        </w:rPr>
        <w:t>Otros principios de la transparencia y acceso a la información pública. </w:t>
      </w:r>
    </w:p>
    <w:p w14:paraId="3FCBF8AF" w14:textId="77777777" w:rsidR="006402E8" w:rsidRPr="002D7BEE" w:rsidRDefault="006402E8" w:rsidP="006402E8">
      <w:pPr>
        <w:pStyle w:val="Textonotapie"/>
        <w:ind w:firstLine="707"/>
        <w:contextualSpacing/>
        <w:jc w:val="both"/>
        <w:rPr>
          <w:rFonts w:ascii="Arial" w:hAnsi="Arial" w:cs="Arial"/>
          <w:sz w:val="18"/>
          <w:szCs w:val="18"/>
          <w:lang w:val="es-ES"/>
        </w:rPr>
      </w:pPr>
      <w:r w:rsidRPr="002D7BEE">
        <w:rPr>
          <w:rFonts w:ascii="Arial" w:hAnsi="Arial" w:cs="Arial"/>
          <w:sz w:val="18"/>
          <w:szCs w:val="18"/>
          <w:lang w:val="es-ES"/>
        </w:rPr>
        <w:t>[…]</w:t>
      </w:r>
    </w:p>
    <w:p w14:paraId="0F101876" w14:textId="77777777" w:rsidR="006402E8" w:rsidRPr="002D7BEE" w:rsidRDefault="006402E8" w:rsidP="006402E8">
      <w:pPr>
        <w:pStyle w:val="Textonotapie"/>
        <w:ind w:firstLine="707"/>
        <w:contextualSpacing/>
        <w:jc w:val="both"/>
        <w:rPr>
          <w:rFonts w:ascii="Arial" w:hAnsi="Arial" w:cs="Arial"/>
          <w:sz w:val="18"/>
          <w:szCs w:val="18"/>
          <w:lang w:val="es-ES"/>
        </w:rPr>
      </w:pPr>
      <w:r w:rsidRPr="002D7BEE">
        <w:rPr>
          <w:rStyle w:val="baj"/>
          <w:rFonts w:ascii="Arial" w:hAnsi="Arial" w:cs="Arial"/>
          <w:b/>
          <w:bCs/>
          <w:sz w:val="18"/>
          <w:szCs w:val="18"/>
        </w:rPr>
        <w:t>Principio de buena fe</w:t>
      </w:r>
      <w:r w:rsidRPr="002D7BEE">
        <w:rPr>
          <w:rFonts w:ascii="Arial" w:hAnsi="Arial" w:cs="Arial"/>
          <w:sz w:val="18"/>
          <w:szCs w:val="18"/>
        </w:rPr>
        <w:t>. En virtud del cual todo sujeto obligado, al cumplir con las obligaciones derivadas del derecho de acceso a la información pública, lo hará con motivación honesta, leal y desprovista de cualquier intención dolosa o culposa</w:t>
      </w:r>
      <w:r>
        <w:rPr>
          <w:rFonts w:ascii="Arial" w:hAnsi="Arial" w:cs="Arial"/>
          <w:sz w:val="18"/>
          <w:szCs w:val="18"/>
        </w:rPr>
        <w:t>”</w:t>
      </w:r>
      <w:r w:rsidRPr="002D7BEE">
        <w:rPr>
          <w:rFonts w:ascii="Arial" w:hAnsi="Arial" w:cs="Arial"/>
          <w:sz w:val="18"/>
          <w:szCs w:val="18"/>
        </w:rPr>
        <w:t>.</w:t>
      </w:r>
    </w:p>
  </w:footnote>
  <w:footnote w:id="14">
    <w:p w14:paraId="778713E5" w14:textId="77777777" w:rsidR="006402E8" w:rsidRPr="002D7BEE" w:rsidRDefault="006402E8" w:rsidP="006402E8">
      <w:pPr>
        <w:spacing w:after="0" w:line="240" w:lineRule="auto"/>
        <w:ind w:firstLine="707"/>
        <w:contextualSpacing/>
        <w:jc w:val="both"/>
        <w:rPr>
          <w:rFonts w:ascii="Arial" w:hAnsi="Arial" w:cs="Arial"/>
          <w:sz w:val="18"/>
          <w:szCs w:val="18"/>
        </w:rPr>
      </w:pPr>
    </w:p>
    <w:p w14:paraId="14133EC4" w14:textId="77777777" w:rsidR="006402E8" w:rsidRPr="002D7BEE" w:rsidRDefault="006402E8" w:rsidP="006402E8">
      <w:pPr>
        <w:spacing w:after="0" w:line="240" w:lineRule="auto"/>
        <w:ind w:firstLine="707"/>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Ley 1712 de 2014: </w:t>
      </w:r>
      <w:r>
        <w:rPr>
          <w:rFonts w:ascii="Arial" w:hAnsi="Arial" w:cs="Arial"/>
          <w:sz w:val="18"/>
          <w:szCs w:val="18"/>
        </w:rPr>
        <w:t>“</w:t>
      </w:r>
      <w:r w:rsidRPr="002D7BEE">
        <w:rPr>
          <w:rFonts w:ascii="Arial" w:hAnsi="Arial" w:cs="Arial"/>
          <w:sz w:val="18"/>
          <w:szCs w:val="18"/>
        </w:rPr>
        <w:t>Artículo 5. Ámbito de aplicación. Las disposiciones de esta ley serán aplicables a las siguientes personas en calidad de sujetos obligados:</w:t>
      </w:r>
    </w:p>
    <w:p w14:paraId="415BA15F" w14:textId="77777777" w:rsidR="006402E8" w:rsidRPr="002D7BEE" w:rsidRDefault="006402E8" w:rsidP="006402E8">
      <w:pPr>
        <w:spacing w:after="0" w:line="240" w:lineRule="auto"/>
        <w:ind w:firstLine="707"/>
        <w:contextualSpacing/>
        <w:jc w:val="both"/>
        <w:rPr>
          <w:rFonts w:ascii="Arial" w:hAnsi="Arial" w:cs="Arial"/>
          <w:sz w:val="18"/>
          <w:szCs w:val="18"/>
        </w:rPr>
      </w:pPr>
      <w:r w:rsidRPr="002D7BEE">
        <w:rPr>
          <w:rFonts w:ascii="Arial" w:hAnsi="Arial"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r>
        <w:rPr>
          <w:rFonts w:ascii="Arial" w:hAnsi="Arial" w:cs="Arial"/>
          <w:sz w:val="18"/>
          <w:szCs w:val="18"/>
        </w:rPr>
        <w:t>”</w:t>
      </w:r>
      <w:r w:rsidRPr="002D7BEE">
        <w:rPr>
          <w:rFonts w:ascii="Arial" w:hAnsi="Arial" w:cs="Arial"/>
          <w:sz w:val="18"/>
          <w:szCs w:val="18"/>
        </w:rPr>
        <w:t>.</w:t>
      </w:r>
    </w:p>
    <w:p w14:paraId="734A8DE1" w14:textId="77777777" w:rsidR="006402E8" w:rsidRPr="002D7BEE" w:rsidRDefault="006402E8" w:rsidP="006402E8">
      <w:pPr>
        <w:pStyle w:val="Textonotapie"/>
        <w:contextualSpacing/>
        <w:jc w:val="both"/>
        <w:rPr>
          <w:rFonts w:ascii="Arial" w:hAnsi="Arial" w:cs="Arial"/>
          <w:sz w:val="18"/>
          <w:szCs w:val="18"/>
        </w:rPr>
      </w:pPr>
    </w:p>
  </w:footnote>
  <w:footnote w:id="15">
    <w:p w14:paraId="0E31DED0" w14:textId="77777777" w:rsidR="006402E8" w:rsidRPr="002D7BEE" w:rsidRDefault="006402E8" w:rsidP="006402E8">
      <w:pPr>
        <w:spacing w:after="0" w:line="240" w:lineRule="auto"/>
        <w:ind w:firstLine="709"/>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2A3D7E99" w14:textId="77777777" w:rsidR="006402E8" w:rsidRPr="002D7BEE" w:rsidRDefault="006402E8" w:rsidP="006402E8">
      <w:pPr>
        <w:spacing w:after="0" w:line="240" w:lineRule="auto"/>
        <w:ind w:firstLine="708"/>
        <w:contextualSpacing/>
        <w:jc w:val="both"/>
        <w:rPr>
          <w:rFonts w:ascii="Arial" w:hAnsi="Arial" w:cs="Arial"/>
          <w:sz w:val="18"/>
          <w:szCs w:val="18"/>
        </w:rPr>
      </w:pPr>
      <w:r w:rsidRPr="002D7BEE">
        <w:rPr>
          <w:rFonts w:ascii="Arial" w:hAnsi="Arial" w:cs="Arial"/>
          <w:sz w:val="18"/>
          <w:szCs w:val="18"/>
        </w:rPr>
        <w:t>[…].</w:t>
      </w:r>
    </w:p>
    <w:p w14:paraId="142E6D6E" w14:textId="77777777" w:rsidR="006402E8" w:rsidRPr="002D7BEE" w:rsidRDefault="006402E8" w:rsidP="006402E8">
      <w:pPr>
        <w:spacing w:after="0" w:line="240" w:lineRule="auto"/>
        <w:ind w:firstLine="709"/>
        <w:contextualSpacing/>
        <w:jc w:val="both"/>
        <w:rPr>
          <w:rFonts w:ascii="Arial" w:hAnsi="Arial" w:cs="Arial"/>
          <w:sz w:val="18"/>
          <w:szCs w:val="18"/>
        </w:rPr>
      </w:pPr>
      <w:r w:rsidRPr="002D7BEE">
        <w:rPr>
          <w:rFonts w:ascii="Arial" w:hAnsi="Arial" w:cs="Arial"/>
          <w:sz w:val="18"/>
          <w:szCs w:val="18"/>
        </w:rPr>
        <w:t>Los sujetos obligados que contratan con recursos públicos y recursos privados, deben publicar la información de su gestión contractual con cargo a recursos públicos en el Sistema Electrónico para la Contratación Pública [SECOP]</w:t>
      </w:r>
      <w:r>
        <w:rPr>
          <w:rFonts w:ascii="Arial" w:hAnsi="Arial" w:cs="Arial"/>
          <w:sz w:val="18"/>
          <w:szCs w:val="18"/>
        </w:rPr>
        <w:t>”</w:t>
      </w:r>
      <w:r w:rsidRPr="002D7BEE">
        <w:rPr>
          <w:rFonts w:ascii="Arial" w:hAnsi="Arial" w:cs="Arial"/>
          <w:sz w:val="18"/>
          <w:szCs w:val="18"/>
        </w:rPr>
        <w:t>.</w:t>
      </w:r>
    </w:p>
    <w:p w14:paraId="5428D121" w14:textId="77777777" w:rsidR="006402E8" w:rsidRPr="002D7BEE" w:rsidRDefault="006402E8" w:rsidP="006402E8">
      <w:pPr>
        <w:pStyle w:val="Textonotapie"/>
        <w:contextualSpacing/>
        <w:jc w:val="both"/>
        <w:rPr>
          <w:rFonts w:ascii="Arial" w:hAnsi="Arial" w:cs="Arial"/>
          <w:sz w:val="18"/>
          <w:szCs w:val="18"/>
        </w:rPr>
      </w:pPr>
    </w:p>
  </w:footnote>
  <w:footnote w:id="16">
    <w:p w14:paraId="3CEBB35C" w14:textId="77777777" w:rsidR="006402E8" w:rsidRPr="002D7BEE" w:rsidRDefault="006402E8" w:rsidP="006402E8">
      <w:pPr>
        <w:spacing w:after="0" w:line="240" w:lineRule="auto"/>
        <w:ind w:firstLine="709"/>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w:t>
      </w:r>
      <w:r>
        <w:rPr>
          <w:rFonts w:ascii="Arial" w:hAnsi="Arial" w:cs="Arial"/>
          <w:sz w:val="18"/>
          <w:szCs w:val="18"/>
        </w:rPr>
        <w:t>“</w:t>
      </w:r>
      <w:r w:rsidRPr="002D7BEE">
        <w:rPr>
          <w:rFonts w:ascii="Arial" w:hAnsi="Arial" w:cs="Arial"/>
          <w:sz w:val="18"/>
          <w:szCs w:val="18"/>
        </w:rPr>
        <w:t>[…] El Gobierno Nacional desarrollará el Sistema Electrónico para la Contratación Pública, Secop, el cual:</w:t>
      </w:r>
    </w:p>
    <w:p w14:paraId="394C9821" w14:textId="77777777" w:rsidR="006402E8" w:rsidRPr="002D7BEE" w:rsidRDefault="006402E8" w:rsidP="006402E8">
      <w:pPr>
        <w:spacing w:after="0" w:line="240" w:lineRule="auto"/>
        <w:ind w:firstLine="709"/>
        <w:contextualSpacing/>
        <w:jc w:val="both"/>
        <w:rPr>
          <w:rFonts w:ascii="Arial" w:hAnsi="Arial" w:cs="Arial"/>
          <w:sz w:val="18"/>
          <w:szCs w:val="18"/>
        </w:rPr>
      </w:pPr>
      <w:r w:rsidRPr="002D7BEE">
        <w:rPr>
          <w:rFonts w:ascii="Arial" w:hAnsi="Arial" w:cs="Arial"/>
          <w:sz w:val="18"/>
          <w:szCs w:val="18"/>
        </w:rPr>
        <w:t>[…]</w:t>
      </w:r>
    </w:p>
    <w:p w14:paraId="4A74FD4F" w14:textId="77777777" w:rsidR="006402E8" w:rsidRPr="002D7BEE" w:rsidRDefault="006402E8" w:rsidP="006402E8">
      <w:pPr>
        <w:spacing w:after="0" w:line="240" w:lineRule="auto"/>
        <w:ind w:firstLine="709"/>
        <w:contextualSpacing/>
        <w:jc w:val="both"/>
        <w:rPr>
          <w:rFonts w:ascii="Arial" w:hAnsi="Arial" w:cs="Arial"/>
          <w:sz w:val="18"/>
          <w:szCs w:val="18"/>
        </w:rPr>
      </w:pPr>
      <w:r w:rsidRPr="002D7BEE">
        <w:rPr>
          <w:rFonts w:ascii="Arial" w:hAnsi="Arial" w:cs="Arial"/>
          <w:sz w:val="18"/>
          <w:szCs w:val="18"/>
        </w:rPr>
        <w:t>c) Contará con la información oficial de la contratación realizada con dineros públicos, para lo cual establecerá los patrones a que haya lugar y se encargará de su difusión a través de canales electrónicos […]</w:t>
      </w:r>
      <w:r>
        <w:rPr>
          <w:rFonts w:ascii="Arial" w:hAnsi="Arial" w:cs="Arial"/>
          <w:sz w:val="18"/>
          <w:szCs w:val="18"/>
        </w:rPr>
        <w:t>”</w:t>
      </w:r>
      <w:r w:rsidRPr="002D7BEE">
        <w:rPr>
          <w:rFonts w:ascii="Arial" w:hAnsi="Arial" w:cs="Arial"/>
          <w:sz w:val="18"/>
          <w:szCs w:val="18"/>
        </w:rPr>
        <w:t>.</w:t>
      </w:r>
    </w:p>
    <w:p w14:paraId="052698F1" w14:textId="77777777" w:rsidR="006402E8" w:rsidRPr="002D7BEE" w:rsidRDefault="006402E8" w:rsidP="006402E8">
      <w:pPr>
        <w:spacing w:after="0" w:line="240" w:lineRule="auto"/>
        <w:ind w:firstLine="709"/>
        <w:contextualSpacing/>
        <w:jc w:val="both"/>
        <w:rPr>
          <w:rFonts w:ascii="Arial" w:hAnsi="Arial" w:cs="Arial"/>
          <w:sz w:val="18"/>
          <w:szCs w:val="18"/>
        </w:rPr>
      </w:pPr>
    </w:p>
  </w:footnote>
  <w:footnote w:id="17">
    <w:p w14:paraId="34C615D7" w14:textId="77777777" w:rsidR="006402E8" w:rsidRPr="002D7BEE"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Ley 1437 de 2011: </w:t>
      </w:r>
      <w:r>
        <w:rPr>
          <w:rFonts w:ascii="Arial" w:hAnsi="Arial" w:cs="Arial"/>
          <w:sz w:val="18"/>
          <w:szCs w:val="18"/>
        </w:rPr>
        <w:t>“</w:t>
      </w:r>
      <w:r w:rsidRPr="002D7BEE">
        <w:rPr>
          <w:rFonts w:ascii="Arial" w:hAnsi="Arial" w:cs="Arial"/>
          <w:sz w:val="18"/>
          <w:szCs w:val="18"/>
        </w:rPr>
        <w:t xml:space="preserve">Artículo 24. Informaciones y documentos reservados. Solo tendrán carácter reservado las informaciones y documentos expresamente sometidos a reserva por la Constitución Política o la ley, y en especial:  </w:t>
      </w:r>
    </w:p>
    <w:p w14:paraId="2E40AD1A"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1. Los relacionados con la defensa o seguridad nacionales.  </w:t>
      </w:r>
    </w:p>
    <w:p w14:paraId="023D89AD"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2. Las instrucciones en materia diplomática o sobre negociaciones reservadas.  </w:t>
      </w:r>
    </w:p>
    <w:p w14:paraId="0DD7736A"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D735A84"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6D643C7D"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5. Los datos referentes a la información financiera y comercial, en los términos de la Ley Estatutaria 1266 de 2008.  </w:t>
      </w:r>
    </w:p>
    <w:p w14:paraId="39716CA4"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6. Los protegidos por el secreto comercial o industrial, así como los planes estratégicos de las empresas públicas de servicios públicos.  </w:t>
      </w:r>
    </w:p>
    <w:p w14:paraId="4F619257"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7. Los amparados por el secreto profesional.  </w:t>
      </w:r>
    </w:p>
    <w:p w14:paraId="6D37E75F"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8. Los datos genéticos humanos.  </w:t>
      </w:r>
    </w:p>
    <w:p w14:paraId="14B42A90"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Pr>
          <w:rFonts w:ascii="Arial" w:hAnsi="Arial" w:cs="Arial"/>
          <w:sz w:val="18"/>
          <w:szCs w:val="18"/>
        </w:rPr>
        <w:t>”</w:t>
      </w:r>
      <w:r w:rsidRPr="002D7BEE">
        <w:rPr>
          <w:rFonts w:ascii="Arial" w:hAnsi="Arial" w:cs="Arial"/>
          <w:sz w:val="18"/>
          <w:szCs w:val="18"/>
        </w:rPr>
        <w:t xml:space="preserve">.  </w:t>
      </w:r>
    </w:p>
    <w:p w14:paraId="5ED1A450" w14:textId="77777777" w:rsidR="006402E8" w:rsidRPr="002D7BEE" w:rsidRDefault="006402E8" w:rsidP="006402E8">
      <w:pPr>
        <w:pStyle w:val="Textonotapie"/>
        <w:ind w:firstLine="708"/>
        <w:contextualSpacing/>
        <w:jc w:val="both"/>
        <w:rPr>
          <w:rFonts w:ascii="Arial" w:hAnsi="Arial" w:cs="Arial"/>
          <w:sz w:val="18"/>
          <w:szCs w:val="18"/>
        </w:rPr>
      </w:pPr>
    </w:p>
  </w:footnote>
  <w:footnote w:id="18">
    <w:p w14:paraId="2B996E46" w14:textId="77777777" w:rsidR="006402E8" w:rsidRPr="002D7BEE"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Respecto al periodo de transición establecido en la norma objeto de estudio, la Circular Externa Única de Colombia Compra Eficiente señaló que </w:t>
      </w:r>
      <w:r>
        <w:rPr>
          <w:rFonts w:ascii="Arial" w:hAnsi="Arial" w:cs="Arial"/>
          <w:sz w:val="18"/>
          <w:szCs w:val="18"/>
        </w:rPr>
        <w:t>“</w:t>
      </w:r>
      <w:r w:rsidRPr="002D7BEE">
        <w:rPr>
          <w:rFonts w:ascii="Arial" w:hAnsi="Arial" w:cs="Arial"/>
          <w:sz w:val="18"/>
          <w:szCs w:val="18"/>
        </w:rPr>
        <w:t>De acuerdo con el artículo 53 de Ley 2195 de 2022, las Entidades Estatales que, por disposición legal, cuenten con un régimen contractual excepcional al del Estatuto General de Contratación de la Administración Pública tienen un período de transición de seis (6) meses para publicar todos los documentos relacionados con su actividad contractual en la plataforma del SECOP II. En consecuencia, su uso obligatorio empezará a regir después de las 23:59 horas del 17 de julio de 2022, sin que sea posible, por vía reglamentaria o a través de los manuales internos de contratación, extender el plazo previsto en la Ley de Transparencia. Todos los procesos de contratación creados en el SECOP I antes de las 23:59 horas del 17 de julio de 2022, por parte de estas Entidades Estatales, podrán continuar siendo gestionados en esta plataforma</w:t>
      </w:r>
      <w:r>
        <w:rPr>
          <w:rFonts w:ascii="Arial" w:hAnsi="Arial" w:cs="Arial"/>
          <w:sz w:val="18"/>
          <w:szCs w:val="18"/>
        </w:rPr>
        <w:t>”</w:t>
      </w:r>
      <w:r w:rsidRPr="002D7BEE">
        <w:rPr>
          <w:rFonts w:ascii="Arial" w:hAnsi="Arial" w:cs="Arial"/>
          <w:sz w:val="18"/>
          <w:szCs w:val="18"/>
        </w:rPr>
        <w:t xml:space="preserve">.  </w:t>
      </w:r>
    </w:p>
    <w:p w14:paraId="38284BC5" w14:textId="77777777" w:rsidR="006402E8" w:rsidRPr="002D7BEE" w:rsidRDefault="006402E8" w:rsidP="006402E8">
      <w:pPr>
        <w:pStyle w:val="Textonotapie"/>
        <w:ind w:firstLine="708"/>
        <w:contextualSpacing/>
        <w:jc w:val="both"/>
        <w:rPr>
          <w:rFonts w:ascii="Arial" w:hAnsi="Arial" w:cs="Arial"/>
          <w:sz w:val="18"/>
          <w:szCs w:val="18"/>
        </w:rPr>
      </w:pPr>
    </w:p>
  </w:footnote>
  <w:footnote w:id="19">
    <w:p w14:paraId="7CEFA452" w14:textId="77777777" w:rsidR="006402E8" w:rsidRPr="002D7BEE" w:rsidRDefault="006402E8" w:rsidP="006402E8">
      <w:pPr>
        <w:pStyle w:val="Textonotapie"/>
        <w:ind w:firstLine="708"/>
        <w:contextualSpacing/>
        <w:jc w:val="both"/>
        <w:rPr>
          <w:rFonts w:ascii="Arial" w:hAnsi="Arial" w:cs="Arial"/>
          <w:sz w:val="18"/>
          <w:szCs w:val="18"/>
          <w:lang w:val="es-CO"/>
        </w:rPr>
      </w:pPr>
      <w:r w:rsidRPr="002D7BEE">
        <w:rPr>
          <w:rStyle w:val="Refdenotaalpie"/>
          <w:rFonts w:ascii="Arial" w:hAnsi="Arial" w:cs="Arial"/>
          <w:sz w:val="18"/>
          <w:szCs w:val="18"/>
        </w:rPr>
        <w:footnoteRef/>
      </w:r>
      <w:r w:rsidRPr="002D7BEE">
        <w:rPr>
          <w:rFonts w:ascii="Arial" w:hAnsi="Arial" w:cs="Arial"/>
          <w:sz w:val="18"/>
          <w:szCs w:val="18"/>
        </w:rPr>
        <w:t xml:space="preserve"> Disponible en: </w:t>
      </w:r>
      <w:hyperlink r:id="rId2" w:history="1">
        <w:r w:rsidRPr="002D7BEE">
          <w:rPr>
            <w:rStyle w:val="Hipervnculo"/>
            <w:rFonts w:ascii="Arial" w:hAnsi="Arial" w:cs="Arial"/>
            <w:sz w:val="18"/>
            <w:szCs w:val="18"/>
          </w:rPr>
          <w:t>https://www.colombiacompra.gov.co/circulares</w:t>
        </w:r>
      </w:hyperlink>
      <w:r w:rsidRPr="002D7BEE">
        <w:rPr>
          <w:rFonts w:ascii="Arial" w:hAnsi="Arial" w:cs="Arial"/>
          <w:sz w:val="18"/>
          <w:szCs w:val="18"/>
        </w:rPr>
        <w:t xml:space="preserve">. </w:t>
      </w:r>
    </w:p>
  </w:footnote>
  <w:footnote w:id="20">
    <w:p w14:paraId="107FE33D" w14:textId="77777777" w:rsidR="006402E8" w:rsidRPr="002D7BEE" w:rsidRDefault="006402E8" w:rsidP="006402E8">
      <w:pPr>
        <w:pStyle w:val="Textonotapie"/>
        <w:ind w:firstLine="708"/>
        <w:contextualSpacing/>
        <w:jc w:val="both"/>
        <w:rPr>
          <w:rStyle w:val="Hipervnculo"/>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En el siguiente enlace se puede consultar la Guía para gestionar o publicar los procesos de Régimen Especial con oferta en el SECOP II:  </w:t>
      </w:r>
      <w:hyperlink r:id="rId3" w:history="1">
        <w:r w:rsidRPr="002D7BEE">
          <w:rPr>
            <w:rStyle w:val="Hipervnculo"/>
            <w:rFonts w:ascii="Arial" w:hAnsi="Arial" w:cs="Arial"/>
            <w:sz w:val="18"/>
            <w:szCs w:val="18"/>
          </w:rPr>
          <w:t>https://www.colombiacompra.gov.co/node/23628</w:t>
        </w:r>
      </w:hyperlink>
    </w:p>
    <w:p w14:paraId="153D61F8"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 </w:t>
      </w:r>
    </w:p>
  </w:footnote>
  <w:footnote w:id="21">
    <w:p w14:paraId="6EE43385" w14:textId="77777777" w:rsidR="006402E8" w:rsidRPr="002D7BEE" w:rsidRDefault="006402E8" w:rsidP="006402E8">
      <w:pPr>
        <w:pStyle w:val="Textonotapie"/>
        <w:ind w:firstLine="708"/>
        <w:contextualSpacing/>
        <w:jc w:val="both"/>
        <w:rPr>
          <w:rFonts w:ascii="Arial" w:hAnsi="Arial" w:cs="Arial"/>
          <w:sz w:val="18"/>
          <w:szCs w:val="18"/>
        </w:rPr>
      </w:pPr>
      <w:r w:rsidRPr="002D7BEE">
        <w:rPr>
          <w:rStyle w:val="Refdenotaalpie"/>
          <w:rFonts w:ascii="Arial" w:hAnsi="Arial" w:cs="Arial"/>
          <w:sz w:val="18"/>
          <w:szCs w:val="18"/>
        </w:rPr>
        <w:footnoteRef/>
      </w:r>
      <w:r w:rsidRPr="002D7BEE">
        <w:rPr>
          <w:rFonts w:ascii="Arial" w:hAnsi="Arial" w:cs="Arial"/>
          <w:sz w:val="18"/>
          <w:szCs w:val="18"/>
        </w:rPr>
        <w:t xml:space="preserve"> En el siguiente enlace se puede consultar la Guía para gestionar o publicar los procesos de Régimen Especial sin oferta en el SECOP II:   </w:t>
      </w:r>
      <w:hyperlink r:id="rId4" w:history="1">
        <w:r w:rsidRPr="002D7BEE">
          <w:rPr>
            <w:rStyle w:val="Hipervnculo"/>
            <w:rFonts w:ascii="Arial" w:hAnsi="Arial" w:cs="Arial"/>
            <w:sz w:val="18"/>
            <w:szCs w:val="18"/>
          </w:rPr>
          <w:t>https://www.colombiacompra.gov.co/node/30741</w:t>
        </w:r>
      </w:hyperlink>
    </w:p>
  </w:footnote>
  <w:footnote w:id="22">
    <w:p w14:paraId="439959A5" w14:textId="77777777" w:rsidR="006402E8" w:rsidRPr="002D7BEE" w:rsidRDefault="006402E8" w:rsidP="006402E8">
      <w:pPr>
        <w:pStyle w:val="Textonotapie"/>
        <w:contextualSpacing/>
        <w:jc w:val="both"/>
        <w:rPr>
          <w:rFonts w:ascii="Arial" w:hAnsi="Arial" w:cs="Arial"/>
          <w:sz w:val="18"/>
          <w:szCs w:val="18"/>
        </w:rPr>
      </w:pPr>
    </w:p>
    <w:p w14:paraId="6D10F12C" w14:textId="77777777" w:rsidR="006402E8" w:rsidRPr="002D7BEE" w:rsidRDefault="006402E8" w:rsidP="006402E8">
      <w:pPr>
        <w:tabs>
          <w:tab w:val="left" w:pos="7836"/>
        </w:tabs>
        <w:autoSpaceDE w:val="0"/>
        <w:autoSpaceDN w:val="0"/>
        <w:adjustRightInd w:val="0"/>
        <w:spacing w:after="0" w:line="240" w:lineRule="auto"/>
        <w:ind w:firstLine="708"/>
        <w:contextualSpacing/>
        <w:jc w:val="both"/>
        <w:rPr>
          <w:rFonts w:ascii="Arial" w:eastAsia="Times New Roman" w:hAnsi="Arial" w:cs="Arial"/>
          <w:sz w:val="18"/>
          <w:szCs w:val="18"/>
          <w:lang w:eastAsia="es-ES_tradnl"/>
        </w:rPr>
      </w:pPr>
      <w:r w:rsidRPr="002D7BEE">
        <w:rPr>
          <w:rStyle w:val="Refdenotaalpie"/>
          <w:rFonts w:ascii="Arial" w:hAnsi="Arial" w:cs="Arial"/>
          <w:sz w:val="18"/>
          <w:szCs w:val="18"/>
        </w:rPr>
        <w:footnoteRef/>
      </w:r>
      <w:r w:rsidRPr="002D7BEE">
        <w:rPr>
          <w:rFonts w:ascii="Arial" w:hAnsi="Arial" w:cs="Arial"/>
          <w:sz w:val="18"/>
          <w:szCs w:val="18"/>
        </w:rPr>
        <w:t xml:space="preserve"> </w:t>
      </w:r>
      <w:r w:rsidRPr="002D7BEE">
        <w:rPr>
          <w:rFonts w:ascii="Arial" w:eastAsia="Times New Roman" w:hAnsi="Arial" w:cs="Arial"/>
          <w:sz w:val="18"/>
          <w:szCs w:val="18"/>
          <w:lang w:eastAsia="es-ES_tradnl"/>
        </w:rPr>
        <w:t xml:space="preserve">Al utilizarse el módulo </w:t>
      </w:r>
      <w:r w:rsidRPr="002D7BEE">
        <w:rPr>
          <w:rFonts w:ascii="Arial" w:hAnsi="Arial" w:cs="Arial"/>
          <w:i/>
          <w:iCs/>
          <w:sz w:val="18"/>
          <w:szCs w:val="18"/>
          <w:lang w:eastAsia="es-ES"/>
        </w:rPr>
        <w:t>Contratación Régimen Especial (sin ofertas)</w:t>
      </w:r>
      <w:r w:rsidRPr="002D7BEE">
        <w:rPr>
          <w:rFonts w:ascii="Arial" w:hAnsi="Arial" w:cs="Arial"/>
          <w:sz w:val="18"/>
          <w:szCs w:val="18"/>
          <w:lang w:eastAsia="es-ES"/>
        </w:rPr>
        <w:t xml:space="preserve">, </w:t>
      </w:r>
      <w:r w:rsidRPr="002D7BEE">
        <w:rPr>
          <w:rFonts w:ascii="Arial" w:eastAsia="Times New Roman" w:hAnsi="Arial" w:cs="Arial"/>
          <w:sz w:val="18"/>
          <w:szCs w:val="18"/>
          <w:lang w:eastAsia="es-ES_tradnl"/>
        </w:rPr>
        <w:t xml:space="preserve">la publicación de los documentos de la gestión contractual, incluido </w:t>
      </w:r>
      <w:r w:rsidRPr="002D7BEE">
        <w:rPr>
          <w:rFonts w:ascii="Arial" w:eastAsia="Times New Roman" w:hAnsi="Arial" w:cs="Arial"/>
          <w:i/>
          <w:iCs/>
          <w:sz w:val="18"/>
          <w:szCs w:val="18"/>
          <w:lang w:eastAsia="es-ES_tradnl"/>
        </w:rPr>
        <w:t>el</w:t>
      </w:r>
      <w:r w:rsidRPr="002D7BEE">
        <w:rPr>
          <w:rFonts w:ascii="Arial" w:eastAsia="Times New Roman" w:hAnsi="Arial" w:cs="Arial"/>
          <w:sz w:val="18"/>
          <w:szCs w:val="18"/>
          <w:lang w:eastAsia="es-ES_tradnl"/>
        </w:rPr>
        <w:t xml:space="preserve"> contrato firmado manuscritamente, deberá realizarse mediante modificaciones al proceso a través de la opción </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Modificaciones/Adendas</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 xml:space="preserve">. Sin embargo, las entidades públicas deberán tener en cuenta que, si utilizan esta última opción, no deben dar clic en </w:t>
      </w:r>
      <w:r>
        <w:rPr>
          <w:rFonts w:ascii="Arial" w:eastAsia="Times New Roman" w:hAnsi="Arial" w:cs="Arial"/>
          <w:sz w:val="18"/>
          <w:szCs w:val="18"/>
          <w:lang w:eastAsia="es-ES_tradnl"/>
        </w:rPr>
        <w:t>“</w:t>
      </w:r>
      <w:r w:rsidRPr="002D7BEE">
        <w:rPr>
          <w:rFonts w:ascii="Arial" w:eastAsia="Times New Roman" w:hAnsi="Arial" w:cs="Arial"/>
          <w:i/>
          <w:iCs/>
          <w:sz w:val="18"/>
          <w:szCs w:val="18"/>
          <w:lang w:eastAsia="es-ES_tradnl"/>
        </w:rPr>
        <w:t>Finalizar</w:t>
      </w:r>
      <w:r>
        <w:rPr>
          <w:rFonts w:ascii="Arial" w:eastAsia="Times New Roman" w:hAnsi="Arial" w:cs="Arial"/>
          <w:sz w:val="18"/>
          <w:szCs w:val="18"/>
          <w:lang w:eastAsia="es-ES_tradnl"/>
        </w:rPr>
        <w:t>”</w:t>
      </w:r>
      <w:r w:rsidRPr="002D7BEE">
        <w:rPr>
          <w:rFonts w:ascii="Arial" w:eastAsia="Times New Roman" w:hAnsi="Arial" w:cs="Arial"/>
          <w:sz w:val="18"/>
          <w:szCs w:val="18"/>
          <w:lang w:eastAsia="es-ES_tradnl"/>
        </w:rPr>
        <w:t xml:space="preserve"> después de publicar el proceso, en tanto que la plataforma cierra el expediente y no permite la publicación posterior de ningún otro documento.</w:t>
      </w:r>
    </w:p>
    <w:p w14:paraId="3E0103D8" w14:textId="77777777" w:rsidR="006402E8" w:rsidRPr="002D7BEE" w:rsidRDefault="006402E8" w:rsidP="006402E8">
      <w:pPr>
        <w:pStyle w:val="Textonotapie"/>
        <w:ind w:firstLine="708"/>
        <w:contextualSpacing/>
        <w:jc w:val="both"/>
        <w:rPr>
          <w:rFonts w:ascii="Arial" w:hAnsi="Arial" w:cs="Arial"/>
          <w:sz w:val="18"/>
          <w:szCs w:val="18"/>
        </w:rPr>
      </w:pPr>
      <w:r w:rsidRPr="002D7BEE">
        <w:rPr>
          <w:rFonts w:ascii="Arial" w:hAnsi="Arial" w:cs="Arial"/>
          <w:sz w:val="18"/>
          <w:szCs w:val="18"/>
        </w:rPr>
        <w:t xml:space="preserve"> </w:t>
      </w:r>
    </w:p>
  </w:footnote>
  <w:footnote w:id="23">
    <w:p w14:paraId="47FD4DCF" w14:textId="77777777" w:rsidR="006402E8" w:rsidRPr="005C1E9C" w:rsidRDefault="006402E8" w:rsidP="006402E8">
      <w:pPr>
        <w:pBdr>
          <w:top w:val="nil"/>
          <w:left w:val="nil"/>
          <w:bottom w:val="nil"/>
          <w:right w:val="nil"/>
          <w:between w:val="nil"/>
        </w:pBdr>
        <w:spacing w:after="0" w:line="240" w:lineRule="auto"/>
        <w:ind w:firstLine="709"/>
        <w:jc w:val="both"/>
        <w:rPr>
          <w:rFonts w:ascii="Arial" w:eastAsia="Arial" w:hAnsi="Arial" w:cs="Arial"/>
          <w:sz w:val="19"/>
          <w:szCs w:val="19"/>
        </w:rPr>
      </w:pPr>
      <w:r w:rsidRPr="005C1E9C">
        <w:rPr>
          <w:rFonts w:ascii="Arial" w:hAnsi="Arial" w:cs="Arial"/>
          <w:sz w:val="19"/>
          <w:szCs w:val="19"/>
          <w:vertAlign w:val="superscript"/>
        </w:rPr>
        <w:footnoteRef/>
      </w:r>
      <w:r w:rsidRPr="005C1E9C">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5C1E9C">
        <w:rPr>
          <w:rFonts w:ascii="Arial" w:eastAsia="Arial" w:hAnsi="Arial" w:cs="Arial"/>
          <w:i/>
          <w:sz w:val="19"/>
          <w:szCs w:val="19"/>
        </w:rPr>
        <w:t xml:space="preserve">ibídem </w:t>
      </w:r>
      <w:r w:rsidRPr="005C1E9C">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B9EDDF5" w14:textId="77777777" w:rsidR="006402E8" w:rsidRPr="005C1E9C" w:rsidRDefault="006402E8" w:rsidP="006402E8">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F82114"/>
    <w:multiLevelType w:val="multilevel"/>
    <w:tmpl w:val="7548D132"/>
    <w:lvl w:ilvl="0">
      <w:start w:val="1"/>
      <w:numFmt w:val="decimal"/>
      <w:lvlText w:val="%1."/>
      <w:lvlJc w:val="left"/>
      <w:pPr>
        <w:ind w:left="720" w:hanging="360"/>
      </w:pPr>
      <w:rPr>
        <w:rFonts w:ascii="Arial" w:eastAsia="Calibri" w:hAnsi="Arial" w:cs="Arial"/>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73C19"/>
    <w:rsid w:val="00083334"/>
    <w:rsid w:val="000956CF"/>
    <w:rsid w:val="000A683E"/>
    <w:rsid w:val="000C5158"/>
    <w:rsid w:val="0010733F"/>
    <w:rsid w:val="0011595A"/>
    <w:rsid w:val="001220C5"/>
    <w:rsid w:val="001267F7"/>
    <w:rsid w:val="00127233"/>
    <w:rsid w:val="00130999"/>
    <w:rsid w:val="00135AE2"/>
    <w:rsid w:val="0016347B"/>
    <w:rsid w:val="00164D81"/>
    <w:rsid w:val="00167F08"/>
    <w:rsid w:val="001A1011"/>
    <w:rsid w:val="001A48D0"/>
    <w:rsid w:val="002653C1"/>
    <w:rsid w:val="0026611D"/>
    <w:rsid w:val="002951A0"/>
    <w:rsid w:val="002A64FD"/>
    <w:rsid w:val="002F0839"/>
    <w:rsid w:val="00301469"/>
    <w:rsid w:val="00306EE1"/>
    <w:rsid w:val="00310B9B"/>
    <w:rsid w:val="00324CC3"/>
    <w:rsid w:val="00344F55"/>
    <w:rsid w:val="0036461C"/>
    <w:rsid w:val="00367884"/>
    <w:rsid w:val="0039439C"/>
    <w:rsid w:val="003B69E7"/>
    <w:rsid w:val="003C013B"/>
    <w:rsid w:val="003C0162"/>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5F2213"/>
    <w:rsid w:val="00610078"/>
    <w:rsid w:val="006219F8"/>
    <w:rsid w:val="00632BE4"/>
    <w:rsid w:val="006402E8"/>
    <w:rsid w:val="00667C4F"/>
    <w:rsid w:val="00681FDB"/>
    <w:rsid w:val="006A7DAD"/>
    <w:rsid w:val="006D1A87"/>
    <w:rsid w:val="006D70BA"/>
    <w:rsid w:val="007566FE"/>
    <w:rsid w:val="0076726F"/>
    <w:rsid w:val="0077144B"/>
    <w:rsid w:val="00793403"/>
    <w:rsid w:val="007B29AC"/>
    <w:rsid w:val="007C0CDF"/>
    <w:rsid w:val="007E2A2F"/>
    <w:rsid w:val="007F2B7C"/>
    <w:rsid w:val="00811651"/>
    <w:rsid w:val="00820F5B"/>
    <w:rsid w:val="00833452"/>
    <w:rsid w:val="00834532"/>
    <w:rsid w:val="008614E5"/>
    <w:rsid w:val="008678EB"/>
    <w:rsid w:val="0087305C"/>
    <w:rsid w:val="008736D1"/>
    <w:rsid w:val="00875894"/>
    <w:rsid w:val="00881C10"/>
    <w:rsid w:val="00890411"/>
    <w:rsid w:val="008D5C70"/>
    <w:rsid w:val="009025AF"/>
    <w:rsid w:val="00904F23"/>
    <w:rsid w:val="00906B3C"/>
    <w:rsid w:val="0095342C"/>
    <w:rsid w:val="009C01F6"/>
    <w:rsid w:val="009F33F2"/>
    <w:rsid w:val="009F6C77"/>
    <w:rsid w:val="00A07532"/>
    <w:rsid w:val="00A1085C"/>
    <w:rsid w:val="00A309E2"/>
    <w:rsid w:val="00A65946"/>
    <w:rsid w:val="00A8066E"/>
    <w:rsid w:val="00A83850"/>
    <w:rsid w:val="00AA4B8A"/>
    <w:rsid w:val="00AA6BF7"/>
    <w:rsid w:val="00AF3278"/>
    <w:rsid w:val="00B01ED6"/>
    <w:rsid w:val="00B06D09"/>
    <w:rsid w:val="00B62124"/>
    <w:rsid w:val="00B771A9"/>
    <w:rsid w:val="00B809BB"/>
    <w:rsid w:val="00B8248A"/>
    <w:rsid w:val="00BA5B62"/>
    <w:rsid w:val="00BB7726"/>
    <w:rsid w:val="00C06052"/>
    <w:rsid w:val="00C2329E"/>
    <w:rsid w:val="00C30461"/>
    <w:rsid w:val="00C754BE"/>
    <w:rsid w:val="00C87572"/>
    <w:rsid w:val="00C9405D"/>
    <w:rsid w:val="00CC1B26"/>
    <w:rsid w:val="00CD284F"/>
    <w:rsid w:val="00CF23AA"/>
    <w:rsid w:val="00D01921"/>
    <w:rsid w:val="00D752B7"/>
    <w:rsid w:val="00D814F4"/>
    <w:rsid w:val="00DA1854"/>
    <w:rsid w:val="00DB0887"/>
    <w:rsid w:val="00DC5059"/>
    <w:rsid w:val="00DE0937"/>
    <w:rsid w:val="00DF1E43"/>
    <w:rsid w:val="00E20894"/>
    <w:rsid w:val="00E26B7C"/>
    <w:rsid w:val="00EA3003"/>
    <w:rsid w:val="00EB3C91"/>
    <w:rsid w:val="00EB66DA"/>
    <w:rsid w:val="00F605F2"/>
    <w:rsid w:val="00F76AFC"/>
    <w:rsid w:val="00F8319B"/>
    <w:rsid w:val="00FA5516"/>
    <w:rsid w:val="00FC4187"/>
    <w:rsid w:val="00FD6F73"/>
    <w:rsid w:val="1CC63BF5"/>
    <w:rsid w:val="2F9951DC"/>
    <w:rsid w:val="3BD865C1"/>
    <w:rsid w:val="3EA2D60F"/>
    <w:rsid w:val="5356EAD7"/>
    <w:rsid w:val="5CE4A4C0"/>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Footnote Reference Char3,Texto nota pie Car2,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link w:val="NormalWebCar"/>
    <w:uiPriority w:val="99"/>
    <w:unhideWhenUsed/>
    <w:rsid w:val="007B29AC"/>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7B29A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B29AC"/>
    <w:rPr>
      <w:color w:val="0000FF"/>
      <w:u w:val="single"/>
    </w:rPr>
  </w:style>
  <w:style w:type="paragraph" w:customStyle="1" w:styleId="Appelnotedebasde">
    <w:name w:val="Appel note de bas de..."/>
    <w:basedOn w:val="Normal"/>
    <w:link w:val="Refdenotaalpie"/>
    <w:uiPriority w:val="99"/>
    <w:rsid w:val="007B29AC"/>
    <w:pPr>
      <w:spacing w:line="240" w:lineRule="exact"/>
    </w:pPr>
    <w:rPr>
      <w:vertAlign w:val="superscript"/>
    </w:rPr>
  </w:style>
  <w:style w:type="character" w:customStyle="1" w:styleId="baj">
    <w:name w:val="b_aj"/>
    <w:basedOn w:val="Fuentedeprrafopredeter"/>
    <w:rsid w:val="007B29AC"/>
  </w:style>
  <w:style w:type="character" w:customStyle="1" w:styleId="NormalWebCar">
    <w:name w:val="Normal (Web) Car"/>
    <w:link w:val="NormalWeb"/>
    <w:uiPriority w:val="99"/>
    <w:rsid w:val="00BA5B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xta2.colombiacompra.gov.co/sites/docs/_layouts/15/listform.aspx?PageType=6&amp;ListId=%7b41406f67-8aaf-444a-8f23-f6b9ad006b34%7d&amp;ID=9027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86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node/23628" TargetMode="External"/><Relationship Id="rId2" Type="http://schemas.openxmlformats.org/officeDocument/2006/relationships/hyperlink" Target="https://www.colombiacompra.gov.co/circulares"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olombiacompra.gov.co/node/307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40EA-D438-4064-8921-EEA758C4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FCA595EF-5EE0-477E-89F6-859E7F38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8418</Words>
  <Characters>47983</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Padron</cp:lastModifiedBy>
  <cp:revision>5</cp:revision>
  <dcterms:created xsi:type="dcterms:W3CDTF">2023-05-18T05:28:00Z</dcterms:created>
  <dcterms:modified xsi:type="dcterms:W3CDTF">2023-05-19T00:08:00Z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