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70551974" w:rsidP="00F304EA">
      <w:pPr>
        <w:jc w:val="right"/>
        <w:rPr>
          <w:rFonts w:ascii="Arial" w:eastAsia="Calibri" w:hAnsi="Arial" w:cs="Arial"/>
          <w:b/>
          <w:bCs/>
          <w:sz w:val="20"/>
          <w:szCs w:val="20"/>
          <w:lang w:val="es-ES"/>
        </w:rPr>
      </w:pPr>
      <w:bookmarkStart w:id="0" w:name="_Hlk28946138"/>
      <w:bookmarkStart w:id="1" w:name="_Hlk29548183"/>
      <w:r w:rsidRPr="00781AC2">
        <w:rPr>
          <w:rFonts w:ascii="Arial" w:hAnsi="Arial" w:cs="Arial"/>
          <w:sz w:val="16"/>
          <w:szCs w:val="16"/>
          <w:lang w:val="es-ES" w:eastAsia="es-ES"/>
        </w:rPr>
        <w:t>CCE-DES-FM-17</w:t>
      </w:r>
      <w:bookmarkEnd w:id="0"/>
      <w:bookmarkEnd w:id="1"/>
    </w:p>
    <w:p w14:paraId="6352F336" w14:textId="77777777" w:rsidR="00950DF7" w:rsidRPr="00781AC2" w:rsidRDefault="00950DF7" w:rsidP="00F304EA">
      <w:pPr>
        <w:jc w:val="both"/>
        <w:rPr>
          <w:rFonts w:ascii="Arial" w:eastAsia="Calibri" w:hAnsi="Arial" w:cs="Arial"/>
          <w:b/>
          <w:bCs/>
          <w:sz w:val="22"/>
          <w:szCs w:val="22"/>
        </w:rPr>
      </w:pPr>
    </w:p>
    <w:p w14:paraId="00493982" w14:textId="1949B702" w:rsidR="00950DF7" w:rsidRPr="00781AC2" w:rsidRDefault="00950DF7" w:rsidP="00F304EA">
      <w:pPr>
        <w:jc w:val="both"/>
        <w:rPr>
          <w:rFonts w:ascii="Arial" w:eastAsia="Calibri" w:hAnsi="Arial" w:cs="Arial"/>
          <w:b/>
          <w:bCs/>
          <w:sz w:val="22"/>
          <w:szCs w:val="22"/>
          <w:lang w:eastAsia="en-US"/>
        </w:rPr>
      </w:pPr>
      <w:r w:rsidRPr="00781AC2">
        <w:rPr>
          <w:rFonts w:ascii="Arial" w:eastAsia="Calibri" w:hAnsi="Arial" w:cs="Arial"/>
          <w:b/>
          <w:bCs/>
          <w:sz w:val="22"/>
          <w:szCs w:val="22"/>
        </w:rPr>
        <w:t xml:space="preserve">COLOMBIA COMPRA EFICIENTE </w:t>
      </w:r>
      <w:r w:rsidRPr="00781AC2">
        <w:rPr>
          <w:rFonts w:ascii="Arial" w:eastAsia="Calibri" w:hAnsi="Arial" w:cs="Arial"/>
          <w:b/>
          <w:sz w:val="22"/>
          <w:szCs w:val="22"/>
        </w:rPr>
        <w:t>–</w:t>
      </w:r>
      <w:r w:rsidRPr="00781AC2">
        <w:rPr>
          <w:rFonts w:ascii="Arial" w:eastAsia="Calibri" w:hAnsi="Arial" w:cs="Arial"/>
          <w:b/>
          <w:bCs/>
          <w:sz w:val="22"/>
          <w:szCs w:val="22"/>
        </w:rPr>
        <w:t xml:space="preserve"> Competencia Consultiva – Contratación Estatal – Normas Generales</w:t>
      </w:r>
    </w:p>
    <w:p w14:paraId="142FF05E" w14:textId="77777777" w:rsidR="00950DF7" w:rsidRPr="00781AC2" w:rsidRDefault="00950DF7" w:rsidP="00F304EA">
      <w:pPr>
        <w:jc w:val="both"/>
        <w:rPr>
          <w:rFonts w:ascii="Arial" w:eastAsiaTheme="minorHAnsi" w:hAnsi="Arial" w:cs="Arial"/>
          <w:bCs/>
          <w:sz w:val="20"/>
          <w:szCs w:val="20"/>
        </w:rPr>
      </w:pPr>
    </w:p>
    <w:p w14:paraId="0E250C36" w14:textId="77777777" w:rsidR="00950DF7" w:rsidRPr="00781AC2" w:rsidRDefault="00950DF7" w:rsidP="00F304EA">
      <w:pPr>
        <w:spacing w:after="120"/>
        <w:jc w:val="both"/>
        <w:rPr>
          <w:rFonts w:ascii="Arial" w:hAnsi="Arial" w:cs="Arial"/>
          <w:bCs/>
          <w:sz w:val="20"/>
          <w:szCs w:val="20"/>
        </w:rPr>
      </w:pPr>
      <w:r w:rsidRPr="00781AC2">
        <w:rPr>
          <w:rFonts w:ascii="Arial"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E522F18" w14:textId="77777777" w:rsidR="00950DF7" w:rsidRPr="00781AC2" w:rsidRDefault="00950DF7" w:rsidP="00F304EA">
      <w:pPr>
        <w:jc w:val="both"/>
        <w:rPr>
          <w:rFonts w:ascii="Arial" w:hAnsi="Arial" w:cs="Arial"/>
          <w:bCs/>
          <w:sz w:val="20"/>
          <w:szCs w:val="20"/>
        </w:rPr>
      </w:pPr>
      <w:r w:rsidRPr="00781AC2">
        <w:rPr>
          <w:rFonts w:ascii="Arial"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1E56F95" w14:textId="77777777" w:rsidR="00950DF7" w:rsidRPr="00781AC2" w:rsidRDefault="00950DF7" w:rsidP="00F304EA">
      <w:pPr>
        <w:jc w:val="both"/>
        <w:rPr>
          <w:rFonts w:ascii="Arial" w:eastAsia="Calibri" w:hAnsi="Arial" w:cs="Arial"/>
          <w:b/>
          <w:bCs/>
          <w:sz w:val="22"/>
          <w:szCs w:val="22"/>
          <w:lang w:val="es-ES_tradnl"/>
        </w:rPr>
      </w:pPr>
    </w:p>
    <w:p w14:paraId="341A1BD6" w14:textId="77777777" w:rsidR="007C7155" w:rsidRDefault="007C7155" w:rsidP="00F304EA">
      <w:pPr>
        <w:jc w:val="both"/>
        <w:rPr>
          <w:rFonts w:ascii="Arial" w:eastAsia="Calibri" w:hAnsi="Arial" w:cs="Arial"/>
          <w:b/>
          <w:bCs/>
          <w:sz w:val="22"/>
          <w:szCs w:val="22"/>
          <w:lang w:val="es-ES_tradnl"/>
        </w:rPr>
      </w:pPr>
    </w:p>
    <w:p w14:paraId="5D734196" w14:textId="7DB6431A" w:rsidR="00A67636" w:rsidRPr="00FC281D" w:rsidRDefault="00797E96" w:rsidP="00A67636">
      <w:pPr>
        <w:rPr>
          <w:rFonts w:ascii="Arial" w:eastAsia="Calibri" w:hAnsi="Arial" w:cs="Arial"/>
          <w:b/>
          <w:color w:val="000000"/>
          <w:sz w:val="22"/>
          <w:lang w:val="es-ES_tradnl"/>
        </w:rPr>
      </w:pPr>
      <w:r w:rsidRPr="00A67636">
        <w:rPr>
          <w:rFonts w:ascii="Arial" w:eastAsia="Calibri" w:hAnsi="Arial" w:cs="Arial"/>
          <w:b/>
          <w:bCs/>
          <w:sz w:val="22"/>
        </w:rPr>
        <w:t>CAPACIDAD RESIDUAL</w:t>
      </w:r>
      <w:r w:rsidR="00CE0360" w:rsidRPr="0078632A">
        <w:rPr>
          <w:rFonts w:ascii="Arial" w:eastAsia="Calibri" w:hAnsi="Arial" w:cs="Arial"/>
          <w:b/>
          <w:bCs/>
          <w:sz w:val="22"/>
        </w:rPr>
        <w:t xml:space="preserve"> – </w:t>
      </w:r>
      <w:r w:rsidR="00A67636">
        <w:rPr>
          <w:rFonts w:ascii="Arial" w:eastAsia="Calibri" w:hAnsi="Arial" w:cs="Arial"/>
          <w:b/>
          <w:color w:val="000000"/>
          <w:sz w:val="22"/>
          <w:lang w:val="es-ES_tradnl"/>
        </w:rPr>
        <w:t>Concepto – R</w:t>
      </w:r>
      <w:r w:rsidR="00A67636" w:rsidRPr="00FC281D">
        <w:rPr>
          <w:rFonts w:ascii="Arial" w:eastAsia="Calibri" w:hAnsi="Arial" w:cs="Arial"/>
          <w:b/>
          <w:color w:val="000000"/>
          <w:sz w:val="22"/>
          <w:lang w:val="es-ES_tradnl"/>
        </w:rPr>
        <w:t>égimen jurídico aplicable</w:t>
      </w:r>
    </w:p>
    <w:p w14:paraId="29A7FD06" w14:textId="77777777" w:rsidR="00A67636" w:rsidRPr="00FC281D" w:rsidRDefault="00A67636" w:rsidP="00A67636">
      <w:pPr>
        <w:rPr>
          <w:rFonts w:ascii="Arial" w:hAnsi="Arial" w:cs="Arial"/>
          <w:b/>
          <w:sz w:val="22"/>
          <w:lang w:eastAsia="es-ES"/>
        </w:rPr>
      </w:pPr>
    </w:p>
    <w:p w14:paraId="7F752283" w14:textId="77777777" w:rsidR="00A67636" w:rsidRPr="00EA5C22" w:rsidRDefault="00A67636" w:rsidP="00A67636">
      <w:pPr>
        <w:pStyle w:val="Textoindependiente"/>
        <w:ind w:right="49"/>
        <w:jc w:val="both"/>
        <w:rPr>
          <w:sz w:val="20"/>
          <w:szCs w:val="20"/>
        </w:rPr>
      </w:pPr>
      <w:r w:rsidRPr="00EA5C22">
        <w:rPr>
          <w:sz w:val="20"/>
          <w:szCs w:val="20"/>
        </w:rPr>
        <w:t xml:space="preserve">La Ley 1150 de 2007, en el artículo 6, parágrafo 1, estableció como condición “para poder participar en los procesos de selección de los contratos de obra, la capacidad residual del proponente o K de contratación”, la cual “deberá ser igual o superior al que la entidad haya establecido para el efecto en los pliegos de condiciones”. </w:t>
      </w:r>
    </w:p>
    <w:p w14:paraId="4BB9EB4F" w14:textId="77777777" w:rsidR="00A67636" w:rsidRPr="00EA5C22" w:rsidRDefault="00A67636" w:rsidP="00A67636">
      <w:pPr>
        <w:pStyle w:val="Textoindependiente"/>
        <w:ind w:left="300" w:right="310"/>
        <w:jc w:val="both"/>
        <w:rPr>
          <w:sz w:val="20"/>
          <w:szCs w:val="20"/>
        </w:rPr>
      </w:pPr>
    </w:p>
    <w:p w14:paraId="368508F2" w14:textId="77777777" w:rsidR="00A67636" w:rsidRPr="00EA5C22" w:rsidRDefault="00A67636" w:rsidP="00A67636">
      <w:pPr>
        <w:pStyle w:val="Textoindependiente"/>
        <w:ind w:right="49"/>
        <w:jc w:val="both"/>
        <w:rPr>
          <w:sz w:val="20"/>
          <w:szCs w:val="20"/>
        </w:rPr>
      </w:pPr>
      <w:r w:rsidRPr="00EA5C22">
        <w:rPr>
          <w:sz w:val="20"/>
          <w:szCs w:val="20"/>
        </w:rPr>
        <w:t>El artículo 72 de la Ley 1682 de 2013, por la cual se adoptan medidas y disposiciones para los proyectos de infraestructura de transporte, estableció que la capacidad residual del proponente se debe calcular mediante la evaluación de los factores: Experiencia (E), Capacidad Financiera (CF), Capacidad Técnica (CT), y Capacidad de Organización (CO).</w:t>
      </w:r>
    </w:p>
    <w:p w14:paraId="7DE237CC" w14:textId="77777777" w:rsidR="00A67636" w:rsidRDefault="00A67636" w:rsidP="00A67636">
      <w:pPr>
        <w:jc w:val="both"/>
        <w:rPr>
          <w:rFonts w:ascii="Arial" w:hAnsi="Arial" w:cs="Arial"/>
          <w:sz w:val="20"/>
          <w:szCs w:val="20"/>
        </w:rPr>
      </w:pPr>
    </w:p>
    <w:p w14:paraId="2CA28761" w14:textId="75093925" w:rsidR="00A67636" w:rsidRPr="00605BB2" w:rsidRDefault="00A67636" w:rsidP="00A67636">
      <w:pPr>
        <w:spacing w:after="120"/>
        <w:jc w:val="both"/>
        <w:rPr>
          <w:rFonts w:ascii="Arial" w:eastAsia="Arial" w:hAnsi="Arial" w:cs="Arial"/>
          <w:sz w:val="20"/>
          <w:szCs w:val="20"/>
          <w:lang w:eastAsia="es-ES" w:bidi="es-ES"/>
        </w:rPr>
      </w:pPr>
      <w:r w:rsidRPr="00605BB2">
        <w:rPr>
          <w:rFonts w:ascii="Arial" w:hAnsi="Arial" w:cs="Arial"/>
          <w:sz w:val="20"/>
          <w:szCs w:val="20"/>
        </w:rPr>
        <w:t>De acuerdo con el artículo 2.2.1.1.1.3.1. del Decreto 1082 de 2015, la capacidad residual o K de Contratación</w:t>
      </w:r>
      <w:r>
        <w:rPr>
          <w:rFonts w:ascii="Arial" w:hAnsi="Arial" w:cs="Arial"/>
          <w:sz w:val="20"/>
          <w:szCs w:val="20"/>
        </w:rPr>
        <w:t xml:space="preserve"> es la “</w:t>
      </w:r>
      <w:r w:rsidRPr="00605BB2">
        <w:rPr>
          <w:rFonts w:ascii="Arial" w:hAnsi="Arial" w:cs="Arial"/>
          <w:sz w:val="20"/>
          <w:szCs w:val="20"/>
        </w:rPr>
        <w:t>Aptitud de un oferente para cumplir oportuna y cabalmente con el objeto de un contrato de obra, sin que sus otros compromisos contractuales afecten su habilidad de cumplir con el contrato que está en proceso de selección</w:t>
      </w:r>
      <w:r>
        <w:rPr>
          <w:rFonts w:ascii="Arial" w:hAnsi="Arial" w:cs="Arial"/>
          <w:sz w:val="20"/>
          <w:szCs w:val="20"/>
        </w:rPr>
        <w:t>”</w:t>
      </w:r>
      <w:r w:rsidRPr="00605BB2">
        <w:rPr>
          <w:rFonts w:ascii="Arial" w:hAnsi="Arial" w:cs="Arial"/>
          <w:sz w:val="20"/>
          <w:szCs w:val="20"/>
        </w:rPr>
        <w:t>. Por su parte, el Consejo de Estado ha defini</w:t>
      </w:r>
      <w:r>
        <w:rPr>
          <w:rFonts w:ascii="Arial" w:hAnsi="Arial" w:cs="Arial"/>
          <w:sz w:val="20"/>
          <w:szCs w:val="20"/>
        </w:rPr>
        <w:t>do la capacidad residual como “</w:t>
      </w:r>
      <w:r w:rsidRPr="00605BB2">
        <w:rPr>
          <w:rFonts w:ascii="Arial" w:hAnsi="Arial" w:cs="Arial"/>
          <w:sz w:val="20"/>
          <w:szCs w:val="20"/>
        </w:rPr>
        <w:t>la diferencia que existe entre el potencial de contratación que se tiene y los compromisos que haya adquirido y que se encuentren en ejecución, para la fecha de presentación de la oferta</w:t>
      </w:r>
      <w:r>
        <w:rPr>
          <w:rFonts w:ascii="Arial" w:hAnsi="Arial" w:cs="Arial"/>
          <w:sz w:val="20"/>
          <w:szCs w:val="20"/>
        </w:rPr>
        <w:t>”</w:t>
      </w:r>
      <w:r w:rsidRPr="00605BB2">
        <w:rPr>
          <w:rFonts w:ascii="Arial" w:hAnsi="Arial" w:cs="Arial"/>
          <w:sz w:val="20"/>
          <w:szCs w:val="20"/>
        </w:rPr>
        <w:t>.</w:t>
      </w:r>
      <w:r w:rsidRPr="00605BB2">
        <w:rPr>
          <w:rFonts w:ascii="Arial" w:eastAsia="Arial" w:hAnsi="Arial" w:cs="Arial"/>
          <w:sz w:val="20"/>
          <w:szCs w:val="20"/>
          <w:lang w:eastAsia="es-ES" w:bidi="es-ES"/>
        </w:rPr>
        <w:t xml:space="preserve"> Con base en estas consideraciones,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w:t>
      </w:r>
      <w:r w:rsidRPr="00605BB2">
        <w:rPr>
          <w:rFonts w:ascii="Arial" w:hAnsi="Arial" w:cs="Arial"/>
          <w:sz w:val="20"/>
          <w:szCs w:val="20"/>
        </w:rPr>
        <w:t>simultáneamente</w:t>
      </w:r>
      <w:r w:rsidRPr="00605BB2">
        <w:rPr>
          <w:rFonts w:ascii="Arial" w:eastAsia="Arial" w:hAnsi="Arial" w:cs="Arial"/>
          <w:sz w:val="20"/>
          <w:szCs w:val="20"/>
          <w:lang w:eastAsia="es-ES" w:bidi="es-ES"/>
        </w:rPr>
        <w:t>.</w:t>
      </w:r>
    </w:p>
    <w:p w14:paraId="09E16132" w14:textId="75DA942C" w:rsidR="00CE0360" w:rsidRPr="00A67636" w:rsidRDefault="00CE0360" w:rsidP="00A67636">
      <w:pPr>
        <w:rPr>
          <w:rFonts w:ascii="Arial" w:eastAsia="Calibri" w:hAnsi="Arial" w:cs="Arial"/>
          <w:b/>
          <w:bCs/>
          <w:sz w:val="22"/>
        </w:rPr>
      </w:pPr>
    </w:p>
    <w:p w14:paraId="7AE08F9E" w14:textId="77777777" w:rsidR="00A67636" w:rsidRPr="00A67636" w:rsidRDefault="00A67636" w:rsidP="00A67636">
      <w:pPr>
        <w:jc w:val="both"/>
        <w:rPr>
          <w:rFonts w:ascii="Arial" w:eastAsia="Calibri" w:hAnsi="Arial" w:cs="Arial"/>
          <w:b/>
          <w:bCs/>
          <w:sz w:val="22"/>
        </w:rPr>
      </w:pPr>
      <w:r w:rsidRPr="00A67636">
        <w:rPr>
          <w:rFonts w:ascii="Arial" w:eastAsia="Calibri" w:hAnsi="Arial" w:cs="Arial"/>
          <w:b/>
          <w:bCs/>
          <w:sz w:val="22"/>
        </w:rPr>
        <w:t xml:space="preserve">CAPACIDAD RESIDUAL – Cálculo – Criterios  </w:t>
      </w:r>
    </w:p>
    <w:p w14:paraId="13F29A76" w14:textId="77777777" w:rsidR="00A67636" w:rsidRPr="00A67636" w:rsidRDefault="00A67636" w:rsidP="00A67636">
      <w:pPr>
        <w:ind w:left="181"/>
        <w:jc w:val="both"/>
        <w:rPr>
          <w:rFonts w:ascii="Arial" w:eastAsia="Arial" w:hAnsi="Arial" w:cs="Arial"/>
          <w:sz w:val="20"/>
          <w:szCs w:val="20"/>
          <w:lang w:eastAsia="es-ES" w:bidi="es-ES"/>
        </w:rPr>
      </w:pPr>
    </w:p>
    <w:p w14:paraId="5D1C504C" w14:textId="77777777" w:rsidR="00A67636" w:rsidRPr="00A67636" w:rsidRDefault="00A67636" w:rsidP="00A67636">
      <w:pPr>
        <w:jc w:val="both"/>
        <w:rPr>
          <w:rFonts w:ascii="Arial" w:eastAsia="Arial" w:hAnsi="Arial" w:cs="Arial"/>
          <w:sz w:val="20"/>
          <w:szCs w:val="20"/>
          <w:lang w:eastAsia="es-ES" w:bidi="es-ES"/>
        </w:rPr>
      </w:pPr>
      <w:r w:rsidRPr="00A67636">
        <w:rPr>
          <w:rFonts w:ascii="Arial" w:eastAsia="Arial" w:hAnsi="Arial" w:cs="Arial"/>
          <w:sz w:val="20"/>
          <w:szCs w:val="20"/>
          <w:lang w:eastAsia="es-ES" w:bidi="es-ES"/>
        </w:rPr>
        <w:t xml:space="preserve">El artículo 2.2.1.1.1.6.3 del Decreto 1082 de 2015 estableció que las entidades estatales deberán calcular la capacidad residual conforme a la metodología definida por la Agencia Nacional de </w:t>
      </w:r>
      <w:r w:rsidRPr="00A67636">
        <w:rPr>
          <w:rFonts w:ascii="Arial" w:eastAsia="Arial" w:hAnsi="Arial" w:cs="Arial"/>
          <w:sz w:val="20"/>
          <w:szCs w:val="20"/>
          <w:lang w:eastAsia="es-ES" w:bidi="es-ES"/>
        </w:rPr>
        <w:lastRenderedPageBreak/>
        <w:t>Contratación Pública – Colombia Compre Eficiente, y precisó que para ello se debían tener en cuenta los factores de experiencia, capacidad financiera, capacidad técnica, capacidad de organización y los saldos de los contratos en ejecución</w:t>
      </w:r>
    </w:p>
    <w:p w14:paraId="22414CA0" w14:textId="77777777" w:rsidR="00A67636" w:rsidRPr="00A67636" w:rsidRDefault="00A67636" w:rsidP="00A67636">
      <w:pPr>
        <w:jc w:val="both"/>
        <w:rPr>
          <w:rFonts w:ascii="Arial" w:eastAsia="Arial" w:hAnsi="Arial" w:cs="Arial"/>
          <w:sz w:val="20"/>
          <w:szCs w:val="20"/>
          <w:lang w:eastAsia="es-ES" w:bidi="es-ES"/>
        </w:rPr>
      </w:pPr>
    </w:p>
    <w:p w14:paraId="3E2567DF" w14:textId="77777777" w:rsidR="00A67636" w:rsidRPr="00A67636" w:rsidRDefault="00A67636" w:rsidP="00A67636">
      <w:pPr>
        <w:rPr>
          <w:rFonts w:ascii="Arial" w:eastAsia="Calibri" w:hAnsi="Arial" w:cs="Arial"/>
          <w:b/>
          <w:bCs/>
          <w:sz w:val="22"/>
        </w:rPr>
      </w:pPr>
      <w:r w:rsidRPr="00A67636">
        <w:rPr>
          <w:rFonts w:ascii="Arial" w:eastAsia="Calibri" w:hAnsi="Arial" w:cs="Arial"/>
          <w:b/>
          <w:bCs/>
          <w:sz w:val="22"/>
        </w:rPr>
        <w:t>CONTRATOS EN EJECUCIÓN – Interpretación – Ley 1682 de 2013</w:t>
      </w:r>
    </w:p>
    <w:p w14:paraId="3C0EB65F" w14:textId="77777777" w:rsidR="00A67636" w:rsidRPr="00A67636" w:rsidRDefault="00A67636" w:rsidP="00A67636">
      <w:pPr>
        <w:ind w:left="181"/>
        <w:jc w:val="both"/>
        <w:rPr>
          <w:rFonts w:ascii="Arial" w:eastAsia="Arial" w:hAnsi="Arial" w:cs="Arial"/>
          <w:sz w:val="20"/>
          <w:szCs w:val="20"/>
          <w:lang w:eastAsia="es-ES" w:bidi="es-ES"/>
        </w:rPr>
      </w:pPr>
    </w:p>
    <w:p w14:paraId="1B77249E" w14:textId="77777777" w:rsidR="00A67636" w:rsidRPr="00A67636" w:rsidRDefault="00A67636" w:rsidP="00A67636">
      <w:pPr>
        <w:jc w:val="both"/>
        <w:rPr>
          <w:rFonts w:ascii="Arial" w:eastAsia="Arial" w:hAnsi="Arial" w:cs="Arial"/>
          <w:sz w:val="20"/>
          <w:szCs w:val="20"/>
          <w:lang w:eastAsia="es-ES" w:bidi="es-ES"/>
        </w:rPr>
      </w:pPr>
      <w:r w:rsidRPr="00A67636">
        <w:rPr>
          <w:rFonts w:ascii="Arial" w:eastAsia="Arial" w:hAnsi="Arial" w:cs="Arial"/>
          <w:sz w:val="20"/>
          <w:szCs w:val="20"/>
          <w:lang w:eastAsia="es-ES" w:bidi="es-ES"/>
        </w:rPr>
        <w:t xml:space="preserve">“Los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 </w:t>
      </w:r>
    </w:p>
    <w:p w14:paraId="7DC8FA56" w14:textId="37D513D4" w:rsidR="00A67636" w:rsidRDefault="00A67636" w:rsidP="00A67636">
      <w:pPr>
        <w:ind w:left="300"/>
        <w:jc w:val="both"/>
        <w:rPr>
          <w:b/>
        </w:rPr>
      </w:pPr>
    </w:p>
    <w:p w14:paraId="04666D22" w14:textId="1965D093" w:rsidR="00A67636" w:rsidRDefault="00A67636" w:rsidP="00A67636">
      <w:pPr>
        <w:ind w:left="300"/>
        <w:jc w:val="both"/>
        <w:rPr>
          <w:b/>
        </w:rPr>
      </w:pPr>
    </w:p>
    <w:p w14:paraId="71FF60C1" w14:textId="309DA4C2" w:rsidR="00A67636" w:rsidRDefault="00A67636" w:rsidP="00A67636">
      <w:pPr>
        <w:ind w:left="300"/>
        <w:jc w:val="both"/>
        <w:rPr>
          <w:b/>
        </w:rPr>
      </w:pPr>
    </w:p>
    <w:p w14:paraId="2AC682DD" w14:textId="725C97FE" w:rsidR="00A67636" w:rsidRDefault="00A67636" w:rsidP="00A67636">
      <w:pPr>
        <w:ind w:left="300"/>
        <w:jc w:val="both"/>
        <w:rPr>
          <w:b/>
        </w:rPr>
      </w:pPr>
    </w:p>
    <w:p w14:paraId="653FE52E" w14:textId="716167AD" w:rsidR="00A67636" w:rsidRDefault="00A67636" w:rsidP="00A67636">
      <w:pPr>
        <w:ind w:left="300"/>
        <w:jc w:val="both"/>
        <w:rPr>
          <w:b/>
        </w:rPr>
      </w:pPr>
    </w:p>
    <w:p w14:paraId="40D34518" w14:textId="6D1EC5D1" w:rsidR="00A67636" w:rsidRDefault="00A67636" w:rsidP="00A67636">
      <w:pPr>
        <w:ind w:left="300"/>
        <w:jc w:val="both"/>
        <w:rPr>
          <w:b/>
        </w:rPr>
      </w:pPr>
    </w:p>
    <w:p w14:paraId="5097C8AD" w14:textId="30867C21" w:rsidR="00A67636" w:rsidRDefault="00A67636" w:rsidP="00A67636">
      <w:pPr>
        <w:ind w:left="300"/>
        <w:jc w:val="both"/>
        <w:rPr>
          <w:b/>
        </w:rPr>
      </w:pPr>
    </w:p>
    <w:p w14:paraId="3254CA44" w14:textId="6DDDF00B" w:rsidR="00A67636" w:rsidRDefault="00A67636" w:rsidP="00A67636">
      <w:pPr>
        <w:ind w:left="300"/>
        <w:jc w:val="both"/>
        <w:rPr>
          <w:b/>
        </w:rPr>
      </w:pPr>
    </w:p>
    <w:p w14:paraId="764ECBC8" w14:textId="19C30DF5" w:rsidR="00A67636" w:rsidRDefault="00A67636" w:rsidP="00A67636">
      <w:pPr>
        <w:ind w:left="300"/>
        <w:jc w:val="both"/>
        <w:rPr>
          <w:b/>
        </w:rPr>
      </w:pPr>
    </w:p>
    <w:p w14:paraId="6AFB2EDE" w14:textId="20B25873" w:rsidR="00A67636" w:rsidRDefault="00A67636" w:rsidP="00A67636">
      <w:pPr>
        <w:ind w:left="300"/>
        <w:jc w:val="both"/>
        <w:rPr>
          <w:b/>
        </w:rPr>
      </w:pPr>
    </w:p>
    <w:p w14:paraId="74F7E514" w14:textId="4FC33DF4" w:rsidR="00A67636" w:rsidRDefault="00A67636" w:rsidP="00A67636">
      <w:pPr>
        <w:ind w:left="300"/>
        <w:jc w:val="both"/>
        <w:rPr>
          <w:b/>
        </w:rPr>
      </w:pPr>
    </w:p>
    <w:p w14:paraId="102C9069" w14:textId="408E8194" w:rsidR="00A67636" w:rsidRDefault="00A67636" w:rsidP="00A67636">
      <w:pPr>
        <w:ind w:left="300"/>
        <w:jc w:val="both"/>
        <w:rPr>
          <w:b/>
        </w:rPr>
      </w:pPr>
    </w:p>
    <w:p w14:paraId="360DE4D5" w14:textId="63671838" w:rsidR="00A67636" w:rsidRDefault="00A67636" w:rsidP="00A67636">
      <w:pPr>
        <w:ind w:left="300"/>
        <w:jc w:val="both"/>
        <w:rPr>
          <w:b/>
        </w:rPr>
      </w:pPr>
    </w:p>
    <w:p w14:paraId="05190060" w14:textId="27CB5517" w:rsidR="00A67636" w:rsidRDefault="00A67636" w:rsidP="00A67636">
      <w:pPr>
        <w:ind w:left="300"/>
        <w:jc w:val="both"/>
        <w:rPr>
          <w:b/>
        </w:rPr>
      </w:pPr>
    </w:p>
    <w:p w14:paraId="3E8C1093" w14:textId="6CB6519D" w:rsidR="00A67636" w:rsidRDefault="00A67636" w:rsidP="00A67636">
      <w:pPr>
        <w:ind w:left="300"/>
        <w:jc w:val="both"/>
        <w:rPr>
          <w:b/>
        </w:rPr>
      </w:pPr>
    </w:p>
    <w:p w14:paraId="2965F630" w14:textId="08AA1D95" w:rsidR="00A67636" w:rsidRDefault="00A67636" w:rsidP="00A67636">
      <w:pPr>
        <w:ind w:left="300"/>
        <w:jc w:val="both"/>
        <w:rPr>
          <w:b/>
        </w:rPr>
      </w:pPr>
    </w:p>
    <w:p w14:paraId="013D90D5" w14:textId="03602978" w:rsidR="00A67636" w:rsidRDefault="00A67636" w:rsidP="00A67636">
      <w:pPr>
        <w:ind w:left="300"/>
        <w:jc w:val="both"/>
        <w:rPr>
          <w:b/>
        </w:rPr>
      </w:pPr>
    </w:p>
    <w:p w14:paraId="1B238E61" w14:textId="226977F6" w:rsidR="00A67636" w:rsidRDefault="00A67636" w:rsidP="00A67636">
      <w:pPr>
        <w:ind w:left="300"/>
        <w:jc w:val="both"/>
        <w:rPr>
          <w:b/>
        </w:rPr>
      </w:pPr>
    </w:p>
    <w:p w14:paraId="432BCED7" w14:textId="77543901" w:rsidR="00A67636" w:rsidRDefault="00A67636" w:rsidP="00A67636">
      <w:pPr>
        <w:ind w:left="300"/>
        <w:jc w:val="both"/>
        <w:rPr>
          <w:b/>
        </w:rPr>
      </w:pPr>
    </w:p>
    <w:p w14:paraId="751BE54E" w14:textId="73BDBAEF" w:rsidR="00A67636" w:rsidRDefault="00A67636" w:rsidP="00A67636">
      <w:pPr>
        <w:ind w:left="300"/>
        <w:jc w:val="both"/>
        <w:rPr>
          <w:b/>
        </w:rPr>
      </w:pPr>
    </w:p>
    <w:p w14:paraId="50B96726" w14:textId="77777777" w:rsidR="00A67636" w:rsidRDefault="00A67636" w:rsidP="00A67636">
      <w:pPr>
        <w:ind w:left="300"/>
        <w:jc w:val="both"/>
        <w:rPr>
          <w:b/>
        </w:rPr>
      </w:pPr>
    </w:p>
    <w:p w14:paraId="5B14D81C" w14:textId="77777777" w:rsidR="00CE0360" w:rsidRDefault="00CE0360" w:rsidP="00F304EA">
      <w:pPr>
        <w:rPr>
          <w:rFonts w:ascii="Arial" w:hAnsi="Arial" w:cs="Arial"/>
          <w:sz w:val="22"/>
          <w:szCs w:val="22"/>
          <w:shd w:val="clear" w:color="auto" w:fill="E6E6E6"/>
          <w:lang w:val="es-MX" w:eastAsia="es-CO"/>
        </w:rPr>
      </w:pPr>
    </w:p>
    <w:p w14:paraId="0B0021D3" w14:textId="77777777" w:rsidR="00CE0360" w:rsidRDefault="00CE0360" w:rsidP="00F304EA">
      <w:pPr>
        <w:rPr>
          <w:rFonts w:ascii="Arial" w:hAnsi="Arial" w:cs="Arial"/>
          <w:sz w:val="22"/>
          <w:szCs w:val="22"/>
          <w:shd w:val="clear" w:color="auto" w:fill="E6E6E6"/>
          <w:lang w:val="es-MX" w:eastAsia="es-CO"/>
        </w:rPr>
      </w:pPr>
    </w:p>
    <w:p w14:paraId="19F2BFBA" w14:textId="77777777" w:rsidR="00CE0360" w:rsidRDefault="00CE0360" w:rsidP="00F304EA">
      <w:pPr>
        <w:rPr>
          <w:rFonts w:ascii="Arial" w:hAnsi="Arial" w:cs="Arial"/>
          <w:sz w:val="22"/>
          <w:szCs w:val="22"/>
          <w:shd w:val="clear" w:color="auto" w:fill="E6E6E6"/>
          <w:lang w:val="es-MX" w:eastAsia="es-CO"/>
        </w:rPr>
      </w:pPr>
    </w:p>
    <w:p w14:paraId="1F631386" w14:textId="77777777" w:rsidR="00CE0360" w:rsidRDefault="00CE0360" w:rsidP="00F304EA">
      <w:pPr>
        <w:rPr>
          <w:rFonts w:ascii="Arial" w:hAnsi="Arial" w:cs="Arial"/>
          <w:sz w:val="22"/>
          <w:szCs w:val="22"/>
          <w:shd w:val="clear" w:color="auto" w:fill="E6E6E6"/>
          <w:lang w:val="es-MX" w:eastAsia="es-CO"/>
        </w:rPr>
      </w:pPr>
    </w:p>
    <w:p w14:paraId="186FA213" w14:textId="77777777" w:rsidR="00CE0360" w:rsidRDefault="00CE0360" w:rsidP="00F304EA">
      <w:pPr>
        <w:rPr>
          <w:rFonts w:ascii="Arial" w:hAnsi="Arial" w:cs="Arial"/>
          <w:sz w:val="22"/>
          <w:szCs w:val="22"/>
          <w:shd w:val="clear" w:color="auto" w:fill="E6E6E6"/>
          <w:lang w:val="es-MX" w:eastAsia="es-CO"/>
        </w:rPr>
      </w:pPr>
    </w:p>
    <w:p w14:paraId="4099C08A" w14:textId="77777777" w:rsidR="00CE0360" w:rsidRDefault="00CE0360" w:rsidP="00F304EA">
      <w:pPr>
        <w:rPr>
          <w:rFonts w:ascii="Arial" w:hAnsi="Arial" w:cs="Arial"/>
          <w:sz w:val="22"/>
          <w:szCs w:val="22"/>
          <w:shd w:val="clear" w:color="auto" w:fill="E6E6E6"/>
          <w:lang w:val="es-MX" w:eastAsia="es-CO"/>
        </w:rPr>
      </w:pPr>
    </w:p>
    <w:p w14:paraId="2E675C3A" w14:textId="77777777" w:rsidR="00CE0360" w:rsidRDefault="00CE0360" w:rsidP="00F304EA">
      <w:pPr>
        <w:rPr>
          <w:rFonts w:ascii="Arial" w:hAnsi="Arial" w:cs="Arial"/>
          <w:sz w:val="22"/>
          <w:szCs w:val="22"/>
          <w:shd w:val="clear" w:color="auto" w:fill="E6E6E6"/>
          <w:lang w:val="es-MX" w:eastAsia="es-CO"/>
        </w:rPr>
      </w:pPr>
    </w:p>
    <w:p w14:paraId="39FCAF2F" w14:textId="77777777" w:rsidR="00CE0360" w:rsidRDefault="00CE0360" w:rsidP="00F304EA">
      <w:pPr>
        <w:rPr>
          <w:rFonts w:ascii="Arial" w:hAnsi="Arial" w:cs="Arial"/>
          <w:sz w:val="22"/>
          <w:szCs w:val="22"/>
          <w:shd w:val="clear" w:color="auto" w:fill="E6E6E6"/>
          <w:lang w:val="es-MX" w:eastAsia="es-CO"/>
        </w:rPr>
      </w:pPr>
    </w:p>
    <w:p w14:paraId="475E59B9" w14:textId="77777777" w:rsidR="00CE0360" w:rsidRDefault="00CE0360" w:rsidP="00F304EA">
      <w:pPr>
        <w:rPr>
          <w:rFonts w:ascii="Arial" w:hAnsi="Arial" w:cs="Arial"/>
          <w:sz w:val="22"/>
          <w:szCs w:val="22"/>
          <w:shd w:val="clear" w:color="auto" w:fill="E6E6E6"/>
          <w:lang w:val="es-MX" w:eastAsia="es-CO"/>
        </w:rPr>
      </w:pPr>
    </w:p>
    <w:p w14:paraId="718A2A7F" w14:textId="77777777" w:rsidR="00CE0360" w:rsidRDefault="00CE0360" w:rsidP="00F304EA">
      <w:pPr>
        <w:rPr>
          <w:rFonts w:ascii="Arial" w:hAnsi="Arial" w:cs="Arial"/>
          <w:sz w:val="22"/>
          <w:szCs w:val="22"/>
          <w:shd w:val="clear" w:color="auto" w:fill="E6E6E6"/>
          <w:lang w:val="es-MX" w:eastAsia="es-CO"/>
        </w:rPr>
      </w:pPr>
    </w:p>
    <w:p w14:paraId="0DAF1BD8" w14:textId="77777777" w:rsidR="00CE0360" w:rsidRDefault="00CE0360" w:rsidP="00F304EA">
      <w:pPr>
        <w:rPr>
          <w:rFonts w:ascii="Arial" w:hAnsi="Arial" w:cs="Arial"/>
          <w:sz w:val="22"/>
          <w:szCs w:val="22"/>
          <w:shd w:val="clear" w:color="auto" w:fill="E6E6E6"/>
          <w:lang w:val="es-MX" w:eastAsia="es-CO"/>
        </w:rPr>
      </w:pPr>
    </w:p>
    <w:p w14:paraId="3E87BD2D" w14:textId="77777777" w:rsidR="00CE0360" w:rsidRDefault="00CE0360" w:rsidP="00F304EA">
      <w:pPr>
        <w:rPr>
          <w:rFonts w:ascii="Arial" w:hAnsi="Arial" w:cs="Arial"/>
          <w:sz w:val="22"/>
          <w:szCs w:val="22"/>
          <w:shd w:val="clear" w:color="auto" w:fill="E6E6E6"/>
          <w:lang w:val="es-MX" w:eastAsia="es-CO"/>
        </w:rPr>
      </w:pPr>
    </w:p>
    <w:p w14:paraId="2489E6A4" w14:textId="4E6AEFA8" w:rsidR="00840E20" w:rsidRPr="00781AC2" w:rsidRDefault="71CF03C4" w:rsidP="00F304EA">
      <w:pPr>
        <w:rPr>
          <w:rFonts w:ascii="Arial" w:hAnsi="Arial" w:cs="Arial"/>
          <w:sz w:val="22"/>
          <w:szCs w:val="22"/>
        </w:rPr>
      </w:pPr>
      <w:r w:rsidRPr="00781AC2">
        <w:rPr>
          <w:rFonts w:ascii="Arial" w:hAnsi="Arial" w:cs="Arial"/>
          <w:sz w:val="22"/>
          <w:szCs w:val="22"/>
          <w:shd w:val="clear" w:color="auto" w:fill="E6E6E6"/>
          <w:lang w:val="es-MX" w:eastAsia="es-CO"/>
        </w:rPr>
        <w:t>Bogotá D.C., </w:t>
      </w:r>
      <w:r w:rsidR="00797E96">
        <w:rPr>
          <w:rFonts w:ascii="Arial" w:hAnsi="Arial" w:cs="Arial"/>
          <w:sz w:val="22"/>
          <w:szCs w:val="22"/>
          <w:shd w:val="clear" w:color="auto" w:fill="E6E6E6"/>
          <w:lang w:val="es-MX" w:eastAsia="es-CO"/>
        </w:rPr>
        <w:t>26</w:t>
      </w:r>
      <w:r w:rsidR="00CE0360">
        <w:rPr>
          <w:rFonts w:ascii="Arial" w:hAnsi="Arial" w:cs="Arial"/>
          <w:sz w:val="22"/>
          <w:szCs w:val="22"/>
          <w:shd w:val="clear" w:color="auto" w:fill="E6E6E6"/>
          <w:lang w:val="es-MX" w:eastAsia="es-CO"/>
        </w:rPr>
        <w:t xml:space="preserve"> de abril</w:t>
      </w:r>
      <w:r w:rsidR="009D3914">
        <w:rPr>
          <w:rFonts w:ascii="Arial" w:hAnsi="Arial" w:cs="Arial"/>
          <w:sz w:val="22"/>
          <w:szCs w:val="22"/>
          <w:shd w:val="clear" w:color="auto" w:fill="E6E6E6"/>
          <w:lang w:val="es-MX" w:eastAsia="es-CO"/>
        </w:rPr>
        <w:t xml:space="preserve"> de 2023</w:t>
      </w:r>
      <w:r w:rsidR="00840E20" w:rsidRPr="00781AC2">
        <w:rPr>
          <w:rFonts w:ascii="Arial" w:hAnsi="Arial" w:cs="Arial"/>
          <w:sz w:val="22"/>
          <w:szCs w:val="22"/>
          <w:shd w:val="clear" w:color="auto" w:fill="E6E6E6"/>
          <w:lang w:eastAsia="es-CO"/>
        </w:rPr>
        <w:tab/>
      </w:r>
    </w:p>
    <w:p w14:paraId="2B413208" w14:textId="77777777" w:rsidR="00950DF7" w:rsidRPr="00781AC2" w:rsidRDefault="00950DF7" w:rsidP="00F304EA">
      <w:pPr>
        <w:spacing w:line="276" w:lineRule="auto"/>
        <w:jc w:val="both"/>
        <w:rPr>
          <w:rFonts w:ascii="Arial" w:hAnsi="Arial" w:cs="Arial"/>
          <w:noProof/>
          <w:sz w:val="22"/>
          <w:lang w:val="es-ES_tradnl"/>
        </w:rPr>
      </w:pPr>
    </w:p>
    <w:p w14:paraId="7F292B94" w14:textId="09D4C86E" w:rsidR="00950DF7" w:rsidRPr="00781AC2" w:rsidRDefault="00F172D4" w:rsidP="7A7A98EE">
      <w:pPr>
        <w:spacing w:line="276" w:lineRule="auto"/>
        <w:jc w:val="both"/>
      </w:pPr>
      <w:r>
        <w:rPr>
          <w:noProof/>
        </w:rPr>
        <w:drawing>
          <wp:anchor distT="0" distB="0" distL="114300" distR="114300" simplePos="0" relativeHeight="251657216" behindDoc="0" locked="0" layoutInCell="1" allowOverlap="1" wp14:anchorId="3E367825" wp14:editId="4089D4A6">
            <wp:simplePos x="0" y="0"/>
            <wp:positionH relativeFrom="column">
              <wp:posOffset>2781475</wp:posOffset>
            </wp:positionH>
            <wp:positionV relativeFrom="paragraph">
              <wp:posOffset>58744</wp:posOffset>
            </wp:positionV>
            <wp:extent cx="2505075" cy="704850"/>
            <wp:effectExtent l="0" t="0" r="9525" b="0"/>
            <wp:wrapNone/>
            <wp:docPr id="298158350" name="Imagen 29815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05075" cy="704850"/>
                    </a:xfrm>
                    <a:prstGeom prst="rect">
                      <a:avLst/>
                    </a:prstGeom>
                  </pic:spPr>
                </pic:pic>
              </a:graphicData>
            </a:graphic>
          </wp:anchor>
        </w:drawing>
      </w:r>
    </w:p>
    <w:p w14:paraId="6C9B6843" w14:textId="290FDEF6" w:rsidR="00950DF7" w:rsidRPr="00781AC2" w:rsidRDefault="00950DF7" w:rsidP="7A7A98EE">
      <w:pPr>
        <w:spacing w:line="276" w:lineRule="auto"/>
        <w:jc w:val="both"/>
      </w:pPr>
      <w:r w:rsidRPr="7A7A98EE">
        <w:rPr>
          <w:rFonts w:ascii="Arial" w:eastAsia="Calibri" w:hAnsi="Arial" w:cs="Arial"/>
          <w:sz w:val="22"/>
          <w:szCs w:val="22"/>
          <w:lang w:val="es-ES"/>
        </w:rPr>
        <w:t>Señor</w:t>
      </w:r>
      <w:r w:rsidR="00797E96" w:rsidRPr="7A7A98EE">
        <w:rPr>
          <w:rFonts w:ascii="Arial" w:eastAsia="Calibri" w:hAnsi="Arial" w:cs="Arial"/>
          <w:sz w:val="22"/>
          <w:szCs w:val="22"/>
          <w:lang w:val="es-ES"/>
        </w:rPr>
        <w:t>a</w:t>
      </w:r>
    </w:p>
    <w:p w14:paraId="674A62A5" w14:textId="43C8CDA0" w:rsidR="00797E96" w:rsidRDefault="00797E96" w:rsidP="7A7A98EE">
      <w:pPr>
        <w:rPr>
          <w:rFonts w:ascii="Arial" w:eastAsia="Calibri" w:hAnsi="Arial" w:cs="Arial"/>
          <w:b/>
          <w:bCs/>
          <w:sz w:val="22"/>
          <w:szCs w:val="22"/>
          <w:lang w:val="es-ES"/>
        </w:rPr>
      </w:pPr>
      <w:r w:rsidRPr="7A7A98EE">
        <w:rPr>
          <w:rFonts w:ascii="Arial" w:eastAsia="Calibri" w:hAnsi="Arial" w:cs="Arial"/>
          <w:b/>
          <w:bCs/>
          <w:sz w:val="22"/>
          <w:szCs w:val="22"/>
          <w:lang w:val="es-ES"/>
        </w:rPr>
        <w:t>BRENDA VIVIANA JIMENEZ DIAZ</w:t>
      </w:r>
    </w:p>
    <w:p w14:paraId="0CE10F60" w14:textId="44680CAC" w:rsidR="00797E96" w:rsidRPr="00797E96" w:rsidRDefault="00B4790A" w:rsidP="00F304EA">
      <w:pPr>
        <w:rPr>
          <w:rFonts w:ascii="Arial" w:eastAsia="Calibri" w:hAnsi="Arial" w:cs="Arial"/>
          <w:bCs/>
          <w:sz w:val="22"/>
          <w:lang w:val="es-ES_tradnl"/>
        </w:rPr>
      </w:pPr>
      <w:hyperlink r:id="rId12" w:history="1">
        <w:r w:rsidR="00797E96" w:rsidRPr="00797E96">
          <w:rPr>
            <w:rFonts w:ascii="Arial" w:eastAsia="Calibri" w:hAnsi="Arial" w:cs="Arial"/>
            <w:bCs/>
            <w:sz w:val="22"/>
            <w:lang w:val="es-ES_tradnl"/>
          </w:rPr>
          <w:t>brendajimenezdiaz1310@gmail.com</w:t>
        </w:r>
      </w:hyperlink>
      <w:r w:rsidR="00797E96">
        <w:rPr>
          <w:rFonts w:ascii="Arial" w:eastAsia="Calibri" w:hAnsi="Arial" w:cs="Arial"/>
          <w:bCs/>
          <w:sz w:val="22"/>
          <w:lang w:val="es-ES_tradnl"/>
        </w:rPr>
        <w:t xml:space="preserve"> </w:t>
      </w:r>
    </w:p>
    <w:p w14:paraId="08BC0D6C" w14:textId="1144546A" w:rsidR="00950DF7" w:rsidRPr="00797E96" w:rsidRDefault="00797E96" w:rsidP="00F304EA">
      <w:pPr>
        <w:rPr>
          <w:rFonts w:ascii="Arial" w:eastAsia="Calibri" w:hAnsi="Arial" w:cs="Arial"/>
          <w:bCs/>
          <w:sz w:val="22"/>
          <w:lang w:val="es-ES_tradnl"/>
        </w:rPr>
      </w:pPr>
      <w:r w:rsidRPr="7A7A98EE">
        <w:rPr>
          <w:rFonts w:ascii="Arial" w:eastAsia="Calibri" w:hAnsi="Arial" w:cs="Arial"/>
          <w:sz w:val="22"/>
          <w:szCs w:val="22"/>
          <w:lang w:val="es-ES"/>
        </w:rPr>
        <w:t>Bogotá</w:t>
      </w:r>
    </w:p>
    <w:p w14:paraId="315B8DED" w14:textId="11266A9D" w:rsidR="00950DF7" w:rsidRPr="00781AC2" w:rsidRDefault="00950DF7" w:rsidP="7A7A98EE">
      <w:pPr>
        <w:rPr>
          <w:rFonts w:ascii="Arial" w:eastAsia="Calibri" w:hAnsi="Arial" w:cs="Arial"/>
          <w:sz w:val="22"/>
          <w:szCs w:val="22"/>
          <w:lang w:val="es-ES"/>
        </w:rPr>
      </w:pPr>
    </w:p>
    <w:p w14:paraId="20607E96" w14:textId="38F2C835" w:rsidR="00950DF7" w:rsidRPr="00781AC2" w:rsidRDefault="70551974" w:rsidP="00F304EA">
      <w:pPr>
        <w:ind w:left="2694"/>
        <w:rPr>
          <w:rFonts w:ascii="Arial" w:eastAsia="Calibri" w:hAnsi="Arial" w:cs="Arial"/>
          <w:b/>
          <w:bCs/>
          <w:sz w:val="22"/>
          <w:szCs w:val="22"/>
          <w:lang w:val="es-ES"/>
        </w:rPr>
      </w:pPr>
      <w:r w:rsidRPr="00781AC2">
        <w:rPr>
          <w:rFonts w:ascii="Arial" w:eastAsia="Calibri" w:hAnsi="Arial" w:cs="Arial"/>
          <w:b/>
          <w:bCs/>
          <w:sz w:val="22"/>
          <w:szCs w:val="22"/>
          <w:lang w:val="es-ES"/>
        </w:rPr>
        <w:t xml:space="preserve">Concepto </w:t>
      </w:r>
      <w:r w:rsidRPr="00736599">
        <w:rPr>
          <w:rFonts w:ascii="Arial" w:eastAsia="Calibri" w:hAnsi="Arial" w:cs="Arial"/>
          <w:b/>
          <w:bCs/>
          <w:sz w:val="22"/>
          <w:szCs w:val="22"/>
          <w:lang w:val="es-ES"/>
        </w:rPr>
        <w:t>C</w:t>
      </w:r>
      <w:r w:rsidR="0DE2C546" w:rsidRPr="00736599">
        <w:rPr>
          <w:rFonts w:ascii="Arial" w:eastAsia="Calibri" w:hAnsi="Arial" w:cs="Arial"/>
          <w:b/>
          <w:bCs/>
          <w:sz w:val="22"/>
          <w:szCs w:val="22"/>
          <w:shd w:val="clear" w:color="auto" w:fill="E6E6E6"/>
          <w:lang w:val="es-ES"/>
        </w:rPr>
        <w:t>-</w:t>
      </w:r>
      <w:r w:rsidR="00457B9C">
        <w:rPr>
          <w:rFonts w:ascii="Arial" w:eastAsia="Calibri" w:hAnsi="Arial" w:cs="Arial"/>
          <w:b/>
          <w:bCs/>
          <w:sz w:val="22"/>
          <w:szCs w:val="22"/>
          <w:lang w:val="es-ES"/>
        </w:rPr>
        <w:t>0</w:t>
      </w:r>
      <w:r w:rsidR="00797E96">
        <w:rPr>
          <w:rFonts w:ascii="Arial" w:eastAsia="Calibri" w:hAnsi="Arial" w:cs="Arial"/>
          <w:b/>
          <w:bCs/>
          <w:sz w:val="22"/>
          <w:szCs w:val="22"/>
          <w:lang w:val="es-ES"/>
        </w:rPr>
        <w:t>7</w:t>
      </w:r>
      <w:r w:rsidR="00CE0360">
        <w:rPr>
          <w:rFonts w:ascii="Arial" w:eastAsia="Calibri" w:hAnsi="Arial" w:cs="Arial"/>
          <w:b/>
          <w:bCs/>
          <w:sz w:val="22"/>
          <w:szCs w:val="22"/>
          <w:lang w:val="es-ES"/>
        </w:rPr>
        <w:t>9</w:t>
      </w:r>
      <w:r w:rsidR="00C54739" w:rsidRPr="00781AC2">
        <w:rPr>
          <w:rFonts w:ascii="Arial" w:eastAsia="Calibri" w:hAnsi="Arial" w:cs="Arial"/>
          <w:b/>
          <w:bCs/>
          <w:sz w:val="22"/>
          <w:szCs w:val="22"/>
          <w:lang w:val="es-ES"/>
        </w:rPr>
        <w:t xml:space="preserve"> </w:t>
      </w:r>
      <w:r w:rsidRPr="00781AC2">
        <w:rPr>
          <w:rFonts w:ascii="Arial" w:eastAsia="Calibri" w:hAnsi="Arial" w:cs="Arial"/>
          <w:b/>
          <w:bCs/>
          <w:sz w:val="22"/>
          <w:szCs w:val="22"/>
          <w:lang w:val="es-ES"/>
        </w:rPr>
        <w:t>de 202</w:t>
      </w:r>
      <w:r w:rsidR="301249F9" w:rsidRPr="00781AC2">
        <w:rPr>
          <w:rFonts w:ascii="Arial" w:eastAsia="Calibri" w:hAnsi="Arial" w:cs="Arial"/>
          <w:b/>
          <w:bCs/>
          <w:sz w:val="22"/>
          <w:szCs w:val="22"/>
          <w:lang w:val="es-ES"/>
        </w:rPr>
        <w:t>3</w:t>
      </w:r>
    </w:p>
    <w:p w14:paraId="30E510E4" w14:textId="77777777" w:rsidR="00950DF7" w:rsidRPr="00781AC2" w:rsidRDefault="00950DF7" w:rsidP="00F304EA">
      <w:pPr>
        <w:jc w:val="both"/>
        <w:rPr>
          <w:rFonts w:ascii="Arial" w:eastAsia="Calibri" w:hAnsi="Arial" w:cs="Arial"/>
          <w:sz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781AC2" w14:paraId="57B8ADB6" w14:textId="77777777" w:rsidTr="0036284A">
        <w:trPr>
          <w:jc w:val="right"/>
        </w:trPr>
        <w:tc>
          <w:tcPr>
            <w:tcW w:w="1838" w:type="dxa"/>
          </w:tcPr>
          <w:p w14:paraId="5EC5D0D8" w14:textId="15341976" w:rsidR="00950DF7" w:rsidRPr="00781AC2" w:rsidRDefault="00950DF7" w:rsidP="00F304EA">
            <w:pPr>
              <w:jc w:val="center"/>
              <w:rPr>
                <w:rFonts w:ascii="Arial" w:eastAsia="Calibri" w:hAnsi="Arial" w:cs="Arial"/>
                <w:sz w:val="22"/>
                <w:lang w:val="es-ES_tradnl"/>
              </w:rPr>
            </w:pPr>
            <w:r w:rsidRPr="00781AC2">
              <w:rPr>
                <w:rFonts w:ascii="Arial" w:eastAsia="Calibri" w:hAnsi="Arial" w:cs="Arial"/>
                <w:b/>
                <w:sz w:val="22"/>
                <w:lang w:val="es-ES_tradnl"/>
              </w:rPr>
              <w:t>Temas:</w:t>
            </w:r>
          </w:p>
        </w:tc>
        <w:tc>
          <w:tcPr>
            <w:tcW w:w="6237" w:type="dxa"/>
          </w:tcPr>
          <w:p w14:paraId="65E9DC63" w14:textId="6866C93F" w:rsidR="00950DF7" w:rsidRPr="00457B9C" w:rsidRDefault="00950DF7" w:rsidP="00797E96">
            <w:pPr>
              <w:jc w:val="both"/>
              <w:rPr>
                <w:rFonts w:ascii="Arial" w:eastAsia="Calibri" w:hAnsi="Arial" w:cs="Arial"/>
                <w:bCs/>
                <w:sz w:val="22"/>
                <w:lang w:val="es-ES_tradnl"/>
              </w:rPr>
            </w:pPr>
            <w:r w:rsidRPr="00781AC2">
              <w:rPr>
                <w:rFonts w:ascii="Arial" w:eastAsia="Calibri" w:hAnsi="Arial" w:cs="Arial"/>
                <w:sz w:val="22"/>
                <w:szCs w:val="22"/>
              </w:rPr>
              <w:t>COLOMBIA COMPRA EFICIENTE – Competencia Consultiva – Contratación Estatal – Normas Generales</w:t>
            </w:r>
            <w:r w:rsidRPr="00781AC2">
              <w:rPr>
                <w:rFonts w:ascii="Arial" w:eastAsia="Calibri" w:hAnsi="Arial" w:cs="Arial"/>
                <w:sz w:val="22"/>
                <w:lang w:val="es-ES_tradnl"/>
              </w:rPr>
              <w:t xml:space="preserve"> /</w:t>
            </w:r>
            <w:r w:rsidR="00736599">
              <w:rPr>
                <w:rFonts w:ascii="Arial" w:eastAsia="Calibri" w:hAnsi="Arial" w:cs="Arial"/>
                <w:bCs/>
                <w:sz w:val="22"/>
                <w:lang w:val="es-ES_tradnl"/>
              </w:rPr>
              <w:t>.</w:t>
            </w:r>
          </w:p>
        </w:tc>
      </w:tr>
      <w:tr w:rsidR="00F304EA" w:rsidRPr="00736599" w14:paraId="6D8A1715" w14:textId="77777777" w:rsidTr="0036284A">
        <w:trPr>
          <w:jc w:val="right"/>
        </w:trPr>
        <w:tc>
          <w:tcPr>
            <w:tcW w:w="1838" w:type="dxa"/>
          </w:tcPr>
          <w:p w14:paraId="62ED0099" w14:textId="05F3F284" w:rsidR="00950DF7" w:rsidRPr="00736599" w:rsidRDefault="00950DF7" w:rsidP="00F304EA">
            <w:pPr>
              <w:spacing w:before="120"/>
              <w:jc w:val="center"/>
              <w:rPr>
                <w:rFonts w:ascii="Arial" w:eastAsia="Calibri" w:hAnsi="Arial" w:cs="Arial"/>
                <w:b/>
                <w:sz w:val="22"/>
                <w:szCs w:val="22"/>
                <w:lang w:val="es-ES"/>
              </w:rPr>
            </w:pPr>
            <w:r w:rsidRPr="00736599">
              <w:rPr>
                <w:rFonts w:ascii="Arial" w:eastAsia="Calibri" w:hAnsi="Arial" w:cs="Arial"/>
                <w:b/>
                <w:sz w:val="22"/>
                <w:szCs w:val="22"/>
                <w:lang w:val="es-ES"/>
              </w:rPr>
              <w:t>Radicación:</w:t>
            </w:r>
          </w:p>
        </w:tc>
        <w:tc>
          <w:tcPr>
            <w:tcW w:w="6237" w:type="dxa"/>
          </w:tcPr>
          <w:p w14:paraId="393CD37C" w14:textId="33995CD0" w:rsidR="00950DF7" w:rsidRPr="00781AC2" w:rsidRDefault="00950DF7" w:rsidP="00736599">
            <w:pPr>
              <w:spacing w:before="120"/>
              <w:jc w:val="both"/>
              <w:rPr>
                <w:rFonts w:ascii="Arial" w:eastAsia="Calibri" w:hAnsi="Arial" w:cs="Arial"/>
                <w:sz w:val="22"/>
                <w:szCs w:val="22"/>
                <w:lang w:val="es-ES"/>
              </w:rPr>
            </w:pPr>
            <w:r w:rsidRPr="00781AC2">
              <w:rPr>
                <w:rFonts w:ascii="Arial" w:eastAsia="Calibri" w:hAnsi="Arial" w:cs="Arial"/>
                <w:sz w:val="22"/>
                <w:szCs w:val="22"/>
                <w:lang w:val="es-ES"/>
              </w:rPr>
              <w:t xml:space="preserve">Respuesta a consulta </w:t>
            </w:r>
            <w:r w:rsidR="00797E96" w:rsidRPr="00797E96">
              <w:rPr>
                <w:rFonts w:ascii="Arial" w:eastAsia="Calibri" w:hAnsi="Arial" w:cs="Arial"/>
                <w:sz w:val="22"/>
                <w:szCs w:val="22"/>
                <w:lang w:val="es-ES"/>
              </w:rPr>
              <w:t>P20230310002259</w:t>
            </w:r>
          </w:p>
        </w:tc>
      </w:tr>
    </w:tbl>
    <w:p w14:paraId="65A47511" w14:textId="77777777" w:rsidR="00950DF7" w:rsidRPr="00736599" w:rsidRDefault="00950DF7" w:rsidP="00F304EA">
      <w:pPr>
        <w:jc w:val="both"/>
        <w:rPr>
          <w:rFonts w:ascii="Arial" w:eastAsia="Calibri" w:hAnsi="Arial" w:cs="Arial"/>
          <w:sz w:val="22"/>
          <w:szCs w:val="22"/>
          <w:lang w:val="es-ES"/>
        </w:rPr>
      </w:pPr>
    </w:p>
    <w:p w14:paraId="712BF181" w14:textId="77777777" w:rsidR="00950DF7" w:rsidRPr="00781AC2" w:rsidRDefault="00950DF7" w:rsidP="00F304EA">
      <w:pPr>
        <w:jc w:val="both"/>
        <w:rPr>
          <w:rFonts w:ascii="Arial" w:eastAsia="Calibri" w:hAnsi="Arial" w:cs="Arial"/>
          <w:sz w:val="22"/>
          <w:lang w:val="es-ES_tradnl"/>
        </w:rPr>
      </w:pPr>
    </w:p>
    <w:p w14:paraId="3DDCC405" w14:textId="32AC1060" w:rsidR="00950DF7" w:rsidRPr="00781AC2" w:rsidRDefault="00736599" w:rsidP="00F304EA">
      <w:pPr>
        <w:jc w:val="both"/>
        <w:rPr>
          <w:rFonts w:ascii="Arial" w:eastAsia="Calibri" w:hAnsi="Arial" w:cs="Arial"/>
          <w:bCs/>
          <w:sz w:val="22"/>
          <w:lang w:val="es-ES_tradnl"/>
        </w:rPr>
      </w:pPr>
      <w:r>
        <w:rPr>
          <w:rFonts w:ascii="Arial" w:eastAsia="Calibri" w:hAnsi="Arial" w:cs="Arial"/>
          <w:sz w:val="22"/>
          <w:lang w:val="es-ES_tradnl"/>
        </w:rPr>
        <w:t>Estimado</w:t>
      </w:r>
      <w:r w:rsidR="00950DF7" w:rsidRPr="00781AC2">
        <w:rPr>
          <w:rFonts w:ascii="Arial" w:eastAsia="Calibri" w:hAnsi="Arial" w:cs="Arial"/>
          <w:sz w:val="22"/>
          <w:lang w:val="es-ES_tradnl"/>
        </w:rPr>
        <w:t xml:space="preserve"> señor</w:t>
      </w:r>
      <w:r w:rsidR="00797E96">
        <w:rPr>
          <w:rFonts w:ascii="Arial" w:eastAsia="Calibri" w:hAnsi="Arial" w:cs="Arial"/>
          <w:sz w:val="22"/>
          <w:lang w:val="es-ES_tradnl"/>
        </w:rPr>
        <w:t>a</w:t>
      </w:r>
      <w:r w:rsidR="00950DF7" w:rsidRPr="00781AC2">
        <w:rPr>
          <w:rFonts w:ascii="Arial" w:eastAsia="Calibri" w:hAnsi="Arial" w:cs="Arial"/>
          <w:sz w:val="22"/>
          <w:lang w:val="es-ES_tradnl"/>
        </w:rPr>
        <w:t xml:space="preserve"> </w:t>
      </w:r>
      <w:r w:rsidR="00797E96">
        <w:rPr>
          <w:rFonts w:ascii="Arial" w:eastAsia="Calibri" w:hAnsi="Arial" w:cs="Arial"/>
          <w:sz w:val="22"/>
          <w:lang w:val="es-ES_tradnl"/>
        </w:rPr>
        <w:t>Brenda Viviana</w:t>
      </w:r>
      <w:r w:rsidR="00950DF7" w:rsidRPr="00781AC2">
        <w:rPr>
          <w:rFonts w:ascii="Arial" w:eastAsia="Calibri" w:hAnsi="Arial" w:cs="Arial"/>
          <w:bCs/>
          <w:sz w:val="22"/>
          <w:lang w:val="es-ES_tradnl"/>
        </w:rPr>
        <w:t>:</w:t>
      </w:r>
    </w:p>
    <w:p w14:paraId="5958CBDB" w14:textId="77777777" w:rsidR="00950DF7" w:rsidRPr="00781AC2" w:rsidRDefault="00950DF7" w:rsidP="00F304EA">
      <w:pPr>
        <w:jc w:val="both"/>
        <w:rPr>
          <w:rFonts w:ascii="Arial" w:eastAsia="Calibri" w:hAnsi="Arial" w:cs="Arial"/>
          <w:sz w:val="22"/>
          <w:lang w:val="es-ES_tradnl"/>
        </w:rPr>
      </w:pPr>
    </w:p>
    <w:p w14:paraId="3E917ACF" w14:textId="73D00B33"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DC59F9">
        <w:rPr>
          <w:rFonts w:ascii="Arial" w:eastAsia="Calibri" w:hAnsi="Arial" w:cs="Arial"/>
          <w:sz w:val="22"/>
          <w:szCs w:val="22"/>
          <w:lang w:val="es-ES"/>
        </w:rPr>
        <w:t>15 de febrero de 2023</w:t>
      </w:r>
    </w:p>
    <w:p w14:paraId="6E212067" w14:textId="77777777" w:rsidR="00950DF7" w:rsidRPr="00781AC2" w:rsidRDefault="00950DF7" w:rsidP="00F304EA">
      <w:pPr>
        <w:spacing w:line="276" w:lineRule="auto"/>
        <w:jc w:val="both"/>
        <w:rPr>
          <w:rFonts w:ascii="Arial" w:eastAsia="Calibri" w:hAnsi="Arial" w:cs="Arial"/>
          <w:b/>
          <w:sz w:val="22"/>
          <w:lang w:val="es-ES_tradnl"/>
        </w:rPr>
      </w:pPr>
    </w:p>
    <w:p w14:paraId="07E4FB05" w14:textId="77777777" w:rsidR="00950DF7" w:rsidRPr="00781AC2" w:rsidRDefault="00950DF7" w:rsidP="00F304E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81AC2">
        <w:rPr>
          <w:rFonts w:ascii="Arial" w:eastAsia="Calibri" w:hAnsi="Arial" w:cs="Arial"/>
          <w:b/>
          <w:sz w:val="22"/>
          <w:lang w:val="es-ES_tradnl"/>
        </w:rPr>
        <w:t xml:space="preserve">Problema planteado </w:t>
      </w:r>
    </w:p>
    <w:p w14:paraId="767E9BFF" w14:textId="43B61FA8" w:rsidR="00950DF7" w:rsidRPr="00781AC2" w:rsidRDefault="00950DF7" w:rsidP="00F304EA">
      <w:pPr>
        <w:tabs>
          <w:tab w:val="left" w:pos="426"/>
        </w:tabs>
        <w:spacing w:line="276" w:lineRule="auto"/>
        <w:jc w:val="both"/>
        <w:rPr>
          <w:rFonts w:ascii="Arial" w:eastAsia="Calibri" w:hAnsi="Arial" w:cs="Arial"/>
          <w:b/>
          <w:sz w:val="22"/>
          <w:lang w:val="es-ES_tradnl"/>
        </w:rPr>
      </w:pPr>
    </w:p>
    <w:p w14:paraId="413BDD46" w14:textId="6C3C47AB" w:rsidR="007B0D03" w:rsidRPr="00781AC2" w:rsidRDefault="007B0D03" w:rsidP="00F304EA">
      <w:pPr>
        <w:jc w:val="both"/>
        <w:rPr>
          <w:rFonts w:ascii="Arial" w:hAnsi="Arial" w:cs="Arial"/>
          <w:sz w:val="22"/>
          <w:szCs w:val="22"/>
          <w:lang w:val="es-ES_tradnl"/>
        </w:rPr>
      </w:pPr>
      <w:r w:rsidRPr="00591CF3">
        <w:rPr>
          <w:rFonts w:ascii="Arial" w:hAnsi="Arial" w:cs="Arial"/>
          <w:sz w:val="22"/>
          <w:szCs w:val="22"/>
          <w:shd w:val="clear" w:color="auto" w:fill="E6E6E6"/>
          <w:lang w:val="es-ES_tradnl"/>
        </w:rPr>
        <w:t>Usted formula la siguiente consulta:</w:t>
      </w:r>
      <w:r w:rsidRPr="00781AC2">
        <w:rPr>
          <w:rFonts w:ascii="Arial" w:hAnsi="Arial" w:cs="Arial"/>
          <w:sz w:val="22"/>
          <w:szCs w:val="22"/>
          <w:shd w:val="clear" w:color="auto" w:fill="E6E6E6"/>
          <w:lang w:val="es-ES_tradnl"/>
        </w:rPr>
        <w:t xml:space="preserve"> </w:t>
      </w:r>
    </w:p>
    <w:p w14:paraId="5F9660D5" w14:textId="77777777" w:rsidR="00C87954" w:rsidRPr="00781AC2" w:rsidRDefault="00C87954" w:rsidP="00F304EA">
      <w:pPr>
        <w:jc w:val="both"/>
        <w:rPr>
          <w:rFonts w:ascii="Arial" w:hAnsi="Arial" w:cs="Arial"/>
          <w:sz w:val="21"/>
          <w:szCs w:val="21"/>
          <w:lang w:val="es-ES_tradnl"/>
        </w:rPr>
      </w:pPr>
    </w:p>
    <w:p w14:paraId="3AED9A18" w14:textId="3AA8E101" w:rsidR="00950DF7" w:rsidRDefault="00AF3020" w:rsidP="00AF3020">
      <w:pPr>
        <w:ind w:left="708" w:right="851"/>
        <w:jc w:val="both"/>
        <w:rPr>
          <w:rFonts w:ascii="Arial" w:hAnsi="Arial" w:cs="Arial"/>
          <w:sz w:val="21"/>
          <w:szCs w:val="21"/>
        </w:rPr>
      </w:pPr>
      <w:r>
        <w:rPr>
          <w:rFonts w:ascii="Arial" w:hAnsi="Arial" w:cs="Arial"/>
          <w:sz w:val="21"/>
          <w:szCs w:val="21"/>
        </w:rPr>
        <w:t>“</w:t>
      </w:r>
      <w:r w:rsidR="00797E96" w:rsidRPr="00797E96">
        <w:rPr>
          <w:rFonts w:ascii="Arial" w:hAnsi="Arial" w:cs="Arial"/>
          <w:sz w:val="21"/>
          <w:szCs w:val="21"/>
        </w:rPr>
        <w:t>¿es correcto entender que para el cálculo de contratos en ejecución sólo</w:t>
      </w:r>
      <w:r w:rsidR="00797E96">
        <w:rPr>
          <w:rFonts w:ascii="Arial" w:hAnsi="Arial" w:cs="Arial"/>
          <w:sz w:val="21"/>
          <w:szCs w:val="21"/>
        </w:rPr>
        <w:t xml:space="preserve"> </w:t>
      </w:r>
      <w:r w:rsidR="00797E96" w:rsidRPr="00797E96">
        <w:rPr>
          <w:rFonts w:ascii="Arial" w:hAnsi="Arial" w:cs="Arial"/>
          <w:sz w:val="21"/>
          <w:szCs w:val="21"/>
        </w:rPr>
        <w:t>deben relacionarse en el formato 5 los contratos de obra, sin tener en cuenta otro tipo de contratos</w:t>
      </w:r>
      <w:r w:rsidR="00797E96">
        <w:rPr>
          <w:rFonts w:ascii="Arial" w:hAnsi="Arial" w:cs="Arial"/>
          <w:sz w:val="21"/>
          <w:szCs w:val="21"/>
        </w:rPr>
        <w:t xml:space="preserve"> </w:t>
      </w:r>
      <w:r w:rsidR="00797E96" w:rsidRPr="00797E96">
        <w:rPr>
          <w:rFonts w:ascii="Arial" w:hAnsi="Arial" w:cs="Arial"/>
          <w:sz w:val="21"/>
          <w:szCs w:val="21"/>
        </w:rPr>
        <w:t>que pueda tener el proponente en ejecución? ¿O deben relacionarse todos los contratos, cualquiera</w:t>
      </w:r>
      <w:r>
        <w:rPr>
          <w:rFonts w:ascii="Arial" w:hAnsi="Arial" w:cs="Arial"/>
          <w:sz w:val="21"/>
          <w:szCs w:val="21"/>
        </w:rPr>
        <w:t xml:space="preserve"> </w:t>
      </w:r>
      <w:r w:rsidR="00797E96" w:rsidRPr="00797E96">
        <w:rPr>
          <w:rFonts w:ascii="Arial" w:hAnsi="Arial" w:cs="Arial"/>
          <w:sz w:val="21"/>
          <w:szCs w:val="21"/>
        </w:rPr>
        <w:t>sea tipología?</w:t>
      </w:r>
      <w:r>
        <w:rPr>
          <w:rFonts w:ascii="Arial" w:hAnsi="Arial" w:cs="Arial"/>
          <w:sz w:val="21"/>
          <w:szCs w:val="21"/>
        </w:rPr>
        <w:t>”</w:t>
      </w:r>
    </w:p>
    <w:p w14:paraId="56CB617F" w14:textId="77777777" w:rsidR="00AF3020" w:rsidRPr="00781AC2" w:rsidRDefault="00AF3020" w:rsidP="00AF3020">
      <w:pPr>
        <w:ind w:left="708" w:right="851"/>
        <w:jc w:val="both"/>
        <w:rPr>
          <w:rFonts w:ascii="Arial" w:hAnsi="Arial" w:cs="Arial"/>
          <w:sz w:val="22"/>
          <w:lang w:val="es-ES_tradnl"/>
        </w:rPr>
      </w:pPr>
    </w:p>
    <w:p w14:paraId="483D6DD9" w14:textId="79951F09" w:rsidR="00950DF7" w:rsidRPr="00781AC2" w:rsidRDefault="00950DF7" w:rsidP="00F304EA">
      <w:pPr>
        <w:pStyle w:val="Prrafodelista"/>
        <w:numPr>
          <w:ilvl w:val="0"/>
          <w:numId w:val="1"/>
        </w:numPr>
        <w:tabs>
          <w:tab w:val="left" w:pos="0"/>
          <w:tab w:val="left" w:pos="284"/>
        </w:tabs>
        <w:ind w:left="0" w:firstLine="0"/>
        <w:contextualSpacing w:val="0"/>
        <w:jc w:val="both"/>
        <w:rPr>
          <w:rFonts w:ascii="Arial" w:eastAsia="Calibri" w:hAnsi="Arial" w:cs="Arial"/>
          <w:b/>
          <w:sz w:val="22"/>
          <w:lang w:val="es-ES_tradnl"/>
        </w:rPr>
      </w:pPr>
      <w:r w:rsidRPr="00781AC2">
        <w:rPr>
          <w:rFonts w:ascii="Arial" w:eastAsia="Calibri" w:hAnsi="Arial" w:cs="Arial"/>
          <w:b/>
          <w:sz w:val="22"/>
          <w:lang w:val="es-ES_tradnl"/>
        </w:rPr>
        <w:t>Consideraciones</w:t>
      </w:r>
    </w:p>
    <w:p w14:paraId="68D49234" w14:textId="77777777" w:rsidR="00A6242E" w:rsidRPr="00781AC2" w:rsidRDefault="00A6242E" w:rsidP="00F304EA">
      <w:pPr>
        <w:pStyle w:val="Prrafodelista"/>
        <w:tabs>
          <w:tab w:val="left" w:pos="0"/>
          <w:tab w:val="left" w:pos="284"/>
        </w:tabs>
        <w:ind w:left="0"/>
        <w:contextualSpacing w:val="0"/>
        <w:jc w:val="both"/>
        <w:rPr>
          <w:rFonts w:ascii="Arial" w:eastAsia="Calibri" w:hAnsi="Arial" w:cs="Arial"/>
          <w:b/>
          <w:sz w:val="22"/>
          <w:lang w:val="es-ES_tradnl"/>
        </w:rPr>
      </w:pPr>
    </w:p>
    <w:p w14:paraId="51141E92" w14:textId="555E8A9C" w:rsidR="00532050" w:rsidRDefault="4A9A233D" w:rsidP="006D5D89">
      <w:pPr>
        <w:spacing w:line="276" w:lineRule="auto"/>
        <w:jc w:val="both"/>
        <w:rPr>
          <w:rFonts w:ascii="Arial" w:hAnsi="Arial" w:cs="Arial"/>
          <w:sz w:val="22"/>
          <w:szCs w:val="22"/>
        </w:rPr>
      </w:pPr>
      <w:r w:rsidRPr="00781AC2">
        <w:rPr>
          <w:rFonts w:ascii="Arial" w:hAnsi="Arial" w:cs="Arial"/>
          <w:sz w:val="22"/>
          <w:szCs w:val="22"/>
        </w:rPr>
        <w:t>En ejercicio de las competencias establecidas en los artículos 3.5 y 11.8 del Decreto</w:t>
      </w:r>
      <w:r w:rsidR="002C0664" w:rsidRPr="00781AC2">
        <w:rPr>
          <w:rFonts w:ascii="Arial" w:hAnsi="Arial" w:cs="Arial"/>
          <w:sz w:val="22"/>
          <w:szCs w:val="22"/>
        </w:rPr>
        <w:t xml:space="preserve"> Ley</w:t>
      </w:r>
      <w:r w:rsidRPr="00781AC2">
        <w:rPr>
          <w:rFonts w:ascii="Arial" w:hAnsi="Arial" w:cs="Arial"/>
          <w:sz w:val="22"/>
          <w:szCs w:val="22"/>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781AC2">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id="4" w:name="_Hlk61026958"/>
      <w:r w:rsidRPr="00781AC2">
        <w:rPr>
          <w:rFonts w:ascii="Arial" w:hAnsi="Arial" w:cs="Arial"/>
          <w:sz w:val="22"/>
          <w:szCs w:val="22"/>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w:t>
      </w:r>
      <w:r w:rsidRPr="00781AC2">
        <w:rPr>
          <w:rFonts w:ascii="Arial" w:hAnsi="Arial" w:cs="Arial"/>
          <w:sz w:val="22"/>
          <w:szCs w:val="22"/>
          <w:lang w:val="es-ES"/>
        </w:rPr>
        <w:lastRenderedPageBreak/>
        <w:t>como una autoridad para solucionar problemas jurídicos particulares</w:t>
      </w:r>
      <w:r w:rsidRPr="00781AC2">
        <w:rPr>
          <w:rFonts w:ascii="Arial" w:hAnsi="Arial" w:cs="Arial"/>
          <w:sz w:val="22"/>
          <w:szCs w:val="22"/>
        </w:rPr>
        <w:t xml:space="preserve"> de todos los partícipes de la contratación estatal.</w:t>
      </w:r>
    </w:p>
    <w:p w14:paraId="26F85578" w14:textId="77777777" w:rsidR="006D5D89" w:rsidRPr="00781AC2" w:rsidRDefault="006D5D89" w:rsidP="006D5D89">
      <w:pPr>
        <w:spacing w:line="276" w:lineRule="auto"/>
        <w:jc w:val="both"/>
        <w:rPr>
          <w:rFonts w:ascii="Arial" w:hAnsi="Arial" w:cs="Arial"/>
          <w:sz w:val="22"/>
          <w:szCs w:val="22"/>
          <w:lang w:val="es-ES"/>
        </w:rPr>
      </w:pPr>
    </w:p>
    <w:p w14:paraId="0BE59A96" w14:textId="6EB3162D" w:rsidR="00532050" w:rsidRDefault="4A9A233D" w:rsidP="006D5D89">
      <w:pPr>
        <w:spacing w:line="276" w:lineRule="auto"/>
        <w:ind w:firstLine="708"/>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532050"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p w14:paraId="6766A313" w14:textId="77777777" w:rsidR="006D5D89" w:rsidRPr="00781AC2" w:rsidRDefault="006D5D89" w:rsidP="006D5D89">
      <w:pPr>
        <w:spacing w:line="276" w:lineRule="auto"/>
        <w:ind w:firstLine="708"/>
        <w:jc w:val="both"/>
        <w:rPr>
          <w:rFonts w:ascii="Arial" w:hAnsi="Arial" w:cs="Arial"/>
          <w:sz w:val="22"/>
          <w:szCs w:val="22"/>
          <w:lang w:val="es-ES"/>
        </w:rPr>
      </w:pPr>
    </w:p>
    <w:bookmarkEnd w:id="3"/>
    <w:p w14:paraId="734E03CA" w14:textId="50A338AB" w:rsidR="006D5D89" w:rsidRDefault="00950DF7" w:rsidP="006D5D89">
      <w:pPr>
        <w:tabs>
          <w:tab w:val="left" w:pos="426"/>
        </w:tabs>
        <w:spacing w:line="276" w:lineRule="auto"/>
        <w:jc w:val="both"/>
        <w:rPr>
          <w:rFonts w:ascii="Arial" w:hAnsi="Arial" w:cs="Arial"/>
          <w:sz w:val="22"/>
          <w:lang w:val="es-ES"/>
        </w:rPr>
      </w:pPr>
      <w:r w:rsidRPr="00781AC2">
        <w:rPr>
          <w:rFonts w:ascii="Arial" w:hAnsi="Arial" w:cs="Arial"/>
          <w:sz w:val="22"/>
        </w:rPr>
        <w:tab/>
      </w:r>
      <w:r w:rsidRPr="00781AC2">
        <w:rPr>
          <w:rFonts w:ascii="Arial" w:hAnsi="Arial" w:cs="Arial"/>
          <w:sz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781AC2">
        <w:rPr>
          <w:rFonts w:ascii="Arial" w:eastAsia="Calibri" w:hAnsi="Arial" w:cs="Arial"/>
          <w:sz w:val="22"/>
          <w:lang w:val="es-ES"/>
        </w:rPr>
        <w:t>los siguientes temas</w:t>
      </w:r>
      <w:r w:rsidRPr="00781AC2">
        <w:rPr>
          <w:rFonts w:ascii="Arial" w:hAnsi="Arial" w:cs="Arial"/>
          <w:sz w:val="22"/>
          <w:lang w:val="es-ES"/>
        </w:rPr>
        <w:t xml:space="preserve">: </w:t>
      </w:r>
      <w:r w:rsidRPr="00781AC2">
        <w:rPr>
          <w:rFonts w:ascii="Arial" w:hAnsi="Arial" w:cs="Arial"/>
          <w:sz w:val="22"/>
          <w:lang w:val="es-ES_tradnl"/>
        </w:rPr>
        <w:t xml:space="preserve">i) </w:t>
      </w:r>
      <w:r w:rsidR="00AF3020">
        <w:rPr>
          <w:rFonts w:ascii="Arial" w:hAnsi="Arial" w:cs="Arial"/>
          <w:sz w:val="22"/>
          <w:lang w:val="es-ES_tradnl"/>
        </w:rPr>
        <w:t xml:space="preserve">Finalidad, definición y alcance de la capacidad residual como requisito habilitante. </w:t>
      </w:r>
    </w:p>
    <w:p w14:paraId="4508D74F" w14:textId="77777777" w:rsidR="000E1E95" w:rsidRPr="00781AC2" w:rsidRDefault="000E1E95" w:rsidP="006D5D89">
      <w:pPr>
        <w:tabs>
          <w:tab w:val="left" w:pos="426"/>
        </w:tabs>
        <w:spacing w:line="276" w:lineRule="auto"/>
        <w:jc w:val="both"/>
        <w:rPr>
          <w:rFonts w:ascii="Arial" w:hAnsi="Arial" w:cs="Arial"/>
          <w:bCs/>
          <w:sz w:val="22"/>
          <w:lang w:val="es-ES"/>
        </w:rPr>
      </w:pPr>
    </w:p>
    <w:p w14:paraId="7C0BE3AD" w14:textId="6F0D85B3" w:rsidR="00950DF7" w:rsidRPr="00781AC2" w:rsidRDefault="70551974" w:rsidP="000E1E95">
      <w:pPr>
        <w:spacing w:line="276" w:lineRule="auto"/>
        <w:ind w:firstLine="709"/>
        <w:jc w:val="both"/>
        <w:rPr>
          <w:rFonts w:ascii="Arial" w:eastAsia="Calibri" w:hAnsi="Arial" w:cs="Arial"/>
          <w:sz w:val="22"/>
          <w:szCs w:val="22"/>
          <w:lang w:val="es-ES"/>
        </w:rPr>
      </w:pPr>
      <w:r w:rsidRPr="00781AC2">
        <w:rPr>
          <w:rFonts w:ascii="Arial" w:eastAsia="Calibri" w:hAnsi="Arial" w:cs="Arial"/>
          <w:sz w:val="22"/>
          <w:szCs w:val="22"/>
          <w:lang w:val="es-ES"/>
        </w:rPr>
        <w:t xml:space="preserve">La Agencia Nacional de Contratación Pública – Colombia Compra Eficiente, en los conceptos </w:t>
      </w:r>
      <w:r w:rsidR="00A67636" w:rsidRPr="00A67636">
        <w:rPr>
          <w:rFonts w:ascii="Arial" w:eastAsia="Calibri" w:hAnsi="Arial" w:cs="Arial"/>
          <w:sz w:val="22"/>
          <w:szCs w:val="22"/>
          <w:lang w:val="es-ES"/>
        </w:rPr>
        <w:t>C – 392 de 2021</w:t>
      </w:r>
      <w:r w:rsidRPr="00781AC2">
        <w:rPr>
          <w:rFonts w:ascii="Arial" w:eastAsia="Calibri" w:hAnsi="Arial" w:cs="Arial"/>
          <w:sz w:val="22"/>
          <w:szCs w:val="22"/>
          <w:lang w:val="es-ES"/>
        </w:rPr>
        <w:t>,</w:t>
      </w:r>
      <w:r w:rsidR="00797E96">
        <w:rPr>
          <w:rFonts w:ascii="Arial" w:eastAsia="Calibri" w:hAnsi="Arial" w:cs="Arial"/>
          <w:sz w:val="22"/>
          <w:szCs w:val="22"/>
          <w:lang w:val="es-ES"/>
        </w:rPr>
        <w:t xml:space="preserve"> </w:t>
      </w:r>
      <w:r w:rsidR="00797E96" w:rsidRPr="00797E96">
        <w:rPr>
          <w:rFonts w:ascii="Arial" w:eastAsia="Calibri" w:hAnsi="Arial" w:cs="Arial"/>
          <w:sz w:val="22"/>
          <w:szCs w:val="22"/>
          <w:lang w:val="es-ES"/>
        </w:rPr>
        <w:t>C ─ 222 de 2020</w:t>
      </w:r>
      <w:r w:rsidR="00AF3020">
        <w:rPr>
          <w:rFonts w:ascii="Arial" w:eastAsia="Calibri" w:hAnsi="Arial" w:cs="Arial"/>
          <w:sz w:val="22"/>
          <w:szCs w:val="22"/>
          <w:lang w:val="es-ES"/>
        </w:rPr>
        <w:t xml:space="preserve"> </w:t>
      </w:r>
      <w:r w:rsidR="00103754" w:rsidRPr="009F6907">
        <w:rPr>
          <w:rFonts w:ascii="Arial" w:eastAsia="Calibri" w:hAnsi="Arial" w:cs="Arial"/>
          <w:sz w:val="22"/>
          <w:szCs w:val="22"/>
          <w:lang w:val="es-ES"/>
        </w:rPr>
        <w:t xml:space="preserve">y la respuesta a </w:t>
      </w:r>
      <w:r w:rsidR="00A67636">
        <w:rPr>
          <w:rFonts w:ascii="Arial" w:eastAsia="Calibri" w:hAnsi="Arial" w:cs="Arial"/>
          <w:sz w:val="22"/>
          <w:szCs w:val="22"/>
          <w:lang w:val="es-ES"/>
        </w:rPr>
        <w:t xml:space="preserve">las </w:t>
      </w:r>
      <w:r w:rsidR="00103754" w:rsidRPr="009F6907">
        <w:rPr>
          <w:rFonts w:ascii="Arial" w:eastAsia="Calibri" w:hAnsi="Arial" w:cs="Arial"/>
          <w:sz w:val="22"/>
          <w:szCs w:val="22"/>
          <w:lang w:val="es-ES"/>
        </w:rPr>
        <w:t>consulta</w:t>
      </w:r>
      <w:r w:rsidR="00A67636">
        <w:rPr>
          <w:rFonts w:ascii="Arial" w:eastAsia="Calibri" w:hAnsi="Arial" w:cs="Arial"/>
          <w:sz w:val="22"/>
          <w:szCs w:val="22"/>
          <w:lang w:val="es-ES"/>
        </w:rPr>
        <w:t>s</w:t>
      </w:r>
      <w:r w:rsidR="00103754" w:rsidRPr="009F6907">
        <w:rPr>
          <w:rFonts w:ascii="Arial" w:eastAsia="Calibri" w:hAnsi="Arial" w:cs="Arial"/>
          <w:sz w:val="22"/>
          <w:szCs w:val="22"/>
          <w:lang w:val="es-ES"/>
        </w:rPr>
        <w:t xml:space="preserve"> No.</w:t>
      </w:r>
      <w:r w:rsidR="000E1E95">
        <w:rPr>
          <w:rFonts w:ascii="Arial" w:eastAsia="Calibri" w:hAnsi="Arial" w:cs="Arial"/>
          <w:sz w:val="22"/>
          <w:szCs w:val="22"/>
          <w:lang w:val="es-ES"/>
        </w:rPr>
        <w:t xml:space="preserve"> </w:t>
      </w:r>
      <w:r w:rsidR="00A67636" w:rsidRPr="00A67636">
        <w:rPr>
          <w:rFonts w:ascii="Arial" w:eastAsia="Calibri" w:hAnsi="Arial" w:cs="Arial"/>
          <w:sz w:val="22"/>
          <w:szCs w:val="22"/>
          <w:lang w:val="es-ES"/>
        </w:rPr>
        <w:t>4201912000006276</w:t>
      </w:r>
      <w:r w:rsidR="00A67636">
        <w:rPr>
          <w:rFonts w:ascii="Arial" w:eastAsia="Calibri" w:hAnsi="Arial" w:cs="Arial"/>
          <w:sz w:val="22"/>
          <w:szCs w:val="22"/>
          <w:lang w:val="es-ES"/>
        </w:rPr>
        <w:t xml:space="preserve"> del 28 de octubre de 2021 y </w:t>
      </w:r>
      <w:r w:rsidR="00A67636" w:rsidRPr="00A67636">
        <w:rPr>
          <w:rFonts w:ascii="Arial" w:eastAsia="Calibri" w:hAnsi="Arial" w:cs="Arial"/>
          <w:sz w:val="22"/>
          <w:szCs w:val="22"/>
          <w:lang w:val="es-ES"/>
        </w:rPr>
        <w:t>201912000006550</w:t>
      </w:r>
      <w:r w:rsidR="00A67636">
        <w:rPr>
          <w:rFonts w:ascii="Arial" w:eastAsia="Calibri" w:hAnsi="Arial" w:cs="Arial"/>
          <w:sz w:val="22"/>
          <w:szCs w:val="22"/>
          <w:lang w:val="es-ES"/>
        </w:rPr>
        <w:t xml:space="preserve"> del 6 de noviembre de 2021</w:t>
      </w:r>
      <w:r w:rsidR="00103754" w:rsidRPr="009F6907">
        <w:rPr>
          <w:rFonts w:ascii="Arial" w:eastAsia="Calibri" w:hAnsi="Arial" w:cs="Arial"/>
          <w:sz w:val="22"/>
          <w:szCs w:val="22"/>
          <w:lang w:val="es-ES"/>
        </w:rPr>
        <w:t>, entre otros</w:t>
      </w:r>
      <w:r w:rsidR="00E844BE">
        <w:rPr>
          <w:rFonts w:ascii="Arial" w:eastAsia="Calibri" w:hAnsi="Arial" w:cs="Arial"/>
          <w:sz w:val="22"/>
          <w:szCs w:val="22"/>
          <w:lang w:val="es-ES"/>
        </w:rPr>
        <w:t>, que a efectos del cuestionario planteado ha desarrollado la temática con precisión</w:t>
      </w:r>
      <w:r w:rsidR="00815DA5" w:rsidRPr="00781AC2">
        <w:rPr>
          <w:rStyle w:val="Refdenotaalpie"/>
          <w:rFonts w:ascii="Arial" w:eastAsia="Calibri" w:hAnsi="Arial" w:cs="Arial"/>
          <w:sz w:val="22"/>
          <w:szCs w:val="22"/>
          <w:lang w:val="es-ES"/>
        </w:rPr>
        <w:footnoteReference w:id="3"/>
      </w:r>
      <w:r w:rsidRPr="00781AC2">
        <w:rPr>
          <w:rFonts w:ascii="Arial" w:eastAsia="Calibri" w:hAnsi="Arial" w:cs="Arial"/>
          <w:sz w:val="22"/>
          <w:szCs w:val="22"/>
          <w:lang w:val="es-ES"/>
        </w:rPr>
        <w:t xml:space="preserve">. Las tesis expuestas en estos conceptos se reiteran a continuación y se complementan en lo pertinente, teniendo en cuenta los interrogantes planteados. </w:t>
      </w:r>
    </w:p>
    <w:p w14:paraId="78B8C045" w14:textId="77777777" w:rsidR="00A6242E" w:rsidRPr="00781AC2" w:rsidRDefault="00A6242E" w:rsidP="00F304EA">
      <w:pPr>
        <w:spacing w:line="276" w:lineRule="auto"/>
        <w:ind w:firstLine="709"/>
        <w:jc w:val="both"/>
        <w:rPr>
          <w:rFonts w:ascii="Arial" w:eastAsia="Calibri" w:hAnsi="Arial" w:cs="Arial"/>
          <w:sz w:val="22"/>
          <w:lang w:val="es-ES"/>
        </w:rPr>
      </w:pPr>
    </w:p>
    <w:p w14:paraId="6F2A6D90" w14:textId="7D8AB994" w:rsidR="00950DF7" w:rsidRPr="00781AC2" w:rsidRDefault="70551974" w:rsidP="00F304EA">
      <w:pPr>
        <w:tabs>
          <w:tab w:val="left" w:pos="426"/>
        </w:tabs>
        <w:spacing w:line="276" w:lineRule="auto"/>
        <w:jc w:val="both"/>
        <w:rPr>
          <w:rFonts w:ascii="Arial" w:eastAsia="Calibri" w:hAnsi="Arial" w:cs="Arial"/>
          <w:noProof/>
          <w:sz w:val="22"/>
          <w:szCs w:val="22"/>
          <w:lang w:val="es-ES"/>
        </w:rPr>
      </w:pPr>
      <w:r w:rsidRPr="00781AC2">
        <w:rPr>
          <w:rFonts w:ascii="Arial" w:eastAsia="Calibri" w:hAnsi="Arial" w:cs="Arial"/>
          <w:b/>
          <w:bCs/>
          <w:sz w:val="22"/>
          <w:szCs w:val="22"/>
          <w:lang w:eastAsia="en-GB"/>
        </w:rPr>
        <w:lastRenderedPageBreak/>
        <w:t xml:space="preserve">2.1. </w:t>
      </w:r>
      <w:r w:rsidR="00525D8D">
        <w:rPr>
          <w:rFonts w:ascii="Arial" w:eastAsia="Calibri" w:hAnsi="Arial" w:cs="Arial"/>
          <w:b/>
          <w:bCs/>
          <w:sz w:val="22"/>
          <w:szCs w:val="22"/>
          <w:lang w:eastAsia="en-GB"/>
        </w:rPr>
        <w:t>D</w:t>
      </w:r>
      <w:r w:rsidR="00525D8D" w:rsidRPr="00AF3020">
        <w:rPr>
          <w:rFonts w:ascii="Arial" w:eastAsia="Calibri" w:hAnsi="Arial" w:cs="Arial"/>
          <w:b/>
          <w:bCs/>
          <w:sz w:val="22"/>
          <w:szCs w:val="22"/>
          <w:lang w:val="es-ES" w:eastAsia="en-GB"/>
        </w:rPr>
        <w:t>definición</w:t>
      </w:r>
      <w:r w:rsidR="00AF3020" w:rsidRPr="00AF3020">
        <w:rPr>
          <w:rFonts w:ascii="Arial" w:eastAsia="Calibri" w:hAnsi="Arial" w:cs="Arial"/>
          <w:b/>
          <w:bCs/>
          <w:sz w:val="22"/>
          <w:szCs w:val="22"/>
          <w:lang w:val="es-ES" w:eastAsia="en-GB"/>
        </w:rPr>
        <w:t xml:space="preserve"> y alcance de la capacidad residual como requisito habilitante</w:t>
      </w:r>
      <w:r w:rsidR="7FA75D5D" w:rsidRPr="00781AC2">
        <w:rPr>
          <w:rFonts w:ascii="Arial" w:eastAsia="Calibri" w:hAnsi="Arial" w:cs="Arial"/>
          <w:b/>
          <w:bCs/>
          <w:sz w:val="22"/>
          <w:szCs w:val="22"/>
          <w:lang w:eastAsia="en-GB"/>
        </w:rPr>
        <w:t>.</w:t>
      </w:r>
      <w:r w:rsidR="00525D8D">
        <w:rPr>
          <w:rFonts w:ascii="Arial" w:eastAsia="Calibri" w:hAnsi="Arial" w:cs="Arial"/>
          <w:b/>
          <w:bCs/>
          <w:sz w:val="22"/>
          <w:szCs w:val="22"/>
          <w:lang w:eastAsia="en-GB"/>
        </w:rPr>
        <w:t xml:space="preserve"> Reiteración de línea.</w:t>
      </w:r>
    </w:p>
    <w:p w14:paraId="3D7A2159" w14:textId="77777777" w:rsidR="00AF3020" w:rsidRDefault="00AF3020" w:rsidP="00AF3020">
      <w:pPr>
        <w:pStyle w:val="Textoindependiente"/>
        <w:spacing w:before="1"/>
        <w:ind w:right="109"/>
        <w:jc w:val="both"/>
        <w:rPr>
          <w:b/>
        </w:rPr>
      </w:pPr>
      <w:bookmarkStart w:id="5" w:name="_Hlk117695077"/>
    </w:p>
    <w:p w14:paraId="7FA69EE4" w14:textId="7DFF129E" w:rsidR="00AF3020" w:rsidRPr="008276D9" w:rsidRDefault="00AF3020" w:rsidP="00AF3020">
      <w:pPr>
        <w:pStyle w:val="Textoindependiente"/>
        <w:spacing w:before="1"/>
        <w:ind w:right="109" w:firstLine="708"/>
        <w:jc w:val="both"/>
      </w:pPr>
      <w:r w:rsidRPr="008276D9">
        <w:t xml:space="preserve">La capacidad residual es una aptitud de los oferentes que tiene por finalidad cumplir de manera oportuna y a cabalidad el objeto </w:t>
      </w:r>
      <w:r w:rsidRPr="00AF3020">
        <w:rPr>
          <w:b/>
        </w:rPr>
        <w:t>de un contrato de obra</w:t>
      </w:r>
      <w:r w:rsidRPr="008276D9">
        <w:t>, esto sin que los demás compromisos contractuales que ha adquirido afecten la habilidad de cumplir el objeto del contrato que está en proceso de selección</w:t>
      </w:r>
      <w:r>
        <w:rPr>
          <w:rStyle w:val="Refdenotaalpie"/>
        </w:rPr>
        <w:footnoteReference w:id="4"/>
      </w:r>
      <w:r w:rsidRPr="008276D9">
        <w:t>. El Consejo de Estado la ha definido como “la</w:t>
      </w:r>
      <w:r>
        <w:t xml:space="preserve"> </w:t>
      </w:r>
      <w:r w:rsidRPr="008276D9">
        <w:t>diferencia que existe entre el potencial de contratación que se tiene y los compromisos que haya adquirido y que se encuentren en ejecución, para la fecha de presentación de la oferta”</w:t>
      </w:r>
      <w:r>
        <w:rPr>
          <w:rStyle w:val="Refdenotaalpie"/>
        </w:rPr>
        <w:footnoteReference w:id="5"/>
      </w:r>
      <w:r w:rsidRPr="008276D9">
        <w:t>.</w:t>
      </w:r>
    </w:p>
    <w:p w14:paraId="362A9C92" w14:textId="77777777" w:rsidR="00AF3020" w:rsidRPr="008276D9" w:rsidRDefault="00AF3020" w:rsidP="00AF3020">
      <w:pPr>
        <w:pStyle w:val="Textoindependiente"/>
        <w:spacing w:before="1"/>
      </w:pPr>
    </w:p>
    <w:p w14:paraId="1BC55DBD" w14:textId="77777777" w:rsidR="00AF3020" w:rsidRPr="008276D9" w:rsidRDefault="00AF3020" w:rsidP="00AF3020">
      <w:pPr>
        <w:pStyle w:val="Textoindependiente"/>
        <w:ind w:right="107" w:firstLine="708"/>
        <w:jc w:val="both"/>
      </w:pPr>
      <w:r w:rsidRPr="008276D9">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14:paraId="7DA9E72F" w14:textId="77777777" w:rsidR="00AF3020" w:rsidRPr="008276D9" w:rsidRDefault="00AF3020" w:rsidP="00AF3020">
      <w:pPr>
        <w:pStyle w:val="Textoindependiente"/>
      </w:pPr>
    </w:p>
    <w:p w14:paraId="7A16F9DF" w14:textId="77777777" w:rsidR="00AF3020" w:rsidRPr="008276D9" w:rsidRDefault="00AF3020" w:rsidP="00AF3020">
      <w:pPr>
        <w:pStyle w:val="Textoindependiente"/>
        <w:ind w:right="110" w:firstLine="708"/>
        <w:jc w:val="both"/>
      </w:pPr>
      <w:r w:rsidRPr="008276D9">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5E7CCD55" w14:textId="77777777" w:rsidR="00AF3020" w:rsidRPr="008276D9" w:rsidRDefault="00AF3020" w:rsidP="00AF3020">
      <w:pPr>
        <w:pStyle w:val="Textoindependiente"/>
        <w:spacing w:before="1"/>
      </w:pPr>
    </w:p>
    <w:p w14:paraId="74DE1051" w14:textId="77777777" w:rsidR="00AF3020" w:rsidRPr="00525D8D" w:rsidRDefault="00AF3020" w:rsidP="00AF3020">
      <w:pPr>
        <w:pStyle w:val="Textoindependiente"/>
        <w:ind w:left="888" w:right="818"/>
        <w:jc w:val="both"/>
        <w:rPr>
          <w:sz w:val="21"/>
          <w:szCs w:val="21"/>
        </w:rPr>
      </w:pPr>
      <w:r w:rsidRPr="00525D8D">
        <w:rPr>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525D8D">
        <w:rPr>
          <w:spacing w:val="-3"/>
          <w:sz w:val="21"/>
          <w:szCs w:val="21"/>
        </w:rPr>
        <w:t xml:space="preserve"> </w:t>
      </w:r>
      <w:r w:rsidRPr="00525D8D">
        <w:rPr>
          <w:sz w:val="21"/>
          <w:szCs w:val="21"/>
        </w:rPr>
        <w:t>principal.</w:t>
      </w:r>
    </w:p>
    <w:p w14:paraId="0624D67C" w14:textId="77777777" w:rsidR="00AF3020" w:rsidRPr="00525D8D" w:rsidRDefault="00AF3020" w:rsidP="00AF3020">
      <w:pPr>
        <w:pStyle w:val="Textoindependiente"/>
        <w:spacing w:line="253" w:lineRule="exact"/>
        <w:ind w:left="888"/>
        <w:rPr>
          <w:sz w:val="21"/>
          <w:szCs w:val="21"/>
        </w:rPr>
      </w:pPr>
      <w:r w:rsidRPr="00525D8D">
        <w:rPr>
          <w:sz w:val="21"/>
          <w:szCs w:val="21"/>
        </w:rPr>
        <w:t>(…)</w:t>
      </w:r>
    </w:p>
    <w:p w14:paraId="4E450B9E" w14:textId="77777777" w:rsidR="00AF3020" w:rsidRPr="00525D8D" w:rsidRDefault="00AF3020" w:rsidP="00AF3020">
      <w:pPr>
        <w:pStyle w:val="Textoindependiente"/>
        <w:spacing w:before="10"/>
        <w:rPr>
          <w:sz w:val="21"/>
          <w:szCs w:val="21"/>
        </w:rPr>
      </w:pPr>
    </w:p>
    <w:p w14:paraId="49DB8B8F" w14:textId="77777777" w:rsidR="00AF3020" w:rsidRPr="00525D8D" w:rsidRDefault="00AF3020" w:rsidP="00AF3020">
      <w:pPr>
        <w:pStyle w:val="Textoindependiente"/>
        <w:spacing w:before="1"/>
        <w:ind w:left="888" w:right="817"/>
        <w:jc w:val="both"/>
        <w:rPr>
          <w:sz w:val="21"/>
          <w:szCs w:val="21"/>
        </w:rPr>
      </w:pPr>
      <w:r w:rsidRPr="00525D8D">
        <w:rPr>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0685BAA7" w14:textId="77777777" w:rsidR="00AF3020" w:rsidRPr="008276D9" w:rsidRDefault="00AF3020" w:rsidP="00AF3020">
      <w:pPr>
        <w:pStyle w:val="Textoindependiente"/>
      </w:pPr>
    </w:p>
    <w:p w14:paraId="26A8E98D" w14:textId="77777777" w:rsidR="00525D8D" w:rsidRDefault="00525D8D" w:rsidP="00525D8D">
      <w:pPr>
        <w:pStyle w:val="Textoindependiente"/>
        <w:ind w:left="180" w:right="106" w:firstLine="528"/>
        <w:jc w:val="both"/>
      </w:pPr>
    </w:p>
    <w:p w14:paraId="53565A01" w14:textId="449F19AD" w:rsidR="00AF3020" w:rsidRDefault="00AF3020" w:rsidP="00525D8D">
      <w:pPr>
        <w:pStyle w:val="Textoindependiente"/>
        <w:ind w:left="180" w:right="106" w:firstLine="528"/>
        <w:jc w:val="both"/>
      </w:pPr>
      <w:r w:rsidRPr="008276D9">
        <w:t xml:space="preserve">El artículo 2.2.1.1.1.6.3 del Decreto 1082 de 2015 estableció que las entidades </w:t>
      </w:r>
      <w:r w:rsidRPr="008276D9">
        <w:lastRenderedPageBreak/>
        <w:t>estatales deberán calcular la capacidad residual conforme a la metodología definida por la Agencia Nacional de Contratación Pública – Colombia Compre Eficiente, y precisó que para ello se debían tener en cuenta los factores de experiencia, capacidad financiera, capacidad técnica, capacidad de organización y los saldos de los contratos en ejecución, así:</w:t>
      </w:r>
    </w:p>
    <w:p w14:paraId="32C7C130" w14:textId="77777777" w:rsidR="00AF3020" w:rsidRPr="008276D9" w:rsidRDefault="00AF3020" w:rsidP="00AF3020">
      <w:pPr>
        <w:pStyle w:val="Textoindependiente"/>
        <w:ind w:left="180" w:right="106"/>
        <w:jc w:val="both"/>
        <w:rPr>
          <w:sz w:val="16"/>
        </w:rPr>
      </w:pPr>
    </w:p>
    <w:p w14:paraId="344B2CB3" w14:textId="77777777" w:rsidR="00AF3020" w:rsidRPr="00525D8D" w:rsidRDefault="00AF3020" w:rsidP="00525D8D">
      <w:pPr>
        <w:pStyle w:val="Textoindependiente"/>
        <w:spacing w:before="93"/>
        <w:ind w:left="888" w:right="860" w:firstLine="2"/>
        <w:jc w:val="both"/>
        <w:rPr>
          <w:sz w:val="21"/>
          <w:szCs w:val="21"/>
        </w:rPr>
      </w:pPr>
      <w:r w:rsidRPr="00525D8D">
        <w:rPr>
          <w:sz w:val="21"/>
          <w:szCs w:val="21"/>
        </w:rPr>
        <w:t>Artículo 2.2.1.1.1.6.4. Capacidad Residual. El interesado en celebrar contratos de obra pública con Entidades Estatales debe acreditar su Capacidad Residual o K de Contratación con los siguientes documentos: (…)</w:t>
      </w:r>
    </w:p>
    <w:p w14:paraId="42FE95D6" w14:textId="77777777" w:rsidR="00AF3020" w:rsidRPr="00525D8D" w:rsidRDefault="00AF3020" w:rsidP="00525D8D">
      <w:pPr>
        <w:pStyle w:val="Textoindependiente"/>
        <w:rPr>
          <w:sz w:val="21"/>
          <w:szCs w:val="21"/>
        </w:rPr>
      </w:pPr>
    </w:p>
    <w:p w14:paraId="3BC6FF2B" w14:textId="77777777" w:rsidR="00AF3020" w:rsidRPr="00525D8D" w:rsidRDefault="00AF3020" w:rsidP="00525D8D">
      <w:pPr>
        <w:pStyle w:val="Textoindependiente"/>
        <w:ind w:left="888" w:right="816" w:firstLine="2"/>
        <w:jc w:val="both"/>
        <w:rPr>
          <w:sz w:val="21"/>
          <w:szCs w:val="21"/>
        </w:rPr>
      </w:pPr>
      <w:r w:rsidRPr="00525D8D">
        <w:rPr>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5C37F8F3" w14:textId="77777777" w:rsidR="00AF3020" w:rsidRPr="008276D9" w:rsidRDefault="00AF3020" w:rsidP="00525D8D">
      <w:pPr>
        <w:pStyle w:val="Textoindependiente"/>
        <w:spacing w:before="3"/>
      </w:pPr>
    </w:p>
    <w:p w14:paraId="6A56646E" w14:textId="62E487C0" w:rsidR="00AF3020" w:rsidRPr="008276D9" w:rsidRDefault="00AF3020" w:rsidP="00AF3020">
      <w:pPr>
        <w:pStyle w:val="Textoindependiente"/>
        <w:ind w:left="180" w:right="108" w:firstLine="528"/>
        <w:jc w:val="both"/>
      </w:pPr>
      <w:r w:rsidRPr="008276D9">
        <w:t xml:space="preserve">En línea de lo anterior, la Guía para Determinar y Verificar la Capacidad Residual del Proponente en los Procesos de Contratación de Obra Pública, proferida por Colombia Compra Eficiente, estableció que el proponente en un proceso de contratación de obra </w:t>
      </w:r>
      <w:r w:rsidR="00525D8D" w:rsidRPr="008276D9">
        <w:t>pública</w:t>
      </w:r>
      <w:r w:rsidRPr="008276D9">
        <w:t xml:space="preserve"> debe presentar la siguiente información para acreditar su capacidad residual:</w:t>
      </w:r>
    </w:p>
    <w:p w14:paraId="0F57CE38" w14:textId="77777777" w:rsidR="00AF3020" w:rsidRPr="008276D9" w:rsidRDefault="00AF3020" w:rsidP="00AF3020">
      <w:pPr>
        <w:pStyle w:val="Textoindependiente"/>
        <w:spacing w:before="9"/>
        <w:rPr>
          <w:sz w:val="21"/>
        </w:rPr>
      </w:pPr>
    </w:p>
    <w:p w14:paraId="368EF04B" w14:textId="77777777" w:rsidR="00AF3020" w:rsidRPr="00525D8D" w:rsidRDefault="00AF3020" w:rsidP="00525D8D">
      <w:pPr>
        <w:pStyle w:val="Textoindependiente"/>
        <w:ind w:left="1030" w:right="819"/>
        <w:jc w:val="both"/>
        <w:rPr>
          <w:sz w:val="21"/>
          <w:szCs w:val="21"/>
        </w:rPr>
      </w:pPr>
      <w:r w:rsidRPr="00525D8D">
        <w:rPr>
          <w:sz w:val="21"/>
          <w:szCs w:val="21"/>
        </w:rPr>
        <w:t>La lista de los Contratos en Ejecución, así como el valor y plazo de tales contratos.</w:t>
      </w:r>
    </w:p>
    <w:p w14:paraId="24A53EB2" w14:textId="77777777" w:rsidR="00AF3020" w:rsidRPr="00525D8D" w:rsidRDefault="00AF3020" w:rsidP="00525D8D">
      <w:pPr>
        <w:pStyle w:val="Textoindependiente"/>
        <w:spacing w:before="8"/>
        <w:rPr>
          <w:sz w:val="21"/>
          <w:szCs w:val="21"/>
        </w:rPr>
      </w:pPr>
    </w:p>
    <w:p w14:paraId="7262F725" w14:textId="77777777" w:rsidR="00AF3020" w:rsidRPr="00525D8D" w:rsidRDefault="00AF3020" w:rsidP="00525D8D">
      <w:pPr>
        <w:pStyle w:val="Textoindependiente"/>
        <w:ind w:left="1030" w:right="819"/>
        <w:jc w:val="both"/>
        <w:rPr>
          <w:sz w:val="21"/>
          <w:szCs w:val="21"/>
        </w:rPr>
      </w:pPr>
      <w:r w:rsidRPr="00525D8D">
        <w:rPr>
          <w:sz w:val="21"/>
          <w:szCs w:val="21"/>
        </w:rPr>
        <w:t>La lista de los Contratos en Ejecución, suscritos por sociedades, consorcios o uniones temporales, en los cuales el proponente tenga participación, así como el valor y plazo de tales</w:t>
      </w:r>
      <w:r w:rsidRPr="00525D8D">
        <w:rPr>
          <w:spacing w:val="-15"/>
          <w:sz w:val="21"/>
          <w:szCs w:val="21"/>
        </w:rPr>
        <w:t xml:space="preserve"> </w:t>
      </w:r>
      <w:r w:rsidRPr="00525D8D">
        <w:rPr>
          <w:sz w:val="21"/>
          <w:szCs w:val="21"/>
        </w:rPr>
        <w:t>contratos.</w:t>
      </w:r>
    </w:p>
    <w:p w14:paraId="59B04764" w14:textId="77777777" w:rsidR="00AF3020" w:rsidRPr="00525D8D" w:rsidRDefault="00AF3020" w:rsidP="00525D8D">
      <w:pPr>
        <w:pStyle w:val="Textoindependiente"/>
        <w:spacing w:before="1"/>
        <w:rPr>
          <w:sz w:val="21"/>
          <w:szCs w:val="21"/>
        </w:rPr>
      </w:pPr>
    </w:p>
    <w:p w14:paraId="5AAFB865" w14:textId="77777777" w:rsidR="00AF3020" w:rsidRPr="00525D8D" w:rsidRDefault="00AF3020" w:rsidP="00525D8D">
      <w:pPr>
        <w:pStyle w:val="Textoindependiente"/>
        <w:ind w:left="1030" w:right="816"/>
        <w:jc w:val="both"/>
        <w:rPr>
          <w:sz w:val="21"/>
          <w:szCs w:val="21"/>
        </w:rPr>
      </w:pPr>
      <w:r w:rsidRPr="00525D8D">
        <w:rPr>
          <w:sz w:val="21"/>
          <w:szCs w:val="21"/>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w:t>
      </w:r>
      <w:r w:rsidRPr="00525D8D">
        <w:rPr>
          <w:spacing w:val="-3"/>
          <w:sz w:val="21"/>
          <w:szCs w:val="21"/>
        </w:rPr>
        <w:t xml:space="preserve"> </w:t>
      </w:r>
      <w:r w:rsidRPr="00525D8D">
        <w:rPr>
          <w:sz w:val="21"/>
          <w:szCs w:val="21"/>
        </w:rPr>
        <w:t>RUP.</w:t>
      </w:r>
    </w:p>
    <w:p w14:paraId="2241D834" w14:textId="77777777" w:rsidR="00AF3020" w:rsidRPr="008276D9" w:rsidRDefault="00AF3020" w:rsidP="00AF3020">
      <w:pPr>
        <w:pStyle w:val="Textoindependiente"/>
      </w:pPr>
    </w:p>
    <w:p w14:paraId="531010BE" w14:textId="2EDBB979" w:rsidR="00AF3020" w:rsidRPr="008276D9" w:rsidRDefault="00AF3020" w:rsidP="00AF3020">
      <w:pPr>
        <w:pStyle w:val="Textoindependiente"/>
        <w:ind w:right="106" w:firstLine="708"/>
        <w:jc w:val="both"/>
        <w:rPr>
          <w:sz w:val="20"/>
        </w:rPr>
      </w:pPr>
      <w:r>
        <w:t>Por lo tanto,</w:t>
      </w:r>
      <w:r w:rsidRPr="008276D9">
        <w:t xml:space="preserve">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w:t>
      </w:r>
      <w:r w:rsidRPr="008276D9">
        <w:rPr>
          <w:spacing w:val="2"/>
        </w:rPr>
        <w:t xml:space="preserve">como </w:t>
      </w:r>
      <w:r w:rsidRPr="008276D9">
        <w:t xml:space="preserve">contratos en ejecución los que se </w:t>
      </w:r>
      <w:r w:rsidRPr="008276D9">
        <w:lastRenderedPageBreak/>
        <w:t>encuentren en</w:t>
      </w:r>
      <w:r w:rsidRPr="008276D9">
        <w:rPr>
          <w:spacing w:val="-11"/>
        </w:rPr>
        <w:t xml:space="preserve"> </w:t>
      </w:r>
      <w:r w:rsidRPr="008276D9">
        <w:t>liquidación”</w:t>
      </w:r>
      <w:r>
        <w:rPr>
          <w:rStyle w:val="Refdenotaalpie"/>
        </w:rPr>
        <w:footnoteReference w:id="6"/>
      </w:r>
      <w:r w:rsidRPr="008276D9">
        <w:t>.</w:t>
      </w:r>
    </w:p>
    <w:p w14:paraId="2A5F184D" w14:textId="77777777" w:rsidR="00AF3020" w:rsidRPr="008276D9" w:rsidRDefault="00AF3020" w:rsidP="00AF3020">
      <w:pPr>
        <w:pStyle w:val="Textoindependiente"/>
        <w:spacing w:before="5"/>
        <w:rPr>
          <w:sz w:val="16"/>
        </w:rPr>
      </w:pPr>
    </w:p>
    <w:p w14:paraId="1D33FC32" w14:textId="77777777" w:rsidR="00AF3020" w:rsidRPr="008276D9" w:rsidRDefault="00AF3020" w:rsidP="00AF3020">
      <w:pPr>
        <w:pStyle w:val="Textoindependiente"/>
        <w:spacing w:before="93"/>
        <w:ind w:right="109" w:firstLine="708"/>
        <w:jc w:val="both"/>
      </w:pPr>
      <w:r w:rsidRPr="008276D9">
        <w:t>En el mismo sentido, el artículo 72 de la Ley 1682 de 2013, por la cual se adoptan medidas y disposiciones para los proyectos de infraestructura de transporte, estableció que el cálculo de la capacidad residual del proponente cuando se realicen contratos de obra “se obtendrá de sustraer el saldo de los contratos en ejecución”</w:t>
      </w:r>
      <w:r>
        <w:rPr>
          <w:rStyle w:val="Refdenotaalpie"/>
        </w:rPr>
        <w:footnoteReference w:id="7"/>
      </w:r>
      <w:r w:rsidRPr="008276D9">
        <w:t>.</w:t>
      </w:r>
    </w:p>
    <w:p w14:paraId="6E5EC2CF" w14:textId="77777777" w:rsidR="00AF3020" w:rsidRPr="008276D9" w:rsidRDefault="00AF3020" w:rsidP="00AF3020">
      <w:pPr>
        <w:pStyle w:val="Textoindependiente"/>
      </w:pPr>
    </w:p>
    <w:p w14:paraId="44646554" w14:textId="77777777" w:rsidR="00AF3020" w:rsidRPr="008276D9" w:rsidRDefault="00AF3020" w:rsidP="00AF3020">
      <w:pPr>
        <w:pStyle w:val="Textoindependiente"/>
        <w:ind w:right="109" w:firstLine="708"/>
        <w:jc w:val="both"/>
      </w:pPr>
      <w:r w:rsidRPr="008276D9">
        <w:t>Es decir, que para el cálculo de la capacidad residual del proponente, en el saldo de contratos en ejecución se incluyen solamente los contratos suscritos que a la fecha de presentación de la oferta obligan al proponente con las entidades estatales o entidades privadas. De este modo, para el cálculo de la capacidad residual del proponente, la entidad estatal únicamente deberá tener en cuenta el número de contratos que a la fecha de presentación de la oferta estén “en ejecución”.</w:t>
      </w:r>
    </w:p>
    <w:p w14:paraId="5A90112B" w14:textId="77777777" w:rsidR="00AF3020" w:rsidRPr="008276D9" w:rsidRDefault="00AF3020" w:rsidP="00AF3020">
      <w:pPr>
        <w:pStyle w:val="Textoindependiente"/>
        <w:spacing w:before="2"/>
      </w:pPr>
    </w:p>
    <w:p w14:paraId="0DD06BCF" w14:textId="70B34951" w:rsidR="00936986" w:rsidRPr="00781AC2" w:rsidRDefault="00936986" w:rsidP="00AF3020">
      <w:pPr>
        <w:pStyle w:val="Textoindependiente"/>
        <w:spacing w:before="1"/>
        <w:ind w:left="180" w:right="108"/>
        <w:jc w:val="both"/>
        <w:rPr>
          <w:rFonts w:eastAsia="Calibri"/>
          <w:b/>
          <w:lang w:val="es-ES_tradnl"/>
        </w:rPr>
      </w:pPr>
    </w:p>
    <w:p w14:paraId="4F173B6D" w14:textId="77777777" w:rsidR="0005405C" w:rsidRPr="00781AC2" w:rsidRDefault="0005405C" w:rsidP="001C624F">
      <w:pPr>
        <w:tabs>
          <w:tab w:val="left" w:pos="0"/>
        </w:tabs>
        <w:jc w:val="both"/>
        <w:rPr>
          <w:rFonts w:ascii="Arial" w:eastAsia="Calibri" w:hAnsi="Arial" w:cs="Arial"/>
          <w:b/>
          <w:sz w:val="22"/>
          <w:lang w:val="es-ES_tradnl"/>
        </w:rPr>
      </w:pPr>
      <w:r w:rsidRPr="00781AC2">
        <w:rPr>
          <w:rFonts w:ascii="Arial" w:eastAsia="Calibri" w:hAnsi="Arial" w:cs="Arial"/>
          <w:b/>
          <w:sz w:val="22"/>
          <w:lang w:val="es-ES_tradnl"/>
        </w:rPr>
        <w:t>3. Respuesta</w:t>
      </w:r>
    </w:p>
    <w:p w14:paraId="494F95F8" w14:textId="77777777" w:rsidR="0005405C" w:rsidRPr="00781AC2" w:rsidRDefault="0005405C" w:rsidP="001C624F">
      <w:pPr>
        <w:tabs>
          <w:tab w:val="left" w:pos="0"/>
        </w:tabs>
        <w:jc w:val="both"/>
        <w:rPr>
          <w:rFonts w:ascii="Arial" w:eastAsia="Calibri" w:hAnsi="Arial" w:cs="Arial"/>
          <w:sz w:val="22"/>
          <w:lang w:val="es-ES_tradnl"/>
        </w:rPr>
      </w:pPr>
    </w:p>
    <w:p w14:paraId="196A0099" w14:textId="7C120EF3" w:rsidR="00CD0379" w:rsidRDefault="00525D8D" w:rsidP="00525D8D">
      <w:pPr>
        <w:ind w:left="708" w:right="851"/>
        <w:jc w:val="both"/>
        <w:rPr>
          <w:rFonts w:ascii="Arial" w:hAnsi="Arial" w:cs="Arial"/>
          <w:sz w:val="21"/>
          <w:szCs w:val="21"/>
        </w:rPr>
      </w:pPr>
      <w:r>
        <w:rPr>
          <w:rFonts w:ascii="Arial" w:hAnsi="Arial" w:cs="Arial"/>
          <w:sz w:val="21"/>
          <w:szCs w:val="21"/>
        </w:rPr>
        <w:t xml:space="preserve">“¿es correcto entender que para el cálculo de contratos en ejecución sólo deben relacionarse en el formato 5 los contratos de obra, sin tener en cuenta otro tipo de contratos que pueda tener el proponente en ejecución? ¿O deben relacionarse todos los contratos, cualquiera sea tipología?” </w:t>
      </w:r>
      <w:r w:rsidRPr="00781AC2">
        <w:rPr>
          <w:rFonts w:ascii="Arial" w:hAnsi="Arial" w:cs="Arial"/>
          <w:sz w:val="21"/>
          <w:szCs w:val="21"/>
          <w:shd w:val="clear" w:color="auto" w:fill="E6E6E6"/>
          <w:lang w:val="es-ES"/>
        </w:rPr>
        <w:t xml:space="preserve"> </w:t>
      </w:r>
      <w:r w:rsidR="00CD0379" w:rsidRPr="00781AC2">
        <w:rPr>
          <w:rFonts w:ascii="Arial" w:hAnsi="Arial" w:cs="Arial"/>
          <w:sz w:val="21"/>
          <w:szCs w:val="21"/>
          <w:shd w:val="clear" w:color="auto" w:fill="E6E6E6"/>
          <w:lang w:val="es-ES"/>
        </w:rPr>
        <w:t>(SIC)</w:t>
      </w:r>
      <w:r w:rsidR="00CD0379" w:rsidRPr="00781AC2">
        <w:rPr>
          <w:rFonts w:ascii="Arial" w:hAnsi="Arial" w:cs="Arial"/>
          <w:sz w:val="21"/>
          <w:szCs w:val="21"/>
          <w:lang w:val="es-ES"/>
        </w:rPr>
        <w:t>.</w:t>
      </w:r>
    </w:p>
    <w:p w14:paraId="4202BAC2" w14:textId="0A5FDB17" w:rsidR="00CD0379" w:rsidRDefault="00CD0379" w:rsidP="001C624F">
      <w:pPr>
        <w:spacing w:line="276" w:lineRule="auto"/>
        <w:ind w:firstLine="708"/>
        <w:jc w:val="both"/>
        <w:rPr>
          <w:rFonts w:ascii="Arial" w:hAnsi="Arial" w:cs="Arial"/>
          <w:bCs/>
          <w:sz w:val="22"/>
          <w:szCs w:val="22"/>
          <w:lang w:eastAsia="es-MX"/>
        </w:rPr>
      </w:pPr>
    </w:p>
    <w:p w14:paraId="0E476936" w14:textId="1741937E" w:rsidR="006B3D07" w:rsidRDefault="00C86297" w:rsidP="001C624F">
      <w:pPr>
        <w:spacing w:line="276" w:lineRule="auto"/>
        <w:jc w:val="both"/>
        <w:rPr>
          <w:rFonts w:ascii="Arial" w:hAnsi="Arial" w:cs="Arial"/>
          <w:sz w:val="22"/>
          <w:szCs w:val="22"/>
        </w:rPr>
      </w:pPr>
      <w:r>
        <w:rPr>
          <w:rFonts w:ascii="Arial" w:hAnsi="Arial" w:cs="Arial"/>
          <w:sz w:val="22"/>
          <w:szCs w:val="22"/>
          <w:lang w:val="es-ES"/>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w:t>
      </w:r>
      <w:r w:rsidR="001C624F">
        <w:rPr>
          <w:rFonts w:ascii="Arial" w:hAnsi="Arial" w:cs="Arial"/>
          <w:sz w:val="22"/>
          <w:szCs w:val="22"/>
          <w:lang w:val="es-ES"/>
        </w:rPr>
        <w:t xml:space="preserve"> Sin perjuicio de lo anterior, teniendo en cuenta lo expresado en la parte considerativa del presente documento, </w:t>
      </w:r>
      <w:r w:rsidR="00525D8D">
        <w:rPr>
          <w:rFonts w:ascii="Arial" w:hAnsi="Arial" w:cs="Arial"/>
          <w:sz w:val="22"/>
          <w:szCs w:val="22"/>
          <w:lang w:val="es-ES"/>
        </w:rPr>
        <w:t xml:space="preserve">es asertivo indicar que el espíritu de la norma al establecer de forma tácita el requisito de la capacidad residual del proponente era precisamente el de determinar la capacidad del oferente del proceso de selección del contrato de obra, por lo que la única tipología aplicable para dicho requisito es el de los contratos de obra, sin que los demás puedan llegar a ser cuantificables dentro de la acreditación del mismo. </w:t>
      </w:r>
    </w:p>
    <w:p w14:paraId="1EF2678F" w14:textId="6D47F972" w:rsidR="0005405C" w:rsidRPr="00C86297" w:rsidRDefault="0005405C" w:rsidP="00525D8D">
      <w:pPr>
        <w:spacing w:line="276" w:lineRule="auto"/>
        <w:jc w:val="both"/>
        <w:rPr>
          <w:rFonts w:ascii="Arial" w:hAnsi="Arial" w:cs="Arial"/>
          <w:sz w:val="22"/>
          <w:szCs w:val="22"/>
          <w:lang w:val="es-ES"/>
        </w:rPr>
      </w:pPr>
    </w:p>
    <w:p w14:paraId="547B8A7A" w14:textId="7AE24A00" w:rsidR="0005405C" w:rsidRPr="00781AC2" w:rsidRDefault="0005405C" w:rsidP="001C624F">
      <w:pPr>
        <w:spacing w:line="276" w:lineRule="auto"/>
        <w:ind w:firstLine="708"/>
        <w:jc w:val="both"/>
        <w:rPr>
          <w:rFonts w:ascii="Arial" w:hAnsi="Arial" w:cs="Arial"/>
          <w:sz w:val="22"/>
          <w:szCs w:val="22"/>
          <w:lang w:val="es-ES_tradnl"/>
        </w:rPr>
      </w:pPr>
      <w:r w:rsidRPr="00781AC2">
        <w:rPr>
          <w:rFonts w:ascii="Arial" w:hAnsi="Arial" w:cs="Arial"/>
          <w:sz w:val="22"/>
          <w:szCs w:val="22"/>
          <w:lang w:val="es-ES_tradnl"/>
        </w:rPr>
        <w:lastRenderedPageBreak/>
        <w:t>Este concepto tiene el alcance previsto en el artículo 28 del Código de Procedimiento Administrativo y de lo Contencioso Administrativo</w:t>
      </w:r>
      <w:r w:rsidR="00B2709C" w:rsidRPr="00781AC2">
        <w:rPr>
          <w:rFonts w:ascii="Arial" w:hAnsi="Arial" w:cs="Arial"/>
          <w:sz w:val="22"/>
          <w:szCs w:val="22"/>
          <w:lang w:val="es-ES_tradnl"/>
        </w:rPr>
        <w:t xml:space="preserve"> y las expresiones aquí utilizadas con mayúscula inicial deben ser entendidas con el significado que les otorga el artículo 2.2.1.1.1.3.1. del Decreto 1082 de 2015</w:t>
      </w:r>
      <w:r w:rsidRPr="00781AC2">
        <w:rPr>
          <w:rFonts w:ascii="Arial" w:hAnsi="Arial" w:cs="Arial"/>
          <w:sz w:val="22"/>
          <w:szCs w:val="22"/>
          <w:lang w:val="es-ES_tradnl"/>
        </w:rPr>
        <w:t>.</w:t>
      </w:r>
    </w:p>
    <w:p w14:paraId="227C46A2" w14:textId="1931CED9" w:rsidR="0005405C" w:rsidRDefault="0005405C" w:rsidP="00F304EA">
      <w:pPr>
        <w:pStyle w:val="NormalWeb"/>
        <w:spacing w:before="0" w:beforeAutospacing="0" w:after="0" w:afterAutospacing="0" w:line="276" w:lineRule="auto"/>
        <w:jc w:val="both"/>
        <w:rPr>
          <w:rFonts w:ascii="Arial" w:hAnsi="Arial" w:cs="Arial"/>
          <w:sz w:val="22"/>
          <w:szCs w:val="22"/>
          <w:lang w:val="es-ES_tradnl"/>
        </w:rPr>
      </w:pPr>
    </w:p>
    <w:p w14:paraId="26D92204" w14:textId="5E706C5D" w:rsidR="00936986" w:rsidRDefault="00936986" w:rsidP="00F304EA">
      <w:pPr>
        <w:pStyle w:val="NormalWeb"/>
        <w:spacing w:before="0" w:beforeAutospacing="0" w:after="0" w:afterAutospacing="0" w:line="276" w:lineRule="auto"/>
        <w:jc w:val="both"/>
        <w:rPr>
          <w:rFonts w:ascii="Arial" w:hAnsi="Arial" w:cs="Arial"/>
          <w:sz w:val="22"/>
          <w:szCs w:val="22"/>
          <w:lang w:val="es-ES_tradnl"/>
        </w:rPr>
      </w:pPr>
    </w:p>
    <w:p w14:paraId="14AE864D" w14:textId="77777777" w:rsidR="0005405C" w:rsidRPr="00781AC2" w:rsidRDefault="0005405C" w:rsidP="00F304EA">
      <w:pPr>
        <w:pStyle w:val="NormalWeb"/>
        <w:spacing w:before="0" w:beforeAutospacing="0" w:after="0" w:afterAutospacing="0" w:line="276" w:lineRule="auto"/>
        <w:jc w:val="both"/>
        <w:rPr>
          <w:rFonts w:ascii="Arial" w:hAnsi="Arial" w:cs="Arial"/>
          <w:sz w:val="22"/>
          <w:szCs w:val="22"/>
          <w:lang w:val="es-ES_tradnl"/>
        </w:rPr>
      </w:pPr>
      <w:r w:rsidRPr="00781AC2">
        <w:rPr>
          <w:rFonts w:ascii="Arial" w:hAnsi="Arial" w:cs="Arial"/>
          <w:sz w:val="22"/>
          <w:szCs w:val="22"/>
          <w:lang w:val="es-ES_tradnl"/>
        </w:rPr>
        <w:t>Atentamente,</w:t>
      </w:r>
    </w:p>
    <w:p w14:paraId="0662FC76" w14:textId="37535438" w:rsidR="0005405C" w:rsidRDefault="0005405C" w:rsidP="00F304EA">
      <w:pPr>
        <w:spacing w:before="240" w:after="120" w:line="276" w:lineRule="auto"/>
        <w:jc w:val="center"/>
        <w:rPr>
          <w:rFonts w:ascii="Arial" w:eastAsia="Calibri" w:hAnsi="Arial" w:cs="Arial"/>
        </w:rPr>
      </w:pPr>
    </w:p>
    <w:p w14:paraId="12D2A88F" w14:textId="59F08820" w:rsidR="006B3D07" w:rsidRDefault="322A051C" w:rsidP="7A7A98EE">
      <w:pPr>
        <w:spacing w:before="240" w:after="120" w:line="276" w:lineRule="auto"/>
        <w:jc w:val="center"/>
        <w:rPr>
          <w:rFonts w:ascii="Arial" w:eastAsia="Calibri" w:hAnsi="Arial" w:cs="Arial"/>
        </w:rPr>
      </w:pPr>
      <w:r>
        <w:rPr>
          <w:noProof/>
        </w:rPr>
        <w:drawing>
          <wp:inline distT="0" distB="0" distL="0" distR="0" wp14:anchorId="7002A0C8" wp14:editId="2637E3B0">
            <wp:extent cx="3152775" cy="1209675"/>
            <wp:effectExtent l="0" t="0" r="0" b="0"/>
            <wp:docPr id="1753287630" name="Imagen 17532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0A436B17" w14:textId="77777777" w:rsidR="006B3D07" w:rsidRPr="00781AC2" w:rsidRDefault="006B3D07" w:rsidP="00F304EA">
      <w:pPr>
        <w:spacing w:before="240" w:after="120" w:line="276" w:lineRule="auto"/>
        <w:jc w:val="center"/>
        <w:rPr>
          <w:rFonts w:ascii="Arial" w:eastAsia="Calibri" w:hAnsi="Arial"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304EA" w:rsidRPr="006B3D07" w14:paraId="59AFB63B" w14:textId="77777777" w:rsidTr="00457B9C">
        <w:trPr>
          <w:trHeight w:val="286"/>
        </w:trPr>
        <w:tc>
          <w:tcPr>
            <w:tcW w:w="817" w:type="dxa"/>
            <w:vAlign w:val="center"/>
          </w:tcPr>
          <w:p w14:paraId="1E7BEF18" w14:textId="77777777" w:rsidR="0005405C" w:rsidRPr="006B3D07" w:rsidRDefault="0005405C" w:rsidP="00F304EA">
            <w:pPr>
              <w:rPr>
                <w:rFonts w:ascii="Arial" w:hAnsi="Arial" w:cs="Arial"/>
                <w:sz w:val="15"/>
                <w:szCs w:val="15"/>
              </w:rPr>
            </w:pPr>
            <w:r w:rsidRPr="006B3D07">
              <w:rPr>
                <w:rFonts w:ascii="Arial" w:hAnsi="Arial" w:cs="Arial"/>
                <w:sz w:val="15"/>
                <w:szCs w:val="15"/>
              </w:rPr>
              <w:t>Elaboró:</w:t>
            </w:r>
          </w:p>
        </w:tc>
        <w:tc>
          <w:tcPr>
            <w:tcW w:w="4445" w:type="dxa"/>
            <w:tcBorders>
              <w:bottom w:val="dotted" w:sz="4" w:space="0" w:color="7F7F7F"/>
            </w:tcBorders>
            <w:vAlign w:val="center"/>
          </w:tcPr>
          <w:p w14:paraId="1390365A" w14:textId="77777777" w:rsidR="0005405C" w:rsidRPr="006B3D07" w:rsidRDefault="0005405C" w:rsidP="00F304EA">
            <w:pPr>
              <w:rPr>
                <w:rFonts w:ascii="Arial" w:hAnsi="Arial" w:cs="Arial"/>
                <w:sz w:val="15"/>
                <w:szCs w:val="15"/>
              </w:rPr>
            </w:pPr>
          </w:p>
          <w:p w14:paraId="1E81CAE0" w14:textId="18173F42"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Sergio Luis Mondragón Duarte</w:t>
            </w:r>
          </w:p>
          <w:p w14:paraId="7450C558" w14:textId="189D0543"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contratista</w:t>
            </w:r>
            <w:r w:rsidR="0005405C" w:rsidRPr="006B3D07">
              <w:rPr>
                <w:rFonts w:ascii="Arial" w:hAnsi="Arial" w:cs="Arial"/>
                <w:sz w:val="15"/>
                <w:szCs w:val="15"/>
                <w:shd w:val="clear" w:color="auto" w:fill="E6E6E6"/>
              </w:rPr>
              <w:t xml:space="preserve"> </w:t>
            </w:r>
            <w:r w:rsidR="0005405C" w:rsidRPr="006B3D07">
              <w:rPr>
                <w:rFonts w:ascii="Arial" w:hAnsi="Arial" w:cs="Arial"/>
                <w:sz w:val="15"/>
                <w:szCs w:val="15"/>
              </w:rPr>
              <w:t>de la Subdirección de Gestión Contractual</w:t>
            </w:r>
          </w:p>
        </w:tc>
      </w:tr>
      <w:tr w:rsidR="001C624F" w:rsidRPr="006B3D07" w14:paraId="269B33F3" w14:textId="77777777" w:rsidTr="00457B9C">
        <w:trPr>
          <w:trHeight w:val="286"/>
        </w:trPr>
        <w:tc>
          <w:tcPr>
            <w:tcW w:w="817" w:type="dxa"/>
            <w:vAlign w:val="center"/>
          </w:tcPr>
          <w:p w14:paraId="44EED99D" w14:textId="77777777" w:rsidR="001C624F" w:rsidRPr="006B3D07" w:rsidRDefault="001C624F" w:rsidP="001C624F">
            <w:pPr>
              <w:rPr>
                <w:rFonts w:ascii="Arial" w:hAnsi="Arial" w:cs="Arial"/>
                <w:sz w:val="15"/>
                <w:szCs w:val="15"/>
              </w:rPr>
            </w:pPr>
            <w:r w:rsidRPr="006B3D07">
              <w:rPr>
                <w:rFonts w:ascii="Arial" w:hAnsi="Arial" w:cs="Arial"/>
                <w:sz w:val="15"/>
                <w:szCs w:val="15"/>
              </w:rPr>
              <w:t>Revisó:</w:t>
            </w:r>
          </w:p>
        </w:tc>
        <w:tc>
          <w:tcPr>
            <w:tcW w:w="4445" w:type="dxa"/>
            <w:tcBorders>
              <w:bottom w:val="dotted" w:sz="4" w:space="0" w:color="7F7F7F"/>
            </w:tcBorders>
            <w:vAlign w:val="center"/>
          </w:tcPr>
          <w:p w14:paraId="133C0ED0" w14:textId="77777777" w:rsidR="001C624F" w:rsidRPr="006B3D07" w:rsidRDefault="001C624F" w:rsidP="001C624F">
            <w:pPr>
              <w:spacing w:line="276" w:lineRule="auto"/>
              <w:textAlignment w:val="baseline"/>
              <w:rPr>
                <w:rFonts w:ascii="Arial" w:hAnsi="Arial" w:cs="Arial"/>
                <w:sz w:val="15"/>
                <w:szCs w:val="15"/>
                <w:lang w:eastAsia="es-CO"/>
              </w:rPr>
            </w:pPr>
            <w:proofErr w:type="spellStart"/>
            <w:r w:rsidRPr="006B3D07">
              <w:rPr>
                <w:rFonts w:ascii="Arial" w:hAnsi="Arial" w:cs="Arial"/>
                <w:sz w:val="15"/>
                <w:szCs w:val="15"/>
                <w:lang w:eastAsia="es-CO"/>
              </w:rPr>
              <w:t>Alejadro</w:t>
            </w:r>
            <w:proofErr w:type="spellEnd"/>
            <w:r w:rsidRPr="006B3D07">
              <w:rPr>
                <w:rFonts w:ascii="Arial" w:hAnsi="Arial" w:cs="Arial"/>
                <w:sz w:val="15"/>
                <w:szCs w:val="15"/>
                <w:lang w:eastAsia="es-CO"/>
              </w:rPr>
              <w:t xml:space="preserve"> Sarmiento</w:t>
            </w:r>
          </w:p>
          <w:p w14:paraId="398B0DBF" w14:textId="02110C6C" w:rsidR="001C624F" w:rsidRPr="006B3D07" w:rsidRDefault="001C624F" w:rsidP="001C624F">
            <w:pPr>
              <w:rPr>
                <w:rFonts w:ascii="Arial" w:hAnsi="Arial" w:cs="Arial"/>
                <w:sz w:val="15"/>
                <w:szCs w:val="15"/>
              </w:rPr>
            </w:pPr>
            <w:r w:rsidRPr="006B3D07">
              <w:rPr>
                <w:rFonts w:ascii="Arial" w:hAnsi="Arial" w:cs="Arial"/>
                <w:sz w:val="15"/>
                <w:szCs w:val="15"/>
                <w:lang w:eastAsia="es-CO"/>
              </w:rPr>
              <w:t>Gestor T1 grado15 de la Subdirección de Gestión Contractual</w:t>
            </w:r>
          </w:p>
        </w:tc>
      </w:tr>
      <w:tr w:rsidR="00F304EA" w:rsidRPr="006B3D07" w14:paraId="02F0FF8A" w14:textId="77777777" w:rsidTr="00457B9C">
        <w:trPr>
          <w:trHeight w:val="299"/>
        </w:trPr>
        <w:tc>
          <w:tcPr>
            <w:tcW w:w="817" w:type="dxa"/>
            <w:vAlign w:val="center"/>
          </w:tcPr>
          <w:p w14:paraId="2B24C9C5" w14:textId="77777777" w:rsidR="0005405C" w:rsidRPr="006B3D07" w:rsidRDefault="0005405C" w:rsidP="00F304EA">
            <w:pPr>
              <w:rPr>
                <w:rFonts w:ascii="Arial" w:hAnsi="Arial" w:cs="Arial"/>
                <w:sz w:val="15"/>
                <w:szCs w:val="15"/>
              </w:rPr>
            </w:pPr>
            <w:r w:rsidRPr="006B3D07">
              <w:rPr>
                <w:rFonts w:ascii="Arial" w:hAnsi="Arial" w:cs="Arial"/>
                <w:sz w:val="15"/>
                <w:szCs w:val="15"/>
              </w:rPr>
              <w:t>Aprobó:</w:t>
            </w:r>
          </w:p>
        </w:tc>
        <w:tc>
          <w:tcPr>
            <w:tcW w:w="4445" w:type="dxa"/>
            <w:tcBorders>
              <w:top w:val="dotted" w:sz="4" w:space="0" w:color="7F7F7F"/>
              <w:bottom w:val="dotted" w:sz="4" w:space="0" w:color="7F7F7F"/>
            </w:tcBorders>
            <w:vAlign w:val="center"/>
          </w:tcPr>
          <w:p w14:paraId="3D5D51E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Nohelia Del Carmen Zawady Palacio</w:t>
            </w:r>
          </w:p>
          <w:p w14:paraId="401BBB6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 xml:space="preserve">Subdirectora de Gestión Contractual ANCP – CCE </w:t>
            </w:r>
          </w:p>
        </w:tc>
      </w:tr>
    </w:tbl>
    <w:p w14:paraId="72880F8C" w14:textId="77777777" w:rsidR="0005405C" w:rsidRPr="00F304EA" w:rsidRDefault="0005405C" w:rsidP="00F304EA">
      <w:pPr>
        <w:tabs>
          <w:tab w:val="left" w:pos="3795"/>
        </w:tabs>
        <w:rPr>
          <w:rFonts w:ascii="Arial" w:hAnsi="Arial" w:cs="Arial"/>
          <w:lang w:val="es-ES_tradnl"/>
        </w:rPr>
      </w:pPr>
    </w:p>
    <w:p w14:paraId="68C95376" w14:textId="77777777" w:rsidR="0005405C" w:rsidRPr="00F304EA" w:rsidRDefault="0005405C" w:rsidP="00F304EA">
      <w:pPr>
        <w:rPr>
          <w:rFonts w:ascii="Arial" w:hAnsi="Arial" w:cs="Arial"/>
        </w:rPr>
      </w:pPr>
    </w:p>
    <w:bookmarkEnd w:id="5"/>
    <w:p w14:paraId="605AEBAD" w14:textId="77777777" w:rsidR="00FB347B" w:rsidRPr="00F304EA" w:rsidRDefault="00FB347B" w:rsidP="00F304EA">
      <w:pPr>
        <w:rPr>
          <w:rFonts w:ascii="Arial" w:hAnsi="Arial" w:cs="Arial"/>
        </w:rPr>
      </w:pPr>
    </w:p>
    <w:sectPr w:rsidR="00FB347B" w:rsidRPr="00F304EA" w:rsidSect="00211FD1">
      <w:headerReference w:type="default" r:id="rId14"/>
      <w:footerReference w:type="default" r:id="rId15"/>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4A7E" w14:textId="77777777" w:rsidR="000A6469" w:rsidRDefault="000A6469" w:rsidP="00950DF7">
      <w:r>
        <w:separator/>
      </w:r>
    </w:p>
  </w:endnote>
  <w:endnote w:type="continuationSeparator" w:id="0">
    <w:p w14:paraId="2D76BDD9" w14:textId="77777777" w:rsidR="000A6469" w:rsidRDefault="000A6469" w:rsidP="00950DF7">
      <w:r>
        <w:continuationSeparator/>
      </w:r>
    </w:p>
  </w:endnote>
  <w:endnote w:type="continuationNotice" w:id="1">
    <w:p w14:paraId="12B2C1AE" w14:textId="77777777" w:rsidR="000A6469" w:rsidRDefault="000A6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orbel"/>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5A0019" w:rsidRDefault="005A0019">
    <w:pPr>
      <w:pStyle w:val="Sinespaciado"/>
      <w:jc w:val="right"/>
      <w:rPr>
        <w:rFonts w:ascii="Arial" w:hAnsi="Arial" w:cs="Arial"/>
        <w:sz w:val="18"/>
        <w:szCs w:val="18"/>
      </w:rPr>
    </w:pPr>
  </w:p>
  <w:p w14:paraId="3929C3BD" w14:textId="77777777" w:rsidR="005A0019" w:rsidRDefault="005A0019"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5A0019"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5A0019" w:rsidRPr="004B6B0E" w:rsidRDefault="005A0019"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5A0019" w:rsidRPr="00080DA3" w:rsidRDefault="005A0019"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33E6844F" w:rsidR="005A0019" w:rsidRPr="00080DA3" w:rsidRDefault="005A0019"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525D8D">
            <w:rPr>
              <w:rFonts w:ascii="Geomanist Light" w:hAnsi="Geomanist Light"/>
              <w:b/>
              <w:bCs/>
              <w:noProof/>
              <w:sz w:val="18"/>
              <w:szCs w:val="18"/>
            </w:rPr>
            <w:t>8</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525D8D">
            <w:rPr>
              <w:rFonts w:ascii="Geomanist Light" w:hAnsi="Geomanist Light"/>
              <w:b/>
              <w:bCs/>
              <w:noProof/>
              <w:sz w:val="18"/>
              <w:szCs w:val="18"/>
            </w:rPr>
            <w:t>8</w:t>
          </w:r>
          <w:r w:rsidRPr="00080DA3">
            <w:rPr>
              <w:rFonts w:ascii="Geomanist Light" w:hAnsi="Geomanist Light"/>
              <w:b/>
              <w:bCs/>
              <w:color w:val="2B579A"/>
              <w:sz w:val="18"/>
              <w:szCs w:val="18"/>
              <w:shd w:val="clear" w:color="auto" w:fill="E6E6E6"/>
            </w:rPr>
            <w:fldChar w:fldCharType="end"/>
          </w:r>
        </w:p>
      </w:tc>
    </w:tr>
  </w:tbl>
  <w:p w14:paraId="4AD1B6F0" w14:textId="77777777" w:rsidR="005A0019" w:rsidRPr="00214878" w:rsidRDefault="005A0019"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F9C5" w14:textId="77777777" w:rsidR="000A6469" w:rsidRDefault="000A6469" w:rsidP="00950DF7">
      <w:r>
        <w:separator/>
      </w:r>
    </w:p>
  </w:footnote>
  <w:footnote w:type="continuationSeparator" w:id="0">
    <w:p w14:paraId="1AF16330" w14:textId="77777777" w:rsidR="000A6469" w:rsidRDefault="000A6469" w:rsidP="00950DF7">
      <w:r>
        <w:continuationSeparator/>
      </w:r>
    </w:p>
  </w:footnote>
  <w:footnote w:type="continuationNotice" w:id="1">
    <w:p w14:paraId="207EFA81" w14:textId="77777777" w:rsidR="000A6469" w:rsidRDefault="000A6469"/>
  </w:footnote>
  <w:footnote w:id="2">
    <w:p w14:paraId="02683447" w14:textId="77777777" w:rsidR="005A0019" w:rsidRPr="00781AC2" w:rsidRDefault="005A0019" w:rsidP="004845C5">
      <w:pPr>
        <w:pStyle w:val="Textonotapie"/>
        <w:ind w:firstLine="708"/>
        <w:jc w:val="both"/>
        <w:rPr>
          <w:rFonts w:ascii="Arial" w:hAnsi="Arial" w:cs="Arial"/>
          <w:sz w:val="18"/>
          <w:szCs w:val="18"/>
          <w:lang w:val="es-ES"/>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AC2">
        <w:rPr>
          <w:rFonts w:ascii="Arial" w:hAnsi="Arial" w:cs="Arial"/>
          <w:i/>
          <w:iCs/>
          <w:sz w:val="18"/>
          <w:szCs w:val="18"/>
          <w:shd w:val="clear" w:color="auto" w:fill="E6E6E6"/>
        </w:rPr>
        <w:t xml:space="preserve">ibidem </w:t>
      </w:r>
      <w:r w:rsidRPr="00781AC2">
        <w:rPr>
          <w:rFonts w:ascii="Arial" w:hAnsi="Arial" w:cs="Arial"/>
          <w:sz w:val="18"/>
          <w:szCs w:val="18"/>
          <w:shd w:val="clear" w:color="auto" w:fill="E6E6E6"/>
        </w:rPr>
        <w:t>señala, de manera precisa, las funciones de Colombia Compra Eficiente. Concretamente, el numeral 5º de este artículo establece que le corresponde a esta entidad: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w:t>
      </w:r>
    </w:p>
  </w:footnote>
  <w:footnote w:id="3">
    <w:p w14:paraId="10977EC0" w14:textId="759E1B83" w:rsidR="005A0019" w:rsidRPr="00B70074" w:rsidRDefault="005A0019" w:rsidP="00B70074">
      <w:pPr>
        <w:pStyle w:val="Textonotapie"/>
        <w:ind w:firstLine="708"/>
        <w:jc w:val="both"/>
        <w:rPr>
          <w:rFonts w:ascii="Arial" w:hAnsi="Arial" w:cs="Arial"/>
          <w:sz w:val="14"/>
          <w:szCs w:val="14"/>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w:t>
      </w:r>
      <w:r w:rsidRPr="00B70074">
        <w:rPr>
          <w:rFonts w:ascii="Arial" w:hAnsi="Arial" w:cs="Arial"/>
          <w:sz w:val="14"/>
          <w:szCs w:val="14"/>
          <w:shd w:val="clear" w:color="auto" w:fill="E6E6E6"/>
        </w:rPr>
        <w:t xml:space="preserve">Los conceptos </w:t>
      </w:r>
      <w:r w:rsidRPr="00B70074">
        <w:rPr>
          <w:rFonts w:ascii="Arial" w:hAnsi="Arial" w:cs="Arial"/>
          <w:sz w:val="14"/>
          <w:szCs w:val="14"/>
        </w:rPr>
        <w:t>referenciados,</w:t>
      </w:r>
      <w:r w:rsidRPr="00B70074">
        <w:rPr>
          <w:rFonts w:ascii="Arial" w:hAnsi="Arial" w:cs="Arial"/>
          <w:sz w:val="14"/>
          <w:szCs w:val="14"/>
          <w:shd w:val="clear" w:color="auto" w:fill="E6E6E6"/>
        </w:rPr>
        <w:t xml:space="preserve"> así como otros expedidos por la Subdirección se encuentran disponibles para consulta</w:t>
      </w:r>
      <w:r w:rsidRPr="00B70074">
        <w:rPr>
          <w:rFonts w:ascii="Arial" w:hAnsi="Arial" w:cs="Arial"/>
          <w:sz w:val="14"/>
          <w:szCs w:val="14"/>
        </w:rPr>
        <w:t xml:space="preserve"> pública</w:t>
      </w:r>
      <w:r w:rsidRPr="00B70074">
        <w:rPr>
          <w:rFonts w:ascii="Arial" w:hAnsi="Arial" w:cs="Arial"/>
          <w:sz w:val="14"/>
          <w:szCs w:val="14"/>
          <w:shd w:val="clear" w:color="auto" w:fill="E6E6E6"/>
        </w:rPr>
        <w:t xml:space="preserve"> en el portal de relatoría de la Agencia, al cual se puede acceder a través del siguiente enlace: </w:t>
      </w:r>
      <w:hyperlink r:id="rId1" w:history="1">
        <w:r w:rsidRPr="00B70074">
          <w:rPr>
            <w:rStyle w:val="Hipervnculo"/>
            <w:rFonts w:ascii="Arial" w:hAnsi="Arial" w:cs="Arial"/>
            <w:color w:val="auto"/>
            <w:sz w:val="14"/>
            <w:szCs w:val="14"/>
          </w:rPr>
          <w:t>https://relatoria.colombiacompra.gov.co/busqueda/conceptos</w:t>
        </w:r>
      </w:hyperlink>
      <w:r w:rsidRPr="00B70074">
        <w:rPr>
          <w:rFonts w:ascii="Arial" w:hAnsi="Arial" w:cs="Arial"/>
          <w:sz w:val="14"/>
          <w:szCs w:val="14"/>
          <w:shd w:val="clear" w:color="auto" w:fill="E6E6E6"/>
        </w:rPr>
        <w:t xml:space="preserve"> </w:t>
      </w:r>
    </w:p>
  </w:footnote>
  <w:footnote w:id="4">
    <w:p w14:paraId="2EAA4E95" w14:textId="77777777" w:rsidR="00AF3020" w:rsidRPr="00525D8D" w:rsidRDefault="00AF3020" w:rsidP="00525D8D">
      <w:pPr>
        <w:spacing w:before="82"/>
        <w:ind w:left="180"/>
        <w:rPr>
          <w:rFonts w:ascii="Arial" w:hAnsi="Arial" w:cs="Arial"/>
          <w:sz w:val="14"/>
          <w:szCs w:val="14"/>
        </w:rPr>
      </w:pPr>
      <w:r>
        <w:rPr>
          <w:rStyle w:val="Refdenotaalpie"/>
        </w:rPr>
        <w:footnoteRef/>
      </w:r>
      <w:r>
        <w:t xml:space="preserve"> </w:t>
      </w:r>
      <w:r w:rsidRPr="00525D8D">
        <w:rPr>
          <w:rFonts w:ascii="Arial" w:hAnsi="Arial" w:cs="Arial"/>
          <w:sz w:val="14"/>
          <w:szCs w:val="14"/>
        </w:rPr>
        <w:t>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6956F49" w14:textId="77777777" w:rsidR="00AF3020" w:rsidRPr="00525D8D" w:rsidRDefault="00AF3020" w:rsidP="00525D8D">
      <w:pPr>
        <w:ind w:left="180"/>
        <w:rPr>
          <w:rFonts w:ascii="Arial" w:hAnsi="Arial" w:cs="Arial"/>
          <w:sz w:val="14"/>
          <w:szCs w:val="14"/>
        </w:rPr>
      </w:pPr>
      <w:r w:rsidRPr="00525D8D">
        <w:rPr>
          <w:rFonts w:ascii="Arial" w:hAnsi="Arial" w:cs="Arial"/>
          <w:sz w:val="14"/>
          <w:szCs w:val="14"/>
        </w:rPr>
        <w:t>(…)</w:t>
      </w:r>
    </w:p>
    <w:p w14:paraId="1DC518C6" w14:textId="77777777" w:rsidR="00AF3020" w:rsidRPr="00525D8D" w:rsidRDefault="00AF3020" w:rsidP="00525D8D">
      <w:pPr>
        <w:ind w:left="180" w:right="110"/>
        <w:jc w:val="both"/>
        <w:rPr>
          <w:rFonts w:ascii="Arial" w:hAnsi="Arial" w:cs="Arial"/>
          <w:sz w:val="14"/>
          <w:szCs w:val="14"/>
        </w:rPr>
      </w:pPr>
      <w:r w:rsidRPr="00525D8D">
        <w:rPr>
          <w:rFonts w:ascii="Arial" w:hAnsi="Arial" w:cs="Arial"/>
          <w:sz w:val="14"/>
          <w:szCs w:val="14"/>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2D54177B" w14:textId="77777777" w:rsidR="00AF3020" w:rsidRPr="00525D8D" w:rsidRDefault="00AF3020" w:rsidP="00525D8D">
      <w:pPr>
        <w:pStyle w:val="Textonotapie"/>
        <w:rPr>
          <w:rFonts w:ascii="Arial" w:hAnsi="Arial" w:cs="Arial"/>
          <w:sz w:val="14"/>
          <w:szCs w:val="14"/>
        </w:rPr>
      </w:pPr>
    </w:p>
  </w:footnote>
  <w:footnote w:id="5">
    <w:p w14:paraId="0E15A254" w14:textId="77777777" w:rsidR="00AF3020" w:rsidRPr="00525D8D" w:rsidRDefault="00AF3020" w:rsidP="00525D8D">
      <w:pPr>
        <w:ind w:left="180" w:right="108"/>
        <w:jc w:val="both"/>
        <w:rPr>
          <w:rFonts w:ascii="Arial" w:hAnsi="Arial" w:cs="Arial"/>
          <w:sz w:val="14"/>
          <w:szCs w:val="14"/>
        </w:rPr>
      </w:pPr>
      <w:r w:rsidRPr="00525D8D">
        <w:rPr>
          <w:rStyle w:val="Refdenotaalpie"/>
          <w:rFonts w:ascii="Arial" w:hAnsi="Arial" w:cs="Arial"/>
          <w:sz w:val="14"/>
          <w:szCs w:val="14"/>
        </w:rPr>
        <w:footnoteRef/>
      </w:r>
      <w:r w:rsidRPr="00525D8D">
        <w:rPr>
          <w:rFonts w:ascii="Arial" w:hAnsi="Arial" w:cs="Arial"/>
          <w:sz w:val="14"/>
          <w:szCs w:val="14"/>
        </w:rPr>
        <w:t xml:space="preserve"> Consejo de Estado. Sala de lo Contencioso Administrativo. Sección Tercera. Consejera Ponente: María Elena Giraldo Gómez. 26 de junio de 2003. Radicación número: 76001-23-24-000-1994-03354- 01(13.354).</w:t>
      </w:r>
    </w:p>
    <w:p w14:paraId="6F011F6B" w14:textId="77777777" w:rsidR="00AF3020" w:rsidRPr="0013093A" w:rsidRDefault="00AF3020" w:rsidP="00AF3020">
      <w:pPr>
        <w:pStyle w:val="Textonotapie"/>
      </w:pPr>
    </w:p>
  </w:footnote>
  <w:footnote w:id="6">
    <w:p w14:paraId="191F40D6" w14:textId="77777777" w:rsidR="00AF3020" w:rsidRPr="00525D8D" w:rsidRDefault="00AF3020" w:rsidP="00AF3020">
      <w:pPr>
        <w:spacing w:before="82" w:line="244" w:lineRule="auto"/>
        <w:ind w:left="180" w:right="109" w:firstLine="567"/>
        <w:jc w:val="both"/>
        <w:rPr>
          <w:rFonts w:ascii="Arial" w:hAnsi="Arial" w:cs="Arial"/>
          <w:sz w:val="14"/>
          <w:szCs w:val="14"/>
        </w:rPr>
      </w:pPr>
      <w:r w:rsidRPr="00525D8D">
        <w:rPr>
          <w:rStyle w:val="Refdenotaalpie"/>
          <w:rFonts w:ascii="Arial" w:hAnsi="Arial" w:cs="Arial"/>
          <w:sz w:val="14"/>
          <w:szCs w:val="14"/>
        </w:rPr>
        <w:footnoteRef/>
      </w:r>
      <w:r w:rsidRPr="00525D8D">
        <w:rPr>
          <w:rFonts w:ascii="Arial" w:hAnsi="Arial" w:cs="Arial"/>
          <w:sz w:val="14"/>
          <w:szCs w:val="14"/>
        </w:rPr>
        <w:t xml:space="preserve"> La Agencia Nacional de Contratación Pública Colombia Compra Eficiente definió los contratos en ejecución en la Guía para determinar y verificar la capacidad residual del proponente en los procesos de contratación de Obra Pública.</w:t>
      </w:r>
    </w:p>
    <w:p w14:paraId="5F071A0C" w14:textId="77777777" w:rsidR="00AF3020" w:rsidRPr="00525D8D" w:rsidRDefault="00AF3020" w:rsidP="00AF3020">
      <w:pPr>
        <w:pStyle w:val="Textonotapie"/>
        <w:rPr>
          <w:rFonts w:ascii="Arial" w:hAnsi="Arial" w:cs="Arial"/>
          <w:sz w:val="14"/>
          <w:szCs w:val="14"/>
        </w:rPr>
      </w:pPr>
    </w:p>
  </w:footnote>
  <w:footnote w:id="7">
    <w:p w14:paraId="2E7F2310" w14:textId="77777777" w:rsidR="00AF3020" w:rsidRPr="00525D8D" w:rsidRDefault="00AF3020" w:rsidP="00AF3020">
      <w:pPr>
        <w:spacing w:before="73"/>
        <w:ind w:left="180" w:firstLine="567"/>
        <w:rPr>
          <w:rFonts w:ascii="Arial" w:hAnsi="Arial" w:cs="Arial"/>
          <w:sz w:val="14"/>
          <w:szCs w:val="14"/>
        </w:rPr>
      </w:pPr>
      <w:r w:rsidRPr="00525D8D">
        <w:rPr>
          <w:rStyle w:val="Refdenotaalpie"/>
          <w:rFonts w:ascii="Arial" w:hAnsi="Arial" w:cs="Arial"/>
          <w:sz w:val="14"/>
          <w:szCs w:val="14"/>
        </w:rPr>
        <w:footnoteRef/>
      </w:r>
      <w:r w:rsidRPr="00525D8D">
        <w:rPr>
          <w:rFonts w:ascii="Arial" w:hAnsi="Arial" w:cs="Arial"/>
          <w:sz w:val="14"/>
          <w:szCs w:val="14"/>
        </w:rPr>
        <w:t xml:space="preserve"> Artículo 72: “La capacidad residual de contratación cuando se realicen contratos de obra pública se obtendrá de sustraer de la capacidad de contratación, el saldo del valor de los contratos en ejecución”.</w:t>
      </w:r>
    </w:p>
    <w:p w14:paraId="5E70FB72" w14:textId="77777777" w:rsidR="00AF3020" w:rsidRPr="00525D8D" w:rsidRDefault="00AF3020" w:rsidP="00AF3020">
      <w:pPr>
        <w:pStyle w:val="Textoindependiente"/>
        <w:spacing w:before="11"/>
        <w:rPr>
          <w:sz w:val="14"/>
          <w:szCs w:val="14"/>
        </w:rPr>
      </w:pPr>
    </w:p>
    <w:p w14:paraId="2F6B2E10" w14:textId="77777777" w:rsidR="00AF3020" w:rsidRPr="00525D8D" w:rsidRDefault="00AF3020" w:rsidP="00AF3020">
      <w:pPr>
        <w:ind w:left="180" w:right="144"/>
        <w:rPr>
          <w:rFonts w:ascii="Arial" w:hAnsi="Arial" w:cs="Arial"/>
          <w:sz w:val="14"/>
          <w:szCs w:val="14"/>
        </w:rPr>
      </w:pPr>
      <w:r w:rsidRPr="00525D8D">
        <w:rPr>
          <w:rFonts w:ascii="Arial" w:hAnsi="Arial" w:cs="Arial"/>
          <w:sz w:val="14"/>
          <w:szCs w:val="14"/>
        </w:rPr>
        <w:t>“La capacidad de contratación se deberá calcular mediante la evaluación de los siguientes factores: Experiencia (E), Capacidad Financiera (CF), Capacidad Técnica (CT), y Capacidad de Organización</w:t>
      </w:r>
      <w:r w:rsidRPr="00525D8D">
        <w:rPr>
          <w:rFonts w:ascii="Arial" w:hAnsi="Arial" w:cs="Arial"/>
          <w:spacing w:val="-35"/>
          <w:sz w:val="14"/>
          <w:szCs w:val="14"/>
        </w:rPr>
        <w:t xml:space="preserve"> </w:t>
      </w:r>
      <w:r w:rsidRPr="00525D8D">
        <w:rPr>
          <w:rFonts w:ascii="Arial" w:hAnsi="Arial" w:cs="Arial"/>
          <w:sz w:val="14"/>
          <w:szCs w:val="14"/>
        </w:rPr>
        <w:t>(CO)”.</w:t>
      </w:r>
    </w:p>
    <w:p w14:paraId="3DD2F9FF" w14:textId="77777777" w:rsidR="00AF3020" w:rsidRPr="00525D8D" w:rsidRDefault="00AF3020" w:rsidP="00AF3020">
      <w:pPr>
        <w:pStyle w:val="Textoindependiente"/>
        <w:spacing w:before="1"/>
        <w:rPr>
          <w:sz w:val="14"/>
          <w:szCs w:val="14"/>
        </w:rPr>
      </w:pPr>
    </w:p>
    <w:p w14:paraId="61CD91D6" w14:textId="77777777" w:rsidR="00AF3020" w:rsidRPr="00525D8D" w:rsidRDefault="00AF3020" w:rsidP="00AF3020">
      <w:pPr>
        <w:ind w:left="180"/>
        <w:rPr>
          <w:rFonts w:ascii="Arial" w:hAnsi="Arial" w:cs="Arial"/>
          <w:sz w:val="14"/>
          <w:szCs w:val="14"/>
        </w:rPr>
      </w:pPr>
      <w:r w:rsidRPr="00525D8D">
        <w:rPr>
          <w:rFonts w:ascii="Arial" w:hAnsi="Arial" w:cs="Arial"/>
          <w:sz w:val="14"/>
          <w:szCs w:val="14"/>
        </w:rPr>
        <w:t xml:space="preserve">“Para los efectos de la evaluación de los factores mencionados en el inciso anterior, por ningún motivo, ni </w:t>
      </w:r>
      <w:proofErr w:type="gramStart"/>
      <w:r w:rsidRPr="00525D8D">
        <w:rPr>
          <w:rFonts w:ascii="Arial" w:hAnsi="Arial" w:cs="Arial"/>
          <w:sz w:val="14"/>
          <w:szCs w:val="14"/>
        </w:rPr>
        <w:t>bajo ninguna circunstancia</w:t>
      </w:r>
      <w:proofErr w:type="gramEnd"/>
      <w:r w:rsidRPr="00525D8D">
        <w:rPr>
          <w:rFonts w:ascii="Arial" w:hAnsi="Arial" w:cs="Arial"/>
          <w:sz w:val="14"/>
          <w:szCs w:val="14"/>
        </w:rPr>
        <w:t xml:space="preserve"> se podrán tener en cuenta la rentabilidad y las utilidades”.</w:t>
      </w:r>
    </w:p>
    <w:p w14:paraId="2660B5A8" w14:textId="77777777" w:rsidR="00AF3020" w:rsidRPr="00525D8D" w:rsidRDefault="00AF3020" w:rsidP="00AF3020">
      <w:pPr>
        <w:pStyle w:val="Textonotapie"/>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5A0019" w:rsidRDefault="005A0019" w:rsidP="00950DF7">
    <w:pPr>
      <w:rPr>
        <w:rFonts w:ascii="Geomanist Bold" w:hAnsi="Geomanist Bold"/>
        <w:color w:val="002060"/>
      </w:rPr>
    </w:pPr>
  </w:p>
  <w:p w14:paraId="513BE203" w14:textId="2EB2CA6E" w:rsidR="005A0019" w:rsidRPr="003F58A1" w:rsidRDefault="005A0019"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58240"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5A0019" w:rsidRPr="00367110" w14:paraId="704CA18C" w14:textId="77777777">
      <w:tc>
        <w:tcPr>
          <w:tcW w:w="6756" w:type="dxa"/>
        </w:tcPr>
        <w:p w14:paraId="015A7026" w14:textId="77777777" w:rsidR="005A0019" w:rsidRPr="006478E3" w:rsidRDefault="005A0019"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5A0019" w:rsidRPr="0057618A" w:rsidRDefault="005A0019"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5A0019" w:rsidRPr="00367110" w:rsidRDefault="005A0019" w:rsidP="00950DF7">
          <w:pPr>
            <w:jc w:val="right"/>
            <w:rPr>
              <w:rFonts w:eastAsia="Arial Nova" w:cs="Arial Nova"/>
              <w:lang w:eastAsia="es-CO"/>
            </w:rPr>
          </w:pPr>
        </w:p>
      </w:tc>
      <w:tc>
        <w:tcPr>
          <w:tcW w:w="1324" w:type="dxa"/>
        </w:tcPr>
        <w:p w14:paraId="112FC2B0" w14:textId="77777777" w:rsidR="005A0019" w:rsidRPr="00367110" w:rsidRDefault="005A0019" w:rsidP="00950DF7">
          <w:pPr>
            <w:jc w:val="right"/>
            <w:rPr>
              <w:rFonts w:eastAsia="Arial Nova" w:cs="Arial Nova"/>
              <w:lang w:eastAsia="es-CO"/>
            </w:rPr>
          </w:pPr>
        </w:p>
      </w:tc>
    </w:tr>
  </w:tbl>
  <w:p w14:paraId="46DE726C" w14:textId="77777777" w:rsidR="005A0019" w:rsidRPr="00906B3C" w:rsidRDefault="005A0019"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58241"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5A0019" w:rsidRDefault="005A0019" w:rsidP="00950DF7">
    <w:pPr>
      <w:pStyle w:val="Encabezado"/>
    </w:pPr>
  </w:p>
  <w:p w14:paraId="55E5DA52" w14:textId="45BF26AF" w:rsidR="005A0019" w:rsidRDefault="005A0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4592630"/>
    <w:multiLevelType w:val="hybridMultilevel"/>
    <w:tmpl w:val="3CE80168"/>
    <w:lvl w:ilvl="0" w:tplc="6C68446A">
      <w:start w:val="1"/>
      <w:numFmt w:val="lowerLetter"/>
      <w:lvlText w:val="%1)"/>
      <w:lvlJc w:val="left"/>
      <w:pPr>
        <w:ind w:left="1008" w:hanging="330"/>
      </w:pPr>
      <w:rPr>
        <w:rFonts w:ascii="Arial" w:eastAsia="Arial" w:hAnsi="Arial" w:cs="Arial" w:hint="default"/>
        <w:color w:val="auto"/>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2" w15:restartNumberingAfterBreak="0">
    <w:nsid w:val="352A4AB3"/>
    <w:multiLevelType w:val="hybridMultilevel"/>
    <w:tmpl w:val="0F08E3A2"/>
    <w:lvl w:ilvl="0" w:tplc="3D16C97C">
      <w:start w:val="1"/>
      <w:numFmt w:val="lowerLetter"/>
      <w:lvlText w:val="%1."/>
      <w:lvlJc w:val="left"/>
      <w:pPr>
        <w:ind w:left="502" w:hanging="360"/>
      </w:pPr>
      <w:rPr>
        <w:rFonts w:ascii="Arial" w:eastAsiaTheme="minorHAnsi" w:hAnsi="Arial"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1107119572">
    <w:abstractNumId w:val="0"/>
  </w:num>
  <w:num w:numId="2" w16cid:durableId="1674264795">
    <w:abstractNumId w:val="1"/>
  </w:num>
  <w:num w:numId="3" w16cid:durableId="1116868606">
    <w:abstractNumId w:val="3"/>
  </w:num>
  <w:num w:numId="4" w16cid:durableId="18822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26F0A"/>
    <w:rsid w:val="00033CA7"/>
    <w:rsid w:val="00035D9D"/>
    <w:rsid w:val="00040E76"/>
    <w:rsid w:val="000460CE"/>
    <w:rsid w:val="0004698F"/>
    <w:rsid w:val="0005405C"/>
    <w:rsid w:val="00055C32"/>
    <w:rsid w:val="000636D4"/>
    <w:rsid w:val="00073D58"/>
    <w:rsid w:val="000868A6"/>
    <w:rsid w:val="00092218"/>
    <w:rsid w:val="00094407"/>
    <w:rsid w:val="000977C9"/>
    <w:rsid w:val="000A0743"/>
    <w:rsid w:val="000A5435"/>
    <w:rsid w:val="000A6469"/>
    <w:rsid w:val="000B46EA"/>
    <w:rsid w:val="000B5520"/>
    <w:rsid w:val="000B7248"/>
    <w:rsid w:val="000C3009"/>
    <w:rsid w:val="000C5926"/>
    <w:rsid w:val="000D68A1"/>
    <w:rsid w:val="000E1E95"/>
    <w:rsid w:val="000E40F0"/>
    <w:rsid w:val="000F2799"/>
    <w:rsid w:val="000F2C2E"/>
    <w:rsid w:val="000F6D56"/>
    <w:rsid w:val="00101285"/>
    <w:rsid w:val="00103754"/>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C624F"/>
    <w:rsid w:val="001F0E5D"/>
    <w:rsid w:val="00211FD1"/>
    <w:rsid w:val="00212893"/>
    <w:rsid w:val="002240E5"/>
    <w:rsid w:val="00241891"/>
    <w:rsid w:val="0024319D"/>
    <w:rsid w:val="00246C39"/>
    <w:rsid w:val="0025058A"/>
    <w:rsid w:val="00255DF7"/>
    <w:rsid w:val="00256066"/>
    <w:rsid w:val="00264399"/>
    <w:rsid w:val="002709EC"/>
    <w:rsid w:val="00293329"/>
    <w:rsid w:val="002B3621"/>
    <w:rsid w:val="002C0664"/>
    <w:rsid w:val="002C0B8B"/>
    <w:rsid w:val="002C1CE3"/>
    <w:rsid w:val="002D5C6B"/>
    <w:rsid w:val="002F7C3F"/>
    <w:rsid w:val="003168A5"/>
    <w:rsid w:val="0031762F"/>
    <w:rsid w:val="00334AF9"/>
    <w:rsid w:val="0034655E"/>
    <w:rsid w:val="0034723B"/>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856"/>
    <w:rsid w:val="003B1E39"/>
    <w:rsid w:val="003B697C"/>
    <w:rsid w:val="003C068D"/>
    <w:rsid w:val="003C139B"/>
    <w:rsid w:val="003C2315"/>
    <w:rsid w:val="003D3123"/>
    <w:rsid w:val="003F4C90"/>
    <w:rsid w:val="004054C5"/>
    <w:rsid w:val="00414B63"/>
    <w:rsid w:val="00416A9E"/>
    <w:rsid w:val="00420AA2"/>
    <w:rsid w:val="00427B2C"/>
    <w:rsid w:val="004363EF"/>
    <w:rsid w:val="00437115"/>
    <w:rsid w:val="00442C55"/>
    <w:rsid w:val="00445994"/>
    <w:rsid w:val="00445B9A"/>
    <w:rsid w:val="00445F15"/>
    <w:rsid w:val="00457B9C"/>
    <w:rsid w:val="00461E1C"/>
    <w:rsid w:val="00471153"/>
    <w:rsid w:val="004730E2"/>
    <w:rsid w:val="004845C5"/>
    <w:rsid w:val="004A5130"/>
    <w:rsid w:val="004B2C2B"/>
    <w:rsid w:val="004D05A7"/>
    <w:rsid w:val="004E1E70"/>
    <w:rsid w:val="004E27DD"/>
    <w:rsid w:val="004F326F"/>
    <w:rsid w:val="004F59CA"/>
    <w:rsid w:val="004F5B4B"/>
    <w:rsid w:val="00525D8D"/>
    <w:rsid w:val="00526B09"/>
    <w:rsid w:val="00532050"/>
    <w:rsid w:val="00534DAE"/>
    <w:rsid w:val="00535949"/>
    <w:rsid w:val="005478FB"/>
    <w:rsid w:val="005505E3"/>
    <w:rsid w:val="00552C20"/>
    <w:rsid w:val="00565681"/>
    <w:rsid w:val="005709F1"/>
    <w:rsid w:val="00574B03"/>
    <w:rsid w:val="00591CF3"/>
    <w:rsid w:val="00592023"/>
    <w:rsid w:val="005A0019"/>
    <w:rsid w:val="005A0728"/>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B3D07"/>
    <w:rsid w:val="006D319F"/>
    <w:rsid w:val="006D5D89"/>
    <w:rsid w:val="006E7609"/>
    <w:rsid w:val="006E77C5"/>
    <w:rsid w:val="006E7B77"/>
    <w:rsid w:val="00700085"/>
    <w:rsid w:val="00701046"/>
    <w:rsid w:val="00716AB2"/>
    <w:rsid w:val="007307A6"/>
    <w:rsid w:val="00736599"/>
    <w:rsid w:val="00744227"/>
    <w:rsid w:val="00747FBC"/>
    <w:rsid w:val="00754E16"/>
    <w:rsid w:val="00762584"/>
    <w:rsid w:val="00763E43"/>
    <w:rsid w:val="00773849"/>
    <w:rsid w:val="00781AC2"/>
    <w:rsid w:val="0079188E"/>
    <w:rsid w:val="007969EF"/>
    <w:rsid w:val="00797A18"/>
    <w:rsid w:val="00797E96"/>
    <w:rsid w:val="007A2F39"/>
    <w:rsid w:val="007A617C"/>
    <w:rsid w:val="007B0D03"/>
    <w:rsid w:val="007B79FF"/>
    <w:rsid w:val="007C7155"/>
    <w:rsid w:val="007C753D"/>
    <w:rsid w:val="007D2258"/>
    <w:rsid w:val="007D4B63"/>
    <w:rsid w:val="007D76AC"/>
    <w:rsid w:val="007F7197"/>
    <w:rsid w:val="00804297"/>
    <w:rsid w:val="00805FE9"/>
    <w:rsid w:val="008074E3"/>
    <w:rsid w:val="00815DA5"/>
    <w:rsid w:val="00825C30"/>
    <w:rsid w:val="00825DA8"/>
    <w:rsid w:val="0083520B"/>
    <w:rsid w:val="00837844"/>
    <w:rsid w:val="00840E20"/>
    <w:rsid w:val="00860608"/>
    <w:rsid w:val="00867946"/>
    <w:rsid w:val="00890DA4"/>
    <w:rsid w:val="00891F59"/>
    <w:rsid w:val="008A7F2B"/>
    <w:rsid w:val="0090423F"/>
    <w:rsid w:val="00912B2C"/>
    <w:rsid w:val="00936986"/>
    <w:rsid w:val="00941D0A"/>
    <w:rsid w:val="00947206"/>
    <w:rsid w:val="00950DF7"/>
    <w:rsid w:val="009545C2"/>
    <w:rsid w:val="009564CC"/>
    <w:rsid w:val="00963831"/>
    <w:rsid w:val="00973329"/>
    <w:rsid w:val="00983F0D"/>
    <w:rsid w:val="009919FC"/>
    <w:rsid w:val="009A0390"/>
    <w:rsid w:val="009A24F7"/>
    <w:rsid w:val="009A7DAD"/>
    <w:rsid w:val="009B34D3"/>
    <w:rsid w:val="009B6FA0"/>
    <w:rsid w:val="009C4859"/>
    <w:rsid w:val="009D3914"/>
    <w:rsid w:val="009D6C30"/>
    <w:rsid w:val="009D7A03"/>
    <w:rsid w:val="009E45F6"/>
    <w:rsid w:val="009E696A"/>
    <w:rsid w:val="009F0C6B"/>
    <w:rsid w:val="009F0D4C"/>
    <w:rsid w:val="009F6907"/>
    <w:rsid w:val="00A0582E"/>
    <w:rsid w:val="00A12113"/>
    <w:rsid w:val="00A1362C"/>
    <w:rsid w:val="00A23285"/>
    <w:rsid w:val="00A30368"/>
    <w:rsid w:val="00A319D2"/>
    <w:rsid w:val="00A35D77"/>
    <w:rsid w:val="00A40C33"/>
    <w:rsid w:val="00A551D2"/>
    <w:rsid w:val="00A6242E"/>
    <w:rsid w:val="00A62746"/>
    <w:rsid w:val="00A62F8E"/>
    <w:rsid w:val="00A67636"/>
    <w:rsid w:val="00A720F6"/>
    <w:rsid w:val="00A76FE8"/>
    <w:rsid w:val="00A83365"/>
    <w:rsid w:val="00AA1BA1"/>
    <w:rsid w:val="00AB126D"/>
    <w:rsid w:val="00AB2EE3"/>
    <w:rsid w:val="00AE1316"/>
    <w:rsid w:val="00AE405B"/>
    <w:rsid w:val="00AE6492"/>
    <w:rsid w:val="00AF3020"/>
    <w:rsid w:val="00B01E4F"/>
    <w:rsid w:val="00B06457"/>
    <w:rsid w:val="00B13910"/>
    <w:rsid w:val="00B17550"/>
    <w:rsid w:val="00B2709C"/>
    <w:rsid w:val="00B36201"/>
    <w:rsid w:val="00B43CF0"/>
    <w:rsid w:val="00B43FFA"/>
    <w:rsid w:val="00B4790A"/>
    <w:rsid w:val="00B5194C"/>
    <w:rsid w:val="00B529CF"/>
    <w:rsid w:val="00B70074"/>
    <w:rsid w:val="00B715F0"/>
    <w:rsid w:val="00B742E2"/>
    <w:rsid w:val="00B8410B"/>
    <w:rsid w:val="00BB3FBA"/>
    <w:rsid w:val="00BC55DC"/>
    <w:rsid w:val="00BD15AC"/>
    <w:rsid w:val="00BE0F40"/>
    <w:rsid w:val="00C074A7"/>
    <w:rsid w:val="00C11EE9"/>
    <w:rsid w:val="00C25A81"/>
    <w:rsid w:val="00C420A8"/>
    <w:rsid w:val="00C439CA"/>
    <w:rsid w:val="00C44D80"/>
    <w:rsid w:val="00C54739"/>
    <w:rsid w:val="00C60F43"/>
    <w:rsid w:val="00C741D4"/>
    <w:rsid w:val="00C84A8D"/>
    <w:rsid w:val="00C85A5E"/>
    <w:rsid w:val="00C86297"/>
    <w:rsid w:val="00C87954"/>
    <w:rsid w:val="00CA6A03"/>
    <w:rsid w:val="00CB307A"/>
    <w:rsid w:val="00CB70FF"/>
    <w:rsid w:val="00CC0496"/>
    <w:rsid w:val="00CD0379"/>
    <w:rsid w:val="00CD3735"/>
    <w:rsid w:val="00CE0360"/>
    <w:rsid w:val="00CE15DC"/>
    <w:rsid w:val="00CE3A6E"/>
    <w:rsid w:val="00CF537D"/>
    <w:rsid w:val="00D04574"/>
    <w:rsid w:val="00D11C34"/>
    <w:rsid w:val="00D26202"/>
    <w:rsid w:val="00D33F26"/>
    <w:rsid w:val="00D42ECD"/>
    <w:rsid w:val="00D47C17"/>
    <w:rsid w:val="00D51C98"/>
    <w:rsid w:val="00D556C3"/>
    <w:rsid w:val="00D56015"/>
    <w:rsid w:val="00D706E2"/>
    <w:rsid w:val="00D74DA1"/>
    <w:rsid w:val="00D905F1"/>
    <w:rsid w:val="00D94E36"/>
    <w:rsid w:val="00DA0FBF"/>
    <w:rsid w:val="00DB3131"/>
    <w:rsid w:val="00DB4A50"/>
    <w:rsid w:val="00DC4C54"/>
    <w:rsid w:val="00DC59F9"/>
    <w:rsid w:val="00DD6108"/>
    <w:rsid w:val="00DE0C6B"/>
    <w:rsid w:val="00DE6E19"/>
    <w:rsid w:val="00DE7E5B"/>
    <w:rsid w:val="00DF0BBC"/>
    <w:rsid w:val="00DF15CC"/>
    <w:rsid w:val="00DF41C8"/>
    <w:rsid w:val="00E02EDC"/>
    <w:rsid w:val="00E06284"/>
    <w:rsid w:val="00E1427A"/>
    <w:rsid w:val="00E213CE"/>
    <w:rsid w:val="00E22F18"/>
    <w:rsid w:val="00E37348"/>
    <w:rsid w:val="00E42D0E"/>
    <w:rsid w:val="00E64259"/>
    <w:rsid w:val="00E73D76"/>
    <w:rsid w:val="00E844BE"/>
    <w:rsid w:val="00E8794F"/>
    <w:rsid w:val="00E92452"/>
    <w:rsid w:val="00E96512"/>
    <w:rsid w:val="00EB2EFA"/>
    <w:rsid w:val="00EB489D"/>
    <w:rsid w:val="00EC1D3B"/>
    <w:rsid w:val="00EC48F7"/>
    <w:rsid w:val="00ED0108"/>
    <w:rsid w:val="00ED1561"/>
    <w:rsid w:val="00EE0CF7"/>
    <w:rsid w:val="00EE601D"/>
    <w:rsid w:val="00EF7E7B"/>
    <w:rsid w:val="00F02D1A"/>
    <w:rsid w:val="00F0413A"/>
    <w:rsid w:val="00F172D4"/>
    <w:rsid w:val="00F25A79"/>
    <w:rsid w:val="00F304EA"/>
    <w:rsid w:val="00F32DE5"/>
    <w:rsid w:val="00F33DC1"/>
    <w:rsid w:val="00F3626D"/>
    <w:rsid w:val="00F43B1B"/>
    <w:rsid w:val="00F51B7C"/>
    <w:rsid w:val="00F564C0"/>
    <w:rsid w:val="00F60E2B"/>
    <w:rsid w:val="00F61653"/>
    <w:rsid w:val="00F941DB"/>
    <w:rsid w:val="00F95148"/>
    <w:rsid w:val="00F96587"/>
    <w:rsid w:val="00FB347B"/>
    <w:rsid w:val="00FC3BED"/>
    <w:rsid w:val="00FC6857"/>
    <w:rsid w:val="00FD0FFC"/>
    <w:rsid w:val="00FE4C7B"/>
    <w:rsid w:val="00FF6F2E"/>
    <w:rsid w:val="01BB21EC"/>
    <w:rsid w:val="08404D66"/>
    <w:rsid w:val="0ACEA42A"/>
    <w:rsid w:val="0DE2C546"/>
    <w:rsid w:val="0E3FAB7A"/>
    <w:rsid w:val="0E4FEED9"/>
    <w:rsid w:val="125FD720"/>
    <w:rsid w:val="12A40309"/>
    <w:rsid w:val="12E78423"/>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22A051C"/>
    <w:rsid w:val="35BE760A"/>
    <w:rsid w:val="37322AF7"/>
    <w:rsid w:val="448FBCB1"/>
    <w:rsid w:val="48330388"/>
    <w:rsid w:val="495EA5E0"/>
    <w:rsid w:val="4A9A233D"/>
    <w:rsid w:val="4BE22861"/>
    <w:rsid w:val="4C375E08"/>
    <w:rsid w:val="50615FFC"/>
    <w:rsid w:val="50D445F4"/>
    <w:rsid w:val="57CD4398"/>
    <w:rsid w:val="59B4B7FB"/>
    <w:rsid w:val="5AF16B15"/>
    <w:rsid w:val="5B5F60D7"/>
    <w:rsid w:val="5BFB8EE2"/>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A7A98EE"/>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2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F6907"/>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4845C5"/>
    <w:rPr>
      <w:color w:val="605E5C"/>
      <w:shd w:val="clear" w:color="auto" w:fill="E1DFDD"/>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9A7D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DAD"/>
    <w:rPr>
      <w:rFonts w:ascii="Segoe UI" w:eastAsia="Times New Roman" w:hAnsi="Segoe UI" w:cs="Segoe UI"/>
      <w:sz w:val="18"/>
      <w:szCs w:val="18"/>
      <w:lang w:eastAsia="es-ES_tradnl"/>
    </w:rPr>
  </w:style>
  <w:style w:type="character" w:styleId="Hipervnculovisitado">
    <w:name w:val="FollowedHyperlink"/>
    <w:basedOn w:val="Fuentedeprrafopredeter"/>
    <w:uiPriority w:val="99"/>
    <w:semiHidden/>
    <w:unhideWhenUsed/>
    <w:rsid w:val="00073D58"/>
    <w:rPr>
      <w:color w:val="954F72" w:themeColor="followedHyperlink"/>
      <w:u w:val="single"/>
    </w:rPr>
  </w:style>
  <w:style w:type="paragraph" w:styleId="Textoindependiente">
    <w:name w:val="Body Text"/>
    <w:basedOn w:val="Normal"/>
    <w:link w:val="TextoindependienteCar"/>
    <w:uiPriority w:val="1"/>
    <w:qFormat/>
    <w:rsid w:val="00055C3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055C32"/>
    <w:rPr>
      <w:rFonts w:ascii="Arial" w:eastAsia="Arial" w:hAnsi="Arial" w:cs="Arial"/>
      <w:lang w:val="es-ES"/>
    </w:rPr>
  </w:style>
  <w:style w:type="character" w:customStyle="1" w:styleId="Ttulo1Car">
    <w:name w:val="Título 1 Car"/>
    <w:basedOn w:val="Fuentedeprrafopredeter"/>
    <w:link w:val="Ttulo1"/>
    <w:uiPriority w:val="9"/>
    <w:rsid w:val="009F6907"/>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692">
      <w:bodyDiv w:val="1"/>
      <w:marLeft w:val="0"/>
      <w:marRight w:val="0"/>
      <w:marTop w:val="0"/>
      <w:marBottom w:val="0"/>
      <w:divBdr>
        <w:top w:val="none" w:sz="0" w:space="0" w:color="auto"/>
        <w:left w:val="none" w:sz="0" w:space="0" w:color="auto"/>
        <w:bottom w:val="none" w:sz="0" w:space="0" w:color="auto"/>
        <w:right w:val="none" w:sz="0" w:space="0" w:color="auto"/>
      </w:divBdr>
    </w:div>
    <w:div w:id="413598154">
      <w:bodyDiv w:val="1"/>
      <w:marLeft w:val="0"/>
      <w:marRight w:val="0"/>
      <w:marTop w:val="0"/>
      <w:marBottom w:val="0"/>
      <w:divBdr>
        <w:top w:val="none" w:sz="0" w:space="0" w:color="auto"/>
        <w:left w:val="none" w:sz="0" w:space="0" w:color="auto"/>
        <w:bottom w:val="none" w:sz="0" w:space="0" w:color="auto"/>
        <w:right w:val="none" w:sz="0" w:space="0" w:color="auto"/>
      </w:divBdr>
    </w:div>
    <w:div w:id="437677387">
      <w:bodyDiv w:val="1"/>
      <w:marLeft w:val="0"/>
      <w:marRight w:val="0"/>
      <w:marTop w:val="0"/>
      <w:marBottom w:val="0"/>
      <w:divBdr>
        <w:top w:val="none" w:sz="0" w:space="0" w:color="auto"/>
        <w:left w:val="none" w:sz="0" w:space="0" w:color="auto"/>
        <w:bottom w:val="none" w:sz="0" w:space="0" w:color="auto"/>
        <w:right w:val="none" w:sz="0" w:space="0" w:color="auto"/>
      </w:divBdr>
    </w:div>
    <w:div w:id="487751427">
      <w:bodyDiv w:val="1"/>
      <w:marLeft w:val="0"/>
      <w:marRight w:val="0"/>
      <w:marTop w:val="0"/>
      <w:marBottom w:val="0"/>
      <w:divBdr>
        <w:top w:val="none" w:sz="0" w:space="0" w:color="auto"/>
        <w:left w:val="none" w:sz="0" w:space="0" w:color="auto"/>
        <w:bottom w:val="none" w:sz="0" w:space="0" w:color="auto"/>
        <w:right w:val="none" w:sz="0" w:space="0" w:color="auto"/>
      </w:divBdr>
    </w:div>
    <w:div w:id="519441143">
      <w:bodyDiv w:val="1"/>
      <w:marLeft w:val="0"/>
      <w:marRight w:val="0"/>
      <w:marTop w:val="0"/>
      <w:marBottom w:val="0"/>
      <w:divBdr>
        <w:top w:val="none" w:sz="0" w:space="0" w:color="auto"/>
        <w:left w:val="none" w:sz="0" w:space="0" w:color="auto"/>
        <w:bottom w:val="none" w:sz="0" w:space="0" w:color="auto"/>
        <w:right w:val="none" w:sz="0" w:space="0" w:color="auto"/>
      </w:divBdr>
    </w:div>
    <w:div w:id="588662380">
      <w:bodyDiv w:val="1"/>
      <w:marLeft w:val="0"/>
      <w:marRight w:val="0"/>
      <w:marTop w:val="0"/>
      <w:marBottom w:val="0"/>
      <w:divBdr>
        <w:top w:val="none" w:sz="0" w:space="0" w:color="auto"/>
        <w:left w:val="none" w:sz="0" w:space="0" w:color="auto"/>
        <w:bottom w:val="none" w:sz="0" w:space="0" w:color="auto"/>
        <w:right w:val="none" w:sz="0" w:space="0" w:color="auto"/>
      </w:divBdr>
    </w:div>
    <w:div w:id="630130865">
      <w:bodyDiv w:val="1"/>
      <w:marLeft w:val="0"/>
      <w:marRight w:val="0"/>
      <w:marTop w:val="0"/>
      <w:marBottom w:val="0"/>
      <w:divBdr>
        <w:top w:val="none" w:sz="0" w:space="0" w:color="auto"/>
        <w:left w:val="none" w:sz="0" w:space="0" w:color="auto"/>
        <w:bottom w:val="none" w:sz="0" w:space="0" w:color="auto"/>
        <w:right w:val="none" w:sz="0" w:space="0" w:color="auto"/>
      </w:divBdr>
    </w:div>
    <w:div w:id="668168506">
      <w:bodyDiv w:val="1"/>
      <w:marLeft w:val="0"/>
      <w:marRight w:val="0"/>
      <w:marTop w:val="0"/>
      <w:marBottom w:val="0"/>
      <w:divBdr>
        <w:top w:val="none" w:sz="0" w:space="0" w:color="auto"/>
        <w:left w:val="none" w:sz="0" w:space="0" w:color="auto"/>
        <w:bottom w:val="none" w:sz="0" w:space="0" w:color="auto"/>
        <w:right w:val="none" w:sz="0" w:space="0" w:color="auto"/>
      </w:divBdr>
    </w:div>
    <w:div w:id="684287730">
      <w:bodyDiv w:val="1"/>
      <w:marLeft w:val="0"/>
      <w:marRight w:val="0"/>
      <w:marTop w:val="0"/>
      <w:marBottom w:val="0"/>
      <w:divBdr>
        <w:top w:val="none" w:sz="0" w:space="0" w:color="auto"/>
        <w:left w:val="none" w:sz="0" w:space="0" w:color="auto"/>
        <w:bottom w:val="none" w:sz="0" w:space="0" w:color="auto"/>
        <w:right w:val="none" w:sz="0" w:space="0" w:color="auto"/>
      </w:divBdr>
    </w:div>
    <w:div w:id="795177541">
      <w:bodyDiv w:val="1"/>
      <w:marLeft w:val="0"/>
      <w:marRight w:val="0"/>
      <w:marTop w:val="0"/>
      <w:marBottom w:val="0"/>
      <w:divBdr>
        <w:top w:val="none" w:sz="0" w:space="0" w:color="auto"/>
        <w:left w:val="none" w:sz="0" w:space="0" w:color="auto"/>
        <w:bottom w:val="none" w:sz="0" w:space="0" w:color="auto"/>
        <w:right w:val="none" w:sz="0" w:space="0" w:color="auto"/>
      </w:divBdr>
    </w:div>
    <w:div w:id="849225595">
      <w:bodyDiv w:val="1"/>
      <w:marLeft w:val="0"/>
      <w:marRight w:val="0"/>
      <w:marTop w:val="0"/>
      <w:marBottom w:val="0"/>
      <w:divBdr>
        <w:top w:val="none" w:sz="0" w:space="0" w:color="auto"/>
        <w:left w:val="none" w:sz="0" w:space="0" w:color="auto"/>
        <w:bottom w:val="none" w:sz="0" w:space="0" w:color="auto"/>
        <w:right w:val="none" w:sz="0" w:space="0" w:color="auto"/>
      </w:divBdr>
    </w:div>
    <w:div w:id="927082470">
      <w:bodyDiv w:val="1"/>
      <w:marLeft w:val="0"/>
      <w:marRight w:val="0"/>
      <w:marTop w:val="0"/>
      <w:marBottom w:val="0"/>
      <w:divBdr>
        <w:top w:val="none" w:sz="0" w:space="0" w:color="auto"/>
        <w:left w:val="none" w:sz="0" w:space="0" w:color="auto"/>
        <w:bottom w:val="none" w:sz="0" w:space="0" w:color="auto"/>
        <w:right w:val="none" w:sz="0" w:space="0" w:color="auto"/>
      </w:divBdr>
    </w:div>
    <w:div w:id="928389448">
      <w:bodyDiv w:val="1"/>
      <w:marLeft w:val="0"/>
      <w:marRight w:val="0"/>
      <w:marTop w:val="0"/>
      <w:marBottom w:val="0"/>
      <w:divBdr>
        <w:top w:val="none" w:sz="0" w:space="0" w:color="auto"/>
        <w:left w:val="none" w:sz="0" w:space="0" w:color="auto"/>
        <w:bottom w:val="none" w:sz="0" w:space="0" w:color="auto"/>
        <w:right w:val="none" w:sz="0" w:space="0" w:color="auto"/>
      </w:divBdr>
    </w:div>
    <w:div w:id="1006592590">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0144">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532454077">
      <w:bodyDiv w:val="1"/>
      <w:marLeft w:val="0"/>
      <w:marRight w:val="0"/>
      <w:marTop w:val="0"/>
      <w:marBottom w:val="0"/>
      <w:divBdr>
        <w:top w:val="none" w:sz="0" w:space="0" w:color="auto"/>
        <w:left w:val="none" w:sz="0" w:space="0" w:color="auto"/>
        <w:bottom w:val="none" w:sz="0" w:space="0" w:color="auto"/>
        <w:right w:val="none" w:sz="0" w:space="0" w:color="auto"/>
      </w:divBdr>
    </w:div>
    <w:div w:id="1654721268">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1910532756">
      <w:bodyDiv w:val="1"/>
      <w:marLeft w:val="0"/>
      <w:marRight w:val="0"/>
      <w:marTop w:val="0"/>
      <w:marBottom w:val="0"/>
      <w:divBdr>
        <w:top w:val="none" w:sz="0" w:space="0" w:color="auto"/>
        <w:left w:val="none" w:sz="0" w:space="0" w:color="auto"/>
        <w:bottom w:val="none" w:sz="0" w:space="0" w:color="auto"/>
        <w:right w:val="none" w:sz="0" w:space="0" w:color="auto"/>
      </w:divBdr>
    </w:div>
    <w:div w:id="2072534623">
      <w:bodyDiv w:val="1"/>
      <w:marLeft w:val="0"/>
      <w:marRight w:val="0"/>
      <w:marTop w:val="0"/>
      <w:marBottom w:val="0"/>
      <w:divBdr>
        <w:top w:val="none" w:sz="0" w:space="0" w:color="auto"/>
        <w:left w:val="none" w:sz="0" w:space="0" w:color="auto"/>
        <w:bottom w:val="none" w:sz="0" w:space="0" w:color="auto"/>
        <w:right w:val="none" w:sz="0" w:space="0" w:color="auto"/>
      </w:divBdr>
    </w:div>
    <w:div w:id="2095545390">
      <w:bodyDiv w:val="1"/>
      <w:marLeft w:val="0"/>
      <w:marRight w:val="0"/>
      <w:marTop w:val="0"/>
      <w:marBottom w:val="0"/>
      <w:divBdr>
        <w:top w:val="none" w:sz="0" w:space="0" w:color="auto"/>
        <w:left w:val="none" w:sz="0" w:space="0" w:color="auto"/>
        <w:bottom w:val="none" w:sz="0" w:space="0" w:color="auto"/>
        <w:right w:val="none" w:sz="0" w:space="0" w:color="auto"/>
      </w:divBdr>
    </w:div>
    <w:div w:id="2110272985">
      <w:bodyDiv w:val="1"/>
      <w:marLeft w:val="0"/>
      <w:marRight w:val="0"/>
      <w:marTop w:val="0"/>
      <w:marBottom w:val="0"/>
      <w:divBdr>
        <w:top w:val="none" w:sz="0" w:space="0" w:color="auto"/>
        <w:left w:val="none" w:sz="0" w:space="0" w:color="auto"/>
        <w:bottom w:val="none" w:sz="0" w:space="0" w:color="auto"/>
        <w:right w:val="none" w:sz="0" w:space="0" w:color="auto"/>
      </w:divBdr>
    </w:div>
    <w:div w:id="212876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jimenezdiaz1310@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2037D-D879-4763-9CAB-A38BD6A1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14B140B0-8C66-4FA6-9C8A-AC83F208055C}">
  <ds:schemaRefs>
    <ds:schemaRef ds:uri="http://schemas.openxmlformats.org/officeDocument/2006/bibliography"/>
  </ds:schemaRefs>
</ds:datastoreItem>
</file>

<file path=customXml/itemProps4.xml><?xml version="1.0" encoding="utf-8"?>
<ds:datastoreItem xmlns:ds="http://schemas.openxmlformats.org/officeDocument/2006/customXml" ds:itemID="{5C56A34D-86C6-4FEF-9F21-278C40FAB50C}">
  <ds:schemaRefs>
    <ds:schemaRef ds:uri="http://purl.org/dc/dcmitype/"/>
    <ds:schemaRef ds:uri="http://schemas.microsoft.com/office/2006/metadata/properties"/>
    <ds:schemaRef ds:uri="http://purl.org/dc/elements/1.1/"/>
    <ds:schemaRef ds:uri="http://purl.org/dc/terms/"/>
    <ds:schemaRef ds:uri="http://www.w3.org/XML/1998/namespace"/>
    <ds:schemaRef ds:uri="9d85dbaf-23eb-4e57-a637-93dcacc8b1a1"/>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2269</Words>
  <Characters>12480</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Andrés Ricardo Cabarcas Thorne</cp:lastModifiedBy>
  <cp:revision>2</cp:revision>
  <dcterms:created xsi:type="dcterms:W3CDTF">2023-08-30T15:31:00Z</dcterms:created>
  <dcterms:modified xsi:type="dcterms:W3CDTF">2023-08-30T15:31:00Z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