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9303FD" w:rsidR="00132C11" w:rsidP="00132C11" w:rsidRDefault="00132C11" w14:paraId="6B7713AC" w14:textId="77777777">
      <w:pPr>
        <w:rPr>
          <w:rFonts w:ascii="Arial" w:hAnsi="Arial" w:eastAsia="Calibri" w:cs="Arial"/>
          <w:b/>
          <w:sz w:val="20"/>
          <w:szCs w:val="20"/>
          <w:lang w:val="es-ES_tradnl"/>
        </w:rPr>
      </w:pPr>
      <w:bookmarkStart w:name="_Hlk67491171" w:id="0"/>
      <w:r w:rsidRPr="009303FD">
        <w:rPr>
          <w:rFonts w:ascii="Arial" w:hAnsi="Arial" w:eastAsia="Calibri" w:cs="Arial"/>
          <w:b/>
          <w:sz w:val="20"/>
          <w:szCs w:val="20"/>
          <w:lang w:val="es-ES_tradnl"/>
        </w:rPr>
        <w:t>SELECCIÓN OBJETIVA – Contratación estatal – Concepto</w:t>
      </w:r>
      <w:bookmarkEnd w:id="0"/>
      <w:r w:rsidRPr="009303FD">
        <w:rPr>
          <w:rFonts w:ascii="Arial" w:hAnsi="Arial" w:eastAsia="Calibri" w:cs="Arial"/>
          <w:b/>
          <w:sz w:val="20"/>
          <w:szCs w:val="20"/>
          <w:lang w:val="es-ES_tradnl"/>
        </w:rPr>
        <w:tab/>
      </w:r>
    </w:p>
    <w:p w:rsidRPr="009303FD" w:rsidR="00132C11" w:rsidP="00132C11" w:rsidRDefault="00132C11" w14:paraId="523AA631" w14:textId="77777777">
      <w:pPr>
        <w:jc w:val="both"/>
        <w:rPr>
          <w:rFonts w:ascii="Arial" w:hAnsi="Arial" w:eastAsia="Calibri" w:cs="Arial"/>
          <w:sz w:val="20"/>
          <w:szCs w:val="20"/>
          <w:lang w:val="es-ES_tradnl"/>
        </w:rPr>
      </w:pPr>
      <w:r w:rsidRPr="009303FD">
        <w:rPr>
          <w:rFonts w:ascii="Arial" w:hAnsi="Arial" w:eastAsia="Calibri"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rsidRPr="009303FD" w:rsidR="00132C11" w:rsidP="00132C11" w:rsidRDefault="00132C11" w14:paraId="2F06979E" w14:textId="77777777">
      <w:pPr>
        <w:jc w:val="both"/>
        <w:rPr>
          <w:rFonts w:ascii="Arial" w:hAnsi="Arial" w:eastAsia="Calibri" w:cs="Arial"/>
          <w:b/>
          <w:sz w:val="20"/>
          <w:szCs w:val="20"/>
          <w:lang w:val="es-ES_tradnl"/>
        </w:rPr>
      </w:pPr>
    </w:p>
    <w:p w:rsidRPr="009303FD" w:rsidR="00132C11" w:rsidP="00132C11" w:rsidRDefault="00132C11" w14:paraId="2AF35EDE" w14:textId="77777777">
      <w:pPr>
        <w:jc w:val="both"/>
        <w:rPr>
          <w:rFonts w:ascii="Arial" w:hAnsi="Arial" w:eastAsia="Calibri" w:cs="Arial"/>
          <w:b/>
          <w:sz w:val="20"/>
          <w:szCs w:val="20"/>
          <w:lang w:val="es-ES_tradnl"/>
        </w:rPr>
      </w:pPr>
      <w:bookmarkStart w:name="_Hlk67491186" w:id="1"/>
      <w:r w:rsidRPr="009303FD">
        <w:rPr>
          <w:rFonts w:ascii="Arial" w:hAnsi="Arial" w:eastAsia="Calibri" w:cs="Arial"/>
          <w:b/>
          <w:sz w:val="20"/>
          <w:szCs w:val="20"/>
          <w:lang w:val="es-ES_tradnl"/>
        </w:rPr>
        <w:t>EMPATE – Procedimiento de selección – Concepto</w:t>
      </w:r>
      <w:bookmarkEnd w:id="1"/>
    </w:p>
    <w:p w:rsidRPr="009303FD" w:rsidR="00132C11" w:rsidP="00132C11" w:rsidRDefault="00132C11" w14:paraId="558B35A7" w14:textId="77777777">
      <w:pPr>
        <w:jc w:val="both"/>
        <w:rPr>
          <w:rFonts w:ascii="Arial" w:hAnsi="Arial" w:eastAsia="Calibri" w:cs="Arial"/>
          <w:sz w:val="20"/>
          <w:szCs w:val="20"/>
          <w:lang w:val="es-ES_tradnl"/>
        </w:rPr>
      </w:pPr>
      <w:r w:rsidRPr="009303FD">
        <w:rPr>
          <w:rFonts w:ascii="Arial" w:hAnsi="Arial" w:eastAsia="Calibri" w:cs="Arial"/>
          <w:sz w:val="20"/>
          <w:szCs w:val="20"/>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rsidRPr="009303FD" w:rsidR="00132C11" w:rsidP="00132C11" w:rsidRDefault="00132C11" w14:paraId="58961AB0" w14:textId="77777777">
      <w:pPr>
        <w:spacing w:line="276" w:lineRule="auto"/>
        <w:jc w:val="both"/>
        <w:rPr>
          <w:rFonts w:ascii="Arial" w:hAnsi="Arial" w:cs="Arial"/>
          <w:noProof/>
          <w:sz w:val="20"/>
          <w:szCs w:val="20"/>
          <w:lang w:val="es-ES_tradnl"/>
        </w:rPr>
      </w:pPr>
    </w:p>
    <w:p w:rsidRPr="009303FD" w:rsidR="00132C11" w:rsidP="00132C11" w:rsidRDefault="00132C11" w14:paraId="118AB5AC" w14:textId="77777777">
      <w:pPr>
        <w:jc w:val="both"/>
        <w:rPr>
          <w:rFonts w:ascii="Arial" w:hAnsi="Arial" w:eastAsia="Calibri" w:cs="Arial"/>
          <w:b/>
          <w:sz w:val="20"/>
          <w:szCs w:val="20"/>
          <w:lang w:val="es-ES_tradnl"/>
        </w:rPr>
      </w:pPr>
      <w:bookmarkStart w:name="_Hlk67491199" w:id="2"/>
      <w:r w:rsidRPr="009303FD">
        <w:rPr>
          <w:rFonts w:ascii="Arial" w:hAnsi="Arial" w:eastAsia="Calibri" w:cs="Arial"/>
          <w:b/>
          <w:sz w:val="20"/>
          <w:szCs w:val="20"/>
          <w:lang w:val="es-ES_tradnl"/>
        </w:rPr>
        <w:t>FACTORES DE DESEMPATE – Características – Límites</w:t>
      </w:r>
      <w:bookmarkEnd w:id="2"/>
    </w:p>
    <w:p w:rsidRPr="009303FD" w:rsidR="00132C11" w:rsidP="00132C11" w:rsidRDefault="00132C11" w14:paraId="116831E6" w14:textId="77777777">
      <w:pPr>
        <w:jc w:val="both"/>
        <w:rPr>
          <w:rFonts w:ascii="Arial" w:hAnsi="Arial" w:eastAsia="Calibri" w:cs="Arial"/>
          <w:sz w:val="20"/>
          <w:szCs w:val="20"/>
          <w:lang w:val="es-ES_tradnl"/>
        </w:rPr>
      </w:pPr>
      <w:r w:rsidRPr="009303FD">
        <w:rPr>
          <w:rFonts w:ascii="Arial" w:hAnsi="Arial" w:eastAsia="Calibri" w:cs="Arial"/>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rsidRPr="009303FD" w:rsidR="00132C11" w:rsidP="00132C11" w:rsidRDefault="00132C11" w14:paraId="654EF0AF" w14:textId="77777777">
      <w:pPr>
        <w:spacing w:before="120"/>
        <w:jc w:val="both"/>
        <w:rPr>
          <w:rFonts w:ascii="Arial" w:hAnsi="Arial" w:eastAsia="Calibri" w:cs="Arial"/>
          <w:sz w:val="20"/>
          <w:szCs w:val="20"/>
          <w:lang w:val="es-ES_tradnl"/>
        </w:rPr>
      </w:pPr>
      <w:r w:rsidRPr="009303FD">
        <w:rPr>
          <w:rFonts w:ascii="Arial" w:hAnsi="Arial" w:eastAsia="Calibri" w:cs="Arial"/>
          <w:sz w:val="20"/>
          <w:szCs w:val="20"/>
          <w:lang w:val="es-ES_tradnl"/>
        </w:rPr>
        <w:t xml:space="preserve">En tal sentido, la Corte Constitucional explica que cuando la ley establece factores de desempate obligatorios, las entidades estatales no pueden </w:t>
      </w:r>
      <w:proofErr w:type="spellStart"/>
      <w:r w:rsidRPr="009303FD">
        <w:rPr>
          <w:rFonts w:ascii="Arial" w:hAnsi="Arial" w:eastAsia="Calibri" w:cs="Arial"/>
          <w:sz w:val="20"/>
          <w:szCs w:val="20"/>
          <w:lang w:val="es-ES_tradnl"/>
        </w:rPr>
        <w:t>inaplicarlos</w:t>
      </w:r>
      <w:proofErr w:type="spellEnd"/>
      <w:r w:rsidRPr="009303FD">
        <w:rPr>
          <w:rFonts w:ascii="Arial" w:hAnsi="Arial" w:eastAsia="Calibri" w:cs="Arial"/>
          <w:sz w:val="20"/>
          <w:szCs w:val="20"/>
          <w:lang w:val="es-ES_tradnl"/>
        </w:rPr>
        <w:t>,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rsidRPr="009303FD" w:rsidR="00132C11" w:rsidP="00132C11" w:rsidRDefault="00132C11" w14:paraId="20746941" w14:textId="77777777">
      <w:pPr>
        <w:spacing w:after="0" w:line="240" w:lineRule="auto"/>
        <w:jc w:val="both"/>
        <w:rPr>
          <w:rFonts w:ascii="Arial" w:hAnsi="Arial" w:eastAsia="Calibri" w:cs="Arial"/>
          <w:b/>
          <w:szCs w:val="24"/>
          <w:lang w:val="es-ES_tradnl" w:eastAsia="es-ES_tradnl"/>
        </w:rPr>
      </w:pPr>
      <w:r w:rsidRPr="009303FD">
        <w:rPr>
          <w:rFonts w:ascii="Arial" w:hAnsi="Arial" w:eastAsia="Calibri" w:cs="Arial"/>
          <w:b/>
          <w:szCs w:val="24"/>
          <w:lang w:val="es-ES_tradnl" w:eastAsia="es-ES_tradnl"/>
        </w:rPr>
        <w:t>LEY DE EMPRENDIMIENTO – Ley 2069 de 2020 – Reglamentación – Decreto 1860 de 2021 – Vigencia</w:t>
      </w:r>
    </w:p>
    <w:p w:rsidRPr="009303FD" w:rsidR="00132C11" w:rsidP="00132C11" w:rsidRDefault="00132C11" w14:paraId="2CF6A9DF" w14:textId="77777777">
      <w:pPr>
        <w:spacing w:after="0" w:line="240" w:lineRule="auto"/>
        <w:jc w:val="both"/>
        <w:rPr>
          <w:rFonts w:ascii="Arial" w:hAnsi="Arial" w:eastAsia="Calibri" w:cs="Arial"/>
          <w:b/>
          <w:szCs w:val="24"/>
          <w:highlight w:val="yellow"/>
          <w:lang w:val="es-ES_tradnl" w:eastAsia="es-ES_tradnl"/>
        </w:rPr>
      </w:pPr>
    </w:p>
    <w:p w:rsidRPr="009303FD" w:rsidR="00132C11" w:rsidP="00132C11" w:rsidRDefault="00132C11" w14:paraId="0DDF9FE3" w14:textId="77777777">
      <w:pPr>
        <w:spacing w:after="0" w:line="240" w:lineRule="auto"/>
        <w:jc w:val="both"/>
        <w:rPr>
          <w:rFonts w:ascii="Arial" w:hAnsi="Arial" w:eastAsia="Calibri" w:cs="Arial"/>
          <w:bCs/>
          <w:sz w:val="20"/>
          <w:szCs w:val="20"/>
          <w:lang w:val="es-ES_tradnl" w:eastAsia="es-ES_tradnl"/>
        </w:rPr>
      </w:pPr>
      <w:r w:rsidRPr="009303FD">
        <w:rPr>
          <w:rFonts w:ascii="Arial" w:hAnsi="Arial" w:eastAsia="Calibri" w:cs="Arial"/>
          <w:bCs/>
          <w:sz w:val="20"/>
          <w:szCs w:val="20"/>
          <w:lang w:val="es-ES_tradnl" w:eastAsia="es-ES_tradnl"/>
        </w:rPr>
        <w:t>[…] 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p>
    <w:p w:rsidRPr="009303FD" w:rsidR="00132C11" w:rsidP="00132C11" w:rsidRDefault="00132C11" w14:paraId="57059311" w14:textId="77777777">
      <w:pPr>
        <w:jc w:val="both"/>
        <w:rPr>
          <w:rFonts w:ascii="Arial" w:hAnsi="Arial" w:eastAsia="Calibri" w:cs="Arial"/>
          <w:b/>
          <w:sz w:val="20"/>
          <w:szCs w:val="20"/>
          <w:lang w:val="es-ES_tradnl"/>
        </w:rPr>
      </w:pPr>
    </w:p>
    <w:p w:rsidRPr="009303FD" w:rsidR="00132C11" w:rsidP="00132C11" w:rsidRDefault="00132C11" w14:paraId="0BE7D795" w14:textId="77777777">
      <w:pPr>
        <w:jc w:val="both"/>
        <w:rPr>
          <w:rFonts w:ascii="Arial" w:hAnsi="Arial" w:eastAsia="Calibri" w:cs="Arial"/>
          <w:b/>
          <w:sz w:val="20"/>
          <w:szCs w:val="20"/>
          <w:lang w:val="es-ES_tradnl"/>
        </w:rPr>
      </w:pPr>
      <w:r w:rsidRPr="009303FD">
        <w:rPr>
          <w:rFonts w:ascii="Arial" w:hAnsi="Arial" w:eastAsia="Calibri" w:cs="Arial"/>
          <w:b/>
          <w:sz w:val="20"/>
          <w:szCs w:val="20"/>
          <w:lang w:val="es-ES_tradnl"/>
        </w:rPr>
        <w:t>FACTORES DE DESEMPATE – Selección abreviada – Bienes y servicios de características técnicas uniformes – Ley 2069 de 2020 – Artículo 35 – Factores de desempate – Aplicación – Puntaje</w:t>
      </w:r>
    </w:p>
    <w:p w:rsidRPr="009303FD" w:rsidR="00132C11" w:rsidP="00132C11" w:rsidRDefault="00132C11" w14:paraId="584631E4" w14:textId="77777777">
      <w:pPr>
        <w:jc w:val="both"/>
        <w:rPr>
          <w:rFonts w:ascii="Arial" w:hAnsi="Arial" w:cs="Arial"/>
          <w:sz w:val="20"/>
          <w:szCs w:val="20"/>
          <w:lang w:val="es-ES_tradnl"/>
        </w:rPr>
      </w:pPr>
      <w:r w:rsidRPr="009303FD">
        <w:rPr>
          <w:rFonts w:ascii="Arial" w:hAnsi="Arial" w:eastAsia="Calibri" w:cs="Arial"/>
          <w:sz w:val="20"/>
          <w:szCs w:val="20"/>
          <w:lang w:val="es-ES_tradnl"/>
        </w:rPr>
        <w:t xml:space="preserve">[L]os factores de desempate consagrados en el artículo 35 de la Ley 2069 de 2020 aplican en “[…]  </w:t>
      </w:r>
      <w:r w:rsidRPr="009303FD">
        <w:rPr>
          <w:rFonts w:ascii="Arial" w:hAnsi="Arial" w:eastAsia="Calibri" w:cs="Arial"/>
          <w:i/>
          <w:iCs/>
          <w:sz w:val="20"/>
          <w:szCs w:val="20"/>
          <w:lang w:val="es-ES_tradnl"/>
        </w:rPr>
        <w:t>en los Procesos de Contratación realizados con cargo a recursos públicos</w:t>
      </w:r>
      <w:r w:rsidRPr="009303FD">
        <w:rPr>
          <w:rFonts w:ascii="Arial" w:hAnsi="Arial" w:eastAsia="Calibri" w:cs="Arial"/>
          <w:sz w:val="20"/>
          <w:szCs w:val="20"/>
          <w:lang w:val="es-ES_tradnl"/>
        </w:rPr>
        <w:t xml:space="preserve">, los Procesos de Contratación realizados por las Entidades Estatales indistintamente de su régimen de contratación, así como los celebrados por los Procesos de Contratación de los patrimonios autónomos constituidos por Entidades Estatales” (énfasis fuera de texto). </w:t>
      </w:r>
      <w:r w:rsidRPr="009303FD">
        <w:rPr>
          <w:rFonts w:ascii="Arial" w:hAnsi="Arial" w:cs="Arial"/>
          <w:sz w:val="20"/>
          <w:szCs w:val="20"/>
          <w:lang w:val="es-ES_tradnl"/>
        </w:rPr>
        <w:t xml:space="preserve">Este artículo es una norma transversal al sistema de compras y contratación pública, que debe aplicarse en todos los procedimientos de selección adelantados por las entidades estatales con cargo a recursos públicos, lo que, ante ausencia de distinción alguna en la norma, aplica a los procesos de selección abreviada para la adquisición de bienes y servicios de características técnicas uniformes y de común utilización, en cualquiera de sus modalidades, incluso la de bolsa de productos.  Lo anterior además por cuanto, el artículo 35 de la Ley 2069 de 2020 debe interpretarse de manera sistemática con las demás disposiciones del EGCAP, particularmente, con el artículo 5 de la Ley 1150 de 2007. Conforme esta idea, la expresión </w:t>
      </w:r>
      <w:r w:rsidRPr="009303FD">
        <w:rPr>
          <w:rFonts w:ascii="Arial" w:hAnsi="Arial" w:cs="Arial"/>
          <w:i/>
          <w:iCs/>
          <w:sz w:val="20"/>
          <w:szCs w:val="20"/>
          <w:lang w:val="es-ES_tradnl"/>
        </w:rPr>
        <w:t>empate en el puntaje total</w:t>
      </w:r>
      <w:r w:rsidRPr="009303FD">
        <w:rPr>
          <w:rFonts w:ascii="Arial" w:hAnsi="Arial" w:cs="Arial"/>
          <w:sz w:val="20"/>
          <w:szCs w:val="20"/>
          <w:lang w:val="es-ES_tradnl"/>
        </w:rPr>
        <w:t xml:space="preserve"> apunta a las situaciones en la evaluación final de las ofertas en las que, realizándose la comparación de acuerdo con los factores de calificación, evaluación o ponderación aplicables al respectivo procedimiento, se presenta un empate entre dos o más propuestas. En ese entendido, con independencia de que la ponderación emplee puntajes, fórmulas, criterios de relación costo – beneficio o de que el único criterio de evaluación sea el menor precio, deben aplicarse los factores de desempate del artículo 35 de la Ley 2069 de 2020.</w:t>
      </w:r>
    </w:p>
    <w:p w:rsidRPr="009303FD" w:rsidR="00132C11" w:rsidP="00132C11" w:rsidRDefault="00132C11" w14:paraId="17F4CB9A" w14:textId="77777777">
      <w:pPr>
        <w:spacing w:after="0"/>
        <w:rPr>
          <w:rFonts w:ascii="Arial" w:hAnsi="Arial" w:cs="Arial"/>
          <w:sz w:val="20"/>
          <w:szCs w:val="20"/>
        </w:rPr>
      </w:pPr>
    </w:p>
    <w:p w:rsidRPr="009303FD" w:rsidR="00132C11" w:rsidP="00132C11" w:rsidRDefault="00132C11" w14:paraId="25338945" w14:textId="77777777">
      <w:pPr>
        <w:spacing w:after="0"/>
        <w:rPr>
          <w:rFonts w:ascii="Arial" w:hAnsi="Arial" w:cs="Arial"/>
          <w:sz w:val="20"/>
          <w:szCs w:val="20"/>
        </w:rPr>
      </w:pPr>
    </w:p>
    <w:p w:rsidR="00132C11" w:rsidP="00132C11" w:rsidRDefault="00132C11" w14:paraId="4525E9FE" w14:textId="77532D9A">
      <w:pPr>
        <w:spacing w:after="0"/>
        <w:rPr>
          <w:rFonts w:ascii="Arial" w:hAnsi="Arial" w:cs="Arial"/>
        </w:rPr>
      </w:pPr>
    </w:p>
    <w:p w:rsidR="00CF4464" w:rsidP="00132C11" w:rsidRDefault="00CF4464" w14:paraId="4D09570B" w14:textId="7A5D22A0">
      <w:pPr>
        <w:spacing w:after="0"/>
        <w:rPr>
          <w:rFonts w:ascii="Arial" w:hAnsi="Arial" w:cs="Arial"/>
        </w:rPr>
      </w:pPr>
    </w:p>
    <w:p w:rsidR="00CF4464" w:rsidP="00132C11" w:rsidRDefault="00CF4464" w14:paraId="620647F6" w14:textId="2603A1AE">
      <w:pPr>
        <w:spacing w:after="0"/>
        <w:rPr>
          <w:rFonts w:ascii="Arial" w:hAnsi="Arial" w:cs="Arial"/>
        </w:rPr>
      </w:pPr>
    </w:p>
    <w:p w:rsidR="00CF4464" w:rsidP="00132C11" w:rsidRDefault="00CF4464" w14:paraId="745E469B" w14:textId="5FC7A390">
      <w:pPr>
        <w:spacing w:after="0"/>
        <w:rPr>
          <w:rFonts w:ascii="Arial" w:hAnsi="Arial" w:cs="Arial"/>
        </w:rPr>
      </w:pPr>
    </w:p>
    <w:p w:rsidR="00CF4464" w:rsidP="00132C11" w:rsidRDefault="00CF4464" w14:paraId="08DAC3E0" w14:textId="4B9925D1">
      <w:pPr>
        <w:spacing w:after="0"/>
        <w:rPr>
          <w:rFonts w:ascii="Arial" w:hAnsi="Arial" w:cs="Arial"/>
        </w:rPr>
      </w:pPr>
    </w:p>
    <w:p w:rsidR="00CF4464" w:rsidP="00132C11" w:rsidRDefault="00CF4464" w14:paraId="4D4C9AAB" w14:textId="0ED66080">
      <w:pPr>
        <w:spacing w:after="0"/>
        <w:rPr>
          <w:rFonts w:ascii="Arial" w:hAnsi="Arial" w:cs="Arial"/>
        </w:rPr>
      </w:pPr>
    </w:p>
    <w:p w:rsidR="00CF4464" w:rsidP="00132C11" w:rsidRDefault="00CF4464" w14:paraId="5140C1D3" w14:textId="3C58A5C0">
      <w:pPr>
        <w:spacing w:after="0"/>
        <w:rPr>
          <w:rFonts w:ascii="Arial" w:hAnsi="Arial" w:cs="Arial"/>
        </w:rPr>
      </w:pPr>
    </w:p>
    <w:p w:rsidR="00CF4464" w:rsidP="00132C11" w:rsidRDefault="00CF4464" w14:paraId="2FDB9862" w14:textId="1671B515">
      <w:pPr>
        <w:spacing w:after="0"/>
        <w:rPr>
          <w:rFonts w:ascii="Arial" w:hAnsi="Arial" w:cs="Arial"/>
        </w:rPr>
      </w:pPr>
    </w:p>
    <w:p w:rsidRPr="009303FD" w:rsidR="00CF4464" w:rsidP="00132C11" w:rsidRDefault="00CF4464" w14:paraId="233C9310" w14:textId="77777777">
      <w:pPr>
        <w:spacing w:after="0"/>
        <w:rPr>
          <w:rFonts w:ascii="Arial" w:hAnsi="Arial" w:cs="Arial"/>
        </w:rPr>
      </w:pPr>
    </w:p>
    <w:p w:rsidR="00132C11" w:rsidP="001D383B" w:rsidRDefault="00132C11" w14:paraId="26BC19A3" w14:textId="77777777">
      <w:pPr>
        <w:spacing w:after="0"/>
        <w:rPr>
          <w:rFonts w:ascii="Arial" w:hAnsi="Arial" w:cs="Arial"/>
        </w:rPr>
      </w:pPr>
    </w:p>
    <w:p w:rsidR="00132C11" w:rsidP="001D383B" w:rsidRDefault="00132C11" w14:paraId="6D14F01A" w14:textId="77777777">
      <w:pPr>
        <w:spacing w:after="0"/>
        <w:rPr>
          <w:rFonts w:ascii="Arial" w:hAnsi="Arial" w:cs="Arial"/>
        </w:rPr>
      </w:pPr>
    </w:p>
    <w:p w:rsidR="00132C11" w:rsidP="001D383B" w:rsidRDefault="00132C11" w14:paraId="1D269035" w14:textId="77777777">
      <w:pPr>
        <w:spacing w:after="0"/>
        <w:rPr>
          <w:rFonts w:ascii="Arial" w:hAnsi="Arial" w:cs="Arial"/>
        </w:rPr>
      </w:pPr>
    </w:p>
    <w:p w:rsidR="00CF4464" w:rsidP="00CF4464" w:rsidRDefault="00CF4464" w14:paraId="3435B6EC" w14:textId="24EF6F36">
      <w:pPr>
        <w:rPr>
          <w:rFonts w:ascii="Arial" w:hAnsi="Arial" w:cs="Arial"/>
        </w:rPr>
      </w:pPr>
      <w:r w:rsidRPr="00B02D21">
        <w:rPr>
          <w:rFonts w:ascii="Arial" w:hAnsi="Arial" w:cs="Arial"/>
        </w:rPr>
        <w:t xml:space="preserve">Bogotá D.C., </w:t>
      </w:r>
      <w:r>
        <w:rPr>
          <w:rFonts w:ascii="Arial" w:hAnsi="Arial" w:cs="Arial"/>
        </w:rPr>
        <w:t>14</w:t>
      </w:r>
      <w:r>
        <w:rPr>
          <w:rFonts w:ascii="Arial" w:hAnsi="Arial" w:cs="Arial"/>
        </w:rPr>
        <w:t xml:space="preserve"> de </w:t>
      </w:r>
      <w:r>
        <w:rPr>
          <w:rFonts w:ascii="Arial" w:hAnsi="Arial" w:cs="Arial"/>
        </w:rPr>
        <w:t>agosto</w:t>
      </w:r>
      <w:r>
        <w:rPr>
          <w:rFonts w:ascii="Arial" w:hAnsi="Arial" w:cs="Arial"/>
        </w:rPr>
        <w:t xml:space="preserve"> de 2023</w:t>
      </w:r>
      <w:r w:rsidRPr="000A1343">
        <w:rPr>
          <w:rFonts w:ascii="Arial" w:hAnsi="Arial" w:cs="Arial"/>
        </w:rPr>
        <w:tab/>
      </w:r>
    </w:p>
    <w:p w:rsidRPr="000A1343" w:rsidR="00CF4464" w:rsidP="00CF4464" w:rsidRDefault="00CF4464" w14:paraId="108A3D44" w14:textId="77777777">
      <w:pPr>
        <w:rPr>
          <w:rFonts w:ascii="Arial" w:hAnsi="Arial" w:cs="Arial"/>
        </w:rPr>
      </w:pPr>
    </w:p>
    <w:p w:rsidRPr="009303FD" w:rsidR="001D383B" w:rsidP="001D383B" w:rsidRDefault="001D383B" w14:paraId="2A168DBA" w14:textId="77777777">
      <w:pPr>
        <w:spacing w:after="0"/>
        <w:jc w:val="right"/>
        <w:rPr>
          <w:rFonts w:ascii="Arial" w:hAnsi="Arial" w:cs="Arial"/>
        </w:rPr>
      </w:pPr>
    </w:p>
    <w:p w:rsidRPr="009303FD" w:rsidR="001D383B" w:rsidP="001D383B" w:rsidRDefault="00CF4464" w14:paraId="3E47DC15" w14:textId="7055FB49">
      <w:pPr>
        <w:spacing w:after="0"/>
        <w:jc w:val="right"/>
        <w:rPr>
          <w:rFonts w:ascii="Arial" w:hAnsi="Arial" w:cs="Arial"/>
        </w:rPr>
      </w:pPr>
      <w:r w:rsidR="00CF4464">
        <w:drawing>
          <wp:inline wp14:editId="14EA59C0" wp14:anchorId="2D960280">
            <wp:extent cx="2911731" cy="767351"/>
            <wp:effectExtent l="0" t="0" r="3810" b="0"/>
            <wp:docPr id="1" name="Imagen 1" title=""/>
            <wp:cNvGraphicFramePr>
              <a:graphicFrameLocks noChangeAspect="1"/>
            </wp:cNvGraphicFramePr>
            <a:graphic>
              <a:graphicData uri="http://schemas.openxmlformats.org/drawingml/2006/picture">
                <pic:pic>
                  <pic:nvPicPr>
                    <pic:cNvPr id="0" name="Imagen 1"/>
                    <pic:cNvPicPr/>
                  </pic:nvPicPr>
                  <pic:blipFill>
                    <a:blip r:embed="R810cf81325e64423">
                      <a:extLst>
                        <a:ext xmlns:a="http://schemas.openxmlformats.org/drawingml/2006/main" uri="{28A0092B-C50C-407E-A947-70E740481C1C}">
                          <a14:useLocalDpi val="0"/>
                        </a:ext>
                      </a:extLst>
                    </a:blip>
                    <a:stretch>
                      <a:fillRect/>
                    </a:stretch>
                  </pic:blipFill>
                  <pic:spPr>
                    <a:xfrm rot="0" flipH="0" flipV="0">
                      <a:off x="0" y="0"/>
                      <a:ext cx="2911731" cy="767351"/>
                    </a:xfrm>
                    <a:prstGeom prst="rect">
                      <a:avLst/>
                    </a:prstGeom>
                  </pic:spPr>
                </pic:pic>
              </a:graphicData>
            </a:graphic>
          </wp:inline>
        </w:drawing>
      </w:r>
    </w:p>
    <w:p w:rsidRPr="009303FD" w:rsidR="001D383B" w:rsidP="001D383B" w:rsidRDefault="001D383B" w14:paraId="65D2F55B" w14:textId="77777777">
      <w:pPr>
        <w:spacing w:after="0"/>
        <w:rPr>
          <w:rFonts w:ascii="Arial" w:hAnsi="Arial" w:eastAsia="Geomanist Light" w:cs="Arial"/>
          <w:color w:val="201F1E"/>
          <w:lang w:val="es-MX"/>
        </w:rPr>
      </w:pPr>
      <w:bookmarkStart w:name="_Hlk34951122" w:id="3"/>
      <w:r w:rsidRPr="009303FD">
        <w:rPr>
          <w:rFonts w:ascii="Arial" w:hAnsi="Arial" w:cs="Arial"/>
          <w:lang w:val="es-MX"/>
        </w:rPr>
        <w:t>Señor:</w:t>
      </w:r>
    </w:p>
    <w:p w:rsidRPr="009303FD" w:rsidR="001D383B" w:rsidP="001D383B" w:rsidRDefault="001D383B" w14:paraId="691B9B31" w14:textId="77777777">
      <w:pPr>
        <w:spacing w:after="0" w:line="276" w:lineRule="auto"/>
        <w:rPr>
          <w:rFonts w:ascii="Arial" w:hAnsi="Arial" w:cs="Arial"/>
          <w:b/>
          <w:bCs/>
          <w:lang w:val="es-MX"/>
        </w:rPr>
      </w:pPr>
      <w:bookmarkStart w:name="_Hlk137493281" w:id="4"/>
      <w:r w:rsidRPr="009303FD">
        <w:rPr>
          <w:rFonts w:ascii="Arial" w:hAnsi="Arial" w:cs="Arial"/>
          <w:b/>
          <w:bCs/>
          <w:lang w:val="es-MX"/>
        </w:rPr>
        <w:t>Juan Guillermo Aguilar Rivera</w:t>
      </w:r>
    </w:p>
    <w:bookmarkEnd w:id="4"/>
    <w:p w:rsidRPr="009303FD" w:rsidR="001D383B" w:rsidP="001D383B" w:rsidRDefault="001D383B" w14:paraId="631D9FA9" w14:textId="77777777">
      <w:pPr>
        <w:spacing w:after="0" w:line="276" w:lineRule="auto"/>
        <w:rPr>
          <w:rFonts w:ascii="Arial" w:hAnsi="Arial" w:cs="Arial"/>
          <w:lang w:val="es-MX"/>
        </w:rPr>
      </w:pPr>
      <w:r w:rsidRPr="009303FD">
        <w:rPr>
          <w:rFonts w:ascii="Arial" w:hAnsi="Arial" w:cs="Arial"/>
          <w:lang w:val="es-MX"/>
        </w:rPr>
        <w:t>Ciudad</w:t>
      </w:r>
    </w:p>
    <w:p w:rsidRPr="009303FD" w:rsidR="001D383B" w:rsidP="001D383B" w:rsidRDefault="001D383B" w14:paraId="0282EFB7" w14:textId="77777777">
      <w:pPr>
        <w:spacing w:after="0" w:line="276" w:lineRule="auto"/>
        <w:rPr>
          <w:rFonts w:ascii="Arial" w:hAnsi="Arial" w:cs="Arial"/>
          <w:lang w:val="es-MX"/>
        </w:rPr>
      </w:pPr>
    </w:p>
    <w:p w:rsidRPr="009303FD" w:rsidR="001D383B" w:rsidP="001D383B" w:rsidRDefault="001D383B" w14:paraId="7432E05F" w14:textId="77777777">
      <w:pPr>
        <w:spacing w:after="0" w:line="276" w:lineRule="auto"/>
        <w:ind w:left="2832"/>
        <w:rPr>
          <w:rFonts w:ascii="Arial" w:hAnsi="Arial" w:eastAsia="Calibri" w:cs="Arial"/>
          <w:b/>
          <w:bCs/>
          <w:lang w:val="es-ES"/>
        </w:rPr>
      </w:pPr>
      <w:r w:rsidRPr="009303FD">
        <w:rPr>
          <w:rFonts w:ascii="Arial" w:hAnsi="Arial" w:eastAsia="Calibri" w:cs="Arial"/>
          <w:b/>
          <w:bCs/>
          <w:lang w:val="es-ES"/>
        </w:rPr>
        <w:t>Concepto C-322 del 2023</w:t>
      </w:r>
    </w:p>
    <w:p w:rsidRPr="009303FD" w:rsidR="001D383B" w:rsidP="001D383B" w:rsidRDefault="001D383B" w14:paraId="5ED692C0" w14:textId="77777777">
      <w:pPr>
        <w:spacing w:after="0" w:line="276" w:lineRule="auto"/>
        <w:jc w:val="both"/>
        <w:rPr>
          <w:rFonts w:ascii="Arial" w:hAnsi="Arial" w:eastAsia="Calibri" w:cs="Arial"/>
          <w:lang w:val="es-ES"/>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9303FD" w:rsidR="001D383B" w:rsidTr="00186DB0" w14:paraId="0FB3FE89" w14:textId="77777777">
        <w:trPr>
          <w:jc w:val="right"/>
        </w:trPr>
        <w:tc>
          <w:tcPr>
            <w:tcW w:w="1838" w:type="dxa"/>
          </w:tcPr>
          <w:p w:rsidRPr="009303FD" w:rsidR="001D383B" w:rsidP="00186DB0" w:rsidRDefault="001D383B" w14:paraId="68C8B26E" w14:textId="77777777">
            <w:pPr>
              <w:spacing w:line="276" w:lineRule="auto"/>
              <w:jc w:val="center"/>
              <w:rPr>
                <w:rFonts w:ascii="Arial" w:hAnsi="Arial" w:eastAsia="Calibri" w:cs="Arial"/>
                <w:lang w:val="es-ES_tradnl"/>
              </w:rPr>
            </w:pPr>
            <w:r w:rsidRPr="009303FD">
              <w:rPr>
                <w:rFonts w:ascii="Arial" w:hAnsi="Arial" w:eastAsia="Calibri" w:cs="Arial"/>
                <w:b/>
                <w:lang w:val="es-ES_tradnl"/>
              </w:rPr>
              <w:t>Temas:</w:t>
            </w:r>
          </w:p>
        </w:tc>
        <w:tc>
          <w:tcPr>
            <w:tcW w:w="6237" w:type="dxa"/>
          </w:tcPr>
          <w:p w:rsidRPr="009303FD" w:rsidR="001D383B" w:rsidP="00186DB0" w:rsidRDefault="001D383B" w14:paraId="76720844" w14:textId="77777777">
            <w:pPr>
              <w:jc w:val="both"/>
              <w:rPr>
                <w:rFonts w:ascii="Arial" w:hAnsi="Arial" w:eastAsia="Calibri" w:cs="Arial"/>
                <w:szCs w:val="24"/>
                <w:lang w:val="es-ES_tradnl" w:eastAsia="es-ES_tradnl"/>
              </w:rPr>
            </w:pPr>
            <w:r w:rsidRPr="009303FD">
              <w:rPr>
                <w:rFonts w:ascii="Arial" w:hAnsi="Arial" w:eastAsia="Calibri" w:cs="Arial"/>
                <w:bCs/>
                <w:lang w:val="es-ES_tradnl"/>
              </w:rPr>
              <w:t xml:space="preserve">SELECCIÓN OBJETIVA – Contratación estatal – Concepto / EMPATE – Procedimiento de selección – Concepto / FACTORES DE DESEMPATE – Características – Límites / </w:t>
            </w:r>
            <w:r w:rsidRPr="009303FD">
              <w:rPr>
                <w:rFonts w:ascii="Arial" w:hAnsi="Arial" w:eastAsia="Calibri" w:cs="Arial"/>
                <w:szCs w:val="24"/>
                <w:lang w:val="es-ES_tradnl" w:eastAsia="es-ES_tradnl"/>
              </w:rPr>
              <w:t>LEY DE EMPRENDIMIENTO – Ley 2069 de 2020 – Reglamentación – Decreto 1860 de 2021 – Vigencia</w:t>
            </w:r>
            <w:r w:rsidRPr="009303FD">
              <w:rPr>
                <w:rFonts w:ascii="Arial" w:hAnsi="Arial" w:eastAsia="Calibri" w:cs="Arial"/>
                <w:bCs/>
                <w:lang w:val="es-ES_tradnl"/>
              </w:rPr>
              <w:t>/ FACTORES DE DESEMPATE –Selección abreviada – Bienes y servicios de características técnicas uniformes y de común utilización – Ley 2069 de 2020 – Artículo 35 – Factores de desempate – Aplicación – Puntaje</w:t>
            </w:r>
          </w:p>
        </w:tc>
      </w:tr>
      <w:tr w:rsidRPr="009303FD" w:rsidR="001D383B" w:rsidTr="00186DB0" w14:paraId="24B71AA6" w14:textId="77777777">
        <w:trPr>
          <w:jc w:val="right"/>
        </w:trPr>
        <w:tc>
          <w:tcPr>
            <w:tcW w:w="1838" w:type="dxa"/>
          </w:tcPr>
          <w:p w:rsidRPr="009303FD" w:rsidR="001D383B" w:rsidP="00186DB0" w:rsidRDefault="001D383B" w14:paraId="07387B8E" w14:textId="77777777">
            <w:pPr>
              <w:spacing w:line="276" w:lineRule="auto"/>
              <w:jc w:val="center"/>
              <w:rPr>
                <w:rFonts w:ascii="Arial" w:hAnsi="Arial" w:eastAsia="Calibri" w:cs="Arial"/>
                <w:b/>
                <w:lang w:val="es-ES"/>
              </w:rPr>
            </w:pPr>
            <w:r w:rsidRPr="009303FD">
              <w:rPr>
                <w:rFonts w:ascii="Arial" w:hAnsi="Arial" w:eastAsia="Calibri" w:cs="Arial"/>
                <w:b/>
                <w:lang w:val="es-ES"/>
              </w:rPr>
              <w:t>Radicación:</w:t>
            </w:r>
          </w:p>
        </w:tc>
        <w:tc>
          <w:tcPr>
            <w:tcW w:w="6237" w:type="dxa"/>
          </w:tcPr>
          <w:p w:rsidRPr="009303FD" w:rsidR="001D383B" w:rsidP="00186DB0" w:rsidRDefault="001D383B" w14:paraId="1CE8A964" w14:textId="77777777">
            <w:pPr>
              <w:spacing w:line="276" w:lineRule="auto"/>
              <w:jc w:val="both"/>
              <w:rPr>
                <w:rFonts w:ascii="Arial" w:hAnsi="Arial" w:eastAsia="Calibri" w:cs="Arial"/>
                <w:lang w:val="es-ES"/>
              </w:rPr>
            </w:pPr>
            <w:r w:rsidRPr="009303FD">
              <w:rPr>
                <w:rFonts w:ascii="Arial" w:hAnsi="Arial" w:eastAsia="Calibri" w:cs="Arial"/>
                <w:lang w:val="es-ES"/>
              </w:rPr>
              <w:t>Respuesta a consulta P20230626012628</w:t>
            </w:r>
          </w:p>
        </w:tc>
      </w:tr>
    </w:tbl>
    <w:p w:rsidRPr="009303FD" w:rsidR="001D383B" w:rsidP="001D383B" w:rsidRDefault="001D383B" w14:paraId="1F862A6C" w14:textId="77777777">
      <w:pPr>
        <w:spacing w:line="276" w:lineRule="auto"/>
        <w:jc w:val="both"/>
        <w:rPr>
          <w:rFonts w:ascii="Arial" w:hAnsi="Arial" w:eastAsia="Calibri" w:cs="Arial"/>
          <w:lang w:val="es-ES_tradnl"/>
        </w:rPr>
      </w:pPr>
    </w:p>
    <w:p w:rsidRPr="009303FD" w:rsidR="001D383B" w:rsidP="001D383B" w:rsidRDefault="001D383B" w14:paraId="79163C16" w14:textId="77777777">
      <w:pPr>
        <w:spacing w:line="276" w:lineRule="auto"/>
        <w:jc w:val="both"/>
        <w:rPr>
          <w:rFonts w:ascii="Arial" w:hAnsi="Arial" w:eastAsia="Calibri" w:cs="Arial"/>
          <w:bCs/>
          <w:lang w:val="es-ES_tradnl"/>
        </w:rPr>
      </w:pPr>
      <w:r w:rsidRPr="009303FD">
        <w:rPr>
          <w:rFonts w:ascii="Arial" w:hAnsi="Arial" w:eastAsia="Calibri" w:cs="Arial"/>
          <w:lang w:val="es-ES_tradnl"/>
        </w:rPr>
        <w:t xml:space="preserve">Estimado señor </w:t>
      </w:r>
      <w:r w:rsidRPr="009303FD">
        <w:rPr>
          <w:rFonts w:ascii="Arial" w:hAnsi="Arial" w:cs="Arial"/>
          <w:lang w:val="es-MX"/>
        </w:rPr>
        <w:t>Aguilar Rivera</w:t>
      </w:r>
      <w:r w:rsidRPr="009303FD">
        <w:rPr>
          <w:rFonts w:ascii="Arial" w:hAnsi="Arial" w:eastAsia="Calibri" w:cs="Arial"/>
          <w:bCs/>
          <w:lang w:val="es-ES_tradnl"/>
        </w:rPr>
        <w:t>:</w:t>
      </w:r>
    </w:p>
    <w:p w:rsidRPr="009303FD" w:rsidR="001D383B" w:rsidP="001D383B" w:rsidRDefault="001D383B" w14:paraId="650C0370" w14:textId="77777777">
      <w:pPr>
        <w:spacing w:after="0" w:line="276" w:lineRule="auto"/>
        <w:jc w:val="both"/>
        <w:rPr>
          <w:rFonts w:ascii="Arial" w:hAnsi="Arial" w:eastAsia="Calibri" w:cs="Arial"/>
          <w:lang w:val="es-ES"/>
        </w:rPr>
      </w:pPr>
      <w:r w:rsidRPr="009303FD">
        <w:rPr>
          <w:rFonts w:ascii="Arial" w:hAnsi="Arial" w:eastAsia="Calibri" w:cs="Arial"/>
          <w:lang w:val="es-ES"/>
        </w:rPr>
        <w:t>En ejercicio de la competencia otorgada por el numeral 8° del artículo 11 y el numeral 5° del artículo 3 del Decreto Ley 4170 de 2011, la Agencia Nacional de Contratación Pública ― Colombia Compra Eficiente responde su consulta del</w:t>
      </w:r>
      <w:r w:rsidRPr="009303FD">
        <w:rPr>
          <w:rFonts w:ascii="Arial" w:hAnsi="Arial" w:eastAsia="Arial" w:cs="Arial"/>
        </w:rPr>
        <w:t xml:space="preserve"> 14 de junio de 2023, remitida por el Departamento Nacional de Planeación mediante oficio remisorio No. 20233200403591 el 26 de junio de 2023.</w:t>
      </w:r>
    </w:p>
    <w:p w:rsidRPr="009303FD" w:rsidR="001D383B" w:rsidP="001D383B" w:rsidRDefault="001D383B" w14:paraId="18ECCBD0" w14:textId="77777777">
      <w:pPr>
        <w:spacing w:after="0" w:line="276" w:lineRule="auto"/>
        <w:jc w:val="both"/>
        <w:rPr>
          <w:rFonts w:ascii="Arial" w:hAnsi="Arial" w:eastAsia="Calibri" w:cs="Arial"/>
          <w:lang w:val="es-ES"/>
        </w:rPr>
      </w:pPr>
    </w:p>
    <w:p w:rsidRPr="009303FD" w:rsidR="001D383B" w:rsidP="001D383B" w:rsidRDefault="001D383B" w14:paraId="4F53A229" w14:textId="77777777">
      <w:pPr>
        <w:pStyle w:val="Prrafodelista"/>
        <w:numPr>
          <w:ilvl w:val="0"/>
          <w:numId w:val="6"/>
        </w:numPr>
        <w:tabs>
          <w:tab w:val="left" w:pos="0"/>
          <w:tab w:val="left" w:pos="142"/>
          <w:tab w:val="left" w:pos="284"/>
        </w:tabs>
        <w:spacing w:after="0" w:line="276" w:lineRule="auto"/>
        <w:ind w:left="0" w:firstLine="0"/>
        <w:jc w:val="both"/>
        <w:rPr>
          <w:rFonts w:ascii="Arial" w:hAnsi="Arial" w:eastAsia="Calibri" w:cs="Arial"/>
          <w:b/>
          <w:lang w:val="es-ES_tradnl"/>
        </w:rPr>
      </w:pPr>
      <w:r w:rsidRPr="009303FD">
        <w:rPr>
          <w:rFonts w:ascii="Arial" w:hAnsi="Arial" w:eastAsia="Calibri" w:cs="Arial"/>
          <w:b/>
          <w:lang w:val="es-ES_tradnl"/>
        </w:rPr>
        <w:t xml:space="preserve">Problema planteado </w:t>
      </w:r>
    </w:p>
    <w:p w:rsidRPr="009303FD" w:rsidR="001D383B" w:rsidP="001D383B" w:rsidRDefault="001D383B" w14:paraId="5680D031" w14:textId="77777777">
      <w:pPr>
        <w:jc w:val="both"/>
        <w:rPr>
          <w:rFonts w:ascii="Arial" w:hAnsi="Arial" w:cs="Arial"/>
          <w:iCs/>
          <w:lang w:val="es-ES_tradnl"/>
        </w:rPr>
      </w:pPr>
      <w:r w:rsidRPr="009303FD">
        <w:rPr>
          <w:rFonts w:ascii="Arial" w:hAnsi="Arial" w:cs="Arial"/>
          <w:iCs/>
          <w:lang w:val="es-ES_tradnl"/>
        </w:rPr>
        <w:t xml:space="preserve">Usted formula la siguiente consulta: </w:t>
      </w:r>
    </w:p>
    <w:p w:rsidRPr="009303FD" w:rsidR="001D383B" w:rsidP="001D383B" w:rsidRDefault="001D383B" w14:paraId="26BFC4B7" w14:textId="77777777">
      <w:pPr>
        <w:ind w:left="567" w:right="851"/>
        <w:jc w:val="both"/>
        <w:rPr>
          <w:rFonts w:ascii="Arial" w:hAnsi="Arial" w:cs="Arial"/>
          <w:sz w:val="21"/>
          <w:szCs w:val="21"/>
        </w:rPr>
      </w:pPr>
      <w:r w:rsidRPr="009303FD">
        <w:rPr>
          <w:rFonts w:ascii="Arial" w:hAnsi="Arial" w:cs="Arial"/>
          <w:sz w:val="21"/>
          <w:szCs w:val="21"/>
        </w:rPr>
        <w:t>“</w:t>
      </w:r>
      <w:r w:rsidRPr="009303FD">
        <w:rPr>
          <w:rFonts w:ascii="Arial" w:hAnsi="Arial" w:eastAsia="Calibri" w:cs="Arial"/>
          <w:sz w:val="20"/>
          <w:szCs w:val="20"/>
          <w:lang w:val="es-ES" w:eastAsia="es-ES"/>
        </w:rPr>
        <w:t xml:space="preserve">[…] </w:t>
      </w:r>
      <w:r w:rsidRPr="009303FD">
        <w:rPr>
          <w:rFonts w:ascii="Arial" w:hAnsi="Arial" w:cs="Arial"/>
          <w:sz w:val="21"/>
          <w:szCs w:val="21"/>
        </w:rPr>
        <w:t xml:space="preserve">La </w:t>
      </w:r>
      <w:r w:rsidRPr="009303FD">
        <w:rPr>
          <w:rFonts w:ascii="Arial" w:hAnsi="Arial" w:cs="Arial"/>
          <w:iCs/>
          <w:sz w:val="21"/>
          <w:szCs w:val="21"/>
          <w:lang w:val="es-ES_tradnl"/>
        </w:rPr>
        <w:t xml:space="preserve">BMC administra, entre otros escenarios de negociación, el Mercado de Compra Públicas (en adelante “MCP”), el cual tiene como fin atender las necesidades de compra de las entidades estatales, mediante un proceso de </w:t>
      </w:r>
      <w:r w:rsidRPr="009303FD">
        <w:rPr>
          <w:rFonts w:ascii="Arial" w:hAnsi="Arial" w:cs="Arial"/>
          <w:iCs/>
          <w:sz w:val="21"/>
          <w:szCs w:val="21"/>
          <w:lang w:val="es-ES_tradnl"/>
        </w:rPr>
        <w:t>selección abreviada para la adquisición de</w:t>
      </w:r>
      <w:r w:rsidRPr="009303FD">
        <w:rPr>
          <w:rFonts w:ascii="Arial" w:hAnsi="Arial" w:cs="Arial"/>
          <w:sz w:val="21"/>
          <w:szCs w:val="21"/>
        </w:rPr>
        <w:t xml:space="preserve"> </w:t>
      </w:r>
      <w:r w:rsidRPr="009303FD">
        <w:rPr>
          <w:rFonts w:ascii="Arial" w:hAnsi="Arial" w:cs="Arial"/>
          <w:iCs/>
          <w:sz w:val="21"/>
          <w:szCs w:val="21"/>
          <w:lang w:val="es-ES_tradnl"/>
        </w:rPr>
        <w:t>bienes y servicios con características técnicas uniformes, de conformidad con lo establecido</w:t>
      </w:r>
      <w:r w:rsidRPr="009303FD">
        <w:rPr>
          <w:rFonts w:ascii="Arial" w:hAnsi="Arial" w:cs="Arial"/>
          <w:sz w:val="21"/>
          <w:szCs w:val="21"/>
        </w:rPr>
        <w:t xml:space="preserve"> </w:t>
      </w:r>
      <w:r w:rsidRPr="009303FD">
        <w:rPr>
          <w:rFonts w:ascii="Arial" w:hAnsi="Arial" w:cs="Arial"/>
          <w:iCs/>
          <w:sz w:val="21"/>
          <w:szCs w:val="21"/>
          <w:lang w:val="es-ES_tradnl"/>
        </w:rPr>
        <w:t>en los artículos 2.2.1.2.1.2.11 y siguientes del Decreto 1082 de 2015 (artículo 50 y</w:t>
      </w:r>
      <w:r w:rsidRPr="009303FD">
        <w:rPr>
          <w:rFonts w:ascii="Arial" w:hAnsi="Arial" w:cs="Arial"/>
          <w:sz w:val="21"/>
          <w:szCs w:val="21"/>
        </w:rPr>
        <w:t xml:space="preserve"> </w:t>
      </w:r>
      <w:r w:rsidRPr="009303FD">
        <w:rPr>
          <w:rFonts w:ascii="Arial" w:hAnsi="Arial" w:cs="Arial"/>
          <w:iCs/>
          <w:sz w:val="21"/>
          <w:szCs w:val="21"/>
          <w:lang w:val="es-ES_tradnl"/>
        </w:rPr>
        <w:t>siguientes del Decreto 1510 de 2013), el cual a su turno es reglamentario de las normas</w:t>
      </w:r>
      <w:r w:rsidRPr="009303FD">
        <w:rPr>
          <w:rFonts w:ascii="Arial" w:hAnsi="Arial" w:cs="Arial"/>
          <w:sz w:val="21"/>
          <w:szCs w:val="21"/>
        </w:rPr>
        <w:t xml:space="preserve"> </w:t>
      </w:r>
      <w:r w:rsidRPr="009303FD">
        <w:rPr>
          <w:rFonts w:ascii="Arial" w:hAnsi="Arial" w:cs="Arial"/>
          <w:iCs/>
          <w:sz w:val="21"/>
          <w:szCs w:val="21"/>
          <w:lang w:val="es-ES_tradnl"/>
        </w:rPr>
        <w:t>señaladas en la Ley 80 de 1993, así como en el propio Reglamento de Funcionamiento y</w:t>
      </w:r>
      <w:r w:rsidRPr="009303FD">
        <w:rPr>
          <w:rFonts w:ascii="Arial" w:hAnsi="Arial" w:cs="Arial"/>
          <w:sz w:val="21"/>
          <w:szCs w:val="21"/>
        </w:rPr>
        <w:t xml:space="preserve"> </w:t>
      </w:r>
      <w:r w:rsidRPr="009303FD">
        <w:rPr>
          <w:rFonts w:ascii="Arial" w:hAnsi="Arial" w:cs="Arial"/>
          <w:iCs/>
          <w:sz w:val="21"/>
          <w:szCs w:val="21"/>
          <w:lang w:val="es-ES_tradnl"/>
        </w:rPr>
        <w:t>Operación de la BMC.</w:t>
      </w:r>
    </w:p>
    <w:p w:rsidRPr="009303FD" w:rsidR="001D383B" w:rsidP="001D383B" w:rsidRDefault="001D383B" w14:paraId="25EA5CF3" w14:textId="77777777">
      <w:pPr>
        <w:ind w:left="567" w:right="851"/>
        <w:jc w:val="both"/>
        <w:rPr>
          <w:rFonts w:ascii="Arial" w:hAnsi="Arial" w:cs="Arial"/>
          <w:i/>
          <w:iCs/>
          <w:lang w:val="es-ES_tradnl"/>
        </w:rPr>
      </w:pPr>
      <w:r w:rsidRPr="009303FD">
        <w:rPr>
          <w:rFonts w:ascii="Arial" w:hAnsi="Arial" w:cs="Arial"/>
          <w:iCs/>
          <w:sz w:val="21"/>
          <w:szCs w:val="21"/>
          <w:lang w:val="es-ES_tradnl"/>
        </w:rPr>
        <w:t>En atención a lo anterior, y teniendo en cuenta que el artículo 35 de la Ley 2069 de 2020,</w:t>
      </w:r>
      <w:r w:rsidRPr="009303FD">
        <w:rPr>
          <w:rFonts w:ascii="Arial" w:hAnsi="Arial" w:cs="Arial"/>
          <w:sz w:val="21"/>
          <w:szCs w:val="21"/>
        </w:rPr>
        <w:t xml:space="preserve"> </w:t>
      </w:r>
      <w:r w:rsidRPr="009303FD">
        <w:rPr>
          <w:rFonts w:ascii="Arial" w:hAnsi="Arial" w:cs="Arial"/>
          <w:iCs/>
          <w:sz w:val="21"/>
          <w:szCs w:val="21"/>
          <w:lang w:val="es-ES_tradnl"/>
        </w:rPr>
        <w:t>reglamentado por el Gobierno Nacional (Presidencia de la República, Departamento Nacional de Planeación y Ministerio de Comercio, Industria y Turismo) a través del artículo</w:t>
      </w:r>
      <w:r w:rsidRPr="009303FD">
        <w:rPr>
          <w:rFonts w:ascii="Arial" w:hAnsi="Arial" w:cs="Arial"/>
          <w:sz w:val="21"/>
          <w:szCs w:val="21"/>
        </w:rPr>
        <w:t xml:space="preserve"> </w:t>
      </w:r>
      <w:r w:rsidRPr="009303FD">
        <w:rPr>
          <w:rFonts w:ascii="Arial" w:hAnsi="Arial" w:cs="Arial"/>
          <w:iCs/>
          <w:sz w:val="21"/>
          <w:szCs w:val="21"/>
          <w:lang w:val="es-ES_tradnl"/>
        </w:rPr>
        <w:t>31 del Decreto 1860 de 2021, dispone que en caso de empate entre dos o más ofertas en los procesos de contratación realizados con cargo a recursos públicos, indistintamente del régimen aplicable, se deberán utilizar los criterios allí señalados para seleccionar al oferente favorecido, de manera atenta solicitamos aclarar si dichos factores sobre desempate resultan o no aplicables al MCP administrado por la BMC, teniendo en cuenta su especial naturaleza y su sometimiento a unas reglas propias</w:t>
      </w:r>
      <w:r w:rsidRPr="009303FD">
        <w:rPr>
          <w:rFonts w:ascii="Arial" w:hAnsi="Arial" w:cs="Arial"/>
          <w:iCs/>
          <w:lang w:val="es-ES_tradnl"/>
        </w:rPr>
        <w:t>.”</w:t>
      </w:r>
    </w:p>
    <w:p w:rsidRPr="009303FD" w:rsidR="001D383B" w:rsidP="001D383B" w:rsidRDefault="001D383B" w14:paraId="2AFCA029" w14:textId="77777777">
      <w:pPr>
        <w:spacing w:after="0" w:line="240" w:lineRule="auto"/>
        <w:ind w:left="708" w:right="709"/>
        <w:jc w:val="both"/>
        <w:rPr>
          <w:rFonts w:ascii="Arial" w:hAnsi="Arial" w:cs="Arial"/>
          <w:sz w:val="21"/>
          <w:szCs w:val="21"/>
          <w:lang w:val="es-ES_tradnl"/>
        </w:rPr>
      </w:pPr>
    </w:p>
    <w:p w:rsidRPr="009303FD" w:rsidR="001D383B" w:rsidP="001D383B" w:rsidRDefault="001D383B" w14:paraId="3898FC1E" w14:textId="77777777">
      <w:pPr>
        <w:pStyle w:val="Prrafodelista"/>
        <w:numPr>
          <w:ilvl w:val="0"/>
          <w:numId w:val="6"/>
        </w:numPr>
        <w:tabs>
          <w:tab w:val="left" w:pos="0"/>
          <w:tab w:val="left" w:pos="284"/>
        </w:tabs>
        <w:spacing w:after="0" w:line="276" w:lineRule="auto"/>
        <w:ind w:left="0" w:firstLine="0"/>
        <w:contextualSpacing w:val="0"/>
        <w:jc w:val="both"/>
        <w:rPr>
          <w:rFonts w:ascii="Arial" w:hAnsi="Arial" w:eastAsia="Calibri" w:cs="Arial"/>
          <w:b/>
          <w:lang w:val="es-ES_tradnl"/>
        </w:rPr>
      </w:pPr>
      <w:r w:rsidRPr="009303FD">
        <w:rPr>
          <w:rFonts w:ascii="Arial" w:hAnsi="Arial" w:eastAsia="Calibri" w:cs="Arial"/>
          <w:b/>
          <w:lang w:val="es-ES_tradnl"/>
        </w:rPr>
        <w:t>Consideraciones</w:t>
      </w:r>
    </w:p>
    <w:p w:rsidRPr="009303FD" w:rsidR="001D383B" w:rsidP="001D383B" w:rsidRDefault="001D383B" w14:paraId="600CDFB7" w14:textId="77777777">
      <w:pPr>
        <w:pStyle w:val="Prrafodelista"/>
        <w:tabs>
          <w:tab w:val="left" w:pos="0"/>
          <w:tab w:val="left" w:pos="284"/>
        </w:tabs>
        <w:spacing w:after="0" w:line="276" w:lineRule="auto"/>
        <w:ind w:left="0"/>
        <w:contextualSpacing w:val="0"/>
        <w:jc w:val="both"/>
        <w:rPr>
          <w:rFonts w:ascii="Arial" w:hAnsi="Arial" w:eastAsia="Calibri" w:cs="Arial"/>
          <w:b/>
          <w:lang w:val="es-ES_tradnl"/>
        </w:rPr>
      </w:pPr>
    </w:p>
    <w:p w:rsidRPr="009303FD" w:rsidR="001D383B" w:rsidP="001D383B" w:rsidRDefault="001D383B" w14:paraId="68EF60FF" w14:textId="77777777">
      <w:pPr>
        <w:spacing w:after="120" w:line="276" w:lineRule="auto"/>
        <w:jc w:val="both"/>
        <w:rPr>
          <w:rFonts w:ascii="Arial" w:hAnsi="Arial" w:cs="Arial"/>
          <w:lang w:val="es-ES"/>
        </w:rPr>
      </w:pPr>
      <w:r w:rsidRPr="009303FD">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5"/>
      <w:bookmarkStart w:name="_Hlk62136649" w:id="6"/>
      <w:r w:rsidRPr="009303FD">
        <w:rPr>
          <w:rFonts w:ascii="Arial" w:hAnsi="Arial" w:cs="Arial"/>
        </w:rPr>
        <w:t xml:space="preserve">. </w:t>
      </w:r>
      <w:r w:rsidRPr="009303FD">
        <w:rPr>
          <w:rFonts w:ascii="Arial" w:hAnsi="Arial" w:cs="Arial"/>
          <w:lang w:val="es-ES"/>
        </w:rPr>
        <w:t xml:space="preserve">Es necesario tener en cuenta que </w:t>
      </w:r>
      <w:bookmarkStart w:name="_Hlk61026958" w:id="7"/>
      <w:r w:rsidRPr="009303FD">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303FD">
        <w:rPr>
          <w:rFonts w:ascii="Arial" w:hAnsi="Arial" w:cs="Arial"/>
        </w:rPr>
        <w:t xml:space="preserve"> de todos los partícipes de la contratación estatal.</w:t>
      </w:r>
      <w:r w:rsidRPr="009303FD">
        <w:rPr>
          <w:rFonts w:ascii="Arial" w:hAnsi="Arial" w:cs="Arial"/>
          <w:lang w:val="es-ES"/>
        </w:rPr>
        <w:t xml:space="preserve"> </w:t>
      </w:r>
      <w:bookmarkEnd w:id="5"/>
      <w:bookmarkEnd w:id="6"/>
      <w:bookmarkEnd w:id="7"/>
    </w:p>
    <w:p w:rsidRPr="009303FD" w:rsidR="001D383B" w:rsidP="001D383B" w:rsidRDefault="001D383B" w14:paraId="4268F798" w14:textId="77777777">
      <w:pPr>
        <w:spacing w:after="120" w:line="276" w:lineRule="auto"/>
        <w:ind w:firstLine="708"/>
        <w:jc w:val="both"/>
        <w:rPr>
          <w:rFonts w:ascii="Arial" w:hAnsi="Arial" w:cs="Arial"/>
          <w:lang w:val="es-ES"/>
        </w:rPr>
      </w:pPr>
      <w:r w:rsidRPr="009303FD">
        <w:rPr>
          <w:rFonts w:ascii="Arial" w:hAnsi="Arial" w:eastAsia="Calibri"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303FD">
        <w:rPr>
          <w:rFonts w:ascii="Arial" w:hAnsi="Arial" w:eastAsia="Calibri" w:cs="Arial"/>
          <w:vertAlign w:val="superscript"/>
          <w:lang w:val="es-ES"/>
        </w:rPr>
        <w:footnoteReference w:id="1"/>
      </w:r>
      <w:r w:rsidRPr="009303FD">
        <w:rPr>
          <w:rFonts w:ascii="Arial" w:hAnsi="Arial" w:eastAsia="Calibri" w:cs="Arial"/>
          <w:lang w:val="es-ES"/>
        </w:rPr>
        <w:t xml:space="preserve">. Esta </w:t>
      </w:r>
      <w:r w:rsidRPr="009303FD">
        <w:rPr>
          <w:rFonts w:ascii="Arial" w:hAnsi="Arial" w:eastAsia="Calibri" w:cs="Arial"/>
          <w:lang w:val="es-ES"/>
        </w:rPr>
        <w:t xml:space="preserve">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rsidRPr="009303FD" w:rsidR="001D383B" w:rsidP="001D383B" w:rsidRDefault="001D383B" w14:paraId="4FEF5DB5" w14:textId="77777777">
      <w:pPr>
        <w:tabs>
          <w:tab w:val="left" w:pos="426"/>
        </w:tabs>
        <w:spacing w:line="276" w:lineRule="auto"/>
        <w:ind w:firstLine="709"/>
        <w:jc w:val="both"/>
        <w:rPr>
          <w:rFonts w:ascii="Arial" w:hAnsi="Arial" w:eastAsia="Calibri" w:cs="Arial"/>
          <w:color w:val="000000"/>
        </w:rPr>
      </w:pPr>
      <w:r w:rsidRPr="009303FD">
        <w:rPr>
          <w:rFonts w:ascii="Arial" w:hAnsi="Arial" w:cs="Arial"/>
          <w:lang w:val="es-ES"/>
        </w:rPr>
        <w:t>Sin perjuicio de lo anterior, la Agencia –dentro de los límites de sus atribuciones– resolverá la consulta conforme a las normas generales en materia de contratación estatal. En línea con lo anterior, p</w:t>
      </w:r>
      <w:r w:rsidRPr="009303FD">
        <w:rPr>
          <w:rFonts w:ascii="Arial" w:hAnsi="Arial" w:eastAsia="Calibri" w:cs="Arial"/>
          <w:bCs/>
          <w:lang w:val="es-ES_tradnl"/>
        </w:rPr>
        <w:t xml:space="preserve">ara responder la consulta planteada, la Agencia </w:t>
      </w:r>
      <w:r w:rsidRPr="009303FD">
        <w:rPr>
          <w:rFonts w:ascii="Arial" w:hAnsi="Arial" w:eastAsia="Calibri" w:cs="Arial"/>
        </w:rPr>
        <w:t xml:space="preserve">Nacional de Contratación Pública ‒ Colombia Compra Eficiente realizará algunas consideraciones sobre los siguientes temas: </w:t>
      </w:r>
      <w:r w:rsidRPr="009303FD">
        <w:rPr>
          <w:rFonts w:ascii="Arial" w:hAnsi="Arial" w:eastAsia="Calibri" w:cs="Arial"/>
          <w:lang w:val="es-ES_tradnl" w:eastAsia="es-ES_tradnl"/>
        </w:rPr>
        <w:t xml:space="preserve">i) factores de desempate en la contratación estatal, </w:t>
      </w:r>
      <w:proofErr w:type="spellStart"/>
      <w:r w:rsidRPr="009303FD">
        <w:rPr>
          <w:rFonts w:ascii="Arial" w:hAnsi="Arial" w:eastAsia="Calibri" w:cs="Arial"/>
          <w:lang w:val="es-ES_tradnl" w:eastAsia="es-ES_tradnl"/>
        </w:rPr>
        <w:t>ii</w:t>
      </w:r>
      <w:proofErr w:type="spellEnd"/>
      <w:r w:rsidRPr="009303FD">
        <w:rPr>
          <w:rFonts w:ascii="Arial" w:hAnsi="Arial" w:eastAsia="Calibri" w:cs="Arial"/>
          <w:lang w:val="es-ES_tradnl" w:eastAsia="es-ES_tradnl"/>
        </w:rPr>
        <w:t>)</w:t>
      </w:r>
      <w:r w:rsidRPr="009303FD">
        <w:rPr>
          <w:rFonts w:ascii="Arial" w:hAnsi="Arial" w:eastAsia="Calibri" w:cs="Arial"/>
          <w:color w:val="000000" w:themeColor="text1"/>
          <w:lang w:val="es-ES_tradnl"/>
        </w:rPr>
        <w:t xml:space="preserve"> </w:t>
      </w:r>
      <w:r w:rsidRPr="009303FD">
        <w:rPr>
          <w:rFonts w:ascii="Arial" w:hAnsi="Arial" w:eastAsia="Calibri" w:cs="Arial"/>
          <w:lang w:val="es-ES_tradnl" w:eastAsia="es-ES_tradnl"/>
        </w:rPr>
        <w:t xml:space="preserve">ámbito de aplicación, vigencia y reglamentación de la Ley 2069 de 2020 y </w:t>
      </w:r>
      <w:proofErr w:type="spellStart"/>
      <w:r w:rsidRPr="009303FD">
        <w:rPr>
          <w:rFonts w:ascii="Arial" w:hAnsi="Arial" w:eastAsia="Calibri" w:cs="Arial"/>
          <w:lang w:val="es-ES_tradnl" w:eastAsia="es-ES_tradnl"/>
        </w:rPr>
        <w:t>iii</w:t>
      </w:r>
      <w:proofErr w:type="spellEnd"/>
      <w:r w:rsidRPr="009303FD">
        <w:rPr>
          <w:rFonts w:ascii="Arial" w:hAnsi="Arial" w:eastAsia="Calibri" w:cs="Arial"/>
          <w:lang w:val="es-ES_tradnl" w:eastAsia="es-ES_tradnl"/>
        </w:rPr>
        <w:t>) aplicación de los factores de desempate del artículo 35 de la Ley 2069 de 2020 en procesos de selección abreviada para la adquisición de bienes y servicios de características técnicas uniformes.</w:t>
      </w:r>
    </w:p>
    <w:p w:rsidR="001D383B" w:rsidP="009303FD" w:rsidRDefault="001D383B" w14:paraId="2CEABA47" w14:textId="3E1AD9D3">
      <w:pPr>
        <w:tabs>
          <w:tab w:val="left" w:pos="426"/>
        </w:tabs>
        <w:spacing w:after="0" w:line="276" w:lineRule="auto"/>
        <w:ind w:firstLine="709"/>
        <w:jc w:val="both"/>
        <w:rPr>
          <w:rFonts w:ascii="Arial" w:hAnsi="Arial" w:eastAsia="Calibri" w:cs="Arial"/>
          <w:lang w:val="es-ES_tradnl" w:eastAsia="es-ES_tradnl"/>
        </w:rPr>
      </w:pPr>
      <w:r w:rsidRPr="009303FD">
        <w:rPr>
          <w:rFonts w:ascii="Arial" w:hAnsi="Arial" w:eastAsia="Calibri" w:cs="Arial"/>
          <w:color w:val="000000"/>
        </w:rPr>
        <w:t xml:space="preserve"> </w:t>
      </w:r>
      <w:r w:rsidRPr="009303FD">
        <w:rPr>
          <w:rFonts w:ascii="Arial" w:hAnsi="Arial" w:eastAsia="Calibri" w:cs="Arial"/>
          <w:lang w:val="es-ES_tradnl" w:eastAsia="es-ES_tradnl"/>
        </w:rPr>
        <w:t xml:space="preserve">La Agencia Nacional de Contratación Pública – Colombia Compra Eficiente se pronunció, en términos generales, sobre los factores de desempate en los procedimientos de contratación estatal, en los conceptos </w:t>
      </w:r>
      <w:r w:rsidRPr="009303FD">
        <w:rPr>
          <w:rFonts w:ascii="Arial" w:hAnsi="Arial" w:eastAsia="Times New Roman" w:cs="Arial"/>
          <w:shd w:val="clear" w:color="auto" w:fill="FFFFFF"/>
          <w:lang w:eastAsia="es-ES_tradnl"/>
        </w:rPr>
        <w:t>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 C-320 del 1 de julio de 2021, C-338 del 12 de julio de 2021, C-444 del 23 de julio de, 2021, C-437 del 24 de agosto de 2021,  C-518 del 20 de septiembre de 2021,   C-438 del 28 de septiembre de 2021, C-576 del 13 de octubre de 2021, C-582 del 14 de octubre de 2021, C-586 del 14 de octubre de 2021, C-617 del 6 diciembre de 2021,  C-584 del 13 de diciembre de 2021, C-689 del 5 de enero de 2022, C-741 del 1 de febrero de 2022 y C-750 del 4 de febrero de 2022, C-322 del 20 de mayo de 2022 y C-468 del 22 de julio de 2022</w:t>
      </w:r>
      <w:r w:rsidRPr="009303FD">
        <w:rPr>
          <w:rFonts w:ascii="Arial" w:hAnsi="Arial" w:eastAsia="Times New Roman" w:cs="Arial"/>
          <w:shd w:val="clear" w:color="auto" w:fill="FFFFFF"/>
          <w:vertAlign w:val="superscript"/>
          <w:lang w:eastAsia="es-ES_tradnl"/>
        </w:rPr>
        <w:footnoteReference w:id="2"/>
      </w:r>
      <w:r w:rsidRPr="009303FD">
        <w:rPr>
          <w:rFonts w:ascii="Arial" w:hAnsi="Arial" w:eastAsia="Times New Roman" w:cs="Arial"/>
          <w:shd w:val="clear" w:color="auto" w:fill="FFFFFF"/>
          <w:lang w:eastAsia="es-ES_tradnl"/>
        </w:rPr>
        <w:t>, entre otros</w:t>
      </w:r>
      <w:r w:rsidRPr="009303FD">
        <w:rPr>
          <w:rFonts w:ascii="Arial" w:hAnsi="Arial" w:eastAsia="Calibri" w:cs="Arial"/>
          <w:lang w:val="es-ES_tradnl" w:eastAsia="es-ES_tradnl"/>
        </w:rPr>
        <w:t>. Algunas de las consideraciones de estos conceptos se reiteran a continuación y se complementan en lo pertinente.</w:t>
      </w:r>
    </w:p>
    <w:p w:rsidRPr="009303FD" w:rsidR="009303FD" w:rsidP="009303FD" w:rsidRDefault="009303FD" w14:paraId="27235775" w14:textId="77777777">
      <w:pPr>
        <w:tabs>
          <w:tab w:val="left" w:pos="426"/>
        </w:tabs>
        <w:spacing w:after="0" w:line="276" w:lineRule="auto"/>
        <w:ind w:firstLine="709"/>
        <w:jc w:val="both"/>
        <w:rPr>
          <w:rFonts w:ascii="Arial" w:hAnsi="Arial" w:eastAsia="Calibri" w:cs="Arial"/>
          <w:lang w:val="es-ES_tradnl" w:eastAsia="es-ES_tradnl"/>
        </w:rPr>
      </w:pPr>
    </w:p>
    <w:p w:rsidR="001D383B" w:rsidP="009303FD" w:rsidRDefault="001D383B" w14:paraId="43F9013F" w14:textId="5CCE6C9D">
      <w:pPr>
        <w:spacing w:after="0" w:line="276" w:lineRule="auto"/>
        <w:jc w:val="both"/>
        <w:rPr>
          <w:rFonts w:ascii="Arial" w:hAnsi="Arial" w:eastAsia="Calibri" w:cs="Arial"/>
          <w:b/>
          <w:bCs/>
          <w:lang w:val="es-ES_tradnl"/>
        </w:rPr>
      </w:pPr>
      <w:r w:rsidRPr="009303FD">
        <w:rPr>
          <w:rFonts w:ascii="Arial" w:hAnsi="Arial" w:eastAsia="Calibri" w:cs="Arial"/>
          <w:b/>
          <w:bCs/>
          <w:lang w:val="es-ES_tradnl"/>
        </w:rPr>
        <w:t>2.1. Factores de desempate en la contratación estatal: concepto y características</w:t>
      </w:r>
    </w:p>
    <w:p w:rsidRPr="009303FD" w:rsidR="009303FD" w:rsidP="009303FD" w:rsidRDefault="009303FD" w14:paraId="7629A929" w14:textId="77777777">
      <w:pPr>
        <w:spacing w:after="0" w:line="276" w:lineRule="auto"/>
        <w:jc w:val="both"/>
        <w:rPr>
          <w:rFonts w:ascii="Arial" w:hAnsi="Arial" w:eastAsia="Calibri" w:cs="Arial"/>
          <w:b/>
          <w:bCs/>
          <w:lang w:val="es-ES_tradnl"/>
        </w:rPr>
      </w:pPr>
    </w:p>
    <w:p w:rsidRPr="009303FD" w:rsidR="001D383B" w:rsidP="001D383B" w:rsidRDefault="001D383B" w14:paraId="42B1A45B" w14:textId="77777777">
      <w:pPr>
        <w:spacing w:line="276" w:lineRule="auto"/>
        <w:jc w:val="both"/>
        <w:rPr>
          <w:rFonts w:ascii="Arial" w:hAnsi="Arial" w:eastAsia="Calibri" w:cs="Arial"/>
          <w:lang w:val="es-ES_tradnl"/>
        </w:rPr>
      </w:pPr>
      <w:r w:rsidRPr="009303FD">
        <w:rPr>
          <w:rFonts w:ascii="Arial" w:hAnsi="Arial" w:eastAsia="Calibri" w:cs="Arial"/>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rsidRPr="009303FD" w:rsidR="001D383B" w:rsidP="001D383B" w:rsidRDefault="001D383B" w14:paraId="33FB0210" w14:textId="77777777">
      <w:pPr>
        <w:spacing w:before="120" w:line="276" w:lineRule="auto"/>
        <w:ind w:firstLine="709"/>
        <w:jc w:val="both"/>
        <w:rPr>
          <w:rFonts w:ascii="Arial" w:hAnsi="Arial" w:eastAsia="Calibri" w:cs="Arial"/>
          <w:lang w:val="es-ES_tradnl"/>
        </w:rPr>
      </w:pPr>
      <w:r w:rsidRPr="009303FD">
        <w:rPr>
          <w:rFonts w:ascii="Arial" w:hAnsi="Arial" w:eastAsia="Calibri" w:cs="Arial"/>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rsidRPr="009303FD" w:rsidR="001D383B" w:rsidP="001D383B" w:rsidRDefault="001D383B" w14:paraId="3F8AF2D5" w14:textId="77777777">
      <w:pPr>
        <w:spacing w:before="120" w:line="276" w:lineRule="auto"/>
        <w:ind w:firstLine="709"/>
        <w:jc w:val="both"/>
        <w:rPr>
          <w:rFonts w:ascii="Arial" w:hAnsi="Arial" w:eastAsia="Calibri" w:cs="Arial"/>
          <w:lang w:val="es-ES_tradnl"/>
        </w:rPr>
      </w:pPr>
      <w:r w:rsidRPr="009303FD">
        <w:rPr>
          <w:rFonts w:ascii="Arial" w:hAnsi="Arial" w:eastAsia="Calibri" w:cs="Arial"/>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9303FD">
        <w:rPr>
          <w:rFonts w:ascii="Arial" w:hAnsi="Arial" w:cs="Arial"/>
          <w:sz w:val="21"/>
          <w:szCs w:val="21"/>
          <w:vertAlign w:val="superscript"/>
          <w:lang w:val="es-ES_tradnl"/>
        </w:rPr>
        <w:footnoteReference w:id="3"/>
      </w:r>
      <w:r w:rsidRPr="009303FD">
        <w:rPr>
          <w:rFonts w:ascii="Arial" w:hAnsi="Arial" w:eastAsia="Calibri" w:cs="Arial"/>
          <w:lang w:val="es-ES_tradnl"/>
        </w:rPr>
        <w:t xml:space="preserve">. </w:t>
      </w:r>
    </w:p>
    <w:p w:rsidRPr="009303FD" w:rsidR="001D383B" w:rsidP="001D383B" w:rsidRDefault="001D383B" w14:paraId="5092B91C" w14:textId="77777777">
      <w:pPr>
        <w:spacing w:before="120" w:line="276" w:lineRule="auto"/>
        <w:ind w:firstLine="709"/>
        <w:jc w:val="both"/>
        <w:rPr>
          <w:rFonts w:ascii="Arial" w:hAnsi="Arial" w:eastAsia="Calibri" w:cs="Arial"/>
          <w:lang w:val="es-ES_tradnl"/>
        </w:rPr>
      </w:pPr>
      <w:r w:rsidRPr="009303FD">
        <w:rPr>
          <w:rFonts w:ascii="Arial" w:hAnsi="Arial" w:eastAsia="Calibri" w:cs="Arial"/>
          <w:lang w:val="es-ES_tradnl"/>
        </w:rPr>
        <w:t xml:space="preserve">En tal sentido, la Corte Constitucional explica que cuando la ley establece factores de desempate obligatorios, las entidades estatales no pueden </w:t>
      </w:r>
      <w:proofErr w:type="spellStart"/>
      <w:r w:rsidRPr="009303FD">
        <w:rPr>
          <w:rFonts w:ascii="Arial" w:hAnsi="Arial" w:eastAsia="Calibri" w:cs="Arial"/>
          <w:lang w:val="es-ES_tradnl"/>
        </w:rPr>
        <w:t>inaplicarlos</w:t>
      </w:r>
      <w:proofErr w:type="spellEnd"/>
      <w:r w:rsidRPr="009303FD">
        <w:rPr>
          <w:rFonts w:ascii="Arial" w:hAnsi="Arial" w:eastAsia="Calibri" w:cs="Arial"/>
          <w:lang w:val="es-ES_tradnl"/>
        </w:rPr>
        <w:t>, porque ello podría vulnerar el principio de igualdad, especialmente, cuando algunos de estos criterios surgen como acciones afirmativas para ciertos sectores de la población</w:t>
      </w:r>
      <w:r w:rsidRPr="009303FD">
        <w:rPr>
          <w:rFonts w:ascii="Arial" w:hAnsi="Arial" w:eastAsia="Calibri" w:cs="Arial"/>
          <w:vertAlign w:val="superscript"/>
          <w:lang w:val="es-ES_tradnl"/>
        </w:rPr>
        <w:footnoteReference w:id="4"/>
      </w:r>
      <w:r w:rsidRPr="009303FD">
        <w:rPr>
          <w:rFonts w:ascii="Arial" w:hAnsi="Arial" w:eastAsia="Calibri" w:cs="Arial"/>
          <w:lang w:val="es-ES_tradnl"/>
        </w:rPr>
        <w:t xml:space="preserve">. </w:t>
      </w:r>
    </w:p>
    <w:p w:rsidR="009303FD" w:rsidP="009303FD" w:rsidRDefault="001D383B" w14:paraId="4F561830" w14:textId="77777777">
      <w:pPr>
        <w:spacing w:after="0" w:line="276" w:lineRule="auto"/>
        <w:ind w:firstLine="709"/>
        <w:jc w:val="both"/>
        <w:rPr>
          <w:rFonts w:ascii="Arial" w:hAnsi="Arial" w:eastAsia="Calibri" w:cs="Arial"/>
          <w:lang w:val="es-ES_tradnl"/>
        </w:rPr>
      </w:pPr>
      <w:r w:rsidRPr="009303FD">
        <w:rPr>
          <w:rFonts w:ascii="Arial" w:hAnsi="Arial" w:eastAsia="Calibri" w:cs="Arial"/>
          <w:lang w:val="es-ES_tradnl"/>
        </w:rPr>
        <w:t xml:space="preserve">Ahora bien, en cumplimiento de los principios de reciprocidad y de </w:t>
      </w:r>
      <w:r w:rsidRPr="009303FD">
        <w:rPr>
          <w:rFonts w:ascii="Arial" w:hAnsi="Arial" w:eastAsia="Calibri" w:cs="Arial"/>
          <w:i/>
          <w:iCs/>
          <w:lang w:val="es-ES_tradnl"/>
        </w:rPr>
        <w:t xml:space="preserve">pacta sunt </w:t>
      </w:r>
      <w:proofErr w:type="spellStart"/>
      <w:r w:rsidRPr="009303FD">
        <w:rPr>
          <w:rFonts w:ascii="Arial" w:hAnsi="Arial" w:eastAsia="Calibri" w:cs="Arial"/>
          <w:i/>
          <w:iCs/>
          <w:lang w:val="es-ES_tradnl"/>
        </w:rPr>
        <w:t>servanda</w:t>
      </w:r>
      <w:proofErr w:type="spellEnd"/>
      <w:r w:rsidRPr="009303FD">
        <w:rPr>
          <w:rFonts w:ascii="Arial" w:hAnsi="Arial" w:eastAsia="Calibri" w:cs="Arial"/>
          <w:lang w:val="es-ES_tradnl"/>
        </w:rPr>
        <w:t>,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III, literal C, del “Manual para el manejo de los incentivos en los procesos de contratación”.</w:t>
      </w:r>
    </w:p>
    <w:p w:rsidRPr="009303FD" w:rsidR="001D383B" w:rsidP="009303FD" w:rsidRDefault="001D383B" w14:paraId="27D437F2" w14:textId="5840F724">
      <w:pPr>
        <w:spacing w:after="0" w:line="276" w:lineRule="auto"/>
        <w:ind w:firstLine="709"/>
        <w:jc w:val="both"/>
        <w:rPr>
          <w:rFonts w:ascii="Arial" w:hAnsi="Arial" w:eastAsia="Calibri" w:cs="Arial"/>
          <w:lang w:val="es-ES_tradnl"/>
        </w:rPr>
      </w:pPr>
      <w:r w:rsidRPr="009303FD">
        <w:rPr>
          <w:rFonts w:ascii="Arial" w:hAnsi="Arial" w:eastAsia="Calibri" w:cs="Arial"/>
          <w:lang w:val="es-ES_tradnl"/>
        </w:rPr>
        <w:t xml:space="preserve"> </w:t>
      </w:r>
    </w:p>
    <w:p w:rsidRPr="009303FD" w:rsidR="001D383B" w:rsidP="001D383B" w:rsidRDefault="001D383B" w14:paraId="406FC276" w14:textId="77777777">
      <w:pPr>
        <w:spacing w:after="0" w:line="276" w:lineRule="auto"/>
        <w:jc w:val="both"/>
        <w:rPr>
          <w:rFonts w:ascii="Arial" w:hAnsi="Arial" w:eastAsia="Calibri" w:cs="Arial"/>
          <w:b/>
          <w:bCs/>
          <w:lang w:val="es-ES_tradnl" w:eastAsia="es-ES_tradnl"/>
        </w:rPr>
      </w:pPr>
      <w:r w:rsidRPr="009303FD">
        <w:rPr>
          <w:rFonts w:ascii="Arial" w:hAnsi="Arial" w:eastAsia="Calibri" w:cs="Arial"/>
          <w:b/>
          <w:bCs/>
          <w:lang w:val="es-ES_tradnl" w:eastAsia="es-ES_tradnl"/>
        </w:rPr>
        <w:t xml:space="preserve">2.2. Ámbito de aplicación, vigencia y reglamentación de la Ley 2069 de 2020 </w:t>
      </w:r>
    </w:p>
    <w:p w:rsidRPr="009303FD" w:rsidR="001D383B" w:rsidP="001D383B" w:rsidRDefault="001D383B" w14:paraId="1A83F020" w14:textId="77777777">
      <w:pPr>
        <w:spacing w:after="0" w:line="276" w:lineRule="auto"/>
        <w:jc w:val="both"/>
        <w:rPr>
          <w:rFonts w:ascii="Arial" w:hAnsi="Arial" w:eastAsia="Calibri" w:cs="Arial"/>
          <w:lang w:val="es-ES_tradnl" w:eastAsia="es-ES_tradnl"/>
        </w:rPr>
      </w:pPr>
    </w:p>
    <w:p w:rsidRPr="009303FD" w:rsidR="001D383B" w:rsidP="001D383B" w:rsidRDefault="001D383B" w14:paraId="529FCB7F" w14:textId="77777777">
      <w:pPr>
        <w:spacing w:after="120" w:line="276" w:lineRule="auto"/>
        <w:jc w:val="both"/>
        <w:rPr>
          <w:rFonts w:ascii="Arial" w:hAnsi="Arial" w:eastAsia="Calibri" w:cs="Arial"/>
          <w:lang w:val="es-ES_tradnl" w:eastAsia="es-ES_tradnl"/>
        </w:rPr>
      </w:pPr>
      <w:r w:rsidRPr="009303FD">
        <w:rPr>
          <w:rFonts w:ascii="Arial" w:hAnsi="Arial" w:eastAsia="Calibri" w:cs="Arial"/>
          <w:lang w:val="es-ES_tradnl" w:eastAsia="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expidiera el decreto correspondiente que permitiera la cumplida ejecución de esta Ley, tal como aconteció con el Decreto 1860 de 2021, al cual se hará referencia más adelante.</w:t>
      </w:r>
    </w:p>
    <w:p w:rsidRPr="009303FD" w:rsidR="001D383B" w:rsidP="001D383B" w:rsidRDefault="001D383B" w14:paraId="574EB91A" w14:textId="77777777">
      <w:pPr>
        <w:spacing w:after="120" w:line="276" w:lineRule="auto"/>
        <w:ind w:firstLine="709"/>
        <w:jc w:val="both"/>
        <w:rPr>
          <w:rFonts w:ascii="Arial" w:hAnsi="Arial" w:eastAsia="Calibri" w:cs="Arial"/>
          <w:lang w:val="es-ES_tradnl" w:eastAsia="es-ES_tradnl"/>
        </w:rPr>
      </w:pPr>
      <w:r w:rsidRPr="009303FD">
        <w:rPr>
          <w:rFonts w:ascii="Arial" w:hAnsi="Arial" w:eastAsia="Calibri" w:cs="Arial"/>
          <w:lang w:val="es-ES_tradnl" w:eastAsia="es-ES_tradnl"/>
        </w:rPr>
        <w:t>En cuanto al contenido de la Ley 2069 de 2020,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9303FD">
        <w:rPr>
          <w:rFonts w:ascii="Arial" w:hAnsi="Arial" w:eastAsia="Calibri" w:cs="Arial"/>
          <w:lang w:val="es-ES_tradnl" w:eastAsia="es-ES_tradnl"/>
        </w:rPr>
        <w:t>mipymes</w:t>
      </w:r>
      <w:proofErr w:type="spellEnd"/>
      <w:r w:rsidRPr="009303FD">
        <w:rPr>
          <w:rFonts w:ascii="Arial" w:hAnsi="Arial" w:eastAsia="Calibri" w:cs="Arial"/>
          <w:lang w:val="es-ES_tradnl" w:eastAsia="es-ES_tradnl"/>
        </w:rPr>
        <w:t>–, mediante la racionalización y simplificación de los trámites y tarifas</w:t>
      </w:r>
      <w:r w:rsidRPr="009303FD">
        <w:rPr>
          <w:rFonts w:ascii="Arial" w:hAnsi="Arial" w:eastAsia="Calibri" w:cs="Arial"/>
          <w:vertAlign w:val="superscript"/>
          <w:lang w:val="es-ES_tradnl" w:eastAsia="es-ES_tradnl"/>
        </w:rPr>
        <w:footnoteReference w:id="5"/>
      </w:r>
      <w:r w:rsidRPr="009303FD">
        <w:rPr>
          <w:rFonts w:ascii="Arial" w:hAnsi="Arial" w:eastAsia="Calibri" w:cs="Arial"/>
          <w:lang w:val="es-ES_tradnl" w:eastAsia="es-ES_tradnl"/>
        </w:rPr>
        <w:t>, así como incentivos a favor de aquellas dentro del sistema de compras y contratación pública</w:t>
      </w:r>
      <w:r w:rsidRPr="009303FD">
        <w:rPr>
          <w:rFonts w:ascii="Arial" w:hAnsi="Arial" w:eastAsia="Calibri" w:cs="Arial"/>
          <w:vertAlign w:val="superscript"/>
          <w:lang w:val="es-ES_tradnl" w:eastAsia="es-ES_tradnl"/>
        </w:rPr>
        <w:footnoteReference w:id="6"/>
      </w:r>
      <w:r w:rsidRPr="009303FD">
        <w:rPr>
          <w:rFonts w:ascii="Arial" w:hAnsi="Arial" w:eastAsia="Calibri" w:cs="Arial"/>
          <w:lang w:val="es-ES_tradnl" w:eastAsia="es-ES_tradnl"/>
        </w:rPr>
        <w:t>. También se consagran mecanismos de acceso al financiamiento</w:t>
      </w:r>
      <w:r w:rsidRPr="009303FD">
        <w:rPr>
          <w:rFonts w:ascii="Arial" w:hAnsi="Arial" w:eastAsia="Calibri" w:cs="Arial"/>
          <w:vertAlign w:val="superscript"/>
          <w:lang w:val="es-ES_tradnl" w:eastAsia="es-ES_tradnl"/>
        </w:rPr>
        <w:footnoteReference w:id="7"/>
      </w:r>
      <w:r w:rsidRPr="009303FD">
        <w:rPr>
          <w:rFonts w:ascii="Arial" w:hAnsi="Arial" w:eastAsia="Calibri" w:cs="Arial"/>
          <w:lang w:val="es-ES_tradnl" w:eastAsia="es-ES_tradnl"/>
        </w:rPr>
        <w:t xml:space="preserve">, se unifican las fuentes de emprendimiento y de desarrollo empresarial, para fortalecer y promover los </w:t>
      </w:r>
      <w:r w:rsidRPr="009303FD">
        <w:rPr>
          <w:rFonts w:ascii="Arial" w:hAnsi="Arial" w:eastAsia="Calibri" w:cs="Arial"/>
          <w:lang w:val="es-ES_tradnl" w:eastAsia="es-ES_tradnl"/>
        </w:rPr>
        <w:t>distintos sectores de la economía</w:t>
      </w:r>
      <w:r w:rsidRPr="009303FD">
        <w:rPr>
          <w:rFonts w:ascii="Arial" w:hAnsi="Arial" w:eastAsia="Calibri" w:cs="Arial"/>
          <w:vertAlign w:val="superscript"/>
          <w:lang w:val="es-ES_tradnl" w:eastAsia="es-ES_tradnl"/>
        </w:rPr>
        <w:footnoteReference w:id="8"/>
      </w:r>
      <w:r w:rsidRPr="009303FD">
        <w:rPr>
          <w:rFonts w:ascii="Arial" w:hAnsi="Arial" w:eastAsia="Calibri" w:cs="Arial"/>
          <w:lang w:val="es-ES_tradnl" w:eastAsia="es-ES_tradnl"/>
        </w:rPr>
        <w:t xml:space="preserve"> y se prevén medidas de educación para el emprendimiento y la innovación</w:t>
      </w:r>
      <w:r w:rsidRPr="009303FD">
        <w:rPr>
          <w:rFonts w:ascii="Arial" w:hAnsi="Arial" w:eastAsia="Calibri" w:cs="Arial"/>
          <w:vertAlign w:val="superscript"/>
          <w:lang w:val="es-ES_tradnl" w:eastAsia="es-ES_tradnl"/>
        </w:rPr>
        <w:footnoteReference w:id="9"/>
      </w:r>
      <w:r w:rsidRPr="009303FD">
        <w:rPr>
          <w:rFonts w:ascii="Arial" w:hAnsi="Arial" w:eastAsia="Calibri" w:cs="Arial"/>
          <w:lang w:val="es-ES_tradnl" w:eastAsia="es-ES_tradnl"/>
        </w:rPr>
        <w:t>.</w:t>
      </w:r>
    </w:p>
    <w:p w:rsidRPr="009303FD" w:rsidR="001D383B" w:rsidP="001D383B" w:rsidRDefault="001D383B" w14:paraId="021FFEDA" w14:textId="77777777">
      <w:pPr>
        <w:spacing w:after="120" w:line="276" w:lineRule="auto"/>
        <w:ind w:firstLine="709"/>
        <w:jc w:val="both"/>
        <w:rPr>
          <w:rFonts w:ascii="Arial" w:hAnsi="Arial" w:eastAsia="Calibri" w:cs="Arial"/>
          <w:lang w:val="es-ES_tradnl" w:eastAsia="es-ES_tradnl"/>
        </w:rPr>
      </w:pPr>
      <w:r w:rsidRPr="009303FD">
        <w:rPr>
          <w:rFonts w:ascii="Arial" w:hAnsi="Arial" w:eastAsia="Calibri" w:cs="Arial"/>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9303FD">
        <w:rPr>
          <w:rFonts w:ascii="Arial" w:hAnsi="Arial" w:eastAsia="Calibri" w:cs="Arial"/>
          <w:lang w:val="es-ES_tradnl" w:eastAsia="es-ES_tradnl"/>
        </w:rPr>
        <w:t>mipymes</w:t>
      </w:r>
      <w:proofErr w:type="spellEnd"/>
      <w:r w:rsidRPr="009303FD">
        <w:rPr>
          <w:rFonts w:ascii="Arial" w:hAnsi="Arial" w:eastAsia="Calibri" w:cs="Arial"/>
          <w:lang w:val="es-ES_tradnl" w:eastAsia="es-ES_tradnl"/>
        </w:rPr>
        <w:t xml:space="preserve"> en el procedimiento de mínima cuantía, </w:t>
      </w:r>
      <w:proofErr w:type="spellStart"/>
      <w:r w:rsidRPr="009303FD">
        <w:rPr>
          <w:rFonts w:ascii="Arial" w:hAnsi="Arial" w:eastAsia="Calibri" w:cs="Arial"/>
          <w:lang w:val="es-ES_tradnl" w:eastAsia="es-ES_tradnl"/>
        </w:rPr>
        <w:t>ii</w:t>
      </w:r>
      <w:proofErr w:type="spellEnd"/>
      <w:r w:rsidRPr="009303FD">
        <w:rPr>
          <w:rFonts w:ascii="Arial" w:hAnsi="Arial" w:eastAsia="Calibri" w:cs="Arial"/>
          <w:lang w:val="es-ES_tradnl" w:eastAsia="es-ES_tradnl"/>
        </w:rPr>
        <w:t xml:space="preserve">) criterios diferenciales para </w:t>
      </w:r>
      <w:proofErr w:type="spellStart"/>
      <w:r w:rsidRPr="009303FD">
        <w:rPr>
          <w:rFonts w:ascii="Arial" w:hAnsi="Arial" w:eastAsia="Calibri" w:cs="Arial"/>
          <w:lang w:val="es-ES_tradnl" w:eastAsia="es-ES_tradnl"/>
        </w:rPr>
        <w:t>mipymes</w:t>
      </w:r>
      <w:proofErr w:type="spellEnd"/>
      <w:r w:rsidRPr="009303FD">
        <w:rPr>
          <w:rFonts w:ascii="Arial" w:hAnsi="Arial" w:eastAsia="Calibri" w:cs="Arial"/>
          <w:lang w:val="es-ES_tradnl" w:eastAsia="es-ES_tradnl"/>
        </w:rPr>
        <w:t xml:space="preserve"> en el sistema de compras públicas, </w:t>
      </w:r>
      <w:proofErr w:type="spellStart"/>
      <w:r w:rsidRPr="009303FD">
        <w:rPr>
          <w:rFonts w:ascii="Arial" w:hAnsi="Arial" w:eastAsia="Calibri" w:cs="Arial"/>
          <w:lang w:val="es-ES_tradnl" w:eastAsia="es-ES_tradnl"/>
        </w:rPr>
        <w:t>iii</w:t>
      </w:r>
      <w:proofErr w:type="spellEnd"/>
      <w:r w:rsidRPr="009303FD">
        <w:rPr>
          <w:rFonts w:ascii="Arial" w:hAnsi="Arial" w:eastAsia="Calibri" w:cs="Arial"/>
          <w:lang w:val="es-ES_tradnl" w:eastAsia="es-ES_tradnl"/>
        </w:rPr>
        <w:t xml:space="preserve">) criterios diferenciales para emprendimientos y empresas de mujeres en el sistema de compras públicas, </w:t>
      </w:r>
      <w:proofErr w:type="spellStart"/>
      <w:r w:rsidRPr="009303FD">
        <w:rPr>
          <w:rFonts w:ascii="Arial" w:hAnsi="Arial" w:eastAsia="Calibri" w:cs="Arial"/>
          <w:lang w:val="es-ES_tradnl" w:eastAsia="es-ES_tradnl"/>
        </w:rPr>
        <w:t>iv</w:t>
      </w:r>
      <w:proofErr w:type="spellEnd"/>
      <w:r w:rsidRPr="009303FD">
        <w:rPr>
          <w:rFonts w:ascii="Arial" w:hAnsi="Arial" w:eastAsia="Calibri" w:cs="Arial"/>
          <w:lang w:val="es-ES_tradnl" w:eastAsia="es-ES_tradnl"/>
        </w:rPr>
        <w:t xml:space="preserve">) promoción del acceso de las </w:t>
      </w:r>
      <w:proofErr w:type="spellStart"/>
      <w:r w:rsidRPr="009303FD">
        <w:rPr>
          <w:rFonts w:ascii="Arial" w:hAnsi="Arial" w:eastAsia="Calibri" w:cs="Arial"/>
          <w:lang w:val="es-ES_tradnl" w:eastAsia="es-ES_tradnl"/>
        </w:rPr>
        <w:t>mipymes</w:t>
      </w:r>
      <w:proofErr w:type="spellEnd"/>
      <w:r w:rsidRPr="009303FD">
        <w:rPr>
          <w:rFonts w:ascii="Arial" w:hAnsi="Arial" w:eastAsia="Calibri" w:cs="Arial"/>
          <w:lang w:val="es-ES_tradnl" w:eastAsia="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rsidRPr="009303FD" w:rsidR="001D383B" w:rsidP="001D383B" w:rsidRDefault="001D383B" w14:paraId="2080B3F5" w14:textId="77777777">
      <w:pPr>
        <w:spacing w:after="120" w:line="276" w:lineRule="auto"/>
        <w:jc w:val="both"/>
        <w:rPr>
          <w:rFonts w:ascii="Arial" w:hAnsi="Arial" w:eastAsia="Calibri" w:cs="Arial"/>
          <w:lang w:val="es-ES_tradnl" w:eastAsia="es-ES_tradnl"/>
        </w:rPr>
      </w:pPr>
      <w:r w:rsidRPr="009303FD">
        <w:rPr>
          <w:rFonts w:ascii="Arial" w:hAnsi="Arial" w:eastAsia="Calibri" w:cs="Arial"/>
          <w:lang w:val="es-ES_tradnl" w:eastAsia="es-ES_tradnl"/>
        </w:rPr>
        <w:tab/>
      </w:r>
      <w:r w:rsidRPr="009303FD">
        <w:rPr>
          <w:rFonts w:ascii="Arial" w:hAnsi="Arial" w:eastAsia="Calibri" w:cs="Arial"/>
          <w:lang w:val="es-ES_tradnl" w:eastAsia="es-ES_tradnl"/>
        </w:rPr>
        <w:t xml:space="preserve">El artículo 35 de la Ley 2069 de 2020 modifica la regulación de los factores de desempate en la contratación estatal. 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requería de una reglamentación previa como presupuesto para su eficacia. Esta precisión reviste de importancia, porque algunos enunciados normativos de la ley bajo análisis establecen un mandato de reglamentación, dirigido al gobierno nacional, como condición para aplicar lo dispuesto en ella. </w:t>
      </w:r>
    </w:p>
    <w:p w:rsidRPr="009303FD" w:rsidR="001D383B" w:rsidP="001D383B" w:rsidRDefault="001D383B" w14:paraId="048491C8" w14:textId="77777777">
      <w:pPr>
        <w:spacing w:after="120" w:line="276" w:lineRule="auto"/>
        <w:ind w:firstLine="709"/>
        <w:jc w:val="both"/>
        <w:rPr>
          <w:rFonts w:ascii="Arial" w:hAnsi="Arial" w:eastAsia="Calibri" w:cs="Arial"/>
          <w:lang w:val="es-ES_tradnl" w:eastAsia="es-ES_tradnl"/>
        </w:rPr>
      </w:pPr>
      <w:r w:rsidRPr="009303FD">
        <w:rPr>
          <w:rFonts w:ascii="Arial" w:hAnsi="Arial" w:eastAsia="Calibri" w:cs="Arial"/>
          <w:lang w:val="es-ES_tradnl" w:eastAsia="es-ES_tradnl"/>
        </w:rPr>
        <w:t xml:space="preserve">Por ejemplo, en lo que a las compras públicas se refiere, el parágrafo primero del artículo 30, que alude a la participación de </w:t>
      </w:r>
      <w:proofErr w:type="spellStart"/>
      <w:r w:rsidRPr="009303FD">
        <w:rPr>
          <w:rFonts w:ascii="Arial" w:hAnsi="Arial" w:eastAsia="Calibri" w:cs="Arial"/>
          <w:lang w:val="es-ES_tradnl" w:eastAsia="es-ES_tradnl"/>
        </w:rPr>
        <w:t>mipymes</w:t>
      </w:r>
      <w:proofErr w:type="spellEnd"/>
      <w:r w:rsidRPr="009303FD">
        <w:rPr>
          <w:rFonts w:ascii="Arial" w:hAnsi="Arial" w:eastAsia="Calibri" w:cs="Arial"/>
          <w:lang w:val="es-ES_tradnl" w:eastAsia="es-ES_tradnl"/>
        </w:rPr>
        <w:t xml:space="preserve"> en procedimientos de mínima cuantía, establece que “Las particularidades del procedimiento aquí previsto, así como la posibilidad que tengan las entidades de realizar estas adquisiciones a </w:t>
      </w:r>
      <w:proofErr w:type="spellStart"/>
      <w:r w:rsidRPr="009303FD">
        <w:rPr>
          <w:rFonts w:ascii="Arial" w:hAnsi="Arial" w:eastAsia="Calibri" w:cs="Arial"/>
          <w:lang w:val="es-ES_tradnl" w:eastAsia="es-ES_tradnl"/>
        </w:rPr>
        <w:t>Mipymes</w:t>
      </w:r>
      <w:proofErr w:type="spellEnd"/>
      <w:r w:rsidRPr="009303FD">
        <w:rPr>
          <w:rFonts w:ascii="Arial" w:hAnsi="Arial" w:eastAsia="Calibri" w:cs="Arial"/>
          <w:lang w:val="es-ES_tradnl" w:eastAsia="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rsidRPr="009303FD" w:rsidR="001D383B" w:rsidP="001D383B" w:rsidRDefault="001D383B" w14:paraId="6CD94C9E" w14:textId="77777777">
      <w:pPr>
        <w:spacing w:after="120" w:line="276" w:lineRule="auto"/>
        <w:ind w:firstLine="709"/>
        <w:jc w:val="both"/>
        <w:rPr>
          <w:rFonts w:ascii="Arial" w:hAnsi="Arial" w:eastAsia="Calibri" w:cs="Arial"/>
          <w:lang w:val="es-ES_tradnl" w:eastAsia="es-ES_tradnl"/>
        </w:rPr>
      </w:pPr>
      <w:r w:rsidRPr="009303FD">
        <w:rPr>
          <w:rFonts w:ascii="Arial" w:hAnsi="Arial" w:eastAsia="Calibri" w:cs="Arial"/>
          <w:lang w:val="es-ES_tradnl" w:eastAsia="es-ES_tradnl"/>
        </w:rPr>
        <w:t xml:space="preserve">Lo mismo no sucede con el artículo 35. En efecto, </w:t>
      </w:r>
      <w:r w:rsidRPr="009303FD">
        <w:rPr>
          <w:rFonts w:ascii="Arial" w:hAnsi="Arial" w:eastAsia="Times New Roman" w:cs="Arial"/>
          <w:lang w:val="es-ES_tradnl" w:eastAsia="es-ES_tradnl"/>
        </w:rPr>
        <w:t>si bien los factores de desempate regulados en el artículo 35 deben aplicarse “</w:t>
      </w:r>
      <w:r w:rsidRPr="009303FD">
        <w:rPr>
          <w:rFonts w:ascii="Arial" w:hAnsi="Arial" w:eastAsia="Times New Roman" w:cs="Arial"/>
          <w:sz w:val="24"/>
          <w:szCs w:val="24"/>
          <w:lang w:val="es-ES_tradnl" w:eastAsia="es-ES_tradnl"/>
        </w:rPr>
        <w:t xml:space="preserve">[…] </w:t>
      </w:r>
      <w:r w:rsidRPr="009303FD">
        <w:rPr>
          <w:rFonts w:ascii="Arial" w:hAnsi="Arial" w:eastAsia="Times New Roman" w:cs="Arial"/>
          <w:lang w:val="es-ES_tradnl" w:eastAsia="es-ES_tradnl"/>
        </w:rPr>
        <w:t xml:space="preserve">de forma sucesiva y excluyente para seleccionar al oferente favorecido, respetando en todo caso los compromisos </w:t>
      </w:r>
      <w:r w:rsidRPr="009303FD">
        <w:rPr>
          <w:rFonts w:ascii="Arial" w:hAnsi="Arial" w:eastAsia="Times New Roman" w:cs="Arial"/>
          <w:lang w:val="es-ES_tradnl" w:eastAsia="es-ES_tradnl"/>
        </w:rPr>
        <w:t xml:space="preserve">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sin perjuicio de la competencia general prevista en el artículo 189.11 de Constitución Política de 1991, este parágrafo le asigna potestad reglamentaria al gobierno nacional para definir factores que permitan desempatar las ofertas en aquellos casos en que varios oferentes reúnan al tiempo dos o más de los factores previstos en el artículo 35. </w:t>
      </w:r>
      <w:r w:rsidRPr="009303FD">
        <w:rPr>
          <w:rFonts w:ascii="Arial" w:hAnsi="Arial" w:eastAsia="Calibri" w:cs="Arial"/>
          <w:lang w:val="es-ES_tradnl" w:eastAsia="es-ES_tradnl"/>
        </w:rPr>
        <w:t xml:space="preserve">  </w:t>
      </w:r>
    </w:p>
    <w:p w:rsidRPr="009303FD" w:rsidR="001D383B" w:rsidP="001D383B" w:rsidRDefault="001D383B" w14:paraId="675D349E" w14:textId="77777777">
      <w:pPr>
        <w:spacing w:after="120" w:line="276" w:lineRule="auto"/>
        <w:jc w:val="both"/>
        <w:rPr>
          <w:rFonts w:ascii="Arial" w:hAnsi="Arial" w:eastAsia="Calibri" w:cs="Arial"/>
          <w:lang w:val="es-ES_tradnl" w:eastAsia="es-ES_tradnl"/>
        </w:rPr>
      </w:pPr>
      <w:r w:rsidRPr="009303FD">
        <w:rPr>
          <w:rFonts w:ascii="Arial" w:hAnsi="Arial" w:eastAsia="Calibri" w:cs="Arial"/>
          <w:b/>
          <w:bCs/>
          <w:lang w:val="es-ES_tradnl" w:eastAsia="es-ES_tradnl"/>
        </w:rPr>
        <w:tab/>
      </w:r>
      <w:r w:rsidRPr="009303FD">
        <w:rPr>
          <w:rFonts w:ascii="Arial" w:hAnsi="Arial" w:eastAsia="Calibri" w:cs="Arial"/>
          <w:lang w:val="es-ES_tradnl" w:eastAsia="es-ES_tradnl"/>
        </w:rPr>
        <w:t>Lo explicado en los párrafos precedentes es importante, porque el pasado 24 de diciembre, el gobierno nacional expidió el Decreto 1860 de 2021,</w:t>
      </w:r>
      <w:r w:rsidRPr="009303FD">
        <w:rPr>
          <w:rFonts w:ascii="Arial" w:hAnsi="Arial" w:eastAsia="Times New Roman" w:cs="Arial"/>
          <w:sz w:val="24"/>
          <w:szCs w:val="24"/>
          <w:lang w:eastAsia="es-ES_tradnl"/>
        </w:rPr>
        <w:t xml:space="preserve"> </w:t>
      </w:r>
      <w:r w:rsidRPr="009303FD">
        <w:rPr>
          <w:rFonts w:ascii="Arial" w:hAnsi="Arial" w:eastAsia="Calibri" w:cs="Arial"/>
          <w:lang w:val="es-ES_tradnl" w:eastAsia="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9303FD">
        <w:rPr>
          <w:rFonts w:ascii="Arial" w:hAnsi="Arial" w:eastAsia="Calibri" w:cs="Arial"/>
          <w:vertAlign w:val="superscript"/>
          <w:lang w:val="es-ES_tradnl" w:eastAsia="es-ES_tradnl"/>
        </w:rPr>
        <w:footnoteReference w:id="10"/>
      </w:r>
      <w:r w:rsidRPr="009303FD">
        <w:rPr>
          <w:rFonts w:ascii="Arial" w:hAnsi="Arial" w:eastAsia="Calibri" w:cs="Arial"/>
          <w:lang w:val="es-ES_tradnl" w:eastAsia="es-ES_tradnl"/>
        </w:rPr>
        <w:t xml:space="preserve">.  </w:t>
      </w:r>
    </w:p>
    <w:p w:rsidRPr="009303FD" w:rsidR="001D383B" w:rsidP="001D383B" w:rsidRDefault="001D383B" w14:paraId="7DB88EE6" w14:textId="77777777">
      <w:pPr>
        <w:spacing w:after="120" w:line="276" w:lineRule="auto"/>
        <w:jc w:val="both"/>
        <w:rPr>
          <w:rFonts w:ascii="Arial" w:hAnsi="Arial" w:eastAsia="Times New Roman" w:cs="Arial"/>
          <w:lang w:eastAsia="es-CO"/>
        </w:rPr>
      </w:pPr>
      <w:r w:rsidRPr="009303FD">
        <w:rPr>
          <w:rFonts w:ascii="Arial" w:hAnsi="Arial" w:eastAsia="Calibri" w:cs="Arial"/>
          <w:lang w:val="es-ES_tradnl" w:eastAsia="es-ES_tradnl"/>
        </w:rPr>
        <w:tab/>
      </w:r>
      <w:r w:rsidRPr="009303FD">
        <w:rPr>
          <w:rFonts w:ascii="Arial" w:hAnsi="Arial" w:eastAsia="Calibri" w:cs="Arial"/>
          <w:lang w:val="es-ES_tradnl" w:eastAsia="es-ES_tradnl"/>
        </w:rPr>
        <w:t>En lo relativo al artículo 35 de la Ley 2069 de 2020, el artículo 3 del Decreto 1860 de 2021 adiciona el artículo 2.2.1.2.4.2.17. a la Subsección 2 de la Sección 4 del Capítulo 2 del Título 1 de la Parte 2 del Libro 2 del Decreto 1082 de 2015</w:t>
      </w:r>
      <w:r w:rsidRPr="009303FD">
        <w:rPr>
          <w:rFonts w:ascii="Arial" w:hAnsi="Arial" w:eastAsia="Times New Roman" w:cs="Arial"/>
          <w:lang w:eastAsia="es-CO"/>
        </w:rPr>
        <w:t xml:space="preserve">, el cual reglamenta los factores de desempate del artículo 35 </w:t>
      </w:r>
      <w:proofErr w:type="spellStart"/>
      <w:r w:rsidRPr="009303FD">
        <w:rPr>
          <w:rFonts w:ascii="Arial" w:hAnsi="Arial" w:eastAsia="Times New Roman" w:cs="Arial"/>
          <w:i/>
          <w:iCs/>
          <w:lang w:eastAsia="es-CO"/>
        </w:rPr>
        <w:t>ibídem</w:t>
      </w:r>
      <w:proofErr w:type="spellEnd"/>
      <w:r w:rsidRPr="009303FD">
        <w:rPr>
          <w:rFonts w:ascii="Arial" w:hAnsi="Arial" w:eastAsia="Times New Roman" w:cs="Arial"/>
          <w:lang w:eastAsia="es-CO"/>
        </w:rPr>
        <w:t>, estableciendo los medios de acreditación de cada uno de los supuestos de hecho en función de los cuales operan.</w:t>
      </w:r>
    </w:p>
    <w:p w:rsidRPr="009303FD" w:rsidR="001D383B" w:rsidP="001D383B" w:rsidRDefault="001D383B" w14:paraId="2C4F1746" w14:textId="77777777">
      <w:pPr>
        <w:shd w:val="clear" w:color="auto" w:fill="FFFFFF"/>
        <w:spacing w:after="120" w:line="276" w:lineRule="auto"/>
        <w:jc w:val="both"/>
        <w:rPr>
          <w:rFonts w:ascii="Arial" w:hAnsi="Arial" w:eastAsia="Times New Roman" w:cs="Arial"/>
          <w:lang w:eastAsia="es-CO"/>
        </w:rPr>
      </w:pPr>
      <w:r w:rsidRPr="009303FD">
        <w:rPr>
          <w:rFonts w:ascii="Arial" w:hAnsi="Arial" w:eastAsia="Times New Roman" w:cs="Arial"/>
          <w:lang w:eastAsia="es-CO"/>
        </w:rPr>
        <w:tab/>
      </w:r>
      <w:r w:rsidRPr="009303FD">
        <w:rPr>
          <w:rFonts w:ascii="Arial" w:hAnsi="Arial" w:eastAsia="Times New Roman" w:cs="Arial"/>
          <w:lang w:eastAsia="es-CO"/>
        </w:rPr>
        <w:t xml:space="preserve">De otra parte, el artículo 7 del Decreto recientemente expedido modificó el contenido del artículo 2.2.1.2.4.2.8 </w:t>
      </w:r>
      <w:r w:rsidRPr="009303FD">
        <w:rPr>
          <w:rFonts w:ascii="Arial" w:hAnsi="Arial" w:eastAsia="Times New Roman" w:cs="Arial"/>
          <w:shd w:val="clear" w:color="auto" w:fill="FFFFFF"/>
          <w:lang w:eastAsia="es-CO"/>
        </w:rPr>
        <w:t xml:space="preserve">de la Subsección 2 de la Sección 4 del Capítulo 2 del Título 1 de la Parte 2 del Libro 2 del Decreto 1082 de 2015, alusivo al sistema de preferencias en favor de las personas con discapacidad. </w:t>
      </w:r>
      <w:r w:rsidRPr="009303FD">
        <w:rPr>
          <w:rFonts w:ascii="Arial" w:hAnsi="Arial" w:eastAsia="Times New Roman" w:cs="Arial"/>
          <w:lang w:eastAsia="es-CO"/>
        </w:rPr>
        <w:t>La modificación realizada reemplazó la referencia al artículo 2.2.1.1.2.2.9 del Decreto 1082 de 2015, que anteriormente reglamentaba los factores de desempate, por una remisión al artículo 35 de la Ley 2069 de 2020 y el artículo 2.2.1.2.4.2.17 del Decreto 1082 de 2015, disposiciones por las que ahora se rigen los criterios de desempate.</w:t>
      </w:r>
    </w:p>
    <w:p w:rsidRPr="009303FD" w:rsidR="001D383B" w:rsidP="001D383B" w:rsidRDefault="001D383B" w14:paraId="713CACDF" w14:textId="77777777">
      <w:pPr>
        <w:spacing w:after="120" w:line="276" w:lineRule="auto"/>
        <w:jc w:val="both"/>
        <w:rPr>
          <w:rFonts w:ascii="Arial" w:hAnsi="Arial" w:eastAsia="Times New Roman" w:cs="Arial"/>
          <w:lang w:eastAsia="es-CO"/>
        </w:rPr>
      </w:pPr>
      <w:r w:rsidRPr="009303FD">
        <w:rPr>
          <w:rFonts w:ascii="Arial" w:hAnsi="Arial" w:eastAsia="Times New Roman" w:cs="Arial"/>
          <w:lang w:eastAsia="es-CO"/>
        </w:rPr>
        <w:tab/>
      </w:r>
      <w:r w:rsidRPr="009303FD">
        <w:rPr>
          <w:rFonts w:ascii="Arial" w:hAnsi="Arial" w:eastAsia="Times New Roman" w:cs="Arial"/>
          <w:lang w:eastAsia="es-CO"/>
        </w:rPr>
        <w:t xml:space="preserve">Por último, debe precisarse que la vigencia del Decreto 1860 de 2021 es regulada por su artículo 8, el cual establece que “Las disposiciones contenidas en el presente Decreto </w:t>
      </w:r>
      <w:r w:rsidRPr="009303FD">
        <w:rPr>
          <w:rFonts w:ascii="Arial" w:hAnsi="Arial" w:eastAsia="Times New Roman" w:cs="Arial"/>
          <w:lang w:eastAsia="es-CO"/>
        </w:rPr>
        <w:t>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(3) meses contados a partir de entonces, en los procesos cuyos avisos de convocatorias, invitaciones o documentos equivalentes se publiquen con posterioridad a dicho término</w:t>
      </w:r>
      <w:r w:rsidRPr="009303FD">
        <w:rPr>
          <w:rFonts w:ascii="Arial" w:hAnsi="Arial" w:eastAsia="Times New Roman" w:cs="Arial"/>
          <w:vertAlign w:val="superscript"/>
          <w:lang w:eastAsia="es-CO"/>
        </w:rPr>
        <w:footnoteReference w:id="11"/>
      </w:r>
      <w:r w:rsidRPr="009303FD">
        <w:rPr>
          <w:rFonts w:ascii="Arial" w:hAnsi="Arial" w:eastAsia="Times New Roman" w:cs="Arial"/>
          <w:lang w:eastAsia="es-CO"/>
        </w:rPr>
        <w:t xml:space="preserve">. </w:t>
      </w:r>
    </w:p>
    <w:p w:rsidRPr="009303FD" w:rsidR="001D383B" w:rsidP="001D383B" w:rsidRDefault="001D383B" w14:paraId="3FC0DC0D" w14:textId="77777777">
      <w:pPr>
        <w:spacing w:after="0" w:line="276" w:lineRule="auto"/>
        <w:ind w:firstLine="709"/>
        <w:jc w:val="both"/>
        <w:rPr>
          <w:rFonts w:ascii="Arial" w:hAnsi="Arial" w:eastAsia="Arial" w:cs="Arial"/>
          <w:bCs/>
          <w:lang w:val="es-ES_tradnl" w:eastAsia="es-ES" w:bidi="es-ES"/>
        </w:rPr>
      </w:pPr>
      <w:r w:rsidRPr="009303FD">
        <w:rPr>
          <w:rFonts w:ascii="Arial" w:hAnsi="Arial" w:eastAsia="Calibri" w:cs="Arial"/>
          <w:bCs/>
          <w:color w:val="000000"/>
          <w:szCs w:val="24"/>
          <w:lang w:val="es-ES_tradnl" w:eastAsia="es-ES_tradnl"/>
        </w:rPr>
        <w:t xml:space="preserve">En tal sentido, tratándose de la acreditación de los factores de desempate dichas modificaciones tienen efectos en los procesos </w:t>
      </w:r>
      <w:r w:rsidRPr="009303FD">
        <w:rPr>
          <w:rFonts w:ascii="Arial" w:hAnsi="Arial" w:eastAsia="Arial" w:cs="Arial"/>
          <w:bCs/>
          <w:lang w:val="es-ES_tradnl" w:eastAsia="es-ES" w:bidi="es-ES"/>
        </w:rPr>
        <w:t xml:space="preserve">cuya invitación o aviso de convocatoria </w:t>
      </w:r>
      <w:r w:rsidRPr="009303FD">
        <w:rPr>
          <w:rFonts w:ascii="Arial" w:hAnsi="Arial" w:eastAsia="Calibri" w:cs="Arial"/>
          <w:bCs/>
          <w:color w:val="000000"/>
          <w:szCs w:val="24"/>
          <w:lang w:val="es-ES_tradnl" w:eastAsia="es-ES_tradnl"/>
        </w:rPr>
        <w:t xml:space="preserve">se hubiese publicado a partir del 24 de marzo de 2022, </w:t>
      </w:r>
      <w:r w:rsidRPr="009303FD">
        <w:rPr>
          <w:rFonts w:ascii="Arial" w:hAnsi="Arial" w:eastAsia="Times New Roman" w:cs="Arial"/>
          <w:color w:val="000000"/>
          <w:lang w:eastAsia="es-ES_tradnl"/>
        </w:rPr>
        <w:t xml:space="preserve">sin perjuicio de que la entidad lo aplique de forma potestativa, incluyendo dichos contenidos en el pliego de condiciones o documento equivalente, para </w:t>
      </w:r>
      <w:r w:rsidRPr="009303FD">
        <w:rPr>
          <w:rFonts w:ascii="Arial" w:hAnsi="Arial" w:eastAsia="Arial" w:cs="Arial"/>
          <w:bCs/>
          <w:lang w:val="es-ES_tradnl" w:eastAsia="es-ES" w:bidi="es-ES"/>
        </w:rPr>
        <w:t>procesos publicados en una fecha anterior.</w:t>
      </w:r>
    </w:p>
    <w:p w:rsidRPr="009303FD" w:rsidR="001D383B" w:rsidP="009303FD" w:rsidRDefault="001D383B" w14:paraId="64C6AE12" w14:textId="77777777">
      <w:pPr>
        <w:spacing w:after="0" w:line="276" w:lineRule="auto"/>
        <w:ind w:firstLine="709"/>
        <w:jc w:val="both"/>
        <w:rPr>
          <w:rFonts w:ascii="Arial" w:hAnsi="Arial" w:eastAsia="Calibri" w:cs="Arial"/>
          <w:lang w:val="es-ES_tradnl"/>
        </w:rPr>
      </w:pPr>
    </w:p>
    <w:p w:rsidR="001D383B" w:rsidP="009303FD" w:rsidRDefault="001D383B" w14:paraId="3510D017" w14:textId="5C2B7162">
      <w:pPr>
        <w:spacing w:after="0" w:line="276" w:lineRule="auto"/>
        <w:jc w:val="both"/>
        <w:rPr>
          <w:rFonts w:ascii="Arial" w:hAnsi="Arial" w:eastAsia="Calibri" w:cs="Arial"/>
          <w:b/>
          <w:bCs/>
          <w:lang w:val="es-ES_tradnl"/>
        </w:rPr>
      </w:pPr>
      <w:r w:rsidRPr="009303FD">
        <w:rPr>
          <w:rFonts w:ascii="Arial" w:hAnsi="Arial" w:eastAsia="Calibri" w:cs="Arial"/>
          <w:b/>
          <w:bCs/>
          <w:lang w:val="es-ES_tradnl"/>
        </w:rPr>
        <w:t>2.3. Aplicación de los factores de desempate del artículo 35 de la Ley 2069 de 2020 en procesos de selección abreviada para la adquisición de bienes y servicios de características técnicas uniformes</w:t>
      </w:r>
    </w:p>
    <w:p w:rsidRPr="009303FD" w:rsidR="009303FD" w:rsidP="009303FD" w:rsidRDefault="009303FD" w14:paraId="09A9946C" w14:textId="77777777">
      <w:pPr>
        <w:spacing w:after="0" w:line="276" w:lineRule="auto"/>
        <w:jc w:val="both"/>
        <w:rPr>
          <w:rFonts w:ascii="Arial" w:hAnsi="Arial" w:eastAsia="Calibri" w:cs="Arial"/>
          <w:b/>
          <w:bCs/>
          <w:lang w:val="es-ES_tradnl"/>
        </w:rPr>
      </w:pPr>
    </w:p>
    <w:p w:rsidRPr="009303FD" w:rsidR="001D383B" w:rsidP="001D383B" w:rsidRDefault="001D383B" w14:paraId="610BDD3E" w14:textId="77777777">
      <w:pPr>
        <w:spacing w:line="276" w:lineRule="auto"/>
        <w:jc w:val="both"/>
        <w:rPr>
          <w:rFonts w:ascii="Arial" w:hAnsi="Arial" w:eastAsia="Calibri" w:cs="Arial"/>
          <w:lang w:val="es-ES_tradnl"/>
        </w:rPr>
      </w:pPr>
      <w:r w:rsidRPr="009303FD">
        <w:rPr>
          <w:rFonts w:ascii="Arial" w:hAnsi="Arial" w:eastAsia="Calibri" w:cs="Arial"/>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la aplicación de dicho artículo, y la reglamentación del mismo desarrollada en el Decreto 1860 de 2021, en los procesos de selección abreviada para la adquisición de bienes y servicios de características técnicas uniformes adelantados en bolsa de productos, la Agencia se pronunciará sobre el alcance que otorga a tales disposiciones, sin pasar por alto la relativa novedad de la Ley 2069 de 2020 y su decreto reglamentario y la ausencia de pronunciamientos jurisprudenciales o estudios doctrinarios sobre el tema, que seguramente contribuirán a decantar la interpretación de las normas en comento. </w:t>
      </w:r>
    </w:p>
    <w:p w:rsidRPr="009303FD" w:rsidR="001D383B" w:rsidP="001D383B" w:rsidRDefault="001D383B" w14:paraId="1F337A07" w14:textId="77777777">
      <w:pPr>
        <w:spacing w:before="120" w:after="120" w:line="276" w:lineRule="auto"/>
        <w:ind w:firstLine="709"/>
        <w:jc w:val="both"/>
        <w:rPr>
          <w:rFonts w:ascii="Arial" w:hAnsi="Arial" w:eastAsia="Calibri" w:cs="Arial"/>
          <w:lang w:val="es-ES_tradnl"/>
        </w:rPr>
      </w:pPr>
      <w:r w:rsidRPr="009303FD">
        <w:rPr>
          <w:rFonts w:ascii="Arial" w:hAnsi="Arial" w:eastAsia="Calibri" w:cs="Arial"/>
          <w:lang w:val="es-ES_tradnl"/>
        </w:rPr>
        <w:t xml:space="preserve">En efecto, el artículo 35 de la Ley 2069 de 2020 establece los factores de desempate aplicables “[…] </w:t>
      </w:r>
      <w:r w:rsidRPr="009303FD">
        <w:rPr>
          <w:rFonts w:ascii="Arial" w:hAnsi="Arial" w:cs="Arial"/>
          <w:i/>
          <w:iCs/>
        </w:rPr>
        <w:t>en los Procesos de Contratación realizados con cargo a recursos públicos</w:t>
      </w:r>
      <w:r w:rsidRPr="009303FD">
        <w:rPr>
          <w:rFonts w:ascii="Arial" w:hAnsi="Arial" w:cs="Arial"/>
        </w:rPr>
        <w:t xml:space="preserve">, </w:t>
      </w:r>
      <w:r w:rsidRPr="009303FD">
        <w:rPr>
          <w:rFonts w:ascii="Arial" w:hAnsi="Arial" w:cs="Arial"/>
          <w:i/>
          <w:iCs/>
        </w:rPr>
        <w:t>los Procesos de Contratación realizados por las Entidades Estatales indistintamente de su régimen de contratación</w:t>
      </w:r>
      <w:r w:rsidRPr="009303FD">
        <w:rPr>
          <w:rFonts w:ascii="Arial" w:hAnsi="Arial" w:cs="Arial"/>
        </w:rPr>
        <w:t xml:space="preserve">, así como los celebrados por los Procesos de Contratación de los patrimonios autónomos constituidos por Entidades Estatales […]” (énfasis fuera de texto). Conforme indica el texto de esta norma, </w:t>
      </w:r>
      <w:r w:rsidRPr="009303FD">
        <w:rPr>
          <w:rFonts w:ascii="Arial" w:hAnsi="Arial" w:eastAsia="Calibri" w:cs="Arial"/>
          <w:lang w:val="es-ES_tradnl"/>
        </w:rPr>
        <w:t xml:space="preserve">reglamentada por el artículo </w:t>
      </w:r>
      <w:r w:rsidRPr="009303FD">
        <w:rPr>
          <w:rFonts w:ascii="Arial" w:hAnsi="Arial" w:cs="Arial"/>
          <w:shd w:val="clear" w:color="auto" w:fill="FFFFFF"/>
        </w:rPr>
        <w:t xml:space="preserve">2.2.1.2.4.2.17 del Decreto 1082 de 2015, adicionado por el Decreto 1860 de 2021, estos factores de desempate </w:t>
      </w:r>
      <w:r w:rsidRPr="009303FD">
        <w:rPr>
          <w:rFonts w:ascii="Arial" w:hAnsi="Arial" w:eastAsia="Calibri" w:cs="Arial"/>
          <w:i/>
          <w:iCs/>
          <w:lang w:val="es-ES_tradnl"/>
        </w:rPr>
        <w:t>no</w:t>
      </w:r>
      <w:r w:rsidRPr="009303FD">
        <w:rPr>
          <w:rFonts w:ascii="Arial" w:hAnsi="Arial" w:eastAsia="Calibri" w:cs="Arial"/>
          <w:lang w:val="es-ES_tradnl"/>
        </w:rPr>
        <w:t xml:space="preserve"> solo son aplicables a la contratación de las entidades regidas por el EGCAP, sino también a los procesos de selección de las entidades exceptuadas, a los que realicen los patrimonios autónomos constituidos por entidades estatales, y en general, en los procesos de selección realizados con cargo a recursos públicos. Debido a que la norma no distingue entre modalidades o procedimientos, los factores de desempate son aplicables en todos los procesos de selección que se desarrollen bajo los supuestos indicados.</w:t>
      </w:r>
    </w:p>
    <w:p w:rsidRPr="009303FD" w:rsidR="001D383B" w:rsidP="001D383B" w:rsidRDefault="001D383B" w14:paraId="14DD249B" w14:textId="77777777">
      <w:pPr>
        <w:tabs>
          <w:tab w:val="left" w:pos="0"/>
        </w:tabs>
        <w:spacing w:after="120" w:line="276" w:lineRule="auto"/>
        <w:jc w:val="both"/>
        <w:rPr>
          <w:rFonts w:ascii="Arial" w:hAnsi="Arial" w:eastAsia="Calibri" w:cs="Arial"/>
          <w:lang w:val="es-ES_tradnl"/>
        </w:rPr>
      </w:pPr>
      <w:r w:rsidRPr="009303FD">
        <w:rPr>
          <w:rFonts w:ascii="Arial" w:hAnsi="Arial" w:eastAsia="Calibri" w:cs="Arial"/>
          <w:lang w:val="es-ES_tradnl"/>
        </w:rPr>
        <w:tab/>
      </w:r>
      <w:r w:rsidRPr="009303FD">
        <w:rPr>
          <w:rFonts w:ascii="Arial" w:hAnsi="Arial" w:eastAsia="Calibri" w:cs="Arial"/>
          <w:lang w:val="es-ES_tradnl"/>
        </w:rPr>
        <w:t>En ese sentido, la Agencia ha estimado que la aplicación del artículo 35 de la Ley 2069 de 2020</w:t>
      </w:r>
      <w:r w:rsidRPr="009303FD">
        <w:rPr>
          <w:rFonts w:ascii="Arial" w:hAnsi="Arial" w:cs="Arial"/>
        </w:rPr>
        <w:t xml:space="preserve"> es transversal a las distintas modalidades de contratación y los diferentes actores del sistema de compras públicas, quienes –indistintamente del régimen de contractual y el proceso de selección– deben aplicar los criterios de desempate de esta norma, lo cual aplica a los procedimientos de para la adquisición de bienes y servicios de características técnicas uniformes, mediante la modalidad de selección abreviada, de conformidad con el artículo 2-2, literal a) de la Ley 1150 de 2007, ya sea mediante el mecanismo de compra por catálogo derivada de acuerdos marco de precios, subasta inversa o procedimientos de adquisición en bolsa de productos. </w:t>
      </w:r>
    </w:p>
    <w:p w:rsidRPr="009303FD" w:rsidR="001D383B" w:rsidP="001D383B" w:rsidRDefault="001D383B" w14:paraId="02D1FB6B" w14:textId="77777777">
      <w:pPr>
        <w:tabs>
          <w:tab w:val="left" w:pos="0"/>
        </w:tabs>
        <w:spacing w:after="120" w:line="276" w:lineRule="auto"/>
        <w:jc w:val="both"/>
        <w:rPr>
          <w:rFonts w:ascii="Arial" w:hAnsi="Arial" w:eastAsia="Calibri" w:cs="Arial"/>
          <w:bCs/>
        </w:rPr>
      </w:pPr>
      <w:r w:rsidRPr="009303FD">
        <w:rPr>
          <w:rFonts w:ascii="Arial" w:hAnsi="Arial" w:eastAsia="Calibri" w:cs="Arial"/>
          <w:lang w:val="es-ES_tradnl"/>
        </w:rPr>
        <w:tab/>
      </w:r>
      <w:r w:rsidRPr="009303FD">
        <w:rPr>
          <w:rFonts w:ascii="Arial" w:hAnsi="Arial" w:eastAsia="Calibri" w:cs="Arial"/>
          <w:lang w:val="es-ES_tradnl"/>
        </w:rPr>
        <w:t>Para los procedimientos destinados a la adquisición de tales bienes y servicios el artículo 5-3 de la Ley 1150 de 2007 establece que “[…] las entidades estatales incluirán como único factor de evaluación el menor precio ofrecido”. No obstante, el hecho de que en estos procedimientos la determinación de la oferta más favorable no esté mediada por el uso de “puntaje”, y que el artículo 35 de la Ley 2069 de 2020 sea aplicable en “</w:t>
      </w:r>
      <w:r w:rsidRPr="009303FD">
        <w:rPr>
          <w:rFonts w:ascii="Arial" w:hAnsi="Arial" w:cs="Arial"/>
        </w:rPr>
        <w:t>[..] caso de empate en el puntaje total de dos o más ofertas […]”,</w:t>
      </w:r>
      <w:r w:rsidRPr="009303FD">
        <w:rPr>
          <w:rFonts w:ascii="Arial" w:hAnsi="Arial" w:eastAsia="Calibri" w:cs="Arial"/>
          <w:lang w:val="es-ES_tradnl"/>
        </w:rPr>
        <w:t xml:space="preserve"> no significa que dicha noma no deba aplicarse en los referidos procedimientos</w:t>
      </w:r>
      <w:r w:rsidRPr="009303FD">
        <w:rPr>
          <w:rFonts w:ascii="Arial" w:hAnsi="Arial" w:eastAsia="Calibri" w:cs="Arial"/>
          <w:bCs/>
        </w:rPr>
        <w:t xml:space="preserve">. </w:t>
      </w:r>
      <w:r w:rsidRPr="009303FD">
        <w:rPr>
          <w:rFonts w:ascii="Arial" w:hAnsi="Arial" w:eastAsia="Calibri" w:cs="Arial"/>
          <w:lang w:val="es-ES_tradnl"/>
        </w:rPr>
        <w:t xml:space="preserve">Esto dado que una interpretación exegética del artículo 35, según la cual este solo es aplicable en los procedimientos en los que se use el “puntaje” como mecanismo de evaluación, no corresponde con la finalidad transversal de la noma. Ello en la medida en que los factores de desempate de la Ley de Emprendimiento están concebidos para </w:t>
      </w:r>
      <w:r w:rsidRPr="009303FD">
        <w:rPr>
          <w:rFonts w:ascii="Arial" w:hAnsi="Arial" w:eastAsia="Calibri" w:cs="Arial"/>
          <w:bCs/>
        </w:rPr>
        <w:t>“[…]</w:t>
      </w:r>
      <w:r w:rsidRPr="009303FD">
        <w:rPr>
          <w:rFonts w:ascii="Arial" w:hAnsi="Arial" w:cs="Arial"/>
        </w:rPr>
        <w:t xml:space="preserve">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w:t>
      </w:r>
      <w:r w:rsidRPr="009303FD">
        <w:rPr>
          <w:rFonts w:ascii="Arial" w:hAnsi="Arial" w:eastAsia="Calibri" w:cs="Arial"/>
          <w:bCs/>
        </w:rPr>
        <w:t>”.</w:t>
      </w:r>
    </w:p>
    <w:p w:rsidRPr="009303FD" w:rsidR="001D383B" w:rsidP="001D383B" w:rsidRDefault="001D383B" w14:paraId="4CA6F8AF" w14:textId="77777777">
      <w:pPr>
        <w:tabs>
          <w:tab w:val="left" w:pos="0"/>
        </w:tabs>
        <w:spacing w:after="120" w:line="276" w:lineRule="auto"/>
        <w:jc w:val="both"/>
        <w:rPr>
          <w:rFonts w:ascii="Arial" w:hAnsi="Arial" w:eastAsia="Calibri" w:cs="Arial"/>
          <w:bCs/>
        </w:rPr>
      </w:pPr>
      <w:r w:rsidRPr="009303FD">
        <w:rPr>
          <w:rFonts w:ascii="Arial" w:hAnsi="Arial" w:eastAsia="Calibri" w:cs="Arial"/>
          <w:bCs/>
        </w:rPr>
        <w:tab/>
      </w:r>
      <w:r w:rsidRPr="009303FD">
        <w:rPr>
          <w:rFonts w:ascii="Arial" w:hAnsi="Arial" w:eastAsia="Calibri" w:cs="Arial"/>
          <w:bCs/>
        </w:rPr>
        <w:t xml:space="preserve">Por lo anterior, se considera que el alcance de la expresión </w:t>
      </w:r>
      <w:r w:rsidRPr="009303FD">
        <w:rPr>
          <w:rFonts w:ascii="Arial" w:hAnsi="Arial" w:eastAsia="Calibri" w:cs="Arial"/>
          <w:bCs/>
          <w:i/>
          <w:iCs/>
        </w:rPr>
        <w:t xml:space="preserve">puntaje total, </w:t>
      </w:r>
      <w:r w:rsidRPr="009303FD">
        <w:rPr>
          <w:rFonts w:ascii="Arial" w:hAnsi="Arial" w:eastAsia="Calibri" w:cs="Arial"/>
          <w:bCs/>
        </w:rPr>
        <w:t xml:space="preserve">contenida en el artículo 35 de la Ley 2069 de 2020, debe interpretarse sistemáticamente, propiciando </w:t>
      </w:r>
      <w:r w:rsidRPr="009303FD">
        <w:rPr>
          <w:rFonts w:ascii="Arial" w:hAnsi="Arial" w:eastAsia="Calibri" w:cs="Arial"/>
          <w:bCs/>
        </w:rPr>
        <w:t>una aplicación normativa coherente con otras disposiciones del sistema de compra pública y que satisfagan la finalidad transversal de la norma. Con este propósito, es necesario acudir al artículo 5 de la Ley 1150 de 2007, el cual regula el deber de selección objetiva, conforme al cual debe determinarse cuál es la oferta más favorable para la entidad y los fines de la contratación.</w:t>
      </w:r>
    </w:p>
    <w:p w:rsidRPr="009303FD" w:rsidR="001D383B" w:rsidP="001D383B" w:rsidRDefault="001D383B" w14:paraId="3C9F2FFD" w14:textId="77777777">
      <w:pPr>
        <w:tabs>
          <w:tab w:val="left" w:pos="0"/>
        </w:tabs>
        <w:spacing w:after="120" w:line="276" w:lineRule="auto"/>
        <w:jc w:val="both"/>
        <w:rPr>
          <w:rFonts w:ascii="Arial" w:hAnsi="Arial" w:eastAsia="Calibri" w:cs="Arial"/>
          <w:bCs/>
        </w:rPr>
      </w:pPr>
      <w:r w:rsidRPr="009303FD">
        <w:rPr>
          <w:rFonts w:ascii="Arial" w:hAnsi="Arial" w:eastAsia="Calibri" w:cs="Arial"/>
          <w:bCs/>
        </w:rPr>
        <w:tab/>
      </w:r>
      <w:r w:rsidRPr="009303FD">
        <w:rPr>
          <w:rFonts w:ascii="Arial" w:hAnsi="Arial" w:eastAsia="Calibri" w:cs="Arial"/>
          <w:bCs/>
        </w:rPr>
        <w:t xml:space="preserve">De acuerdo con el artículo 5 de la Ley 1150 de 2007, el deber de selección objetiva supone que las entidades escojan en los procesos de selección el “[…] ofrecimiento más favorable a la entidad y a los fines que ella busca </w:t>
      </w:r>
      <w:r w:rsidRPr="009303FD">
        <w:rPr>
          <w:rFonts w:ascii="Arial" w:hAnsi="Arial" w:cs="Arial"/>
        </w:rPr>
        <w:t>[…]</w:t>
      </w:r>
      <w:r w:rsidRPr="009303FD">
        <w:rPr>
          <w:rFonts w:ascii="Arial" w:hAnsi="Arial" w:eastAsia="Calibri" w:cs="Arial"/>
          <w:bCs/>
        </w:rPr>
        <w:t>”</w:t>
      </w:r>
      <w:r w:rsidRPr="009303FD">
        <w:rPr>
          <w:rStyle w:val="Refdenotaalpie"/>
          <w:rFonts w:ascii="Arial" w:hAnsi="Arial" w:eastAsia="Calibri" w:cs="Arial"/>
          <w:bCs/>
        </w:rPr>
        <w:footnoteReference w:id="12"/>
      </w:r>
      <w:r w:rsidRPr="009303FD">
        <w:rPr>
          <w:rFonts w:ascii="Arial" w:hAnsi="Arial" w:eastAsia="Calibri" w:cs="Arial"/>
          <w:bCs/>
        </w:rPr>
        <w:t xml:space="preserve">. Esta favorabilidad debe </w:t>
      </w:r>
      <w:r w:rsidRPr="009303FD">
        <w:rPr>
          <w:rFonts w:ascii="Arial" w:hAnsi="Arial" w:eastAsia="Calibri" w:cs="Arial"/>
          <w:bCs/>
        </w:rPr>
        <w:t xml:space="preserve">determinarse a partir de criterios que pueden variar de acuerdo con el objeto contractual o la modalidad de selección aplicable, los cuales, en todo caso, para que la selección sea objetiva, deben indicarse en el pliego de condiciones o documento equivalente. </w:t>
      </w:r>
    </w:p>
    <w:p w:rsidRPr="009303FD" w:rsidR="001D383B" w:rsidP="001D383B" w:rsidRDefault="001D383B" w14:paraId="4200C24B" w14:textId="77777777">
      <w:pPr>
        <w:tabs>
          <w:tab w:val="left" w:pos="0"/>
        </w:tabs>
        <w:spacing w:after="120" w:line="276" w:lineRule="auto"/>
        <w:jc w:val="both"/>
        <w:rPr>
          <w:rFonts w:ascii="Arial" w:hAnsi="Arial" w:eastAsia="Calibri" w:cs="Arial"/>
          <w:bCs/>
        </w:rPr>
      </w:pPr>
      <w:r w:rsidRPr="009303FD">
        <w:rPr>
          <w:rFonts w:ascii="Arial" w:hAnsi="Arial" w:eastAsia="Calibri" w:cs="Arial"/>
          <w:bCs/>
        </w:rPr>
        <w:tab/>
      </w:r>
      <w:r w:rsidRPr="009303FD">
        <w:rPr>
          <w:rFonts w:ascii="Arial" w:hAnsi="Arial" w:eastAsia="Calibri" w:cs="Arial"/>
          <w:bCs/>
        </w:rPr>
        <w:t>Al respecto, el artículo 5-1 de la Ley 1150 de 2007 regula los requisitos exigibles en la generalidad de procesos de selección adelantados conforme al EGCAP, tales como la capacidad jurídica, las condiciones de experiencia, la capacidad financiera y de organización, denominados requisitos habilitantes, los cuales –por expresa disposición legal– no otorgan puntaje. Lo anterior, ya que no se refieren a la oferta misma sino la idoneidad del oferente para asumir adecuadamente la ejecución del contrato</w:t>
      </w:r>
      <w:r w:rsidRPr="009303FD">
        <w:rPr>
          <w:rStyle w:val="Refdenotaalpie"/>
          <w:rFonts w:ascii="Arial" w:hAnsi="Arial" w:eastAsia="Calibri" w:cs="Arial"/>
          <w:bCs/>
        </w:rPr>
        <w:footnoteReference w:id="13"/>
      </w:r>
      <w:r w:rsidRPr="009303FD">
        <w:rPr>
          <w:rFonts w:ascii="Arial" w:hAnsi="Arial" w:eastAsia="Calibri" w:cs="Arial"/>
          <w:bCs/>
        </w:rPr>
        <w:t>.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w:t>
      </w:r>
    </w:p>
    <w:p w:rsidRPr="009303FD" w:rsidR="001D383B" w:rsidP="001D383B" w:rsidRDefault="001D383B" w14:paraId="322A98BB" w14:textId="77777777">
      <w:pPr>
        <w:tabs>
          <w:tab w:val="left" w:pos="0"/>
        </w:tabs>
        <w:spacing w:after="120" w:line="276" w:lineRule="auto"/>
        <w:jc w:val="both"/>
        <w:rPr>
          <w:rFonts w:ascii="Arial" w:hAnsi="Arial" w:cs="Arial"/>
        </w:rPr>
      </w:pPr>
      <w:r w:rsidRPr="009303FD">
        <w:rPr>
          <w:rFonts w:ascii="Arial" w:hAnsi="Arial" w:eastAsia="Calibri" w:cs="Arial"/>
          <w:bCs/>
        </w:rPr>
        <w:tab/>
      </w:r>
      <w:r w:rsidRPr="009303FD">
        <w:rPr>
          <w:rFonts w:ascii="Arial" w:hAnsi="Arial" w:eastAsia="Calibri" w:cs="Arial"/>
          <w:bCs/>
        </w:rPr>
        <w:t xml:space="preserve">En contraposición a los requisitos habilitantes, el artículo 5-2 de la Ley 1150 de 2007 regula los factores dirigidos a determinar cuál es la propuesta más favorable. En ese sentido, el inciso primero dispone los factores de escogencia y calificación que deben indicarse en los pliegos de condiciones. Esta norma establece que la oferta más favorable es aquella que resulte ser la más ventajosa para la entidad, una vez se realice la ponderación precisa y detallada de </w:t>
      </w:r>
      <w:r w:rsidRPr="009303FD">
        <w:rPr>
          <w:rFonts w:ascii="Arial" w:hAnsi="Arial" w:cs="Arial"/>
        </w:rPr>
        <w:t xml:space="preserve">los factores técnicos y económicos de escogencia, de acuerdo con los parámetros establecidos en los pliegos de condiciones o equivalentes que permiten la comparación de las ofertas. Además, este numeral se divide en dos literales, cada uno de los cuales hace referencia a los mecanismos por los que pueden optar las entidades para ponderar los elementos de calidad y precio de las ofertas. El literal a) alude a la ponderación de los referidos elementos mediante puntajes o fórmulas, mientras que el literal b) se refiere la elección de la oferta que represente la mejor relación costo-beneficio para la entidad. </w:t>
      </w:r>
    </w:p>
    <w:p w:rsidRPr="009303FD" w:rsidR="001D383B" w:rsidP="001D383B" w:rsidRDefault="001D383B" w14:paraId="2731FD7A" w14:textId="77777777">
      <w:pPr>
        <w:tabs>
          <w:tab w:val="left" w:pos="0"/>
        </w:tabs>
        <w:spacing w:after="120" w:line="276" w:lineRule="auto"/>
        <w:jc w:val="both"/>
        <w:rPr>
          <w:rFonts w:ascii="Arial" w:hAnsi="Arial" w:cs="Arial"/>
        </w:rPr>
      </w:pPr>
      <w:r w:rsidRPr="009303FD">
        <w:rPr>
          <w:rFonts w:ascii="Arial" w:hAnsi="Arial" w:cs="Arial"/>
        </w:rPr>
        <w:tab/>
      </w:r>
      <w:r w:rsidRPr="009303FD">
        <w:rPr>
          <w:rFonts w:ascii="Arial" w:hAnsi="Arial" w:cs="Arial"/>
        </w:rPr>
        <w:t>Por su parte, el artículo 5-3 establece que en los procesos de selección de bienes y servicios de características técnicas uniformes y de común utilización el único factor de evaluación consiste en el menor precio. Por último, el numeral 4, referente a procedimientos para selección de consultores, señala que debe hacerse uso de factores de calificación, para valorar los aspectos técnicos de la oferta, permitiendo que entre ellos se pondere la experiencia.</w:t>
      </w:r>
    </w:p>
    <w:p w:rsidRPr="009303FD" w:rsidR="001D383B" w:rsidP="001D383B" w:rsidRDefault="001D383B" w14:paraId="43D5E5FF" w14:textId="77777777">
      <w:pPr>
        <w:tabs>
          <w:tab w:val="left" w:pos="0"/>
        </w:tabs>
        <w:spacing w:line="276" w:lineRule="auto"/>
        <w:jc w:val="both"/>
        <w:rPr>
          <w:rFonts w:ascii="Arial" w:hAnsi="Arial" w:cs="Arial"/>
        </w:rPr>
      </w:pPr>
      <w:r w:rsidRPr="009303FD">
        <w:rPr>
          <w:rFonts w:ascii="Arial" w:hAnsi="Arial" w:cs="Arial"/>
        </w:rPr>
        <w:tab/>
      </w:r>
      <w:r w:rsidRPr="009303FD">
        <w:rPr>
          <w:rFonts w:ascii="Arial" w:hAnsi="Arial" w:cs="Arial"/>
        </w:rPr>
        <w:t xml:space="preserve">Conforme a lo anterior, el artículo 5 de la Ley 1150 de 2007 alude a diferentes conceptos como factores de escogencia, de calificación, técnicos y económicos de escogencia, de evaluación y calificación. Además, el artículo alude a unos factores que no otorgan puntaje y de otros que inciden en la comparación de las ofertas. En línea con esto último, la doctrina define los requisitos o factores ponderables como </w:t>
      </w:r>
      <w:r w:rsidRPr="009303FD">
        <w:rPr>
          <w:rFonts w:ascii="Arial" w:hAnsi="Arial" w:cs="Arial"/>
          <w:lang w:val="es-ES_tradnl"/>
        </w:rPr>
        <w:t>“[…]</w:t>
      </w:r>
      <w:r w:rsidRPr="009303FD">
        <w:rPr>
          <w:rFonts w:ascii="Arial" w:hAnsi="Arial" w:cs="Arial"/>
        </w:rPr>
        <w:t xml:space="preserve"> aquellas condiciones de la oferta y no de quien la presenta, que sí entrarán a ser evaluadas por la Administración y que, en consecuencia, darán lugar a la escogencia objetiva de la mejor propuesta para la entidad”</w:t>
      </w:r>
      <w:r w:rsidRPr="009303FD">
        <w:rPr>
          <w:rStyle w:val="Refdenotaalpie"/>
          <w:rFonts w:ascii="Arial" w:hAnsi="Arial" w:cs="Arial"/>
        </w:rPr>
        <w:footnoteReference w:id="14"/>
      </w:r>
      <w:r w:rsidRPr="009303FD">
        <w:rPr>
          <w:rFonts w:ascii="Arial" w:hAnsi="Arial" w:cs="Arial"/>
        </w:rPr>
        <w:t xml:space="preserve">. Todas estas categorías designan los </w:t>
      </w:r>
      <w:r w:rsidRPr="009303FD">
        <w:rPr>
          <w:rFonts w:ascii="Arial" w:hAnsi="Arial" w:cs="Arial"/>
          <w:lang w:val="es-ES_tradnl"/>
        </w:rPr>
        <w:t>“[…]</w:t>
      </w:r>
      <w:r w:rsidRPr="009303FD">
        <w:rPr>
          <w:rFonts w:ascii="Arial" w:hAnsi="Arial" w:cs="Arial"/>
        </w:rPr>
        <w:t xml:space="preserve"> factores a los cuales cabe otorgarles puntajes o que pueden ser ponderados, precisamente, pues estos son los factores que en últimas permiten una comparación de ofertas y una diferenciación entre ellas”</w:t>
      </w:r>
      <w:r w:rsidRPr="009303FD">
        <w:rPr>
          <w:rStyle w:val="Refdenotaalpie"/>
          <w:rFonts w:ascii="Arial" w:hAnsi="Arial" w:cs="Arial"/>
        </w:rPr>
        <w:footnoteReference w:id="15"/>
      </w:r>
      <w:r w:rsidRPr="009303FD">
        <w:rPr>
          <w:rFonts w:ascii="Arial" w:hAnsi="Arial" w:cs="Arial"/>
        </w:rPr>
        <w:t>. Conforme con esto, la doctrina explica que:</w:t>
      </w:r>
    </w:p>
    <w:p w:rsidRPr="009303FD" w:rsidR="001D383B" w:rsidP="001D383B" w:rsidRDefault="001D383B" w14:paraId="7FE535B5" w14:textId="77777777">
      <w:pPr>
        <w:tabs>
          <w:tab w:val="left" w:pos="0"/>
        </w:tabs>
        <w:spacing w:after="120"/>
        <w:ind w:left="709" w:right="709"/>
        <w:jc w:val="both"/>
        <w:rPr>
          <w:rFonts w:ascii="Arial" w:hAnsi="Arial" w:eastAsia="Calibri" w:cs="Arial"/>
          <w:bCs/>
          <w:sz w:val="21"/>
          <w:szCs w:val="21"/>
        </w:rPr>
      </w:pPr>
      <w:r w:rsidRPr="009303FD">
        <w:rPr>
          <w:rFonts w:ascii="Arial" w:hAnsi="Arial" w:eastAsia="Calibri" w:cs="Arial"/>
          <w:bCs/>
          <w:sz w:val="21"/>
          <w:szCs w:val="21"/>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rsidRPr="009303FD" w:rsidR="001D383B" w:rsidP="001D383B" w:rsidRDefault="001D383B" w14:paraId="174A6B4D" w14:textId="77777777">
      <w:pPr>
        <w:tabs>
          <w:tab w:val="left" w:pos="0"/>
        </w:tabs>
        <w:ind w:left="709" w:right="709"/>
        <w:jc w:val="both"/>
        <w:rPr>
          <w:rFonts w:ascii="Arial" w:hAnsi="Arial" w:eastAsia="Calibri" w:cs="Arial"/>
          <w:bCs/>
          <w:sz w:val="21"/>
          <w:szCs w:val="21"/>
        </w:rPr>
      </w:pPr>
      <w:r w:rsidRPr="009303FD">
        <w:rPr>
          <w:rFonts w:ascii="Arial" w:hAnsi="Arial" w:eastAsia="Calibri" w:cs="Arial"/>
          <w:bCs/>
          <w:sz w:val="21"/>
          <w:szCs w:val="21"/>
        </w:rPr>
        <w:t xml:space="preserve">De nuevo, aquí es preciso señalar que es el pliego de condiciones el que debe determinar cuáles son esos factores que en cada caso concreto permiten hacer </w:t>
      </w:r>
      <w:r w:rsidRPr="009303FD">
        <w:rPr>
          <w:rFonts w:ascii="Arial" w:hAnsi="Arial" w:eastAsia="Calibri" w:cs="Arial"/>
          <w:bCs/>
          <w:sz w:val="21"/>
          <w:szCs w:val="21"/>
        </w:rPr>
        <w:t xml:space="preserve">una comparación entre las ofertas presentadas y, con base en ello, determinar cuál es la más favorable para la Administración Pública. </w:t>
      </w:r>
    </w:p>
    <w:p w:rsidRPr="009303FD" w:rsidR="001D383B" w:rsidP="001D383B" w:rsidRDefault="001D383B" w14:paraId="1D0316E8" w14:textId="77777777">
      <w:pPr>
        <w:tabs>
          <w:tab w:val="left" w:pos="0"/>
        </w:tabs>
        <w:spacing w:after="120"/>
        <w:ind w:left="709" w:right="709"/>
        <w:jc w:val="both"/>
        <w:rPr>
          <w:rFonts w:ascii="Arial" w:hAnsi="Arial" w:eastAsia="Calibri" w:cs="Arial"/>
          <w:bCs/>
          <w:sz w:val="21"/>
          <w:szCs w:val="21"/>
        </w:rPr>
      </w:pPr>
      <w:r w:rsidRPr="009303FD">
        <w:rPr>
          <w:rFonts w:ascii="Arial" w:hAnsi="Arial" w:eastAsia="Calibri" w:cs="Arial"/>
          <w:bCs/>
          <w:sz w:val="21"/>
          <w:szCs w:val="21"/>
        </w:rPr>
        <w:t>[…]</w:t>
      </w:r>
    </w:p>
    <w:p w:rsidRPr="009303FD" w:rsidR="001D383B" w:rsidP="001D383B" w:rsidRDefault="001D383B" w14:paraId="1A928306" w14:textId="77777777">
      <w:pPr>
        <w:tabs>
          <w:tab w:val="left" w:pos="0"/>
        </w:tabs>
        <w:ind w:left="709" w:right="709"/>
        <w:jc w:val="both"/>
        <w:rPr>
          <w:rFonts w:ascii="Arial" w:hAnsi="Arial" w:eastAsia="Calibri" w:cs="Arial"/>
          <w:bCs/>
          <w:sz w:val="21"/>
          <w:szCs w:val="21"/>
        </w:rPr>
      </w:pPr>
      <w:r w:rsidRPr="009303FD">
        <w:rPr>
          <w:rFonts w:ascii="Arial" w:hAnsi="Arial" w:eastAsia="Calibri" w:cs="Arial"/>
          <w:bCs/>
          <w:sz w:val="21"/>
          <w:szCs w:val="21"/>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9303FD">
        <w:rPr>
          <w:rStyle w:val="Refdenotaalpie"/>
          <w:rFonts w:ascii="Arial" w:hAnsi="Arial" w:eastAsia="Calibri" w:cs="Arial"/>
          <w:bCs/>
          <w:sz w:val="21"/>
          <w:szCs w:val="21"/>
        </w:rPr>
        <w:footnoteReference w:id="16"/>
      </w:r>
      <w:r w:rsidRPr="009303FD">
        <w:rPr>
          <w:rFonts w:ascii="Arial" w:hAnsi="Arial" w:eastAsia="Calibri" w:cs="Arial"/>
          <w:bCs/>
          <w:sz w:val="21"/>
          <w:szCs w:val="21"/>
        </w:rPr>
        <w:t>”.</w:t>
      </w:r>
    </w:p>
    <w:p w:rsidRPr="009303FD" w:rsidR="001D383B" w:rsidP="009303FD" w:rsidRDefault="001D383B" w14:paraId="01B92E43" w14:textId="77777777">
      <w:pPr>
        <w:tabs>
          <w:tab w:val="left" w:pos="0"/>
        </w:tabs>
        <w:spacing w:after="0"/>
        <w:ind w:left="709" w:right="709"/>
        <w:jc w:val="both"/>
        <w:rPr>
          <w:rFonts w:ascii="Arial" w:hAnsi="Arial" w:eastAsia="Calibri" w:cs="Arial"/>
          <w:bCs/>
          <w:sz w:val="21"/>
          <w:szCs w:val="21"/>
        </w:rPr>
      </w:pPr>
    </w:p>
    <w:p w:rsidRPr="009303FD" w:rsidR="001D383B" w:rsidP="001D383B" w:rsidRDefault="001D383B" w14:paraId="383072D8" w14:textId="77777777">
      <w:pPr>
        <w:tabs>
          <w:tab w:val="left" w:pos="0"/>
        </w:tabs>
        <w:spacing w:after="120" w:line="276" w:lineRule="auto"/>
        <w:jc w:val="both"/>
        <w:rPr>
          <w:rFonts w:ascii="Arial" w:hAnsi="Arial" w:eastAsia="Calibri" w:cs="Arial"/>
          <w:bCs/>
        </w:rPr>
      </w:pPr>
      <w:r w:rsidRPr="009303FD">
        <w:rPr>
          <w:rFonts w:ascii="Arial" w:hAnsi="Arial" w:eastAsia="Calibri" w:cs="Arial"/>
          <w:bCs/>
        </w:rPr>
        <w:tab/>
      </w:r>
      <w:r w:rsidRPr="009303FD">
        <w:rPr>
          <w:rFonts w:ascii="Arial" w:hAnsi="Arial" w:eastAsia="Calibri" w:cs="Arial"/>
          <w:bCs/>
        </w:rPr>
        <w:t xml:space="preserve">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debe hacer adjudicatario a quien la presentó en debida forma. Es frente a estos factores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rsidRPr="009303FD" w:rsidR="001D383B" w:rsidP="001D383B" w:rsidRDefault="001D383B" w14:paraId="35B28C48" w14:textId="77777777">
      <w:pPr>
        <w:tabs>
          <w:tab w:val="left" w:pos="0"/>
        </w:tabs>
        <w:spacing w:after="120" w:line="276" w:lineRule="auto"/>
        <w:jc w:val="both"/>
        <w:rPr>
          <w:rFonts w:ascii="Arial" w:hAnsi="Arial" w:eastAsia="Calibri" w:cs="Arial"/>
          <w:bCs/>
        </w:rPr>
      </w:pPr>
      <w:r w:rsidRPr="009303FD">
        <w:rPr>
          <w:rFonts w:ascii="Arial" w:hAnsi="Arial" w:eastAsia="Calibri" w:cs="Arial"/>
          <w:bCs/>
        </w:rPr>
        <w:tab/>
      </w:r>
      <w:r w:rsidRPr="009303FD">
        <w:rPr>
          <w:rFonts w:ascii="Arial" w:hAnsi="Arial" w:eastAsia="Calibri" w:cs="Arial"/>
          <w:bCs/>
        </w:rPr>
        <w:t>En ese sentido, la asignación de puntaje es un mecanismo mediante el cual las entidades ponderan los factores de calificación ꟷ</w:t>
      </w:r>
      <w:r w:rsidRPr="009303FD">
        <w:rPr>
          <w:rFonts w:ascii="Arial" w:hAnsi="Arial" w:eastAsia="Calibri" w:cs="Arial"/>
          <w:bCs/>
          <w:i/>
          <w:iCs/>
        </w:rPr>
        <w:t>v.g.</w:t>
      </w:r>
      <w:r w:rsidRPr="009303FD">
        <w:rPr>
          <w:rFonts w:ascii="Arial" w:hAnsi="Arial" w:eastAsia="Calibri" w:cs="Arial"/>
          <w:bCs/>
        </w:rPr>
        <w:t xml:space="preserve"> técnicos y económicos, de calidad y precio</w:t>
      </w:r>
      <w:r w:rsidRPr="009303FD">
        <w:rPr>
          <w:rFonts w:ascii="Arial" w:hAnsi="Arial" w:eastAsia="Calibri" w:cs="Arial"/>
          <w:bCs/>
        </w:rPr>
        <w:softHyphen/>
        <w:t>, etc.ꟷ en un determinado proceso de selección, como se desprende del literal a) del artículo 5-2 de la Ley 1150 de 2007, en el que expresamente se alude al puntaje. Sin embargo, no es este el único mecanismo de ponderación que tienen a su alcance las entidades estatales para determinar el ofrecimiento más favorable, ya que el propio literal b) del artículo 5-2 posibilita que el ofrecimiento más favorable se determine con un análisis de la relación costo-beneficio, evento en el no habría necesidad de acudir a sistemas de asignación de puntaje. A estos se suman, los procesos de selección de bienes y servicios de características técnicas uniformes y de común utilización, así como los de mínima cuantía, en los que –según los artículos 5-3 y 2-5 de la Ley 1150 de 2007– el único factor de selección es el menor precio ofertado, por lo que no hay lugar a ponderación mediante puntajes.</w:t>
      </w:r>
    </w:p>
    <w:p w:rsidRPr="009303FD" w:rsidR="001D383B" w:rsidP="001D383B" w:rsidRDefault="001D383B" w14:paraId="1DBC7F66" w14:textId="77777777">
      <w:pPr>
        <w:spacing w:after="120" w:line="276" w:lineRule="auto"/>
        <w:jc w:val="both"/>
        <w:rPr>
          <w:rFonts w:ascii="Arial" w:hAnsi="Arial" w:cs="Arial"/>
          <w:lang w:eastAsia="es-CO"/>
        </w:rPr>
      </w:pPr>
      <w:r w:rsidRPr="009303FD">
        <w:rPr>
          <w:rFonts w:ascii="Arial" w:hAnsi="Arial" w:eastAsia="Calibri" w:cs="Arial"/>
          <w:bCs/>
        </w:rPr>
        <w:tab/>
      </w:r>
      <w:r w:rsidRPr="009303FD">
        <w:rPr>
          <w:rFonts w:ascii="Arial" w:hAnsi="Arial" w:eastAsia="Calibri" w:cs="Arial"/>
          <w:bCs/>
        </w:rPr>
        <w:t>Es necesario destacar, que las reglas para establecer la oferta más favorable conforme al artículo 5 de la Ley 1150 de 2007, se encuentran reglamentadas en el artículo 2.2.1.1.2.2.2 del Decreto 1082 de 2015. Este artículo desarrolla los mecanismos de ponderación previstos en los literales a) y b) del artículo 5</w:t>
      </w:r>
      <w:r w:rsidRPr="009303FD">
        <w:rPr>
          <w:rFonts w:ascii="Arial" w:hAnsi="Arial" w:eastAsia="Calibri" w:cs="Arial"/>
          <w:bCs/>
        </w:rPr>
        <w:softHyphen/>
        <w:t xml:space="preserve">-2 de la Ley 1150 de 2007, </w:t>
      </w:r>
      <w:r w:rsidRPr="009303FD">
        <w:rPr>
          <w:rFonts w:ascii="Arial" w:hAnsi="Arial" w:eastAsia="Calibri" w:cs="Arial"/>
          <w:bCs/>
        </w:rPr>
        <w:t>disponiendo unas pautas para la p</w:t>
      </w:r>
      <w:r w:rsidRPr="009303FD">
        <w:rPr>
          <w:rFonts w:ascii="Arial" w:hAnsi="Arial" w:cs="Arial"/>
        </w:rPr>
        <w:t xml:space="preserve">onderación de los elementos de calidad y precio que representen la mejor relación de costo-beneficio. Conforme a este artículo, la oferta más favorable en estos casos debe determinarse ponderando en las ofertas: i) </w:t>
      </w:r>
      <w:r w:rsidRPr="009303FD">
        <w:rPr>
          <w:rFonts w:ascii="Arial" w:hAnsi="Arial" w:cs="Arial"/>
          <w:lang w:eastAsia="es-CO"/>
        </w:rPr>
        <w:t xml:space="preserve">las condiciones técnicas y económicas mínimas, </w:t>
      </w:r>
      <w:proofErr w:type="spellStart"/>
      <w:r w:rsidRPr="009303FD">
        <w:rPr>
          <w:rFonts w:ascii="Arial" w:hAnsi="Arial" w:cs="Arial"/>
          <w:lang w:eastAsia="es-CO"/>
        </w:rPr>
        <w:t>ii</w:t>
      </w:r>
      <w:proofErr w:type="spellEnd"/>
      <w:r w:rsidRPr="009303FD">
        <w:rPr>
          <w:rFonts w:ascii="Arial" w:hAnsi="Arial" w:cs="Arial"/>
          <w:lang w:eastAsia="es-CO"/>
        </w:rPr>
        <w:t xml:space="preserve">) las condiciones técnicas adicionales que representan ventajas de calidad o de funcionamiento, </w:t>
      </w:r>
      <w:proofErr w:type="spellStart"/>
      <w:r w:rsidRPr="009303FD">
        <w:rPr>
          <w:rFonts w:ascii="Arial" w:hAnsi="Arial" w:cs="Arial"/>
          <w:lang w:eastAsia="es-CO"/>
        </w:rPr>
        <w:t>iii</w:t>
      </w:r>
      <w:proofErr w:type="spellEnd"/>
      <w:r w:rsidRPr="009303FD">
        <w:rPr>
          <w:rFonts w:ascii="Arial" w:hAnsi="Arial" w:cs="Arial"/>
          <w:lang w:eastAsia="es-CO"/>
        </w:rPr>
        <w:t xml:space="preserve">) las condiciones económicas adicionales que representen ventajas en términos de economía, eficiencia y eficacia, y </w:t>
      </w:r>
      <w:proofErr w:type="spellStart"/>
      <w:r w:rsidRPr="009303FD">
        <w:rPr>
          <w:rFonts w:ascii="Arial" w:hAnsi="Arial" w:cs="Arial"/>
          <w:lang w:eastAsia="es-CO"/>
        </w:rPr>
        <w:t>iv</w:t>
      </w:r>
      <w:proofErr w:type="spellEnd"/>
      <w:r w:rsidRPr="009303FD">
        <w:rPr>
          <w:rFonts w:ascii="Arial" w:hAnsi="Arial" w:cs="Arial"/>
          <w:lang w:eastAsia="es-CO"/>
        </w:rPr>
        <w:t xml:space="preserve">) el valor en dinero que la entidad estatal asigna a cada ofrecimiento técnico o económico adicional. Teniendo en cuenta estos elementos, la entidad estatal debe calcular la relación costo-beneficio de cada oferta </w:t>
      </w:r>
      <w:r w:rsidRPr="009303FD">
        <w:rPr>
          <w:rFonts w:ascii="Arial" w:hAnsi="Arial" w:eastAsia="Calibri" w:cs="Arial"/>
          <w:bCs/>
        </w:rPr>
        <w:t xml:space="preserve">“[…] </w:t>
      </w:r>
      <w:r w:rsidRPr="009303FD">
        <w:rPr>
          <w:rFonts w:ascii="Arial" w:hAnsi="Arial" w:cs="Arial"/>
          <w:lang w:eastAsia="es-CO"/>
        </w:rPr>
        <w:t>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r w:rsidRPr="009303FD">
        <w:rPr>
          <w:rFonts w:ascii="Arial" w:hAnsi="Arial" w:eastAsia="Calibri" w:cs="Arial"/>
          <w:bCs/>
        </w:rPr>
        <w:t xml:space="preserve"> </w:t>
      </w:r>
      <w:r w:rsidRPr="009303FD">
        <w:rPr>
          <w:rFonts w:ascii="Arial" w:hAnsi="Arial" w:cs="Arial"/>
        </w:rPr>
        <w:t>[…]</w:t>
      </w:r>
      <w:r w:rsidRPr="009303FD">
        <w:rPr>
          <w:rFonts w:ascii="Arial" w:hAnsi="Arial" w:eastAsia="Calibri" w:cs="Arial"/>
          <w:bCs/>
        </w:rPr>
        <w:t>”</w:t>
      </w:r>
      <w:r w:rsidRPr="009303FD">
        <w:rPr>
          <w:rStyle w:val="Refdenotaalpie"/>
          <w:rFonts w:ascii="Arial" w:hAnsi="Arial" w:cs="Arial"/>
          <w:lang w:eastAsia="es-CO"/>
        </w:rPr>
        <w:footnoteReference w:id="17"/>
      </w:r>
      <w:r w:rsidRPr="009303FD">
        <w:rPr>
          <w:rFonts w:ascii="Arial" w:hAnsi="Arial" w:eastAsia="Calibri" w:cs="Arial"/>
          <w:bCs/>
        </w:rPr>
        <w:t>.</w:t>
      </w:r>
    </w:p>
    <w:p w:rsidRPr="009303FD" w:rsidR="001D383B" w:rsidP="001D383B" w:rsidRDefault="001D383B" w14:paraId="63702C57" w14:textId="77777777">
      <w:pPr>
        <w:spacing w:after="120" w:line="276" w:lineRule="auto"/>
        <w:jc w:val="both"/>
        <w:rPr>
          <w:rFonts w:ascii="Arial" w:hAnsi="Arial" w:cs="Arial"/>
          <w:lang w:eastAsia="es-CO"/>
        </w:rPr>
      </w:pPr>
      <w:r w:rsidRPr="009303FD">
        <w:rPr>
          <w:rFonts w:ascii="Arial" w:hAnsi="Arial" w:cs="Arial"/>
          <w:lang w:eastAsia="es-CO"/>
        </w:rPr>
        <w:tab/>
      </w:r>
      <w:r w:rsidRPr="009303FD">
        <w:rPr>
          <w:rFonts w:ascii="Arial" w:hAnsi="Arial" w:cs="Arial"/>
          <w:lang w:eastAsia="es-CO"/>
        </w:rPr>
        <w:t xml:space="preserve">Conforme a lo anterior, el deber de selección objetiva está ligado a la determinación del ofrecimiento más favorable, cuyo contenido debe ser precisado a partir de las diferentes alternativas del artículo 5 de la Ley 1150 de 2007, reglamentado por el artículo 2.2.1.1.2.2.2 del Decreto 1082 de 2015, que en todo caso deben reflejarse en el pliego de condiciones o documento equivalente para el respectivo proceso de selección. Estas disposiciones establecen que en los procesos de selección deben evaluarse, fuera de los requisitos </w:t>
      </w:r>
      <w:r w:rsidRPr="009303FD">
        <w:rPr>
          <w:rFonts w:ascii="Arial" w:hAnsi="Arial" w:cs="Arial"/>
          <w:lang w:eastAsia="es-CO"/>
        </w:rPr>
        <w:t xml:space="preserve">habilitantes, los factores de calificación, valoración o evaluación. Estos pueden ponderarse mediante la asignación de puntaje, por lo que la norma se refiere a factores que no otorgan puntaje para diferenciar los requisitos habilitantes de los mencionados factores de calificación. Lo anterior, bajo el entendido que son estos últimos los que determinan la oferta más favorable para la entidad y la que en consecuencia debe elegirse. </w:t>
      </w:r>
    </w:p>
    <w:p w:rsidRPr="009303FD" w:rsidR="001D383B" w:rsidP="001D383B" w:rsidRDefault="001D383B" w14:paraId="6161FFF6" w14:textId="77777777">
      <w:pPr>
        <w:tabs>
          <w:tab w:val="left" w:pos="0"/>
        </w:tabs>
        <w:spacing w:after="120" w:line="276" w:lineRule="auto"/>
        <w:jc w:val="both"/>
        <w:rPr>
          <w:rFonts w:ascii="Arial" w:hAnsi="Arial" w:eastAsia="Calibri" w:cs="Arial"/>
          <w:bCs/>
          <w:lang w:val="es-ES_tradnl"/>
        </w:rPr>
      </w:pPr>
      <w:r w:rsidRPr="009303FD">
        <w:rPr>
          <w:rFonts w:ascii="Arial" w:hAnsi="Arial" w:eastAsia="Calibri" w:cs="Arial"/>
          <w:b/>
          <w:lang w:val="es-ES_tradnl"/>
        </w:rPr>
        <w:tab/>
      </w:r>
      <w:r w:rsidRPr="009303FD">
        <w:rPr>
          <w:rFonts w:ascii="Arial" w:hAnsi="Arial" w:eastAsia="Calibri" w:cs="Arial"/>
          <w:bCs/>
          <w:lang w:val="es-ES_tradnl"/>
        </w:rPr>
        <w:t xml:space="preserve">Considerando la explicación precedente, asumir que los factores de desempate del artículo 35 de la Ley 2069 de 2020 únicamente son aplicables a los procesos de selección en los que se empleen sistemas de asignación de puntaje para determinar la oferta más favorable, conduciría a entender que estos no rigen en otros procedimientos de selección. Esto dado que no habría lugar a aplicar los referidos factores de desempate en procedimientos en los que no se comparen las ofertas usando puntajes, como es el caso de los procesos en los que ponderan condiciones técnicas y económicas mínimas y adicionales para escoger la oferta que represente la mejor relación costo beneficio, procedimientos en los que también es posible que se presenten empates. </w:t>
      </w:r>
    </w:p>
    <w:p w:rsidRPr="009303FD" w:rsidR="001D383B" w:rsidP="001D383B" w:rsidRDefault="001D383B" w14:paraId="07A571F6" w14:textId="77777777">
      <w:pPr>
        <w:tabs>
          <w:tab w:val="left" w:pos="0"/>
        </w:tabs>
        <w:spacing w:after="120" w:line="276" w:lineRule="auto"/>
        <w:jc w:val="both"/>
        <w:rPr>
          <w:rFonts w:ascii="Arial" w:hAnsi="Arial" w:eastAsia="Calibri" w:cs="Arial"/>
          <w:bCs/>
          <w:lang w:val="es-ES_tradnl"/>
        </w:rPr>
      </w:pPr>
      <w:r w:rsidRPr="009303FD">
        <w:rPr>
          <w:rFonts w:ascii="Arial" w:hAnsi="Arial" w:eastAsia="Calibri" w:cs="Arial"/>
          <w:bCs/>
          <w:lang w:val="es-ES_tradnl"/>
        </w:rPr>
        <w:tab/>
      </w:r>
      <w:r w:rsidRPr="009303FD">
        <w:rPr>
          <w:rFonts w:ascii="Arial" w:hAnsi="Arial" w:eastAsia="Calibri" w:cs="Arial"/>
          <w:bCs/>
          <w:lang w:val="es-ES_tradnl"/>
        </w:rPr>
        <w:t xml:space="preserve">Lo anterior implica que las entidades estatales tendrían a su alcance la posibilidad de determinar si aplica o no el artículo 35 de la Ley de Emprendimiento, ya que al elaborar los pliegos de condiciones están facultadas para prescindir de la asignación de puntaje, optando, por ejemplo, por alternativas en las que se valore la relación costo beneficio, lo que relevaría a la entidad de aplicar los factores de desempate. Esta consecuencia también se aprecia en caso de las entidades exceptuadas, quienes al no estar sujetas al artículo 5 de la Ley 1150 de 2007, tienen a su alcance la posibilidad de configurar procesos de selección en los que no se utilicen </w:t>
      </w:r>
      <w:r w:rsidRPr="009303FD">
        <w:rPr>
          <w:rFonts w:ascii="Arial" w:hAnsi="Arial" w:eastAsia="Calibri" w:cs="Arial"/>
          <w:bCs/>
          <w:i/>
          <w:iCs/>
          <w:lang w:val="es-ES_tradnl"/>
        </w:rPr>
        <w:t>puntajes</w:t>
      </w:r>
      <w:r w:rsidRPr="009303FD">
        <w:rPr>
          <w:rFonts w:ascii="Arial" w:hAnsi="Arial" w:eastAsia="Calibri" w:cs="Arial"/>
          <w:bCs/>
          <w:lang w:val="es-ES_tradnl"/>
        </w:rPr>
        <w:t xml:space="preserve"> para escoger la oferta ganadora, inaplicando de los factores de desempate del artículo 35 de la Ley 2069 de 2020.</w:t>
      </w:r>
    </w:p>
    <w:p w:rsidRPr="009303FD" w:rsidR="001D383B" w:rsidP="001D383B" w:rsidRDefault="001D383B" w14:paraId="7111ABED" w14:textId="77777777">
      <w:pPr>
        <w:tabs>
          <w:tab w:val="left" w:pos="0"/>
        </w:tabs>
        <w:spacing w:after="120" w:line="276" w:lineRule="auto"/>
        <w:jc w:val="both"/>
        <w:rPr>
          <w:rFonts w:ascii="Arial" w:hAnsi="Arial" w:eastAsia="Calibri" w:cs="Arial"/>
          <w:bCs/>
          <w:lang w:val="es-ES_tradnl"/>
        </w:rPr>
      </w:pPr>
      <w:r w:rsidRPr="009303FD">
        <w:rPr>
          <w:rFonts w:ascii="Arial" w:hAnsi="Arial" w:eastAsia="Calibri" w:cs="Arial"/>
          <w:bCs/>
          <w:lang w:val="es-ES_tradnl"/>
        </w:rPr>
        <w:tab/>
      </w:r>
      <w:r w:rsidRPr="009303FD">
        <w:rPr>
          <w:rFonts w:ascii="Arial" w:hAnsi="Arial" w:eastAsia="Calibri" w:cs="Arial"/>
          <w:bCs/>
          <w:lang w:val="es-ES_tradnl"/>
        </w:rPr>
        <w:t xml:space="preserve">Conforme a estas consideraciones, el entendimiento literal de la expresión </w:t>
      </w:r>
      <w:r w:rsidRPr="009303FD">
        <w:rPr>
          <w:rFonts w:ascii="Arial" w:hAnsi="Arial" w:eastAsia="Calibri" w:cs="Arial"/>
          <w:bCs/>
          <w:i/>
          <w:iCs/>
          <w:lang w:val="es-ES_tradnl"/>
        </w:rPr>
        <w:t>puntaje total</w:t>
      </w:r>
      <w:r w:rsidRPr="009303FD">
        <w:rPr>
          <w:rFonts w:ascii="Arial" w:hAnsi="Arial" w:eastAsia="Calibri" w:cs="Arial"/>
          <w:bCs/>
          <w:lang w:val="es-ES_tradnl"/>
        </w:rPr>
        <w:t xml:space="preserve"> contenida en el artículo 35 de la 2069 de 2020, privaría esta norma de una gran parte de su obligatoriedad, al permitir que los destinatarios eludan su aplicación. Esto implica que la finalidad transversal del artículo 35 de la Ley 2069 de 2020 quedaría cercenada por su interpretación exegética, generando consecuencias absurdas como las descritas en el párrafo precedente.  </w:t>
      </w:r>
    </w:p>
    <w:p w:rsidRPr="009303FD" w:rsidR="001D383B" w:rsidP="001D383B" w:rsidRDefault="001D383B" w14:paraId="4DFDA0D4" w14:textId="77777777">
      <w:pPr>
        <w:tabs>
          <w:tab w:val="left" w:pos="0"/>
        </w:tabs>
        <w:spacing w:after="120" w:line="276" w:lineRule="auto"/>
        <w:jc w:val="both"/>
        <w:rPr>
          <w:rFonts w:ascii="Arial" w:hAnsi="Arial" w:cs="Arial"/>
        </w:rPr>
      </w:pPr>
      <w:r w:rsidRPr="009303FD">
        <w:rPr>
          <w:rFonts w:ascii="Arial" w:hAnsi="Arial" w:eastAsia="Calibri" w:cs="Arial"/>
          <w:bCs/>
          <w:lang w:val="es-ES_tradnl"/>
        </w:rPr>
        <w:tab/>
      </w:r>
      <w:r w:rsidRPr="009303FD">
        <w:rPr>
          <w:rFonts w:ascii="Arial" w:hAnsi="Arial" w:eastAsia="Calibri" w:cs="Arial"/>
          <w:bCs/>
          <w:lang w:val="es-ES_tradnl"/>
        </w:rPr>
        <w:t>En consideración a lo anterior, la Agencia no comparte la posición según la cual el artículo 35 de la Ley de Emprendimiento</w:t>
      </w:r>
      <w:r w:rsidRPr="009303FD">
        <w:rPr>
          <w:rFonts w:ascii="Arial" w:hAnsi="Arial" w:eastAsia="Calibri" w:cs="Arial"/>
          <w:bCs/>
          <w:i/>
          <w:iCs/>
          <w:lang w:val="es-ES_tradnl"/>
        </w:rPr>
        <w:t>,</w:t>
      </w:r>
      <w:r w:rsidRPr="009303FD">
        <w:rPr>
          <w:rFonts w:ascii="Arial" w:hAnsi="Arial" w:eastAsia="Calibri" w:cs="Arial"/>
          <w:bCs/>
          <w:lang w:val="es-ES_tradnl"/>
        </w:rPr>
        <w:t xml:space="preserve"> solo es aplicable en caso de empate en el </w:t>
      </w:r>
      <w:r w:rsidRPr="009303FD">
        <w:rPr>
          <w:rFonts w:ascii="Arial" w:hAnsi="Arial" w:eastAsia="Calibri" w:cs="Arial"/>
          <w:bCs/>
          <w:i/>
          <w:iCs/>
          <w:lang w:val="es-ES_tradnl"/>
        </w:rPr>
        <w:t>puntaje</w:t>
      </w:r>
      <w:r w:rsidRPr="009303FD">
        <w:rPr>
          <w:rFonts w:ascii="Arial" w:hAnsi="Arial" w:eastAsia="Calibri" w:cs="Arial"/>
          <w:bCs/>
          <w:lang w:val="es-ES_tradnl"/>
        </w:rPr>
        <w:t xml:space="preserve"> total entre dos o más ofertas. Por el contrario, </w:t>
      </w:r>
      <w:bookmarkStart w:name="_Hlk69752682" w:id="8"/>
      <w:r w:rsidRPr="009303FD">
        <w:rPr>
          <w:rFonts w:ascii="Arial" w:hAnsi="Arial" w:eastAsia="Calibri" w:cs="Arial"/>
          <w:bCs/>
          <w:lang w:val="es-ES_tradnl"/>
        </w:rPr>
        <w:t xml:space="preserve">debe interpretarse de manera sistemática con las demás disposiciones del EGCAP, particularmente, con el artículo 5 de la Ley 1150 de 2007. Conforme a esta interpretación, la expresión </w:t>
      </w:r>
      <w:r w:rsidRPr="009303FD">
        <w:rPr>
          <w:rFonts w:ascii="Arial" w:hAnsi="Arial" w:cs="Arial"/>
          <w:i/>
          <w:iCs/>
        </w:rPr>
        <w:t>empate en el puntaje total</w:t>
      </w:r>
      <w:r w:rsidRPr="009303FD">
        <w:rPr>
          <w:rFonts w:ascii="Arial" w:hAnsi="Arial" w:cs="Arial"/>
        </w:rPr>
        <w:t xml:space="preserve"> apunta a las situaciones en la evaluación final de las ofertas en las que, realizándose la comparación de acuerdo con los factores de calificación, evaluación o ponderación aplicables al respectivo procedimiento, se presenta un empate entre dos o más propuestas. </w:t>
      </w:r>
    </w:p>
    <w:p w:rsidRPr="009303FD" w:rsidR="001D383B" w:rsidP="001D383B" w:rsidRDefault="001D383B" w14:paraId="160FB711" w14:textId="77777777">
      <w:pPr>
        <w:tabs>
          <w:tab w:val="left" w:pos="0"/>
        </w:tabs>
        <w:spacing w:after="120" w:line="276" w:lineRule="auto"/>
        <w:jc w:val="both"/>
        <w:rPr>
          <w:rFonts w:ascii="Arial" w:hAnsi="Arial" w:cs="Arial"/>
        </w:rPr>
      </w:pPr>
      <w:r w:rsidRPr="009303FD">
        <w:rPr>
          <w:rFonts w:ascii="Arial" w:hAnsi="Arial" w:cs="Arial"/>
        </w:rPr>
        <w:tab/>
      </w:r>
      <w:r w:rsidRPr="009303FD">
        <w:rPr>
          <w:rFonts w:ascii="Arial" w:hAnsi="Arial" w:cs="Arial"/>
        </w:rPr>
        <w:t>En ese entendido, con independencia de que la ponderación emplee puntajes,  fórmulas, criterios de relación costo – beneficio o de que el único criterio de evaluación sea el menor precio, deben aplicarse los factores de desempate del artículo 35 de la Ley 2069 de 2020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p>
    <w:bookmarkEnd w:id="8"/>
    <w:p w:rsidRPr="009303FD" w:rsidR="001D383B" w:rsidP="001D383B" w:rsidRDefault="001D383B" w14:paraId="73EEB6AD" w14:textId="77777777">
      <w:pPr>
        <w:tabs>
          <w:tab w:val="left" w:pos="0"/>
        </w:tabs>
        <w:spacing w:line="276" w:lineRule="auto"/>
        <w:jc w:val="both"/>
        <w:rPr>
          <w:rFonts w:ascii="Arial" w:hAnsi="Arial" w:eastAsia="Calibri" w:cs="Arial"/>
          <w:bCs/>
          <w:lang w:val="es-ES_tradnl"/>
        </w:rPr>
      </w:pPr>
      <w:r w:rsidRPr="009303FD">
        <w:rPr>
          <w:rFonts w:ascii="Arial" w:hAnsi="Arial" w:eastAsia="Calibri" w:cs="Arial"/>
          <w:bCs/>
          <w:lang w:val="es-ES_tradnl"/>
        </w:rPr>
        <w:tab/>
      </w:r>
      <w:r w:rsidRPr="009303FD">
        <w:rPr>
          <w:rFonts w:ascii="Arial" w:hAnsi="Arial" w:eastAsia="Calibri" w:cs="Arial"/>
          <w:bCs/>
          <w:lang w:val="es-ES_tradnl"/>
        </w:rPr>
        <w:t>Esta interpretación garantiza que el artículo 35 de la Ley 2069 de 2020 cumpla la finalidad transversal con la que fue concebido, a diferencia de la interpretación restringida del mismo, que priva a la norma de una gran parte de su ámbito aplicación. En ese sentido, la interpretación sistemática está respaldada por la aplicación del principio hermenéutico del</w:t>
      </w:r>
      <w:r w:rsidRPr="009303FD">
        <w:rPr>
          <w:rFonts w:ascii="Arial" w:hAnsi="Arial" w:eastAsia="Calibri" w:cs="Arial"/>
          <w:bCs/>
          <w:i/>
          <w:iCs/>
          <w:lang w:val="es-ES_tradnl"/>
        </w:rPr>
        <w:t xml:space="preserve"> efecto útil de las normas</w:t>
      </w:r>
      <w:r w:rsidRPr="009303FD">
        <w:rPr>
          <w:rStyle w:val="Refdenotaalpie"/>
          <w:rFonts w:ascii="Arial" w:hAnsi="Arial" w:cs="Arial"/>
        </w:rPr>
        <w:footnoteReference w:id="18"/>
      </w:r>
      <w:r w:rsidRPr="009303FD">
        <w:rPr>
          <w:rFonts w:ascii="Arial" w:hAnsi="Arial" w:cs="Arial"/>
        </w:rPr>
        <w:t>.</w:t>
      </w:r>
      <w:r w:rsidRPr="009303FD">
        <w:rPr>
          <w:rFonts w:ascii="Arial" w:hAnsi="Arial" w:eastAsia="Calibri" w:cs="Arial"/>
          <w:b/>
          <w:lang w:val="es-ES_tradnl"/>
        </w:rPr>
        <w:t xml:space="preserve"> </w:t>
      </w:r>
      <w:r w:rsidRPr="009303FD">
        <w:rPr>
          <w:rFonts w:ascii="Arial" w:hAnsi="Arial" w:eastAsia="Calibri" w:cs="Arial"/>
          <w:bCs/>
          <w:lang w:val="es-ES_tradnl"/>
        </w:rPr>
        <w:t xml:space="preserve">Por tanto, los factores de desempate de la Ley de Emprendimiento aplican a todos los procesos de selección de las entidades estatales sin importar su régimen contractual, en los que se presente esta situación entre varias ofertas, una vez comparadas las mismas ponderando los factores de evaluación de acuerdo con las reglas establecidas en el pliego de condiciones o documento equivalente. </w:t>
      </w:r>
    </w:p>
    <w:p w:rsidRPr="009303FD" w:rsidR="001D383B" w:rsidP="001D383B" w:rsidRDefault="001D383B" w14:paraId="27E31132" w14:textId="77777777">
      <w:pPr>
        <w:spacing w:before="120" w:line="276" w:lineRule="auto"/>
        <w:ind w:firstLine="709"/>
        <w:jc w:val="both"/>
        <w:rPr>
          <w:rFonts w:ascii="Arial" w:hAnsi="Arial" w:eastAsia="Arial" w:cs="Arial"/>
        </w:rPr>
      </w:pPr>
      <w:r w:rsidRPr="009303FD">
        <w:rPr>
          <w:rFonts w:ascii="Arial" w:hAnsi="Arial" w:eastAsia="Arial" w:cs="Arial"/>
        </w:rPr>
        <w:t xml:space="preserve">Conforme a lo anterior, los factores de desempate regulados en el artículo 35 de la Ley 2069 de 2020 se deben tener en cuenta en todos los procedimientos de contratación estatal, pues la referida disposición, en el primer inciso, establece que aquellos rigen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Por ello, esta Agencia ha indicado que si el legislador no distinguió modalidades de selección contractual específicas –efectuadas con recursos públicos– en las que deben aplicarse los factores de desempate, no le está permitido al intérprete hacerlo. Bajo este entendimiento, dichos factores rigen en los procedimientos de licitación pública, selección abreviada –en cualquiera de sus modalidades–, concurso de méritos, contratación de mínima cuantía, pero también en los demás procedimientos adelantados </w:t>
      </w:r>
      <w:r w:rsidRPr="009303FD">
        <w:rPr>
          <w:rFonts w:ascii="Arial" w:hAnsi="Arial" w:eastAsia="Arial" w:cs="Arial"/>
          <w:i/>
        </w:rPr>
        <w:t>con recursos públicos</w:t>
      </w:r>
      <w:r w:rsidRPr="009303FD">
        <w:rPr>
          <w:rFonts w:ascii="Arial" w:hAnsi="Arial" w:eastAsia="Arial" w:cs="Arial"/>
        </w:rPr>
        <w:t xml:space="preserve"> e incluso en los procedimientos contractuales de las entidades estatales exceptuadas de la aplicación del Estatuto General de Contratación de la Administración Pública. </w:t>
      </w:r>
    </w:p>
    <w:p w:rsidRPr="009303FD" w:rsidR="001D383B" w:rsidP="001D383B" w:rsidRDefault="001D383B" w14:paraId="4D1778DD" w14:textId="77777777">
      <w:pPr>
        <w:pStyle w:val="Textoindependiente"/>
        <w:spacing w:before="240" w:line="276" w:lineRule="auto"/>
        <w:jc w:val="both"/>
        <w:rPr>
          <w:u w:val="single"/>
        </w:rPr>
      </w:pPr>
      <w:r w:rsidRPr="009303FD">
        <w:rPr>
          <w:rFonts w:eastAsia="Calibri"/>
          <w:b/>
          <w:lang w:val="es-ES_tradnl"/>
        </w:rPr>
        <w:t>3. Respuesta</w:t>
      </w:r>
    </w:p>
    <w:p w:rsidRPr="009303FD" w:rsidR="001D383B" w:rsidP="001D383B" w:rsidRDefault="001D383B" w14:paraId="18849DFD" w14:textId="77777777">
      <w:pPr>
        <w:spacing w:after="0" w:line="240" w:lineRule="auto"/>
        <w:ind w:left="709" w:right="709"/>
        <w:jc w:val="both"/>
        <w:rPr>
          <w:rFonts w:ascii="Arial" w:hAnsi="Arial" w:cs="Arial"/>
          <w:iCs/>
          <w:sz w:val="20"/>
          <w:szCs w:val="20"/>
          <w:lang w:val="es-ES_tradnl"/>
        </w:rPr>
      </w:pPr>
    </w:p>
    <w:p w:rsidRPr="009303FD" w:rsidR="001D383B" w:rsidP="001D383B" w:rsidRDefault="001D383B" w14:paraId="32ADB55F" w14:textId="77777777">
      <w:pPr>
        <w:ind w:left="567" w:right="851"/>
        <w:jc w:val="both"/>
        <w:rPr>
          <w:rFonts w:ascii="Arial" w:hAnsi="Arial" w:cs="Arial"/>
          <w:sz w:val="20"/>
          <w:szCs w:val="20"/>
        </w:rPr>
      </w:pPr>
      <w:r w:rsidRPr="009303FD">
        <w:rPr>
          <w:rFonts w:ascii="Arial" w:hAnsi="Arial" w:cs="Arial"/>
          <w:iCs/>
          <w:sz w:val="20"/>
          <w:szCs w:val="20"/>
          <w:lang w:val="es-ES_tradnl"/>
        </w:rPr>
        <w:t xml:space="preserve"> </w:t>
      </w:r>
      <w:r w:rsidRPr="009303FD">
        <w:rPr>
          <w:rFonts w:ascii="Arial" w:hAnsi="Arial" w:cs="Arial"/>
          <w:iCs/>
          <w:sz w:val="20"/>
          <w:szCs w:val="20"/>
        </w:rPr>
        <w:t xml:space="preserve">“[…] </w:t>
      </w:r>
      <w:r w:rsidRPr="009303FD">
        <w:rPr>
          <w:rFonts w:ascii="Arial" w:hAnsi="Arial" w:cs="Arial"/>
          <w:sz w:val="20"/>
          <w:szCs w:val="20"/>
        </w:rPr>
        <w:t>“</w:t>
      </w:r>
      <w:r w:rsidRPr="009303FD">
        <w:rPr>
          <w:rFonts w:ascii="Arial" w:hAnsi="Arial" w:eastAsia="Calibri" w:cs="Arial"/>
          <w:sz w:val="20"/>
          <w:szCs w:val="20"/>
          <w:lang w:val="es-ES" w:eastAsia="es-ES"/>
        </w:rPr>
        <w:t xml:space="preserve">[…] </w:t>
      </w:r>
      <w:r w:rsidRPr="009303FD">
        <w:rPr>
          <w:rFonts w:ascii="Arial" w:hAnsi="Arial" w:cs="Arial"/>
          <w:sz w:val="20"/>
          <w:szCs w:val="20"/>
        </w:rPr>
        <w:t xml:space="preserve">La </w:t>
      </w:r>
      <w:r w:rsidRPr="009303FD">
        <w:rPr>
          <w:rFonts w:ascii="Arial" w:hAnsi="Arial" w:cs="Arial"/>
          <w:iCs/>
          <w:sz w:val="20"/>
          <w:szCs w:val="20"/>
          <w:lang w:val="es-ES_tradnl"/>
        </w:rPr>
        <w:t>BMC administra, entre otros escenarios de negociación, el Mercado de Compra Públicas (en adelante “MCP”), el cual tiene como fin atender las necesidades de compra de las entidades estatales, mediante un proceso de selección abreviada para la adquisición de</w:t>
      </w:r>
      <w:r w:rsidRPr="009303FD">
        <w:rPr>
          <w:rFonts w:ascii="Arial" w:hAnsi="Arial" w:cs="Arial"/>
          <w:sz w:val="20"/>
          <w:szCs w:val="20"/>
        </w:rPr>
        <w:t xml:space="preserve"> </w:t>
      </w:r>
      <w:r w:rsidRPr="009303FD">
        <w:rPr>
          <w:rFonts w:ascii="Arial" w:hAnsi="Arial" w:cs="Arial"/>
          <w:iCs/>
          <w:sz w:val="20"/>
          <w:szCs w:val="20"/>
          <w:lang w:val="es-ES_tradnl"/>
        </w:rPr>
        <w:t>bienes y servicios con características técnicas uniformes, de conformidad con lo establecido</w:t>
      </w:r>
      <w:r w:rsidRPr="009303FD">
        <w:rPr>
          <w:rFonts w:ascii="Arial" w:hAnsi="Arial" w:cs="Arial"/>
          <w:sz w:val="20"/>
          <w:szCs w:val="20"/>
        </w:rPr>
        <w:t xml:space="preserve"> </w:t>
      </w:r>
      <w:r w:rsidRPr="009303FD">
        <w:rPr>
          <w:rFonts w:ascii="Arial" w:hAnsi="Arial" w:cs="Arial"/>
          <w:iCs/>
          <w:sz w:val="20"/>
          <w:szCs w:val="20"/>
          <w:lang w:val="es-ES_tradnl"/>
        </w:rPr>
        <w:t>en los artículos 2.2.1.2.1.2.11 y siguientes del Decreto 1082 de 2015 (artículo 50 y</w:t>
      </w:r>
      <w:r w:rsidRPr="009303FD">
        <w:rPr>
          <w:rFonts w:ascii="Arial" w:hAnsi="Arial" w:cs="Arial"/>
          <w:sz w:val="20"/>
          <w:szCs w:val="20"/>
        </w:rPr>
        <w:t xml:space="preserve"> </w:t>
      </w:r>
      <w:r w:rsidRPr="009303FD">
        <w:rPr>
          <w:rFonts w:ascii="Arial" w:hAnsi="Arial" w:cs="Arial"/>
          <w:iCs/>
          <w:sz w:val="20"/>
          <w:szCs w:val="20"/>
          <w:lang w:val="es-ES_tradnl"/>
        </w:rPr>
        <w:t>siguientes del Decreto 1510 de 2013), el cual a su turno es reglamentario de las normas</w:t>
      </w:r>
      <w:r w:rsidRPr="009303FD">
        <w:rPr>
          <w:rFonts w:ascii="Arial" w:hAnsi="Arial" w:cs="Arial"/>
          <w:sz w:val="20"/>
          <w:szCs w:val="20"/>
        </w:rPr>
        <w:t xml:space="preserve"> </w:t>
      </w:r>
      <w:r w:rsidRPr="009303FD">
        <w:rPr>
          <w:rFonts w:ascii="Arial" w:hAnsi="Arial" w:cs="Arial"/>
          <w:iCs/>
          <w:sz w:val="20"/>
          <w:szCs w:val="20"/>
          <w:lang w:val="es-ES_tradnl"/>
        </w:rPr>
        <w:t>señaladas en la Ley 80 de 1993, así como en el propio Reglamento de Funcionamiento y</w:t>
      </w:r>
      <w:r w:rsidRPr="009303FD">
        <w:rPr>
          <w:rFonts w:ascii="Arial" w:hAnsi="Arial" w:cs="Arial"/>
          <w:sz w:val="20"/>
          <w:szCs w:val="20"/>
        </w:rPr>
        <w:t xml:space="preserve"> </w:t>
      </w:r>
      <w:r w:rsidRPr="009303FD">
        <w:rPr>
          <w:rFonts w:ascii="Arial" w:hAnsi="Arial" w:cs="Arial"/>
          <w:iCs/>
          <w:sz w:val="20"/>
          <w:szCs w:val="20"/>
          <w:lang w:val="es-ES_tradnl"/>
        </w:rPr>
        <w:t>Operación de la BMC.</w:t>
      </w:r>
    </w:p>
    <w:p w:rsidRPr="009303FD" w:rsidR="001D383B" w:rsidP="001D383B" w:rsidRDefault="001D383B" w14:paraId="4D13DBC5" w14:textId="77777777">
      <w:pPr>
        <w:ind w:left="567" w:right="851"/>
        <w:jc w:val="both"/>
        <w:rPr>
          <w:rFonts w:ascii="Arial" w:hAnsi="Arial" w:cs="Arial"/>
          <w:i/>
          <w:iCs/>
          <w:sz w:val="20"/>
          <w:szCs w:val="20"/>
          <w:lang w:val="es-ES_tradnl"/>
        </w:rPr>
      </w:pPr>
      <w:r w:rsidRPr="009303FD">
        <w:rPr>
          <w:rFonts w:ascii="Arial" w:hAnsi="Arial" w:cs="Arial"/>
          <w:iCs/>
          <w:sz w:val="20"/>
          <w:szCs w:val="20"/>
          <w:lang w:val="es-ES_tradnl"/>
        </w:rPr>
        <w:t>En atención a lo anterior, y teniendo en cuenta que el artículo 35 de la Ley 2069 de 2020,</w:t>
      </w:r>
      <w:r w:rsidRPr="009303FD">
        <w:rPr>
          <w:rFonts w:ascii="Arial" w:hAnsi="Arial" w:cs="Arial"/>
          <w:sz w:val="20"/>
          <w:szCs w:val="20"/>
        </w:rPr>
        <w:t xml:space="preserve"> </w:t>
      </w:r>
      <w:r w:rsidRPr="009303FD">
        <w:rPr>
          <w:rFonts w:ascii="Arial" w:hAnsi="Arial" w:cs="Arial"/>
          <w:iCs/>
          <w:sz w:val="20"/>
          <w:szCs w:val="20"/>
          <w:lang w:val="es-ES_tradnl"/>
        </w:rPr>
        <w:t>reglamentado por el Gobierno Nacional (Presidencia de la República, Departamento Nacional de Planeación y Ministerio de Comercio, Industria y Turismo) a través del artículo</w:t>
      </w:r>
      <w:r w:rsidRPr="009303FD">
        <w:rPr>
          <w:rFonts w:ascii="Arial" w:hAnsi="Arial" w:cs="Arial"/>
          <w:sz w:val="20"/>
          <w:szCs w:val="20"/>
        </w:rPr>
        <w:t xml:space="preserve"> </w:t>
      </w:r>
      <w:r w:rsidRPr="009303FD">
        <w:rPr>
          <w:rFonts w:ascii="Arial" w:hAnsi="Arial" w:cs="Arial"/>
          <w:iCs/>
          <w:sz w:val="20"/>
          <w:szCs w:val="20"/>
          <w:lang w:val="es-ES_tradnl"/>
        </w:rPr>
        <w:t>31 del Decreto 1860 de 2021, dispone que en caso de empate entre dos o más ofertas en los procesos de contratación realizados con cargo a recursos públicos, indistintamente del régimen aplicable, se deberán utilizar los criterios allí señalados para seleccionar al oferente favorecido, de manera atenta solicitamos aclarar si dichos factores sobre desempate resultan o no aplicables al MCP administrado por la BMC, teniendo en cuenta su especial naturaleza y su sometimiento a unas reglas propias.”</w:t>
      </w:r>
    </w:p>
    <w:p w:rsidRPr="009303FD" w:rsidR="001D383B" w:rsidP="001D383B" w:rsidRDefault="001D383B" w14:paraId="0DE301BE" w14:textId="77777777">
      <w:pPr>
        <w:spacing w:after="0" w:line="240" w:lineRule="auto"/>
        <w:jc w:val="both"/>
        <w:rPr>
          <w:rFonts w:ascii="Arial" w:hAnsi="Arial" w:eastAsia="Calibri" w:cs="Arial"/>
          <w:bCs/>
          <w:lang w:val="es-ES"/>
        </w:rPr>
      </w:pPr>
    </w:p>
    <w:p w:rsidRPr="009303FD" w:rsidR="001D383B" w:rsidP="001D383B" w:rsidRDefault="001D383B" w14:paraId="58C67C16" w14:textId="77777777">
      <w:pPr>
        <w:spacing w:after="120" w:line="276" w:lineRule="auto"/>
        <w:jc w:val="both"/>
        <w:rPr>
          <w:rFonts w:ascii="Arial" w:hAnsi="Arial" w:eastAsia="Times New Roman" w:cs="Arial"/>
          <w:lang w:eastAsia="es-MX"/>
        </w:rPr>
      </w:pPr>
      <w:r w:rsidRPr="009303FD">
        <w:rPr>
          <w:rFonts w:ascii="Arial" w:hAnsi="Arial" w:eastAsia="Times New Roman" w:cs="Arial"/>
          <w:lang w:eastAsia="es-MX"/>
        </w:rPr>
        <w:t xml:space="preserve">De conformidad con las consideraciones expuestas, es necesario reiterar que esta Agencia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w:t>
      </w:r>
      <w:r w:rsidRPr="009303FD">
        <w:rPr>
          <w:rFonts w:ascii="Arial" w:hAnsi="Arial" w:eastAsia="Times New Roman" w:cs="Arial"/>
          <w:lang w:eastAsia="es-ES_tradnl"/>
        </w:rPr>
        <w:t>Por consiguiente, no puede emitir pronunciamientos con el propósito de resolver situaciones propias que se presentan con ocasión del trámite de los procesos de contratación estatal a cargo de las entidades públicas. Pronunciarse sobre la situación descrita en la solicitud implicaría realizar un juicio de valor sobre la validez de la aplicación de los factores de desempate objeto de consulta en el citado proceso de contratación estatal, lo cual condicionaría las decisiones que debe adoptar una entidad pública en ese trámite administrativo de naturaleza contractual; actuación para la cual la Agencia no tiene competencia. </w:t>
      </w:r>
    </w:p>
    <w:p w:rsidRPr="009303FD" w:rsidR="001D383B" w:rsidP="001D383B" w:rsidRDefault="001D383B" w14:paraId="51933C52" w14:textId="77777777">
      <w:pPr>
        <w:spacing w:after="120" w:line="276" w:lineRule="auto"/>
        <w:ind w:firstLine="709"/>
        <w:jc w:val="both"/>
        <w:rPr>
          <w:rFonts w:ascii="Arial" w:hAnsi="Arial" w:eastAsia="Times New Roman" w:cs="Arial"/>
          <w:color w:val="000000"/>
          <w:shd w:val="clear" w:color="auto" w:fill="FFFFFF"/>
          <w:lang w:eastAsia="es-ES_tradnl"/>
        </w:rPr>
      </w:pPr>
      <w:r w:rsidRPr="009303FD">
        <w:rPr>
          <w:rFonts w:ascii="Arial" w:hAnsi="Arial" w:eastAsia="Times New Roman" w:cs="Arial"/>
          <w:lang w:eastAsia="es-ES_tradnl"/>
        </w:rPr>
        <w:t xml:space="preserve">En consecuencia, les corresponde a las autoridades, por ser de su competencia, con la asesoría de sus equipos jurídicos y como responsables de la estructuración de sus procesos de contratación estatal, en cada caso particular y concreto, establecer el alcance de las interpretaciones hermenéuticas de los factores de desempate que se deben aplicar a las propuestas presentadas por los oferentes, así como la forma en que dichos factores deben acreditarse por parte de estos. </w:t>
      </w:r>
      <w:r w:rsidRPr="009303FD">
        <w:rPr>
          <w:rFonts w:ascii="Arial" w:hAnsi="Arial" w:eastAsia="Times New Roman" w:cs="Arial"/>
          <w:color w:val="000000"/>
          <w:shd w:val="clear" w:color="auto" w:fill="FFFFFF"/>
          <w:lang w:eastAsia="es-ES_tradnl"/>
        </w:rPr>
        <w:t>Esta entidad no puede involucrarse, directa o indirectamente, en las decisiones o actuaciones de las entidades estatales en materia de contratación estatal, de acuerdo con lo establecido en las disposiciones constitucionales y legales que rigen nuestro ordenamiento jurídico.</w:t>
      </w:r>
    </w:p>
    <w:p w:rsidRPr="009303FD" w:rsidR="001D383B" w:rsidP="001D383B" w:rsidRDefault="001D383B" w14:paraId="187DF7F3" w14:textId="77777777">
      <w:pPr>
        <w:spacing w:after="120" w:line="276" w:lineRule="auto"/>
        <w:ind w:firstLine="709"/>
        <w:jc w:val="both"/>
        <w:rPr>
          <w:rFonts w:ascii="Arial" w:hAnsi="Arial" w:eastAsia="Times New Roman" w:cs="Arial"/>
          <w:color w:val="000000"/>
          <w:shd w:val="clear" w:color="auto" w:fill="FFFFFF"/>
          <w:lang w:eastAsia="es-ES_tradnl"/>
        </w:rPr>
      </w:pPr>
      <w:r w:rsidRPr="009303FD">
        <w:rPr>
          <w:rFonts w:ascii="Arial" w:hAnsi="Arial" w:eastAsia="Times New Roman" w:cs="Arial"/>
          <w:lang w:val="es-ES_tradnl" w:eastAsia="es-ES_tradnl"/>
        </w:rPr>
        <w:t>Sin perjuicio de lo anterior, es preciso mencionar</w:t>
      </w:r>
      <w:bookmarkStart w:name="_Hlk69487468" w:id="9"/>
      <w:bookmarkStart w:name="_Hlk79145750" w:id="10"/>
      <w:r w:rsidRPr="009303FD">
        <w:rPr>
          <w:rFonts w:ascii="Arial" w:hAnsi="Arial" w:eastAsia="Times New Roman" w:cs="Arial"/>
          <w:lang w:val="es-ES_tradnl" w:eastAsia="es-ES_tradnl"/>
        </w:rPr>
        <w:t xml:space="preserve"> que, </w:t>
      </w:r>
      <w:r w:rsidRPr="009303FD">
        <w:rPr>
          <w:rFonts w:ascii="Arial" w:hAnsi="Arial" w:eastAsia="Calibri" w:cs="Arial"/>
          <w:lang w:val="es-ES_tradnl"/>
        </w:rPr>
        <w:t xml:space="preserve">los factores de desempate consagrados en el artículo 35 de la Ley 2069 de 2020 aplican en “[…]  </w:t>
      </w:r>
      <w:r w:rsidRPr="009303FD">
        <w:rPr>
          <w:rFonts w:ascii="Arial" w:hAnsi="Arial" w:eastAsia="Calibri" w:cs="Arial"/>
          <w:i/>
          <w:iCs/>
          <w:lang w:val="es-ES_tradnl"/>
        </w:rPr>
        <w:t>en los Procesos de Contratación realizados con cargo a recursos públicos</w:t>
      </w:r>
      <w:r w:rsidRPr="009303FD">
        <w:rPr>
          <w:rFonts w:ascii="Arial" w:hAnsi="Arial" w:eastAsia="Calibri" w:cs="Arial"/>
          <w:lang w:val="es-ES_tradnl"/>
        </w:rPr>
        <w:t xml:space="preserve">, los Procesos de Contratación realizados por las Entidades Estatales indistintamente de su régimen de contratación, así como los celebrados por los Procesos de Contratación de los patrimonios autónomos constituidos por Entidades Estatales” (énfasis fuera de texto). </w:t>
      </w:r>
      <w:r w:rsidRPr="009303FD">
        <w:rPr>
          <w:rFonts w:ascii="Arial" w:hAnsi="Arial" w:cs="Arial"/>
          <w:lang w:val="es-ES_tradnl"/>
        </w:rPr>
        <w:t xml:space="preserve">Este artículo es una norma transversal al sistema de compras y contratación pública, que debe aplicarse en todos los procedimientos de selección realizados con cargo a recursos públicos, lo que, ante ausencia de distinción alguna en la norma, aplica a los procesos de selección abreviada para la adquisición de bienes y servicios de características técnicas uniformes y de común utilización, en cualquiera de sus modalidades, incluso la de bolsa de productos.  </w:t>
      </w:r>
    </w:p>
    <w:p w:rsidRPr="009303FD" w:rsidR="001D383B" w:rsidP="001D383B" w:rsidRDefault="001D383B" w14:paraId="339DD6CE" w14:textId="77777777">
      <w:pPr>
        <w:spacing w:before="120" w:line="276" w:lineRule="auto"/>
        <w:ind w:firstLine="709"/>
        <w:jc w:val="both"/>
        <w:rPr>
          <w:rFonts w:ascii="Arial" w:hAnsi="Arial" w:cs="Arial"/>
          <w:lang w:val="es-ES_tradnl"/>
        </w:rPr>
      </w:pPr>
      <w:r w:rsidRPr="009303FD">
        <w:rPr>
          <w:rFonts w:ascii="Arial" w:hAnsi="Arial" w:cs="Arial"/>
          <w:lang w:val="es-ES_tradnl"/>
        </w:rPr>
        <w:t xml:space="preserve">Lo anterior además por cuanto el artículo 35 de la Ley 2069 de 2020 debe interpretarse de manera sistemática con las demás disposiciones del EGCAP, particularmente, con el artículo 5 de la Ley 1150 de 2007. Conforme esta idea, la expresión </w:t>
      </w:r>
      <w:r w:rsidRPr="009303FD">
        <w:rPr>
          <w:rFonts w:ascii="Arial" w:hAnsi="Arial" w:cs="Arial"/>
          <w:i/>
          <w:iCs/>
          <w:lang w:val="es-ES_tradnl"/>
        </w:rPr>
        <w:t>empate en el puntaje total</w:t>
      </w:r>
      <w:r w:rsidRPr="009303FD">
        <w:rPr>
          <w:rFonts w:ascii="Arial" w:hAnsi="Arial" w:cs="Arial"/>
          <w:lang w:val="es-ES_tradnl"/>
        </w:rPr>
        <w:t xml:space="preserve"> apunta a las situaciones en la evaluación final de las ofertas en las que, realizándose la comparación de acuerdo con los factores de calificación, evaluación o ponderación aplicables al respectivo procedimiento, se presenta un empate entre dos o más propuestas. En ese entendido, con independencia de que la ponderación emplee puntajes, fórmulas, criterios de relación costo – beneficio o de que el único criterio de evaluación sea el menor precio, deben aplicarse los factores de desempate del artículo 35 de la Ley 2069 de 2020.</w:t>
      </w:r>
      <w:bookmarkEnd w:id="9"/>
      <w:bookmarkEnd w:id="10"/>
    </w:p>
    <w:p w:rsidRPr="009303FD" w:rsidR="001D383B" w:rsidP="001D383B" w:rsidRDefault="001D383B" w14:paraId="49467926" w14:textId="77777777">
      <w:pPr>
        <w:spacing w:after="0" w:line="276" w:lineRule="auto"/>
        <w:jc w:val="both"/>
        <w:rPr>
          <w:rFonts w:ascii="Arial" w:hAnsi="Arial" w:eastAsia="Times New Roman" w:cs="Arial"/>
          <w:szCs w:val="24"/>
          <w:lang w:val="es-ES_tradnl" w:eastAsia="es-ES_tradnl"/>
        </w:rPr>
      </w:pPr>
      <w:r w:rsidRPr="009303FD">
        <w:rPr>
          <w:rFonts w:ascii="Arial" w:hAnsi="Arial" w:eastAsia="Times New Roman" w:cs="Arial"/>
          <w:szCs w:val="24"/>
          <w:lang w:val="es-ES_tradnl" w:eastAsia="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rsidRPr="009303FD" w:rsidR="001D383B" w:rsidP="001D383B" w:rsidRDefault="001D383B" w14:paraId="2FA27841" w14:textId="77777777">
      <w:pPr>
        <w:spacing w:after="120" w:line="276" w:lineRule="auto"/>
        <w:jc w:val="both"/>
        <w:rPr>
          <w:rFonts w:ascii="Arial" w:hAnsi="Arial" w:eastAsia="Times New Roman" w:cs="Arial"/>
          <w:lang w:eastAsia="es-ES_tradnl"/>
        </w:rPr>
      </w:pPr>
    </w:p>
    <w:bookmarkEnd w:id="3"/>
    <w:p w:rsidRPr="009303FD" w:rsidR="001D383B" w:rsidP="001D383B" w:rsidRDefault="001D383B" w14:paraId="06EC1A1A" w14:textId="77777777">
      <w:pPr>
        <w:spacing w:before="120" w:after="0" w:line="276" w:lineRule="auto"/>
        <w:jc w:val="both"/>
        <w:rPr>
          <w:rFonts w:ascii="Arial" w:hAnsi="Arial" w:cs="Arial"/>
          <w:lang w:val="es-ES_tradnl"/>
        </w:rPr>
      </w:pPr>
      <w:r w:rsidRPr="009303FD">
        <w:rPr>
          <w:rFonts w:ascii="Arial" w:hAnsi="Arial" w:cs="Arial"/>
          <w:lang w:val="es-ES_tradnl"/>
        </w:rPr>
        <w:t>Atentamente,</w:t>
      </w:r>
    </w:p>
    <w:p w:rsidRPr="009303FD" w:rsidR="00E245AB" w:rsidP="00E245AB" w:rsidRDefault="00E245AB" w14:paraId="0465BA6D" w14:textId="1D068F17">
      <w:pPr>
        <w:spacing w:after="0"/>
        <w:rPr>
          <w:rFonts w:ascii="Arial" w:hAnsi="Arial" w:cs="Arial"/>
        </w:rPr>
      </w:pPr>
    </w:p>
    <w:p w:rsidRPr="009303FD" w:rsidR="001D383B" w:rsidP="001D383B" w:rsidRDefault="00CF4464" w14:paraId="1FAC14DD" w14:textId="09BE2EBB">
      <w:pPr>
        <w:spacing w:after="0"/>
        <w:jc w:val="center"/>
        <w:rPr>
          <w:rFonts w:ascii="Arial" w:hAnsi="Arial" w:cs="Arial"/>
        </w:rPr>
      </w:pPr>
      <w:r>
        <w:rPr>
          <w:rFonts w:ascii="Century Gothic" w:hAnsi="Century Gothic"/>
          <w:b/>
          <w:bCs/>
          <w:noProof/>
          <w:lang w:val="es-MX"/>
        </w:rPr>
        <w:drawing>
          <wp:inline distT="0" distB="0" distL="0" distR="0" wp14:anchorId="6013678A" wp14:editId="63780E65">
            <wp:extent cx="3154680" cy="1211580"/>
            <wp:effectExtent l="0" t="0" r="7620" b="7620"/>
            <wp:docPr id="2" name="Imagen 2" descr="C:\Users\Carito\AppData\Local\Microsoft\Windows\INetCache\Content.MSO\C6BE34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to\AppData\Local\Microsoft\Windows\INetCache\Content.MSO\C6BE34F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bookmarkStart w:name="_GoBack" w:id="11"/>
      <w:bookmarkEnd w:id="11"/>
    </w:p>
    <w:p w:rsidRPr="009303FD" w:rsidR="001D383B" w:rsidP="001D383B" w:rsidRDefault="001D383B" w14:paraId="2A1BA380" w14:textId="77777777">
      <w:pPr>
        <w:spacing w:after="0"/>
        <w:jc w:val="center"/>
        <w:rPr>
          <w:rFonts w:ascii="Arial" w:hAnsi="Arial" w:cs="Arial"/>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5284"/>
      </w:tblGrid>
      <w:tr w:rsidRPr="009303FD" w:rsidR="001D383B" w:rsidTr="00186DB0" w14:paraId="3CB29F98" w14:textId="77777777">
        <w:trPr>
          <w:trHeight w:val="315"/>
        </w:trPr>
        <w:tc>
          <w:tcPr>
            <w:tcW w:w="812" w:type="dxa"/>
            <w:vAlign w:val="center"/>
            <w:hideMark/>
          </w:tcPr>
          <w:p w:rsidRPr="009303FD" w:rsidR="001D383B" w:rsidP="00186DB0" w:rsidRDefault="001D383B" w14:paraId="448152FD" w14:textId="77777777">
            <w:pPr>
              <w:rPr>
                <w:rFonts w:ascii="Arial" w:hAnsi="Arial" w:eastAsia="Times New Roman" w:cs="Arial"/>
                <w:sz w:val="14"/>
                <w:szCs w:val="14"/>
                <w:lang w:val="es-ES" w:eastAsia="es-ES"/>
              </w:rPr>
            </w:pPr>
            <w:r w:rsidRPr="009303FD">
              <w:rPr>
                <w:rFonts w:ascii="Arial" w:hAnsi="Arial" w:eastAsia="Times New Roman" w:cs="Arial"/>
                <w:sz w:val="14"/>
                <w:szCs w:val="14"/>
                <w:lang w:val="es-ES" w:eastAsia="es-ES"/>
              </w:rPr>
              <w:t>Elaboró:</w:t>
            </w:r>
          </w:p>
        </w:tc>
        <w:tc>
          <w:tcPr>
            <w:tcW w:w="5284" w:type="dxa"/>
            <w:tcBorders>
              <w:top w:val="nil"/>
              <w:left w:val="nil"/>
              <w:bottom w:val="dotted" w:color="7F7F7F" w:themeColor="text1" w:themeTint="80" w:sz="4" w:space="0"/>
              <w:right w:val="nil"/>
            </w:tcBorders>
            <w:vAlign w:val="center"/>
            <w:hideMark/>
          </w:tcPr>
          <w:p w:rsidRPr="009303FD" w:rsidR="001D383B" w:rsidP="00186DB0" w:rsidRDefault="001D383B" w14:paraId="30599132" w14:textId="77777777">
            <w:pPr>
              <w:jc w:val="both"/>
              <w:rPr>
                <w:rFonts w:ascii="Arial" w:hAnsi="Arial" w:eastAsia="Times New Roman" w:cs="Arial"/>
                <w:sz w:val="14"/>
                <w:szCs w:val="14"/>
                <w:lang w:val="es-ES" w:eastAsia="es-ES"/>
              </w:rPr>
            </w:pPr>
            <w:r w:rsidRPr="009303FD">
              <w:rPr>
                <w:rFonts w:ascii="Arial" w:hAnsi="Arial" w:eastAsia="Times New Roman" w:cs="Arial"/>
                <w:sz w:val="14"/>
                <w:szCs w:val="14"/>
                <w:lang w:val="es-ES" w:eastAsia="es-ES"/>
              </w:rPr>
              <w:t>Diana Carolina Blanco Rodríguez</w:t>
            </w:r>
          </w:p>
          <w:p w:rsidRPr="009303FD" w:rsidR="001D383B" w:rsidP="00186DB0" w:rsidRDefault="001D383B" w14:paraId="77240A78" w14:textId="77777777">
            <w:pPr>
              <w:jc w:val="both"/>
              <w:rPr>
                <w:rFonts w:ascii="Arial" w:hAnsi="Arial" w:eastAsia="Times New Roman" w:cs="Arial"/>
                <w:sz w:val="14"/>
                <w:szCs w:val="14"/>
                <w:lang w:val="es-ES" w:eastAsia="es-ES"/>
              </w:rPr>
            </w:pPr>
            <w:r w:rsidRPr="009303FD">
              <w:rPr>
                <w:rFonts w:ascii="Arial" w:hAnsi="Arial" w:eastAsia="Times New Roman" w:cs="Arial"/>
                <w:sz w:val="14"/>
                <w:szCs w:val="14"/>
                <w:lang w:val="es-ES" w:eastAsia="es-ES"/>
              </w:rPr>
              <w:t>Contratista de la Subdirección de Gestión Contractual</w:t>
            </w:r>
          </w:p>
        </w:tc>
      </w:tr>
      <w:tr w:rsidRPr="009303FD" w:rsidR="001D383B" w:rsidTr="00186DB0" w14:paraId="6D84B74D" w14:textId="77777777">
        <w:trPr>
          <w:trHeight w:val="330"/>
        </w:trPr>
        <w:tc>
          <w:tcPr>
            <w:tcW w:w="812" w:type="dxa"/>
            <w:vAlign w:val="center"/>
            <w:hideMark/>
          </w:tcPr>
          <w:p w:rsidRPr="009303FD" w:rsidR="001D383B" w:rsidP="00186DB0" w:rsidRDefault="001D383B" w14:paraId="2BA169C1" w14:textId="77777777">
            <w:pPr>
              <w:rPr>
                <w:rFonts w:ascii="Arial" w:hAnsi="Arial" w:eastAsia="Times New Roman" w:cs="Arial"/>
                <w:sz w:val="14"/>
                <w:szCs w:val="14"/>
                <w:lang w:val="es-ES" w:eastAsia="es-ES"/>
              </w:rPr>
            </w:pPr>
            <w:r w:rsidRPr="009303FD">
              <w:rPr>
                <w:rFonts w:ascii="Arial" w:hAnsi="Arial" w:eastAsia="Times New Roman" w:cs="Arial"/>
                <w:sz w:val="14"/>
                <w:szCs w:val="14"/>
                <w:lang w:val="es-ES" w:eastAsia="es-ES"/>
              </w:rPr>
              <w:t>Revisó:</w:t>
            </w:r>
          </w:p>
        </w:tc>
        <w:tc>
          <w:tcPr>
            <w:tcW w:w="5284" w:type="dxa"/>
            <w:tcBorders>
              <w:top w:val="dotted" w:color="7F7F7F" w:themeColor="text1" w:themeTint="80" w:sz="4" w:space="0"/>
              <w:left w:val="nil"/>
              <w:bottom w:val="dotted" w:color="7F7F7F" w:themeColor="text1" w:themeTint="80" w:sz="4" w:space="0"/>
              <w:right w:val="nil"/>
            </w:tcBorders>
            <w:vAlign w:val="center"/>
            <w:hideMark/>
          </w:tcPr>
          <w:p w:rsidRPr="009303FD" w:rsidR="001D383B" w:rsidP="00186DB0" w:rsidRDefault="001D383B" w14:paraId="6A62DB4A" w14:textId="77777777">
            <w:pPr>
              <w:rPr>
                <w:rFonts w:ascii="Arial" w:hAnsi="Arial" w:eastAsia="Times New Roman" w:cs="Arial"/>
                <w:sz w:val="14"/>
                <w:szCs w:val="14"/>
                <w:lang w:val="es-ES" w:eastAsia="es-CO"/>
              </w:rPr>
            </w:pPr>
            <w:r w:rsidRPr="009303FD">
              <w:rPr>
                <w:rFonts w:ascii="Arial" w:hAnsi="Arial" w:eastAsia="Times New Roman" w:cs="Arial"/>
                <w:sz w:val="14"/>
                <w:szCs w:val="14"/>
                <w:lang w:val="es-ES" w:eastAsia="es-CO"/>
              </w:rPr>
              <w:t>Juan David Cárdenas Cabeza</w:t>
            </w:r>
          </w:p>
          <w:p w:rsidRPr="009303FD" w:rsidR="001D383B" w:rsidP="00186DB0" w:rsidRDefault="001D383B" w14:paraId="6D839F57" w14:textId="77777777">
            <w:pPr>
              <w:rPr>
                <w:rFonts w:ascii="Arial" w:hAnsi="Arial" w:eastAsia="Times New Roman" w:cs="Arial"/>
                <w:sz w:val="14"/>
                <w:szCs w:val="14"/>
                <w:lang w:val="es-ES" w:eastAsia="es-ES"/>
              </w:rPr>
            </w:pPr>
            <w:r w:rsidRPr="009303FD">
              <w:rPr>
                <w:rFonts w:ascii="Arial" w:hAnsi="Arial" w:eastAsia="Times New Roman" w:cs="Arial"/>
                <w:sz w:val="14"/>
                <w:szCs w:val="14"/>
                <w:lang w:val="es-ES" w:eastAsia="es-ES"/>
              </w:rPr>
              <w:t>Contratista de la Subdirección de Gestión Contractual</w:t>
            </w:r>
          </w:p>
        </w:tc>
      </w:tr>
      <w:tr w:rsidRPr="009303FD" w:rsidR="001D383B" w:rsidTr="00186DB0" w14:paraId="617BC3AE" w14:textId="77777777">
        <w:trPr>
          <w:trHeight w:val="178"/>
        </w:trPr>
        <w:tc>
          <w:tcPr>
            <w:tcW w:w="812" w:type="dxa"/>
            <w:vAlign w:val="center"/>
            <w:hideMark/>
          </w:tcPr>
          <w:p w:rsidRPr="009303FD" w:rsidR="001D383B" w:rsidP="00186DB0" w:rsidRDefault="001D383B" w14:paraId="1778F7FE" w14:textId="77777777">
            <w:pPr>
              <w:rPr>
                <w:rFonts w:ascii="Arial" w:hAnsi="Arial" w:eastAsia="Times New Roman" w:cs="Arial"/>
                <w:sz w:val="14"/>
                <w:szCs w:val="14"/>
                <w:lang w:val="es-ES" w:eastAsia="es-ES"/>
              </w:rPr>
            </w:pPr>
            <w:r w:rsidRPr="009303FD">
              <w:rPr>
                <w:rFonts w:ascii="Arial" w:hAnsi="Arial" w:eastAsia="Times New Roman" w:cs="Arial"/>
                <w:sz w:val="14"/>
                <w:szCs w:val="14"/>
                <w:lang w:val="es-ES" w:eastAsia="es-ES"/>
              </w:rPr>
              <w:t>Aprobó:</w:t>
            </w:r>
          </w:p>
        </w:tc>
        <w:tc>
          <w:tcPr>
            <w:tcW w:w="5284" w:type="dxa"/>
            <w:tcBorders>
              <w:top w:val="dotted" w:color="7F7F7F" w:themeColor="text1" w:themeTint="80" w:sz="4" w:space="0"/>
              <w:left w:val="nil"/>
              <w:bottom w:val="dotted" w:color="7F7F7F" w:themeColor="text1" w:themeTint="80" w:sz="4" w:space="0"/>
              <w:right w:val="nil"/>
            </w:tcBorders>
            <w:vAlign w:val="center"/>
            <w:hideMark/>
          </w:tcPr>
          <w:p w:rsidRPr="009303FD" w:rsidR="001D383B" w:rsidP="00186DB0" w:rsidRDefault="001D383B" w14:paraId="16CE77DC" w14:textId="77777777">
            <w:pPr>
              <w:textAlignment w:val="baseline"/>
              <w:rPr>
                <w:rFonts w:ascii="Arial" w:hAnsi="Arial" w:eastAsia="Times New Roman" w:cs="Arial"/>
                <w:sz w:val="14"/>
                <w:szCs w:val="14"/>
                <w:lang w:val="es-ES" w:eastAsia="es-CO"/>
              </w:rPr>
            </w:pPr>
            <w:bookmarkStart w:name="_Hlk116036152" w:id="12"/>
            <w:r w:rsidRPr="009303FD">
              <w:rPr>
                <w:rFonts w:ascii="Arial" w:hAnsi="Arial" w:eastAsia="Times New Roman" w:cs="Arial"/>
                <w:sz w:val="14"/>
                <w:szCs w:val="14"/>
                <w:lang w:val="es-ES" w:eastAsia="es-CO"/>
              </w:rPr>
              <w:t xml:space="preserve">Nohelia del Carmen </w:t>
            </w:r>
            <w:proofErr w:type="spellStart"/>
            <w:r w:rsidRPr="009303FD">
              <w:rPr>
                <w:rFonts w:ascii="Arial" w:hAnsi="Arial" w:eastAsia="Times New Roman" w:cs="Arial"/>
                <w:sz w:val="14"/>
                <w:szCs w:val="14"/>
                <w:lang w:val="es-ES" w:eastAsia="es-CO"/>
              </w:rPr>
              <w:t>Zawady</w:t>
            </w:r>
            <w:proofErr w:type="spellEnd"/>
            <w:r w:rsidRPr="009303FD">
              <w:rPr>
                <w:rFonts w:ascii="Arial" w:hAnsi="Arial" w:eastAsia="Times New Roman" w:cs="Arial"/>
                <w:sz w:val="14"/>
                <w:szCs w:val="14"/>
                <w:lang w:val="es-ES" w:eastAsia="es-CO"/>
              </w:rPr>
              <w:t xml:space="preserve"> Palacio</w:t>
            </w:r>
          </w:p>
          <w:p w:rsidRPr="009303FD" w:rsidR="001D383B" w:rsidP="00186DB0" w:rsidRDefault="001D383B" w14:paraId="09D8E953" w14:textId="77777777">
            <w:pPr>
              <w:rPr>
                <w:rFonts w:ascii="Arial" w:hAnsi="Arial" w:eastAsia="Times New Roman" w:cs="Arial"/>
                <w:sz w:val="14"/>
                <w:szCs w:val="14"/>
                <w:lang w:val="es-ES" w:eastAsia="es-ES"/>
              </w:rPr>
            </w:pPr>
            <w:r w:rsidRPr="009303FD">
              <w:rPr>
                <w:rFonts w:ascii="Arial" w:hAnsi="Arial" w:eastAsia="Times New Roman" w:cs="Arial"/>
                <w:sz w:val="14"/>
                <w:szCs w:val="14"/>
                <w:lang w:val="es-ES" w:eastAsia="es-ES"/>
              </w:rPr>
              <w:t xml:space="preserve">Subdirectora de Gestión Contractual </w:t>
            </w:r>
            <w:bookmarkEnd w:id="12"/>
            <w:r w:rsidRPr="009303FD">
              <w:rPr>
                <w:rFonts w:ascii="Arial" w:hAnsi="Arial" w:eastAsia="Times New Roman" w:cs="Arial"/>
                <w:sz w:val="14"/>
                <w:szCs w:val="14"/>
                <w:lang w:val="es-ES" w:eastAsia="es-ES"/>
              </w:rPr>
              <w:t>ANCP – CCE</w:t>
            </w:r>
          </w:p>
        </w:tc>
      </w:tr>
    </w:tbl>
    <w:p w:rsidRPr="009303FD" w:rsidR="001D383B" w:rsidP="001D383B" w:rsidRDefault="001D383B" w14:paraId="69CC3B4B" w14:textId="77777777">
      <w:pPr>
        <w:spacing w:after="0"/>
        <w:jc w:val="center"/>
        <w:rPr>
          <w:rFonts w:ascii="Arial" w:hAnsi="Arial" w:cs="Arial"/>
        </w:rPr>
      </w:pPr>
    </w:p>
    <w:sectPr w:rsidRPr="009303FD" w:rsidR="001D383B" w:rsidSect="00923EEF">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6FA" w:rsidP="004A1847" w:rsidRDefault="004776FA" w14:paraId="3A2A3EDE" w14:textId="77777777">
      <w:pPr>
        <w:spacing w:after="0" w:line="240" w:lineRule="auto"/>
      </w:pPr>
      <w:r>
        <w:separator/>
      </w:r>
    </w:p>
  </w:endnote>
  <w:endnote w:type="continuationSeparator" w:id="0">
    <w:p w:rsidR="004776FA" w:rsidP="004A1847" w:rsidRDefault="004776FA" w14:paraId="6CA1CA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6FA" w:rsidP="004A1847" w:rsidRDefault="004776FA" w14:paraId="34AB2CB0" w14:textId="77777777">
      <w:pPr>
        <w:spacing w:after="0" w:line="240" w:lineRule="auto"/>
      </w:pPr>
      <w:r>
        <w:separator/>
      </w:r>
    </w:p>
  </w:footnote>
  <w:footnote w:type="continuationSeparator" w:id="0">
    <w:p w:rsidR="004776FA" w:rsidP="004A1847" w:rsidRDefault="004776FA" w14:paraId="58AAE600" w14:textId="77777777">
      <w:pPr>
        <w:spacing w:after="0" w:line="240" w:lineRule="auto"/>
      </w:pPr>
      <w:r>
        <w:continuationSeparator/>
      </w:r>
    </w:p>
  </w:footnote>
  <w:footnote w:id="1">
    <w:p w:rsidRPr="007D5D5B" w:rsidR="001D383B" w:rsidP="001D383B" w:rsidRDefault="001D383B" w14:paraId="2AB20BAC" w14:textId="77777777">
      <w:pPr>
        <w:pStyle w:val="Textonotapie"/>
        <w:ind w:firstLine="708"/>
        <w:jc w:val="both"/>
        <w:rPr>
          <w:rFonts w:ascii="Arial" w:hAnsi="Arial" w:cs="Arial"/>
          <w:sz w:val="16"/>
          <w:szCs w:val="16"/>
        </w:rPr>
      </w:pPr>
      <w:r w:rsidRPr="007D5D5B">
        <w:rPr>
          <w:rStyle w:val="Refdenotaalpie"/>
          <w:rFonts w:ascii="Arial" w:hAnsi="Arial" w:cs="Arial"/>
          <w:sz w:val="16"/>
          <w:szCs w:val="16"/>
        </w:rPr>
        <w:footnoteRef/>
      </w:r>
      <w:r w:rsidRPr="007D5D5B">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D5D5B">
        <w:rPr>
          <w:rFonts w:ascii="Arial" w:hAnsi="Arial" w:cs="Arial"/>
          <w:i/>
          <w:iCs/>
          <w:sz w:val="16"/>
          <w:szCs w:val="16"/>
        </w:rPr>
        <w:t xml:space="preserve">ibidem </w:t>
      </w:r>
      <w:r w:rsidRPr="007D5D5B">
        <w:rPr>
          <w:rFonts w:ascii="Arial" w:hAnsi="Arial" w:cs="Arial"/>
          <w:sz w:val="16"/>
          <w:szCs w:val="16"/>
        </w:rPr>
        <w:t>señala, de manera precisa, las funciones de Colombia Compra Eficiente. Concretamente, el numeral 5º de este artículo establece que le corresponde a esta entidad: “[a]</w:t>
      </w:r>
      <w:proofErr w:type="spellStart"/>
      <w:r w:rsidRPr="007D5D5B">
        <w:rPr>
          <w:rFonts w:ascii="Arial" w:hAnsi="Arial" w:cs="Arial"/>
          <w:sz w:val="16"/>
          <w:szCs w:val="16"/>
        </w:rPr>
        <w:t>bsolver</w:t>
      </w:r>
      <w:proofErr w:type="spellEnd"/>
      <w:r w:rsidRPr="007D5D5B">
        <w:rPr>
          <w:rFonts w:ascii="Arial" w:hAnsi="Arial"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7D5D5B">
        <w:rPr>
          <w:rFonts w:ascii="Arial" w:hAnsi="Arial" w:cs="Arial"/>
          <w:sz w:val="16"/>
          <w:szCs w:val="16"/>
        </w:rPr>
        <w:t>bsolver</w:t>
      </w:r>
      <w:proofErr w:type="spellEnd"/>
      <w:r w:rsidRPr="007D5D5B">
        <w:rPr>
          <w:rFonts w:ascii="Arial" w:hAnsi="Arial" w:cs="Arial"/>
          <w:sz w:val="16"/>
          <w:szCs w:val="16"/>
        </w:rPr>
        <w:t xml:space="preserve"> consultas sobre la aplicación de normas de carácter general”</w:t>
      </w:r>
    </w:p>
    <w:p w:rsidRPr="00AB6A8B" w:rsidR="001D383B" w:rsidP="001D383B" w:rsidRDefault="001D383B" w14:paraId="0B76901E" w14:textId="77777777">
      <w:pPr>
        <w:pStyle w:val="Textonotapie"/>
        <w:ind w:firstLine="708"/>
        <w:jc w:val="both"/>
        <w:rPr>
          <w:rFonts w:ascii="Arial" w:hAnsi="Arial" w:cs="Arial"/>
          <w:sz w:val="18"/>
          <w:szCs w:val="18"/>
          <w:lang w:val="es-ES"/>
        </w:rPr>
      </w:pPr>
    </w:p>
  </w:footnote>
  <w:footnote w:id="2">
    <w:p w:rsidRPr="007D5D5B" w:rsidR="001D383B" w:rsidP="001D383B" w:rsidRDefault="001D383B" w14:paraId="5E837F13" w14:textId="77777777">
      <w:pPr>
        <w:pStyle w:val="Textonotapie"/>
        <w:ind w:firstLine="708"/>
        <w:jc w:val="both"/>
        <w:rPr>
          <w:rFonts w:ascii="Arial" w:hAnsi="Arial" w:cs="Arial"/>
          <w:sz w:val="16"/>
          <w:szCs w:val="16"/>
          <w:lang w:val="es-ES"/>
        </w:rPr>
      </w:pPr>
      <w:r w:rsidRPr="007D5D5B">
        <w:rPr>
          <w:rStyle w:val="Refdenotaalpie"/>
          <w:rFonts w:ascii="Arial" w:hAnsi="Arial" w:cs="Arial"/>
          <w:sz w:val="16"/>
          <w:szCs w:val="16"/>
        </w:rPr>
        <w:footnoteRef/>
      </w:r>
      <w:r w:rsidRPr="007D5D5B">
        <w:rPr>
          <w:rFonts w:ascii="Arial" w:hAnsi="Arial" w:cs="Arial"/>
          <w:sz w:val="16"/>
          <w:szCs w:val="16"/>
        </w:rPr>
        <w:t xml:space="preserve"> Estos conceptos pueden ser consultados en la relatoría de Colombia Compra Eficiente en el siguiente enlace:  </w:t>
      </w:r>
      <w:hyperlink w:history="1" r:id="rId1">
        <w:r w:rsidRPr="007D5D5B">
          <w:rPr>
            <w:rStyle w:val="Hipervnculo1"/>
            <w:rFonts w:ascii="Arial" w:hAnsi="Arial" w:cs="Arial"/>
            <w:color w:val="auto"/>
            <w:sz w:val="16"/>
            <w:szCs w:val="16"/>
          </w:rPr>
          <w:t>http://relatoria.colombiacompra.gov.co/busqueda/conceptos</w:t>
        </w:r>
      </w:hyperlink>
    </w:p>
  </w:footnote>
  <w:footnote w:id="3">
    <w:p w:rsidRPr="007D5D5B" w:rsidR="001D383B" w:rsidP="001D383B" w:rsidRDefault="001D383B" w14:paraId="75AEF43C" w14:textId="77777777">
      <w:pPr>
        <w:pStyle w:val="Car1"/>
        <w:ind w:firstLine="709"/>
        <w:jc w:val="both"/>
        <w:rPr>
          <w:rFonts w:ascii="Arial" w:hAnsi="Arial" w:cs="Arial"/>
          <w:sz w:val="16"/>
          <w:szCs w:val="16"/>
          <w:lang w:val="es-ES"/>
        </w:rPr>
      </w:pPr>
      <w:r w:rsidRPr="007D5D5B">
        <w:rPr>
          <w:rStyle w:val="Refdenotaalpie"/>
          <w:sz w:val="16"/>
          <w:szCs w:val="16"/>
        </w:rPr>
        <w:footnoteRef/>
      </w:r>
      <w:r w:rsidRPr="007D5D5B">
        <w:rPr>
          <w:rFonts w:ascii="Arial" w:hAnsi="Arial" w:cs="Arial"/>
          <w:sz w:val="16"/>
          <w:szCs w:val="16"/>
        </w:rPr>
        <w:t xml:space="preserve"> </w:t>
      </w:r>
      <w:r w:rsidRPr="007D5D5B">
        <w:rPr>
          <w:rFonts w:ascii="Arial" w:hAnsi="Arial" w:cs="Arial"/>
          <w:sz w:val="16"/>
          <w:szCs w:val="16"/>
          <w:lang w:val="es-ES"/>
        </w:rPr>
        <w:t>Consejo de Estado. Sección Tercera. Sentencia del 29 de octubre de 2.015. Consejera Ponente: Stella Conto Díaz Del Castillo. Expediente: 31.918.</w:t>
      </w:r>
    </w:p>
    <w:p w:rsidRPr="007D5D5B" w:rsidR="001D383B" w:rsidP="001D383B" w:rsidRDefault="001D383B" w14:paraId="53DC970F" w14:textId="77777777">
      <w:pPr>
        <w:pStyle w:val="Car1"/>
        <w:ind w:firstLine="709"/>
        <w:jc w:val="both"/>
        <w:rPr>
          <w:rFonts w:ascii="Arial" w:hAnsi="Arial" w:cs="Arial"/>
          <w:sz w:val="16"/>
          <w:szCs w:val="16"/>
          <w:lang w:val="es-ES"/>
        </w:rPr>
      </w:pPr>
    </w:p>
  </w:footnote>
  <w:footnote w:id="4">
    <w:p w:rsidRPr="007D5D5B" w:rsidR="001D383B" w:rsidP="001D383B" w:rsidRDefault="001D383B" w14:paraId="509BFEA1" w14:textId="77777777">
      <w:pPr>
        <w:pStyle w:val="Car1"/>
        <w:ind w:firstLine="709"/>
        <w:jc w:val="both"/>
        <w:rPr>
          <w:rFonts w:ascii="Arial" w:hAnsi="Arial" w:cs="Arial"/>
          <w:sz w:val="16"/>
          <w:szCs w:val="16"/>
          <w:lang w:val="es-ES"/>
        </w:rPr>
      </w:pPr>
      <w:r w:rsidRPr="007D5D5B">
        <w:rPr>
          <w:rStyle w:val="Refdenotaalpie"/>
          <w:sz w:val="16"/>
          <w:szCs w:val="16"/>
        </w:rPr>
        <w:footnoteRef/>
      </w:r>
      <w:r w:rsidRPr="007D5D5B">
        <w:rPr>
          <w:rFonts w:ascii="Arial" w:hAnsi="Arial" w:cs="Arial"/>
          <w:sz w:val="16"/>
          <w:szCs w:val="16"/>
        </w:rPr>
        <w:t xml:space="preserve"> </w:t>
      </w:r>
      <w:r w:rsidRPr="007D5D5B">
        <w:rPr>
          <w:rFonts w:ascii="Arial" w:hAnsi="Arial" w:cs="Arial"/>
          <w:sz w:val="16"/>
          <w:szCs w:val="16"/>
          <w:lang w:val="es-ES"/>
        </w:rPr>
        <w:t>Corte Constitucional. Sentencia T-684A del 14 de septiembre de 2011. Magistrado Ponente: Mauricio González Cuervo.</w:t>
      </w:r>
    </w:p>
    <w:p w:rsidRPr="007D5D5B" w:rsidR="001D383B" w:rsidP="001D383B" w:rsidRDefault="001D383B" w14:paraId="0B843AB6" w14:textId="77777777">
      <w:pPr>
        <w:pStyle w:val="Car1"/>
        <w:ind w:firstLine="709"/>
        <w:jc w:val="both"/>
        <w:rPr>
          <w:rFonts w:ascii="Arial" w:hAnsi="Arial" w:cs="Arial"/>
          <w:sz w:val="16"/>
          <w:szCs w:val="16"/>
          <w:lang w:val="es-ES"/>
        </w:rPr>
      </w:pPr>
    </w:p>
  </w:footnote>
  <w:footnote w:id="5">
    <w:p w:rsidRPr="007D5D5B" w:rsidR="001D383B" w:rsidP="001D383B" w:rsidRDefault="001D383B" w14:paraId="6ACD11E2" w14:textId="77777777">
      <w:pPr>
        <w:pStyle w:val="Textonotapie"/>
        <w:ind w:firstLine="709"/>
        <w:jc w:val="both"/>
        <w:rPr>
          <w:rFonts w:ascii="Arial" w:hAnsi="Arial" w:cs="Arial"/>
          <w:sz w:val="16"/>
          <w:szCs w:val="16"/>
          <w:lang w:val="es-ES"/>
        </w:rPr>
      </w:pPr>
      <w:r w:rsidRPr="007D5D5B">
        <w:rPr>
          <w:rStyle w:val="Refdenotaalpie"/>
          <w:rFonts w:ascii="Arial" w:hAnsi="Arial" w:cs="Arial"/>
          <w:sz w:val="16"/>
          <w:szCs w:val="16"/>
        </w:rPr>
        <w:footnoteRef/>
      </w:r>
      <w:r w:rsidRPr="007D5D5B">
        <w:rPr>
          <w:rFonts w:ascii="Arial" w:hAnsi="Arial" w:cs="Arial"/>
          <w:sz w:val="16"/>
          <w:szCs w:val="16"/>
        </w:rPr>
        <w:t xml:space="preserve"> </w:t>
      </w:r>
      <w:r w:rsidRPr="007D5D5B">
        <w:rPr>
          <w:rFonts w:ascii="Arial" w:hAnsi="Arial" w:cs="Arial"/>
          <w:sz w:val="16"/>
          <w:szCs w:val="16"/>
          <w:lang w:val="es-ES"/>
        </w:rPr>
        <w:t>Artículos 2 al 29.</w:t>
      </w:r>
    </w:p>
  </w:footnote>
  <w:footnote w:id="6">
    <w:p w:rsidRPr="007D5D5B" w:rsidR="001D383B" w:rsidP="001D383B" w:rsidRDefault="001D383B" w14:paraId="58340D07" w14:textId="77777777">
      <w:pPr>
        <w:pStyle w:val="Textonotapie"/>
        <w:ind w:firstLine="709"/>
        <w:jc w:val="both"/>
        <w:rPr>
          <w:rFonts w:ascii="Arial" w:hAnsi="Arial" w:cs="Arial"/>
          <w:sz w:val="16"/>
          <w:szCs w:val="16"/>
          <w:lang w:val="es-ES"/>
        </w:rPr>
      </w:pPr>
      <w:r w:rsidRPr="007D5D5B">
        <w:rPr>
          <w:rStyle w:val="Refdenotaalpie"/>
          <w:rFonts w:ascii="Arial" w:hAnsi="Arial" w:cs="Arial"/>
          <w:sz w:val="16"/>
          <w:szCs w:val="16"/>
        </w:rPr>
        <w:footnoteRef/>
      </w:r>
      <w:r w:rsidRPr="007D5D5B">
        <w:rPr>
          <w:rFonts w:ascii="Arial" w:hAnsi="Arial" w:cs="Arial"/>
          <w:sz w:val="16"/>
          <w:szCs w:val="16"/>
        </w:rPr>
        <w:t xml:space="preserve"> </w:t>
      </w:r>
      <w:r w:rsidRPr="007D5D5B">
        <w:rPr>
          <w:rFonts w:ascii="Arial" w:hAnsi="Arial" w:cs="Arial"/>
          <w:sz w:val="16"/>
          <w:szCs w:val="16"/>
          <w:lang w:val="es-ES"/>
        </w:rPr>
        <w:t>Artículos 30 al 36.</w:t>
      </w:r>
    </w:p>
  </w:footnote>
  <w:footnote w:id="7">
    <w:p w:rsidRPr="007D5D5B" w:rsidR="001D383B" w:rsidP="001D383B" w:rsidRDefault="001D383B" w14:paraId="5FE49E2E" w14:textId="77777777">
      <w:pPr>
        <w:pStyle w:val="Textonotapie"/>
        <w:ind w:firstLine="709"/>
        <w:jc w:val="both"/>
        <w:rPr>
          <w:rFonts w:ascii="Arial" w:hAnsi="Arial" w:cs="Arial"/>
          <w:sz w:val="16"/>
          <w:szCs w:val="16"/>
          <w:lang w:val="es-ES"/>
        </w:rPr>
      </w:pPr>
      <w:r w:rsidRPr="007D5D5B">
        <w:rPr>
          <w:rStyle w:val="Refdenotaalpie"/>
          <w:rFonts w:ascii="Arial" w:hAnsi="Arial" w:cs="Arial"/>
          <w:sz w:val="16"/>
          <w:szCs w:val="16"/>
        </w:rPr>
        <w:footnoteRef/>
      </w:r>
      <w:r w:rsidRPr="007D5D5B">
        <w:rPr>
          <w:rFonts w:ascii="Arial" w:hAnsi="Arial" w:cs="Arial"/>
          <w:sz w:val="16"/>
          <w:szCs w:val="16"/>
        </w:rPr>
        <w:t xml:space="preserve"> </w:t>
      </w:r>
      <w:r w:rsidRPr="007D5D5B">
        <w:rPr>
          <w:rFonts w:ascii="Arial" w:hAnsi="Arial" w:cs="Arial"/>
          <w:sz w:val="16"/>
          <w:szCs w:val="16"/>
          <w:lang w:val="es-ES"/>
        </w:rPr>
        <w:t>Artículos 37 al 45.</w:t>
      </w:r>
    </w:p>
  </w:footnote>
  <w:footnote w:id="8">
    <w:p w:rsidRPr="007D5D5B" w:rsidR="001D383B" w:rsidP="001D383B" w:rsidRDefault="001D383B" w14:paraId="60954657" w14:textId="77777777">
      <w:pPr>
        <w:pStyle w:val="Textonotapie"/>
        <w:ind w:firstLine="709"/>
        <w:jc w:val="both"/>
        <w:rPr>
          <w:rFonts w:ascii="Arial" w:hAnsi="Arial" w:cs="Arial"/>
          <w:sz w:val="16"/>
          <w:szCs w:val="16"/>
          <w:lang w:val="es-ES"/>
        </w:rPr>
      </w:pPr>
      <w:r w:rsidRPr="007D5D5B">
        <w:rPr>
          <w:rStyle w:val="Refdenotaalpie"/>
          <w:rFonts w:ascii="Arial" w:hAnsi="Arial" w:cs="Arial"/>
          <w:sz w:val="16"/>
          <w:szCs w:val="16"/>
        </w:rPr>
        <w:footnoteRef/>
      </w:r>
      <w:r w:rsidRPr="007D5D5B">
        <w:rPr>
          <w:rFonts w:ascii="Arial" w:hAnsi="Arial" w:cs="Arial"/>
          <w:sz w:val="16"/>
          <w:szCs w:val="16"/>
        </w:rPr>
        <w:t xml:space="preserve"> </w:t>
      </w:r>
      <w:r w:rsidRPr="007D5D5B">
        <w:rPr>
          <w:rFonts w:ascii="Arial" w:hAnsi="Arial" w:cs="Arial"/>
          <w:sz w:val="16"/>
          <w:szCs w:val="16"/>
          <w:lang w:val="es-ES"/>
        </w:rPr>
        <w:t>Artículos 46 al 73.</w:t>
      </w:r>
    </w:p>
  </w:footnote>
  <w:footnote w:id="9">
    <w:p w:rsidRPr="004A1BA9" w:rsidR="001D383B" w:rsidP="001D383B" w:rsidRDefault="001D383B" w14:paraId="59B86C91" w14:textId="77777777">
      <w:pPr>
        <w:pStyle w:val="Textonotapie"/>
        <w:ind w:firstLine="709"/>
        <w:jc w:val="both"/>
        <w:rPr>
          <w:rFonts w:ascii="Arial" w:hAnsi="Arial" w:cs="Arial"/>
          <w:sz w:val="16"/>
          <w:szCs w:val="16"/>
          <w:lang w:val="es-ES"/>
        </w:rPr>
      </w:pPr>
      <w:r w:rsidRPr="007D5D5B">
        <w:rPr>
          <w:rStyle w:val="Refdenotaalpie"/>
          <w:rFonts w:ascii="Arial" w:hAnsi="Arial" w:cs="Arial"/>
          <w:sz w:val="16"/>
          <w:szCs w:val="16"/>
        </w:rPr>
        <w:footnoteRef/>
      </w:r>
      <w:r w:rsidRPr="007D5D5B">
        <w:rPr>
          <w:rFonts w:ascii="Arial" w:hAnsi="Arial" w:cs="Arial"/>
          <w:sz w:val="16"/>
          <w:szCs w:val="16"/>
        </w:rPr>
        <w:t xml:space="preserve"> </w:t>
      </w:r>
      <w:r w:rsidRPr="007D5D5B">
        <w:rPr>
          <w:rFonts w:ascii="Arial" w:hAnsi="Arial" w:cs="Arial"/>
          <w:sz w:val="16"/>
          <w:szCs w:val="16"/>
          <w:lang w:val="es-ES"/>
        </w:rPr>
        <w:t>Artículos 74 al 83.</w:t>
      </w:r>
    </w:p>
  </w:footnote>
  <w:footnote w:id="10">
    <w:p w:rsidRPr="007D5D5B" w:rsidR="001D383B" w:rsidP="008B26AB" w:rsidRDefault="001D383B" w14:paraId="494D65CD" w14:textId="3C7144A4">
      <w:pPr>
        <w:pStyle w:val="Textonotapie"/>
        <w:ind w:firstLine="708"/>
        <w:jc w:val="both"/>
        <w:rPr>
          <w:rFonts w:ascii="Arial" w:hAnsi="Arial" w:cs="Arial"/>
          <w:sz w:val="16"/>
          <w:szCs w:val="16"/>
        </w:rPr>
      </w:pPr>
      <w:r w:rsidRPr="007D5D5B">
        <w:rPr>
          <w:rStyle w:val="Refdenotaalpie"/>
          <w:rFonts w:ascii="Arial" w:hAnsi="Arial" w:cs="Arial"/>
          <w:sz w:val="16"/>
          <w:szCs w:val="16"/>
        </w:rPr>
        <w:footnoteRef/>
      </w:r>
      <w:r w:rsidRPr="007D5D5B">
        <w:rPr>
          <w:rFonts w:ascii="Arial" w:hAnsi="Arial" w:cs="Arial"/>
          <w:sz w:val="16"/>
          <w:szCs w:val="16"/>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7D5D5B">
        <w:rPr>
          <w:rFonts w:ascii="Arial" w:hAnsi="Arial" w:cs="Arial"/>
          <w:sz w:val="16"/>
          <w:szCs w:val="16"/>
        </w:rPr>
        <w:t>Mipyme</w:t>
      </w:r>
      <w:proofErr w:type="spellEnd"/>
      <w:r w:rsidRPr="007D5D5B">
        <w:rPr>
          <w:rFonts w:ascii="Arial" w:hAnsi="Arial" w:cs="Arial"/>
          <w:sz w:val="16"/>
          <w:szCs w:val="16"/>
        </w:rPr>
        <w:t xml:space="preserve"> y grandes almacenes; los criterios diferenciales para </w:t>
      </w:r>
      <w:proofErr w:type="spellStart"/>
      <w:r w:rsidRPr="007D5D5B">
        <w:rPr>
          <w:rFonts w:ascii="Arial" w:hAnsi="Arial" w:cs="Arial"/>
          <w:sz w:val="16"/>
          <w:szCs w:val="16"/>
        </w:rPr>
        <w:t>Mipyme</w:t>
      </w:r>
      <w:proofErr w:type="spellEnd"/>
      <w:r w:rsidRPr="007D5D5B">
        <w:rPr>
          <w:rFonts w:ascii="Arial" w:hAnsi="Arial" w:cs="Arial"/>
          <w:sz w:val="16"/>
          <w:szCs w:val="16"/>
        </w:rPr>
        <w:t xml:space="preserve">, y la definición y los criterios diferenciales para los emprendimientos y empresas de mujeres; las convocatorias limitadas a </w:t>
      </w:r>
      <w:proofErr w:type="spellStart"/>
      <w:r w:rsidRPr="007D5D5B">
        <w:rPr>
          <w:rFonts w:ascii="Arial" w:hAnsi="Arial" w:cs="Arial"/>
          <w:sz w:val="16"/>
          <w:szCs w:val="16"/>
        </w:rPr>
        <w:t>Mipyme</w:t>
      </w:r>
      <w:proofErr w:type="spellEnd"/>
      <w:r w:rsidRPr="007D5D5B">
        <w:rPr>
          <w:rFonts w:ascii="Arial" w:hAnsi="Arial" w:cs="Arial"/>
          <w:sz w:val="16"/>
          <w:szCs w:val="16"/>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1">
    <w:p w:rsidRPr="00C32420" w:rsidR="001D383B" w:rsidP="001D383B" w:rsidRDefault="001D383B" w14:paraId="39474C3B" w14:textId="77777777">
      <w:pPr>
        <w:pStyle w:val="NormalWeb"/>
        <w:shd w:val="clear" w:color="auto" w:fill="FFFFFF"/>
        <w:spacing w:after="0"/>
        <w:ind w:firstLine="709"/>
        <w:jc w:val="both"/>
        <w:rPr>
          <w:rFonts w:ascii="Arial" w:hAnsi="Arial" w:cs="Arial"/>
          <w:sz w:val="18"/>
          <w:szCs w:val="18"/>
        </w:rPr>
      </w:pPr>
      <w:r w:rsidRPr="007D5D5B">
        <w:rPr>
          <w:rStyle w:val="Refdenotaalpie"/>
          <w:rFonts w:ascii="Arial" w:hAnsi="Arial" w:cs="Arial"/>
          <w:sz w:val="16"/>
          <w:szCs w:val="16"/>
        </w:rPr>
        <w:footnoteRef/>
      </w:r>
      <w:r w:rsidRPr="007D5D5B">
        <w:rPr>
          <w:rFonts w:ascii="Arial" w:hAnsi="Arial" w:cs="Arial"/>
          <w:sz w:val="16"/>
          <w:szCs w:val="16"/>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w:history="1" w:anchor="2.2.1.2.1.5.1" r:id="rId2">
        <w:r w:rsidRPr="007D5D5B">
          <w:rPr>
            <w:rStyle w:val="Hipervnculo1"/>
            <w:rFonts w:ascii="Arial" w:hAnsi="Arial" w:cs="Arial"/>
            <w:color w:val="auto"/>
            <w:sz w:val="16"/>
            <w:szCs w:val="16"/>
          </w:rPr>
          <w:t>5 </w:t>
        </w:r>
      </w:hyperlink>
      <w:r w:rsidRPr="007D5D5B">
        <w:rPr>
          <w:rFonts w:ascii="Arial" w:hAnsi="Arial" w:cs="Arial"/>
          <w:sz w:val="16"/>
          <w:szCs w:val="16"/>
        </w:rPr>
        <w:t>de la Sección 1 del Capítulo 2 del Título 1 de la Parte 2 del Libro 2, así como los artículos </w:t>
      </w:r>
      <w:hyperlink w:history="1" w:anchor="2.2.1.2.4.2.2" r:id="rId3">
        <w:r w:rsidRPr="007D5D5B">
          <w:rPr>
            <w:rStyle w:val="Hipervnculo1"/>
            <w:rFonts w:ascii="Arial" w:hAnsi="Arial" w:cs="Arial"/>
            <w:color w:val="auto"/>
            <w:sz w:val="16"/>
            <w:szCs w:val="16"/>
          </w:rPr>
          <w:t>2.2.1.2.4.2.2</w:t>
        </w:r>
      </w:hyperlink>
      <w:r w:rsidRPr="007D5D5B">
        <w:rPr>
          <w:rFonts w:ascii="Arial" w:hAnsi="Arial" w:cs="Arial"/>
          <w:sz w:val="16"/>
          <w:szCs w:val="16"/>
        </w:rPr>
        <w:t>., </w:t>
      </w:r>
      <w:hyperlink w:history="1" w:anchor="2.2.1.2.4.2.3" r:id="rId4">
        <w:r w:rsidRPr="007D5D5B">
          <w:rPr>
            <w:rStyle w:val="Hipervnculo1"/>
            <w:rFonts w:ascii="Arial" w:hAnsi="Arial" w:cs="Arial"/>
            <w:color w:val="auto"/>
            <w:sz w:val="16"/>
            <w:szCs w:val="16"/>
          </w:rPr>
          <w:t>2.2.1.2.4.2.3</w:t>
        </w:r>
      </w:hyperlink>
      <w:r w:rsidRPr="007D5D5B">
        <w:rPr>
          <w:rFonts w:ascii="Arial" w:hAnsi="Arial" w:cs="Arial"/>
          <w:sz w:val="16"/>
          <w:szCs w:val="16"/>
        </w:rPr>
        <w:t>., </w:t>
      </w:r>
      <w:hyperlink w:history="1" w:anchor="2.2.1.2.4.2.4" r:id="rId5">
        <w:r w:rsidRPr="007D5D5B">
          <w:rPr>
            <w:rStyle w:val="Hipervnculo1"/>
            <w:rFonts w:ascii="Arial" w:hAnsi="Arial" w:cs="Arial"/>
            <w:color w:val="auto"/>
            <w:sz w:val="16"/>
            <w:szCs w:val="16"/>
          </w:rPr>
          <w:t>2.2.1.2.4.2.4</w:t>
        </w:r>
      </w:hyperlink>
      <w:r w:rsidRPr="007D5D5B">
        <w:rPr>
          <w:rFonts w:ascii="Arial" w:hAnsi="Arial" w:cs="Arial"/>
          <w:sz w:val="16"/>
          <w:szCs w:val="16"/>
        </w:rPr>
        <w:t>., </w:t>
      </w:r>
      <w:hyperlink w:history="1" w:anchor="2.2.1.2.1.2.2" r:id="rId6">
        <w:r w:rsidRPr="007D5D5B">
          <w:rPr>
            <w:rStyle w:val="Hipervnculo1"/>
            <w:rFonts w:ascii="Arial" w:hAnsi="Arial" w:cs="Arial"/>
            <w:color w:val="auto"/>
            <w:sz w:val="16"/>
            <w:szCs w:val="16"/>
          </w:rPr>
          <w:t>2.2.1.2.1.2.2</w:t>
        </w:r>
      </w:hyperlink>
      <w:r w:rsidRPr="007D5D5B">
        <w:rPr>
          <w:rFonts w:ascii="Arial" w:hAnsi="Arial" w:cs="Arial"/>
          <w:sz w:val="16"/>
          <w:szCs w:val="16"/>
        </w:rPr>
        <w:t xml:space="preserve"> y </w:t>
      </w:r>
      <w:hyperlink w:history="1" w:anchor="2.2.1.2.4.2.8" r:id="rId7">
        <w:r w:rsidRPr="007D5D5B">
          <w:rPr>
            <w:rStyle w:val="Hipervnculo1"/>
            <w:rFonts w:ascii="Arial" w:hAnsi="Arial" w:cs="Arial"/>
            <w:color w:val="auto"/>
            <w:sz w:val="16"/>
            <w:szCs w:val="16"/>
          </w:rPr>
          <w:t>2.2.1.2.4.2.8</w:t>
        </w:r>
      </w:hyperlink>
      <w:r w:rsidRPr="007D5D5B">
        <w:rPr>
          <w:rFonts w:ascii="Arial" w:hAnsi="Arial" w:cs="Arial"/>
          <w:sz w:val="16"/>
          <w:szCs w:val="16"/>
        </w:rPr>
        <w:t>.; adiciona los artículos </w:t>
      </w:r>
      <w:hyperlink w:history="1" w:anchor="2.2.1.2.4.2.14" r:id="rId8">
        <w:r w:rsidRPr="007D5D5B">
          <w:rPr>
            <w:rStyle w:val="Hipervnculo1"/>
            <w:rFonts w:ascii="Arial" w:hAnsi="Arial" w:cs="Arial"/>
            <w:color w:val="auto"/>
            <w:sz w:val="16"/>
            <w:szCs w:val="16"/>
          </w:rPr>
          <w:t>2.2.1.2.4.2.14</w:t>
        </w:r>
      </w:hyperlink>
      <w:r w:rsidRPr="007D5D5B">
        <w:rPr>
          <w:rFonts w:ascii="Arial" w:hAnsi="Arial" w:cs="Arial"/>
          <w:sz w:val="16"/>
          <w:szCs w:val="16"/>
        </w:rPr>
        <w:t>., </w:t>
      </w:r>
      <w:hyperlink w:history="1" w:anchor="2.2.1.2.4.2.15" r:id="rId9">
        <w:r w:rsidRPr="007D5D5B">
          <w:rPr>
            <w:rStyle w:val="Hipervnculo1"/>
            <w:rFonts w:ascii="Arial" w:hAnsi="Arial" w:cs="Arial"/>
            <w:color w:val="auto"/>
            <w:sz w:val="16"/>
            <w:szCs w:val="16"/>
          </w:rPr>
          <w:t>2.2.1.2.4.2.15</w:t>
        </w:r>
      </w:hyperlink>
      <w:r w:rsidRPr="007D5D5B">
        <w:rPr>
          <w:rFonts w:ascii="Arial" w:hAnsi="Arial" w:cs="Arial"/>
          <w:sz w:val="16"/>
          <w:szCs w:val="16"/>
        </w:rPr>
        <w:t>., </w:t>
      </w:r>
      <w:hyperlink w:history="1" w:anchor="2.2.1.2.4.2.16" r:id="rId10">
        <w:r w:rsidRPr="007D5D5B">
          <w:rPr>
            <w:rStyle w:val="Hipervnculo1"/>
            <w:rFonts w:ascii="Arial" w:hAnsi="Arial" w:cs="Arial"/>
            <w:color w:val="auto"/>
            <w:sz w:val="16"/>
            <w:szCs w:val="16"/>
          </w:rPr>
          <w:t>2.2.1.2.4.2.16</w:t>
        </w:r>
      </w:hyperlink>
      <w:r w:rsidRPr="007D5D5B">
        <w:rPr>
          <w:rFonts w:ascii="Arial" w:hAnsi="Arial" w:cs="Arial"/>
          <w:sz w:val="16"/>
          <w:szCs w:val="16"/>
        </w:rPr>
        <w:t>., </w:t>
      </w:r>
      <w:hyperlink w:history="1" w:anchor="2.2.1.2.4.2.17" r:id="rId11">
        <w:r w:rsidRPr="007D5D5B">
          <w:rPr>
            <w:rStyle w:val="Hipervnculo1"/>
            <w:rFonts w:ascii="Arial" w:hAnsi="Arial" w:cs="Arial"/>
            <w:color w:val="auto"/>
            <w:sz w:val="16"/>
            <w:szCs w:val="16"/>
          </w:rPr>
          <w:t>2.2.1.2.4.2.17</w:t>
        </w:r>
      </w:hyperlink>
      <w:r w:rsidRPr="007D5D5B">
        <w:rPr>
          <w:rFonts w:ascii="Arial" w:hAnsi="Arial" w:cs="Arial"/>
          <w:sz w:val="16"/>
          <w:szCs w:val="16"/>
        </w:rPr>
        <w:t>. y </w:t>
      </w:r>
      <w:hyperlink w:history="1" w:anchor="2.2.1.2.4.2.18" r:id="rId12">
        <w:r w:rsidRPr="007D5D5B">
          <w:rPr>
            <w:rStyle w:val="Hipervnculo1"/>
            <w:rFonts w:ascii="Arial" w:hAnsi="Arial" w:cs="Arial"/>
            <w:color w:val="auto"/>
            <w:sz w:val="16"/>
            <w:szCs w:val="16"/>
          </w:rPr>
          <w:t>2.2.1.2.4.2.18</w:t>
        </w:r>
      </w:hyperlink>
      <w:r w:rsidRPr="007D5D5B">
        <w:rPr>
          <w:rFonts w:ascii="Arial" w:hAnsi="Arial" w:cs="Arial"/>
          <w:sz w:val="16"/>
          <w:szCs w:val="16"/>
        </w:rPr>
        <w:t>.; adiciona un </w:t>
      </w:r>
      <w:hyperlink w:history="1" w:anchor="2.2.1.2.3.1.9.p" r:id="rId13">
        <w:r w:rsidRPr="007D5D5B">
          <w:rPr>
            <w:rStyle w:val="Hipervnculo1"/>
            <w:rFonts w:ascii="Arial" w:hAnsi="Arial" w:cs="Arial"/>
            <w:color w:val="auto"/>
            <w:sz w:val="16"/>
            <w:szCs w:val="16"/>
          </w:rPr>
          <w:t>parágrafo </w:t>
        </w:r>
      </w:hyperlink>
      <w:r w:rsidRPr="007D5D5B">
        <w:rPr>
          <w:rFonts w:ascii="Arial" w:hAnsi="Arial" w:cs="Arial"/>
          <w:sz w:val="16"/>
          <w:szCs w:val="16"/>
        </w:rPr>
        <w:t>al artículo </w:t>
      </w:r>
      <w:hyperlink w:history="1" w:anchor="2.2.1.2.3.1.9" r:id="rId14">
        <w:r w:rsidRPr="007D5D5B">
          <w:rPr>
            <w:rStyle w:val="Hipervnculo1"/>
            <w:rFonts w:ascii="Arial" w:hAnsi="Arial" w:cs="Arial"/>
            <w:color w:val="auto"/>
            <w:sz w:val="16"/>
            <w:szCs w:val="16"/>
          </w:rPr>
          <w:t>2.2.1.2.3.1.9</w:t>
        </w:r>
      </w:hyperlink>
      <w:r w:rsidRPr="007D5D5B">
        <w:rPr>
          <w:rFonts w:ascii="Arial" w:hAnsi="Arial" w:cs="Arial"/>
          <w:sz w:val="16"/>
          <w:szCs w:val="16"/>
        </w:rPr>
        <w:t>; y deroga el artículo </w:t>
      </w:r>
      <w:hyperlink w:history="1" w:anchor="2.2.1.1.2.2.9" r:id="rId15">
        <w:r w:rsidRPr="007D5D5B">
          <w:rPr>
            <w:rStyle w:val="Hipervnculo1"/>
            <w:rFonts w:ascii="Arial" w:hAnsi="Arial" w:cs="Arial"/>
            <w:color w:val="auto"/>
            <w:sz w:val="16"/>
            <w:szCs w:val="16"/>
          </w:rPr>
          <w:t>2.2.1.1.2.2.9</w:t>
        </w:r>
      </w:hyperlink>
      <w:r w:rsidRPr="007D5D5B">
        <w:rPr>
          <w:rFonts w:ascii="Arial" w:hAnsi="Arial" w:cs="Arial"/>
          <w:sz w:val="16"/>
          <w:szCs w:val="16"/>
        </w:rPr>
        <w:t>. del Decreto 1082 de 2015, Único Reglamentario del Sector Administrativo de Planeación Nacional.</w:t>
      </w:r>
    </w:p>
    <w:p w:rsidRPr="004A1BA9" w:rsidR="001D383B" w:rsidP="001D383B" w:rsidRDefault="001D383B" w14:paraId="7F443657" w14:textId="77777777">
      <w:pPr>
        <w:pStyle w:val="NormalWeb"/>
        <w:shd w:val="clear" w:color="auto" w:fill="FFFFFF"/>
        <w:spacing w:after="0"/>
        <w:jc w:val="both"/>
        <w:rPr>
          <w:rFonts w:ascii="Arial" w:hAnsi="Arial" w:cs="Arial"/>
          <w:sz w:val="16"/>
          <w:szCs w:val="16"/>
        </w:rPr>
      </w:pPr>
    </w:p>
    <w:p w:rsidRPr="004A1BA9" w:rsidR="001D383B" w:rsidP="001D383B" w:rsidRDefault="001D383B" w14:paraId="76E5AFAC" w14:textId="77777777">
      <w:pPr>
        <w:pStyle w:val="NormalWeb"/>
        <w:shd w:val="clear" w:color="auto" w:fill="FFFFFF"/>
        <w:spacing w:after="0"/>
        <w:jc w:val="both"/>
        <w:rPr>
          <w:rFonts w:ascii="Arial" w:hAnsi="Arial" w:cs="Arial"/>
          <w:sz w:val="16"/>
          <w:szCs w:val="16"/>
        </w:rPr>
      </w:pPr>
    </w:p>
  </w:footnote>
  <w:footnote w:id="12">
    <w:p w:rsidRPr="007D5D5B" w:rsidR="001D383B" w:rsidP="001D383B" w:rsidRDefault="001D383B" w14:paraId="6491544A" w14:textId="77777777">
      <w:pPr>
        <w:pStyle w:val="NormalWeb"/>
        <w:spacing w:before="0" w:beforeAutospacing="0" w:after="0" w:afterAutospacing="0"/>
        <w:ind w:firstLine="708"/>
        <w:jc w:val="both"/>
        <w:rPr>
          <w:rFonts w:ascii="Arial" w:hAnsi="Arial" w:cs="Arial"/>
          <w:sz w:val="16"/>
          <w:szCs w:val="16"/>
        </w:rPr>
      </w:pPr>
      <w:r w:rsidRPr="007D5D5B">
        <w:rPr>
          <w:rStyle w:val="Refdenotaalpie"/>
          <w:rFonts w:eastAsia="Arial"/>
          <w:sz w:val="16"/>
          <w:szCs w:val="16"/>
        </w:rPr>
        <w:footnoteRef/>
      </w:r>
      <w:r w:rsidRPr="007D5D5B">
        <w:rPr>
          <w:rFonts w:ascii="Arial" w:hAnsi="Arial" w:cs="Arial"/>
          <w:sz w:val="16"/>
          <w:szCs w:val="16"/>
        </w:rPr>
        <w:t xml:space="preserve"> Ley 1150 de 2007: </w:t>
      </w:r>
      <w:r w:rsidRPr="007D5D5B">
        <w:rPr>
          <w:rFonts w:ascii="Arial" w:hAnsi="Arial" w:eastAsia="Calibri" w:cs="Arial"/>
          <w:bCs/>
          <w:sz w:val="16"/>
          <w:szCs w:val="16"/>
        </w:rPr>
        <w:t>«</w:t>
      </w:r>
      <w:r w:rsidRPr="007D5D5B">
        <w:rPr>
          <w:rFonts w:ascii="Arial" w:hAnsi="Arial" w:cs="Arial"/>
          <w:sz w:val="16"/>
          <w:szCs w:val="16"/>
        </w:rPr>
        <w:t>Artículo 5°.</w:t>
      </w:r>
      <w:r w:rsidRPr="007D5D5B">
        <w:rPr>
          <w:rFonts w:ascii="Arial" w:hAnsi="Arial" w:cs="Arial"/>
          <w:i/>
          <w:iCs/>
          <w:sz w:val="16"/>
          <w:szCs w:val="16"/>
        </w:rPr>
        <w:t xml:space="preserve"> </w:t>
      </w:r>
      <w:r w:rsidRPr="007D5D5B">
        <w:rPr>
          <w:rFonts w:ascii="Arial" w:hAnsi="Arial" w:cs="Arial"/>
          <w:sz w:val="16"/>
          <w:szCs w:val="16"/>
        </w:rPr>
        <w:t>De la selección objetiva.</w:t>
      </w:r>
      <w:r w:rsidRPr="007D5D5B">
        <w:rPr>
          <w:rFonts w:ascii="Arial" w:hAnsi="Arial" w:cs="Arial"/>
          <w:i/>
          <w:iCs/>
          <w:sz w:val="16"/>
          <w:szCs w:val="16"/>
        </w:rPr>
        <w:t> </w:t>
      </w:r>
      <w:r w:rsidRPr="007D5D5B">
        <w:rPr>
          <w:rFonts w:ascii="Arial" w:hAnsi="Arial" w:cs="Arial"/>
          <w:sz w:val="16"/>
          <w:szCs w:val="16"/>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w:t>
      </w:r>
    </w:p>
    <w:p w:rsidRPr="007D5D5B" w:rsidR="001D383B" w:rsidP="001D383B" w:rsidRDefault="001D383B" w14:paraId="365B8FFF" w14:textId="77777777">
      <w:pPr>
        <w:jc w:val="both"/>
        <w:rPr>
          <w:rFonts w:ascii="Arial" w:hAnsi="Arial" w:cs="Arial"/>
          <w:sz w:val="16"/>
          <w:szCs w:val="16"/>
          <w:lang w:eastAsia="es-CO"/>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w:t>
      </w:r>
    </w:p>
    <w:p w:rsidRPr="007D5D5B" w:rsidR="001D383B" w:rsidP="001D383B" w:rsidRDefault="001D383B" w14:paraId="71AFFFCD" w14:textId="77777777">
      <w:pPr>
        <w:jc w:val="both"/>
        <w:rPr>
          <w:rFonts w:ascii="Arial" w:hAnsi="Arial" w:cs="Arial"/>
          <w:sz w:val="16"/>
          <w:szCs w:val="16"/>
          <w:lang w:eastAsia="es-CO"/>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w:t>
      </w:r>
    </w:p>
    <w:p w:rsidRPr="007D5D5B" w:rsidR="001D383B" w:rsidP="001D383B" w:rsidRDefault="001D383B" w14:paraId="07F55755" w14:textId="77777777">
      <w:pPr>
        <w:jc w:val="both"/>
        <w:rPr>
          <w:rFonts w:ascii="Arial" w:hAnsi="Arial" w:cs="Arial"/>
          <w:sz w:val="16"/>
          <w:szCs w:val="16"/>
          <w:lang w:eastAsia="es-CO"/>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En los procesos de selección en los que se tenga en cuenta los factores técnicos y económicos, la oferta más ventajosa será la que resulte de aplicar alguna de las siguientes alternativas:  </w:t>
      </w:r>
    </w:p>
    <w:p w:rsidRPr="007D5D5B" w:rsidR="001D383B" w:rsidP="001D383B" w:rsidRDefault="001D383B" w14:paraId="6A241518" w14:textId="77777777">
      <w:pPr>
        <w:jc w:val="both"/>
        <w:rPr>
          <w:rFonts w:ascii="Arial" w:hAnsi="Arial" w:cs="Arial"/>
          <w:sz w:val="16"/>
          <w:szCs w:val="16"/>
          <w:lang w:eastAsia="es-CO"/>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a) La ponderación de los elementos de calidad y precio soportados en puntajes o fórmulas señaladas en el pliego de condiciones; o  </w:t>
      </w:r>
    </w:p>
    <w:p w:rsidRPr="007D5D5B" w:rsidR="001D383B" w:rsidP="001D383B" w:rsidRDefault="001D383B" w14:paraId="054A22EC" w14:textId="77777777">
      <w:pPr>
        <w:jc w:val="both"/>
        <w:rPr>
          <w:rFonts w:ascii="Arial" w:hAnsi="Arial" w:cs="Arial"/>
          <w:sz w:val="16"/>
          <w:szCs w:val="16"/>
          <w:lang w:eastAsia="es-CO"/>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b) La ponderación de los elementos de calidad y precio que representen la mejor relación de costo-beneficio para la entidad.  </w:t>
      </w:r>
    </w:p>
    <w:p w:rsidRPr="007D5D5B" w:rsidR="001D383B" w:rsidP="001D383B" w:rsidRDefault="001D383B" w14:paraId="082A6C1D" w14:textId="77777777">
      <w:pPr>
        <w:jc w:val="both"/>
        <w:rPr>
          <w:rFonts w:ascii="Arial" w:hAnsi="Arial" w:cs="Arial"/>
          <w:sz w:val="16"/>
          <w:szCs w:val="16"/>
          <w:lang w:eastAsia="es-CO"/>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 </w:t>
      </w:r>
    </w:p>
    <w:p w:rsidRPr="007D5D5B" w:rsidR="001D383B" w:rsidP="001D383B" w:rsidRDefault="001D383B" w14:paraId="5E8246BC" w14:textId="77777777">
      <w:pPr>
        <w:jc w:val="both"/>
        <w:rPr>
          <w:rFonts w:ascii="Arial" w:hAnsi="Arial" w:cs="Arial"/>
          <w:sz w:val="16"/>
          <w:szCs w:val="16"/>
          <w:lang w:eastAsia="es-CO"/>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 </w:t>
      </w:r>
    </w:p>
    <w:p w:rsidRPr="007D5D5B" w:rsidR="001D383B" w:rsidP="001D383B" w:rsidRDefault="001D383B" w14:paraId="46E08EF6" w14:textId="77777777">
      <w:pPr>
        <w:jc w:val="both"/>
        <w:rPr>
          <w:rFonts w:ascii="Arial" w:hAnsi="Arial" w:cs="Arial"/>
          <w:sz w:val="16"/>
          <w:szCs w:val="16"/>
          <w:lang w:eastAsia="es-CO"/>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En ningún caso se podrá incluir el precio, como factor de escogencia para la selección de consultores. </w:t>
      </w:r>
    </w:p>
    <w:p w:rsidRPr="007D5D5B" w:rsidR="001D383B" w:rsidP="001D383B" w:rsidRDefault="001D383B" w14:paraId="2FD94617" w14:textId="77777777">
      <w:pPr>
        <w:jc w:val="both"/>
        <w:rPr>
          <w:rFonts w:ascii="Arial" w:hAnsi="Arial" w:cs="Arial"/>
          <w:sz w:val="16"/>
          <w:szCs w:val="16"/>
          <w:lang w:eastAsia="es-CO"/>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Parágrafo 1°.</w:t>
      </w:r>
      <w:r w:rsidRPr="007D5D5B">
        <w:rPr>
          <w:rFonts w:ascii="Arial" w:hAnsi="Arial" w:cs="Arial"/>
          <w:b/>
          <w:bCs/>
          <w:sz w:val="16"/>
          <w:szCs w:val="16"/>
          <w:lang w:eastAsia="es-CO"/>
        </w:rPr>
        <w:t> </w:t>
      </w:r>
      <w:r w:rsidRPr="007D5D5B">
        <w:rPr>
          <w:rFonts w:ascii="Arial" w:hAnsi="Arial" w:cs="Arial"/>
          <w:sz w:val="16"/>
          <w:szCs w:val="16"/>
          <w:lang w:eastAsia="es-CO"/>
        </w:rPr>
        <w:t>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rsidRPr="007D5D5B" w:rsidR="001D383B" w:rsidP="001D383B" w:rsidRDefault="001D383B" w14:paraId="3D62A836" w14:textId="77777777">
      <w:pPr>
        <w:ind w:firstLine="708"/>
        <w:jc w:val="both"/>
        <w:rPr>
          <w:rFonts w:ascii="Arial" w:hAnsi="Arial" w:cs="Arial"/>
          <w:sz w:val="16"/>
          <w:szCs w:val="16"/>
          <w:lang w:eastAsia="es-CO"/>
        </w:rPr>
      </w:pPr>
      <w:r w:rsidRPr="007D5D5B">
        <w:rPr>
          <w:rFonts w:ascii="Arial" w:hAnsi="Arial" w:eastAsia="Calibri" w:cs="Arial"/>
          <w:bCs/>
          <w:sz w:val="16"/>
          <w:szCs w:val="16"/>
        </w:rPr>
        <w:t>“</w:t>
      </w:r>
      <w:r w:rsidRPr="007D5D5B">
        <w:rPr>
          <w:rFonts w:ascii="Arial" w:hAnsi="Arial" w:cs="Arial"/>
          <w:sz w:val="16"/>
          <w:szCs w:val="16"/>
          <w:lang w:eastAsia="es-CO"/>
        </w:rPr>
        <w:t>Durante el término otorgado para subsanar las ofertas, los proponentes no podrán acreditar circunstancias ocurridas con posterioridad al cierre del proceso. </w:t>
      </w:r>
    </w:p>
    <w:p w:rsidRPr="007D5D5B" w:rsidR="001D383B" w:rsidP="001D383B" w:rsidRDefault="001D383B" w14:paraId="0CDC00E1" w14:textId="77777777">
      <w:pPr>
        <w:jc w:val="both"/>
        <w:rPr>
          <w:rFonts w:ascii="Arial" w:hAnsi="Arial" w:cs="Arial"/>
          <w:sz w:val="16"/>
          <w:szCs w:val="16"/>
          <w:lang w:eastAsia="es-CO"/>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Parágrafo 2°. Las certificaciones de sistemas de gestión de calidad no serán objeto de calificación, ni podrán establecerse como documento habilitante para participar en licitaciones o concursos. </w:t>
      </w:r>
    </w:p>
    <w:p w:rsidRPr="007D5D5B" w:rsidR="001D383B" w:rsidP="001D383B" w:rsidRDefault="001D383B" w14:paraId="6F1A625F" w14:textId="77777777">
      <w:pPr>
        <w:ind w:firstLine="708"/>
        <w:jc w:val="both"/>
        <w:rPr>
          <w:rFonts w:ascii="Arial" w:hAnsi="Arial" w:cs="Arial"/>
          <w:sz w:val="16"/>
          <w:szCs w:val="16"/>
          <w:lang w:eastAsia="es-CO"/>
        </w:rPr>
      </w:pPr>
      <w:r w:rsidRPr="007D5D5B">
        <w:rPr>
          <w:rFonts w:ascii="Arial" w:hAnsi="Arial" w:eastAsia="Calibri" w:cs="Arial"/>
          <w:bCs/>
          <w:sz w:val="16"/>
          <w:szCs w:val="16"/>
        </w:rPr>
        <w:t>“</w:t>
      </w:r>
      <w:r w:rsidRPr="007D5D5B">
        <w:rPr>
          <w:rFonts w:ascii="Arial" w:hAnsi="Arial" w:cs="Arial"/>
          <w:sz w:val="16"/>
          <w:szCs w:val="16"/>
          <w:lang w:eastAsia="es-CO"/>
        </w:rPr>
        <w:t>Parágrafo 3°. La no entrega de la garantía de seriedad junto con la propuesta no será subsanable y será causal de rechazo de la misma. </w:t>
      </w:r>
    </w:p>
    <w:p w:rsidRPr="007D5D5B" w:rsidR="001D383B" w:rsidP="001D383B" w:rsidRDefault="001D383B" w14:paraId="623CBDE9" w14:textId="77777777">
      <w:pPr>
        <w:ind w:firstLine="708"/>
        <w:jc w:val="both"/>
        <w:rPr>
          <w:rFonts w:ascii="Arial" w:hAnsi="Arial" w:cs="Arial"/>
          <w:sz w:val="16"/>
          <w:szCs w:val="16"/>
          <w:lang w:eastAsia="es-CO"/>
        </w:rPr>
      </w:pPr>
      <w:r w:rsidRPr="007D5D5B">
        <w:rPr>
          <w:rFonts w:ascii="Arial" w:hAnsi="Arial" w:eastAsia="Calibri" w:cs="Arial"/>
          <w:bCs/>
          <w:sz w:val="16"/>
          <w:szCs w:val="16"/>
        </w:rPr>
        <w:t>“</w:t>
      </w:r>
      <w:r w:rsidRPr="007D5D5B">
        <w:rPr>
          <w:rFonts w:ascii="Arial" w:hAnsi="Arial" w:cs="Arial"/>
          <w:sz w:val="16"/>
          <w:szCs w:val="16"/>
          <w:lang w:eastAsia="es-CO"/>
        </w:rPr>
        <w:t>Parágrafo 4°.</w:t>
      </w:r>
      <w:r w:rsidRPr="007D5D5B">
        <w:rPr>
          <w:rFonts w:ascii="Arial" w:hAnsi="Arial" w:cs="Arial"/>
          <w:b/>
          <w:bCs/>
          <w:sz w:val="16"/>
          <w:szCs w:val="16"/>
          <w:lang w:eastAsia="es-CO"/>
        </w:rPr>
        <w:t> </w:t>
      </w:r>
      <w:r w:rsidRPr="007D5D5B">
        <w:rPr>
          <w:rFonts w:ascii="Arial" w:hAnsi="Arial" w:cs="Arial"/>
          <w:sz w:val="16"/>
          <w:szCs w:val="16"/>
          <w:lang w:eastAsia="es-CO"/>
        </w:rPr>
        <w:t>En aquellos procesos de selección en los que se utilice el mecanismo de subasta, los documentos referentes a la futura contratación o al proponente, no necesarios para la comparación de las propuestas, deberán ser solicitados hasta el momento previo a su realización. </w:t>
      </w:r>
    </w:p>
    <w:p w:rsidRPr="007D5D5B" w:rsidR="001D383B" w:rsidP="001D383B" w:rsidRDefault="001D383B" w14:paraId="129C53C0" w14:textId="7D1EAAA9">
      <w:pPr>
        <w:jc w:val="both"/>
        <w:rPr>
          <w:sz w:val="16"/>
          <w:szCs w:val="16"/>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Parágrafo 5°. En los procesos de contratación, las entidades estatales deberán aceptar la experiencia adquirida por los proponentes a través de la ejecución de contratos con particulares</w:t>
      </w:r>
      <w:r w:rsidRPr="007D5D5B">
        <w:rPr>
          <w:rFonts w:ascii="Arial" w:hAnsi="Arial" w:eastAsia="Calibri" w:cs="Arial"/>
          <w:bCs/>
          <w:sz w:val="16"/>
          <w:szCs w:val="16"/>
        </w:rPr>
        <w:t>”.</w:t>
      </w:r>
      <w:r w:rsidRPr="007D5D5B">
        <w:rPr>
          <w:sz w:val="16"/>
          <w:szCs w:val="16"/>
        </w:rPr>
        <w:t xml:space="preserve"> </w:t>
      </w:r>
    </w:p>
  </w:footnote>
  <w:footnote w:id="13">
    <w:p w:rsidRPr="007D5D5B" w:rsidR="001D383B" w:rsidP="001D383B" w:rsidRDefault="001D383B" w14:paraId="1245B210" w14:textId="77777777">
      <w:pPr>
        <w:pStyle w:val="Textonotapie"/>
        <w:ind w:firstLine="708"/>
        <w:jc w:val="both"/>
        <w:rPr>
          <w:rFonts w:ascii="Arial" w:hAnsi="Arial" w:cs="Arial"/>
          <w:sz w:val="16"/>
          <w:szCs w:val="16"/>
          <w:lang w:val="es-CO"/>
        </w:rPr>
      </w:pPr>
      <w:r w:rsidRPr="007D5D5B">
        <w:rPr>
          <w:rStyle w:val="Refdenotaalpie"/>
          <w:sz w:val="16"/>
          <w:szCs w:val="16"/>
        </w:rPr>
        <w:footnoteRef/>
      </w:r>
      <w:r w:rsidRPr="007D5D5B">
        <w:rPr>
          <w:rFonts w:ascii="Arial" w:hAnsi="Arial" w:cs="Arial"/>
          <w:sz w:val="16"/>
          <w:szCs w:val="16"/>
        </w:rPr>
        <w:t xml:space="preserve"> </w:t>
      </w:r>
      <w:r w:rsidRPr="007D5D5B">
        <w:rPr>
          <w:rFonts w:ascii="Arial" w:hAnsi="Arial" w:cs="Arial"/>
          <w:sz w:val="16"/>
          <w:szCs w:val="16"/>
          <w:lang w:val="es-CO"/>
        </w:rPr>
        <w:t>DÁVILA VINUEZA, Luis Guillermo. Régimen jurídico de la contratación estatal, Tercera edición, Legis Editores, 2016, Bogotá, pág. 355.</w:t>
      </w:r>
    </w:p>
    <w:p w:rsidRPr="00705806" w:rsidR="001D383B" w:rsidP="001D383B" w:rsidRDefault="001D383B" w14:paraId="16CCC3F7" w14:textId="77777777">
      <w:pPr>
        <w:pStyle w:val="Textonotapie"/>
        <w:ind w:firstLine="708"/>
        <w:jc w:val="both"/>
        <w:rPr>
          <w:rFonts w:ascii="Arial" w:hAnsi="Arial" w:cs="Arial"/>
          <w:sz w:val="19"/>
          <w:szCs w:val="19"/>
          <w:lang w:val="es-CO"/>
        </w:rPr>
      </w:pPr>
    </w:p>
  </w:footnote>
  <w:footnote w:id="14">
    <w:p w:rsidRPr="007D5D5B" w:rsidR="001D383B" w:rsidP="001D383B" w:rsidRDefault="001D383B" w14:paraId="48869E64" w14:textId="77777777">
      <w:pPr>
        <w:pStyle w:val="Textonotapie"/>
        <w:ind w:firstLine="708"/>
        <w:jc w:val="both"/>
        <w:rPr>
          <w:rFonts w:ascii="Arial" w:hAnsi="Arial" w:eastAsia="Calibri" w:cs="Arial"/>
          <w:sz w:val="16"/>
          <w:szCs w:val="16"/>
          <w:lang w:val="es-ES_tradnl"/>
        </w:rPr>
      </w:pPr>
      <w:r w:rsidRPr="007D5D5B">
        <w:rPr>
          <w:rStyle w:val="Refdenotaalpie"/>
          <w:sz w:val="16"/>
          <w:szCs w:val="16"/>
        </w:rPr>
        <w:footnoteRef/>
      </w:r>
      <w:r w:rsidRPr="007D5D5B">
        <w:rPr>
          <w:rFonts w:ascii="Arial" w:hAnsi="Arial" w:cs="Arial"/>
          <w:sz w:val="16"/>
          <w:szCs w:val="16"/>
        </w:rPr>
        <w:t xml:space="preserve"> </w:t>
      </w:r>
      <w:r w:rsidRPr="007D5D5B">
        <w:rPr>
          <w:rFonts w:ascii="Arial" w:hAnsi="Arial" w:eastAsia="Calibri" w:cs="Arial"/>
          <w:sz w:val="16"/>
          <w:szCs w:val="16"/>
          <w:lang w:val="es-ES_tradnl"/>
        </w:rPr>
        <w:t>RODRÍGUEZ TAMAYO, Mauricio F. Evaluación y rechazo de ofertas en la Ley 80 de 1993. Primera edición, Editorial Librería Jurídica Sánchez, Medellín, 2016, págs. 110-111.</w:t>
      </w:r>
    </w:p>
    <w:p w:rsidRPr="007D5D5B" w:rsidR="001D383B" w:rsidP="001D383B" w:rsidRDefault="001D383B" w14:paraId="6F773CFD" w14:textId="77777777">
      <w:pPr>
        <w:pStyle w:val="Textonotapie"/>
        <w:ind w:firstLine="708"/>
        <w:jc w:val="both"/>
        <w:rPr>
          <w:rFonts w:ascii="Arial" w:hAnsi="Arial" w:cs="Arial"/>
          <w:sz w:val="16"/>
          <w:szCs w:val="16"/>
          <w:lang w:val="es-CO"/>
        </w:rPr>
      </w:pPr>
    </w:p>
  </w:footnote>
  <w:footnote w:id="15">
    <w:p w:rsidRPr="007D5D5B" w:rsidR="001D383B" w:rsidP="001D383B" w:rsidRDefault="001D383B" w14:paraId="4C6BADDF" w14:textId="77777777">
      <w:pPr>
        <w:pStyle w:val="Textonotapie"/>
        <w:ind w:firstLine="708"/>
        <w:jc w:val="both"/>
        <w:rPr>
          <w:rFonts w:ascii="Arial" w:hAnsi="Arial" w:cs="Arial"/>
          <w:sz w:val="16"/>
          <w:szCs w:val="16"/>
        </w:rPr>
      </w:pPr>
      <w:r w:rsidRPr="007D5D5B">
        <w:rPr>
          <w:rStyle w:val="Refdenotaalpie"/>
          <w:sz w:val="16"/>
          <w:szCs w:val="16"/>
        </w:rPr>
        <w:footnoteRef/>
      </w:r>
      <w:r w:rsidRPr="007D5D5B">
        <w:rPr>
          <w:rFonts w:ascii="Arial" w:hAnsi="Arial" w:cs="Arial"/>
          <w:sz w:val="16"/>
          <w:szCs w:val="16"/>
        </w:rPr>
        <w:t xml:space="preserve"> EXPÓSITO VELEZ, Juan C., El deber de selección objetiva, en: Del contrato estatal a los sistemas de compras públicas, por COVILLA MARTINEZ Juan C. y LOZANO VILLEGAS Germán (Eds.). Universidad Externado de Colombia, Bogotá, 2019, págs. 118-184.</w:t>
      </w:r>
    </w:p>
    <w:p w:rsidRPr="00705806" w:rsidR="001D383B" w:rsidP="001D383B" w:rsidRDefault="001D383B" w14:paraId="59FA1682" w14:textId="77777777">
      <w:pPr>
        <w:pStyle w:val="Textonotapie"/>
        <w:ind w:firstLine="708"/>
        <w:jc w:val="both"/>
        <w:rPr>
          <w:rFonts w:ascii="Arial" w:hAnsi="Arial" w:cs="Arial"/>
          <w:sz w:val="19"/>
          <w:szCs w:val="19"/>
          <w:lang w:val="es-CO"/>
        </w:rPr>
      </w:pPr>
    </w:p>
  </w:footnote>
  <w:footnote w:id="16">
    <w:p w:rsidRPr="007D5D5B" w:rsidR="001D383B" w:rsidP="001D383B" w:rsidRDefault="001D383B" w14:paraId="6A3E528A" w14:textId="77777777">
      <w:pPr>
        <w:pStyle w:val="Textonotapie"/>
        <w:ind w:firstLine="708"/>
        <w:rPr>
          <w:rFonts w:ascii="Arial" w:hAnsi="Arial" w:cs="Arial"/>
          <w:sz w:val="16"/>
          <w:szCs w:val="16"/>
          <w:lang w:val="es-CO"/>
        </w:rPr>
      </w:pPr>
      <w:r w:rsidRPr="007D5D5B">
        <w:rPr>
          <w:rStyle w:val="Refdenotaalpie"/>
          <w:sz w:val="16"/>
          <w:szCs w:val="16"/>
        </w:rPr>
        <w:footnoteRef/>
      </w:r>
      <w:r w:rsidRPr="007D5D5B">
        <w:rPr>
          <w:rFonts w:ascii="Arial" w:hAnsi="Arial" w:cs="Arial"/>
          <w:i/>
          <w:iCs/>
          <w:sz w:val="16"/>
          <w:szCs w:val="16"/>
        </w:rPr>
        <w:t xml:space="preserve"> </w:t>
      </w:r>
      <w:proofErr w:type="spellStart"/>
      <w:r w:rsidRPr="007D5D5B">
        <w:rPr>
          <w:rFonts w:ascii="Arial" w:hAnsi="Arial" w:cs="Arial"/>
          <w:i/>
          <w:iCs/>
          <w:sz w:val="16"/>
          <w:szCs w:val="16"/>
          <w:lang w:val="es-CO"/>
        </w:rPr>
        <w:t>Ibídem</w:t>
      </w:r>
      <w:proofErr w:type="spellEnd"/>
      <w:r w:rsidRPr="007D5D5B">
        <w:rPr>
          <w:rFonts w:ascii="Arial" w:hAnsi="Arial" w:cs="Arial"/>
          <w:i/>
          <w:iCs/>
          <w:sz w:val="16"/>
          <w:szCs w:val="16"/>
          <w:lang w:val="es-CO"/>
        </w:rPr>
        <w:t>.</w:t>
      </w:r>
    </w:p>
  </w:footnote>
  <w:footnote w:id="17">
    <w:p w:rsidRPr="007D5D5B" w:rsidR="001D383B" w:rsidP="001D383B" w:rsidRDefault="001D383B" w14:paraId="73F165C0" w14:textId="77777777">
      <w:pPr>
        <w:ind w:firstLine="708"/>
        <w:jc w:val="both"/>
        <w:rPr>
          <w:rFonts w:ascii="Arial" w:hAnsi="Arial" w:cs="Arial"/>
          <w:sz w:val="16"/>
          <w:szCs w:val="16"/>
          <w:lang w:eastAsia="es-CO"/>
        </w:rPr>
      </w:pPr>
      <w:r w:rsidRPr="007D5D5B">
        <w:rPr>
          <w:rStyle w:val="Refdenotaalpie"/>
          <w:sz w:val="16"/>
          <w:szCs w:val="16"/>
        </w:rPr>
        <w:footnoteRef/>
      </w:r>
      <w:r w:rsidRPr="007D5D5B">
        <w:rPr>
          <w:rFonts w:ascii="Arial" w:hAnsi="Arial" w:cs="Arial"/>
          <w:sz w:val="16"/>
          <w:szCs w:val="16"/>
        </w:rPr>
        <w:t xml:space="preserve"> Decreto 1082 de 2015 </w:t>
      </w:r>
      <w:r w:rsidRPr="007D5D5B">
        <w:rPr>
          <w:rFonts w:ascii="Arial" w:hAnsi="Arial" w:eastAsia="Calibri" w:cs="Arial"/>
          <w:bCs/>
          <w:sz w:val="16"/>
          <w:szCs w:val="16"/>
        </w:rPr>
        <w:t>“</w:t>
      </w:r>
      <w:r w:rsidRPr="007D5D5B">
        <w:rPr>
          <w:rFonts w:ascii="Arial" w:hAnsi="Arial" w:cs="Arial"/>
          <w:sz w:val="16"/>
          <w:szCs w:val="16"/>
          <w:lang w:eastAsia="es-CO"/>
        </w:rPr>
        <w:t>Artículo 2.2.1.1.2.2.2. Ofrecimiento más favorable. La Entidad Estatal debe determinar la oferta más favorable teniendo en cuenta las normas aplicables a cada modalidad de selección del contratista. </w:t>
      </w:r>
    </w:p>
    <w:p w:rsidRPr="007D5D5B" w:rsidR="001D383B" w:rsidP="001D383B" w:rsidRDefault="001D383B" w14:paraId="0ED96CFD" w14:textId="77777777">
      <w:pPr>
        <w:jc w:val="both"/>
        <w:rPr>
          <w:rFonts w:ascii="Arial" w:hAnsi="Arial" w:cs="Arial"/>
          <w:sz w:val="16"/>
          <w:szCs w:val="16"/>
          <w:lang w:eastAsia="es-CO"/>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rsidRPr="007D5D5B" w:rsidR="001D383B" w:rsidP="001D383B" w:rsidRDefault="001D383B" w14:paraId="4636F1AA" w14:textId="77777777">
      <w:pPr>
        <w:jc w:val="both"/>
        <w:rPr>
          <w:rFonts w:ascii="Arial" w:hAnsi="Arial" w:cs="Arial"/>
          <w:sz w:val="16"/>
          <w:szCs w:val="16"/>
          <w:lang w:eastAsia="es-CO"/>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1. Las condiciones técnicas y económicas mínimas de la oferta. </w:t>
      </w:r>
    </w:p>
    <w:p w:rsidRPr="007D5D5B" w:rsidR="001D383B" w:rsidP="001D383B" w:rsidRDefault="001D383B" w14:paraId="44E1D2BC" w14:textId="77777777">
      <w:pPr>
        <w:jc w:val="both"/>
        <w:rPr>
          <w:rFonts w:ascii="Arial" w:hAnsi="Arial" w:cs="Arial"/>
          <w:sz w:val="16"/>
          <w:szCs w:val="16"/>
          <w:lang w:eastAsia="es-CO"/>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2. Las condiciones técnicas adicionales que representan ventajas de calidad o de funcionamiento, tales como el uso de tecnología o materiales que generen mayor eficiencia, rendimiento o duración del bien, obra o servicio. </w:t>
      </w:r>
    </w:p>
    <w:p w:rsidRPr="007D5D5B" w:rsidR="001D383B" w:rsidP="001D383B" w:rsidRDefault="001D383B" w14:paraId="265E572E" w14:textId="77777777">
      <w:pPr>
        <w:jc w:val="both"/>
        <w:rPr>
          <w:rFonts w:ascii="Arial" w:hAnsi="Arial" w:cs="Arial"/>
          <w:sz w:val="16"/>
          <w:szCs w:val="16"/>
          <w:lang w:eastAsia="es-CO"/>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rsidRPr="007D5D5B" w:rsidR="001D383B" w:rsidP="001D383B" w:rsidRDefault="001D383B" w14:paraId="0C43543C" w14:textId="77777777">
      <w:pPr>
        <w:jc w:val="both"/>
        <w:rPr>
          <w:rFonts w:ascii="Arial" w:hAnsi="Arial" w:cs="Arial"/>
          <w:sz w:val="16"/>
          <w:szCs w:val="16"/>
          <w:lang w:eastAsia="es-CO"/>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4. El valor en dinero que la Entidad Estatal asigna a cada ofrecimiento técnico o económico adicional, para permitir la ponderación de las ofertas presentadas. </w:t>
      </w:r>
    </w:p>
    <w:p w:rsidRPr="007D5D5B" w:rsidR="001D383B" w:rsidP="001D383B" w:rsidRDefault="001D383B" w14:paraId="0E033114" w14:textId="77777777">
      <w:pPr>
        <w:jc w:val="both"/>
        <w:rPr>
          <w:rFonts w:ascii="Arial" w:hAnsi="Arial" w:cs="Arial"/>
          <w:sz w:val="16"/>
          <w:szCs w:val="16"/>
          <w:lang w:eastAsia="es-CO"/>
        </w:rPr>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rsidRPr="00C93A42" w:rsidR="001D383B" w:rsidP="001D383B" w:rsidRDefault="001D383B" w14:paraId="2B7E9758" w14:textId="77777777">
      <w:pPr>
        <w:jc w:val="both"/>
      </w:pPr>
      <w:r w:rsidRPr="007D5D5B">
        <w:rPr>
          <w:rFonts w:ascii="Arial" w:hAnsi="Arial" w:cs="Arial"/>
          <w:sz w:val="16"/>
          <w:szCs w:val="16"/>
          <w:lang w:eastAsia="es-CO"/>
        </w:rPr>
        <w:t>  </w:t>
      </w:r>
      <w:r w:rsidRPr="007D5D5B">
        <w:rPr>
          <w:rFonts w:ascii="Arial" w:hAnsi="Arial" w:cs="Arial"/>
          <w:sz w:val="16"/>
          <w:szCs w:val="16"/>
          <w:lang w:eastAsia="es-CO"/>
        </w:rPr>
        <w:tab/>
      </w:r>
      <w:r w:rsidRPr="007D5D5B">
        <w:rPr>
          <w:rFonts w:ascii="Arial" w:hAnsi="Arial" w:eastAsia="Calibri" w:cs="Arial"/>
          <w:bCs/>
          <w:sz w:val="16"/>
          <w:szCs w:val="16"/>
        </w:rPr>
        <w:t>“</w:t>
      </w:r>
      <w:r w:rsidRPr="007D5D5B">
        <w:rPr>
          <w:rFonts w:ascii="Arial" w:hAnsi="Arial" w:cs="Arial"/>
          <w:sz w:val="16"/>
          <w:szCs w:val="16"/>
          <w:lang w:eastAsia="es-CO"/>
        </w:rPr>
        <w:t>La Entidad Estatal debe adjudicar al oferente que presentó la oferta con la mejor relación costo-beneficio y suscribir el contrato por el precio total ofrecido</w:t>
      </w:r>
      <w:r w:rsidRPr="007D5D5B">
        <w:rPr>
          <w:rFonts w:ascii="Arial" w:hAnsi="Arial" w:eastAsia="Calibri" w:cs="Arial"/>
          <w:bCs/>
          <w:sz w:val="16"/>
          <w:szCs w:val="16"/>
        </w:rPr>
        <w:t>”</w:t>
      </w:r>
      <w:r w:rsidRPr="007D5D5B">
        <w:rPr>
          <w:rFonts w:ascii="Arial" w:hAnsi="Arial" w:cs="Arial"/>
          <w:sz w:val="16"/>
          <w:szCs w:val="16"/>
          <w:lang w:eastAsia="es-CO"/>
        </w:rPr>
        <w:t>.</w:t>
      </w:r>
      <w:r w:rsidRPr="007D5D5B">
        <w:rPr>
          <w:rFonts w:ascii="Arial" w:hAnsi="Arial" w:cs="Arial"/>
          <w:sz w:val="19"/>
          <w:szCs w:val="19"/>
          <w:lang w:eastAsia="es-CO"/>
        </w:rPr>
        <w:t> </w:t>
      </w:r>
    </w:p>
  </w:footnote>
  <w:footnote w:id="18">
    <w:p w:rsidRPr="008B26AB" w:rsidR="001D383B" w:rsidP="001D383B" w:rsidRDefault="001D383B" w14:paraId="3280E4F5" w14:textId="77777777">
      <w:pPr>
        <w:pStyle w:val="Textonotapie"/>
        <w:ind w:firstLine="708"/>
        <w:jc w:val="both"/>
        <w:rPr>
          <w:rFonts w:ascii="Arial" w:hAnsi="Arial" w:cs="Arial"/>
          <w:sz w:val="14"/>
          <w:szCs w:val="14"/>
          <w:lang w:val="es-CO"/>
        </w:rPr>
      </w:pPr>
      <w:r w:rsidRPr="007D5D5B">
        <w:rPr>
          <w:rStyle w:val="Refdenotaalpie"/>
          <w:sz w:val="16"/>
          <w:szCs w:val="16"/>
        </w:rPr>
        <w:footnoteRef/>
      </w:r>
      <w:r w:rsidRPr="007D5D5B">
        <w:rPr>
          <w:rFonts w:ascii="Arial" w:hAnsi="Arial" w:cs="Arial"/>
          <w:sz w:val="16"/>
          <w:szCs w:val="16"/>
        </w:rPr>
        <w:t xml:space="preserve"> Según este principio, “[…] en caso de perplejidades hermenéuticas, el operador jurídico debe preferir, entre las diversas interpretaciones de las disposiciones aplicables al caso, aquella que produzca efectos, sobre aquella que no, o sobre aquella que sea superflua o irrazonable […]” (</w:t>
      </w:r>
      <w:r w:rsidRPr="007D5D5B">
        <w:rPr>
          <w:rFonts w:ascii="Arial" w:hAnsi="Arial" w:cs="Arial"/>
          <w:sz w:val="16"/>
          <w:szCs w:val="16"/>
          <w:lang w:val="es-CO"/>
        </w:rPr>
        <w:t xml:space="preserve">CORTE CONSTITUCIONAL. Sentencia C-569 del 8 de junio de 2004. M.P. (E). </w:t>
      </w:r>
      <w:r w:rsidRPr="007D5D5B">
        <w:rPr>
          <w:rFonts w:ascii="Arial" w:hAnsi="Arial" w:cs="Arial"/>
          <w:sz w:val="16"/>
          <w:szCs w:val="16"/>
          <w:shd w:val="clear" w:color="auto" w:fill="FFFFFF"/>
        </w:rPr>
        <w:t>Rodrigo Uprimny Yepes</w:t>
      </w:r>
      <w:r w:rsidRPr="008B26AB">
        <w:rPr>
          <w:rFonts w:ascii="Arial" w:hAnsi="Arial" w:cs="Arial"/>
          <w:sz w:val="14"/>
          <w:szCs w:val="1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56841" w:rsidRDefault="00961B09" w14:paraId="6ED12154" w14:textId="43B6B0B6">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D0334"/>
    <w:rsid w:val="000F6486"/>
    <w:rsid w:val="00125105"/>
    <w:rsid w:val="00127233"/>
    <w:rsid w:val="00132C11"/>
    <w:rsid w:val="001D383B"/>
    <w:rsid w:val="001E4177"/>
    <w:rsid w:val="002951A0"/>
    <w:rsid w:val="002962BC"/>
    <w:rsid w:val="002A093D"/>
    <w:rsid w:val="002A49AC"/>
    <w:rsid w:val="002A64FD"/>
    <w:rsid w:val="002C7A84"/>
    <w:rsid w:val="003448F4"/>
    <w:rsid w:val="003A779E"/>
    <w:rsid w:val="003D0F4D"/>
    <w:rsid w:val="003E0499"/>
    <w:rsid w:val="003F3941"/>
    <w:rsid w:val="00400548"/>
    <w:rsid w:val="004776FA"/>
    <w:rsid w:val="004A1847"/>
    <w:rsid w:val="004A305D"/>
    <w:rsid w:val="004F21C4"/>
    <w:rsid w:val="004F685F"/>
    <w:rsid w:val="005566E8"/>
    <w:rsid w:val="00574867"/>
    <w:rsid w:val="005C5CDC"/>
    <w:rsid w:val="005D476C"/>
    <w:rsid w:val="006219F8"/>
    <w:rsid w:val="00665D70"/>
    <w:rsid w:val="00706C16"/>
    <w:rsid w:val="00756841"/>
    <w:rsid w:val="007649AB"/>
    <w:rsid w:val="007833AC"/>
    <w:rsid w:val="007B7171"/>
    <w:rsid w:val="007C3DC2"/>
    <w:rsid w:val="007D5D5B"/>
    <w:rsid w:val="007E5497"/>
    <w:rsid w:val="00806F5F"/>
    <w:rsid w:val="00820278"/>
    <w:rsid w:val="008843B6"/>
    <w:rsid w:val="00891928"/>
    <w:rsid w:val="008A446D"/>
    <w:rsid w:val="008B26AB"/>
    <w:rsid w:val="008F0EA7"/>
    <w:rsid w:val="00923EEF"/>
    <w:rsid w:val="009303FD"/>
    <w:rsid w:val="009419F9"/>
    <w:rsid w:val="00961B09"/>
    <w:rsid w:val="00965334"/>
    <w:rsid w:val="0097093E"/>
    <w:rsid w:val="009C71FA"/>
    <w:rsid w:val="009C72E7"/>
    <w:rsid w:val="00A17F13"/>
    <w:rsid w:val="00A20739"/>
    <w:rsid w:val="00A33C78"/>
    <w:rsid w:val="00AB0ADB"/>
    <w:rsid w:val="00B72CD3"/>
    <w:rsid w:val="00B72FFF"/>
    <w:rsid w:val="00BD7F72"/>
    <w:rsid w:val="00C04FB3"/>
    <w:rsid w:val="00C330EB"/>
    <w:rsid w:val="00C754BE"/>
    <w:rsid w:val="00CB6357"/>
    <w:rsid w:val="00CC1B26"/>
    <w:rsid w:val="00CF4464"/>
    <w:rsid w:val="00D423A2"/>
    <w:rsid w:val="00D63AC2"/>
    <w:rsid w:val="00D7383B"/>
    <w:rsid w:val="00DA231B"/>
    <w:rsid w:val="00E16408"/>
    <w:rsid w:val="00E20894"/>
    <w:rsid w:val="00E245AB"/>
    <w:rsid w:val="00E50AFE"/>
    <w:rsid w:val="00E771DC"/>
    <w:rsid w:val="00E8772A"/>
    <w:rsid w:val="00E90F6B"/>
    <w:rsid w:val="00E92C27"/>
    <w:rsid w:val="00EA0E3D"/>
    <w:rsid w:val="00EE1AA8"/>
    <w:rsid w:val="00F204AB"/>
    <w:rsid w:val="00F31EDC"/>
    <w:rsid w:val="00F5664F"/>
    <w:rsid w:val="00F76AFC"/>
    <w:rsid w:val="00FB5DD1"/>
    <w:rsid w:val="00FC2B5D"/>
    <w:rsid w:val="00FF1449"/>
    <w:rsid w:val="42D7AC78"/>
    <w:rsid w:val="5411EC76"/>
    <w:rsid w:val="6156E8D4"/>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1D383B"/>
    <w:rPr>
      <w:rFonts w:ascii="Geomanist Light" w:hAnsi="Geomanist Light"/>
      <w:lang w:val="es-ES"/>
    </w:rPr>
  </w:style>
  <w:style w:type="paragraph" w:styleId="Appelnotedebasde" w:customStyle="1">
    <w:name w:val="Appel note de bas de..."/>
    <w:basedOn w:val="Normal"/>
    <w:link w:val="Refdenotaalpie"/>
    <w:uiPriority w:val="99"/>
    <w:rsid w:val="001D383B"/>
    <w:pPr>
      <w:spacing w:line="240" w:lineRule="exact"/>
    </w:pPr>
    <w:rPr>
      <w:vertAlign w:val="superscript"/>
    </w:rPr>
  </w:style>
  <w:style w:type="paragraph" w:styleId="NormalWeb">
    <w:name w:val="Normal (Web)"/>
    <w:basedOn w:val="Normal"/>
    <w:link w:val="NormalWebCar"/>
    <w:uiPriority w:val="99"/>
    <w:unhideWhenUsed/>
    <w:rsid w:val="001D383B"/>
    <w:pPr>
      <w:spacing w:before="100" w:beforeAutospacing="1" w:after="100" w:afterAutospacing="1" w:line="240" w:lineRule="auto"/>
    </w:pPr>
    <w:rPr>
      <w:rFonts w:ascii="Times New Roman" w:hAnsi="Times New Roman" w:eastAsia="Times New Roman" w:cs="Times New Roman"/>
      <w:sz w:val="24"/>
      <w:szCs w:val="24"/>
      <w:lang w:eastAsia="es-ES_tradnl"/>
    </w:rPr>
  </w:style>
  <w:style w:type="paragraph" w:styleId="Textoindependiente">
    <w:name w:val="Body Text"/>
    <w:basedOn w:val="Normal"/>
    <w:link w:val="TextoindependienteCar"/>
    <w:uiPriority w:val="1"/>
    <w:qFormat/>
    <w:rsid w:val="001D383B"/>
    <w:pPr>
      <w:widowControl w:val="0"/>
      <w:autoSpaceDE w:val="0"/>
      <w:autoSpaceDN w:val="0"/>
      <w:spacing w:after="0" w:line="240" w:lineRule="auto"/>
    </w:pPr>
    <w:rPr>
      <w:rFonts w:ascii="Arial" w:hAnsi="Arial" w:eastAsia="Arial" w:cs="Arial"/>
      <w:lang w:val="es-ES"/>
    </w:rPr>
  </w:style>
  <w:style w:type="character" w:styleId="TextoindependienteCar" w:customStyle="1">
    <w:name w:val="Texto independiente Car"/>
    <w:basedOn w:val="Fuentedeprrafopredeter"/>
    <w:link w:val="Textoindependiente"/>
    <w:uiPriority w:val="1"/>
    <w:rsid w:val="001D383B"/>
    <w:rPr>
      <w:rFonts w:ascii="Arial" w:hAnsi="Arial" w:eastAsia="Arial" w:cs="Arial"/>
      <w:lang w:val="es-ES"/>
    </w:rPr>
  </w:style>
  <w:style w:type="character" w:styleId="NormalWebCar" w:customStyle="1">
    <w:name w:val="Normal (Web) Car"/>
    <w:link w:val="NormalWeb"/>
    <w:uiPriority w:val="99"/>
    <w:rsid w:val="001D383B"/>
    <w:rPr>
      <w:rFonts w:ascii="Times New Roman" w:hAnsi="Times New Roman" w:eastAsia="Times New Roman" w:cs="Times New Roman"/>
      <w:sz w:val="24"/>
      <w:szCs w:val="24"/>
      <w:lang w:eastAsia="es-ES_tradnl"/>
    </w:rPr>
  </w:style>
  <w:style w:type="character" w:styleId="Hipervnculo1" w:customStyle="1">
    <w:name w:val="Hipervínculo1"/>
    <w:basedOn w:val="Fuentedeprrafopredeter"/>
    <w:uiPriority w:val="99"/>
    <w:unhideWhenUsed/>
    <w:rsid w:val="001D383B"/>
    <w:rPr>
      <w:color w:val="F2F2F2"/>
      <w:u w:val="single"/>
    </w:rPr>
  </w:style>
  <w:style w:type="paragraph" w:styleId="Car1" w:customStyle="1">
    <w:name w:val="Car1"/>
    <w:basedOn w:val="Normal"/>
    <w:next w:val="Textonotapie"/>
    <w:uiPriority w:val="99"/>
    <w:unhideWhenUsed/>
    <w:qFormat/>
    <w:rsid w:val="001D383B"/>
    <w:pPr>
      <w:spacing w:after="0" w:line="240" w:lineRule="auto"/>
    </w:pPr>
    <w:rPr>
      <w:rFonts w:ascii="Calibri" w:hAnsi="Calibri" w:eastAsia="Calibri" w:cs="Times New Roman"/>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7.png" Id="R810cf81325e64423"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relatoria.colombiacompra.gov.co/busqueda/conceptos"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FE42B-D8BF-4444-839D-0A2F5E0DD0CC}"/>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Andreina Cerpa Muñoz</lastModifiedBy>
  <revision>4</revision>
  <lastPrinted>2023-01-10T21:18:00.0000000Z</lastPrinted>
  <dcterms:created xsi:type="dcterms:W3CDTF">2023-08-14T21:59:00.0000000Z</dcterms:created>
  <dcterms:modified xsi:type="dcterms:W3CDTF">2023-08-30T15:40:23.6686998Z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