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96AEA" w:rsidR="006423A7" w:rsidP="006423A7" w:rsidRDefault="006423A7" w14:paraId="018EE969" w14:textId="77777777">
      <w:pPr>
        <w:spacing w:line="276" w:lineRule="auto"/>
        <w:jc w:val="both"/>
        <w:rPr>
          <w:rFonts w:ascii="Arial" w:hAnsi="Arial" w:cs="Arial"/>
          <w:b/>
          <w:color w:val="000000" w:themeColor="text1"/>
          <w:lang w:val="es-ES_tradnl"/>
        </w:rPr>
      </w:pPr>
      <w:bookmarkStart w:name="_Hlk96417464" w:id="0"/>
      <w:bookmarkStart w:name="_Hlk34951122" w:id="1"/>
      <w:r w:rsidRPr="00996AEA">
        <w:rPr>
          <w:rFonts w:ascii="Arial" w:hAnsi="Arial" w:cs="Arial"/>
          <w:b/>
          <w:color w:val="000000" w:themeColor="text1"/>
          <w:lang w:val="es-ES_tradnl"/>
        </w:rPr>
        <w:t xml:space="preserve">MEDIOS ELECTRÓNICOS </w:t>
      </w:r>
      <w:bookmarkStart w:name="_Hlk39666823" w:id="2"/>
      <w:r w:rsidRPr="00996AEA">
        <w:rPr>
          <w:rFonts w:ascii="Arial" w:hAnsi="Arial" w:cs="Arial"/>
          <w:b/>
          <w:color w:val="000000" w:themeColor="text1"/>
        </w:rPr>
        <w:t>–</w:t>
      </w:r>
      <w:bookmarkEnd w:id="2"/>
      <w:r w:rsidRPr="00996AEA">
        <w:rPr>
          <w:rFonts w:ascii="Arial" w:hAnsi="Arial" w:cs="Arial"/>
          <w:b/>
          <w:color w:val="000000" w:themeColor="text1"/>
          <w:lang w:val="es-ES_tradnl"/>
        </w:rPr>
        <w:t xml:space="preserve"> Contratación estatal </w:t>
      </w:r>
      <w:r w:rsidRPr="00996AEA">
        <w:rPr>
          <w:rFonts w:ascii="Arial" w:hAnsi="Arial" w:cs="Arial"/>
          <w:b/>
          <w:color w:val="000000" w:themeColor="text1"/>
        </w:rPr>
        <w:t>–</w:t>
      </w:r>
      <w:r w:rsidRPr="00996AEA">
        <w:rPr>
          <w:rFonts w:ascii="Arial" w:hAnsi="Arial" w:cs="Arial"/>
          <w:b/>
          <w:color w:val="000000" w:themeColor="text1"/>
          <w:lang w:val="es-ES_tradnl"/>
        </w:rPr>
        <w:t xml:space="preserve"> Régimen jurídico</w:t>
      </w:r>
    </w:p>
    <w:p w:rsidRPr="00996AEA" w:rsidR="006423A7" w:rsidP="006423A7" w:rsidRDefault="006423A7" w14:paraId="629D0449" w14:textId="77777777">
      <w:pPr>
        <w:spacing w:line="276" w:lineRule="auto"/>
        <w:jc w:val="both"/>
        <w:rPr>
          <w:rFonts w:ascii="Arial" w:hAnsi="Arial" w:cs="Arial"/>
          <w:color w:val="000000" w:themeColor="text1"/>
          <w:lang w:val="es-ES"/>
        </w:rPr>
      </w:pPr>
      <w:r w:rsidRPr="00996AEA">
        <w:rPr>
          <w:rFonts w:ascii="Arial" w:hAnsi="Arial" w:cs="Arial"/>
          <w:color w:val="000000" w:themeColor="text1"/>
          <w:lang w:val="es-ES"/>
        </w:rPr>
        <w:t xml:space="preserve">[…] la Ley 527 de 1999 establece en el artículo 10º que, </w:t>
      </w:r>
      <w:r>
        <w:rPr>
          <w:rFonts w:ascii="Arial" w:hAnsi="Arial" w:cs="Arial"/>
          <w:color w:val="000000" w:themeColor="text1"/>
          <w:lang w:val="es-ES"/>
        </w:rPr>
        <w:t>“</w:t>
      </w:r>
      <w:r w:rsidRPr="00996AEA">
        <w:rPr>
          <w:rFonts w:ascii="Arial" w:hAnsi="Arial" w:cs="Arial"/>
          <w:color w:val="000000" w:themeColor="text1"/>
          <w:lang w:val="es-ES"/>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Pr>
          <w:rFonts w:ascii="Arial" w:hAnsi="Arial" w:cs="Arial"/>
          <w:color w:val="000000" w:themeColor="text1"/>
          <w:lang w:val="es-ES"/>
        </w:rPr>
        <w:t>”</w:t>
      </w:r>
      <w:r w:rsidRPr="00996AEA">
        <w:rPr>
          <w:rFonts w:ascii="Arial" w:hAnsi="Arial" w:cs="Arial"/>
          <w:color w:val="000000" w:themeColor="text1"/>
          <w:lang w:val="es-ES"/>
        </w:rPr>
        <w:t xml:space="preserve">. De igual manera, define el </w:t>
      </w:r>
      <w:r>
        <w:rPr>
          <w:rFonts w:ascii="Arial" w:hAnsi="Arial" w:cs="Arial"/>
          <w:color w:val="000000" w:themeColor="text1"/>
          <w:lang w:val="es-ES"/>
        </w:rPr>
        <w:t>“</w:t>
      </w:r>
      <w:r w:rsidRPr="00996AEA">
        <w:rPr>
          <w:rFonts w:ascii="Arial" w:hAnsi="Arial" w:cs="Arial"/>
          <w:color w:val="000000" w:themeColor="text1"/>
          <w:lang w:val="es-ES"/>
        </w:rPr>
        <w:t>mensaje de datos</w:t>
      </w:r>
      <w:r>
        <w:rPr>
          <w:rFonts w:ascii="Arial" w:hAnsi="Arial" w:cs="Arial"/>
          <w:color w:val="000000" w:themeColor="text1"/>
          <w:lang w:val="es-ES"/>
        </w:rPr>
        <w:t>”</w:t>
      </w:r>
      <w:r w:rsidRPr="00996AEA">
        <w:rPr>
          <w:rFonts w:ascii="Arial" w:hAnsi="Arial" w:cs="Arial"/>
          <w:color w:val="000000" w:themeColor="text1"/>
          <w:lang w:val="es-ES"/>
        </w:rPr>
        <w:t xml:space="preserve"> como </w:t>
      </w:r>
      <w:r>
        <w:rPr>
          <w:rFonts w:ascii="Arial" w:hAnsi="Arial" w:cs="Arial"/>
          <w:color w:val="000000" w:themeColor="text1"/>
          <w:lang w:val="es-ES"/>
        </w:rPr>
        <w:t>“</w:t>
      </w:r>
      <w:r w:rsidRPr="00996AEA">
        <w:rPr>
          <w:rFonts w:ascii="Arial" w:hAnsi="Arial" w:cs="Arial"/>
          <w:color w:val="000000" w:themeColor="text1"/>
          <w:lang w:val="es-ES"/>
        </w:rPr>
        <w:t>La información generada, enviada, recibida, almacenada o comunicada por medios electrónicos, ópticos o similares, como pudieran ser, entre otros, el Intercambio Electrónico de Datos (EDI), Internet, el correo electrónico, el telegrama, el télex o el telefax</w:t>
      </w:r>
      <w:r>
        <w:rPr>
          <w:rFonts w:ascii="Arial" w:hAnsi="Arial" w:cs="Arial"/>
          <w:color w:val="000000" w:themeColor="text1"/>
          <w:lang w:val="es-ES"/>
        </w:rPr>
        <w:t>”</w:t>
      </w:r>
      <w:r w:rsidRPr="00996AEA">
        <w:rPr>
          <w:rFonts w:ascii="Arial" w:hAnsi="Arial" w:cs="Arial"/>
          <w:color w:val="000000" w:themeColor="text1"/>
          <w:lang w:val="es-ES"/>
        </w:rPr>
        <w:t xml:space="preserve"> y </w:t>
      </w:r>
      <w:r>
        <w:rPr>
          <w:rFonts w:ascii="Arial" w:hAnsi="Arial" w:cs="Arial"/>
          <w:color w:val="000000" w:themeColor="text1"/>
          <w:lang w:val="es-ES"/>
        </w:rPr>
        <w:t>“</w:t>
      </w:r>
      <w:r w:rsidRPr="00996AEA">
        <w:rPr>
          <w:rFonts w:ascii="Arial" w:hAnsi="Arial" w:cs="Arial"/>
          <w:color w:val="000000" w:themeColor="text1"/>
          <w:lang w:val="es-ES"/>
        </w:rPr>
        <w:t>sistema de información</w:t>
      </w:r>
      <w:r>
        <w:rPr>
          <w:rFonts w:ascii="Arial" w:hAnsi="Arial" w:cs="Arial"/>
          <w:color w:val="000000" w:themeColor="text1"/>
          <w:lang w:val="es-ES"/>
        </w:rPr>
        <w:t>”</w:t>
      </w:r>
      <w:r w:rsidRPr="00996AEA">
        <w:rPr>
          <w:rFonts w:ascii="Arial" w:hAnsi="Arial" w:cs="Arial"/>
          <w:color w:val="000000" w:themeColor="text1"/>
          <w:lang w:val="es-ES"/>
        </w:rPr>
        <w:t xml:space="preserve"> como </w:t>
      </w:r>
      <w:r>
        <w:rPr>
          <w:rFonts w:ascii="Arial" w:hAnsi="Arial" w:cs="Arial"/>
          <w:color w:val="000000" w:themeColor="text1"/>
          <w:lang w:val="es-ES"/>
        </w:rPr>
        <w:t>“</w:t>
      </w:r>
      <w:r w:rsidRPr="00996AEA">
        <w:rPr>
          <w:rFonts w:ascii="Arial" w:hAnsi="Arial" w:cs="Arial"/>
          <w:color w:val="000000" w:themeColor="text1"/>
          <w:lang w:val="es-ES"/>
        </w:rPr>
        <w:t>todo sistema utilizado para generar, enviar, recibir, archivar o procesar de alguna otra forma mensajes de datos</w:t>
      </w:r>
      <w:r>
        <w:rPr>
          <w:rFonts w:ascii="Arial" w:hAnsi="Arial" w:cs="Arial"/>
          <w:color w:val="000000" w:themeColor="text1"/>
          <w:lang w:val="es-ES"/>
        </w:rPr>
        <w:t>”</w:t>
      </w:r>
      <w:r w:rsidRPr="00996AEA">
        <w:rPr>
          <w:rFonts w:ascii="Arial" w:hAnsi="Arial" w:cs="Arial"/>
          <w:color w:val="000000" w:themeColor="text1"/>
          <w:lang w:val="es-ES"/>
        </w:rPr>
        <w:t xml:space="preserve">. Bajo este entendido, las aplicaciones web, que posibilitan el envío de mensajes de datos escritos o audiovisuales, como </w:t>
      </w:r>
      <w:r w:rsidRPr="00996AEA">
        <w:rPr>
          <w:rFonts w:ascii="Arial" w:hAnsi="Arial" w:cs="Arial"/>
          <w:i/>
          <w:iCs/>
          <w:color w:val="000000" w:themeColor="text1"/>
          <w:lang w:val="es-ES"/>
        </w:rPr>
        <w:t>Skype</w:t>
      </w:r>
      <w:r w:rsidRPr="00996AEA">
        <w:rPr>
          <w:rFonts w:ascii="Arial" w:hAnsi="Arial" w:cs="Arial"/>
          <w:color w:val="000000" w:themeColor="text1"/>
          <w:lang w:val="es-ES"/>
        </w:rPr>
        <w:t xml:space="preserve">, </w:t>
      </w:r>
      <w:r w:rsidRPr="00996AEA">
        <w:rPr>
          <w:rFonts w:ascii="Arial" w:hAnsi="Arial" w:cs="Arial"/>
          <w:i/>
          <w:iCs/>
          <w:color w:val="000000" w:themeColor="text1"/>
          <w:lang w:val="es-ES"/>
        </w:rPr>
        <w:t>Facetime</w:t>
      </w:r>
      <w:r w:rsidRPr="00996AEA">
        <w:rPr>
          <w:rFonts w:ascii="Arial" w:hAnsi="Arial" w:cs="Arial"/>
          <w:color w:val="000000" w:themeColor="text1"/>
          <w:lang w:val="es-ES"/>
        </w:rPr>
        <w:t xml:space="preserve">, </w:t>
      </w:r>
      <w:r w:rsidRPr="00996AEA">
        <w:rPr>
          <w:rFonts w:ascii="Arial" w:hAnsi="Arial" w:cs="Arial"/>
          <w:i/>
          <w:iCs/>
          <w:color w:val="000000" w:themeColor="text1"/>
          <w:lang w:val="es-ES"/>
        </w:rPr>
        <w:t>Whatsapp</w:t>
      </w:r>
      <w:r w:rsidRPr="00996AEA">
        <w:rPr>
          <w:rFonts w:ascii="Arial" w:hAnsi="Arial" w:cs="Arial"/>
          <w:color w:val="000000" w:themeColor="text1"/>
          <w:lang w:val="es-ES"/>
        </w:rPr>
        <w:t xml:space="preserve">, </w:t>
      </w:r>
      <w:r w:rsidRPr="00996AEA">
        <w:rPr>
          <w:rFonts w:ascii="Arial" w:hAnsi="Arial" w:cs="Arial"/>
          <w:i/>
          <w:iCs/>
          <w:color w:val="000000" w:themeColor="text1"/>
          <w:lang w:val="es-ES"/>
        </w:rPr>
        <w:t>Teams</w:t>
      </w:r>
      <w:r w:rsidRPr="00996AEA">
        <w:rPr>
          <w:rFonts w:ascii="Arial" w:hAnsi="Arial" w:cs="Arial"/>
          <w:color w:val="000000" w:themeColor="text1"/>
          <w:lang w:val="es-ES"/>
        </w:rPr>
        <w:t>, entre otras, constituyen sistemas de información, permitidos por el legislador en las actuaciones administrativas.</w:t>
      </w:r>
    </w:p>
    <w:p w:rsidRPr="00996AEA" w:rsidR="006423A7" w:rsidP="006423A7" w:rsidRDefault="006423A7" w14:paraId="3CBA45A1" w14:textId="77777777">
      <w:pPr>
        <w:spacing w:line="276" w:lineRule="auto"/>
        <w:jc w:val="both"/>
        <w:rPr>
          <w:rFonts w:ascii="Arial" w:hAnsi="Arial" w:cs="Arial"/>
          <w:color w:val="000000" w:themeColor="text1"/>
          <w:lang w:val="es-ES_tradnl"/>
        </w:rPr>
      </w:pPr>
      <w:r w:rsidRPr="00996AEA">
        <w:rPr>
          <w:rFonts w:ascii="Arial" w:hAnsi="Arial" w:cs="Arial"/>
          <w:color w:val="000000" w:themeColor="text1"/>
          <w:lang w:val="es-ES_tradnl"/>
        </w:rPr>
        <w:t>Adicionalmente, la Ley 1150 de 2007 incorporó la posibilidad de utilizar dichos sistemas de información y en general los medios electrónicos en las actuaciones contractuales. Así se infiere del artículo 3, […].</w:t>
      </w:r>
    </w:p>
    <w:p w:rsidRPr="00996AEA" w:rsidR="006423A7" w:rsidP="006423A7" w:rsidRDefault="006423A7" w14:paraId="510E0003" w14:textId="77777777">
      <w:pPr>
        <w:spacing w:line="276" w:lineRule="auto"/>
        <w:jc w:val="both"/>
        <w:rPr>
          <w:rFonts w:ascii="Arial" w:hAnsi="Arial" w:cs="Arial"/>
          <w:color w:val="000000" w:themeColor="text1"/>
          <w:lang w:val="es-ES_tradnl"/>
        </w:rPr>
      </w:pPr>
      <w:r w:rsidRPr="00996AEA">
        <w:rPr>
          <w:rFonts w:ascii="Arial" w:hAnsi="Arial" w:cs="Arial"/>
          <w:color w:val="000000" w:themeColor="text1"/>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rsidRPr="00996AEA" w:rsidR="006423A7" w:rsidP="006423A7" w:rsidRDefault="006423A7" w14:paraId="21235AB8" w14:textId="77777777">
      <w:pPr>
        <w:spacing w:line="276" w:lineRule="auto"/>
        <w:jc w:val="both"/>
        <w:rPr>
          <w:rFonts w:ascii="Arial" w:hAnsi="Arial" w:cs="Arial"/>
          <w:b/>
          <w:color w:val="000000" w:themeColor="text1"/>
          <w:lang w:val="es-ES_tradnl"/>
        </w:rPr>
      </w:pPr>
      <w:r w:rsidRPr="00996AEA">
        <w:rPr>
          <w:rFonts w:ascii="Arial" w:hAnsi="Arial" w:cs="Arial"/>
          <w:b/>
          <w:color w:val="000000" w:themeColor="text1"/>
          <w:lang w:val="es-ES_tradnl"/>
        </w:rPr>
        <w:t xml:space="preserve">MEDIOS ELECTRÓNICOS </w:t>
      </w:r>
      <w:r w:rsidRPr="00996AEA">
        <w:rPr>
          <w:rFonts w:ascii="Arial" w:hAnsi="Arial" w:cs="Arial"/>
          <w:b/>
          <w:color w:val="000000" w:themeColor="text1"/>
        </w:rPr>
        <w:t>–</w:t>
      </w:r>
      <w:r w:rsidRPr="00996AEA">
        <w:rPr>
          <w:rFonts w:ascii="Arial" w:hAnsi="Arial" w:cs="Arial"/>
          <w:b/>
          <w:color w:val="000000" w:themeColor="text1"/>
          <w:lang w:val="es-ES_tradnl"/>
        </w:rPr>
        <w:t xml:space="preserve"> CPACA </w:t>
      </w:r>
      <w:r w:rsidRPr="00996AEA">
        <w:rPr>
          <w:rFonts w:ascii="Arial" w:hAnsi="Arial" w:cs="Arial"/>
          <w:b/>
          <w:color w:val="000000" w:themeColor="text1"/>
        </w:rPr>
        <w:t>–</w:t>
      </w:r>
      <w:r w:rsidRPr="00996AEA">
        <w:rPr>
          <w:rFonts w:ascii="Arial" w:hAnsi="Arial" w:cs="Arial"/>
          <w:b/>
          <w:color w:val="000000" w:themeColor="text1"/>
          <w:lang w:val="es-ES_tradnl"/>
        </w:rPr>
        <w:t xml:space="preserve"> Posibilidad</w:t>
      </w:r>
    </w:p>
    <w:p w:rsidRPr="00996AEA" w:rsidR="006423A7" w:rsidP="006423A7" w:rsidRDefault="006423A7" w14:paraId="645C0056" w14:textId="77777777">
      <w:pPr>
        <w:spacing w:line="276" w:lineRule="auto"/>
        <w:jc w:val="both"/>
        <w:rPr>
          <w:rFonts w:ascii="Arial" w:hAnsi="Arial" w:cs="Arial"/>
          <w:color w:val="000000" w:themeColor="text1"/>
          <w:lang w:val="es-ES_tradnl"/>
        </w:rPr>
      </w:pPr>
      <w:r w:rsidRPr="00996AEA">
        <w:rPr>
          <w:rFonts w:ascii="Arial" w:hAnsi="Arial" w:cs="Arial"/>
          <w:color w:val="000000" w:themeColor="text1"/>
          <w:lang w:val="es-ES_tradnl"/>
        </w:rPr>
        <w:t xml:space="preserve">La Ley 1437 de 2011 continúa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w:t>
      </w:r>
      <w:r>
        <w:rPr>
          <w:rFonts w:ascii="Arial" w:hAnsi="Arial" w:cs="Arial"/>
          <w:color w:val="000000" w:themeColor="text1"/>
          <w:lang w:val="es-ES_tradnl"/>
        </w:rPr>
        <w:t>“</w:t>
      </w:r>
      <w:r w:rsidRPr="00996AEA">
        <w:rPr>
          <w:rFonts w:ascii="Arial" w:hAnsi="Arial" w:cs="Arial"/>
          <w:color w:val="000000" w:themeColor="text1"/>
          <w:lang w:val="es-ES_tradnl"/>
        </w:rPr>
        <w:t>por cualquier medio tecnológico o electrónico disponible en la entidad, aún por fuera de las horas de atención al público</w:t>
      </w:r>
      <w:r>
        <w:rPr>
          <w:rFonts w:ascii="Arial" w:hAnsi="Arial" w:cs="Arial"/>
          <w:color w:val="000000" w:themeColor="text1"/>
          <w:lang w:val="es-ES_tradnl"/>
        </w:rPr>
        <w:t>”</w:t>
      </w:r>
      <w:r w:rsidRPr="00996AEA">
        <w:rPr>
          <w:rFonts w:ascii="Arial" w:hAnsi="Arial" w:cs="Arial"/>
          <w:color w:val="000000" w:themeColor="text1"/>
          <w:lang w:val="es-ES_tradnl"/>
        </w:rPr>
        <w:t xml:space="preserve">; derecho al que le es correlativo el deber en cabeza de las autoridades de </w:t>
      </w:r>
      <w:r>
        <w:rPr>
          <w:rFonts w:ascii="Arial" w:hAnsi="Arial" w:cs="Arial"/>
          <w:color w:val="000000" w:themeColor="text1"/>
          <w:lang w:val="es-ES_tradnl"/>
        </w:rPr>
        <w:t>“</w:t>
      </w:r>
      <w:r w:rsidRPr="00996AEA">
        <w:rPr>
          <w:rFonts w:ascii="Arial" w:hAnsi="Arial" w:cs="Arial"/>
          <w:color w:val="000000" w:themeColor="text1"/>
          <w:lang w:val="es-ES_tradnl"/>
        </w:rPr>
        <w:t>Tramitar las peticiones que lleguen vía fax o por medios electrónicos</w:t>
      </w:r>
      <w:r>
        <w:rPr>
          <w:rFonts w:ascii="Arial" w:hAnsi="Arial" w:cs="Arial"/>
          <w:color w:val="000000" w:themeColor="text1"/>
          <w:lang w:val="es-ES_tradnl"/>
        </w:rPr>
        <w:t>”</w:t>
      </w:r>
      <w:r w:rsidRPr="00996AEA">
        <w:rPr>
          <w:rFonts w:ascii="Arial" w:hAnsi="Arial" w:cs="Arial"/>
          <w:color w:val="000000" w:themeColor="text1"/>
          <w:lang w:val="es-ES_tradnl"/>
        </w:rPr>
        <w:t xml:space="preserve">, previsto en el artículo 7º, numeral 6. Así mismo, el </w:t>
      </w:r>
      <w:r w:rsidRPr="00996AEA">
        <w:rPr>
          <w:rFonts w:ascii="Arial" w:hAnsi="Arial" w:cs="Arial"/>
          <w:color w:val="000000" w:themeColor="text1"/>
          <w:lang w:val="es-ES_tradnl"/>
        </w:rPr>
        <w:t xml:space="preserve">artículo 35 establece que </w:t>
      </w:r>
      <w:r>
        <w:rPr>
          <w:rFonts w:ascii="Arial" w:hAnsi="Arial" w:cs="Arial"/>
          <w:color w:val="000000" w:themeColor="text1"/>
          <w:lang w:val="es-ES_tradnl"/>
        </w:rPr>
        <w:t>“</w:t>
      </w:r>
      <w:r w:rsidRPr="00996AEA">
        <w:rPr>
          <w:rFonts w:ascii="Arial" w:hAnsi="Arial" w:cs="Arial"/>
          <w:color w:val="000000" w:themeColor="text1"/>
          <w:lang w:val="es-ES_tradnl"/>
        </w:rPr>
        <w:t>Los procedimientos administrativos se adelantarán por escrito, verbalmente, o por medios electrónicos de conformidad con lo dispuesto en este Código o la ley</w:t>
      </w:r>
      <w:r>
        <w:rPr>
          <w:rFonts w:ascii="Arial" w:hAnsi="Arial" w:cs="Arial"/>
          <w:color w:val="000000" w:themeColor="text1"/>
          <w:lang w:val="es-ES_tradnl"/>
        </w:rPr>
        <w:t>”</w:t>
      </w:r>
      <w:r w:rsidRPr="00996AEA">
        <w:rPr>
          <w:rFonts w:ascii="Arial" w:hAnsi="Arial" w:cs="Arial"/>
          <w:color w:val="000000" w:themeColor="text1"/>
          <w:lang w:val="es-ES_tradnl"/>
        </w:rPr>
        <w:t>;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rsidRPr="00996AEA" w:rsidR="006423A7" w:rsidP="006423A7" w:rsidRDefault="006423A7" w14:paraId="3885C5A0" w14:textId="77777777">
      <w:pPr>
        <w:spacing w:line="276" w:lineRule="auto"/>
        <w:jc w:val="both"/>
        <w:rPr>
          <w:rFonts w:ascii="Arial" w:hAnsi="Arial" w:cs="Arial"/>
          <w:color w:val="000000" w:themeColor="text1"/>
          <w:lang w:val="es-ES_tradnl"/>
        </w:rPr>
      </w:pPr>
    </w:p>
    <w:p w:rsidRPr="00996AEA" w:rsidR="006423A7" w:rsidP="006423A7" w:rsidRDefault="006423A7" w14:paraId="7EFB518E" w14:textId="77777777">
      <w:pPr>
        <w:spacing w:line="276" w:lineRule="auto"/>
        <w:jc w:val="both"/>
        <w:rPr>
          <w:rFonts w:ascii="Arial" w:hAnsi="Arial" w:cs="Arial"/>
          <w:b/>
          <w:color w:val="000000" w:themeColor="text1"/>
          <w:lang w:val="es-ES_tradnl"/>
        </w:rPr>
      </w:pPr>
      <w:r w:rsidRPr="00996AEA">
        <w:rPr>
          <w:rFonts w:ascii="Arial" w:hAnsi="Arial" w:cs="Arial"/>
          <w:b/>
          <w:color w:val="000000" w:themeColor="text1"/>
          <w:lang w:val="es-ES_tradnl"/>
        </w:rPr>
        <w:t xml:space="preserve">FIRMAS </w:t>
      </w:r>
      <w:r w:rsidRPr="00996AEA">
        <w:rPr>
          <w:rFonts w:ascii="Arial" w:hAnsi="Arial" w:cs="Arial"/>
          <w:b/>
          <w:color w:val="000000" w:themeColor="text1"/>
        </w:rPr>
        <w:t>–</w:t>
      </w:r>
      <w:r w:rsidRPr="00996AEA">
        <w:rPr>
          <w:rFonts w:ascii="Arial" w:hAnsi="Arial" w:cs="Arial"/>
          <w:b/>
          <w:color w:val="000000" w:themeColor="text1"/>
          <w:lang w:val="es-ES_tradnl"/>
        </w:rPr>
        <w:t xml:space="preserve"> Firma electrónica </w:t>
      </w:r>
      <w:r w:rsidRPr="00996AEA">
        <w:rPr>
          <w:rFonts w:ascii="Arial" w:hAnsi="Arial" w:cs="Arial"/>
          <w:b/>
          <w:color w:val="000000" w:themeColor="text1"/>
        </w:rPr>
        <w:t>–</w:t>
      </w:r>
      <w:r w:rsidRPr="00996AEA">
        <w:rPr>
          <w:rFonts w:ascii="Arial" w:hAnsi="Arial" w:cs="Arial"/>
          <w:b/>
          <w:color w:val="000000" w:themeColor="text1"/>
          <w:lang w:val="es-ES_tradnl"/>
        </w:rPr>
        <w:t xml:space="preserve"> Firma digital </w:t>
      </w:r>
      <w:r w:rsidRPr="00996AEA">
        <w:rPr>
          <w:rFonts w:ascii="Arial" w:hAnsi="Arial" w:cs="Arial"/>
          <w:b/>
          <w:color w:val="000000" w:themeColor="text1"/>
        </w:rPr>
        <w:t>– Concepto</w:t>
      </w:r>
    </w:p>
    <w:p w:rsidRPr="00996AEA" w:rsidR="006423A7" w:rsidP="006423A7" w:rsidRDefault="006423A7" w14:paraId="0A74AAE7" w14:textId="77777777">
      <w:pPr>
        <w:spacing w:line="276" w:lineRule="auto"/>
        <w:jc w:val="both"/>
        <w:rPr>
          <w:rFonts w:ascii="Arial" w:hAnsi="Arial" w:cs="Arial"/>
          <w:color w:val="000000" w:themeColor="text1"/>
          <w:lang w:val="es-ES_tradnl"/>
        </w:rPr>
      </w:pPr>
      <w:r w:rsidRPr="00996AEA">
        <w:rPr>
          <w:rFonts w:ascii="Arial" w:hAnsi="Arial" w:cs="Arial"/>
          <w:color w:val="000000" w:themeColor="text1"/>
          <w:lang w:val="es-ES_tradnl"/>
        </w:rPr>
        <w:t xml:space="preserve">El artículo 836 del Código de Comercio define la firma como </w:t>
      </w:r>
      <w:r>
        <w:rPr>
          <w:rFonts w:ascii="Arial" w:hAnsi="Arial" w:cs="Arial"/>
          <w:color w:val="000000" w:themeColor="text1"/>
          <w:lang w:val="es-ES_tradnl"/>
        </w:rPr>
        <w:t>“</w:t>
      </w:r>
      <w:r w:rsidRPr="00996AEA">
        <w:rPr>
          <w:rFonts w:ascii="Arial" w:hAnsi="Arial" w:cs="Arial"/>
          <w:color w:val="000000" w:themeColor="text1"/>
          <w:lang w:val="es-ES_tradnl"/>
        </w:rPr>
        <w:t>la expresión del nombre del suscriptor o de alguno de los elementos que la integren o de un signo o símbolo empleado como medio de identificación personal</w:t>
      </w:r>
      <w:r>
        <w:rPr>
          <w:rFonts w:ascii="Arial" w:hAnsi="Arial" w:cs="Arial"/>
          <w:color w:val="000000" w:themeColor="text1"/>
          <w:lang w:val="es-ES_tradnl"/>
        </w:rPr>
        <w:t>”</w:t>
      </w:r>
      <w:r w:rsidRPr="00996AEA">
        <w:rPr>
          <w:rFonts w:ascii="Arial" w:hAnsi="Arial" w:cs="Arial"/>
          <w:color w:val="000000" w:themeColor="text1"/>
          <w:lang w:val="es-ES_tradnl"/>
        </w:rPr>
        <w:t xml:space="preserve">, es decir, la forma por la cual se identifica a una persona ya sea con el nombre del suscriptor, un símbolo o signo.  Dentro del concepto general, la </w:t>
      </w:r>
      <w:r w:rsidRPr="00996AEA">
        <w:rPr>
          <w:rFonts w:ascii="Arial" w:hAnsi="Arial" w:cs="Arial"/>
          <w:i/>
          <w:iCs/>
          <w:color w:val="000000" w:themeColor="text1"/>
          <w:lang w:val="es-ES_tradnl"/>
        </w:rPr>
        <w:t>firma manuscrita</w:t>
      </w:r>
      <w:r w:rsidRPr="00996AEA">
        <w:rPr>
          <w:rFonts w:ascii="Arial" w:hAnsi="Arial" w:cs="Arial"/>
          <w:color w:val="000000" w:themeColor="text1"/>
          <w:lang w:val="es-ES_tradnl"/>
        </w:rPr>
        <w:t xml:space="preserve"> </w:t>
      </w:r>
      <w:r w:rsidRPr="00996AEA">
        <w:rPr>
          <w:rFonts w:ascii="Arial" w:hAnsi="Arial" w:cs="Arial"/>
          <w:color w:val="000000" w:themeColor="text1"/>
        </w:rPr>
        <w:t xml:space="preserve">es </w:t>
      </w:r>
      <w:r>
        <w:rPr>
          <w:rFonts w:ascii="Arial" w:hAnsi="Arial" w:cs="Arial"/>
          <w:color w:val="000000" w:themeColor="text1"/>
        </w:rPr>
        <w:t>“</w:t>
      </w:r>
      <w:r w:rsidRPr="00996AEA">
        <w:rPr>
          <w:rFonts w:ascii="Arial" w:hAnsi="Arial" w:cs="Arial"/>
          <w:color w:val="000000" w:themeColor="text1"/>
        </w:rPr>
        <w:t>[…] un rasgo o signo impuesto del puño y letra de una persona, con el cual, de forma general y reiterada, se compromete con el contenido de los documentos que la consignan, o da fe de que lo allí registrado obedece a la realidad</w:t>
      </w:r>
      <w:r>
        <w:rPr>
          <w:rFonts w:ascii="Arial" w:hAnsi="Arial" w:cs="Arial"/>
          <w:color w:val="000000" w:themeColor="text1"/>
        </w:rPr>
        <w:t>”</w:t>
      </w:r>
      <w:r w:rsidRPr="00996AEA">
        <w:rPr>
          <w:rFonts w:ascii="Arial" w:hAnsi="Arial" w:cs="Arial"/>
          <w:color w:val="000000" w:themeColor="text1"/>
        </w:rPr>
        <w:t xml:space="preserve">. </w:t>
      </w:r>
    </w:p>
    <w:p w:rsidRPr="00996AEA" w:rsidR="006423A7" w:rsidP="006423A7" w:rsidRDefault="006423A7" w14:paraId="38CD0C34" w14:textId="77777777">
      <w:pPr>
        <w:spacing w:line="276" w:lineRule="auto"/>
        <w:jc w:val="both"/>
        <w:rPr>
          <w:rFonts w:ascii="Arial" w:hAnsi="Arial" w:cs="Arial"/>
          <w:color w:val="000000" w:themeColor="text1"/>
        </w:rPr>
      </w:pPr>
      <w:r w:rsidRPr="00996AEA">
        <w:rPr>
          <w:rFonts w:ascii="Arial" w:hAnsi="Arial" w:cs="Arial"/>
          <w:color w:val="000000" w:themeColor="text1"/>
        </w:rPr>
        <w:t xml:space="preserve">Por otra parte, el artículo 1 del Decreto 2364 de 2012 define la firma electrónica como </w:t>
      </w:r>
      <w:r>
        <w:rPr>
          <w:rFonts w:ascii="Arial" w:hAnsi="Arial" w:cs="Arial"/>
          <w:color w:val="000000" w:themeColor="text1"/>
        </w:rPr>
        <w:t>“</w:t>
      </w:r>
      <w:r w:rsidRPr="00996AEA">
        <w:rPr>
          <w:rFonts w:ascii="Arial" w:hAnsi="Arial" w:cs="Arial"/>
          <w:color w:val="000000" w:themeColor="text1"/>
        </w:rPr>
        <w:t>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Pr>
          <w:rFonts w:ascii="Arial" w:hAnsi="Arial" w:cs="Arial"/>
          <w:color w:val="000000" w:themeColor="text1"/>
        </w:rPr>
        <w:t>”</w:t>
      </w:r>
      <w:r w:rsidRPr="00996AEA">
        <w:rPr>
          <w:rFonts w:ascii="Arial" w:hAnsi="Arial" w:cs="Arial"/>
          <w:color w:val="000000" w:themeColor="text1"/>
        </w:rPr>
        <w:t xml:space="preserv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rsidRPr="00996AEA" w:rsidR="006423A7" w:rsidP="006423A7" w:rsidRDefault="006423A7" w14:paraId="2D59E7C8" w14:textId="77777777">
      <w:pPr>
        <w:spacing w:line="276" w:lineRule="auto"/>
        <w:jc w:val="both"/>
        <w:rPr>
          <w:rFonts w:ascii="Arial" w:hAnsi="Arial" w:cs="Arial"/>
          <w:color w:val="000000" w:themeColor="text1"/>
        </w:rPr>
      </w:pPr>
      <w:r w:rsidRPr="00996AEA">
        <w:rPr>
          <w:rFonts w:ascii="Arial" w:hAnsi="Arial" w:cs="Arial"/>
          <w:color w:val="000000" w:themeColor="text1"/>
        </w:rPr>
        <w:t xml:space="preserve">Adicionalmente, el artículo 2 de la Ley 527 de 1999 define la </w:t>
      </w:r>
      <w:r w:rsidRPr="00996AEA">
        <w:rPr>
          <w:rFonts w:ascii="Arial" w:hAnsi="Arial" w:cs="Arial"/>
          <w:i/>
          <w:iCs/>
          <w:color w:val="000000" w:themeColor="text1"/>
        </w:rPr>
        <w:t>firma digital</w:t>
      </w:r>
      <w:r w:rsidRPr="00996AEA">
        <w:rPr>
          <w:rFonts w:ascii="Arial" w:hAnsi="Arial" w:cs="Arial"/>
          <w:color w:val="000000" w:themeColor="text1"/>
        </w:rPr>
        <w:t xml:space="preserve"> como un valor numérico que se adhiere a un mensaje de datos y que, utilizando un procedimiento matemático conocido, vinculado a la clave del iniciador y al texto del </w:t>
      </w:r>
      <w:r w:rsidRPr="00996AEA">
        <w:rPr>
          <w:rFonts w:ascii="Arial" w:hAnsi="Arial" w:cs="Arial"/>
          <w:color w:val="000000" w:themeColor="text1"/>
        </w:rPr>
        <w:t xml:space="preserve">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rsidRPr="00996AEA" w:rsidR="006423A7" w:rsidP="006423A7" w:rsidRDefault="006423A7" w14:paraId="6D1DA2AB" w14:textId="77777777">
      <w:pPr>
        <w:tabs>
          <w:tab w:val="left" w:pos="3374"/>
        </w:tabs>
        <w:spacing w:line="276" w:lineRule="auto"/>
        <w:rPr>
          <w:rFonts w:ascii="Arial" w:hAnsi="Arial" w:eastAsia="Calibri" w:cs="Arial"/>
        </w:rPr>
      </w:pPr>
    </w:p>
    <w:p w:rsidRPr="008A6B08" w:rsidR="006423A7" w:rsidP="006423A7" w:rsidRDefault="006423A7" w14:paraId="24F6711C" w14:textId="77777777">
      <w:pPr>
        <w:tabs>
          <w:tab w:val="left" w:pos="3374"/>
        </w:tabs>
        <w:spacing w:line="276" w:lineRule="auto"/>
        <w:rPr>
          <w:rFonts w:ascii="Arial" w:hAnsi="Arial" w:eastAsia="Calibri" w:cs="Arial"/>
        </w:rPr>
      </w:pPr>
    </w:p>
    <w:p w:rsidRPr="008A6B08" w:rsidR="006423A7" w:rsidP="006423A7" w:rsidRDefault="006423A7" w14:paraId="1D5E03BC" w14:textId="77777777">
      <w:pPr>
        <w:tabs>
          <w:tab w:val="left" w:pos="3374"/>
        </w:tabs>
        <w:spacing w:line="276" w:lineRule="auto"/>
        <w:rPr>
          <w:rFonts w:ascii="Arial" w:hAnsi="Arial" w:eastAsia="Calibri" w:cs="Arial"/>
        </w:rPr>
      </w:pPr>
    </w:p>
    <w:p w:rsidRPr="008A6B08" w:rsidR="006423A7" w:rsidP="006423A7" w:rsidRDefault="006423A7" w14:paraId="3AC1FE7E" w14:textId="77777777">
      <w:pPr>
        <w:tabs>
          <w:tab w:val="left" w:pos="3374"/>
        </w:tabs>
        <w:spacing w:line="276" w:lineRule="auto"/>
        <w:rPr>
          <w:rFonts w:ascii="Arial" w:hAnsi="Arial" w:eastAsia="Calibri" w:cs="Arial"/>
        </w:rPr>
      </w:pPr>
    </w:p>
    <w:p w:rsidRPr="008A6B08" w:rsidR="006423A7" w:rsidP="006423A7" w:rsidRDefault="006423A7" w14:paraId="3F4CEE48" w14:textId="77777777">
      <w:pPr>
        <w:tabs>
          <w:tab w:val="left" w:pos="3374"/>
        </w:tabs>
        <w:spacing w:line="276" w:lineRule="auto"/>
        <w:rPr>
          <w:rFonts w:ascii="Arial" w:hAnsi="Arial" w:eastAsia="Calibri" w:cs="Arial"/>
        </w:rPr>
      </w:pPr>
    </w:p>
    <w:p w:rsidRPr="008A6B08" w:rsidR="006423A7" w:rsidP="006423A7" w:rsidRDefault="006423A7" w14:paraId="055E1714" w14:textId="77777777">
      <w:pPr>
        <w:spacing w:line="276" w:lineRule="auto"/>
        <w:jc w:val="both"/>
        <w:rPr>
          <w:rFonts w:ascii="Arial" w:hAnsi="Arial" w:eastAsia="Calibri" w:cs="Arial"/>
          <w:b/>
          <w:bCs/>
          <w:color w:val="000000" w:themeColor="text1"/>
          <w:lang w:val="es-ES_tradnl"/>
        </w:rPr>
      </w:pPr>
    </w:p>
    <w:p w:rsidRPr="008A6B08" w:rsidR="006423A7" w:rsidP="006423A7" w:rsidRDefault="006423A7" w14:paraId="05A8025B" w14:textId="77777777">
      <w:pPr>
        <w:spacing w:line="276" w:lineRule="auto"/>
        <w:jc w:val="both"/>
        <w:rPr>
          <w:rFonts w:ascii="Arial" w:hAnsi="Arial" w:eastAsia="Calibri" w:cs="Arial"/>
          <w:lang w:val="es-ES_tradnl"/>
        </w:rPr>
      </w:pPr>
    </w:p>
    <w:p w:rsidR="006423A7" w:rsidP="006423A7" w:rsidRDefault="006423A7" w14:paraId="196F175B" w14:textId="77777777">
      <w:pPr>
        <w:spacing w:line="276" w:lineRule="auto"/>
        <w:rPr>
          <w:rFonts w:ascii="Arial" w:hAnsi="Arial" w:eastAsia="Geomanist Light" w:cs="Arial"/>
          <w:color w:val="000000" w:themeColor="text1"/>
          <w:lang w:val="es-MX"/>
        </w:rPr>
      </w:pPr>
    </w:p>
    <w:p w:rsidR="00240C3E" w:rsidP="006423A7" w:rsidRDefault="00240C3E" w14:paraId="4CF58AD2" w14:textId="77777777">
      <w:pPr>
        <w:spacing w:line="276" w:lineRule="auto"/>
        <w:rPr>
          <w:rFonts w:ascii="Arial" w:hAnsi="Arial" w:eastAsia="Geomanist Light" w:cs="Arial"/>
          <w:color w:val="000000" w:themeColor="text1"/>
          <w:lang w:val="es-MX"/>
        </w:rPr>
      </w:pPr>
    </w:p>
    <w:p w:rsidR="00240C3E" w:rsidP="006423A7" w:rsidRDefault="00240C3E" w14:paraId="3808A767" w14:textId="77777777">
      <w:pPr>
        <w:spacing w:line="276" w:lineRule="auto"/>
        <w:rPr>
          <w:rFonts w:ascii="Arial" w:hAnsi="Arial" w:eastAsia="Geomanist Light" w:cs="Arial"/>
          <w:color w:val="000000" w:themeColor="text1"/>
          <w:lang w:val="es-MX"/>
        </w:rPr>
      </w:pPr>
    </w:p>
    <w:p w:rsidR="00240C3E" w:rsidP="006423A7" w:rsidRDefault="00240C3E" w14:paraId="20FBFFA8" w14:textId="77777777">
      <w:pPr>
        <w:spacing w:line="276" w:lineRule="auto"/>
        <w:rPr>
          <w:rFonts w:ascii="Arial" w:hAnsi="Arial" w:eastAsia="Geomanist Light" w:cs="Arial"/>
          <w:color w:val="000000" w:themeColor="text1"/>
          <w:lang w:val="es-MX"/>
        </w:rPr>
      </w:pPr>
    </w:p>
    <w:p w:rsidR="00240C3E" w:rsidP="006423A7" w:rsidRDefault="00240C3E" w14:paraId="4A7A35CD" w14:textId="77777777">
      <w:pPr>
        <w:spacing w:line="276" w:lineRule="auto"/>
        <w:rPr>
          <w:rFonts w:ascii="Arial" w:hAnsi="Arial" w:eastAsia="Geomanist Light" w:cs="Arial"/>
          <w:color w:val="000000" w:themeColor="text1"/>
          <w:lang w:val="es-MX"/>
        </w:rPr>
      </w:pPr>
    </w:p>
    <w:p w:rsidR="00240C3E" w:rsidP="006423A7" w:rsidRDefault="00240C3E" w14:paraId="314B631D" w14:textId="77777777">
      <w:pPr>
        <w:spacing w:line="276" w:lineRule="auto"/>
        <w:rPr>
          <w:rFonts w:ascii="Arial" w:hAnsi="Arial" w:eastAsia="Geomanist Light" w:cs="Arial"/>
          <w:color w:val="000000" w:themeColor="text1"/>
          <w:lang w:val="es-MX"/>
        </w:rPr>
      </w:pPr>
    </w:p>
    <w:p w:rsidR="00240C3E" w:rsidP="006423A7" w:rsidRDefault="00240C3E" w14:paraId="344AF95D" w14:textId="77777777">
      <w:pPr>
        <w:spacing w:line="276" w:lineRule="auto"/>
        <w:rPr>
          <w:rFonts w:ascii="Arial" w:hAnsi="Arial" w:eastAsia="Geomanist Light" w:cs="Arial"/>
          <w:color w:val="000000" w:themeColor="text1"/>
          <w:lang w:val="es-MX"/>
        </w:rPr>
      </w:pPr>
    </w:p>
    <w:p w:rsidR="00240C3E" w:rsidP="006423A7" w:rsidRDefault="00240C3E" w14:paraId="1A09F899" w14:textId="77777777">
      <w:pPr>
        <w:spacing w:line="276" w:lineRule="auto"/>
        <w:rPr>
          <w:rFonts w:ascii="Arial" w:hAnsi="Arial" w:eastAsia="Geomanist Light" w:cs="Arial"/>
          <w:color w:val="000000" w:themeColor="text1"/>
          <w:lang w:val="es-MX"/>
        </w:rPr>
      </w:pPr>
    </w:p>
    <w:p w:rsidR="00240C3E" w:rsidP="006423A7" w:rsidRDefault="00240C3E" w14:paraId="180E77E6" w14:textId="77777777">
      <w:pPr>
        <w:spacing w:line="276" w:lineRule="auto"/>
        <w:rPr>
          <w:rFonts w:ascii="Arial" w:hAnsi="Arial" w:eastAsia="Geomanist Light" w:cs="Arial"/>
          <w:color w:val="000000" w:themeColor="text1"/>
          <w:lang w:val="es-MX"/>
        </w:rPr>
      </w:pPr>
    </w:p>
    <w:p w:rsidR="00240C3E" w:rsidP="006423A7" w:rsidRDefault="00240C3E" w14:paraId="56C60732" w14:textId="77777777">
      <w:pPr>
        <w:spacing w:line="276" w:lineRule="auto"/>
        <w:rPr>
          <w:rFonts w:ascii="Arial" w:hAnsi="Arial" w:eastAsia="Geomanist Light" w:cs="Arial"/>
          <w:color w:val="000000" w:themeColor="text1"/>
          <w:lang w:val="es-MX"/>
        </w:rPr>
      </w:pPr>
    </w:p>
    <w:p w:rsidR="00240C3E" w:rsidP="006423A7" w:rsidRDefault="00240C3E" w14:paraId="0740CB58" w14:textId="77777777">
      <w:pPr>
        <w:spacing w:line="276" w:lineRule="auto"/>
        <w:rPr>
          <w:rFonts w:ascii="Arial" w:hAnsi="Arial" w:eastAsia="Geomanist Light" w:cs="Arial"/>
          <w:color w:val="000000" w:themeColor="text1"/>
          <w:lang w:val="es-MX"/>
        </w:rPr>
      </w:pPr>
    </w:p>
    <w:p w:rsidR="00240C3E" w:rsidP="006423A7" w:rsidRDefault="00240C3E" w14:paraId="49E9EA95" w14:textId="77777777">
      <w:pPr>
        <w:spacing w:line="276" w:lineRule="auto"/>
        <w:rPr>
          <w:rFonts w:ascii="Arial" w:hAnsi="Arial" w:eastAsia="Geomanist Light" w:cs="Arial"/>
          <w:color w:val="000000" w:themeColor="text1"/>
          <w:lang w:val="es-MX"/>
        </w:rPr>
      </w:pPr>
    </w:p>
    <w:p w:rsidR="00240C3E" w:rsidP="006423A7" w:rsidRDefault="00240C3E" w14:paraId="01C6FB1D" w14:textId="77777777">
      <w:pPr>
        <w:spacing w:line="276" w:lineRule="auto"/>
        <w:rPr>
          <w:rFonts w:ascii="Arial" w:hAnsi="Arial" w:eastAsia="Geomanist Light" w:cs="Arial"/>
          <w:color w:val="000000" w:themeColor="text1"/>
          <w:lang w:val="es-MX"/>
        </w:rPr>
      </w:pPr>
    </w:p>
    <w:p w:rsidR="00240C3E" w:rsidP="006423A7" w:rsidRDefault="00240C3E" w14:paraId="079C8A45" w14:textId="77777777">
      <w:pPr>
        <w:spacing w:line="276" w:lineRule="auto"/>
        <w:rPr>
          <w:rFonts w:ascii="Arial" w:hAnsi="Arial" w:eastAsia="Geomanist Light" w:cs="Arial"/>
          <w:color w:val="000000" w:themeColor="text1"/>
          <w:lang w:val="es-MX"/>
        </w:rPr>
      </w:pPr>
    </w:p>
    <w:p w:rsidR="00240C3E" w:rsidP="006423A7" w:rsidRDefault="00240C3E" w14:paraId="6161AFAC" w14:textId="77777777">
      <w:pPr>
        <w:spacing w:line="276" w:lineRule="auto"/>
        <w:rPr>
          <w:rFonts w:ascii="Arial" w:hAnsi="Arial" w:eastAsia="Geomanist Light" w:cs="Arial"/>
          <w:color w:val="000000" w:themeColor="text1"/>
          <w:lang w:val="es-MX"/>
        </w:rPr>
      </w:pPr>
    </w:p>
    <w:p w:rsidR="00240C3E" w:rsidP="006423A7" w:rsidRDefault="00240C3E" w14:paraId="5C617F4F" w14:textId="77777777">
      <w:pPr>
        <w:spacing w:line="276" w:lineRule="auto"/>
        <w:rPr>
          <w:rFonts w:ascii="Arial" w:hAnsi="Arial" w:eastAsia="Geomanist Light" w:cs="Arial"/>
          <w:color w:val="000000" w:themeColor="text1"/>
          <w:lang w:val="es-MX"/>
        </w:rPr>
      </w:pPr>
    </w:p>
    <w:p w:rsidR="00240C3E" w:rsidP="006423A7" w:rsidRDefault="00240C3E" w14:paraId="6474852E" w14:textId="77777777">
      <w:pPr>
        <w:spacing w:line="276" w:lineRule="auto"/>
        <w:rPr>
          <w:rFonts w:ascii="Arial" w:hAnsi="Arial" w:eastAsia="Geomanist Light" w:cs="Arial"/>
          <w:color w:val="000000" w:themeColor="text1"/>
          <w:lang w:val="es-MX"/>
        </w:rPr>
      </w:pPr>
    </w:p>
    <w:p w:rsidR="00240C3E" w:rsidP="006423A7" w:rsidRDefault="00240C3E" w14:paraId="0085A205" w14:textId="77777777">
      <w:pPr>
        <w:spacing w:line="276" w:lineRule="auto"/>
        <w:rPr>
          <w:rFonts w:ascii="Arial" w:hAnsi="Arial" w:eastAsia="Geomanist Light" w:cs="Arial"/>
          <w:color w:val="000000" w:themeColor="text1"/>
          <w:lang w:val="es-MX"/>
        </w:rPr>
      </w:pPr>
    </w:p>
    <w:p w:rsidR="00240C3E" w:rsidP="006423A7" w:rsidRDefault="00240C3E" w14:paraId="5C3A1770" w14:textId="77777777">
      <w:pPr>
        <w:spacing w:line="276" w:lineRule="auto"/>
        <w:rPr>
          <w:rFonts w:ascii="Arial" w:hAnsi="Arial" w:eastAsia="Geomanist Light" w:cs="Arial"/>
          <w:color w:val="000000" w:themeColor="text1"/>
          <w:lang w:val="es-MX"/>
        </w:rPr>
      </w:pPr>
    </w:p>
    <w:p w:rsidR="00240C3E" w:rsidP="006423A7" w:rsidRDefault="00240C3E" w14:paraId="518EF9EB" w14:textId="77777777">
      <w:pPr>
        <w:spacing w:line="276" w:lineRule="auto"/>
        <w:rPr>
          <w:rFonts w:ascii="Arial" w:hAnsi="Arial" w:eastAsia="Geomanist Light" w:cs="Arial"/>
          <w:color w:val="000000" w:themeColor="text1"/>
          <w:lang w:val="es-MX"/>
        </w:rPr>
      </w:pPr>
    </w:p>
    <w:p w:rsidR="00240C3E" w:rsidP="006423A7" w:rsidRDefault="00240C3E" w14:paraId="7D9786BB" w14:textId="77777777">
      <w:pPr>
        <w:spacing w:line="276" w:lineRule="auto"/>
        <w:rPr>
          <w:rFonts w:ascii="Arial" w:hAnsi="Arial" w:eastAsia="Geomanist Light" w:cs="Arial"/>
          <w:color w:val="000000" w:themeColor="text1"/>
          <w:lang w:val="es-MX"/>
        </w:rPr>
      </w:pPr>
    </w:p>
    <w:p w:rsidR="00240C3E" w:rsidP="006423A7" w:rsidRDefault="00240C3E" w14:paraId="0527E46E" w14:textId="77777777">
      <w:pPr>
        <w:spacing w:line="276" w:lineRule="auto"/>
        <w:rPr>
          <w:rFonts w:ascii="Arial" w:hAnsi="Arial" w:eastAsia="Geomanist Light" w:cs="Arial"/>
          <w:color w:val="000000" w:themeColor="text1"/>
          <w:lang w:val="es-MX"/>
        </w:rPr>
      </w:pPr>
    </w:p>
    <w:p w:rsidR="006423A7" w:rsidP="006423A7" w:rsidRDefault="006423A7" w14:paraId="55DFBDAC" w14:textId="4C95519F">
      <w:pPr>
        <w:spacing w:line="276" w:lineRule="auto"/>
        <w:rPr>
          <w:rFonts w:ascii="Arial" w:hAnsi="Arial" w:eastAsia="Geomanist Light" w:cs="Arial"/>
          <w:color w:val="201F1E"/>
          <w:lang w:val="es-MX"/>
        </w:rPr>
      </w:pPr>
      <w:r w:rsidRPr="00E94E87">
        <w:rPr>
          <w:rFonts w:ascii="Arial" w:hAnsi="Arial" w:eastAsia="Geomanist Light" w:cs="Arial"/>
          <w:color w:val="000000" w:themeColor="text1"/>
          <w:lang w:val="es-MX"/>
        </w:rPr>
        <w:t>Bogotá D.C., </w:t>
      </w:r>
      <w:r w:rsidR="00643670">
        <w:rPr>
          <w:rFonts w:ascii="Arial" w:hAnsi="Arial" w:eastAsia="Geomanist Light" w:cs="Arial"/>
          <w:color w:val="201F1E"/>
          <w:lang w:val="es-MX"/>
        </w:rPr>
        <w:t xml:space="preserve">12 de mayo de 2023 </w:t>
      </w:r>
    </w:p>
    <w:p w:rsidR="00643670" w:rsidP="006423A7" w:rsidRDefault="00643670" w14:paraId="244E4C8B" w14:textId="77777777">
      <w:pPr>
        <w:spacing w:line="276" w:lineRule="auto"/>
        <w:rPr>
          <w:rFonts w:ascii="Arial" w:hAnsi="Arial" w:eastAsia="Geomanist Light" w:cs="Arial"/>
          <w:color w:val="201F1E"/>
          <w:lang w:val="es-MX"/>
        </w:rPr>
      </w:pPr>
    </w:p>
    <w:p w:rsidRPr="00E94E87" w:rsidR="00643670" w:rsidP="00643670" w:rsidRDefault="00643670" w14:paraId="74F14E43" w14:textId="147FFE9D">
      <w:pPr>
        <w:spacing w:line="276" w:lineRule="auto"/>
        <w:jc w:val="right"/>
        <w:rPr>
          <w:rFonts w:ascii="Arial" w:hAnsi="Arial" w:eastAsia="Geomanist Light" w:cs="Arial"/>
          <w:color w:val="201F1E"/>
          <w:lang w:val="es-MX"/>
        </w:rPr>
      </w:pPr>
      <w:r w:rsidRPr="00643670">
        <w:rPr>
          <w:rFonts w:ascii="Arial" w:hAnsi="Arial" w:eastAsia="Geomanist Light" w:cs="Arial"/>
          <w:noProof/>
          <w:color w:val="201F1E"/>
          <w:lang w:val="es-MX"/>
        </w:rPr>
        <w:drawing>
          <wp:inline distT="0" distB="0" distL="0" distR="0" wp14:anchorId="1B521CF7" wp14:editId="0691111A">
            <wp:extent cx="3783772" cy="938880"/>
            <wp:effectExtent l="0" t="0" r="0" b="0"/>
            <wp:docPr id="1220110403" name="Imagen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3783772" cy="93888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8A6B08" w:rsidR="006423A7" w:rsidP="006423A7" w:rsidRDefault="006423A7" w14:paraId="037C517F" w14:textId="77777777">
      <w:pPr>
        <w:spacing w:line="276" w:lineRule="auto"/>
        <w:jc w:val="both"/>
        <w:rPr>
          <w:rFonts w:ascii="Arial" w:hAnsi="Arial" w:eastAsia="Calibri" w:cs="Arial"/>
          <w:lang w:val="es-ES_tradnl"/>
        </w:rPr>
      </w:pPr>
    </w:p>
    <w:p w:rsidR="006423A7" w:rsidP="006423A7" w:rsidRDefault="006423A7" w14:paraId="534F18BA" w14:textId="77777777">
      <w:pPr>
        <w:jc w:val="both"/>
        <w:rPr>
          <w:rFonts w:ascii="Arial" w:hAnsi="Arial" w:eastAsia="Calibri" w:cs="Arial"/>
          <w:lang w:val="es-ES_tradnl"/>
        </w:rPr>
      </w:pPr>
      <w:r w:rsidRPr="008A6B08">
        <w:rPr>
          <w:rFonts w:ascii="Arial" w:hAnsi="Arial" w:eastAsia="Calibri" w:cs="Arial"/>
          <w:lang w:val="es-ES_tradnl"/>
        </w:rPr>
        <w:t>Señor</w:t>
      </w:r>
    </w:p>
    <w:p w:rsidRPr="00DB26A0" w:rsidR="006423A7" w:rsidP="006423A7" w:rsidRDefault="006423A7" w14:paraId="1C747C20" w14:textId="77777777">
      <w:pPr>
        <w:jc w:val="both"/>
        <w:rPr>
          <w:rFonts w:ascii="Arial" w:hAnsi="Arial" w:eastAsia="Calibri" w:cs="Arial"/>
          <w:lang w:val="es-ES_tradnl"/>
        </w:rPr>
      </w:pPr>
      <w:r w:rsidRPr="008A6B08">
        <w:rPr>
          <w:rFonts w:ascii="Arial" w:hAnsi="Arial" w:eastAsia="Calibri" w:cs="Arial"/>
          <w:b/>
          <w:bCs/>
          <w:lang w:val="es-ES_tradnl"/>
        </w:rPr>
        <w:t xml:space="preserve">Jhon Fredy Alvis Caviedes </w:t>
      </w:r>
    </w:p>
    <w:p w:rsidRPr="008A6B08" w:rsidR="006423A7" w:rsidP="006423A7" w:rsidRDefault="006423A7" w14:paraId="3BCAA853" w14:textId="77777777">
      <w:pPr>
        <w:jc w:val="both"/>
        <w:rPr>
          <w:rFonts w:ascii="Arial" w:hAnsi="Arial" w:eastAsia="Calibri" w:cs="Arial"/>
          <w:lang w:val="es-ES_tradnl"/>
        </w:rPr>
      </w:pPr>
      <w:r w:rsidRPr="00E84CAC">
        <w:rPr>
          <w:rFonts w:ascii="Arial" w:hAnsi="Arial" w:eastAsia="Calibri" w:cs="Arial"/>
          <w:lang w:val="es-ES_tradnl"/>
        </w:rPr>
        <w:t>Medellín, Antioquia</w:t>
      </w:r>
      <w:r w:rsidRPr="008A6B08">
        <w:rPr>
          <w:rFonts w:ascii="Arial" w:hAnsi="Arial" w:eastAsia="Calibri" w:cs="Arial"/>
          <w:lang w:val="es-ES_tradnl"/>
        </w:rPr>
        <w:t xml:space="preserve">      </w:t>
      </w:r>
    </w:p>
    <w:p w:rsidR="006423A7" w:rsidP="006423A7" w:rsidRDefault="006423A7" w14:paraId="68A843AE" w14:textId="77777777">
      <w:pPr>
        <w:spacing w:line="276" w:lineRule="auto"/>
        <w:rPr>
          <w:rFonts w:ascii="Arial" w:hAnsi="Arial" w:eastAsia="Calibri" w:cs="Arial"/>
          <w:lang w:val="es-ES_tradnl"/>
        </w:rPr>
      </w:pPr>
      <w:r w:rsidRPr="008A6B08">
        <w:rPr>
          <w:rFonts w:ascii="Arial" w:hAnsi="Arial" w:eastAsia="Calibri" w:cs="Arial"/>
          <w:lang w:val="es-ES_tradnl"/>
        </w:rPr>
        <w:t xml:space="preserve">                                 </w:t>
      </w:r>
    </w:p>
    <w:p w:rsidR="006423A7" w:rsidP="006423A7" w:rsidRDefault="006423A7" w14:paraId="1A3947A6" w14:textId="77777777">
      <w:pPr>
        <w:spacing w:line="276" w:lineRule="auto"/>
        <w:jc w:val="center"/>
        <w:rPr>
          <w:rFonts w:ascii="Arial" w:hAnsi="Arial" w:eastAsia="Calibri" w:cs="Arial"/>
          <w:b/>
          <w:lang w:val="es-ES_tradnl"/>
        </w:rPr>
      </w:pPr>
      <w:r w:rsidRPr="008A6B08">
        <w:rPr>
          <w:rFonts w:ascii="Arial" w:hAnsi="Arial" w:eastAsia="Calibri" w:cs="Arial"/>
          <w:b/>
          <w:lang w:val="es-ES_tradnl"/>
        </w:rPr>
        <w:t>Concepto C – 151 de 2023</w:t>
      </w:r>
    </w:p>
    <w:p w:rsidR="006423A7" w:rsidP="006423A7" w:rsidRDefault="006423A7" w14:paraId="227E7230" w14:textId="77777777">
      <w:pPr>
        <w:spacing w:line="276" w:lineRule="auto"/>
        <w:rPr>
          <w:rFonts w:ascii="Arial" w:hAnsi="Arial" w:eastAsia="Calibri" w:cs="Arial"/>
          <w:b/>
          <w:lang w:val="es-ES_tradnl"/>
        </w:rPr>
      </w:pPr>
    </w:p>
    <w:tbl>
      <w:tblPr>
        <w:tblStyle w:val="Tablaconcuadrcula"/>
        <w:tblW w:w="8222" w:type="dxa"/>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85"/>
        <w:gridCol w:w="6237"/>
      </w:tblGrid>
      <w:tr w:rsidRPr="008A6B08" w:rsidR="006423A7" w:rsidTr="00240C3E" w14:paraId="0D5A44EF" w14:textId="77777777">
        <w:tc>
          <w:tcPr>
            <w:tcW w:w="1985" w:type="dxa"/>
            <w:hideMark/>
          </w:tcPr>
          <w:p w:rsidRPr="008A6B08" w:rsidR="006423A7" w:rsidP="00E84CAC" w:rsidRDefault="006423A7" w14:paraId="67EF6ED5" w14:textId="77777777">
            <w:pPr>
              <w:spacing w:line="276" w:lineRule="auto"/>
              <w:ind w:right="133"/>
              <w:rPr>
                <w:rFonts w:ascii="Arial" w:hAnsi="Arial" w:eastAsia="Calibri" w:cs="Arial"/>
                <w:lang w:val="es-ES_tradnl"/>
              </w:rPr>
            </w:pPr>
            <w:r w:rsidRPr="008A6B08">
              <w:rPr>
                <w:rFonts w:ascii="Arial" w:hAnsi="Arial" w:eastAsia="Calibri" w:cs="Arial"/>
                <w:b/>
                <w:lang w:val="es-ES_tradnl"/>
              </w:rPr>
              <w:t>Temas:</w:t>
            </w:r>
            <w:r w:rsidRPr="008A6B08">
              <w:rPr>
                <w:rFonts w:ascii="Arial" w:hAnsi="Arial" w:eastAsia="Calibri" w:cs="Arial"/>
                <w:lang w:val="es-ES_tradnl"/>
              </w:rPr>
              <w:t xml:space="preserve">           </w:t>
            </w:r>
          </w:p>
          <w:p w:rsidRPr="008A6B08" w:rsidR="006423A7" w:rsidP="00E84CAC" w:rsidRDefault="006423A7" w14:paraId="677BC196" w14:textId="77777777">
            <w:pPr>
              <w:spacing w:line="276" w:lineRule="auto"/>
              <w:ind w:right="133"/>
              <w:rPr>
                <w:rFonts w:ascii="Arial" w:hAnsi="Arial" w:eastAsia="Calibri" w:cs="Arial"/>
                <w:lang w:val="es-ES_tradnl"/>
              </w:rPr>
            </w:pPr>
            <w:r w:rsidRPr="008A6B08">
              <w:rPr>
                <w:rFonts w:ascii="Arial" w:hAnsi="Arial" w:eastAsia="Calibri" w:cs="Arial"/>
                <w:lang w:val="es-ES_tradnl"/>
              </w:rPr>
              <w:t xml:space="preserve">                           </w:t>
            </w:r>
          </w:p>
        </w:tc>
        <w:tc>
          <w:tcPr>
            <w:tcW w:w="6237" w:type="dxa"/>
            <w:hideMark/>
          </w:tcPr>
          <w:p w:rsidRPr="00176E36" w:rsidR="006423A7" w:rsidP="00E84CAC" w:rsidRDefault="006423A7" w14:paraId="11BE7A07" w14:textId="77777777">
            <w:pPr>
              <w:spacing w:line="276" w:lineRule="auto"/>
              <w:ind w:right="133"/>
              <w:rPr>
                <w:rFonts w:ascii="Arial" w:hAnsi="Arial" w:eastAsia="Calibri" w:cs="Arial"/>
                <w:b/>
                <w:color w:val="000000" w:themeColor="text1"/>
                <w:sz w:val="20"/>
                <w:szCs w:val="20"/>
                <w:lang w:val="es-ES_tradnl"/>
              </w:rPr>
            </w:pPr>
            <w:r w:rsidRPr="00176E36">
              <w:rPr>
                <w:rFonts w:ascii="Arial" w:hAnsi="Arial" w:eastAsia="Calibri" w:cs="Arial"/>
                <w:bCs/>
                <w:color w:val="000000" w:themeColor="text1"/>
                <w:lang w:val="es-ES_tradnl"/>
              </w:rPr>
              <w:t>MEDIOS ELECTRÓNICOS – Contratación estatal –</w:t>
            </w:r>
            <w:r>
              <w:rPr>
                <w:rFonts w:ascii="Arial" w:hAnsi="Arial" w:eastAsia="Calibri" w:cs="Arial"/>
                <w:bCs/>
                <w:color w:val="000000" w:themeColor="text1"/>
                <w:lang w:val="es-ES_tradnl"/>
              </w:rPr>
              <w:t xml:space="preserve"> </w:t>
            </w:r>
            <w:r w:rsidRPr="00176E36">
              <w:rPr>
                <w:rFonts w:ascii="Arial" w:hAnsi="Arial" w:eastAsia="Calibri" w:cs="Arial"/>
                <w:bCs/>
                <w:color w:val="000000" w:themeColor="text1"/>
                <w:lang w:val="es-ES_tradnl"/>
              </w:rPr>
              <w:t xml:space="preserve">Régimen jurídico </w:t>
            </w:r>
            <w:r>
              <w:rPr>
                <w:rFonts w:ascii="Arial" w:hAnsi="Arial" w:eastAsia="Calibri" w:cs="Arial"/>
                <w:bCs/>
                <w:color w:val="000000" w:themeColor="text1"/>
                <w:lang w:val="es-ES_tradnl"/>
              </w:rPr>
              <w:t xml:space="preserve">/ </w:t>
            </w:r>
            <w:r w:rsidRPr="00176E36">
              <w:rPr>
                <w:rFonts w:ascii="Arial" w:hAnsi="Arial" w:eastAsia="Calibri" w:cs="Arial"/>
                <w:bCs/>
                <w:color w:val="000000" w:themeColor="text1"/>
                <w:lang w:val="es-ES_tradnl"/>
              </w:rPr>
              <w:t>MEDIOS ELECTRÓNICOS – CPACA – Posibilidad</w:t>
            </w:r>
            <w:r>
              <w:rPr>
                <w:rFonts w:ascii="Arial" w:hAnsi="Arial" w:eastAsia="Calibri" w:cs="Arial"/>
                <w:bCs/>
                <w:color w:val="000000" w:themeColor="text1"/>
                <w:lang w:val="es-ES_tradnl"/>
              </w:rPr>
              <w:t xml:space="preserve"> / </w:t>
            </w:r>
            <w:r w:rsidRPr="00176E36">
              <w:rPr>
                <w:rFonts w:ascii="Arial" w:hAnsi="Arial" w:eastAsia="Calibri" w:cs="Arial"/>
                <w:bCs/>
                <w:color w:val="000000" w:themeColor="text1"/>
                <w:lang w:val="es-ES_tradnl"/>
              </w:rPr>
              <w:t>FIRMAS – Firma electrónica – Firma digital – Concepto</w:t>
            </w:r>
            <w:r>
              <w:rPr>
                <w:rFonts w:ascii="Arial" w:hAnsi="Arial" w:eastAsia="Calibri" w:cs="Arial"/>
                <w:bCs/>
                <w:color w:val="000000" w:themeColor="text1"/>
                <w:lang w:val="es-ES_tradnl"/>
              </w:rPr>
              <w:t xml:space="preserve">. </w:t>
            </w:r>
          </w:p>
          <w:p w:rsidRPr="008A6B08" w:rsidR="006423A7" w:rsidP="00E84CAC" w:rsidRDefault="006423A7" w14:paraId="535C0C8C" w14:textId="77777777">
            <w:pPr>
              <w:spacing w:after="120" w:line="276" w:lineRule="auto"/>
              <w:ind w:right="133"/>
              <w:rPr>
                <w:rFonts w:ascii="Arial" w:hAnsi="Arial" w:eastAsia="Calibri" w:cs="Arial"/>
                <w:lang w:val="es-ES_tradnl"/>
              </w:rPr>
            </w:pPr>
          </w:p>
        </w:tc>
      </w:tr>
      <w:tr w:rsidRPr="008A6B08" w:rsidR="006423A7" w:rsidTr="00240C3E" w14:paraId="5E230F75" w14:textId="77777777">
        <w:tc>
          <w:tcPr>
            <w:tcW w:w="1985" w:type="dxa"/>
          </w:tcPr>
          <w:p w:rsidRPr="008A6B08" w:rsidR="006423A7" w:rsidP="00E84CAC" w:rsidRDefault="006423A7" w14:paraId="5B1331C8" w14:textId="77777777">
            <w:pPr>
              <w:spacing w:line="276" w:lineRule="auto"/>
              <w:ind w:right="133"/>
              <w:rPr>
                <w:rFonts w:ascii="Arial" w:hAnsi="Arial" w:eastAsia="Calibri" w:cs="Arial"/>
                <w:b/>
                <w:lang w:val="es-ES_tradnl"/>
              </w:rPr>
            </w:pPr>
            <w:r w:rsidRPr="008A6B08">
              <w:rPr>
                <w:rFonts w:ascii="Arial" w:hAnsi="Arial" w:eastAsia="Calibri" w:cs="Arial"/>
                <w:b/>
                <w:lang w:val="es-ES_tradnl"/>
              </w:rPr>
              <w:t>Radicación:</w:t>
            </w:r>
            <w:r w:rsidRPr="008A6B08">
              <w:rPr>
                <w:rFonts w:ascii="Arial" w:hAnsi="Arial" w:eastAsia="Calibri" w:cs="Arial"/>
                <w:lang w:val="es-ES_tradnl"/>
              </w:rPr>
              <w:t xml:space="preserve">                              </w:t>
            </w:r>
          </w:p>
        </w:tc>
        <w:tc>
          <w:tcPr>
            <w:tcW w:w="6237" w:type="dxa"/>
          </w:tcPr>
          <w:p w:rsidRPr="008A6B08" w:rsidR="006423A7" w:rsidP="00E84CAC" w:rsidRDefault="006423A7" w14:paraId="0A699EE6" w14:textId="77777777">
            <w:pPr>
              <w:spacing w:line="276" w:lineRule="auto"/>
              <w:ind w:right="133"/>
              <w:rPr>
                <w:rFonts w:ascii="Arial" w:hAnsi="Arial" w:eastAsia="Calibri" w:cs="Arial"/>
                <w:lang w:val="es-ES_tradnl"/>
              </w:rPr>
            </w:pPr>
            <w:r w:rsidRPr="008A6B08">
              <w:rPr>
                <w:rFonts w:ascii="Arial" w:hAnsi="Arial" w:eastAsia="Calibri" w:cs="Arial"/>
                <w:lang w:val="es-ES_tradnl"/>
              </w:rPr>
              <w:t>Respuesta a consulta P20230418003430</w:t>
            </w:r>
          </w:p>
          <w:p w:rsidR="006423A7" w:rsidP="00E84CAC" w:rsidRDefault="006423A7" w14:paraId="11019DD9" w14:textId="77777777">
            <w:pPr>
              <w:spacing w:line="276" w:lineRule="auto"/>
              <w:ind w:right="133"/>
              <w:rPr>
                <w:rFonts w:ascii="Arial" w:hAnsi="Arial" w:eastAsia="Calibri" w:cs="Arial"/>
                <w:lang w:val="es-ES_tradnl"/>
              </w:rPr>
            </w:pPr>
          </w:p>
          <w:p w:rsidRPr="008A6B08" w:rsidR="006423A7" w:rsidP="00E84CAC" w:rsidRDefault="006423A7" w14:paraId="06113B78" w14:textId="77777777">
            <w:pPr>
              <w:spacing w:line="276" w:lineRule="auto"/>
              <w:ind w:right="133"/>
              <w:rPr>
                <w:rFonts w:ascii="Arial" w:hAnsi="Arial" w:eastAsia="Calibri" w:cs="Arial"/>
                <w:lang w:val="es-ES_tradnl"/>
              </w:rPr>
            </w:pPr>
          </w:p>
        </w:tc>
      </w:tr>
    </w:tbl>
    <w:p w:rsidRPr="008A6B08" w:rsidR="006423A7" w:rsidP="006423A7" w:rsidRDefault="006423A7" w14:paraId="0214E36F" w14:textId="77777777">
      <w:pPr>
        <w:spacing w:line="276" w:lineRule="auto"/>
        <w:jc w:val="both"/>
        <w:rPr>
          <w:rFonts w:ascii="Arial" w:hAnsi="Arial" w:eastAsia="Calibri" w:cs="Arial"/>
          <w:lang w:val="es-ES_tradnl"/>
        </w:rPr>
      </w:pPr>
      <w:r w:rsidRPr="008A6B08">
        <w:rPr>
          <w:rFonts w:ascii="Arial" w:hAnsi="Arial" w:eastAsia="Calibri" w:cs="Arial"/>
          <w:lang w:val="es-ES_tradnl"/>
        </w:rPr>
        <w:t>Estimad</w:t>
      </w:r>
      <w:r>
        <w:rPr>
          <w:rFonts w:ascii="Arial" w:hAnsi="Arial" w:eastAsia="Calibri" w:cs="Arial"/>
          <w:lang w:val="es-ES_tradnl"/>
        </w:rPr>
        <w:t>o</w:t>
      </w:r>
      <w:r w:rsidRPr="008A6B08">
        <w:rPr>
          <w:rFonts w:ascii="Arial" w:hAnsi="Arial" w:eastAsia="Calibri" w:cs="Arial"/>
          <w:lang w:val="es-ES_tradnl"/>
        </w:rPr>
        <w:t xml:space="preserve"> señor</w:t>
      </w:r>
      <w:r>
        <w:rPr>
          <w:rFonts w:ascii="Arial" w:hAnsi="Arial" w:eastAsia="Calibri" w:cs="Arial"/>
          <w:lang w:val="es-ES_tradnl"/>
        </w:rPr>
        <w:t xml:space="preserve"> Alvis Caviedes</w:t>
      </w:r>
      <w:r w:rsidRPr="008A6B08">
        <w:rPr>
          <w:rFonts w:ascii="Arial" w:hAnsi="Arial" w:eastAsia="Calibri" w:cs="Arial"/>
          <w:lang w:val="es-ES_tradnl"/>
        </w:rPr>
        <w:t>:</w:t>
      </w:r>
    </w:p>
    <w:p w:rsidRPr="008A6B08" w:rsidR="006423A7" w:rsidP="006423A7" w:rsidRDefault="006423A7" w14:paraId="7665CA53" w14:textId="77777777">
      <w:pPr>
        <w:spacing w:line="276" w:lineRule="auto"/>
        <w:jc w:val="both"/>
        <w:rPr>
          <w:rFonts w:ascii="Arial" w:hAnsi="Arial" w:eastAsia="Calibri" w:cs="Arial"/>
          <w:lang w:val="es-ES_tradnl"/>
        </w:rPr>
      </w:pPr>
      <w:r w:rsidRPr="008A6B08">
        <w:rPr>
          <w:rFonts w:ascii="Arial" w:hAnsi="Arial" w:eastAsia="Calibri" w:cs="Arial"/>
          <w:lang w:val="es-ES_tradnl"/>
        </w:rPr>
        <w:t xml:space="preserve">En ejercicio de la competencia otorgada por los artículos 11, numeral 8º, y 3º, numeral 5º, del Decreto Ley 4170 de 2011, la Agencia Nacional de Contratación Pública―Colombia Compra Eficiente responde sus peticiones de consulta del 18 de abril de 2023. </w:t>
      </w:r>
    </w:p>
    <w:p w:rsidR="006423A7" w:rsidP="006423A7" w:rsidRDefault="006423A7" w14:paraId="3A0FCA6A" w14:textId="77777777">
      <w:pPr>
        <w:pStyle w:val="Prrafodelista"/>
        <w:numPr>
          <w:ilvl w:val="0"/>
          <w:numId w:val="3"/>
        </w:numPr>
        <w:spacing w:line="276" w:lineRule="auto"/>
        <w:ind w:left="284" w:hanging="284"/>
        <w:jc w:val="both"/>
        <w:rPr>
          <w:rFonts w:ascii="Arial" w:hAnsi="Arial" w:eastAsia="Calibri" w:cs="Arial"/>
          <w:b/>
        </w:rPr>
      </w:pPr>
      <w:r w:rsidRPr="008A6B08">
        <w:rPr>
          <w:rFonts w:ascii="Arial" w:hAnsi="Arial" w:eastAsia="Calibri" w:cs="Arial"/>
          <w:b/>
        </w:rPr>
        <w:t xml:space="preserve">Problemas planteados </w:t>
      </w:r>
    </w:p>
    <w:p w:rsidRPr="00DB26A0" w:rsidR="006423A7" w:rsidP="006423A7" w:rsidRDefault="006423A7" w14:paraId="0AD52372" w14:textId="77777777">
      <w:pPr>
        <w:pStyle w:val="Prrafodelista"/>
        <w:spacing w:line="276" w:lineRule="auto"/>
        <w:ind w:left="426"/>
        <w:jc w:val="both"/>
        <w:rPr>
          <w:rFonts w:ascii="Arial" w:hAnsi="Arial" w:eastAsia="Calibri" w:cs="Arial"/>
          <w:b/>
        </w:rPr>
      </w:pPr>
    </w:p>
    <w:p w:rsidRPr="00883A32" w:rsidR="006423A7" w:rsidP="006423A7" w:rsidRDefault="006423A7" w14:paraId="2DBD8536" w14:textId="77777777">
      <w:pPr>
        <w:autoSpaceDE w:val="0"/>
        <w:autoSpaceDN w:val="0"/>
        <w:adjustRightInd w:val="0"/>
        <w:spacing w:line="276" w:lineRule="auto"/>
        <w:jc w:val="both"/>
        <w:rPr>
          <w:rFonts w:ascii="Arial" w:hAnsi="Arial" w:eastAsia="Calibri" w:cs="Arial"/>
          <w:lang w:val="es-MX"/>
        </w:rPr>
      </w:pPr>
      <w:r w:rsidRPr="008A6B08">
        <w:rPr>
          <w:rFonts w:ascii="Arial" w:hAnsi="Arial" w:eastAsia="Calibri" w:cs="Arial"/>
          <w:lang w:val="es-MX"/>
        </w:rPr>
        <w:t>Usted realiza la siguiente consulta:</w:t>
      </w:r>
    </w:p>
    <w:p w:rsidRPr="00643670" w:rsidR="006423A7" w:rsidP="00643670" w:rsidRDefault="006423A7" w14:paraId="5AAC3651" w14:textId="77777777">
      <w:pPr>
        <w:pStyle w:val="Default"/>
        <w:ind w:left="709" w:right="709"/>
        <w:jc w:val="both"/>
        <w:rPr>
          <w:rFonts w:ascii="Arial" w:hAnsi="Arial" w:cs="Arial"/>
          <w:sz w:val="20"/>
          <w:szCs w:val="20"/>
        </w:rPr>
      </w:pPr>
      <w:r w:rsidRPr="00643670">
        <w:rPr>
          <w:rFonts w:ascii="Arial" w:hAnsi="Arial" w:cs="Arial"/>
          <w:sz w:val="20"/>
          <w:szCs w:val="20"/>
        </w:rPr>
        <w:t xml:space="preserve">“1. En los procesos de contratación adelantados en el SECOP II, ¿es imperativo o potestativo exigir en el pliego de condiciones la firma, ya sea de manera manuscrita y escaneada, o mediante imagen (cumpliendo los requisitos de las firmas electrónicas y digitales) de la carta de presentación de la propuesta? </w:t>
      </w:r>
    </w:p>
    <w:p w:rsidRPr="00643670" w:rsidR="006423A7" w:rsidP="00643670" w:rsidRDefault="006423A7" w14:paraId="1BACA921" w14:textId="77777777">
      <w:pPr>
        <w:pStyle w:val="Default"/>
        <w:ind w:left="709" w:right="709"/>
        <w:jc w:val="both"/>
        <w:rPr>
          <w:rFonts w:ascii="Arial" w:hAnsi="Arial" w:cs="Arial"/>
          <w:sz w:val="20"/>
          <w:szCs w:val="20"/>
        </w:rPr>
      </w:pPr>
    </w:p>
    <w:p w:rsidRPr="00643670" w:rsidR="006423A7" w:rsidP="00643670" w:rsidRDefault="006423A7" w14:paraId="49E11973" w14:textId="77777777">
      <w:pPr>
        <w:pStyle w:val="Default"/>
        <w:ind w:left="709" w:right="709"/>
        <w:jc w:val="both"/>
        <w:rPr>
          <w:rFonts w:ascii="Arial" w:hAnsi="Arial" w:cs="Arial"/>
          <w:sz w:val="20"/>
          <w:szCs w:val="20"/>
        </w:rPr>
      </w:pPr>
      <w:r w:rsidRPr="00643670">
        <w:rPr>
          <w:rFonts w:ascii="Arial" w:hAnsi="Arial" w:cs="Arial"/>
          <w:sz w:val="20"/>
          <w:szCs w:val="20"/>
        </w:rPr>
        <w:t xml:space="preserve">2. De la misma manera, ¿es imperativo o potestativo exigir en el pliego de condiciones la firma, ya sea de manera manuscrita y escaneada, o mediante imagen (cumpliendo los requisitos de las firmas electrónicas y digitales) de los formatos o anexos a través de los cuales se hacen los ofrecimientos ponderables o puntuables de la oferta? </w:t>
      </w:r>
    </w:p>
    <w:p w:rsidRPr="00643670" w:rsidR="006423A7" w:rsidP="00643670" w:rsidRDefault="006423A7" w14:paraId="5B9A2F09" w14:textId="77777777">
      <w:pPr>
        <w:pStyle w:val="Default"/>
        <w:ind w:left="709" w:right="709"/>
        <w:jc w:val="both"/>
        <w:rPr>
          <w:rFonts w:ascii="Arial" w:hAnsi="Arial" w:cs="Arial"/>
          <w:sz w:val="20"/>
          <w:szCs w:val="20"/>
        </w:rPr>
      </w:pPr>
    </w:p>
    <w:p w:rsidRPr="00643670" w:rsidR="006423A7" w:rsidP="00643670" w:rsidRDefault="006423A7" w14:paraId="450B5971" w14:textId="77777777">
      <w:pPr>
        <w:pStyle w:val="Default"/>
        <w:ind w:left="709" w:right="709"/>
        <w:jc w:val="both"/>
        <w:rPr>
          <w:rFonts w:ascii="Arial" w:hAnsi="Arial" w:cs="Arial"/>
          <w:sz w:val="20"/>
          <w:szCs w:val="20"/>
        </w:rPr>
      </w:pPr>
      <w:r w:rsidRPr="00643670">
        <w:rPr>
          <w:rFonts w:ascii="Arial" w:hAnsi="Arial" w:cs="Arial"/>
          <w:sz w:val="20"/>
          <w:szCs w:val="20"/>
        </w:rPr>
        <w:t xml:space="preserve">3. ¿Con la firma de la carta de presentación de la propuesta y/o con el envío la oferta a través de un mensaje de datos en la plataforma SECOP II, se da aval automático a la autenticidad, integridad y no repudio de la oferta presentada, particularmente respecto de lo ofrecido en los formatos o anexos de los criterios ponderables o puntuables de la propuesta?”. </w:t>
      </w:r>
    </w:p>
    <w:p w:rsidRPr="008A6B08" w:rsidR="006423A7" w:rsidP="006423A7" w:rsidRDefault="006423A7" w14:paraId="5F73107A" w14:textId="77777777">
      <w:pPr>
        <w:pStyle w:val="Default"/>
        <w:spacing w:line="276" w:lineRule="auto"/>
        <w:ind w:left="720"/>
        <w:rPr>
          <w:sz w:val="22"/>
          <w:szCs w:val="22"/>
        </w:rPr>
      </w:pPr>
    </w:p>
    <w:p w:rsidRPr="008A6B08" w:rsidR="006423A7" w:rsidP="006423A7" w:rsidRDefault="006423A7" w14:paraId="5C4BFCA6" w14:textId="77777777">
      <w:pPr>
        <w:spacing w:before="120" w:after="120" w:line="276" w:lineRule="auto"/>
        <w:ind w:right="709"/>
        <w:jc w:val="both"/>
        <w:rPr>
          <w:rFonts w:ascii="Arial" w:hAnsi="Arial" w:cs="Arial"/>
          <w:color w:val="1A1A1A" w:themeColor="background1" w:themeShade="1A"/>
          <w:sz w:val="21"/>
          <w:szCs w:val="21"/>
        </w:rPr>
      </w:pPr>
      <w:r w:rsidRPr="008A6B08">
        <w:rPr>
          <w:rFonts w:ascii="Arial" w:hAnsi="Arial" w:eastAsia="Calibri" w:cs="Arial"/>
          <w:b/>
        </w:rPr>
        <w:t>2. Consideraciones</w:t>
      </w:r>
    </w:p>
    <w:p w:rsidRPr="008A6B08" w:rsidR="006423A7" w:rsidP="006423A7" w:rsidRDefault="006423A7" w14:paraId="6A284E75" w14:textId="77777777">
      <w:pPr>
        <w:spacing w:before="120" w:after="120" w:line="276" w:lineRule="auto"/>
        <w:jc w:val="both"/>
        <w:rPr>
          <w:rFonts w:ascii="Arial" w:hAnsi="Arial" w:cs="Arial"/>
          <w:color w:val="000000" w:themeColor="text1"/>
          <w:lang w:val="es-ES_tradnl"/>
        </w:rPr>
      </w:pPr>
      <w:bookmarkStart w:name="_Hlk94018153" w:id="3"/>
      <w:r w:rsidRPr="008A6B08">
        <w:rPr>
          <w:rFonts w:ascii="Arial" w:hAnsi="Arial" w:cs="Arial"/>
          <w:color w:val="000000" w:themeColor="text1"/>
          <w:lang w:val="es-ES_tradnl"/>
        </w:rPr>
        <w:t xml:space="preserve">La Agencia Nacional de Contratación Pública – Colombia Compra Eficiente, en reiteradas oportunidades, ha analizado la procedencia de los medios electrónicos, como instrumentos permitidos para la sustanciación de las actuaciones administrativas contractuales. Así lo hizo en los conceptos: C-243 del 24 de marzo de 2020, C-245 del 7 de abril de 2020, C-247 del 7 de abril de 2020, C-253 del 7 de abril de 2020, C-254 del 7 de abril de 2020, C-016 del 21 de abril de 2020, C-017 del 27 de abril de 2020, C-262 del 27 de abril de 2020, C-296 del 21 de mayo de 2020, C-287 del 27 de mayo de 2020, C-292 del 28 de mayo de 2020, C-754 del 23 de diciembre de 2020, C-193 del 3 de mayo de 2021, C-753 del 6 de febrero de 2022 </w:t>
      </w:r>
      <w:r>
        <w:rPr>
          <w:rFonts w:ascii="Arial" w:hAnsi="Arial" w:cs="Arial"/>
          <w:color w:val="000000" w:themeColor="text1"/>
          <w:lang w:val="es-ES_tradnl"/>
        </w:rPr>
        <w:t>,</w:t>
      </w:r>
      <w:r w:rsidRPr="008A6B08">
        <w:rPr>
          <w:rFonts w:ascii="Arial" w:hAnsi="Arial" w:cs="Arial"/>
          <w:color w:val="000000" w:themeColor="text1"/>
          <w:lang w:val="es-ES_tradnl"/>
        </w:rPr>
        <w:t xml:space="preserve"> C-030 del 25 de febrero de 2022</w:t>
      </w:r>
      <w:r>
        <w:rPr>
          <w:rFonts w:ascii="Arial" w:hAnsi="Arial" w:cs="Arial"/>
          <w:color w:val="000000" w:themeColor="text1"/>
          <w:lang w:val="es-ES_tradnl"/>
        </w:rPr>
        <w:t>, C-655 del 07 de octubre de 2022</w:t>
      </w:r>
      <w:r w:rsidRPr="008A6B08">
        <w:rPr>
          <w:rFonts w:ascii="Arial" w:hAnsi="Arial" w:cs="Arial"/>
          <w:color w:val="000000" w:themeColor="text1"/>
          <w:lang w:val="es-ES_tradnl"/>
        </w:rPr>
        <w:t xml:space="preserve">. </w:t>
      </w:r>
    </w:p>
    <w:p w:rsidRPr="008A6B08" w:rsidR="006423A7" w:rsidP="006423A7" w:rsidRDefault="006423A7" w14:paraId="2756DCC3" w14:textId="77777777">
      <w:pPr>
        <w:spacing w:before="120" w:line="276" w:lineRule="auto"/>
        <w:ind w:firstLine="708"/>
        <w:jc w:val="both"/>
        <w:rPr>
          <w:rFonts w:ascii="Arial" w:hAnsi="Arial" w:cs="Arial"/>
          <w:color w:val="000000" w:themeColor="text1"/>
          <w:lang w:val="es-ES_tradnl"/>
        </w:rPr>
      </w:pPr>
      <w:r w:rsidRPr="008A6B08">
        <w:rPr>
          <w:rFonts w:ascii="Arial" w:hAnsi="Arial" w:eastAsia="Calibri" w:cs="Arial"/>
          <w:color w:val="000000" w:themeColor="text1"/>
          <w:lang w:val="es-ES_tradnl"/>
        </w:rPr>
        <w:t>Igualmente, esta Subdirección expidió el Concepto con radicado 4201912000005683 de 2019, en el que se explicó el contexto normativo de las firmas manuscritas electrónicas y digitales</w:t>
      </w:r>
      <w:r w:rsidRPr="008A6B08">
        <w:rPr>
          <w:rFonts w:ascii="Arial" w:hAnsi="Arial" w:cs="Arial"/>
          <w:color w:val="000000" w:themeColor="text1"/>
          <w:lang w:val="es-ES_tradnl"/>
        </w:rPr>
        <w:t xml:space="preserve"> La tesis propuesta en dichos pronunciamientos será reiterada a continuación, complementándola con algunas ideas adicionales frente a la consulta que se estudia en esta ocasión.</w:t>
      </w:r>
    </w:p>
    <w:p w:rsidRPr="008A6B08" w:rsidR="006423A7" w:rsidP="006423A7" w:rsidRDefault="006423A7" w14:paraId="4A5FDACA" w14:textId="77777777">
      <w:pPr>
        <w:spacing w:before="120" w:after="120" w:line="276" w:lineRule="auto"/>
        <w:ind w:firstLine="567"/>
        <w:jc w:val="both"/>
        <w:rPr>
          <w:rFonts w:ascii="Arial" w:hAnsi="Arial" w:cs="Arial"/>
          <w:color w:val="000000" w:themeColor="text1"/>
          <w:sz w:val="4"/>
          <w:szCs w:val="4"/>
          <w:lang w:val="es-ES_tradnl"/>
        </w:rPr>
      </w:pPr>
    </w:p>
    <w:bookmarkEnd w:id="3"/>
    <w:p w:rsidRPr="008A6B08" w:rsidR="006423A7" w:rsidP="006423A7" w:rsidRDefault="006423A7" w14:paraId="5A5948D4" w14:textId="77777777">
      <w:pPr>
        <w:spacing w:line="276" w:lineRule="auto"/>
        <w:jc w:val="both"/>
        <w:rPr>
          <w:rFonts w:ascii="Arial" w:hAnsi="Arial" w:cs="Arial"/>
          <w:b/>
          <w:color w:val="000000" w:themeColor="text1"/>
          <w:lang w:val="es-ES_tradnl"/>
        </w:rPr>
      </w:pPr>
      <w:r w:rsidRPr="008A6B08">
        <w:rPr>
          <w:rFonts w:ascii="Arial" w:hAnsi="Arial" w:eastAsia="Calibri" w:cs="Arial"/>
          <w:b/>
          <w:bCs/>
          <w:color w:val="000000" w:themeColor="text1"/>
          <w:lang w:val="es-ES_tradnl"/>
        </w:rPr>
        <w:t xml:space="preserve">2.1. </w:t>
      </w:r>
      <w:r w:rsidRPr="008A6B08">
        <w:rPr>
          <w:rFonts w:ascii="Arial" w:hAnsi="Arial" w:cs="Arial"/>
          <w:b/>
          <w:color w:val="000000" w:themeColor="text1"/>
          <w:lang w:val="es-ES_tradnl"/>
        </w:rPr>
        <w:t>Uso de medios electrónicos en las actuaciones administrativas y, en especial, en la contratación pública</w:t>
      </w:r>
    </w:p>
    <w:p w:rsidRPr="008A6B08" w:rsidR="006423A7" w:rsidP="006423A7" w:rsidRDefault="006423A7" w14:paraId="2E4BD7DD" w14:textId="77777777">
      <w:pPr>
        <w:spacing w:line="276" w:lineRule="auto"/>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rsidRPr="008A6B08" w:rsidR="006423A7" w:rsidP="006423A7" w:rsidRDefault="006423A7" w14:paraId="2EA513E0" w14:textId="77777777">
      <w:pPr>
        <w:spacing w:before="120" w:after="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 xml:space="preserve">Anteriormente la totalidad de las actuaciones oficiales, es decir, las que se efectuaban ante las entidades públicas, debían surtirse de manera presencial o a </w:t>
      </w:r>
      <w:r w:rsidRPr="008A6B08">
        <w:rPr>
          <w:rFonts w:ascii="Arial" w:hAnsi="Arial" w:eastAsia="Calibri" w:cs="Arial"/>
          <w:color w:val="000000" w:themeColor="text1"/>
          <w:lang w:val="es-ES_tradnl"/>
        </w:rPr>
        <w:t>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rsidRPr="008A6B08" w:rsidR="006423A7" w:rsidP="006423A7" w:rsidRDefault="006423A7" w14:paraId="0DF84302" w14:textId="77777777">
      <w:pPr>
        <w:spacing w:before="120" w:after="120" w:line="276" w:lineRule="auto"/>
        <w:ind w:firstLine="709"/>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 xml:space="preserve">La función que han jugado las normas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antitrámites</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para que dicho cambio se produzca, ha sido decisiva. El Decreto 2150 de 1995 constituye un primer antecedente en la materia. Posteriormente, el artículo 6º de la Ley 962 de 2005</w:t>
      </w:r>
      <w:r w:rsidRPr="008A6B08">
        <w:rPr>
          <w:rStyle w:val="Refdenotaalpie"/>
          <w:rFonts w:ascii="Arial" w:hAnsi="Arial" w:eastAsia="Calibri" w:cs="Arial"/>
          <w:color w:val="000000" w:themeColor="text1"/>
          <w:lang w:val="es-ES_tradnl"/>
        </w:rPr>
        <w:footnoteReference w:id="1"/>
      </w:r>
      <w:r w:rsidRPr="008A6B08">
        <w:rPr>
          <w:rFonts w:ascii="Arial" w:hAnsi="Arial" w:eastAsia="Calibri" w:cs="Arial"/>
          <w:color w:val="000000" w:themeColor="text1"/>
          <w:lang w:val="es-ES_tradnl"/>
        </w:rPr>
        <w:t xml:space="preserve"> dispuso que las entidades públicas podían servirse de medios electrónicos para el cumplimiento de sus funciones</w:t>
      </w:r>
      <w:r w:rsidRPr="008A6B08">
        <w:rPr>
          <w:rStyle w:val="Refdenotaalpie"/>
          <w:rFonts w:ascii="Arial" w:hAnsi="Arial" w:eastAsia="Calibri" w:cs="Arial"/>
          <w:color w:val="000000" w:themeColor="text1"/>
          <w:lang w:val="es-ES_tradnl"/>
        </w:rPr>
        <w:footnoteReference w:id="2"/>
      </w:r>
      <w:r w:rsidRPr="008A6B08">
        <w:rPr>
          <w:rFonts w:ascii="Arial" w:hAnsi="Arial" w:eastAsia="Calibri" w:cs="Arial"/>
          <w:color w:val="000000" w:themeColor="text1"/>
          <w:lang w:val="es-ES_tradnl"/>
        </w:rPr>
        <w:t xml:space="preserve">. El artículo 7º de la misma Ley permite la publicidad </w:t>
      </w:r>
      <w:r w:rsidRPr="008A6B08">
        <w:rPr>
          <w:rFonts w:ascii="Arial" w:hAnsi="Arial" w:eastAsia="Calibri" w:cs="Arial"/>
          <w:color w:val="000000" w:themeColor="text1"/>
          <w:lang w:val="es-ES_tradnl"/>
        </w:rPr>
        <w:t>electrónica de las normas y actos generales de la Administración pública</w:t>
      </w:r>
      <w:r w:rsidRPr="008A6B08">
        <w:rPr>
          <w:rStyle w:val="Refdenotaalpie"/>
          <w:rFonts w:ascii="Arial" w:hAnsi="Arial" w:eastAsia="Calibri" w:cs="Arial"/>
          <w:color w:val="000000" w:themeColor="text1"/>
          <w:lang w:val="es-ES_tradnl"/>
        </w:rPr>
        <w:footnoteReference w:id="3"/>
      </w:r>
      <w:r w:rsidRPr="008A6B08">
        <w:rPr>
          <w:rFonts w:ascii="Arial" w:hAnsi="Arial" w:eastAsia="Calibri" w:cs="Arial"/>
          <w:color w:val="000000" w:themeColor="text1"/>
          <w:lang w:val="es-ES_tradnl"/>
        </w:rPr>
        <w:t>, e igualmente, el artículo 10º exige que las entidades estatales tengan un correo electrónico habilitando para la recepción de mensajes enviados por las personas</w:t>
      </w:r>
      <w:r w:rsidRPr="008A6B08">
        <w:rPr>
          <w:rStyle w:val="Refdenotaalpie"/>
          <w:rFonts w:ascii="Arial" w:hAnsi="Arial" w:eastAsia="Calibri" w:cs="Arial"/>
          <w:color w:val="000000" w:themeColor="text1"/>
          <w:lang w:val="es-ES_tradnl"/>
        </w:rPr>
        <w:footnoteReference w:id="4"/>
      </w:r>
      <w:r w:rsidRPr="008A6B08">
        <w:rPr>
          <w:rFonts w:ascii="Arial" w:hAnsi="Arial" w:eastAsia="Calibri" w:cs="Arial"/>
          <w:color w:val="000000" w:themeColor="text1"/>
          <w:lang w:val="es-ES_tradnl"/>
        </w:rPr>
        <w:t>. Entretanto, el Decreto 019 de 2012</w:t>
      </w:r>
      <w:r w:rsidRPr="008A6B08">
        <w:rPr>
          <w:rStyle w:val="Refdenotaalpie"/>
          <w:rFonts w:ascii="Arial" w:hAnsi="Arial" w:eastAsia="Calibri" w:cs="Arial"/>
          <w:color w:val="000000" w:themeColor="text1"/>
          <w:lang w:val="es-ES_tradnl"/>
        </w:rPr>
        <w:footnoteReference w:id="5"/>
      </w:r>
      <w:r w:rsidRPr="008A6B08">
        <w:rPr>
          <w:rFonts w:ascii="Arial" w:hAnsi="Arial" w:eastAsia="Calibri" w:cs="Arial"/>
          <w:color w:val="000000" w:themeColor="text1"/>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8A6B08">
        <w:rPr>
          <w:rStyle w:val="Refdenotaalpie"/>
          <w:rFonts w:ascii="Arial" w:hAnsi="Arial" w:eastAsia="Calibri" w:cs="Arial"/>
          <w:color w:val="000000" w:themeColor="text1"/>
          <w:lang w:val="es-ES_tradnl"/>
        </w:rPr>
        <w:footnoteReference w:id="6"/>
      </w:r>
      <w:r w:rsidRPr="008A6B08">
        <w:rPr>
          <w:rFonts w:ascii="Arial" w:hAnsi="Arial" w:eastAsia="Calibri" w:cs="Arial"/>
          <w:color w:val="000000" w:themeColor="text1"/>
          <w:lang w:val="es-ES_tradnl"/>
        </w:rPr>
        <w:t xml:space="preserve">, 38 –que establece como función del </w:t>
      </w:r>
      <w:r w:rsidRPr="008A6B08">
        <w:rPr>
          <w:rFonts w:ascii="Arial" w:hAnsi="Arial" w:eastAsia="Calibri" w:cs="Arial"/>
          <w:color w:val="000000" w:themeColor="text1"/>
          <w:lang w:val="es-ES_tradnl"/>
        </w:rPr>
        <w:t xml:space="preserve">Departamento Administrativo de la Función Pública, el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Facilitar el acceso a la información y ejecución de los trámites y procedimientos administrativos por medios electrónicos, creando las condiciones de confianza en el uso de los mismos</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y el 223 –que elimina el Diario Único de Contratación y obliga a las entidades a publicar la actividad contractual exclusivamente en el SECOP–</w:t>
      </w:r>
      <w:r w:rsidRPr="008A6B08">
        <w:rPr>
          <w:rStyle w:val="Refdenotaalpie"/>
          <w:rFonts w:ascii="Arial" w:hAnsi="Arial" w:eastAsia="Calibri" w:cs="Arial"/>
          <w:color w:val="000000" w:themeColor="text1"/>
          <w:lang w:val="es-ES_tradnl"/>
        </w:rPr>
        <w:footnoteReference w:id="7"/>
      </w:r>
      <w:r w:rsidRPr="008A6B08">
        <w:rPr>
          <w:rFonts w:ascii="Arial" w:hAnsi="Arial" w:eastAsia="Calibri" w:cs="Arial"/>
          <w:color w:val="000000" w:themeColor="text1"/>
          <w:lang w:val="es-ES_tradnl"/>
        </w:rPr>
        <w:t>, entre otros. De igual manera, el Decreto 2106 de 2019</w:t>
      </w:r>
      <w:r w:rsidRPr="008A6B08">
        <w:rPr>
          <w:rStyle w:val="Refdenotaalpie"/>
          <w:rFonts w:ascii="Arial" w:hAnsi="Arial" w:eastAsia="Calibri" w:cs="Arial"/>
          <w:color w:val="000000" w:themeColor="text1"/>
          <w:lang w:val="es-ES_tradnl"/>
        </w:rPr>
        <w:footnoteReference w:id="8"/>
      </w:r>
      <w:r w:rsidRPr="008A6B08">
        <w:rPr>
          <w:rFonts w:ascii="Arial" w:hAnsi="Arial" w:eastAsia="Calibri" w:cs="Arial"/>
          <w:color w:val="000000" w:themeColor="text1"/>
          <w:lang w:val="es-ES_tradnl"/>
        </w:rPr>
        <w:t xml:space="preserve"> establece que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Pr>
          <w:rFonts w:ascii="Arial" w:hAnsi="Arial" w:eastAsia="Calibri" w:cs="Arial"/>
          <w:color w:val="000000" w:themeColor="text1"/>
          <w:lang w:val="es-ES_tradnl"/>
        </w:rPr>
        <w:t>”</w:t>
      </w:r>
      <w:r w:rsidRPr="008A6B08">
        <w:rPr>
          <w:rStyle w:val="Refdenotaalpie"/>
          <w:rFonts w:ascii="Arial" w:hAnsi="Arial" w:eastAsia="Calibri" w:cs="Arial"/>
          <w:color w:val="000000" w:themeColor="text1"/>
          <w:lang w:val="es-ES_tradnl"/>
        </w:rPr>
        <w:footnoteReference w:id="9"/>
      </w:r>
      <w:r w:rsidRPr="008A6B08">
        <w:rPr>
          <w:rFonts w:ascii="Arial" w:hAnsi="Arial" w:eastAsia="Calibri" w:cs="Arial"/>
          <w:color w:val="000000" w:themeColor="text1"/>
          <w:lang w:val="es-ES_tradnl"/>
        </w:rPr>
        <w:t xml:space="preserve">. Además, reconoce que las personas pueden adelantar sus trámites a través de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todos los portales, sitios web, plataformas, ventanillas únicas, aplicaciones y soluciones existentes</w:t>
      </w:r>
      <w:r>
        <w:rPr>
          <w:rFonts w:ascii="Arial" w:hAnsi="Arial" w:eastAsia="Calibri" w:cs="Arial"/>
          <w:color w:val="000000" w:themeColor="text1"/>
          <w:lang w:val="es-ES_tradnl"/>
        </w:rPr>
        <w:t>”</w:t>
      </w:r>
      <w:r w:rsidRPr="008A6B08">
        <w:rPr>
          <w:rStyle w:val="Refdenotaalpie"/>
          <w:rFonts w:ascii="Arial" w:hAnsi="Arial" w:eastAsia="Calibri" w:cs="Arial"/>
          <w:color w:val="000000" w:themeColor="text1"/>
          <w:lang w:val="es-ES_tradnl"/>
        </w:rPr>
        <w:footnoteReference w:id="10"/>
      </w:r>
      <w:r w:rsidRPr="008A6B08">
        <w:rPr>
          <w:rFonts w:ascii="Arial" w:hAnsi="Arial" w:eastAsia="Calibri" w:cs="Arial"/>
          <w:color w:val="000000" w:themeColor="text1"/>
          <w:lang w:val="es-ES_tradnl"/>
        </w:rPr>
        <w:t xml:space="preserve"> y autoriza la gestión documental electrónica</w:t>
      </w:r>
      <w:r w:rsidRPr="008A6B08">
        <w:rPr>
          <w:rStyle w:val="Refdenotaalpie"/>
          <w:rFonts w:ascii="Arial" w:hAnsi="Arial" w:eastAsia="Calibri" w:cs="Arial"/>
          <w:color w:val="000000" w:themeColor="text1"/>
          <w:lang w:val="es-ES_tradnl"/>
        </w:rPr>
        <w:footnoteReference w:id="11"/>
      </w:r>
      <w:r w:rsidRPr="008A6B08">
        <w:rPr>
          <w:rFonts w:ascii="Arial" w:hAnsi="Arial" w:eastAsia="Calibri" w:cs="Arial"/>
          <w:color w:val="000000" w:themeColor="text1"/>
          <w:lang w:val="es-ES_tradnl"/>
        </w:rPr>
        <w:t>. En igual sentido, el artículo 5 de la Ley 2052 de 2020 prevé la digitalización de los trámites</w:t>
      </w:r>
      <w:r w:rsidRPr="008A6B08">
        <w:rPr>
          <w:rStyle w:val="Refdenotaalpie"/>
          <w:rFonts w:ascii="Arial" w:hAnsi="Arial" w:eastAsia="Calibri" w:cs="Arial"/>
          <w:color w:val="000000" w:themeColor="text1"/>
          <w:lang w:val="es-ES_tradnl"/>
        </w:rPr>
        <w:footnoteReference w:id="12"/>
      </w:r>
      <w:r w:rsidRPr="008A6B08">
        <w:rPr>
          <w:rFonts w:ascii="Arial" w:hAnsi="Arial" w:eastAsia="Calibri" w:cs="Arial"/>
          <w:color w:val="000000" w:themeColor="text1"/>
          <w:lang w:val="es-ES_tradnl"/>
        </w:rPr>
        <w:t>.</w:t>
      </w:r>
    </w:p>
    <w:p w:rsidRPr="008A6B08" w:rsidR="006423A7" w:rsidP="006423A7" w:rsidRDefault="006423A7" w14:paraId="082F53E9" w14:textId="77777777">
      <w:pPr>
        <w:spacing w:before="120" w:after="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 xml:space="preserve">Pero no solo las disposiciones que integran lo que comúnmente conocemos como normativa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antitrámites</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–y que se acaban de reseñar– han sido las que han permitido o exigido el uso de medios electrónicos en las actuaciones normativas. También lo han hecho: la Ley 527 de 1999, la Ley 1150 de 2007, la Ley 1341 de 2009 y la Ley 1437 de 2011.</w:t>
      </w:r>
    </w:p>
    <w:p w:rsidRPr="008A6B08" w:rsidR="006423A7" w:rsidP="006423A7" w:rsidRDefault="006423A7" w14:paraId="1AB2BD41" w14:textId="77777777">
      <w:pPr>
        <w:spacing w:before="120" w:after="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En efecto, la Ley 527 de 1999</w:t>
      </w:r>
      <w:r w:rsidRPr="008A6B08">
        <w:rPr>
          <w:rStyle w:val="Refdenotaalpie"/>
          <w:rFonts w:ascii="Arial" w:hAnsi="Arial" w:eastAsia="Calibri" w:cs="Arial"/>
          <w:color w:val="000000" w:themeColor="text1"/>
          <w:lang w:val="es-ES_tradnl"/>
        </w:rPr>
        <w:footnoteReference w:id="13"/>
      </w:r>
      <w:r w:rsidRPr="008A6B08">
        <w:rPr>
          <w:rFonts w:ascii="Arial" w:hAnsi="Arial" w:eastAsia="Calibri" w:cs="Arial"/>
          <w:color w:val="000000" w:themeColor="text1"/>
          <w:lang w:val="es-ES_tradnl"/>
        </w:rPr>
        <w:t xml:space="preserve"> establece en el artículo 10º que,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De igual manera, define el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mensaje de datos</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como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Pr>
          <w:rFonts w:ascii="Arial" w:hAnsi="Arial" w:eastAsia="Calibri" w:cs="Arial"/>
          <w:color w:val="000000" w:themeColor="text1"/>
          <w:lang w:val="es-ES_tradnl"/>
        </w:rPr>
        <w:t>”</w:t>
      </w:r>
      <w:r w:rsidRPr="008A6B08">
        <w:rPr>
          <w:rStyle w:val="Refdenotaalpie"/>
          <w:rFonts w:ascii="Arial" w:hAnsi="Arial" w:eastAsia="Calibri" w:cs="Arial"/>
          <w:color w:val="000000" w:themeColor="text1"/>
          <w:lang w:val="es-ES_tradnl"/>
        </w:rPr>
        <w:footnoteReference w:id="14"/>
      </w:r>
      <w:r w:rsidRPr="008A6B08">
        <w:rPr>
          <w:rFonts w:ascii="Arial" w:hAnsi="Arial" w:eastAsia="Calibri" w:cs="Arial"/>
          <w:color w:val="000000" w:themeColor="text1"/>
          <w:lang w:val="es-ES_tradnl"/>
        </w:rPr>
        <w:t xml:space="preserve"> y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sistema de información</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como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todo sistema utilizado para generar, enviar, recibir, archivar o procesar de alguna otra forma mensajes de datos</w:t>
      </w:r>
      <w:r>
        <w:rPr>
          <w:rFonts w:ascii="Arial" w:hAnsi="Arial" w:eastAsia="Calibri" w:cs="Arial"/>
          <w:color w:val="000000" w:themeColor="text1"/>
          <w:lang w:val="es-ES_tradnl"/>
        </w:rPr>
        <w:t>”</w:t>
      </w:r>
      <w:r w:rsidRPr="008A6B08">
        <w:rPr>
          <w:rStyle w:val="Refdenotaalpie"/>
          <w:rFonts w:ascii="Arial" w:hAnsi="Arial" w:eastAsia="Calibri" w:cs="Arial"/>
          <w:color w:val="000000" w:themeColor="text1"/>
          <w:lang w:val="es-ES_tradnl"/>
        </w:rPr>
        <w:footnoteReference w:id="15"/>
      </w:r>
      <w:r w:rsidRPr="008A6B08">
        <w:rPr>
          <w:rFonts w:ascii="Arial" w:hAnsi="Arial" w:eastAsia="Calibri" w:cs="Arial"/>
          <w:color w:val="000000" w:themeColor="text1"/>
          <w:lang w:val="es-ES_tradnl"/>
        </w:rPr>
        <w:t xml:space="preserve">. Bajo este entendido, las aplicaciones web, que posibilitan el envío de mensajes de datos escritos o audiovisuales, como </w:t>
      </w:r>
      <w:r w:rsidRPr="008A6B08">
        <w:rPr>
          <w:rFonts w:ascii="Arial" w:hAnsi="Arial" w:eastAsia="Calibri" w:cs="Arial"/>
          <w:i/>
          <w:color w:val="000000" w:themeColor="text1"/>
          <w:lang w:val="es-ES_tradnl"/>
        </w:rPr>
        <w:t>Skype</w:t>
      </w:r>
      <w:r w:rsidRPr="008A6B08">
        <w:rPr>
          <w:rFonts w:ascii="Arial" w:hAnsi="Arial" w:eastAsia="Calibri" w:cs="Arial"/>
          <w:color w:val="000000" w:themeColor="text1"/>
          <w:lang w:val="es-ES_tradnl"/>
        </w:rPr>
        <w:t xml:space="preserve">, </w:t>
      </w:r>
      <w:r w:rsidRPr="008A6B08">
        <w:rPr>
          <w:rFonts w:ascii="Arial" w:hAnsi="Arial" w:eastAsia="Calibri" w:cs="Arial"/>
          <w:i/>
          <w:color w:val="000000" w:themeColor="text1"/>
          <w:lang w:val="es-ES_tradnl"/>
        </w:rPr>
        <w:t>Facetime</w:t>
      </w:r>
      <w:r w:rsidRPr="008A6B08">
        <w:rPr>
          <w:rFonts w:ascii="Arial" w:hAnsi="Arial" w:eastAsia="Calibri" w:cs="Arial"/>
          <w:color w:val="000000" w:themeColor="text1"/>
          <w:lang w:val="es-ES_tradnl"/>
        </w:rPr>
        <w:t xml:space="preserve">, </w:t>
      </w:r>
      <w:r w:rsidRPr="008A6B08">
        <w:rPr>
          <w:rFonts w:ascii="Arial" w:hAnsi="Arial" w:eastAsia="Calibri" w:cs="Arial"/>
          <w:i/>
          <w:color w:val="000000" w:themeColor="text1"/>
          <w:lang w:val="es-ES_tradnl"/>
        </w:rPr>
        <w:t>Whatsapp</w:t>
      </w:r>
      <w:r w:rsidRPr="008A6B08">
        <w:rPr>
          <w:rFonts w:ascii="Arial" w:hAnsi="Arial" w:eastAsia="Calibri" w:cs="Arial"/>
          <w:color w:val="000000" w:themeColor="text1"/>
          <w:lang w:val="es-ES_tradnl"/>
        </w:rPr>
        <w:t xml:space="preserve">, </w:t>
      </w:r>
      <w:r w:rsidRPr="008A6B08">
        <w:rPr>
          <w:rFonts w:ascii="Arial" w:hAnsi="Arial" w:eastAsia="Calibri" w:cs="Arial"/>
          <w:i/>
          <w:color w:val="000000" w:themeColor="text1"/>
          <w:lang w:val="es-ES_tradnl"/>
        </w:rPr>
        <w:t>Teams</w:t>
      </w:r>
      <w:r w:rsidRPr="008A6B08">
        <w:rPr>
          <w:rFonts w:ascii="Arial" w:hAnsi="Arial" w:eastAsia="Calibri" w:cs="Arial"/>
          <w:color w:val="000000" w:themeColor="text1"/>
          <w:lang w:val="es-ES_tradnl"/>
        </w:rPr>
        <w:t>, entre otras, constituyen sistemas de información, permitidos por el legislador en las actuaciones administrativas.</w:t>
      </w:r>
    </w:p>
    <w:p w:rsidR="006423A7" w:rsidP="006423A7" w:rsidRDefault="006423A7" w14:paraId="56133583" w14:textId="77777777">
      <w:pPr>
        <w:spacing w:before="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Adicionalmente, la Ley 1150 de 2007</w:t>
      </w:r>
      <w:r w:rsidRPr="008A6B08">
        <w:rPr>
          <w:rStyle w:val="Refdenotaalpie"/>
          <w:rFonts w:ascii="Arial" w:hAnsi="Arial" w:eastAsia="Calibri" w:cs="Arial"/>
          <w:color w:val="000000" w:themeColor="text1"/>
          <w:lang w:val="es-ES_tradnl"/>
        </w:rPr>
        <w:footnoteReference w:id="16"/>
      </w:r>
      <w:r w:rsidRPr="008A6B08">
        <w:rPr>
          <w:rFonts w:ascii="Arial" w:hAnsi="Arial" w:eastAsia="Calibri" w:cs="Arial"/>
          <w:color w:val="000000" w:themeColor="text1"/>
          <w:lang w:val="es-ES_tradnl"/>
        </w:rPr>
        <w:t xml:space="preserve"> incorporó la posibilidad de utilizar dichos sistemas de información y en general los medios electrónicos en las actuaciones contractuales. Así se infiere del artículo 3, a cuyo tenor:</w:t>
      </w:r>
    </w:p>
    <w:p w:rsidR="00643670" w:rsidP="006423A7" w:rsidRDefault="00643670" w14:paraId="0F5F7F19" w14:textId="77777777">
      <w:pPr>
        <w:spacing w:before="120" w:line="276" w:lineRule="auto"/>
        <w:ind w:firstLine="567"/>
        <w:jc w:val="both"/>
        <w:rPr>
          <w:rFonts w:ascii="Arial" w:hAnsi="Arial" w:eastAsia="Calibri" w:cs="Arial"/>
          <w:color w:val="000000" w:themeColor="text1"/>
          <w:lang w:val="es-ES_tradnl"/>
        </w:rPr>
      </w:pPr>
    </w:p>
    <w:p w:rsidRPr="008A6B08" w:rsidR="006423A7" w:rsidP="006423A7" w:rsidRDefault="006423A7" w14:paraId="39F8C6B2" w14:textId="77777777">
      <w:pPr>
        <w:ind w:left="709" w:right="709"/>
        <w:jc w:val="both"/>
        <w:rPr>
          <w:rFonts w:ascii="Arial" w:hAnsi="Arial" w:eastAsia="Calibri" w:cs="Arial"/>
          <w:color w:val="000000" w:themeColor="text1"/>
          <w:sz w:val="21"/>
          <w:szCs w:val="21"/>
          <w:lang w:val="es-ES_tradnl"/>
        </w:rPr>
      </w:pPr>
      <w:r>
        <w:rPr>
          <w:rFonts w:ascii="Arial" w:hAnsi="Arial" w:eastAsia="Calibri" w:cs="Arial"/>
          <w:color w:val="000000" w:themeColor="text1"/>
          <w:sz w:val="21"/>
          <w:szCs w:val="21"/>
          <w:lang w:val="es-ES_tradnl"/>
        </w:rPr>
        <w:t>“</w:t>
      </w:r>
      <w:r w:rsidRPr="008A6B08">
        <w:rPr>
          <w:rFonts w:ascii="Arial" w:hAnsi="Arial" w:eastAsia="Calibri"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8A6B08" w:rsidR="006423A7" w:rsidP="006423A7" w:rsidRDefault="006423A7" w14:paraId="17EB67EB"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Lo anterior, sin perjuicio de las publicaciones previstas en el numeral 3 del artículo 30 de la Ley 80 de 1993.</w:t>
      </w:r>
    </w:p>
    <w:p w:rsidRPr="008A6B08" w:rsidR="006423A7" w:rsidP="006423A7" w:rsidRDefault="006423A7" w14:paraId="3CFE6043"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rsidRPr="008A6B08" w:rsidR="006423A7" w:rsidP="006423A7" w:rsidRDefault="006423A7" w14:paraId="05BFC588"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rsidRPr="008A6B08" w:rsidR="006423A7" w:rsidP="006423A7" w:rsidRDefault="006423A7" w14:paraId="2909A80E"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b) Servirá de punto único de ingreso de información y de generación de reportes para las entidades estatales y la ciudadanía;</w:t>
      </w:r>
    </w:p>
    <w:p w:rsidRPr="008A6B08" w:rsidR="006423A7" w:rsidP="006423A7" w:rsidRDefault="006423A7" w14:paraId="7280FD05"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rsidR="006423A7" w:rsidP="006423A7" w:rsidRDefault="006423A7" w14:paraId="5977A426"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8A6B08" w:rsidR="006423A7" w:rsidP="006423A7" w:rsidRDefault="006423A7" w14:paraId="5DE11F0B" w14:textId="77777777">
      <w:pPr>
        <w:ind w:left="709" w:right="709"/>
        <w:jc w:val="both"/>
        <w:rPr>
          <w:rFonts w:ascii="Arial" w:hAnsi="Arial" w:eastAsia="Calibri" w:cs="Arial"/>
          <w:color w:val="000000" w:themeColor="text1"/>
          <w:sz w:val="21"/>
          <w:szCs w:val="21"/>
          <w:lang w:val="es-ES_tradnl"/>
        </w:rPr>
      </w:pPr>
    </w:p>
    <w:p w:rsidR="006423A7" w:rsidP="006423A7" w:rsidRDefault="006423A7" w14:paraId="2070CFA6" w14:textId="77777777">
      <w:pPr>
        <w:ind w:left="709" w:right="709"/>
        <w:jc w:val="both"/>
        <w:rPr>
          <w:rFonts w:ascii="Arial" w:hAnsi="Arial" w:eastAsia="Calibri" w:cs="Arial"/>
          <w:color w:val="000000" w:themeColor="text1"/>
          <w:sz w:val="21"/>
          <w:szCs w:val="21"/>
          <w:lang w:val="es-ES_tradnl"/>
        </w:rPr>
      </w:pPr>
      <w:r>
        <w:rPr>
          <w:rFonts w:ascii="Arial" w:hAnsi="Arial" w:eastAsia="Calibri" w:cs="Arial"/>
          <w:color w:val="000000" w:themeColor="text1"/>
          <w:sz w:val="21"/>
          <w:szCs w:val="21"/>
          <w:lang w:val="es-ES_tradnl"/>
        </w:rPr>
        <w:t>“</w:t>
      </w:r>
      <w:r w:rsidRPr="008A6B08">
        <w:rPr>
          <w:rFonts w:ascii="Arial" w:hAnsi="Arial" w:eastAsia="Calibri" w:cs="Arial"/>
          <w:color w:val="000000" w:themeColor="text1"/>
          <w:sz w:val="21"/>
          <w:szCs w:val="21"/>
          <w:lang w:val="es-ES_tradnl"/>
        </w:rPr>
        <w:t>PARÁGRAFO 1o. En ningún caso la administración del Secop supondrá la creación de una nueva entidad.</w:t>
      </w:r>
    </w:p>
    <w:p w:rsidRPr="008A6B08" w:rsidR="006423A7" w:rsidP="006423A7" w:rsidRDefault="006423A7" w14:paraId="22DAE74D" w14:textId="77777777">
      <w:pPr>
        <w:ind w:left="709" w:right="709"/>
        <w:jc w:val="both"/>
        <w:rPr>
          <w:rFonts w:ascii="Arial" w:hAnsi="Arial" w:eastAsia="Calibri" w:cs="Arial"/>
          <w:color w:val="000000" w:themeColor="text1"/>
          <w:sz w:val="21"/>
          <w:szCs w:val="21"/>
          <w:lang w:val="es-ES_tradnl"/>
        </w:rPr>
      </w:pPr>
    </w:p>
    <w:p w:rsidR="006423A7" w:rsidP="006423A7" w:rsidRDefault="006423A7" w14:paraId="42E84033" w14:textId="77777777">
      <w:pPr>
        <w:ind w:left="709" w:right="709"/>
        <w:jc w:val="both"/>
        <w:rPr>
          <w:rFonts w:ascii="Arial" w:hAnsi="Arial" w:eastAsia="Calibri" w:cs="Arial"/>
          <w:color w:val="000000" w:themeColor="text1"/>
          <w:sz w:val="21"/>
          <w:szCs w:val="21"/>
          <w:lang w:val="es-ES_tradnl"/>
        </w:rPr>
      </w:pPr>
      <w:r w:rsidRPr="008A6B08">
        <w:rPr>
          <w:rFonts w:ascii="Arial" w:hAnsi="Arial" w:eastAsia="Calibri" w:cs="Arial"/>
          <w:color w:val="000000" w:themeColor="text1"/>
          <w:sz w:val="21"/>
          <w:szCs w:val="21"/>
          <w:lang w:val="es-ES_tradnl"/>
        </w:rPr>
        <w:t>El Secop será administrado por el organismo que designe el Gobierno Nacional, sin perjuicio de la autonomía que respecto del SICE confiere la Ley 598 de 2000 a la Contraloría General de la República</w:t>
      </w:r>
      <w:r>
        <w:rPr>
          <w:rFonts w:ascii="Arial" w:hAnsi="Arial" w:eastAsia="Calibri" w:cs="Arial"/>
          <w:color w:val="000000" w:themeColor="text1"/>
          <w:sz w:val="21"/>
          <w:szCs w:val="21"/>
          <w:lang w:val="es-ES_tradnl"/>
        </w:rPr>
        <w:t>”</w:t>
      </w:r>
      <w:r w:rsidRPr="008A6B08">
        <w:rPr>
          <w:rStyle w:val="Refdenotaalpie"/>
          <w:rFonts w:ascii="Arial" w:hAnsi="Arial" w:eastAsia="Calibri" w:cs="Arial"/>
          <w:color w:val="000000" w:themeColor="text1"/>
          <w:sz w:val="21"/>
          <w:szCs w:val="21"/>
          <w:lang w:val="es-ES_tradnl"/>
        </w:rPr>
        <w:footnoteReference w:id="17"/>
      </w:r>
      <w:r w:rsidRPr="008A6B08">
        <w:rPr>
          <w:rFonts w:ascii="Arial" w:hAnsi="Arial" w:eastAsia="Calibri" w:cs="Arial"/>
          <w:color w:val="000000" w:themeColor="text1"/>
          <w:sz w:val="21"/>
          <w:szCs w:val="21"/>
          <w:lang w:val="es-ES_tradnl"/>
        </w:rPr>
        <w:t>.</w:t>
      </w:r>
    </w:p>
    <w:p w:rsidR="006423A7" w:rsidP="006423A7" w:rsidRDefault="006423A7" w14:paraId="62F3CC73" w14:textId="77777777">
      <w:pPr>
        <w:spacing w:after="120" w:line="276" w:lineRule="auto"/>
        <w:ind w:firstLine="567"/>
        <w:jc w:val="both"/>
        <w:rPr>
          <w:rFonts w:ascii="Arial" w:hAnsi="Arial" w:eastAsia="Calibri" w:cs="Arial"/>
          <w:color w:val="000000" w:themeColor="text1"/>
          <w:lang w:val="es-ES_tradnl"/>
        </w:rPr>
      </w:pPr>
    </w:p>
    <w:p w:rsidR="006423A7" w:rsidP="006423A7" w:rsidRDefault="006423A7" w14:paraId="3DF75582" w14:textId="77777777">
      <w:pPr>
        <w:spacing w:after="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rsidR="006423A7" w:rsidP="006423A7" w:rsidRDefault="006423A7" w14:paraId="54982E1F" w14:textId="77777777">
      <w:pPr>
        <w:spacing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La Ley 1341 de 2009</w:t>
      </w:r>
      <w:r w:rsidRPr="008A6B08">
        <w:rPr>
          <w:rStyle w:val="Refdenotaalpie"/>
          <w:rFonts w:ascii="Arial" w:hAnsi="Arial" w:eastAsia="Calibri" w:cs="Arial"/>
          <w:color w:val="000000" w:themeColor="text1"/>
          <w:lang w:val="es-ES_tradnl"/>
        </w:rPr>
        <w:footnoteReference w:id="18"/>
      </w:r>
      <w:r w:rsidRPr="008A6B08">
        <w:rPr>
          <w:rFonts w:ascii="Arial" w:hAnsi="Arial" w:eastAsia="Calibri" w:cs="Arial"/>
          <w:color w:val="000000" w:themeColor="text1"/>
          <w:lang w:val="es-ES_tradnl"/>
        </w:rPr>
        <w:t xml:space="preserve"> establece la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masificación del gobierno en línea</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indicando en el artículo 2, numeral 8, que:</w:t>
      </w:r>
    </w:p>
    <w:p w:rsidRPr="008A6B08" w:rsidR="006423A7" w:rsidP="006423A7" w:rsidRDefault="006423A7" w14:paraId="6D2E498E" w14:textId="77777777">
      <w:pPr>
        <w:spacing w:line="276" w:lineRule="auto"/>
        <w:ind w:firstLine="567"/>
        <w:jc w:val="both"/>
        <w:rPr>
          <w:rFonts w:ascii="Arial" w:hAnsi="Arial" w:eastAsia="Calibri" w:cs="Arial"/>
          <w:color w:val="000000" w:themeColor="text1"/>
          <w:lang w:val="es-ES_tradnl"/>
        </w:rPr>
      </w:pPr>
    </w:p>
    <w:p w:rsidR="006423A7" w:rsidP="006423A7" w:rsidRDefault="006423A7" w14:paraId="23C8B4D0" w14:textId="77777777">
      <w:pPr>
        <w:spacing w:line="276" w:lineRule="auto"/>
        <w:ind w:left="709" w:right="709"/>
        <w:jc w:val="both"/>
        <w:rPr>
          <w:rFonts w:ascii="Arial" w:hAnsi="Arial" w:eastAsia="Calibri" w:cs="Arial"/>
          <w:color w:val="000000" w:themeColor="text1"/>
          <w:sz w:val="21"/>
          <w:szCs w:val="21"/>
          <w:lang w:val="es-ES_tradnl"/>
        </w:rPr>
      </w:pPr>
      <w:r>
        <w:rPr>
          <w:rFonts w:ascii="Arial" w:hAnsi="Arial" w:eastAsia="Calibri" w:cs="Arial"/>
          <w:color w:val="000000" w:themeColor="text1"/>
          <w:sz w:val="21"/>
          <w:szCs w:val="21"/>
          <w:lang w:val="es-ES_tradnl"/>
        </w:rPr>
        <w:t>“</w:t>
      </w:r>
      <w:r w:rsidRPr="008A6B08">
        <w:rPr>
          <w:rFonts w:ascii="Arial" w:hAnsi="Arial" w:eastAsia="Calibri" w:cs="Arial"/>
          <w:color w:val="000000" w:themeColor="text1"/>
          <w:sz w:val="21"/>
          <w:szCs w:val="21"/>
          <w:lang w:val="es-ES_tradnl"/>
        </w:rPr>
        <w:t>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w:t>
      </w:r>
      <w:r>
        <w:rPr>
          <w:rFonts w:ascii="Arial" w:hAnsi="Arial" w:eastAsia="Calibri" w:cs="Arial"/>
          <w:color w:val="000000" w:themeColor="text1"/>
          <w:sz w:val="21"/>
          <w:szCs w:val="21"/>
          <w:lang w:val="es-ES_tradnl"/>
        </w:rPr>
        <w:t>”</w:t>
      </w:r>
      <w:r w:rsidRPr="008A6B08">
        <w:rPr>
          <w:rFonts w:ascii="Arial" w:hAnsi="Arial" w:eastAsia="Calibri" w:cs="Arial"/>
          <w:color w:val="000000" w:themeColor="text1"/>
          <w:sz w:val="21"/>
          <w:szCs w:val="21"/>
          <w:lang w:val="es-ES_tradnl"/>
        </w:rPr>
        <w:t xml:space="preserve">. </w:t>
      </w:r>
    </w:p>
    <w:p w:rsidRPr="008A6B08" w:rsidR="006423A7" w:rsidP="006423A7" w:rsidRDefault="006423A7" w14:paraId="65CD5C83" w14:textId="77777777">
      <w:pPr>
        <w:spacing w:line="276" w:lineRule="auto"/>
        <w:ind w:left="709" w:right="709"/>
        <w:jc w:val="both"/>
        <w:rPr>
          <w:rFonts w:ascii="Arial" w:hAnsi="Arial" w:eastAsia="Calibri" w:cs="Arial"/>
          <w:color w:val="000000" w:themeColor="text1"/>
          <w:sz w:val="21"/>
          <w:szCs w:val="21"/>
          <w:lang w:val="es-ES_tradnl"/>
        </w:rPr>
      </w:pPr>
    </w:p>
    <w:p w:rsidRPr="008A6B08" w:rsidR="006423A7" w:rsidP="006423A7" w:rsidRDefault="006423A7" w14:paraId="1262FC56" w14:textId="77777777">
      <w:pPr>
        <w:spacing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La Ley 1437 de 2011</w:t>
      </w:r>
      <w:r w:rsidRPr="008A6B08">
        <w:rPr>
          <w:rStyle w:val="Refdenotaalpie"/>
          <w:rFonts w:ascii="Arial" w:hAnsi="Arial" w:eastAsia="Calibri" w:cs="Arial"/>
          <w:color w:val="000000" w:themeColor="text1"/>
          <w:lang w:val="es-ES_tradnl"/>
        </w:rPr>
        <w:footnoteReference w:id="19"/>
      </w:r>
      <w:r w:rsidRPr="008A6B08">
        <w:rPr>
          <w:rFonts w:ascii="Arial" w:hAnsi="Arial" w:eastAsia="Calibri" w:cs="Arial"/>
          <w:color w:val="000000" w:themeColor="text1"/>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8A6B08">
        <w:rPr>
          <w:rStyle w:val="Refdenotaalpie"/>
          <w:rFonts w:ascii="Arial" w:hAnsi="Arial" w:eastAsia="Calibri" w:cs="Arial"/>
          <w:color w:val="000000" w:themeColor="text1"/>
          <w:lang w:val="es-ES_tradnl"/>
        </w:rPr>
        <w:footnoteReference w:id="20"/>
      </w:r>
      <w:r w:rsidRPr="008A6B08">
        <w:rPr>
          <w:rFonts w:ascii="Arial" w:hAnsi="Arial" w:eastAsia="Calibri" w:cs="Arial"/>
          <w:color w:val="000000" w:themeColor="text1"/>
          <w:lang w:val="es-ES_tradnl"/>
        </w:rPr>
        <w:t xml:space="preserve">. En efecto, el artículo 5º, numeral 1, consagra, como derecho de las </w:t>
      </w:r>
      <w:r w:rsidRPr="008A6B08">
        <w:rPr>
          <w:rFonts w:ascii="Arial" w:hAnsi="Arial" w:eastAsia="Calibri" w:cs="Arial"/>
          <w:color w:val="000000" w:themeColor="text1"/>
          <w:lang w:val="es-ES_tradnl"/>
        </w:rPr>
        <w:t xml:space="preserve">personas ante las autoridades, el de presentar peticiones y adelantar o promover estas actuaciones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por cualquier medio tecnológico o electrónico disponible en la entidad, aún por fuera de las horas de atención al público</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derecho al que le es correlativo el deber en cabeza de las autoridades de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Tramitar las peticiones que lleguen vía fax o por medios electrónicos</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previsto en el artículo 7º, numeral 6. Así mismo, el artículo 35 establece que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Los procedimientos administrativos se adelantarán por escrito, verbalmente, o por medios electrónicos de conformidad con lo dispuesto en este Código o la ley</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rsidR="006423A7" w:rsidP="006423A7" w:rsidRDefault="006423A7" w14:paraId="7A77348C" w14:textId="77777777">
      <w:pPr>
        <w:spacing w:before="120" w:line="276" w:lineRule="auto"/>
        <w:ind w:firstLine="567"/>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La utilización de los medios electrónicos regulados en la Ley 1437 de 2011 en la contratación estatal es posible a partir de la remisión efectuada por el artículo 77 de la Ley 80 de 1993 a las normas del CPACA</w:t>
      </w:r>
      <w:r w:rsidRPr="008A6B08">
        <w:rPr>
          <w:rStyle w:val="Refdenotaalpie"/>
          <w:rFonts w:ascii="Arial" w:hAnsi="Arial" w:eastAsia="Calibri" w:cs="Arial"/>
          <w:color w:val="000000" w:themeColor="text1"/>
          <w:lang w:val="es-ES_tradnl"/>
        </w:rPr>
        <w:footnoteReference w:id="21"/>
      </w:r>
      <w:r w:rsidRPr="008A6B08">
        <w:rPr>
          <w:rFonts w:ascii="Arial" w:hAnsi="Arial" w:eastAsia="Calibri" w:cs="Arial"/>
          <w:color w:val="000000" w:themeColor="text1"/>
          <w:lang w:val="es-ES_tradnl"/>
        </w:rPr>
        <w:t>, que, a su vez, como se indicó, se remite a las disposiciones de la Ley 527 de 1999.</w:t>
      </w:r>
    </w:p>
    <w:p w:rsidRPr="008A6B08" w:rsidR="006423A7" w:rsidP="006423A7" w:rsidRDefault="006423A7" w14:paraId="4A27DFBC" w14:textId="77777777">
      <w:pPr>
        <w:spacing w:line="276" w:lineRule="auto"/>
        <w:ind w:firstLine="567"/>
        <w:jc w:val="both"/>
        <w:rPr>
          <w:rFonts w:ascii="Arial" w:hAnsi="Arial" w:eastAsia="Calibri" w:cs="Arial"/>
          <w:color w:val="000000" w:themeColor="text1"/>
          <w:lang w:val="es-ES_tradnl"/>
        </w:rPr>
      </w:pPr>
    </w:p>
    <w:p w:rsidR="006423A7" w:rsidP="006423A7" w:rsidRDefault="006423A7" w14:paraId="76BF1951" w14:textId="77777777">
      <w:pPr>
        <w:spacing w:line="276" w:lineRule="auto"/>
        <w:jc w:val="both"/>
        <w:rPr>
          <w:rFonts w:ascii="Arial" w:hAnsi="Arial" w:eastAsia="Calibri" w:cs="Arial"/>
          <w:b/>
          <w:bCs/>
          <w:color w:val="000000" w:themeColor="text1"/>
          <w:lang w:val="es-ES_tradnl"/>
        </w:rPr>
      </w:pPr>
      <w:r w:rsidRPr="008A6B08">
        <w:rPr>
          <w:rFonts w:ascii="Arial" w:hAnsi="Arial" w:eastAsia="Calibri" w:cs="Arial"/>
          <w:b/>
          <w:bCs/>
          <w:color w:val="000000" w:themeColor="text1"/>
          <w:lang w:val="es-ES_tradnl"/>
        </w:rPr>
        <w:t xml:space="preserve">2.2. Requisitos de las firmas manuscritas, electrónicas y digitales </w:t>
      </w:r>
    </w:p>
    <w:p w:rsidRPr="008A6B08" w:rsidR="006423A7" w:rsidP="006423A7" w:rsidRDefault="006423A7" w14:paraId="1C3B3974" w14:textId="77777777">
      <w:pPr>
        <w:spacing w:line="276" w:lineRule="auto"/>
        <w:jc w:val="both"/>
        <w:rPr>
          <w:rFonts w:ascii="Arial" w:hAnsi="Arial" w:eastAsia="Calibri" w:cs="Arial"/>
          <w:color w:val="000000" w:themeColor="text1"/>
          <w:lang w:val="es-ES_tradnl"/>
        </w:rPr>
      </w:pPr>
    </w:p>
    <w:p w:rsidRPr="008A6B08" w:rsidR="006423A7" w:rsidP="006423A7" w:rsidRDefault="006423A7" w14:paraId="2717E8E4" w14:textId="77777777">
      <w:pPr>
        <w:spacing w:after="120" w:line="276" w:lineRule="auto"/>
        <w:jc w:val="both"/>
        <w:rPr>
          <w:rFonts w:ascii="Arial" w:hAnsi="Arial" w:eastAsia="Calibri" w:cs="Arial"/>
          <w:color w:val="000000" w:themeColor="text1"/>
          <w:lang w:val="es-ES_tradnl"/>
        </w:rPr>
      </w:pPr>
      <w:r w:rsidRPr="008A6B08">
        <w:rPr>
          <w:rFonts w:ascii="Arial" w:hAnsi="Arial" w:eastAsia="Calibri" w:cs="Arial"/>
          <w:color w:val="000000" w:themeColor="text1"/>
          <w:lang w:val="es-ES_tradnl"/>
        </w:rPr>
        <w:t xml:space="preserve">El artículo 836 del Código de Comercio define la firma como </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la expresión del nombre del suscriptor o de alguno de los elementos que la integren o de un signo o símbolo empleado como medio de identificación personal</w:t>
      </w:r>
      <w:r>
        <w:rPr>
          <w:rFonts w:ascii="Arial" w:hAnsi="Arial" w:eastAsia="Calibri" w:cs="Arial"/>
          <w:color w:val="000000" w:themeColor="text1"/>
          <w:lang w:val="es-ES_tradnl"/>
        </w:rPr>
        <w:t>”</w:t>
      </w:r>
      <w:r w:rsidRPr="008A6B08">
        <w:rPr>
          <w:rFonts w:ascii="Arial" w:hAnsi="Arial" w:eastAsia="Calibri" w:cs="Arial"/>
          <w:color w:val="000000" w:themeColor="text1"/>
          <w:lang w:val="es-ES_tradnl"/>
        </w:rPr>
        <w:t xml:space="preserve">, es decir, la forma por la cual se identifica a una persona ya sea con el nombre del suscriptor, un símbolo o signo. </w:t>
      </w:r>
      <w:bookmarkStart w:name="_Hlk35441008" w:id="4"/>
      <w:r w:rsidRPr="008A6B08">
        <w:rPr>
          <w:rFonts w:ascii="Arial" w:hAnsi="Arial" w:eastAsia="Calibri" w:cs="Arial"/>
          <w:color w:val="000000" w:themeColor="text1"/>
          <w:lang w:val="es-ES_tradnl"/>
        </w:rPr>
        <w:t xml:space="preserve">Dentro del concepto general, la </w:t>
      </w:r>
      <w:r w:rsidRPr="008A6B08">
        <w:rPr>
          <w:rFonts w:ascii="Arial" w:hAnsi="Arial" w:eastAsia="Calibri" w:cs="Arial"/>
          <w:i/>
          <w:iCs/>
          <w:color w:val="000000" w:themeColor="text1"/>
          <w:lang w:val="es-ES_tradnl"/>
        </w:rPr>
        <w:t>firma manuscrita</w:t>
      </w:r>
      <w:r w:rsidRPr="008A6B08">
        <w:rPr>
          <w:rFonts w:ascii="Arial" w:hAnsi="Arial" w:eastAsia="Calibri" w:cs="Arial"/>
          <w:color w:val="000000" w:themeColor="text1"/>
          <w:lang w:val="es-ES_tradnl"/>
        </w:rPr>
        <w:t xml:space="preserve"> </w:t>
      </w:r>
      <w:r w:rsidRPr="008A6B08">
        <w:rPr>
          <w:rFonts w:ascii="Arial" w:hAnsi="Arial" w:eastAsia="Calibri" w:cs="Arial"/>
          <w:color w:val="000000" w:themeColor="text1"/>
        </w:rPr>
        <w:t xml:space="preserve">es </w:t>
      </w:r>
      <w:r>
        <w:rPr>
          <w:rFonts w:ascii="Arial" w:hAnsi="Arial" w:eastAsia="Calibri" w:cs="Arial"/>
          <w:color w:val="000000" w:themeColor="text1"/>
        </w:rPr>
        <w:t>“</w:t>
      </w:r>
      <w:r w:rsidRPr="008A6B08">
        <w:rPr>
          <w:rFonts w:ascii="Arial" w:hAnsi="Arial" w:eastAsia="Calibri" w:cs="Arial"/>
          <w:color w:val="000000" w:themeColor="text1"/>
        </w:rPr>
        <w:t xml:space="preserve">[…] un rasgo o signo </w:t>
      </w:r>
      <w:r w:rsidRPr="008A6B08">
        <w:rPr>
          <w:rFonts w:ascii="Arial" w:hAnsi="Arial" w:eastAsia="Calibri" w:cs="Arial"/>
          <w:color w:val="000000" w:themeColor="text1"/>
        </w:rPr>
        <w:t>impuesto del puño y letra de una persona, con el cual, de forma general y reiterada, se compromete con el contenido de los documentos que la consignan, o da fe de que lo allí registrado obedece a la realidad</w:t>
      </w:r>
      <w:r>
        <w:rPr>
          <w:rFonts w:ascii="Arial" w:hAnsi="Arial" w:eastAsia="Calibri" w:cs="Arial"/>
          <w:color w:val="000000" w:themeColor="text1"/>
        </w:rPr>
        <w:t>”</w:t>
      </w:r>
      <w:r w:rsidRPr="008A6B08">
        <w:rPr>
          <w:rStyle w:val="Refdenotaalpie"/>
          <w:rFonts w:ascii="Arial" w:hAnsi="Arial" w:eastAsia="Calibri" w:cs="Arial"/>
          <w:color w:val="000000" w:themeColor="text1"/>
        </w:rPr>
        <w:footnoteReference w:id="22"/>
      </w:r>
      <w:r w:rsidRPr="008A6B08">
        <w:rPr>
          <w:rFonts w:ascii="Arial" w:hAnsi="Arial" w:eastAsia="Calibri" w:cs="Arial"/>
          <w:color w:val="000000" w:themeColor="text1"/>
        </w:rPr>
        <w:t xml:space="preserve">. </w:t>
      </w:r>
    </w:p>
    <w:p w:rsidRPr="008A6B08" w:rsidR="006423A7" w:rsidP="006423A7" w:rsidRDefault="006423A7" w14:paraId="5B4E2CD2" w14:textId="77777777">
      <w:pPr>
        <w:spacing w:after="120" w:line="276" w:lineRule="auto"/>
        <w:ind w:firstLine="567"/>
        <w:jc w:val="both"/>
        <w:rPr>
          <w:rFonts w:ascii="Arial" w:hAnsi="Arial" w:eastAsia="Calibri" w:cs="Arial"/>
          <w:color w:val="000000" w:themeColor="text1"/>
        </w:rPr>
      </w:pPr>
      <w:r w:rsidRPr="008A6B08">
        <w:rPr>
          <w:rFonts w:ascii="Arial" w:hAnsi="Arial" w:eastAsia="Calibri" w:cs="Arial"/>
          <w:color w:val="000000" w:themeColor="text1"/>
        </w:rPr>
        <w:t xml:space="preserve">Por otra parte, el artículo 1 del Decreto 2364 de 2012 define la </w:t>
      </w:r>
      <w:r w:rsidRPr="008A6B08">
        <w:rPr>
          <w:rFonts w:ascii="Arial" w:hAnsi="Arial" w:eastAsia="Calibri" w:cs="Arial"/>
          <w:i/>
          <w:iCs/>
          <w:color w:val="000000" w:themeColor="text1"/>
        </w:rPr>
        <w:t>firma electrónica</w:t>
      </w:r>
      <w:r w:rsidRPr="008A6B08">
        <w:rPr>
          <w:rFonts w:ascii="Arial" w:hAnsi="Arial" w:eastAsia="Calibri" w:cs="Arial"/>
          <w:color w:val="000000" w:themeColor="text1"/>
        </w:rPr>
        <w:t xml:space="preserve">  como </w:t>
      </w:r>
      <w:r>
        <w:rPr>
          <w:rFonts w:ascii="Arial" w:hAnsi="Arial" w:eastAsia="Calibri" w:cs="Arial"/>
          <w:color w:val="000000" w:themeColor="text1"/>
        </w:rPr>
        <w:t>“</w:t>
      </w:r>
      <w:r w:rsidRPr="008A6B08">
        <w:rPr>
          <w:rFonts w:ascii="Arial" w:hAnsi="Arial" w:eastAsia="Calibri" w:cs="Arial"/>
          <w:color w:val="000000" w:themeColor="text1"/>
        </w:rPr>
        <w:t>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Pr>
          <w:rFonts w:ascii="Arial" w:hAnsi="Arial" w:eastAsia="Calibri" w:cs="Arial"/>
          <w:color w:val="000000" w:themeColor="text1"/>
        </w:rPr>
        <w:t>”</w:t>
      </w:r>
      <w:r w:rsidRPr="008A6B08">
        <w:rPr>
          <w:rFonts w:ascii="Arial" w:hAnsi="Arial" w:eastAsia="Calibri" w:cs="Arial"/>
          <w:color w:val="000000" w:themeColor="text1"/>
        </w:rPr>
        <w:t xml:space="preserv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rsidRPr="008A6B08" w:rsidR="006423A7" w:rsidP="006423A7" w:rsidRDefault="006423A7" w14:paraId="611A64C1" w14:textId="77777777">
      <w:pPr>
        <w:spacing w:after="120" w:line="276" w:lineRule="auto"/>
        <w:ind w:firstLine="567"/>
        <w:jc w:val="both"/>
        <w:rPr>
          <w:rFonts w:ascii="Arial" w:hAnsi="Arial" w:eastAsia="Calibri" w:cs="Arial"/>
          <w:color w:val="000000" w:themeColor="text1"/>
        </w:rPr>
      </w:pPr>
      <w:r w:rsidRPr="008A6B08">
        <w:rPr>
          <w:rFonts w:ascii="Arial" w:hAnsi="Arial" w:eastAsia="Calibri" w:cs="Arial"/>
          <w:color w:val="000000" w:themeColor="text1"/>
        </w:rPr>
        <w:t xml:space="preserve">Adicionalmente, el artículo 2 de la Ley 527 de 1999 define la </w:t>
      </w:r>
      <w:r w:rsidRPr="008A6B08">
        <w:rPr>
          <w:rFonts w:ascii="Arial" w:hAnsi="Arial" w:eastAsia="Calibri" w:cs="Arial"/>
          <w:i/>
          <w:iCs/>
          <w:color w:val="000000" w:themeColor="text1"/>
        </w:rPr>
        <w:t>firma digital</w:t>
      </w:r>
      <w:r w:rsidRPr="008A6B08">
        <w:rPr>
          <w:rFonts w:ascii="Arial" w:hAnsi="Arial" w:eastAsia="Calibri" w:cs="Arial"/>
          <w:color w:val="000000" w:themeColor="text1"/>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8A6B08">
        <w:rPr>
          <w:rStyle w:val="Refdenotaalpie"/>
          <w:rFonts w:ascii="Arial" w:hAnsi="Arial" w:eastAsia="Calibri" w:cs="Arial"/>
          <w:color w:val="000000" w:themeColor="text1"/>
        </w:rPr>
        <w:footnoteReference w:id="23"/>
      </w:r>
      <w:r w:rsidRPr="008A6B08">
        <w:rPr>
          <w:rFonts w:ascii="Arial" w:hAnsi="Arial" w:eastAsia="Calibri" w:cs="Arial"/>
          <w:color w:val="000000" w:themeColor="text1"/>
        </w:rPr>
        <w:t>. Además, esta normativa prevé que podrán emitir certificados en relación con las firmas digitales las entidades de certificación</w:t>
      </w:r>
      <w:r w:rsidRPr="008A6B08">
        <w:rPr>
          <w:rStyle w:val="Refdenotaalpie"/>
          <w:rFonts w:ascii="Arial" w:hAnsi="Arial" w:eastAsia="Calibri" w:cs="Arial"/>
          <w:color w:val="000000" w:themeColor="text1"/>
        </w:rPr>
        <w:footnoteReference w:id="24"/>
      </w:r>
      <w:r w:rsidRPr="008A6B08">
        <w:rPr>
          <w:rFonts w:ascii="Arial" w:hAnsi="Arial" w:eastAsia="Calibri" w:cs="Arial"/>
          <w:color w:val="000000" w:themeColor="text1"/>
        </w:rPr>
        <w:t xml:space="preserve">. </w:t>
      </w:r>
    </w:p>
    <w:bookmarkEnd w:id="4"/>
    <w:p w:rsidRPr="008A6B08" w:rsidR="006423A7" w:rsidP="006423A7" w:rsidRDefault="006423A7" w14:paraId="4C98329A" w14:textId="77777777">
      <w:pPr>
        <w:spacing w:after="120" w:line="276" w:lineRule="auto"/>
        <w:ind w:firstLine="567"/>
        <w:jc w:val="both"/>
        <w:rPr>
          <w:rFonts w:ascii="Arial" w:hAnsi="Arial" w:eastAsia="Calibri" w:cs="Arial"/>
          <w:color w:val="000000" w:themeColor="text1"/>
        </w:rPr>
      </w:pPr>
      <w:r w:rsidRPr="008A6B08">
        <w:rPr>
          <w:rFonts w:ascii="Arial" w:hAnsi="Arial" w:eastAsia="Calibri" w:cs="Arial"/>
          <w:color w:val="000000" w:themeColor="text1"/>
        </w:rPr>
        <w:t xml:space="preserve">El Documento Conpes 3620 de 2009 explica que </w:t>
      </w:r>
      <w:r>
        <w:rPr>
          <w:rFonts w:ascii="Arial" w:hAnsi="Arial" w:eastAsia="Calibri" w:cs="Arial"/>
          <w:color w:val="000000" w:themeColor="text1"/>
        </w:rPr>
        <w:t>“</w:t>
      </w:r>
      <w:r w:rsidRPr="008A6B08">
        <w:rPr>
          <w:rFonts w:ascii="Arial" w:hAnsi="Arial" w:eastAsia="Calibri" w:cs="Arial"/>
          <w:color w:val="000000" w:themeColor="text1"/>
        </w:rPr>
        <w:t xml:space="preserve">La firma digital y la firma electrónica son formas de identificación personal en el contexto digital, que pueden ser empleadas para cumplir funciones de identificación, de la integridad de un </w:t>
      </w:r>
      <w:r w:rsidRPr="008A6B08">
        <w:rPr>
          <w:rFonts w:ascii="Arial" w:hAnsi="Arial" w:eastAsia="Calibri" w:cs="Arial"/>
          <w:color w:val="000000" w:themeColor="text1"/>
        </w:rPr>
        <w:t>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w:t>
      </w:r>
      <w:r>
        <w:rPr>
          <w:rFonts w:ascii="Arial" w:hAnsi="Arial" w:eastAsia="Calibri" w:cs="Arial"/>
          <w:color w:val="000000" w:themeColor="text1"/>
        </w:rPr>
        <w:t>”</w:t>
      </w:r>
      <w:r w:rsidRPr="008A6B08">
        <w:rPr>
          <w:rFonts w:ascii="Arial" w:hAnsi="Arial" w:eastAsia="Calibri" w:cs="Arial"/>
          <w:color w:val="000000" w:themeColor="text1"/>
        </w:rPr>
        <w:t xml:space="preserve">.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rsidRPr="008A6B08" w:rsidR="006423A7" w:rsidP="006423A7" w:rsidRDefault="006423A7" w14:paraId="05DA2CC5" w14:textId="77777777">
      <w:pPr>
        <w:spacing w:after="120" w:line="276" w:lineRule="auto"/>
        <w:ind w:firstLine="708"/>
        <w:jc w:val="both"/>
        <w:rPr>
          <w:rFonts w:ascii="Arial" w:hAnsi="Arial" w:eastAsia="Calibri" w:cs="Arial"/>
          <w:color w:val="000000" w:themeColor="text1"/>
        </w:rPr>
      </w:pPr>
      <w:r w:rsidRPr="008A6B08">
        <w:rPr>
          <w:rFonts w:ascii="Arial" w:hAnsi="Arial" w:eastAsia="Calibri" w:cs="Arial"/>
          <w:color w:val="000000" w:themeColor="text1"/>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subirlo a una plataforma o enviarlo a un destinatario por medio electrónico y ii) </w:t>
      </w:r>
      <w:bookmarkStart w:name="_Hlk35438181" w:id="5"/>
      <w:r w:rsidRPr="008A6B08">
        <w:rPr>
          <w:rFonts w:ascii="Arial" w:hAnsi="Arial" w:eastAsia="Calibri" w:cs="Arial"/>
          <w:color w:val="000000" w:themeColor="text1"/>
        </w:rPr>
        <w:t xml:space="preserve">el documento tiene una imagen con la firma y se adjunta como archivo para </w:t>
      </w:r>
      <w:bookmarkEnd w:id="5"/>
      <w:r w:rsidRPr="008A6B08">
        <w:rPr>
          <w:rFonts w:ascii="Arial" w:hAnsi="Arial" w:eastAsia="Calibri" w:cs="Arial"/>
          <w:color w:val="000000" w:themeColor="text1"/>
        </w:rPr>
        <w:t xml:space="preserve">remitirlo al destinatario.  </w:t>
      </w:r>
    </w:p>
    <w:p w:rsidRPr="008A6B08" w:rsidR="006423A7" w:rsidP="006423A7" w:rsidRDefault="006423A7" w14:paraId="1DF4277C" w14:textId="77777777">
      <w:pPr>
        <w:spacing w:after="120" w:line="276" w:lineRule="auto"/>
        <w:ind w:firstLine="708"/>
        <w:jc w:val="both"/>
        <w:rPr>
          <w:rFonts w:ascii="Arial" w:hAnsi="Arial" w:eastAsia="Calibri" w:cs="Arial"/>
          <w:color w:val="000000" w:themeColor="text1"/>
        </w:rPr>
      </w:pPr>
      <w:r w:rsidRPr="008A6B08">
        <w:rPr>
          <w:rFonts w:ascii="Arial" w:hAnsi="Arial" w:eastAsia="Calibri" w:cs="Arial"/>
          <w:color w:val="000000" w:themeColor="text1"/>
        </w:rPr>
        <w:t xml:space="preserve">En el </w:t>
      </w:r>
      <w:r w:rsidRPr="008A6B08">
        <w:rPr>
          <w:rFonts w:ascii="Arial" w:hAnsi="Arial" w:eastAsia="Calibri" w:cs="Arial"/>
          <w:i/>
          <w:iCs/>
          <w:color w:val="000000" w:themeColor="text1"/>
        </w:rPr>
        <w:t>primer supuesto</w:t>
      </w:r>
      <w:r w:rsidRPr="008A6B08">
        <w:rPr>
          <w:rFonts w:ascii="Arial" w:hAnsi="Arial" w:eastAsia="Calibri" w:cs="Arial"/>
          <w:color w:val="000000" w:themeColor="text1"/>
        </w:rPr>
        <w:t>, es válido el documento con firma manuscrita que se escanea posteriormente para subirlo a una plataforma digital o enviarlo, pues aquel está firmado con el puño y letra de la persona que lo suscribe; razón por la cual el hecho de que se escanee para insertarlo o enviarlo a través de un medio electrónico no es un motivo para negar su autenticidad. Por el contrario, el documento es una copia simple del original y que se presume auténtica, salvo que una norma expresa lo contrario, de conformidad con el artículo 25 del Decreto 019 de 2012</w:t>
      </w:r>
      <w:r w:rsidRPr="008A6B08">
        <w:rPr>
          <w:rStyle w:val="Refdenotaalpie"/>
          <w:rFonts w:ascii="Arial" w:hAnsi="Arial" w:eastAsia="Calibri" w:cs="Arial"/>
          <w:color w:val="000000" w:themeColor="text1"/>
        </w:rPr>
        <w:footnoteReference w:id="25"/>
      </w:r>
      <w:r w:rsidRPr="008A6B08">
        <w:rPr>
          <w:rFonts w:ascii="Arial" w:hAnsi="Arial" w:eastAsia="Calibri" w:cs="Arial"/>
          <w:color w:val="000000" w:themeColor="text1"/>
        </w:rPr>
        <w:t>.</w:t>
      </w:r>
    </w:p>
    <w:p w:rsidRPr="008A6B08" w:rsidR="006423A7" w:rsidP="006423A7" w:rsidRDefault="006423A7" w14:paraId="3A9B7014" w14:textId="77777777">
      <w:pPr>
        <w:spacing w:after="120" w:line="276" w:lineRule="auto"/>
        <w:ind w:firstLine="708"/>
        <w:jc w:val="both"/>
        <w:rPr>
          <w:rFonts w:ascii="Arial" w:hAnsi="Arial" w:eastAsia="Calibri" w:cs="Arial"/>
          <w:color w:val="000000" w:themeColor="text1"/>
        </w:rPr>
      </w:pPr>
      <w:r w:rsidRPr="008A6B08">
        <w:rPr>
          <w:rFonts w:ascii="Arial" w:hAnsi="Arial" w:eastAsia="Calibri" w:cs="Arial"/>
          <w:color w:val="000000" w:themeColor="text1"/>
        </w:rPr>
        <w:t xml:space="preserve">En el </w:t>
      </w:r>
      <w:r w:rsidRPr="008A6B08">
        <w:rPr>
          <w:rFonts w:ascii="Arial" w:hAnsi="Arial" w:eastAsia="Calibri" w:cs="Arial"/>
          <w:i/>
          <w:iCs/>
          <w:color w:val="000000" w:themeColor="text1"/>
        </w:rPr>
        <w:t>segundo supuesto</w:t>
      </w:r>
      <w:r w:rsidRPr="008A6B08">
        <w:rPr>
          <w:rFonts w:ascii="Arial" w:hAnsi="Arial" w:eastAsia="Calibri" w:cs="Arial"/>
          <w:color w:val="000000" w:themeColor="text1"/>
        </w:rPr>
        <w:t xml:space="preserve">, es decir, cuando se trata de un documento que tiene una imagen con la firma y se adjunta como archivo en un medio electrónico, la entidad debe verificar que el archivo cumpla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se debe determinar con las entidades de certificación acreditadas por el Organismo Nacional de Acreditación de Colombia que esa firma digital se encuentra registrada. Por otro lado, tratándose de una firma electrónica, se debe verificar i) la identidad del firmante, ii) que el documento firmado es exactamente el mismo que el original y iii) que los datos que utiliza el firmante para realizar la firma son únicos y exclusivos. </w:t>
      </w:r>
    </w:p>
    <w:p w:rsidRPr="008A6B08" w:rsidR="006423A7" w:rsidP="006423A7" w:rsidRDefault="006423A7" w14:paraId="7827734C" w14:textId="77777777">
      <w:pPr>
        <w:spacing w:after="120" w:line="276" w:lineRule="auto"/>
        <w:ind w:firstLine="708"/>
        <w:jc w:val="both"/>
        <w:rPr>
          <w:rFonts w:ascii="Arial" w:hAnsi="Arial" w:eastAsia="Calibri" w:cs="Arial"/>
          <w:color w:val="000000" w:themeColor="text1"/>
        </w:rPr>
      </w:pPr>
      <w:r w:rsidRPr="008A6B08">
        <w:rPr>
          <w:rFonts w:ascii="Arial" w:hAnsi="Arial" w:eastAsia="Calibri" w:cs="Arial"/>
          <w:color w:val="000000" w:themeColor="text1"/>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demostrar que se trata el mecanismo confiable y apropiable.</w:t>
      </w:r>
    </w:p>
    <w:p w:rsidRPr="008A6B08" w:rsidR="006423A7" w:rsidP="006423A7" w:rsidRDefault="006423A7" w14:paraId="1C7F281E" w14:textId="77777777">
      <w:pPr>
        <w:spacing w:line="276" w:lineRule="auto"/>
        <w:jc w:val="both"/>
        <w:rPr>
          <w:rFonts w:ascii="Arial" w:hAnsi="Arial" w:eastAsia="Calibri" w:cs="Arial"/>
          <w:bCs/>
          <w:color w:val="000000" w:themeColor="text1"/>
          <w:lang w:val="es-ES" w:bidi="es-ES"/>
        </w:rPr>
      </w:pPr>
      <w:r w:rsidRPr="008A6B08">
        <w:rPr>
          <w:rFonts w:ascii="Arial" w:hAnsi="Arial" w:eastAsia="Calibri" w:cs="Arial"/>
          <w:b/>
          <w:color w:val="000000" w:themeColor="text1"/>
          <w:lang w:val="es-ES" w:bidi="es-ES"/>
        </w:rPr>
        <w:t>2.4. El SECOP II: su despliegue y utilización como plataforma electrónica transaccional</w:t>
      </w:r>
    </w:p>
    <w:p w:rsidRPr="008A6B08" w:rsidR="006423A7" w:rsidP="006423A7" w:rsidRDefault="006423A7" w14:paraId="5532C3F7" w14:textId="77777777">
      <w:pPr>
        <w:spacing w:after="120" w:line="276" w:lineRule="auto"/>
        <w:jc w:val="both"/>
        <w:rPr>
          <w:rFonts w:ascii="Arial" w:hAnsi="Arial" w:eastAsia="Calibri" w:cs="Arial"/>
          <w:lang w:val="es-ES" w:eastAsia="es-ES_tradnl"/>
        </w:rPr>
      </w:pPr>
      <w:r w:rsidRPr="008A6B08">
        <w:rPr>
          <w:rFonts w:ascii="Arial" w:hAnsi="Arial" w:eastAsia="Calibri" w:cs="Arial"/>
          <w:lang w:val="es-ES"/>
        </w:rPr>
        <w:t>La Agencia Nacional de Contratación Pública – Colombia Compra Eficiente tiene como función administrar el SECOP</w:t>
      </w:r>
      <w:r w:rsidRPr="008A6B08">
        <w:rPr>
          <w:rFonts w:ascii="Arial" w:hAnsi="Arial" w:eastAsia="Calibri" w:cs="Arial"/>
          <w:vertAlign w:val="superscript"/>
          <w:lang w:val="es-ES"/>
        </w:rPr>
        <w:footnoteReference w:id="26"/>
      </w:r>
      <w:r w:rsidRPr="008A6B08">
        <w:rPr>
          <w:rFonts w:ascii="Arial" w:hAnsi="Arial" w:eastAsia="Calibri" w:cs="Arial"/>
          <w:lang w:val="es-ES"/>
        </w:rPr>
        <w:t xml:space="preserve">, por lo cual se desarrolló la primera versión </w:t>
      </w:r>
      <w:r w:rsidRPr="008A6B08">
        <w:rPr>
          <w:rFonts w:ascii="Arial" w:hAnsi="Arial" w:eastAsia="Calibri" w:cs="Arial"/>
          <w:lang w:val="es-ES"/>
        </w:rPr>
        <w:t>de la plataforma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rsidRPr="008A6B08" w:rsidR="006423A7" w:rsidP="006423A7" w:rsidRDefault="006423A7" w14:paraId="1794B5FF" w14:textId="77777777">
      <w:pPr>
        <w:spacing w:before="120" w:after="120" w:line="276" w:lineRule="auto"/>
        <w:ind w:firstLine="708"/>
        <w:jc w:val="both"/>
        <w:rPr>
          <w:rFonts w:ascii="Arial" w:hAnsi="Arial" w:eastAsia="Calibri" w:cs="Arial"/>
          <w:lang w:val="es-ES"/>
        </w:rPr>
      </w:pPr>
      <w:r w:rsidRPr="008A6B08">
        <w:rPr>
          <w:rFonts w:ascii="Arial" w:hAnsi="Arial" w:eastAsia="Calibri" w:cs="Arial"/>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selección, y gestionan la fase de ejecución del contrato. Los proveedores pueden hacer comentarios a los documentos del procedimiento, presentar ofertas y seguir el procedimiento de selección en línea.</w:t>
      </w:r>
    </w:p>
    <w:p w:rsidRPr="008A6B08" w:rsidR="006423A7" w:rsidP="006423A7" w:rsidRDefault="006423A7" w14:paraId="3F16B441" w14:textId="77777777">
      <w:pPr>
        <w:spacing w:before="120" w:after="120" w:line="276" w:lineRule="auto"/>
        <w:ind w:firstLine="708"/>
        <w:jc w:val="both"/>
        <w:rPr>
          <w:rFonts w:ascii="Arial" w:hAnsi="Arial" w:eastAsia="Calibri" w:cs="Arial"/>
          <w:color w:val="000000" w:themeColor="text1"/>
          <w:lang w:val="es-ES"/>
        </w:rPr>
      </w:pPr>
      <w:r w:rsidRPr="008A6B08">
        <w:rPr>
          <w:rFonts w:ascii="Arial" w:hAnsi="Arial" w:eastAsia="Calibri" w:cs="Arial"/>
          <w:color w:val="000000" w:themeColor="text1"/>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dispone: </w:t>
      </w:r>
      <w:r>
        <w:rPr>
          <w:rFonts w:ascii="Arial" w:hAnsi="Arial" w:eastAsia="Calibri" w:cs="Arial"/>
          <w:color w:val="000000" w:themeColor="text1"/>
          <w:lang w:val="es-ES"/>
        </w:rPr>
        <w:t>“</w:t>
      </w:r>
      <w:r w:rsidRPr="008A6B08">
        <w:rPr>
          <w:rFonts w:ascii="Arial" w:hAnsi="Arial" w:eastAsia="Calibri" w:cs="Arial"/>
          <w:color w:val="000000" w:themeColor="text1"/>
          <w:lang w:val="es-ES"/>
        </w:rPr>
        <w:t>A partir del 1 de enero de 2020, todos los procesos de contratación de las entidades relacionadas en el Anexo 1 de esta circular deberán gestionarse, exclusivamente, en el SECOP ll</w:t>
      </w:r>
      <w:r>
        <w:rPr>
          <w:rFonts w:ascii="Arial" w:hAnsi="Arial" w:eastAsia="Calibri" w:cs="Arial"/>
          <w:color w:val="000000" w:themeColor="text1"/>
          <w:lang w:val="es-ES"/>
        </w:rPr>
        <w:t>”</w:t>
      </w:r>
      <w:r w:rsidRPr="008A6B08">
        <w:rPr>
          <w:rFonts w:ascii="Arial" w:hAnsi="Arial" w:eastAsia="Calibri" w:cs="Arial"/>
          <w:color w:val="000000" w:themeColor="text1"/>
          <w:lang w:val="es-ES"/>
        </w:rPr>
        <w:t xml:space="preserve">, la cual se modificó parcialmente, mediante la Circular Externa No. 3 de 2020. Finalmente, esta Agencia expidió la Circular Externa No. 1 de 2021, </w:t>
      </w:r>
      <w:r>
        <w:rPr>
          <w:rFonts w:ascii="Arial" w:hAnsi="Arial" w:eastAsia="Calibri" w:cs="Arial"/>
          <w:color w:val="000000" w:themeColor="text1"/>
          <w:lang w:val="es-ES"/>
        </w:rPr>
        <w:t>“</w:t>
      </w:r>
      <w:r w:rsidRPr="008A6B08">
        <w:rPr>
          <w:rFonts w:ascii="Arial" w:hAnsi="Arial" w:eastAsia="Calibri" w:cs="Arial"/>
          <w:color w:val="000000" w:themeColor="text1"/>
          <w:lang w:val="es-ES"/>
        </w:rPr>
        <w:t xml:space="preserve">[…] </w:t>
      </w:r>
      <w:r w:rsidRPr="008A6B08">
        <w:rPr>
          <w:rFonts w:ascii="Arial" w:hAnsi="Arial" w:cs="Arial"/>
          <w:color w:val="000000" w:themeColor="text1"/>
          <w:szCs w:val="20"/>
          <w:shd w:val="clear" w:color="auto" w:fill="FFFFFF"/>
        </w:rPr>
        <w:t>con el fin de dar directrices sobre la obligatoriedad del uso del SECOP II en 2021</w:t>
      </w:r>
      <w:r>
        <w:rPr>
          <w:rFonts w:ascii="Arial" w:hAnsi="Arial" w:eastAsia="Calibri" w:cs="Arial"/>
          <w:color w:val="000000" w:themeColor="text1"/>
          <w:lang w:val="es-ES"/>
        </w:rPr>
        <w:t>”</w:t>
      </w:r>
      <w:r w:rsidRPr="008A6B08">
        <w:rPr>
          <w:rFonts w:ascii="Arial" w:hAnsi="Arial" w:eastAsia="Calibri" w:cs="Arial"/>
          <w:color w:val="000000" w:themeColor="text1"/>
          <w:lang w:val="es-ES"/>
        </w:rPr>
        <w:t>. Igualmente, se profirió la Circular 002 de 2022, para determinar la obligatoriedad del SECOP en este año y que ha sido objeto de precisiones en circulares posteriores</w:t>
      </w:r>
      <w:r w:rsidRPr="008A6B08">
        <w:rPr>
          <w:rStyle w:val="Refdenotaalpie"/>
          <w:rFonts w:ascii="Arial" w:hAnsi="Arial" w:eastAsia="Calibri" w:cs="Arial"/>
          <w:color w:val="000000" w:themeColor="text1"/>
          <w:lang w:val="es-ES"/>
        </w:rPr>
        <w:footnoteReference w:id="27"/>
      </w:r>
      <w:r w:rsidRPr="008A6B08">
        <w:rPr>
          <w:rFonts w:ascii="Arial" w:hAnsi="Arial" w:eastAsia="Calibri" w:cs="Arial"/>
          <w:color w:val="000000" w:themeColor="text1"/>
          <w:lang w:val="es-ES"/>
        </w:rPr>
        <w:t>.</w:t>
      </w:r>
    </w:p>
    <w:p w:rsidRPr="008A6B08" w:rsidR="006423A7" w:rsidP="006423A7" w:rsidRDefault="006423A7" w14:paraId="650DF96D" w14:textId="77777777">
      <w:pPr>
        <w:spacing w:line="276" w:lineRule="auto"/>
        <w:ind w:firstLine="708"/>
        <w:jc w:val="both"/>
        <w:rPr>
          <w:rFonts w:ascii="Arial" w:hAnsi="Arial" w:eastAsia="Calibri" w:cs="Arial"/>
          <w:lang w:val="es-ES"/>
        </w:rPr>
      </w:pPr>
      <w:r w:rsidRPr="008A6B08">
        <w:rPr>
          <w:rFonts w:ascii="Arial" w:hAnsi="Arial" w:eastAsia="Calibri" w:cs="Arial"/>
          <w:lang w:val="es-ES"/>
        </w:rPr>
        <w:t xml:space="preserve">Sobre la utilización de SECOP II, es necesario reiterar que es una plataforma transaccional, por lo que el trámite se realiza en línea y la publicidad de las actuaciones es concomitante, según transcurran cada una de las etapas del procedimiento, lo que descarta la necesidad de cargar documentación física, salvo </w:t>
      </w:r>
      <w:r w:rsidRPr="008A6B08">
        <w:rPr>
          <w:rFonts w:ascii="Arial" w:hAnsi="Arial" w:eastAsia="Calibri" w:cs="Arial"/>
          <w:lang w:val="es-ES"/>
        </w:rPr>
        <w:t xml:space="preserve">algunas excepciones. Además, de acuerdo con lo prescrito en el artículo 14 de la Ley 527 de 1999, en la formación del contrato, salvo acuerdo expreso entre las partes, la oferta y su aceptación podrán expresarse por medio de un mensaje de datos, lo que implica que </w:t>
      </w:r>
      <w:r>
        <w:rPr>
          <w:rFonts w:ascii="Arial" w:hAnsi="Arial" w:eastAsia="Calibri" w:cs="Arial"/>
          <w:lang w:val="es-ES"/>
        </w:rPr>
        <w:t>“</w:t>
      </w:r>
      <w:r w:rsidRPr="008A6B08">
        <w:rPr>
          <w:rFonts w:ascii="Arial" w:hAnsi="Arial" w:eastAsia="Calibri" w:cs="Arial"/>
          <w:lang w:val="es-ES"/>
        </w:rPr>
        <w:t>[n]o se negará validez o fuerza obligatoria a un contrato por la sola razón de haberse utilizado en su formación uno o más mensajes de datos</w:t>
      </w:r>
      <w:r>
        <w:rPr>
          <w:rFonts w:ascii="Arial" w:hAnsi="Arial" w:eastAsia="Calibri" w:cs="Arial"/>
          <w:lang w:val="es-ES"/>
        </w:rPr>
        <w:t>”</w:t>
      </w:r>
      <w:r w:rsidRPr="008A6B08">
        <w:rPr>
          <w:rFonts w:ascii="Arial" w:hAnsi="Arial" w:eastAsia="Calibri" w:cs="Arial"/>
          <w:lang w:val="es-ES"/>
        </w:rPr>
        <w:t xml:space="preserve">. Igualmente, el artículo 22 </w:t>
      </w:r>
      <w:r w:rsidRPr="008A6B08">
        <w:rPr>
          <w:rFonts w:ascii="Arial" w:hAnsi="Arial" w:eastAsia="Calibri" w:cs="Arial"/>
          <w:i/>
          <w:iCs/>
          <w:lang w:val="es-ES"/>
        </w:rPr>
        <w:t>ibidem</w:t>
      </w:r>
      <w:r w:rsidRPr="008A6B08">
        <w:rPr>
          <w:rFonts w:ascii="Arial" w:hAnsi="Arial" w:eastAsia="Calibri" w:cs="Arial"/>
          <w:lang w:val="es-E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p>
    <w:p w:rsidRPr="008A6B08" w:rsidR="006423A7" w:rsidP="006423A7" w:rsidRDefault="006423A7" w14:paraId="6426C64D" w14:textId="77777777">
      <w:pPr>
        <w:spacing w:before="120" w:line="276" w:lineRule="auto"/>
        <w:ind w:firstLine="709"/>
        <w:jc w:val="both"/>
        <w:rPr>
          <w:rFonts w:ascii="Arial" w:hAnsi="Arial" w:eastAsia="Calibri" w:cs="Arial"/>
          <w:lang w:val="es-ES"/>
        </w:rPr>
      </w:pPr>
      <w:r w:rsidRPr="008A6B08">
        <w:rPr>
          <w:rFonts w:ascii="Arial" w:hAnsi="Arial" w:eastAsia="Calibri" w:cs="Arial"/>
          <w:lang w:val="es-ES"/>
        </w:rPr>
        <w:t xml:space="preserve">No obstante, eventualmente puede ocurrir que al SECOP II se deban cargar documentos suscritos por las partes, previamente digitalizados. Esto ocurre, por ejemplo, con los estudios previos, el informe de evaluación, la resolución de adjudicación o con el clausulado del contrato, formatos o anexos entre otras actuaciones en las que los usuarios quedan habilitados para cargar documentos en la plataforma. Se trata de algo excepcional, pues, se insiste, el SECOP II es una plataforma esencialmente transaccional, distinta del SECOP I que es una herramienta eminentemente de publicidad. Dicho carácter excepcional, además, se justifica en la necesidad de evitar los problemas que pueden surgir ante la duplicidad de información, como, por ejemplo, la discrepancia entre el texto tramitado en el SECOP II y el que la entidad carga a la plataforma. </w:t>
      </w:r>
    </w:p>
    <w:p w:rsidRPr="008A6B08" w:rsidR="006423A7" w:rsidP="006423A7" w:rsidRDefault="006423A7" w14:paraId="3E9273E8" w14:textId="77777777">
      <w:pPr>
        <w:spacing w:before="120" w:line="276" w:lineRule="auto"/>
        <w:ind w:firstLine="708"/>
        <w:jc w:val="both"/>
        <w:rPr>
          <w:rFonts w:ascii="Arial" w:hAnsi="Arial" w:eastAsia="Calibri" w:cs="Arial"/>
          <w:lang w:val="es-MX"/>
        </w:rPr>
      </w:pPr>
      <w:r w:rsidRPr="008A6B08">
        <w:rPr>
          <w:rFonts w:ascii="Arial" w:hAnsi="Arial" w:eastAsia="Calibri" w:cs="Arial"/>
          <w:lang w:val="es-MX"/>
        </w:rPr>
        <w:t xml:space="preserve">En suma, los procedimientos contractuales son esencialmente reglados y, por ende, las entidades públicas están obligadas a adelantarlos según los términos y etapas establecidas en la ley. Estos podrán tramitarse de forma escrita y tradicional o de forma electrónica a través del SECOP II, dentro de los límites y criterios de obligatoriedad indicados </w:t>
      </w:r>
      <w:r w:rsidRPr="008A6B08">
        <w:rPr>
          <w:rFonts w:ascii="Arial" w:hAnsi="Arial" w:eastAsia="Calibri" w:cs="Arial"/>
          <w:i/>
          <w:iCs/>
          <w:lang w:val="es-MX"/>
        </w:rPr>
        <w:t>ut supra</w:t>
      </w:r>
      <w:r w:rsidRPr="008A6B08">
        <w:rPr>
          <w:rFonts w:ascii="Arial" w:hAnsi="Arial" w:eastAsia="Calibri" w:cs="Arial"/>
          <w:lang w:val="es-MX"/>
        </w:rPr>
        <w:t>. Igualmente, no es posible realizar el trámite de forma mixta, esto es, física y electrónica, lo cual no excluye que, excepcionalmente, puedan y deban cargarse algunos documentos digitalizados al SECOP II. Esta situación implica problemas asociados con la duplicidad de información.</w:t>
      </w:r>
    </w:p>
    <w:p w:rsidRPr="008A6B08" w:rsidR="006423A7" w:rsidP="006423A7" w:rsidRDefault="006423A7" w14:paraId="13754F65" w14:textId="77777777">
      <w:pPr>
        <w:spacing w:before="120" w:line="276" w:lineRule="auto"/>
        <w:ind w:firstLine="567"/>
        <w:jc w:val="both"/>
        <w:rPr>
          <w:rFonts w:ascii="Arial" w:hAnsi="Arial" w:eastAsia="Calibri" w:cs="Arial"/>
          <w:color w:val="000000" w:themeColor="text1"/>
          <w:lang w:val="es-ES"/>
        </w:rPr>
      </w:pPr>
      <w:r w:rsidRPr="008A6B08">
        <w:rPr>
          <w:rFonts w:ascii="Arial" w:hAnsi="Arial" w:eastAsia="Calibri" w:cs="Arial"/>
          <w:color w:val="000000" w:themeColor="text1"/>
          <w:lang w:val="es-ES"/>
        </w:rPr>
        <w:t xml:space="preserve">De conformidad con la </w:t>
      </w:r>
      <w:r>
        <w:rPr>
          <w:rFonts w:ascii="Arial" w:hAnsi="Arial" w:eastAsia="Calibri" w:cs="Arial"/>
          <w:lang w:val="es-ES"/>
        </w:rPr>
        <w:t>“</w:t>
      </w:r>
      <w:r w:rsidRPr="008A6B08">
        <w:rPr>
          <w:rFonts w:ascii="Arial" w:hAnsi="Arial" w:eastAsia="Calibri" w:cs="Arial"/>
          <w:color w:val="000000" w:themeColor="text1"/>
          <w:lang w:val="es-ES"/>
        </w:rPr>
        <w:t>Guía rápida para hacer un Proceso de Contratación de Licitación Pública (Obra Pública) en el SECOP II</w:t>
      </w:r>
      <w:bookmarkStart w:name="_Hlk96244517" w:id="6"/>
      <w:r>
        <w:rPr>
          <w:rFonts w:ascii="Arial" w:hAnsi="Arial" w:eastAsia="Calibri" w:cs="Arial"/>
          <w:lang w:val="es-ES"/>
        </w:rPr>
        <w:t>”</w:t>
      </w:r>
      <w:r w:rsidRPr="008A6B08">
        <w:rPr>
          <w:rStyle w:val="Refdenotaalpie"/>
          <w:rFonts w:ascii="Arial" w:hAnsi="Arial" w:eastAsia="Calibri" w:cs="Arial"/>
        </w:rPr>
        <w:footnoteReference w:id="28"/>
      </w:r>
      <w:r w:rsidRPr="008A6B08">
        <w:rPr>
          <w:rFonts w:ascii="Arial" w:hAnsi="Arial" w:eastAsia="Calibri" w:cs="Arial"/>
          <w:color w:val="000000" w:themeColor="text1"/>
          <w:lang w:val="es-ES"/>
        </w:rPr>
        <w:t xml:space="preserve"> </w:t>
      </w:r>
      <w:bookmarkEnd w:id="6"/>
      <w:r w:rsidRPr="008A6B08">
        <w:rPr>
          <w:rFonts w:ascii="Arial" w:hAnsi="Arial" w:eastAsia="Calibri" w:cs="Arial"/>
          <w:color w:val="000000" w:themeColor="text1"/>
          <w:lang w:val="es-ES"/>
        </w:rPr>
        <w:t xml:space="preserve">el pliego de condiciones que </w:t>
      </w:r>
      <w:r w:rsidRPr="008A6B08">
        <w:rPr>
          <w:rFonts w:ascii="Arial" w:hAnsi="Arial" w:eastAsia="Calibri" w:cs="Arial"/>
          <w:color w:val="000000" w:themeColor="text1"/>
          <w:lang w:val="es-ES"/>
        </w:rPr>
        <w:t xml:space="preserve">se genera en esta plataforma es electrónico y es un formulario compuesto por seis secciones: i) </w:t>
      </w:r>
      <w:r w:rsidRPr="008A6B08">
        <w:rPr>
          <w:rFonts w:ascii="Arial" w:hAnsi="Arial" w:eastAsia="Calibri" w:cs="Arial"/>
          <w:color w:val="000000" w:themeColor="text1"/>
        </w:rPr>
        <w:t>Información general, ii) Configuración, iii) Cuestionario, iv) Evaluación, v) Documentos del Proceso y vi) Documentos de la oferta.</w:t>
      </w:r>
      <w:r w:rsidRPr="008A6B08">
        <w:rPr>
          <w:rFonts w:ascii="Arial" w:hAnsi="Arial" w:eastAsia="Calibri" w:cs="Arial"/>
          <w:color w:val="000000" w:themeColor="text1"/>
          <w:lang w:val="es-ES"/>
        </w:rPr>
        <w:t xml:space="preserve"> Estas secciones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agregarse en la sección para adjuntar documentos.</w:t>
      </w:r>
    </w:p>
    <w:p w:rsidRPr="008A6B08" w:rsidR="006423A7" w:rsidP="006423A7" w:rsidRDefault="006423A7" w14:paraId="16738D71" w14:textId="77777777">
      <w:pPr>
        <w:spacing w:line="276" w:lineRule="auto"/>
        <w:ind w:firstLine="567"/>
        <w:jc w:val="both"/>
        <w:rPr>
          <w:rFonts w:ascii="Arial" w:hAnsi="Arial" w:cs="Arial"/>
        </w:rPr>
      </w:pPr>
      <w:r w:rsidRPr="008A6B08">
        <w:rPr>
          <w:rFonts w:ascii="Arial" w:hAnsi="Arial" w:cs="Arial"/>
        </w:rPr>
        <w:t>Por su parte, los términos y condiciones de uso del SECOP II, que son aceptados por quienes utilizan la plataforma, disponen que:</w:t>
      </w:r>
    </w:p>
    <w:p w:rsidRPr="008A6B08" w:rsidR="006423A7" w:rsidP="006423A7" w:rsidRDefault="006423A7" w14:paraId="6A05E0EB" w14:textId="77777777">
      <w:pPr>
        <w:ind w:left="708" w:right="709"/>
        <w:jc w:val="both"/>
        <w:rPr>
          <w:rFonts w:ascii="Arial" w:hAnsi="Arial" w:cs="Arial"/>
          <w:sz w:val="21"/>
          <w:szCs w:val="21"/>
        </w:rPr>
      </w:pPr>
      <w:r>
        <w:rPr>
          <w:rFonts w:ascii="Arial" w:hAnsi="Arial" w:cs="Arial"/>
          <w:sz w:val="21"/>
          <w:szCs w:val="21"/>
        </w:rPr>
        <w:t>“</w:t>
      </w:r>
      <w:r w:rsidRPr="008A6B08">
        <w:rPr>
          <w:rFonts w:ascii="Arial" w:hAnsi="Arial" w:cs="Arial"/>
          <w:sz w:val="21"/>
          <w:szCs w:val="21"/>
        </w:rPr>
        <w:t>Los Usuarios del SECOP II son responsables de cualquier actuación efectuada con su Usuario. En consecuencia, la responsabilidad del manejo y confidencialidad de los usuarios y contraseñas recae única y exclusivamente en el titular de la misma y no en Colombia Compra Eficiente. La responsabilidad por el acceso a las cuentas de Entidad o proveedor recae en la persona designada como usuario administrador, además es quien está encargada de la habilitación de funciones de cada usuario dentro de los Procesos de contratación.</w:t>
      </w:r>
    </w:p>
    <w:p w:rsidRPr="008A6B08" w:rsidR="006423A7" w:rsidP="006423A7" w:rsidRDefault="006423A7" w14:paraId="7E929266" w14:textId="77777777">
      <w:pPr>
        <w:ind w:left="709" w:right="709"/>
        <w:jc w:val="both"/>
        <w:rPr>
          <w:rFonts w:ascii="Arial" w:hAnsi="Arial" w:cs="Arial"/>
          <w:sz w:val="21"/>
          <w:szCs w:val="21"/>
        </w:rPr>
      </w:pPr>
      <w:r w:rsidRPr="008A6B08">
        <w:rPr>
          <w:rFonts w:ascii="Arial" w:hAnsi="Arial" w:cs="Arial"/>
          <w:sz w:val="21"/>
          <w:szCs w:val="21"/>
        </w:rPr>
        <w:t xml:space="preserve">Colombia Compra Eficiente cuenta con mecanismos de seguridad suficientes para el ingreso de los usuarios a su cuenta. </w:t>
      </w:r>
    </w:p>
    <w:p w:rsidR="006423A7" w:rsidP="006423A7" w:rsidRDefault="006423A7" w14:paraId="58075CFF" w14:textId="77777777">
      <w:pPr>
        <w:ind w:left="709" w:right="709"/>
        <w:jc w:val="both"/>
        <w:rPr>
          <w:rFonts w:ascii="Arial" w:hAnsi="Arial" w:cs="Arial"/>
          <w:sz w:val="21"/>
          <w:szCs w:val="21"/>
        </w:rPr>
      </w:pPr>
      <w:r w:rsidRPr="008A6B08">
        <w:rPr>
          <w:rFonts w:ascii="Arial" w:hAnsi="Arial" w:cs="Arial"/>
          <w:sz w:val="21"/>
          <w:szCs w:val="21"/>
        </w:rPr>
        <w:t>Las actuaciones de los Usuarios en el SECOP II comprometen a la Entidad Compradora o al Proveedor del cual son agentes. La autenticación del SECOP II, es decir el nombre de usuario y la contraseña constituyen una firma electrónica en los términos del artículo 7 de la Ley 527 de 1999 y las normas que la reglamentan</w:t>
      </w:r>
      <w:r>
        <w:rPr>
          <w:rFonts w:ascii="Arial" w:hAnsi="Arial" w:cs="Arial"/>
          <w:sz w:val="21"/>
          <w:szCs w:val="21"/>
        </w:rPr>
        <w:t>”</w:t>
      </w:r>
      <w:r w:rsidRPr="008A6B08">
        <w:rPr>
          <w:rStyle w:val="Refdenotaalpie"/>
          <w:rFonts w:ascii="Arial" w:hAnsi="Arial" w:cs="Arial"/>
          <w:sz w:val="21"/>
          <w:szCs w:val="21"/>
        </w:rPr>
        <w:footnoteReference w:id="29"/>
      </w:r>
      <w:r w:rsidRPr="008A6B08">
        <w:rPr>
          <w:rFonts w:ascii="Arial" w:hAnsi="Arial" w:cs="Arial"/>
          <w:sz w:val="21"/>
          <w:szCs w:val="21"/>
        </w:rPr>
        <w:t>.</w:t>
      </w:r>
    </w:p>
    <w:p w:rsidRPr="00F256E3" w:rsidR="00643670" w:rsidP="006423A7" w:rsidRDefault="00643670" w14:paraId="383AB8CA" w14:textId="77777777">
      <w:pPr>
        <w:ind w:left="709" w:right="709"/>
        <w:jc w:val="both"/>
        <w:rPr>
          <w:rFonts w:ascii="Arial" w:hAnsi="Arial" w:cs="Arial"/>
          <w:sz w:val="21"/>
          <w:szCs w:val="21"/>
        </w:rPr>
      </w:pPr>
    </w:p>
    <w:p w:rsidRPr="008A6B08" w:rsidR="006423A7" w:rsidP="006423A7" w:rsidRDefault="006423A7" w14:paraId="2D878BEA" w14:textId="77777777">
      <w:pPr>
        <w:spacing w:line="276" w:lineRule="auto"/>
        <w:ind w:firstLine="567"/>
        <w:jc w:val="both"/>
        <w:rPr>
          <w:rFonts w:ascii="Arial" w:hAnsi="Arial" w:eastAsia="Calibri" w:cs="Arial"/>
          <w:lang w:val="es-ES"/>
        </w:rPr>
      </w:pPr>
      <w:bookmarkStart w:name="_Hlk38763732" w:id="7"/>
      <w:r w:rsidRPr="008A6B08">
        <w:rPr>
          <w:rFonts w:ascii="Arial" w:hAnsi="Arial" w:eastAsia="Calibri" w:cs="Arial"/>
          <w:lang w:val="es-ES"/>
        </w:rPr>
        <w:t xml:space="preserve">Con esto se concluye que la presentación de la propuesta económica por parte del proponente, a través de su usuario y contraseña, constituye su firma personal e intransferible, por lo que si la trazabilidad de la plataforma refleja que el </w:t>
      </w:r>
      <w:r>
        <w:rPr>
          <w:rFonts w:ascii="Arial" w:hAnsi="Arial" w:eastAsia="Calibri" w:cs="Arial"/>
          <w:lang w:val="es-ES"/>
        </w:rPr>
        <w:t>“</w:t>
      </w:r>
      <w:r w:rsidRPr="008A6B08">
        <w:rPr>
          <w:rFonts w:ascii="Arial" w:hAnsi="Arial" w:eastAsia="Calibri" w:cs="Arial"/>
          <w:lang w:val="es-ES"/>
        </w:rPr>
        <w:t>usuario</w:t>
      </w:r>
      <w:r>
        <w:rPr>
          <w:rFonts w:ascii="Arial" w:hAnsi="Arial" w:eastAsia="Calibri" w:cs="Arial"/>
          <w:lang w:val="es-ES"/>
        </w:rPr>
        <w:t>”</w:t>
      </w:r>
      <w:r w:rsidRPr="008A6B08">
        <w:rPr>
          <w:rFonts w:ascii="Arial" w:hAnsi="Arial" w:eastAsia="Calibri" w:cs="Arial"/>
          <w:lang w:val="es-ES"/>
        </w:rPr>
        <w:t xml:space="preserve"> presentó oferta en el proceso de selección, no se requiere que el proponente allegue la propuesta económica con firma manuscrita o digital, teniendo en cuenta que el SECOP II es una plataforma transaccional y que no debe existir duplicidad en la información que consta en la misma. Para más información sobre el uso del SECOP II, le recomendamos que consulte nuestra página web </w:t>
      </w:r>
      <w:hyperlink w:history="1" r:id="rId9">
        <w:r w:rsidRPr="008A6B08">
          <w:rPr>
            <w:rStyle w:val="Hipervnculo"/>
            <w:rFonts w:eastAsia="Calibri"/>
          </w:rPr>
          <w:t>http://www.colombiacompra.gov.co/secop/que-es-el-secop-ii</w:t>
        </w:r>
      </w:hyperlink>
      <w:bookmarkEnd w:id="7"/>
      <w:r w:rsidRPr="008A6B08">
        <w:rPr>
          <w:rFonts w:ascii="Arial" w:hAnsi="Arial" w:eastAsia="Calibri" w:cs="Arial"/>
          <w:lang w:val="es-ES"/>
        </w:rPr>
        <w:t xml:space="preserve"> </w:t>
      </w:r>
    </w:p>
    <w:p w:rsidRPr="008A6B08" w:rsidR="006423A7" w:rsidP="006423A7" w:rsidRDefault="006423A7" w14:paraId="440F4B5A" w14:textId="77777777">
      <w:pPr>
        <w:spacing w:line="276" w:lineRule="auto"/>
        <w:ind w:firstLine="567"/>
        <w:jc w:val="both"/>
        <w:rPr>
          <w:rFonts w:ascii="Arial" w:hAnsi="Arial" w:eastAsia="Calibri" w:cs="Arial"/>
          <w:lang w:val="es-ES"/>
        </w:rPr>
      </w:pPr>
      <w:r w:rsidRPr="008A6B08">
        <w:rPr>
          <w:rFonts w:ascii="Arial" w:hAnsi="Arial" w:eastAsia="Calibri" w:cs="Arial"/>
          <w:lang w:val="es-ES"/>
        </w:rPr>
        <w:t xml:space="preserve">Adicionalmente, el parágrafo 1 del artículo 5 de la Ley 1150 de 2007 establece que </w:t>
      </w:r>
      <w:r>
        <w:rPr>
          <w:rFonts w:ascii="Arial" w:hAnsi="Arial" w:eastAsia="Calibri" w:cs="Arial"/>
          <w:lang w:val="es-ES"/>
        </w:rPr>
        <w:t>“</w:t>
      </w:r>
      <w:r w:rsidRPr="008A6B08">
        <w:rPr>
          <w:rFonts w:ascii="Arial" w:hAnsi="Arial" w:eastAsia="Calibri" w:cs="Arial"/>
          <w:lang w:val="es-ES"/>
        </w:rPr>
        <w:t>La ausencia de requisitos o la falta de documentos referentes a la futura contratación o al proponente, no necesarios para la comparación de las propuestas no servirán de título suficiente para el rechazo de los ofrecimientos hechos</w:t>
      </w:r>
      <w:r>
        <w:rPr>
          <w:rFonts w:ascii="Arial" w:hAnsi="Arial" w:eastAsia="Calibri" w:cs="Arial"/>
          <w:lang w:val="es-ES"/>
        </w:rPr>
        <w:t>”</w:t>
      </w:r>
      <w:r w:rsidRPr="008A6B08">
        <w:rPr>
          <w:rFonts w:ascii="Arial" w:hAnsi="Arial" w:eastAsia="Calibri" w:cs="Arial"/>
          <w:lang w:val="es-ES"/>
        </w:rPr>
        <w:t xml:space="preserve">. Por tal razón, si se emplea la plataforma transaccional SECOP II en el procedimiento de selección, la firma electrónica del oferente cubre la del formato en el que no se haya plasmado la firma manuscrita. Por tanto, no encuentra esta Agencia que en tal caso –de ausencia de firma manuscrita– se pueda proceder con el rechazo de la oferta, porque se trata de una formalidad no necesaria para la comparación de las propuestas. </w:t>
      </w:r>
    </w:p>
    <w:p w:rsidRPr="00F256E3" w:rsidR="006423A7" w:rsidP="006423A7" w:rsidRDefault="006423A7" w14:paraId="19CA9024" w14:textId="77777777">
      <w:pPr>
        <w:pStyle w:val="Prrafodelista"/>
        <w:tabs>
          <w:tab w:val="left" w:pos="284"/>
        </w:tabs>
        <w:spacing w:line="276" w:lineRule="auto"/>
        <w:jc w:val="both"/>
        <w:rPr>
          <w:rFonts w:ascii="Arial" w:hAnsi="Arial" w:eastAsia="Calibri" w:cs="Arial"/>
          <w:color w:val="000000" w:themeColor="text1"/>
        </w:rPr>
      </w:pPr>
      <w:r>
        <w:rPr>
          <w:rFonts w:ascii="Arial" w:hAnsi="Arial" w:eastAsia="Calibri" w:cs="Arial"/>
          <w:b/>
          <w:color w:val="000000" w:themeColor="text1"/>
        </w:rPr>
        <w:t xml:space="preserve">3. </w:t>
      </w:r>
      <w:r w:rsidRPr="008A6B08">
        <w:rPr>
          <w:rFonts w:ascii="Arial" w:hAnsi="Arial" w:eastAsia="Calibri" w:cs="Arial"/>
          <w:b/>
          <w:color w:val="000000" w:themeColor="text1"/>
        </w:rPr>
        <w:t>Respuesta</w:t>
      </w:r>
    </w:p>
    <w:p w:rsidRPr="00F256E3" w:rsidR="006423A7" w:rsidP="006423A7" w:rsidRDefault="006423A7" w14:paraId="0B0883C2" w14:textId="77777777">
      <w:pPr>
        <w:pStyle w:val="Prrafodelista"/>
        <w:tabs>
          <w:tab w:val="left" w:pos="284"/>
        </w:tabs>
        <w:spacing w:line="276" w:lineRule="auto"/>
        <w:ind w:left="0"/>
        <w:jc w:val="both"/>
        <w:rPr>
          <w:rFonts w:ascii="Arial" w:hAnsi="Arial" w:eastAsia="Calibri" w:cs="Arial"/>
          <w:color w:val="000000" w:themeColor="text1"/>
        </w:rPr>
      </w:pPr>
    </w:p>
    <w:p w:rsidRPr="00643670" w:rsidR="006423A7" w:rsidP="00643670" w:rsidRDefault="006423A7" w14:paraId="60B35250" w14:textId="77777777">
      <w:pPr>
        <w:pStyle w:val="Default"/>
        <w:ind w:left="709" w:right="709"/>
        <w:jc w:val="both"/>
        <w:rPr>
          <w:rFonts w:ascii="Arial" w:hAnsi="Arial" w:cs="Arial"/>
          <w:sz w:val="21"/>
          <w:szCs w:val="21"/>
        </w:rPr>
      </w:pPr>
      <w:r>
        <w:rPr>
          <w:sz w:val="21"/>
          <w:szCs w:val="21"/>
        </w:rPr>
        <w:t>"</w:t>
      </w:r>
      <w:r w:rsidRPr="00643670">
        <w:rPr>
          <w:rFonts w:ascii="Arial" w:hAnsi="Arial" w:cs="Arial"/>
          <w:sz w:val="21"/>
          <w:szCs w:val="21"/>
        </w:rPr>
        <w:t xml:space="preserve">1 En los procesos de contratación adelantados en el SECOP II, ¿es imperativo o potestativo exigir en el pliego de condiciones la firma, ya sea de manera manuscrita y escaneada, o mediante imagen (cumpliendo los requisitos de las firmas electrónicas y digitales) de la carta de presentación de la propuesta? </w:t>
      </w:r>
    </w:p>
    <w:p w:rsidRPr="00643670" w:rsidR="006423A7" w:rsidP="00643670" w:rsidRDefault="006423A7" w14:paraId="5A69A0AD" w14:textId="77777777">
      <w:pPr>
        <w:pStyle w:val="Default"/>
        <w:ind w:left="709" w:right="709"/>
        <w:jc w:val="both"/>
        <w:rPr>
          <w:rFonts w:ascii="Arial" w:hAnsi="Arial" w:cs="Arial"/>
          <w:sz w:val="21"/>
          <w:szCs w:val="21"/>
        </w:rPr>
      </w:pPr>
    </w:p>
    <w:p w:rsidRPr="00643670" w:rsidR="006423A7" w:rsidP="00643670" w:rsidRDefault="006423A7" w14:paraId="2145EFFB" w14:textId="77777777">
      <w:pPr>
        <w:pStyle w:val="Default"/>
        <w:ind w:left="709" w:right="709"/>
        <w:jc w:val="both"/>
        <w:rPr>
          <w:rFonts w:ascii="Arial" w:hAnsi="Arial" w:cs="Arial"/>
          <w:sz w:val="21"/>
          <w:szCs w:val="21"/>
        </w:rPr>
      </w:pPr>
      <w:r w:rsidRPr="00643670">
        <w:rPr>
          <w:rFonts w:ascii="Arial" w:hAnsi="Arial" w:cs="Arial"/>
          <w:sz w:val="21"/>
          <w:szCs w:val="21"/>
        </w:rPr>
        <w:t xml:space="preserve">2 e la misma manera, ¿es imperativo o potestativo exigir en el pliego de condiciones la firma, ya sea de manera manuscrita y escaneada, o mediante imagen (cumpliendo los requisitos de las firmas electrónicas y digitales) de los formatos o anexos a través de los cuales se hacen los ofrecimientos ponderables o puntuables de la oferta?” </w:t>
      </w:r>
    </w:p>
    <w:p w:rsidRPr="00BB776A" w:rsidR="006423A7" w:rsidP="006423A7" w:rsidRDefault="006423A7" w14:paraId="13142F93" w14:textId="77777777">
      <w:pPr>
        <w:pStyle w:val="Default"/>
        <w:spacing w:after="57" w:line="276" w:lineRule="auto"/>
        <w:ind w:left="1069"/>
        <w:jc w:val="both"/>
        <w:rPr>
          <w:sz w:val="21"/>
          <w:szCs w:val="21"/>
        </w:rPr>
      </w:pPr>
    </w:p>
    <w:p w:rsidR="006423A7" w:rsidP="006423A7" w:rsidRDefault="006423A7" w14:paraId="0871E782" w14:textId="77777777">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Conforme a las consideraciones previas, es menester distinguir dos (2) situaciones: i) el documento original tiene la firma manuscrita y luego se escaneó para enviarlo a la entidad estatal por correo electrónico y ii) el documento tiene una imagen con la firma y se adjunta como archivo para enviarlo a la entidad.</w:t>
      </w:r>
    </w:p>
    <w:p w:rsidR="006423A7" w:rsidP="006423A7" w:rsidRDefault="006423A7" w14:paraId="14CB162F" w14:textId="77777777">
      <w:pPr>
        <w:pStyle w:val="paragraph"/>
        <w:spacing w:before="0" w:beforeAutospacing="0" w:after="120" w:afterAutospacing="0" w:line="276" w:lineRule="auto"/>
        <w:ind w:firstLine="703"/>
        <w:jc w:val="both"/>
        <w:textAlignment w:val="baseline"/>
        <w:rPr>
          <w:rStyle w:val="eop"/>
          <w:rFonts w:ascii="Arial" w:hAnsi="Arial" w:cs="Arial" w:eastAsiaTheme="minorHAnsi"/>
          <w:sz w:val="22"/>
          <w:szCs w:val="22"/>
          <w:lang w:eastAsia="en-US"/>
        </w:rPr>
      </w:pPr>
      <w:r>
        <w:rPr>
          <w:rStyle w:val="normaltextrun"/>
          <w:rFonts w:ascii="Arial" w:hAnsi="Arial" w:cs="Arial"/>
          <w:sz w:val="22"/>
        </w:rPr>
        <w:t xml:space="preserve">En el </w:t>
      </w:r>
      <w:r>
        <w:rPr>
          <w:rStyle w:val="normaltextrun"/>
          <w:rFonts w:ascii="Arial" w:hAnsi="Arial" w:cs="Arial"/>
          <w:i/>
          <w:iCs/>
          <w:sz w:val="22"/>
        </w:rPr>
        <w:t>primer supuesto</w:t>
      </w:r>
      <w:r>
        <w:rPr>
          <w:rStyle w:val="normaltextrun"/>
          <w:rFonts w:ascii="Arial" w:hAnsi="Arial" w:cs="Arial"/>
          <w:sz w:val="22"/>
        </w:rPr>
        <w:t xml:space="preserve">, es válido el documento con firma manuscrita que se escanea posteriormente, pues aquel está firmado con el puño y letra de la persona que lo suscribe, razón por la cual el hecho de que se escanee para enviarlo no es un motivo para rechazar su eficacia. En efecto, tratándose de </w:t>
      </w:r>
      <w:r w:rsidRPr="00F16946">
        <w:rPr>
          <w:rStyle w:val="normaltextrun"/>
          <w:rFonts w:ascii="Arial" w:hAnsi="Arial" w:cs="Arial"/>
          <w:sz w:val="22"/>
        </w:rPr>
        <w:t>los proponentes el pliego</w:t>
      </w:r>
      <w:r>
        <w:rPr>
          <w:rStyle w:val="normaltextrun"/>
          <w:rFonts w:ascii="Arial" w:hAnsi="Arial" w:cs="Arial"/>
          <w:sz w:val="22"/>
        </w:rPr>
        <w:t xml:space="preserve"> solo podrá exigir que los documentos de la oferta estén firmados, no que se presenten en original. De acuerdo con el 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Pr>
          <w:rStyle w:val="superscript"/>
          <w:rFonts w:ascii="Arial" w:hAnsi="Arial" w:cs="Arial"/>
          <w:sz w:val="17"/>
          <w:szCs w:val="17"/>
          <w:vertAlign w:val="superscript"/>
        </w:rPr>
        <w:t>7</w:t>
      </w:r>
      <w:r>
        <w:rPr>
          <w:rStyle w:val="normaltextrun"/>
          <w:rFonts w:ascii="Arial" w:hAnsi="Arial" w:cs="Arial"/>
          <w:sz w:val="22"/>
        </w:rPr>
        <w:t xml:space="preserve">. Conforme a lo anterior, si el oferente envía el </w:t>
      </w:r>
      <w:r>
        <w:rPr>
          <w:rStyle w:val="normaltextrun"/>
          <w:rFonts w:ascii="Arial" w:hAnsi="Arial" w:cs="Arial"/>
          <w:sz w:val="22"/>
        </w:rPr>
        <w:t>documento con firma manuscrita y luego lo escanea para enviarlo, éste será válido, toda vez que la normativa no exige que se tenga que enviar el documento en original sino solo que tenga la firma de quien lo suscribe.</w:t>
      </w:r>
      <w:r>
        <w:rPr>
          <w:rStyle w:val="eop"/>
          <w:rFonts w:ascii="Arial" w:hAnsi="Arial" w:cs="Arial"/>
          <w:sz w:val="22"/>
          <w:szCs w:val="22"/>
        </w:rPr>
        <w:t> </w:t>
      </w:r>
    </w:p>
    <w:p w:rsidR="006423A7" w:rsidP="006423A7" w:rsidRDefault="006423A7" w14:paraId="4E1EC624" w14:textId="77777777">
      <w:pPr>
        <w:pStyle w:val="paragraph"/>
        <w:spacing w:before="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rPr>
        <w:t xml:space="preserve">En el </w:t>
      </w:r>
      <w:r>
        <w:rPr>
          <w:rStyle w:val="normaltextrun"/>
          <w:rFonts w:ascii="Arial" w:hAnsi="Arial" w:cs="Arial"/>
          <w:i/>
          <w:iCs/>
          <w:sz w:val="22"/>
        </w:rPr>
        <w:t>segundo supuesto</w:t>
      </w:r>
      <w:r>
        <w:rPr>
          <w:rStyle w:val="normaltextrun"/>
          <w:rFonts w:ascii="Arial" w:hAnsi="Arial" w:cs="Arial"/>
          <w:sz w:val="22"/>
        </w:rPr>
        <w:t>, el documento tiene una imagen con la firma y se adjunta como archivo para enviarlo al correo electrónico, la entidad deberá verificar si el archivo cumple con los requisitos de la firma digital o electrónica. Así,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r>
        <w:rPr>
          <w:rStyle w:val="eop"/>
          <w:rFonts w:ascii="Arial" w:hAnsi="Arial" w:cs="Arial"/>
          <w:sz w:val="22"/>
          <w:szCs w:val="22"/>
        </w:rPr>
        <w:t> </w:t>
      </w:r>
    </w:p>
    <w:p w:rsidRPr="008A6B08" w:rsidR="006423A7" w:rsidP="006423A7" w:rsidRDefault="006423A7" w14:paraId="0DA42E58" w14:textId="77777777">
      <w:pPr>
        <w:spacing w:line="276" w:lineRule="auto"/>
        <w:ind w:left="709" w:right="709"/>
        <w:jc w:val="both"/>
        <w:rPr>
          <w:rFonts w:ascii="Arial" w:hAnsi="Arial" w:eastAsia="Calibri" w:cs="Arial"/>
          <w:color w:val="000000" w:themeColor="text1"/>
        </w:rPr>
      </w:pPr>
    </w:p>
    <w:p w:rsidR="006423A7" w:rsidP="00643670" w:rsidRDefault="006423A7" w14:paraId="6E92A295" w14:textId="77777777">
      <w:pPr>
        <w:pStyle w:val="Default"/>
        <w:ind w:left="709" w:right="709"/>
        <w:jc w:val="both"/>
        <w:rPr>
          <w:sz w:val="21"/>
          <w:szCs w:val="21"/>
        </w:rPr>
      </w:pPr>
      <w:r>
        <w:rPr>
          <w:sz w:val="21"/>
          <w:szCs w:val="21"/>
        </w:rPr>
        <w:t>“3</w:t>
      </w:r>
      <w:r w:rsidRPr="00643670">
        <w:rPr>
          <w:rFonts w:ascii="Arial" w:hAnsi="Arial" w:cs="Arial"/>
          <w:sz w:val="21"/>
          <w:szCs w:val="21"/>
        </w:rPr>
        <w:t>. ¿Con la firma de la carta de presentación de la propuesta y/o con el envío la oferta a través de un mensaje de datos en la plataforma SECOP II, se da aval automático a la autenticidad, integridad y no repudio de la oferta presentada, particularmente respecto de lo ofrecido en los formatos o anexos de los criterios ponderables o puntuables de la propuesta?”</w:t>
      </w:r>
      <w:r w:rsidRPr="00BB776A">
        <w:rPr>
          <w:sz w:val="21"/>
          <w:szCs w:val="21"/>
        </w:rPr>
        <w:t xml:space="preserve"> </w:t>
      </w:r>
    </w:p>
    <w:p w:rsidR="006423A7" w:rsidP="006423A7" w:rsidRDefault="006423A7" w14:paraId="0A742C50" w14:textId="77777777">
      <w:pPr>
        <w:pStyle w:val="Default"/>
        <w:spacing w:line="276" w:lineRule="auto"/>
        <w:ind w:left="720"/>
        <w:jc w:val="both"/>
        <w:rPr>
          <w:sz w:val="21"/>
          <w:szCs w:val="21"/>
        </w:rPr>
      </w:pPr>
    </w:p>
    <w:p w:rsidRPr="00643670" w:rsidR="006423A7" w:rsidP="006423A7" w:rsidRDefault="006423A7" w14:paraId="25D4A80B" w14:textId="77777777">
      <w:pPr>
        <w:pStyle w:val="Default"/>
        <w:spacing w:line="276" w:lineRule="auto"/>
        <w:ind w:firstLine="708"/>
        <w:rPr>
          <w:rFonts w:ascii="Arial" w:hAnsi="Arial" w:cs="Arial"/>
          <w:sz w:val="21"/>
          <w:szCs w:val="21"/>
        </w:rPr>
      </w:pPr>
      <w:r w:rsidRPr="00643670">
        <w:rPr>
          <w:rFonts w:ascii="Arial" w:hAnsi="Arial" w:eastAsia="Calibri" w:cs="Arial"/>
          <w:color w:val="000000" w:themeColor="text1"/>
          <w:sz w:val="22"/>
          <w:szCs w:val="22"/>
        </w:rPr>
        <w:t xml:space="preserve">El artículo 5 de la </w:t>
      </w:r>
      <w:r w:rsidRPr="00643670">
        <w:rPr>
          <w:rFonts w:ascii="Arial" w:hAnsi="Arial" w:eastAsia="Calibri" w:cs="Arial"/>
          <w:color w:val="000000" w:themeColor="text1"/>
          <w:sz w:val="22"/>
          <w:szCs w:val="22"/>
          <w:lang w:val="es-ES_tradnl"/>
        </w:rPr>
        <w:t xml:space="preserve">Ley 529 de 1999 dispone que “No se negarán efectos jurídicos, validez o fuerza obligatoria a todo tipo de información por la sola razón de que esté en forma de mensaje de datos” y que tanto la Ley 80 de 1993 como la Ley 1150 de 2007 se remiten a la misma disposición, no es posible rechazar una oferta presentada a través de la plataforma transaccional del Secop II, por no encontrarse suscrita de manera manuscrita, ya que </w:t>
      </w:r>
      <w:r w:rsidRPr="00643670">
        <w:rPr>
          <w:rFonts w:ascii="Arial" w:hAnsi="Arial" w:eastAsia="Calibri" w:cs="Arial"/>
          <w:sz w:val="22"/>
          <w:szCs w:val="22"/>
          <w:lang w:val="es-ES"/>
        </w:rPr>
        <w:t xml:space="preserve">que la presentación de la oferta por parte del proponente, a través de su usuario y contraseña, constituye su firma personal e intransferible. </w:t>
      </w:r>
    </w:p>
    <w:p w:rsidRPr="008C142C" w:rsidR="006423A7" w:rsidP="006423A7" w:rsidRDefault="006423A7" w14:paraId="6A3F8390" w14:textId="77777777">
      <w:pPr>
        <w:tabs>
          <w:tab w:val="left" w:pos="709"/>
        </w:tabs>
        <w:spacing w:before="120" w:line="276" w:lineRule="auto"/>
        <w:jc w:val="both"/>
        <w:rPr>
          <w:rFonts w:ascii="Arial" w:hAnsi="Arial" w:eastAsia="Calibri" w:cs="Arial"/>
          <w:color w:val="000000" w:themeColor="text1"/>
          <w:lang w:val="es-ES_tradnl"/>
        </w:rPr>
      </w:pPr>
      <w:r w:rsidRPr="008C142C">
        <w:rPr>
          <w:rFonts w:ascii="Arial" w:hAnsi="Arial" w:eastAsia="Calibri" w:cs="Arial"/>
          <w:lang w:val="es-ES"/>
        </w:rPr>
        <w:tab/>
      </w:r>
      <w:r w:rsidRPr="008C142C">
        <w:rPr>
          <w:rFonts w:ascii="Arial" w:hAnsi="Arial" w:eastAsia="Calibri" w:cs="Arial"/>
          <w:lang w:val="es-ES"/>
        </w:rPr>
        <w:t>Si la trazabilidad de la plataforma refleja que el “usuario” presentó oferta en el proceso de selección no se requerirá que el proponente aporte la propuesta económica con firma manuscrita o digital, teniendo en cuenta el carácter transaccional del SECOP II. Esto</w:t>
      </w:r>
      <w:r w:rsidRPr="008C142C">
        <w:rPr>
          <w:rFonts w:ascii="Arial" w:hAnsi="Arial" w:eastAsia="Calibri" w:cs="Arial"/>
          <w:color w:val="000000" w:themeColor="text1"/>
        </w:rPr>
        <w:t xml:space="preserve"> quiere decir que las actuaciones se deben efectuar en línea y no resulta, en principio, admisible, que se firmen documentos en forma </w:t>
      </w:r>
      <w:r w:rsidRPr="008C142C">
        <w:rPr>
          <w:rFonts w:ascii="Arial" w:hAnsi="Arial" w:eastAsia="Calibri" w:cs="Arial"/>
          <w:color w:val="000000" w:themeColor="text1"/>
        </w:rPr>
        <w:t xml:space="preserve">manuscrita, para luego escanearlos y subirlos adjuntos al aplicativo, además </w:t>
      </w:r>
      <w:r w:rsidRPr="008C142C">
        <w:rPr>
          <w:rFonts w:ascii="Arial" w:hAnsi="Arial" w:eastAsia="Calibri" w:cs="Arial"/>
          <w:lang w:val="es-ES"/>
        </w:rPr>
        <w:t>no debe existir duplicidad en la información que consta en plataforma.</w:t>
      </w:r>
    </w:p>
    <w:p w:rsidRPr="008C142C" w:rsidR="006423A7" w:rsidP="006423A7" w:rsidRDefault="006423A7" w14:paraId="21A715CA" w14:textId="77777777">
      <w:pPr>
        <w:spacing w:line="276" w:lineRule="auto"/>
        <w:jc w:val="both"/>
        <w:rPr>
          <w:rFonts w:ascii="Arial" w:hAnsi="Arial" w:eastAsia="Calibri" w:cs="Arial"/>
          <w:color w:val="000000" w:themeColor="text1"/>
        </w:rPr>
      </w:pPr>
      <w:r w:rsidRPr="008C142C">
        <w:rPr>
          <w:rFonts w:ascii="Arial" w:hAnsi="Arial" w:eastAsia="Calibri" w:cs="Arial"/>
          <w:color w:val="000000" w:themeColor="text1"/>
        </w:rPr>
        <w:t>Este concepto tiene el alcance previsto en el artículo 28 del Código de Procedimiento Administrativo y de lo Contencioso Administrativo.</w:t>
      </w:r>
    </w:p>
    <w:p w:rsidRPr="008A6B08" w:rsidR="006423A7" w:rsidP="006423A7" w:rsidRDefault="006423A7" w14:paraId="21FB9E22" w14:textId="77777777">
      <w:pPr>
        <w:spacing w:line="276" w:lineRule="auto"/>
        <w:jc w:val="both"/>
        <w:rPr>
          <w:rFonts w:ascii="Arial" w:hAnsi="Arial" w:cs="Arial"/>
        </w:rPr>
      </w:pPr>
      <w:bookmarkStart w:name="_Hlk57650395" w:id="8"/>
    </w:p>
    <w:p w:rsidRPr="008A6B08" w:rsidR="006423A7" w:rsidP="006423A7" w:rsidRDefault="006423A7" w14:paraId="4CEE3739" w14:textId="77777777">
      <w:pPr>
        <w:spacing w:line="276" w:lineRule="auto"/>
        <w:jc w:val="both"/>
        <w:rPr>
          <w:rFonts w:ascii="Arial" w:hAnsi="Arial" w:cs="Arial"/>
        </w:rPr>
      </w:pPr>
      <w:r w:rsidRPr="008A6B08">
        <w:rPr>
          <w:rFonts w:ascii="Arial" w:hAnsi="Arial" w:cs="Arial"/>
        </w:rPr>
        <w:t>Atentamente,</w:t>
      </w:r>
      <w:bookmarkEnd w:id="8"/>
    </w:p>
    <w:p w:rsidRPr="008A6B08" w:rsidR="006423A7" w:rsidP="006423A7" w:rsidRDefault="00D94AF4" w14:paraId="69C95A60" w14:textId="741E1AAF">
      <w:pPr>
        <w:spacing w:line="276" w:lineRule="auto"/>
        <w:jc w:val="center"/>
        <w:rPr>
          <w:rFonts w:ascii="Arial" w:hAnsi="Arial" w:cs="Arial"/>
          <w:lang w:eastAsia="es-CO"/>
        </w:rPr>
      </w:pPr>
      <w:r>
        <w:rPr>
          <w:noProof/>
        </w:rPr>
        <w:drawing>
          <wp:inline distT="0" distB="0" distL="0" distR="0" wp14:anchorId="41F2A927" wp14:editId="1550277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8A6B08" w:rsidR="006423A7" w:rsidTr="00E84CAC" w14:paraId="1152978A" w14:textId="77777777">
        <w:trPr>
          <w:trHeight w:val="315"/>
        </w:trPr>
        <w:tc>
          <w:tcPr>
            <w:tcW w:w="812" w:type="dxa"/>
            <w:vAlign w:val="center"/>
          </w:tcPr>
          <w:p w:rsidRPr="008A6B08" w:rsidR="006423A7" w:rsidP="00E84CAC" w:rsidRDefault="006423A7" w14:paraId="6C9CF874" w14:textId="77777777">
            <w:pPr>
              <w:spacing w:line="276" w:lineRule="auto"/>
              <w:rPr>
                <w:rFonts w:ascii="Arial" w:hAnsi="Arial" w:cs="Arial"/>
                <w:sz w:val="16"/>
                <w:szCs w:val="16"/>
                <w:lang w:eastAsia="es-ES"/>
              </w:rPr>
            </w:pPr>
            <w:r w:rsidRPr="008A6B08">
              <w:rPr>
                <w:rFonts w:ascii="Arial" w:hAnsi="Arial" w:cs="Arial"/>
                <w:sz w:val="16"/>
                <w:szCs w:val="16"/>
                <w:lang w:eastAsia="es-ES"/>
              </w:rPr>
              <w:t>Elaboró:</w:t>
            </w:r>
          </w:p>
        </w:tc>
        <w:tc>
          <w:tcPr>
            <w:tcW w:w="4413" w:type="dxa"/>
            <w:tcBorders>
              <w:bottom w:val="dotted" w:color="7F7F7F" w:themeColor="text1" w:themeTint="80" w:sz="4" w:space="0"/>
            </w:tcBorders>
            <w:vAlign w:val="center"/>
          </w:tcPr>
          <w:p w:rsidRPr="008A6B08" w:rsidR="006423A7" w:rsidP="00E84CAC" w:rsidRDefault="006423A7" w14:paraId="5CF46357" w14:textId="77777777">
            <w:pPr>
              <w:spacing w:line="276" w:lineRule="auto"/>
              <w:rPr>
                <w:rFonts w:ascii="Arial" w:hAnsi="Arial" w:cs="Arial"/>
                <w:color w:val="000000" w:themeColor="text1"/>
                <w:sz w:val="16"/>
                <w:szCs w:val="16"/>
                <w:lang w:val="es-ES_tradnl" w:eastAsia="es-ES"/>
              </w:rPr>
            </w:pPr>
            <w:r w:rsidRPr="008A6B08">
              <w:rPr>
                <w:rFonts w:ascii="Arial" w:hAnsi="Arial" w:cs="Arial"/>
                <w:color w:val="000000" w:themeColor="text1"/>
                <w:sz w:val="16"/>
                <w:szCs w:val="16"/>
                <w:lang w:val="es-ES_tradnl" w:eastAsia="es-ES"/>
              </w:rPr>
              <w:t xml:space="preserve">María Valeska Medellín Mora </w:t>
            </w:r>
          </w:p>
          <w:p w:rsidRPr="008A6B08" w:rsidR="006423A7" w:rsidP="00E84CAC" w:rsidRDefault="006423A7" w14:paraId="2693DB58" w14:textId="77777777">
            <w:pPr>
              <w:spacing w:line="276" w:lineRule="auto"/>
              <w:rPr>
                <w:rFonts w:ascii="Arial" w:hAnsi="Arial" w:cs="Arial"/>
                <w:sz w:val="16"/>
                <w:szCs w:val="16"/>
                <w:lang w:eastAsia="es-ES"/>
              </w:rPr>
            </w:pPr>
            <w:r w:rsidRPr="008A6B08">
              <w:rPr>
                <w:rFonts w:ascii="Arial" w:hAnsi="Arial" w:cs="Arial"/>
                <w:color w:val="000000" w:themeColor="text1"/>
                <w:sz w:val="16"/>
                <w:szCs w:val="16"/>
                <w:lang w:val="es-ES_tradnl" w:eastAsia="es-ES"/>
              </w:rPr>
              <w:t>Gestor T1-15 de la Subdirección de Gestión Contractual</w:t>
            </w:r>
          </w:p>
        </w:tc>
      </w:tr>
      <w:tr w:rsidRPr="008A6B08" w:rsidR="006423A7" w:rsidTr="00E84CAC" w14:paraId="78F00B6B" w14:textId="77777777">
        <w:trPr>
          <w:trHeight w:val="330"/>
        </w:trPr>
        <w:tc>
          <w:tcPr>
            <w:tcW w:w="812" w:type="dxa"/>
            <w:vAlign w:val="center"/>
          </w:tcPr>
          <w:p w:rsidRPr="008A6B08" w:rsidR="006423A7" w:rsidP="00E84CAC" w:rsidRDefault="006423A7" w14:paraId="288C3112" w14:textId="77777777">
            <w:pPr>
              <w:spacing w:line="276" w:lineRule="auto"/>
              <w:rPr>
                <w:rFonts w:ascii="Arial" w:hAnsi="Arial" w:cs="Arial"/>
                <w:sz w:val="16"/>
                <w:szCs w:val="16"/>
                <w:lang w:eastAsia="es-ES"/>
              </w:rPr>
            </w:pPr>
            <w:r w:rsidRPr="008A6B08">
              <w:rPr>
                <w:rFonts w:ascii="Arial" w:hAnsi="Arial" w:cs="Arial"/>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8A6B08" w:rsidR="006423A7" w:rsidP="00E84CAC" w:rsidRDefault="006423A7" w14:paraId="25435243" w14:textId="77777777">
            <w:pPr>
              <w:spacing w:line="276" w:lineRule="auto"/>
              <w:rPr>
                <w:rFonts w:ascii="Arial" w:hAnsi="Arial" w:cs="Arial"/>
                <w:sz w:val="16"/>
                <w:szCs w:val="16"/>
                <w:lang w:eastAsia="es-ES"/>
              </w:rPr>
            </w:pPr>
            <w:r w:rsidRPr="008A6B08">
              <w:rPr>
                <w:rFonts w:ascii="Arial" w:hAnsi="Arial" w:cs="Arial"/>
                <w:sz w:val="16"/>
                <w:szCs w:val="16"/>
                <w:lang w:eastAsia="es-ES"/>
              </w:rPr>
              <w:t>Alejandro Sarmiento Cantillo</w:t>
            </w:r>
          </w:p>
          <w:p w:rsidRPr="008A6B08" w:rsidR="006423A7" w:rsidP="00E84CAC" w:rsidRDefault="006423A7" w14:paraId="22B79C33" w14:textId="77777777">
            <w:pPr>
              <w:spacing w:line="276" w:lineRule="auto"/>
              <w:rPr>
                <w:rFonts w:ascii="Arial" w:hAnsi="Arial" w:cs="Arial"/>
                <w:sz w:val="16"/>
                <w:szCs w:val="16"/>
                <w:lang w:eastAsia="es-ES"/>
              </w:rPr>
            </w:pPr>
            <w:r w:rsidRPr="008A6B08">
              <w:rPr>
                <w:rFonts w:ascii="Arial" w:hAnsi="Arial" w:cs="Arial"/>
                <w:color w:val="000000" w:themeColor="text1"/>
                <w:sz w:val="16"/>
                <w:szCs w:val="16"/>
                <w:lang w:val="es-ES_tradnl" w:eastAsia="es-ES"/>
              </w:rPr>
              <w:t>Gestor T1-15 de la Subdirección de Gestión Contractual</w:t>
            </w:r>
          </w:p>
        </w:tc>
      </w:tr>
      <w:tr w:rsidRPr="008A6B08" w:rsidR="006423A7" w:rsidTr="00E84CAC" w14:paraId="04FDADF0" w14:textId="77777777">
        <w:trPr>
          <w:trHeight w:val="300"/>
        </w:trPr>
        <w:tc>
          <w:tcPr>
            <w:tcW w:w="812" w:type="dxa"/>
            <w:vAlign w:val="center"/>
          </w:tcPr>
          <w:p w:rsidRPr="008A6B08" w:rsidR="006423A7" w:rsidP="00E84CAC" w:rsidRDefault="006423A7" w14:paraId="2BF2FF3C" w14:textId="77777777">
            <w:pPr>
              <w:spacing w:line="276" w:lineRule="auto"/>
              <w:rPr>
                <w:rFonts w:ascii="Arial" w:hAnsi="Arial" w:cs="Arial"/>
                <w:sz w:val="16"/>
                <w:szCs w:val="16"/>
                <w:lang w:eastAsia="es-ES"/>
              </w:rPr>
            </w:pPr>
            <w:r w:rsidRPr="008A6B08">
              <w:rPr>
                <w:rFonts w:ascii="Arial" w:hAnsi="Arial" w:cs="Arial"/>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8A6B08" w:rsidR="006423A7" w:rsidP="00E84CAC" w:rsidRDefault="006423A7" w14:paraId="243661E9" w14:textId="77777777">
            <w:pPr>
              <w:spacing w:line="276" w:lineRule="auto"/>
              <w:rPr>
                <w:rFonts w:ascii="Arial" w:hAnsi="Arial" w:eastAsia="Calibri" w:cs="Arial"/>
                <w:sz w:val="16"/>
                <w:szCs w:val="16"/>
                <w:lang w:val="pt-BR" w:eastAsia="es-ES"/>
              </w:rPr>
            </w:pPr>
            <w:r w:rsidRPr="008A6B08">
              <w:rPr>
                <w:rFonts w:ascii="Arial" w:hAnsi="Arial" w:eastAsia="Calibri" w:cs="Arial"/>
                <w:sz w:val="16"/>
                <w:szCs w:val="16"/>
                <w:lang w:val="pt-BR" w:eastAsia="es-ES"/>
              </w:rPr>
              <w:t>Nohelia Del Carmen Zawady Palacio</w:t>
            </w:r>
          </w:p>
          <w:p w:rsidRPr="008A6B08" w:rsidR="006423A7" w:rsidP="00E84CAC" w:rsidRDefault="006423A7" w14:paraId="5556FB90" w14:textId="77777777">
            <w:pPr>
              <w:spacing w:line="276" w:lineRule="auto"/>
              <w:rPr>
                <w:rFonts w:ascii="Arial" w:hAnsi="Arial" w:cs="Arial"/>
                <w:sz w:val="16"/>
                <w:szCs w:val="16"/>
                <w:lang w:eastAsia="es-ES"/>
              </w:rPr>
            </w:pPr>
            <w:r w:rsidRPr="008A6B08">
              <w:rPr>
                <w:rFonts w:ascii="Arial" w:hAnsi="Arial" w:eastAsia="Calibri" w:cs="Arial"/>
                <w:sz w:val="16"/>
                <w:szCs w:val="16"/>
                <w:lang w:eastAsia="es-ES"/>
              </w:rPr>
              <w:t xml:space="preserve">Subdirectora de Gestión Contractual </w:t>
            </w:r>
          </w:p>
        </w:tc>
      </w:tr>
      <w:bookmarkEnd w:id="0"/>
      <w:bookmarkEnd w:id="1"/>
    </w:tbl>
    <w:p w:rsidRPr="00080DA3" w:rsidR="006423A7" w:rsidP="006423A7" w:rsidRDefault="006423A7" w14:paraId="130695E0" w14:textId="77777777">
      <w:pPr>
        <w:spacing w:after="160" w:line="276" w:lineRule="auto"/>
        <w:jc w:val="both"/>
        <w:rPr>
          <w:rFonts w:ascii="Geomanist Light" w:hAnsi="Geomanist Light" w:cs="Arial"/>
          <w:lang w:eastAsia="es-CO"/>
        </w:rPr>
      </w:pPr>
    </w:p>
    <w:p w:rsidRPr="006423A7" w:rsidR="00C2132D" w:rsidP="006423A7" w:rsidRDefault="00C2132D" w14:paraId="0336C48E" w14:textId="77777777">
      <w:pPr>
        <w:rPr>
          <w:rFonts w:eastAsia="Calibri"/>
        </w:rPr>
      </w:pPr>
    </w:p>
    <w:sectPr w:rsidRPr="006423A7" w:rsidR="00C2132D" w:rsidSect="008F76EE">
      <w:headerReference w:type="default" r:id="rId11"/>
      <w:footerReference w:type="default" r:id="rId12"/>
      <w:pgSz w:w="12240" w:h="15840" w:orient="portrait"/>
      <w:pgMar w:top="408" w:right="1701" w:bottom="1276" w:left="1701" w:header="340" w:footer="22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36B" w:rsidP="0043584B" w:rsidRDefault="00C5636B" w14:paraId="0962BCFF" w14:textId="77777777">
      <w:r>
        <w:separator/>
      </w:r>
    </w:p>
  </w:endnote>
  <w:endnote w:type="continuationSeparator" w:id="0">
    <w:p w:rsidR="00C5636B" w:rsidP="0043584B" w:rsidRDefault="00C5636B" w14:paraId="1577E7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A2A" w:rsidP="00993A2A" w:rsidRDefault="00D133D4" w14:paraId="2D1B2FFA" w14:textId="77777777">
    <w:pPr>
      <w:pStyle w:val="Piedepgina"/>
      <w:spacing w:after="0"/>
    </w:pPr>
    <w:r>
      <w:rPr>
        <w:noProof/>
        <w:lang w:val="en-US"/>
      </w:rPr>
      <w:drawing>
        <wp:inline distT="0" distB="0" distL="0" distR="0" wp14:anchorId="3D2B058D" wp14:editId="3680C76B">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993A2A" w:rsidTr="00993A2A" w14:paraId="3A1AF7F5" w14:textId="77777777">
      <w:trPr>
        <w:trHeight w:val="274"/>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D133D4" w14:paraId="070C452B"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D133D4" w14:paraId="7CC630B3"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D133D4" w14:paraId="5A473810"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993A2A" w:rsidP="00993A2A" w:rsidRDefault="00D133D4" w14:paraId="793EB386"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D133D4" w14:paraId="757A033A"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D133D4" w14:paraId="64DAC978" w14:textId="7777777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D133D4" w14:paraId="386FF51C"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rsidRPr="007B0854" w:rsidR="00412132" w:rsidP="00993A2A" w:rsidRDefault="00D94AF4" w14:paraId="37A7421A" w14:textId="77777777">
    <w:pPr>
      <w:pStyle w:val="Piedepgina"/>
      <w:spacing w:after="0" w:line="120" w:lineRule="auto"/>
      <w:rPr>
        <w:lang w:val="es-ES"/>
      </w:rPr>
    </w:pPr>
  </w:p>
  <w:p w:rsidR="00F7361C" w:rsidRDefault="00D94AF4" w14:paraId="269FBFF4" w14:textId="77777777"/>
  <w:p w:rsidR="00F7361C" w:rsidRDefault="00D94AF4" w14:paraId="5993CB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36B" w:rsidP="0043584B" w:rsidRDefault="00C5636B" w14:paraId="52E82F78" w14:textId="77777777">
      <w:r>
        <w:separator/>
      </w:r>
    </w:p>
  </w:footnote>
  <w:footnote w:type="continuationSeparator" w:id="0">
    <w:p w:rsidR="00C5636B" w:rsidP="0043584B" w:rsidRDefault="00C5636B" w14:paraId="1EA96815" w14:textId="77777777">
      <w:r>
        <w:continuationSeparator/>
      </w:r>
    </w:p>
  </w:footnote>
  <w:footnote w:id="1">
    <w:p w:rsidRPr="00E84CAC" w:rsidR="006423A7" w:rsidP="006423A7" w:rsidRDefault="006423A7" w14:paraId="6AB8BF31" w14:textId="77777777">
      <w:pPr>
        <w:pStyle w:val="Textonotapie"/>
        <w:snapToGrid w:val="0"/>
        <w:ind w:firstLine="709"/>
        <w:jc w:val="both"/>
        <w:rPr>
          <w:rFonts w:eastAsia="Calibri"/>
          <w:color w:val="000000" w:themeColor="text1"/>
          <w:sz w:val="18"/>
          <w:szCs w:val="18"/>
          <w:lang w:val="es-ES_tradnl"/>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la cual se dictan disposiciones sobre racionalización de trámites y procedimientos administrativos de los organismos y entidades del Estado y de los particulares que ejercen funciones públicas o prestan servicios públicos”.</w:t>
      </w:r>
    </w:p>
  </w:footnote>
  <w:footnote w:id="2">
    <w:p w:rsidRPr="00E84CAC" w:rsidR="006423A7" w:rsidP="006423A7" w:rsidRDefault="006423A7" w14:paraId="4C8BA127"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rsidRPr="00E84CAC" w:rsidR="006423A7" w:rsidP="006423A7" w:rsidRDefault="006423A7" w14:paraId="23B233A8" w14:textId="77777777">
      <w:pPr>
        <w:pStyle w:val="Textonotapie"/>
        <w:snapToGrid w:val="0"/>
        <w:ind w:firstLine="709"/>
        <w:jc w:val="both"/>
        <w:rPr>
          <w:color w:val="000000" w:themeColor="text1"/>
          <w:sz w:val="18"/>
          <w:szCs w:val="18"/>
        </w:rPr>
      </w:pPr>
      <w:r w:rsidRPr="00E84CAC">
        <w:rPr>
          <w:color w:val="000000" w:themeColor="text1"/>
          <w:sz w:val="18"/>
          <w:szCs w:val="18"/>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rsidRPr="00E84CAC" w:rsidR="006423A7" w:rsidP="006423A7" w:rsidRDefault="006423A7" w14:paraId="06746962" w14:textId="77777777">
      <w:pPr>
        <w:pStyle w:val="Textonotapie"/>
        <w:snapToGrid w:val="0"/>
        <w:ind w:firstLine="709"/>
        <w:jc w:val="both"/>
        <w:rPr>
          <w:color w:val="000000" w:themeColor="text1"/>
          <w:sz w:val="18"/>
          <w:szCs w:val="18"/>
        </w:rPr>
      </w:pPr>
      <w:r w:rsidRPr="00E84CAC">
        <w:rPr>
          <w:color w:val="000000" w:themeColor="text1"/>
          <w:sz w:val="18"/>
          <w:szCs w:val="18"/>
        </w:rPr>
        <w:t>“Toda persona podrá presentar peticiones, quejas, reclamaciones o recursos, mediante cualquier medio tecnológico o electrónico del cual dispongan las entidades y organismos de la Administración Pública.</w:t>
      </w:r>
    </w:p>
    <w:p w:rsidRPr="00E84CAC" w:rsidR="006423A7" w:rsidP="006423A7" w:rsidRDefault="006423A7" w14:paraId="3AFB94AA" w14:textId="77777777">
      <w:pPr>
        <w:pStyle w:val="Textonotapie"/>
        <w:snapToGrid w:val="0"/>
        <w:ind w:firstLine="709"/>
        <w:jc w:val="both"/>
        <w:rPr>
          <w:color w:val="000000" w:themeColor="text1"/>
          <w:sz w:val="18"/>
          <w:szCs w:val="18"/>
        </w:rPr>
      </w:pPr>
      <w:r w:rsidRPr="00E84CAC">
        <w:rPr>
          <w:color w:val="000000" w:themeColor="text1"/>
          <w:sz w:val="18"/>
          <w:szCs w:val="18"/>
        </w:rPr>
        <w:t>“En los casos de peticiones relacionadas con el reconocimiento de una prestación económica en todo caso deben allegarse los documentos físicos que soporten el derecho que se reclama.</w:t>
      </w:r>
    </w:p>
    <w:p w:rsidRPr="00E84CAC" w:rsidR="006423A7" w:rsidP="006423A7" w:rsidRDefault="006423A7" w14:paraId="60832336" w14:textId="77777777">
      <w:pPr>
        <w:pStyle w:val="Textonotapie"/>
        <w:snapToGrid w:val="0"/>
        <w:ind w:firstLine="709"/>
        <w:jc w:val="both"/>
        <w:rPr>
          <w:color w:val="000000" w:themeColor="text1"/>
          <w:sz w:val="18"/>
          <w:szCs w:val="18"/>
        </w:rPr>
      </w:pPr>
      <w:r w:rsidRPr="00E84CAC">
        <w:rPr>
          <w:color w:val="000000" w:themeColor="text1"/>
          <w:sz w:val="18"/>
          <w:szCs w:val="18"/>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rsidRPr="00E84CAC" w:rsidR="006423A7" w:rsidP="006423A7" w:rsidRDefault="006423A7" w14:paraId="21EAA636" w14:textId="77777777">
      <w:pPr>
        <w:pStyle w:val="Textonotapie"/>
        <w:snapToGrid w:val="0"/>
        <w:ind w:firstLine="709"/>
        <w:jc w:val="both"/>
        <w:rPr>
          <w:color w:val="000000" w:themeColor="text1"/>
          <w:sz w:val="18"/>
          <w:szCs w:val="18"/>
        </w:rPr>
      </w:pPr>
      <w:r w:rsidRPr="00E84CAC">
        <w:rPr>
          <w:color w:val="000000" w:themeColor="text1"/>
          <w:sz w:val="18"/>
          <w:szCs w:val="18"/>
        </w:rPr>
        <w:t>“Parágrafo 1°. Las entidades y organismos de la Administración Pública deberán hacer públicos los medios tecnológicos o electrónicos de que dispongan, para permitir su utilización.</w:t>
      </w:r>
    </w:p>
    <w:p w:rsidRPr="00E84CAC" w:rsidR="006423A7" w:rsidP="006423A7" w:rsidRDefault="006423A7" w14:paraId="41F7260E" w14:textId="77777777">
      <w:pPr>
        <w:pStyle w:val="Textonotapie"/>
        <w:snapToGrid w:val="0"/>
        <w:ind w:firstLine="709"/>
        <w:jc w:val="both"/>
        <w:rPr>
          <w:color w:val="000000" w:themeColor="text1"/>
          <w:sz w:val="18"/>
          <w:szCs w:val="18"/>
        </w:rPr>
      </w:pPr>
      <w:r w:rsidRPr="00E84CAC">
        <w:rPr>
          <w:color w:val="000000" w:themeColor="text1"/>
          <w:sz w:val="18"/>
          <w:szCs w:val="18"/>
        </w:rPr>
        <w:t>“Parágrafo 2°. En todo caso, el uso de los medios tecnológicos y electrónicos para adelantar trámites y competencias de la Administración Pública deberá garantizar los principios de autenticidad, disponibilidad e integridad.</w:t>
      </w:r>
    </w:p>
    <w:p w:rsidRPr="00E84CAC" w:rsidR="006423A7" w:rsidP="006423A7" w:rsidRDefault="006423A7" w14:paraId="417BC904" w14:textId="77777777">
      <w:pPr>
        <w:pStyle w:val="Textonotapie"/>
        <w:snapToGrid w:val="0"/>
        <w:ind w:firstLine="709"/>
        <w:jc w:val="both"/>
        <w:rPr>
          <w:color w:val="000000" w:themeColor="text1"/>
          <w:sz w:val="18"/>
          <w:szCs w:val="18"/>
        </w:rPr>
      </w:pPr>
      <w:r w:rsidRPr="00E84CAC">
        <w:rPr>
          <w:color w:val="000000" w:themeColor="text1"/>
          <w:sz w:val="18"/>
          <w:szCs w:val="18"/>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rsidRPr="00E84CAC" w:rsidR="006423A7" w:rsidP="006423A7" w:rsidRDefault="006423A7" w14:paraId="44DB87CD"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rsidRPr="00E84CAC" w:rsidR="006423A7" w:rsidP="006423A7" w:rsidRDefault="006423A7" w14:paraId="34F5AC26" w14:textId="77777777">
      <w:pPr>
        <w:pStyle w:val="Textonotapie"/>
        <w:snapToGrid w:val="0"/>
        <w:ind w:firstLine="709"/>
        <w:jc w:val="both"/>
        <w:rPr>
          <w:color w:val="000000" w:themeColor="text1"/>
          <w:sz w:val="18"/>
          <w:szCs w:val="18"/>
        </w:rPr>
      </w:pPr>
      <w:r w:rsidRPr="00E84CAC">
        <w:rPr>
          <w:color w:val="000000" w:themeColor="text1"/>
          <w:sz w:val="18"/>
          <w:szCs w:val="18"/>
        </w:rPr>
        <w:t>“Las reproducciones efectuadas se reputarán auténticas para todos los efectos legales, siempre que no se altere el contenido del acto o documento.</w:t>
      </w:r>
    </w:p>
    <w:p w:rsidR="006423A7" w:rsidP="006423A7" w:rsidRDefault="006423A7" w14:paraId="4FD9FE21" w14:textId="77777777">
      <w:pPr>
        <w:pStyle w:val="Textonotapie"/>
        <w:snapToGrid w:val="0"/>
        <w:ind w:firstLine="709"/>
        <w:jc w:val="both"/>
        <w:rPr>
          <w:color w:val="000000" w:themeColor="text1"/>
          <w:sz w:val="18"/>
          <w:szCs w:val="18"/>
        </w:rPr>
      </w:pPr>
      <w:r w:rsidRPr="00E84CAC">
        <w:rPr>
          <w:color w:val="000000" w:themeColor="text1"/>
          <w:sz w:val="18"/>
          <w:szCs w:val="18"/>
        </w:rPr>
        <w:t>“A partir de la vigencia de la presente ley y para efectos de adelantar cualquier trámite administrativo, no será obligatorio acreditar la existencia de normas de carácter general de orden nacional, ante ningún organismo de la Administración Pública”.</w:t>
      </w:r>
    </w:p>
    <w:p w:rsidRPr="00E84CAC" w:rsidR="006423A7" w:rsidP="006423A7" w:rsidRDefault="006423A7" w14:paraId="78F70709" w14:textId="77777777">
      <w:pPr>
        <w:pStyle w:val="Textonotapie"/>
        <w:snapToGrid w:val="0"/>
        <w:ind w:firstLine="709"/>
        <w:jc w:val="both"/>
        <w:rPr>
          <w:color w:val="000000" w:themeColor="text1"/>
          <w:sz w:val="18"/>
          <w:szCs w:val="18"/>
        </w:rPr>
      </w:pPr>
    </w:p>
  </w:footnote>
  <w:footnote w:id="4">
    <w:p w:rsidRPr="00E84CAC" w:rsidR="006423A7" w:rsidP="006423A7" w:rsidRDefault="006423A7" w14:paraId="37D5D650" w14:textId="77777777">
      <w:pPr>
        <w:pStyle w:val="NormalWeb"/>
        <w:shd w:val="clear" w:color="auto" w:fill="FFFFFF"/>
        <w:snapToGrid w:val="0"/>
        <w:ind w:firstLine="709"/>
        <w:rPr>
          <w:rFonts w:ascii="Arial" w:hAnsi="Arial" w:cs="Arial"/>
          <w:color w:val="000000" w:themeColor="text1"/>
          <w:sz w:val="18"/>
          <w:szCs w:val="18"/>
          <w:lang w:val="es-ES_tradnl" w:eastAsia="es-ES_tradnl"/>
        </w:rPr>
      </w:pPr>
      <w:r w:rsidRPr="00E84CAC">
        <w:rPr>
          <w:rStyle w:val="Refdenotaalpie"/>
          <w:rFonts w:ascii="Arial" w:hAnsi="Arial" w:cs="Arial"/>
          <w:color w:val="000000" w:themeColor="text1"/>
          <w:sz w:val="18"/>
          <w:szCs w:val="18"/>
        </w:rPr>
        <w:footnoteRef/>
      </w:r>
      <w:r w:rsidRPr="00E84CAC">
        <w:rPr>
          <w:rFonts w:ascii="Arial" w:hAnsi="Arial" w:cs="Arial"/>
          <w:color w:val="000000" w:themeColor="text1"/>
          <w:sz w:val="18"/>
          <w:szCs w:val="18"/>
        </w:rPr>
        <w:t>“</w:t>
      </w:r>
      <w:r w:rsidRPr="00E84CAC">
        <w:rPr>
          <w:rFonts w:ascii="Arial" w:hAnsi="Arial" w:cs="Arial"/>
          <w:color w:val="000000" w:themeColor="text1"/>
          <w:sz w:val="18"/>
          <w:szCs w:val="18"/>
          <w:lang w:val="es-ES_tradnl" w:eastAsia="es-ES_tradnl"/>
        </w:rPr>
        <w:t xml:space="preserve">Artículo 10. Utilización del correo para el envío de información. Modifíquese el artículo 25 del Decreto 2150 de 1995, el cual quedará así: </w:t>
      </w:r>
      <w:r w:rsidRPr="00E84CAC">
        <w:rPr>
          <w:rFonts w:ascii="Arial" w:hAnsi="Arial" w:cs="Arial"/>
          <w:color w:val="000000" w:themeColor="text1"/>
          <w:sz w:val="18"/>
          <w:szCs w:val="18"/>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rsidRPr="00E84CAC" w:rsidR="006423A7" w:rsidP="006423A7" w:rsidRDefault="006423A7" w14:paraId="218B8039" w14:textId="77777777">
      <w:pPr>
        <w:shd w:val="clear" w:color="auto" w:fill="FFFFFF"/>
        <w:snapToGrid w:val="0"/>
        <w:ind w:firstLine="709"/>
        <w:jc w:val="both"/>
        <w:rPr>
          <w:rFonts w:ascii="Arial" w:hAnsi="Arial" w:cs="Arial"/>
          <w:color w:val="000000" w:themeColor="text1"/>
          <w:sz w:val="18"/>
          <w:szCs w:val="18"/>
          <w:lang w:val="es-ES_tradnl"/>
        </w:rPr>
      </w:pPr>
      <w:r w:rsidRPr="00E84CAC">
        <w:rPr>
          <w:rFonts w:ascii="Arial" w:hAnsi="Arial" w:cs="Arial"/>
          <w:color w:val="000000" w:themeColor="text1"/>
          <w:sz w:val="18"/>
          <w:szCs w:val="18"/>
          <w:lang w:val="es-ES_tradnl"/>
        </w:rPr>
        <w:t>“En ningún caso, se podrán rechazar o inadmitir las solicitudes o informes enviados por personas naturales o jurídicas que se hayan recibido por correo dentro del territorio nacional.</w:t>
      </w:r>
    </w:p>
    <w:p w:rsidRPr="00E84CAC" w:rsidR="006423A7" w:rsidP="006423A7" w:rsidRDefault="006423A7" w14:paraId="7FC2D748" w14:textId="77777777">
      <w:pPr>
        <w:shd w:val="clear" w:color="auto" w:fill="FFFFFF"/>
        <w:snapToGrid w:val="0"/>
        <w:ind w:firstLine="709"/>
        <w:jc w:val="both"/>
        <w:rPr>
          <w:rFonts w:ascii="Arial" w:hAnsi="Arial" w:cs="Arial"/>
          <w:color w:val="000000" w:themeColor="text1"/>
          <w:sz w:val="18"/>
          <w:szCs w:val="18"/>
          <w:lang w:val="es-ES_tradnl"/>
        </w:rPr>
      </w:pPr>
      <w:r w:rsidRPr="00E84CAC">
        <w:rPr>
          <w:rFonts w:ascii="Arial" w:hAnsi="Arial" w:cs="Arial"/>
          <w:color w:val="000000" w:themeColor="text1"/>
          <w:sz w:val="18"/>
          <w:szCs w:val="18"/>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rsidRPr="00E84CAC" w:rsidR="006423A7" w:rsidP="006423A7" w:rsidRDefault="006423A7" w14:paraId="70C9D76B" w14:textId="77777777">
      <w:pPr>
        <w:shd w:val="clear" w:color="auto" w:fill="FFFFFF"/>
        <w:snapToGrid w:val="0"/>
        <w:ind w:firstLine="709"/>
        <w:jc w:val="both"/>
        <w:rPr>
          <w:rFonts w:ascii="Arial" w:hAnsi="Arial" w:cs="Arial"/>
          <w:color w:val="000000" w:themeColor="text1"/>
          <w:sz w:val="18"/>
          <w:szCs w:val="18"/>
          <w:lang w:val="es-ES_tradnl"/>
        </w:rPr>
      </w:pPr>
      <w:r w:rsidRPr="00E84CAC">
        <w:rPr>
          <w:rFonts w:ascii="Arial" w:hAnsi="Arial" w:cs="Arial"/>
          <w:color w:val="000000" w:themeColor="text1"/>
          <w:sz w:val="18"/>
          <w:szCs w:val="18"/>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rsidRPr="00E84CAC" w:rsidR="006423A7" w:rsidP="006423A7" w:rsidRDefault="006423A7" w14:paraId="0A5A243A" w14:textId="77777777">
      <w:pPr>
        <w:shd w:val="clear" w:color="auto" w:fill="FFFFFF"/>
        <w:snapToGrid w:val="0"/>
        <w:ind w:firstLine="709"/>
        <w:jc w:val="both"/>
        <w:rPr>
          <w:rFonts w:ascii="Arial" w:hAnsi="Arial" w:cs="Arial"/>
          <w:color w:val="000000" w:themeColor="text1"/>
          <w:sz w:val="18"/>
          <w:szCs w:val="18"/>
          <w:lang w:val="es-ES_tradnl"/>
        </w:rPr>
      </w:pPr>
      <w:r w:rsidRPr="00E84CAC">
        <w:rPr>
          <w:rFonts w:ascii="Arial" w:hAnsi="Arial" w:cs="Arial"/>
          <w:color w:val="000000" w:themeColor="text1"/>
          <w:sz w:val="18"/>
          <w:szCs w:val="18"/>
          <w:lang w:val="es-ES_tradnl"/>
        </w:rPr>
        <w:t>“Igualmente, los peticionarios podrán solicitar el envío por correo de documentos o información a la entidad pública, para lo cual deberán adjuntar a su petición un sobre con porte pagado y debidamente diligenciado.</w:t>
      </w:r>
    </w:p>
    <w:p w:rsidR="006423A7" w:rsidP="006423A7" w:rsidRDefault="006423A7" w14:paraId="3F2C7E64" w14:textId="77777777">
      <w:pPr>
        <w:shd w:val="clear" w:color="auto" w:fill="FFFFFF"/>
        <w:snapToGrid w:val="0"/>
        <w:ind w:firstLine="709"/>
        <w:jc w:val="both"/>
        <w:rPr>
          <w:rFonts w:ascii="Arial" w:hAnsi="Arial" w:cs="Arial"/>
          <w:color w:val="000000" w:themeColor="text1"/>
          <w:sz w:val="18"/>
          <w:szCs w:val="18"/>
          <w:lang w:val="es-ES_tradnl"/>
        </w:rPr>
      </w:pPr>
      <w:r w:rsidRPr="00E84CAC">
        <w:rPr>
          <w:rFonts w:ascii="Arial" w:hAnsi="Arial" w:cs="Arial"/>
          <w:color w:val="000000" w:themeColor="text1"/>
          <w:sz w:val="18"/>
          <w:szCs w:val="18"/>
          <w:lang w:val="es-ES_tradnl"/>
        </w:rPr>
        <w:t>“Parágrafo. Para efectos del presente artículo, se entenderá válido el envío por correo certificado, siempre y cuando la dirección esté correcta y claramente diligenciada"“.</w:t>
      </w:r>
    </w:p>
    <w:p w:rsidRPr="00E84CAC" w:rsidR="006423A7" w:rsidP="006423A7" w:rsidRDefault="006423A7" w14:paraId="28F99A72" w14:textId="77777777">
      <w:pPr>
        <w:shd w:val="clear" w:color="auto" w:fill="FFFFFF"/>
        <w:snapToGrid w:val="0"/>
        <w:ind w:firstLine="709"/>
        <w:jc w:val="both"/>
        <w:rPr>
          <w:rFonts w:ascii="Arial" w:hAnsi="Arial" w:cs="Arial"/>
          <w:color w:val="000000" w:themeColor="text1"/>
          <w:sz w:val="18"/>
          <w:szCs w:val="18"/>
          <w:lang w:val="es-ES_tradnl"/>
        </w:rPr>
      </w:pPr>
    </w:p>
  </w:footnote>
  <w:footnote w:id="5">
    <w:p w:rsidRPr="00E84CAC" w:rsidR="006423A7" w:rsidP="006423A7" w:rsidRDefault="006423A7" w14:paraId="0AA6D245" w14:textId="77777777">
      <w:pPr>
        <w:pStyle w:val="Textonotapie"/>
        <w:snapToGrid w:val="0"/>
        <w:ind w:firstLine="709"/>
        <w:jc w:val="both"/>
        <w:rPr>
          <w:rFonts w:eastAsia="Calibri"/>
          <w:color w:val="000000" w:themeColor="text1"/>
          <w:sz w:val="18"/>
          <w:szCs w:val="18"/>
          <w:lang w:val="es-ES_tradnl"/>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el cual se dictan normas para suprimir o reformar regulaciones, procedimientos y trámites innecesarios existentes en la Administración Pública”.</w:t>
      </w:r>
    </w:p>
  </w:footnote>
  <w:footnote w:id="6">
    <w:p w:rsidRPr="00E84CAC" w:rsidR="006423A7" w:rsidP="006423A7" w:rsidRDefault="006423A7" w14:paraId="3CDD6627"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rsidRPr="00E84CAC" w:rsidR="006423A7" w:rsidP="006423A7" w:rsidRDefault="006423A7" w14:paraId="14A4ABC8" w14:textId="77777777">
      <w:pPr>
        <w:pStyle w:val="Textonotapie"/>
        <w:snapToGrid w:val="0"/>
        <w:ind w:firstLine="709"/>
        <w:jc w:val="both"/>
        <w:rPr>
          <w:color w:val="000000" w:themeColor="text1"/>
          <w:sz w:val="18"/>
          <w:szCs w:val="18"/>
        </w:rPr>
      </w:pPr>
    </w:p>
  </w:footnote>
  <w:footnote w:id="7">
    <w:p w:rsidRPr="00E84CAC" w:rsidR="006423A7" w:rsidP="006423A7" w:rsidRDefault="006423A7" w14:paraId="0C5EC152"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footnote>
  <w:footnote w:id="8">
    <w:p w:rsidRPr="00E84CAC" w:rsidR="006423A7" w:rsidP="006423A7" w:rsidRDefault="006423A7" w14:paraId="2A2B19F7"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el cual se dictan normas para simplificar, suprimir y reformar trámites, procesos y procedimientos innecesarios existentes en la administración pública”.</w:t>
      </w:r>
    </w:p>
  </w:footnote>
  <w:footnote w:id="9">
    <w:p w:rsidRPr="00E84CAC" w:rsidR="006423A7" w:rsidP="006423A7" w:rsidRDefault="006423A7" w14:paraId="528FF4E4"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 9.</w:t>
      </w:r>
    </w:p>
  </w:footnote>
  <w:footnote w:id="10">
    <w:p w:rsidRPr="00E84CAC" w:rsidR="006423A7" w:rsidP="006423A7" w:rsidRDefault="006423A7" w14:paraId="77B2B8B3"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 14.</w:t>
      </w:r>
    </w:p>
  </w:footnote>
  <w:footnote w:id="11">
    <w:p w:rsidRPr="00E84CAC" w:rsidR="006423A7" w:rsidP="006423A7" w:rsidRDefault="006423A7" w14:paraId="1E649E1F"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 16.</w:t>
      </w:r>
    </w:p>
  </w:footnote>
  <w:footnote w:id="12">
    <w:p w:rsidRPr="00E84CAC" w:rsidR="006423A7" w:rsidP="006423A7" w:rsidRDefault="006423A7" w14:paraId="1512BEBE" w14:textId="77777777">
      <w:pPr>
        <w:pStyle w:val="NormalWeb"/>
        <w:shd w:val="clear" w:color="auto" w:fill="FFFFFF"/>
        <w:snapToGrid w:val="0"/>
        <w:ind w:firstLine="709"/>
        <w:rPr>
          <w:rFonts w:ascii="Arial" w:hAnsi="Arial" w:cs="Arial"/>
          <w:color w:val="000000" w:themeColor="text1"/>
          <w:sz w:val="18"/>
          <w:szCs w:val="18"/>
        </w:rPr>
      </w:pPr>
      <w:r w:rsidRPr="00E84CAC">
        <w:rPr>
          <w:rStyle w:val="Refdenotaalpie"/>
          <w:rFonts w:ascii="Arial" w:hAnsi="Arial" w:cs="Arial"/>
          <w:color w:val="000000" w:themeColor="text1"/>
          <w:sz w:val="18"/>
          <w:szCs w:val="18"/>
        </w:rPr>
        <w:footnoteRef/>
      </w:r>
      <w:r w:rsidRPr="00E84CAC">
        <w:rPr>
          <w:rFonts w:ascii="Arial" w:hAnsi="Arial" w:cs="Arial"/>
          <w:color w:val="000000" w:themeColor="text1"/>
          <w:sz w:val="18"/>
          <w:szCs w:val="18"/>
        </w:rPr>
        <w:t>“Los sujetos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rsidRPr="00E84CAC" w:rsidR="006423A7" w:rsidP="006423A7" w:rsidRDefault="006423A7" w14:paraId="0B2C2A56" w14:textId="77777777">
      <w:pPr>
        <w:pStyle w:val="NormalWeb"/>
        <w:shd w:val="clear" w:color="auto" w:fill="FFFFFF"/>
        <w:snapToGrid w:val="0"/>
        <w:ind w:firstLine="709"/>
        <w:rPr>
          <w:rFonts w:ascii="Arial" w:hAnsi="Arial" w:cs="Arial"/>
          <w:color w:val="000000" w:themeColor="text1"/>
          <w:sz w:val="18"/>
          <w:szCs w:val="18"/>
        </w:rPr>
      </w:pPr>
      <w:r w:rsidRPr="00E84CAC">
        <w:rPr>
          <w:rFonts w:ascii="Arial" w:hAnsi="Arial" w:cs="Arial"/>
          <w:color w:val="000000" w:themeColor="text1"/>
          <w:sz w:val="18"/>
          <w:szCs w:val="18"/>
        </w:rPr>
        <w:t>“El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rsidRPr="00E84CAC" w:rsidR="006423A7" w:rsidP="006423A7" w:rsidRDefault="006423A7" w14:paraId="3860D845" w14:textId="77777777">
      <w:pPr>
        <w:pStyle w:val="NormalWeb"/>
        <w:shd w:val="clear" w:color="auto" w:fill="FFFFFF"/>
        <w:snapToGrid w:val="0"/>
        <w:ind w:firstLine="709"/>
        <w:rPr>
          <w:rFonts w:ascii="Arial" w:hAnsi="Arial" w:cs="Arial"/>
          <w:color w:val="000000" w:themeColor="text1"/>
          <w:sz w:val="18"/>
          <w:szCs w:val="18"/>
        </w:rPr>
      </w:pPr>
      <w:r w:rsidRPr="00E84CAC">
        <w:rPr>
          <w:rStyle w:val="Textoennegrita"/>
          <w:rFonts w:ascii="Arial" w:hAnsi="Arial" w:cs="Arial"/>
          <w:color w:val="000000" w:themeColor="text1"/>
          <w:sz w:val="18"/>
          <w:szCs w:val="18"/>
        </w:rPr>
        <w:t>“PARÁGRAFO.</w:t>
      </w:r>
      <w:r w:rsidRPr="00E84CAC">
        <w:rPr>
          <w:rFonts w:ascii="Arial" w:hAnsi="Arial" w:cs="Arial"/>
          <w:color w:val="000000" w:themeColor="text1"/>
          <w:sz w:val="18"/>
          <w:szCs w:val="18"/>
        </w:rPr>
        <w:t> Los sujetos obligados en los términos de la presente ley, salvo autorización legal, no podrán incrementar las tarifas o establecer cobros adicionales a los trámites en razón de su automatización y/o digitalización, so pena de la correspondiente sanción disciplinaria a la que haya lugar”.</w:t>
      </w:r>
    </w:p>
    <w:p w:rsidRPr="00E84CAC" w:rsidR="006423A7" w:rsidP="006423A7" w:rsidRDefault="006423A7" w14:paraId="76559D4A" w14:textId="77777777">
      <w:pPr>
        <w:pStyle w:val="Textonotapie"/>
        <w:snapToGrid w:val="0"/>
        <w:ind w:firstLine="709"/>
        <w:jc w:val="both"/>
        <w:rPr>
          <w:color w:val="000000" w:themeColor="text1"/>
          <w:sz w:val="18"/>
          <w:szCs w:val="18"/>
        </w:rPr>
      </w:pPr>
    </w:p>
  </w:footnote>
  <w:footnote w:id="13">
    <w:p w:rsidRPr="00E84CAC" w:rsidR="006423A7" w:rsidP="006423A7" w:rsidRDefault="006423A7" w14:paraId="4D801200" w14:textId="77777777">
      <w:pPr>
        <w:pStyle w:val="Textonotapie"/>
        <w:snapToGrid w:val="0"/>
        <w:ind w:firstLine="709"/>
        <w:jc w:val="both"/>
        <w:rPr>
          <w:rFonts w:eastAsia="Calibri"/>
          <w:color w:val="000000" w:themeColor="text1"/>
          <w:sz w:val="18"/>
          <w:szCs w:val="18"/>
          <w:lang w:val="es-ES_tradnl"/>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medio de la cual se define y reglamenta el acceso y uso de los mensajes de datos, del comercio electrónico y de las firmas digitales, y se establecen las entidades de certificación y se dictan otras disposiciones”.</w:t>
      </w:r>
    </w:p>
  </w:footnote>
  <w:footnote w:id="14">
    <w:p w:rsidRPr="00E84CAC" w:rsidR="006423A7" w:rsidP="006423A7" w:rsidRDefault="006423A7" w14:paraId="453F560D"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 2, literal a).</w:t>
      </w:r>
    </w:p>
  </w:footnote>
  <w:footnote w:id="15">
    <w:p w:rsidRPr="00E84CAC" w:rsidR="006423A7" w:rsidP="006423A7" w:rsidRDefault="006423A7" w14:paraId="29D51893"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 2, literal f).</w:t>
      </w:r>
    </w:p>
  </w:footnote>
  <w:footnote w:id="16">
    <w:p w:rsidRPr="00E84CAC" w:rsidR="006423A7" w:rsidP="006423A7" w:rsidRDefault="006423A7" w14:paraId="6F1C8FCC"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medio de la cual se introducen medidas para la eficiencia y la transparencia en la Ley 80 de 1993 y se dictan otras disposiciones generales sobre la contratación con Recursos Públicos”.</w:t>
      </w:r>
    </w:p>
  </w:footnote>
  <w:footnote w:id="17">
    <w:p w:rsidRPr="00E84CAC" w:rsidR="006423A7" w:rsidP="006423A7" w:rsidRDefault="006423A7" w14:paraId="35C5817E"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Sin embargo, debe recordarse que el artículo 222 del Decreto 019 de 2012 dispone: “Derogase la Ley 598 de 2000, la cual creó el Sistema de Información para la Vigilancia de la Contratación estatal, SICE, el Catálogo Único de Bienes y Servicios CUBS, y el Registro Único de Precios de Referencia PURF, de los bienes y servicios de uso común en la Administración Pública.</w:t>
      </w:r>
    </w:p>
    <w:p w:rsidRPr="00E84CAC" w:rsidR="006423A7" w:rsidP="006423A7" w:rsidRDefault="006423A7" w14:paraId="75058654" w14:textId="77777777">
      <w:pPr>
        <w:pStyle w:val="Textonotapie"/>
        <w:snapToGrid w:val="0"/>
        <w:ind w:firstLine="709"/>
        <w:jc w:val="both"/>
        <w:rPr>
          <w:color w:val="000000" w:themeColor="text1"/>
          <w:sz w:val="18"/>
          <w:szCs w:val="18"/>
        </w:rPr>
      </w:pPr>
      <w:r w:rsidRPr="00E84CAC">
        <w:rPr>
          <w:color w:val="000000" w:themeColor="text1"/>
          <w:sz w:val="18"/>
          <w:szCs w:val="18"/>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rsidRPr="00E84CAC" w:rsidR="006423A7" w:rsidP="006423A7" w:rsidRDefault="006423A7" w14:paraId="6FFF3043" w14:textId="77777777">
      <w:pPr>
        <w:pStyle w:val="Textonotapie"/>
        <w:snapToGrid w:val="0"/>
        <w:ind w:firstLine="709"/>
        <w:jc w:val="both"/>
        <w:rPr>
          <w:color w:val="000000" w:themeColor="text1"/>
          <w:sz w:val="18"/>
          <w:szCs w:val="18"/>
        </w:rPr>
      </w:pPr>
    </w:p>
  </w:footnote>
  <w:footnote w:id="18">
    <w:p w:rsidRPr="00E84CAC" w:rsidR="006423A7" w:rsidP="006423A7" w:rsidRDefault="006423A7" w14:paraId="2BEB5BF9"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9">
    <w:p w:rsidRPr="00E84CAC" w:rsidR="006423A7" w:rsidP="006423A7" w:rsidRDefault="006423A7" w14:paraId="7F342D01" w14:textId="77777777">
      <w:pPr>
        <w:pStyle w:val="Textonotapie"/>
        <w:snapToGrid w:val="0"/>
        <w:ind w:firstLine="709"/>
        <w:jc w:val="both"/>
        <w:rPr>
          <w:rFonts w:eastAsia="Calibri"/>
          <w:color w:val="000000" w:themeColor="text1"/>
          <w:sz w:val="18"/>
          <w:szCs w:val="18"/>
          <w:lang w:val="es-ES_tradnl"/>
        </w:rPr>
      </w:pPr>
      <w:r w:rsidRPr="00E84CAC">
        <w:rPr>
          <w:rStyle w:val="Refdenotaalpie"/>
          <w:color w:val="000000" w:themeColor="text1"/>
          <w:sz w:val="18"/>
          <w:szCs w:val="18"/>
        </w:rPr>
        <w:footnoteRef/>
      </w:r>
      <w:r w:rsidRPr="00E84CAC">
        <w:rPr>
          <w:color w:val="000000" w:themeColor="text1"/>
          <w:sz w:val="18"/>
          <w:szCs w:val="18"/>
        </w:rPr>
        <w:t>“</w:t>
      </w:r>
      <w:r w:rsidRPr="00E84CAC">
        <w:rPr>
          <w:rFonts w:eastAsia="Calibri"/>
          <w:color w:val="000000" w:themeColor="text1"/>
          <w:sz w:val="18"/>
          <w:szCs w:val="18"/>
          <w:lang w:val="es-ES_tradnl"/>
        </w:rPr>
        <w:t>Por la cual se expide el Código de Procedimiento Administrativo y de lo Contencioso Administrativo”.</w:t>
      </w:r>
    </w:p>
  </w:footnote>
  <w:footnote w:id="20">
    <w:p w:rsidRPr="00E84CAC" w:rsidR="006423A7" w:rsidP="006423A7" w:rsidRDefault="006423A7" w14:paraId="0FAF7F7E"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Artículos 53 al 64.</w:t>
      </w:r>
    </w:p>
  </w:footnote>
  <w:footnote w:id="21">
    <w:p w:rsidRPr="00E84CAC" w:rsidR="006423A7" w:rsidP="006423A7" w:rsidRDefault="006423A7" w14:paraId="5ABACFA0"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El artículo 77 de la Ley 80 de 1993 dispone:”En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Pr="00E84CAC" w:rsidR="006423A7" w:rsidP="006423A7" w:rsidRDefault="006423A7" w14:paraId="4BBC1892" w14:textId="77777777">
      <w:pPr>
        <w:pStyle w:val="Textonotapie"/>
        <w:snapToGrid w:val="0"/>
        <w:ind w:firstLine="709"/>
        <w:jc w:val="both"/>
        <w:rPr>
          <w:color w:val="000000" w:themeColor="text1"/>
          <w:sz w:val="18"/>
          <w:szCs w:val="18"/>
        </w:rPr>
      </w:pPr>
      <w:r w:rsidRPr="00E84CAC">
        <w:rPr>
          <w:color w:val="000000" w:themeColor="text1"/>
          <w:sz w:val="18"/>
          <w:szCs w:val="18"/>
        </w:rPr>
        <w:t>“Los actos administrativos que se produzcan con motivo u ocasión de la actividad contractual sólo serán susceptibles de recurso de reposición  y del ejercicio de la acción contractual, de acuerdo con las reglas del Código Contencioso Administrativo.</w:t>
      </w:r>
    </w:p>
    <w:p w:rsidRPr="00E84CAC" w:rsidR="006423A7" w:rsidP="006423A7" w:rsidRDefault="006423A7" w14:paraId="0A078504" w14:textId="77777777">
      <w:pPr>
        <w:pStyle w:val="Textonotapie"/>
        <w:snapToGrid w:val="0"/>
        <w:ind w:firstLine="709"/>
        <w:jc w:val="both"/>
        <w:rPr>
          <w:color w:val="000000" w:themeColor="text1"/>
          <w:sz w:val="18"/>
          <w:szCs w:val="18"/>
        </w:rPr>
      </w:pPr>
      <w:r w:rsidRPr="00E84CAC">
        <w:rPr>
          <w:color w:val="000000" w:themeColor="text1"/>
          <w:sz w:val="18"/>
          <w:szCs w:val="18"/>
        </w:rPr>
        <w:t>“[…]”.</w:t>
      </w:r>
    </w:p>
  </w:footnote>
  <w:footnote w:id="22">
    <w:p w:rsidRPr="00E84CAC" w:rsidR="006423A7" w:rsidP="006423A7" w:rsidRDefault="006423A7" w14:paraId="5D86941D"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REMOLINA, Nelson y PEÑA, Lisandro De los títulos valores y de los valores en el contexto digital. Bogotá: Temis, 2011. p. 120.</w:t>
      </w:r>
    </w:p>
    <w:p w:rsidRPr="00E84CAC" w:rsidR="006423A7" w:rsidP="006423A7" w:rsidRDefault="006423A7" w14:paraId="0EECF614" w14:textId="77777777">
      <w:pPr>
        <w:pStyle w:val="Textonotapie"/>
        <w:snapToGrid w:val="0"/>
        <w:ind w:firstLine="709"/>
        <w:jc w:val="both"/>
        <w:rPr>
          <w:color w:val="000000" w:themeColor="text1"/>
          <w:sz w:val="18"/>
          <w:szCs w:val="18"/>
        </w:rPr>
      </w:pPr>
    </w:p>
  </w:footnote>
  <w:footnote w:id="23">
    <w:p w:rsidR="006423A7" w:rsidP="006423A7" w:rsidRDefault="006423A7" w14:paraId="33A91311"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Ley 527 de 1999:”Artículo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rsidRPr="00E84CAC" w:rsidR="006423A7" w:rsidP="006423A7" w:rsidRDefault="006423A7" w14:paraId="784D36AF" w14:textId="77777777">
      <w:pPr>
        <w:pStyle w:val="Textonotapie"/>
        <w:snapToGrid w:val="0"/>
        <w:ind w:firstLine="709"/>
        <w:jc w:val="both"/>
        <w:rPr>
          <w:color w:val="000000" w:themeColor="text1"/>
          <w:sz w:val="18"/>
          <w:szCs w:val="18"/>
        </w:rPr>
      </w:pPr>
    </w:p>
  </w:footnote>
  <w:footnote w:id="24">
    <w:p w:rsidRPr="00E84CAC" w:rsidR="006423A7" w:rsidP="006423A7" w:rsidRDefault="006423A7" w14:paraId="4537CAAA"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Ley 527 de 1999:</w:t>
      </w:r>
      <w:r>
        <w:rPr>
          <w:color w:val="000000" w:themeColor="text1"/>
          <w:sz w:val="18"/>
          <w:szCs w:val="18"/>
        </w:rPr>
        <w:t xml:space="preserve"> </w:t>
      </w:r>
      <w:r w:rsidRPr="00E84CAC">
        <w:rPr>
          <w:color w:val="000000" w:themeColor="text1"/>
          <w:sz w:val="18"/>
          <w:szCs w:val="18"/>
        </w:rPr>
        <w:t>”</w:t>
      </w:r>
      <w:hyperlink w:history="1" w:anchor="vid/438970057/node/30" r:id="rId1">
        <w:r w:rsidRPr="00E84CAC">
          <w:rPr>
            <w:color w:val="000000" w:themeColor="text1"/>
            <w:sz w:val="18"/>
            <w:szCs w:val="18"/>
          </w:rPr>
          <w:t>Artículo 30. Actividades de las entidades de certificación.</w:t>
        </w:r>
      </w:hyperlink>
      <w:r w:rsidRPr="00E84CAC">
        <w:rPr>
          <w:color w:val="000000" w:themeColor="text1"/>
          <w:sz w:val="18"/>
          <w:szCs w:val="18"/>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25">
    <w:p w:rsidRPr="00E84CAC" w:rsidR="006423A7" w:rsidP="006423A7" w:rsidRDefault="006423A7" w14:paraId="0866B59A" w14:textId="77777777">
      <w:pPr>
        <w:pStyle w:val="Textonotapie"/>
        <w:snapToGrid w:val="0"/>
        <w:ind w:firstLine="709"/>
        <w:jc w:val="both"/>
        <w:rPr>
          <w:color w:val="000000" w:themeColor="text1"/>
          <w:sz w:val="18"/>
          <w:szCs w:val="18"/>
        </w:rPr>
      </w:pPr>
      <w:r w:rsidRPr="00E84CAC">
        <w:rPr>
          <w:rStyle w:val="Refdenotaalpie"/>
          <w:color w:val="000000" w:themeColor="text1"/>
          <w:sz w:val="18"/>
          <w:szCs w:val="18"/>
        </w:rPr>
        <w:footnoteRef/>
      </w:r>
      <w:r w:rsidRPr="00E84CAC">
        <w:rPr>
          <w:color w:val="000000" w:themeColor="text1"/>
          <w:sz w:val="18"/>
          <w:szCs w:val="18"/>
        </w:rPr>
        <w:t xml:space="preserve"> Esta norma indica</w:t>
      </w:r>
      <w:r>
        <w:rPr>
          <w:color w:val="000000" w:themeColor="text1"/>
          <w:sz w:val="18"/>
          <w:szCs w:val="18"/>
        </w:rPr>
        <w:t xml:space="preserve">: </w:t>
      </w:r>
      <w:r w:rsidRPr="00E84CAC">
        <w:rPr>
          <w:color w:val="000000" w:themeColor="text1"/>
          <w:sz w:val="18"/>
          <w:szCs w:val="18"/>
        </w:rPr>
        <w:t>”Todos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rsidRPr="00E84CAC" w:rsidR="006423A7" w:rsidP="006423A7" w:rsidRDefault="006423A7" w14:paraId="67518040" w14:textId="77777777">
      <w:pPr>
        <w:pStyle w:val="Textonotapie"/>
        <w:snapToGrid w:val="0"/>
        <w:ind w:firstLine="709"/>
        <w:jc w:val="both"/>
        <w:rPr>
          <w:color w:val="000000" w:themeColor="text1"/>
          <w:sz w:val="18"/>
          <w:szCs w:val="18"/>
        </w:rPr>
      </w:pPr>
      <w:r w:rsidRPr="00E84CAC">
        <w:rPr>
          <w:color w:val="000000" w:themeColor="text1"/>
          <w:sz w:val="18"/>
          <w:szCs w:val="18"/>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rsidRPr="00E84CAC" w:rsidR="006423A7" w:rsidP="006423A7" w:rsidRDefault="006423A7" w14:paraId="3CB21701" w14:textId="77777777">
      <w:pPr>
        <w:pStyle w:val="Textonotapie"/>
        <w:snapToGrid w:val="0"/>
        <w:ind w:firstLine="709"/>
        <w:jc w:val="both"/>
        <w:rPr>
          <w:color w:val="000000" w:themeColor="text1"/>
          <w:sz w:val="18"/>
          <w:szCs w:val="18"/>
        </w:rPr>
      </w:pPr>
      <w:r w:rsidRPr="00E84CAC">
        <w:rPr>
          <w:color w:val="000000" w:themeColor="text1"/>
          <w:sz w:val="18"/>
          <w:szCs w:val="18"/>
        </w:rPr>
        <w:t>“Los documentos privados, tuvieren o no como destino servir de prueba en actuaciones administrativas, incluyendo los provenientes de terceros, se presumen auténticos, mientras no se compruebe lo contrario mediante tacha de falsedad, con excepción de los poderes especiales y de las actas de asamblea general de accionistas, junta de socios y demás actos de personas jurídicas que deban registrarse ante las Cámaras de Comercio, las cuales deberán ser presentadas personalmente por sus otorgantes ante el secretario de la respectiva Cámara.</w:t>
      </w:r>
    </w:p>
    <w:p w:rsidRPr="00E84CAC" w:rsidR="006423A7" w:rsidP="006423A7" w:rsidRDefault="006423A7" w14:paraId="17294F97" w14:textId="77777777">
      <w:pPr>
        <w:pStyle w:val="Textonotapie"/>
        <w:snapToGrid w:val="0"/>
        <w:ind w:firstLine="709"/>
        <w:jc w:val="both"/>
        <w:rPr>
          <w:color w:val="000000" w:themeColor="text1"/>
          <w:sz w:val="18"/>
          <w:szCs w:val="18"/>
        </w:rPr>
      </w:pPr>
      <w:r w:rsidRPr="00E84CAC">
        <w:rPr>
          <w:color w:val="000000" w:themeColor="text1"/>
          <w:sz w:val="18"/>
          <w:szCs w:val="18"/>
        </w:rPr>
        <w:t>“Las copias simples que expidan los notarios de los documentos que reposan en los respectivos protocolos no se autenticarán, salvo que el interesado así lo solicite”.</w:t>
      </w:r>
    </w:p>
  </w:footnote>
  <w:footnote w:id="26">
    <w:p w:rsidRPr="00E84CAC" w:rsidR="006423A7" w:rsidP="006423A7" w:rsidRDefault="006423A7" w14:paraId="26DF1F9C" w14:textId="77777777">
      <w:pPr>
        <w:pStyle w:val="Textonotapie"/>
        <w:snapToGrid w:val="0"/>
        <w:ind w:firstLine="709"/>
        <w:jc w:val="both"/>
        <w:rPr>
          <w:color w:val="000000"/>
          <w:sz w:val="18"/>
          <w:szCs w:val="18"/>
        </w:rPr>
      </w:pPr>
      <w:r w:rsidRPr="00E84CAC">
        <w:rPr>
          <w:rStyle w:val="Refdenotaalpie"/>
          <w:color w:val="000000"/>
          <w:sz w:val="18"/>
          <w:szCs w:val="18"/>
        </w:rPr>
        <w:footnoteRef/>
      </w:r>
      <w:r w:rsidRPr="00E84CAC">
        <w:rPr>
          <w:color w:val="000000"/>
          <w:sz w:val="18"/>
          <w:szCs w:val="18"/>
        </w:rPr>
        <w:t xml:space="preserve"> Decreto 4170 de 2011:”Artículo 3. Funciones: La Agencia Nacional de Contratación Pública –Colombia Compra Eficiente– ejercerá las siguientes funciones: [...]</w:t>
      </w:r>
    </w:p>
    <w:p w:rsidRPr="00E84CAC" w:rsidR="006423A7" w:rsidP="006423A7" w:rsidRDefault="006423A7" w14:paraId="58CC6FA6" w14:textId="77777777">
      <w:pPr>
        <w:pStyle w:val="Textonotapie"/>
        <w:snapToGrid w:val="0"/>
        <w:ind w:firstLine="709"/>
        <w:jc w:val="both"/>
        <w:rPr>
          <w:color w:val="000000"/>
          <w:sz w:val="18"/>
          <w:szCs w:val="18"/>
        </w:rPr>
      </w:pPr>
      <w:r w:rsidRPr="00E84CAC">
        <w:rPr>
          <w:color w:val="000000"/>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 [...]”.</w:t>
      </w:r>
    </w:p>
  </w:footnote>
  <w:footnote w:id="27">
    <w:p w:rsidRPr="00E84CAC" w:rsidR="006423A7" w:rsidP="006423A7" w:rsidRDefault="006423A7" w14:paraId="35E41430" w14:textId="77777777">
      <w:pPr>
        <w:pStyle w:val="Textonotapie"/>
        <w:snapToGrid w:val="0"/>
        <w:ind w:firstLine="709"/>
        <w:jc w:val="both"/>
        <w:rPr>
          <w:sz w:val="18"/>
          <w:szCs w:val="18"/>
        </w:rPr>
      </w:pPr>
      <w:r w:rsidRPr="00E84CAC">
        <w:rPr>
          <w:rStyle w:val="Refdenotaalpie"/>
          <w:sz w:val="18"/>
          <w:szCs w:val="18"/>
        </w:rPr>
        <w:footnoteRef/>
      </w:r>
      <w:r w:rsidRPr="00E84CAC">
        <w:rPr>
          <w:sz w:val="18"/>
          <w:szCs w:val="18"/>
        </w:rPr>
        <w:t xml:space="preserve"> Las cuales pueden consultarse en el siguiente enlace: https://colombiacompra.gov.co/circulares</w:t>
      </w:r>
    </w:p>
  </w:footnote>
  <w:footnote w:id="28">
    <w:p w:rsidRPr="00E84CAC" w:rsidR="006423A7" w:rsidP="006423A7" w:rsidRDefault="006423A7" w14:paraId="09E749F6" w14:textId="77777777">
      <w:pPr>
        <w:pStyle w:val="Textonotapie"/>
        <w:snapToGrid w:val="0"/>
        <w:ind w:firstLine="709"/>
        <w:jc w:val="both"/>
        <w:rPr>
          <w:sz w:val="18"/>
          <w:szCs w:val="18"/>
          <w:lang w:val="es-CO"/>
        </w:rPr>
      </w:pPr>
      <w:r w:rsidRPr="00E84CAC">
        <w:rPr>
          <w:rStyle w:val="Refdenotaalpie"/>
          <w:sz w:val="18"/>
          <w:szCs w:val="18"/>
        </w:rPr>
        <w:footnoteRef/>
      </w:r>
      <w:r w:rsidRPr="00E84CAC">
        <w:rPr>
          <w:sz w:val="18"/>
          <w:szCs w:val="18"/>
        </w:rPr>
        <w:t xml:space="preserve"> Disponible en: https://www.colombiacompra.gov.co/node/29796/</w:t>
      </w:r>
    </w:p>
  </w:footnote>
  <w:footnote w:id="29">
    <w:p w:rsidRPr="00E84CAC" w:rsidR="006423A7" w:rsidP="006423A7" w:rsidRDefault="006423A7" w14:paraId="090D11A7" w14:textId="77777777">
      <w:pPr>
        <w:pStyle w:val="Textonotapie"/>
        <w:snapToGrid w:val="0"/>
        <w:ind w:firstLine="709"/>
        <w:jc w:val="both"/>
        <w:rPr>
          <w:sz w:val="18"/>
          <w:szCs w:val="18"/>
        </w:rPr>
      </w:pPr>
      <w:r w:rsidRPr="00E84CAC">
        <w:rPr>
          <w:rStyle w:val="Refdenotaalpie"/>
          <w:sz w:val="18"/>
          <w:szCs w:val="18"/>
        </w:rPr>
        <w:footnoteRef/>
      </w:r>
      <w:r w:rsidRPr="00E84CAC">
        <w:rPr>
          <w:sz w:val="18"/>
          <w:szCs w:val="18"/>
        </w:rPr>
        <w:t xml:space="preserve"> Términos y Condiciones de uso del SECOP II disponible en: https://www.colombiacompra.gov.co/secop/terminos-y-condiciones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0D63" w:rsidP="00993A2A" w:rsidRDefault="00B80D63" w14:paraId="6596CC29" w14:textId="77777777">
    <w:pPr>
      <w:rPr>
        <w:rFonts w:ascii="Geomanist Bold" w:hAnsi="Geomanist Bold"/>
        <w:color w:val="002060"/>
      </w:rPr>
    </w:pPr>
  </w:p>
  <w:p w:rsidR="00712B28" w:rsidP="00993A2A" w:rsidRDefault="00F3129C" w14:paraId="61D8C171" w14:textId="24C646CC">
    <w:pPr>
      <w:rPr>
        <w:rFonts w:ascii="Geomanist Bold" w:hAnsi="Geomanist Bold"/>
        <w:color w:val="002060"/>
      </w:rPr>
    </w:pPr>
    <w:r w:rsidRPr="008614E5">
      <w:rPr>
        <w:rFonts w:ascii="Geomanist Bold" w:hAnsi="Geomanist Bold"/>
        <w:color w:val="002060"/>
      </w:rPr>
      <w:t>FORMATO PQRSD</w:t>
    </w:r>
  </w:p>
  <w:p w:rsidRPr="003F58A1" w:rsidR="00993A2A" w:rsidP="00993A2A" w:rsidRDefault="00D133D4" w14:paraId="6813E419" w14:textId="389E00B1">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28BFC413" wp14:editId="5FD1D22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Pr="00367110" w:rsidR="00993A2A" w:rsidTr="00B53489" w14:paraId="5857935C" w14:textId="77777777">
      <w:tc>
        <w:tcPr>
          <w:tcW w:w="6756" w:type="dxa"/>
        </w:tcPr>
        <w:p w:rsidRPr="006478E3" w:rsidR="00993A2A" w:rsidP="00993A2A" w:rsidRDefault="00D133D4" w14:paraId="5E228DAA" w14:textId="77777777">
          <w:pPr>
            <w:pBdr>
              <w:top w:val="nil"/>
              <w:left w:val="nil"/>
              <w:bottom w:val="nil"/>
              <w:right w:val="nil"/>
              <w:between w:val="nil"/>
            </w:pBdr>
            <w:tabs>
              <w:tab w:val="center" w:pos="4419"/>
              <w:tab w:val="right" w:pos="8838"/>
              <w:tab w:val="center" w:pos="5400"/>
            </w:tabs>
            <w:rPr>
              <w:rFonts w:ascii="Geomanist Bold" w:hAnsi="Geomanist Bold" w:eastAsia="Geo" w:cs="Geo"/>
              <w:b/>
              <w:color w:val="002060"/>
              <w:lang w:eastAsia="es-CO"/>
            </w:rPr>
          </w:pPr>
          <w:r w:rsidRPr="006478E3">
            <w:rPr>
              <w:rFonts w:ascii="Geomanist Bold" w:hAnsi="Geomanist Bold" w:eastAsia="Geo" w:cs="Geo"/>
              <w:b/>
              <w:color w:val="000000"/>
              <w:sz w:val="20"/>
              <w:szCs w:val="20"/>
              <w:lang w:eastAsia="es-CO"/>
            </w:rPr>
            <w:t>Código</w:t>
          </w:r>
          <w:r>
            <w:rPr>
              <w:rFonts w:ascii="Geomanist Bold" w:hAnsi="Geomanist Bold" w:eastAsia="Geo" w:cs="Geo"/>
              <w:b/>
              <w:color w:val="000000"/>
              <w:sz w:val="20"/>
              <w:szCs w:val="20"/>
              <w:lang w:eastAsia="es-CO"/>
            </w:rPr>
            <w:t xml:space="preserve">: </w:t>
          </w: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p w:rsidRPr="0057618A" w:rsidR="00993A2A" w:rsidP="00993A2A" w:rsidRDefault="00D133D4" w14:paraId="6EA192E3" w14:textId="7777777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hAnsi="Geomanist Bold" w:eastAsia="Geo" w:cs="Geo"/>
              <w:b/>
              <w:color w:val="000000"/>
              <w:sz w:val="20"/>
              <w:szCs w:val="20"/>
              <w:lang w:eastAsia="es-CO"/>
            </w:rPr>
            <w:t>Versión</w:t>
          </w:r>
          <w:r>
            <w:rPr>
              <w:rFonts w:ascii="Geomanist Bold" w:hAnsi="Geomanist Bold" w:eastAsia="Arial Nova" w:cs="Arial Nova"/>
              <w:b/>
              <w:color w:val="000000"/>
              <w:sz w:val="20"/>
              <w:szCs w:val="20"/>
              <w:lang w:eastAsia="es-CO"/>
            </w:rPr>
            <w:t xml:space="preserve">: </w:t>
          </w:r>
          <w:r w:rsidRPr="0000650B">
            <w:rPr>
              <w:rFonts w:ascii="Geomanist Light" w:hAnsi="Geomanist Light" w:eastAsia="Geo" w:cs="Geo"/>
              <w:sz w:val="18"/>
              <w:szCs w:val="18"/>
              <w:lang w:eastAsia="es-CO"/>
            </w:rPr>
            <w:t xml:space="preserve">01 DEL </w:t>
          </w:r>
          <w:r>
            <w:rPr>
              <w:rFonts w:ascii="Geomanist Light" w:hAnsi="Geomanist Light" w:eastAsia="Geo" w:cs="Geo"/>
              <w:sz w:val="18"/>
              <w:szCs w:val="18"/>
              <w:lang w:eastAsia="es-CO"/>
            </w:rPr>
            <w:t>30 DE AGOSTO DE 2022</w:t>
          </w:r>
        </w:p>
      </w:tc>
      <w:tc>
        <w:tcPr>
          <w:tcW w:w="1324" w:type="dxa"/>
        </w:tcPr>
        <w:p w:rsidRPr="00367110" w:rsidR="00993A2A" w:rsidP="00993A2A" w:rsidRDefault="00D94AF4" w14:paraId="478D1064" w14:textId="77777777">
          <w:pPr>
            <w:jc w:val="right"/>
            <w:rPr>
              <w:rFonts w:eastAsia="Arial Nova" w:cs="Arial Nova"/>
              <w:lang w:eastAsia="es-CO"/>
            </w:rPr>
          </w:pPr>
        </w:p>
      </w:tc>
      <w:tc>
        <w:tcPr>
          <w:tcW w:w="1324" w:type="dxa"/>
        </w:tcPr>
        <w:p w:rsidRPr="00367110" w:rsidR="00993A2A" w:rsidP="00993A2A" w:rsidRDefault="00D94AF4" w14:paraId="09BAA4F9" w14:textId="77777777">
          <w:pPr>
            <w:jc w:val="right"/>
            <w:rPr>
              <w:rFonts w:eastAsia="Arial Nova" w:cs="Arial Nova"/>
              <w:lang w:eastAsia="es-CO"/>
            </w:rPr>
          </w:pPr>
        </w:p>
      </w:tc>
    </w:tr>
  </w:tbl>
  <w:p w:rsidRPr="00906B3C" w:rsidR="00993A2A" w:rsidP="00993A2A" w:rsidRDefault="00D133D4" w14:paraId="32BD2563" w14:textId="77777777">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0F775C43" wp14:editId="711B3E1E">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E580F"/>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3E56751"/>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B3E565D"/>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015370E"/>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528C039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5FDE176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71C0349E"/>
    <w:multiLevelType w:val="hybridMultilevel"/>
    <w:tmpl w:val="A3547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165310">
    <w:abstractNumId w:val="1"/>
  </w:num>
  <w:num w:numId="2" w16cid:durableId="12901595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511012">
    <w:abstractNumId w:val="6"/>
  </w:num>
  <w:num w:numId="4" w16cid:durableId="1034236562">
    <w:abstractNumId w:val="8"/>
  </w:num>
  <w:num w:numId="5" w16cid:durableId="585458143">
    <w:abstractNumId w:val="7"/>
  </w:num>
  <w:num w:numId="6" w16cid:durableId="129716073">
    <w:abstractNumId w:val="4"/>
  </w:num>
  <w:num w:numId="7" w16cid:durableId="1436949026">
    <w:abstractNumId w:val="3"/>
  </w:num>
  <w:num w:numId="8" w16cid:durableId="118687663">
    <w:abstractNumId w:val="2"/>
  </w:num>
  <w:num w:numId="9" w16cid:durableId="102563846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9"/>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4B"/>
    <w:rsid w:val="00015FB9"/>
    <w:rsid w:val="00020A38"/>
    <w:rsid w:val="000250AD"/>
    <w:rsid w:val="000354F1"/>
    <w:rsid w:val="00042124"/>
    <w:rsid w:val="00045B0C"/>
    <w:rsid w:val="0007502A"/>
    <w:rsid w:val="00090325"/>
    <w:rsid w:val="00092B28"/>
    <w:rsid w:val="000A24C4"/>
    <w:rsid w:val="000A758B"/>
    <w:rsid w:val="000B0B66"/>
    <w:rsid w:val="000B4DFE"/>
    <w:rsid w:val="000C4829"/>
    <w:rsid w:val="000C7E6D"/>
    <w:rsid w:val="000E7751"/>
    <w:rsid w:val="00117F45"/>
    <w:rsid w:val="00121EA0"/>
    <w:rsid w:val="00124CFD"/>
    <w:rsid w:val="00126B96"/>
    <w:rsid w:val="00154315"/>
    <w:rsid w:val="00155009"/>
    <w:rsid w:val="00155219"/>
    <w:rsid w:val="001579E5"/>
    <w:rsid w:val="00157AB6"/>
    <w:rsid w:val="0016786B"/>
    <w:rsid w:val="0017184B"/>
    <w:rsid w:val="001837D5"/>
    <w:rsid w:val="00186297"/>
    <w:rsid w:val="001A1831"/>
    <w:rsid w:val="001C029A"/>
    <w:rsid w:val="001C2B8F"/>
    <w:rsid w:val="001D24FD"/>
    <w:rsid w:val="001D31E6"/>
    <w:rsid w:val="001E7E6E"/>
    <w:rsid w:val="001F21EB"/>
    <w:rsid w:val="001F238C"/>
    <w:rsid w:val="001F3152"/>
    <w:rsid w:val="001F333E"/>
    <w:rsid w:val="001F3549"/>
    <w:rsid w:val="002155A0"/>
    <w:rsid w:val="00223B6A"/>
    <w:rsid w:val="002363B4"/>
    <w:rsid w:val="00236E9F"/>
    <w:rsid w:val="00240C3E"/>
    <w:rsid w:val="00251871"/>
    <w:rsid w:val="002532AD"/>
    <w:rsid w:val="00276738"/>
    <w:rsid w:val="00276BB6"/>
    <w:rsid w:val="002B0A77"/>
    <w:rsid w:val="002B7B3C"/>
    <w:rsid w:val="002C3715"/>
    <w:rsid w:val="002C50BB"/>
    <w:rsid w:val="002C64BF"/>
    <w:rsid w:val="002D4666"/>
    <w:rsid w:val="002E6DC1"/>
    <w:rsid w:val="003131B5"/>
    <w:rsid w:val="00315259"/>
    <w:rsid w:val="00324EAE"/>
    <w:rsid w:val="0035345A"/>
    <w:rsid w:val="00360EA0"/>
    <w:rsid w:val="00371E0D"/>
    <w:rsid w:val="00372329"/>
    <w:rsid w:val="00393621"/>
    <w:rsid w:val="003974AC"/>
    <w:rsid w:val="003C6BBC"/>
    <w:rsid w:val="003C797B"/>
    <w:rsid w:val="003C7A48"/>
    <w:rsid w:val="003E15CB"/>
    <w:rsid w:val="003E19E4"/>
    <w:rsid w:val="003E2D33"/>
    <w:rsid w:val="003F3662"/>
    <w:rsid w:val="0040282C"/>
    <w:rsid w:val="00424979"/>
    <w:rsid w:val="0043584B"/>
    <w:rsid w:val="004367EF"/>
    <w:rsid w:val="00443098"/>
    <w:rsid w:val="00456DF0"/>
    <w:rsid w:val="00463163"/>
    <w:rsid w:val="00466AA8"/>
    <w:rsid w:val="00473C15"/>
    <w:rsid w:val="00477A24"/>
    <w:rsid w:val="00487310"/>
    <w:rsid w:val="0048782F"/>
    <w:rsid w:val="0049219F"/>
    <w:rsid w:val="00495C45"/>
    <w:rsid w:val="004A6431"/>
    <w:rsid w:val="004A72D5"/>
    <w:rsid w:val="004E3054"/>
    <w:rsid w:val="004E651F"/>
    <w:rsid w:val="004E6691"/>
    <w:rsid w:val="0050191B"/>
    <w:rsid w:val="0050715F"/>
    <w:rsid w:val="005072CE"/>
    <w:rsid w:val="0051113A"/>
    <w:rsid w:val="005241D8"/>
    <w:rsid w:val="005466D1"/>
    <w:rsid w:val="0055219E"/>
    <w:rsid w:val="00555A74"/>
    <w:rsid w:val="00556B9D"/>
    <w:rsid w:val="00567B77"/>
    <w:rsid w:val="0057467A"/>
    <w:rsid w:val="005750E5"/>
    <w:rsid w:val="00575269"/>
    <w:rsid w:val="005D6EAF"/>
    <w:rsid w:val="005D7C96"/>
    <w:rsid w:val="005E1B23"/>
    <w:rsid w:val="005E44B2"/>
    <w:rsid w:val="005E72B5"/>
    <w:rsid w:val="005F233E"/>
    <w:rsid w:val="005F4879"/>
    <w:rsid w:val="005F6118"/>
    <w:rsid w:val="0060640E"/>
    <w:rsid w:val="00612CB7"/>
    <w:rsid w:val="00617D22"/>
    <w:rsid w:val="00620AF8"/>
    <w:rsid w:val="00620DC6"/>
    <w:rsid w:val="00633C03"/>
    <w:rsid w:val="006423A7"/>
    <w:rsid w:val="00643670"/>
    <w:rsid w:val="00651A7A"/>
    <w:rsid w:val="00652BCC"/>
    <w:rsid w:val="006808E3"/>
    <w:rsid w:val="006849E3"/>
    <w:rsid w:val="006911B6"/>
    <w:rsid w:val="00692F96"/>
    <w:rsid w:val="006A5C6C"/>
    <w:rsid w:val="006A67C9"/>
    <w:rsid w:val="006B0BC6"/>
    <w:rsid w:val="006B7C2E"/>
    <w:rsid w:val="006B7FA1"/>
    <w:rsid w:val="006C2EB8"/>
    <w:rsid w:val="006C6AEE"/>
    <w:rsid w:val="006D4395"/>
    <w:rsid w:val="006F57E3"/>
    <w:rsid w:val="00712B28"/>
    <w:rsid w:val="007173AE"/>
    <w:rsid w:val="00720DAD"/>
    <w:rsid w:val="00736939"/>
    <w:rsid w:val="00745357"/>
    <w:rsid w:val="00747F7F"/>
    <w:rsid w:val="0075544F"/>
    <w:rsid w:val="0075787C"/>
    <w:rsid w:val="00765DDA"/>
    <w:rsid w:val="00785EEF"/>
    <w:rsid w:val="007B6B6E"/>
    <w:rsid w:val="007E04D1"/>
    <w:rsid w:val="007E564A"/>
    <w:rsid w:val="007E7A5B"/>
    <w:rsid w:val="007F0F3F"/>
    <w:rsid w:val="007F5423"/>
    <w:rsid w:val="008008C9"/>
    <w:rsid w:val="0085671C"/>
    <w:rsid w:val="00864FB8"/>
    <w:rsid w:val="00870F97"/>
    <w:rsid w:val="0087241B"/>
    <w:rsid w:val="00874106"/>
    <w:rsid w:val="00883954"/>
    <w:rsid w:val="008976EF"/>
    <w:rsid w:val="008A495E"/>
    <w:rsid w:val="008A4AD8"/>
    <w:rsid w:val="008A6B08"/>
    <w:rsid w:val="008B3F63"/>
    <w:rsid w:val="008C142C"/>
    <w:rsid w:val="008D55FE"/>
    <w:rsid w:val="008E4438"/>
    <w:rsid w:val="008E7C12"/>
    <w:rsid w:val="008F24B6"/>
    <w:rsid w:val="008F556A"/>
    <w:rsid w:val="008F76EE"/>
    <w:rsid w:val="00910FD6"/>
    <w:rsid w:val="009132B2"/>
    <w:rsid w:val="00916E63"/>
    <w:rsid w:val="00956731"/>
    <w:rsid w:val="009611D7"/>
    <w:rsid w:val="009633F9"/>
    <w:rsid w:val="009657FD"/>
    <w:rsid w:val="00965EC9"/>
    <w:rsid w:val="0096799C"/>
    <w:rsid w:val="00985376"/>
    <w:rsid w:val="00996AEA"/>
    <w:rsid w:val="009A0393"/>
    <w:rsid w:val="009A7616"/>
    <w:rsid w:val="009B03A7"/>
    <w:rsid w:val="009B286D"/>
    <w:rsid w:val="009B5AF6"/>
    <w:rsid w:val="009B7FFC"/>
    <w:rsid w:val="009D1B4A"/>
    <w:rsid w:val="009D2F25"/>
    <w:rsid w:val="009F4E9B"/>
    <w:rsid w:val="00A032E7"/>
    <w:rsid w:val="00A037C9"/>
    <w:rsid w:val="00A2548E"/>
    <w:rsid w:val="00A2697F"/>
    <w:rsid w:val="00A33EBD"/>
    <w:rsid w:val="00A347E4"/>
    <w:rsid w:val="00A405FD"/>
    <w:rsid w:val="00A41F26"/>
    <w:rsid w:val="00A62E8F"/>
    <w:rsid w:val="00A65F44"/>
    <w:rsid w:val="00A66480"/>
    <w:rsid w:val="00A801BE"/>
    <w:rsid w:val="00A83A79"/>
    <w:rsid w:val="00A8686D"/>
    <w:rsid w:val="00AA48CD"/>
    <w:rsid w:val="00AB690B"/>
    <w:rsid w:val="00AC3889"/>
    <w:rsid w:val="00AC55F5"/>
    <w:rsid w:val="00AC591F"/>
    <w:rsid w:val="00AD1281"/>
    <w:rsid w:val="00AD4670"/>
    <w:rsid w:val="00AE4589"/>
    <w:rsid w:val="00AE5E58"/>
    <w:rsid w:val="00AF1DDE"/>
    <w:rsid w:val="00AF2D89"/>
    <w:rsid w:val="00AF4914"/>
    <w:rsid w:val="00B07756"/>
    <w:rsid w:val="00B1420C"/>
    <w:rsid w:val="00B23FED"/>
    <w:rsid w:val="00B244B4"/>
    <w:rsid w:val="00B353AD"/>
    <w:rsid w:val="00B43C80"/>
    <w:rsid w:val="00B45F8F"/>
    <w:rsid w:val="00B47CD3"/>
    <w:rsid w:val="00B50A9A"/>
    <w:rsid w:val="00B57F3D"/>
    <w:rsid w:val="00B80D63"/>
    <w:rsid w:val="00B80DC1"/>
    <w:rsid w:val="00B815AA"/>
    <w:rsid w:val="00B875F3"/>
    <w:rsid w:val="00BA1EB7"/>
    <w:rsid w:val="00BB06A0"/>
    <w:rsid w:val="00BB0C7F"/>
    <w:rsid w:val="00BB3089"/>
    <w:rsid w:val="00BB776A"/>
    <w:rsid w:val="00BC28C1"/>
    <w:rsid w:val="00BD2D93"/>
    <w:rsid w:val="00BD50C8"/>
    <w:rsid w:val="00BE00D9"/>
    <w:rsid w:val="00BE1C41"/>
    <w:rsid w:val="00BF32DC"/>
    <w:rsid w:val="00BF4689"/>
    <w:rsid w:val="00C01EC7"/>
    <w:rsid w:val="00C20A57"/>
    <w:rsid w:val="00C2132D"/>
    <w:rsid w:val="00C31AF6"/>
    <w:rsid w:val="00C32C14"/>
    <w:rsid w:val="00C37964"/>
    <w:rsid w:val="00C448F3"/>
    <w:rsid w:val="00C45C61"/>
    <w:rsid w:val="00C47D11"/>
    <w:rsid w:val="00C551C5"/>
    <w:rsid w:val="00C5636B"/>
    <w:rsid w:val="00C73D62"/>
    <w:rsid w:val="00C7455E"/>
    <w:rsid w:val="00C857A8"/>
    <w:rsid w:val="00C8582E"/>
    <w:rsid w:val="00C972E0"/>
    <w:rsid w:val="00CA10CC"/>
    <w:rsid w:val="00CA131A"/>
    <w:rsid w:val="00CA3AE5"/>
    <w:rsid w:val="00CA6FEC"/>
    <w:rsid w:val="00CB0E0C"/>
    <w:rsid w:val="00CB124D"/>
    <w:rsid w:val="00CD3794"/>
    <w:rsid w:val="00CD54BF"/>
    <w:rsid w:val="00CE04D9"/>
    <w:rsid w:val="00D062B9"/>
    <w:rsid w:val="00D11888"/>
    <w:rsid w:val="00D133D4"/>
    <w:rsid w:val="00D158B2"/>
    <w:rsid w:val="00D308C8"/>
    <w:rsid w:val="00D47628"/>
    <w:rsid w:val="00D477DE"/>
    <w:rsid w:val="00D65CDF"/>
    <w:rsid w:val="00D80A29"/>
    <w:rsid w:val="00D81118"/>
    <w:rsid w:val="00D94AF4"/>
    <w:rsid w:val="00D95564"/>
    <w:rsid w:val="00DC1538"/>
    <w:rsid w:val="00DC68D5"/>
    <w:rsid w:val="00DE47AC"/>
    <w:rsid w:val="00DE48A5"/>
    <w:rsid w:val="00DE7291"/>
    <w:rsid w:val="00DE74D9"/>
    <w:rsid w:val="00DF76F6"/>
    <w:rsid w:val="00E30C0C"/>
    <w:rsid w:val="00E35F9F"/>
    <w:rsid w:val="00E4092B"/>
    <w:rsid w:val="00E411E7"/>
    <w:rsid w:val="00E47148"/>
    <w:rsid w:val="00E53418"/>
    <w:rsid w:val="00E66C48"/>
    <w:rsid w:val="00E91968"/>
    <w:rsid w:val="00E92E0B"/>
    <w:rsid w:val="00E94E87"/>
    <w:rsid w:val="00E957A2"/>
    <w:rsid w:val="00E96CEC"/>
    <w:rsid w:val="00EA69ED"/>
    <w:rsid w:val="00EB3B9C"/>
    <w:rsid w:val="00EB7BA8"/>
    <w:rsid w:val="00EC7431"/>
    <w:rsid w:val="00ED1774"/>
    <w:rsid w:val="00ED2C50"/>
    <w:rsid w:val="00ED3B50"/>
    <w:rsid w:val="00EE519E"/>
    <w:rsid w:val="00EE6C29"/>
    <w:rsid w:val="00EF5A4E"/>
    <w:rsid w:val="00F06C20"/>
    <w:rsid w:val="00F16946"/>
    <w:rsid w:val="00F3129C"/>
    <w:rsid w:val="00F34E7D"/>
    <w:rsid w:val="00F4194E"/>
    <w:rsid w:val="00F425A1"/>
    <w:rsid w:val="00F43D7C"/>
    <w:rsid w:val="00F47791"/>
    <w:rsid w:val="00F53F78"/>
    <w:rsid w:val="00F55D6A"/>
    <w:rsid w:val="00F61342"/>
    <w:rsid w:val="00F62449"/>
    <w:rsid w:val="00F6276E"/>
    <w:rsid w:val="00F636DB"/>
    <w:rsid w:val="00F736AE"/>
    <w:rsid w:val="00F83D50"/>
    <w:rsid w:val="00F87A2B"/>
    <w:rsid w:val="00F910E4"/>
    <w:rsid w:val="00F96780"/>
    <w:rsid w:val="00FA2ED1"/>
    <w:rsid w:val="00FA3FC8"/>
    <w:rsid w:val="00FB7742"/>
    <w:rsid w:val="00FD0CC1"/>
    <w:rsid w:val="00FD157E"/>
    <w:rsid w:val="00FD1A66"/>
    <w:rsid w:val="00FD7217"/>
    <w:rsid w:val="00FD7F87"/>
    <w:rsid w:val="00FE0EED"/>
    <w:rsid w:val="00FE2A37"/>
    <w:rsid w:val="00FF1C3D"/>
    <w:rsid w:val="2D241560"/>
    <w:rsid w:val="4AAA50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6E9B"/>
  <w15:chartTrackingRefBased/>
  <w15:docId w15:val="{D8E8B09D-9D89-1A40-B7A3-C1796C4714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FB9"/>
    <w:rPr>
      <w:rFonts w:ascii="Times New Roman" w:hAnsi="Times New Roman" w:eastAsia="Times New Roman" w:cs="Times New Roman"/>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3584B"/>
    <w:pPr>
      <w:tabs>
        <w:tab w:val="center" w:pos="4419"/>
        <w:tab w:val="right" w:pos="8838"/>
      </w:tabs>
      <w:spacing w:after="20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43584B"/>
    <w:rPr>
      <w:szCs w:val="22"/>
      <w:lang w:val="es-MX"/>
    </w:rPr>
  </w:style>
  <w:style w:type="paragraph" w:styleId="Encabezado">
    <w:name w:val="header"/>
    <w:basedOn w:val="Normal"/>
    <w:link w:val="EncabezadoCar"/>
    <w:uiPriority w:val="99"/>
    <w:unhideWhenUsed/>
    <w:rsid w:val="0043584B"/>
    <w:pPr>
      <w:tabs>
        <w:tab w:val="center" w:pos="4252"/>
        <w:tab w:val="right" w:pos="8504"/>
      </w:tabs>
      <w:spacing w:after="20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43584B"/>
    <w:rPr>
      <w:szCs w:val="22"/>
      <w:lang w:val="es-MX"/>
    </w:rPr>
  </w:style>
  <w:style w:type="table" w:styleId="Tablaconcuadrcula">
    <w:name w:val="Table Grid"/>
    <w:basedOn w:val="Tablanormal"/>
    <w:uiPriority w:val="59"/>
    <w:qFormat/>
    <w:rsid w:val="0043584B"/>
    <w:pPr>
      <w:jc w:val="both"/>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link w:val="NormalWebCar"/>
    <w:uiPriority w:val="99"/>
    <w:unhideWhenUsed/>
    <w:rsid w:val="0043584B"/>
    <w:pPr>
      <w:spacing w:before="100" w:beforeAutospacing="1" w:after="100" w:afterAutospacing="1" w:line="276" w:lineRule="auto"/>
      <w:jc w:val="both"/>
    </w:pPr>
    <w:rPr>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3584B"/>
    <w:rPr>
      <w:vertAlign w:val="superscript"/>
    </w:rPr>
  </w:style>
  <w:style w:type="paragraph" w:styleId="Appelnotedebasde" w:customStyle="1">
    <w:name w:val="Appel note de bas de..."/>
    <w:basedOn w:val="Normal"/>
    <w:link w:val="Refdenotaalpie"/>
    <w:uiPriority w:val="99"/>
    <w:rsid w:val="0043584B"/>
    <w:pPr>
      <w:spacing w:after="160" w:line="240" w:lineRule="exact"/>
      <w:jc w:val="both"/>
    </w:pPr>
    <w:rPr>
      <w:rFonts w:asciiTheme="minorHAnsi" w:hAnsiTheme="minorHAnsi" w:eastAsiaTheme="minorHAnsi" w:cstheme="minorBidi"/>
      <w:vertAlign w:val="superscript"/>
      <w:lang w:eastAsia="en-US"/>
    </w:rPr>
  </w:style>
  <w:style w:type="character" w:styleId="NormalWebCar" w:customStyle="1">
    <w:name w:val="Normal (Web) Car"/>
    <w:link w:val="NormalWeb"/>
    <w:uiPriority w:val="99"/>
    <w:locked/>
    <w:rsid w:val="0043584B"/>
    <w:rPr>
      <w:rFonts w:ascii="Times New Roman" w:hAnsi="Times New Roman" w:eastAsia="Times New Roman" w:cs="Times New Roman"/>
      <w:lang w:eastAsia="es-CO"/>
    </w:rPr>
  </w:style>
  <w:style w:type="table" w:styleId="Tablaconcuadrcula1" w:customStyle="1">
    <w:name w:val="Tabla con cuadrícula1"/>
    <w:basedOn w:val="Tablanormal"/>
    <w:next w:val="Tablaconcuadrcula"/>
    <w:uiPriority w:val="39"/>
    <w:rsid w:val="0043584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3584B"/>
    <w:pPr>
      <w:ind w:left="720"/>
      <w:contextualSpacing/>
    </w:pPr>
    <w:rPr>
      <w:rFonts w:asciiTheme="minorHAnsi" w:hAnsiTheme="minorHAnsi" w:eastAsiaTheme="minorHAnsi" w:cstheme="minorBidi"/>
      <w:lang w:eastAsia="en-US"/>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43584B"/>
    <w:pPr>
      <w:widowControl w:val="0"/>
      <w:autoSpaceDE w:val="0"/>
      <w:autoSpaceDN w:val="0"/>
    </w:pPr>
    <w:rPr>
      <w:rFonts w:ascii="Arial" w:hAnsi="Arial" w:eastAsia="Arial" w:cs="Arial"/>
      <w:sz w:val="20"/>
      <w:szCs w:val="20"/>
      <w:lang w:val="es-ES" w:eastAsia="en-US"/>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43584B"/>
    <w:rPr>
      <w:rFonts w:ascii="Arial" w:hAnsi="Arial" w:eastAsia="Arial" w:cs="Arial"/>
      <w:sz w:val="20"/>
      <w:szCs w:val="20"/>
      <w:lang w:val="es-ES"/>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3584B"/>
  </w:style>
  <w:style w:type="character" w:styleId="Hipervnculo">
    <w:name w:val="Hyperlink"/>
    <w:basedOn w:val="Fuentedeprrafopredeter"/>
    <w:uiPriority w:val="99"/>
    <w:unhideWhenUsed/>
    <w:rsid w:val="0043584B"/>
    <w:rPr>
      <w:color w:val="0563C1" w:themeColor="hyperlink"/>
      <w:u w:val="single"/>
    </w:rPr>
  </w:style>
  <w:style w:type="character" w:styleId="Textoennegrita">
    <w:name w:val="Strong"/>
    <w:basedOn w:val="Fuentedeprrafopredeter"/>
    <w:uiPriority w:val="22"/>
    <w:qFormat/>
    <w:rsid w:val="002D4666"/>
    <w:rPr>
      <w:b/>
      <w:bCs/>
    </w:rPr>
  </w:style>
  <w:style w:type="character" w:styleId="nfasis">
    <w:name w:val="Emphasis"/>
    <w:basedOn w:val="Fuentedeprrafopredeter"/>
    <w:uiPriority w:val="20"/>
    <w:qFormat/>
    <w:rsid w:val="002D4666"/>
    <w:rPr>
      <w:i/>
      <w:iCs/>
    </w:rPr>
  </w:style>
  <w:style w:type="paragraph" w:styleId="nueve" w:customStyle="1">
    <w:name w:val="nueve"/>
    <w:basedOn w:val="Normal"/>
    <w:rsid w:val="002D4666"/>
    <w:pPr>
      <w:spacing w:before="100" w:beforeAutospacing="1" w:after="100" w:afterAutospacing="1"/>
    </w:pPr>
  </w:style>
  <w:style w:type="paragraph" w:styleId="Revisin">
    <w:name w:val="Revision"/>
    <w:hidden/>
    <w:uiPriority w:val="99"/>
    <w:semiHidden/>
    <w:rsid w:val="00F83D50"/>
    <w:rPr>
      <w:rFonts w:ascii="Times New Roman" w:hAnsi="Times New Roman" w:eastAsia="Times New Roman" w:cs="Times New Roman"/>
      <w:lang w:eastAsia="es-MX"/>
    </w:rPr>
  </w:style>
  <w:style w:type="character" w:styleId="Refdecomentario">
    <w:name w:val="annotation reference"/>
    <w:basedOn w:val="Fuentedeprrafopredeter"/>
    <w:uiPriority w:val="99"/>
    <w:semiHidden/>
    <w:unhideWhenUsed/>
    <w:rsid w:val="00E53418"/>
    <w:rPr>
      <w:sz w:val="16"/>
      <w:szCs w:val="16"/>
    </w:rPr>
  </w:style>
  <w:style w:type="paragraph" w:styleId="Textocomentario">
    <w:name w:val="annotation text"/>
    <w:basedOn w:val="Normal"/>
    <w:link w:val="TextocomentarioCar"/>
    <w:uiPriority w:val="99"/>
    <w:unhideWhenUsed/>
    <w:rsid w:val="00E53418"/>
    <w:rPr>
      <w:sz w:val="20"/>
      <w:szCs w:val="20"/>
    </w:rPr>
  </w:style>
  <w:style w:type="character" w:styleId="TextocomentarioCar" w:customStyle="1">
    <w:name w:val="Texto comentario Car"/>
    <w:basedOn w:val="Fuentedeprrafopredeter"/>
    <w:link w:val="Textocomentario"/>
    <w:uiPriority w:val="99"/>
    <w:rsid w:val="00E53418"/>
    <w:rPr>
      <w:rFonts w:ascii="Times New Roman" w:hAnsi="Times New Roman"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53418"/>
    <w:rPr>
      <w:b/>
      <w:bCs/>
    </w:rPr>
  </w:style>
  <w:style w:type="character" w:styleId="AsuntodelcomentarioCar" w:customStyle="1">
    <w:name w:val="Asunto del comentario Car"/>
    <w:basedOn w:val="TextocomentarioCar"/>
    <w:link w:val="Asuntodelcomentario"/>
    <w:uiPriority w:val="99"/>
    <w:semiHidden/>
    <w:rsid w:val="00E53418"/>
    <w:rPr>
      <w:rFonts w:ascii="Times New Roman" w:hAnsi="Times New Roman" w:eastAsia="Times New Roman" w:cs="Times New Roman"/>
      <w:b/>
      <w:bCs/>
      <w:sz w:val="20"/>
      <w:szCs w:val="20"/>
      <w:lang w:eastAsia="es-MX"/>
    </w:rPr>
  </w:style>
  <w:style w:type="character" w:styleId="Mencinsinresolver">
    <w:name w:val="Unresolved Mention"/>
    <w:basedOn w:val="Fuentedeprrafopredeter"/>
    <w:uiPriority w:val="99"/>
    <w:semiHidden/>
    <w:unhideWhenUsed/>
    <w:rsid w:val="0096799C"/>
    <w:rPr>
      <w:color w:val="605E5C"/>
      <w:shd w:val="clear" w:color="auto" w:fill="E1DFDD"/>
    </w:rPr>
  </w:style>
  <w:style w:type="character" w:styleId="normaltextrun" w:customStyle="1">
    <w:name w:val="normaltextrun"/>
    <w:basedOn w:val="Fuentedeprrafopredeter"/>
    <w:rsid w:val="008A4AD8"/>
  </w:style>
  <w:style w:type="paragraph" w:styleId="Default" w:customStyle="1">
    <w:name w:val="Default"/>
    <w:rsid w:val="00251871"/>
    <w:pPr>
      <w:autoSpaceDE w:val="0"/>
      <w:autoSpaceDN w:val="0"/>
      <w:adjustRightInd w:val="0"/>
    </w:pPr>
    <w:rPr>
      <w:rFonts w:ascii="Calibri" w:hAnsi="Calibri" w:cs="Calibri"/>
      <w:color w:val="000000"/>
    </w:rPr>
  </w:style>
  <w:style w:type="paragraph" w:styleId="paragraph" w:customStyle="1">
    <w:name w:val="paragraph"/>
    <w:basedOn w:val="Normal"/>
    <w:rsid w:val="008008C9"/>
    <w:pPr>
      <w:spacing w:before="100" w:beforeAutospacing="1" w:after="100" w:afterAutospacing="1"/>
    </w:pPr>
    <w:rPr>
      <w:lang w:eastAsia="es-CO"/>
    </w:rPr>
  </w:style>
  <w:style w:type="character" w:styleId="superscript" w:customStyle="1">
    <w:name w:val="superscript"/>
    <w:basedOn w:val="Fuentedeprrafopredeter"/>
    <w:rsid w:val="008008C9"/>
  </w:style>
  <w:style w:type="character" w:styleId="eop" w:customStyle="1">
    <w:name w:val="eop"/>
    <w:basedOn w:val="Fuentedeprrafopredeter"/>
    <w:rsid w:val="0080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7787">
      <w:bodyDiv w:val="1"/>
      <w:marLeft w:val="0"/>
      <w:marRight w:val="0"/>
      <w:marTop w:val="0"/>
      <w:marBottom w:val="0"/>
      <w:divBdr>
        <w:top w:val="none" w:sz="0" w:space="0" w:color="auto"/>
        <w:left w:val="none" w:sz="0" w:space="0" w:color="auto"/>
        <w:bottom w:val="none" w:sz="0" w:space="0" w:color="auto"/>
        <w:right w:val="none" w:sz="0" w:space="0" w:color="auto"/>
      </w:divBdr>
    </w:div>
    <w:div w:id="216093521">
      <w:bodyDiv w:val="1"/>
      <w:marLeft w:val="0"/>
      <w:marRight w:val="0"/>
      <w:marTop w:val="0"/>
      <w:marBottom w:val="0"/>
      <w:divBdr>
        <w:top w:val="none" w:sz="0" w:space="0" w:color="auto"/>
        <w:left w:val="none" w:sz="0" w:space="0" w:color="auto"/>
        <w:bottom w:val="none" w:sz="0" w:space="0" w:color="auto"/>
        <w:right w:val="none" w:sz="0" w:space="0" w:color="auto"/>
      </w:divBdr>
    </w:div>
    <w:div w:id="522942733">
      <w:bodyDiv w:val="1"/>
      <w:marLeft w:val="0"/>
      <w:marRight w:val="0"/>
      <w:marTop w:val="0"/>
      <w:marBottom w:val="0"/>
      <w:divBdr>
        <w:top w:val="none" w:sz="0" w:space="0" w:color="auto"/>
        <w:left w:val="none" w:sz="0" w:space="0" w:color="auto"/>
        <w:bottom w:val="none" w:sz="0" w:space="0" w:color="auto"/>
        <w:right w:val="none" w:sz="0" w:space="0" w:color="auto"/>
      </w:divBdr>
    </w:div>
    <w:div w:id="563221785">
      <w:bodyDiv w:val="1"/>
      <w:marLeft w:val="0"/>
      <w:marRight w:val="0"/>
      <w:marTop w:val="0"/>
      <w:marBottom w:val="0"/>
      <w:divBdr>
        <w:top w:val="none" w:sz="0" w:space="0" w:color="auto"/>
        <w:left w:val="none" w:sz="0" w:space="0" w:color="auto"/>
        <w:bottom w:val="none" w:sz="0" w:space="0" w:color="auto"/>
        <w:right w:val="none" w:sz="0" w:space="0" w:color="auto"/>
      </w:divBdr>
      <w:divsChild>
        <w:div w:id="1838567318">
          <w:marLeft w:val="0"/>
          <w:marRight w:val="0"/>
          <w:marTop w:val="0"/>
          <w:marBottom w:val="0"/>
          <w:divBdr>
            <w:top w:val="none" w:sz="0" w:space="0" w:color="auto"/>
            <w:left w:val="none" w:sz="0" w:space="0" w:color="auto"/>
            <w:bottom w:val="none" w:sz="0" w:space="0" w:color="auto"/>
            <w:right w:val="none" w:sz="0" w:space="0" w:color="auto"/>
          </w:divBdr>
        </w:div>
        <w:div w:id="1542399953">
          <w:marLeft w:val="0"/>
          <w:marRight w:val="0"/>
          <w:marTop w:val="0"/>
          <w:marBottom w:val="0"/>
          <w:divBdr>
            <w:top w:val="none" w:sz="0" w:space="0" w:color="auto"/>
            <w:left w:val="none" w:sz="0" w:space="0" w:color="auto"/>
            <w:bottom w:val="none" w:sz="0" w:space="0" w:color="auto"/>
            <w:right w:val="none" w:sz="0" w:space="0" w:color="auto"/>
          </w:divBdr>
        </w:div>
      </w:divsChild>
    </w:div>
    <w:div w:id="1133331590">
      <w:bodyDiv w:val="1"/>
      <w:marLeft w:val="0"/>
      <w:marRight w:val="0"/>
      <w:marTop w:val="0"/>
      <w:marBottom w:val="0"/>
      <w:divBdr>
        <w:top w:val="none" w:sz="0" w:space="0" w:color="auto"/>
        <w:left w:val="none" w:sz="0" w:space="0" w:color="auto"/>
        <w:bottom w:val="none" w:sz="0" w:space="0" w:color="auto"/>
        <w:right w:val="none" w:sz="0" w:space="0" w:color="auto"/>
      </w:divBdr>
    </w:div>
    <w:div w:id="1217543608">
      <w:bodyDiv w:val="1"/>
      <w:marLeft w:val="0"/>
      <w:marRight w:val="0"/>
      <w:marTop w:val="0"/>
      <w:marBottom w:val="0"/>
      <w:divBdr>
        <w:top w:val="none" w:sz="0" w:space="0" w:color="auto"/>
        <w:left w:val="none" w:sz="0" w:space="0" w:color="auto"/>
        <w:bottom w:val="none" w:sz="0" w:space="0" w:color="auto"/>
        <w:right w:val="none" w:sz="0" w:space="0" w:color="auto"/>
      </w:divBdr>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sChild>
        <w:div w:id="1643732266">
          <w:marLeft w:val="0"/>
          <w:marRight w:val="0"/>
          <w:marTop w:val="0"/>
          <w:marBottom w:val="0"/>
          <w:divBdr>
            <w:top w:val="none" w:sz="0" w:space="0" w:color="auto"/>
            <w:left w:val="none" w:sz="0" w:space="0" w:color="auto"/>
            <w:bottom w:val="none" w:sz="0" w:space="0" w:color="auto"/>
            <w:right w:val="none" w:sz="0" w:space="0" w:color="auto"/>
          </w:divBdr>
        </w:div>
        <w:div w:id="1245603976">
          <w:marLeft w:val="0"/>
          <w:marRight w:val="0"/>
          <w:marTop w:val="0"/>
          <w:marBottom w:val="0"/>
          <w:divBdr>
            <w:top w:val="none" w:sz="0" w:space="0" w:color="auto"/>
            <w:left w:val="none" w:sz="0" w:space="0" w:color="auto"/>
            <w:bottom w:val="none" w:sz="0" w:space="0" w:color="auto"/>
            <w:right w:val="none" w:sz="0" w:space="0" w:color="auto"/>
          </w:divBdr>
        </w:div>
      </w:divsChild>
    </w:div>
    <w:div w:id="1503396984">
      <w:bodyDiv w:val="1"/>
      <w:marLeft w:val="0"/>
      <w:marRight w:val="0"/>
      <w:marTop w:val="0"/>
      <w:marBottom w:val="0"/>
      <w:divBdr>
        <w:top w:val="none" w:sz="0" w:space="0" w:color="auto"/>
        <w:left w:val="none" w:sz="0" w:space="0" w:color="auto"/>
        <w:bottom w:val="none" w:sz="0" w:space="0" w:color="auto"/>
        <w:right w:val="none" w:sz="0" w:space="0" w:color="auto"/>
      </w:divBdr>
    </w:div>
    <w:div w:id="1533615176">
      <w:bodyDiv w:val="1"/>
      <w:marLeft w:val="0"/>
      <w:marRight w:val="0"/>
      <w:marTop w:val="0"/>
      <w:marBottom w:val="0"/>
      <w:divBdr>
        <w:top w:val="none" w:sz="0" w:space="0" w:color="auto"/>
        <w:left w:val="none" w:sz="0" w:space="0" w:color="auto"/>
        <w:bottom w:val="none" w:sz="0" w:space="0" w:color="auto"/>
        <w:right w:val="none" w:sz="0" w:space="0" w:color="auto"/>
      </w:divBdr>
    </w:div>
    <w:div w:id="1638757601">
      <w:bodyDiv w:val="1"/>
      <w:marLeft w:val="0"/>
      <w:marRight w:val="0"/>
      <w:marTop w:val="0"/>
      <w:marBottom w:val="0"/>
      <w:divBdr>
        <w:top w:val="none" w:sz="0" w:space="0" w:color="auto"/>
        <w:left w:val="none" w:sz="0" w:space="0" w:color="auto"/>
        <w:bottom w:val="none" w:sz="0" w:space="0" w:color="auto"/>
        <w:right w:val="none" w:sz="0" w:space="0" w:color="auto"/>
      </w:divBdr>
    </w:div>
    <w:div w:id="1650553978">
      <w:bodyDiv w:val="1"/>
      <w:marLeft w:val="0"/>
      <w:marRight w:val="0"/>
      <w:marTop w:val="0"/>
      <w:marBottom w:val="0"/>
      <w:divBdr>
        <w:top w:val="none" w:sz="0" w:space="0" w:color="auto"/>
        <w:left w:val="none" w:sz="0" w:space="0" w:color="auto"/>
        <w:bottom w:val="none" w:sz="0" w:space="0" w:color="auto"/>
        <w:right w:val="none" w:sz="0" w:space="0" w:color="auto"/>
      </w:divBdr>
    </w:div>
    <w:div w:id="1748842128">
      <w:bodyDiv w:val="1"/>
      <w:marLeft w:val="0"/>
      <w:marRight w:val="0"/>
      <w:marTop w:val="0"/>
      <w:marBottom w:val="0"/>
      <w:divBdr>
        <w:top w:val="none" w:sz="0" w:space="0" w:color="auto"/>
        <w:left w:val="none" w:sz="0" w:space="0" w:color="auto"/>
        <w:bottom w:val="none" w:sz="0" w:space="0" w:color="auto"/>
        <w:right w:val="none" w:sz="0" w:space="0" w:color="auto"/>
      </w:divBdr>
    </w:div>
    <w:div w:id="1806925723">
      <w:bodyDiv w:val="1"/>
      <w:marLeft w:val="0"/>
      <w:marRight w:val="0"/>
      <w:marTop w:val="0"/>
      <w:marBottom w:val="0"/>
      <w:divBdr>
        <w:top w:val="none" w:sz="0" w:space="0" w:color="auto"/>
        <w:left w:val="none" w:sz="0" w:space="0" w:color="auto"/>
        <w:bottom w:val="none" w:sz="0" w:space="0" w:color="auto"/>
        <w:right w:val="none" w:sz="0" w:space="0" w:color="auto"/>
      </w:divBdr>
    </w:div>
    <w:div w:id="1936133877">
      <w:bodyDiv w:val="1"/>
      <w:marLeft w:val="0"/>
      <w:marRight w:val="0"/>
      <w:marTop w:val="0"/>
      <w:marBottom w:val="0"/>
      <w:divBdr>
        <w:top w:val="none" w:sz="0" w:space="0" w:color="auto"/>
        <w:left w:val="none" w:sz="0" w:space="0" w:color="auto"/>
        <w:bottom w:val="none" w:sz="0" w:space="0" w:color="auto"/>
        <w:right w:val="none" w:sz="0" w:space="0" w:color="auto"/>
      </w:divBdr>
      <w:divsChild>
        <w:div w:id="19408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www.colombiacompra.gov.co/secop/que-es-el-secop-ii"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F35E0C-350D-6E44-B50F-34F641E62E53}">
  <ds:schemaRefs>
    <ds:schemaRef ds:uri="http://schemas.openxmlformats.org/officeDocument/2006/bibliography"/>
  </ds:schemaRefs>
</ds:datastoreItem>
</file>

<file path=customXml/itemProps2.xml><?xml version="1.0" encoding="utf-8"?>
<ds:datastoreItem xmlns:ds="http://schemas.openxmlformats.org/officeDocument/2006/customXml" ds:itemID="{A11FB569-70D8-413F-87C8-5BFA3314FDD8}"/>
</file>

<file path=customXml/itemProps3.xml><?xml version="1.0" encoding="utf-8"?>
<ds:datastoreItem xmlns:ds="http://schemas.openxmlformats.org/officeDocument/2006/customXml" ds:itemID="{8D545971-6B95-4268-986C-3B20114F30BF}"/>
</file>

<file path=customXml/itemProps4.xml><?xml version="1.0" encoding="utf-8"?>
<ds:datastoreItem xmlns:ds="http://schemas.openxmlformats.org/officeDocument/2006/customXml" ds:itemID="{09C708AE-BDFB-49BA-A368-01281FF2D4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Kelmis Yimara Bruges Alvarado</cp:lastModifiedBy>
  <cp:revision>297</cp:revision>
  <dcterms:created xsi:type="dcterms:W3CDTF">2022-12-05T15:10:00Z</dcterms:created>
  <dcterms:modified xsi:type="dcterms:W3CDTF">2023-08-29T22:51:04Z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