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C255" w14:textId="77777777" w:rsidR="00A5219F" w:rsidRPr="00F41BD6" w:rsidRDefault="00A5219F" w:rsidP="00A5219F">
      <w:pPr>
        <w:spacing w:after="0"/>
        <w:jc w:val="both"/>
        <w:rPr>
          <w:rFonts w:ascii="Arial" w:hAnsi="Arial" w:cs="Arial"/>
          <w:b/>
          <w:bCs/>
        </w:rPr>
      </w:pPr>
      <w:bookmarkStart w:id="0" w:name="_Hlk96417464"/>
      <w:bookmarkStart w:id="1" w:name="_Hlk120036210"/>
      <w:bookmarkStart w:id="2" w:name="_Hlk98867631"/>
      <w:bookmarkStart w:id="3" w:name="_Hlk99546921"/>
      <w:r w:rsidRPr="00F41BD6">
        <w:rPr>
          <w:rFonts w:ascii="Arial" w:hAnsi="Arial" w:cs="Arial"/>
          <w:b/>
          <w:bCs/>
        </w:rPr>
        <w:t>REQUISITOS HABILITANTES – Definición – Función – Identificación</w:t>
      </w:r>
    </w:p>
    <w:p w14:paraId="394CE470" w14:textId="77777777" w:rsidR="00A5219F" w:rsidRPr="00F41BD6" w:rsidRDefault="00A5219F" w:rsidP="00A5219F">
      <w:pPr>
        <w:spacing w:after="0"/>
        <w:jc w:val="both"/>
        <w:rPr>
          <w:rFonts w:ascii="Arial" w:hAnsi="Arial" w:cs="Arial"/>
          <w:b/>
          <w:bCs/>
        </w:rPr>
      </w:pPr>
    </w:p>
    <w:p w14:paraId="55E460F2"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Los requisitos habilitantes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w:t>
      </w:r>
    </w:p>
    <w:p w14:paraId="35680FF6"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p>
    <w:p w14:paraId="7439275B"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los parágrafos 1° al 4°, del artículo 5, de la Ley 1150 de 2007.</w:t>
      </w:r>
    </w:p>
    <w:p w14:paraId="4FA7C9D7"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w:t>
      </w:r>
    </w:p>
    <w:p w14:paraId="72F719A4"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 xml:space="preserve">[…]el numeral 1°, del artículo 5, de la Ley 1150 de 2005 establece que en los procesos de selección de contratistas serán objeto de verificación, como requisitos habilitantes, entre otros, los siguientes: i) la capacidad jurídica, </w:t>
      </w:r>
      <w:proofErr w:type="spellStart"/>
      <w:r w:rsidRPr="00F41BD6">
        <w:rPr>
          <w:rFonts w:ascii="Arial" w:eastAsia="Times New Roman" w:hAnsi="Arial" w:cs="Arial"/>
          <w:sz w:val="20"/>
          <w:szCs w:val="20"/>
          <w:lang w:val="es-ES_tradnl" w:eastAsia="es-ES_tradnl"/>
        </w:rPr>
        <w:t>ii</w:t>
      </w:r>
      <w:proofErr w:type="spellEnd"/>
      <w:r w:rsidRPr="00F41BD6">
        <w:rPr>
          <w:rFonts w:ascii="Arial" w:eastAsia="Times New Roman" w:hAnsi="Arial" w:cs="Arial"/>
          <w:sz w:val="20"/>
          <w:szCs w:val="20"/>
          <w:lang w:val="es-ES_tradnl" w:eastAsia="es-ES_tradnl"/>
        </w:rPr>
        <w:t xml:space="preserve">) la experiencia, </w:t>
      </w:r>
      <w:proofErr w:type="spellStart"/>
      <w:r w:rsidRPr="00F41BD6">
        <w:rPr>
          <w:rFonts w:ascii="Arial" w:eastAsia="Times New Roman" w:hAnsi="Arial" w:cs="Arial"/>
          <w:sz w:val="20"/>
          <w:szCs w:val="20"/>
          <w:lang w:val="es-ES_tradnl" w:eastAsia="es-ES_tradnl"/>
        </w:rPr>
        <w:t>iii</w:t>
      </w:r>
      <w:proofErr w:type="spellEnd"/>
      <w:r w:rsidRPr="00F41BD6">
        <w:rPr>
          <w:rFonts w:ascii="Arial" w:eastAsia="Times New Roman" w:hAnsi="Arial" w:cs="Arial"/>
          <w:sz w:val="20"/>
          <w:szCs w:val="20"/>
          <w:lang w:val="es-ES_tradnl" w:eastAsia="es-ES_tradnl"/>
        </w:rPr>
        <w:t xml:space="preserve">) la capacidad financiera y </w:t>
      </w:r>
      <w:proofErr w:type="spellStart"/>
      <w:r w:rsidRPr="00F41BD6">
        <w:rPr>
          <w:rFonts w:ascii="Arial" w:eastAsia="Times New Roman" w:hAnsi="Arial" w:cs="Arial"/>
          <w:sz w:val="20"/>
          <w:szCs w:val="20"/>
          <w:lang w:val="es-ES_tradnl" w:eastAsia="es-ES_tradnl"/>
        </w:rPr>
        <w:t>iv</w:t>
      </w:r>
      <w:proofErr w:type="spellEnd"/>
      <w:r w:rsidRPr="00F41BD6">
        <w:rPr>
          <w:rFonts w:ascii="Arial" w:eastAsia="Times New Roman" w:hAnsi="Arial" w:cs="Arial"/>
          <w:sz w:val="20"/>
          <w:szCs w:val="20"/>
          <w:lang w:val="es-ES_tradnl" w:eastAsia="es-ES_tradnl"/>
        </w:rPr>
        <w:t>) la capacidad de organización.</w:t>
      </w:r>
    </w:p>
    <w:p w14:paraId="0C9F8EEF" w14:textId="77777777" w:rsidR="00A5219F" w:rsidRPr="00F41BD6" w:rsidRDefault="00A5219F" w:rsidP="00A5219F">
      <w:pPr>
        <w:spacing w:after="0"/>
        <w:jc w:val="both"/>
        <w:rPr>
          <w:rFonts w:ascii="Arial" w:eastAsia="Times New Roman" w:hAnsi="Arial" w:cs="Arial"/>
          <w:szCs w:val="24"/>
          <w:lang w:val="es-ES_tradnl" w:eastAsia="es-ES_tradnl"/>
        </w:rPr>
      </w:pPr>
    </w:p>
    <w:p w14:paraId="603B1F18" w14:textId="77777777" w:rsidR="00A5219F" w:rsidRPr="00F41BD6" w:rsidRDefault="00A5219F" w:rsidP="00A5219F">
      <w:pPr>
        <w:spacing w:after="0"/>
        <w:jc w:val="both"/>
        <w:rPr>
          <w:rFonts w:ascii="Arial" w:eastAsia="Times New Roman" w:hAnsi="Arial" w:cs="Arial"/>
          <w:b/>
          <w:bCs/>
          <w:szCs w:val="24"/>
          <w:lang w:val="es-ES_tradnl" w:eastAsia="es-ES_tradnl"/>
        </w:rPr>
      </w:pPr>
      <w:r w:rsidRPr="00F41BD6">
        <w:rPr>
          <w:rFonts w:ascii="Arial" w:eastAsia="Times New Roman" w:hAnsi="Arial" w:cs="Arial"/>
          <w:b/>
          <w:bCs/>
          <w:szCs w:val="24"/>
          <w:lang w:val="es-ES_tradnl" w:eastAsia="es-ES_tradnl"/>
        </w:rPr>
        <w:t>REQUSITOS HABILITANTES – Principio de autonomía de la voluntad – Facultad de las entidades para establecerlos</w:t>
      </w:r>
    </w:p>
    <w:p w14:paraId="5724C55E" w14:textId="77777777" w:rsidR="00A5219F" w:rsidRPr="00F41BD6" w:rsidRDefault="00A5219F" w:rsidP="00A5219F">
      <w:pPr>
        <w:spacing w:after="0" w:line="240" w:lineRule="auto"/>
        <w:jc w:val="both"/>
        <w:rPr>
          <w:rFonts w:ascii="Arial" w:eastAsia="Times New Roman" w:hAnsi="Arial" w:cs="Arial"/>
          <w:b/>
          <w:bCs/>
          <w:sz w:val="20"/>
          <w:szCs w:val="20"/>
          <w:lang w:val="es-ES_tradnl" w:eastAsia="es-ES_tradnl"/>
        </w:rPr>
      </w:pPr>
    </w:p>
    <w:p w14:paraId="38B48556"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 en el “Manual para determinar y verificar los requisitos habilitantes en los Procesos de Contratación” se determinaron los parámetros para establecer, acreditar y subsanar los requisitos habilitantes estudiados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006BF416"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w:t>
      </w:r>
    </w:p>
    <w:p w14:paraId="487F9A2D"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El principio de autonomía de la voluntad, reconocido en los artículos 13, 32 y 40 de la Ley 80 de 1993 para las entidades sometidas a esta, y en el artículo 1602 del Código Civil, para las exceptuadas de aquella, actúa entonces como el fundamento normativo que otorga a las Entidades Estatales la competencia para que puedan solicitar requisitos habilitantes adicionales o diferentes a los establecidos en el numeral 1°,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w:t>
      </w:r>
    </w:p>
    <w:p w14:paraId="624A944D" w14:textId="77777777" w:rsidR="00A5219F" w:rsidRPr="00F41BD6" w:rsidRDefault="00A5219F" w:rsidP="00A5219F">
      <w:pPr>
        <w:spacing w:after="0" w:line="240" w:lineRule="auto"/>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w:t>
      </w:r>
    </w:p>
    <w:p w14:paraId="62283F1D" w14:textId="77777777" w:rsidR="00A5219F" w:rsidRPr="00F41BD6" w:rsidRDefault="00A5219F" w:rsidP="00A5219F">
      <w:pPr>
        <w:spacing w:after="0"/>
        <w:jc w:val="both"/>
        <w:rPr>
          <w:rFonts w:ascii="Arial" w:eastAsia="Times New Roman" w:hAnsi="Arial" w:cs="Arial"/>
          <w:sz w:val="20"/>
          <w:szCs w:val="20"/>
          <w:lang w:val="es-ES_tradnl" w:eastAsia="es-ES_tradnl"/>
        </w:rPr>
      </w:pPr>
      <w:r w:rsidRPr="00F41BD6">
        <w:rPr>
          <w:rFonts w:ascii="Arial" w:eastAsia="Times New Roman" w:hAnsi="Arial" w:cs="Arial"/>
          <w:sz w:val="20"/>
          <w:szCs w:val="20"/>
          <w:lang w:val="es-ES_tradnl" w:eastAsia="es-ES_tradnl"/>
        </w:rPr>
        <w:t>[…]</w:t>
      </w:r>
      <w:r>
        <w:rPr>
          <w:rFonts w:ascii="Arial" w:eastAsia="Times New Roman" w:hAnsi="Arial" w:cs="Arial"/>
          <w:sz w:val="20"/>
          <w:szCs w:val="20"/>
          <w:lang w:val="es-ES_tradnl" w:eastAsia="es-ES_tradnl"/>
        </w:rPr>
        <w:t xml:space="preserve"> </w:t>
      </w:r>
      <w:r w:rsidRPr="00F41BD6">
        <w:rPr>
          <w:rFonts w:ascii="Arial" w:eastAsia="Times New Roman" w:hAnsi="Arial" w:cs="Arial"/>
          <w:sz w:val="20"/>
          <w:szCs w:val="20"/>
          <w:lang w:val="es-ES_tradnl" w:eastAsia="es-ES_tradnl"/>
        </w:rPr>
        <w:t xml:space="preserve">aunque la Ley 1150 de 2007 estableció unos requisitos habilitantes para los proponentes, esto es i) la capacidad jurídica, </w:t>
      </w:r>
      <w:proofErr w:type="spellStart"/>
      <w:r w:rsidRPr="00F41BD6">
        <w:rPr>
          <w:rFonts w:ascii="Arial" w:eastAsia="Times New Roman" w:hAnsi="Arial" w:cs="Arial"/>
          <w:sz w:val="20"/>
          <w:szCs w:val="20"/>
          <w:lang w:val="es-ES_tradnl" w:eastAsia="es-ES_tradnl"/>
        </w:rPr>
        <w:t>ii</w:t>
      </w:r>
      <w:proofErr w:type="spellEnd"/>
      <w:r w:rsidRPr="00F41BD6">
        <w:rPr>
          <w:rFonts w:ascii="Arial" w:eastAsia="Times New Roman" w:hAnsi="Arial" w:cs="Arial"/>
          <w:sz w:val="20"/>
          <w:szCs w:val="20"/>
          <w:lang w:val="es-ES_tradnl" w:eastAsia="es-ES_tradnl"/>
        </w:rPr>
        <w:t xml:space="preserve">) las condiciones de experiencia, </w:t>
      </w:r>
      <w:proofErr w:type="spellStart"/>
      <w:r w:rsidRPr="00F41BD6">
        <w:rPr>
          <w:rFonts w:ascii="Arial" w:eastAsia="Times New Roman" w:hAnsi="Arial" w:cs="Arial"/>
          <w:sz w:val="20"/>
          <w:szCs w:val="20"/>
          <w:lang w:val="es-ES_tradnl" w:eastAsia="es-ES_tradnl"/>
        </w:rPr>
        <w:t>iii</w:t>
      </w:r>
      <w:proofErr w:type="spellEnd"/>
      <w:r w:rsidRPr="00F41BD6">
        <w:rPr>
          <w:rFonts w:ascii="Arial" w:eastAsia="Times New Roman" w:hAnsi="Arial" w:cs="Arial"/>
          <w:sz w:val="20"/>
          <w:szCs w:val="20"/>
          <w:lang w:val="es-ES_tradnl" w:eastAsia="es-ES_tradnl"/>
        </w:rPr>
        <w:t xml:space="preserve">) la capacidad financiera y </w:t>
      </w:r>
      <w:proofErr w:type="spellStart"/>
      <w:r w:rsidRPr="00F41BD6">
        <w:rPr>
          <w:rFonts w:ascii="Arial" w:eastAsia="Times New Roman" w:hAnsi="Arial" w:cs="Arial"/>
          <w:sz w:val="20"/>
          <w:szCs w:val="20"/>
          <w:lang w:val="es-ES_tradnl" w:eastAsia="es-ES_tradnl"/>
        </w:rPr>
        <w:t>iv</w:t>
      </w:r>
      <w:proofErr w:type="spellEnd"/>
      <w:r w:rsidRPr="00F41BD6">
        <w:rPr>
          <w:rFonts w:ascii="Arial" w:eastAsia="Times New Roman" w:hAnsi="Arial" w:cs="Arial"/>
          <w:sz w:val="20"/>
          <w:szCs w:val="20"/>
          <w:lang w:val="es-ES_tradnl" w:eastAsia="es-ES_tradnl"/>
        </w:rPr>
        <w:t xml:space="preserve">) la capacidad de organización, lo cierto es que los mismos no son taxativos; que los requisitos habilitantes deben ser establecidos por la entidad en cada proceso contractual de acuerdo con los parámetros fijados en el Decreto 1082 de 2015; y que una vez establecidos los requisitos habilitantes, quienes presenten ofertas </w:t>
      </w:r>
      <w:r w:rsidRPr="00F41BD6">
        <w:rPr>
          <w:rFonts w:ascii="Arial" w:eastAsia="Times New Roman" w:hAnsi="Arial" w:cs="Arial"/>
          <w:sz w:val="20"/>
          <w:szCs w:val="20"/>
          <w:lang w:val="es-ES_tradnl" w:eastAsia="es-ES_tradnl"/>
        </w:rPr>
        <w:lastRenderedPageBreak/>
        <w:t>deben acreditar que cumplen con ellos, so pena de que sus propuestas sean rechazadas. Esto sin perjuicio de la posibilidad de subsanarlas, cuando a ello haya lugar.</w:t>
      </w:r>
    </w:p>
    <w:p w14:paraId="3D0A2004" w14:textId="77777777" w:rsidR="00A5219F" w:rsidRPr="00F41BD6" w:rsidRDefault="00A5219F" w:rsidP="00A5219F">
      <w:pPr>
        <w:spacing w:after="0"/>
        <w:jc w:val="both"/>
        <w:rPr>
          <w:rFonts w:ascii="Arial" w:hAnsi="Arial" w:cs="Arial"/>
        </w:rPr>
      </w:pPr>
    </w:p>
    <w:p w14:paraId="487B032F" w14:textId="77777777" w:rsidR="00A5219F" w:rsidRDefault="00A5219F" w:rsidP="00A5219F">
      <w:pPr>
        <w:spacing w:after="0"/>
        <w:jc w:val="both"/>
        <w:rPr>
          <w:rFonts w:ascii="Arial" w:hAnsi="Arial" w:cs="Arial"/>
          <w:b/>
          <w:bCs/>
          <w:sz w:val="20"/>
          <w:szCs w:val="20"/>
        </w:rPr>
      </w:pPr>
      <w:r>
        <w:rPr>
          <w:rFonts w:ascii="Arial" w:hAnsi="Arial" w:cs="Arial"/>
          <w:b/>
          <w:bCs/>
          <w:sz w:val="20"/>
          <w:szCs w:val="20"/>
        </w:rPr>
        <w:t>REQUISITO HABILITANTE DE EXPERIENCIA – Exigencia con ítems representativos – Documentos tipo</w:t>
      </w:r>
    </w:p>
    <w:p w14:paraId="3235F1B9" w14:textId="77777777" w:rsidR="00A5219F" w:rsidRPr="00F41BD6" w:rsidRDefault="00A5219F" w:rsidP="00A5219F">
      <w:pPr>
        <w:spacing w:after="0"/>
        <w:jc w:val="both"/>
        <w:rPr>
          <w:rFonts w:ascii="Arial" w:hAnsi="Arial" w:cs="Arial"/>
          <w:sz w:val="20"/>
          <w:szCs w:val="20"/>
        </w:rPr>
      </w:pPr>
    </w:p>
    <w:p w14:paraId="5A872344" w14:textId="77777777" w:rsidR="00A5219F" w:rsidRPr="000B0F56" w:rsidRDefault="00A5219F" w:rsidP="00A5219F">
      <w:pPr>
        <w:spacing w:after="0"/>
        <w:jc w:val="both"/>
        <w:rPr>
          <w:rFonts w:ascii="Arial" w:eastAsia="Calibri" w:hAnsi="Arial" w:cs="Arial"/>
          <w:sz w:val="20"/>
          <w:szCs w:val="20"/>
        </w:rPr>
      </w:pPr>
      <w:r w:rsidRPr="00F41BD6">
        <w:rPr>
          <w:rFonts w:ascii="Arial" w:hAnsi="Arial" w:cs="Arial"/>
          <w:sz w:val="20"/>
          <w:szCs w:val="20"/>
        </w:rPr>
        <w:t xml:space="preserve">[…] </w:t>
      </w:r>
      <w:r w:rsidRPr="000B0F56">
        <w:rPr>
          <w:rFonts w:ascii="Arial" w:hAnsi="Arial" w:cs="Arial"/>
          <w:sz w:val="20"/>
          <w:szCs w:val="20"/>
        </w:rPr>
        <w:t xml:space="preserve">el Estatuto General de Contratación de la Administración Pública no existe una regulación expresa de la posibilidad de exigir experiencia en “ítems representativos”. Dicha expresión tampoco tiene un alcance en particular dentro de la normativa, sin embargo, interpretando la misma de acuerdo con el artículo 28 del Código Civil, a partir del significado de las palabras que la conforman, y en atención al contexto en el que es utilizada, es posible entender que la misma alude a alguna de las actividades, bienes u obras en las que se desagrega un objeto contractual y que en atención a su importancia para el contrato mismo son considerados representativos. Tal representatividad bien podría estar determinada por el valor o la complejidad técnica que revisten el correspondiente el correspondiente ítem, o el criterio que se determine en el contexto del respectivo proceso de selección.   </w:t>
      </w:r>
    </w:p>
    <w:p w14:paraId="0D60D879" w14:textId="77777777" w:rsidR="00A5219F" w:rsidRPr="000B0F56" w:rsidRDefault="00A5219F" w:rsidP="00A5219F">
      <w:pPr>
        <w:spacing w:after="0" w:line="240" w:lineRule="auto"/>
        <w:contextualSpacing/>
        <w:jc w:val="both"/>
        <w:rPr>
          <w:rFonts w:ascii="Arial" w:eastAsia="Calibri" w:hAnsi="Arial" w:cs="Arial"/>
          <w:sz w:val="20"/>
          <w:szCs w:val="20"/>
        </w:rPr>
      </w:pPr>
      <w:r w:rsidRPr="000B0F56">
        <w:rPr>
          <w:rFonts w:ascii="Arial" w:eastAsia="Calibri" w:hAnsi="Arial" w:cs="Arial"/>
          <w:sz w:val="20"/>
          <w:szCs w:val="20"/>
        </w:rPr>
        <w:t>[…]</w:t>
      </w:r>
    </w:p>
    <w:p w14:paraId="575D5B98" w14:textId="77777777" w:rsidR="00A5219F" w:rsidRDefault="00A5219F" w:rsidP="00A5219F">
      <w:pPr>
        <w:spacing w:after="0" w:line="240" w:lineRule="auto"/>
        <w:contextualSpacing/>
        <w:jc w:val="both"/>
        <w:rPr>
          <w:rFonts w:ascii="Arial" w:eastAsia="Calibri" w:hAnsi="Arial" w:cs="Arial"/>
          <w:sz w:val="20"/>
          <w:szCs w:val="20"/>
        </w:rPr>
      </w:pPr>
      <w:r w:rsidRPr="000B0F56">
        <w:rPr>
          <w:rFonts w:ascii="Arial" w:eastAsia="Calibri" w:hAnsi="Arial" w:cs="Arial"/>
          <w:sz w:val="20"/>
          <w:szCs w:val="20"/>
        </w:rPr>
        <w:t xml:space="preserve">[…] en ninguno de los documentos tipo expedidos por esta Agencia se ha establecido la posibilidad de exigir experiencia en “ítems representativos”, toda vez que en el marco de tales documentos se ha optado por estandarizar de manera general unos requisitos de experiencia general y especifica contenidos en la Matriz 1- Experiencia, los cuales se tornan inalterables para las entidades estatales. </w:t>
      </w:r>
      <w:r>
        <w:rPr>
          <w:rFonts w:ascii="Arial" w:eastAsia="Calibri" w:hAnsi="Arial" w:cs="Arial"/>
          <w:sz w:val="20"/>
          <w:szCs w:val="20"/>
        </w:rPr>
        <w:t>[…].</w:t>
      </w:r>
    </w:p>
    <w:p w14:paraId="338FB48E" w14:textId="77777777" w:rsidR="00A5219F" w:rsidRDefault="00A5219F" w:rsidP="00A5219F">
      <w:pPr>
        <w:spacing w:after="0" w:line="240" w:lineRule="auto"/>
        <w:contextualSpacing/>
        <w:jc w:val="both"/>
        <w:rPr>
          <w:rFonts w:ascii="Arial" w:eastAsia="Calibri" w:hAnsi="Arial" w:cs="Arial"/>
          <w:sz w:val="20"/>
          <w:szCs w:val="20"/>
        </w:rPr>
      </w:pPr>
    </w:p>
    <w:p w14:paraId="2B0E795D" w14:textId="77777777" w:rsidR="00A5219F" w:rsidRPr="000B0F56" w:rsidRDefault="00A5219F" w:rsidP="00A5219F">
      <w:pPr>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 </w:t>
      </w:r>
      <w:r w:rsidRPr="000B0F56">
        <w:rPr>
          <w:rFonts w:ascii="Arial" w:eastAsia="Calibri" w:hAnsi="Arial" w:cs="Arial"/>
          <w:sz w:val="20"/>
          <w:szCs w:val="20"/>
        </w:rPr>
        <w:t xml:space="preserve">el hecho de que no se encuentre regulada la posibilidad de exigir experiencia en “ítems representativos” en los procesos regidos por documentos tipo no quiere decir que en los procesos en los que no resulten aplicables tales instrumentos no pueda contemplarse dicha posibilidad, siempre que se encuentre justificada y no contravenga las normas que rigen la selección objetiva. Esto considerando que tal supuesto no se encuentra restringido por la norma y comoquiera que está mediado por la discrecionalidad de las entidades estatales para establecer los requisitos habilitantes que resulten más adecuados y proporcionales para determinar la idoneidad de los oferentes respecto del objeto a contratar, en el marco de la modalidad de selección aplicable. De cualquier modo, es necesario precisar que lo que constituye un “ítem representativo” debe determinarse en el contexto de cada proceso de selección en particular, de acuerdo a la planeación y estructuración de los Documentos del Proceso.  </w:t>
      </w:r>
    </w:p>
    <w:p w14:paraId="6552AD17" w14:textId="77777777" w:rsidR="00A5219F" w:rsidRPr="00F41BD6" w:rsidRDefault="00A5219F" w:rsidP="00A5219F">
      <w:pPr>
        <w:spacing w:after="0" w:line="240" w:lineRule="auto"/>
        <w:contextualSpacing/>
        <w:jc w:val="both"/>
        <w:rPr>
          <w:rFonts w:ascii="Arial" w:eastAsia="Calibri" w:hAnsi="Arial" w:cs="Arial"/>
        </w:rPr>
      </w:pPr>
    </w:p>
    <w:p w14:paraId="2FC7300F" w14:textId="77777777" w:rsidR="00A5219F" w:rsidRPr="00F41BD6" w:rsidRDefault="00A5219F" w:rsidP="00A5219F">
      <w:pPr>
        <w:spacing w:after="0" w:line="240" w:lineRule="auto"/>
        <w:contextualSpacing/>
        <w:jc w:val="both"/>
        <w:rPr>
          <w:rFonts w:ascii="Arial" w:eastAsia="Calibri" w:hAnsi="Arial" w:cs="Arial"/>
        </w:rPr>
      </w:pPr>
    </w:p>
    <w:p w14:paraId="4EB95371" w14:textId="77777777" w:rsidR="00F41BD6" w:rsidRDefault="00F41BD6" w:rsidP="00F41BD6">
      <w:pPr>
        <w:spacing w:after="0" w:line="240" w:lineRule="auto"/>
        <w:contextualSpacing/>
        <w:jc w:val="both"/>
        <w:rPr>
          <w:rFonts w:ascii="Arial" w:eastAsia="Calibri" w:hAnsi="Arial" w:cs="Arial"/>
        </w:rPr>
      </w:pPr>
    </w:p>
    <w:p w14:paraId="5A995979" w14:textId="77777777" w:rsidR="00A5219F" w:rsidRDefault="00A5219F" w:rsidP="00F41BD6">
      <w:pPr>
        <w:spacing w:after="0" w:line="240" w:lineRule="auto"/>
        <w:contextualSpacing/>
        <w:jc w:val="both"/>
        <w:rPr>
          <w:rFonts w:ascii="Arial" w:eastAsia="Calibri" w:hAnsi="Arial" w:cs="Arial"/>
        </w:rPr>
      </w:pPr>
    </w:p>
    <w:p w14:paraId="4FE706FA" w14:textId="77777777" w:rsidR="00A5219F" w:rsidRDefault="00A5219F" w:rsidP="00F41BD6">
      <w:pPr>
        <w:spacing w:after="0" w:line="240" w:lineRule="auto"/>
        <w:contextualSpacing/>
        <w:jc w:val="both"/>
        <w:rPr>
          <w:rFonts w:ascii="Arial" w:eastAsia="Calibri" w:hAnsi="Arial" w:cs="Arial"/>
        </w:rPr>
      </w:pPr>
    </w:p>
    <w:p w14:paraId="3C2733A9" w14:textId="77777777" w:rsidR="00A5219F" w:rsidRDefault="00A5219F" w:rsidP="00F41BD6">
      <w:pPr>
        <w:spacing w:after="0" w:line="240" w:lineRule="auto"/>
        <w:contextualSpacing/>
        <w:jc w:val="both"/>
        <w:rPr>
          <w:rFonts w:ascii="Arial" w:eastAsia="Calibri" w:hAnsi="Arial" w:cs="Arial"/>
        </w:rPr>
      </w:pPr>
    </w:p>
    <w:p w14:paraId="58755179" w14:textId="77777777" w:rsidR="00A5219F" w:rsidRDefault="00A5219F" w:rsidP="00F41BD6">
      <w:pPr>
        <w:spacing w:after="0" w:line="240" w:lineRule="auto"/>
        <w:contextualSpacing/>
        <w:jc w:val="both"/>
        <w:rPr>
          <w:rFonts w:ascii="Arial" w:eastAsia="Calibri" w:hAnsi="Arial" w:cs="Arial"/>
        </w:rPr>
      </w:pPr>
    </w:p>
    <w:p w14:paraId="0E13F1BC" w14:textId="77777777" w:rsidR="00A5219F" w:rsidRDefault="00A5219F" w:rsidP="00F41BD6">
      <w:pPr>
        <w:spacing w:after="0" w:line="240" w:lineRule="auto"/>
        <w:contextualSpacing/>
        <w:jc w:val="both"/>
        <w:rPr>
          <w:rFonts w:ascii="Arial" w:eastAsia="Calibri" w:hAnsi="Arial" w:cs="Arial"/>
        </w:rPr>
      </w:pPr>
    </w:p>
    <w:p w14:paraId="1F4B3E42" w14:textId="77777777" w:rsidR="00A5219F" w:rsidRDefault="00A5219F" w:rsidP="00F41BD6">
      <w:pPr>
        <w:spacing w:after="0" w:line="240" w:lineRule="auto"/>
        <w:contextualSpacing/>
        <w:jc w:val="both"/>
        <w:rPr>
          <w:rFonts w:ascii="Arial" w:eastAsia="Calibri" w:hAnsi="Arial" w:cs="Arial"/>
        </w:rPr>
      </w:pPr>
    </w:p>
    <w:p w14:paraId="3281C42B" w14:textId="77777777" w:rsidR="00A5219F" w:rsidRDefault="00A5219F" w:rsidP="00F41BD6">
      <w:pPr>
        <w:spacing w:after="0" w:line="240" w:lineRule="auto"/>
        <w:contextualSpacing/>
        <w:jc w:val="both"/>
        <w:rPr>
          <w:rFonts w:ascii="Arial" w:eastAsia="Calibri" w:hAnsi="Arial" w:cs="Arial"/>
        </w:rPr>
      </w:pPr>
    </w:p>
    <w:p w14:paraId="7F7DA7AD" w14:textId="77777777" w:rsidR="00A5219F" w:rsidRDefault="00A5219F" w:rsidP="00F41BD6">
      <w:pPr>
        <w:spacing w:after="0" w:line="240" w:lineRule="auto"/>
        <w:contextualSpacing/>
        <w:jc w:val="both"/>
        <w:rPr>
          <w:rFonts w:ascii="Arial" w:eastAsia="Calibri" w:hAnsi="Arial" w:cs="Arial"/>
        </w:rPr>
      </w:pPr>
    </w:p>
    <w:p w14:paraId="3306E27E" w14:textId="77777777" w:rsidR="00A5219F" w:rsidRDefault="00A5219F" w:rsidP="00F41BD6">
      <w:pPr>
        <w:spacing w:after="0" w:line="240" w:lineRule="auto"/>
        <w:contextualSpacing/>
        <w:jc w:val="both"/>
        <w:rPr>
          <w:rFonts w:ascii="Arial" w:eastAsia="Calibri" w:hAnsi="Arial" w:cs="Arial"/>
        </w:rPr>
      </w:pPr>
    </w:p>
    <w:p w14:paraId="6D41AA21" w14:textId="77777777" w:rsidR="00A5219F" w:rsidRDefault="00A5219F" w:rsidP="00F41BD6">
      <w:pPr>
        <w:spacing w:after="0" w:line="240" w:lineRule="auto"/>
        <w:contextualSpacing/>
        <w:jc w:val="both"/>
        <w:rPr>
          <w:rFonts w:ascii="Arial" w:eastAsia="Calibri" w:hAnsi="Arial" w:cs="Arial"/>
        </w:rPr>
      </w:pPr>
    </w:p>
    <w:p w14:paraId="31764611" w14:textId="77777777" w:rsidR="00A5219F" w:rsidRDefault="00A5219F" w:rsidP="00F41BD6">
      <w:pPr>
        <w:spacing w:after="0" w:line="240" w:lineRule="auto"/>
        <w:contextualSpacing/>
        <w:jc w:val="both"/>
        <w:rPr>
          <w:rFonts w:ascii="Arial" w:eastAsia="Calibri" w:hAnsi="Arial" w:cs="Arial"/>
        </w:rPr>
      </w:pPr>
    </w:p>
    <w:p w14:paraId="1857A605" w14:textId="77777777" w:rsidR="00A5219F" w:rsidRDefault="00A5219F" w:rsidP="00F41BD6">
      <w:pPr>
        <w:spacing w:after="0" w:line="240" w:lineRule="auto"/>
        <w:contextualSpacing/>
        <w:jc w:val="both"/>
        <w:rPr>
          <w:rFonts w:ascii="Arial" w:eastAsia="Calibri" w:hAnsi="Arial" w:cs="Arial"/>
        </w:rPr>
      </w:pPr>
    </w:p>
    <w:p w14:paraId="1A6F0BCB" w14:textId="77777777" w:rsidR="00A5219F" w:rsidRPr="00F41BD6" w:rsidRDefault="00A5219F" w:rsidP="00F41BD6">
      <w:pPr>
        <w:spacing w:after="0" w:line="240" w:lineRule="auto"/>
        <w:contextualSpacing/>
        <w:jc w:val="both"/>
        <w:rPr>
          <w:rFonts w:ascii="Arial" w:eastAsia="Calibri" w:hAnsi="Arial" w:cs="Arial"/>
        </w:rPr>
      </w:pPr>
    </w:p>
    <w:p w14:paraId="36C3065F" w14:textId="77777777" w:rsidR="00F41BD6" w:rsidRPr="00F41BD6" w:rsidRDefault="00F41BD6" w:rsidP="00F41BD6">
      <w:pPr>
        <w:rPr>
          <w:rFonts w:ascii="Arial" w:eastAsia="Geomanist Light" w:hAnsi="Arial" w:cs="Arial"/>
          <w:color w:val="201F1E"/>
          <w:lang w:val="es-MX"/>
        </w:rPr>
      </w:pPr>
      <w:r w:rsidRPr="00F41BD6">
        <w:rPr>
          <w:rFonts w:ascii="Arial" w:eastAsia="Geomanist Light" w:hAnsi="Arial" w:cs="Arial"/>
          <w:color w:val="000000" w:themeColor="text1"/>
          <w:lang w:val="es-MX"/>
        </w:rPr>
        <w:lastRenderedPageBreak/>
        <w:t>Bogotá D.C., </w:t>
      </w:r>
      <w:r w:rsidRPr="00F41BD6">
        <w:rPr>
          <w:rFonts w:ascii="Arial" w:eastAsia="Geomanist Light" w:hAnsi="Arial" w:cs="Arial"/>
          <w:color w:val="201F1E"/>
          <w:lang w:val="es-MX"/>
        </w:rPr>
        <w:t>[Día] de [</w:t>
      </w:r>
      <w:proofErr w:type="spellStart"/>
      <w:r w:rsidRPr="00F41BD6">
        <w:rPr>
          <w:rFonts w:ascii="Arial" w:eastAsia="Geomanist Light" w:hAnsi="Arial" w:cs="Arial"/>
          <w:color w:val="201F1E"/>
          <w:lang w:val="es-MX"/>
        </w:rPr>
        <w:t>Mes.NombreCapitalizado</w:t>
      </w:r>
      <w:proofErr w:type="spellEnd"/>
      <w:r w:rsidRPr="00F41BD6">
        <w:rPr>
          <w:rFonts w:ascii="Arial" w:eastAsia="Geomanist Light" w:hAnsi="Arial" w:cs="Arial"/>
          <w:color w:val="201F1E"/>
          <w:lang w:val="es-MX"/>
        </w:rPr>
        <w:t>] de [Año]</w:t>
      </w:r>
    </w:p>
    <w:p w14:paraId="72D828B3" w14:textId="77777777" w:rsidR="00F41BD6" w:rsidRDefault="00F41BD6" w:rsidP="00F41BD6">
      <w:pPr>
        <w:spacing w:after="0" w:line="240" w:lineRule="auto"/>
        <w:contextualSpacing/>
        <w:jc w:val="both"/>
        <w:rPr>
          <w:rFonts w:ascii="Arial" w:eastAsia="Calibri" w:hAnsi="Arial" w:cs="Arial"/>
        </w:rPr>
      </w:pPr>
    </w:p>
    <w:p w14:paraId="7E5AE6B5" w14:textId="77777777" w:rsidR="00476FBB" w:rsidRDefault="00476FBB" w:rsidP="00F41BD6">
      <w:pPr>
        <w:spacing w:after="0" w:line="240" w:lineRule="auto"/>
        <w:contextualSpacing/>
        <w:jc w:val="both"/>
        <w:rPr>
          <w:rFonts w:ascii="Arial" w:eastAsia="Calibri" w:hAnsi="Arial" w:cs="Arial"/>
        </w:rPr>
      </w:pPr>
    </w:p>
    <w:p w14:paraId="285B728A" w14:textId="73DF63E5" w:rsidR="00476FBB" w:rsidRDefault="00476FBB" w:rsidP="00476FBB">
      <w:pPr>
        <w:spacing w:after="0" w:line="240" w:lineRule="auto"/>
        <w:contextualSpacing/>
        <w:jc w:val="right"/>
        <w:rPr>
          <w:rFonts w:ascii="Arial" w:eastAsia="Calibri" w:hAnsi="Arial" w:cs="Arial"/>
        </w:rPr>
      </w:pPr>
      <w:r>
        <w:rPr>
          <w:noProof/>
        </w:rPr>
        <w:drawing>
          <wp:inline distT="0" distB="0" distL="0" distR="0" wp14:anchorId="5C085069" wp14:editId="21DAC210">
            <wp:extent cx="2466975" cy="619125"/>
            <wp:effectExtent l="0" t="0" r="9525" b="9525"/>
            <wp:docPr id="12200438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43853" name="Imagen 1" descr="Texto&#10;&#10;Descripción generada automáticamente"/>
                    <pic:cNvPicPr/>
                  </pic:nvPicPr>
                  <pic:blipFill>
                    <a:blip r:embed="rId11"/>
                    <a:stretch>
                      <a:fillRect/>
                    </a:stretch>
                  </pic:blipFill>
                  <pic:spPr>
                    <a:xfrm>
                      <a:off x="0" y="0"/>
                      <a:ext cx="2466975" cy="619125"/>
                    </a:xfrm>
                    <a:prstGeom prst="rect">
                      <a:avLst/>
                    </a:prstGeom>
                  </pic:spPr>
                </pic:pic>
              </a:graphicData>
            </a:graphic>
          </wp:inline>
        </w:drawing>
      </w:r>
    </w:p>
    <w:p w14:paraId="312731B7" w14:textId="77777777" w:rsidR="00476FBB" w:rsidRDefault="00476FBB" w:rsidP="00F41BD6">
      <w:pPr>
        <w:spacing w:after="0" w:line="240" w:lineRule="auto"/>
        <w:contextualSpacing/>
        <w:jc w:val="both"/>
        <w:rPr>
          <w:rFonts w:ascii="Arial" w:eastAsia="Calibri" w:hAnsi="Arial" w:cs="Arial"/>
        </w:rPr>
      </w:pPr>
    </w:p>
    <w:p w14:paraId="09DA3969" w14:textId="77777777" w:rsidR="00476FBB" w:rsidRPr="00F41BD6" w:rsidRDefault="00476FBB" w:rsidP="00F41BD6">
      <w:pPr>
        <w:spacing w:after="0" w:line="240" w:lineRule="auto"/>
        <w:contextualSpacing/>
        <w:jc w:val="both"/>
        <w:rPr>
          <w:rFonts w:ascii="Arial" w:eastAsia="Calibri" w:hAnsi="Arial" w:cs="Arial"/>
        </w:rPr>
      </w:pPr>
    </w:p>
    <w:p w14:paraId="79C007F4" w14:textId="77777777" w:rsidR="00F41BD6" w:rsidRPr="00785C24" w:rsidRDefault="00F41BD6" w:rsidP="00F41BD6">
      <w:pPr>
        <w:spacing w:after="0" w:line="276" w:lineRule="auto"/>
        <w:contextualSpacing/>
        <w:jc w:val="both"/>
        <w:rPr>
          <w:rFonts w:ascii="Arial" w:eastAsia="Calibri" w:hAnsi="Arial" w:cs="Arial"/>
        </w:rPr>
      </w:pPr>
      <w:r w:rsidRPr="00785C24">
        <w:rPr>
          <w:rFonts w:ascii="Arial" w:eastAsia="Calibri" w:hAnsi="Arial" w:cs="Arial"/>
        </w:rPr>
        <w:t>Señor</w:t>
      </w:r>
    </w:p>
    <w:p w14:paraId="56FE2668" w14:textId="77777777" w:rsidR="00F41BD6" w:rsidRPr="00785C24" w:rsidRDefault="00F41BD6" w:rsidP="00F41BD6">
      <w:pPr>
        <w:spacing w:after="0" w:line="276" w:lineRule="auto"/>
        <w:contextualSpacing/>
        <w:jc w:val="both"/>
        <w:rPr>
          <w:rFonts w:ascii="Arial" w:eastAsia="Calibri" w:hAnsi="Arial" w:cs="Arial"/>
          <w:b/>
          <w:bCs/>
        </w:rPr>
      </w:pPr>
      <w:r w:rsidRPr="00785C24">
        <w:rPr>
          <w:rFonts w:ascii="Arial" w:eastAsia="Calibri" w:hAnsi="Arial" w:cs="Arial"/>
          <w:b/>
          <w:bCs/>
        </w:rPr>
        <w:t>Julio Alberto Rojas</w:t>
      </w:r>
    </w:p>
    <w:p w14:paraId="78D7340C" w14:textId="02E3B50B" w:rsidR="00F41BD6" w:rsidRPr="00785C24" w:rsidRDefault="00F41BD6" w:rsidP="00F41BD6">
      <w:pPr>
        <w:spacing w:after="0" w:line="276" w:lineRule="auto"/>
        <w:contextualSpacing/>
        <w:jc w:val="both"/>
        <w:rPr>
          <w:rFonts w:ascii="Arial" w:eastAsia="Calibri" w:hAnsi="Arial" w:cs="Arial"/>
        </w:rPr>
      </w:pPr>
      <w:r w:rsidRPr="00785C24">
        <w:rPr>
          <w:rFonts w:ascii="Arial" w:eastAsia="Calibri" w:hAnsi="Arial" w:cs="Arial"/>
        </w:rPr>
        <w:t xml:space="preserve">San José </w:t>
      </w:r>
      <w:r w:rsidR="00651AE3" w:rsidRPr="00785C24">
        <w:rPr>
          <w:rFonts w:ascii="Arial" w:eastAsia="Calibri" w:hAnsi="Arial" w:cs="Arial"/>
        </w:rPr>
        <w:t>d</w:t>
      </w:r>
      <w:r w:rsidRPr="00785C24">
        <w:rPr>
          <w:rFonts w:ascii="Arial" w:eastAsia="Calibri" w:hAnsi="Arial" w:cs="Arial"/>
        </w:rPr>
        <w:t xml:space="preserve">el Guaviare, </w:t>
      </w:r>
      <w:r w:rsidR="00651AE3" w:rsidRPr="00785C24">
        <w:rPr>
          <w:rFonts w:ascii="Arial" w:eastAsia="Calibri" w:hAnsi="Arial" w:cs="Arial"/>
        </w:rPr>
        <w:t>Guaviare</w:t>
      </w:r>
    </w:p>
    <w:p w14:paraId="72F4B38E" w14:textId="77777777" w:rsidR="00F41BD6" w:rsidRPr="00F41BD6" w:rsidRDefault="00F41BD6" w:rsidP="00F41BD6">
      <w:pPr>
        <w:spacing w:after="0" w:line="240" w:lineRule="auto"/>
        <w:contextualSpacing/>
        <w:jc w:val="both"/>
        <w:rPr>
          <w:rFonts w:ascii="Arial" w:eastAsia="Calibri" w:hAnsi="Arial" w:cs="Arial"/>
        </w:rPr>
      </w:pPr>
    </w:p>
    <w:p w14:paraId="309950E3" w14:textId="77777777" w:rsidR="00F41BD6" w:rsidRPr="00F41BD6" w:rsidRDefault="00F41BD6" w:rsidP="00F41BD6">
      <w:pPr>
        <w:spacing w:after="0" w:line="240" w:lineRule="auto"/>
        <w:contextualSpacing/>
        <w:jc w:val="both"/>
        <w:rPr>
          <w:rFonts w:ascii="Arial" w:eastAsia="Calibri" w:hAnsi="Arial" w:cs="Arial"/>
        </w:rPr>
      </w:pPr>
    </w:p>
    <w:p w14:paraId="04C0E983" w14:textId="77777777" w:rsidR="00F41BD6" w:rsidRPr="00F41BD6" w:rsidRDefault="00F41BD6" w:rsidP="00F41BD6">
      <w:pPr>
        <w:spacing w:after="0" w:line="240" w:lineRule="auto"/>
        <w:contextualSpacing/>
        <w:jc w:val="both"/>
        <w:rPr>
          <w:rFonts w:ascii="Arial" w:eastAsia="Calibri" w:hAnsi="Arial" w:cs="Arial"/>
        </w:rPr>
      </w:pPr>
      <w:r w:rsidRPr="00F41BD6">
        <w:rPr>
          <w:rFonts w:ascii="Arial" w:eastAsia="Calibri" w:hAnsi="Arial" w:cs="Arial"/>
        </w:rPr>
        <w:t xml:space="preserve">                                            </w:t>
      </w:r>
      <w:r w:rsidRPr="00F41BD6">
        <w:rPr>
          <w:rFonts w:ascii="Arial" w:eastAsia="Calibri" w:hAnsi="Arial" w:cs="Arial"/>
          <w:b/>
        </w:rPr>
        <w:t>Concepto C–167 de 2023</w:t>
      </w:r>
    </w:p>
    <w:p w14:paraId="77CB0048" w14:textId="77777777" w:rsidR="00F41BD6" w:rsidRPr="00F41BD6" w:rsidRDefault="00F41BD6" w:rsidP="00F41BD6">
      <w:pPr>
        <w:spacing w:after="0" w:line="240" w:lineRule="auto"/>
        <w:contextualSpacing/>
        <w:jc w:val="both"/>
        <w:rPr>
          <w:rFonts w:ascii="Arial" w:eastAsia="Calibri" w:hAnsi="Arial" w:cs="Arial"/>
          <w:b/>
        </w:rPr>
      </w:pPr>
    </w:p>
    <w:p w14:paraId="41D6C51D" w14:textId="77777777" w:rsidR="00F41BD6" w:rsidRPr="00F41BD6" w:rsidRDefault="00F41BD6" w:rsidP="00F41BD6">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41BD6" w:rsidRPr="00F41BD6" w14:paraId="2F036819" w14:textId="77777777" w:rsidTr="009D7DAE">
        <w:trPr>
          <w:trHeight w:val="485"/>
        </w:trPr>
        <w:tc>
          <w:tcPr>
            <w:tcW w:w="2689" w:type="dxa"/>
            <w:hideMark/>
          </w:tcPr>
          <w:p w14:paraId="6754C638" w14:textId="77777777" w:rsidR="00F41BD6" w:rsidRPr="00F41BD6" w:rsidRDefault="00F41BD6" w:rsidP="00F41BD6">
            <w:pPr>
              <w:rPr>
                <w:rFonts w:ascii="Arial" w:eastAsia="Calibri" w:hAnsi="Arial" w:cs="Arial"/>
                <w:noProof/>
                <w:lang w:val="es-ES_tradnl"/>
              </w:rPr>
            </w:pPr>
            <w:r w:rsidRPr="00F41BD6">
              <w:rPr>
                <w:rFonts w:ascii="Arial" w:eastAsia="Calibri" w:hAnsi="Arial" w:cs="Arial"/>
                <w:b/>
                <w:noProof/>
                <w:lang w:val="es-ES_tradnl"/>
              </w:rPr>
              <w:t>Temas:</w:t>
            </w:r>
            <w:r w:rsidRPr="00F41BD6">
              <w:rPr>
                <w:rFonts w:ascii="Arial" w:eastAsia="Calibri" w:hAnsi="Arial" w:cs="Arial"/>
                <w:noProof/>
                <w:lang w:val="es-ES_tradnl"/>
              </w:rPr>
              <w:t xml:space="preserve">        </w:t>
            </w:r>
          </w:p>
        </w:tc>
        <w:tc>
          <w:tcPr>
            <w:tcW w:w="6237" w:type="dxa"/>
            <w:hideMark/>
          </w:tcPr>
          <w:p w14:paraId="0EB38B19" w14:textId="790198DC" w:rsidR="00F41BD6" w:rsidRPr="00F41BD6" w:rsidRDefault="00F41BD6" w:rsidP="006B1D36">
            <w:pPr>
              <w:spacing w:line="276" w:lineRule="auto"/>
              <w:jc w:val="both"/>
              <w:rPr>
                <w:rFonts w:ascii="Arial" w:eastAsia="Calibri" w:hAnsi="Arial" w:cs="Arial"/>
                <w:b/>
                <w:bCs/>
                <w:lang w:val="es-MX"/>
              </w:rPr>
            </w:pPr>
            <w:r w:rsidRPr="00F41BD6">
              <w:rPr>
                <w:rFonts w:ascii="Arial" w:eastAsia="Times New Roman" w:hAnsi="Arial" w:cs="Arial"/>
                <w:lang w:val="es-ES_tradnl" w:eastAsia="es-ES_tradnl"/>
              </w:rPr>
              <w:t>REQUISITOS HABILITANTES –</w:t>
            </w:r>
            <w:r w:rsidRPr="00F41BD6">
              <w:t xml:space="preserve"> </w:t>
            </w:r>
            <w:r w:rsidRPr="00F41BD6">
              <w:rPr>
                <w:rFonts w:ascii="Arial" w:eastAsia="Times New Roman" w:hAnsi="Arial" w:cs="Arial"/>
                <w:lang w:val="es-ES_tradnl" w:eastAsia="es-ES_tradnl"/>
              </w:rPr>
              <w:t xml:space="preserve">Definición – Función – Identificación / REQUISITOS HABILTANTES </w:t>
            </w:r>
            <w:r w:rsidR="006B1D36">
              <w:rPr>
                <w:rFonts w:ascii="Arial" w:eastAsia="Times New Roman" w:hAnsi="Arial" w:cs="Arial"/>
                <w:lang w:val="es-ES_tradnl" w:eastAsia="es-ES_tradnl"/>
              </w:rPr>
              <w:t xml:space="preserve">– </w:t>
            </w:r>
            <w:r w:rsidRPr="00F41BD6">
              <w:rPr>
                <w:rFonts w:ascii="Arial" w:eastAsia="Times New Roman" w:hAnsi="Arial" w:cs="Arial"/>
                <w:lang w:val="es-ES_tradnl" w:eastAsia="es-ES_tradnl"/>
              </w:rPr>
              <w:t xml:space="preserve">Principio de autonomía de la voluntad – Facultad de las entidades para establecerlos / </w:t>
            </w:r>
            <w:r w:rsidR="006B1D36">
              <w:rPr>
                <w:rFonts w:ascii="Arial" w:eastAsia="Calibri" w:hAnsi="Arial" w:cs="Arial"/>
                <w:lang w:val="es-MX"/>
              </w:rPr>
              <w:t xml:space="preserve">REQUISITO HABILITANTE DE EXPERIENCIA </w:t>
            </w:r>
            <w:r w:rsidR="004D0386">
              <w:rPr>
                <w:rFonts w:ascii="Arial" w:eastAsia="Calibri" w:hAnsi="Arial" w:cs="Arial"/>
                <w:lang w:val="es-MX"/>
              </w:rPr>
              <w:t>–</w:t>
            </w:r>
            <w:r w:rsidR="006B1D36">
              <w:rPr>
                <w:rFonts w:ascii="Arial" w:eastAsia="Calibri" w:hAnsi="Arial" w:cs="Arial"/>
                <w:lang w:val="es-MX"/>
              </w:rPr>
              <w:t xml:space="preserve"> </w:t>
            </w:r>
            <w:r w:rsidR="004D0386">
              <w:rPr>
                <w:rFonts w:ascii="Arial" w:eastAsia="Calibri" w:hAnsi="Arial" w:cs="Arial"/>
                <w:lang w:val="es-MX"/>
              </w:rPr>
              <w:t>Exigencia con ítems representativos – Documentos tipo</w:t>
            </w:r>
          </w:p>
          <w:p w14:paraId="18EBF42F" w14:textId="77777777" w:rsidR="00F41BD6" w:rsidRPr="00F41BD6" w:rsidRDefault="00F41BD6" w:rsidP="00F41BD6">
            <w:pPr>
              <w:ind w:right="703"/>
              <w:jc w:val="both"/>
              <w:rPr>
                <w:rFonts w:ascii="Arial" w:eastAsia="Calibri" w:hAnsi="Arial" w:cs="Arial"/>
                <w:bCs/>
                <w:lang w:val="es-MX"/>
              </w:rPr>
            </w:pPr>
          </w:p>
        </w:tc>
      </w:tr>
      <w:tr w:rsidR="00F41BD6" w:rsidRPr="00F41BD6" w14:paraId="30827F5C" w14:textId="77777777" w:rsidTr="009D7DAE">
        <w:tc>
          <w:tcPr>
            <w:tcW w:w="2689" w:type="dxa"/>
          </w:tcPr>
          <w:p w14:paraId="30BD4353" w14:textId="77777777" w:rsidR="00F41BD6" w:rsidRPr="00F41BD6" w:rsidRDefault="00F41BD6" w:rsidP="00F41BD6">
            <w:pPr>
              <w:rPr>
                <w:rFonts w:ascii="Arial" w:eastAsia="Calibri" w:hAnsi="Arial" w:cs="Arial"/>
                <w:b/>
                <w:noProof/>
                <w:lang w:val="es-ES_tradnl"/>
              </w:rPr>
            </w:pPr>
            <w:r w:rsidRPr="00F41BD6">
              <w:rPr>
                <w:rFonts w:ascii="Arial" w:eastAsia="Calibri" w:hAnsi="Arial" w:cs="Arial"/>
                <w:b/>
                <w:noProof/>
                <w:lang w:val="es-ES_tradnl"/>
              </w:rPr>
              <w:t>Radicación:</w:t>
            </w:r>
            <w:r w:rsidRPr="00F41BD6">
              <w:rPr>
                <w:rFonts w:ascii="Arial" w:eastAsia="Calibri" w:hAnsi="Arial" w:cs="Arial"/>
                <w:noProof/>
                <w:lang w:val="es-ES_tradnl"/>
              </w:rPr>
              <w:t xml:space="preserve">                              </w:t>
            </w:r>
          </w:p>
        </w:tc>
        <w:tc>
          <w:tcPr>
            <w:tcW w:w="6237" w:type="dxa"/>
          </w:tcPr>
          <w:p w14:paraId="67CCA27D" w14:textId="77777777" w:rsidR="00F41BD6" w:rsidRPr="00F41BD6" w:rsidRDefault="00F41BD6" w:rsidP="00F41BD6">
            <w:pPr>
              <w:jc w:val="both"/>
              <w:rPr>
                <w:rFonts w:ascii="Arial" w:eastAsia="Calibri" w:hAnsi="Arial" w:cs="Arial"/>
                <w:noProof/>
                <w:lang w:val="es-ES_tradnl"/>
              </w:rPr>
            </w:pPr>
            <w:r w:rsidRPr="00F41BD6">
              <w:rPr>
                <w:rFonts w:ascii="Arial" w:eastAsia="Calibri" w:hAnsi="Arial" w:cs="Arial"/>
                <w:noProof/>
                <w:lang w:val="es-ES_tradnl"/>
              </w:rPr>
              <w:t>Respuesta a consulta P20230420003513</w:t>
            </w:r>
            <w:r w:rsidRPr="00F41BD6">
              <w:rPr>
                <w:rFonts w:ascii="Arial" w:eastAsia="Calibri" w:hAnsi="Arial" w:cs="Arial"/>
                <w:noProof/>
                <w:lang w:val="es-ES_tradnl"/>
              </w:rPr>
              <w:tab/>
            </w:r>
            <w:r w:rsidRPr="00F41BD6">
              <w:rPr>
                <w:rFonts w:ascii="Arial" w:eastAsia="Calibri" w:hAnsi="Arial" w:cs="Arial"/>
                <w:noProof/>
                <w:lang w:val="es-ES_tradnl"/>
              </w:rPr>
              <w:tab/>
            </w:r>
            <w:r w:rsidRPr="00F41BD6">
              <w:rPr>
                <w:rFonts w:ascii="Arial" w:eastAsia="Calibri" w:hAnsi="Arial" w:cs="Arial"/>
                <w:noProof/>
                <w:lang w:val="es-ES_tradnl"/>
              </w:rPr>
              <w:tab/>
            </w:r>
          </w:p>
        </w:tc>
      </w:tr>
    </w:tbl>
    <w:p w14:paraId="195CC01F" w14:textId="77777777" w:rsidR="00F41BD6" w:rsidRPr="00F41BD6" w:rsidRDefault="00F41BD6" w:rsidP="00F41BD6">
      <w:pPr>
        <w:spacing w:after="0" w:line="240" w:lineRule="auto"/>
        <w:contextualSpacing/>
        <w:jc w:val="both"/>
        <w:rPr>
          <w:rFonts w:ascii="Arial" w:eastAsia="Calibri" w:hAnsi="Arial" w:cs="Arial"/>
        </w:rPr>
      </w:pPr>
    </w:p>
    <w:p w14:paraId="1643149F" w14:textId="77777777" w:rsidR="00F41BD6" w:rsidRPr="00F41BD6" w:rsidRDefault="00F41BD6" w:rsidP="00F41BD6">
      <w:pPr>
        <w:spacing w:after="0" w:line="240" w:lineRule="auto"/>
        <w:contextualSpacing/>
        <w:jc w:val="both"/>
        <w:rPr>
          <w:rFonts w:ascii="Arial" w:eastAsia="Calibri" w:hAnsi="Arial" w:cs="Arial"/>
        </w:rPr>
      </w:pPr>
    </w:p>
    <w:p w14:paraId="267AC372" w14:textId="77777777" w:rsidR="00F41BD6" w:rsidRPr="00F41BD6" w:rsidRDefault="00F41BD6" w:rsidP="00F41BD6">
      <w:pPr>
        <w:spacing w:after="0" w:line="276" w:lineRule="auto"/>
        <w:contextualSpacing/>
        <w:jc w:val="both"/>
        <w:rPr>
          <w:rFonts w:ascii="Arial" w:eastAsia="Calibri" w:hAnsi="Arial" w:cs="Arial"/>
        </w:rPr>
      </w:pPr>
      <w:r w:rsidRPr="00F41BD6">
        <w:rPr>
          <w:rFonts w:ascii="Arial" w:eastAsia="Calibri" w:hAnsi="Arial" w:cs="Arial"/>
        </w:rPr>
        <w:t>Estimado señor Rojas:</w:t>
      </w:r>
    </w:p>
    <w:p w14:paraId="4EA8C248" w14:textId="77777777" w:rsidR="00F41BD6" w:rsidRPr="00F41BD6" w:rsidRDefault="00F41BD6" w:rsidP="00F41BD6">
      <w:pPr>
        <w:spacing w:after="0" w:line="276" w:lineRule="auto"/>
        <w:ind w:firstLine="709"/>
        <w:contextualSpacing/>
        <w:jc w:val="both"/>
        <w:rPr>
          <w:rFonts w:ascii="Arial" w:eastAsia="Calibri" w:hAnsi="Arial" w:cs="Arial"/>
        </w:rPr>
      </w:pPr>
    </w:p>
    <w:p w14:paraId="3B322424" w14:textId="77777777" w:rsidR="00F41BD6" w:rsidRPr="00F41BD6" w:rsidRDefault="00F41BD6" w:rsidP="00F41BD6">
      <w:pPr>
        <w:spacing w:after="0" w:line="276" w:lineRule="auto"/>
        <w:contextualSpacing/>
        <w:jc w:val="both"/>
        <w:rPr>
          <w:rFonts w:ascii="Arial" w:eastAsia="Calibri" w:hAnsi="Arial" w:cs="Arial"/>
        </w:rPr>
      </w:pPr>
      <w:r w:rsidRPr="00F41BD6">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20 de abril de 2023.</w:t>
      </w:r>
    </w:p>
    <w:p w14:paraId="0DA146B5" w14:textId="77777777" w:rsidR="00F41BD6" w:rsidRPr="00F41BD6" w:rsidRDefault="00F41BD6" w:rsidP="00F41BD6">
      <w:pPr>
        <w:spacing w:after="0" w:line="276" w:lineRule="auto"/>
        <w:contextualSpacing/>
        <w:jc w:val="both"/>
        <w:rPr>
          <w:rFonts w:ascii="Arial" w:eastAsia="Calibri" w:hAnsi="Arial" w:cs="Arial"/>
        </w:rPr>
      </w:pPr>
    </w:p>
    <w:p w14:paraId="7F22481F" w14:textId="77777777" w:rsidR="00F41BD6" w:rsidRPr="00F41BD6" w:rsidRDefault="00F41BD6" w:rsidP="00F41BD6">
      <w:pPr>
        <w:tabs>
          <w:tab w:val="left" w:pos="284"/>
        </w:tabs>
        <w:spacing w:after="0" w:line="276" w:lineRule="auto"/>
        <w:contextualSpacing/>
        <w:jc w:val="both"/>
        <w:rPr>
          <w:rFonts w:ascii="Arial" w:eastAsia="Calibri" w:hAnsi="Arial" w:cs="Arial"/>
          <w:b/>
        </w:rPr>
      </w:pPr>
      <w:r w:rsidRPr="00F41BD6">
        <w:rPr>
          <w:rFonts w:ascii="Arial" w:eastAsia="Calibri" w:hAnsi="Arial" w:cs="Arial"/>
          <w:b/>
        </w:rPr>
        <w:t xml:space="preserve">1. Problema planteado </w:t>
      </w:r>
    </w:p>
    <w:p w14:paraId="6135BA35" w14:textId="77777777" w:rsidR="00F41BD6" w:rsidRPr="00F41BD6" w:rsidRDefault="00F41BD6" w:rsidP="00F41BD6">
      <w:pPr>
        <w:tabs>
          <w:tab w:val="left" w:pos="284"/>
        </w:tabs>
        <w:spacing w:after="0" w:line="276" w:lineRule="auto"/>
        <w:ind w:firstLine="709"/>
        <w:contextualSpacing/>
        <w:jc w:val="both"/>
        <w:rPr>
          <w:rFonts w:ascii="Arial" w:eastAsia="Calibri" w:hAnsi="Arial" w:cs="Arial"/>
          <w:b/>
        </w:rPr>
      </w:pPr>
    </w:p>
    <w:p w14:paraId="3EC48698" w14:textId="177B1E66" w:rsidR="00F41BD6" w:rsidRPr="00B85F35" w:rsidRDefault="00F41BD6" w:rsidP="00B85F35">
      <w:pPr>
        <w:spacing w:after="0" w:line="276" w:lineRule="auto"/>
        <w:jc w:val="both"/>
        <w:rPr>
          <w:rFonts w:ascii="Arial" w:eastAsia="Calibri" w:hAnsi="Arial" w:cs="Arial"/>
          <w:lang w:val="es-MX"/>
        </w:rPr>
      </w:pPr>
      <w:bookmarkStart w:id="4" w:name="_Hlk58917991"/>
      <w:bookmarkStart w:id="5" w:name="_Hlk56103000"/>
      <w:r w:rsidRPr="00651AE3">
        <w:rPr>
          <w:rFonts w:ascii="Arial" w:eastAsia="Calibri" w:hAnsi="Arial" w:cs="Arial"/>
        </w:rPr>
        <w:t xml:space="preserve">Usted plantea la siguiente consulta: </w:t>
      </w:r>
      <w:bookmarkStart w:id="6" w:name="_Hlk116284008"/>
      <w:r w:rsidR="00651AE3" w:rsidRPr="00B966C0">
        <w:rPr>
          <w:rFonts w:ascii="Arial" w:eastAsia="Calibri" w:hAnsi="Arial" w:cs="Arial"/>
        </w:rPr>
        <w:t xml:space="preserve"> </w:t>
      </w:r>
      <w:r w:rsidRPr="00B85F35">
        <w:rPr>
          <w:rFonts w:ascii="Arial" w:eastAsia="Calibri" w:hAnsi="Arial" w:cs="Arial"/>
          <w:lang w:val="es-MX"/>
        </w:rPr>
        <w:t xml:space="preserve">“[…] la exigencia en la experiencia de los oferentes con ITEMS REPRESENTATIVOS QUE DEBE TENER LA CONTRATACIÓN, en </w:t>
      </w:r>
      <w:proofErr w:type="spellStart"/>
      <w:r w:rsidRPr="00B85F35">
        <w:rPr>
          <w:rFonts w:ascii="Arial" w:eastAsia="Calibri" w:hAnsi="Arial" w:cs="Arial"/>
          <w:lang w:val="es-MX"/>
        </w:rPr>
        <w:t>que</w:t>
      </w:r>
      <w:proofErr w:type="spellEnd"/>
      <w:r w:rsidRPr="00B85F35">
        <w:rPr>
          <w:rFonts w:ascii="Arial" w:eastAsia="Calibri" w:hAnsi="Arial" w:cs="Arial"/>
          <w:lang w:val="es-MX"/>
        </w:rPr>
        <w:t xml:space="preserve"> tipo de procesos contractuales es exigible, En pliegos tipo?, En contratos de suministro?, y que modalidad de </w:t>
      </w:r>
      <w:proofErr w:type="spellStart"/>
      <w:r w:rsidRPr="00B85F35">
        <w:rPr>
          <w:rFonts w:ascii="Arial" w:eastAsia="Calibri" w:hAnsi="Arial" w:cs="Arial"/>
          <w:lang w:val="es-MX"/>
        </w:rPr>
        <w:t>seleccion</w:t>
      </w:r>
      <w:proofErr w:type="spellEnd"/>
      <w:r w:rsidRPr="00B85F35">
        <w:rPr>
          <w:rFonts w:ascii="Arial" w:eastAsia="Calibri" w:hAnsi="Arial" w:cs="Arial"/>
          <w:lang w:val="es-MX"/>
        </w:rPr>
        <w:t xml:space="preserve"> deben aplicarse la exigencia de este requisito, licitaciones?, procesos de </w:t>
      </w:r>
      <w:proofErr w:type="spellStart"/>
      <w:r w:rsidRPr="00B85F35">
        <w:rPr>
          <w:rFonts w:ascii="Arial" w:eastAsia="Calibri" w:hAnsi="Arial" w:cs="Arial"/>
          <w:lang w:val="es-MX"/>
        </w:rPr>
        <w:t>seleccion</w:t>
      </w:r>
      <w:proofErr w:type="spellEnd"/>
      <w:r w:rsidRPr="00B85F35">
        <w:rPr>
          <w:rFonts w:ascii="Arial" w:eastAsia="Calibri" w:hAnsi="Arial" w:cs="Arial"/>
          <w:lang w:val="es-MX"/>
        </w:rPr>
        <w:t xml:space="preserve"> </w:t>
      </w:r>
      <w:proofErr w:type="spellStart"/>
      <w:r w:rsidRPr="00B85F35">
        <w:rPr>
          <w:rFonts w:ascii="Arial" w:eastAsia="Calibri" w:hAnsi="Arial" w:cs="Arial"/>
          <w:lang w:val="es-MX"/>
        </w:rPr>
        <w:t>abrevidad</w:t>
      </w:r>
      <w:proofErr w:type="spellEnd"/>
      <w:r w:rsidRPr="00B85F35">
        <w:rPr>
          <w:rFonts w:ascii="Arial" w:eastAsia="Calibri" w:hAnsi="Arial" w:cs="Arial"/>
          <w:lang w:val="es-MX"/>
        </w:rPr>
        <w:t>?” [sic]</w:t>
      </w:r>
    </w:p>
    <w:p w14:paraId="146C586D" w14:textId="77777777" w:rsidR="00F41BD6" w:rsidRPr="00B85F35" w:rsidRDefault="00F41BD6" w:rsidP="00F41BD6">
      <w:pPr>
        <w:spacing w:after="0" w:line="276" w:lineRule="auto"/>
        <w:ind w:left="709" w:right="709"/>
        <w:jc w:val="both"/>
        <w:rPr>
          <w:rFonts w:ascii="Arial" w:eastAsia="Calibri" w:hAnsi="Arial" w:cs="Arial"/>
          <w:sz w:val="20"/>
          <w:szCs w:val="20"/>
          <w:lang w:val="es-ES"/>
        </w:rPr>
      </w:pPr>
    </w:p>
    <w:bookmarkEnd w:id="4"/>
    <w:bookmarkEnd w:id="5"/>
    <w:bookmarkEnd w:id="6"/>
    <w:p w14:paraId="1B8913F5" w14:textId="77777777" w:rsidR="00F41BD6" w:rsidRPr="00F41BD6" w:rsidRDefault="00F41BD6" w:rsidP="00F41BD6">
      <w:pPr>
        <w:tabs>
          <w:tab w:val="left" w:pos="284"/>
        </w:tabs>
        <w:spacing w:after="0" w:line="276" w:lineRule="auto"/>
        <w:contextualSpacing/>
        <w:jc w:val="both"/>
        <w:rPr>
          <w:rFonts w:ascii="Arial" w:eastAsia="Calibri" w:hAnsi="Arial" w:cs="Arial"/>
          <w:b/>
        </w:rPr>
      </w:pPr>
      <w:r w:rsidRPr="00F41BD6">
        <w:rPr>
          <w:rFonts w:ascii="Arial" w:eastAsia="Calibri" w:hAnsi="Arial" w:cs="Arial"/>
          <w:b/>
        </w:rPr>
        <w:t>2. Consideraciones</w:t>
      </w:r>
    </w:p>
    <w:p w14:paraId="74CF66FB" w14:textId="77777777" w:rsidR="00F41BD6" w:rsidRPr="00F41BD6" w:rsidRDefault="00F41BD6" w:rsidP="00B85F35">
      <w:pPr>
        <w:tabs>
          <w:tab w:val="left" w:pos="284"/>
        </w:tabs>
        <w:spacing w:after="0" w:line="240" w:lineRule="auto"/>
        <w:contextualSpacing/>
        <w:jc w:val="both"/>
        <w:rPr>
          <w:rFonts w:ascii="Arial" w:eastAsia="Calibri" w:hAnsi="Arial" w:cs="Arial"/>
          <w:b/>
        </w:rPr>
      </w:pPr>
    </w:p>
    <w:p w14:paraId="53AEA83D" w14:textId="77777777" w:rsidR="00F41BD6" w:rsidRPr="00F41BD6" w:rsidRDefault="00F41BD6" w:rsidP="00F41BD6">
      <w:pPr>
        <w:spacing w:after="120" w:line="276" w:lineRule="auto"/>
        <w:jc w:val="both"/>
        <w:rPr>
          <w:rFonts w:ascii="Arial" w:eastAsia="Calibri" w:hAnsi="Arial" w:cs="Arial"/>
          <w:lang w:val="es-ES"/>
        </w:rPr>
      </w:pPr>
      <w:r w:rsidRPr="00F41BD6">
        <w:rPr>
          <w:rFonts w:ascii="Arial" w:eastAsia="Calibri" w:hAnsi="Arial"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F41BD6">
        <w:rPr>
          <w:rFonts w:ascii="Arial" w:eastAsia="Calibri" w:hAnsi="Arial" w:cs="Arial"/>
          <w:lang w:val="es-ES"/>
        </w:rPr>
        <w:t xml:space="preserve"> </w:t>
      </w:r>
      <w:bookmarkStart w:id="7" w:name="_Hlk61701014"/>
      <w:bookmarkStart w:id="8" w:name="_Hlk62136649"/>
      <w:r w:rsidRPr="00F41BD6">
        <w:rPr>
          <w:rFonts w:ascii="Arial" w:eastAsia="Calibri" w:hAnsi="Arial" w:cs="Arial"/>
          <w:lang w:val="es-ES"/>
        </w:rPr>
        <w:t xml:space="preserve">Es necesario tener en cuenta que </w:t>
      </w:r>
      <w:bookmarkStart w:id="9" w:name="_Hlk61026958"/>
      <w:r w:rsidRPr="00F41BD6">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F41BD6">
        <w:rPr>
          <w:rFonts w:ascii="Arial" w:eastAsia="Calibri" w:hAnsi="Arial" w:cs="Arial"/>
          <w:bCs/>
          <w:lang w:val="es-MX"/>
        </w:rPr>
        <w:t xml:space="preserve"> de todos los partícipes de la contratación estatal.</w:t>
      </w:r>
    </w:p>
    <w:p w14:paraId="6E790C24" w14:textId="77777777" w:rsidR="00F41BD6" w:rsidRPr="00F41BD6" w:rsidRDefault="00F41BD6" w:rsidP="00F41BD6">
      <w:pPr>
        <w:spacing w:after="120" w:line="276" w:lineRule="auto"/>
        <w:ind w:firstLine="708"/>
        <w:jc w:val="both"/>
        <w:rPr>
          <w:rFonts w:ascii="Arial" w:eastAsia="Calibri" w:hAnsi="Arial" w:cs="Arial"/>
          <w:lang w:val="es-ES"/>
        </w:rPr>
      </w:pPr>
      <w:r w:rsidRPr="00F41BD6">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41BD6">
        <w:rPr>
          <w:rFonts w:ascii="Arial" w:eastAsia="Calibri" w:hAnsi="Arial" w:cs="Arial"/>
          <w:vertAlign w:val="superscript"/>
          <w:lang w:val="es-ES"/>
        </w:rPr>
        <w:footnoteReference w:id="2"/>
      </w:r>
      <w:r w:rsidRPr="00F41BD6">
        <w:rPr>
          <w:rFonts w:ascii="Arial" w:eastAsia="Calibri" w:hAnsi="Arial" w:cs="Arial"/>
          <w:lang w:val="es-ES"/>
        </w:rPr>
        <w:t>. Esta competencia de interpretación de normas generales, por definición, no puede extenderse a la resolución de controversias, ni a brindar asesorías sobre casos puntuales.</w:t>
      </w:r>
      <w:bookmarkEnd w:id="7"/>
      <w:bookmarkEnd w:id="9"/>
    </w:p>
    <w:bookmarkEnd w:id="8"/>
    <w:p w14:paraId="34D3B511" w14:textId="3339DFB5" w:rsidR="00F41BD6" w:rsidRPr="00F41BD6" w:rsidRDefault="00F41BD6" w:rsidP="00F41BD6">
      <w:pPr>
        <w:spacing w:before="120" w:after="120" w:line="276" w:lineRule="auto"/>
        <w:ind w:firstLine="709"/>
        <w:jc w:val="both"/>
        <w:rPr>
          <w:rFonts w:ascii="Arial" w:eastAsia="Calibri" w:hAnsi="Arial" w:cs="Arial"/>
          <w:lang w:val="es-ES_tradnl" w:eastAsia="es-MX"/>
        </w:rPr>
      </w:pPr>
      <w:r w:rsidRPr="00F41BD6">
        <w:rPr>
          <w:rFonts w:ascii="Arial" w:eastAsia="Calibri" w:hAnsi="Arial" w:cs="Arial"/>
          <w:lang w:val="es-MX"/>
        </w:rPr>
        <w:t xml:space="preserve">Sin perjuicio de lo anterior, </w:t>
      </w:r>
      <w:r w:rsidRPr="00F41BD6">
        <w:rPr>
          <w:rFonts w:ascii="Arial" w:eastAsia="Calibri" w:hAnsi="Arial" w:cs="Arial"/>
          <w:lang w:val="es-ES"/>
        </w:rPr>
        <w:t xml:space="preserve">la Subdirección de Gestión Contractual –dentro de los límites de sus atribuciones, esto es, </w:t>
      </w:r>
      <w:bookmarkStart w:id="10" w:name="_Hlk61025408"/>
      <w:r w:rsidRPr="00F41BD6">
        <w:rPr>
          <w:rFonts w:ascii="Arial" w:eastAsia="Calibri" w:hAnsi="Arial" w:cs="Arial"/>
          <w:lang w:val="es-ES"/>
        </w:rPr>
        <w:t>haciendo abstracción del caso particular expuesto por el peticionari</w:t>
      </w:r>
      <w:bookmarkEnd w:id="10"/>
      <w:r w:rsidRPr="00F41BD6">
        <w:rPr>
          <w:rFonts w:ascii="Arial" w:eastAsia="Calibri" w:hAnsi="Arial" w:cs="Arial"/>
          <w:lang w:val="es-ES"/>
        </w:rPr>
        <w:t>o– resolverá la consulta conforme a las normas generales en materia de contratación estatal</w:t>
      </w:r>
      <w:r w:rsidRPr="00F41BD6">
        <w:rPr>
          <w:rFonts w:ascii="Arial" w:eastAsia="Calibri" w:hAnsi="Arial" w:cs="Arial"/>
          <w:lang w:val="es-ES_tradnl" w:eastAsia="es-MX"/>
        </w:rPr>
        <w:t xml:space="preserve">. Con este objetivo, analizará i) </w:t>
      </w:r>
      <w:r w:rsidR="00785C24">
        <w:rPr>
          <w:rFonts w:ascii="Arial" w:eastAsia="Calibri" w:hAnsi="Arial" w:cs="Arial"/>
          <w:lang w:val="es-ES_tradnl" w:eastAsia="es-MX"/>
        </w:rPr>
        <w:t>r</w:t>
      </w:r>
      <w:r w:rsidR="00785C24" w:rsidRPr="00785C24">
        <w:rPr>
          <w:rFonts w:ascii="Arial" w:eastAsia="Calibri" w:hAnsi="Arial" w:cs="Arial"/>
          <w:lang w:val="es-ES_tradnl" w:eastAsia="es-MX"/>
        </w:rPr>
        <w:t xml:space="preserve">equisitos habilitantes: criterios para participar en los procedimientos de selección pública. Reiteración de </w:t>
      </w:r>
      <w:r w:rsidR="00FF3493" w:rsidRPr="00785C24">
        <w:rPr>
          <w:rFonts w:ascii="Arial" w:eastAsia="Calibri" w:hAnsi="Arial" w:cs="Arial"/>
          <w:lang w:val="es-ES_tradnl" w:eastAsia="es-MX"/>
        </w:rPr>
        <w:t>línea</w:t>
      </w:r>
      <w:r w:rsidR="00FF3493" w:rsidRPr="00785C24" w:rsidDel="00785C24">
        <w:rPr>
          <w:rFonts w:ascii="Arial" w:eastAsia="Calibri" w:hAnsi="Arial" w:cs="Arial"/>
          <w:lang w:val="es-ES_tradnl" w:eastAsia="es-MX"/>
        </w:rPr>
        <w:t>,</w:t>
      </w:r>
      <w:r w:rsidRPr="00F41BD6">
        <w:rPr>
          <w:rFonts w:ascii="Arial" w:eastAsia="Calibri" w:hAnsi="Arial" w:cs="Arial"/>
          <w:lang w:val="es-ES_tradnl" w:eastAsia="es-MX"/>
        </w:rPr>
        <w:t xml:space="preserve"> </w:t>
      </w:r>
      <w:proofErr w:type="spellStart"/>
      <w:r w:rsidRPr="00F41BD6">
        <w:rPr>
          <w:rFonts w:ascii="Arial" w:eastAsia="Calibri" w:hAnsi="Arial" w:cs="Arial"/>
          <w:lang w:val="es-ES_tradnl" w:eastAsia="es-MX"/>
        </w:rPr>
        <w:t>ii</w:t>
      </w:r>
      <w:proofErr w:type="spellEnd"/>
      <w:r w:rsidRPr="00F41BD6">
        <w:rPr>
          <w:rFonts w:ascii="Arial" w:eastAsia="Calibri" w:hAnsi="Arial" w:cs="Arial"/>
          <w:lang w:val="es-ES_tradnl" w:eastAsia="es-MX"/>
        </w:rPr>
        <w:t>)</w:t>
      </w:r>
      <w:r w:rsidR="00785C24">
        <w:rPr>
          <w:rFonts w:ascii="Arial" w:eastAsia="Calibri" w:hAnsi="Arial" w:cs="Arial"/>
          <w:lang w:val="es-ES_tradnl" w:eastAsia="es-MX"/>
        </w:rPr>
        <w:t xml:space="preserve"> a</w:t>
      </w:r>
      <w:r w:rsidR="00785C24" w:rsidRPr="00785C24">
        <w:rPr>
          <w:rFonts w:ascii="Arial" w:eastAsia="Calibri" w:hAnsi="Arial" w:cs="Arial"/>
          <w:lang w:val="es-ES_tradnl" w:eastAsia="es-MX"/>
        </w:rPr>
        <w:t>utonomía de las Entidades Estatales para establecer requisitos habilitantes</w:t>
      </w:r>
      <w:r w:rsidR="00785C24">
        <w:rPr>
          <w:rFonts w:ascii="Arial" w:eastAsia="Calibri" w:hAnsi="Arial" w:cs="Arial"/>
          <w:lang w:val="es-ES_tradnl" w:eastAsia="es-MX"/>
        </w:rPr>
        <w:t>;</w:t>
      </w:r>
      <w:r w:rsidRPr="00F41BD6">
        <w:rPr>
          <w:rFonts w:ascii="Arial" w:eastAsia="Calibri" w:hAnsi="Arial" w:cs="Arial"/>
          <w:lang w:val="es-ES_tradnl" w:eastAsia="es-MX"/>
        </w:rPr>
        <w:t xml:space="preserve"> y, </w:t>
      </w:r>
      <w:proofErr w:type="spellStart"/>
      <w:r w:rsidRPr="00F41BD6">
        <w:rPr>
          <w:rFonts w:ascii="Arial" w:eastAsia="Calibri" w:hAnsi="Arial" w:cs="Arial"/>
          <w:lang w:val="es-ES_tradnl" w:eastAsia="es-MX"/>
        </w:rPr>
        <w:t>iii</w:t>
      </w:r>
      <w:proofErr w:type="spellEnd"/>
      <w:r w:rsidRPr="00F41BD6">
        <w:rPr>
          <w:rFonts w:ascii="Arial" w:eastAsia="Calibri" w:hAnsi="Arial" w:cs="Arial"/>
          <w:lang w:val="es-ES_tradnl" w:eastAsia="es-MX"/>
        </w:rPr>
        <w:t xml:space="preserve">) </w:t>
      </w:r>
      <w:r w:rsidR="00785C24">
        <w:rPr>
          <w:rFonts w:ascii="Arial" w:eastAsia="Calibri" w:hAnsi="Arial" w:cs="Arial"/>
          <w:lang w:val="es-ES_tradnl" w:eastAsia="es-MX"/>
        </w:rPr>
        <w:t>e</w:t>
      </w:r>
      <w:r w:rsidR="00785C24" w:rsidRPr="00785C24">
        <w:rPr>
          <w:rFonts w:ascii="Arial" w:eastAsia="Calibri" w:hAnsi="Arial" w:cs="Arial"/>
          <w:lang w:val="es-ES_tradnl" w:eastAsia="es-MX"/>
        </w:rPr>
        <w:t>l requisito habilitante de experiencia. Posibilidad</w:t>
      </w:r>
      <w:r w:rsidR="00FF3493">
        <w:rPr>
          <w:rFonts w:ascii="Arial" w:eastAsia="Calibri" w:hAnsi="Arial" w:cs="Arial"/>
          <w:lang w:val="es-ES_tradnl" w:eastAsia="es-MX"/>
        </w:rPr>
        <w:t xml:space="preserve"> de</w:t>
      </w:r>
      <w:r w:rsidR="00785C24" w:rsidRPr="00785C24">
        <w:rPr>
          <w:rFonts w:ascii="Arial" w:eastAsia="Calibri" w:hAnsi="Arial" w:cs="Arial"/>
          <w:lang w:val="es-ES_tradnl" w:eastAsia="es-MX"/>
        </w:rPr>
        <w:t xml:space="preserve"> exigir experiencia en ítems representativos</w:t>
      </w:r>
      <w:r w:rsidR="00785C24">
        <w:rPr>
          <w:rFonts w:ascii="Arial" w:eastAsia="Calibri" w:hAnsi="Arial" w:cs="Arial"/>
          <w:lang w:val="es-ES_tradnl" w:eastAsia="es-MX"/>
        </w:rPr>
        <w:t>.</w:t>
      </w:r>
      <w:r w:rsidR="00785C24" w:rsidRPr="00785C24" w:rsidDel="00785C24">
        <w:rPr>
          <w:rFonts w:ascii="Arial" w:eastAsia="Calibri" w:hAnsi="Arial" w:cs="Arial"/>
          <w:lang w:val="es-ES_tradnl" w:eastAsia="es-MX"/>
        </w:rPr>
        <w:t xml:space="preserve"> </w:t>
      </w:r>
    </w:p>
    <w:p w14:paraId="38D62DE9" w14:textId="77777777" w:rsidR="00F41BD6" w:rsidRPr="00F41BD6" w:rsidRDefault="00F41BD6" w:rsidP="00F41BD6">
      <w:pPr>
        <w:spacing w:after="0" w:line="276" w:lineRule="auto"/>
        <w:ind w:firstLine="709"/>
        <w:jc w:val="both"/>
        <w:rPr>
          <w:rFonts w:ascii="Arial" w:eastAsia="Arial" w:hAnsi="Arial" w:cs="Arial"/>
          <w:lang w:val="es-MX" w:eastAsia="es-ES_tradnl"/>
        </w:rPr>
      </w:pPr>
      <w:r w:rsidRPr="00F41BD6">
        <w:rPr>
          <w:rFonts w:ascii="Arial" w:eastAsia="Times New Roman" w:hAnsi="Arial" w:cs="Arial"/>
          <w:lang w:eastAsia="es-ES_tradnl"/>
        </w:rPr>
        <w:t xml:space="preserve">La Agencia Nacional de Contratación Pública – Colombia Compra Eficiente </w:t>
      </w:r>
      <w:r w:rsidRPr="00F41BD6">
        <w:rPr>
          <w:rFonts w:ascii="Arial" w:eastAsia="Arial" w:hAnsi="Arial" w:cs="Arial"/>
          <w:lang w:val="es-MX" w:eastAsia="es-ES_tradnl"/>
        </w:rPr>
        <w:t xml:space="preserve">ha analizado diferentes aspectos sobre la experiencia como requisito habilitante en la contratación pública, en los conceptos C-121 del 30 de marzo de 2022, C-142 del 28 de marzo de 2022, C-144 del 12 de abril de 2022, C-193 del 18 de abril de 2022, C-200 del 21 de abril de 2022, C-226 del 26 de abril de 2022, C-234 del 26 de abril de 2022, C-235 del 26 de abril de 2022, C-239, C-242 del 2 de mayo de 2022, C-287 del 11 de mayo de 2022, C-319 del 19 de mayo de 2022, C-569 del 13 de septiembre de 2022, C-574 del 14 de septiembre de 2022, </w:t>
      </w:r>
      <w:r w:rsidRPr="00F41BD6">
        <w:rPr>
          <w:rFonts w:ascii="Arial" w:hAnsi="Arial" w:cs="Arial"/>
          <w:bCs/>
          <w:color w:val="1A1A1A" w:themeColor="background1" w:themeShade="1A"/>
        </w:rPr>
        <w:t>C-124 del 12 de mayo de 2023 y C-868 del 19 de diciembre de 2022</w:t>
      </w:r>
      <w:r w:rsidRPr="00F41BD6">
        <w:rPr>
          <w:rFonts w:ascii="Arial" w:eastAsia="Arial" w:hAnsi="Arial" w:cs="Arial"/>
          <w:lang w:val="es-MX" w:eastAsia="es-ES_tradnl"/>
        </w:rPr>
        <w:t xml:space="preserve">. </w:t>
      </w:r>
      <w:r w:rsidRPr="00F41BD6">
        <w:rPr>
          <w:rFonts w:ascii="Arial" w:eastAsia="Calibri" w:hAnsi="Arial" w:cs="Arial"/>
          <w:lang w:val="es-ES_tradnl" w:eastAsia="es-MX"/>
        </w:rPr>
        <w:t xml:space="preserve">Del mismo modo,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 </w:t>
      </w:r>
      <w:r w:rsidRPr="00F41BD6">
        <w:rPr>
          <w:rFonts w:ascii="Arial" w:eastAsia="Calibri" w:hAnsi="Arial" w:cs="Arial"/>
          <w:lang w:val="es-ES_tradnl" w:eastAsia="es-ES_tradnl"/>
        </w:rPr>
        <w:t xml:space="preserve">Algunas de las </w:t>
      </w:r>
      <w:r w:rsidRPr="00F41BD6">
        <w:rPr>
          <w:rFonts w:ascii="Arial" w:eastAsia="Calibri" w:hAnsi="Arial" w:cs="Arial"/>
          <w:lang w:val="es-ES_tradnl" w:eastAsia="es-ES_tradnl"/>
        </w:rPr>
        <w:lastRenderedPageBreak/>
        <w:t>consideraciones de estos conceptos se reiteran y se complementan en lo pertinente, teniendo en cuenta lo consultado.</w:t>
      </w:r>
    </w:p>
    <w:p w14:paraId="0BAC0A3B" w14:textId="77777777" w:rsidR="00F41BD6" w:rsidRPr="00F41BD6" w:rsidRDefault="00F41BD6" w:rsidP="00B85F35">
      <w:pPr>
        <w:spacing w:after="0" w:line="240" w:lineRule="auto"/>
        <w:jc w:val="both"/>
        <w:rPr>
          <w:rFonts w:ascii="Arial" w:eastAsia="Times New Roman" w:hAnsi="Arial" w:cs="Arial"/>
          <w:szCs w:val="24"/>
          <w:lang w:val="es-ES_tradnl" w:eastAsia="es-ES_tradnl"/>
        </w:rPr>
      </w:pPr>
    </w:p>
    <w:p w14:paraId="621130F4" w14:textId="77777777" w:rsidR="00F41BD6" w:rsidRPr="00F41BD6" w:rsidRDefault="00F41BD6" w:rsidP="00F41BD6">
      <w:pPr>
        <w:spacing w:after="0" w:line="276" w:lineRule="auto"/>
        <w:jc w:val="both"/>
        <w:rPr>
          <w:rFonts w:ascii="Arial" w:eastAsia="Times New Roman" w:hAnsi="Arial" w:cs="Arial"/>
          <w:b/>
          <w:bCs/>
          <w:szCs w:val="24"/>
          <w:lang w:val="es-ES_tradnl" w:eastAsia="es-ES_tradnl"/>
        </w:rPr>
      </w:pPr>
      <w:r w:rsidRPr="00F41BD6">
        <w:rPr>
          <w:rFonts w:ascii="Arial" w:eastAsia="Times New Roman" w:hAnsi="Arial" w:cs="Arial"/>
          <w:b/>
          <w:bCs/>
          <w:szCs w:val="24"/>
          <w:lang w:val="es-ES_tradnl" w:eastAsia="es-ES_tradnl"/>
        </w:rPr>
        <w:t>2.1. Requisitos habilitantes: criterios para participar en los procedimientos de selección pública. Reiteración de línea</w:t>
      </w:r>
    </w:p>
    <w:p w14:paraId="488FF155" w14:textId="77777777" w:rsidR="00F41BD6" w:rsidRPr="00F41BD6" w:rsidRDefault="00F41BD6" w:rsidP="00B85F35">
      <w:pPr>
        <w:spacing w:after="0" w:line="240" w:lineRule="auto"/>
        <w:jc w:val="both"/>
        <w:rPr>
          <w:rFonts w:ascii="Arial" w:eastAsia="Times New Roman" w:hAnsi="Arial" w:cs="Arial"/>
          <w:szCs w:val="24"/>
          <w:lang w:val="es-ES_tradnl" w:eastAsia="es-ES_tradnl"/>
        </w:rPr>
      </w:pPr>
    </w:p>
    <w:p w14:paraId="552A2AE9" w14:textId="77777777" w:rsidR="00F41BD6" w:rsidRPr="00F41BD6" w:rsidRDefault="00F41BD6" w:rsidP="00F41BD6">
      <w:pPr>
        <w:spacing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 xml:space="preserve">Los </w:t>
      </w:r>
      <w:r w:rsidRPr="00F41BD6">
        <w:rPr>
          <w:rFonts w:ascii="Arial" w:eastAsia="Times New Roman" w:hAnsi="Arial" w:cs="Arial"/>
          <w:i/>
          <w:iCs/>
          <w:szCs w:val="24"/>
          <w:lang w:val="es-ES_tradnl" w:eastAsia="es-ES_tradnl"/>
        </w:rPr>
        <w:t xml:space="preserve">requisitos habilitantes </w:t>
      </w:r>
      <w:r w:rsidRPr="00F41BD6">
        <w:rPr>
          <w:rFonts w:ascii="Arial" w:eastAsia="Times New Roman" w:hAnsi="Arial" w:cs="Arial"/>
          <w:szCs w:val="24"/>
          <w:lang w:val="es-ES_tradnl" w:eastAsia="es-ES_tradnl"/>
        </w:rPr>
        <w:t xml:space="preserve">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F41BD6">
        <w:rPr>
          <w:rFonts w:ascii="Arial" w:eastAsia="Times New Roman" w:hAnsi="Arial" w:cs="Arial"/>
          <w:i/>
          <w:iCs/>
          <w:szCs w:val="24"/>
          <w:lang w:val="es-ES_tradnl" w:eastAsia="es-ES_tradnl"/>
        </w:rPr>
        <w:t>criterios de evaluación –</w:t>
      </w:r>
      <w:r w:rsidRPr="00F41BD6">
        <w:rPr>
          <w:rFonts w:ascii="Arial" w:eastAsia="Times New Roman" w:hAnsi="Arial" w:cs="Arial"/>
          <w:szCs w:val="24"/>
          <w:lang w:val="es-ES_tradnl" w:eastAsia="es-ES_tradnl"/>
        </w:rPr>
        <w:t xml:space="preserve">también conocidos como </w:t>
      </w:r>
      <w:r w:rsidRPr="00F41BD6">
        <w:rPr>
          <w:rFonts w:ascii="Arial" w:eastAsia="Times New Roman" w:hAnsi="Arial" w:cs="Arial"/>
          <w:i/>
          <w:iCs/>
          <w:szCs w:val="24"/>
          <w:lang w:val="es-ES_tradnl" w:eastAsia="es-ES_tradnl"/>
        </w:rPr>
        <w:t xml:space="preserve">criterios de calificación– </w:t>
      </w:r>
      <w:r w:rsidRPr="00F41BD6">
        <w:rPr>
          <w:rFonts w:ascii="Arial" w:eastAsia="Times New Roman" w:hAnsi="Arial" w:cs="Arial"/>
          <w:szCs w:val="24"/>
          <w:lang w:val="es-ES_tradnl" w:eastAsia="es-ES_tradnl"/>
        </w:rPr>
        <w:t>en que estos son los factores definidos por la Entidad Estatal para la asignación de puntaje en el momento de la comparación de las ofertas, y que, a partir de su ponderación, permiten establecer el orden de elegibilidad y, por ende, la propuesta ganadora.</w:t>
      </w:r>
    </w:p>
    <w:p w14:paraId="4DBD0F1A"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 xml:space="preserve">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los parágrafos 1° al 4°, del artículo 5, de la Ley 1150 de 2007. </w:t>
      </w:r>
    </w:p>
    <w:p w14:paraId="68F925D8"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w:t>
      </w:r>
    </w:p>
    <w:p w14:paraId="392DC1A9"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 xml:space="preserve">Específicamente, el numeral 1°, del artículo 5, de la Ley 1150 de 2005 establece que en los procesos de selección de contratistas serán objeto de verificación, como requisitos habilitantes, </w:t>
      </w:r>
      <w:r w:rsidRPr="00F41BD6">
        <w:rPr>
          <w:rFonts w:ascii="Arial" w:eastAsia="Times New Roman" w:hAnsi="Arial" w:cs="Arial"/>
          <w:i/>
          <w:iCs/>
          <w:szCs w:val="24"/>
          <w:lang w:val="es-ES_tradnl" w:eastAsia="es-ES_tradnl"/>
        </w:rPr>
        <w:t xml:space="preserve">entre otros, </w:t>
      </w:r>
      <w:r w:rsidRPr="00F41BD6">
        <w:rPr>
          <w:rFonts w:ascii="Arial" w:eastAsia="Times New Roman" w:hAnsi="Arial" w:cs="Arial"/>
          <w:szCs w:val="24"/>
          <w:lang w:val="es-ES_tradnl" w:eastAsia="es-ES_tradnl"/>
        </w:rPr>
        <w:t xml:space="preserve">los siguientes: i) la capacidad jurídica, </w:t>
      </w:r>
      <w:proofErr w:type="spellStart"/>
      <w:r w:rsidRPr="00F41BD6">
        <w:rPr>
          <w:rFonts w:ascii="Arial" w:eastAsia="Times New Roman" w:hAnsi="Arial" w:cs="Arial"/>
          <w:szCs w:val="24"/>
          <w:lang w:val="es-ES_tradnl" w:eastAsia="es-ES_tradnl"/>
        </w:rPr>
        <w:t>ii</w:t>
      </w:r>
      <w:proofErr w:type="spellEnd"/>
      <w:r w:rsidRPr="00F41BD6">
        <w:rPr>
          <w:rFonts w:ascii="Arial" w:eastAsia="Times New Roman" w:hAnsi="Arial" w:cs="Arial"/>
          <w:szCs w:val="24"/>
          <w:lang w:val="es-ES_tradnl" w:eastAsia="es-ES_tradnl"/>
        </w:rPr>
        <w:t xml:space="preserve">) la experiencia, </w:t>
      </w:r>
      <w:proofErr w:type="spellStart"/>
      <w:r w:rsidRPr="00F41BD6">
        <w:rPr>
          <w:rFonts w:ascii="Arial" w:eastAsia="Times New Roman" w:hAnsi="Arial" w:cs="Arial"/>
          <w:szCs w:val="24"/>
          <w:lang w:val="es-ES_tradnl" w:eastAsia="es-ES_tradnl"/>
        </w:rPr>
        <w:t>iii</w:t>
      </w:r>
      <w:proofErr w:type="spellEnd"/>
      <w:r w:rsidRPr="00F41BD6">
        <w:rPr>
          <w:rFonts w:ascii="Arial" w:eastAsia="Times New Roman" w:hAnsi="Arial" w:cs="Arial"/>
          <w:szCs w:val="24"/>
          <w:lang w:val="es-ES_tradnl" w:eastAsia="es-ES_tradnl"/>
        </w:rPr>
        <w:t xml:space="preserve">) la capacidad financiera y </w:t>
      </w:r>
      <w:proofErr w:type="spellStart"/>
      <w:r w:rsidRPr="00F41BD6">
        <w:rPr>
          <w:rFonts w:ascii="Arial" w:eastAsia="Times New Roman" w:hAnsi="Arial" w:cs="Arial"/>
          <w:szCs w:val="24"/>
          <w:lang w:val="es-ES_tradnl" w:eastAsia="es-ES_tradnl"/>
        </w:rPr>
        <w:t>iv</w:t>
      </w:r>
      <w:proofErr w:type="spellEnd"/>
      <w:r w:rsidRPr="00F41BD6">
        <w:rPr>
          <w:rFonts w:ascii="Arial" w:eastAsia="Times New Roman" w:hAnsi="Arial" w:cs="Arial"/>
          <w:szCs w:val="24"/>
          <w:lang w:val="es-ES_tradnl" w:eastAsia="es-ES_tradnl"/>
        </w:rPr>
        <w:t xml:space="preserve">) la capacidad de organización. En efecto, la normativa citada dispone: </w:t>
      </w:r>
    </w:p>
    <w:p w14:paraId="2B6B4357" w14:textId="77777777" w:rsidR="00F41BD6" w:rsidRPr="00F41BD6" w:rsidRDefault="00F41BD6" w:rsidP="00F41BD6">
      <w:pPr>
        <w:spacing w:after="0"/>
        <w:ind w:left="709" w:right="709"/>
        <w:jc w:val="both"/>
        <w:rPr>
          <w:rFonts w:ascii="Arial" w:eastAsia="Calibri" w:hAnsi="Arial" w:cs="Arial"/>
          <w:color w:val="000000" w:themeColor="text1"/>
          <w:sz w:val="20"/>
          <w:szCs w:val="20"/>
        </w:rPr>
      </w:pPr>
    </w:p>
    <w:p w14:paraId="4D033D5E" w14:textId="77777777" w:rsidR="00F41BD6" w:rsidRPr="00F41BD6" w:rsidRDefault="00F41BD6" w:rsidP="00F41BD6">
      <w:pPr>
        <w:spacing w:after="0" w:line="240" w:lineRule="auto"/>
        <w:ind w:left="709" w:right="709"/>
        <w:jc w:val="both"/>
        <w:rPr>
          <w:rFonts w:ascii="Arial" w:eastAsia="Calibri" w:hAnsi="Arial" w:cs="Arial"/>
          <w:color w:val="000000" w:themeColor="text1"/>
          <w:sz w:val="21"/>
          <w:szCs w:val="21"/>
        </w:rPr>
      </w:pPr>
      <w:r w:rsidRPr="00F41BD6">
        <w:rPr>
          <w:rFonts w:ascii="Arial" w:eastAsia="Calibri" w:hAnsi="Arial" w:cs="Arial"/>
          <w:color w:val="000000" w:themeColor="text1"/>
          <w:sz w:val="21"/>
          <w:szCs w:val="21"/>
        </w:rPr>
        <w:t xml:space="preserve">“Artículo 5. De la Selección Objetiva. </w:t>
      </w:r>
    </w:p>
    <w:p w14:paraId="1056140C" w14:textId="77777777" w:rsidR="00F41BD6" w:rsidRPr="00F41BD6" w:rsidRDefault="00F41BD6" w:rsidP="00F41BD6">
      <w:pPr>
        <w:spacing w:after="120" w:line="240" w:lineRule="auto"/>
        <w:ind w:left="709" w:right="709"/>
        <w:jc w:val="both"/>
        <w:rPr>
          <w:rFonts w:ascii="Arial" w:eastAsia="Calibri" w:hAnsi="Arial" w:cs="Arial"/>
          <w:color w:val="000000" w:themeColor="text1"/>
          <w:sz w:val="21"/>
          <w:szCs w:val="21"/>
        </w:rPr>
      </w:pPr>
      <w:r w:rsidRPr="00F41BD6">
        <w:rPr>
          <w:rFonts w:ascii="Arial" w:eastAsia="Calibri" w:hAnsi="Arial" w:cs="Arial"/>
          <w:color w:val="000000" w:themeColor="text1"/>
          <w:sz w:val="21"/>
          <w:szCs w:val="21"/>
        </w:rPr>
        <w:t>[…]</w:t>
      </w:r>
    </w:p>
    <w:p w14:paraId="514BBC1E" w14:textId="77777777" w:rsidR="00F41BD6" w:rsidRPr="00F41BD6" w:rsidRDefault="00F41BD6" w:rsidP="00F41BD6">
      <w:pPr>
        <w:spacing w:line="240" w:lineRule="auto"/>
        <w:ind w:left="709" w:right="709"/>
        <w:contextualSpacing/>
        <w:jc w:val="both"/>
        <w:rPr>
          <w:rFonts w:ascii="Arial" w:eastAsia="Calibri" w:hAnsi="Arial" w:cs="Arial"/>
          <w:color w:val="000000" w:themeColor="text1"/>
          <w:sz w:val="21"/>
          <w:szCs w:val="21"/>
        </w:rPr>
      </w:pPr>
      <w:r w:rsidRPr="00F41BD6">
        <w:rPr>
          <w:rFonts w:ascii="Arial" w:eastAsia="Calibri" w:hAnsi="Arial" w:cs="Arial"/>
          <w:color w:val="000000" w:themeColor="text1"/>
          <w:sz w:val="21"/>
          <w:szCs w:val="21"/>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w:t>
      </w:r>
      <w:r w:rsidRPr="00F41BD6">
        <w:rPr>
          <w:rFonts w:ascii="Arial" w:eastAsia="Calibri" w:hAnsi="Arial" w:cs="Arial"/>
          <w:color w:val="000000" w:themeColor="text1"/>
          <w:sz w:val="21"/>
          <w:szCs w:val="21"/>
        </w:rPr>
        <w:lastRenderedPageBreak/>
        <w:t>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617CA7BC" w14:textId="77777777" w:rsidR="00F41BD6" w:rsidRPr="00F41BD6" w:rsidRDefault="00F41BD6" w:rsidP="00F41BD6">
      <w:pPr>
        <w:spacing w:after="0" w:line="276" w:lineRule="auto"/>
        <w:jc w:val="both"/>
        <w:rPr>
          <w:rFonts w:ascii="Arial" w:eastAsia="Times New Roman" w:hAnsi="Arial" w:cs="Arial"/>
          <w:szCs w:val="24"/>
          <w:lang w:val="es-ES_tradnl" w:eastAsia="es-ES_tradnl"/>
        </w:rPr>
      </w:pPr>
    </w:p>
    <w:p w14:paraId="063BB32A" w14:textId="77777777" w:rsidR="00F41BD6" w:rsidRPr="00F41BD6" w:rsidRDefault="00F41BD6" w:rsidP="00F41BD6">
      <w:pPr>
        <w:spacing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 xml:space="preserve">Una vez fijados los requisitos habilitantes por la Entidad Estatal, quienes presenten sus ofertas deben </w:t>
      </w:r>
      <w:r w:rsidRPr="00F41BD6">
        <w:rPr>
          <w:rFonts w:ascii="Arial" w:eastAsia="Times New Roman" w:hAnsi="Arial" w:cs="Arial"/>
          <w:i/>
          <w:iCs/>
          <w:szCs w:val="24"/>
          <w:lang w:val="es-ES_tradnl" w:eastAsia="es-ES_tradnl"/>
        </w:rPr>
        <w:t xml:space="preserve">acreditar </w:t>
      </w:r>
      <w:r w:rsidRPr="00F41BD6">
        <w:rPr>
          <w:rFonts w:ascii="Arial" w:eastAsia="Times New Roman" w:hAnsi="Arial" w:cs="Arial"/>
          <w:szCs w:val="24"/>
          <w:lang w:val="es-ES_tradnl" w:eastAsia="es-ES_tradnl"/>
        </w:rPr>
        <w:t>que cumplen con estos, pues, en el evento contrario, las propuestas deberán ser rechazadas. El ente encargado de verificar el cumplimiento por parte de los proponentes sobre los requisitos que haya considerado la entidad como habilitantes será la Cámara de Comercio, esto en la medida en que, mediante el Registro Único de Proponentes, en adelante RUP, se pondrá de presente toda la información relacionada con la experiencia, capacidad jurídica, capacidad financiera y organizacional, así como la clasificación del proponente</w:t>
      </w:r>
      <w:r w:rsidRPr="00F41BD6">
        <w:rPr>
          <w:rFonts w:ascii="Arial" w:eastAsia="Calibri" w:hAnsi="Arial" w:cs="Arial"/>
          <w:color w:val="000000" w:themeColor="text1"/>
          <w:sz w:val="21"/>
          <w:szCs w:val="21"/>
        </w:rPr>
        <w:t>.</w:t>
      </w:r>
      <w:r w:rsidRPr="00F41BD6">
        <w:rPr>
          <w:rFonts w:ascii="Arial" w:eastAsia="Times New Roman" w:hAnsi="Arial" w:cs="Arial"/>
          <w:szCs w:val="24"/>
          <w:lang w:val="es-ES_tradnl" w:eastAsia="es-ES_tradnl"/>
        </w:rPr>
        <w:t xml:space="preserve"> Esto, salvo las excepciones de ley que se estudiarán más adelante. </w:t>
      </w:r>
    </w:p>
    <w:p w14:paraId="3B54F9E5" w14:textId="77777777" w:rsidR="00F41BD6" w:rsidRPr="00F41BD6" w:rsidRDefault="00F41BD6" w:rsidP="00F41BD6">
      <w:pPr>
        <w:spacing w:after="0" w:line="276" w:lineRule="auto"/>
        <w:jc w:val="both"/>
        <w:rPr>
          <w:rFonts w:ascii="Arial" w:eastAsia="Times New Roman" w:hAnsi="Arial" w:cs="Arial"/>
          <w:szCs w:val="24"/>
          <w:lang w:val="es-ES_tradnl" w:eastAsia="es-ES_tradnl"/>
        </w:rPr>
      </w:pPr>
    </w:p>
    <w:p w14:paraId="4603A367" w14:textId="2DF2220A" w:rsidR="00F41BD6" w:rsidRPr="00F41BD6" w:rsidRDefault="00F41BD6" w:rsidP="00F41BD6">
      <w:pPr>
        <w:spacing w:after="0" w:line="276" w:lineRule="auto"/>
        <w:jc w:val="both"/>
        <w:rPr>
          <w:rFonts w:ascii="Arial" w:eastAsia="Times New Roman" w:hAnsi="Arial" w:cs="Arial"/>
          <w:b/>
          <w:bCs/>
          <w:szCs w:val="24"/>
          <w:lang w:val="es-ES_tradnl" w:eastAsia="es-ES_tradnl"/>
        </w:rPr>
      </w:pPr>
      <w:r w:rsidRPr="00F41BD6">
        <w:rPr>
          <w:rFonts w:ascii="Arial" w:eastAsia="Times New Roman" w:hAnsi="Arial" w:cs="Arial"/>
          <w:b/>
          <w:bCs/>
          <w:szCs w:val="24"/>
          <w:lang w:val="es-ES_tradnl" w:eastAsia="es-ES_tradnl"/>
        </w:rPr>
        <w:t>2.</w:t>
      </w:r>
      <w:r w:rsidR="004B3F1B">
        <w:rPr>
          <w:rFonts w:ascii="Arial" w:eastAsia="Times New Roman" w:hAnsi="Arial" w:cs="Arial"/>
          <w:b/>
          <w:bCs/>
          <w:szCs w:val="24"/>
          <w:lang w:val="es-ES_tradnl" w:eastAsia="es-ES_tradnl"/>
        </w:rPr>
        <w:t>2</w:t>
      </w:r>
      <w:r w:rsidR="001C454A">
        <w:rPr>
          <w:rFonts w:ascii="Arial" w:eastAsia="Times New Roman" w:hAnsi="Arial" w:cs="Arial"/>
          <w:b/>
          <w:bCs/>
          <w:szCs w:val="24"/>
          <w:lang w:val="es-ES_tradnl" w:eastAsia="es-ES_tradnl"/>
        </w:rPr>
        <w:t xml:space="preserve">. </w:t>
      </w:r>
      <w:r w:rsidRPr="00F41BD6">
        <w:rPr>
          <w:rFonts w:ascii="Arial" w:eastAsia="Times New Roman" w:hAnsi="Arial" w:cs="Arial"/>
          <w:b/>
          <w:bCs/>
          <w:szCs w:val="24"/>
          <w:lang w:val="es-ES_tradnl" w:eastAsia="es-ES_tradnl"/>
        </w:rPr>
        <w:t>Autonomía de las Entidades Estatales para establecer</w:t>
      </w:r>
      <w:r w:rsidR="001C454A">
        <w:rPr>
          <w:rFonts w:ascii="Arial" w:eastAsia="Times New Roman" w:hAnsi="Arial" w:cs="Arial"/>
          <w:b/>
          <w:bCs/>
          <w:szCs w:val="24"/>
          <w:lang w:val="es-ES_tradnl" w:eastAsia="es-ES_tradnl"/>
        </w:rPr>
        <w:t xml:space="preserve"> requisitos habilitantes</w:t>
      </w:r>
      <w:r w:rsidRPr="00F41BD6">
        <w:rPr>
          <w:rFonts w:ascii="Arial" w:eastAsia="Times New Roman" w:hAnsi="Arial" w:cs="Arial"/>
          <w:b/>
          <w:bCs/>
          <w:szCs w:val="24"/>
          <w:lang w:val="es-ES_tradnl" w:eastAsia="es-ES_tradnl"/>
        </w:rPr>
        <w:t>. Reiteración de línea</w:t>
      </w:r>
    </w:p>
    <w:p w14:paraId="14A07EC3" w14:textId="77777777" w:rsidR="00F41BD6" w:rsidRPr="00F41BD6" w:rsidRDefault="00F41BD6" w:rsidP="00F41BD6">
      <w:pPr>
        <w:spacing w:after="0" w:line="276" w:lineRule="auto"/>
        <w:jc w:val="both"/>
        <w:rPr>
          <w:rFonts w:ascii="Arial" w:eastAsia="Times New Roman" w:hAnsi="Arial" w:cs="Arial"/>
          <w:b/>
          <w:bCs/>
          <w:szCs w:val="24"/>
          <w:lang w:val="es-ES_tradnl" w:eastAsia="es-ES_tradnl"/>
        </w:rPr>
      </w:pPr>
    </w:p>
    <w:p w14:paraId="6C2BB83C" w14:textId="77777777" w:rsidR="00F41BD6" w:rsidRPr="00F41BD6" w:rsidRDefault="00F41BD6" w:rsidP="00F41BD6">
      <w:pPr>
        <w:spacing w:after="0" w:line="276" w:lineRule="auto"/>
        <w:jc w:val="both"/>
        <w:rPr>
          <w:rFonts w:ascii="Arial" w:eastAsia="Times New Roman" w:hAnsi="Arial" w:cs="Arial"/>
          <w:lang w:val="es-ES_tradnl" w:eastAsia="es-ES_tradnl"/>
        </w:rPr>
      </w:pPr>
      <w:r w:rsidRPr="00F41BD6">
        <w:rPr>
          <w:rFonts w:ascii="Arial" w:eastAsia="Times New Roman" w:hAnsi="Arial" w:cs="Arial"/>
          <w:szCs w:val="24"/>
          <w:lang w:val="es-ES_tradnl" w:eastAsia="es-ES_tradnl"/>
        </w:rPr>
        <w:t>Continuando la línea anterior, es necesario indagar si los requisitos habilitantes establecidos en el numeral 1, del artículo 5, de la Ley 1150 de 2007, tienen o no la característica de taxativos, esto es, si son los únicos que puede exigir la Entidad Estatal a los proponentes. Esta pregunta tiene, al menos, dos respuestas posibles. Por un lado, que sí lo son, pues la norma no hace referencia a otros diferentes. Por otro lado, que no lo son, pues esta no contiene una expresión como “únicamente” o “sólo”,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parágrafo 1, del artículo 6°, de la Ley 1150 de 2007</w:t>
      </w:r>
      <w:r w:rsidRPr="00F41BD6">
        <w:rPr>
          <w:rFonts w:ascii="Arial" w:hAnsi="Arial" w:cs="Arial"/>
          <w:color w:val="000000" w:themeColor="text1"/>
          <w:sz w:val="21"/>
          <w:szCs w:val="21"/>
          <w:vertAlign w:val="superscript"/>
        </w:rPr>
        <w:footnoteReference w:id="3"/>
      </w:r>
      <w:r w:rsidRPr="00F41BD6">
        <w:rPr>
          <w:rFonts w:ascii="Arial" w:hAnsi="Arial" w:cs="Arial"/>
          <w:color w:val="000000" w:themeColor="text1"/>
          <w:sz w:val="21"/>
          <w:szCs w:val="21"/>
        </w:rPr>
        <w:t xml:space="preserve">. </w:t>
      </w:r>
      <w:r w:rsidRPr="00F41BD6">
        <w:rPr>
          <w:rFonts w:ascii="Arial" w:hAnsi="Arial" w:cs="Arial"/>
          <w:color w:val="000000" w:themeColor="text1"/>
        </w:rPr>
        <w:t>Esta segunda respuesta contiene la interpretación jurídica que comparte la Agencia Nacional de Contratación Pública.</w:t>
      </w:r>
      <w:r w:rsidRPr="00F41BD6">
        <w:rPr>
          <w:rFonts w:ascii="Arial" w:hAnsi="Arial" w:cs="Arial"/>
          <w:color w:val="000000" w:themeColor="text1"/>
        </w:rPr>
        <w:tab/>
      </w:r>
    </w:p>
    <w:p w14:paraId="6447B4E1" w14:textId="77777777" w:rsidR="00F41BD6" w:rsidRPr="00F41BD6" w:rsidRDefault="00F41BD6" w:rsidP="00F41BD6">
      <w:pPr>
        <w:spacing w:before="120" w:after="0" w:line="276" w:lineRule="auto"/>
        <w:jc w:val="both"/>
        <w:rPr>
          <w:rFonts w:ascii="Arial" w:hAnsi="Arial" w:cs="Arial"/>
          <w:color w:val="000000" w:themeColor="text1"/>
        </w:rPr>
      </w:pPr>
      <w:r w:rsidRPr="00F41BD6">
        <w:rPr>
          <w:rFonts w:ascii="Arial" w:eastAsia="Times New Roman" w:hAnsi="Arial" w:cs="Arial"/>
          <w:szCs w:val="24"/>
          <w:lang w:val="es-ES_tradnl" w:eastAsia="es-ES_tradnl"/>
        </w:rPr>
        <w:tab/>
      </w:r>
      <w:r w:rsidRPr="00F41BD6">
        <w:rPr>
          <w:rFonts w:ascii="Arial" w:eastAsia="Times New Roman" w:hAnsi="Arial" w:cs="Arial"/>
          <w:lang w:val="es-ES_tradnl" w:eastAsia="es-ES_tradnl"/>
        </w:rPr>
        <w:t>Existen otros argumentos que sustentan dicha elección interpretativa. Como lo han considerado la Corte Constitucional</w:t>
      </w:r>
      <w:r w:rsidRPr="00F41BD6">
        <w:rPr>
          <w:rFonts w:ascii="Arial" w:hAnsi="Arial" w:cs="Arial"/>
          <w:color w:val="000000" w:themeColor="text1"/>
          <w:vertAlign w:val="superscript"/>
        </w:rPr>
        <w:footnoteReference w:id="4"/>
      </w:r>
      <w:r w:rsidRPr="00F41BD6">
        <w:rPr>
          <w:rFonts w:ascii="Arial" w:eastAsia="Times New Roman" w:hAnsi="Arial" w:cs="Arial"/>
          <w:lang w:val="es-ES_tradnl" w:eastAsia="es-ES_tradnl"/>
        </w:rPr>
        <w:t xml:space="preserve"> y el Consejo de Estado</w:t>
      </w:r>
      <w:r w:rsidRPr="00F41BD6">
        <w:rPr>
          <w:rFonts w:ascii="Arial" w:hAnsi="Arial" w:cs="Arial"/>
          <w:color w:val="000000" w:themeColor="text1"/>
          <w:vertAlign w:val="superscript"/>
        </w:rPr>
        <w:footnoteReference w:id="5"/>
      </w:r>
      <w:r w:rsidRPr="00F41BD6">
        <w:rPr>
          <w:rFonts w:ascii="Arial" w:hAnsi="Arial" w:cs="Arial"/>
          <w:color w:val="000000" w:themeColor="text1"/>
        </w:rPr>
        <w:t xml:space="preserve">, en virtud del “principio del efecto útil”, el texto de una norma debe ser interpretado de manera que todo cuanto ella prescriba produzca consecuencias jurídicas. En ese contexto, surge la inquietud en relación con los efectos del parágrafo 2 del mismo artículo, pues si la intención del legislador era que solo fueran requisitos habilitantes los cuatro (4) que contiene el numeral 1 de dicha disposición, ¿cómo se explica que </w:t>
      </w:r>
      <w:r w:rsidRPr="00F41BD6">
        <w:rPr>
          <w:rFonts w:ascii="Arial" w:hAnsi="Arial" w:cs="Arial"/>
          <w:color w:val="000000" w:themeColor="text1"/>
        </w:rPr>
        <w:lastRenderedPageBreak/>
        <w:t>el referido parágrafo aclare que “las certificaciones de sistemas de gestión de calidad no serán objeto de calificación, ni podrán establecerse como documento habilitante para participar en licitaciones o concursos”? Si se interpreta que sólo son cuatro (4) los requisitos habilitantes, el parágrafo 2 carecería de efectos jurídicos y, por ende, no tendría ninguna consecuencia normativa que en el mismo artículo se aclare que una exigencia no puede ser considerada como requisito habilitante.</w:t>
      </w:r>
    </w:p>
    <w:p w14:paraId="2DF308E9" w14:textId="77777777" w:rsidR="00F41BD6" w:rsidRPr="00F41BD6" w:rsidRDefault="00F41BD6" w:rsidP="00F41BD6">
      <w:pPr>
        <w:spacing w:before="120" w:after="0" w:line="276" w:lineRule="auto"/>
        <w:jc w:val="both"/>
        <w:rPr>
          <w:rFonts w:ascii="Arial" w:eastAsia="Times New Roman" w:hAnsi="Arial" w:cs="Arial"/>
          <w:lang w:val="es-ES_tradnl" w:eastAsia="es-ES_tradnl"/>
        </w:rPr>
      </w:pPr>
      <w:r w:rsidRPr="00F41BD6">
        <w:rPr>
          <w:rFonts w:ascii="Arial" w:hAnsi="Arial" w:cs="Arial"/>
          <w:color w:val="000000" w:themeColor="text1"/>
          <w:sz w:val="21"/>
          <w:szCs w:val="21"/>
        </w:rPr>
        <w:tab/>
      </w:r>
      <w:r w:rsidRPr="00F41BD6">
        <w:rPr>
          <w:rFonts w:ascii="Arial" w:hAnsi="Arial" w:cs="Arial"/>
          <w:color w:val="000000" w:themeColor="text1"/>
        </w:rPr>
        <w:t xml:space="preserve">La intención del legislador, de la cual dan cuenta los antecedentes legislativos de la norma </w:t>
      </w:r>
      <w:r w:rsidRPr="00F41BD6">
        <w:rPr>
          <w:rFonts w:ascii="Arial" w:hAnsi="Arial" w:cs="Arial"/>
          <w:i/>
          <w:iCs/>
          <w:color w:val="000000" w:themeColor="text1"/>
        </w:rPr>
        <w:t xml:space="preserve">sub examine, </w:t>
      </w:r>
      <w:r w:rsidRPr="00F41BD6">
        <w:rPr>
          <w:rFonts w:ascii="Arial" w:hAnsi="Arial" w:cs="Arial"/>
          <w:color w:val="000000" w:themeColor="text1"/>
        </w:rPr>
        <w:t>también justifica la interpretación propuesta por esta Agencia, ya que fue hasta el cuarto debate legislativo en donde se incluyó el parágrafo comentado anteriormente</w:t>
      </w:r>
      <w:r w:rsidRPr="00F41BD6">
        <w:rPr>
          <w:rFonts w:ascii="Arial" w:hAnsi="Arial" w:cs="Arial"/>
          <w:color w:val="000000" w:themeColor="text1"/>
          <w:vertAlign w:val="superscript"/>
        </w:rPr>
        <w:footnoteReference w:id="6"/>
      </w:r>
      <w:r w:rsidRPr="00F41BD6">
        <w:rPr>
          <w:rFonts w:ascii="Arial" w:hAnsi="Arial" w:cs="Arial"/>
          <w:color w:val="000000" w:themeColor="text1"/>
        </w:rPr>
        <w:t>, lo que deja ver la necesidad que tenía el Congreso de aclarar que unos documentos no podrían ser tenidos como requisitos habilitantes, lo que da cuenta, a su vez, del reconocimiento tácito de la existencia de otros requisitos habilitantes, distintos a los cuatro (4) que establece el artículo 5, parágrafo 1, de la Ley 1150 de 2007, reglamentados en el artículo 2.2.1.1.1.5.3 del Decreto 1082 de 2015</w:t>
      </w:r>
      <w:r w:rsidRPr="00F41BD6">
        <w:rPr>
          <w:rFonts w:ascii="Arial" w:hAnsi="Arial" w:cs="Arial"/>
          <w:color w:val="000000" w:themeColor="text1"/>
          <w:vertAlign w:val="superscript"/>
        </w:rPr>
        <w:footnoteReference w:id="7"/>
      </w:r>
      <w:r w:rsidRPr="00F41BD6">
        <w:rPr>
          <w:rFonts w:ascii="Arial" w:hAnsi="Arial" w:cs="Arial"/>
          <w:color w:val="000000" w:themeColor="text1"/>
        </w:rPr>
        <w:t>.</w:t>
      </w:r>
    </w:p>
    <w:p w14:paraId="5FA99F12"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Por otro lado, en el “Manual para determinar y verificar los requisitos habilitantes en los Procesos de Contratación”</w:t>
      </w:r>
      <w:r w:rsidRPr="00F41BD6">
        <w:rPr>
          <w:rFonts w:ascii="Arial" w:eastAsia="Times New Roman" w:hAnsi="Arial" w:cs="Arial"/>
          <w:szCs w:val="24"/>
          <w:vertAlign w:val="superscript"/>
          <w:lang w:val="es-ES_tradnl" w:eastAsia="es-ES_tradnl"/>
        </w:rPr>
        <w:footnoteReference w:id="8"/>
      </w:r>
      <w:r w:rsidRPr="00F41BD6">
        <w:rPr>
          <w:rFonts w:ascii="Arial" w:eastAsia="Times New Roman" w:hAnsi="Arial" w:cs="Arial"/>
          <w:szCs w:val="24"/>
          <w:lang w:val="es-ES_tradnl" w:eastAsia="es-ES_tradnl"/>
        </w:rPr>
        <w:t xml:space="preserve"> se determinaron los parámetros para </w:t>
      </w:r>
      <w:r w:rsidRPr="00F41BD6">
        <w:rPr>
          <w:rFonts w:ascii="Arial" w:eastAsia="Times New Roman" w:hAnsi="Arial" w:cs="Arial"/>
          <w:i/>
          <w:iCs/>
          <w:szCs w:val="24"/>
          <w:lang w:val="es-ES_tradnl" w:eastAsia="es-ES_tradnl"/>
        </w:rPr>
        <w:t xml:space="preserve">establecer, acreditar y subsanar </w:t>
      </w:r>
      <w:r w:rsidRPr="00F41BD6">
        <w:rPr>
          <w:rFonts w:ascii="Arial" w:eastAsia="Times New Roman" w:hAnsi="Arial" w:cs="Arial"/>
          <w:szCs w:val="24"/>
          <w:lang w:val="es-ES_tradnl" w:eastAsia="es-ES_tradnl"/>
        </w:rPr>
        <w:t>los requisitos habilitantes estudiados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experiencia”. De acuerdo con el Manual, su propósito consiste en “establecer unas condiciones mínimas para los proponentes de tal manera que la Entidad Estatal sólo evalúe las ofertas de aquellos que están en condiciones de cumplir con el objeto del Proceso de Contratación”.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094859DF"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 xml:space="preserve">En consecuencia, corresponde a las Entidades Estatales, durante la etapa de planeación estatal, estudiar y determinar los requisitos habilitantes que establecerán en los pliegos de condiciones, los cuales deben fijarse de forma adecuada y proporcional. Esto último, según se </w:t>
      </w:r>
      <w:r w:rsidRPr="00F41BD6">
        <w:rPr>
          <w:rFonts w:ascii="Arial" w:eastAsia="Times New Roman" w:hAnsi="Arial" w:cs="Arial"/>
          <w:szCs w:val="24"/>
          <w:lang w:val="es-ES_tradnl" w:eastAsia="es-ES_tradnl"/>
        </w:rPr>
        <w:lastRenderedPageBreak/>
        <w:t>deriva de la lectura del artículo 2.2.1.1.1.6.2 del Decreto 1082 de 2015, debe hacerse de acuerdo con la naturaleza, el valor del contrato, la forma de pago, los riesgos asociados al contrato, el plazo y la complejidad de ejecución del objeto</w:t>
      </w:r>
      <w:r w:rsidRPr="00F41BD6">
        <w:rPr>
          <w:rFonts w:ascii="Arial" w:hAnsi="Arial" w:cs="Arial"/>
          <w:b/>
          <w:sz w:val="21"/>
          <w:szCs w:val="21"/>
          <w:vertAlign w:val="superscript"/>
          <w:lang w:eastAsia="es-ES_tradnl"/>
        </w:rPr>
        <w:footnoteReference w:id="9"/>
      </w:r>
      <w:r w:rsidRPr="00F41BD6">
        <w:rPr>
          <w:rFonts w:ascii="Arial" w:eastAsia="Times New Roman" w:hAnsi="Arial" w:cs="Arial"/>
          <w:szCs w:val="24"/>
          <w:lang w:val="es-ES_tradnl" w:eastAsia="es-ES_tradnl"/>
        </w:rPr>
        <w:t xml:space="preserve">. Pues bien,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establece el parágrafo 2, del artículo 5, de la Ley 1150 de 2007, relacionado con la prohibición de exigir certificaciones de sistemas de gestión de calidad como requisito habilitante. </w:t>
      </w:r>
    </w:p>
    <w:p w14:paraId="37AC7BCE"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Ahora bien,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6F1665B9"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 xml:space="preserve">El </w:t>
      </w:r>
      <w:r w:rsidRPr="00F41BD6">
        <w:rPr>
          <w:rFonts w:ascii="Arial" w:eastAsia="Times New Roman" w:hAnsi="Arial" w:cs="Arial"/>
          <w:i/>
          <w:iCs/>
          <w:szCs w:val="24"/>
          <w:lang w:val="es-ES_tradnl" w:eastAsia="es-ES_tradnl"/>
        </w:rPr>
        <w:t xml:space="preserve">principio de autonomía de la voluntad, </w:t>
      </w:r>
      <w:r w:rsidRPr="00F41BD6">
        <w:rPr>
          <w:rFonts w:ascii="Arial" w:eastAsia="Times New Roman" w:hAnsi="Arial" w:cs="Arial"/>
          <w:szCs w:val="24"/>
          <w:lang w:val="es-ES_tradnl" w:eastAsia="es-ES_tradnl"/>
        </w:rPr>
        <w:t>reconocido en los artículos 13, 32 y 40 de la Ley 80 de 1993 para las entidades sometidas a esta, y en el artículo 1602 del Código Civil, para las exceptuadas de aquella, actúa entonces como el fundamento normativo que otorga a las Entidades Estatales la competencia para que puedan solicitar requisitos habilitantes adicionales o diferentes a los establecidos en el numeral 1°,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Esto en la medida que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49496CE2" w14:textId="77777777" w:rsidR="00F41BD6" w:rsidRPr="00F41BD6" w:rsidRDefault="00F41BD6" w:rsidP="00F41BD6">
      <w:pPr>
        <w:spacing w:before="120"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 xml:space="preserve">Considerando la discrecionalidad para establecer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w:t>
      </w:r>
    </w:p>
    <w:p w14:paraId="20E2EB8D" w14:textId="77777777" w:rsidR="00F41BD6" w:rsidRPr="00F41BD6" w:rsidRDefault="00F41BD6" w:rsidP="00F41BD6">
      <w:pPr>
        <w:spacing w:before="120" w:after="0" w:line="276" w:lineRule="auto"/>
        <w:ind w:firstLine="708"/>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 xml:space="preserve">Como conclusión de lo anterior, puede decirse que aunque la Ley 1150 de 2007 estableció unos requisitos habilitantes para los proponentes, esto es i) la capacidad jurídica, </w:t>
      </w:r>
      <w:proofErr w:type="spellStart"/>
      <w:r w:rsidRPr="00F41BD6">
        <w:rPr>
          <w:rFonts w:ascii="Arial" w:eastAsia="Times New Roman" w:hAnsi="Arial" w:cs="Arial"/>
          <w:szCs w:val="24"/>
          <w:lang w:val="es-ES_tradnl" w:eastAsia="es-ES_tradnl"/>
        </w:rPr>
        <w:t>ii</w:t>
      </w:r>
      <w:proofErr w:type="spellEnd"/>
      <w:r w:rsidRPr="00F41BD6">
        <w:rPr>
          <w:rFonts w:ascii="Arial" w:eastAsia="Times New Roman" w:hAnsi="Arial" w:cs="Arial"/>
          <w:szCs w:val="24"/>
          <w:lang w:val="es-ES_tradnl" w:eastAsia="es-ES_tradnl"/>
        </w:rPr>
        <w:t xml:space="preserve">) las condiciones de experiencia, </w:t>
      </w:r>
      <w:proofErr w:type="spellStart"/>
      <w:r w:rsidRPr="00F41BD6">
        <w:rPr>
          <w:rFonts w:ascii="Arial" w:eastAsia="Times New Roman" w:hAnsi="Arial" w:cs="Arial"/>
          <w:szCs w:val="24"/>
          <w:lang w:val="es-ES_tradnl" w:eastAsia="es-ES_tradnl"/>
        </w:rPr>
        <w:t>iii</w:t>
      </w:r>
      <w:proofErr w:type="spellEnd"/>
      <w:r w:rsidRPr="00F41BD6">
        <w:rPr>
          <w:rFonts w:ascii="Arial" w:eastAsia="Times New Roman" w:hAnsi="Arial" w:cs="Arial"/>
          <w:szCs w:val="24"/>
          <w:lang w:val="es-ES_tradnl" w:eastAsia="es-ES_tradnl"/>
        </w:rPr>
        <w:t xml:space="preserve">) la capacidad financiera y </w:t>
      </w:r>
      <w:proofErr w:type="spellStart"/>
      <w:r w:rsidRPr="00F41BD6">
        <w:rPr>
          <w:rFonts w:ascii="Arial" w:eastAsia="Times New Roman" w:hAnsi="Arial" w:cs="Arial"/>
          <w:szCs w:val="24"/>
          <w:lang w:val="es-ES_tradnl" w:eastAsia="es-ES_tradnl"/>
        </w:rPr>
        <w:t>iv</w:t>
      </w:r>
      <w:proofErr w:type="spellEnd"/>
      <w:r w:rsidRPr="00F41BD6">
        <w:rPr>
          <w:rFonts w:ascii="Arial" w:eastAsia="Times New Roman" w:hAnsi="Arial" w:cs="Arial"/>
          <w:szCs w:val="24"/>
          <w:lang w:val="es-ES_tradnl" w:eastAsia="es-ES_tradnl"/>
        </w:rPr>
        <w:t xml:space="preserve">) la capacidad de organización, lo cierto </w:t>
      </w:r>
      <w:r w:rsidRPr="00F41BD6">
        <w:rPr>
          <w:rFonts w:ascii="Arial" w:eastAsia="Times New Roman" w:hAnsi="Arial" w:cs="Arial"/>
          <w:szCs w:val="24"/>
          <w:lang w:val="es-ES_tradnl" w:eastAsia="es-ES_tradnl"/>
        </w:rPr>
        <w:lastRenderedPageBreak/>
        <w:t>es que los mismos no son taxativos; que los requisitos habilitantes deben ser establecidos por la entidad en cada proceso contractual de acuerdo con los parámetros fijados en el Decreto 1082 de 2015; y que una vez establecidos los requisitos habilitantes, quienes presenten ofertas deben acreditar que cumplen con ellos, so pena de que sus propuestas sean rechazadas. Esto sin perjuicio de la posibilidad de subsanarlas, cuando a ello haya lugar.</w:t>
      </w:r>
    </w:p>
    <w:p w14:paraId="3C7344B5" w14:textId="77777777" w:rsidR="00F41BD6" w:rsidRPr="00F41BD6" w:rsidRDefault="00F41BD6" w:rsidP="00F41BD6">
      <w:pPr>
        <w:spacing w:after="0" w:line="276" w:lineRule="auto"/>
        <w:jc w:val="both"/>
        <w:rPr>
          <w:rFonts w:ascii="Arial" w:eastAsia="Times New Roman" w:hAnsi="Arial" w:cs="Arial"/>
          <w:szCs w:val="24"/>
          <w:lang w:val="es-ES_tradnl" w:eastAsia="es-ES_tradnl"/>
        </w:rPr>
      </w:pPr>
    </w:p>
    <w:p w14:paraId="2D1FAE58" w14:textId="4D75A906" w:rsidR="00F41BD6" w:rsidRPr="00F41BD6" w:rsidRDefault="00F41BD6" w:rsidP="00F41BD6">
      <w:pPr>
        <w:spacing w:after="0" w:line="276" w:lineRule="auto"/>
        <w:jc w:val="both"/>
        <w:rPr>
          <w:rFonts w:ascii="Arial" w:eastAsia="Times New Roman" w:hAnsi="Arial" w:cs="Arial"/>
          <w:b/>
          <w:bCs/>
          <w:szCs w:val="24"/>
          <w:lang w:val="es-ES_tradnl" w:eastAsia="es-ES_tradnl"/>
        </w:rPr>
      </w:pPr>
      <w:r w:rsidRPr="00F41BD6">
        <w:rPr>
          <w:rFonts w:ascii="Arial" w:eastAsia="Times New Roman" w:hAnsi="Arial" w:cs="Arial"/>
          <w:b/>
          <w:bCs/>
          <w:szCs w:val="24"/>
          <w:lang w:val="es-ES_tradnl" w:eastAsia="es-ES_tradnl"/>
        </w:rPr>
        <w:t>2.</w:t>
      </w:r>
      <w:r w:rsidR="004B3F1B">
        <w:rPr>
          <w:rFonts w:ascii="Arial" w:eastAsia="Times New Roman" w:hAnsi="Arial" w:cs="Arial"/>
          <w:b/>
          <w:bCs/>
          <w:szCs w:val="24"/>
          <w:lang w:val="es-ES_tradnl" w:eastAsia="es-ES_tradnl"/>
        </w:rPr>
        <w:t>3</w:t>
      </w:r>
      <w:r w:rsidRPr="00F41BD6">
        <w:rPr>
          <w:rFonts w:ascii="Arial" w:eastAsia="Times New Roman" w:hAnsi="Arial" w:cs="Arial"/>
          <w:b/>
          <w:bCs/>
          <w:szCs w:val="24"/>
          <w:lang w:val="es-ES_tradnl" w:eastAsia="es-ES_tradnl"/>
        </w:rPr>
        <w:t xml:space="preserve">. </w:t>
      </w:r>
      <w:r w:rsidR="003A16FD">
        <w:rPr>
          <w:rFonts w:ascii="Arial" w:eastAsia="Times New Roman" w:hAnsi="Arial" w:cs="Arial"/>
          <w:b/>
          <w:bCs/>
          <w:szCs w:val="24"/>
          <w:lang w:val="es-ES_tradnl" w:eastAsia="es-ES_tradnl"/>
        </w:rPr>
        <w:t xml:space="preserve">El </w:t>
      </w:r>
      <w:r w:rsidRPr="00F41BD6">
        <w:rPr>
          <w:rFonts w:ascii="Arial" w:eastAsia="Times New Roman" w:hAnsi="Arial" w:cs="Arial"/>
          <w:b/>
          <w:bCs/>
          <w:szCs w:val="24"/>
          <w:lang w:val="es-ES_tradnl" w:eastAsia="es-ES_tradnl"/>
        </w:rPr>
        <w:t>requisito habilitante de experiencia</w:t>
      </w:r>
      <w:r w:rsidR="003A16FD">
        <w:rPr>
          <w:rFonts w:ascii="Arial" w:eastAsia="Times New Roman" w:hAnsi="Arial" w:cs="Arial"/>
          <w:b/>
          <w:bCs/>
          <w:szCs w:val="24"/>
          <w:lang w:val="es-ES_tradnl" w:eastAsia="es-ES_tradnl"/>
        </w:rPr>
        <w:t xml:space="preserve">. Posibilidad exigir experiencia en ítems representativos. </w:t>
      </w:r>
    </w:p>
    <w:p w14:paraId="33703099" w14:textId="77777777" w:rsidR="00F41BD6" w:rsidRPr="00F41BD6" w:rsidRDefault="00F41BD6" w:rsidP="00F41BD6">
      <w:pPr>
        <w:spacing w:after="0" w:line="276" w:lineRule="auto"/>
        <w:jc w:val="both"/>
        <w:rPr>
          <w:rFonts w:ascii="Arial" w:eastAsia="Times New Roman" w:hAnsi="Arial" w:cs="Arial"/>
          <w:b/>
          <w:bCs/>
          <w:szCs w:val="24"/>
          <w:lang w:val="es-ES_tradnl" w:eastAsia="es-ES_tradnl"/>
        </w:rPr>
      </w:pPr>
    </w:p>
    <w:p w14:paraId="7205341F" w14:textId="77777777" w:rsidR="00F41BD6" w:rsidRPr="00F41BD6" w:rsidRDefault="00F41BD6" w:rsidP="00F41BD6">
      <w:pPr>
        <w:spacing w:after="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Como se indicó anteriormente, el artículo 5 de la Ley 1150 de 2007, estableció los requisitos habilitantes para participar en un procedimiento contractual, dentro de los cuales se destaca el de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F41BD6">
        <w:rPr>
          <w:rFonts w:ascii="Arial" w:eastAsia="Calibri" w:hAnsi="Arial" w:cs="Arial"/>
          <w:vertAlign w:val="superscript"/>
          <w:lang w:val="es-MX" w:eastAsia="es-ES_tradnl"/>
        </w:rPr>
        <w:footnoteReference w:id="10"/>
      </w:r>
      <w:r w:rsidRPr="00F41BD6">
        <w:rPr>
          <w:rFonts w:ascii="Arial" w:eastAsia="Times New Roman" w:hAnsi="Arial" w:cs="Arial"/>
          <w:szCs w:val="24"/>
          <w:lang w:val="es-ES_tradnl" w:eastAsia="es-ES_tradnl"/>
        </w:rPr>
        <w:t>. En ese sentido, la entidad como responsable de la estructuración de su procedimiento de contratación, es autónoma para requerir la experiencia necesaria para el objeto del contrato, para lo que, de acuerdo con el artículo 2.2.1.1.1.6.2 del Decreto 1082 de 2015, debe tener en cuenta el estudio del sector y sus componentes como la identificación de riesgos, el mercado y precio del bien, obra o servicio a contratar</w:t>
      </w:r>
      <w:r w:rsidRPr="00F41BD6">
        <w:rPr>
          <w:rFonts w:ascii="Arial" w:eastAsia="Calibri" w:hAnsi="Arial" w:cs="Arial"/>
          <w:vertAlign w:val="superscript"/>
          <w:lang w:val="es-MX" w:eastAsia="es-ES_tradnl"/>
        </w:rPr>
        <w:footnoteReference w:id="11"/>
      </w:r>
      <w:r w:rsidRPr="00F41BD6">
        <w:rPr>
          <w:rFonts w:ascii="Arial" w:eastAsia="Calibri" w:hAnsi="Arial" w:cs="Arial"/>
          <w:lang w:val="es-MX" w:eastAsia="es-ES_tradnl"/>
        </w:rPr>
        <w:t>.</w:t>
      </w:r>
    </w:p>
    <w:p w14:paraId="4CAD8199" w14:textId="77777777" w:rsidR="00F41BD6" w:rsidRPr="00F41BD6" w:rsidRDefault="00F41BD6" w:rsidP="00F41BD6">
      <w:pPr>
        <w:spacing w:before="120" w:after="12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La experiencia que se deriva de los contratos que el proponente ha celebrado y ejecutado con diferentes contratantes, sin importar la naturaleza de estos, se verifica con el RUP</w:t>
      </w:r>
      <w:r w:rsidRPr="00F41BD6">
        <w:rPr>
          <w:rFonts w:ascii="Arial" w:eastAsia="Calibri" w:hAnsi="Arial" w:cs="Arial"/>
          <w:vertAlign w:val="superscript"/>
          <w:lang w:val="es-MX" w:eastAsia="es-ES_tradnl"/>
        </w:rPr>
        <w:footnoteReference w:id="12"/>
      </w:r>
      <w:r w:rsidRPr="00F41BD6">
        <w:rPr>
          <w:rFonts w:ascii="Arial" w:eastAsia="Times New Roman" w:hAnsi="Arial" w:cs="Arial"/>
          <w:szCs w:val="24"/>
          <w:lang w:val="es-ES_tradnl" w:eastAsia="es-ES_tradnl"/>
        </w:rPr>
        <w:t>, cuando este certificado sea exigible de acuerdo con la ley. En el RUP constan los requisitos habilitantes que se evalúan exclusivamente con este documento, que es plena prueba, sin que la entidad o el proponente puedan solicitar o aportar otra documentación</w:t>
      </w:r>
      <w:r w:rsidRPr="00F41BD6">
        <w:rPr>
          <w:rFonts w:ascii="Arial" w:eastAsia="Calibri" w:hAnsi="Arial" w:cs="Arial"/>
          <w:vertAlign w:val="superscript"/>
          <w:lang w:val="es-MX" w:eastAsia="es-ES_tradnl"/>
        </w:rPr>
        <w:footnoteReference w:id="13"/>
      </w:r>
      <w:r w:rsidRPr="00F41BD6">
        <w:rPr>
          <w:rFonts w:ascii="Arial" w:eastAsia="Calibri" w:hAnsi="Arial" w:cs="Arial"/>
          <w:lang w:val="es-MX" w:eastAsia="es-ES_tradnl"/>
        </w:rPr>
        <w:t>.</w:t>
      </w:r>
    </w:p>
    <w:p w14:paraId="375199A2" w14:textId="77777777" w:rsidR="00F41BD6" w:rsidRPr="00F41BD6" w:rsidRDefault="00F41BD6" w:rsidP="00F41BD6">
      <w:pPr>
        <w:spacing w:before="120" w:after="12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lastRenderedPageBreak/>
        <w:tab/>
        <w:t>Así pues, la experiencia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F41BD6">
        <w:rPr>
          <w:rFonts w:ascii="Arial" w:eastAsia="Calibri" w:hAnsi="Arial" w:cs="Arial"/>
          <w:vertAlign w:val="superscript"/>
          <w:lang w:val="es-MX" w:eastAsia="es-ES_tradnl"/>
        </w:rPr>
        <w:footnoteReference w:id="14"/>
      </w:r>
      <w:r w:rsidRPr="00F41BD6">
        <w:rPr>
          <w:rFonts w:ascii="Arial" w:eastAsia="Calibri" w:hAnsi="Arial" w:cs="Arial"/>
          <w:lang w:val="es-MX" w:eastAsia="es-ES_tradnl"/>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507FA787" w14:textId="77777777" w:rsidR="00F41BD6" w:rsidRPr="00F41BD6" w:rsidRDefault="00F41BD6" w:rsidP="00F41BD6">
      <w:pPr>
        <w:spacing w:before="120" w:after="12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El artículo 6 de la Ley 1150 de 2007 estableció una regla probatoria en lo que se refiere a las condiciones de los proponentes contenidas en el RUP y asignó la competencia a las Cámaras de Comercio para verificarlas. Igualmente, la norma impuso la obligación a todos los proponentes de inscribirse en el RUP, salvo en los casos de contratación directa, contratos para la prestación de servicios en salud, contratos de mínima cuantía, enajenación de bienes del Estado y los contratos que tengan por objeto la adquisición de productos de origen o destinación agropecuaria que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w:t>
      </w:r>
    </w:p>
    <w:p w14:paraId="4C4AD16A" w14:textId="77777777" w:rsidR="00F41BD6" w:rsidRPr="00F41BD6" w:rsidRDefault="00F41BD6" w:rsidP="00F41BD6">
      <w:pPr>
        <w:spacing w:before="120" w:after="120" w:line="276" w:lineRule="auto"/>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ab/>
        <w:t xml:space="preserve">El inciso 2 del numeral 6.1 de la Ley 1150 de 2007, le otorga el carácter de plena prueba a la información contenida en el RUP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6D50B482" w14:textId="77777777" w:rsidR="00F41BD6" w:rsidRDefault="00F41BD6" w:rsidP="00F41BD6">
      <w:pPr>
        <w:spacing w:before="120" w:after="120" w:line="276" w:lineRule="auto"/>
        <w:ind w:firstLine="708"/>
        <w:jc w:val="both"/>
        <w:rPr>
          <w:rFonts w:ascii="Arial" w:eastAsia="Times New Roman" w:hAnsi="Arial" w:cs="Arial"/>
          <w:szCs w:val="24"/>
          <w:lang w:val="es-ES_tradnl" w:eastAsia="es-ES_tradnl"/>
        </w:rPr>
      </w:pPr>
      <w:r w:rsidRPr="00F41BD6">
        <w:rPr>
          <w:rFonts w:ascii="Arial" w:eastAsia="Times New Roman" w:hAnsi="Arial" w:cs="Arial"/>
          <w:szCs w:val="24"/>
          <w:lang w:val="es-ES_tradnl" w:eastAsia="es-ES_tradnl"/>
        </w:rPr>
        <w:t xml:space="preserve">En consecuencia, la norma dispone que a las entidades les está prohibido exigir otros documentos para efectuar la inscripción en el registro, salvo lo dispuesto en el inciso 3 del numeral 6.1 de la Ley 1150 de 2007, en el que se prevé que la entidad podrá verificar requisitos adicionales a los contenidos en el registro cuando se requiera en virtud de la naturaleza del objeto a contratar. La norma señala que sólo en este último evento la entidad podrá hacer la verificación en forma directa, es decir, cuando por el objeto del contrato se requieran verificar requisitos adicionales a los contenidos en el registro. De lo anterior se colige que la regla general, es que la experiencia se acredite a través del RUP y, en consecuencia, la evaluación de la experiencia, </w:t>
      </w:r>
      <w:r w:rsidRPr="00F41BD6">
        <w:rPr>
          <w:rFonts w:ascii="Arial" w:eastAsia="Times New Roman" w:hAnsi="Arial" w:cs="Arial"/>
          <w:szCs w:val="24"/>
          <w:lang w:val="es-ES_tradnl" w:eastAsia="es-ES_tradnl"/>
        </w:rPr>
        <w:lastRenderedPageBreak/>
        <w:t>como requisito habilitante, no puede ser evaluada nuevamente por la entidad pública a partir de otros criterios distintos a los contenidos en el RUP.</w:t>
      </w:r>
    </w:p>
    <w:p w14:paraId="73DDB487" w14:textId="74C753E2" w:rsidR="006A3D0E" w:rsidRDefault="00065DAF" w:rsidP="00F41BD6">
      <w:pPr>
        <w:spacing w:before="120" w:after="120" w:line="276" w:lineRule="auto"/>
        <w:ind w:firstLine="708"/>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En cuanto a</w:t>
      </w:r>
      <w:r w:rsidR="00C54DE3">
        <w:rPr>
          <w:rFonts w:ascii="Arial" w:eastAsia="Times New Roman" w:hAnsi="Arial" w:cs="Arial"/>
          <w:szCs w:val="24"/>
          <w:lang w:val="es-ES_tradnl" w:eastAsia="es-ES_tradnl"/>
        </w:rPr>
        <w:t>l objeto de la consulta es preciso advertir que, en el Estatuto General de Contratación de la Administración Pública</w:t>
      </w:r>
      <w:r w:rsidR="005D417D">
        <w:rPr>
          <w:rFonts w:ascii="Arial" w:eastAsia="Times New Roman" w:hAnsi="Arial" w:cs="Arial"/>
          <w:szCs w:val="24"/>
          <w:lang w:val="es-ES_tradnl" w:eastAsia="es-ES_tradnl"/>
        </w:rPr>
        <w:t xml:space="preserve"> no existe una regulación expresa de la posibilidad de </w:t>
      </w:r>
      <w:r w:rsidR="002D3536">
        <w:rPr>
          <w:rFonts w:ascii="Arial" w:eastAsia="Times New Roman" w:hAnsi="Arial" w:cs="Arial"/>
          <w:szCs w:val="24"/>
          <w:lang w:val="es-ES_tradnl" w:eastAsia="es-ES_tradnl"/>
        </w:rPr>
        <w:t>exigir experiencia en “</w:t>
      </w:r>
      <w:r w:rsidR="002D3536" w:rsidRPr="00B85F35">
        <w:rPr>
          <w:rFonts w:ascii="Arial" w:eastAsia="Times New Roman" w:hAnsi="Arial" w:cs="Arial"/>
          <w:i/>
          <w:iCs/>
          <w:szCs w:val="24"/>
          <w:lang w:val="es-ES_tradnl" w:eastAsia="es-ES_tradnl"/>
        </w:rPr>
        <w:t>ítems</w:t>
      </w:r>
      <w:r w:rsidR="002D3536">
        <w:rPr>
          <w:rFonts w:ascii="Arial" w:eastAsia="Times New Roman" w:hAnsi="Arial" w:cs="Arial"/>
          <w:i/>
          <w:iCs/>
          <w:szCs w:val="24"/>
          <w:lang w:val="es-ES_tradnl" w:eastAsia="es-ES_tradnl"/>
        </w:rPr>
        <w:t xml:space="preserve"> representativos</w:t>
      </w:r>
      <w:r w:rsidR="00DB77BD">
        <w:rPr>
          <w:rFonts w:ascii="Arial" w:eastAsia="Times New Roman" w:hAnsi="Arial" w:cs="Arial"/>
          <w:i/>
          <w:iCs/>
          <w:szCs w:val="24"/>
          <w:lang w:val="es-ES_tradnl" w:eastAsia="es-ES_tradnl"/>
        </w:rPr>
        <w:t>”</w:t>
      </w:r>
      <w:r w:rsidR="00AE2488">
        <w:rPr>
          <w:rFonts w:ascii="Arial" w:eastAsia="Times New Roman" w:hAnsi="Arial" w:cs="Arial"/>
          <w:i/>
          <w:iCs/>
          <w:szCs w:val="24"/>
          <w:lang w:val="es-ES_tradnl" w:eastAsia="es-ES_tradnl"/>
        </w:rPr>
        <w:t xml:space="preserve">. </w:t>
      </w:r>
      <w:r w:rsidR="00AE2488" w:rsidRPr="00B85F35">
        <w:rPr>
          <w:rFonts w:ascii="Arial" w:eastAsia="Times New Roman" w:hAnsi="Arial" w:cs="Arial"/>
          <w:szCs w:val="24"/>
          <w:lang w:val="es-ES_tradnl" w:eastAsia="es-ES_tradnl"/>
        </w:rPr>
        <w:t>Dicha</w:t>
      </w:r>
      <w:r w:rsidR="00DB77BD">
        <w:rPr>
          <w:rFonts w:ascii="Arial" w:eastAsia="Times New Roman" w:hAnsi="Arial" w:cs="Arial"/>
          <w:i/>
          <w:iCs/>
          <w:szCs w:val="24"/>
          <w:lang w:val="es-ES_tradnl" w:eastAsia="es-ES_tradnl"/>
        </w:rPr>
        <w:t xml:space="preserve"> </w:t>
      </w:r>
      <w:r w:rsidR="00DB77BD">
        <w:rPr>
          <w:rFonts w:ascii="Arial" w:eastAsia="Times New Roman" w:hAnsi="Arial" w:cs="Arial"/>
          <w:szCs w:val="24"/>
          <w:lang w:val="es-ES_tradnl" w:eastAsia="es-ES_tradnl"/>
        </w:rPr>
        <w:t>expresión</w:t>
      </w:r>
      <w:r w:rsidR="00AE2488">
        <w:rPr>
          <w:rFonts w:ascii="Arial" w:eastAsia="Times New Roman" w:hAnsi="Arial" w:cs="Arial"/>
          <w:szCs w:val="24"/>
          <w:lang w:val="es-ES_tradnl" w:eastAsia="es-ES_tradnl"/>
        </w:rPr>
        <w:t xml:space="preserve"> </w:t>
      </w:r>
      <w:r w:rsidR="00DB77BD">
        <w:rPr>
          <w:rFonts w:ascii="Arial" w:eastAsia="Times New Roman" w:hAnsi="Arial" w:cs="Arial"/>
          <w:szCs w:val="24"/>
          <w:lang w:val="es-ES_tradnl" w:eastAsia="es-ES_tradnl"/>
        </w:rPr>
        <w:t xml:space="preserve">tampoco tiene un alcance </w:t>
      </w:r>
      <w:r w:rsidR="00B35B7C">
        <w:rPr>
          <w:rFonts w:ascii="Arial" w:eastAsia="Times New Roman" w:hAnsi="Arial" w:cs="Arial"/>
          <w:szCs w:val="24"/>
          <w:lang w:val="es-ES_tradnl" w:eastAsia="es-ES_tradnl"/>
        </w:rPr>
        <w:t>en particular dentro d</w:t>
      </w:r>
      <w:r w:rsidR="00180926">
        <w:rPr>
          <w:rFonts w:ascii="Arial" w:eastAsia="Times New Roman" w:hAnsi="Arial" w:cs="Arial"/>
          <w:szCs w:val="24"/>
          <w:lang w:val="es-ES_tradnl" w:eastAsia="es-ES_tradnl"/>
        </w:rPr>
        <w:t>e la normativa, sin embarg</w:t>
      </w:r>
      <w:r w:rsidR="001328B7">
        <w:rPr>
          <w:rFonts w:ascii="Arial" w:eastAsia="Times New Roman" w:hAnsi="Arial" w:cs="Arial"/>
          <w:szCs w:val="24"/>
          <w:lang w:val="es-ES_tradnl" w:eastAsia="es-ES_tradnl"/>
        </w:rPr>
        <w:t xml:space="preserve">o, interpretando la misma de acuerdo con el artículo </w:t>
      </w:r>
      <w:r w:rsidR="007E6647">
        <w:rPr>
          <w:rFonts w:ascii="Arial" w:eastAsia="Times New Roman" w:hAnsi="Arial" w:cs="Arial"/>
          <w:szCs w:val="24"/>
          <w:lang w:val="es-ES_tradnl" w:eastAsia="es-ES_tradnl"/>
        </w:rPr>
        <w:t xml:space="preserve">28 del Código Civil, a partir del significado </w:t>
      </w:r>
      <w:r w:rsidR="002F79D0">
        <w:rPr>
          <w:rFonts w:ascii="Arial" w:eastAsia="Times New Roman" w:hAnsi="Arial" w:cs="Arial"/>
          <w:szCs w:val="24"/>
          <w:lang w:val="es-ES_tradnl" w:eastAsia="es-ES_tradnl"/>
        </w:rPr>
        <w:t>de las palabras que la conform</w:t>
      </w:r>
      <w:r w:rsidR="00454862">
        <w:rPr>
          <w:rFonts w:ascii="Arial" w:eastAsia="Times New Roman" w:hAnsi="Arial" w:cs="Arial"/>
          <w:szCs w:val="24"/>
          <w:lang w:val="es-ES_tradnl" w:eastAsia="es-ES_tradnl"/>
        </w:rPr>
        <w:t>an</w:t>
      </w:r>
      <w:r w:rsidR="00454862">
        <w:rPr>
          <w:rStyle w:val="Refdenotaalpie"/>
          <w:rFonts w:ascii="Arial" w:eastAsia="Times New Roman" w:hAnsi="Arial" w:cs="Arial"/>
          <w:szCs w:val="24"/>
          <w:lang w:val="es-ES_tradnl" w:eastAsia="es-ES_tradnl"/>
        </w:rPr>
        <w:footnoteReference w:id="15"/>
      </w:r>
      <w:r w:rsidR="00A57447">
        <w:rPr>
          <w:rFonts w:ascii="Arial" w:eastAsia="Times New Roman" w:hAnsi="Arial" w:cs="Arial"/>
          <w:szCs w:val="24"/>
          <w:lang w:val="es-ES_tradnl" w:eastAsia="es-ES_tradnl"/>
        </w:rPr>
        <w:t xml:space="preserve">, y </w:t>
      </w:r>
      <w:r w:rsidR="00EF1B25">
        <w:rPr>
          <w:rFonts w:ascii="Arial" w:eastAsia="Times New Roman" w:hAnsi="Arial" w:cs="Arial"/>
          <w:szCs w:val="24"/>
          <w:lang w:val="es-ES_tradnl" w:eastAsia="es-ES_tradnl"/>
        </w:rPr>
        <w:t xml:space="preserve">en atención al contexto en el que es utilizada, es posible entender que la misma a alude a </w:t>
      </w:r>
      <w:r w:rsidR="00B774CD">
        <w:rPr>
          <w:rFonts w:ascii="Arial" w:eastAsia="Times New Roman" w:hAnsi="Arial" w:cs="Arial"/>
          <w:szCs w:val="24"/>
          <w:lang w:val="es-ES_tradnl" w:eastAsia="es-ES_tradnl"/>
        </w:rPr>
        <w:t xml:space="preserve">alguna de las </w:t>
      </w:r>
      <w:r w:rsidR="0070345E">
        <w:rPr>
          <w:rFonts w:ascii="Arial" w:eastAsia="Times New Roman" w:hAnsi="Arial" w:cs="Arial"/>
          <w:szCs w:val="24"/>
          <w:lang w:val="es-ES_tradnl" w:eastAsia="es-ES_tradnl"/>
        </w:rPr>
        <w:t>actividades</w:t>
      </w:r>
      <w:r w:rsidR="00F42B8A">
        <w:rPr>
          <w:rFonts w:ascii="Arial" w:eastAsia="Times New Roman" w:hAnsi="Arial" w:cs="Arial"/>
          <w:szCs w:val="24"/>
          <w:lang w:val="es-ES_tradnl" w:eastAsia="es-ES_tradnl"/>
        </w:rPr>
        <w:t>, bienes u obras</w:t>
      </w:r>
      <w:r w:rsidR="0070345E">
        <w:rPr>
          <w:rFonts w:ascii="Arial" w:eastAsia="Times New Roman" w:hAnsi="Arial" w:cs="Arial"/>
          <w:szCs w:val="24"/>
          <w:lang w:val="es-ES_tradnl" w:eastAsia="es-ES_tradnl"/>
        </w:rPr>
        <w:t xml:space="preserve"> </w:t>
      </w:r>
      <w:r w:rsidR="00B774CD">
        <w:rPr>
          <w:rFonts w:ascii="Arial" w:eastAsia="Times New Roman" w:hAnsi="Arial" w:cs="Arial"/>
          <w:szCs w:val="24"/>
          <w:lang w:val="es-ES_tradnl" w:eastAsia="es-ES_tradnl"/>
        </w:rPr>
        <w:t xml:space="preserve">en las que se desagrega un objeto contractual </w:t>
      </w:r>
      <w:r w:rsidR="00AA119D">
        <w:rPr>
          <w:rFonts w:ascii="Arial" w:eastAsia="Times New Roman" w:hAnsi="Arial" w:cs="Arial"/>
          <w:szCs w:val="24"/>
          <w:lang w:val="es-ES_tradnl" w:eastAsia="es-ES_tradnl"/>
        </w:rPr>
        <w:t xml:space="preserve">y que </w:t>
      </w:r>
      <w:r w:rsidR="004D3F3E">
        <w:rPr>
          <w:rFonts w:ascii="Arial" w:eastAsia="Times New Roman" w:hAnsi="Arial" w:cs="Arial"/>
          <w:szCs w:val="24"/>
          <w:lang w:val="es-ES_tradnl" w:eastAsia="es-ES_tradnl"/>
        </w:rPr>
        <w:t>en atención a su</w:t>
      </w:r>
      <w:r w:rsidR="00AA119D">
        <w:rPr>
          <w:rFonts w:ascii="Arial" w:eastAsia="Times New Roman" w:hAnsi="Arial" w:cs="Arial"/>
          <w:szCs w:val="24"/>
          <w:lang w:val="es-ES_tradnl" w:eastAsia="es-ES_tradnl"/>
        </w:rPr>
        <w:t xml:space="preserve"> importancia para el</w:t>
      </w:r>
      <w:r w:rsidR="004D3F3E">
        <w:rPr>
          <w:rFonts w:ascii="Arial" w:eastAsia="Times New Roman" w:hAnsi="Arial" w:cs="Arial"/>
          <w:szCs w:val="24"/>
          <w:lang w:val="es-ES_tradnl" w:eastAsia="es-ES_tradnl"/>
        </w:rPr>
        <w:t xml:space="preserve"> contrato</w:t>
      </w:r>
      <w:r w:rsidR="00AA119D">
        <w:rPr>
          <w:rFonts w:ascii="Arial" w:eastAsia="Times New Roman" w:hAnsi="Arial" w:cs="Arial"/>
          <w:szCs w:val="24"/>
          <w:lang w:val="es-ES_tradnl" w:eastAsia="es-ES_tradnl"/>
        </w:rPr>
        <w:t xml:space="preserve"> mismo s</w:t>
      </w:r>
      <w:r w:rsidR="004D3F3E">
        <w:rPr>
          <w:rFonts w:ascii="Arial" w:eastAsia="Times New Roman" w:hAnsi="Arial" w:cs="Arial"/>
          <w:szCs w:val="24"/>
          <w:lang w:val="es-ES_tradnl" w:eastAsia="es-ES_tradnl"/>
        </w:rPr>
        <w:t>on</w:t>
      </w:r>
      <w:r w:rsidR="00AA119D">
        <w:rPr>
          <w:rFonts w:ascii="Arial" w:eastAsia="Times New Roman" w:hAnsi="Arial" w:cs="Arial"/>
          <w:szCs w:val="24"/>
          <w:lang w:val="es-ES_tradnl" w:eastAsia="es-ES_tradnl"/>
        </w:rPr>
        <w:t xml:space="preserve"> considera</w:t>
      </w:r>
      <w:r w:rsidR="004D3F3E">
        <w:rPr>
          <w:rFonts w:ascii="Arial" w:eastAsia="Times New Roman" w:hAnsi="Arial" w:cs="Arial"/>
          <w:szCs w:val="24"/>
          <w:lang w:val="es-ES_tradnl" w:eastAsia="es-ES_tradnl"/>
        </w:rPr>
        <w:t>dos</w:t>
      </w:r>
      <w:r w:rsidR="00AA119D">
        <w:rPr>
          <w:rFonts w:ascii="Arial" w:eastAsia="Times New Roman" w:hAnsi="Arial" w:cs="Arial"/>
          <w:szCs w:val="24"/>
          <w:lang w:val="es-ES_tradnl" w:eastAsia="es-ES_tradnl"/>
        </w:rPr>
        <w:t xml:space="preserve"> representativo</w:t>
      </w:r>
      <w:r w:rsidR="004D3F3E">
        <w:rPr>
          <w:rFonts w:ascii="Arial" w:eastAsia="Times New Roman" w:hAnsi="Arial" w:cs="Arial"/>
          <w:szCs w:val="24"/>
          <w:lang w:val="es-ES_tradnl" w:eastAsia="es-ES_tradnl"/>
        </w:rPr>
        <w:t>s</w:t>
      </w:r>
      <w:r w:rsidR="00410954">
        <w:rPr>
          <w:rFonts w:ascii="Arial" w:eastAsia="Times New Roman" w:hAnsi="Arial" w:cs="Arial"/>
          <w:szCs w:val="24"/>
          <w:lang w:val="es-ES_tradnl" w:eastAsia="es-ES_tradnl"/>
        </w:rPr>
        <w:t xml:space="preserve">. </w:t>
      </w:r>
      <w:r w:rsidR="00F6138B">
        <w:rPr>
          <w:rFonts w:ascii="Arial" w:eastAsia="Times New Roman" w:hAnsi="Arial" w:cs="Arial"/>
          <w:szCs w:val="24"/>
          <w:lang w:val="es-ES_tradnl" w:eastAsia="es-ES_tradnl"/>
        </w:rPr>
        <w:t>Tal</w:t>
      </w:r>
      <w:r w:rsidR="00410954">
        <w:rPr>
          <w:rFonts w:ascii="Arial" w:eastAsia="Times New Roman" w:hAnsi="Arial" w:cs="Arial"/>
          <w:szCs w:val="24"/>
          <w:lang w:val="es-ES_tradnl" w:eastAsia="es-ES_tradnl"/>
        </w:rPr>
        <w:t xml:space="preserve"> representatividad bien podría estar determinada por el valor o la complejidad técnica que </w:t>
      </w:r>
      <w:r w:rsidR="00F6138B">
        <w:rPr>
          <w:rFonts w:ascii="Arial" w:eastAsia="Times New Roman" w:hAnsi="Arial" w:cs="Arial"/>
          <w:szCs w:val="24"/>
          <w:lang w:val="es-ES_tradnl" w:eastAsia="es-ES_tradnl"/>
        </w:rPr>
        <w:t xml:space="preserve">revisten el correspondiente </w:t>
      </w:r>
      <w:r w:rsidR="00BF4FD5">
        <w:rPr>
          <w:rFonts w:ascii="Arial" w:eastAsia="Times New Roman" w:hAnsi="Arial" w:cs="Arial"/>
          <w:szCs w:val="24"/>
          <w:lang w:val="es-ES_tradnl" w:eastAsia="es-ES_tradnl"/>
        </w:rPr>
        <w:t xml:space="preserve">el correspondiente </w:t>
      </w:r>
      <w:r w:rsidR="00BF4FD5" w:rsidRPr="00B85F35">
        <w:rPr>
          <w:rFonts w:ascii="Arial" w:eastAsia="Times New Roman" w:hAnsi="Arial" w:cs="Arial"/>
          <w:i/>
          <w:iCs/>
          <w:szCs w:val="24"/>
          <w:lang w:val="es-ES_tradnl" w:eastAsia="es-ES_tradnl"/>
        </w:rPr>
        <w:t>ítem</w:t>
      </w:r>
      <w:r w:rsidR="00CD21ED">
        <w:rPr>
          <w:rFonts w:ascii="Arial" w:eastAsia="Times New Roman" w:hAnsi="Arial" w:cs="Arial"/>
          <w:i/>
          <w:iCs/>
          <w:szCs w:val="24"/>
          <w:lang w:val="es-ES_tradnl" w:eastAsia="es-ES_tradnl"/>
        </w:rPr>
        <w:t xml:space="preserve">, </w:t>
      </w:r>
      <w:r w:rsidR="00CD21ED">
        <w:rPr>
          <w:rFonts w:ascii="Arial" w:eastAsia="Times New Roman" w:hAnsi="Arial" w:cs="Arial"/>
          <w:szCs w:val="24"/>
          <w:lang w:val="es-ES_tradnl" w:eastAsia="es-ES_tradnl"/>
        </w:rPr>
        <w:t xml:space="preserve">o el criterio que se determine en el contexto del respectivo proceso de selección.  </w:t>
      </w:r>
      <w:r w:rsidR="00F6138B">
        <w:rPr>
          <w:rFonts w:ascii="Arial" w:eastAsia="Times New Roman" w:hAnsi="Arial" w:cs="Arial"/>
          <w:szCs w:val="24"/>
          <w:lang w:val="es-ES_tradnl" w:eastAsia="es-ES_tradnl"/>
        </w:rPr>
        <w:t xml:space="preserve"> </w:t>
      </w:r>
    </w:p>
    <w:p w14:paraId="4AD67322" w14:textId="2AF1F575" w:rsidR="00B373BE" w:rsidRDefault="00F42B8A" w:rsidP="00B85F35">
      <w:pPr>
        <w:spacing w:before="120" w:after="120" w:line="276" w:lineRule="auto"/>
        <w:ind w:firstLine="708"/>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 xml:space="preserve"> </w:t>
      </w:r>
      <w:r w:rsidR="00FA06F7">
        <w:rPr>
          <w:rFonts w:ascii="Arial" w:eastAsia="Times New Roman" w:hAnsi="Arial" w:cs="Arial"/>
          <w:szCs w:val="24"/>
          <w:lang w:val="es-ES_tradnl" w:eastAsia="es-ES_tradnl"/>
        </w:rPr>
        <w:t xml:space="preserve">En lo concerniente a los documentos tipo </w:t>
      </w:r>
      <w:r w:rsidR="00F41BD6" w:rsidRPr="00F41BD6">
        <w:rPr>
          <w:rFonts w:ascii="Arial" w:eastAsia="Times New Roman" w:hAnsi="Arial" w:cs="Arial"/>
          <w:szCs w:val="24"/>
          <w:lang w:val="es-ES_tradnl" w:eastAsia="es-ES_tradnl"/>
        </w:rPr>
        <w:t>adoptados por Colombia Compra Eficiente</w:t>
      </w:r>
      <w:r w:rsidR="00F41BD6" w:rsidRPr="00F41BD6">
        <w:rPr>
          <w:rFonts w:ascii="Arial" w:eastAsia="Times New Roman" w:hAnsi="Arial" w:cs="Arial"/>
          <w:szCs w:val="24"/>
          <w:vertAlign w:val="superscript"/>
          <w:lang w:val="es-ES_tradnl" w:eastAsia="es-ES_tradnl"/>
        </w:rPr>
        <w:footnoteReference w:id="16"/>
      </w:r>
      <w:r w:rsidR="00F41BD6" w:rsidRPr="00F41BD6">
        <w:rPr>
          <w:rFonts w:ascii="Arial" w:eastAsia="Times New Roman" w:hAnsi="Arial" w:cs="Arial"/>
          <w:szCs w:val="24"/>
          <w:lang w:val="es-ES_tradnl" w:eastAsia="es-ES_tradnl"/>
        </w:rPr>
        <w:t xml:space="preserve">, </w:t>
      </w:r>
      <w:r w:rsidR="00FA06F7">
        <w:rPr>
          <w:rFonts w:ascii="Arial" w:eastAsia="Times New Roman" w:hAnsi="Arial" w:cs="Arial"/>
          <w:szCs w:val="24"/>
          <w:lang w:val="es-ES_tradnl" w:eastAsia="es-ES_tradnl"/>
        </w:rPr>
        <w:t xml:space="preserve"> debe advertirse que </w:t>
      </w:r>
      <w:r w:rsidR="00F41BD6" w:rsidRPr="00F41BD6">
        <w:rPr>
          <w:rFonts w:ascii="Arial" w:eastAsia="Times New Roman" w:hAnsi="Arial" w:cs="Arial"/>
          <w:szCs w:val="24"/>
          <w:lang w:val="es-ES_tradnl" w:eastAsia="es-ES_tradnl"/>
        </w:rPr>
        <w:t xml:space="preserve">la acreditación del requisito habilitante de </w:t>
      </w:r>
      <w:r w:rsidR="00837094" w:rsidRPr="00F41BD6">
        <w:rPr>
          <w:rFonts w:ascii="Arial" w:eastAsia="Times New Roman" w:hAnsi="Arial" w:cs="Arial"/>
          <w:szCs w:val="24"/>
          <w:lang w:val="es-ES_tradnl" w:eastAsia="es-ES_tradnl"/>
        </w:rPr>
        <w:t>experiencia</w:t>
      </w:r>
      <w:r w:rsidR="00F41BD6" w:rsidRPr="00F41BD6">
        <w:rPr>
          <w:rFonts w:ascii="Arial" w:eastAsia="Times New Roman" w:hAnsi="Arial" w:cs="Arial"/>
          <w:szCs w:val="24"/>
          <w:lang w:val="es-ES_tradnl" w:eastAsia="es-ES_tradnl"/>
        </w:rPr>
        <w:t xml:space="preserve"> depende de la particularidad de dicho documento. Por ejemplo, en los Documentos Tipo de licitación pública de infraestructura de transporte – Versión 3, los proponentes deberán acreditar su experiencia a través de: i) la información contenida en el RUP para aquellos que estén obligados a tenerlo, </w:t>
      </w:r>
      <w:proofErr w:type="spellStart"/>
      <w:r w:rsidR="00F41BD6" w:rsidRPr="00F41BD6">
        <w:rPr>
          <w:rFonts w:ascii="Arial" w:eastAsia="Times New Roman" w:hAnsi="Arial" w:cs="Arial"/>
          <w:szCs w:val="24"/>
          <w:lang w:val="es-ES_tradnl" w:eastAsia="es-ES_tradnl"/>
        </w:rPr>
        <w:t>ii</w:t>
      </w:r>
      <w:proofErr w:type="spellEnd"/>
      <w:r w:rsidR="00F41BD6" w:rsidRPr="00F41BD6">
        <w:rPr>
          <w:rFonts w:ascii="Arial" w:eastAsia="Times New Roman" w:hAnsi="Arial" w:cs="Arial"/>
          <w:szCs w:val="24"/>
          <w:lang w:val="es-ES_tradnl" w:eastAsia="es-ES_tradnl"/>
        </w:rPr>
        <w:t xml:space="preserve">) la presentación del “Formato 3 – Experiencia” para todos los proponentes y, </w:t>
      </w:r>
      <w:proofErr w:type="spellStart"/>
      <w:r w:rsidR="00F41BD6" w:rsidRPr="00F41BD6">
        <w:rPr>
          <w:rFonts w:ascii="Arial" w:eastAsia="Times New Roman" w:hAnsi="Arial" w:cs="Arial"/>
          <w:szCs w:val="24"/>
          <w:lang w:val="es-ES_tradnl" w:eastAsia="es-ES_tradnl"/>
        </w:rPr>
        <w:t>iii</w:t>
      </w:r>
      <w:proofErr w:type="spellEnd"/>
      <w:r w:rsidR="00F41BD6" w:rsidRPr="00F41BD6">
        <w:rPr>
          <w:rFonts w:ascii="Arial" w:eastAsia="Times New Roman" w:hAnsi="Arial" w:cs="Arial"/>
          <w:szCs w:val="24"/>
          <w:lang w:val="es-ES_tradnl" w:eastAsia="es-ES_tradnl"/>
        </w:rPr>
        <w:t xml:space="preserve">) alguno de los documentos válidos para la acreditación de la experiencia señalados en el numeral 3.5.6 del “Documento Base”, cuando se requiera la verificación de información del proponente adicional a la contenida en el RUP. </w:t>
      </w:r>
      <w:r w:rsidR="008B394C">
        <w:rPr>
          <w:rFonts w:ascii="Arial" w:eastAsia="Times New Roman" w:hAnsi="Arial" w:cs="Arial"/>
          <w:szCs w:val="24"/>
          <w:lang w:val="es-ES_tradnl" w:eastAsia="es-ES_tradnl"/>
        </w:rPr>
        <w:t>La experiencia que se acredite</w:t>
      </w:r>
      <w:r w:rsidR="000A646F">
        <w:rPr>
          <w:rFonts w:ascii="Arial" w:eastAsia="Times New Roman" w:hAnsi="Arial" w:cs="Arial"/>
          <w:szCs w:val="24"/>
          <w:lang w:val="es-ES_tradnl" w:eastAsia="es-ES_tradnl"/>
        </w:rPr>
        <w:t xml:space="preserve"> deberá coincidir con los requisitos de experiencia general y especifica que fueren aplicables para </w:t>
      </w:r>
      <w:r w:rsidR="00B85F35">
        <w:rPr>
          <w:rFonts w:ascii="Arial" w:eastAsia="Times New Roman" w:hAnsi="Arial" w:cs="Arial"/>
          <w:szCs w:val="24"/>
          <w:lang w:val="es-ES_tradnl" w:eastAsia="es-ES_tradnl"/>
        </w:rPr>
        <w:t>el tipo</w:t>
      </w:r>
      <w:r w:rsidR="000A646F">
        <w:rPr>
          <w:rFonts w:ascii="Arial" w:eastAsia="Times New Roman" w:hAnsi="Arial" w:cs="Arial"/>
          <w:szCs w:val="24"/>
          <w:lang w:val="es-ES_tradnl" w:eastAsia="es-ES_tradnl"/>
        </w:rPr>
        <w:t xml:space="preserve"> de obra y actividad a contratar</w:t>
      </w:r>
      <w:r w:rsidR="008C6924">
        <w:rPr>
          <w:rFonts w:ascii="Arial" w:eastAsia="Times New Roman" w:hAnsi="Arial" w:cs="Arial"/>
          <w:szCs w:val="24"/>
          <w:lang w:val="es-ES_tradnl" w:eastAsia="es-ES_tradnl"/>
        </w:rPr>
        <w:t xml:space="preserve">, de acuerdo con lo establecido en la Matriz 1- Experiencia. </w:t>
      </w:r>
      <w:r w:rsidR="00B373BE">
        <w:rPr>
          <w:rFonts w:ascii="Arial" w:eastAsia="Times New Roman" w:hAnsi="Arial" w:cs="Arial"/>
          <w:szCs w:val="24"/>
          <w:lang w:val="es-ES_tradnl" w:eastAsia="es-ES_tradnl"/>
        </w:rPr>
        <w:t xml:space="preserve">Tal regulación de la experiencia como requisito habilitante se aplica </w:t>
      </w:r>
      <w:r w:rsidR="00B373BE" w:rsidRPr="00B85F35">
        <w:rPr>
          <w:rFonts w:ascii="Arial" w:eastAsia="Times New Roman" w:hAnsi="Arial" w:cs="Arial"/>
          <w:i/>
          <w:iCs/>
          <w:szCs w:val="24"/>
          <w:lang w:val="es-ES_tradnl" w:eastAsia="es-ES_tradnl"/>
        </w:rPr>
        <w:t>mutatis mutandis</w:t>
      </w:r>
      <w:r w:rsidR="00B373BE">
        <w:rPr>
          <w:rFonts w:ascii="Arial" w:eastAsia="Times New Roman" w:hAnsi="Arial" w:cs="Arial"/>
          <w:i/>
          <w:iCs/>
          <w:szCs w:val="24"/>
          <w:lang w:val="es-ES_tradnl" w:eastAsia="es-ES_tradnl"/>
        </w:rPr>
        <w:t xml:space="preserve"> </w:t>
      </w:r>
      <w:r w:rsidR="00B373BE">
        <w:rPr>
          <w:rFonts w:ascii="Arial" w:eastAsia="Times New Roman" w:hAnsi="Arial" w:cs="Arial"/>
          <w:szCs w:val="24"/>
          <w:lang w:val="es-ES_tradnl" w:eastAsia="es-ES_tradnl"/>
        </w:rPr>
        <w:t xml:space="preserve">en los demás documentos tipo expedidos por esta Agencia. </w:t>
      </w:r>
    </w:p>
    <w:p w14:paraId="3D0E06C8" w14:textId="73001E1E" w:rsidR="008C6924" w:rsidRPr="003A16FD" w:rsidRDefault="00E10337" w:rsidP="00B373BE">
      <w:pPr>
        <w:spacing w:after="120" w:line="276" w:lineRule="auto"/>
        <w:ind w:firstLine="709"/>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 xml:space="preserve">En todo caso, es posible afirmar que en ninguno de los documentos tipo expedidos por esta Agencia se ha establecido la posibilidad de </w:t>
      </w:r>
      <w:r w:rsidR="003A16FD">
        <w:rPr>
          <w:rFonts w:ascii="Arial" w:eastAsia="Times New Roman" w:hAnsi="Arial" w:cs="Arial"/>
          <w:szCs w:val="24"/>
          <w:lang w:val="es-ES_tradnl" w:eastAsia="es-ES_tradnl"/>
        </w:rPr>
        <w:t xml:space="preserve">exigir experiencia en </w:t>
      </w:r>
      <w:r w:rsidR="003A16FD" w:rsidRPr="00B85F35">
        <w:rPr>
          <w:rFonts w:ascii="Arial" w:eastAsia="Times New Roman" w:hAnsi="Arial" w:cs="Arial"/>
          <w:i/>
          <w:iCs/>
          <w:szCs w:val="24"/>
          <w:lang w:val="es-ES_tradnl" w:eastAsia="es-ES_tradnl"/>
        </w:rPr>
        <w:t>“</w:t>
      </w:r>
      <w:r w:rsidR="003A16FD" w:rsidRPr="003A16FD">
        <w:rPr>
          <w:rFonts w:ascii="Arial" w:eastAsia="Times New Roman" w:hAnsi="Arial" w:cs="Arial"/>
          <w:i/>
          <w:iCs/>
          <w:szCs w:val="24"/>
          <w:lang w:val="es-ES_tradnl" w:eastAsia="es-ES_tradnl"/>
        </w:rPr>
        <w:t>ítems</w:t>
      </w:r>
      <w:r w:rsidR="003A16FD" w:rsidRPr="00B85F35">
        <w:rPr>
          <w:rFonts w:ascii="Arial" w:eastAsia="Times New Roman" w:hAnsi="Arial" w:cs="Arial"/>
          <w:i/>
          <w:iCs/>
          <w:szCs w:val="24"/>
          <w:lang w:val="es-ES_tradnl" w:eastAsia="es-ES_tradnl"/>
        </w:rPr>
        <w:t xml:space="preserve"> representativos”</w:t>
      </w:r>
      <w:r w:rsidR="003A16FD">
        <w:rPr>
          <w:rFonts w:ascii="Arial" w:eastAsia="Times New Roman" w:hAnsi="Arial" w:cs="Arial"/>
          <w:szCs w:val="24"/>
          <w:lang w:val="es-ES_tradnl" w:eastAsia="es-ES_tradnl"/>
        </w:rPr>
        <w:t xml:space="preserve">, </w:t>
      </w:r>
      <w:r w:rsidR="007206C8">
        <w:rPr>
          <w:rFonts w:ascii="Arial" w:eastAsia="Times New Roman" w:hAnsi="Arial" w:cs="Arial"/>
          <w:szCs w:val="24"/>
          <w:lang w:val="es-ES_tradnl" w:eastAsia="es-ES_tradnl"/>
        </w:rPr>
        <w:t xml:space="preserve">toda vez que en el marco de tales documentos </w:t>
      </w:r>
      <w:r w:rsidR="00845DBD">
        <w:rPr>
          <w:rFonts w:ascii="Arial" w:eastAsia="Times New Roman" w:hAnsi="Arial" w:cs="Arial"/>
          <w:szCs w:val="24"/>
          <w:lang w:val="es-ES_tradnl" w:eastAsia="es-ES_tradnl"/>
        </w:rPr>
        <w:t>s</w:t>
      </w:r>
      <w:r w:rsidR="003A2E64">
        <w:rPr>
          <w:rFonts w:ascii="Arial" w:eastAsia="Times New Roman" w:hAnsi="Arial" w:cs="Arial"/>
          <w:szCs w:val="24"/>
          <w:lang w:val="es-ES_tradnl" w:eastAsia="es-ES_tradnl"/>
        </w:rPr>
        <w:t xml:space="preserve">e ha optado por estandarizar de manera general unos requisitos de experiencia general y especifica contenidos en la Matriz 1- Experiencia, los cuales se tornan inalterables </w:t>
      </w:r>
      <w:r w:rsidR="006C4172">
        <w:rPr>
          <w:rFonts w:ascii="Arial" w:eastAsia="Times New Roman" w:hAnsi="Arial" w:cs="Arial"/>
          <w:szCs w:val="24"/>
          <w:lang w:val="es-ES_tradnl" w:eastAsia="es-ES_tradnl"/>
        </w:rPr>
        <w:t xml:space="preserve">para las entidades estatales. </w:t>
      </w:r>
      <w:r w:rsidR="003A16FD">
        <w:rPr>
          <w:rFonts w:ascii="Arial" w:eastAsia="Times New Roman" w:hAnsi="Arial" w:cs="Arial"/>
          <w:szCs w:val="24"/>
          <w:lang w:val="es-ES_tradnl" w:eastAsia="es-ES_tradnl"/>
        </w:rPr>
        <w:t xml:space="preserve"> </w:t>
      </w:r>
      <w:r w:rsidR="00CF1C9C">
        <w:rPr>
          <w:rFonts w:ascii="Arial" w:eastAsia="Times New Roman" w:hAnsi="Arial" w:cs="Arial"/>
          <w:szCs w:val="24"/>
          <w:lang w:val="es-ES_tradnl" w:eastAsia="es-ES_tradnl"/>
        </w:rPr>
        <w:t>En ese sentido, las reglas para la configuración y evaluación del requisito de experiencia tampoco prevén un mecanismo que permita rea</w:t>
      </w:r>
      <w:r w:rsidR="002275D9">
        <w:rPr>
          <w:rFonts w:ascii="Arial" w:eastAsia="Times New Roman" w:hAnsi="Arial" w:cs="Arial"/>
          <w:szCs w:val="24"/>
          <w:lang w:val="es-ES_tradnl" w:eastAsia="es-ES_tradnl"/>
        </w:rPr>
        <w:t xml:space="preserve">lizar una evaluación diferencial de la experiencia adquirida respecto de un ítem </w:t>
      </w:r>
      <w:r w:rsidR="00890A94">
        <w:rPr>
          <w:rFonts w:ascii="Arial" w:eastAsia="Times New Roman" w:hAnsi="Arial" w:cs="Arial"/>
          <w:szCs w:val="24"/>
          <w:lang w:val="es-ES_tradnl" w:eastAsia="es-ES_tradnl"/>
        </w:rPr>
        <w:t xml:space="preserve">o una actividad </w:t>
      </w:r>
      <w:r w:rsidR="002275D9">
        <w:rPr>
          <w:rFonts w:ascii="Arial" w:eastAsia="Times New Roman" w:hAnsi="Arial" w:cs="Arial"/>
          <w:szCs w:val="24"/>
          <w:lang w:val="es-ES_tradnl" w:eastAsia="es-ES_tradnl"/>
        </w:rPr>
        <w:t>determinad</w:t>
      </w:r>
      <w:r w:rsidR="00890A94">
        <w:rPr>
          <w:rFonts w:ascii="Arial" w:eastAsia="Times New Roman" w:hAnsi="Arial" w:cs="Arial"/>
          <w:szCs w:val="24"/>
          <w:lang w:val="es-ES_tradnl" w:eastAsia="es-ES_tradnl"/>
        </w:rPr>
        <w:t>a</w:t>
      </w:r>
      <w:r w:rsidR="002275D9">
        <w:rPr>
          <w:rFonts w:ascii="Arial" w:eastAsia="Times New Roman" w:hAnsi="Arial" w:cs="Arial"/>
          <w:szCs w:val="24"/>
          <w:lang w:val="es-ES_tradnl" w:eastAsia="es-ES_tradnl"/>
        </w:rPr>
        <w:t>,</w:t>
      </w:r>
      <w:r w:rsidR="00890A94">
        <w:rPr>
          <w:rFonts w:ascii="Arial" w:eastAsia="Times New Roman" w:hAnsi="Arial" w:cs="Arial"/>
          <w:szCs w:val="24"/>
          <w:lang w:val="es-ES_tradnl" w:eastAsia="es-ES_tradnl"/>
        </w:rPr>
        <w:t xml:space="preserve"> </w:t>
      </w:r>
      <w:r w:rsidR="000B6B54">
        <w:rPr>
          <w:rFonts w:ascii="Arial" w:eastAsia="Times New Roman" w:hAnsi="Arial" w:cs="Arial"/>
          <w:szCs w:val="24"/>
          <w:lang w:val="es-ES_tradnl" w:eastAsia="es-ES_tradnl"/>
        </w:rPr>
        <w:t xml:space="preserve">más allá de las reglas para evaluación de experiencia en bienes, obras o </w:t>
      </w:r>
      <w:r w:rsidR="000B6B54">
        <w:rPr>
          <w:rFonts w:ascii="Arial" w:eastAsia="Times New Roman" w:hAnsi="Arial" w:cs="Arial"/>
          <w:szCs w:val="24"/>
          <w:lang w:val="es-ES_tradnl" w:eastAsia="es-ES_tradnl"/>
        </w:rPr>
        <w:lastRenderedPageBreak/>
        <w:t xml:space="preserve">servicios adicionales a la obra pública de infraestructura de transporte, conforme a los parámetros establecidos en </w:t>
      </w:r>
      <w:r w:rsidR="00691192">
        <w:rPr>
          <w:rFonts w:ascii="Arial" w:eastAsia="Times New Roman" w:hAnsi="Arial" w:cs="Arial"/>
          <w:szCs w:val="24"/>
          <w:lang w:val="es-ES_tradnl" w:eastAsia="es-ES_tradnl"/>
        </w:rPr>
        <w:t>4 de la Resolución No. 240 de 202</w:t>
      </w:r>
      <w:r w:rsidR="00CB6E59">
        <w:rPr>
          <w:rFonts w:ascii="Arial" w:eastAsia="Times New Roman" w:hAnsi="Arial" w:cs="Arial"/>
          <w:szCs w:val="24"/>
          <w:lang w:val="es-ES_tradnl" w:eastAsia="es-ES_tradnl"/>
        </w:rPr>
        <w:t>0</w:t>
      </w:r>
      <w:r w:rsidR="00CB6E59">
        <w:rPr>
          <w:rStyle w:val="Refdenotaalpie"/>
          <w:rFonts w:ascii="Arial" w:eastAsia="Times New Roman" w:hAnsi="Arial" w:cs="Arial"/>
          <w:szCs w:val="24"/>
          <w:lang w:val="es-ES_tradnl" w:eastAsia="es-ES_tradnl"/>
        </w:rPr>
        <w:footnoteReference w:id="17"/>
      </w:r>
      <w:r w:rsidR="00CB6E59">
        <w:rPr>
          <w:rFonts w:ascii="Arial" w:eastAsia="Times New Roman" w:hAnsi="Arial" w:cs="Arial"/>
          <w:szCs w:val="24"/>
          <w:lang w:val="es-ES_tradnl" w:eastAsia="es-ES_tradnl"/>
        </w:rPr>
        <w:t xml:space="preserve">. </w:t>
      </w:r>
      <w:r w:rsidR="002275D9">
        <w:rPr>
          <w:rFonts w:ascii="Arial" w:eastAsia="Times New Roman" w:hAnsi="Arial" w:cs="Arial"/>
          <w:szCs w:val="24"/>
          <w:lang w:val="es-ES_tradnl" w:eastAsia="es-ES_tradnl"/>
        </w:rPr>
        <w:t xml:space="preserve"> </w:t>
      </w:r>
      <w:r w:rsidR="00CF1C9C">
        <w:rPr>
          <w:rFonts w:ascii="Arial" w:eastAsia="Times New Roman" w:hAnsi="Arial" w:cs="Arial"/>
          <w:szCs w:val="24"/>
          <w:lang w:val="es-ES_tradnl" w:eastAsia="es-ES_tradnl"/>
        </w:rPr>
        <w:t xml:space="preserve"> </w:t>
      </w:r>
    </w:p>
    <w:p w14:paraId="226F1190" w14:textId="60182B2B" w:rsidR="00F41BD6" w:rsidRPr="00F41BD6" w:rsidRDefault="00FA06F7" w:rsidP="00B85F35">
      <w:pPr>
        <w:spacing w:after="0" w:line="276" w:lineRule="auto"/>
        <w:ind w:firstLine="709"/>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 xml:space="preserve">Sin perjuicio de lo anterior, </w:t>
      </w:r>
      <w:r w:rsidR="001C13AF">
        <w:rPr>
          <w:rFonts w:ascii="Arial" w:eastAsia="Times New Roman" w:hAnsi="Arial" w:cs="Arial"/>
          <w:szCs w:val="24"/>
          <w:lang w:val="es-ES_tradnl" w:eastAsia="es-ES_tradnl"/>
        </w:rPr>
        <w:t>el hecho de que no se encuentre regulad</w:t>
      </w:r>
      <w:r w:rsidR="0001329F">
        <w:rPr>
          <w:rFonts w:ascii="Arial" w:eastAsia="Times New Roman" w:hAnsi="Arial" w:cs="Arial"/>
          <w:szCs w:val="24"/>
          <w:lang w:val="es-ES_tradnl" w:eastAsia="es-ES_tradnl"/>
        </w:rPr>
        <w:t xml:space="preserve">a la posibilidad de exigir experiencia en </w:t>
      </w:r>
      <w:r w:rsidR="0001329F" w:rsidRPr="00B85F35">
        <w:rPr>
          <w:rFonts w:ascii="Arial" w:eastAsia="Times New Roman" w:hAnsi="Arial" w:cs="Arial"/>
          <w:i/>
          <w:iCs/>
          <w:szCs w:val="24"/>
          <w:lang w:val="es-ES_tradnl" w:eastAsia="es-ES_tradnl"/>
        </w:rPr>
        <w:t>“</w:t>
      </w:r>
      <w:r w:rsidR="006A7934" w:rsidRPr="00B85F35">
        <w:rPr>
          <w:rFonts w:ascii="Arial" w:eastAsia="Times New Roman" w:hAnsi="Arial" w:cs="Arial"/>
          <w:i/>
          <w:iCs/>
          <w:szCs w:val="24"/>
          <w:lang w:val="es-ES_tradnl" w:eastAsia="es-ES_tradnl"/>
        </w:rPr>
        <w:t>ítems</w:t>
      </w:r>
      <w:r w:rsidR="00D224E9">
        <w:rPr>
          <w:rFonts w:ascii="Arial" w:eastAsia="Times New Roman" w:hAnsi="Arial" w:cs="Arial"/>
          <w:i/>
          <w:iCs/>
          <w:szCs w:val="24"/>
          <w:lang w:val="es-ES_tradnl" w:eastAsia="es-ES_tradnl"/>
        </w:rPr>
        <w:t xml:space="preserve"> representativos</w:t>
      </w:r>
      <w:r w:rsidR="006A7934" w:rsidRPr="00B85F35">
        <w:rPr>
          <w:rFonts w:ascii="Arial" w:eastAsia="Times New Roman" w:hAnsi="Arial" w:cs="Arial"/>
          <w:i/>
          <w:iCs/>
          <w:szCs w:val="24"/>
          <w:lang w:val="es-ES_tradnl" w:eastAsia="es-ES_tradnl"/>
        </w:rPr>
        <w:t>”</w:t>
      </w:r>
      <w:r w:rsidR="001C13AF">
        <w:rPr>
          <w:rFonts w:ascii="Arial" w:eastAsia="Times New Roman" w:hAnsi="Arial" w:cs="Arial"/>
          <w:szCs w:val="24"/>
          <w:lang w:val="es-ES_tradnl" w:eastAsia="es-ES_tradnl"/>
        </w:rPr>
        <w:t xml:space="preserve"> en los </w:t>
      </w:r>
      <w:r w:rsidR="000052E4">
        <w:rPr>
          <w:rFonts w:ascii="Arial" w:eastAsia="Times New Roman" w:hAnsi="Arial" w:cs="Arial"/>
          <w:szCs w:val="24"/>
          <w:lang w:val="es-ES_tradnl" w:eastAsia="es-ES_tradnl"/>
        </w:rPr>
        <w:t xml:space="preserve">procesos regidos por </w:t>
      </w:r>
      <w:r w:rsidR="001C13AF">
        <w:rPr>
          <w:rFonts w:ascii="Arial" w:eastAsia="Times New Roman" w:hAnsi="Arial" w:cs="Arial"/>
          <w:szCs w:val="24"/>
          <w:lang w:val="es-ES_tradnl" w:eastAsia="es-ES_tradnl"/>
        </w:rPr>
        <w:t>documentos tipo no quiere decir que</w:t>
      </w:r>
      <w:r w:rsidR="0001329F">
        <w:rPr>
          <w:rFonts w:ascii="Arial" w:eastAsia="Times New Roman" w:hAnsi="Arial" w:cs="Arial"/>
          <w:szCs w:val="24"/>
          <w:lang w:val="es-ES_tradnl" w:eastAsia="es-ES_tradnl"/>
        </w:rPr>
        <w:t xml:space="preserve"> en los procesos en los que no resulten aplicables tales instrumentos </w:t>
      </w:r>
      <w:r w:rsidR="000052E4">
        <w:rPr>
          <w:rFonts w:ascii="Arial" w:eastAsia="Times New Roman" w:hAnsi="Arial" w:cs="Arial"/>
          <w:szCs w:val="24"/>
          <w:lang w:val="es-ES_tradnl" w:eastAsia="es-ES_tradnl"/>
        </w:rPr>
        <w:t>no pueda contemplarse dicha</w:t>
      </w:r>
      <w:r w:rsidR="0001329F">
        <w:rPr>
          <w:rFonts w:ascii="Arial" w:eastAsia="Times New Roman" w:hAnsi="Arial" w:cs="Arial"/>
          <w:szCs w:val="24"/>
          <w:lang w:val="es-ES_tradnl" w:eastAsia="es-ES_tradnl"/>
        </w:rPr>
        <w:t xml:space="preserve"> </w:t>
      </w:r>
      <w:r w:rsidR="000052E4">
        <w:rPr>
          <w:rFonts w:ascii="Arial" w:eastAsia="Times New Roman" w:hAnsi="Arial" w:cs="Arial"/>
          <w:szCs w:val="24"/>
          <w:lang w:val="es-ES_tradnl" w:eastAsia="es-ES_tradnl"/>
        </w:rPr>
        <w:t>posibilidad</w:t>
      </w:r>
      <w:r w:rsidR="005B7E4D">
        <w:rPr>
          <w:rFonts w:ascii="Arial" w:eastAsia="Times New Roman" w:hAnsi="Arial" w:cs="Arial"/>
          <w:szCs w:val="24"/>
          <w:lang w:val="es-ES_tradnl" w:eastAsia="es-ES_tradnl"/>
        </w:rPr>
        <w:t>, siempre que se encuentre justificada y no contravenga las normas que rigen la selección objetiva.</w:t>
      </w:r>
      <w:r w:rsidR="00CD21ED">
        <w:rPr>
          <w:rFonts w:ascii="Arial" w:eastAsia="Times New Roman" w:hAnsi="Arial" w:cs="Arial"/>
          <w:szCs w:val="24"/>
          <w:lang w:val="es-ES_tradnl" w:eastAsia="es-ES_tradnl"/>
        </w:rPr>
        <w:t xml:space="preserve"> E</w:t>
      </w:r>
      <w:r w:rsidR="002D5E95">
        <w:rPr>
          <w:rFonts w:ascii="Arial" w:eastAsia="Times New Roman" w:hAnsi="Arial" w:cs="Arial"/>
          <w:szCs w:val="24"/>
          <w:lang w:val="es-ES_tradnl" w:eastAsia="es-ES_tradnl"/>
        </w:rPr>
        <w:t xml:space="preserve">sto considerando que tal supuesto no se encuentra restringido por la </w:t>
      </w:r>
      <w:r w:rsidR="00863E47">
        <w:rPr>
          <w:rFonts w:ascii="Arial" w:eastAsia="Times New Roman" w:hAnsi="Arial" w:cs="Arial"/>
          <w:szCs w:val="24"/>
          <w:lang w:val="es-ES_tradnl" w:eastAsia="es-ES_tradnl"/>
        </w:rPr>
        <w:t xml:space="preserve">norma y comoquiera que está mediado por la discrecionalidad </w:t>
      </w:r>
      <w:r w:rsidR="00EF1D52">
        <w:rPr>
          <w:rFonts w:ascii="Arial" w:eastAsia="Times New Roman" w:hAnsi="Arial" w:cs="Arial"/>
          <w:szCs w:val="24"/>
          <w:lang w:val="es-ES_tradnl" w:eastAsia="es-ES_tradnl"/>
        </w:rPr>
        <w:t xml:space="preserve">de las entidades estatales para establecer los requisitos habilitantes que resulten más adecuados y proporcionales para determinar la idoneidad de los oferentes respecto del objeto a contratar, en el marco de la modalidad de selección aplicable. </w:t>
      </w:r>
      <w:r w:rsidR="000E60E0">
        <w:rPr>
          <w:rFonts w:ascii="Arial" w:eastAsia="Times New Roman" w:hAnsi="Arial" w:cs="Arial"/>
          <w:szCs w:val="24"/>
          <w:lang w:val="es-ES_tradnl" w:eastAsia="es-ES_tradnl"/>
        </w:rPr>
        <w:t xml:space="preserve">De cualquier modo, </w:t>
      </w:r>
      <w:r w:rsidR="00F41BD6" w:rsidRPr="00F41BD6">
        <w:rPr>
          <w:rFonts w:ascii="Arial" w:eastAsia="Times New Roman" w:hAnsi="Arial" w:cs="Arial"/>
          <w:szCs w:val="24"/>
          <w:lang w:val="es-ES_tradnl" w:eastAsia="es-ES_tradnl"/>
        </w:rPr>
        <w:t xml:space="preserve">es necesario </w:t>
      </w:r>
      <w:r w:rsidR="001D2C9B">
        <w:rPr>
          <w:rFonts w:ascii="Arial" w:eastAsia="Times New Roman" w:hAnsi="Arial" w:cs="Arial"/>
          <w:szCs w:val="24"/>
          <w:lang w:val="es-ES_tradnl" w:eastAsia="es-ES_tradnl"/>
        </w:rPr>
        <w:t>precisar</w:t>
      </w:r>
      <w:r w:rsidR="001D2C9B" w:rsidRPr="00F41BD6">
        <w:rPr>
          <w:rFonts w:ascii="Arial" w:eastAsia="Times New Roman" w:hAnsi="Arial" w:cs="Arial"/>
          <w:szCs w:val="24"/>
          <w:lang w:val="es-ES_tradnl" w:eastAsia="es-ES_tradnl"/>
        </w:rPr>
        <w:t xml:space="preserve"> </w:t>
      </w:r>
      <w:r w:rsidR="00F41BD6" w:rsidRPr="00F41BD6">
        <w:rPr>
          <w:rFonts w:ascii="Arial" w:eastAsia="Times New Roman" w:hAnsi="Arial" w:cs="Arial"/>
          <w:szCs w:val="24"/>
          <w:lang w:val="es-ES_tradnl" w:eastAsia="es-ES_tradnl"/>
        </w:rPr>
        <w:t xml:space="preserve">que </w:t>
      </w:r>
      <w:r w:rsidR="000E60E0">
        <w:rPr>
          <w:rFonts w:ascii="Arial" w:eastAsia="Times New Roman" w:hAnsi="Arial" w:cs="Arial"/>
          <w:szCs w:val="24"/>
          <w:lang w:val="es-ES_tradnl" w:eastAsia="es-ES_tradnl"/>
        </w:rPr>
        <w:t>lo que constituye</w:t>
      </w:r>
      <w:r w:rsidR="00F41BD6" w:rsidRPr="00F41BD6">
        <w:rPr>
          <w:rFonts w:ascii="Arial" w:eastAsia="Times New Roman" w:hAnsi="Arial" w:cs="Arial"/>
          <w:szCs w:val="24"/>
          <w:lang w:val="es-ES_tradnl" w:eastAsia="es-ES_tradnl"/>
        </w:rPr>
        <w:t xml:space="preserve"> </w:t>
      </w:r>
      <w:r w:rsidR="000E60E0">
        <w:rPr>
          <w:rFonts w:ascii="Arial" w:eastAsia="Times New Roman" w:hAnsi="Arial" w:cs="Arial"/>
          <w:szCs w:val="24"/>
          <w:lang w:val="es-ES_tradnl" w:eastAsia="es-ES_tradnl"/>
        </w:rPr>
        <w:t xml:space="preserve">un </w:t>
      </w:r>
      <w:r w:rsidR="00F41BD6" w:rsidRPr="00F41BD6">
        <w:rPr>
          <w:rFonts w:ascii="Arial" w:eastAsia="Times New Roman" w:hAnsi="Arial" w:cs="Arial"/>
          <w:i/>
          <w:iCs/>
          <w:szCs w:val="24"/>
          <w:lang w:val="es-ES_tradnl" w:eastAsia="es-ES_tradnl"/>
        </w:rPr>
        <w:t>“ítem</w:t>
      </w:r>
      <w:r w:rsidR="000E60E0">
        <w:rPr>
          <w:rFonts w:ascii="Arial" w:eastAsia="Times New Roman" w:hAnsi="Arial" w:cs="Arial"/>
          <w:i/>
          <w:iCs/>
          <w:szCs w:val="24"/>
          <w:lang w:val="es-ES_tradnl" w:eastAsia="es-ES_tradnl"/>
        </w:rPr>
        <w:t xml:space="preserve"> </w:t>
      </w:r>
      <w:r w:rsidR="00F41BD6" w:rsidRPr="00F41BD6">
        <w:rPr>
          <w:rFonts w:ascii="Arial" w:eastAsia="Times New Roman" w:hAnsi="Arial" w:cs="Arial"/>
          <w:i/>
          <w:iCs/>
          <w:szCs w:val="24"/>
          <w:lang w:val="es-ES_tradnl" w:eastAsia="es-ES_tradnl"/>
        </w:rPr>
        <w:t xml:space="preserve">representativo” </w:t>
      </w:r>
      <w:r w:rsidR="001D2C9B">
        <w:rPr>
          <w:rFonts w:ascii="Arial" w:eastAsia="Times New Roman" w:hAnsi="Arial" w:cs="Arial"/>
          <w:szCs w:val="24"/>
          <w:lang w:val="es-ES_tradnl" w:eastAsia="es-ES_tradnl"/>
        </w:rPr>
        <w:t xml:space="preserve">debe determinarse en </w:t>
      </w:r>
      <w:r w:rsidR="00F41BD6" w:rsidRPr="00F41BD6">
        <w:rPr>
          <w:rFonts w:ascii="Arial" w:eastAsia="Times New Roman" w:hAnsi="Arial" w:cs="Arial"/>
          <w:szCs w:val="24"/>
          <w:lang w:val="es-ES_tradnl" w:eastAsia="es-ES_tradnl"/>
        </w:rPr>
        <w:t>el contexto de cada proceso de selección en particular</w:t>
      </w:r>
      <w:r w:rsidR="001D2C9B">
        <w:rPr>
          <w:rFonts w:ascii="Arial" w:eastAsia="Times New Roman" w:hAnsi="Arial" w:cs="Arial"/>
          <w:szCs w:val="24"/>
          <w:lang w:val="es-ES_tradnl" w:eastAsia="es-ES_tradnl"/>
        </w:rPr>
        <w:t xml:space="preserve">, de </w:t>
      </w:r>
      <w:r w:rsidR="00F41BD6" w:rsidRPr="00F41BD6">
        <w:rPr>
          <w:rFonts w:ascii="Arial" w:eastAsia="Times New Roman" w:hAnsi="Arial" w:cs="Arial"/>
          <w:szCs w:val="24"/>
          <w:lang w:val="es-ES_tradnl" w:eastAsia="es-ES_tradnl"/>
        </w:rPr>
        <w:t>acuerdo a la planeación y estructuración de los Documentos del Proceso</w:t>
      </w:r>
      <w:r w:rsidR="001D2C9B">
        <w:rPr>
          <w:rFonts w:ascii="Arial" w:eastAsia="Times New Roman" w:hAnsi="Arial" w:cs="Arial"/>
          <w:szCs w:val="24"/>
          <w:lang w:val="es-ES_tradnl" w:eastAsia="es-ES_tradnl"/>
        </w:rPr>
        <w:t xml:space="preserve">. </w:t>
      </w:r>
      <w:r w:rsidR="00F41BD6" w:rsidRPr="00F41BD6">
        <w:rPr>
          <w:rFonts w:ascii="Arial" w:eastAsia="Times New Roman" w:hAnsi="Arial" w:cs="Arial"/>
          <w:szCs w:val="24"/>
          <w:lang w:val="es-ES_tradnl" w:eastAsia="es-ES_tradnl"/>
        </w:rPr>
        <w:t xml:space="preserve"> </w:t>
      </w:r>
    </w:p>
    <w:p w14:paraId="1A018C2B" w14:textId="77777777" w:rsidR="00F41BD6" w:rsidRPr="00F41BD6" w:rsidRDefault="00F41BD6" w:rsidP="00F41BD6">
      <w:pPr>
        <w:spacing w:after="0" w:line="276" w:lineRule="auto"/>
        <w:ind w:firstLine="709"/>
        <w:jc w:val="both"/>
        <w:rPr>
          <w:rFonts w:ascii="Arial" w:eastAsia="Times New Roman" w:hAnsi="Arial" w:cs="Arial"/>
          <w:szCs w:val="24"/>
          <w:lang w:val="es-ES_tradnl" w:eastAsia="es-ES_tradnl"/>
        </w:rPr>
      </w:pPr>
    </w:p>
    <w:p w14:paraId="486B12B4" w14:textId="77777777" w:rsidR="00F41BD6" w:rsidRPr="00F41BD6" w:rsidRDefault="00F41BD6" w:rsidP="00F41BD6">
      <w:pPr>
        <w:spacing w:after="0" w:line="276" w:lineRule="auto"/>
        <w:contextualSpacing/>
        <w:jc w:val="both"/>
        <w:rPr>
          <w:rFonts w:ascii="Arial" w:eastAsia="Calibri" w:hAnsi="Arial" w:cs="Arial"/>
          <w:b/>
        </w:rPr>
      </w:pPr>
      <w:r w:rsidRPr="00F41BD6">
        <w:rPr>
          <w:rFonts w:ascii="Arial" w:eastAsia="Calibri" w:hAnsi="Arial" w:cs="Arial"/>
          <w:b/>
        </w:rPr>
        <w:t>3. Respuesta</w:t>
      </w:r>
    </w:p>
    <w:p w14:paraId="4EB96F5D" w14:textId="77777777" w:rsidR="00F41BD6" w:rsidRPr="00F41BD6" w:rsidRDefault="00F41BD6" w:rsidP="00F41BD6">
      <w:pPr>
        <w:tabs>
          <w:tab w:val="left" w:pos="709"/>
        </w:tabs>
        <w:spacing w:after="0" w:line="240" w:lineRule="auto"/>
        <w:ind w:left="709" w:right="709"/>
        <w:contextualSpacing/>
        <w:jc w:val="both"/>
        <w:rPr>
          <w:rFonts w:ascii="Arial" w:eastAsia="Calibri" w:hAnsi="Arial" w:cs="Arial"/>
          <w:sz w:val="21"/>
          <w:szCs w:val="21"/>
          <w:lang w:val="es-ES" w:eastAsia="es-MX"/>
        </w:rPr>
      </w:pPr>
    </w:p>
    <w:p w14:paraId="3AF212CF" w14:textId="77777777" w:rsidR="00F41BD6" w:rsidRPr="00F41BD6" w:rsidRDefault="00F41BD6" w:rsidP="00F41BD6">
      <w:pPr>
        <w:spacing w:before="120" w:after="0" w:line="240" w:lineRule="auto"/>
        <w:ind w:left="709" w:right="709"/>
        <w:contextualSpacing/>
        <w:jc w:val="both"/>
        <w:rPr>
          <w:rFonts w:ascii="Arial" w:eastAsia="Calibri" w:hAnsi="Arial" w:cs="Arial"/>
          <w:sz w:val="21"/>
          <w:szCs w:val="21"/>
          <w:lang w:val="es-MX"/>
        </w:rPr>
      </w:pPr>
      <w:bookmarkStart w:id="11" w:name="_Hlk57650395"/>
      <w:r w:rsidRPr="00F41BD6">
        <w:rPr>
          <w:rFonts w:ascii="Arial" w:eastAsia="Calibri" w:hAnsi="Arial" w:cs="Arial"/>
          <w:sz w:val="21"/>
          <w:szCs w:val="21"/>
          <w:lang w:val="es-MX"/>
        </w:rPr>
        <w:t xml:space="preserve">“[…] la exigencia en la experiencia de los oferentes con ITEMS REPRESENTATIVOS QUE DEBE TENER LA CONTRATACIÓN, en qué tipo de procesos contractuales es exigible, En pliegos tipo?, En contratos de suministro?, y que modalidad de selección deben aplicarse la exigencia de este requisito, licitaciones?, procesos de </w:t>
      </w:r>
      <w:proofErr w:type="spellStart"/>
      <w:r w:rsidRPr="00F41BD6">
        <w:rPr>
          <w:rFonts w:ascii="Arial" w:eastAsia="Calibri" w:hAnsi="Arial" w:cs="Arial"/>
          <w:sz w:val="21"/>
          <w:szCs w:val="21"/>
          <w:lang w:val="es-MX"/>
        </w:rPr>
        <w:t>seleccion</w:t>
      </w:r>
      <w:proofErr w:type="spellEnd"/>
      <w:r w:rsidRPr="00F41BD6">
        <w:rPr>
          <w:rFonts w:ascii="Arial" w:eastAsia="Calibri" w:hAnsi="Arial" w:cs="Arial"/>
          <w:sz w:val="21"/>
          <w:szCs w:val="21"/>
          <w:lang w:val="es-MX"/>
        </w:rPr>
        <w:t xml:space="preserve"> </w:t>
      </w:r>
      <w:proofErr w:type="spellStart"/>
      <w:r w:rsidRPr="00F41BD6">
        <w:rPr>
          <w:rFonts w:ascii="Arial" w:eastAsia="Calibri" w:hAnsi="Arial" w:cs="Arial"/>
          <w:sz w:val="21"/>
          <w:szCs w:val="21"/>
          <w:lang w:val="es-MX"/>
        </w:rPr>
        <w:t>abrevidad</w:t>
      </w:r>
      <w:proofErr w:type="spellEnd"/>
      <w:r w:rsidRPr="00F41BD6">
        <w:rPr>
          <w:rFonts w:ascii="Arial" w:eastAsia="Calibri" w:hAnsi="Arial" w:cs="Arial"/>
          <w:sz w:val="21"/>
          <w:szCs w:val="21"/>
          <w:lang w:val="es-MX"/>
        </w:rPr>
        <w:t>?” [sic]</w:t>
      </w:r>
    </w:p>
    <w:p w14:paraId="73C868BC" w14:textId="77777777" w:rsidR="00F41BD6" w:rsidRPr="00F41BD6" w:rsidRDefault="00F41BD6" w:rsidP="00F41BD6">
      <w:pPr>
        <w:shd w:val="clear" w:color="auto" w:fill="FFFFFF"/>
        <w:spacing w:after="0" w:line="276" w:lineRule="auto"/>
        <w:jc w:val="both"/>
        <w:rPr>
          <w:rFonts w:ascii="Arial" w:hAnsi="Arial" w:cs="Arial"/>
        </w:rPr>
      </w:pPr>
    </w:p>
    <w:p w14:paraId="48586E0E" w14:textId="77777777" w:rsidR="007734E0" w:rsidRDefault="001D2C9B" w:rsidP="001D2C9B">
      <w:pPr>
        <w:spacing w:before="120" w:after="120" w:line="276" w:lineRule="auto"/>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De acuerdo con lo expuesto, se advierte que en el Estatuto General de Contratación de la Administración Pública no existe una regulación expresa sobre la posibilidad de exigir experiencia en “</w:t>
      </w:r>
      <w:r w:rsidRPr="001C73E7">
        <w:rPr>
          <w:rFonts w:ascii="Arial" w:eastAsia="Times New Roman" w:hAnsi="Arial" w:cs="Arial"/>
          <w:i/>
          <w:iCs/>
          <w:szCs w:val="24"/>
          <w:lang w:val="es-ES_tradnl" w:eastAsia="es-ES_tradnl"/>
        </w:rPr>
        <w:t>ítems</w:t>
      </w:r>
      <w:r>
        <w:rPr>
          <w:rFonts w:ascii="Arial" w:eastAsia="Times New Roman" w:hAnsi="Arial" w:cs="Arial"/>
          <w:i/>
          <w:iCs/>
          <w:szCs w:val="24"/>
          <w:lang w:val="es-ES_tradnl" w:eastAsia="es-ES_tradnl"/>
        </w:rPr>
        <w:t xml:space="preserve"> representativos”, </w:t>
      </w:r>
      <w:r>
        <w:rPr>
          <w:rFonts w:ascii="Arial" w:eastAsia="Times New Roman" w:hAnsi="Arial" w:cs="Arial"/>
          <w:szCs w:val="24"/>
          <w:lang w:val="es-ES_tradnl" w:eastAsia="es-ES_tradnl"/>
        </w:rPr>
        <w:t xml:space="preserve">expresión que tampoco tiene un alcance en particular dentro de la normativa que rige la compra pública. Sin embargo, interpretada la misma de acuerdo con el artículo 28 del Código Civil y en atención al contexto en el que es utilizada </w:t>
      </w:r>
      <w:r w:rsidR="008B4DB9">
        <w:rPr>
          <w:rFonts w:ascii="Arial" w:eastAsia="Times New Roman" w:hAnsi="Arial" w:cs="Arial"/>
          <w:szCs w:val="24"/>
          <w:lang w:val="es-ES_tradnl" w:eastAsia="es-ES_tradnl"/>
        </w:rPr>
        <w:t>se</w:t>
      </w:r>
      <w:r>
        <w:rPr>
          <w:rFonts w:ascii="Arial" w:eastAsia="Times New Roman" w:hAnsi="Arial" w:cs="Arial"/>
          <w:szCs w:val="24"/>
          <w:lang w:val="es-ES_tradnl" w:eastAsia="es-ES_tradnl"/>
        </w:rPr>
        <w:t xml:space="preserve"> ent</w:t>
      </w:r>
      <w:r w:rsidR="008B4DB9">
        <w:rPr>
          <w:rFonts w:ascii="Arial" w:eastAsia="Times New Roman" w:hAnsi="Arial" w:cs="Arial"/>
          <w:szCs w:val="24"/>
          <w:lang w:val="es-ES_tradnl" w:eastAsia="es-ES_tradnl"/>
        </w:rPr>
        <w:t>iende</w:t>
      </w:r>
      <w:r>
        <w:rPr>
          <w:rFonts w:ascii="Arial" w:eastAsia="Times New Roman" w:hAnsi="Arial" w:cs="Arial"/>
          <w:szCs w:val="24"/>
          <w:lang w:val="es-ES_tradnl" w:eastAsia="es-ES_tradnl"/>
        </w:rPr>
        <w:t xml:space="preserve"> que la misma a alude a alguna de las actividades, bienes u obras en las que se desagrega un objeto contractual y que en atención a su </w:t>
      </w:r>
      <w:r w:rsidR="007734E0">
        <w:rPr>
          <w:rFonts w:ascii="Arial" w:eastAsia="Times New Roman" w:hAnsi="Arial" w:cs="Arial"/>
          <w:szCs w:val="24"/>
          <w:lang w:val="es-ES_tradnl" w:eastAsia="es-ES_tradnl"/>
        </w:rPr>
        <w:t>relevancia técnica o económica</w:t>
      </w:r>
      <w:r>
        <w:rPr>
          <w:rFonts w:ascii="Arial" w:eastAsia="Times New Roman" w:hAnsi="Arial" w:cs="Arial"/>
          <w:szCs w:val="24"/>
          <w:lang w:val="es-ES_tradnl" w:eastAsia="es-ES_tradnl"/>
        </w:rPr>
        <w:t xml:space="preserve"> son considerados representativos</w:t>
      </w:r>
      <w:r w:rsidR="007734E0">
        <w:rPr>
          <w:rFonts w:ascii="Arial" w:eastAsia="Times New Roman" w:hAnsi="Arial" w:cs="Arial"/>
          <w:szCs w:val="24"/>
          <w:lang w:val="es-ES_tradnl" w:eastAsia="es-ES_tradnl"/>
        </w:rPr>
        <w:t xml:space="preserve">. </w:t>
      </w:r>
    </w:p>
    <w:p w14:paraId="10BE5B2B" w14:textId="6123F4B3" w:rsidR="001D2C9B" w:rsidRPr="00B85F35" w:rsidRDefault="007734E0" w:rsidP="001C454A">
      <w:pPr>
        <w:spacing w:before="120" w:after="120" w:line="276" w:lineRule="auto"/>
        <w:jc w:val="both"/>
      </w:pPr>
      <w:r>
        <w:rPr>
          <w:rFonts w:ascii="Arial" w:eastAsia="Times New Roman" w:hAnsi="Arial" w:cs="Arial"/>
          <w:szCs w:val="24"/>
          <w:lang w:val="es-ES_tradnl" w:eastAsia="es-ES_tradnl"/>
        </w:rPr>
        <w:tab/>
      </w:r>
      <w:r w:rsidR="001D2C9B">
        <w:rPr>
          <w:rFonts w:ascii="Arial" w:eastAsia="Times New Roman" w:hAnsi="Arial" w:cs="Arial"/>
          <w:szCs w:val="24"/>
          <w:lang w:val="es-ES_tradnl" w:eastAsia="es-ES_tradnl"/>
        </w:rPr>
        <w:t xml:space="preserve">  </w:t>
      </w:r>
      <w:r w:rsidR="00B24011">
        <w:rPr>
          <w:rFonts w:ascii="Arial" w:eastAsia="Times New Roman" w:hAnsi="Arial" w:cs="Arial"/>
          <w:szCs w:val="24"/>
          <w:lang w:val="es-ES_tradnl" w:eastAsia="es-ES_tradnl"/>
        </w:rPr>
        <w:t xml:space="preserve">La posibilidad de hacer un juicio diferencial de la experiencia del proponente en función de estos </w:t>
      </w:r>
      <w:r w:rsidR="00B24011" w:rsidRPr="00B85F35">
        <w:rPr>
          <w:rFonts w:ascii="Arial" w:eastAsia="Times New Roman" w:hAnsi="Arial" w:cs="Arial"/>
          <w:i/>
          <w:iCs/>
          <w:szCs w:val="24"/>
          <w:lang w:val="es-ES_tradnl" w:eastAsia="es-ES_tradnl"/>
        </w:rPr>
        <w:t>“ítems representativos”</w:t>
      </w:r>
      <w:r w:rsidR="001C454A">
        <w:rPr>
          <w:rFonts w:ascii="Arial" w:eastAsia="Times New Roman" w:hAnsi="Arial" w:cs="Arial"/>
          <w:szCs w:val="24"/>
          <w:lang w:val="es-ES_tradnl" w:eastAsia="es-ES_tradnl"/>
        </w:rPr>
        <w:t xml:space="preserve"> tampoco se encuentra regulada en los documentos tipo expedidos por esta Agencia,</w:t>
      </w:r>
      <w:r w:rsidR="001D2C9B" w:rsidRPr="00F41BD6">
        <w:rPr>
          <w:rFonts w:ascii="Arial" w:eastAsia="Times New Roman" w:hAnsi="Arial" w:cs="Arial"/>
          <w:szCs w:val="24"/>
          <w:lang w:val="es-ES_tradnl" w:eastAsia="es-ES_tradnl"/>
        </w:rPr>
        <w:t xml:space="preserve"> </w:t>
      </w:r>
      <w:r w:rsidR="001C454A">
        <w:rPr>
          <w:rFonts w:ascii="Arial" w:eastAsia="Times New Roman" w:hAnsi="Arial" w:cs="Arial"/>
          <w:szCs w:val="24"/>
          <w:lang w:val="es-ES_tradnl" w:eastAsia="es-ES_tradnl"/>
        </w:rPr>
        <w:t>en el marco de los cuales l</w:t>
      </w:r>
      <w:r w:rsidR="001D2C9B">
        <w:rPr>
          <w:rFonts w:ascii="Arial" w:eastAsia="Times New Roman" w:hAnsi="Arial" w:cs="Arial"/>
          <w:szCs w:val="24"/>
          <w:lang w:val="es-ES_tradnl" w:eastAsia="es-ES_tradnl"/>
        </w:rPr>
        <w:t xml:space="preserve">a experiencia </w:t>
      </w:r>
      <w:r w:rsidR="001C454A">
        <w:rPr>
          <w:rFonts w:ascii="Arial" w:eastAsia="Times New Roman" w:hAnsi="Arial" w:cs="Arial"/>
          <w:szCs w:val="24"/>
          <w:lang w:val="es-ES_tradnl" w:eastAsia="es-ES_tradnl"/>
        </w:rPr>
        <w:t>a acreditarse debe ceñirse a</w:t>
      </w:r>
      <w:r w:rsidR="001D2C9B">
        <w:rPr>
          <w:rFonts w:ascii="Arial" w:eastAsia="Times New Roman" w:hAnsi="Arial" w:cs="Arial"/>
          <w:szCs w:val="24"/>
          <w:lang w:val="es-ES_tradnl" w:eastAsia="es-ES_tradnl"/>
        </w:rPr>
        <w:t xml:space="preserve"> los requisitos de experiencia general y especifica que fueren aplicables para la tipo de obra y </w:t>
      </w:r>
      <w:r w:rsidR="001D2C9B">
        <w:rPr>
          <w:rFonts w:ascii="Arial" w:eastAsia="Times New Roman" w:hAnsi="Arial" w:cs="Arial"/>
          <w:szCs w:val="24"/>
          <w:lang w:val="es-ES_tradnl" w:eastAsia="es-ES_tradnl"/>
        </w:rPr>
        <w:lastRenderedPageBreak/>
        <w:t>actividad a contratar, de acuerdo con lo establecido en la Matriz 1- Experiencia</w:t>
      </w:r>
      <w:r w:rsidR="00F662A0">
        <w:rPr>
          <w:rFonts w:ascii="Arial" w:eastAsia="Times New Roman" w:hAnsi="Arial" w:cs="Arial"/>
          <w:szCs w:val="24"/>
          <w:lang w:val="es-ES_tradnl" w:eastAsia="es-ES_tradnl"/>
        </w:rPr>
        <w:t xml:space="preserve"> y las reglas establecidas en el respectivo Documento Base</w:t>
      </w:r>
      <w:r w:rsidR="001D2C9B">
        <w:rPr>
          <w:rFonts w:ascii="Arial" w:eastAsia="Times New Roman" w:hAnsi="Arial" w:cs="Arial"/>
          <w:szCs w:val="24"/>
          <w:lang w:val="es-ES_tradnl" w:eastAsia="es-ES_tradnl"/>
        </w:rPr>
        <w:t>.</w:t>
      </w:r>
      <w:r w:rsidR="00F662A0">
        <w:rPr>
          <w:rFonts w:ascii="Arial" w:eastAsia="Times New Roman" w:hAnsi="Arial" w:cs="Arial"/>
          <w:szCs w:val="24"/>
          <w:lang w:val="es-ES_tradnl" w:eastAsia="es-ES_tradnl"/>
        </w:rPr>
        <w:t xml:space="preserve"> </w:t>
      </w:r>
      <w:r w:rsidR="001D2C9B">
        <w:rPr>
          <w:rFonts w:ascii="Arial" w:eastAsia="Times New Roman" w:hAnsi="Arial" w:cs="Arial"/>
          <w:szCs w:val="24"/>
          <w:lang w:val="es-ES_tradnl" w:eastAsia="es-ES_tradnl"/>
        </w:rPr>
        <w:t xml:space="preserve"> </w:t>
      </w:r>
      <w:r w:rsidR="00F662A0">
        <w:rPr>
          <w:rFonts w:ascii="Arial" w:eastAsia="Times New Roman" w:hAnsi="Arial" w:cs="Arial"/>
          <w:szCs w:val="24"/>
          <w:lang w:val="es-ES_tradnl" w:eastAsia="es-ES_tradnl"/>
        </w:rPr>
        <w:t xml:space="preserve">En ese sentido, en procesos regidos por documentos tipo no es posible exigir experiencia en </w:t>
      </w:r>
      <w:r w:rsidR="00F662A0" w:rsidRPr="00B85F35">
        <w:rPr>
          <w:rFonts w:ascii="Arial" w:eastAsia="Times New Roman" w:hAnsi="Arial" w:cs="Arial"/>
          <w:i/>
          <w:iCs/>
          <w:szCs w:val="24"/>
          <w:lang w:val="es-ES_tradnl" w:eastAsia="es-ES_tradnl"/>
        </w:rPr>
        <w:t>“ítems representativos”</w:t>
      </w:r>
      <w:r w:rsidR="000A0F3C">
        <w:rPr>
          <w:rFonts w:ascii="Arial" w:eastAsia="Times New Roman" w:hAnsi="Arial" w:cs="Arial"/>
          <w:i/>
          <w:iCs/>
          <w:szCs w:val="24"/>
          <w:lang w:val="es-ES_tradnl" w:eastAsia="es-ES_tradnl"/>
        </w:rPr>
        <w:t xml:space="preserve">, </w:t>
      </w:r>
      <w:r w:rsidR="000A0F3C" w:rsidRPr="00B85F35">
        <w:rPr>
          <w:rFonts w:ascii="Arial" w:hAnsi="Arial" w:cs="Arial"/>
        </w:rPr>
        <w:t xml:space="preserve">sin perjuicio de la aplicación de las reglas de </w:t>
      </w:r>
      <w:r w:rsidR="004B3F1B" w:rsidRPr="00B85F35">
        <w:rPr>
          <w:rFonts w:ascii="Arial" w:hAnsi="Arial" w:cs="Arial"/>
        </w:rPr>
        <w:t>combinación de experiencia</w:t>
      </w:r>
      <w:r w:rsidR="004B3F1B">
        <w:rPr>
          <w:rFonts w:ascii="Arial" w:hAnsi="Arial" w:cs="Arial"/>
        </w:rPr>
        <w:t xml:space="preserve">. </w:t>
      </w:r>
    </w:p>
    <w:p w14:paraId="78940EC7" w14:textId="2F65BC46" w:rsidR="00F662A0" w:rsidRDefault="00F662A0" w:rsidP="00F662A0">
      <w:pPr>
        <w:spacing w:before="120" w:after="120" w:line="276" w:lineRule="auto"/>
        <w:ind w:firstLine="708"/>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 xml:space="preserve">Sin </w:t>
      </w:r>
      <w:r w:rsidR="004B3F1B">
        <w:rPr>
          <w:rFonts w:ascii="Arial" w:eastAsia="Times New Roman" w:hAnsi="Arial" w:cs="Arial"/>
          <w:szCs w:val="24"/>
          <w:lang w:val="es-ES_tradnl" w:eastAsia="es-ES_tradnl"/>
        </w:rPr>
        <w:t xml:space="preserve">perjuicio de lo anterior, </w:t>
      </w:r>
      <w:r>
        <w:rPr>
          <w:rFonts w:ascii="Arial" w:eastAsia="Times New Roman" w:hAnsi="Arial" w:cs="Arial"/>
          <w:szCs w:val="24"/>
          <w:lang w:val="es-ES_tradnl" w:eastAsia="es-ES_tradnl"/>
        </w:rPr>
        <w:t>en los procesos</w:t>
      </w:r>
      <w:r w:rsidR="004B3F1B">
        <w:rPr>
          <w:rFonts w:ascii="Arial" w:eastAsia="Times New Roman" w:hAnsi="Arial" w:cs="Arial"/>
          <w:szCs w:val="24"/>
          <w:lang w:val="es-ES_tradnl" w:eastAsia="es-ES_tradnl"/>
        </w:rPr>
        <w:t xml:space="preserve"> no</w:t>
      </w:r>
      <w:r>
        <w:rPr>
          <w:rFonts w:ascii="Arial" w:eastAsia="Times New Roman" w:hAnsi="Arial" w:cs="Arial"/>
          <w:szCs w:val="24"/>
          <w:lang w:val="es-ES_tradnl" w:eastAsia="es-ES_tradnl"/>
        </w:rPr>
        <w:t xml:space="preserve"> regidos por documentos tipo </w:t>
      </w:r>
      <w:r w:rsidR="004B3F1B">
        <w:rPr>
          <w:rFonts w:ascii="Arial" w:eastAsia="Times New Roman" w:hAnsi="Arial" w:cs="Arial"/>
          <w:szCs w:val="24"/>
          <w:lang w:val="es-ES_tradnl" w:eastAsia="es-ES_tradnl"/>
        </w:rPr>
        <w:t>bien podrían</w:t>
      </w:r>
      <w:r>
        <w:rPr>
          <w:rFonts w:ascii="Arial" w:eastAsia="Times New Roman" w:hAnsi="Arial" w:cs="Arial"/>
          <w:szCs w:val="24"/>
          <w:lang w:val="es-ES_tradnl" w:eastAsia="es-ES_tradnl"/>
        </w:rPr>
        <w:t xml:space="preserve"> contemplarse</w:t>
      </w:r>
      <w:r w:rsidR="004B3F1B">
        <w:rPr>
          <w:rFonts w:ascii="Arial" w:eastAsia="Times New Roman" w:hAnsi="Arial" w:cs="Arial"/>
          <w:szCs w:val="24"/>
          <w:lang w:val="es-ES_tradnl" w:eastAsia="es-ES_tradnl"/>
        </w:rPr>
        <w:t xml:space="preserve"> requisitos de experiencia asociados a unos </w:t>
      </w:r>
      <w:r w:rsidR="004B3F1B" w:rsidRPr="00B85F35">
        <w:rPr>
          <w:rFonts w:ascii="Arial" w:eastAsia="Times New Roman" w:hAnsi="Arial" w:cs="Arial"/>
          <w:i/>
          <w:iCs/>
          <w:szCs w:val="24"/>
          <w:lang w:val="es-ES_tradnl" w:eastAsia="es-ES_tradnl"/>
        </w:rPr>
        <w:t xml:space="preserve">“ítems </w:t>
      </w:r>
      <w:r w:rsidR="004B3F1B" w:rsidRPr="004B3F1B">
        <w:rPr>
          <w:rFonts w:ascii="Arial" w:eastAsia="Times New Roman" w:hAnsi="Arial" w:cs="Arial"/>
          <w:i/>
          <w:iCs/>
          <w:szCs w:val="24"/>
          <w:lang w:val="es-ES_tradnl" w:eastAsia="es-ES_tradnl"/>
        </w:rPr>
        <w:t>representativos</w:t>
      </w:r>
      <w:r w:rsidR="004B3F1B" w:rsidRPr="00B85F35">
        <w:rPr>
          <w:rFonts w:ascii="Arial" w:eastAsia="Times New Roman" w:hAnsi="Arial" w:cs="Arial"/>
          <w:i/>
          <w:iCs/>
          <w:szCs w:val="24"/>
          <w:lang w:val="es-ES_tradnl" w:eastAsia="es-ES_tradnl"/>
        </w:rPr>
        <w:t>”</w:t>
      </w:r>
      <w:r>
        <w:rPr>
          <w:rFonts w:ascii="Arial" w:eastAsia="Times New Roman" w:hAnsi="Arial" w:cs="Arial"/>
          <w:szCs w:val="24"/>
          <w:lang w:val="es-ES_tradnl" w:eastAsia="es-ES_tradnl"/>
        </w:rPr>
        <w:t xml:space="preserve"> siempre que se encuentre justificad</w:t>
      </w:r>
      <w:r w:rsidR="004B3F1B">
        <w:rPr>
          <w:rFonts w:ascii="Arial" w:eastAsia="Times New Roman" w:hAnsi="Arial" w:cs="Arial"/>
          <w:szCs w:val="24"/>
          <w:lang w:val="es-ES_tradnl" w:eastAsia="es-ES_tradnl"/>
        </w:rPr>
        <w:t>o</w:t>
      </w:r>
      <w:r>
        <w:rPr>
          <w:rFonts w:ascii="Arial" w:eastAsia="Times New Roman" w:hAnsi="Arial" w:cs="Arial"/>
          <w:szCs w:val="24"/>
          <w:lang w:val="es-ES_tradnl" w:eastAsia="es-ES_tradnl"/>
        </w:rPr>
        <w:t xml:space="preserve"> y </w:t>
      </w:r>
      <w:r w:rsidR="004B3F1B">
        <w:rPr>
          <w:rFonts w:ascii="Arial" w:eastAsia="Times New Roman" w:hAnsi="Arial" w:cs="Arial"/>
          <w:szCs w:val="24"/>
          <w:lang w:val="es-ES_tradnl" w:eastAsia="es-ES_tradnl"/>
        </w:rPr>
        <w:t xml:space="preserve">acorde con las </w:t>
      </w:r>
      <w:r>
        <w:rPr>
          <w:rFonts w:ascii="Arial" w:eastAsia="Times New Roman" w:hAnsi="Arial" w:cs="Arial"/>
          <w:szCs w:val="24"/>
          <w:lang w:val="es-ES_tradnl" w:eastAsia="es-ES_tradnl"/>
        </w:rPr>
        <w:t xml:space="preserve">normas que rigen la selección objetiva. </w:t>
      </w:r>
      <w:r w:rsidR="004B3F1B">
        <w:rPr>
          <w:rFonts w:ascii="Arial" w:eastAsia="Times New Roman" w:hAnsi="Arial" w:cs="Arial"/>
          <w:szCs w:val="24"/>
          <w:lang w:val="es-ES_tradnl" w:eastAsia="es-ES_tradnl"/>
        </w:rPr>
        <w:t>Esto comoquiera que esta posibilidad no está restringida</w:t>
      </w:r>
      <w:r>
        <w:rPr>
          <w:rFonts w:ascii="Arial" w:eastAsia="Times New Roman" w:hAnsi="Arial" w:cs="Arial"/>
          <w:szCs w:val="24"/>
          <w:lang w:val="es-ES_tradnl" w:eastAsia="es-ES_tradnl"/>
        </w:rPr>
        <w:t xml:space="preserve"> por la norma y </w:t>
      </w:r>
      <w:r w:rsidR="004B3F1B">
        <w:rPr>
          <w:rFonts w:ascii="Arial" w:eastAsia="Times New Roman" w:hAnsi="Arial" w:cs="Arial"/>
          <w:szCs w:val="24"/>
          <w:lang w:val="es-ES_tradnl" w:eastAsia="es-ES_tradnl"/>
        </w:rPr>
        <w:t xml:space="preserve">toda vez </w:t>
      </w:r>
      <w:r>
        <w:rPr>
          <w:rFonts w:ascii="Arial" w:eastAsia="Times New Roman" w:hAnsi="Arial" w:cs="Arial"/>
          <w:szCs w:val="24"/>
          <w:lang w:val="es-ES_tradnl" w:eastAsia="es-ES_tradnl"/>
        </w:rPr>
        <w:t xml:space="preserve">que </w:t>
      </w:r>
      <w:r w:rsidR="004B3F1B">
        <w:rPr>
          <w:rFonts w:ascii="Arial" w:eastAsia="Times New Roman" w:hAnsi="Arial" w:cs="Arial"/>
          <w:szCs w:val="24"/>
          <w:lang w:val="es-ES_tradnl" w:eastAsia="es-ES_tradnl"/>
        </w:rPr>
        <w:t>ella</w:t>
      </w:r>
      <w:r>
        <w:rPr>
          <w:rFonts w:ascii="Arial" w:eastAsia="Times New Roman" w:hAnsi="Arial" w:cs="Arial"/>
          <w:szCs w:val="24"/>
          <w:lang w:val="es-ES_tradnl" w:eastAsia="es-ES_tradnl"/>
        </w:rPr>
        <w:t xml:space="preserve"> </w:t>
      </w:r>
      <w:r w:rsidR="004B3F1B">
        <w:rPr>
          <w:rFonts w:ascii="Arial" w:eastAsia="Times New Roman" w:hAnsi="Arial" w:cs="Arial"/>
          <w:szCs w:val="24"/>
          <w:lang w:val="es-ES_tradnl" w:eastAsia="es-ES_tradnl"/>
        </w:rPr>
        <w:t>depende de</w:t>
      </w:r>
      <w:r>
        <w:rPr>
          <w:rFonts w:ascii="Arial" w:eastAsia="Times New Roman" w:hAnsi="Arial" w:cs="Arial"/>
          <w:szCs w:val="24"/>
          <w:lang w:val="es-ES_tradnl" w:eastAsia="es-ES_tradnl"/>
        </w:rPr>
        <w:t xml:space="preserve"> la </w:t>
      </w:r>
      <w:r w:rsidR="004B3F1B">
        <w:rPr>
          <w:rFonts w:ascii="Arial" w:eastAsia="Times New Roman" w:hAnsi="Arial" w:cs="Arial"/>
          <w:szCs w:val="24"/>
          <w:lang w:val="es-ES_tradnl" w:eastAsia="es-ES_tradnl"/>
        </w:rPr>
        <w:t xml:space="preserve">autonomía y </w:t>
      </w:r>
      <w:r>
        <w:rPr>
          <w:rFonts w:ascii="Arial" w:eastAsia="Times New Roman" w:hAnsi="Arial" w:cs="Arial"/>
          <w:szCs w:val="24"/>
          <w:lang w:val="es-ES_tradnl" w:eastAsia="es-ES_tradnl"/>
        </w:rPr>
        <w:t xml:space="preserve">discrecionalidad de las </w:t>
      </w:r>
      <w:r w:rsidR="004B3F1B">
        <w:rPr>
          <w:rFonts w:ascii="Arial" w:eastAsia="Times New Roman" w:hAnsi="Arial" w:cs="Arial"/>
          <w:szCs w:val="24"/>
          <w:lang w:val="es-ES_tradnl" w:eastAsia="es-ES_tradnl"/>
        </w:rPr>
        <w:t>E</w:t>
      </w:r>
      <w:r>
        <w:rPr>
          <w:rFonts w:ascii="Arial" w:eastAsia="Times New Roman" w:hAnsi="Arial" w:cs="Arial"/>
          <w:szCs w:val="24"/>
          <w:lang w:val="es-ES_tradnl" w:eastAsia="es-ES_tradnl"/>
        </w:rPr>
        <w:t xml:space="preserve">ntidades </w:t>
      </w:r>
      <w:r w:rsidR="004B3F1B">
        <w:rPr>
          <w:rFonts w:ascii="Arial" w:eastAsia="Times New Roman" w:hAnsi="Arial" w:cs="Arial"/>
          <w:szCs w:val="24"/>
          <w:lang w:val="es-ES_tradnl" w:eastAsia="es-ES_tradnl"/>
        </w:rPr>
        <w:t>E</w:t>
      </w:r>
      <w:r>
        <w:rPr>
          <w:rFonts w:ascii="Arial" w:eastAsia="Times New Roman" w:hAnsi="Arial" w:cs="Arial"/>
          <w:szCs w:val="24"/>
          <w:lang w:val="es-ES_tradnl" w:eastAsia="es-ES_tradnl"/>
        </w:rPr>
        <w:t xml:space="preserve">statales para establecer los requisitos habilitantes que resulten más adecuados y proporcionales para </w:t>
      </w:r>
      <w:r w:rsidR="004B3F1B">
        <w:rPr>
          <w:rFonts w:ascii="Arial" w:eastAsia="Times New Roman" w:hAnsi="Arial" w:cs="Arial"/>
          <w:szCs w:val="24"/>
          <w:lang w:val="es-ES_tradnl" w:eastAsia="es-ES_tradnl"/>
        </w:rPr>
        <w:t>evaluar</w:t>
      </w:r>
      <w:r>
        <w:rPr>
          <w:rFonts w:ascii="Arial" w:eastAsia="Times New Roman" w:hAnsi="Arial" w:cs="Arial"/>
          <w:szCs w:val="24"/>
          <w:lang w:val="es-ES_tradnl" w:eastAsia="es-ES_tradnl"/>
        </w:rPr>
        <w:t xml:space="preserve"> la idoneidad de los oferentes respecto del objeto a contratar, en el marco de la modalidad de selección aplicable. </w:t>
      </w:r>
      <w:r w:rsidR="004B3F1B">
        <w:rPr>
          <w:rFonts w:ascii="Arial" w:eastAsia="Times New Roman" w:hAnsi="Arial" w:cs="Arial"/>
          <w:szCs w:val="24"/>
          <w:lang w:val="es-ES_tradnl" w:eastAsia="es-ES_tradnl"/>
        </w:rPr>
        <w:t xml:space="preserve">En todo caso, no sobra advertir </w:t>
      </w:r>
      <w:r w:rsidRPr="00F41BD6">
        <w:rPr>
          <w:rFonts w:ascii="Arial" w:eastAsia="Times New Roman" w:hAnsi="Arial" w:cs="Arial"/>
          <w:szCs w:val="24"/>
          <w:lang w:val="es-ES_tradnl" w:eastAsia="es-ES_tradnl"/>
        </w:rPr>
        <w:t xml:space="preserve">que </w:t>
      </w:r>
      <w:r>
        <w:rPr>
          <w:rFonts w:ascii="Arial" w:eastAsia="Times New Roman" w:hAnsi="Arial" w:cs="Arial"/>
          <w:szCs w:val="24"/>
          <w:lang w:val="es-ES_tradnl" w:eastAsia="es-ES_tradnl"/>
        </w:rPr>
        <w:t>lo que constituye</w:t>
      </w:r>
      <w:r w:rsidRPr="00F41BD6">
        <w:rPr>
          <w:rFonts w:ascii="Arial" w:eastAsia="Times New Roman" w:hAnsi="Arial" w:cs="Arial"/>
          <w:szCs w:val="24"/>
          <w:lang w:val="es-ES_tradnl" w:eastAsia="es-ES_tradnl"/>
        </w:rPr>
        <w:t xml:space="preserve"> </w:t>
      </w:r>
      <w:r>
        <w:rPr>
          <w:rFonts w:ascii="Arial" w:eastAsia="Times New Roman" w:hAnsi="Arial" w:cs="Arial"/>
          <w:szCs w:val="24"/>
          <w:lang w:val="es-ES_tradnl" w:eastAsia="es-ES_tradnl"/>
        </w:rPr>
        <w:t xml:space="preserve">un </w:t>
      </w:r>
      <w:r w:rsidRPr="00F41BD6">
        <w:rPr>
          <w:rFonts w:ascii="Arial" w:eastAsia="Times New Roman" w:hAnsi="Arial" w:cs="Arial"/>
          <w:i/>
          <w:iCs/>
          <w:szCs w:val="24"/>
          <w:lang w:val="es-ES_tradnl" w:eastAsia="es-ES_tradnl"/>
        </w:rPr>
        <w:t>“ítem</w:t>
      </w:r>
      <w:r>
        <w:rPr>
          <w:rFonts w:ascii="Arial" w:eastAsia="Times New Roman" w:hAnsi="Arial" w:cs="Arial"/>
          <w:i/>
          <w:iCs/>
          <w:szCs w:val="24"/>
          <w:lang w:val="es-ES_tradnl" w:eastAsia="es-ES_tradnl"/>
        </w:rPr>
        <w:t xml:space="preserve"> </w:t>
      </w:r>
      <w:r w:rsidRPr="00F41BD6">
        <w:rPr>
          <w:rFonts w:ascii="Arial" w:eastAsia="Times New Roman" w:hAnsi="Arial" w:cs="Arial"/>
          <w:i/>
          <w:iCs/>
          <w:szCs w:val="24"/>
          <w:lang w:val="es-ES_tradnl" w:eastAsia="es-ES_tradnl"/>
        </w:rPr>
        <w:t xml:space="preserve">representativo” </w:t>
      </w:r>
      <w:r>
        <w:rPr>
          <w:rFonts w:ascii="Arial" w:eastAsia="Times New Roman" w:hAnsi="Arial" w:cs="Arial"/>
          <w:szCs w:val="24"/>
          <w:lang w:val="es-ES_tradnl" w:eastAsia="es-ES_tradnl"/>
        </w:rPr>
        <w:t xml:space="preserve">debe determinarse en </w:t>
      </w:r>
      <w:r w:rsidRPr="00F41BD6">
        <w:rPr>
          <w:rFonts w:ascii="Arial" w:eastAsia="Times New Roman" w:hAnsi="Arial" w:cs="Arial"/>
          <w:szCs w:val="24"/>
          <w:lang w:val="es-ES_tradnl" w:eastAsia="es-ES_tradnl"/>
        </w:rPr>
        <w:t>el contexto de cada proceso de selección en particular</w:t>
      </w:r>
      <w:r>
        <w:rPr>
          <w:rFonts w:ascii="Arial" w:eastAsia="Times New Roman" w:hAnsi="Arial" w:cs="Arial"/>
          <w:szCs w:val="24"/>
          <w:lang w:val="es-ES_tradnl" w:eastAsia="es-ES_tradnl"/>
        </w:rPr>
        <w:t xml:space="preserve">, de </w:t>
      </w:r>
      <w:r w:rsidRPr="00F41BD6">
        <w:rPr>
          <w:rFonts w:ascii="Arial" w:eastAsia="Times New Roman" w:hAnsi="Arial" w:cs="Arial"/>
          <w:szCs w:val="24"/>
          <w:lang w:val="es-ES_tradnl" w:eastAsia="es-ES_tradnl"/>
        </w:rPr>
        <w:t xml:space="preserve">acuerdo </w:t>
      </w:r>
      <w:r w:rsidR="004B3F1B">
        <w:rPr>
          <w:rFonts w:ascii="Arial" w:eastAsia="Times New Roman" w:hAnsi="Arial" w:cs="Arial"/>
          <w:szCs w:val="24"/>
          <w:lang w:val="es-ES_tradnl" w:eastAsia="es-ES_tradnl"/>
        </w:rPr>
        <w:t>con</w:t>
      </w:r>
      <w:r w:rsidRPr="00F41BD6">
        <w:rPr>
          <w:rFonts w:ascii="Arial" w:eastAsia="Times New Roman" w:hAnsi="Arial" w:cs="Arial"/>
          <w:szCs w:val="24"/>
          <w:lang w:val="es-ES_tradnl" w:eastAsia="es-ES_tradnl"/>
        </w:rPr>
        <w:t xml:space="preserve"> la planeación y estructuración de los Documentos del Proceso</w:t>
      </w:r>
      <w:r>
        <w:rPr>
          <w:rFonts w:ascii="Arial" w:eastAsia="Times New Roman" w:hAnsi="Arial" w:cs="Arial"/>
          <w:szCs w:val="24"/>
          <w:lang w:val="es-ES_tradnl" w:eastAsia="es-ES_tradnl"/>
        </w:rPr>
        <w:t xml:space="preserve">. </w:t>
      </w:r>
      <w:r w:rsidRPr="00F41BD6">
        <w:rPr>
          <w:rFonts w:ascii="Arial" w:eastAsia="Times New Roman" w:hAnsi="Arial" w:cs="Arial"/>
          <w:szCs w:val="24"/>
          <w:lang w:val="es-ES_tradnl" w:eastAsia="es-ES_tradnl"/>
        </w:rPr>
        <w:t xml:space="preserve"> </w:t>
      </w:r>
    </w:p>
    <w:p w14:paraId="7ADE1857" w14:textId="77777777" w:rsidR="00F41BD6" w:rsidRPr="00F41BD6" w:rsidRDefault="00F41BD6" w:rsidP="00F41BD6">
      <w:pPr>
        <w:spacing w:after="120" w:line="276" w:lineRule="auto"/>
        <w:ind w:right="51"/>
        <w:jc w:val="both"/>
        <w:rPr>
          <w:rFonts w:ascii="Arial" w:eastAsia="MS Mincho" w:hAnsi="Arial" w:cs="Arial"/>
          <w:lang w:eastAsia="es-CO"/>
        </w:rPr>
      </w:pPr>
    </w:p>
    <w:p w14:paraId="3558B359" w14:textId="77777777" w:rsidR="00F41BD6" w:rsidRPr="00F41BD6" w:rsidRDefault="00F41BD6" w:rsidP="00F41BD6">
      <w:pPr>
        <w:widowControl w:val="0"/>
        <w:autoSpaceDE w:val="0"/>
        <w:autoSpaceDN w:val="0"/>
        <w:spacing w:after="0" w:line="276" w:lineRule="auto"/>
        <w:contextualSpacing/>
        <w:jc w:val="both"/>
        <w:rPr>
          <w:rFonts w:ascii="Arial" w:eastAsia="Times New Roman" w:hAnsi="Arial" w:cs="Arial"/>
          <w:lang w:eastAsia="es-ES_tradnl"/>
        </w:rPr>
      </w:pPr>
      <w:r w:rsidRPr="00F41BD6">
        <w:rPr>
          <w:rFonts w:ascii="Arial" w:eastAsia="Calibri" w:hAnsi="Arial" w:cs="Arial"/>
        </w:rPr>
        <w:t>Este concepto tiene el alcance previsto en el artículo 28 del Código de Procedimiento Administrativo y de lo Contencioso Administrativo</w:t>
      </w:r>
      <w:r w:rsidRPr="00F41BD6">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44C27EE3" wp14:editId="748A965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93226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F41BD6">
        <w:rPr>
          <w:rFonts w:ascii="Arial" w:eastAsia="Calibri" w:hAnsi="Arial" w:cs="Arial"/>
        </w:rPr>
        <w:t xml:space="preserve"> y las expresiones utilizadas con mayúscula inicial deben ser entendidas con el significado que les otorga el artículo 2.2.1.1.1.3.1 del Decreto 1082 de 2015.</w:t>
      </w:r>
    </w:p>
    <w:p w14:paraId="26E52CFC" w14:textId="77777777" w:rsidR="00F41BD6" w:rsidRPr="00F41BD6" w:rsidRDefault="00F41BD6" w:rsidP="00F41BD6">
      <w:pPr>
        <w:spacing w:after="120" w:line="276" w:lineRule="auto"/>
        <w:jc w:val="both"/>
        <w:rPr>
          <w:rFonts w:ascii="Arial" w:eastAsia="Times New Roman" w:hAnsi="Arial" w:cs="Arial"/>
          <w:lang w:eastAsia="es-ES_tradnl"/>
        </w:rPr>
      </w:pPr>
    </w:p>
    <w:p w14:paraId="40FB763F" w14:textId="77777777" w:rsidR="00F41BD6" w:rsidRPr="00F41BD6" w:rsidRDefault="00F41BD6" w:rsidP="00F41BD6">
      <w:pPr>
        <w:spacing w:after="200" w:line="276" w:lineRule="auto"/>
        <w:jc w:val="both"/>
        <w:rPr>
          <w:rFonts w:ascii="Arial" w:eastAsia="Times New Roman" w:hAnsi="Arial" w:cs="Arial"/>
          <w:lang w:eastAsia="es-CO"/>
        </w:rPr>
      </w:pPr>
      <w:r w:rsidRPr="00F41BD6">
        <w:rPr>
          <w:rFonts w:ascii="Arial" w:eastAsia="Times New Roman" w:hAnsi="Arial" w:cs="Arial"/>
          <w:lang w:eastAsia="es-CO"/>
        </w:rPr>
        <w:t>Atentamente,</w:t>
      </w:r>
    </w:p>
    <w:p w14:paraId="09F4194B" w14:textId="110DB97E" w:rsidR="00F41BD6" w:rsidRPr="00F41BD6" w:rsidRDefault="00ED195E" w:rsidP="00F41BD6">
      <w:pPr>
        <w:spacing w:after="200" w:line="276" w:lineRule="auto"/>
        <w:jc w:val="center"/>
        <w:rPr>
          <w:rFonts w:ascii="Arial" w:eastAsia="Calibri" w:hAnsi="Arial" w:cs="Arial"/>
          <w:b/>
          <w:bCs/>
          <w:sz w:val="20"/>
          <w:szCs w:val="20"/>
          <w:lang w:val="es-MX"/>
        </w:rPr>
      </w:pPr>
      <w:bookmarkStart w:id="12" w:name="_Hlk130981267"/>
      <w:bookmarkEnd w:id="0"/>
      <w:bookmarkEnd w:id="11"/>
      <w:r>
        <w:rPr>
          <w:rFonts w:ascii="Geomanist Light" w:hAnsi="Geomanist Light"/>
          <w:b/>
          <w:bCs/>
          <w:noProof/>
          <w:sz w:val="20"/>
          <w:szCs w:val="20"/>
          <w:shd w:val="clear" w:color="auto" w:fill="FFFFFF"/>
          <w:lang w:val="es-MX"/>
        </w:rPr>
        <w:drawing>
          <wp:inline distT="0" distB="0" distL="0" distR="0" wp14:anchorId="602FB50B" wp14:editId="6457A2CF">
            <wp:extent cx="3152775" cy="1211580"/>
            <wp:effectExtent l="0" t="0" r="9525" b="7620"/>
            <wp:docPr id="104368010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11580"/>
                    </a:xfrm>
                    <a:prstGeom prst="rect">
                      <a:avLst/>
                    </a:prstGeom>
                    <a:noFill/>
                    <a:ln>
                      <a:noFill/>
                    </a:ln>
                  </pic:spPr>
                </pic:pic>
              </a:graphicData>
            </a:graphic>
          </wp:inline>
        </w:drawing>
      </w:r>
      <w:r>
        <w:rPr>
          <w:rFonts w:ascii="Calibri" w:hAnsi="Calibri" w:cs="Calibri"/>
          <w:color w:val="000000"/>
          <w:shd w:val="clear" w:color="auto" w:fill="FFFFFF"/>
          <w:lang w:val="es-ES"/>
        </w:rPr>
        <w:br/>
      </w:r>
      <w:r w:rsidR="00F41BD6" w:rsidRPr="00F41BD6">
        <w:rPr>
          <w:rFonts w:ascii="Geomanist Light" w:hAnsi="Geomanist Light"/>
          <w:b/>
          <w:bCs/>
          <w:sz w:val="20"/>
          <w:szCs w:val="20"/>
          <w:shd w:val="clear" w:color="auto" w:fill="FFFFFF"/>
          <w:lang w:val="es-MX"/>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41BD6" w:rsidRPr="00F41BD6" w14:paraId="0BE1F669" w14:textId="77777777" w:rsidTr="009D7DAE">
        <w:trPr>
          <w:trHeight w:val="315"/>
        </w:trPr>
        <w:tc>
          <w:tcPr>
            <w:tcW w:w="812" w:type="dxa"/>
            <w:vAlign w:val="center"/>
            <w:hideMark/>
          </w:tcPr>
          <w:p w14:paraId="747B13E1"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30B6A370"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Nasly Yeana Mosquera Rivas</w:t>
            </w:r>
          </w:p>
          <w:p w14:paraId="69A8CD89"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Analista T2–06 de la Subdirección de Gestión Contractual</w:t>
            </w:r>
          </w:p>
        </w:tc>
      </w:tr>
      <w:tr w:rsidR="00F41BD6" w:rsidRPr="00F41BD6" w14:paraId="0F44A9F5" w14:textId="77777777" w:rsidTr="009D7DAE">
        <w:trPr>
          <w:trHeight w:val="330"/>
        </w:trPr>
        <w:tc>
          <w:tcPr>
            <w:tcW w:w="812" w:type="dxa"/>
            <w:vAlign w:val="center"/>
            <w:hideMark/>
          </w:tcPr>
          <w:p w14:paraId="76B6D45C"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5EFDD2CB"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Alejandro Sarmiento Cantillo</w:t>
            </w:r>
          </w:p>
          <w:p w14:paraId="4A8C9BDF"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Gestor T1–15 de la Subdirección de Gestión Contractual</w:t>
            </w:r>
          </w:p>
        </w:tc>
      </w:tr>
      <w:tr w:rsidR="00F41BD6" w:rsidRPr="00F41BD6" w14:paraId="2A65E788" w14:textId="77777777" w:rsidTr="009D7DAE">
        <w:trPr>
          <w:trHeight w:val="300"/>
        </w:trPr>
        <w:tc>
          <w:tcPr>
            <w:tcW w:w="812" w:type="dxa"/>
            <w:vAlign w:val="center"/>
            <w:hideMark/>
          </w:tcPr>
          <w:p w14:paraId="5838DDB7"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89E9AC9"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 xml:space="preserve">Nohelia del Carmen </w:t>
            </w:r>
            <w:proofErr w:type="spellStart"/>
            <w:r w:rsidRPr="00F41BD6">
              <w:rPr>
                <w:rFonts w:ascii="Arial" w:eastAsia="Times New Roman" w:hAnsi="Arial" w:cs="Arial"/>
                <w:sz w:val="16"/>
                <w:szCs w:val="16"/>
                <w:lang w:eastAsia="es-ES"/>
              </w:rPr>
              <w:t>Zawady</w:t>
            </w:r>
            <w:proofErr w:type="spellEnd"/>
            <w:r w:rsidRPr="00F41BD6">
              <w:rPr>
                <w:rFonts w:ascii="Arial" w:eastAsia="Times New Roman" w:hAnsi="Arial" w:cs="Arial"/>
                <w:sz w:val="16"/>
                <w:szCs w:val="16"/>
                <w:lang w:eastAsia="es-ES"/>
              </w:rPr>
              <w:t xml:space="preserve"> Palacio</w:t>
            </w:r>
          </w:p>
          <w:p w14:paraId="17A4DAAD" w14:textId="77777777" w:rsidR="00F41BD6" w:rsidRPr="00F41BD6" w:rsidRDefault="00F41BD6" w:rsidP="00F41BD6">
            <w:pPr>
              <w:rPr>
                <w:rFonts w:ascii="Arial" w:eastAsia="Times New Roman" w:hAnsi="Arial" w:cs="Arial"/>
                <w:sz w:val="16"/>
                <w:szCs w:val="16"/>
                <w:lang w:eastAsia="es-ES"/>
              </w:rPr>
            </w:pPr>
            <w:r w:rsidRPr="00F41BD6">
              <w:rPr>
                <w:rFonts w:ascii="Arial" w:eastAsia="Times New Roman" w:hAnsi="Arial" w:cs="Arial"/>
                <w:sz w:val="16"/>
                <w:szCs w:val="16"/>
                <w:lang w:eastAsia="es-ES"/>
              </w:rPr>
              <w:t>Subdirectora de Gestión Contractual ANCP – CCE</w:t>
            </w:r>
          </w:p>
        </w:tc>
      </w:tr>
      <w:bookmarkEnd w:id="1"/>
      <w:bookmarkEnd w:id="2"/>
      <w:bookmarkEnd w:id="3"/>
      <w:bookmarkEnd w:id="12"/>
    </w:tbl>
    <w:p w14:paraId="0F293BF4" w14:textId="0F6FB6C1" w:rsidR="00127233" w:rsidRPr="006219F8" w:rsidRDefault="00127233" w:rsidP="00D70368">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8861" w14:textId="77777777" w:rsidR="007404E5" w:rsidRDefault="007404E5" w:rsidP="004A1847">
      <w:pPr>
        <w:spacing w:after="0" w:line="240" w:lineRule="auto"/>
      </w:pPr>
      <w:r>
        <w:separator/>
      </w:r>
    </w:p>
  </w:endnote>
  <w:endnote w:type="continuationSeparator" w:id="0">
    <w:p w14:paraId="6D2516A9" w14:textId="77777777" w:rsidR="007404E5" w:rsidRDefault="007404E5" w:rsidP="004A1847">
      <w:pPr>
        <w:spacing w:after="0" w:line="240" w:lineRule="auto"/>
      </w:pPr>
      <w:r>
        <w:continuationSeparator/>
      </w:r>
    </w:p>
  </w:endnote>
  <w:endnote w:type="continuationNotice" w:id="1">
    <w:p w14:paraId="234B8886" w14:textId="77777777" w:rsidR="007404E5" w:rsidRDefault="00740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3233" w14:textId="77777777" w:rsidR="007404E5" w:rsidRDefault="007404E5" w:rsidP="004A1847">
      <w:pPr>
        <w:spacing w:after="0" w:line="240" w:lineRule="auto"/>
      </w:pPr>
      <w:r>
        <w:separator/>
      </w:r>
    </w:p>
  </w:footnote>
  <w:footnote w:type="continuationSeparator" w:id="0">
    <w:p w14:paraId="47CBE76F" w14:textId="77777777" w:rsidR="007404E5" w:rsidRDefault="007404E5" w:rsidP="004A1847">
      <w:pPr>
        <w:spacing w:after="0" w:line="240" w:lineRule="auto"/>
      </w:pPr>
      <w:r>
        <w:continuationSeparator/>
      </w:r>
    </w:p>
  </w:footnote>
  <w:footnote w:type="continuationNotice" w:id="1">
    <w:p w14:paraId="158FB68C" w14:textId="77777777" w:rsidR="007404E5" w:rsidRDefault="007404E5">
      <w:pPr>
        <w:spacing w:after="0" w:line="240" w:lineRule="auto"/>
      </w:pPr>
    </w:p>
  </w:footnote>
  <w:footnote w:id="2">
    <w:p w14:paraId="3D8359BF" w14:textId="77777777" w:rsidR="00F41BD6" w:rsidRPr="006C6731" w:rsidRDefault="00F41BD6" w:rsidP="001C13AF">
      <w:pPr>
        <w:pStyle w:val="Textonotapie"/>
        <w:ind w:firstLine="708"/>
        <w:jc w:val="both"/>
        <w:rPr>
          <w:rFonts w:ascii="Arial" w:hAnsi="Arial" w:cs="Arial"/>
          <w:sz w:val="10"/>
          <w:szCs w:val="10"/>
          <w:lang w:val="es-ES"/>
        </w:rPr>
      </w:pPr>
      <w:r w:rsidRPr="006C6731">
        <w:rPr>
          <w:rStyle w:val="Refdenotaalpie"/>
          <w:rFonts w:ascii="Arial" w:hAnsi="Arial" w:cs="Arial"/>
          <w:sz w:val="10"/>
          <w:szCs w:val="10"/>
        </w:rPr>
        <w:footnoteRef/>
      </w:r>
      <w:r w:rsidRPr="006C6731">
        <w:rPr>
          <w:rFonts w:ascii="Arial" w:hAnsi="Arial" w:cs="Arial"/>
          <w:sz w:val="10"/>
          <w:szCs w:val="10"/>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C6731">
        <w:rPr>
          <w:rFonts w:ascii="Arial" w:hAnsi="Arial" w:cs="Arial"/>
          <w:i/>
          <w:iCs/>
          <w:sz w:val="10"/>
          <w:szCs w:val="10"/>
        </w:rPr>
        <w:t xml:space="preserve">ibidem </w:t>
      </w:r>
      <w:r w:rsidRPr="006C6731">
        <w:rPr>
          <w:rFonts w:ascii="Arial" w:hAnsi="Arial" w:cs="Arial"/>
          <w:sz w:val="10"/>
          <w:szCs w:val="10"/>
        </w:rPr>
        <w:t>señala, de manera precisa, las funciones de Colombia Compra Eficiente. Concretamente, el numeral 5º de este artículo establece que le corresponde a esta entidad: “[a]</w:t>
      </w:r>
      <w:proofErr w:type="spellStart"/>
      <w:r w:rsidRPr="006C6731">
        <w:rPr>
          <w:rFonts w:ascii="Arial" w:hAnsi="Arial" w:cs="Arial"/>
          <w:sz w:val="10"/>
          <w:szCs w:val="10"/>
        </w:rPr>
        <w:t>bsolver</w:t>
      </w:r>
      <w:proofErr w:type="spellEnd"/>
      <w:r w:rsidRPr="006C6731">
        <w:rPr>
          <w:rFonts w:ascii="Arial" w:hAnsi="Arial" w:cs="Arial"/>
          <w:sz w:val="10"/>
          <w:szCs w:val="10"/>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6C6731">
        <w:rPr>
          <w:rFonts w:ascii="Arial" w:hAnsi="Arial" w:cs="Arial"/>
          <w:sz w:val="10"/>
          <w:szCs w:val="10"/>
        </w:rPr>
        <w:t>bsolver</w:t>
      </w:r>
      <w:proofErr w:type="spellEnd"/>
      <w:r w:rsidRPr="006C6731">
        <w:rPr>
          <w:rFonts w:ascii="Arial" w:hAnsi="Arial" w:cs="Arial"/>
          <w:sz w:val="10"/>
          <w:szCs w:val="10"/>
        </w:rPr>
        <w:t xml:space="preserve"> consultas sobre la aplicación de normas de carácter general”.</w:t>
      </w:r>
    </w:p>
  </w:footnote>
  <w:footnote w:id="3">
    <w:p w14:paraId="7316BC9D" w14:textId="77777777" w:rsidR="00F41BD6" w:rsidRPr="006C6731" w:rsidRDefault="00F41BD6" w:rsidP="001C13AF">
      <w:pPr>
        <w:pStyle w:val="NormalWeb"/>
        <w:spacing w:after="0" w:line="240" w:lineRule="auto"/>
        <w:ind w:firstLine="709"/>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w:t>
      </w:r>
      <w:r w:rsidRPr="006C6731">
        <w:rPr>
          <w:rFonts w:ascii="Arial" w:hAnsi="Arial" w:cs="Arial"/>
          <w:sz w:val="10"/>
          <w:szCs w:val="10"/>
          <w:lang w:val="es-ES"/>
        </w:rPr>
        <w:t>“</w:t>
      </w:r>
      <w:r w:rsidRPr="006C6731">
        <w:rPr>
          <w:rFonts w:ascii="Arial" w:hAnsi="Arial" w:cs="Arial"/>
          <w:sz w:val="10"/>
          <w:szCs w:val="10"/>
        </w:rPr>
        <w:t>Para poder participar en los procesos de selección de los contratos de obra, la capacidad residual del proponente o K de contratación deberá ser igual o superior al que la entidad haya establecido para el efecto en los pliegos de condiciones</w:t>
      </w:r>
    </w:p>
    <w:p w14:paraId="4A4ED722" w14:textId="28EE5C56" w:rsidR="00F41BD6" w:rsidRPr="006C6731" w:rsidRDefault="00F41BD6" w:rsidP="001C13AF">
      <w:pPr>
        <w:spacing w:after="0" w:line="240" w:lineRule="auto"/>
        <w:ind w:firstLine="709"/>
        <w:jc w:val="both"/>
        <w:rPr>
          <w:rFonts w:ascii="Arial" w:hAnsi="Arial" w:cs="Arial"/>
          <w:sz w:val="10"/>
          <w:szCs w:val="10"/>
        </w:rPr>
      </w:pPr>
      <w:r w:rsidRPr="006C6731">
        <w:rPr>
          <w:rFonts w:ascii="Arial" w:hAnsi="Arial" w:cs="Arial"/>
          <w:sz w:val="10"/>
          <w:szCs w:val="10"/>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r w:rsidR="00B3097B" w:rsidRPr="006C6731">
        <w:rPr>
          <w:rFonts w:ascii="Arial" w:hAnsi="Arial" w:cs="Arial"/>
          <w:sz w:val="10"/>
          <w:szCs w:val="10"/>
        </w:rPr>
        <w:t>”</w:t>
      </w:r>
      <w:r w:rsidRPr="006C6731">
        <w:rPr>
          <w:rFonts w:ascii="Arial" w:hAnsi="Arial" w:cs="Arial"/>
          <w:sz w:val="10"/>
          <w:szCs w:val="10"/>
        </w:rPr>
        <w:t>.</w:t>
      </w:r>
    </w:p>
    <w:p w14:paraId="4DA0162E" w14:textId="77777777" w:rsidR="00F41BD6" w:rsidRPr="006C6731" w:rsidRDefault="00F41BD6" w:rsidP="001C13AF">
      <w:pPr>
        <w:spacing w:after="0" w:line="240" w:lineRule="auto"/>
        <w:ind w:firstLine="709"/>
        <w:jc w:val="both"/>
        <w:rPr>
          <w:rFonts w:ascii="Arial" w:hAnsi="Arial" w:cs="Arial"/>
          <w:sz w:val="10"/>
          <w:szCs w:val="10"/>
        </w:rPr>
      </w:pPr>
    </w:p>
  </w:footnote>
  <w:footnote w:id="4">
    <w:p w14:paraId="117FD2F5" w14:textId="77777777" w:rsidR="00F41BD6" w:rsidRPr="006C6731" w:rsidRDefault="00F41BD6" w:rsidP="001C13AF">
      <w:pPr>
        <w:pStyle w:val="Textonotapie"/>
        <w:ind w:firstLine="708"/>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Cfr. Corte Constitucional. Sentencia C-569 de 2004. M.P. Rodrigo Uprimny Yepes.</w:t>
      </w:r>
    </w:p>
    <w:p w14:paraId="6FCCB839" w14:textId="77777777" w:rsidR="00F41BD6" w:rsidRPr="006C6731" w:rsidRDefault="00F41BD6" w:rsidP="001C13AF">
      <w:pPr>
        <w:pStyle w:val="Textonotapie"/>
        <w:ind w:firstLine="708"/>
        <w:jc w:val="both"/>
        <w:rPr>
          <w:rFonts w:ascii="Arial" w:hAnsi="Arial" w:cs="Arial"/>
          <w:sz w:val="10"/>
          <w:szCs w:val="10"/>
          <w:lang w:val="es-ES"/>
        </w:rPr>
      </w:pPr>
    </w:p>
  </w:footnote>
  <w:footnote w:id="5">
    <w:p w14:paraId="1BC45DE4" w14:textId="77777777" w:rsidR="00F41BD6" w:rsidRPr="006C6731" w:rsidRDefault="00F41BD6" w:rsidP="001C13AF">
      <w:pPr>
        <w:pStyle w:val="Textonotapie"/>
        <w:ind w:firstLine="708"/>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Cfr. Consejo de Estado. Sección Tercera. Providencias del 11 de diciembre de 2002, dictada dentro del expediente AG-1683, y del 18 de octubre de 2001, proferida dentro del plenario AG-021.</w:t>
      </w:r>
    </w:p>
    <w:p w14:paraId="5752BEFB" w14:textId="77777777" w:rsidR="00F41BD6" w:rsidRPr="006C6731" w:rsidRDefault="00F41BD6" w:rsidP="001C13AF">
      <w:pPr>
        <w:pStyle w:val="Textonotapie"/>
        <w:ind w:firstLine="708"/>
        <w:jc w:val="both"/>
        <w:rPr>
          <w:rFonts w:ascii="Arial" w:hAnsi="Arial" w:cs="Arial"/>
          <w:sz w:val="10"/>
          <w:szCs w:val="10"/>
          <w:lang w:val="es-ES"/>
        </w:rPr>
      </w:pPr>
    </w:p>
  </w:footnote>
  <w:footnote w:id="6">
    <w:p w14:paraId="1C758425" w14:textId="39C8FABB" w:rsidR="00F41BD6" w:rsidRPr="006C6731" w:rsidRDefault="00F41BD6" w:rsidP="001C13AF">
      <w:pPr>
        <w:pStyle w:val="Textonotapie"/>
        <w:ind w:firstLine="708"/>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Gaceta 096 de 2007. Pág. 9. Allí se lee: </w:t>
      </w:r>
      <w:r w:rsidR="00E351C2" w:rsidRPr="006C6731">
        <w:rPr>
          <w:rFonts w:ascii="Arial" w:hAnsi="Arial" w:cs="Arial"/>
          <w:sz w:val="10"/>
          <w:szCs w:val="10"/>
        </w:rPr>
        <w:t>“</w:t>
      </w:r>
      <w:r w:rsidRPr="006C6731">
        <w:rPr>
          <w:rFonts w:ascii="Arial" w:hAnsi="Arial" w:cs="Arial"/>
          <w:sz w:val="10"/>
          <w:szCs w:val="10"/>
        </w:rPr>
        <w:t xml:space="preserve">Parágrafo 2°. Nuevo. Se adiciona un parágrafo nuevo para </w:t>
      </w:r>
      <w:r w:rsidRPr="006C6731">
        <w:rPr>
          <w:rFonts w:ascii="Arial" w:hAnsi="Arial" w:cs="Arial"/>
          <w:i/>
          <w:iCs/>
          <w:sz w:val="10"/>
          <w:szCs w:val="10"/>
        </w:rPr>
        <w:t>establecer de manera concreta</w:t>
      </w:r>
      <w:r w:rsidRPr="006C6731">
        <w:rPr>
          <w:rFonts w:ascii="Arial" w:hAnsi="Arial" w:cs="Arial"/>
          <w:sz w:val="10"/>
          <w:szCs w:val="10"/>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w:t>
      </w:r>
      <w:r w:rsidR="00E351C2" w:rsidRPr="006C6731">
        <w:rPr>
          <w:rFonts w:ascii="Arial" w:hAnsi="Arial" w:cs="Arial"/>
          <w:sz w:val="10"/>
          <w:szCs w:val="10"/>
        </w:rPr>
        <w:t>”</w:t>
      </w:r>
      <w:r w:rsidRPr="006C6731">
        <w:rPr>
          <w:rFonts w:ascii="Arial" w:hAnsi="Arial" w:cs="Arial"/>
          <w:sz w:val="10"/>
          <w:szCs w:val="10"/>
        </w:rPr>
        <w:t xml:space="preserve"> </w:t>
      </w:r>
      <w:r w:rsidR="00B3097B" w:rsidRPr="006C6731">
        <w:rPr>
          <w:rFonts w:ascii="Arial" w:hAnsi="Arial" w:cs="Arial"/>
          <w:sz w:val="10"/>
          <w:szCs w:val="10"/>
        </w:rPr>
        <w:t>[</w:t>
      </w:r>
      <w:r w:rsidRPr="006C6731">
        <w:rPr>
          <w:rFonts w:ascii="Arial" w:hAnsi="Arial" w:cs="Arial"/>
          <w:sz w:val="10"/>
          <w:szCs w:val="10"/>
        </w:rPr>
        <w:t>Cursivas propias</w:t>
      </w:r>
      <w:r w:rsidR="00B3097B" w:rsidRPr="006C6731">
        <w:rPr>
          <w:rFonts w:ascii="Arial" w:hAnsi="Arial" w:cs="Arial"/>
          <w:sz w:val="10"/>
          <w:szCs w:val="10"/>
        </w:rPr>
        <w:t>]</w:t>
      </w:r>
      <w:r w:rsidRPr="006C6731">
        <w:rPr>
          <w:rFonts w:ascii="Arial" w:hAnsi="Arial" w:cs="Arial"/>
          <w:sz w:val="10"/>
          <w:szCs w:val="10"/>
        </w:rPr>
        <w:t xml:space="preserve">.  </w:t>
      </w:r>
    </w:p>
    <w:p w14:paraId="635B3490" w14:textId="77777777" w:rsidR="00F41BD6" w:rsidRPr="006C6731" w:rsidRDefault="00F41BD6" w:rsidP="001C13AF">
      <w:pPr>
        <w:pStyle w:val="Textonotapie"/>
        <w:ind w:firstLine="708"/>
        <w:jc w:val="both"/>
        <w:rPr>
          <w:rFonts w:ascii="Arial" w:hAnsi="Arial" w:cs="Arial"/>
          <w:sz w:val="10"/>
          <w:szCs w:val="10"/>
          <w:lang w:val="es-ES"/>
        </w:rPr>
      </w:pPr>
    </w:p>
  </w:footnote>
  <w:footnote w:id="7">
    <w:p w14:paraId="3CFC7033" w14:textId="1509B2E3" w:rsidR="00F41BD6" w:rsidRPr="006C6731" w:rsidRDefault="00F41BD6" w:rsidP="001C13AF">
      <w:pPr>
        <w:spacing w:after="0" w:line="240" w:lineRule="auto"/>
        <w:jc w:val="both"/>
        <w:rPr>
          <w:rFonts w:ascii="Arial" w:hAnsi="Arial" w:cs="Arial"/>
          <w:sz w:val="10"/>
          <w:szCs w:val="10"/>
          <w:lang w:eastAsia="es-CO"/>
        </w:rPr>
      </w:pPr>
      <w:r w:rsidRPr="006C6731">
        <w:rPr>
          <w:rFonts w:ascii="Arial" w:hAnsi="Arial" w:cs="Arial"/>
          <w:sz w:val="10"/>
          <w:szCs w:val="10"/>
        </w:rPr>
        <w:tab/>
      </w:r>
      <w:r w:rsidRPr="006C6731">
        <w:rPr>
          <w:rStyle w:val="Refdenotaalpie"/>
          <w:rFonts w:ascii="Arial" w:hAnsi="Arial" w:cs="Arial"/>
          <w:b/>
          <w:bCs/>
          <w:sz w:val="10"/>
          <w:szCs w:val="10"/>
        </w:rPr>
        <w:footnoteRef/>
      </w:r>
      <w:r w:rsidR="002A77D5" w:rsidRPr="006C6731">
        <w:rPr>
          <w:rFonts w:ascii="Arial" w:hAnsi="Arial" w:cs="Arial"/>
          <w:b/>
          <w:bCs/>
          <w:sz w:val="10"/>
          <w:szCs w:val="10"/>
        </w:rPr>
        <w:t>“</w:t>
      </w:r>
      <w:r w:rsidRPr="006C6731">
        <w:rPr>
          <w:rStyle w:val="Textoennegrita"/>
          <w:rFonts w:ascii="Arial" w:hAnsi="Arial" w:cs="Arial"/>
          <w:b w:val="0"/>
          <w:bCs w:val="0"/>
          <w:color w:val="000000"/>
          <w:sz w:val="10"/>
          <w:szCs w:val="10"/>
        </w:rPr>
        <w:t>Artículo 2.2.1.1.1.5.3.</w:t>
      </w:r>
      <w:r w:rsidRPr="006C6731">
        <w:rPr>
          <w:rStyle w:val="Textoennegrita"/>
          <w:rFonts w:ascii="Arial" w:hAnsi="Arial" w:cs="Arial"/>
          <w:color w:val="000000"/>
          <w:sz w:val="10"/>
          <w:szCs w:val="10"/>
        </w:rPr>
        <w:t> </w:t>
      </w:r>
      <w:r w:rsidRPr="006C6731">
        <w:rPr>
          <w:rStyle w:val="nfasis"/>
          <w:rFonts w:ascii="Arial" w:hAnsi="Arial" w:cs="Arial"/>
          <w:color w:val="000000"/>
          <w:sz w:val="10"/>
          <w:szCs w:val="10"/>
        </w:rPr>
        <w:t>Requisitos habilitantes contenidos en el RUP. </w:t>
      </w:r>
      <w:r w:rsidRPr="006C6731">
        <w:rPr>
          <w:rFonts w:ascii="Arial" w:hAnsi="Arial" w:cs="Arial"/>
          <w:sz w:val="10"/>
          <w:szCs w:val="10"/>
        </w:rPr>
        <w:t>Las cámaras de comercio, con base en la información a la que hace referencia el artículo anterior, deben verificar y certificar los siguientes requisitos habilitantes: </w:t>
      </w:r>
    </w:p>
    <w:p w14:paraId="3B691FFB" w14:textId="7F539740"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 xml:space="preserve">1. Experiencia – Los contratos celebrados por el interesado para cada uno de los bienes, obras y servicios que ofrecerá a las Entidades Estatales, identificados con el Clasificador de Bienes y Servicios en el tercer nivel y su valor expresado en </w:t>
      </w:r>
      <w:proofErr w:type="spellStart"/>
      <w:r w:rsidRPr="006C6731">
        <w:rPr>
          <w:rFonts w:ascii="Arial" w:hAnsi="Arial" w:cs="Arial"/>
          <w:sz w:val="10"/>
          <w:szCs w:val="10"/>
        </w:rPr>
        <w:t>smmlv</w:t>
      </w:r>
      <w:proofErr w:type="spellEnd"/>
      <w:r w:rsidRPr="006C6731">
        <w:rPr>
          <w:rFonts w:ascii="Arial" w:hAnsi="Arial" w:cs="Arial"/>
          <w:sz w:val="10"/>
          <w:szCs w:val="10"/>
        </w:rPr>
        <w:t>. </w:t>
      </w:r>
    </w:p>
    <w:p w14:paraId="4AFCB6A7" w14:textId="44DE6291"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 xml:space="preserve">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w:t>
      </w:r>
      <w:proofErr w:type="spellStart"/>
      <w:r w:rsidRPr="006C6731">
        <w:rPr>
          <w:rFonts w:ascii="Arial" w:hAnsi="Arial" w:cs="Arial"/>
          <w:sz w:val="10"/>
          <w:szCs w:val="10"/>
        </w:rPr>
        <w:t>smmlv</w:t>
      </w:r>
      <w:proofErr w:type="spellEnd"/>
      <w:r w:rsidRPr="006C6731">
        <w:rPr>
          <w:rFonts w:ascii="Arial" w:hAnsi="Arial" w:cs="Arial"/>
          <w:sz w:val="10"/>
          <w:szCs w:val="10"/>
        </w:rPr>
        <w:t>. </w:t>
      </w:r>
    </w:p>
    <w:p w14:paraId="5BF7EFAB" w14:textId="2278394E"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2. Capacidad Jurídica – La capacidad jurídica del proponente para prestar los bienes, obras, o servicios que ofrecerá a las Entidades Estatales y la capacidad del representante legal de las personas jurídicas para celebrar contratos y si requiere, autorizaciones para el efecto con ocasión de los límites a la capacidad del representante legal del interesado en relación con el monto y el tipo de las obligaciones que puede adquirir a nombre del interesado. </w:t>
      </w:r>
    </w:p>
    <w:p w14:paraId="51B26C81" w14:textId="793B3D00"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3. Capacidad Financiera – los siguientes indicadores miden la fortaleza financiera del interesado: </w:t>
      </w:r>
    </w:p>
    <w:p w14:paraId="44F97498" w14:textId="2016BD71"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3.1. Índice de liquidez: activo corriente dividido por el pasivo corriente. </w:t>
      </w:r>
    </w:p>
    <w:p w14:paraId="30FABBFE" w14:textId="410CB8B5"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3.2. Índice de endeudamiento: pasivo total dividido por el activo total. </w:t>
      </w:r>
    </w:p>
    <w:p w14:paraId="1E0AD1C6" w14:textId="222D5B1A"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3.3. Razón de cobertura de intereses: utilidad operacional dividida por los gastos de intereses. </w:t>
      </w:r>
    </w:p>
    <w:p w14:paraId="201E4BE2" w14:textId="7D182416"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4. Capacidad Organizacional – los siguientes indicadores miden el rendimiento de las inversiones y la eficiencia en el uso de activos del interesado: </w:t>
      </w:r>
    </w:p>
    <w:p w14:paraId="4551E45C" w14:textId="718B03A7"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4.1. Rentabilidad del patrimonio: utilidad operacional dividida por el patrimonio. </w:t>
      </w:r>
    </w:p>
    <w:p w14:paraId="71B26D4B" w14:textId="13FD2542" w:rsidR="00F41BD6" w:rsidRPr="006C6731" w:rsidRDefault="00F41BD6" w:rsidP="001C13AF">
      <w:pPr>
        <w:spacing w:after="0" w:line="240" w:lineRule="auto"/>
        <w:jc w:val="both"/>
        <w:rPr>
          <w:rFonts w:ascii="Arial" w:hAnsi="Arial" w:cs="Arial"/>
          <w:sz w:val="10"/>
          <w:szCs w:val="10"/>
        </w:rPr>
      </w:pPr>
      <w:r w:rsidRPr="006C6731">
        <w:rPr>
          <w:rFonts w:ascii="Arial" w:hAnsi="Arial" w:cs="Arial"/>
          <w:sz w:val="10"/>
          <w:szCs w:val="10"/>
        </w:rPr>
        <w:t>  </w:t>
      </w:r>
      <w:r w:rsidRPr="006C6731">
        <w:rPr>
          <w:rFonts w:ascii="Arial" w:hAnsi="Arial" w:cs="Arial"/>
          <w:sz w:val="10"/>
          <w:szCs w:val="10"/>
        </w:rPr>
        <w:tab/>
        <w:t>4.2. Rentabilidad del activo: utilidad operacional dividida por el activo total</w:t>
      </w:r>
      <w:r w:rsidR="002A77D5" w:rsidRPr="006C6731">
        <w:rPr>
          <w:rFonts w:ascii="Arial" w:hAnsi="Arial" w:cs="Arial"/>
          <w:sz w:val="10"/>
          <w:szCs w:val="10"/>
        </w:rPr>
        <w:t>”</w:t>
      </w:r>
      <w:r w:rsidRPr="006C6731">
        <w:rPr>
          <w:rFonts w:ascii="Arial" w:hAnsi="Arial" w:cs="Arial"/>
          <w:sz w:val="10"/>
          <w:szCs w:val="10"/>
        </w:rPr>
        <w:t>.  </w:t>
      </w:r>
    </w:p>
    <w:p w14:paraId="6517C836" w14:textId="77777777" w:rsidR="00F41BD6" w:rsidRPr="006C6731" w:rsidRDefault="00F41BD6" w:rsidP="001C13AF">
      <w:pPr>
        <w:pStyle w:val="Textonotapie"/>
        <w:jc w:val="both"/>
        <w:rPr>
          <w:rFonts w:ascii="Arial" w:hAnsi="Arial" w:cs="Arial"/>
          <w:sz w:val="10"/>
          <w:szCs w:val="10"/>
        </w:rPr>
      </w:pPr>
      <w:r w:rsidRPr="006C6731">
        <w:rPr>
          <w:rFonts w:ascii="Arial" w:hAnsi="Arial" w:cs="Arial"/>
          <w:sz w:val="10"/>
          <w:szCs w:val="10"/>
        </w:rPr>
        <w:t xml:space="preserve"> </w:t>
      </w:r>
    </w:p>
  </w:footnote>
  <w:footnote w:id="8">
    <w:p w14:paraId="5C68A418" w14:textId="77777777" w:rsidR="00F41BD6" w:rsidRPr="006C6731" w:rsidRDefault="00F41BD6" w:rsidP="001C13AF">
      <w:pPr>
        <w:pStyle w:val="Textonotapie"/>
        <w:ind w:firstLine="708"/>
        <w:jc w:val="both"/>
        <w:rPr>
          <w:rFonts w:ascii="Arial" w:hAnsi="Arial" w:cs="Arial"/>
          <w:sz w:val="10"/>
          <w:szCs w:val="10"/>
          <w:lang w:val="es-CO"/>
        </w:rPr>
      </w:pPr>
      <w:r w:rsidRPr="006C6731">
        <w:rPr>
          <w:rStyle w:val="Refdenotaalpie"/>
          <w:rFonts w:ascii="Arial" w:hAnsi="Arial" w:cs="Arial"/>
          <w:sz w:val="10"/>
          <w:szCs w:val="10"/>
        </w:rPr>
        <w:footnoteRef/>
      </w:r>
      <w:r w:rsidRPr="006C6731">
        <w:rPr>
          <w:rFonts w:ascii="Arial" w:hAnsi="Arial" w:cs="Arial"/>
          <w:sz w:val="10"/>
          <w:szCs w:val="10"/>
        </w:rPr>
        <w:t xml:space="preserve"> </w:t>
      </w:r>
      <w:r w:rsidRPr="006C6731">
        <w:rPr>
          <w:rFonts w:ascii="Arial" w:hAnsi="Arial" w:cs="Arial"/>
          <w:sz w:val="10"/>
          <w:szCs w:val="10"/>
          <w:lang w:val="es-CO"/>
        </w:rPr>
        <w:t xml:space="preserve">El Manual se encuentra disponible en el siguiente enlace: </w:t>
      </w:r>
      <w:hyperlink r:id="rId1" w:history="1">
        <w:r w:rsidRPr="006C6731">
          <w:rPr>
            <w:rStyle w:val="Hipervnculo"/>
            <w:rFonts w:ascii="Arial" w:hAnsi="Arial" w:cs="Arial"/>
            <w:sz w:val="10"/>
            <w:szCs w:val="10"/>
            <w:lang w:val="es-CO"/>
          </w:rPr>
          <w:t>https://www.colombiacompra.gov.co/sites/cce_public/files/cce_documents/cce_manual_requisitos_habilitantes.pdf</w:t>
        </w:r>
      </w:hyperlink>
      <w:r w:rsidRPr="006C6731">
        <w:rPr>
          <w:rFonts w:ascii="Arial" w:hAnsi="Arial" w:cs="Arial"/>
          <w:sz w:val="10"/>
          <w:szCs w:val="10"/>
          <w:lang w:val="es-CO"/>
        </w:rPr>
        <w:t xml:space="preserve"> </w:t>
      </w:r>
    </w:p>
    <w:p w14:paraId="616F5002" w14:textId="77777777" w:rsidR="00F32C80" w:rsidRPr="006C6731" w:rsidRDefault="00F32C80" w:rsidP="001C13AF">
      <w:pPr>
        <w:pStyle w:val="Textonotapie"/>
        <w:ind w:firstLine="708"/>
        <w:jc w:val="both"/>
        <w:rPr>
          <w:rFonts w:ascii="Arial" w:hAnsi="Arial" w:cs="Arial"/>
          <w:sz w:val="10"/>
          <w:szCs w:val="10"/>
          <w:lang w:val="es-CO"/>
        </w:rPr>
      </w:pPr>
    </w:p>
  </w:footnote>
  <w:footnote w:id="9">
    <w:p w14:paraId="356C1CD0" w14:textId="4DEFCF93" w:rsidR="00F41BD6" w:rsidRPr="006C6731" w:rsidRDefault="00F41BD6" w:rsidP="001C13AF">
      <w:pPr>
        <w:pStyle w:val="Textonotapie"/>
        <w:jc w:val="both"/>
        <w:rPr>
          <w:rFonts w:ascii="Arial" w:hAnsi="Arial" w:cs="Arial"/>
          <w:sz w:val="10"/>
          <w:szCs w:val="10"/>
        </w:rPr>
      </w:pPr>
      <w:r w:rsidRPr="006C6731">
        <w:rPr>
          <w:rFonts w:ascii="Arial" w:hAnsi="Arial" w:cs="Arial"/>
          <w:sz w:val="10"/>
          <w:szCs w:val="10"/>
        </w:rPr>
        <w:tab/>
      </w:r>
      <w:r w:rsidRPr="006C6731">
        <w:rPr>
          <w:rStyle w:val="Refdenotaalpie"/>
          <w:rFonts w:ascii="Arial" w:hAnsi="Arial" w:cs="Arial"/>
          <w:sz w:val="10"/>
          <w:szCs w:val="10"/>
        </w:rPr>
        <w:footnoteRef/>
      </w:r>
      <w:r w:rsidRPr="006C6731">
        <w:rPr>
          <w:rFonts w:ascii="Arial" w:hAnsi="Arial" w:cs="Arial"/>
          <w:sz w:val="10"/>
          <w:szCs w:val="10"/>
        </w:rPr>
        <w:t xml:space="preserve"> </w:t>
      </w:r>
      <w:r w:rsidR="00F32C80" w:rsidRPr="006C6731">
        <w:rPr>
          <w:rFonts w:ascii="Arial" w:hAnsi="Arial" w:cs="Arial"/>
          <w:sz w:val="10"/>
          <w:szCs w:val="10"/>
        </w:rPr>
        <w:t>“</w:t>
      </w:r>
      <w:r w:rsidRPr="006C6731">
        <w:rPr>
          <w:rFonts w:ascii="Arial" w:hAnsi="Arial" w:cs="Arial"/>
          <w:sz w:val="10"/>
          <w:szCs w:val="10"/>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00F32C80" w:rsidRPr="006C6731">
        <w:rPr>
          <w:rFonts w:ascii="Arial" w:hAnsi="Arial" w:cs="Arial"/>
          <w:sz w:val="10"/>
          <w:szCs w:val="10"/>
        </w:rPr>
        <w:t>”</w:t>
      </w:r>
      <w:r w:rsidRPr="006C6731">
        <w:rPr>
          <w:rFonts w:ascii="Arial" w:hAnsi="Arial" w:cs="Arial"/>
          <w:sz w:val="10"/>
          <w:szCs w:val="10"/>
        </w:rPr>
        <w:t>.</w:t>
      </w:r>
    </w:p>
  </w:footnote>
  <w:footnote w:id="10">
    <w:p w14:paraId="0F9A2737" w14:textId="6ADE928D" w:rsidR="00F41BD6" w:rsidRPr="006C6731" w:rsidRDefault="00F41BD6" w:rsidP="001C13AF">
      <w:pPr>
        <w:spacing w:before="120" w:after="0" w:line="240" w:lineRule="auto"/>
        <w:ind w:firstLine="708"/>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Ley 1150 de 2007: </w:t>
      </w:r>
      <w:r w:rsidR="00EC4C8F" w:rsidRPr="006C6731">
        <w:rPr>
          <w:rFonts w:ascii="Arial" w:hAnsi="Arial" w:cs="Arial"/>
          <w:sz w:val="10"/>
          <w:szCs w:val="10"/>
        </w:rPr>
        <w:t>“</w:t>
      </w:r>
      <w:r w:rsidRPr="006C6731">
        <w:rPr>
          <w:rFonts w:ascii="Arial" w:hAnsi="Arial" w:cs="Arial"/>
          <w:sz w:val="10"/>
          <w:szCs w:val="10"/>
        </w:rPr>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7DF1FAE" w14:textId="6DAD7442"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00EC4C8F" w:rsidRPr="006C6731">
        <w:rPr>
          <w:rFonts w:ascii="Arial" w:hAnsi="Arial" w:cs="Arial"/>
          <w:sz w:val="10"/>
          <w:szCs w:val="10"/>
        </w:rPr>
        <w:t>”</w:t>
      </w:r>
      <w:r w:rsidRPr="006C6731">
        <w:rPr>
          <w:rFonts w:ascii="Arial" w:hAnsi="Arial" w:cs="Arial"/>
          <w:sz w:val="10"/>
          <w:szCs w:val="10"/>
        </w:rPr>
        <w:t>.</w:t>
      </w:r>
    </w:p>
    <w:p w14:paraId="35CF209E" w14:textId="77777777" w:rsidR="00F41BD6" w:rsidRPr="006C6731" w:rsidRDefault="00F41BD6" w:rsidP="001C13AF">
      <w:pPr>
        <w:pStyle w:val="Textonotapie"/>
        <w:contextualSpacing/>
        <w:jc w:val="both"/>
        <w:rPr>
          <w:rFonts w:ascii="Arial" w:hAnsi="Arial" w:cs="Arial"/>
          <w:sz w:val="10"/>
          <w:szCs w:val="10"/>
          <w:lang w:val="es-ES"/>
        </w:rPr>
      </w:pPr>
    </w:p>
  </w:footnote>
  <w:footnote w:id="11">
    <w:p w14:paraId="66230F09" w14:textId="7C42856E" w:rsidR="00F41BD6" w:rsidRPr="006C6731" w:rsidRDefault="00F41BD6" w:rsidP="001C13AF">
      <w:pPr>
        <w:pStyle w:val="Textonotapie"/>
        <w:ind w:firstLine="708"/>
        <w:contextualSpacing/>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Decreto 1082 de 2015: </w:t>
      </w:r>
      <w:r w:rsidR="00EC4C8F" w:rsidRPr="006C6731">
        <w:rPr>
          <w:rFonts w:ascii="Arial" w:hAnsi="Arial" w:cs="Arial"/>
          <w:sz w:val="10"/>
          <w:szCs w:val="10"/>
        </w:rPr>
        <w:t>“</w:t>
      </w:r>
      <w:r w:rsidRPr="006C6731">
        <w:rPr>
          <w:rFonts w:ascii="Arial" w:hAnsi="Arial" w:cs="Arial"/>
          <w:sz w:val="10"/>
          <w:szCs w:val="10"/>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w:t>
      </w:r>
      <w:r w:rsidR="00EC4C8F" w:rsidRPr="006C6731">
        <w:rPr>
          <w:rFonts w:ascii="Arial" w:hAnsi="Arial" w:cs="Arial"/>
          <w:sz w:val="10"/>
          <w:szCs w:val="10"/>
        </w:rPr>
        <w:t>s”</w:t>
      </w:r>
      <w:r w:rsidRPr="006C6731">
        <w:rPr>
          <w:rFonts w:ascii="Arial" w:hAnsi="Arial" w:cs="Arial"/>
          <w:sz w:val="10"/>
          <w:szCs w:val="10"/>
        </w:rPr>
        <w:t>.</w:t>
      </w:r>
    </w:p>
    <w:p w14:paraId="6A04AA9A" w14:textId="77777777" w:rsidR="00F41BD6" w:rsidRPr="006C6731" w:rsidRDefault="00F41BD6" w:rsidP="001C13AF">
      <w:pPr>
        <w:pStyle w:val="Textonotapie"/>
        <w:ind w:firstLine="708"/>
        <w:contextualSpacing/>
        <w:jc w:val="both"/>
        <w:rPr>
          <w:rFonts w:ascii="Arial" w:hAnsi="Arial" w:cs="Arial"/>
          <w:sz w:val="10"/>
          <w:szCs w:val="10"/>
          <w:lang w:val="es-ES"/>
        </w:rPr>
      </w:pPr>
    </w:p>
  </w:footnote>
  <w:footnote w:id="12">
    <w:p w14:paraId="5011CA15" w14:textId="597B57A2" w:rsidR="00F41BD6" w:rsidRPr="006C6731" w:rsidRDefault="00F41BD6" w:rsidP="001C13AF">
      <w:pPr>
        <w:spacing w:after="0" w:line="240" w:lineRule="auto"/>
        <w:ind w:firstLine="709"/>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Decreto 1082 de 2015: </w:t>
      </w:r>
      <w:r w:rsidR="00EC4C8F" w:rsidRPr="006C6731">
        <w:rPr>
          <w:rFonts w:ascii="Arial" w:hAnsi="Arial" w:cs="Arial"/>
          <w:sz w:val="10"/>
          <w:szCs w:val="10"/>
        </w:rPr>
        <w:t>“</w:t>
      </w:r>
      <w:r w:rsidRPr="006C6731">
        <w:rPr>
          <w:rFonts w:ascii="Arial" w:hAnsi="Arial" w:cs="Arial"/>
          <w:sz w:val="10"/>
          <w:szCs w:val="10"/>
        </w:rPr>
        <w:t>Artículo 2.2.1.1.1.5.3. Requisitos habilitantes contenidos en el RUP. Las cámaras de comercio, con base en la información a la que hace referencia el artículo anterior, deben verificar y certificar los siguientes requisitos habilitantes:</w:t>
      </w:r>
    </w:p>
    <w:p w14:paraId="5582764C" w14:textId="77777777"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1. Experiencia – Los contratos celebrados por el interesado para cada uno de los bienes, obras y servicios que ofrecerá a las Entidades Estatales, identificados con el Clasificador de Bienes y Servicios en el tercer nivel y su valor expresado en SMMLV.</w:t>
      </w:r>
    </w:p>
    <w:p w14:paraId="09012651" w14:textId="7CDACB37" w:rsidR="00F41BD6" w:rsidRPr="006C6731" w:rsidRDefault="00F41BD6" w:rsidP="001C13AF">
      <w:pPr>
        <w:spacing w:after="0" w:line="240" w:lineRule="auto"/>
        <w:ind w:firstLine="709"/>
        <w:jc w:val="both"/>
        <w:rPr>
          <w:rFonts w:ascii="Arial" w:hAnsi="Arial" w:cs="Arial"/>
          <w:sz w:val="10"/>
          <w:szCs w:val="10"/>
        </w:rPr>
      </w:pPr>
      <w:r w:rsidRPr="006C6731">
        <w:rPr>
          <w:rFonts w:ascii="Arial" w:hAnsi="Arial" w:cs="Arial"/>
          <w:sz w:val="10"/>
          <w:szCs w:val="10"/>
        </w:rPr>
        <w:t>[...]</w:t>
      </w:r>
      <w:r w:rsidR="00EC4C8F" w:rsidRPr="006C6731">
        <w:rPr>
          <w:rFonts w:ascii="Arial" w:hAnsi="Arial" w:cs="Arial"/>
          <w:sz w:val="10"/>
          <w:szCs w:val="10"/>
        </w:rPr>
        <w:t>”</w:t>
      </w:r>
      <w:r w:rsidRPr="006C6731">
        <w:rPr>
          <w:rFonts w:ascii="Arial" w:hAnsi="Arial" w:cs="Arial"/>
          <w:sz w:val="10"/>
          <w:szCs w:val="10"/>
        </w:rPr>
        <w:t>.</w:t>
      </w:r>
    </w:p>
    <w:p w14:paraId="0C27A9B3" w14:textId="77777777" w:rsidR="00F41BD6" w:rsidRPr="006C6731" w:rsidRDefault="00F41BD6" w:rsidP="001C13AF">
      <w:pPr>
        <w:pStyle w:val="Textonotapie"/>
        <w:ind w:firstLine="708"/>
        <w:contextualSpacing/>
        <w:jc w:val="both"/>
        <w:rPr>
          <w:rFonts w:ascii="Arial" w:hAnsi="Arial" w:cs="Arial"/>
          <w:sz w:val="10"/>
          <w:szCs w:val="10"/>
        </w:rPr>
      </w:pPr>
    </w:p>
  </w:footnote>
  <w:footnote w:id="13">
    <w:p w14:paraId="68A5FB50" w14:textId="74B09A20" w:rsidR="00F41BD6" w:rsidRPr="006C6731" w:rsidRDefault="00F41BD6" w:rsidP="001C13AF">
      <w:pPr>
        <w:spacing w:after="0" w:line="240" w:lineRule="auto"/>
        <w:ind w:firstLine="709"/>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Ley 1150 de 2007: </w:t>
      </w:r>
      <w:r w:rsidR="00EC4C8F" w:rsidRPr="006C6731">
        <w:rPr>
          <w:rFonts w:ascii="Arial" w:hAnsi="Arial" w:cs="Arial"/>
          <w:sz w:val="10"/>
          <w:szCs w:val="10"/>
        </w:rPr>
        <w:t>“</w:t>
      </w:r>
      <w:r w:rsidRPr="006C6731">
        <w:rPr>
          <w:rFonts w:ascii="Arial" w:hAnsi="Arial" w:cs="Arial"/>
          <w:sz w:val="10"/>
          <w:szCs w:val="10"/>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2A70A3F" w14:textId="77777777"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w:t>
      </w:r>
    </w:p>
    <w:p w14:paraId="1D40F917" w14:textId="3615ADDE"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0A0B7E7" w14:textId="0EBFC355"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EC4C8F" w:rsidRPr="006C6731">
        <w:rPr>
          <w:rFonts w:ascii="Arial" w:hAnsi="Arial" w:cs="Arial"/>
          <w:sz w:val="10"/>
          <w:szCs w:val="10"/>
        </w:rPr>
        <w:t>”</w:t>
      </w:r>
      <w:r w:rsidRPr="006C6731">
        <w:rPr>
          <w:rFonts w:ascii="Arial" w:hAnsi="Arial" w:cs="Arial"/>
          <w:sz w:val="10"/>
          <w:szCs w:val="10"/>
        </w:rPr>
        <w:t>.</w:t>
      </w:r>
    </w:p>
  </w:footnote>
  <w:footnote w:id="14">
    <w:p w14:paraId="10BBFCE0" w14:textId="77777777" w:rsidR="00F41BD6" w:rsidRPr="006C6731" w:rsidRDefault="00F41BD6" w:rsidP="001C13AF">
      <w:pPr>
        <w:pStyle w:val="Textonotapie"/>
        <w:ind w:firstLine="708"/>
        <w:contextualSpacing/>
        <w:jc w:val="both"/>
        <w:rPr>
          <w:rFonts w:ascii="Arial" w:hAnsi="Arial" w:cs="Arial"/>
          <w:sz w:val="10"/>
          <w:szCs w:val="10"/>
        </w:rPr>
      </w:pPr>
    </w:p>
    <w:p w14:paraId="16E0DCB1" w14:textId="58CEFB31" w:rsidR="00F41BD6" w:rsidRPr="006C6731" w:rsidRDefault="00F41BD6" w:rsidP="001C13AF">
      <w:pPr>
        <w:spacing w:before="120" w:after="0" w:line="240" w:lineRule="auto"/>
        <w:ind w:firstLine="709"/>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Decreto 1082 de 2015: </w:t>
      </w:r>
      <w:r w:rsidR="00ED6626" w:rsidRPr="006C6731">
        <w:rPr>
          <w:rFonts w:ascii="Arial" w:hAnsi="Arial" w:cs="Arial"/>
          <w:sz w:val="10"/>
          <w:szCs w:val="10"/>
        </w:rPr>
        <w:t>“</w:t>
      </w:r>
      <w:r w:rsidRPr="006C6731">
        <w:rPr>
          <w:rFonts w:ascii="Arial" w:hAnsi="Arial" w:cs="Arial"/>
          <w:sz w:val="10"/>
          <w:szCs w:val="10"/>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B7F386F" w14:textId="77777777"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1.    Si es una persona natural:</w:t>
      </w:r>
    </w:p>
    <w:p w14:paraId="6AA4D4C3" w14:textId="77777777"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1.1. Bienes, obras y servicios que ofrecerá a las Entidades Estatales, identificados con el Clasificador de Bienes y Servicios en el tercer nivel.</w:t>
      </w:r>
    </w:p>
    <w:p w14:paraId="50831FE5" w14:textId="2989BA03" w:rsidR="00F41BD6" w:rsidRPr="006C6731" w:rsidRDefault="00F41BD6" w:rsidP="001C13AF">
      <w:pPr>
        <w:spacing w:before="120" w:after="0" w:line="240" w:lineRule="auto"/>
        <w:ind w:firstLine="709"/>
        <w:jc w:val="both"/>
        <w:rPr>
          <w:rFonts w:ascii="Arial" w:hAnsi="Arial" w:cs="Arial"/>
          <w:sz w:val="10"/>
          <w:szCs w:val="10"/>
        </w:rPr>
      </w:pPr>
      <w:r w:rsidRPr="006C6731">
        <w:rPr>
          <w:rFonts w:ascii="Arial" w:hAnsi="Arial" w:cs="Arial"/>
          <w:sz w:val="10"/>
          <w:szCs w:val="10"/>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r w:rsidR="00ED6626" w:rsidRPr="006C6731">
        <w:rPr>
          <w:rFonts w:ascii="Arial" w:hAnsi="Arial" w:cs="Arial"/>
          <w:sz w:val="10"/>
          <w:szCs w:val="10"/>
        </w:rPr>
        <w:t>”</w:t>
      </w:r>
      <w:r w:rsidRPr="006C6731">
        <w:rPr>
          <w:rFonts w:ascii="Arial" w:hAnsi="Arial" w:cs="Arial"/>
          <w:sz w:val="10"/>
          <w:szCs w:val="10"/>
        </w:rPr>
        <w:t>.</w:t>
      </w:r>
    </w:p>
    <w:p w14:paraId="516B72FA" w14:textId="77777777" w:rsidR="00F41BD6" w:rsidRPr="006C6731" w:rsidRDefault="00F41BD6" w:rsidP="001C13AF">
      <w:pPr>
        <w:pStyle w:val="Textonotapie"/>
        <w:ind w:firstLine="708"/>
        <w:contextualSpacing/>
        <w:jc w:val="both"/>
        <w:rPr>
          <w:rFonts w:ascii="Arial" w:hAnsi="Arial" w:cs="Arial"/>
          <w:sz w:val="10"/>
          <w:szCs w:val="10"/>
        </w:rPr>
      </w:pPr>
    </w:p>
  </w:footnote>
  <w:footnote w:id="15">
    <w:p w14:paraId="72D6F13D" w14:textId="471818CE" w:rsidR="00454862" w:rsidRPr="006C6731" w:rsidRDefault="00454862" w:rsidP="00B85F35">
      <w:pPr>
        <w:pStyle w:val="Textonotapie"/>
        <w:ind w:firstLine="708"/>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De acuerdo con el Diccionario de la Real Academia </w:t>
      </w:r>
      <w:r w:rsidR="001B3450" w:rsidRPr="006C6731">
        <w:rPr>
          <w:rFonts w:ascii="Arial" w:hAnsi="Arial" w:cs="Arial"/>
          <w:sz w:val="10"/>
          <w:szCs w:val="10"/>
        </w:rPr>
        <w:t xml:space="preserve">Española </w:t>
      </w:r>
      <w:r w:rsidRPr="006C6731">
        <w:rPr>
          <w:rFonts w:ascii="Arial" w:hAnsi="Arial" w:cs="Arial"/>
          <w:sz w:val="10"/>
          <w:szCs w:val="10"/>
        </w:rPr>
        <w:t xml:space="preserve">la palabra </w:t>
      </w:r>
      <w:r w:rsidRPr="006C6731">
        <w:rPr>
          <w:rFonts w:ascii="Arial" w:hAnsi="Arial" w:cs="Arial"/>
          <w:i/>
          <w:iCs/>
          <w:sz w:val="10"/>
          <w:szCs w:val="10"/>
        </w:rPr>
        <w:t>ítem</w:t>
      </w:r>
      <w:r w:rsidRPr="006C6731">
        <w:rPr>
          <w:rFonts w:ascii="Arial" w:hAnsi="Arial" w:cs="Arial"/>
          <w:sz w:val="10"/>
          <w:szCs w:val="10"/>
        </w:rPr>
        <w:t xml:space="preserve"> ti</w:t>
      </w:r>
      <w:r w:rsidR="00E35E4B" w:rsidRPr="006C6731">
        <w:rPr>
          <w:rFonts w:ascii="Arial" w:hAnsi="Arial" w:cs="Arial"/>
          <w:sz w:val="10"/>
          <w:szCs w:val="10"/>
        </w:rPr>
        <w:t>ene los siguientes significados: “</w:t>
      </w:r>
      <w:r w:rsidRPr="006C6731">
        <w:rPr>
          <w:rFonts w:ascii="Arial" w:hAnsi="Arial" w:cs="Arial"/>
          <w:sz w:val="10"/>
          <w:szCs w:val="10"/>
        </w:rPr>
        <w:t xml:space="preserve">(Del lat. </w:t>
      </w:r>
      <w:proofErr w:type="spellStart"/>
      <w:r w:rsidRPr="006C6731">
        <w:rPr>
          <w:rFonts w:ascii="Arial" w:hAnsi="Arial" w:cs="Arial"/>
          <w:sz w:val="10"/>
          <w:szCs w:val="10"/>
        </w:rPr>
        <w:t>item</w:t>
      </w:r>
      <w:proofErr w:type="spellEnd"/>
      <w:r w:rsidRPr="006C6731">
        <w:rPr>
          <w:rFonts w:ascii="Arial" w:hAnsi="Arial" w:cs="Arial"/>
          <w:sz w:val="10"/>
          <w:szCs w:val="10"/>
        </w:rPr>
        <w:t>, del mismo modo, también).</w:t>
      </w:r>
      <w:r w:rsidR="00E35E4B" w:rsidRPr="006C6731">
        <w:rPr>
          <w:rFonts w:ascii="Arial" w:hAnsi="Arial" w:cs="Arial"/>
          <w:sz w:val="10"/>
          <w:szCs w:val="10"/>
        </w:rPr>
        <w:t xml:space="preserve"> </w:t>
      </w:r>
      <w:r w:rsidRPr="006C6731">
        <w:rPr>
          <w:rFonts w:ascii="Arial" w:hAnsi="Arial" w:cs="Arial"/>
          <w:sz w:val="10"/>
          <w:szCs w:val="10"/>
        </w:rPr>
        <w:t>1. adv. c. U. para hacer distinción de artículos o capítulos en una escritura u otro instrumento, o como señal de adición.</w:t>
      </w:r>
      <w:r w:rsidR="00E35E4B" w:rsidRPr="006C6731">
        <w:rPr>
          <w:rFonts w:ascii="Arial" w:hAnsi="Arial" w:cs="Arial"/>
          <w:sz w:val="10"/>
          <w:szCs w:val="10"/>
        </w:rPr>
        <w:t xml:space="preserve">  </w:t>
      </w:r>
      <w:r w:rsidRPr="006C6731">
        <w:rPr>
          <w:rFonts w:ascii="Arial" w:hAnsi="Arial" w:cs="Arial"/>
          <w:sz w:val="10"/>
          <w:szCs w:val="10"/>
        </w:rPr>
        <w:t>2. m. Cada uno de dichos artículos o capítulos.</w:t>
      </w:r>
      <w:r w:rsidR="00E35E4B" w:rsidRPr="006C6731">
        <w:rPr>
          <w:rFonts w:ascii="Arial" w:hAnsi="Arial" w:cs="Arial"/>
          <w:sz w:val="10"/>
          <w:szCs w:val="10"/>
        </w:rPr>
        <w:t xml:space="preserve"> </w:t>
      </w:r>
      <w:r w:rsidRPr="006C6731">
        <w:rPr>
          <w:rFonts w:ascii="Arial" w:hAnsi="Arial" w:cs="Arial"/>
          <w:sz w:val="10"/>
          <w:szCs w:val="10"/>
        </w:rPr>
        <w:t>3. m. Aditamento, añadidura.</w:t>
      </w:r>
      <w:r w:rsidR="00E35E4B" w:rsidRPr="006C6731">
        <w:rPr>
          <w:rFonts w:ascii="Arial" w:hAnsi="Arial" w:cs="Arial"/>
          <w:sz w:val="10"/>
          <w:szCs w:val="10"/>
        </w:rPr>
        <w:t xml:space="preserve"> </w:t>
      </w:r>
      <w:r w:rsidRPr="006C6731">
        <w:rPr>
          <w:rFonts w:ascii="Arial" w:hAnsi="Arial" w:cs="Arial"/>
          <w:sz w:val="10"/>
          <w:szCs w:val="10"/>
        </w:rPr>
        <w:t>4. m. Inform. Cada uno de los elementos que forman parte de un dato</w:t>
      </w:r>
      <w:r w:rsidR="00E35E4B" w:rsidRPr="006C6731">
        <w:rPr>
          <w:rFonts w:ascii="Arial" w:hAnsi="Arial" w:cs="Arial"/>
          <w:sz w:val="10"/>
          <w:szCs w:val="10"/>
        </w:rPr>
        <w:t xml:space="preserve">”, Consultado el 5 de </w:t>
      </w:r>
      <w:r w:rsidR="001B3450" w:rsidRPr="006C6731">
        <w:rPr>
          <w:rFonts w:ascii="Arial" w:hAnsi="Arial" w:cs="Arial"/>
          <w:sz w:val="10"/>
          <w:szCs w:val="10"/>
        </w:rPr>
        <w:t xml:space="preserve">junio de 2023 en: </w:t>
      </w:r>
      <w:hyperlink r:id="rId2" w:history="1">
        <w:r w:rsidR="001B3450" w:rsidRPr="006C6731">
          <w:rPr>
            <w:rStyle w:val="Hipervnculo"/>
            <w:rFonts w:ascii="Arial" w:hAnsi="Arial" w:cs="Arial"/>
            <w:sz w:val="10"/>
            <w:szCs w:val="10"/>
          </w:rPr>
          <w:t>https://www.rae.es/drae2001/%C3%ADtem</w:t>
        </w:r>
      </w:hyperlink>
      <w:r w:rsidR="001B3450" w:rsidRPr="006C6731">
        <w:rPr>
          <w:rFonts w:ascii="Arial" w:hAnsi="Arial" w:cs="Arial"/>
          <w:sz w:val="10"/>
          <w:szCs w:val="10"/>
        </w:rPr>
        <w:t xml:space="preserve"> . Por su parte, </w:t>
      </w:r>
      <w:r w:rsidR="00D4310D" w:rsidRPr="006C6731">
        <w:rPr>
          <w:rFonts w:ascii="Arial" w:hAnsi="Arial" w:cs="Arial"/>
          <w:sz w:val="10"/>
          <w:szCs w:val="10"/>
        </w:rPr>
        <w:t xml:space="preserve">a </w:t>
      </w:r>
      <w:r w:rsidR="001B3450" w:rsidRPr="006C6731">
        <w:rPr>
          <w:rFonts w:ascii="Arial" w:hAnsi="Arial" w:cs="Arial"/>
          <w:sz w:val="10"/>
          <w:szCs w:val="10"/>
        </w:rPr>
        <w:t xml:space="preserve">la palabra </w:t>
      </w:r>
      <w:r w:rsidR="001B3450" w:rsidRPr="006C6731">
        <w:rPr>
          <w:rFonts w:ascii="Arial" w:hAnsi="Arial" w:cs="Arial"/>
          <w:i/>
          <w:iCs/>
          <w:sz w:val="10"/>
          <w:szCs w:val="10"/>
        </w:rPr>
        <w:t>representativo</w:t>
      </w:r>
      <w:r w:rsidR="00D4310D" w:rsidRPr="006C6731">
        <w:rPr>
          <w:rFonts w:ascii="Arial" w:hAnsi="Arial" w:cs="Arial"/>
          <w:i/>
          <w:iCs/>
          <w:sz w:val="10"/>
          <w:szCs w:val="10"/>
        </w:rPr>
        <w:t xml:space="preserve"> </w:t>
      </w:r>
      <w:r w:rsidR="00D4310D" w:rsidRPr="006C6731">
        <w:rPr>
          <w:rFonts w:ascii="Arial" w:hAnsi="Arial" w:cs="Arial"/>
          <w:sz w:val="10"/>
          <w:szCs w:val="10"/>
        </w:rPr>
        <w:t xml:space="preserve">se le atribuyen los siguientes </w:t>
      </w:r>
      <w:proofErr w:type="spellStart"/>
      <w:r w:rsidR="00D4310D" w:rsidRPr="006C6731">
        <w:rPr>
          <w:rFonts w:ascii="Arial" w:hAnsi="Arial" w:cs="Arial"/>
          <w:sz w:val="10"/>
          <w:szCs w:val="10"/>
        </w:rPr>
        <w:t>signficados</w:t>
      </w:r>
      <w:proofErr w:type="spellEnd"/>
      <w:r w:rsidR="00D4310D" w:rsidRPr="006C6731">
        <w:rPr>
          <w:rFonts w:ascii="Arial" w:hAnsi="Arial" w:cs="Arial"/>
          <w:sz w:val="10"/>
          <w:szCs w:val="10"/>
        </w:rPr>
        <w:t xml:space="preserve"> “1. adj. Que sirve para representar algo.</w:t>
      </w:r>
      <w:r w:rsidR="0026157E" w:rsidRPr="006C6731">
        <w:rPr>
          <w:rFonts w:ascii="Arial" w:hAnsi="Arial" w:cs="Arial"/>
          <w:sz w:val="10"/>
          <w:szCs w:val="10"/>
        </w:rPr>
        <w:t xml:space="preserve"> </w:t>
      </w:r>
      <w:r w:rsidR="00D4310D" w:rsidRPr="006C6731">
        <w:rPr>
          <w:rFonts w:ascii="Arial" w:hAnsi="Arial" w:cs="Arial"/>
          <w:sz w:val="10"/>
          <w:szCs w:val="10"/>
        </w:rPr>
        <w:t xml:space="preserve">2. adj. Que representa con justos títulos. Presidirá el acto una figura representativa de las letras”. Consultado el 5 de junio de 2023 en: </w:t>
      </w:r>
      <w:hyperlink r:id="rId3" w:history="1">
        <w:r w:rsidR="00F4241F" w:rsidRPr="006C6731">
          <w:rPr>
            <w:rStyle w:val="Hipervnculo"/>
            <w:rFonts w:ascii="Arial" w:hAnsi="Arial" w:cs="Arial"/>
            <w:sz w:val="10"/>
            <w:szCs w:val="10"/>
          </w:rPr>
          <w:t>https://dle.rae.es/representativo</w:t>
        </w:r>
      </w:hyperlink>
      <w:r w:rsidR="00F4241F" w:rsidRPr="006C6731">
        <w:rPr>
          <w:rFonts w:ascii="Arial" w:hAnsi="Arial" w:cs="Arial"/>
          <w:sz w:val="10"/>
          <w:szCs w:val="10"/>
        </w:rPr>
        <w:t>.</w:t>
      </w:r>
      <w:r w:rsidR="00D4310D" w:rsidRPr="006C6731">
        <w:rPr>
          <w:rFonts w:ascii="Arial" w:hAnsi="Arial" w:cs="Arial"/>
          <w:i/>
          <w:iCs/>
          <w:sz w:val="10"/>
          <w:szCs w:val="10"/>
        </w:rPr>
        <w:t xml:space="preserve"> </w:t>
      </w:r>
    </w:p>
    <w:p w14:paraId="563463E1" w14:textId="77777777" w:rsidR="00E35E4B" w:rsidRPr="006C6731" w:rsidRDefault="00E35E4B" w:rsidP="00B85F35">
      <w:pPr>
        <w:pStyle w:val="Textonotapie"/>
        <w:jc w:val="both"/>
        <w:rPr>
          <w:rFonts w:ascii="Arial" w:hAnsi="Arial" w:cs="Arial"/>
          <w:sz w:val="10"/>
          <w:szCs w:val="10"/>
        </w:rPr>
      </w:pPr>
    </w:p>
  </w:footnote>
  <w:footnote w:id="16">
    <w:p w14:paraId="2226B20B" w14:textId="77777777" w:rsidR="00F41BD6" w:rsidRPr="006C6731" w:rsidRDefault="00F41BD6" w:rsidP="001C13AF">
      <w:pPr>
        <w:pStyle w:val="Textonotapie"/>
        <w:ind w:firstLine="708"/>
        <w:jc w:val="both"/>
        <w:rPr>
          <w:rFonts w:ascii="Arial" w:hAnsi="Arial" w:cs="Arial"/>
          <w:sz w:val="10"/>
          <w:szCs w:val="10"/>
          <w:lang w:val="es-CO"/>
        </w:rPr>
      </w:pPr>
      <w:r w:rsidRPr="006C6731">
        <w:rPr>
          <w:rStyle w:val="Refdenotaalpie"/>
          <w:rFonts w:ascii="Arial" w:hAnsi="Arial" w:cs="Arial"/>
          <w:sz w:val="10"/>
          <w:szCs w:val="10"/>
        </w:rPr>
        <w:footnoteRef/>
      </w:r>
      <w:r w:rsidRPr="006C6731">
        <w:rPr>
          <w:rFonts w:ascii="Arial" w:hAnsi="Arial" w:cs="Arial"/>
          <w:sz w:val="10"/>
          <w:szCs w:val="10"/>
        </w:rPr>
        <w:t xml:space="preserve"> Los Documentos Tipo expedidos por la Agencia Nacional de Contratación Pública pueden ser consultados en el siguiente enlace: </w:t>
      </w:r>
      <w:hyperlink r:id="rId4" w:history="1">
        <w:r w:rsidRPr="006C6731">
          <w:rPr>
            <w:rStyle w:val="Hipervnculo"/>
            <w:rFonts w:ascii="Arial" w:hAnsi="Arial" w:cs="Arial"/>
            <w:sz w:val="10"/>
            <w:szCs w:val="10"/>
          </w:rPr>
          <w:t>https://www.colombiacompra.gov.co/documentos-tipo/documentos-tipo</w:t>
        </w:r>
      </w:hyperlink>
      <w:r w:rsidRPr="006C6731">
        <w:rPr>
          <w:rFonts w:ascii="Arial" w:hAnsi="Arial" w:cs="Arial"/>
          <w:sz w:val="10"/>
          <w:szCs w:val="10"/>
        </w:rPr>
        <w:t xml:space="preserve"> </w:t>
      </w:r>
    </w:p>
  </w:footnote>
  <w:footnote w:id="17">
    <w:p w14:paraId="0F4FF6EF" w14:textId="42EA69FB" w:rsidR="00CB6E59" w:rsidRPr="006C6731" w:rsidRDefault="00CB6E59" w:rsidP="00B85F35">
      <w:pPr>
        <w:pStyle w:val="Textonotapie"/>
        <w:ind w:firstLine="708"/>
        <w:jc w:val="both"/>
        <w:rPr>
          <w:rFonts w:ascii="Arial" w:hAnsi="Arial" w:cs="Arial"/>
          <w:sz w:val="10"/>
          <w:szCs w:val="10"/>
        </w:rPr>
      </w:pPr>
      <w:r w:rsidRPr="006C6731">
        <w:rPr>
          <w:rStyle w:val="Refdenotaalpie"/>
          <w:rFonts w:ascii="Arial" w:hAnsi="Arial" w:cs="Arial"/>
          <w:sz w:val="10"/>
          <w:szCs w:val="10"/>
        </w:rPr>
        <w:footnoteRef/>
      </w:r>
      <w:r w:rsidRPr="006C6731">
        <w:rPr>
          <w:rFonts w:ascii="Arial" w:hAnsi="Arial" w:cs="Arial"/>
          <w:sz w:val="10"/>
          <w:szCs w:val="10"/>
        </w:rPr>
        <w:t xml:space="preserve"> Resolución No. 240 de 2020. </w:t>
      </w:r>
      <w:r w:rsidR="00FE6AC2" w:rsidRPr="006C6731">
        <w:rPr>
          <w:rFonts w:ascii="Arial" w:hAnsi="Arial" w:cs="Arial"/>
          <w:sz w:val="10"/>
          <w:szCs w:val="10"/>
        </w:rPr>
        <w:t>“</w:t>
      </w:r>
      <w:r w:rsidRPr="006C6731">
        <w:rPr>
          <w:rFonts w:ascii="Arial" w:hAnsi="Arial" w:cs="Arial"/>
          <w:sz w:val="10"/>
          <w:szCs w:val="10"/>
        </w:rPr>
        <w:t>Ar</w:t>
      </w:r>
      <w:r w:rsidR="00FE6AC2" w:rsidRPr="006C6731">
        <w:rPr>
          <w:rFonts w:ascii="Arial" w:hAnsi="Arial" w:cs="Arial"/>
          <w:sz w:val="10"/>
          <w:szCs w:val="10"/>
        </w:rPr>
        <w:t>t</w:t>
      </w:r>
      <w:r w:rsidRPr="006C6731">
        <w:rPr>
          <w:rFonts w:ascii="Arial" w:hAnsi="Arial" w:cs="Arial"/>
          <w:sz w:val="10"/>
          <w:szCs w:val="10"/>
        </w:rPr>
        <w:t>ículo 4</w:t>
      </w:r>
      <w:r w:rsidR="001C454A" w:rsidRPr="006C6731">
        <w:rPr>
          <w:rFonts w:ascii="Arial" w:hAnsi="Arial" w:cs="Arial"/>
          <w:sz w:val="10"/>
          <w:szCs w:val="10"/>
        </w:rPr>
        <w:t xml:space="preserve">. </w:t>
      </w:r>
      <w:r w:rsidRPr="006C6731">
        <w:rPr>
          <w:rFonts w:ascii="Arial" w:hAnsi="Arial" w:cs="Arial"/>
          <w:sz w:val="10"/>
          <w:szCs w:val="10"/>
        </w:rPr>
        <w:t xml:space="preserve"> </w:t>
      </w:r>
      <w:r w:rsidR="001C454A" w:rsidRPr="006C6731">
        <w:rPr>
          <w:rFonts w:ascii="Arial" w:hAnsi="Arial" w:cs="Arial"/>
          <w:sz w:val="10"/>
          <w:szCs w:val="10"/>
        </w:rPr>
        <w:t>Bienes y servicios adicionales a la de obra pública</w:t>
      </w:r>
      <w:r w:rsidRPr="006C6731">
        <w:rPr>
          <w:rFonts w:ascii="Arial" w:hAnsi="Arial" w:cs="Arial"/>
          <w:sz w:val="10"/>
          <w:szCs w:val="10"/>
        </w:rPr>
        <w:t>. Cuando el objeto contractual</w:t>
      </w:r>
      <w:r w:rsidR="00FE6AC2" w:rsidRPr="006C6731">
        <w:rPr>
          <w:rFonts w:ascii="Arial" w:hAnsi="Arial" w:cs="Arial"/>
          <w:sz w:val="10"/>
          <w:szCs w:val="10"/>
        </w:rPr>
        <w:t xml:space="preserve"> </w:t>
      </w:r>
      <w:r w:rsidRPr="006C6731">
        <w:rPr>
          <w:rFonts w:ascii="Arial" w:hAnsi="Arial" w:cs="Arial"/>
          <w:sz w:val="10"/>
          <w:szCs w:val="10"/>
        </w:rPr>
        <w:t>incluya bienes o servicios ajenos a la obra pública de infraestructura de transporte, la entidad estatal deberá aplicar</w:t>
      </w:r>
      <w:r w:rsidR="00FE6AC2" w:rsidRPr="006C6731">
        <w:rPr>
          <w:rFonts w:ascii="Arial" w:hAnsi="Arial" w:cs="Arial"/>
          <w:sz w:val="10"/>
          <w:szCs w:val="10"/>
        </w:rPr>
        <w:t xml:space="preserve"> </w:t>
      </w:r>
      <w:r w:rsidRPr="006C6731">
        <w:rPr>
          <w:rFonts w:ascii="Arial" w:hAnsi="Arial" w:cs="Arial"/>
          <w:sz w:val="10"/>
          <w:szCs w:val="10"/>
        </w:rPr>
        <w:t>los Documentos Tipo, Si de manera excepcional requiere incluir experiencia adicional para evaluar la idoneidad</w:t>
      </w:r>
      <w:r w:rsidR="00FE6AC2" w:rsidRPr="006C6731">
        <w:rPr>
          <w:rFonts w:ascii="Arial" w:hAnsi="Arial" w:cs="Arial"/>
          <w:sz w:val="10"/>
          <w:szCs w:val="10"/>
        </w:rPr>
        <w:t xml:space="preserve"> </w:t>
      </w:r>
      <w:r w:rsidRPr="006C6731">
        <w:rPr>
          <w:rFonts w:ascii="Arial" w:hAnsi="Arial" w:cs="Arial"/>
          <w:sz w:val="10"/>
          <w:szCs w:val="10"/>
        </w:rPr>
        <w:t>respecto de los bienes o servicios ajenos a la obra pública, deberá seguir los siguientes parámetros:</w:t>
      </w:r>
    </w:p>
    <w:p w14:paraId="1588EEF9" w14:textId="77777777" w:rsidR="00FE6AC2" w:rsidRPr="006C6731" w:rsidRDefault="00CB6E59" w:rsidP="00B85F35">
      <w:pPr>
        <w:pStyle w:val="Textonotapie"/>
        <w:ind w:firstLine="708"/>
        <w:jc w:val="both"/>
        <w:rPr>
          <w:rFonts w:ascii="Arial" w:hAnsi="Arial" w:cs="Arial"/>
          <w:sz w:val="10"/>
          <w:szCs w:val="10"/>
        </w:rPr>
      </w:pPr>
      <w:r w:rsidRPr="006C6731">
        <w:rPr>
          <w:rFonts w:ascii="Arial" w:hAnsi="Arial" w:cs="Arial"/>
          <w:sz w:val="10"/>
          <w:szCs w:val="10"/>
        </w:rPr>
        <w:t>1. Demostrar en los estudios previos que ha verificado las condiciones de mercado para la adquisición de los bienes</w:t>
      </w:r>
      <w:r w:rsidR="00FE6AC2" w:rsidRPr="006C6731">
        <w:rPr>
          <w:rFonts w:ascii="Arial" w:hAnsi="Arial" w:cs="Arial"/>
          <w:sz w:val="10"/>
          <w:szCs w:val="10"/>
        </w:rPr>
        <w:t xml:space="preserve"> </w:t>
      </w:r>
      <w:r w:rsidRPr="006C6731">
        <w:rPr>
          <w:rFonts w:ascii="Arial" w:hAnsi="Arial" w:cs="Arial"/>
          <w:sz w:val="10"/>
          <w:szCs w:val="10"/>
        </w:rPr>
        <w:t>o servicios adicionales al componente de obra pública, de tal manera que la experiencia adicional que se exija para</w:t>
      </w:r>
      <w:r w:rsidR="00FE6AC2" w:rsidRPr="006C6731">
        <w:rPr>
          <w:rFonts w:ascii="Arial" w:hAnsi="Arial" w:cs="Arial"/>
          <w:sz w:val="10"/>
          <w:szCs w:val="10"/>
        </w:rPr>
        <w:t xml:space="preserve"> </w:t>
      </w:r>
      <w:r w:rsidRPr="006C6731">
        <w:rPr>
          <w:rFonts w:ascii="Arial" w:hAnsi="Arial" w:cs="Arial"/>
          <w:sz w:val="10"/>
          <w:szCs w:val="10"/>
        </w:rPr>
        <w:t>tales bienes o servicios procure la pluralidad de oferentes, y no limite la concurrencia de proponentes al proceso de</w:t>
      </w:r>
      <w:r w:rsidR="00FE6AC2" w:rsidRPr="006C6731">
        <w:rPr>
          <w:rFonts w:ascii="Arial" w:hAnsi="Arial" w:cs="Arial"/>
          <w:sz w:val="10"/>
          <w:szCs w:val="10"/>
        </w:rPr>
        <w:t xml:space="preserve"> </w:t>
      </w:r>
      <w:r w:rsidRPr="006C6731">
        <w:rPr>
          <w:rFonts w:ascii="Arial" w:hAnsi="Arial" w:cs="Arial"/>
          <w:sz w:val="10"/>
          <w:szCs w:val="10"/>
        </w:rPr>
        <w:t>contratación.</w:t>
      </w:r>
    </w:p>
    <w:p w14:paraId="6E0085AF" w14:textId="27341EA9" w:rsidR="00CB6E59" w:rsidRPr="006C6731" w:rsidRDefault="00CB6E59" w:rsidP="00B85F35">
      <w:pPr>
        <w:pStyle w:val="Textonotapie"/>
        <w:ind w:firstLine="708"/>
        <w:jc w:val="both"/>
        <w:rPr>
          <w:rFonts w:ascii="Arial" w:hAnsi="Arial" w:cs="Arial"/>
          <w:sz w:val="10"/>
          <w:szCs w:val="10"/>
        </w:rPr>
      </w:pPr>
      <w:r w:rsidRPr="006C6731">
        <w:rPr>
          <w:rFonts w:ascii="Arial" w:hAnsi="Arial" w:cs="Arial"/>
          <w:sz w:val="10"/>
          <w:szCs w:val="10"/>
        </w:rPr>
        <w:t>2. Conservar los requisitos exigido§ en los Documentos Tipo.</w:t>
      </w:r>
    </w:p>
    <w:p w14:paraId="46D2E21B" w14:textId="365BF06C" w:rsidR="00CB6E59" w:rsidRPr="006C6731" w:rsidRDefault="00CB6E59" w:rsidP="00B85F35">
      <w:pPr>
        <w:pStyle w:val="Textonotapie"/>
        <w:ind w:firstLine="708"/>
        <w:jc w:val="both"/>
        <w:rPr>
          <w:rFonts w:ascii="Arial" w:hAnsi="Arial" w:cs="Arial"/>
          <w:sz w:val="10"/>
          <w:szCs w:val="10"/>
        </w:rPr>
      </w:pPr>
      <w:r w:rsidRPr="006C6731">
        <w:rPr>
          <w:rFonts w:ascii="Arial" w:hAnsi="Arial" w:cs="Arial"/>
          <w:sz w:val="10"/>
          <w:szCs w:val="10"/>
        </w:rPr>
        <w:t>3. Abstenerse de pedir experiencia exclusiva con entidades estatales, experiencia previa en un territorio específico,</w:t>
      </w:r>
      <w:r w:rsidR="00FE6AC2" w:rsidRPr="006C6731">
        <w:rPr>
          <w:rFonts w:ascii="Arial" w:hAnsi="Arial" w:cs="Arial"/>
          <w:sz w:val="10"/>
          <w:szCs w:val="10"/>
        </w:rPr>
        <w:t xml:space="preserve"> </w:t>
      </w:r>
      <w:r w:rsidRPr="006C6731">
        <w:rPr>
          <w:rFonts w:ascii="Arial" w:hAnsi="Arial" w:cs="Arial"/>
          <w:sz w:val="10"/>
          <w:szCs w:val="10"/>
        </w:rPr>
        <w:t>limitada en el tiempo o que incluya volúmenes o cantidades de obra específica.</w:t>
      </w:r>
    </w:p>
    <w:p w14:paraId="23390079" w14:textId="77777777" w:rsidR="00CB6E59" w:rsidRPr="006C6731" w:rsidRDefault="00CB6E59" w:rsidP="00B85F35">
      <w:pPr>
        <w:pStyle w:val="Textonotapie"/>
        <w:ind w:firstLine="708"/>
        <w:jc w:val="both"/>
        <w:rPr>
          <w:rFonts w:ascii="Arial" w:hAnsi="Arial" w:cs="Arial"/>
          <w:sz w:val="10"/>
          <w:szCs w:val="10"/>
        </w:rPr>
      </w:pPr>
      <w:r w:rsidRPr="006C6731">
        <w:rPr>
          <w:rFonts w:ascii="Arial" w:hAnsi="Arial" w:cs="Arial"/>
          <w:sz w:val="10"/>
          <w:szCs w:val="10"/>
        </w:rPr>
        <w:t>4. Clasificar la experiencia requerida solo hasta el tercer nivel del Clasificador de Bienes y Servicios e incluir</w:t>
      </w:r>
    </w:p>
    <w:p w14:paraId="669049C0" w14:textId="758BB018" w:rsidR="00CB6E59" w:rsidRPr="00B85F35" w:rsidRDefault="00CB6E59" w:rsidP="00B85F35">
      <w:pPr>
        <w:pStyle w:val="Textonotapie"/>
        <w:ind w:firstLine="708"/>
        <w:jc w:val="both"/>
        <w:rPr>
          <w:rFonts w:ascii="Arial" w:hAnsi="Arial" w:cs="Arial"/>
          <w:sz w:val="18"/>
          <w:szCs w:val="18"/>
        </w:rPr>
      </w:pPr>
      <w:r w:rsidRPr="006C6731">
        <w:rPr>
          <w:rFonts w:ascii="Arial" w:hAnsi="Arial" w:cs="Arial"/>
          <w:sz w:val="10"/>
          <w:szCs w:val="10"/>
        </w:rPr>
        <w:t>exclusivamente los códigos que estén relacionados directamente con el objeto a contratar</w:t>
      </w:r>
      <w:r w:rsidR="00FE6AC2" w:rsidRPr="006C6731">
        <w:rPr>
          <w:rFonts w:ascii="Arial" w:hAnsi="Arial" w:cs="Arial"/>
          <w:sz w:val="10"/>
          <w:szCs w:val="10"/>
        </w:rPr>
        <w:t>”</w:t>
      </w:r>
      <w:r w:rsidRPr="006C6731">
        <w:rPr>
          <w:rFonts w:ascii="Arial" w:hAnsi="Arial" w:cs="Arial"/>
          <w:sz w:val="10"/>
          <w:szCs w:val="10"/>
        </w:rPr>
        <w:t>.</w:t>
      </w:r>
      <w:r w:rsidRPr="006C6731">
        <w:rPr>
          <w:rFonts w:ascii="Arial" w:hAnsi="Arial" w:cs="Arial"/>
          <w:sz w:val="10"/>
          <w:szCs w:val="10"/>
        </w:rPr>
        <w:cr/>
      </w:r>
      <w:r w:rsidRPr="00B85F3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2E4"/>
    <w:rsid w:val="0001329F"/>
    <w:rsid w:val="00065DAF"/>
    <w:rsid w:val="00083334"/>
    <w:rsid w:val="000956CF"/>
    <w:rsid w:val="000A0F3C"/>
    <w:rsid w:val="000A646F"/>
    <w:rsid w:val="000A683E"/>
    <w:rsid w:val="000B6B54"/>
    <w:rsid w:val="000D0FA8"/>
    <w:rsid w:val="000E60E0"/>
    <w:rsid w:val="001155CC"/>
    <w:rsid w:val="0011595A"/>
    <w:rsid w:val="001177E8"/>
    <w:rsid w:val="001220C5"/>
    <w:rsid w:val="001267F7"/>
    <w:rsid w:val="00127233"/>
    <w:rsid w:val="00130999"/>
    <w:rsid w:val="001328B7"/>
    <w:rsid w:val="00164D81"/>
    <w:rsid w:val="00180788"/>
    <w:rsid w:val="00180926"/>
    <w:rsid w:val="001A1011"/>
    <w:rsid w:val="001A48D0"/>
    <w:rsid w:val="001B3450"/>
    <w:rsid w:val="001C13AF"/>
    <w:rsid w:val="001C454A"/>
    <w:rsid w:val="001D2C9B"/>
    <w:rsid w:val="00215538"/>
    <w:rsid w:val="002275D9"/>
    <w:rsid w:val="0026157E"/>
    <w:rsid w:val="002653C1"/>
    <w:rsid w:val="0026611D"/>
    <w:rsid w:val="00282CC3"/>
    <w:rsid w:val="002951A0"/>
    <w:rsid w:val="002A64FD"/>
    <w:rsid w:val="002A77D5"/>
    <w:rsid w:val="002D3536"/>
    <w:rsid w:val="002D495D"/>
    <w:rsid w:val="002D5E95"/>
    <w:rsid w:val="002F0839"/>
    <w:rsid w:val="002F5ED7"/>
    <w:rsid w:val="002F79D0"/>
    <w:rsid w:val="00301469"/>
    <w:rsid w:val="00306EE1"/>
    <w:rsid w:val="00310B9B"/>
    <w:rsid w:val="00355BA1"/>
    <w:rsid w:val="0036461C"/>
    <w:rsid w:val="00367884"/>
    <w:rsid w:val="00375407"/>
    <w:rsid w:val="003872EB"/>
    <w:rsid w:val="0039439C"/>
    <w:rsid w:val="003A16FD"/>
    <w:rsid w:val="003A2E64"/>
    <w:rsid w:val="003B69E7"/>
    <w:rsid w:val="003C013B"/>
    <w:rsid w:val="003C758D"/>
    <w:rsid w:val="003D0F4D"/>
    <w:rsid w:val="003F58A1"/>
    <w:rsid w:val="00410954"/>
    <w:rsid w:val="00410DD6"/>
    <w:rsid w:val="004134C9"/>
    <w:rsid w:val="0043138C"/>
    <w:rsid w:val="00452378"/>
    <w:rsid w:val="00454862"/>
    <w:rsid w:val="00462A59"/>
    <w:rsid w:val="00476FBB"/>
    <w:rsid w:val="004A1847"/>
    <w:rsid w:val="004B3F1B"/>
    <w:rsid w:val="004B6B0E"/>
    <w:rsid w:val="004D0386"/>
    <w:rsid w:val="004D25B3"/>
    <w:rsid w:val="004D3F3E"/>
    <w:rsid w:val="00511405"/>
    <w:rsid w:val="00526E9D"/>
    <w:rsid w:val="00547856"/>
    <w:rsid w:val="00547A74"/>
    <w:rsid w:val="005566E8"/>
    <w:rsid w:val="00564621"/>
    <w:rsid w:val="005746AB"/>
    <w:rsid w:val="0059357F"/>
    <w:rsid w:val="005A1130"/>
    <w:rsid w:val="005B7E4D"/>
    <w:rsid w:val="005D417D"/>
    <w:rsid w:val="005D65C8"/>
    <w:rsid w:val="006219F8"/>
    <w:rsid w:val="00651AE3"/>
    <w:rsid w:val="00681FDB"/>
    <w:rsid w:val="00691192"/>
    <w:rsid w:val="006A3D0E"/>
    <w:rsid w:val="006A7934"/>
    <w:rsid w:val="006A7DAD"/>
    <w:rsid w:val="006B1D36"/>
    <w:rsid w:val="006C4172"/>
    <w:rsid w:val="006C6731"/>
    <w:rsid w:val="006D70BA"/>
    <w:rsid w:val="0070345E"/>
    <w:rsid w:val="007206C8"/>
    <w:rsid w:val="007404E5"/>
    <w:rsid w:val="007566FE"/>
    <w:rsid w:val="0076726F"/>
    <w:rsid w:val="0077144B"/>
    <w:rsid w:val="007734E0"/>
    <w:rsid w:val="00785C24"/>
    <w:rsid w:val="00793403"/>
    <w:rsid w:val="007C0CDF"/>
    <w:rsid w:val="007E2A2F"/>
    <w:rsid w:val="007E6647"/>
    <w:rsid w:val="007F2B7C"/>
    <w:rsid w:val="00811651"/>
    <w:rsid w:val="00820F5B"/>
    <w:rsid w:val="00833452"/>
    <w:rsid w:val="00837094"/>
    <w:rsid w:val="00845DBD"/>
    <w:rsid w:val="008614E5"/>
    <w:rsid w:val="00863E47"/>
    <w:rsid w:val="008678EB"/>
    <w:rsid w:val="00875894"/>
    <w:rsid w:val="00881C10"/>
    <w:rsid w:val="00890411"/>
    <w:rsid w:val="00890A94"/>
    <w:rsid w:val="008B394C"/>
    <w:rsid w:val="008B4DB9"/>
    <w:rsid w:val="008C6924"/>
    <w:rsid w:val="008D5C70"/>
    <w:rsid w:val="009025AF"/>
    <w:rsid w:val="00904F23"/>
    <w:rsid w:val="00906B3C"/>
    <w:rsid w:val="0095342C"/>
    <w:rsid w:val="009F33F2"/>
    <w:rsid w:val="009F6C77"/>
    <w:rsid w:val="00A07532"/>
    <w:rsid w:val="00A1085C"/>
    <w:rsid w:val="00A309E2"/>
    <w:rsid w:val="00A5219F"/>
    <w:rsid w:val="00A57447"/>
    <w:rsid w:val="00A8066E"/>
    <w:rsid w:val="00AA119D"/>
    <w:rsid w:val="00AA4B8A"/>
    <w:rsid w:val="00AA6BF7"/>
    <w:rsid w:val="00AE2488"/>
    <w:rsid w:val="00B01ED6"/>
    <w:rsid w:val="00B06D09"/>
    <w:rsid w:val="00B24011"/>
    <w:rsid w:val="00B3097B"/>
    <w:rsid w:val="00B35B7C"/>
    <w:rsid w:val="00B373BE"/>
    <w:rsid w:val="00B771A9"/>
    <w:rsid w:val="00B774CD"/>
    <w:rsid w:val="00B809BB"/>
    <w:rsid w:val="00B8248A"/>
    <w:rsid w:val="00B85F35"/>
    <w:rsid w:val="00BB7726"/>
    <w:rsid w:val="00BF4FD5"/>
    <w:rsid w:val="00C2329E"/>
    <w:rsid w:val="00C30461"/>
    <w:rsid w:val="00C54DE3"/>
    <w:rsid w:val="00C754BE"/>
    <w:rsid w:val="00C87572"/>
    <w:rsid w:val="00C9405D"/>
    <w:rsid w:val="00CB6E59"/>
    <w:rsid w:val="00CC1B26"/>
    <w:rsid w:val="00CD21ED"/>
    <w:rsid w:val="00CD284F"/>
    <w:rsid w:val="00CF1C9C"/>
    <w:rsid w:val="00CF23AA"/>
    <w:rsid w:val="00D01921"/>
    <w:rsid w:val="00D224E9"/>
    <w:rsid w:val="00D4310D"/>
    <w:rsid w:val="00D70368"/>
    <w:rsid w:val="00D752B7"/>
    <w:rsid w:val="00DA1854"/>
    <w:rsid w:val="00DB0887"/>
    <w:rsid w:val="00DB77BD"/>
    <w:rsid w:val="00DF1E43"/>
    <w:rsid w:val="00E10337"/>
    <w:rsid w:val="00E20894"/>
    <w:rsid w:val="00E26B7C"/>
    <w:rsid w:val="00E30DD8"/>
    <w:rsid w:val="00E351C2"/>
    <w:rsid w:val="00E35E4B"/>
    <w:rsid w:val="00EA3003"/>
    <w:rsid w:val="00EB3C91"/>
    <w:rsid w:val="00EB66DA"/>
    <w:rsid w:val="00EC2797"/>
    <w:rsid w:val="00EC4C8F"/>
    <w:rsid w:val="00ED195E"/>
    <w:rsid w:val="00ED6626"/>
    <w:rsid w:val="00EF1B25"/>
    <w:rsid w:val="00EF1D52"/>
    <w:rsid w:val="00F32C80"/>
    <w:rsid w:val="00F41BD6"/>
    <w:rsid w:val="00F4241F"/>
    <w:rsid w:val="00F42B8A"/>
    <w:rsid w:val="00F605F2"/>
    <w:rsid w:val="00F6138B"/>
    <w:rsid w:val="00F662A0"/>
    <w:rsid w:val="00F76AFC"/>
    <w:rsid w:val="00F8319B"/>
    <w:rsid w:val="00FA06F7"/>
    <w:rsid w:val="00FA5516"/>
    <w:rsid w:val="00FD6F73"/>
    <w:rsid w:val="00FE6AC2"/>
    <w:rsid w:val="00FF349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F41BD6"/>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F41BD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1BD6"/>
    <w:pPr>
      <w:spacing w:line="240" w:lineRule="exact"/>
      <w:jc w:val="both"/>
    </w:pPr>
    <w:rPr>
      <w:vertAlign w:val="superscript"/>
    </w:rPr>
  </w:style>
  <w:style w:type="table" w:customStyle="1" w:styleId="Tablaconcuadrcula11">
    <w:name w:val="Tabla con cuadrícula11"/>
    <w:basedOn w:val="Tablanormal"/>
    <w:next w:val="Tablaconcuadrcula"/>
    <w:uiPriority w:val="39"/>
    <w:rsid w:val="00F41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1BD6"/>
    <w:rPr>
      <w:color w:val="0563C1" w:themeColor="hyperlink"/>
      <w:u w:val="single"/>
    </w:rPr>
  </w:style>
  <w:style w:type="character" w:styleId="Textoennegrita">
    <w:name w:val="Strong"/>
    <w:basedOn w:val="Fuentedeprrafopredeter"/>
    <w:uiPriority w:val="22"/>
    <w:qFormat/>
    <w:rsid w:val="00F41BD6"/>
    <w:rPr>
      <w:b/>
      <w:bCs/>
    </w:rPr>
  </w:style>
  <w:style w:type="character" w:styleId="nfasis">
    <w:name w:val="Emphasis"/>
    <w:basedOn w:val="Fuentedeprrafopredeter"/>
    <w:uiPriority w:val="20"/>
    <w:qFormat/>
    <w:rsid w:val="00F41BD6"/>
    <w:rPr>
      <w:i/>
      <w:iCs/>
    </w:rPr>
  </w:style>
  <w:style w:type="character" w:styleId="Mencinsinresolver">
    <w:name w:val="Unresolved Mention"/>
    <w:basedOn w:val="Fuentedeprrafopredeter"/>
    <w:uiPriority w:val="99"/>
    <w:semiHidden/>
    <w:unhideWhenUsed/>
    <w:rsid w:val="001B3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9164">
      <w:bodyDiv w:val="1"/>
      <w:marLeft w:val="0"/>
      <w:marRight w:val="0"/>
      <w:marTop w:val="0"/>
      <w:marBottom w:val="0"/>
      <w:divBdr>
        <w:top w:val="none" w:sz="0" w:space="0" w:color="auto"/>
        <w:left w:val="none" w:sz="0" w:space="0" w:color="auto"/>
        <w:bottom w:val="none" w:sz="0" w:space="0" w:color="auto"/>
        <w:right w:val="none" w:sz="0" w:space="0" w:color="auto"/>
      </w:divBdr>
    </w:div>
    <w:div w:id="14260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dle.rae.es/representativo%20" TargetMode="External"/><Relationship Id="rId2" Type="http://schemas.openxmlformats.org/officeDocument/2006/relationships/hyperlink" Target="https://www.rae.es/drae2001/%C3%ADtem" TargetMode="External"/><Relationship Id="rId1" Type="http://schemas.openxmlformats.org/officeDocument/2006/relationships/hyperlink" Target="https://www.colombiacompra.gov.co/sites/cce_public/files/cce_documents/cce_manual_requisitos_habilitantes.pdf" TargetMode="External"/><Relationship Id="rId4"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http://purl.org/dc/dcmitype/"/>
    <ds:schemaRef ds:uri="http://schemas.openxmlformats.org/package/2006/metadata/core-properties"/>
    <ds:schemaRef ds:uri="8ae15d26-076e-464e-81a7-6f76a0fb3917"/>
    <ds:schemaRef ds:uri="http://www.w3.org/XML/1998/namespace"/>
    <ds:schemaRef ds:uri="http://schemas.microsoft.com/office/2006/metadata/properties"/>
    <ds:schemaRef ds:uri="http://schemas.microsoft.com/office/infopath/2007/PartnerControls"/>
    <ds:schemaRef ds:uri="cabc2350-70b2-4dba-bb42-96a3175f4d5a"/>
    <ds:schemaRef ds:uri="http://purl.org/dc/elements/1.1/"/>
  </ds:schemaRefs>
</ds:datastoreItem>
</file>

<file path=customXml/itemProps2.xml><?xml version="1.0" encoding="utf-8"?>
<ds:datastoreItem xmlns:ds="http://schemas.openxmlformats.org/officeDocument/2006/customXml" ds:itemID="{A90918D8-A7DE-4BC7-AFC8-9930AE6B02F3}"/>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5290</Words>
  <Characters>29096</Characters>
  <Application>Microsoft Office Word</Application>
  <DocSecurity>0</DocSecurity>
  <Lines>242</Lines>
  <Paragraphs>68</Paragraphs>
  <ScaleCrop>false</ScaleCrop>
  <Company/>
  <LinksUpToDate>false</LinksUpToDate>
  <CharactersWithSpaces>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Nasly Yeana Mosquera Rivas</cp:lastModifiedBy>
  <cp:revision>4</cp:revision>
  <dcterms:created xsi:type="dcterms:W3CDTF">2023-06-06T14:27:00Z</dcterms:created>
  <dcterms:modified xsi:type="dcterms:W3CDTF">2023-06-06T14:27:00Z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