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A8F1" w14:textId="77777777" w:rsidR="003276E6" w:rsidRPr="00E82399" w:rsidRDefault="003276E6" w:rsidP="003276E6">
      <w:pPr>
        <w:spacing w:after="0" w:line="240" w:lineRule="auto"/>
        <w:jc w:val="both"/>
        <w:rPr>
          <w:rFonts w:ascii="Arial" w:eastAsia="Calibri" w:hAnsi="Arial" w:cs="Arial"/>
          <w:b/>
          <w:bCs/>
          <w:color w:val="000000" w:themeColor="text1"/>
          <w:lang w:val="es-ES_tradnl"/>
        </w:rPr>
      </w:pPr>
      <w:bookmarkStart w:id="0" w:name="_Hlk94281581"/>
      <w:bookmarkStart w:id="1" w:name="_Hlk102489058"/>
      <w:bookmarkStart w:id="2" w:name="_Hlk34951122"/>
      <w:r w:rsidRPr="00E82399">
        <w:rPr>
          <w:rFonts w:ascii="Arial" w:eastAsia="Calibri" w:hAnsi="Arial" w:cs="Arial"/>
          <w:b/>
          <w:bCs/>
          <w:color w:val="000000" w:themeColor="text1"/>
          <w:lang w:val="es-ES_tradnl"/>
        </w:rPr>
        <w:t xml:space="preserve">PRECIO – Concepto – Estructuración </w:t>
      </w:r>
    </w:p>
    <w:p w14:paraId="15970337" w14:textId="77777777" w:rsidR="003276E6" w:rsidRDefault="003276E6" w:rsidP="003276E6">
      <w:pPr>
        <w:spacing w:after="0" w:line="240" w:lineRule="auto"/>
        <w:jc w:val="both"/>
        <w:rPr>
          <w:rFonts w:ascii="Arial" w:eastAsia="Calibri" w:hAnsi="Arial" w:cs="Arial"/>
          <w:b/>
          <w:bCs/>
          <w:color w:val="000000" w:themeColor="text1"/>
          <w:sz w:val="20"/>
          <w:szCs w:val="20"/>
          <w:lang w:val="es-MX"/>
        </w:rPr>
      </w:pPr>
    </w:p>
    <w:p w14:paraId="5D630A67" w14:textId="77777777" w:rsidR="003276E6" w:rsidRDefault="003276E6" w:rsidP="003276E6">
      <w:pPr>
        <w:spacing w:after="0" w:line="240" w:lineRule="auto"/>
        <w:jc w:val="both"/>
        <w:rPr>
          <w:rFonts w:ascii="Arial" w:eastAsia="Calibri" w:hAnsi="Arial" w:cs="Arial"/>
          <w:color w:val="000000" w:themeColor="text1"/>
          <w:sz w:val="20"/>
          <w:szCs w:val="20"/>
        </w:rPr>
      </w:pPr>
      <w:r w:rsidRPr="00E82399">
        <w:rPr>
          <w:rFonts w:ascii="Arial" w:eastAsia="Calibri" w:hAnsi="Arial" w:cs="Arial"/>
          <w:color w:val="000000" w:themeColor="text1"/>
          <w:sz w:val="20"/>
          <w:szCs w:val="20"/>
        </w:rPr>
        <w:t>Como es sabido, uno de los elementos de los contratos estatales es el precio,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w:t>
      </w:r>
    </w:p>
    <w:p w14:paraId="3B92FED0" w14:textId="77777777" w:rsidR="003276E6" w:rsidRDefault="003276E6" w:rsidP="003276E6">
      <w:pPr>
        <w:spacing w:after="0" w:line="240" w:lineRule="auto"/>
        <w:jc w:val="both"/>
        <w:rPr>
          <w:rFonts w:ascii="Arial" w:eastAsia="Calibri" w:hAnsi="Arial" w:cs="Arial"/>
          <w:color w:val="000000" w:themeColor="text1"/>
          <w:sz w:val="20"/>
          <w:szCs w:val="20"/>
        </w:rPr>
      </w:pPr>
    </w:p>
    <w:p w14:paraId="114652E6" w14:textId="77777777" w:rsidR="003276E6" w:rsidRDefault="003276E6" w:rsidP="003276E6">
      <w:pPr>
        <w:spacing w:after="0" w:line="240" w:lineRule="auto"/>
        <w:jc w:val="both"/>
        <w:rPr>
          <w:rFonts w:ascii="Arial" w:eastAsia="Calibri" w:hAnsi="Arial" w:cs="Arial"/>
          <w:color w:val="000000" w:themeColor="text1"/>
          <w:sz w:val="20"/>
          <w:szCs w:val="20"/>
        </w:rPr>
      </w:pPr>
      <w:r w:rsidRPr="00994504">
        <w:rPr>
          <w:rFonts w:ascii="Arial" w:eastAsia="Calibri" w:hAnsi="Arial" w:cs="Arial"/>
          <w:color w:val="000000" w:themeColor="text1"/>
          <w:sz w:val="20"/>
          <w:szCs w:val="20"/>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w:t>
      </w:r>
    </w:p>
    <w:p w14:paraId="51E6F328" w14:textId="77777777" w:rsidR="003276E6" w:rsidRPr="006A41CF" w:rsidRDefault="003276E6" w:rsidP="003276E6">
      <w:pPr>
        <w:spacing w:after="0" w:line="240" w:lineRule="auto"/>
        <w:jc w:val="both"/>
        <w:rPr>
          <w:rFonts w:ascii="Arial" w:eastAsia="Calibri" w:hAnsi="Arial" w:cs="Arial"/>
          <w:color w:val="000000" w:themeColor="text1"/>
          <w:sz w:val="20"/>
          <w:szCs w:val="20"/>
        </w:rPr>
      </w:pPr>
      <w:r w:rsidRPr="006A41CF">
        <w:rPr>
          <w:rFonts w:ascii="Arial" w:eastAsia="Calibri" w:hAnsi="Arial" w:cs="Arial"/>
          <w:color w:val="000000" w:themeColor="text1"/>
          <w:sz w:val="20"/>
          <w:szCs w:val="20"/>
        </w:rPr>
        <w:t xml:space="preserve"> </w:t>
      </w:r>
    </w:p>
    <w:p w14:paraId="240B28D0" w14:textId="77777777" w:rsidR="003276E6" w:rsidRPr="00994504" w:rsidRDefault="003276E6" w:rsidP="003276E6">
      <w:pPr>
        <w:spacing w:after="0" w:line="240" w:lineRule="auto"/>
        <w:jc w:val="both"/>
        <w:rPr>
          <w:rFonts w:ascii="Arial" w:eastAsia="Calibri" w:hAnsi="Arial" w:cs="Arial"/>
          <w:b/>
          <w:bCs/>
          <w:color w:val="000000" w:themeColor="text1"/>
          <w:lang w:val="es-ES_tradnl"/>
        </w:rPr>
      </w:pPr>
      <w:r w:rsidRPr="00994504">
        <w:rPr>
          <w:rFonts w:ascii="Arial" w:eastAsia="Calibri" w:hAnsi="Arial" w:cs="Arial"/>
          <w:b/>
          <w:bCs/>
          <w:color w:val="000000" w:themeColor="text1"/>
          <w:lang w:val="es-ES_tradnl"/>
        </w:rPr>
        <w:t xml:space="preserve">TIPOLOGÍA CONTRACTUAL – Escogencia del tipo de contrato </w:t>
      </w:r>
    </w:p>
    <w:p w14:paraId="5B2980E3" w14:textId="77777777" w:rsidR="003276E6" w:rsidRPr="00504597" w:rsidRDefault="003276E6" w:rsidP="003276E6">
      <w:pPr>
        <w:spacing w:after="0" w:line="240" w:lineRule="auto"/>
        <w:jc w:val="both"/>
        <w:rPr>
          <w:rFonts w:ascii="Arial" w:eastAsia="Calibri" w:hAnsi="Arial" w:cs="Arial"/>
          <w:b/>
          <w:bCs/>
          <w:color w:val="000000" w:themeColor="text1"/>
          <w:sz w:val="20"/>
          <w:szCs w:val="20"/>
          <w:lang w:val="es-MX"/>
        </w:rPr>
      </w:pPr>
    </w:p>
    <w:p w14:paraId="62426FAF" w14:textId="77777777" w:rsidR="003276E6" w:rsidRDefault="003276E6" w:rsidP="003276E6">
      <w:pPr>
        <w:spacing w:after="0" w:line="240" w:lineRule="auto"/>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E</w:t>
      </w:r>
      <w:r w:rsidRPr="00EB54AD">
        <w:rPr>
          <w:rFonts w:ascii="Arial" w:eastAsia="Calibri" w:hAnsi="Arial" w:cs="Arial"/>
          <w:bCs/>
          <w:color w:val="000000" w:themeColor="text1"/>
          <w:sz w:val="20"/>
          <w:szCs w:val="20"/>
          <w:lang w:val="es-ES"/>
        </w:rPr>
        <w:t>l artículo 40 de la Ley 80 de 1993 permite que dentro del contenido de un contrato estatal se admitan las estipulaciones conformes con las normas civiles, comerciales y las especiales previstas en dicha ley que correspondan a su esencia y naturaleza. Por ello, las entidades pueden celebrar todos los contratos y acuerdos permitidos por la autonomía de la voluntad requeridos para cumplir con los fines estatales.</w:t>
      </w:r>
      <w:r>
        <w:rPr>
          <w:rFonts w:ascii="Arial" w:eastAsia="Calibri" w:hAnsi="Arial" w:cs="Arial"/>
          <w:bCs/>
          <w:color w:val="000000" w:themeColor="text1"/>
          <w:sz w:val="20"/>
          <w:szCs w:val="20"/>
          <w:lang w:val="es-ES"/>
        </w:rPr>
        <w:t xml:space="preserve"> </w:t>
      </w:r>
      <w:r w:rsidRPr="00EB54AD">
        <w:rPr>
          <w:rFonts w:ascii="Arial" w:eastAsia="Calibri" w:hAnsi="Arial" w:cs="Arial"/>
          <w:bCs/>
          <w:color w:val="000000" w:themeColor="text1"/>
          <w:sz w:val="20"/>
          <w:szCs w:val="20"/>
          <w:lang w:val="es-ES"/>
        </w:rPr>
        <w:t>Los contratos estatales admiten todas las modalidades, condiciones y estipulaciones que las partes consideren necesarias y convenientes, siempre que 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necesarios para la consecución de sus fines, ya sean estos nominados y típicos  en la legislación civil y comercial de derecho privado  o en el Estatuto General de Contratación Pública  o bien pueden acudir a los contratos atípicos, donde sus estipulaciones pueden ser puramente de creación de la voluntad de las partes  –siempre y cuando no contraríen normas de orden público– o pueden ser mixtas, haciendo uso de estipulaciones que responden a diferentes combinaciones de objetos contractuales.</w:t>
      </w:r>
    </w:p>
    <w:p w14:paraId="29C38A01" w14:textId="77777777" w:rsidR="003276E6" w:rsidRPr="00504597" w:rsidRDefault="003276E6" w:rsidP="003276E6">
      <w:pPr>
        <w:spacing w:after="0" w:line="240" w:lineRule="auto"/>
        <w:jc w:val="both"/>
        <w:rPr>
          <w:rFonts w:ascii="Arial" w:eastAsia="Calibri" w:hAnsi="Arial" w:cs="Arial"/>
          <w:bCs/>
          <w:color w:val="000000" w:themeColor="text1"/>
          <w:sz w:val="20"/>
          <w:szCs w:val="20"/>
          <w:lang w:val="es-ES"/>
        </w:rPr>
      </w:pPr>
    </w:p>
    <w:p w14:paraId="4D9224C0" w14:textId="77777777" w:rsidR="003276E6" w:rsidRPr="00B04831" w:rsidRDefault="003276E6" w:rsidP="003276E6">
      <w:pPr>
        <w:spacing w:after="0" w:line="240" w:lineRule="auto"/>
        <w:jc w:val="both"/>
        <w:rPr>
          <w:rFonts w:ascii="Arial" w:eastAsia="Calibri" w:hAnsi="Arial" w:cs="Arial"/>
          <w:b/>
          <w:bCs/>
          <w:color w:val="000000" w:themeColor="text1"/>
          <w:lang w:val="es-ES"/>
        </w:rPr>
      </w:pPr>
      <w:r w:rsidRPr="00B04831">
        <w:rPr>
          <w:rFonts w:ascii="Arial" w:eastAsia="Calibri" w:hAnsi="Arial" w:cs="Arial"/>
          <w:b/>
          <w:bCs/>
          <w:color w:val="000000" w:themeColor="text1"/>
          <w:lang w:val="es-ES"/>
        </w:rPr>
        <w:t xml:space="preserve">CONTRATO POR MONTO AGOTABLE </w:t>
      </w:r>
      <w:r w:rsidRPr="00B04831">
        <w:rPr>
          <w:rFonts w:ascii="Arial" w:eastAsia="Calibri" w:hAnsi="Arial" w:cs="Arial"/>
          <w:b/>
          <w:bCs/>
          <w:color w:val="000000" w:themeColor="text1"/>
        </w:rPr>
        <w:t xml:space="preserve">– </w:t>
      </w:r>
      <w:r w:rsidRPr="00B04831">
        <w:rPr>
          <w:rFonts w:ascii="Arial" w:eastAsia="Calibri" w:hAnsi="Arial" w:cs="Arial"/>
          <w:b/>
          <w:bCs/>
          <w:color w:val="000000" w:themeColor="text1"/>
          <w:lang w:val="es-ES"/>
        </w:rPr>
        <w:t>Forma de Pago –</w:t>
      </w:r>
      <w:r>
        <w:rPr>
          <w:rFonts w:ascii="Arial" w:eastAsia="Calibri" w:hAnsi="Arial" w:cs="Arial"/>
          <w:b/>
          <w:bCs/>
          <w:color w:val="000000" w:themeColor="text1"/>
          <w:lang w:val="es-ES"/>
        </w:rPr>
        <w:t xml:space="preserve"> Legalidad –</w:t>
      </w:r>
      <w:r w:rsidRPr="00B04831">
        <w:rPr>
          <w:rFonts w:ascii="Arial" w:eastAsia="Calibri" w:hAnsi="Arial" w:cs="Arial"/>
          <w:b/>
          <w:bCs/>
          <w:color w:val="000000" w:themeColor="text1"/>
          <w:lang w:val="es-ES"/>
        </w:rPr>
        <w:t xml:space="preserve"> Contrato típico o atípico – Inexistencia </w:t>
      </w:r>
    </w:p>
    <w:p w14:paraId="7A98B22A" w14:textId="77777777" w:rsidR="003276E6" w:rsidRPr="00504597" w:rsidRDefault="003276E6" w:rsidP="003276E6">
      <w:pPr>
        <w:spacing w:after="0" w:line="240" w:lineRule="auto"/>
        <w:jc w:val="both"/>
        <w:rPr>
          <w:rFonts w:ascii="Arial" w:eastAsia="Calibri" w:hAnsi="Arial" w:cs="Arial"/>
          <w:b/>
          <w:bCs/>
          <w:color w:val="000000" w:themeColor="text1"/>
          <w:sz w:val="20"/>
          <w:szCs w:val="20"/>
          <w:lang w:val="es-ES"/>
        </w:rPr>
      </w:pPr>
    </w:p>
    <w:p w14:paraId="4EF7DBFC" w14:textId="77777777" w:rsidR="003276E6" w:rsidRDefault="003276E6" w:rsidP="003276E6">
      <w:pPr>
        <w:spacing w:after="0" w:line="240" w:lineRule="auto"/>
        <w:jc w:val="both"/>
        <w:rPr>
          <w:rFonts w:ascii="Arial" w:eastAsia="Calibri" w:hAnsi="Arial" w:cs="Arial"/>
          <w:color w:val="000000" w:themeColor="text1"/>
          <w:sz w:val="20"/>
          <w:szCs w:val="20"/>
          <w:lang w:val="es-ES"/>
        </w:rPr>
      </w:pPr>
      <w:r w:rsidRPr="00B04831">
        <w:rPr>
          <w:rFonts w:ascii="Arial" w:eastAsia="Calibri" w:hAnsi="Arial" w:cs="Arial"/>
          <w:color w:val="000000" w:themeColor="text1"/>
          <w:sz w:val="20"/>
          <w:szCs w:val="20"/>
          <w:lang w:val="es-ES"/>
        </w:rPr>
        <w:t xml:space="preserve">La figura del “contrato por monto agotable” no existe en las leyes civiles y comerciales ni en el EGCAP como una figura contractual típica ni atípica, pues puede corresponder a un contrato de suministro o de obra, donde se pacta el pago de la contraprestación a precios unitarios, conforme a unos valores asignados, que son objeto del negocio y que se entregan a la entidad, durante el plazo de ejecución del contrato, sin exceder el valor o presupuesto oficial asignado por la entidad contratante para el efecto. En este contexto, </w:t>
      </w:r>
      <w:r w:rsidRPr="00B04831">
        <w:rPr>
          <w:rFonts w:ascii="Arial" w:eastAsia="Calibri" w:hAnsi="Arial" w:cs="Arial"/>
          <w:color w:val="000000" w:themeColor="text1"/>
          <w:sz w:val="20"/>
          <w:szCs w:val="20"/>
          <w:lang w:val="es-ES"/>
        </w:rPr>
        <w:lastRenderedPageBreak/>
        <w:t>se encuentra más relacionada con el establecimiento de la forma de pago.</w:t>
      </w:r>
      <w:r>
        <w:rPr>
          <w:rFonts w:ascii="Arial" w:eastAsia="Calibri" w:hAnsi="Arial" w:cs="Arial"/>
          <w:color w:val="000000" w:themeColor="text1"/>
          <w:sz w:val="20"/>
          <w:szCs w:val="20"/>
          <w:lang w:val="es-ES"/>
        </w:rPr>
        <w:t xml:space="preserve"> </w:t>
      </w:r>
      <w:r w:rsidRPr="00477EA0">
        <w:rPr>
          <w:rFonts w:ascii="Arial" w:eastAsia="Calibri" w:hAnsi="Arial" w:cs="Arial"/>
          <w:bCs/>
          <w:color w:val="000000" w:themeColor="text1"/>
          <w:sz w:val="20"/>
          <w:szCs w:val="20"/>
          <w:lang w:val="es-ES_tradnl"/>
        </w:rPr>
        <w:t xml:space="preserve">Sin perjuicio de lo anterior, la estructuración del precio del contrato y la forma de pago a precios unitarios, según la demanda de obras, bienes o servicios requeridos por la entidad contratante durante el plazo del contrato, sin exceder el presupuesto oficial, es una modalidad de pacto contractual admisible en el contrato estatal que puede utilizarse por las entidades públicas. </w:t>
      </w:r>
    </w:p>
    <w:p w14:paraId="15BF2D96" w14:textId="77777777" w:rsidR="003276E6" w:rsidRPr="00504597" w:rsidRDefault="003276E6" w:rsidP="003276E6">
      <w:pPr>
        <w:spacing w:after="0" w:line="240" w:lineRule="auto"/>
        <w:jc w:val="both"/>
        <w:rPr>
          <w:rFonts w:ascii="Arial" w:eastAsia="Calibri" w:hAnsi="Arial" w:cs="Arial"/>
          <w:b/>
          <w:bCs/>
          <w:color w:val="000000" w:themeColor="text1"/>
          <w:sz w:val="20"/>
          <w:szCs w:val="20"/>
          <w:lang w:val="es-ES"/>
        </w:rPr>
      </w:pPr>
    </w:p>
    <w:p w14:paraId="6244A191" w14:textId="77777777" w:rsidR="003276E6" w:rsidRPr="00477EA0" w:rsidRDefault="003276E6" w:rsidP="003276E6">
      <w:pPr>
        <w:spacing w:after="0" w:line="240" w:lineRule="auto"/>
        <w:jc w:val="both"/>
        <w:rPr>
          <w:rFonts w:ascii="Arial" w:eastAsia="Calibri" w:hAnsi="Arial" w:cs="Arial"/>
          <w:b/>
          <w:bCs/>
          <w:color w:val="000000" w:themeColor="text1"/>
        </w:rPr>
      </w:pPr>
      <w:r w:rsidRPr="00477EA0">
        <w:rPr>
          <w:rFonts w:ascii="Arial" w:eastAsia="Calibri" w:hAnsi="Arial" w:cs="Arial"/>
          <w:b/>
          <w:bCs/>
          <w:color w:val="000000" w:themeColor="text1"/>
          <w:lang w:val="es-ES"/>
        </w:rPr>
        <w:t xml:space="preserve">FORMA DE PAGO </w:t>
      </w:r>
      <w:r w:rsidRPr="00477EA0">
        <w:rPr>
          <w:rFonts w:ascii="Arial" w:eastAsia="Calibri" w:hAnsi="Arial" w:cs="Arial"/>
          <w:b/>
          <w:bCs/>
          <w:color w:val="000000" w:themeColor="text1"/>
        </w:rPr>
        <w:t xml:space="preserve">– </w:t>
      </w:r>
      <w:r w:rsidRPr="00477EA0">
        <w:rPr>
          <w:rFonts w:ascii="Arial" w:eastAsia="Calibri" w:hAnsi="Arial" w:cs="Arial"/>
          <w:b/>
          <w:bCs/>
          <w:color w:val="000000" w:themeColor="text1"/>
          <w:lang w:val="es-ES"/>
        </w:rPr>
        <w:t>Contrato de suministro – Contrato de obra – Presupuesto limitativo</w:t>
      </w:r>
      <w:r w:rsidRPr="00477EA0">
        <w:rPr>
          <w:rFonts w:ascii="Arial" w:eastAsia="Calibri" w:hAnsi="Arial" w:cs="Arial"/>
          <w:b/>
          <w:bCs/>
          <w:color w:val="000000" w:themeColor="text1"/>
        </w:rPr>
        <w:t xml:space="preserve"> </w:t>
      </w:r>
    </w:p>
    <w:p w14:paraId="7DF71BDA" w14:textId="77777777" w:rsidR="003276E6" w:rsidRPr="00504597" w:rsidRDefault="003276E6" w:rsidP="003276E6">
      <w:pPr>
        <w:spacing w:after="0" w:line="240" w:lineRule="auto"/>
        <w:jc w:val="both"/>
        <w:rPr>
          <w:rFonts w:ascii="Arial" w:eastAsia="Calibri" w:hAnsi="Arial" w:cs="Arial"/>
          <w:b/>
          <w:bCs/>
          <w:color w:val="000000" w:themeColor="text1"/>
          <w:sz w:val="20"/>
          <w:szCs w:val="20"/>
        </w:rPr>
      </w:pPr>
    </w:p>
    <w:p w14:paraId="0BF474C8" w14:textId="77777777" w:rsidR="003276E6" w:rsidRDefault="003276E6" w:rsidP="003276E6">
      <w:pPr>
        <w:spacing w:after="0" w:line="240" w:lineRule="auto"/>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E</w:t>
      </w:r>
      <w:r w:rsidRPr="00B04831">
        <w:rPr>
          <w:rFonts w:ascii="Arial" w:eastAsia="Calibri" w:hAnsi="Arial" w:cs="Arial"/>
          <w:color w:val="000000" w:themeColor="text1"/>
          <w:sz w:val="20"/>
          <w:szCs w:val="20"/>
          <w:lang w:val="es-ES"/>
        </w:rPr>
        <w:t>xisten contratos de suministro donde el contratista se obliga a entregar los bienes por un precio unitario, sin que la cuantía se defina exactamente al tiempo de celebrar el contrato, ya que las entregas estas subordinadas a las necesidades de la entidad. Así las cosas, “En este tipo de contratos debe existir un presupuesto limitativo, establecido con el carácter del máximo, y debe preverse la posibilidad de que el objeto del contrato, y por ende el presupuesto máximo, se modifiquen en caso de que la entidad contratante necesite de un mayor número de unidades de producto de las inicialmente estimadas”.</w:t>
      </w:r>
      <w:r>
        <w:rPr>
          <w:rFonts w:ascii="Arial" w:eastAsia="Calibri" w:hAnsi="Arial" w:cs="Arial"/>
          <w:color w:val="000000" w:themeColor="text1"/>
          <w:sz w:val="20"/>
          <w:szCs w:val="20"/>
          <w:lang w:val="es-ES"/>
        </w:rPr>
        <w:t xml:space="preserve"> </w:t>
      </w:r>
      <w:r w:rsidRPr="00B04831">
        <w:rPr>
          <w:rFonts w:ascii="Arial" w:eastAsia="Calibri" w:hAnsi="Arial" w:cs="Arial"/>
          <w:color w:val="000000" w:themeColor="text1"/>
          <w:sz w:val="20"/>
          <w:szCs w:val="20"/>
          <w:lang w:val="es-ES"/>
        </w:rPr>
        <w:t xml:space="preserve">Una situación similar se presenta en algunos contratos de obra a precios unitarios donde, pese a que se encuentra establecido los ítems y el valor de cada uno de ellos, las cantidades definitivas dependen de lo efectivamente ejecutado al finalizar el plazo. En este sistema las partes establecen una suma fija por cada unidad de los trabajos que debe ejecutar el contratista, por lo que el precio –a diferencia del ajuste alzado o la suma cerrada– no se determina por la totalidad de la obra, sino por cada parte, unidad o medida. En este caso, también se requiere establecer un tope máximo para la adelantar las obras, ya que “[…] el precio total depende del conjunto de trabajos ejecutados según el presupuesto, pudiendo por tanto variar por nuevos trabajos adicionales […]”. Por lo demás, a pesar de que el precio del contrato se fije por un monto agotable, este no deja de pertenecer a la tipología del artículo 32.1 del Estatuto General de Contratación de la Administración Pública, especialmente, cuando –conforme al tenor literal de la norma– la obra pública existe cualquiera que sea la modalidad de ejecución y pago.   </w:t>
      </w:r>
    </w:p>
    <w:p w14:paraId="3C30D66D" w14:textId="77777777" w:rsidR="003276E6" w:rsidRPr="00B04831" w:rsidRDefault="003276E6" w:rsidP="003276E6">
      <w:pPr>
        <w:spacing w:after="0" w:line="240" w:lineRule="auto"/>
        <w:jc w:val="both"/>
        <w:rPr>
          <w:rFonts w:ascii="Arial" w:eastAsia="Calibri" w:hAnsi="Arial" w:cs="Arial"/>
          <w:color w:val="000000" w:themeColor="text1"/>
          <w:sz w:val="20"/>
          <w:szCs w:val="20"/>
          <w:lang w:val="es-ES"/>
        </w:rPr>
      </w:pPr>
      <w:r w:rsidRPr="00B04831">
        <w:rPr>
          <w:rFonts w:ascii="Arial" w:eastAsia="Calibri" w:hAnsi="Arial" w:cs="Arial"/>
          <w:color w:val="000000" w:themeColor="text1"/>
          <w:sz w:val="20"/>
          <w:szCs w:val="20"/>
          <w:lang w:val="es-ES"/>
        </w:rPr>
        <w:t xml:space="preserve"> </w:t>
      </w:r>
    </w:p>
    <w:p w14:paraId="1B55DE09" w14:textId="77777777" w:rsidR="003276E6" w:rsidRDefault="003276E6" w:rsidP="003B3D60">
      <w:pPr>
        <w:spacing w:after="0"/>
        <w:rPr>
          <w:rFonts w:ascii="Arial" w:eastAsia="Geomanist Light" w:hAnsi="Arial" w:cs="Arial"/>
          <w:color w:val="000000" w:themeColor="text1"/>
          <w:lang w:val="es-MX"/>
        </w:rPr>
      </w:pPr>
    </w:p>
    <w:p w14:paraId="64CF1910" w14:textId="77777777" w:rsidR="003276E6" w:rsidRDefault="003276E6" w:rsidP="003B3D60">
      <w:pPr>
        <w:spacing w:after="0"/>
        <w:rPr>
          <w:rFonts w:ascii="Arial" w:eastAsia="Geomanist Light" w:hAnsi="Arial" w:cs="Arial"/>
          <w:color w:val="000000" w:themeColor="text1"/>
          <w:lang w:val="es-MX"/>
        </w:rPr>
      </w:pPr>
    </w:p>
    <w:p w14:paraId="6932B8A5" w14:textId="77777777" w:rsidR="003276E6" w:rsidRDefault="003276E6" w:rsidP="003B3D60">
      <w:pPr>
        <w:spacing w:after="0"/>
        <w:rPr>
          <w:rFonts w:ascii="Arial" w:eastAsia="Geomanist Light" w:hAnsi="Arial" w:cs="Arial"/>
          <w:color w:val="000000" w:themeColor="text1"/>
          <w:lang w:val="es-MX"/>
        </w:rPr>
      </w:pPr>
    </w:p>
    <w:p w14:paraId="60479291" w14:textId="77777777" w:rsidR="003276E6" w:rsidRDefault="003276E6" w:rsidP="003B3D60">
      <w:pPr>
        <w:spacing w:after="0"/>
        <w:rPr>
          <w:rFonts w:ascii="Arial" w:eastAsia="Geomanist Light" w:hAnsi="Arial" w:cs="Arial"/>
          <w:color w:val="000000" w:themeColor="text1"/>
          <w:lang w:val="es-MX"/>
        </w:rPr>
      </w:pPr>
    </w:p>
    <w:p w14:paraId="05203B40" w14:textId="77777777" w:rsidR="003276E6" w:rsidRDefault="003276E6" w:rsidP="003B3D60">
      <w:pPr>
        <w:spacing w:after="0"/>
        <w:rPr>
          <w:rFonts w:ascii="Arial" w:eastAsia="Geomanist Light" w:hAnsi="Arial" w:cs="Arial"/>
          <w:color w:val="000000" w:themeColor="text1"/>
          <w:lang w:val="es-MX"/>
        </w:rPr>
      </w:pPr>
    </w:p>
    <w:p w14:paraId="761CBA31" w14:textId="77777777" w:rsidR="003276E6" w:rsidRDefault="003276E6" w:rsidP="003B3D60">
      <w:pPr>
        <w:spacing w:after="0"/>
        <w:rPr>
          <w:rFonts w:ascii="Arial" w:eastAsia="Geomanist Light" w:hAnsi="Arial" w:cs="Arial"/>
          <w:color w:val="000000" w:themeColor="text1"/>
          <w:lang w:val="es-MX"/>
        </w:rPr>
      </w:pPr>
    </w:p>
    <w:p w14:paraId="2B5E9CC5" w14:textId="77777777" w:rsidR="003276E6" w:rsidRDefault="003276E6" w:rsidP="003B3D60">
      <w:pPr>
        <w:spacing w:after="0"/>
        <w:rPr>
          <w:rFonts w:ascii="Arial" w:eastAsia="Geomanist Light" w:hAnsi="Arial" w:cs="Arial"/>
          <w:color w:val="000000" w:themeColor="text1"/>
          <w:lang w:val="es-MX"/>
        </w:rPr>
      </w:pPr>
    </w:p>
    <w:p w14:paraId="0DD3092C" w14:textId="77777777" w:rsidR="003276E6" w:rsidRDefault="003276E6" w:rsidP="003B3D60">
      <w:pPr>
        <w:spacing w:after="0"/>
        <w:rPr>
          <w:rFonts w:ascii="Arial" w:eastAsia="Geomanist Light" w:hAnsi="Arial" w:cs="Arial"/>
          <w:color w:val="000000" w:themeColor="text1"/>
          <w:lang w:val="es-MX"/>
        </w:rPr>
      </w:pPr>
    </w:p>
    <w:p w14:paraId="2F012060" w14:textId="77777777" w:rsidR="003276E6" w:rsidRDefault="003276E6" w:rsidP="003B3D60">
      <w:pPr>
        <w:spacing w:after="0"/>
        <w:rPr>
          <w:rFonts w:ascii="Arial" w:eastAsia="Geomanist Light" w:hAnsi="Arial" w:cs="Arial"/>
          <w:color w:val="000000" w:themeColor="text1"/>
          <w:lang w:val="es-MX"/>
        </w:rPr>
      </w:pPr>
    </w:p>
    <w:p w14:paraId="18F34720" w14:textId="77777777" w:rsidR="003276E6" w:rsidRDefault="003276E6" w:rsidP="003B3D60">
      <w:pPr>
        <w:spacing w:after="0"/>
        <w:rPr>
          <w:rFonts w:ascii="Arial" w:eastAsia="Geomanist Light" w:hAnsi="Arial" w:cs="Arial"/>
          <w:color w:val="000000" w:themeColor="text1"/>
          <w:lang w:val="es-MX"/>
        </w:rPr>
      </w:pPr>
    </w:p>
    <w:p w14:paraId="34FE55C1" w14:textId="77777777" w:rsidR="003276E6" w:rsidRDefault="003276E6" w:rsidP="003B3D60">
      <w:pPr>
        <w:spacing w:after="0"/>
        <w:rPr>
          <w:rFonts w:ascii="Arial" w:eastAsia="Geomanist Light" w:hAnsi="Arial" w:cs="Arial"/>
          <w:color w:val="000000" w:themeColor="text1"/>
          <w:lang w:val="es-MX"/>
        </w:rPr>
      </w:pPr>
    </w:p>
    <w:p w14:paraId="792D2360" w14:textId="77777777" w:rsidR="003276E6" w:rsidRDefault="003276E6" w:rsidP="003B3D60">
      <w:pPr>
        <w:spacing w:after="0"/>
        <w:rPr>
          <w:rFonts w:ascii="Arial" w:eastAsia="Geomanist Light" w:hAnsi="Arial" w:cs="Arial"/>
          <w:color w:val="000000" w:themeColor="text1"/>
          <w:lang w:val="es-MX"/>
        </w:rPr>
      </w:pPr>
    </w:p>
    <w:p w14:paraId="1A6672B8" w14:textId="77777777" w:rsidR="003276E6" w:rsidRDefault="003276E6" w:rsidP="003B3D60">
      <w:pPr>
        <w:spacing w:after="0"/>
        <w:rPr>
          <w:rFonts w:ascii="Arial" w:eastAsia="Geomanist Light" w:hAnsi="Arial" w:cs="Arial"/>
          <w:color w:val="000000" w:themeColor="text1"/>
          <w:lang w:val="es-MX"/>
        </w:rPr>
      </w:pPr>
    </w:p>
    <w:p w14:paraId="615E416E" w14:textId="77777777" w:rsidR="003276E6" w:rsidRDefault="003276E6" w:rsidP="003B3D60">
      <w:pPr>
        <w:spacing w:after="0"/>
        <w:rPr>
          <w:rFonts w:ascii="Arial" w:eastAsia="Geomanist Light" w:hAnsi="Arial" w:cs="Arial"/>
          <w:color w:val="000000" w:themeColor="text1"/>
          <w:lang w:val="es-MX"/>
        </w:rPr>
      </w:pPr>
    </w:p>
    <w:p w14:paraId="57DF8F1A" w14:textId="77777777" w:rsidR="003276E6" w:rsidRDefault="003276E6" w:rsidP="003B3D60">
      <w:pPr>
        <w:spacing w:after="0"/>
        <w:rPr>
          <w:rFonts w:ascii="Arial" w:eastAsia="Geomanist Light" w:hAnsi="Arial" w:cs="Arial"/>
          <w:color w:val="000000" w:themeColor="text1"/>
          <w:lang w:val="es-MX"/>
        </w:rPr>
      </w:pPr>
    </w:p>
    <w:p w14:paraId="277C3962" w14:textId="77777777" w:rsidR="003276E6" w:rsidRDefault="003276E6" w:rsidP="003B3D60">
      <w:pPr>
        <w:spacing w:after="0"/>
        <w:rPr>
          <w:rFonts w:ascii="Arial" w:eastAsia="Geomanist Light" w:hAnsi="Arial" w:cs="Arial"/>
          <w:color w:val="000000" w:themeColor="text1"/>
          <w:lang w:val="es-MX"/>
        </w:rPr>
      </w:pPr>
    </w:p>
    <w:p w14:paraId="47C1CA58" w14:textId="77777777" w:rsidR="003276E6" w:rsidRDefault="003276E6" w:rsidP="003B3D60">
      <w:pPr>
        <w:spacing w:after="0"/>
        <w:rPr>
          <w:rFonts w:ascii="Arial" w:eastAsia="Geomanist Light" w:hAnsi="Arial" w:cs="Arial"/>
          <w:color w:val="000000" w:themeColor="text1"/>
          <w:lang w:val="es-MX"/>
        </w:rPr>
      </w:pPr>
    </w:p>
    <w:p w14:paraId="703AF621" w14:textId="77777777" w:rsidR="003276E6" w:rsidRDefault="003276E6" w:rsidP="003B3D60">
      <w:pPr>
        <w:spacing w:after="0"/>
        <w:rPr>
          <w:rFonts w:ascii="Arial" w:eastAsia="Geomanist Light" w:hAnsi="Arial" w:cs="Arial"/>
          <w:color w:val="000000" w:themeColor="text1"/>
          <w:lang w:val="es-MX"/>
        </w:rPr>
      </w:pPr>
    </w:p>
    <w:p w14:paraId="45D96E50" w14:textId="77777777" w:rsidR="003276E6" w:rsidRDefault="003276E6" w:rsidP="003B3D60">
      <w:pPr>
        <w:spacing w:after="0"/>
        <w:rPr>
          <w:rFonts w:ascii="Arial" w:eastAsia="Geomanist Light" w:hAnsi="Arial" w:cs="Arial"/>
          <w:color w:val="000000" w:themeColor="text1"/>
          <w:lang w:val="es-MX"/>
        </w:rPr>
      </w:pPr>
    </w:p>
    <w:p w14:paraId="12E3ABB9" w14:textId="77777777" w:rsidR="003276E6" w:rsidRDefault="003276E6" w:rsidP="003B3D60">
      <w:pPr>
        <w:spacing w:after="0"/>
        <w:rPr>
          <w:rFonts w:ascii="Arial" w:eastAsia="Geomanist Light" w:hAnsi="Arial" w:cs="Arial"/>
          <w:color w:val="000000" w:themeColor="text1"/>
          <w:lang w:val="es-MX"/>
        </w:rPr>
      </w:pPr>
    </w:p>
    <w:p w14:paraId="41A4F9BC" w14:textId="4169CCD4" w:rsidR="003B3D60" w:rsidRDefault="003B3D60" w:rsidP="003B3D60">
      <w:pPr>
        <w:spacing w:after="0"/>
        <w:rPr>
          <w:rFonts w:ascii="Arial" w:eastAsia="Geomanist Light" w:hAnsi="Arial" w:cs="Arial"/>
          <w:color w:val="000000" w:themeColor="text1"/>
          <w:lang w:val="es-MX"/>
        </w:rPr>
      </w:pPr>
      <w:r w:rsidRPr="00044F0D">
        <w:rPr>
          <w:rFonts w:ascii="Arial" w:eastAsia="Geomanist Light" w:hAnsi="Arial" w:cs="Arial"/>
          <w:color w:val="000000" w:themeColor="text1"/>
          <w:lang w:val="es-MX"/>
        </w:rPr>
        <w:lastRenderedPageBreak/>
        <w:t>Bogotá D.C., </w:t>
      </w:r>
      <w:r w:rsidR="008F7400" w:rsidRPr="008F7400">
        <w:rPr>
          <w:rFonts w:ascii="Arial" w:eastAsia="Geomanist Light" w:hAnsi="Arial" w:cs="Arial"/>
          <w:color w:val="000000" w:themeColor="text1"/>
          <w:lang w:val="es-MX"/>
        </w:rPr>
        <w:t>27 de Abril de 2023</w:t>
      </w:r>
    </w:p>
    <w:p w14:paraId="73530AF2" w14:textId="77777777" w:rsidR="008F7400" w:rsidRDefault="008F7400" w:rsidP="003B3D60">
      <w:pPr>
        <w:spacing w:after="0"/>
        <w:rPr>
          <w:rFonts w:ascii="Arial" w:eastAsia="Geomanist Light" w:hAnsi="Arial" w:cs="Arial"/>
          <w:color w:val="000000" w:themeColor="text1"/>
          <w:lang w:val="es-MX"/>
        </w:rPr>
      </w:pPr>
    </w:p>
    <w:p w14:paraId="51F6E7D1" w14:textId="08281366" w:rsidR="008F7400" w:rsidRPr="008F7400" w:rsidRDefault="008F7400" w:rsidP="008F7400">
      <w:pPr>
        <w:spacing w:after="0"/>
        <w:jc w:val="right"/>
        <w:rPr>
          <w:rFonts w:ascii="Arial" w:eastAsia="Geomanist Light" w:hAnsi="Arial" w:cs="Arial"/>
          <w:color w:val="201F1E"/>
          <w:lang w:val="es-MX"/>
        </w:rPr>
      </w:pPr>
      <w:r>
        <w:rPr>
          <w:rFonts w:ascii="Arial" w:eastAsia="Geomanist Light" w:hAnsi="Arial" w:cs="Arial"/>
          <w:noProof/>
          <w:color w:val="201F1E"/>
          <w:lang w:val="es-MX"/>
        </w:rPr>
        <w:drawing>
          <wp:inline distT="0" distB="0" distL="0" distR="0" wp14:anchorId="77125C07" wp14:editId="5E546282">
            <wp:extent cx="3090425" cy="742950"/>
            <wp:effectExtent l="0" t="0" r="0" b="0"/>
            <wp:docPr id="680688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6088" cy="751524"/>
                    </a:xfrm>
                    <a:prstGeom prst="rect">
                      <a:avLst/>
                    </a:prstGeom>
                    <a:noFill/>
                    <a:ln>
                      <a:noFill/>
                    </a:ln>
                  </pic:spPr>
                </pic:pic>
              </a:graphicData>
            </a:graphic>
          </wp:inline>
        </w:drawing>
      </w:r>
    </w:p>
    <w:p w14:paraId="73F0E3F1" w14:textId="77777777" w:rsidR="003B3D60" w:rsidRPr="0006291B" w:rsidRDefault="003B3D60" w:rsidP="003B3D60">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7B658730" w14:textId="77777777" w:rsidR="003B3D60" w:rsidRDefault="003B3D60" w:rsidP="003B3D60">
      <w:pPr>
        <w:contextualSpacing/>
        <w:jc w:val="both"/>
        <w:rPr>
          <w:rFonts w:ascii="Arial" w:eastAsia="Calibri" w:hAnsi="Arial" w:cs="Arial"/>
          <w:b/>
          <w:lang w:eastAsia="es-ES_tradnl"/>
        </w:rPr>
      </w:pPr>
      <w:r w:rsidRPr="00391C77">
        <w:rPr>
          <w:rFonts w:ascii="Arial" w:eastAsia="Calibri" w:hAnsi="Arial" w:cs="Arial"/>
          <w:b/>
          <w:lang w:eastAsia="es-ES_tradnl"/>
        </w:rPr>
        <w:t xml:space="preserve">Julián Quintana Torres </w:t>
      </w:r>
    </w:p>
    <w:p w14:paraId="01003959" w14:textId="77777777" w:rsidR="003B3D60" w:rsidRPr="0006291B" w:rsidRDefault="003B3D60" w:rsidP="003B3D60">
      <w:pPr>
        <w:contextualSpacing/>
        <w:jc w:val="both"/>
        <w:rPr>
          <w:rFonts w:ascii="Arial" w:eastAsia="Calibri" w:hAnsi="Arial" w:cs="Arial"/>
          <w:bCs/>
          <w:lang w:eastAsia="es-ES_tradnl"/>
        </w:rPr>
      </w:pPr>
      <w:r w:rsidRPr="0006291B">
        <w:rPr>
          <w:rFonts w:ascii="Arial" w:eastAsia="Calibri" w:hAnsi="Arial" w:cs="Arial"/>
          <w:lang w:eastAsia="es-ES_tradnl"/>
        </w:rPr>
        <w:t>Bogotá D.C.</w:t>
      </w:r>
      <w:r w:rsidRPr="0006291B">
        <w:rPr>
          <w:rFonts w:ascii="Arial" w:eastAsia="Calibri" w:hAnsi="Arial" w:cs="Arial"/>
          <w:bCs/>
          <w:lang w:eastAsia="es-ES_tradnl"/>
        </w:rPr>
        <w:t xml:space="preserve"> </w:t>
      </w:r>
    </w:p>
    <w:p w14:paraId="00A4B705" w14:textId="77777777" w:rsidR="003B3D60" w:rsidRPr="00C046D8" w:rsidRDefault="003B3D60" w:rsidP="003B3D60">
      <w:pPr>
        <w:contextualSpacing/>
        <w:jc w:val="both"/>
        <w:rPr>
          <w:rFonts w:ascii="Arial" w:eastAsia="Calibri" w:hAnsi="Arial" w:cs="Arial"/>
          <w:lang w:val="es-ES_tradnl" w:eastAsia="es-ES_tradnl"/>
        </w:rPr>
      </w:pPr>
    </w:p>
    <w:p w14:paraId="4A0DEA52" w14:textId="77777777" w:rsidR="003B3D60" w:rsidRPr="00C046D8" w:rsidRDefault="003B3D60" w:rsidP="003B3D60">
      <w:pPr>
        <w:contextualSpacing/>
        <w:rPr>
          <w:rFonts w:ascii="Arial" w:eastAsia="Calibri" w:hAnsi="Arial" w:cs="Arial"/>
          <w:b/>
          <w:bCs/>
          <w:lang w:val="es-ES_tradnl" w:eastAsia="es-ES_tradnl"/>
        </w:rPr>
      </w:pPr>
    </w:p>
    <w:p w14:paraId="12E33746" w14:textId="77777777" w:rsidR="003B3D60" w:rsidRPr="00C046D8" w:rsidRDefault="003B3D60" w:rsidP="003B3D60">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104</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31CC3DBD" w14:textId="77777777" w:rsidR="003B3D60" w:rsidRPr="00C046D8" w:rsidRDefault="003B3D60" w:rsidP="003B3D60">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B3D60" w:rsidRPr="00C046D8" w14:paraId="4836B913" w14:textId="77777777" w:rsidTr="006D2F61">
        <w:tc>
          <w:tcPr>
            <w:tcW w:w="2689" w:type="dxa"/>
          </w:tcPr>
          <w:p w14:paraId="0369562D" w14:textId="77777777" w:rsidR="003B3D60" w:rsidRPr="00C046D8" w:rsidRDefault="003B3D60" w:rsidP="006D2F61">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7B1BC001" w14:textId="77777777" w:rsidR="003B3D60" w:rsidRDefault="003B3D60" w:rsidP="006D2F61">
            <w:pPr>
              <w:spacing w:after="120"/>
              <w:contextualSpacing/>
              <w:jc w:val="both"/>
              <w:rPr>
                <w:rFonts w:ascii="Arial" w:eastAsia="Calibri" w:hAnsi="Arial" w:cs="Arial"/>
                <w:bCs/>
                <w:lang w:val="es-ES" w:eastAsia="es-ES_tradnl"/>
              </w:rPr>
            </w:pPr>
            <w:r w:rsidRPr="00477EA0">
              <w:rPr>
                <w:rFonts w:ascii="Arial" w:eastAsia="Calibri" w:hAnsi="Arial" w:cs="Arial"/>
                <w:bCs/>
                <w:lang w:val="es-MX" w:eastAsia="es-ES_tradnl"/>
              </w:rPr>
              <w:t>PRECIO – Concepto – Estructuración</w:t>
            </w:r>
            <w:r>
              <w:rPr>
                <w:rFonts w:ascii="Arial" w:eastAsia="Calibri" w:hAnsi="Arial" w:cs="Arial"/>
                <w:bCs/>
                <w:lang w:val="es-MX" w:eastAsia="es-ES_tradnl"/>
              </w:rPr>
              <w:t xml:space="preserve"> </w:t>
            </w:r>
            <w:r w:rsidRPr="00A8586D">
              <w:rPr>
                <w:rFonts w:ascii="Arial" w:eastAsia="Calibri" w:hAnsi="Arial" w:cs="Arial"/>
                <w:bCs/>
                <w:lang w:val="es-ES_tradnl" w:eastAsia="es-ES_tradnl"/>
              </w:rPr>
              <w:t xml:space="preserve">/ </w:t>
            </w:r>
            <w:r w:rsidRPr="00477EA0">
              <w:rPr>
                <w:rFonts w:ascii="Arial" w:eastAsia="Calibri" w:hAnsi="Arial" w:cs="Arial"/>
                <w:bCs/>
                <w:lang w:val="es-ES" w:eastAsia="es-ES_tradnl"/>
              </w:rPr>
              <w:t>TIPOLOGÍA CONTRACTUAL – Escogencia del tipo de contrato</w:t>
            </w:r>
            <w:r w:rsidRPr="00A8586D">
              <w:rPr>
                <w:rFonts w:ascii="Arial" w:eastAsia="Calibri" w:hAnsi="Arial" w:cs="Arial"/>
                <w:bCs/>
                <w:lang w:val="es-ES" w:eastAsia="es-ES_tradnl"/>
              </w:rPr>
              <w:t xml:space="preserve"> / </w:t>
            </w:r>
            <w:r w:rsidRPr="00477EA0">
              <w:rPr>
                <w:rFonts w:ascii="Arial" w:eastAsia="Calibri" w:hAnsi="Arial" w:cs="Arial"/>
                <w:bCs/>
                <w:lang w:val="es-ES" w:eastAsia="es-ES_tradnl"/>
              </w:rPr>
              <w:t>CONTRATO POR MONTO AGOTABLE – Forma de Pago – Legalidad – Contrato típico o atípico – Inexistencia</w:t>
            </w:r>
            <w:r w:rsidRPr="00A8586D">
              <w:rPr>
                <w:rFonts w:ascii="Arial" w:eastAsia="Calibri" w:hAnsi="Arial" w:cs="Arial"/>
                <w:bCs/>
                <w:lang w:eastAsia="es-ES_tradnl"/>
              </w:rPr>
              <w:t xml:space="preserve"> / </w:t>
            </w:r>
            <w:r w:rsidRPr="00477EA0">
              <w:rPr>
                <w:rFonts w:ascii="Arial" w:eastAsia="Calibri" w:hAnsi="Arial" w:cs="Arial"/>
                <w:bCs/>
                <w:lang w:val="es-ES" w:eastAsia="es-ES_tradnl"/>
              </w:rPr>
              <w:t xml:space="preserve">FORMA DE PAGO – Contrato de suministro – Contrato de obra – Presupuesto limitativo </w:t>
            </w:r>
          </w:p>
          <w:p w14:paraId="72A1E763" w14:textId="77777777" w:rsidR="003B3D60" w:rsidRPr="0006291B" w:rsidRDefault="003B3D60" w:rsidP="006D2F61">
            <w:pPr>
              <w:spacing w:after="120"/>
              <w:contextualSpacing/>
              <w:jc w:val="both"/>
              <w:rPr>
                <w:rFonts w:ascii="Arial" w:eastAsia="Calibri" w:hAnsi="Arial" w:cs="Arial"/>
                <w:bCs/>
                <w:sz w:val="12"/>
                <w:szCs w:val="12"/>
                <w:lang w:val="es-ES_tradnl" w:eastAsia="es-ES_tradnl"/>
              </w:rPr>
            </w:pPr>
          </w:p>
        </w:tc>
      </w:tr>
      <w:tr w:rsidR="003B3D60" w:rsidRPr="00C046D8" w14:paraId="4AAE2D95" w14:textId="77777777" w:rsidTr="006D2F61">
        <w:trPr>
          <w:trHeight w:val="227"/>
        </w:trPr>
        <w:tc>
          <w:tcPr>
            <w:tcW w:w="2689" w:type="dxa"/>
          </w:tcPr>
          <w:p w14:paraId="7666EE55" w14:textId="77777777" w:rsidR="003B3D60" w:rsidRPr="00C046D8" w:rsidRDefault="003B3D60" w:rsidP="006D2F61">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65D22A50" w14:textId="77777777" w:rsidR="003B3D60" w:rsidRPr="00C046D8" w:rsidRDefault="003B3D60" w:rsidP="006D2F61">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391C77">
              <w:rPr>
                <w:rFonts w:ascii="Arial" w:eastAsia="Calibri" w:hAnsi="Arial" w:cs="Arial"/>
                <w:lang w:val="es-ES_tradnl" w:eastAsia="es-ES_tradnl"/>
              </w:rPr>
              <w:t>P20230322002623</w:t>
            </w:r>
          </w:p>
        </w:tc>
      </w:tr>
    </w:tbl>
    <w:p w14:paraId="171783E6" w14:textId="77777777" w:rsidR="003B3D60" w:rsidRPr="00C046D8" w:rsidRDefault="003B3D60" w:rsidP="003B3D60">
      <w:pPr>
        <w:contextualSpacing/>
        <w:jc w:val="both"/>
        <w:rPr>
          <w:rFonts w:ascii="Arial" w:eastAsia="Calibri" w:hAnsi="Arial" w:cs="Arial"/>
          <w:lang w:val="es-ES_tradnl" w:eastAsia="es-ES_tradnl"/>
        </w:rPr>
      </w:pPr>
    </w:p>
    <w:p w14:paraId="7C2BCF11" w14:textId="77777777" w:rsidR="003B3D60" w:rsidRPr="00C046D8" w:rsidRDefault="003B3D60" w:rsidP="003B3D60">
      <w:pPr>
        <w:contextualSpacing/>
        <w:jc w:val="both"/>
        <w:rPr>
          <w:rFonts w:ascii="Arial" w:eastAsia="Calibri" w:hAnsi="Arial" w:cs="Arial"/>
          <w:lang w:val="es-ES_tradnl" w:eastAsia="es-ES_tradnl"/>
        </w:rPr>
      </w:pPr>
    </w:p>
    <w:p w14:paraId="37B3A814" w14:textId="77777777" w:rsidR="003B3D60" w:rsidRPr="00C046D8" w:rsidRDefault="003B3D60" w:rsidP="003B3D60">
      <w:pPr>
        <w:contextualSpacing/>
        <w:jc w:val="both"/>
        <w:rPr>
          <w:rFonts w:ascii="Arial" w:eastAsia="Calibri" w:hAnsi="Arial" w:cs="Arial"/>
          <w:lang w:val="es-ES" w:eastAsia="es-ES"/>
        </w:rPr>
      </w:pPr>
      <w:r w:rsidRPr="293D6149">
        <w:rPr>
          <w:rFonts w:ascii="Arial" w:eastAsia="Calibri" w:hAnsi="Arial" w:cs="Arial"/>
          <w:lang w:val="es-ES" w:eastAsia="es-ES"/>
        </w:rPr>
        <w:t xml:space="preserve">Respetado señor </w:t>
      </w:r>
      <w:r>
        <w:rPr>
          <w:rFonts w:ascii="Arial" w:eastAsia="Calibri" w:hAnsi="Arial" w:cs="Arial"/>
          <w:lang w:val="es-ES" w:eastAsia="es-ES"/>
        </w:rPr>
        <w:t>Quintana</w:t>
      </w:r>
      <w:r w:rsidRPr="293D6149">
        <w:rPr>
          <w:rFonts w:ascii="Arial" w:eastAsia="Calibri" w:hAnsi="Arial" w:cs="Arial"/>
          <w:lang w:val="es-ES" w:eastAsia="es-ES"/>
        </w:rPr>
        <w:t>:</w:t>
      </w:r>
      <w:r>
        <w:rPr>
          <w:rFonts w:ascii="Arial" w:eastAsia="Calibri" w:hAnsi="Arial" w:cs="Arial"/>
          <w:lang w:val="es-ES" w:eastAsia="es-ES"/>
        </w:rPr>
        <w:t xml:space="preserve"> </w:t>
      </w:r>
    </w:p>
    <w:p w14:paraId="0243C622" w14:textId="77777777" w:rsidR="003B3D60" w:rsidRPr="00C046D8" w:rsidRDefault="003B3D60" w:rsidP="003B3D60">
      <w:pPr>
        <w:spacing w:line="276" w:lineRule="auto"/>
        <w:contextualSpacing/>
        <w:jc w:val="both"/>
        <w:rPr>
          <w:rFonts w:ascii="Arial" w:eastAsia="Calibri" w:hAnsi="Arial" w:cs="Arial"/>
          <w:szCs w:val="24"/>
          <w:lang w:val="es-ES_tradnl" w:eastAsia="es-ES_tradnl"/>
        </w:rPr>
      </w:pPr>
    </w:p>
    <w:bookmarkEnd w:id="0"/>
    <w:bookmarkEnd w:id="1"/>
    <w:p w14:paraId="7D14C909" w14:textId="77777777" w:rsidR="003B3D60" w:rsidRPr="00504597" w:rsidRDefault="003B3D60" w:rsidP="003B3D60">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22 de marzo de 2023</w:t>
      </w:r>
      <w:r w:rsidRPr="00504597">
        <w:rPr>
          <w:rFonts w:ascii="Arial" w:eastAsia="Calibri" w:hAnsi="Arial" w:cs="Arial"/>
          <w:color w:val="000000" w:themeColor="text1"/>
          <w:lang w:val="es-ES_tradnl"/>
        </w:rPr>
        <w:t>.</w:t>
      </w:r>
    </w:p>
    <w:p w14:paraId="21715170" w14:textId="77777777" w:rsidR="003B3D60" w:rsidRPr="00504597" w:rsidRDefault="003B3D60" w:rsidP="003B3D60">
      <w:pPr>
        <w:spacing w:after="0" w:line="276" w:lineRule="auto"/>
        <w:jc w:val="both"/>
        <w:rPr>
          <w:rFonts w:ascii="Arial" w:eastAsia="Calibri" w:hAnsi="Arial" w:cs="Arial"/>
          <w:b/>
          <w:color w:val="000000" w:themeColor="text1"/>
          <w:lang w:val="es-ES_tradnl"/>
        </w:rPr>
      </w:pPr>
    </w:p>
    <w:p w14:paraId="134E0723" w14:textId="77777777" w:rsidR="003B3D60" w:rsidRPr="00504597" w:rsidRDefault="003B3D60" w:rsidP="003B3D60">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33748E33" w14:textId="77777777" w:rsidR="003B3D60" w:rsidRPr="00504597" w:rsidRDefault="003B3D60" w:rsidP="003B3D60">
      <w:pPr>
        <w:tabs>
          <w:tab w:val="left" w:pos="426"/>
        </w:tabs>
        <w:spacing w:after="0" w:line="276" w:lineRule="auto"/>
        <w:jc w:val="both"/>
        <w:rPr>
          <w:rFonts w:ascii="Arial" w:eastAsia="Calibri" w:hAnsi="Arial" w:cs="Arial"/>
          <w:b/>
          <w:color w:val="000000" w:themeColor="text1"/>
          <w:lang w:val="es-ES_tradnl"/>
        </w:rPr>
      </w:pPr>
    </w:p>
    <w:p w14:paraId="1980151E" w14:textId="77777777" w:rsidR="003B3D60" w:rsidRPr="00391C77" w:rsidRDefault="003B3D60" w:rsidP="003B3D60">
      <w:pPr>
        <w:spacing w:after="0" w:line="276" w:lineRule="auto"/>
        <w:jc w:val="both"/>
        <w:rPr>
          <w:rFonts w:ascii="Arial" w:eastAsia="Calibri" w:hAnsi="Arial" w:cs="Arial"/>
          <w:color w:val="000000" w:themeColor="text1"/>
          <w:lang w:val="es-ES_tradnl"/>
        </w:rPr>
      </w:pPr>
      <w:r w:rsidRPr="00391C77">
        <w:rPr>
          <w:rFonts w:ascii="Arial" w:eastAsia="Calibri" w:hAnsi="Arial" w:cs="Arial"/>
          <w:color w:val="000000" w:themeColor="text1"/>
          <w:lang w:val="es-ES_tradnl"/>
        </w:rPr>
        <w:t xml:space="preserve">Usted realiza las siguientes preguntas: i) “¿Actualmente, es legal el uso del </w:t>
      </w:r>
      <w:bookmarkStart w:id="4" w:name="_Hlk131152848"/>
      <w:r w:rsidRPr="00391C77">
        <w:rPr>
          <w:rFonts w:ascii="Arial" w:eastAsia="Calibri" w:hAnsi="Arial" w:cs="Arial"/>
          <w:color w:val="000000" w:themeColor="text1"/>
          <w:lang w:val="es-ES_tradnl"/>
        </w:rPr>
        <w:t>“</w:t>
      </w:r>
      <w:bookmarkStart w:id="5" w:name="_Hlk131147052"/>
      <w:r w:rsidRPr="00391C77">
        <w:rPr>
          <w:rFonts w:ascii="Arial" w:eastAsia="Calibri" w:hAnsi="Arial" w:cs="Arial"/>
          <w:color w:val="000000" w:themeColor="text1"/>
          <w:lang w:val="es-ES_tradnl"/>
        </w:rPr>
        <w:t>contrato por monto agotable</w:t>
      </w:r>
      <w:bookmarkEnd w:id="5"/>
      <w:r w:rsidRPr="00391C77">
        <w:rPr>
          <w:rFonts w:ascii="Arial" w:eastAsia="Calibri" w:hAnsi="Arial" w:cs="Arial"/>
          <w:color w:val="000000" w:themeColor="text1"/>
          <w:lang w:val="es-ES_tradnl"/>
        </w:rPr>
        <w:t>”</w:t>
      </w:r>
      <w:bookmarkEnd w:id="4"/>
      <w:r w:rsidRPr="00391C77">
        <w:rPr>
          <w:rFonts w:ascii="Arial" w:eastAsia="Calibri" w:hAnsi="Arial" w:cs="Arial"/>
          <w:color w:val="000000" w:themeColor="text1"/>
          <w:lang w:val="es-ES_tradnl"/>
        </w:rPr>
        <w:t xml:space="preserve"> como atípico, dentro de la contratación estatal colombiana?”, ii) “¿Cronológica</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históricamente,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desde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cuándo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se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tiene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conocimiento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o registro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por</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la</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entidad,</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del</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uso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del</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“contrato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por</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monto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agotable”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 xml:space="preserve">como atípico, dentro de la contratación estatal colombiana?”, </w:t>
      </w:r>
      <w:bookmarkStart w:id="6" w:name="_Hlk131175119"/>
      <w:r w:rsidRPr="00391C77">
        <w:rPr>
          <w:rFonts w:ascii="Arial" w:eastAsia="Calibri" w:hAnsi="Arial" w:cs="Arial"/>
          <w:color w:val="000000" w:themeColor="text1"/>
          <w:lang w:val="es-ES_tradnl"/>
        </w:rPr>
        <w:t>iii) “¿Cuáles son los cinco (5) tipos de necesidades, que mayoritariamente se han buscado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satisfacer</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por</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las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entidades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contratantes,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mediante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el</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uso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del</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“contrato por monto agotable” como atípico, dentro de la contratación estatal colombiana?”, iv) “¿Cuáles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cinco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(5)</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entidades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contratantes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en</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concreto,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son</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las</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que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más emplean el uso del “contrato por monto agotable” como atípico, dentro de la contratación estatal colombiana?”, v) “¿Cuál es el contrato y sus datos, de la cuantía más alta, del que se tenga conocimiento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y</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registro,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que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se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haya</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efectuado,</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mediante</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la</w:t>
      </w:r>
      <w:r>
        <w:rPr>
          <w:rFonts w:ascii="Arial" w:eastAsia="Calibri" w:hAnsi="Arial" w:cs="Arial"/>
          <w:color w:val="000000" w:themeColor="text1"/>
          <w:lang w:val="es-ES_tradnl"/>
        </w:rPr>
        <w:t xml:space="preserve"> </w:t>
      </w:r>
      <w:r w:rsidRPr="00391C77">
        <w:rPr>
          <w:rFonts w:ascii="Arial" w:eastAsia="Calibri" w:hAnsi="Arial" w:cs="Arial"/>
          <w:color w:val="000000" w:themeColor="text1"/>
          <w:lang w:val="es-ES_tradnl"/>
        </w:rPr>
        <w:t xml:space="preserve">modalidad “contrato por monto agotable” como atípico, dentro de la contratación estatal colombiana?” y vi) </w:t>
      </w:r>
      <w:r w:rsidRPr="00391C77">
        <w:rPr>
          <w:rFonts w:ascii="Arial" w:eastAsia="Calibri" w:hAnsi="Arial" w:cs="Arial"/>
          <w:color w:val="000000" w:themeColor="text1"/>
          <w:lang w:val="es-ES_tradnl"/>
        </w:rPr>
        <w:lastRenderedPageBreak/>
        <w:t>“Solicito respetuosamente aportar copia de las resoluciones vigentes, con las que cuente la entidad, que traten el tema de la regulación y vigencia sobre uso del “contrato por monto agotable” como atípico, dentro de la contratación estatal colombiana”.</w:t>
      </w:r>
      <w:r>
        <w:rPr>
          <w:color w:val="000000" w:themeColor="text1"/>
        </w:rPr>
        <w:t xml:space="preserve">  </w:t>
      </w:r>
    </w:p>
    <w:bookmarkEnd w:id="6"/>
    <w:p w14:paraId="61B6EA86" w14:textId="77777777" w:rsidR="003B3D60" w:rsidRPr="00504597" w:rsidRDefault="003B3D60" w:rsidP="003B3D60">
      <w:pPr>
        <w:spacing w:after="0" w:line="276" w:lineRule="auto"/>
        <w:ind w:right="709"/>
        <w:jc w:val="both"/>
        <w:rPr>
          <w:rFonts w:ascii="Arial" w:hAnsi="Arial" w:cs="Arial"/>
          <w:color w:val="000000" w:themeColor="text1"/>
          <w:sz w:val="21"/>
          <w:szCs w:val="21"/>
        </w:rPr>
      </w:pPr>
    </w:p>
    <w:p w14:paraId="41501396" w14:textId="77777777" w:rsidR="003B3D60" w:rsidRPr="00504597" w:rsidRDefault="003B3D60" w:rsidP="003B3D60">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380C3377" w14:textId="77777777" w:rsidR="003B3D60" w:rsidRPr="00504597" w:rsidRDefault="003B3D60" w:rsidP="003B3D60">
      <w:pPr>
        <w:spacing w:after="0" w:line="276" w:lineRule="auto"/>
        <w:jc w:val="both"/>
        <w:rPr>
          <w:rFonts w:ascii="Arial" w:eastAsia="Calibri" w:hAnsi="Arial" w:cs="Arial"/>
          <w:color w:val="000000" w:themeColor="text1"/>
          <w:lang w:val="es-ES"/>
        </w:rPr>
      </w:pPr>
    </w:p>
    <w:p w14:paraId="471F2B21" w14:textId="77777777" w:rsidR="003B3D60" w:rsidRPr="00504597" w:rsidRDefault="003B3D60" w:rsidP="003B3D60">
      <w:pPr>
        <w:spacing w:line="276" w:lineRule="auto"/>
        <w:jc w:val="both"/>
        <w:rPr>
          <w:rFonts w:ascii="Arial" w:hAnsi="Arial" w:cs="Arial"/>
          <w:bCs/>
          <w:color w:val="000000" w:themeColor="text1"/>
          <w:lang w:val="es-ES"/>
        </w:rPr>
      </w:pPr>
      <w:r w:rsidRPr="00504597">
        <w:rPr>
          <w:rFonts w:ascii="Arial" w:eastAsia="Calibri" w:hAnsi="Arial" w:cs="Arial"/>
          <w:color w:val="000000" w:themeColor="text1"/>
        </w:rPr>
        <w:t xml:space="preserve">Para responder </w:t>
      </w:r>
      <w:r>
        <w:rPr>
          <w:rFonts w:ascii="Arial" w:eastAsia="Calibri" w:hAnsi="Arial" w:cs="Arial"/>
          <w:color w:val="000000" w:themeColor="text1"/>
        </w:rPr>
        <w:t>los problemas planteados,</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504597">
        <w:rPr>
          <w:rFonts w:ascii="Arial" w:hAnsi="Arial" w:cs="Arial"/>
          <w:color w:val="000000" w:themeColor="text1"/>
          <w:lang w:val="es-ES_tradnl"/>
        </w:rPr>
        <w:t xml:space="preserve">i) </w:t>
      </w:r>
      <w:r>
        <w:rPr>
          <w:rFonts w:ascii="Arial" w:hAnsi="Arial" w:cs="Arial"/>
          <w:color w:val="000000" w:themeColor="text1"/>
          <w:lang w:val="es-ES_tradnl"/>
        </w:rPr>
        <w:t>a</w:t>
      </w:r>
      <w:r w:rsidRPr="001E761A">
        <w:rPr>
          <w:rFonts w:ascii="Arial" w:hAnsi="Arial" w:cs="Arial"/>
          <w:color w:val="000000" w:themeColor="text1"/>
          <w:lang w:val="es-ES_tradnl"/>
        </w:rPr>
        <w:t>utonomía para calcular el precio y la forma de pago en los contratos estatales</w:t>
      </w:r>
      <w:r>
        <w:rPr>
          <w:rFonts w:ascii="Arial" w:hAnsi="Arial" w:cs="Arial"/>
          <w:color w:val="000000" w:themeColor="text1"/>
          <w:lang w:val="es-ES_tradnl"/>
        </w:rPr>
        <w:t xml:space="preserve"> y ii) elección de la tipología contractual e inexistencia del </w:t>
      </w:r>
      <w:r w:rsidRPr="0060005F">
        <w:rPr>
          <w:rFonts w:ascii="Arial" w:hAnsi="Arial" w:cs="Arial"/>
          <w:color w:val="000000" w:themeColor="text1"/>
          <w:lang w:val="es-ES_tradnl"/>
        </w:rPr>
        <w:t>contrato por monto agotable</w:t>
      </w:r>
      <w:r>
        <w:rPr>
          <w:rFonts w:ascii="Arial" w:hAnsi="Arial" w:cs="Arial"/>
          <w:color w:val="000000" w:themeColor="text1"/>
          <w:lang w:val="es-ES_tradnl"/>
        </w:rPr>
        <w:t xml:space="preserve"> como figura típica o atípica en la contratación estatal.</w:t>
      </w:r>
    </w:p>
    <w:p w14:paraId="11C67518" w14:textId="77777777" w:rsidR="003B3D60" w:rsidRPr="00504597" w:rsidRDefault="003B3D60" w:rsidP="003B3D60">
      <w:pPr>
        <w:spacing w:before="120" w:after="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en los Conceptos </w:t>
      </w:r>
      <w:r w:rsidRPr="001E761A">
        <w:rPr>
          <w:rFonts w:ascii="Arial" w:eastAsia="Calibri" w:hAnsi="Arial" w:cs="Arial"/>
          <w:color w:val="000000" w:themeColor="text1"/>
          <w:lang w:val="es-MX"/>
        </w:rPr>
        <w:t>4201912000007092 del 29 de noviembre de 2019, 2201913000008566 del 18 de noviembre de 2019, 4201913000007822 de 27 de diciembre de 2019, C</w:t>
      </w:r>
      <w:r>
        <w:rPr>
          <w:rFonts w:ascii="Arial" w:eastAsia="Calibri" w:hAnsi="Arial" w:cs="Arial"/>
          <w:color w:val="000000" w:themeColor="text1"/>
          <w:lang w:val="es-MX"/>
        </w:rPr>
        <w:t>-</w:t>
      </w:r>
      <w:r w:rsidRPr="001E761A">
        <w:rPr>
          <w:rFonts w:ascii="Arial" w:eastAsia="Calibri" w:hAnsi="Arial" w:cs="Arial"/>
          <w:color w:val="000000" w:themeColor="text1"/>
          <w:lang w:val="es-MX"/>
        </w:rPr>
        <w:t>037 del 28 de enero de 2020, C-191 del 16 de marzo de 2020 y C-211 del 8 de abril de 2020, C</w:t>
      </w:r>
      <w:r>
        <w:rPr>
          <w:rFonts w:ascii="Arial" w:eastAsia="Calibri" w:hAnsi="Arial" w:cs="Arial"/>
          <w:color w:val="000000" w:themeColor="text1"/>
          <w:lang w:val="es-MX"/>
        </w:rPr>
        <w:t>-</w:t>
      </w:r>
      <w:r w:rsidRPr="001E761A">
        <w:rPr>
          <w:rFonts w:ascii="Arial" w:eastAsia="Calibri" w:hAnsi="Arial" w:cs="Arial"/>
          <w:color w:val="000000" w:themeColor="text1"/>
          <w:lang w:val="es-MX"/>
        </w:rPr>
        <w:t>469 del 27 de septiembre de 2020, C</w:t>
      </w:r>
      <w:r>
        <w:rPr>
          <w:rFonts w:ascii="Arial" w:eastAsia="Calibri" w:hAnsi="Arial" w:cs="Arial"/>
          <w:color w:val="000000" w:themeColor="text1"/>
          <w:lang w:val="es-MX"/>
        </w:rPr>
        <w:t>-</w:t>
      </w:r>
      <w:r w:rsidRPr="001E761A">
        <w:rPr>
          <w:rFonts w:ascii="Arial" w:eastAsia="Calibri" w:hAnsi="Arial" w:cs="Arial"/>
          <w:color w:val="000000" w:themeColor="text1"/>
          <w:lang w:val="es-MX"/>
        </w:rPr>
        <w:t>480 del 16 de septiembre de 2020</w:t>
      </w:r>
      <w:r>
        <w:rPr>
          <w:rFonts w:ascii="Arial" w:eastAsia="Calibri" w:hAnsi="Arial" w:cs="Arial"/>
          <w:color w:val="000000" w:themeColor="text1"/>
          <w:lang w:val="es-MX"/>
        </w:rPr>
        <w:t xml:space="preserve">, </w:t>
      </w:r>
      <w:r w:rsidRPr="001E761A">
        <w:rPr>
          <w:rFonts w:ascii="Arial" w:eastAsia="Calibri" w:hAnsi="Arial" w:cs="Arial"/>
          <w:color w:val="000000" w:themeColor="text1"/>
          <w:lang w:val="es-MX"/>
        </w:rPr>
        <w:t>C-059 del 10 de marzo de 2021</w:t>
      </w:r>
      <w:r>
        <w:rPr>
          <w:rFonts w:ascii="Arial" w:eastAsia="Calibri" w:hAnsi="Arial" w:cs="Arial"/>
          <w:color w:val="000000" w:themeColor="text1"/>
          <w:lang w:val="es-MX"/>
        </w:rPr>
        <w:t xml:space="preserve">, </w:t>
      </w:r>
      <w:r w:rsidRPr="0035033D">
        <w:rPr>
          <w:rFonts w:ascii="Arial" w:eastAsia="Calibri" w:hAnsi="Arial" w:cs="Arial"/>
          <w:color w:val="000000" w:themeColor="text1"/>
          <w:lang w:val="es-MX"/>
        </w:rPr>
        <w:t>C-613 del 6 de octubre de 2022</w:t>
      </w:r>
      <w:r>
        <w:rPr>
          <w:rFonts w:ascii="Arial" w:eastAsia="Calibri" w:hAnsi="Arial" w:cs="Arial"/>
          <w:color w:val="000000" w:themeColor="text1"/>
          <w:lang w:val="es-MX"/>
        </w:rPr>
        <w:t xml:space="preserve"> y C-716 del 15 de noviembre de 2022</w:t>
      </w:r>
      <w:r>
        <w:rPr>
          <w:rFonts w:ascii="Arial" w:eastAsia="Calibri" w:hAnsi="Arial" w:cs="Arial"/>
          <w:color w:val="000000" w:themeColor="text1"/>
          <w:lang w:val="es-ES"/>
        </w:rPr>
        <w:t>, analizó el régimen del precio en la contratación estatal.</w:t>
      </w:r>
      <w:r w:rsidRPr="00504597">
        <w:rPr>
          <w:rFonts w:ascii="Arial" w:eastAsia="Calibri" w:hAnsi="Arial" w:cs="Arial"/>
          <w:color w:val="000000" w:themeColor="text1"/>
          <w:lang w:val="es-ES"/>
        </w:rPr>
        <w:t xml:space="preserve"> </w:t>
      </w:r>
      <w:r>
        <w:rPr>
          <w:rFonts w:ascii="Arial" w:eastAsia="Calibri" w:hAnsi="Arial" w:cs="Arial"/>
          <w:color w:val="000000" w:themeColor="text1"/>
          <w:lang w:val="es-ES"/>
        </w:rPr>
        <w:t xml:space="preserve">Por otra parte, </w:t>
      </w:r>
      <w:r w:rsidRPr="00504597">
        <w:rPr>
          <w:rFonts w:ascii="Arial" w:eastAsia="Calibri" w:hAnsi="Arial" w:cs="Arial"/>
          <w:color w:val="000000" w:themeColor="text1"/>
          <w:lang w:val="es-ES"/>
        </w:rPr>
        <w:t xml:space="preserve">en </w:t>
      </w:r>
      <w:r>
        <w:rPr>
          <w:rFonts w:ascii="Arial" w:eastAsia="Calibri" w:hAnsi="Arial" w:cs="Arial"/>
          <w:color w:val="000000" w:themeColor="text1"/>
          <w:lang w:val="es-ES"/>
        </w:rPr>
        <w:t>el</w:t>
      </w:r>
      <w:r w:rsidRPr="00504597">
        <w:rPr>
          <w:rFonts w:ascii="Arial" w:eastAsia="Calibri" w:hAnsi="Arial" w:cs="Arial"/>
          <w:color w:val="000000" w:themeColor="text1"/>
          <w:lang w:val="es-ES"/>
        </w:rPr>
        <w:t xml:space="preserve">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w:t>
      </w:r>
      <w:r>
        <w:rPr>
          <w:rFonts w:ascii="Arial" w:eastAsia="Calibri" w:hAnsi="Arial" w:cs="Arial"/>
          <w:color w:val="000000" w:themeColor="text1"/>
          <w:lang w:val="es-ES"/>
        </w:rPr>
        <w:t xml:space="preserve"> C-017 del 22 de febrero de 2022, la Agencia se pronunció expresamente sobre los </w:t>
      </w:r>
      <w:r w:rsidRPr="005821FB">
        <w:rPr>
          <w:rFonts w:ascii="Arial" w:eastAsia="Calibri" w:hAnsi="Arial" w:cs="Arial"/>
          <w:color w:val="000000" w:themeColor="text1"/>
          <w:lang w:val="es-ES"/>
        </w:rPr>
        <w:t>contrato</w:t>
      </w:r>
      <w:r>
        <w:rPr>
          <w:rFonts w:ascii="Arial" w:eastAsia="Calibri" w:hAnsi="Arial" w:cs="Arial"/>
          <w:color w:val="000000" w:themeColor="text1"/>
          <w:lang w:val="es-ES"/>
        </w:rPr>
        <w:t>s</w:t>
      </w:r>
      <w:r w:rsidRPr="005821FB">
        <w:rPr>
          <w:rFonts w:ascii="Arial" w:eastAsia="Calibri" w:hAnsi="Arial" w:cs="Arial"/>
          <w:color w:val="000000" w:themeColor="text1"/>
          <w:lang w:val="es-ES"/>
        </w:rPr>
        <w:t xml:space="preserve"> por bolsa o a monto agotable</w:t>
      </w:r>
      <w:r w:rsidRPr="00781AC2">
        <w:rPr>
          <w:rStyle w:val="Refdenotaalpie"/>
          <w:rFonts w:ascii="Arial" w:eastAsia="Calibri" w:hAnsi="Arial" w:cs="Arial"/>
        </w:rPr>
        <w:footnoteReference w:id="2"/>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0586E6F9" w14:textId="77777777" w:rsidR="003B3D60" w:rsidRPr="00504597" w:rsidRDefault="003B3D60" w:rsidP="003B3D60">
      <w:pPr>
        <w:tabs>
          <w:tab w:val="left" w:pos="0"/>
        </w:tabs>
        <w:spacing w:after="0" w:line="276" w:lineRule="auto"/>
        <w:jc w:val="both"/>
        <w:rPr>
          <w:rFonts w:ascii="Arial" w:eastAsia="Calibri" w:hAnsi="Arial" w:cs="Arial"/>
          <w:b/>
          <w:color w:val="000000" w:themeColor="text1"/>
        </w:rPr>
      </w:pPr>
    </w:p>
    <w:p w14:paraId="23579C5A" w14:textId="77777777" w:rsidR="003B3D60" w:rsidRDefault="003B3D60" w:rsidP="003B3D60">
      <w:pPr>
        <w:spacing w:after="0" w:line="276" w:lineRule="auto"/>
        <w:jc w:val="both"/>
        <w:rPr>
          <w:rFonts w:ascii="Arial" w:eastAsia="Calibri" w:hAnsi="Arial" w:cs="Arial"/>
          <w:b/>
          <w:bCs/>
          <w:color w:val="000000" w:themeColor="text1"/>
          <w:lang w:eastAsia="en-GB"/>
        </w:rPr>
      </w:pPr>
      <w:r w:rsidRPr="000A0AE0">
        <w:rPr>
          <w:rFonts w:ascii="Arial" w:eastAsia="Calibri" w:hAnsi="Arial" w:cs="Arial"/>
          <w:b/>
          <w:bCs/>
          <w:color w:val="000000" w:themeColor="text1"/>
          <w:lang w:eastAsia="en-GB"/>
        </w:rPr>
        <w:t xml:space="preserve">2.1. </w:t>
      </w:r>
      <w:bookmarkStart w:id="7" w:name="_Hlk131062005"/>
      <w:r w:rsidRPr="005821FB">
        <w:rPr>
          <w:rFonts w:ascii="Arial" w:eastAsia="Calibri" w:hAnsi="Arial" w:cs="Arial"/>
          <w:b/>
          <w:bCs/>
          <w:color w:val="000000" w:themeColor="text1"/>
          <w:lang w:val="es-ES_tradnl" w:eastAsia="en-GB"/>
        </w:rPr>
        <w:t>Autonomía para calcular el precio y la forma de pago en los contratos estatales</w:t>
      </w:r>
    </w:p>
    <w:p w14:paraId="7315DD84" w14:textId="77777777" w:rsidR="003B3D60" w:rsidRDefault="003B3D60" w:rsidP="003B3D60">
      <w:pPr>
        <w:spacing w:after="0" w:line="276" w:lineRule="auto"/>
        <w:jc w:val="both"/>
        <w:rPr>
          <w:rFonts w:ascii="Arial" w:eastAsia="Calibri" w:hAnsi="Arial" w:cs="Arial"/>
          <w:lang w:val="es-MX"/>
        </w:rPr>
      </w:pPr>
    </w:p>
    <w:p w14:paraId="28E01355" w14:textId="77777777" w:rsidR="003B3D60" w:rsidRPr="0036050F" w:rsidRDefault="003B3D60" w:rsidP="003B3D60">
      <w:pPr>
        <w:spacing w:after="0" w:line="276" w:lineRule="auto"/>
        <w:jc w:val="both"/>
        <w:rPr>
          <w:rFonts w:ascii="Arial" w:eastAsia="Calibri" w:hAnsi="Arial" w:cs="Arial"/>
          <w:lang w:val="es-MX"/>
        </w:rPr>
      </w:pPr>
      <w:r>
        <w:rPr>
          <w:rFonts w:ascii="Arial" w:eastAsia="Calibri" w:hAnsi="Arial" w:cs="Arial"/>
          <w:lang w:val="es-MX"/>
        </w:rPr>
        <w:t>E</w:t>
      </w:r>
      <w:r w:rsidRPr="0036050F">
        <w:rPr>
          <w:rFonts w:ascii="Arial" w:eastAsia="Calibri" w:hAnsi="Arial" w:cs="Arial"/>
          <w:lang w:val="es-MX"/>
        </w:rPr>
        <w:t xml:space="preserve">l precio es el </w:t>
      </w:r>
      <w:r>
        <w:rPr>
          <w:rFonts w:ascii="Arial" w:eastAsia="Calibri" w:hAnsi="Arial" w:cs="Arial"/>
          <w:lang w:val="es-MX"/>
        </w:rPr>
        <w:t>“</w:t>
      </w:r>
      <w:r w:rsidRPr="0036050F">
        <w:rPr>
          <w:rFonts w:ascii="Arial" w:eastAsia="Calibri" w:hAnsi="Arial" w:cs="Arial"/>
          <w:lang w:val="es-MX"/>
        </w:rPr>
        <w:t>valor pecuniario en que se estima algo</w:t>
      </w:r>
      <w:r>
        <w:rPr>
          <w:rFonts w:ascii="Arial" w:eastAsia="Calibri" w:hAnsi="Arial" w:cs="Arial"/>
          <w:lang w:val="es-MX"/>
        </w:rPr>
        <w:t>”</w:t>
      </w:r>
      <w:r>
        <w:rPr>
          <w:rStyle w:val="Refdenotaalpie"/>
          <w:rFonts w:ascii="Arial" w:eastAsia="Calibri" w:hAnsi="Arial" w:cs="Arial"/>
          <w:lang w:val="es-MX"/>
        </w:rPr>
        <w:footnoteReference w:id="3"/>
      </w:r>
      <w:r w:rsidRPr="0036050F">
        <w:rPr>
          <w:rFonts w:ascii="Arial" w:eastAsia="Calibri" w:hAnsi="Arial" w:cs="Arial"/>
          <w:lang w:val="es-MX"/>
        </w:rPr>
        <w:t xml:space="preserve">. En nuestro ordenamiento jurídico, tenemos una definición de precio en el Código Civil y en el Código de Comercio. Ambas codificaciones, al regular el contrato de compraventa, definen el precio como el dinero que el comprador </w:t>
      </w:r>
      <w:r>
        <w:rPr>
          <w:rFonts w:ascii="Arial" w:eastAsia="Calibri" w:hAnsi="Arial" w:cs="Arial"/>
          <w:lang w:val="es-MX"/>
        </w:rPr>
        <w:t>entrega a cambio de la</w:t>
      </w:r>
      <w:r w:rsidRPr="0036050F">
        <w:rPr>
          <w:rFonts w:ascii="Arial" w:eastAsia="Calibri" w:hAnsi="Arial" w:cs="Arial"/>
          <w:lang w:val="es-MX"/>
        </w:rPr>
        <w:t xml:space="preserve"> cosa vendida:</w:t>
      </w:r>
    </w:p>
    <w:p w14:paraId="37525974" w14:textId="77777777" w:rsidR="003B3D60" w:rsidRPr="0036050F" w:rsidRDefault="003B3D60" w:rsidP="003B3D60">
      <w:pPr>
        <w:spacing w:after="0"/>
        <w:jc w:val="both"/>
        <w:rPr>
          <w:rFonts w:ascii="Arial" w:eastAsia="Calibri" w:hAnsi="Arial" w:cs="Arial"/>
          <w:lang w:val="es-MX"/>
        </w:rPr>
      </w:pPr>
      <w:r w:rsidRPr="0036050F">
        <w:rPr>
          <w:rFonts w:ascii="Arial" w:eastAsia="Calibri" w:hAnsi="Arial" w:cs="Arial"/>
          <w:lang w:val="es-MX"/>
        </w:rPr>
        <w:t xml:space="preserve"> </w:t>
      </w:r>
    </w:p>
    <w:p w14:paraId="6D3E8C1B" w14:textId="5B5FC2B0" w:rsidR="003B3D60" w:rsidRPr="0036050F" w:rsidRDefault="004D549B" w:rsidP="003B3D60">
      <w:pPr>
        <w:spacing w:after="12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r w:rsidR="003B3D60" w:rsidRPr="0036050F">
        <w:rPr>
          <w:rFonts w:ascii="Arial" w:eastAsia="Calibri" w:hAnsi="Arial"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1391E744" w14:textId="100008F0" w:rsidR="003B3D60" w:rsidRPr="0036050F" w:rsidRDefault="003B3D60" w:rsidP="003B3D60">
      <w:pPr>
        <w:spacing w:after="0" w:line="240" w:lineRule="auto"/>
        <w:ind w:left="709" w:right="709"/>
        <w:jc w:val="both"/>
        <w:rPr>
          <w:rFonts w:ascii="Arial" w:eastAsia="Calibri" w:hAnsi="Arial" w:cs="Arial"/>
          <w:sz w:val="21"/>
          <w:szCs w:val="21"/>
          <w:lang w:val="es-MX"/>
        </w:rPr>
      </w:pPr>
      <w:r w:rsidRPr="0036050F">
        <w:rPr>
          <w:rFonts w:ascii="Arial" w:eastAsia="Calibri" w:hAnsi="Arial"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r w:rsidR="004D549B">
        <w:rPr>
          <w:rFonts w:ascii="Arial" w:eastAsia="Calibri" w:hAnsi="Arial" w:cs="Arial"/>
          <w:sz w:val="21"/>
          <w:szCs w:val="21"/>
          <w:lang w:val="es-MX"/>
        </w:rPr>
        <w:t>”</w:t>
      </w:r>
      <w:r w:rsidRPr="0036050F">
        <w:rPr>
          <w:rFonts w:ascii="Arial" w:eastAsia="Calibri" w:hAnsi="Arial" w:cs="Arial"/>
          <w:sz w:val="21"/>
          <w:szCs w:val="21"/>
          <w:lang w:val="es-MX"/>
        </w:rPr>
        <w:t>.</w:t>
      </w:r>
    </w:p>
    <w:p w14:paraId="5F61CE21" w14:textId="77777777" w:rsidR="003B3D60" w:rsidRDefault="003B3D60" w:rsidP="003B3D60">
      <w:pPr>
        <w:spacing w:after="0" w:line="276" w:lineRule="auto"/>
        <w:jc w:val="both"/>
        <w:rPr>
          <w:rFonts w:ascii="Arial" w:hAnsi="Arial" w:cs="Arial"/>
          <w:bCs/>
          <w:lang w:val="es-ES_tradnl"/>
        </w:rPr>
      </w:pPr>
    </w:p>
    <w:p w14:paraId="462DAB31" w14:textId="77777777" w:rsidR="003B3D60" w:rsidRPr="00817A5C" w:rsidRDefault="003B3D60" w:rsidP="003B3D60">
      <w:pPr>
        <w:spacing w:after="120" w:line="276" w:lineRule="auto"/>
        <w:ind w:firstLine="708"/>
        <w:jc w:val="both"/>
        <w:rPr>
          <w:rFonts w:ascii="Arial" w:hAnsi="Arial" w:cs="Arial"/>
          <w:bCs/>
          <w:lang w:val="es-ES"/>
        </w:rPr>
      </w:pPr>
      <w:bookmarkStart w:id="8" w:name="_Hlk131175734"/>
      <w:r w:rsidRPr="0033016F">
        <w:rPr>
          <w:rFonts w:ascii="Arial" w:hAnsi="Arial" w:cs="Arial"/>
          <w:bCs/>
          <w:lang w:val="es-ES_tradnl"/>
        </w:rPr>
        <w:lastRenderedPageBreak/>
        <w:t xml:space="preserve">Como es sabido, uno de los elementos </w:t>
      </w:r>
      <w:r>
        <w:rPr>
          <w:rFonts w:ascii="Arial" w:hAnsi="Arial" w:cs="Arial"/>
          <w:bCs/>
          <w:lang w:val="es-ES_tradnl"/>
        </w:rPr>
        <w:t>de</w:t>
      </w:r>
      <w:r w:rsidRPr="0033016F">
        <w:rPr>
          <w:rFonts w:ascii="Arial" w:hAnsi="Arial" w:cs="Arial"/>
          <w:bCs/>
          <w:lang w:val="es-ES_tradnl"/>
        </w:rPr>
        <w:t xml:space="preserve"> los contratos estatales es el precio, </w:t>
      </w:r>
      <w:r>
        <w:rPr>
          <w:rFonts w:ascii="Arial" w:hAnsi="Arial" w:cs="Arial"/>
          <w:bCs/>
          <w:lang w:val="es-ES_tradnl"/>
        </w:rPr>
        <w:t>que por lo general se identifica con el valor del contrato</w:t>
      </w:r>
      <w:r w:rsidRPr="0033016F">
        <w:rPr>
          <w:rFonts w:ascii="Arial" w:hAnsi="Arial" w:cs="Arial"/>
          <w:bCs/>
          <w:lang w:val="es-ES_tradnl"/>
        </w:rPr>
        <w:t xml:space="preserve">. Aunque no todo contrato lo incluye –pues también existen negocios gratuitos– lo usual es que los contratos estatales se </w:t>
      </w:r>
      <w:r>
        <w:rPr>
          <w:rFonts w:ascii="Arial" w:hAnsi="Arial" w:cs="Arial"/>
          <w:bCs/>
          <w:lang w:val="es-ES_tradnl"/>
        </w:rPr>
        <w:t>configuren</w:t>
      </w:r>
      <w:r w:rsidRPr="0033016F">
        <w:rPr>
          <w:rFonts w:ascii="Arial" w:hAnsi="Arial" w:cs="Arial"/>
          <w:bCs/>
          <w:lang w:val="es-ES_tradnl"/>
        </w:rPr>
        <w:t xml:space="preserve"> como onerosos y, la mayoría de las veces, como conmutativos</w:t>
      </w:r>
      <w:r>
        <w:rPr>
          <w:rFonts w:ascii="Arial" w:hAnsi="Arial" w:cs="Arial"/>
          <w:bCs/>
          <w:lang w:val="es-ES_tradnl"/>
        </w:rPr>
        <w:t>, cuando hay un acuerdo entre el objeto y la contraprestación pactado por escrito entre la entidad estatal y el contratista</w:t>
      </w:r>
      <w:r>
        <w:rPr>
          <w:rStyle w:val="Refdenotaalpie"/>
          <w:rFonts w:ascii="Arial" w:hAnsi="Arial" w:cs="Arial"/>
          <w:bCs/>
          <w:lang w:val="es-ES_tradnl"/>
        </w:rPr>
        <w:footnoteReference w:id="4"/>
      </w:r>
      <w:r w:rsidRPr="0033016F">
        <w:rPr>
          <w:rFonts w:ascii="Arial" w:hAnsi="Arial" w:cs="Arial"/>
          <w:bCs/>
          <w:lang w:val="es-ES_tradnl"/>
        </w:rPr>
        <w:t xml:space="preserve">. </w:t>
      </w:r>
      <w:r>
        <w:rPr>
          <w:rFonts w:ascii="Arial" w:hAnsi="Arial" w:cs="Arial"/>
          <w:bCs/>
          <w:lang w:val="es-ES_tradnl"/>
        </w:rPr>
        <w:t>E</w:t>
      </w:r>
      <w:r w:rsidRPr="0033016F">
        <w:rPr>
          <w:rFonts w:ascii="Arial" w:hAnsi="Arial" w:cs="Arial"/>
          <w:bCs/>
          <w:lang w:val="es-ES_tradnl"/>
        </w:rPr>
        <w:t xml:space="preserve">l precio </w:t>
      </w:r>
      <w:r>
        <w:rPr>
          <w:rFonts w:ascii="Arial" w:hAnsi="Arial" w:cs="Arial"/>
          <w:bCs/>
          <w:lang w:val="es-ES_tradnl"/>
        </w:rPr>
        <w:t xml:space="preserve">es un importante </w:t>
      </w:r>
      <w:r w:rsidRPr="0033016F">
        <w:rPr>
          <w:rFonts w:ascii="Arial" w:hAnsi="Arial" w:cs="Arial"/>
          <w:bCs/>
          <w:lang w:val="es-ES_tradnl"/>
        </w:rPr>
        <w:t xml:space="preserve">elemento para el contratista, porque equivale a la remuneración que la entidad contratante le pagará </w:t>
      </w:r>
      <w:r>
        <w:rPr>
          <w:rFonts w:ascii="Arial" w:hAnsi="Arial" w:cs="Arial"/>
          <w:bCs/>
          <w:lang w:val="es-ES_tradnl"/>
        </w:rPr>
        <w:t xml:space="preserve">como retribución </w:t>
      </w:r>
      <w:r w:rsidRPr="0033016F">
        <w:rPr>
          <w:rFonts w:ascii="Arial" w:hAnsi="Arial" w:cs="Arial"/>
          <w:bCs/>
          <w:lang w:val="es-ES_tradnl"/>
        </w:rPr>
        <w:t>por la ejecución de</w:t>
      </w:r>
      <w:r>
        <w:rPr>
          <w:rFonts w:ascii="Arial" w:hAnsi="Arial" w:cs="Arial"/>
          <w:bCs/>
          <w:lang w:val="es-ES_tradnl"/>
        </w:rPr>
        <w:t xml:space="preserve"> </w:t>
      </w:r>
      <w:r w:rsidRPr="0033016F">
        <w:rPr>
          <w:rFonts w:ascii="Arial" w:hAnsi="Arial" w:cs="Arial"/>
          <w:bCs/>
          <w:lang w:val="es-ES_tradnl"/>
        </w:rPr>
        <w:t>l</w:t>
      </w:r>
      <w:r>
        <w:rPr>
          <w:rFonts w:ascii="Arial" w:hAnsi="Arial" w:cs="Arial"/>
          <w:bCs/>
          <w:lang w:val="es-ES_tradnl"/>
        </w:rPr>
        <w:t>as obligaciones de dar, hacer o no hacer previstas a su cargo en el</w:t>
      </w:r>
      <w:r w:rsidRPr="0033016F">
        <w:rPr>
          <w:rFonts w:ascii="Arial" w:hAnsi="Arial" w:cs="Arial"/>
          <w:bCs/>
          <w:lang w:val="es-ES_tradnl"/>
        </w:rPr>
        <w:t xml:space="preserve"> contrat</w:t>
      </w:r>
      <w:r>
        <w:rPr>
          <w:rFonts w:ascii="Arial" w:hAnsi="Arial" w:cs="Arial"/>
          <w:bCs/>
          <w:lang w:val="es-ES_tradnl"/>
        </w:rPr>
        <w:t>o</w:t>
      </w:r>
      <w:r w:rsidRPr="0033016F">
        <w:rPr>
          <w:rFonts w:ascii="Arial" w:hAnsi="Arial" w:cs="Arial"/>
          <w:bCs/>
          <w:lang w:val="es-ES_tradnl"/>
        </w:rPr>
        <w:t>.</w:t>
      </w:r>
      <w:r>
        <w:rPr>
          <w:rFonts w:ascii="Arial" w:hAnsi="Arial" w:cs="Arial"/>
          <w:bCs/>
          <w:lang w:val="es-ES_tradnl"/>
        </w:rPr>
        <w:t xml:space="preserve"> </w:t>
      </w:r>
      <w:r w:rsidRPr="00E355E3">
        <w:rPr>
          <w:rFonts w:ascii="Arial" w:hAnsi="Arial" w:cs="Arial"/>
          <w:bCs/>
          <w:lang w:val="es-ES_tradnl"/>
        </w:rPr>
        <w:t>El precio, entonces, es el valor que se da por el objeto, generalmente en dinero, que debe ser determinado o determinable</w:t>
      </w:r>
      <w:r>
        <w:rPr>
          <w:rStyle w:val="Refdenotaalpie"/>
          <w:rFonts w:ascii="Arial" w:hAnsi="Arial" w:cs="Arial"/>
          <w:bCs/>
          <w:lang w:val="es-ES_tradnl"/>
        </w:rPr>
        <w:footnoteReference w:id="5"/>
      </w:r>
      <w:r w:rsidRPr="00E355E3">
        <w:rPr>
          <w:rFonts w:ascii="Arial" w:hAnsi="Arial" w:cs="Arial"/>
          <w:bCs/>
          <w:lang w:val="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Pr>
          <w:rStyle w:val="Refdenotaalpie"/>
          <w:rFonts w:ascii="Arial" w:hAnsi="Arial" w:cs="Arial"/>
          <w:bCs/>
          <w:lang w:val="es-ES_tradnl"/>
        </w:rPr>
        <w:footnoteReference w:id="6"/>
      </w:r>
      <w:r>
        <w:rPr>
          <w:rFonts w:ascii="Arial" w:hAnsi="Arial" w:cs="Arial"/>
          <w:bCs/>
          <w:lang w:val="es-ES_tradnl"/>
        </w:rPr>
        <w:t>.</w:t>
      </w:r>
    </w:p>
    <w:p w14:paraId="610D6385" w14:textId="77777777" w:rsidR="003B3D60" w:rsidRPr="0033016F" w:rsidRDefault="003B3D60" w:rsidP="003B3D60">
      <w:pPr>
        <w:spacing w:before="120" w:after="120" w:line="276" w:lineRule="auto"/>
        <w:ind w:firstLine="709"/>
        <w:jc w:val="both"/>
        <w:rPr>
          <w:rFonts w:ascii="Arial" w:hAnsi="Arial" w:cs="Arial"/>
          <w:bCs/>
          <w:lang w:val="es-ES_tradnl"/>
        </w:rPr>
      </w:pPr>
      <w:bookmarkStart w:id="9" w:name="_Hlk131175799"/>
      <w:bookmarkEnd w:id="8"/>
      <w:r w:rsidRPr="0033016F">
        <w:rPr>
          <w:rFonts w:ascii="Arial" w:hAnsi="Arial" w:cs="Arial"/>
          <w:bCs/>
          <w:lang w:val="es-ES_tradnl"/>
        </w:rPr>
        <w:t xml:space="preserve">Desde la etapa de planeación, en la fase precontractual, las entidades estatales deben calcular </w:t>
      </w:r>
      <w:r>
        <w:rPr>
          <w:rFonts w:ascii="Arial" w:hAnsi="Arial" w:cs="Arial"/>
          <w:bCs/>
          <w:lang w:val="es-ES_tradnl"/>
        </w:rPr>
        <w:t xml:space="preserve">tanto el valor estimado del contrato como </w:t>
      </w:r>
      <w:r w:rsidRPr="0033016F">
        <w:rPr>
          <w:rFonts w:ascii="Arial" w:hAnsi="Arial" w:cs="Arial"/>
          <w:bCs/>
          <w:lang w:val="es-ES_tradnl"/>
        </w:rPr>
        <w:t>el presupuesto oficial</w:t>
      </w:r>
      <w:r>
        <w:rPr>
          <w:rFonts w:ascii="Arial" w:hAnsi="Arial" w:cs="Arial"/>
          <w:bCs/>
          <w:lang w:val="es-ES_tradnl"/>
        </w:rPr>
        <w:t xml:space="preserve"> destinado para satisfacer la necesidad que se pretende suplir con el contrato</w:t>
      </w:r>
      <w:r w:rsidRPr="0033016F">
        <w:rPr>
          <w:rFonts w:ascii="Arial" w:hAnsi="Arial" w:cs="Arial"/>
          <w:bCs/>
          <w:lang w:val="es-ES_tradnl"/>
        </w:rPr>
        <w:t>,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w:t>
      </w:r>
      <w:r>
        <w:rPr>
          <w:rFonts w:ascii="Arial" w:hAnsi="Arial" w:cs="Arial"/>
          <w:bCs/>
          <w:lang w:val="es-ES_tradnl"/>
        </w:rPr>
        <w:t>,</w:t>
      </w:r>
      <w:r w:rsidRPr="0033016F">
        <w:rPr>
          <w:rFonts w:ascii="Arial" w:hAnsi="Arial" w:cs="Arial"/>
          <w:bCs/>
          <w:lang w:val="es-ES_tradnl"/>
        </w:rPr>
        <w:t xml:space="preserve"> por mencionar algunos ejemplos</w:t>
      </w:r>
      <w:r w:rsidRPr="0033016F">
        <w:rPr>
          <w:rStyle w:val="Refdenotaalpie"/>
          <w:rFonts w:ascii="Arial" w:hAnsi="Arial" w:cs="Arial"/>
          <w:bCs/>
          <w:lang w:val="es-ES_tradnl"/>
        </w:rPr>
        <w:footnoteReference w:id="7"/>
      </w:r>
      <w:r w:rsidRPr="0033016F">
        <w:rPr>
          <w:rFonts w:ascii="Arial" w:hAnsi="Arial" w:cs="Arial"/>
          <w:bCs/>
          <w:lang w:val="es-ES_tradnl"/>
        </w:rPr>
        <w:t xml:space="preserve">. No hay, pues, una sola metodología para pactar el precio y, en </w:t>
      </w:r>
      <w:r w:rsidRPr="0033016F">
        <w:rPr>
          <w:rFonts w:ascii="Arial" w:hAnsi="Arial" w:cs="Arial"/>
          <w:bCs/>
          <w:lang w:val="es-ES_tradnl"/>
        </w:rPr>
        <w:lastRenderedPageBreak/>
        <w:t>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bookmarkEnd w:id="9"/>
    <w:p w14:paraId="59AFD4A9" w14:textId="77777777" w:rsidR="003B3D60" w:rsidRPr="00004C36" w:rsidRDefault="003B3D60" w:rsidP="003B3D60">
      <w:pPr>
        <w:spacing w:after="0" w:line="276" w:lineRule="auto"/>
        <w:ind w:firstLine="709"/>
        <w:jc w:val="both"/>
        <w:rPr>
          <w:rFonts w:ascii="Arial" w:hAnsi="Arial" w:cs="Arial"/>
          <w:bCs/>
          <w:lang w:val="es-ES_tradnl"/>
        </w:rPr>
      </w:pPr>
      <w:r w:rsidRPr="0033016F">
        <w:rPr>
          <w:rFonts w:ascii="Arial" w:hAnsi="Arial" w:cs="Arial"/>
          <w:bCs/>
          <w:lang w:val="es-ES_tradnl"/>
        </w:rPr>
        <w:t xml:space="preserve">Pues bien, en </w:t>
      </w:r>
      <w:r>
        <w:rPr>
          <w:rFonts w:ascii="Arial" w:hAnsi="Arial" w:cs="Arial"/>
          <w:bCs/>
          <w:lang w:val="es-ES_tradnl"/>
        </w:rPr>
        <w:t>algunos</w:t>
      </w:r>
      <w:r w:rsidRPr="0033016F">
        <w:rPr>
          <w:rFonts w:ascii="Arial" w:hAnsi="Arial" w:cs="Arial"/>
          <w:bCs/>
          <w:lang w:val="es-ES_tradnl"/>
        </w:rPr>
        <w:t xml:space="preserve">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3016F">
        <w:rPr>
          <w:rFonts w:ascii="Arial" w:hAnsi="Arial" w:cs="Arial"/>
          <w:bCs/>
          <w:i/>
          <w:iCs/>
          <w:lang w:val="es-ES_tradnl"/>
        </w:rPr>
        <w:t>ítems</w:t>
      </w:r>
      <w:r w:rsidRPr="0033016F">
        <w:rPr>
          <w:rFonts w:ascii="Arial" w:hAnsi="Arial" w:cs="Arial"/>
          <w:bCs/>
          <w:lang w:val="es-ES_tradnl"/>
        </w:rPr>
        <w:t xml:space="preserve"> según su unidad de medida</w:t>
      </w:r>
      <w:r>
        <w:rPr>
          <w:rFonts w:ascii="Arial" w:hAnsi="Arial" w:cs="Arial"/>
          <w:bCs/>
          <w:lang w:val="es-ES_tradnl"/>
        </w:rPr>
        <w:t xml:space="preserve"> y cantidades</w:t>
      </w:r>
      <w:r w:rsidRPr="0033016F">
        <w:rPr>
          <w:rFonts w:ascii="Arial" w:hAnsi="Arial" w:cs="Arial"/>
          <w:bCs/>
          <w:lang w:val="es-ES_tradnl"/>
        </w:rPr>
        <w:t xml:space="preserve">, los costos indirectos se suelen abreviar en las variables que integran el acrónimo AIU –Administración, Imprevistos y Utilidad–, que se calcula como un porcentaje aplicado a los costos directos. </w:t>
      </w:r>
      <w:r w:rsidRPr="0033016F">
        <w:rPr>
          <w:rFonts w:ascii="Arial" w:hAnsi="Arial" w:cs="Arial"/>
          <w:lang w:val="es-ES_tradnl"/>
        </w:rPr>
        <w:t>De acuerdo con la Sección Tercera del Consejo de Estado, el AIU, concepto de común utilización en los contratos de tracto sucesiv</w:t>
      </w:r>
      <w:r>
        <w:rPr>
          <w:rFonts w:ascii="Arial" w:hAnsi="Arial" w:cs="Arial"/>
          <w:lang w:val="es-ES_tradnl"/>
        </w:rPr>
        <w:t>o</w:t>
      </w:r>
      <w:r w:rsidRPr="0033016F">
        <w:rPr>
          <w:rFonts w:ascii="Arial" w:hAnsi="Arial" w:cs="Arial"/>
          <w:lang w:val="es-ES_tradnl"/>
        </w:rPr>
        <w:t xml:space="preserve"> –entre ellos, los contratos de obra– no cuenta con una definición normativa, pero hay elementos que permiten precisar su alcance, así: </w:t>
      </w:r>
    </w:p>
    <w:p w14:paraId="497E2E16" w14:textId="77777777" w:rsidR="003B3D60" w:rsidRPr="0033016F" w:rsidRDefault="003B3D60" w:rsidP="003B3D60">
      <w:pPr>
        <w:spacing w:after="0" w:line="276" w:lineRule="auto"/>
        <w:ind w:left="709"/>
        <w:jc w:val="both"/>
        <w:rPr>
          <w:rFonts w:ascii="Arial" w:hAnsi="Arial" w:cs="Arial"/>
          <w:lang w:val="es-ES_tradnl"/>
        </w:rPr>
      </w:pPr>
    </w:p>
    <w:p w14:paraId="08BAE1E7" w14:textId="500F3A9D" w:rsidR="003B3D60" w:rsidRPr="0033016F" w:rsidRDefault="00796BA4" w:rsidP="003B3D60">
      <w:pPr>
        <w:spacing w:after="120" w:line="240" w:lineRule="auto"/>
        <w:ind w:left="709" w:right="709"/>
        <w:jc w:val="both"/>
        <w:rPr>
          <w:rFonts w:ascii="Arial" w:hAnsi="Arial" w:cs="Arial"/>
          <w:sz w:val="21"/>
          <w:szCs w:val="21"/>
          <w:lang w:val="es-ES_tradnl"/>
        </w:rPr>
      </w:pPr>
      <w:r>
        <w:rPr>
          <w:rFonts w:ascii="Arial" w:hAnsi="Arial" w:cs="Arial"/>
          <w:sz w:val="21"/>
          <w:szCs w:val="21"/>
          <w:lang w:val="es-ES_tradnl"/>
        </w:rPr>
        <w:t>“</w:t>
      </w:r>
      <w:r w:rsidR="003B3D60" w:rsidRPr="0033016F">
        <w:rPr>
          <w:rFonts w:ascii="Arial" w:hAnsi="Arial" w:cs="Arial"/>
          <w:sz w:val="21"/>
          <w:szCs w:val="21"/>
          <w:lang w:val="es-ES_tradnl"/>
        </w:rPr>
        <w:t xml:space="preserve">[…] el AIU propuesto para el contrato, corresponde a: </w:t>
      </w:r>
    </w:p>
    <w:p w14:paraId="04792194" w14:textId="77777777" w:rsidR="003B3D60" w:rsidRPr="0033016F" w:rsidRDefault="003B3D60" w:rsidP="003B3D60">
      <w:pPr>
        <w:spacing w:after="120" w:line="240" w:lineRule="auto"/>
        <w:ind w:left="709" w:right="709"/>
        <w:jc w:val="both"/>
        <w:rPr>
          <w:rFonts w:ascii="Arial" w:hAnsi="Arial" w:cs="Arial"/>
          <w:sz w:val="21"/>
          <w:szCs w:val="21"/>
          <w:lang w:val="es-ES_tradnl"/>
        </w:rPr>
      </w:pPr>
      <w:r w:rsidRPr="0033016F">
        <w:rPr>
          <w:rFonts w:ascii="Arial" w:hAnsi="Arial" w:cs="Arial"/>
          <w:sz w:val="21"/>
          <w:szCs w:val="21"/>
          <w:lang w:val="es-ES_tradnl"/>
        </w:rPr>
        <w:t xml:space="preserve">i) los costos de administración o costos indirectos para la operación del contrato, tales como los gastos de disponibilidad de la organización del contratista, esto es: A; </w:t>
      </w:r>
    </w:p>
    <w:p w14:paraId="3609E942" w14:textId="77777777" w:rsidR="003B3D60" w:rsidRPr="0033016F" w:rsidRDefault="003B3D60" w:rsidP="003B3D60">
      <w:pPr>
        <w:spacing w:after="120" w:line="240" w:lineRule="auto"/>
        <w:ind w:left="709" w:right="709"/>
        <w:jc w:val="both"/>
        <w:rPr>
          <w:rFonts w:ascii="Arial" w:hAnsi="Arial" w:cs="Arial"/>
          <w:sz w:val="21"/>
          <w:szCs w:val="21"/>
          <w:lang w:val="es-ES_tradnl"/>
        </w:rPr>
      </w:pPr>
      <w:r w:rsidRPr="0033016F">
        <w:rPr>
          <w:rFonts w:ascii="Arial" w:hAnsi="Arial" w:cs="Arial"/>
          <w:sz w:val="21"/>
          <w:szCs w:val="21"/>
          <w:lang w:val="es-ES_tradnl"/>
        </w:rPr>
        <w:t xml:space="preserve">ii) los imprevistos, que es el porcentaje destinado a cubrir los gastos con los que no se contaba y que se presenten durante la ejecución del contrato, esto es, el álea normal del contrato: I; </w:t>
      </w:r>
    </w:p>
    <w:p w14:paraId="35464F2F" w14:textId="77777777" w:rsidR="003B3D60" w:rsidRPr="0033016F" w:rsidRDefault="003B3D60" w:rsidP="003B3D60">
      <w:pPr>
        <w:spacing w:after="120" w:line="240" w:lineRule="auto"/>
        <w:ind w:left="709" w:right="709"/>
        <w:jc w:val="both"/>
        <w:rPr>
          <w:rFonts w:ascii="Arial" w:hAnsi="Arial" w:cs="Arial"/>
          <w:sz w:val="21"/>
          <w:szCs w:val="21"/>
          <w:lang w:val="es-ES_tradnl"/>
        </w:rPr>
      </w:pPr>
      <w:r w:rsidRPr="0033016F">
        <w:rPr>
          <w:rFonts w:ascii="Arial" w:hAnsi="Arial" w:cs="Arial"/>
          <w:sz w:val="21"/>
          <w:szCs w:val="21"/>
          <w:lang w:val="es-ES_tradnl"/>
        </w:rPr>
        <w:lastRenderedPageBreak/>
        <w:t xml:space="preserve">iii) la utilidad o el beneficio económico que pretende percibir el contratista por la ejecución del contrato, esto es: U. </w:t>
      </w:r>
    </w:p>
    <w:p w14:paraId="65589F7B" w14:textId="0B7D9949" w:rsidR="003B3D60" w:rsidRPr="0033016F" w:rsidRDefault="003B3D60" w:rsidP="003B3D60">
      <w:pPr>
        <w:spacing w:after="0" w:line="240" w:lineRule="auto"/>
        <w:ind w:left="709" w:right="709"/>
        <w:jc w:val="both"/>
        <w:rPr>
          <w:rFonts w:ascii="Arial" w:hAnsi="Arial" w:cs="Arial"/>
          <w:sz w:val="21"/>
          <w:szCs w:val="21"/>
          <w:lang w:val="es-ES_tradnl"/>
        </w:rPr>
      </w:pPr>
      <w:r w:rsidRPr="0033016F">
        <w:rPr>
          <w:rFonts w:ascii="Arial" w:hAnsi="Arial"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00796BA4">
        <w:rPr>
          <w:rFonts w:ascii="Arial" w:hAnsi="Arial" w:cs="Arial"/>
          <w:sz w:val="21"/>
          <w:szCs w:val="21"/>
          <w:lang w:val="es-ES_tradnl"/>
        </w:rPr>
        <w:t>”</w:t>
      </w:r>
      <w:r w:rsidRPr="0033016F">
        <w:rPr>
          <w:rStyle w:val="Refdenotaalpie"/>
          <w:rFonts w:ascii="Arial" w:hAnsi="Arial" w:cs="Arial"/>
          <w:sz w:val="21"/>
          <w:szCs w:val="21"/>
          <w:lang w:val="es-ES_tradnl"/>
        </w:rPr>
        <w:footnoteReference w:id="8"/>
      </w:r>
      <w:r w:rsidRPr="0033016F">
        <w:rPr>
          <w:rFonts w:ascii="Arial" w:hAnsi="Arial" w:cs="Arial"/>
          <w:sz w:val="21"/>
          <w:szCs w:val="21"/>
          <w:lang w:val="es-ES_tradnl"/>
        </w:rPr>
        <w:t>.</w:t>
      </w:r>
    </w:p>
    <w:p w14:paraId="13EB109F" w14:textId="77777777" w:rsidR="003B3D60" w:rsidRPr="0033016F" w:rsidRDefault="003B3D60" w:rsidP="003B3D60">
      <w:pPr>
        <w:spacing w:after="0" w:line="276" w:lineRule="auto"/>
        <w:ind w:firstLine="709"/>
        <w:jc w:val="both"/>
        <w:rPr>
          <w:rFonts w:ascii="Arial" w:hAnsi="Arial" w:cs="Arial"/>
          <w:lang w:val="es-ES_tradnl"/>
        </w:rPr>
      </w:pPr>
    </w:p>
    <w:p w14:paraId="3BE95C8F" w14:textId="77777777" w:rsidR="003B3D60" w:rsidRPr="0033016F" w:rsidRDefault="003B3D60" w:rsidP="003B3D60">
      <w:pPr>
        <w:spacing w:line="276" w:lineRule="auto"/>
        <w:ind w:firstLine="709"/>
        <w:jc w:val="both"/>
        <w:rPr>
          <w:rFonts w:ascii="Arial" w:hAnsi="Arial" w:cs="Arial"/>
          <w:lang w:val="es-ES_tradnl"/>
        </w:rPr>
      </w:pPr>
      <w:r w:rsidRPr="0033016F">
        <w:rPr>
          <w:rFonts w:ascii="Arial" w:hAnsi="Arial" w:cs="Arial"/>
          <w:lang w:val="es-ES_tradnl"/>
        </w:rPr>
        <w:t xml:space="preserve">Por su parte, la Sala de Consulta y Servicio Civil del Consejo de Estado sostuvo en </w:t>
      </w:r>
      <w:r>
        <w:rPr>
          <w:rFonts w:ascii="Arial" w:hAnsi="Arial" w:cs="Arial"/>
          <w:lang w:val="es-ES_tradnl"/>
        </w:rPr>
        <w:t>C</w:t>
      </w:r>
      <w:r w:rsidRPr="0033016F">
        <w:rPr>
          <w:rFonts w:ascii="Arial" w:hAnsi="Arial" w:cs="Arial"/>
          <w:lang w:val="es-ES_tradnl"/>
        </w:rPr>
        <w:t>oncepto del 5 de septiembre de 2018</w:t>
      </w:r>
      <w:r w:rsidRPr="0033016F">
        <w:rPr>
          <w:rStyle w:val="Refdenotaalpie"/>
          <w:rFonts w:ascii="Arial" w:hAnsi="Arial" w:cs="Arial"/>
          <w:lang w:val="es-ES_tradnl"/>
        </w:rPr>
        <w:footnoteReference w:id="9"/>
      </w:r>
      <w:r w:rsidRPr="0033016F">
        <w:rPr>
          <w:rFonts w:ascii="Arial" w:hAnsi="Arial" w:cs="Arial"/>
          <w:lang w:val="es-ES_tradnl"/>
        </w:rPr>
        <w:t xml:space="preserve"> que </w:t>
      </w:r>
      <w:r>
        <w:rPr>
          <w:rFonts w:ascii="Arial" w:hAnsi="Arial" w:cs="Arial"/>
          <w:lang w:val="es-ES_tradnl"/>
        </w:rPr>
        <w:t>“</w:t>
      </w:r>
      <w:r w:rsidRPr="0033016F">
        <w:rPr>
          <w:rFonts w:ascii="Arial" w:hAnsi="Arial" w:cs="Arial"/>
          <w:lang w:val="es-ES_tradnl"/>
        </w:rPr>
        <w:t>el concepto del A.I.U. comprende la Administración (costos indirectos) imprevistos y utilidades, y en algunos contratos este valor aparece cuantificado en forma independiente al valor de la obra y como un porcentaje de la misma</w:t>
      </w:r>
      <w:r w:rsidRPr="0033016F">
        <w:rPr>
          <w:rStyle w:val="Refdenotaalpie"/>
          <w:rFonts w:ascii="Arial" w:hAnsi="Arial" w:cs="Arial"/>
          <w:lang w:val="es-ES_tradnl"/>
        </w:rPr>
        <w:footnoteReference w:id="10"/>
      </w:r>
      <w:r w:rsidRPr="0033016F">
        <w:rPr>
          <w:rFonts w:ascii="Arial" w:hAnsi="Arial" w:cs="Arial"/>
          <w:lang w:val="es-ES_tradnl"/>
        </w:rPr>
        <w:t>, sin perjuicio que en otros contratos este valor no aparezca discriminado y se incorpore en el valor de los precios unitarios</w:t>
      </w:r>
      <w:r>
        <w:rPr>
          <w:rFonts w:ascii="Arial" w:hAnsi="Arial" w:cs="Arial"/>
          <w:lang w:val="es-ES_tradnl"/>
        </w:rPr>
        <w:t>”</w:t>
      </w:r>
      <w:r w:rsidRPr="0033016F">
        <w:rPr>
          <w:rStyle w:val="Refdenotaalpie"/>
          <w:rFonts w:ascii="Arial" w:hAnsi="Arial" w:cs="Arial"/>
          <w:lang w:val="es-ES_tradnl"/>
        </w:rPr>
        <w:footnoteReference w:id="11"/>
      </w:r>
      <w:r w:rsidRPr="0033016F">
        <w:rPr>
          <w:rFonts w:ascii="Arial" w:hAnsi="Arial" w:cs="Arial"/>
          <w:lang w:val="es-ES_tradnl"/>
        </w:rPr>
        <w:t xml:space="preserve">. </w:t>
      </w:r>
    </w:p>
    <w:p w14:paraId="0290A7A7" w14:textId="77777777" w:rsidR="003B3D60" w:rsidRPr="0033016F" w:rsidRDefault="003B3D60" w:rsidP="003B3D60">
      <w:pPr>
        <w:spacing w:before="120" w:after="120" w:line="276" w:lineRule="auto"/>
        <w:ind w:firstLine="709"/>
        <w:jc w:val="both"/>
        <w:rPr>
          <w:rFonts w:ascii="Arial" w:hAnsi="Arial" w:cs="Arial"/>
          <w:bCs/>
          <w:lang w:val="es-ES_tradnl"/>
        </w:rPr>
      </w:pPr>
      <w:r w:rsidRPr="0033016F">
        <w:rPr>
          <w:rFonts w:ascii="Arial" w:hAnsi="Arial" w:cs="Arial"/>
          <w:bCs/>
          <w:lang w:val="es-ES_tradnl"/>
        </w:rPr>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w:t>
      </w:r>
      <w:r>
        <w:rPr>
          <w:rFonts w:ascii="Arial" w:hAnsi="Arial" w:cs="Arial"/>
          <w:bCs/>
          <w:lang w:val="es-ES_tradnl"/>
        </w:rPr>
        <w:t>:</w:t>
      </w:r>
      <w:r w:rsidRPr="0033016F">
        <w:rPr>
          <w:rFonts w:ascii="Arial" w:hAnsi="Arial" w:cs="Arial"/>
          <w:bCs/>
          <w:lang w:val="es-ES_tradnl"/>
        </w:rPr>
        <w:t xml:space="preserve"> </w:t>
      </w:r>
      <w:r>
        <w:rPr>
          <w:rFonts w:ascii="Arial" w:hAnsi="Arial" w:cs="Arial"/>
          <w:bCs/>
          <w:lang w:val="es-ES_tradnl"/>
        </w:rPr>
        <w:t>“</w:t>
      </w:r>
      <w:r w:rsidRPr="0033016F">
        <w:rPr>
          <w:rFonts w:ascii="Arial" w:hAnsi="Arial" w:cs="Arial"/>
          <w:bCs/>
          <w:lang w:val="es-ES_tradnl"/>
        </w:rPr>
        <w:t>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Pr>
          <w:rFonts w:ascii="Arial" w:hAnsi="Arial" w:cs="Arial"/>
          <w:bCs/>
          <w:lang w:val="es-ES_tradnl"/>
        </w:rPr>
        <w:t>”</w:t>
      </w:r>
      <w:r w:rsidRPr="0033016F">
        <w:rPr>
          <w:rStyle w:val="Refdenotaalpie"/>
          <w:rFonts w:ascii="Arial" w:hAnsi="Arial" w:cs="Arial"/>
          <w:bCs/>
          <w:lang w:val="es-ES_tradnl"/>
        </w:rPr>
        <w:footnoteReference w:id="12"/>
      </w:r>
      <w:r w:rsidRPr="0033016F">
        <w:rPr>
          <w:rFonts w:ascii="Arial" w:hAnsi="Arial" w:cs="Arial"/>
          <w:bCs/>
          <w:lang w:val="es-ES_tradnl"/>
        </w:rPr>
        <w:t xml:space="preserve">. De otro lado, </w:t>
      </w:r>
      <w:r>
        <w:rPr>
          <w:rFonts w:ascii="Arial" w:hAnsi="Arial" w:cs="Arial"/>
          <w:bCs/>
          <w:lang w:val="es-ES_tradnl"/>
        </w:rPr>
        <w:t xml:space="preserve">en </w:t>
      </w:r>
      <w:r>
        <w:rPr>
          <w:rFonts w:ascii="Arial" w:hAnsi="Arial" w:cs="Arial"/>
          <w:bCs/>
          <w:lang w:val="es-ES_tradnl"/>
        </w:rPr>
        <w:lastRenderedPageBreak/>
        <w:t xml:space="preserve">principio </w:t>
      </w:r>
      <w:r w:rsidRPr="0033016F">
        <w:rPr>
          <w:rFonts w:ascii="Arial" w:hAnsi="Arial" w:cs="Arial"/>
          <w:bCs/>
          <w:lang w:val="es-ES_tradnl"/>
        </w:rPr>
        <w:t xml:space="preserve">quien define el valor de cada </w:t>
      </w:r>
      <w:r w:rsidRPr="0033016F">
        <w:rPr>
          <w:rFonts w:ascii="Arial" w:hAnsi="Arial" w:cs="Arial"/>
          <w:bCs/>
          <w:i/>
          <w:iCs/>
          <w:lang w:val="es-ES_tradnl"/>
        </w:rPr>
        <w:t>letra</w:t>
      </w:r>
      <w:r w:rsidRPr="0033016F">
        <w:rPr>
          <w:rFonts w:ascii="Arial" w:hAnsi="Arial" w:cs="Arial"/>
          <w:bCs/>
          <w:lang w:val="es-ES_tradnl"/>
        </w:rPr>
        <w:t xml:space="preserve"> –AIU– es el proponente, pues goza de libertad empresarial para hacerlo en la elaboración de su oferta</w:t>
      </w:r>
      <w:r w:rsidRPr="0033016F">
        <w:rPr>
          <w:rStyle w:val="Refdenotaalpie"/>
          <w:rFonts w:ascii="Arial" w:hAnsi="Arial" w:cs="Arial"/>
          <w:bCs/>
          <w:lang w:val="es-ES_tradnl"/>
        </w:rPr>
        <w:footnoteReference w:id="13"/>
      </w:r>
      <w:r w:rsidRPr="0033016F">
        <w:rPr>
          <w:rFonts w:ascii="Arial" w:hAnsi="Arial" w:cs="Arial"/>
          <w:bCs/>
          <w:lang w:val="es-ES_tradnl"/>
        </w:rPr>
        <w:t>.</w:t>
      </w:r>
    </w:p>
    <w:p w14:paraId="027C7302" w14:textId="77777777" w:rsidR="003B3D60" w:rsidRDefault="003B3D60" w:rsidP="003B3D60">
      <w:pPr>
        <w:spacing w:before="120" w:after="0" w:line="276" w:lineRule="auto"/>
        <w:ind w:firstLine="709"/>
        <w:jc w:val="both"/>
        <w:rPr>
          <w:rFonts w:ascii="Arial" w:hAnsi="Arial" w:cs="Arial"/>
          <w:bCs/>
          <w:lang w:val="es-ES_tradnl"/>
        </w:rPr>
      </w:pPr>
      <w:r w:rsidRPr="0033016F">
        <w:rPr>
          <w:rFonts w:ascii="Arial" w:hAnsi="Arial" w:cs="Arial"/>
          <w:bCs/>
          <w:lang w:val="es-ES_tradnl"/>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w:t>
      </w:r>
      <w:r>
        <w:rPr>
          <w:rFonts w:ascii="Arial" w:hAnsi="Arial" w:cs="Arial"/>
          <w:bCs/>
          <w:lang w:val="es-ES_tradnl"/>
        </w:rPr>
        <w:t>lo son, por ejemplo, los contratos de</w:t>
      </w:r>
      <w:r w:rsidRPr="0033016F">
        <w:rPr>
          <w:rFonts w:ascii="Arial" w:hAnsi="Arial" w:cs="Arial"/>
          <w:bCs/>
          <w:lang w:val="es-ES_tradnl"/>
        </w:rPr>
        <w:t xml:space="preserve"> </w:t>
      </w:r>
      <w:r>
        <w:rPr>
          <w:rFonts w:ascii="Arial" w:hAnsi="Arial" w:cs="Arial"/>
          <w:bCs/>
          <w:lang w:val="es-ES_tradnl"/>
        </w:rPr>
        <w:t>suministro y obra, respectivamente</w:t>
      </w:r>
      <w:r w:rsidRPr="0033016F">
        <w:rPr>
          <w:rFonts w:ascii="Arial" w:hAnsi="Arial" w:cs="Arial"/>
          <w:bCs/>
          <w:lang w:val="es-ES_tradnl"/>
        </w:rPr>
        <w:t>. Por ende, la decisión de incluir</w:t>
      </w:r>
      <w:r>
        <w:rPr>
          <w:rFonts w:ascii="Arial" w:hAnsi="Arial" w:cs="Arial"/>
          <w:bCs/>
          <w:lang w:val="es-ES_tradnl"/>
        </w:rPr>
        <w:t xml:space="preserve"> o no </w:t>
      </w:r>
      <w:r w:rsidRPr="0033016F">
        <w:rPr>
          <w:rFonts w:ascii="Arial" w:hAnsi="Arial" w:cs="Arial"/>
          <w:bCs/>
          <w:lang w:val="es-ES_tradnl"/>
        </w:rPr>
        <w:t xml:space="preserve"> el AIU</w:t>
      </w:r>
      <w:r>
        <w:rPr>
          <w:rFonts w:ascii="Arial" w:hAnsi="Arial" w:cs="Arial"/>
          <w:bCs/>
          <w:lang w:val="es-ES_tradnl"/>
        </w:rPr>
        <w:t xml:space="preserve"> en el precio unitario de los bienes o servicios ofrecidos</w:t>
      </w:r>
      <w:r w:rsidRPr="0033016F">
        <w:rPr>
          <w:rFonts w:ascii="Arial" w:hAnsi="Arial" w:cs="Arial"/>
          <w:bCs/>
          <w:lang w:val="es-ES_tradnl"/>
        </w:rPr>
        <w:t>,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w:t>
      </w:r>
      <w:r>
        <w:rPr>
          <w:rFonts w:ascii="Arial" w:hAnsi="Arial" w:cs="Arial"/>
          <w:bCs/>
          <w:lang w:val="es-ES_tradnl"/>
        </w:rPr>
        <w:t>, el cual</w:t>
      </w:r>
      <w:r w:rsidRPr="0033016F">
        <w:rPr>
          <w:rFonts w:ascii="Arial" w:hAnsi="Arial" w:cs="Arial"/>
          <w:bCs/>
          <w:lang w:val="es-ES_tradnl"/>
        </w:rPr>
        <w:t xml:space="preserve"> exige la optimización de los recursos públicos.</w:t>
      </w:r>
    </w:p>
    <w:p w14:paraId="7B54D630" w14:textId="77777777" w:rsidR="003B3D60" w:rsidRDefault="003B3D60" w:rsidP="003B3D60">
      <w:pPr>
        <w:spacing w:after="0" w:line="276" w:lineRule="auto"/>
        <w:ind w:firstLine="709"/>
        <w:jc w:val="both"/>
        <w:rPr>
          <w:rFonts w:ascii="Arial" w:hAnsi="Arial" w:cs="Arial"/>
          <w:bCs/>
          <w:lang w:val="es-ES_tradnl"/>
        </w:rPr>
      </w:pPr>
    </w:p>
    <w:p w14:paraId="00A9E4B3" w14:textId="77777777" w:rsidR="003B3D60" w:rsidRPr="006B22E0" w:rsidRDefault="003B3D60" w:rsidP="003B3D60">
      <w:pPr>
        <w:spacing w:after="0" w:line="276" w:lineRule="auto"/>
        <w:jc w:val="both"/>
        <w:rPr>
          <w:rFonts w:ascii="Arial" w:hAnsi="Arial" w:cs="Arial"/>
          <w:b/>
          <w:lang w:val="es-ES_tradnl"/>
        </w:rPr>
      </w:pPr>
      <w:r w:rsidRPr="006B22E0">
        <w:rPr>
          <w:rFonts w:ascii="Arial" w:hAnsi="Arial" w:cs="Arial"/>
          <w:b/>
          <w:lang w:val="es-ES_tradnl"/>
        </w:rPr>
        <w:t>2.2. Elección de la tipología contractual: inexistencia del contrato por monto agotable como figura típica o atípica en la contratación estatal</w:t>
      </w:r>
    </w:p>
    <w:p w14:paraId="10B75D34" w14:textId="77777777" w:rsidR="003B3D60" w:rsidRDefault="003B3D60" w:rsidP="003B3D60">
      <w:pPr>
        <w:spacing w:after="0" w:line="276" w:lineRule="auto"/>
        <w:jc w:val="both"/>
        <w:rPr>
          <w:rFonts w:ascii="Arial" w:hAnsi="Arial" w:cs="Arial"/>
          <w:bCs/>
          <w:lang w:val="es-ES_tradnl"/>
        </w:rPr>
      </w:pPr>
    </w:p>
    <w:p w14:paraId="657F53E1" w14:textId="77777777" w:rsidR="003B3D60" w:rsidRPr="00D2267D" w:rsidRDefault="003B3D60" w:rsidP="003B3D60">
      <w:pPr>
        <w:tabs>
          <w:tab w:val="left" w:pos="0"/>
        </w:tabs>
        <w:spacing w:line="276" w:lineRule="auto"/>
        <w:jc w:val="both"/>
        <w:rPr>
          <w:rFonts w:ascii="Arial" w:eastAsia="Calibri" w:hAnsi="Arial" w:cs="Arial"/>
          <w:lang w:val="es-MX"/>
        </w:rPr>
      </w:pPr>
      <w:r w:rsidRPr="00D2267D">
        <w:rPr>
          <w:rFonts w:ascii="Arial" w:eastAsia="Calibri" w:hAnsi="Arial" w:cs="Arial"/>
          <w:lang w:val="es-MX"/>
        </w:rPr>
        <w:t>En la etapa precontractual de la contratación estatal, cuando la Administración está elaborando los estudios previos, para lograr con éxito el proceso de contratación que requiere para satisfacer una necesidad de bienes, obras o servicios con la finalidad de cumplir los cometidos estatales, debe analizarse, según el objeto a contratar, cuál es el tipo de contrato</w:t>
      </w:r>
      <w:r>
        <w:rPr>
          <w:rFonts w:ascii="Arial" w:eastAsia="Calibri" w:hAnsi="Arial" w:cs="Arial"/>
          <w:lang w:val="es-MX"/>
        </w:rPr>
        <w:t>,</w:t>
      </w:r>
      <w:r w:rsidRPr="00D2267D">
        <w:rPr>
          <w:rFonts w:ascii="Arial" w:eastAsia="Calibri" w:hAnsi="Arial" w:cs="Arial"/>
          <w:lang w:val="es-MX"/>
        </w:rPr>
        <w:t xml:space="preserve"> las obligaciones y prestaciones a pactar que mejor satisfagan los intereses de la Administración como entidad contratante. </w:t>
      </w:r>
      <w:r w:rsidRPr="00D2267D">
        <w:rPr>
          <w:rFonts w:ascii="Arial" w:hAnsi="Arial" w:cs="Arial"/>
          <w:bCs/>
        </w:rPr>
        <w:t xml:space="preserve">Es así como, por ejemplo, el artículo 40 de la Ley 80 de 1993 permite que dentro del contenido de un contrato estatal se admitan las estipulaciones conformes con las normas civiles, comerciales y las especiales previstas en dicha ley que correspondan a su esencia y naturaleza. Por </w:t>
      </w:r>
      <w:r>
        <w:rPr>
          <w:rFonts w:ascii="Arial" w:hAnsi="Arial" w:cs="Arial"/>
          <w:bCs/>
        </w:rPr>
        <w:t>ello,</w:t>
      </w:r>
      <w:r w:rsidRPr="00D2267D">
        <w:rPr>
          <w:rFonts w:ascii="Arial" w:hAnsi="Arial" w:cs="Arial"/>
          <w:bCs/>
        </w:rPr>
        <w:t xml:space="preserve"> las entidades pueden celebrar todos los contratos y acuerdos permitidos por la autonomía de la voluntad requeridos para cumplir con los fines estatales.</w:t>
      </w:r>
    </w:p>
    <w:p w14:paraId="60C1C8B9" w14:textId="77777777" w:rsidR="003B3D60" w:rsidRPr="00D2267D" w:rsidRDefault="003B3D60" w:rsidP="003B3D60">
      <w:pPr>
        <w:spacing w:after="120" w:line="276" w:lineRule="auto"/>
        <w:ind w:firstLine="708"/>
        <w:jc w:val="both"/>
        <w:rPr>
          <w:rFonts w:ascii="Arial" w:hAnsi="Arial" w:cs="Arial"/>
          <w:bCs/>
        </w:rPr>
      </w:pPr>
      <w:r w:rsidRPr="00D2267D">
        <w:rPr>
          <w:rFonts w:ascii="Arial" w:hAnsi="Arial" w:cs="Arial"/>
          <w:bCs/>
        </w:rPr>
        <w:t xml:space="preserve">Los contratos estatales admiten todas las modalidades, condiciones y estipulaciones que las partes consideren necesarias y convenientes, siempre que 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w:t>
      </w:r>
      <w:r w:rsidRPr="00D2267D">
        <w:rPr>
          <w:rFonts w:ascii="Arial" w:hAnsi="Arial" w:cs="Arial"/>
          <w:bCs/>
        </w:rPr>
        <w:lastRenderedPageBreak/>
        <w:t>necesarios para la consecución de sus fines, ya sean estos nominados y típicos</w:t>
      </w:r>
      <w:r w:rsidRPr="00D2267D">
        <w:rPr>
          <w:rStyle w:val="Refdenotaalpie"/>
          <w:rFonts w:ascii="Arial" w:hAnsi="Arial" w:cs="Arial"/>
          <w:bCs/>
        </w:rPr>
        <w:footnoteReference w:id="14"/>
      </w:r>
      <w:r w:rsidRPr="00D2267D">
        <w:rPr>
          <w:rFonts w:ascii="Arial" w:hAnsi="Arial" w:cs="Arial"/>
          <w:bCs/>
        </w:rPr>
        <w:t xml:space="preserve"> en la legislación civil y comercial de derecho privado</w:t>
      </w:r>
      <w:r w:rsidRPr="00D2267D">
        <w:rPr>
          <w:rStyle w:val="Refdenotaalpie"/>
          <w:rFonts w:ascii="Arial" w:hAnsi="Arial" w:cs="Arial"/>
          <w:bCs/>
        </w:rPr>
        <w:footnoteReference w:id="15"/>
      </w:r>
      <w:r w:rsidRPr="00D2267D">
        <w:rPr>
          <w:rFonts w:ascii="Arial" w:hAnsi="Arial" w:cs="Arial"/>
          <w:bCs/>
        </w:rPr>
        <w:t xml:space="preserve"> o en el Estatuto General de Contratación Pública</w:t>
      </w:r>
      <w:r w:rsidRPr="00D2267D">
        <w:rPr>
          <w:rStyle w:val="Refdenotaalpie"/>
          <w:rFonts w:ascii="Arial" w:hAnsi="Arial" w:cs="Arial"/>
          <w:bCs/>
        </w:rPr>
        <w:footnoteReference w:id="16"/>
      </w:r>
      <w:r w:rsidRPr="00D2267D">
        <w:rPr>
          <w:rFonts w:ascii="Arial" w:hAnsi="Arial" w:cs="Arial"/>
          <w:bCs/>
        </w:rPr>
        <w:t xml:space="preserve"> o bien pueden acudir a los contratos atípicos, donde sus estipulaciones pueden ser puramente de creación de la voluntad de las partes  –siempre y cuando no contraríen normas de orden público– o pueden ser mixtas, haciendo uso de estipulaciones que responden a diferentes combinaciones de objetos contractuales</w:t>
      </w:r>
      <w:r w:rsidRPr="00D2267D">
        <w:rPr>
          <w:rStyle w:val="Refdenotaalpie"/>
          <w:rFonts w:ascii="Arial" w:hAnsi="Arial" w:cs="Arial"/>
          <w:bCs/>
        </w:rPr>
        <w:footnoteReference w:id="17"/>
      </w:r>
      <w:r w:rsidRPr="00D2267D">
        <w:rPr>
          <w:rFonts w:ascii="Arial" w:hAnsi="Arial" w:cs="Arial"/>
          <w:bCs/>
        </w:rPr>
        <w:t>.</w:t>
      </w:r>
    </w:p>
    <w:p w14:paraId="053E4B9C" w14:textId="77777777" w:rsidR="003B3D60" w:rsidRPr="00D2267D" w:rsidRDefault="003B3D60" w:rsidP="003B3D60">
      <w:pPr>
        <w:pStyle w:val="Sinespaciado"/>
        <w:spacing w:before="120" w:line="276" w:lineRule="auto"/>
        <w:ind w:firstLine="709"/>
        <w:jc w:val="both"/>
        <w:rPr>
          <w:rFonts w:ascii="Arial" w:hAnsi="Arial" w:cs="Arial"/>
          <w:color w:val="000000" w:themeColor="text1"/>
          <w:sz w:val="22"/>
        </w:rPr>
      </w:pPr>
      <w:r w:rsidRPr="00D2267D">
        <w:rPr>
          <w:rFonts w:ascii="Arial" w:hAnsi="Arial" w:cs="Arial"/>
          <w:bCs/>
          <w:sz w:val="22"/>
        </w:rPr>
        <w:t xml:space="preserve">La doctrina reconoce este fenómeno entendiendo que </w:t>
      </w:r>
      <w:r>
        <w:rPr>
          <w:rFonts w:ascii="Arial" w:hAnsi="Arial" w:cs="Arial"/>
          <w:bCs/>
          <w:sz w:val="22"/>
          <w:lang w:val="es-ES_tradnl"/>
        </w:rPr>
        <w:t>“</w:t>
      </w:r>
      <w:r w:rsidRPr="00D2267D">
        <w:rPr>
          <w:rFonts w:ascii="Arial" w:hAnsi="Arial" w:cs="Arial"/>
          <w:bCs/>
          <w:sz w:val="22"/>
        </w:rPr>
        <w:t>la ley no crea el contrato, sino que reconoce su existencia, afirmación que implica reconocer que, en un principio, todos los contratos que hoy se reputan como típicos eran innominados – atípicos, deviniendo en típicos con la intervención del legislador</w:t>
      </w:r>
      <w:r>
        <w:rPr>
          <w:rFonts w:ascii="Arial" w:hAnsi="Arial" w:cs="Arial"/>
          <w:bCs/>
          <w:sz w:val="22"/>
          <w:lang w:val="es-ES_tradnl"/>
        </w:rPr>
        <w:t>”</w:t>
      </w:r>
      <w:r w:rsidRPr="00D2267D">
        <w:rPr>
          <w:rStyle w:val="Refdenotaalpie"/>
          <w:rFonts w:ascii="Arial" w:hAnsi="Arial" w:cs="Arial"/>
          <w:bCs/>
          <w:sz w:val="22"/>
          <w:lang w:val="es-ES_tradnl"/>
        </w:rPr>
        <w:footnoteReference w:id="18"/>
      </w:r>
      <w:r w:rsidRPr="00D2267D">
        <w:rPr>
          <w:rFonts w:ascii="Arial" w:hAnsi="Arial" w:cs="Arial"/>
          <w:bCs/>
          <w:sz w:val="22"/>
          <w:lang w:val="es-ES_tradnl"/>
        </w:rPr>
        <w:t>. As</w:t>
      </w:r>
      <w:r>
        <w:rPr>
          <w:rFonts w:ascii="Arial" w:hAnsi="Arial" w:cs="Arial"/>
          <w:bCs/>
          <w:sz w:val="22"/>
          <w:lang w:val="es-ES_tradnl"/>
        </w:rPr>
        <w:t>i</w:t>
      </w:r>
      <w:r w:rsidRPr="00D2267D">
        <w:rPr>
          <w:rFonts w:ascii="Arial" w:hAnsi="Arial" w:cs="Arial"/>
          <w:bCs/>
          <w:sz w:val="22"/>
          <w:lang w:val="es-ES_tradnl"/>
        </w:rPr>
        <w:t xml:space="preserve">mismo, cuando se está ante </w:t>
      </w:r>
      <w:r w:rsidRPr="00D2267D">
        <w:rPr>
          <w:rFonts w:ascii="Arial" w:hAnsi="Arial" w:cs="Arial"/>
          <w:color w:val="000000" w:themeColor="text1"/>
          <w:sz w:val="22"/>
        </w:rPr>
        <w:t>la existencia de un contrato complejo</w:t>
      </w:r>
      <w:r w:rsidRPr="00D2267D">
        <w:rPr>
          <w:rStyle w:val="Refdenotaalpie"/>
          <w:rFonts w:ascii="Arial" w:hAnsi="Arial" w:cs="Arial"/>
          <w:color w:val="000000" w:themeColor="text1"/>
          <w:sz w:val="22"/>
        </w:rPr>
        <w:footnoteReference w:id="19"/>
      </w:r>
      <w:r w:rsidRPr="00D2267D">
        <w:rPr>
          <w:rFonts w:ascii="Arial" w:hAnsi="Arial" w:cs="Arial"/>
          <w:color w:val="000000" w:themeColor="text1"/>
          <w:sz w:val="22"/>
        </w:rPr>
        <w:t>, porque la voluntad de las partes involucra diversas estipulaciones que por lo general son propios de varios tipos contractuales, se dificulta definir el criterio interpretativo para disciplinar el contrato</w:t>
      </w:r>
      <w:r>
        <w:rPr>
          <w:rFonts w:ascii="Arial" w:hAnsi="Arial" w:cs="Arial"/>
          <w:color w:val="000000" w:themeColor="text1"/>
          <w:sz w:val="22"/>
        </w:rPr>
        <w:t>.</w:t>
      </w:r>
      <w:r w:rsidRPr="00D2267D">
        <w:rPr>
          <w:rFonts w:ascii="Arial" w:hAnsi="Arial" w:cs="Arial"/>
          <w:color w:val="000000" w:themeColor="text1"/>
          <w:sz w:val="22"/>
        </w:rPr>
        <w:t xml:space="preserve"> </w:t>
      </w:r>
      <w:r>
        <w:rPr>
          <w:rFonts w:ascii="Arial" w:hAnsi="Arial" w:cs="Arial"/>
          <w:color w:val="000000" w:themeColor="text1"/>
          <w:sz w:val="22"/>
        </w:rPr>
        <w:t>N</w:t>
      </w:r>
      <w:r w:rsidRPr="00D2267D">
        <w:rPr>
          <w:rFonts w:ascii="Arial" w:hAnsi="Arial" w:cs="Arial"/>
          <w:color w:val="000000" w:themeColor="text1"/>
          <w:sz w:val="22"/>
        </w:rPr>
        <w:t xml:space="preserve">o obstante, </w:t>
      </w:r>
      <w:r>
        <w:rPr>
          <w:rFonts w:ascii="Arial" w:hAnsi="Arial" w:cs="Arial"/>
          <w:color w:val="000000" w:themeColor="text1"/>
          <w:sz w:val="22"/>
        </w:rPr>
        <w:t>surge la necesidad de</w:t>
      </w:r>
      <w:r w:rsidRPr="00D2267D">
        <w:rPr>
          <w:rFonts w:ascii="Arial" w:hAnsi="Arial" w:cs="Arial"/>
          <w:color w:val="000000" w:themeColor="text1"/>
          <w:sz w:val="22"/>
        </w:rPr>
        <w:t xml:space="preserve"> desentrañar dicha voluntad de los contratantes y, para el efecto, puede acudirse a la siguiente solución planteada por la Corte Suprema de Justicia, en sentencia de casación del 31 de mayo de 1938:</w:t>
      </w:r>
    </w:p>
    <w:p w14:paraId="41E75073" w14:textId="77777777" w:rsidR="003B3D60" w:rsidRPr="00D2267D" w:rsidRDefault="003B3D60" w:rsidP="003B3D60">
      <w:pPr>
        <w:pStyle w:val="Sinespaciado"/>
        <w:spacing w:line="276" w:lineRule="auto"/>
        <w:jc w:val="both"/>
        <w:rPr>
          <w:rFonts w:ascii="Arial" w:hAnsi="Arial" w:cs="Arial"/>
          <w:color w:val="000000" w:themeColor="text1"/>
          <w:sz w:val="22"/>
        </w:rPr>
      </w:pPr>
    </w:p>
    <w:p w14:paraId="62062F21" w14:textId="13309A4C" w:rsidR="003B3D60" w:rsidRPr="00D2267D" w:rsidRDefault="001625A4" w:rsidP="003B3D60">
      <w:pPr>
        <w:pStyle w:val="Sinespaciad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003B3D60" w:rsidRPr="00D2267D">
        <w:rPr>
          <w:rFonts w:ascii="Arial" w:hAnsi="Arial" w:cs="Arial"/>
          <w:color w:val="000000" w:themeColor="text1"/>
          <w:sz w:val="21"/>
          <w:szCs w:val="21"/>
        </w:rPr>
        <w:t>Las relaciones convencionales que no encajan dentro de ninguno de los tipos reglamentados de contrato se aplican por analogía del tipo contractual afín al punto de vista jurídico pertinente, o por los principios generales del derecho de las obligaciones o de los contratos y, a título complementario, por el arbitrio judicial. Bien entendido que esos criterios no han de violentar la voluntad libremente configurada de las partes dentro de los amplios límites a ella trazados por el legislador</w:t>
      </w:r>
      <w:r>
        <w:rPr>
          <w:rFonts w:ascii="Arial" w:hAnsi="Arial" w:cs="Arial"/>
          <w:color w:val="000000" w:themeColor="text1"/>
          <w:sz w:val="21"/>
          <w:szCs w:val="21"/>
        </w:rPr>
        <w:t>”</w:t>
      </w:r>
      <w:r w:rsidR="003B3D60" w:rsidRPr="00D2267D">
        <w:rPr>
          <w:rStyle w:val="Refdenotaalpie"/>
          <w:rFonts w:ascii="Arial" w:hAnsi="Arial" w:cs="Arial"/>
          <w:color w:val="000000" w:themeColor="text1"/>
          <w:sz w:val="22"/>
        </w:rPr>
        <w:footnoteReference w:id="20"/>
      </w:r>
      <w:r w:rsidR="003B3D60" w:rsidRPr="00D2267D">
        <w:rPr>
          <w:rFonts w:ascii="Arial" w:hAnsi="Arial" w:cs="Arial"/>
          <w:color w:val="000000" w:themeColor="text1"/>
          <w:sz w:val="21"/>
          <w:szCs w:val="21"/>
        </w:rPr>
        <w:t>.</w:t>
      </w:r>
    </w:p>
    <w:p w14:paraId="224AFFA6" w14:textId="77777777" w:rsidR="003B3D60" w:rsidRPr="00D2267D" w:rsidRDefault="003B3D60" w:rsidP="003B3D60">
      <w:pPr>
        <w:pStyle w:val="Sinespaciado"/>
        <w:spacing w:line="276" w:lineRule="auto"/>
        <w:ind w:left="709" w:right="709"/>
        <w:jc w:val="both"/>
        <w:rPr>
          <w:rFonts w:ascii="Arial" w:hAnsi="Arial" w:cs="Arial"/>
          <w:color w:val="000000" w:themeColor="text1"/>
          <w:sz w:val="21"/>
          <w:szCs w:val="21"/>
        </w:rPr>
      </w:pPr>
    </w:p>
    <w:p w14:paraId="323E440B" w14:textId="77777777" w:rsidR="003B3D60" w:rsidRPr="00D2267D" w:rsidRDefault="003B3D60" w:rsidP="003B3D60">
      <w:pPr>
        <w:pStyle w:val="Sinespaciado"/>
        <w:spacing w:line="276" w:lineRule="auto"/>
        <w:ind w:firstLine="709"/>
        <w:jc w:val="both"/>
        <w:rPr>
          <w:rFonts w:ascii="Arial" w:hAnsi="Arial" w:cs="Arial"/>
          <w:color w:val="000000" w:themeColor="text1"/>
          <w:sz w:val="22"/>
        </w:rPr>
      </w:pPr>
      <w:r w:rsidRPr="00D2267D">
        <w:rPr>
          <w:rFonts w:ascii="Arial" w:hAnsi="Arial" w:cs="Arial"/>
          <w:color w:val="000000" w:themeColor="text1"/>
          <w:sz w:val="22"/>
        </w:rPr>
        <w:t xml:space="preserve">Por su parte, el Consejo de Estado también ha entendido que los contratos estatales pueden calificarse como contratos mixtos cuando involucran prestaciones de igual connotación y, en reciente pronunciamiento, proferido con ocasión de una consulta relacionada con la causación de la estampilla prouniversidades por la suscripción de contratos de suministro de </w:t>
      </w:r>
      <w:r w:rsidRPr="00D2267D">
        <w:rPr>
          <w:rFonts w:ascii="Arial" w:hAnsi="Arial" w:cs="Arial"/>
          <w:color w:val="000000" w:themeColor="text1"/>
          <w:sz w:val="22"/>
        </w:rPr>
        <w:lastRenderedPageBreak/>
        <w:t>materiales, personal y mantenimientos para las sedes de una entidad, consideró lo siguiente frente a la interpretación de estos contratos:</w:t>
      </w:r>
    </w:p>
    <w:p w14:paraId="19C53171" w14:textId="77777777" w:rsidR="003B3D60" w:rsidRPr="00D2267D" w:rsidRDefault="003B3D60" w:rsidP="003B3D60">
      <w:pPr>
        <w:pStyle w:val="Sinespaciado"/>
        <w:spacing w:line="276" w:lineRule="auto"/>
        <w:jc w:val="both"/>
        <w:rPr>
          <w:rFonts w:ascii="Arial" w:hAnsi="Arial" w:cs="Arial"/>
          <w:color w:val="000000" w:themeColor="text1"/>
          <w:sz w:val="22"/>
        </w:rPr>
      </w:pPr>
    </w:p>
    <w:p w14:paraId="3D066E8E" w14:textId="05E1009E" w:rsidR="003B3D60" w:rsidRPr="00D2267D" w:rsidRDefault="001625A4" w:rsidP="003B3D60">
      <w:pPr>
        <w:pStyle w:val="Sinespaciado"/>
        <w:widowControl w:val="0"/>
        <w:autoSpaceDE w:val="0"/>
        <w:autoSpaceDN w:val="0"/>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003B3D60" w:rsidRPr="00D2267D">
        <w:rPr>
          <w:rFonts w:ascii="Arial" w:hAnsi="Arial" w:cs="Arial"/>
          <w:color w:val="000000" w:themeColor="text1"/>
          <w:sz w:val="21"/>
          <w:szCs w:val="21"/>
        </w:rPr>
        <w:t>Es posible que existan contratos mixtos que contengan prestaciones correspondientes a varios tipos o clases de contratos, que no se encuentran relacionados con otros contratos típicos o atípicos, nominados o innominados a que se refieren los artículos 32 y 40 de la Ley 80 de 1993.</w:t>
      </w:r>
    </w:p>
    <w:p w14:paraId="3ACC0166" w14:textId="77777777" w:rsidR="003B3D60" w:rsidRPr="00D2267D" w:rsidRDefault="003B3D60" w:rsidP="003B3D60">
      <w:pPr>
        <w:pStyle w:val="Sinespaciado"/>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w:t>
      </w:r>
    </w:p>
    <w:p w14:paraId="3F5E684B" w14:textId="77777777" w:rsidR="003B3D60" w:rsidRPr="00D2267D" w:rsidRDefault="003B3D60" w:rsidP="003B3D60">
      <w:pPr>
        <w:pStyle w:val="Sinespaciado"/>
        <w:widowControl w:val="0"/>
        <w:autoSpaceDE w:val="0"/>
        <w:autoSpaceDN w:val="0"/>
        <w:spacing w:before="120"/>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El contrato es mixto cuando las prestaciones mixtas están esencialmente vinculadas entre sí, por tener relaciones de complemento u obedecer a una unidad funcional dirigida a la satisfacción de la necesidad de la entidad -unidad de causa-. En caso contrario, si las prestaciones son autónomas y no guardan vinculación entre sí, la figura será una unión de contratos -causas distintas-.</w:t>
      </w:r>
    </w:p>
    <w:p w14:paraId="23D3CE9A" w14:textId="6A017F43" w:rsidR="003B3D60" w:rsidRPr="00D2267D" w:rsidRDefault="003B3D60" w:rsidP="003B3D60">
      <w:pPr>
        <w:pStyle w:val="Sinespaciado"/>
        <w:widowControl w:val="0"/>
        <w:autoSpaceDE w:val="0"/>
        <w:autoSpaceDN w:val="0"/>
        <w:spacing w:before="120"/>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El ejemplo de contratos mixtos más común se refiere, como se señaló, al suministro de equipos necesarios para la prestación del servicio público de la entidad, con prestaciones accesorias y necesarias, relacionadas con su instalación y su puesta en funcionamiento, así como servicios de capacitación de asesoría de la entidad en el uso de los mismos</w:t>
      </w:r>
      <w:r w:rsidR="001625A4">
        <w:rPr>
          <w:rFonts w:ascii="Arial" w:hAnsi="Arial" w:cs="Arial"/>
          <w:color w:val="000000" w:themeColor="text1"/>
          <w:sz w:val="21"/>
          <w:szCs w:val="21"/>
        </w:rPr>
        <w:t>”</w:t>
      </w:r>
      <w:r w:rsidRPr="00D2267D">
        <w:rPr>
          <w:rStyle w:val="Refdenotaalpie"/>
          <w:rFonts w:ascii="Arial" w:hAnsi="Arial" w:cs="Arial"/>
          <w:color w:val="000000" w:themeColor="text1"/>
          <w:sz w:val="22"/>
        </w:rPr>
        <w:footnoteReference w:id="21"/>
      </w:r>
      <w:r w:rsidRPr="00D2267D">
        <w:rPr>
          <w:rFonts w:ascii="Arial" w:hAnsi="Arial" w:cs="Arial"/>
          <w:color w:val="000000" w:themeColor="text1"/>
          <w:sz w:val="21"/>
          <w:szCs w:val="21"/>
        </w:rPr>
        <w:t>.</w:t>
      </w:r>
    </w:p>
    <w:p w14:paraId="0FA9BD1E" w14:textId="77777777" w:rsidR="003B3D60" w:rsidRPr="009A2643" w:rsidRDefault="003B3D60" w:rsidP="003B3D60">
      <w:pPr>
        <w:pStyle w:val="Sinespaciado"/>
        <w:widowControl w:val="0"/>
        <w:autoSpaceDE w:val="0"/>
        <w:autoSpaceDN w:val="0"/>
        <w:ind w:right="709"/>
        <w:jc w:val="both"/>
        <w:rPr>
          <w:rFonts w:ascii="Arial" w:hAnsi="Arial" w:cs="Arial"/>
          <w:color w:val="000000" w:themeColor="text1"/>
          <w:sz w:val="22"/>
        </w:rPr>
      </w:pPr>
    </w:p>
    <w:p w14:paraId="7DC8F333" w14:textId="77777777" w:rsidR="003B3D60" w:rsidRDefault="003B3D60" w:rsidP="003B3D60">
      <w:pPr>
        <w:spacing w:after="120" w:line="276" w:lineRule="auto"/>
        <w:ind w:firstLine="708"/>
        <w:jc w:val="both"/>
        <w:rPr>
          <w:rFonts w:ascii="Arial" w:hAnsi="Arial" w:cs="Arial"/>
          <w:color w:val="000000" w:themeColor="text1"/>
        </w:rPr>
      </w:pPr>
      <w:r w:rsidRPr="00D2267D">
        <w:rPr>
          <w:rFonts w:ascii="Arial" w:hAnsi="Arial" w:cs="Arial"/>
          <w:color w:val="000000" w:themeColor="text1"/>
        </w:rPr>
        <w:t>Resulta del caso precisar que la tipología contractual incide en aspectos como el proceso de selección que debe realizarse</w:t>
      </w:r>
      <w:r>
        <w:rPr>
          <w:rFonts w:ascii="Arial" w:hAnsi="Arial" w:cs="Arial"/>
          <w:color w:val="000000" w:themeColor="text1"/>
        </w:rPr>
        <w:t>,</w:t>
      </w:r>
      <w:r w:rsidRPr="00D2267D">
        <w:rPr>
          <w:rFonts w:ascii="Arial" w:hAnsi="Arial" w:cs="Arial"/>
          <w:color w:val="000000" w:themeColor="text1"/>
        </w:rPr>
        <w:t xml:space="preserve"> los requisitos habilitantes o ponderables a incorporar en el pliego de condiciones para seleccionar de manera objetiva la mejor oferta; y si debe o no exigir</w:t>
      </w:r>
      <w:r>
        <w:rPr>
          <w:rFonts w:ascii="Arial" w:hAnsi="Arial" w:cs="Arial"/>
          <w:color w:val="000000" w:themeColor="text1"/>
        </w:rPr>
        <w:t>se</w:t>
      </w:r>
      <w:r w:rsidRPr="00D2267D">
        <w:rPr>
          <w:rFonts w:ascii="Arial" w:hAnsi="Arial" w:cs="Arial"/>
          <w:color w:val="000000" w:themeColor="text1"/>
        </w:rPr>
        <w:t xml:space="preserve"> el Registro Único de Proponentes –RUP–, entre otras cuestiones importantes para el proceso de contratación.</w:t>
      </w:r>
      <w:r>
        <w:rPr>
          <w:rFonts w:ascii="Arial" w:hAnsi="Arial" w:cs="Arial"/>
          <w:color w:val="000000" w:themeColor="text1"/>
        </w:rPr>
        <w:t xml:space="preserve"> Precisado lo anterior</w:t>
      </w:r>
      <w:r w:rsidRPr="00D2267D">
        <w:rPr>
          <w:rFonts w:ascii="Arial" w:hAnsi="Arial" w:cs="Arial"/>
          <w:color w:val="000000" w:themeColor="text1"/>
        </w:rPr>
        <w:t>,</w:t>
      </w:r>
      <w:r>
        <w:rPr>
          <w:rFonts w:ascii="Arial" w:hAnsi="Arial" w:cs="Arial"/>
          <w:color w:val="000000" w:themeColor="text1"/>
        </w:rPr>
        <w:t xml:space="preserve"> respecto</w:t>
      </w:r>
      <w:r w:rsidRPr="00D2267D">
        <w:rPr>
          <w:rFonts w:ascii="Arial" w:hAnsi="Arial" w:cs="Arial"/>
          <w:color w:val="000000" w:themeColor="text1"/>
        </w:rPr>
        <w:t xml:space="preserve"> el objeto de la consulta, </w:t>
      </w:r>
      <w:r>
        <w:rPr>
          <w:rFonts w:ascii="Arial" w:hAnsi="Arial" w:cs="Arial"/>
          <w:color w:val="000000" w:themeColor="text1"/>
        </w:rPr>
        <w:t>es pertinente reflexionar sobre dos (2)</w:t>
      </w:r>
      <w:r w:rsidRPr="00D2267D">
        <w:rPr>
          <w:rFonts w:ascii="Arial" w:hAnsi="Arial" w:cs="Arial"/>
          <w:color w:val="000000" w:themeColor="text1"/>
        </w:rPr>
        <w:t xml:space="preserve"> de los contratos típicos que pueden utilizar las entidades estatales para satisfacer necesidades</w:t>
      </w:r>
      <w:r>
        <w:rPr>
          <w:rFonts w:ascii="Arial" w:hAnsi="Arial" w:cs="Arial"/>
          <w:color w:val="000000" w:themeColor="text1"/>
        </w:rPr>
        <w:t>: el contrato de suministro y el de obra</w:t>
      </w:r>
      <w:r w:rsidRPr="00D2267D">
        <w:rPr>
          <w:rFonts w:ascii="Arial" w:hAnsi="Arial" w:cs="Arial"/>
          <w:color w:val="000000" w:themeColor="text1"/>
        </w:rPr>
        <w:t xml:space="preserve">. </w:t>
      </w:r>
    </w:p>
    <w:p w14:paraId="2126DA6C" w14:textId="77777777" w:rsidR="003B3D60" w:rsidRPr="00D2267D" w:rsidRDefault="003B3D60" w:rsidP="003B3D60">
      <w:pPr>
        <w:spacing w:after="120" w:line="276" w:lineRule="auto"/>
        <w:ind w:firstLine="708"/>
        <w:jc w:val="both"/>
        <w:rPr>
          <w:rFonts w:ascii="Arial" w:hAnsi="Arial" w:cs="Arial"/>
          <w:color w:val="000000" w:themeColor="text1"/>
        </w:rPr>
      </w:pPr>
      <w:r w:rsidRPr="00C57B26">
        <w:rPr>
          <w:rFonts w:ascii="Arial" w:hAnsi="Arial" w:cs="Arial"/>
          <w:color w:val="000000" w:themeColor="text1"/>
        </w:rPr>
        <w:t>Por un lado</w:t>
      </w:r>
      <w:r>
        <w:rPr>
          <w:rFonts w:ascii="Arial" w:hAnsi="Arial" w:cs="Arial"/>
          <w:color w:val="000000" w:themeColor="text1"/>
        </w:rPr>
        <w:t>, e</w:t>
      </w:r>
      <w:r w:rsidRPr="00D2267D">
        <w:rPr>
          <w:rFonts w:ascii="Arial" w:hAnsi="Arial" w:cs="Arial"/>
          <w:color w:val="000000" w:themeColor="text1"/>
        </w:rPr>
        <w:t xml:space="preserve">l término suministro proviene del latín </w:t>
      </w:r>
      <w:r w:rsidRPr="00D2267D">
        <w:rPr>
          <w:rFonts w:ascii="Arial" w:hAnsi="Arial" w:cs="Arial"/>
          <w:i/>
          <w:iCs/>
          <w:color w:val="000000" w:themeColor="text1"/>
        </w:rPr>
        <w:t>subministrare</w:t>
      </w:r>
      <w:r w:rsidRPr="00D2267D">
        <w:rPr>
          <w:rFonts w:ascii="Arial" w:hAnsi="Arial" w:cs="Arial"/>
          <w:color w:val="000000" w:themeColor="text1"/>
        </w:rPr>
        <w:t xml:space="preserve"> que significa proveer a uno algo que necesita. En la actualidad el contrato de suministro tiene una función económica</w:t>
      </w:r>
      <w:r w:rsidRPr="00D2267D">
        <w:rPr>
          <w:rStyle w:val="Refdenotaalpie"/>
          <w:rFonts w:ascii="Arial" w:hAnsi="Arial" w:cs="Arial"/>
          <w:color w:val="000000" w:themeColor="text1"/>
        </w:rPr>
        <w:footnoteReference w:id="22"/>
      </w:r>
      <w:r w:rsidRPr="00D2267D">
        <w:rPr>
          <w:rFonts w:ascii="Arial" w:hAnsi="Arial" w:cs="Arial"/>
          <w:color w:val="000000" w:themeColor="text1"/>
        </w:rPr>
        <w:t xml:space="preserve"> importante pues sirve de instrumento para que un empresario pueda proyectar su actividad comercial y un proveedor pueda planificar su producción y las ventas, brindando certeza sobre el abastecimiento periódico de materias primas, bienes o servicios que el primero necesita del segundo, a cambio de una correlativa remuneración. En el ordenamiento jurídico colombiano el contrato de suministro está definido en el artículo 968 del Código de Comercio como el negocio jurídico </w:t>
      </w:r>
      <w:r>
        <w:rPr>
          <w:rFonts w:ascii="Arial" w:hAnsi="Arial" w:cs="Arial"/>
          <w:bCs/>
          <w:lang w:val="es-ES_tradnl"/>
        </w:rPr>
        <w:t>“</w:t>
      </w:r>
      <w:r w:rsidRPr="00D2267D">
        <w:rPr>
          <w:rFonts w:ascii="Arial" w:hAnsi="Arial" w:cs="Arial"/>
          <w:color w:val="000000" w:themeColor="text1"/>
        </w:rPr>
        <w:t>por el cual una parte se obliga, a cambio de una contraprestación, a cumplir en favor de otra, en forma independiente, prestaciones periódicas o continuadas de cosas o servicios</w:t>
      </w:r>
      <w:r>
        <w:rPr>
          <w:rFonts w:ascii="Arial" w:hAnsi="Arial" w:cs="Arial"/>
          <w:bCs/>
          <w:lang w:val="es-ES_tradnl"/>
        </w:rPr>
        <w:t>”</w:t>
      </w:r>
      <w:r w:rsidRPr="00D2267D">
        <w:rPr>
          <w:rFonts w:ascii="Arial" w:hAnsi="Arial" w:cs="Arial"/>
          <w:bCs/>
          <w:lang w:val="es-ES_tradnl"/>
        </w:rPr>
        <w:t>.</w:t>
      </w:r>
      <w:r w:rsidRPr="00D2267D">
        <w:rPr>
          <w:rFonts w:ascii="Arial" w:hAnsi="Arial" w:cs="Arial"/>
          <w:color w:val="000000" w:themeColor="text1"/>
        </w:rPr>
        <w:t xml:space="preserve"> </w:t>
      </w:r>
    </w:p>
    <w:p w14:paraId="6A96347A" w14:textId="77777777" w:rsidR="003B3D60" w:rsidRPr="00D2267D" w:rsidRDefault="003B3D60" w:rsidP="003B3D60">
      <w:pPr>
        <w:spacing w:after="120" w:line="276" w:lineRule="auto"/>
        <w:ind w:firstLine="708"/>
        <w:jc w:val="both"/>
        <w:rPr>
          <w:rFonts w:ascii="Arial" w:hAnsi="Arial" w:cs="Arial"/>
          <w:color w:val="000000" w:themeColor="text1"/>
        </w:rPr>
      </w:pPr>
      <w:r w:rsidRPr="00D2267D">
        <w:rPr>
          <w:rFonts w:ascii="Arial" w:hAnsi="Arial" w:cs="Arial"/>
          <w:color w:val="000000" w:themeColor="text1"/>
        </w:rPr>
        <w:lastRenderedPageBreak/>
        <w:t>El contrato de suministro reúne las siguientes características: i) es bilateral y conmutativo, ya que crea obligaciones recíprocas para las dos partes del contrato llamadas a reportar beneficios equivalentes para ambos; ii) es oneroso, pues genera un lucro, utilidad o beneficio para ambas partes; iii) es por regla general consensual, dado que en derecho privado nace con el solo acuerdo de voluntades sobre el objeto –no lo es en contratación estatal, donde es solemne–; iv) es de tracto sucesivo, porque la ejecución de las prestaciones se realiza de manera periódica o continua a través del tiempo; v) es principal, porque existe por si solo independientemente de otros contratos; vi) es nominado y típico, dado que cuenta con definición  y regulación legal en los artículos 968 y siguientes del Código de Comercio; y vii) en estos contratos estatales es potestativa la inclusión de cláusulas excepcionales, de conformidad con el artículo 14 de la Ley 80 de 1993.</w:t>
      </w:r>
    </w:p>
    <w:p w14:paraId="1F6824F5" w14:textId="77777777" w:rsidR="003B3D60" w:rsidRDefault="003B3D60" w:rsidP="003B3D60">
      <w:pPr>
        <w:spacing w:after="120" w:line="276" w:lineRule="auto"/>
        <w:ind w:firstLine="708"/>
        <w:jc w:val="both"/>
        <w:rPr>
          <w:rFonts w:ascii="Arial" w:hAnsi="Arial" w:cs="Arial"/>
          <w:bCs/>
          <w:lang w:val="es-ES_tradnl"/>
        </w:rPr>
      </w:pPr>
      <w:r w:rsidRPr="00D2267D">
        <w:rPr>
          <w:rFonts w:ascii="Arial" w:hAnsi="Arial" w:cs="Arial"/>
          <w:bCs/>
          <w:lang w:val="es-ES_tradnl"/>
        </w:rPr>
        <w:t>En el suministro quien se obliga de forma independiente a ejecutar las prestaciones sobre cosas –por lo general bienes muebles para el consumo o producción– o servicios –por lo general prestaciones inmateriales provenientes del esfuerzo humano– de forma periódica o continua se denomina proveedor o suministrante. Quien se beneficia de las prestaciones ejecutadas y queda a cambio obligado a pagar el precio se denomina consumidor, suministrado, beneficiario o cliente</w:t>
      </w:r>
      <w:r w:rsidRPr="00D2267D">
        <w:rPr>
          <w:rStyle w:val="Refdenotaalpie"/>
          <w:rFonts w:ascii="Arial" w:hAnsi="Arial" w:cs="Arial"/>
          <w:bCs/>
          <w:lang w:val="es-ES_tradnl"/>
        </w:rPr>
        <w:footnoteReference w:id="23"/>
      </w:r>
      <w:r w:rsidRPr="00D2267D">
        <w:rPr>
          <w:rFonts w:ascii="Arial" w:hAnsi="Arial" w:cs="Arial"/>
          <w:bCs/>
          <w:lang w:val="es-ES_tradnl"/>
        </w:rPr>
        <w:t>. Este contrato guarda cercanía con otros tipos contractuales</w:t>
      </w:r>
      <w:r>
        <w:rPr>
          <w:rFonts w:ascii="Arial" w:hAnsi="Arial" w:cs="Arial"/>
          <w:bCs/>
          <w:lang w:val="es-ES_tradnl"/>
        </w:rPr>
        <w:t>.</w:t>
      </w:r>
      <w:r w:rsidRPr="00D2267D">
        <w:rPr>
          <w:rFonts w:ascii="Arial" w:hAnsi="Arial" w:cs="Arial"/>
          <w:bCs/>
          <w:lang w:val="es-ES_tradnl"/>
        </w:rPr>
        <w:t xml:space="preserve"> </w:t>
      </w:r>
      <w:r>
        <w:rPr>
          <w:rFonts w:ascii="Arial" w:hAnsi="Arial" w:cs="Arial"/>
          <w:bCs/>
          <w:lang w:val="es-ES_tradnl"/>
        </w:rPr>
        <w:t>N</w:t>
      </w:r>
      <w:r w:rsidRPr="00D2267D">
        <w:rPr>
          <w:rFonts w:ascii="Arial" w:hAnsi="Arial" w:cs="Arial"/>
          <w:bCs/>
          <w:lang w:val="es-ES_tradnl"/>
        </w:rPr>
        <w:t xml:space="preserve">o obstante, su característica identificadora es la periodicidad o continuidad de la ejecución independiente de las prestaciones de cosas o servicios a cargo del proveedor. Por lo anterior, la doctrina reconoce que </w:t>
      </w:r>
      <w:r>
        <w:rPr>
          <w:rFonts w:ascii="Arial" w:hAnsi="Arial" w:cs="Arial"/>
          <w:bCs/>
          <w:lang w:val="es-ES_tradnl"/>
        </w:rPr>
        <w:t>“</w:t>
      </w:r>
      <w:r w:rsidRPr="00D2267D">
        <w:rPr>
          <w:rFonts w:ascii="Arial" w:hAnsi="Arial" w:cs="Arial"/>
          <w:bCs/>
          <w:lang w:val="es-ES_tradnl"/>
        </w:rPr>
        <w:t>debe tenerse en cuenta entonces la posibilidad de que en el contrato de suministro también se apliquen las reglas relativas a otros contratos que le sean compatibles, como son los de compraventa, transporte, obra, etc., particularmente en lo que se relaciona con la prestación periódica individualmente considerada, (art. 980 del C.Co)</w:t>
      </w:r>
      <w:r>
        <w:rPr>
          <w:rFonts w:ascii="Arial" w:hAnsi="Arial" w:cs="Arial"/>
          <w:bCs/>
          <w:lang w:val="es-ES_tradnl"/>
        </w:rPr>
        <w:t>”</w:t>
      </w:r>
      <w:r w:rsidRPr="00D2267D">
        <w:rPr>
          <w:rStyle w:val="Refdenotaalpie"/>
          <w:rFonts w:ascii="Arial" w:hAnsi="Arial" w:cs="Arial"/>
          <w:bCs/>
          <w:lang w:val="es-ES_tradnl"/>
        </w:rPr>
        <w:footnoteReference w:id="24"/>
      </w:r>
      <w:r w:rsidRPr="00D2267D">
        <w:rPr>
          <w:rFonts w:ascii="Arial" w:hAnsi="Arial" w:cs="Arial"/>
          <w:bCs/>
          <w:lang w:val="es-ES_tradnl"/>
        </w:rPr>
        <w:t>.</w:t>
      </w:r>
    </w:p>
    <w:p w14:paraId="795E8F69" w14:textId="77777777" w:rsidR="003B3D60" w:rsidRPr="00DB7DB1" w:rsidRDefault="003B3D60" w:rsidP="003B3D60">
      <w:pPr>
        <w:widowControl w:val="0"/>
        <w:autoSpaceDE w:val="0"/>
        <w:autoSpaceDN w:val="0"/>
        <w:spacing w:line="276" w:lineRule="auto"/>
        <w:ind w:firstLine="708"/>
        <w:jc w:val="both"/>
        <w:rPr>
          <w:rFonts w:ascii="Arial" w:eastAsia="Calibri" w:hAnsi="Arial" w:cs="Arial"/>
          <w:color w:val="000000"/>
          <w:lang w:val="es-ES_tradnl" w:eastAsia="es-ES" w:bidi="es-ES"/>
        </w:rPr>
      </w:pPr>
      <w:r>
        <w:rPr>
          <w:rFonts w:ascii="Arial" w:hAnsi="Arial" w:cs="Arial"/>
          <w:bCs/>
          <w:lang w:val="es-ES_tradnl"/>
        </w:rPr>
        <w:t xml:space="preserve">Por otra parte, </w:t>
      </w:r>
      <w:r>
        <w:rPr>
          <w:rFonts w:ascii="Arial" w:eastAsia="Calibri" w:hAnsi="Arial" w:cs="Arial"/>
          <w:color w:val="000000"/>
          <w:lang w:val="es-ES_tradnl" w:eastAsia="es-ES" w:bidi="es-ES"/>
        </w:rPr>
        <w:t>l</w:t>
      </w:r>
      <w:r w:rsidRPr="00DB7DB1">
        <w:rPr>
          <w:rFonts w:ascii="Arial" w:eastAsia="Calibri" w:hAnsi="Arial" w:cs="Arial"/>
          <w:color w:val="000000"/>
          <w:lang w:val="es-ES_tradnl" w:eastAsia="es-ES" w:bidi="es-ES"/>
        </w:rPr>
        <w:t xml:space="preserve">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3BB0A921" w14:textId="77777777" w:rsidR="003B3D60" w:rsidRDefault="003B3D60" w:rsidP="003B3D60">
      <w:pPr>
        <w:widowControl w:val="0"/>
        <w:autoSpaceDE w:val="0"/>
        <w:autoSpaceDN w:val="0"/>
        <w:spacing w:before="120" w:after="0" w:line="276" w:lineRule="auto"/>
        <w:ind w:firstLine="708"/>
        <w:jc w:val="both"/>
        <w:rPr>
          <w:rFonts w:ascii="Arial" w:eastAsia="Calibri" w:hAnsi="Arial" w:cs="Arial"/>
          <w:color w:val="000000"/>
          <w:lang w:val="es-ES_tradnl" w:eastAsia="es-ES" w:bidi="es-ES"/>
        </w:rPr>
      </w:pPr>
      <w:r w:rsidRPr="00DB7DB1">
        <w:rPr>
          <w:rFonts w:ascii="Arial" w:eastAsia="Calibri" w:hAnsi="Arial" w:cs="Arial"/>
          <w:color w:val="000000"/>
          <w:lang w:val="es-ES_tradnl" w:eastAsia="es-ES" w:bidi="es-ES"/>
        </w:rPr>
        <w:t xml:space="preserve">En efecto, </w:t>
      </w:r>
      <w:bookmarkStart w:id="10" w:name="_Hlk81432298"/>
      <w:r w:rsidRPr="00DB7DB1">
        <w:rPr>
          <w:rFonts w:ascii="Arial" w:eastAsia="Calibri" w:hAnsi="Arial" w:cs="Arial"/>
          <w:color w:val="000000"/>
          <w:lang w:val="es-ES_tradnl" w:eastAsia="es-ES" w:bidi="es-ES"/>
        </w:rPr>
        <w:t xml:space="preserve">en el derecho privado brilla por la ausencia una definición del contrato de obra. El artículo 2053 del Código Civil lo tipifica como una de las clases de arrendamiento, y establece reglas para diferenciarlo de la compraventa, para lo cual dispone que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Si al artífice suministra la materia para la confección de una obra material, el contrato es de venta; pero no se perfecciona sino por la aprobación del que ordenó la obra</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Por el contrario,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Si la materia es suministrada por la persona que encargó la obra, el contrato es de arrendamiento</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pero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Si la materia principal es </w:t>
      </w:r>
      <w:r w:rsidRPr="00DB7DB1">
        <w:rPr>
          <w:rFonts w:ascii="Arial" w:eastAsia="Calibri" w:hAnsi="Arial" w:cs="Arial"/>
          <w:color w:val="000000"/>
          <w:lang w:val="es-ES_tradnl" w:eastAsia="es-ES" w:bidi="es-ES"/>
        </w:rPr>
        <w:lastRenderedPageBreak/>
        <w:t>suministrada por el que ha ordenado la obra, poniendo el artífice lo demás, el contrato es de arrendamiento; en el caso contrario, de venta</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En todo caso, en la medida en que los artículos 2060 y 2061 del Código disponen reglas especiales para los contratos de construcción y de arquitectura, es claro que la realización de trabajos materiales recae tanto sobre bienes muebles como inmuebles. </w:t>
      </w:r>
      <w:bookmarkEnd w:id="10"/>
      <w:r w:rsidRPr="00DB7DB1">
        <w:rPr>
          <w:rFonts w:ascii="Arial" w:eastAsia="Calibri" w:hAnsi="Arial" w:cs="Arial"/>
          <w:color w:val="000000"/>
          <w:lang w:val="es-ES_tradnl" w:eastAsia="es-ES" w:bidi="es-ES"/>
        </w:rPr>
        <w:t>Así, la doctrina considera que:</w:t>
      </w:r>
    </w:p>
    <w:p w14:paraId="035525BE" w14:textId="77777777" w:rsidR="003B3D60" w:rsidRPr="00DB7DB1" w:rsidRDefault="003B3D60" w:rsidP="003B3D60">
      <w:pPr>
        <w:widowControl w:val="0"/>
        <w:autoSpaceDE w:val="0"/>
        <w:autoSpaceDN w:val="0"/>
        <w:spacing w:after="0" w:line="276" w:lineRule="auto"/>
        <w:ind w:firstLine="708"/>
        <w:jc w:val="both"/>
        <w:rPr>
          <w:rFonts w:ascii="Arial" w:eastAsia="Calibri" w:hAnsi="Arial" w:cs="Arial"/>
          <w:color w:val="000000"/>
          <w:lang w:val="es-ES_tradnl" w:eastAsia="es-ES" w:bidi="es-ES"/>
        </w:rPr>
      </w:pPr>
    </w:p>
    <w:p w14:paraId="749599D3" w14:textId="607066A0" w:rsidR="003B3D60" w:rsidRPr="00DB7DB1" w:rsidRDefault="001625A4" w:rsidP="003B3D60">
      <w:pPr>
        <w:widowControl w:val="0"/>
        <w:autoSpaceDE w:val="0"/>
        <w:autoSpaceDN w:val="0"/>
        <w:spacing w:after="120" w:line="240" w:lineRule="auto"/>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t>“</w:t>
      </w:r>
      <w:r w:rsidR="003B3D60" w:rsidRPr="00DB7DB1">
        <w:rPr>
          <w:rFonts w:ascii="Arial" w:eastAsia="Calibri" w:hAnsi="Arial" w:cs="Arial"/>
          <w:color w:val="000000"/>
          <w:sz w:val="21"/>
          <w:szCs w:val="21"/>
          <w:lang w:val="es-ES_tradnl" w:eastAsia="es-ES" w:bidi="es-ES"/>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2A3B2F83" w14:textId="6FD157DB" w:rsidR="003B3D60" w:rsidRPr="00DB7DB1" w:rsidRDefault="003B3D60" w:rsidP="003B3D60">
      <w:pPr>
        <w:widowControl w:val="0"/>
        <w:autoSpaceDE w:val="0"/>
        <w:autoSpaceDN w:val="0"/>
        <w:spacing w:before="120" w:after="0" w:line="240" w:lineRule="auto"/>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001625A4">
        <w:rPr>
          <w:rFonts w:ascii="Arial" w:eastAsia="Calibri" w:hAnsi="Arial" w:cs="Arial"/>
          <w:color w:val="000000"/>
          <w:sz w:val="21"/>
          <w:szCs w:val="21"/>
          <w:lang w:val="es-ES_tradnl" w:eastAsia="es-ES" w:bidi="es-ES"/>
        </w:rPr>
        <w:t>”</w:t>
      </w:r>
      <w:r w:rsidRPr="00DB7DB1">
        <w:rPr>
          <w:rFonts w:ascii="Arial" w:eastAsia="Calibri" w:hAnsi="Arial" w:cs="Arial"/>
          <w:color w:val="000000"/>
          <w:sz w:val="21"/>
          <w:szCs w:val="21"/>
          <w:vertAlign w:val="superscript"/>
          <w:lang w:val="es-ES_tradnl" w:eastAsia="es-ES" w:bidi="es-ES"/>
        </w:rPr>
        <w:footnoteReference w:id="25"/>
      </w:r>
      <w:r w:rsidRPr="00DB7DB1">
        <w:rPr>
          <w:rFonts w:ascii="Arial" w:eastAsia="Calibri" w:hAnsi="Arial" w:cs="Arial"/>
          <w:color w:val="000000"/>
          <w:sz w:val="21"/>
          <w:szCs w:val="21"/>
          <w:lang w:val="es-ES_tradnl" w:eastAsia="es-ES" w:bidi="es-ES"/>
        </w:rPr>
        <w:t xml:space="preserve">.  </w:t>
      </w:r>
    </w:p>
    <w:p w14:paraId="3B9A88BC" w14:textId="77777777" w:rsidR="003B3D60" w:rsidRPr="009A2643" w:rsidRDefault="003B3D60" w:rsidP="003B3D60">
      <w:pPr>
        <w:widowControl w:val="0"/>
        <w:autoSpaceDE w:val="0"/>
        <w:autoSpaceDN w:val="0"/>
        <w:spacing w:after="0" w:line="276" w:lineRule="auto"/>
        <w:ind w:left="709" w:right="709"/>
        <w:jc w:val="both"/>
        <w:rPr>
          <w:rFonts w:ascii="Arial" w:eastAsia="Calibri" w:hAnsi="Arial" w:cs="Arial"/>
          <w:color w:val="000000"/>
          <w:lang w:val="es-ES_tradnl" w:eastAsia="es-ES" w:bidi="es-ES"/>
        </w:rPr>
      </w:pPr>
      <w:r w:rsidRPr="00DB7DB1">
        <w:rPr>
          <w:rFonts w:ascii="Arial" w:eastAsia="Calibri" w:hAnsi="Arial" w:cs="Arial"/>
          <w:color w:val="000000"/>
          <w:sz w:val="21"/>
          <w:szCs w:val="21"/>
          <w:lang w:val="es-ES_tradnl" w:eastAsia="es-ES" w:bidi="es-ES"/>
        </w:rPr>
        <w:t xml:space="preserve">    </w:t>
      </w:r>
    </w:p>
    <w:p w14:paraId="327C6D76" w14:textId="77777777" w:rsidR="003B3D60" w:rsidRPr="00DB7DB1" w:rsidRDefault="003B3D60" w:rsidP="003B3D60">
      <w:pPr>
        <w:widowControl w:val="0"/>
        <w:autoSpaceDE w:val="0"/>
        <w:autoSpaceDN w:val="0"/>
        <w:spacing w:after="0" w:line="276" w:lineRule="auto"/>
        <w:ind w:firstLine="708"/>
        <w:jc w:val="both"/>
        <w:rPr>
          <w:rFonts w:ascii="Arial" w:eastAsia="Calibri" w:hAnsi="Arial" w:cs="Arial"/>
          <w:color w:val="000000"/>
          <w:lang w:val="es-ES_tradnl" w:eastAsia="es-ES" w:bidi="es-ES"/>
        </w:rPr>
      </w:pPr>
      <w:bookmarkStart w:id="11" w:name="_Hlk35420344"/>
      <w:r w:rsidRPr="00DB7DB1">
        <w:rPr>
          <w:rFonts w:ascii="Arial" w:eastAsia="Calibri" w:hAnsi="Arial" w:cs="Arial"/>
          <w:color w:val="000000"/>
          <w:lang w:val="es-ES_tradnl" w:eastAsia="es-ES" w:bidi="es-ES"/>
        </w:rPr>
        <w:t xml:space="preserve">En </w:t>
      </w:r>
      <w:r w:rsidRPr="00DB7DB1">
        <w:rPr>
          <w:rFonts w:ascii="Arial" w:eastAsia="Calibri" w:hAnsi="Arial" w:cs="Arial"/>
          <w:i/>
          <w:iCs/>
          <w:color w:val="000000"/>
          <w:lang w:val="es-ES_tradnl" w:eastAsia="es-ES" w:bidi="es-ES"/>
        </w:rPr>
        <w:t>sentido amplio</w:t>
      </w:r>
      <w:r w:rsidRPr="00DB7DB1">
        <w:rPr>
          <w:rFonts w:ascii="Arial" w:eastAsia="Calibri" w:hAnsi="Arial" w:cs="Arial"/>
          <w:color w:val="000000"/>
          <w:lang w:val="es-ES_tradnl" w:eastAsia="es-ES" w:bidi="es-ES"/>
        </w:rPr>
        <w:t xml:space="preserve">, dado que la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obra</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es un bien que crea la actividad humana, el hecho de que sea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pública</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significa que es todo trabajo material en cuya creación o realización interviene el Estado. No obstante, </w:t>
      </w:r>
      <w:bookmarkStart w:id="12" w:name="_Hlk81428563"/>
      <w:r w:rsidRPr="00DB7DB1">
        <w:rPr>
          <w:rFonts w:ascii="Arial" w:eastAsia="Calibri" w:hAnsi="Arial" w:cs="Arial"/>
          <w:color w:val="000000"/>
          <w:lang w:val="es-ES_tradnl" w:eastAsia="es-ES" w:bidi="es-ES"/>
        </w:rPr>
        <w:t xml:space="preserve">el numeral 1 del artículo 32 de la Ley 80 de 1993 opta por un </w:t>
      </w:r>
      <w:r w:rsidRPr="00DB7DB1">
        <w:rPr>
          <w:rFonts w:ascii="Arial" w:eastAsia="Calibri" w:hAnsi="Arial" w:cs="Arial"/>
          <w:i/>
          <w:iCs/>
          <w:color w:val="000000"/>
          <w:lang w:val="es-ES_tradnl" w:eastAsia="es-ES" w:bidi="es-ES"/>
        </w:rPr>
        <w:t>sentido restringido</w:t>
      </w:r>
      <w:r w:rsidRPr="00DB7DB1">
        <w:rPr>
          <w:rFonts w:ascii="Arial" w:eastAsia="Calibri" w:hAnsi="Arial" w:cs="Arial"/>
          <w:color w:val="000000"/>
          <w:lang w:val="es-ES_tradnl" w:eastAsia="es-ES" w:bidi="es-ES"/>
        </w:rPr>
        <w:t xml:space="preserve">, al disponer que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Son contratos de obra los que celebren las entidades estatales para la construcción, mantenimiento, instalación y, en general, para la realización de cualquier otro trabajo material sobre bienes inmuebles, cualquiera que sea la modalidad de ejecución y pago</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de manera que este tipo de contrato no aplica a los trabajos materiales realizados sobre bienes muebles</w:t>
      </w:r>
      <w:r>
        <w:rPr>
          <w:rStyle w:val="Refdenotaalpie"/>
          <w:rFonts w:ascii="Arial" w:eastAsia="Calibri" w:hAnsi="Arial" w:cs="Arial"/>
          <w:color w:val="000000"/>
          <w:lang w:val="es-ES_tradnl" w:eastAsia="es-ES" w:bidi="es-ES"/>
        </w:rPr>
        <w:footnoteReference w:id="26"/>
      </w:r>
      <w:r w:rsidRPr="00DB7DB1">
        <w:rPr>
          <w:rFonts w:ascii="Arial" w:eastAsia="Calibri" w:hAnsi="Arial" w:cs="Arial"/>
          <w:color w:val="000000"/>
          <w:lang w:val="es-ES_tradnl" w:eastAsia="es-ES" w:bidi="es-ES"/>
        </w:rPr>
        <w:t>.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11"/>
      <w:bookmarkEnd w:id="12"/>
      <w:r w:rsidRPr="00DB7DB1">
        <w:rPr>
          <w:rFonts w:ascii="Arial" w:eastAsia="Calibri" w:hAnsi="Arial" w:cs="Arial"/>
          <w:color w:val="000000"/>
          <w:vertAlign w:val="superscript"/>
          <w:lang w:val="es-ES_tradnl" w:eastAsia="es-ES" w:bidi="es-ES"/>
        </w:rPr>
        <w:footnoteReference w:id="27"/>
      </w:r>
      <w:r w:rsidRPr="00DB7DB1">
        <w:rPr>
          <w:rFonts w:ascii="Arial" w:eastAsia="Calibri" w:hAnsi="Arial" w:cs="Arial"/>
          <w:color w:val="000000"/>
          <w:lang w:val="es-ES_tradnl" w:eastAsia="es-ES" w:bidi="es-ES"/>
        </w:rPr>
        <w:t>. De esta manera:</w:t>
      </w:r>
    </w:p>
    <w:p w14:paraId="6A80278C" w14:textId="77777777" w:rsidR="003B3D60" w:rsidRPr="00DB7DB1" w:rsidRDefault="003B3D60" w:rsidP="003B3D60">
      <w:pPr>
        <w:widowControl w:val="0"/>
        <w:autoSpaceDE w:val="0"/>
        <w:autoSpaceDN w:val="0"/>
        <w:spacing w:after="0" w:line="276" w:lineRule="auto"/>
        <w:ind w:firstLine="709"/>
        <w:jc w:val="both"/>
        <w:rPr>
          <w:rFonts w:ascii="Arial" w:eastAsia="Calibri" w:hAnsi="Arial" w:cs="Arial"/>
          <w:color w:val="000000"/>
          <w:lang w:val="es-ES_tradnl" w:eastAsia="es-ES" w:bidi="es-ES"/>
        </w:rPr>
      </w:pPr>
    </w:p>
    <w:p w14:paraId="517A2456" w14:textId="2B7DF64C" w:rsidR="003B3D60" w:rsidRPr="00DB7DB1" w:rsidRDefault="001625A4" w:rsidP="003B3D60">
      <w:pPr>
        <w:widowControl w:val="0"/>
        <w:autoSpaceDE w:val="0"/>
        <w:autoSpaceDN w:val="0"/>
        <w:spacing w:line="240" w:lineRule="auto"/>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t>“</w:t>
      </w:r>
      <w:r w:rsidR="003B3D60" w:rsidRPr="00DB7DB1">
        <w:rPr>
          <w:rFonts w:ascii="Arial" w:eastAsia="Calibri" w:hAnsi="Arial" w:cs="Arial"/>
          <w:color w:val="000000"/>
          <w:sz w:val="21"/>
          <w:szCs w:val="21"/>
          <w:lang w:val="es-ES_tradnl" w:eastAsia="es-ES" w:bidi="es-ES"/>
        </w:rPr>
        <w:t xml:space="preserve">[…] el legislador limitó la naturaleza de los contratos de obra a las actividades de trabajos materiales exclusivamente sobre bienes inmuebles, independientemente de </w:t>
      </w:r>
      <w:r w:rsidR="003B3D60" w:rsidRPr="00DB7DB1">
        <w:rPr>
          <w:rFonts w:ascii="Arial" w:eastAsia="Calibri" w:hAnsi="Arial" w:cs="Arial"/>
          <w:color w:val="000000"/>
          <w:sz w:val="21"/>
          <w:szCs w:val="21"/>
          <w:lang w:val="es-ES_tradnl" w:eastAsia="es-ES" w:bidi="es-ES"/>
        </w:rPr>
        <w:lastRenderedPageBreak/>
        <w:t xml:space="preserve">su modalidad de ejecución y pago. De esta forma, acogió la posición de una parte de la doctrina y del derecho comparado, que vinculan la tipificación del contrato de obra a aquellas actividades realizadas sobre bienes inmuebles. </w:t>
      </w:r>
    </w:p>
    <w:p w14:paraId="55D0E875" w14:textId="67962365" w:rsidR="003B3D60" w:rsidRPr="00DB7DB1" w:rsidRDefault="003B3D60" w:rsidP="003B3D60">
      <w:pPr>
        <w:widowControl w:val="0"/>
        <w:autoSpaceDE w:val="0"/>
        <w:autoSpaceDN w:val="0"/>
        <w:spacing w:before="120" w:after="0" w:line="240" w:lineRule="auto"/>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001625A4">
        <w:rPr>
          <w:rFonts w:ascii="Arial" w:eastAsia="Calibri" w:hAnsi="Arial" w:cs="Arial"/>
          <w:color w:val="000000"/>
          <w:sz w:val="21"/>
          <w:szCs w:val="21"/>
          <w:lang w:val="es-ES_tradnl" w:eastAsia="es-ES" w:bidi="es-ES"/>
        </w:rPr>
        <w:t>”</w:t>
      </w:r>
      <w:r w:rsidRPr="00DB7DB1">
        <w:rPr>
          <w:rFonts w:ascii="Arial" w:eastAsia="Calibri" w:hAnsi="Arial" w:cs="Arial"/>
          <w:color w:val="000000"/>
          <w:sz w:val="21"/>
          <w:szCs w:val="21"/>
          <w:vertAlign w:val="superscript"/>
          <w:lang w:val="es-ES_tradnl" w:eastAsia="es-ES" w:bidi="es-ES"/>
        </w:rPr>
        <w:footnoteReference w:id="28"/>
      </w:r>
      <w:r w:rsidRPr="00DB7DB1">
        <w:rPr>
          <w:rFonts w:ascii="Arial" w:eastAsia="Calibri" w:hAnsi="Arial" w:cs="Arial"/>
          <w:color w:val="000000"/>
          <w:sz w:val="21"/>
          <w:szCs w:val="21"/>
          <w:lang w:val="es-ES_tradnl" w:eastAsia="es-ES" w:bidi="es-ES"/>
        </w:rPr>
        <w:t>.</w:t>
      </w:r>
    </w:p>
    <w:p w14:paraId="4A72BBF3" w14:textId="77777777" w:rsidR="003B3D60" w:rsidRPr="009A2643" w:rsidRDefault="003B3D60" w:rsidP="003B3D60">
      <w:pPr>
        <w:widowControl w:val="0"/>
        <w:autoSpaceDE w:val="0"/>
        <w:autoSpaceDN w:val="0"/>
        <w:spacing w:after="0" w:line="276" w:lineRule="auto"/>
        <w:ind w:left="709" w:right="709"/>
        <w:jc w:val="both"/>
        <w:rPr>
          <w:rFonts w:ascii="Arial" w:eastAsia="Calibri" w:hAnsi="Arial" w:cs="Arial"/>
          <w:color w:val="000000"/>
          <w:lang w:val="es-ES_tradnl" w:eastAsia="es-ES" w:bidi="es-ES"/>
        </w:rPr>
      </w:pPr>
    </w:p>
    <w:p w14:paraId="2EA14540" w14:textId="77777777" w:rsidR="003B3D60" w:rsidRPr="009A2643" w:rsidRDefault="003B3D60" w:rsidP="003B3D60">
      <w:pPr>
        <w:widowControl w:val="0"/>
        <w:autoSpaceDE w:val="0"/>
        <w:autoSpaceDN w:val="0"/>
        <w:spacing w:after="120" w:line="276" w:lineRule="auto"/>
        <w:ind w:firstLine="708"/>
        <w:jc w:val="both"/>
        <w:rPr>
          <w:rFonts w:ascii="Arial" w:eastAsia="Calibri" w:hAnsi="Arial" w:cs="Arial"/>
          <w:color w:val="000000"/>
          <w:lang w:val="es-ES_tradnl" w:eastAsia="es-ES" w:bidi="es-ES"/>
        </w:rPr>
      </w:pPr>
      <w:r w:rsidRPr="00DB7DB1">
        <w:rPr>
          <w:rFonts w:ascii="Arial" w:eastAsia="Calibri" w:hAnsi="Arial" w:cs="Arial"/>
          <w:color w:val="000000"/>
          <w:lang w:val="es-ES_tradnl" w:eastAsia="es-ES" w:bidi="es-ES"/>
        </w:rPr>
        <w:t xml:space="preserve">En la disposición citada, el contrato de obra pública no se limita a la construcción de inmuebles, pues la definición se extiende a las actividades de mantenimiento e instalación, lo cual supone un bien preexistente. Para la Real Academia Española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construir</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significa fabricar, erigir, edificar y hacer de nueva planta una cosa; en tanto que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mantener</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significa conservar una cosa en su ser, darle vigor y permanencia; y, finalmente, </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instalar</w:t>
      </w:r>
      <w:r>
        <w:rPr>
          <w:rFonts w:ascii="Arial" w:eastAsia="Calibri" w:hAnsi="Arial" w:cs="Arial"/>
          <w:color w:val="000000"/>
          <w:lang w:val="es-ES_tradnl" w:eastAsia="es-ES" w:bidi="es-ES"/>
        </w:rPr>
        <w:t>”</w:t>
      </w:r>
      <w:r w:rsidRPr="00DB7DB1">
        <w:rPr>
          <w:rFonts w:ascii="Arial" w:eastAsia="Calibri" w:hAnsi="Arial" w:cs="Arial"/>
          <w:color w:val="000000"/>
          <w:lang w:val="es-ES_tradnl" w:eastAsia="es-ES" w:bidi="es-ES"/>
        </w:rPr>
        <w:t xml:space="preserve"> es poner o colocar algo en su lugar debido. Igualmente, el concepto se extiende a cualquier trabajo material realizado sobre bienes inmuebles, tales como la reforma y la demolición.</w:t>
      </w:r>
    </w:p>
    <w:p w14:paraId="7BEA7845" w14:textId="77777777" w:rsidR="003B3D60" w:rsidRDefault="003B3D60" w:rsidP="003B3D60">
      <w:pPr>
        <w:spacing w:after="0" w:line="276" w:lineRule="auto"/>
        <w:ind w:firstLine="708"/>
        <w:jc w:val="both"/>
        <w:rPr>
          <w:rFonts w:ascii="Arial" w:hAnsi="Arial" w:cs="Arial"/>
          <w:bCs/>
          <w:lang w:val="es-ES_tradnl"/>
        </w:rPr>
      </w:pPr>
      <w:r w:rsidRPr="00D2267D">
        <w:rPr>
          <w:rFonts w:ascii="Arial" w:hAnsi="Arial" w:cs="Arial"/>
          <w:bCs/>
          <w:lang w:val="es-ES_tradnl"/>
        </w:rPr>
        <w:t xml:space="preserve">Teniendo en cuenta lo anterior, lo que </w:t>
      </w:r>
      <w:r>
        <w:rPr>
          <w:rFonts w:ascii="Arial" w:hAnsi="Arial" w:cs="Arial"/>
          <w:bCs/>
          <w:lang w:val="es-ES_tradnl"/>
        </w:rPr>
        <w:t>el peticionario</w:t>
      </w:r>
      <w:r w:rsidRPr="00D2267D">
        <w:rPr>
          <w:rFonts w:ascii="Arial" w:hAnsi="Arial" w:cs="Arial"/>
          <w:bCs/>
          <w:lang w:val="es-ES_tradnl"/>
        </w:rPr>
        <w:t xml:space="preserve"> denomina como </w:t>
      </w:r>
      <w:bookmarkStart w:id="13" w:name="_Hlk131153031"/>
      <w:r w:rsidRPr="00D977D2">
        <w:rPr>
          <w:rFonts w:ascii="Arial" w:hAnsi="Arial" w:cs="Arial"/>
          <w:bCs/>
          <w:i/>
          <w:iCs/>
          <w:lang w:val="es-ES_tradnl"/>
        </w:rPr>
        <w:t>“contrato por monto agotable”</w:t>
      </w:r>
      <w:bookmarkEnd w:id="13"/>
      <w:r w:rsidRPr="00D977D2">
        <w:rPr>
          <w:rFonts w:ascii="Arial" w:hAnsi="Arial" w:cs="Arial"/>
          <w:bCs/>
          <w:i/>
          <w:iCs/>
          <w:lang w:val="es-ES_tradnl"/>
        </w:rPr>
        <w:t xml:space="preserve">, </w:t>
      </w:r>
      <w:r w:rsidRPr="00D2267D">
        <w:rPr>
          <w:rFonts w:ascii="Arial" w:hAnsi="Arial" w:cs="Arial"/>
          <w:bCs/>
          <w:lang w:val="es-ES_tradnl"/>
        </w:rPr>
        <w:t>en realidad puede corresponder a un contrato de</w:t>
      </w:r>
      <w:r>
        <w:rPr>
          <w:rFonts w:ascii="Arial" w:hAnsi="Arial" w:cs="Arial"/>
          <w:bCs/>
          <w:lang w:val="es-ES_tradnl"/>
        </w:rPr>
        <w:t xml:space="preserve"> </w:t>
      </w:r>
      <w:r w:rsidRPr="00D2267D">
        <w:rPr>
          <w:rFonts w:ascii="Arial" w:hAnsi="Arial" w:cs="Arial"/>
          <w:bCs/>
          <w:lang w:val="es-ES_tradnl"/>
        </w:rPr>
        <w:t xml:space="preserve">suministro </w:t>
      </w:r>
      <w:r>
        <w:rPr>
          <w:rFonts w:ascii="Arial" w:hAnsi="Arial" w:cs="Arial"/>
          <w:bCs/>
          <w:lang w:val="es-ES_tradnl"/>
        </w:rPr>
        <w:t>o de obra</w:t>
      </w:r>
      <w:r w:rsidRPr="00D2267D">
        <w:rPr>
          <w:rFonts w:ascii="Arial" w:hAnsi="Arial" w:cs="Arial"/>
          <w:bCs/>
          <w:lang w:val="es-ES_tradnl"/>
        </w:rPr>
        <w:t xml:space="preserve">, donde se pacta el pago de la contraprestación a precios unitarios, conforme a unos valores asignados, que son objeto del </w:t>
      </w:r>
      <w:r>
        <w:rPr>
          <w:rFonts w:ascii="Arial" w:hAnsi="Arial" w:cs="Arial"/>
          <w:bCs/>
          <w:lang w:val="es-ES_tradnl"/>
        </w:rPr>
        <w:t>negocio</w:t>
      </w:r>
      <w:r w:rsidRPr="00D2267D">
        <w:rPr>
          <w:rFonts w:ascii="Arial" w:hAnsi="Arial" w:cs="Arial"/>
          <w:bCs/>
          <w:lang w:val="es-ES_tradnl"/>
        </w:rPr>
        <w:t xml:space="preserve"> y que se entregan a la entidad, durante el plazo de ejecución del contrato, sin exceder el valor o presupuesto oficial asignado por la entidad contratante para el efecto. Lo anterior, en vista de que </w:t>
      </w:r>
      <w:r>
        <w:rPr>
          <w:rFonts w:ascii="Arial" w:hAnsi="Arial" w:cs="Arial"/>
          <w:bCs/>
          <w:lang w:val="es-ES_tradnl"/>
        </w:rPr>
        <w:t>la figura del</w:t>
      </w:r>
      <w:r w:rsidRPr="00D2267D">
        <w:rPr>
          <w:rFonts w:ascii="Arial" w:hAnsi="Arial" w:cs="Arial"/>
          <w:bCs/>
          <w:lang w:val="es-ES_tradnl"/>
        </w:rPr>
        <w:t xml:space="preserve"> </w:t>
      </w:r>
      <w:r w:rsidRPr="00930737">
        <w:rPr>
          <w:rFonts w:ascii="Arial" w:hAnsi="Arial" w:cs="Arial"/>
          <w:bCs/>
          <w:lang w:val="es-ES_tradnl"/>
        </w:rPr>
        <w:t>“contrato por monto agotable”</w:t>
      </w:r>
      <w:r w:rsidRPr="00D2267D">
        <w:rPr>
          <w:rFonts w:ascii="Arial" w:hAnsi="Arial" w:cs="Arial"/>
          <w:bCs/>
          <w:lang w:val="es-ES_tradnl"/>
        </w:rPr>
        <w:t xml:space="preserve"> no existe en l</w:t>
      </w:r>
      <w:r>
        <w:rPr>
          <w:rFonts w:ascii="Arial" w:hAnsi="Arial" w:cs="Arial"/>
          <w:bCs/>
          <w:lang w:val="es-ES_tradnl"/>
        </w:rPr>
        <w:t>a</w:t>
      </w:r>
      <w:r w:rsidRPr="00D2267D">
        <w:rPr>
          <w:rFonts w:ascii="Arial" w:hAnsi="Arial" w:cs="Arial"/>
          <w:bCs/>
          <w:lang w:val="es-ES_tradnl"/>
        </w:rPr>
        <w:t xml:space="preserve">s leyes civiles y comerciales ni en el EGCAP como </w:t>
      </w:r>
      <w:r>
        <w:rPr>
          <w:rFonts w:ascii="Arial" w:hAnsi="Arial" w:cs="Arial"/>
          <w:bCs/>
          <w:lang w:val="es-ES_tradnl"/>
        </w:rPr>
        <w:t>una figura contractual típica ni atípica. En este contexto, se encuentra más relacionada con el establecimiento de la forma de pago</w:t>
      </w:r>
      <w:r w:rsidRPr="00D2267D">
        <w:rPr>
          <w:rFonts w:ascii="Arial" w:hAnsi="Arial" w:cs="Arial"/>
          <w:bCs/>
          <w:lang w:val="es-ES_tradnl"/>
        </w:rPr>
        <w:t>.</w:t>
      </w:r>
      <w:r>
        <w:rPr>
          <w:rFonts w:ascii="Arial" w:hAnsi="Arial" w:cs="Arial"/>
          <w:bCs/>
          <w:lang w:val="es-ES_tradnl"/>
        </w:rPr>
        <w:t xml:space="preserve"> Como explica la doctrina, existen </w:t>
      </w:r>
      <w:r w:rsidRPr="00E82399">
        <w:rPr>
          <w:rFonts w:ascii="Arial" w:hAnsi="Arial" w:cs="Arial"/>
          <w:bCs/>
          <w:i/>
          <w:iCs/>
          <w:lang w:val="es-ES_tradnl"/>
        </w:rPr>
        <w:t>contratos de suministro</w:t>
      </w:r>
      <w:r>
        <w:rPr>
          <w:rFonts w:ascii="Arial" w:hAnsi="Arial" w:cs="Arial"/>
          <w:bCs/>
          <w:lang w:val="es-ES_tradnl"/>
        </w:rPr>
        <w:t xml:space="preserve"> donde el contratista se obliga a entregar los bienes por un precio unitario, sin que la cuantía se defina exactamente al tiempo de celebrar el contrato, ya que las entregas estas subordinadas a las necesidades de la entidad:</w:t>
      </w:r>
    </w:p>
    <w:p w14:paraId="6D14EEF7" w14:textId="77777777" w:rsidR="003B3D60" w:rsidRDefault="003B3D60" w:rsidP="003B3D60">
      <w:pPr>
        <w:spacing w:after="0" w:line="276" w:lineRule="auto"/>
        <w:ind w:firstLine="708"/>
        <w:jc w:val="both"/>
        <w:rPr>
          <w:rFonts w:ascii="Arial" w:hAnsi="Arial" w:cs="Arial"/>
          <w:bCs/>
          <w:lang w:val="es-ES_tradnl"/>
        </w:rPr>
      </w:pPr>
    </w:p>
    <w:p w14:paraId="57207C54" w14:textId="4211EC78" w:rsidR="003B3D60" w:rsidRPr="008511C6" w:rsidRDefault="001625A4" w:rsidP="003B3D60">
      <w:pPr>
        <w:spacing w:after="0" w:line="240" w:lineRule="auto"/>
        <w:ind w:left="709" w:right="709"/>
        <w:jc w:val="both"/>
        <w:rPr>
          <w:rFonts w:ascii="Arial" w:hAnsi="Arial" w:cs="Arial"/>
          <w:bCs/>
          <w:sz w:val="21"/>
          <w:szCs w:val="21"/>
          <w:lang w:val="es-ES_tradnl"/>
        </w:rPr>
      </w:pPr>
      <w:r>
        <w:rPr>
          <w:rFonts w:ascii="Arial" w:hAnsi="Arial" w:cs="Arial"/>
          <w:bCs/>
          <w:sz w:val="21"/>
          <w:szCs w:val="21"/>
          <w:lang w:val="es-ES_tradnl"/>
        </w:rPr>
        <w:t>“</w:t>
      </w:r>
      <w:r w:rsidR="003B3D60" w:rsidRPr="008511C6">
        <w:rPr>
          <w:rFonts w:ascii="Arial" w:hAnsi="Arial" w:cs="Arial"/>
          <w:bCs/>
          <w:sz w:val="21"/>
          <w:szCs w:val="21"/>
          <w:lang w:val="es-ES_tradnl"/>
        </w:rPr>
        <w:t>Esta modalidad de suministro, conocida como contrato de suministro de tracto sucesivo por precio unitario, se caracteriza por la indeterminación relativa del objeto del contrato y, por lo tanto, del precio, ya que están identificados el producto a suministrar y el precio unitario del mismo, pero no el número de unidades que deberán entregarse a la entidad contratante al amparo del contrato, lo que implica que no se conozca con exactitud, tampoco, el precio global que deberá abonarse al contratista.</w:t>
      </w:r>
    </w:p>
    <w:p w14:paraId="144E9370" w14:textId="77777777" w:rsidR="003B3D60" w:rsidRPr="008511C6" w:rsidRDefault="003B3D60" w:rsidP="003B3D60">
      <w:pPr>
        <w:spacing w:after="120" w:line="240" w:lineRule="auto"/>
        <w:ind w:left="709" w:right="709"/>
        <w:jc w:val="both"/>
        <w:rPr>
          <w:rFonts w:ascii="Arial" w:hAnsi="Arial" w:cs="Arial"/>
          <w:bCs/>
          <w:sz w:val="21"/>
          <w:szCs w:val="21"/>
          <w:lang w:val="es-ES_tradnl"/>
        </w:rPr>
      </w:pPr>
      <w:r w:rsidRPr="008511C6">
        <w:rPr>
          <w:rFonts w:ascii="Arial" w:hAnsi="Arial" w:cs="Arial"/>
          <w:bCs/>
          <w:sz w:val="21"/>
          <w:szCs w:val="21"/>
          <w:lang w:val="es-ES_tradnl"/>
        </w:rPr>
        <w:t>[…]</w:t>
      </w:r>
    </w:p>
    <w:p w14:paraId="257AD8E6" w14:textId="6DF7DBAD" w:rsidR="003B3D60" w:rsidRPr="008511C6" w:rsidRDefault="003B3D60" w:rsidP="003B3D60">
      <w:pPr>
        <w:spacing w:after="0" w:line="240" w:lineRule="auto"/>
        <w:ind w:left="709" w:right="709"/>
        <w:jc w:val="both"/>
        <w:rPr>
          <w:rFonts w:ascii="Arial" w:hAnsi="Arial" w:cs="Arial"/>
          <w:bCs/>
          <w:sz w:val="21"/>
          <w:szCs w:val="21"/>
          <w:lang w:val="es-ES_tradnl"/>
        </w:rPr>
      </w:pPr>
      <w:bookmarkStart w:id="14" w:name="_Hlk131174588"/>
      <w:r w:rsidRPr="008511C6">
        <w:rPr>
          <w:rFonts w:ascii="Arial" w:hAnsi="Arial" w:cs="Arial"/>
          <w:bCs/>
          <w:i/>
          <w:iCs/>
          <w:sz w:val="21"/>
          <w:szCs w:val="21"/>
          <w:lang w:val="es-ES_tradnl"/>
        </w:rPr>
        <w:t xml:space="preserve">En este tipo de contratos debe existir un presupuesto limitativo, establecido con el carácter del máximo, y debe preverse la posibilidad de que el objeto del contrato, y por </w:t>
      </w:r>
      <w:r w:rsidRPr="008511C6">
        <w:rPr>
          <w:rFonts w:ascii="Arial" w:hAnsi="Arial" w:cs="Arial"/>
          <w:bCs/>
          <w:i/>
          <w:iCs/>
          <w:sz w:val="21"/>
          <w:szCs w:val="21"/>
          <w:lang w:val="es-ES_tradnl"/>
        </w:rPr>
        <w:lastRenderedPageBreak/>
        <w:t>ende el presupuesto máximo, se modifiquen en caso de que la entidad contratante necesite de un mayor número de unidades de producto de las inicialmente estimadas</w:t>
      </w:r>
      <w:r w:rsidRPr="008511C6">
        <w:rPr>
          <w:rFonts w:ascii="Arial" w:hAnsi="Arial" w:cs="Arial"/>
          <w:bCs/>
          <w:sz w:val="21"/>
          <w:szCs w:val="21"/>
          <w:lang w:val="es-ES_tradnl"/>
        </w:rPr>
        <w:t xml:space="preserve"> </w:t>
      </w:r>
      <w:bookmarkEnd w:id="14"/>
      <w:r w:rsidRPr="008511C6">
        <w:rPr>
          <w:rFonts w:ascii="Arial" w:hAnsi="Arial" w:cs="Arial"/>
          <w:bCs/>
          <w:sz w:val="21"/>
          <w:szCs w:val="21"/>
          <w:lang w:val="es-ES_tradnl"/>
        </w:rPr>
        <w:t>[…] Es muy importante destacar que por vía de modificación del contrato no pueden establecerse nuevos precios unitarios no previstos inicialmente, por lo que […] se trata de prever la ampliación del número de unidades a suministrar, manteniéndose el precio unitario pactado originalmente</w:t>
      </w:r>
      <w:r w:rsidR="001625A4">
        <w:rPr>
          <w:rFonts w:ascii="Arial" w:hAnsi="Arial" w:cs="Arial"/>
          <w:bCs/>
          <w:sz w:val="21"/>
          <w:szCs w:val="21"/>
          <w:lang w:val="es-ES_tradnl"/>
        </w:rPr>
        <w:t>”</w:t>
      </w:r>
      <w:r>
        <w:rPr>
          <w:rStyle w:val="Refdenotaalpie"/>
          <w:rFonts w:ascii="Arial" w:hAnsi="Arial" w:cs="Arial"/>
          <w:bCs/>
          <w:sz w:val="21"/>
          <w:szCs w:val="21"/>
          <w:lang w:val="es-ES_tradnl"/>
        </w:rPr>
        <w:footnoteReference w:id="29"/>
      </w:r>
      <w:r w:rsidRPr="008511C6">
        <w:rPr>
          <w:rFonts w:ascii="Arial" w:hAnsi="Arial" w:cs="Arial"/>
          <w:bCs/>
          <w:sz w:val="21"/>
          <w:szCs w:val="21"/>
          <w:lang w:val="es-ES_tradnl"/>
        </w:rPr>
        <w:t xml:space="preserve">. </w:t>
      </w:r>
      <w:r>
        <w:rPr>
          <w:rFonts w:ascii="Arial" w:hAnsi="Arial" w:cs="Arial"/>
          <w:bCs/>
          <w:sz w:val="21"/>
          <w:szCs w:val="21"/>
          <w:lang w:val="es-ES_tradnl"/>
        </w:rPr>
        <w:t>(Énfasis fuera de texto)</w:t>
      </w:r>
      <w:r w:rsidRPr="008511C6">
        <w:rPr>
          <w:rFonts w:ascii="Arial" w:hAnsi="Arial" w:cs="Arial"/>
          <w:bCs/>
          <w:sz w:val="21"/>
          <w:szCs w:val="21"/>
          <w:lang w:val="es-ES_tradnl"/>
        </w:rPr>
        <w:t xml:space="preserve">           </w:t>
      </w:r>
    </w:p>
    <w:p w14:paraId="74DFC5A5" w14:textId="77777777" w:rsidR="003B3D60" w:rsidRPr="00D2267D" w:rsidRDefault="003B3D60" w:rsidP="003B3D60">
      <w:pPr>
        <w:spacing w:after="0" w:line="276" w:lineRule="auto"/>
        <w:ind w:left="709" w:right="709"/>
        <w:jc w:val="both"/>
        <w:rPr>
          <w:rFonts w:ascii="Arial" w:hAnsi="Arial" w:cs="Arial"/>
          <w:bCs/>
          <w:lang w:val="es-ES_tradnl"/>
        </w:rPr>
      </w:pPr>
    </w:p>
    <w:p w14:paraId="47AE3FD4" w14:textId="77777777" w:rsidR="003B3D60" w:rsidRDefault="003B3D60" w:rsidP="003B3D60">
      <w:pPr>
        <w:spacing w:after="120" w:line="276" w:lineRule="auto"/>
        <w:ind w:firstLine="708"/>
        <w:jc w:val="both"/>
        <w:rPr>
          <w:rFonts w:ascii="Arial" w:hAnsi="Arial" w:cs="Arial"/>
          <w:bCs/>
          <w:lang w:val="es-ES_tradnl"/>
        </w:rPr>
      </w:pPr>
      <w:r>
        <w:rPr>
          <w:rFonts w:ascii="Arial" w:hAnsi="Arial" w:cs="Arial"/>
          <w:bCs/>
          <w:lang w:val="es-ES_tradnl"/>
        </w:rPr>
        <w:t xml:space="preserve">Una situación similar se presenta en algunos </w:t>
      </w:r>
      <w:r w:rsidRPr="00E82399">
        <w:rPr>
          <w:rFonts w:ascii="Arial" w:hAnsi="Arial" w:cs="Arial"/>
          <w:bCs/>
          <w:i/>
          <w:iCs/>
          <w:lang w:val="es-ES_tradnl"/>
        </w:rPr>
        <w:t>contratos de obra</w:t>
      </w:r>
      <w:r>
        <w:rPr>
          <w:rFonts w:ascii="Arial" w:hAnsi="Arial" w:cs="Arial"/>
          <w:bCs/>
          <w:lang w:val="es-ES_tradnl"/>
        </w:rPr>
        <w:t xml:space="preserve"> a precios unitarios donde, pese a que se encuentra establecido los ítems y el valor de cada uno de ellos, las cantidades definitivas dependen de lo efectivamente ejecutado al finalizar el plazo</w:t>
      </w:r>
      <w:r>
        <w:rPr>
          <w:rStyle w:val="Refdenotaalpie"/>
          <w:rFonts w:ascii="Arial" w:hAnsi="Arial" w:cs="Arial"/>
          <w:bCs/>
          <w:lang w:val="es-ES_tradnl"/>
        </w:rPr>
        <w:footnoteReference w:id="30"/>
      </w:r>
      <w:r>
        <w:rPr>
          <w:rFonts w:ascii="Arial" w:hAnsi="Arial" w:cs="Arial"/>
          <w:bCs/>
          <w:lang w:val="es-ES_tradnl"/>
        </w:rPr>
        <w:t>. En este sistema las partes establecen una suma fija por cada unidad de los trabajos que debe ejecutar el contratista, por lo que el precio –a diferencia del ajuste alzado o la suma cerrada– no se determina por la totalidad de la obra, sino por cada parte, unidad o medida. Para la doctrina, “Se trata de un sistema flexible en el precio y en la obra, por cuanto ambos solo van a queda definitivamente determinados al momento de la conclusión de las obras, circunstancia en la que recién podrán conocerse con exactitud la cantidad de unidades ejecutadas por el constructor y, del mismo modo, el precio definitivo a ser pagado por el comitente”</w:t>
      </w:r>
      <w:r>
        <w:rPr>
          <w:rStyle w:val="Refdenotaalpie"/>
          <w:rFonts w:ascii="Arial" w:hAnsi="Arial" w:cs="Arial"/>
          <w:bCs/>
          <w:lang w:val="es-ES_tradnl"/>
        </w:rPr>
        <w:footnoteReference w:id="31"/>
      </w:r>
      <w:r>
        <w:rPr>
          <w:rFonts w:ascii="Arial" w:hAnsi="Arial" w:cs="Arial"/>
          <w:bCs/>
          <w:lang w:val="es-ES_tradnl"/>
        </w:rPr>
        <w:t>. En este caso, también se requiere establecer un tope máximo para la adelantar las obras, ya que “[…] el precio total depende del conjunto de trabajos ejecutados según el presupuesto, pudiendo por tanto variar por nuevos trabajos adicionales […]”</w:t>
      </w:r>
      <w:r>
        <w:rPr>
          <w:rStyle w:val="Refdenotaalpie"/>
          <w:rFonts w:ascii="Arial" w:hAnsi="Arial" w:cs="Arial"/>
          <w:bCs/>
          <w:lang w:val="es-ES_tradnl"/>
        </w:rPr>
        <w:footnoteReference w:id="32"/>
      </w:r>
      <w:r>
        <w:rPr>
          <w:rFonts w:ascii="Arial" w:hAnsi="Arial" w:cs="Arial"/>
          <w:bCs/>
          <w:lang w:val="es-ES_tradnl"/>
        </w:rPr>
        <w:t xml:space="preserve">. Por lo demás, a pesar de que el precio del contrato se fije por un monto agotable, este no deja de pertenecer a la tipología del artículo 32.1 del Estatuto General de Contratación de la Administración Pública, especialmente, cuando –conforme al tenor literal de la norma– la obra pública existe </w:t>
      </w:r>
      <w:r w:rsidRPr="00DB7DB1">
        <w:rPr>
          <w:rFonts w:ascii="Arial" w:eastAsia="Calibri" w:hAnsi="Arial" w:cs="Arial"/>
          <w:color w:val="000000"/>
          <w:lang w:val="es-ES_tradnl" w:eastAsia="es-ES" w:bidi="es-ES"/>
        </w:rPr>
        <w:t>cualquiera que sea la modalidad de ejecución y pago</w:t>
      </w:r>
      <w:r>
        <w:rPr>
          <w:rFonts w:ascii="Arial" w:eastAsia="Calibri" w:hAnsi="Arial" w:cs="Arial"/>
          <w:color w:val="000000"/>
          <w:lang w:val="es-ES_tradnl" w:eastAsia="es-ES" w:bidi="es-ES"/>
        </w:rPr>
        <w:t>.</w:t>
      </w:r>
      <w:r>
        <w:rPr>
          <w:rFonts w:ascii="Arial" w:hAnsi="Arial" w:cs="Arial"/>
          <w:bCs/>
          <w:lang w:val="es-ES_tradnl"/>
        </w:rPr>
        <w:t xml:space="preserve">      </w:t>
      </w:r>
    </w:p>
    <w:p w14:paraId="02D38FA5" w14:textId="77777777" w:rsidR="003B3D60" w:rsidRDefault="003B3D60" w:rsidP="003B3D60">
      <w:pPr>
        <w:spacing w:after="120" w:line="276" w:lineRule="auto"/>
        <w:ind w:firstLine="708"/>
        <w:jc w:val="both"/>
        <w:rPr>
          <w:rFonts w:ascii="Arial" w:hAnsi="Arial" w:cs="Arial"/>
          <w:bCs/>
          <w:lang w:val="es-ES_tradnl"/>
        </w:rPr>
      </w:pPr>
      <w:r w:rsidRPr="00D2267D">
        <w:rPr>
          <w:rFonts w:ascii="Arial" w:hAnsi="Arial" w:cs="Arial"/>
          <w:bCs/>
          <w:lang w:val="es-ES_tradnl"/>
        </w:rPr>
        <w:t xml:space="preserve">Sin perjuicio de lo anterior, la estructuración del precio del contrato y la forma de pago a precios unitarios, según </w:t>
      </w:r>
      <w:r>
        <w:rPr>
          <w:rFonts w:ascii="Arial" w:hAnsi="Arial" w:cs="Arial"/>
          <w:bCs/>
          <w:lang w:val="es-ES_tradnl"/>
        </w:rPr>
        <w:t xml:space="preserve">la </w:t>
      </w:r>
      <w:r w:rsidRPr="00D2267D">
        <w:rPr>
          <w:rFonts w:ascii="Arial" w:hAnsi="Arial" w:cs="Arial"/>
          <w:bCs/>
          <w:lang w:val="es-ES_tradnl"/>
        </w:rPr>
        <w:t xml:space="preserve">demanda de </w:t>
      </w:r>
      <w:r>
        <w:rPr>
          <w:rFonts w:ascii="Arial" w:hAnsi="Arial" w:cs="Arial"/>
          <w:bCs/>
          <w:lang w:val="es-ES_tradnl"/>
        </w:rPr>
        <w:t>obras, bienes o servicios</w:t>
      </w:r>
      <w:r w:rsidRPr="00D2267D">
        <w:rPr>
          <w:rFonts w:ascii="Arial" w:hAnsi="Arial" w:cs="Arial"/>
          <w:bCs/>
          <w:lang w:val="es-ES_tradnl"/>
        </w:rPr>
        <w:t xml:space="preserve"> requeridos por la entidad contratante durante el plazo del contrato, sin exceder el presupuesto oficial, es una modalidad de pacto contractual admisible en el contrato estatal que puede utiliza</w:t>
      </w:r>
      <w:r>
        <w:rPr>
          <w:rFonts w:ascii="Arial" w:hAnsi="Arial" w:cs="Arial"/>
          <w:bCs/>
          <w:lang w:val="es-ES_tradnl"/>
        </w:rPr>
        <w:t>rse</w:t>
      </w:r>
      <w:r w:rsidRPr="00D2267D">
        <w:rPr>
          <w:rFonts w:ascii="Arial" w:hAnsi="Arial" w:cs="Arial"/>
          <w:bCs/>
          <w:lang w:val="es-ES_tradnl"/>
        </w:rPr>
        <w:t xml:space="preserve"> por las entidades </w:t>
      </w:r>
      <w:r>
        <w:rPr>
          <w:rFonts w:ascii="Arial" w:hAnsi="Arial" w:cs="Arial"/>
          <w:bCs/>
          <w:lang w:val="es-ES_tradnl"/>
        </w:rPr>
        <w:t>públicas</w:t>
      </w:r>
      <w:r w:rsidRPr="00D2267D">
        <w:rPr>
          <w:rFonts w:ascii="Arial" w:hAnsi="Arial" w:cs="Arial"/>
          <w:bCs/>
          <w:lang w:val="es-ES_tradnl"/>
        </w:rPr>
        <w:t xml:space="preserve">. En efecto, puede resultar procedente si en la etapa de planeación del contrato, producto de los estudios previos y el análisis del sector y de los oferentes, se observa que la misma resulta adecuada para satisfacer de mejor manera la necesidad que se pretende satisfacer con el </w:t>
      </w:r>
      <w:r w:rsidRPr="00D2267D">
        <w:rPr>
          <w:rFonts w:ascii="Arial" w:hAnsi="Arial" w:cs="Arial"/>
          <w:bCs/>
          <w:lang w:val="es-ES_tradnl"/>
        </w:rPr>
        <w:lastRenderedPageBreak/>
        <w:t>proceso de contratación y puede generar algún beneficio, como por ejemplo, la posibilidad de contar con precios fijos de l</w:t>
      </w:r>
      <w:r>
        <w:rPr>
          <w:rFonts w:ascii="Arial" w:hAnsi="Arial" w:cs="Arial"/>
          <w:bCs/>
          <w:lang w:val="es-ES_tradnl"/>
        </w:rPr>
        <w:t>as obras,</w:t>
      </w:r>
      <w:r w:rsidRPr="00D2267D">
        <w:rPr>
          <w:rFonts w:ascii="Arial" w:hAnsi="Arial" w:cs="Arial"/>
          <w:bCs/>
          <w:lang w:val="es-ES_tradnl"/>
        </w:rPr>
        <w:t xml:space="preserve"> bienes o servicios que se adquirirán durante el plazo de ejecución</w:t>
      </w:r>
      <w:r>
        <w:rPr>
          <w:rFonts w:ascii="Arial" w:hAnsi="Arial" w:cs="Arial"/>
          <w:bCs/>
          <w:lang w:val="es-ES_tradnl"/>
        </w:rPr>
        <w:t xml:space="preserve">, controlando </w:t>
      </w:r>
      <w:r w:rsidRPr="00D2267D">
        <w:rPr>
          <w:rFonts w:ascii="Arial" w:hAnsi="Arial" w:cs="Arial"/>
          <w:bCs/>
          <w:lang w:val="es-ES_tradnl"/>
        </w:rPr>
        <w:t xml:space="preserve">el gasto </w:t>
      </w:r>
      <w:r>
        <w:rPr>
          <w:rFonts w:ascii="Arial" w:hAnsi="Arial" w:cs="Arial"/>
          <w:bCs/>
          <w:lang w:val="es-ES_tradnl"/>
        </w:rPr>
        <w:t xml:space="preserve">con el propósito de evitar el exceso en el presupuesto oficial. </w:t>
      </w:r>
      <w:r w:rsidRPr="00D2267D">
        <w:rPr>
          <w:rFonts w:ascii="Arial" w:hAnsi="Arial" w:cs="Arial"/>
          <w:bCs/>
          <w:lang w:val="es-ES_tradnl"/>
        </w:rPr>
        <w:t xml:space="preserve">En todo caso, la decisión de acudir a este tipo de cláusulas, usualmente incorporadas en la </w:t>
      </w:r>
      <w:r>
        <w:rPr>
          <w:rFonts w:ascii="Arial" w:hAnsi="Arial" w:cs="Arial"/>
          <w:bCs/>
          <w:lang w:val="es-ES_tradnl"/>
        </w:rPr>
        <w:t>“</w:t>
      </w:r>
      <w:r w:rsidRPr="00D2267D">
        <w:rPr>
          <w:rFonts w:ascii="Arial" w:hAnsi="Arial" w:cs="Arial"/>
          <w:bCs/>
          <w:lang w:val="es-ES_tradnl"/>
        </w:rPr>
        <w:t>forma de pago</w:t>
      </w:r>
      <w:r>
        <w:rPr>
          <w:rFonts w:ascii="Arial" w:hAnsi="Arial" w:cs="Arial"/>
          <w:bCs/>
          <w:lang w:val="es-ES_tradnl"/>
        </w:rPr>
        <w:t>”</w:t>
      </w:r>
      <w:r w:rsidRPr="00D2267D">
        <w:rPr>
          <w:rFonts w:ascii="Arial" w:hAnsi="Arial" w:cs="Arial"/>
          <w:bCs/>
          <w:lang w:val="es-ES_tradnl"/>
        </w:rPr>
        <w:t xml:space="preserve"> o en el </w:t>
      </w:r>
      <w:r>
        <w:rPr>
          <w:rFonts w:ascii="Arial" w:hAnsi="Arial" w:cs="Arial"/>
          <w:bCs/>
          <w:lang w:val="es-ES_tradnl"/>
        </w:rPr>
        <w:t>“</w:t>
      </w:r>
      <w:r w:rsidRPr="00D2267D">
        <w:rPr>
          <w:rFonts w:ascii="Arial" w:hAnsi="Arial" w:cs="Arial"/>
          <w:bCs/>
          <w:lang w:val="es-ES_tradnl"/>
        </w:rPr>
        <w:t>valor del contrato</w:t>
      </w:r>
      <w:r>
        <w:rPr>
          <w:rFonts w:ascii="Arial" w:hAnsi="Arial" w:cs="Arial"/>
          <w:bCs/>
          <w:lang w:val="es-ES_tradnl"/>
        </w:rPr>
        <w:t>”</w:t>
      </w:r>
      <w:r w:rsidRPr="00D2267D">
        <w:rPr>
          <w:rFonts w:ascii="Arial" w:hAnsi="Arial" w:cs="Arial"/>
          <w:bCs/>
          <w:lang w:val="es-ES_tradnl"/>
        </w:rPr>
        <w:t xml:space="preserve">, es de la autonomía de las entidades </w:t>
      </w:r>
      <w:r>
        <w:rPr>
          <w:rFonts w:ascii="Arial" w:hAnsi="Arial" w:cs="Arial"/>
          <w:bCs/>
          <w:lang w:val="es-ES_tradnl"/>
        </w:rPr>
        <w:t xml:space="preserve">públicas </w:t>
      </w:r>
      <w:r w:rsidRPr="00D2267D">
        <w:rPr>
          <w:rFonts w:ascii="Arial" w:hAnsi="Arial" w:cs="Arial"/>
          <w:bCs/>
          <w:lang w:val="es-ES_tradnl"/>
        </w:rPr>
        <w:t>rectoras de sus procesos de contratación</w:t>
      </w:r>
      <w:r>
        <w:rPr>
          <w:rFonts w:ascii="Arial" w:hAnsi="Arial" w:cs="Arial"/>
          <w:bCs/>
          <w:lang w:val="es-ES_tradnl"/>
        </w:rPr>
        <w:t xml:space="preserve"> porque </w:t>
      </w:r>
      <w:r w:rsidRPr="00D2267D">
        <w:rPr>
          <w:rFonts w:ascii="Arial" w:hAnsi="Arial" w:cs="Arial"/>
          <w:bCs/>
          <w:lang w:val="es-ES_tradnl"/>
        </w:rPr>
        <w:t>no están prohibidas o restringidas en la contratación estatal</w:t>
      </w:r>
      <w:r>
        <w:rPr>
          <w:rFonts w:ascii="Arial" w:hAnsi="Arial" w:cs="Arial"/>
          <w:bCs/>
          <w:lang w:val="es-ES_tradnl"/>
        </w:rPr>
        <w:t>,</w:t>
      </w:r>
      <w:r w:rsidRPr="00D2267D">
        <w:rPr>
          <w:rFonts w:ascii="Arial" w:hAnsi="Arial" w:cs="Arial"/>
          <w:bCs/>
          <w:lang w:val="es-ES_tradnl"/>
        </w:rPr>
        <w:t xml:space="preserve"> y podrá adoptarse previa justificación en los estudios previos que soportan el objeto y las condiciones de ejecución del contrato.   </w:t>
      </w:r>
    </w:p>
    <w:p w14:paraId="093A6870" w14:textId="77777777" w:rsidR="003B3D60" w:rsidRPr="00D2267D" w:rsidRDefault="003B3D60" w:rsidP="003B3D60">
      <w:pPr>
        <w:spacing w:after="0" w:line="276" w:lineRule="auto"/>
        <w:ind w:firstLine="708"/>
        <w:jc w:val="both"/>
        <w:rPr>
          <w:rFonts w:ascii="Arial" w:hAnsi="Arial" w:cs="Arial"/>
          <w:bCs/>
          <w:lang w:val="es-ES_tradnl"/>
        </w:rPr>
      </w:pPr>
      <w:r>
        <w:rPr>
          <w:rFonts w:ascii="Arial" w:hAnsi="Arial" w:cs="Arial"/>
          <w:bCs/>
          <w:lang w:val="es-ES_tradnl"/>
        </w:rPr>
        <w:t>De acuerdo con la explicación precedente, el denominado “contrato por monto agotable” no es una forma de contratación típica ni atípica en el ordenamiento colombiano, pues –aunque no esté expresamente regulado– corresponde una las formas en que puede pactarse el pago en los contratos a precios unitarios. Si bien es usual en algunos contratos de obra y suministro, nada obsta para que –de acuerdo con los estudios previos– se incluya en otras tipologías contractuales cuando la Administración lo estime conveniente y necesario, pues “</w:t>
      </w:r>
      <w:r w:rsidRPr="00942460">
        <w:rPr>
          <w:rFonts w:ascii="Arial" w:hAnsi="Arial" w:cs="Arial"/>
          <w:bCs/>
        </w:rPr>
        <w:t>Las entidades podrán celebrar los contratos y acuerdos que permitan la autonomía de la voluntad y requieran el cumplimiento de los fines estatales</w:t>
      </w:r>
      <w:r>
        <w:rPr>
          <w:rFonts w:ascii="Arial" w:hAnsi="Arial" w:cs="Arial"/>
          <w:bCs/>
        </w:rPr>
        <w:t>” y, por tanto, “</w:t>
      </w:r>
      <w:r w:rsidRPr="00186112">
        <w:rPr>
          <w:rFonts w:ascii="Arial" w:hAnsi="Arial" w:cs="Arial"/>
          <w:bCs/>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Pr>
          <w:rFonts w:ascii="Arial" w:hAnsi="Arial" w:cs="Arial"/>
          <w:bCs/>
        </w:rPr>
        <w:t>” (</w:t>
      </w:r>
      <w:r>
        <w:rPr>
          <w:rFonts w:ascii="Arial" w:hAnsi="Arial" w:cs="Arial"/>
          <w:bCs/>
          <w:lang w:val="es-ES_tradnl"/>
        </w:rPr>
        <w:t>artículo 40 de la Ley 80 de 1993)</w:t>
      </w:r>
      <w:r w:rsidRPr="00942460">
        <w:rPr>
          <w:rFonts w:ascii="Arial" w:hAnsi="Arial" w:cs="Arial"/>
          <w:bCs/>
        </w:rPr>
        <w:t>.</w:t>
      </w:r>
      <w:r>
        <w:rPr>
          <w:rFonts w:ascii="Arial" w:hAnsi="Arial" w:cs="Arial"/>
          <w:bCs/>
        </w:rPr>
        <w:t xml:space="preserve"> Por ello, dado que el contrato objeto de consulta carece de autonomía normativa como contrato atípico no existe registro de las necesidades, entidades o cuantías solicitadas en la consulta, pues no es un parámetro válido para la búsqueda en SECOP.  </w:t>
      </w:r>
    </w:p>
    <w:bookmarkEnd w:id="7"/>
    <w:p w14:paraId="20C54CB6" w14:textId="77777777" w:rsidR="003B3D60" w:rsidRPr="00504597" w:rsidRDefault="003B3D60" w:rsidP="003B3D60">
      <w:pPr>
        <w:spacing w:after="0" w:line="276" w:lineRule="auto"/>
        <w:jc w:val="both"/>
        <w:rPr>
          <w:rFonts w:ascii="Arial" w:hAnsi="Arial" w:cs="Arial"/>
          <w:color w:val="000000" w:themeColor="text1"/>
          <w:lang w:eastAsia="es-MX"/>
        </w:rPr>
      </w:pPr>
    </w:p>
    <w:p w14:paraId="4C1C992E" w14:textId="77777777" w:rsidR="003B3D60" w:rsidRPr="00504597" w:rsidRDefault="003B3D60" w:rsidP="003B3D60">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002D57B6" w14:textId="77777777" w:rsidR="003B3D60" w:rsidRDefault="003B3D60" w:rsidP="003B3D60">
      <w:pPr>
        <w:spacing w:after="0" w:line="276" w:lineRule="auto"/>
        <w:jc w:val="both"/>
        <w:rPr>
          <w:rFonts w:ascii="Arial" w:hAnsi="Arial" w:cs="Arial"/>
          <w:color w:val="000000" w:themeColor="text1"/>
        </w:rPr>
      </w:pPr>
    </w:p>
    <w:p w14:paraId="668AA2C1" w14:textId="77777777" w:rsidR="003B3D60" w:rsidRDefault="003B3D60" w:rsidP="003B3D60">
      <w:pPr>
        <w:spacing w:after="120" w:line="240" w:lineRule="auto"/>
        <w:ind w:left="709" w:right="709"/>
        <w:jc w:val="both"/>
        <w:rPr>
          <w:rFonts w:ascii="Arial" w:hAnsi="Arial" w:cs="Arial"/>
          <w:color w:val="000000" w:themeColor="text1"/>
          <w:sz w:val="21"/>
          <w:szCs w:val="21"/>
          <w:lang w:val="es-ES_tradnl"/>
        </w:rPr>
      </w:pPr>
      <w:r w:rsidRPr="00186112">
        <w:rPr>
          <w:rFonts w:ascii="Arial" w:hAnsi="Arial" w:cs="Arial"/>
          <w:color w:val="000000" w:themeColor="text1"/>
          <w:sz w:val="21"/>
          <w:szCs w:val="21"/>
          <w:lang w:val="es-ES_tradnl"/>
        </w:rPr>
        <w:t>i) “¿Actualmente, es legal el uso del “contrato por monto agotable” como atípico, dentro de la contratación estatal colombiana?”</w:t>
      </w:r>
      <w:r>
        <w:rPr>
          <w:rFonts w:ascii="Arial" w:hAnsi="Arial" w:cs="Arial"/>
          <w:color w:val="000000" w:themeColor="text1"/>
          <w:sz w:val="21"/>
          <w:szCs w:val="21"/>
          <w:lang w:val="es-ES_tradnl"/>
        </w:rPr>
        <w:t>.</w:t>
      </w:r>
    </w:p>
    <w:p w14:paraId="6F92A472" w14:textId="77777777" w:rsidR="003B3D60" w:rsidRPr="00AF299C" w:rsidRDefault="003B3D60" w:rsidP="003B3D60">
      <w:pPr>
        <w:spacing w:after="0" w:line="240" w:lineRule="auto"/>
        <w:ind w:left="709" w:right="709"/>
        <w:jc w:val="both"/>
        <w:rPr>
          <w:rFonts w:ascii="Arial" w:hAnsi="Arial" w:cs="Arial"/>
          <w:color w:val="000000" w:themeColor="text1"/>
          <w:sz w:val="21"/>
          <w:szCs w:val="21"/>
        </w:rPr>
      </w:pPr>
      <w:r w:rsidRPr="00186112">
        <w:rPr>
          <w:rFonts w:ascii="Arial" w:hAnsi="Arial" w:cs="Arial"/>
          <w:color w:val="000000" w:themeColor="text1"/>
          <w:sz w:val="21"/>
          <w:szCs w:val="21"/>
          <w:lang w:val="es-ES_tradnl"/>
        </w:rPr>
        <w:t>ii) “¿Cronológica e históricamente, desde cuándo se tiene conocimiento o registro por la entidad, del uso del “contrato por monto agotable” como atípico, dentro de la contratación estatal colombiana?”</w:t>
      </w:r>
      <w:r>
        <w:rPr>
          <w:rFonts w:ascii="Arial" w:hAnsi="Arial" w:cs="Arial"/>
          <w:color w:val="000000" w:themeColor="text1"/>
          <w:sz w:val="21"/>
          <w:szCs w:val="21"/>
        </w:rPr>
        <w:t>.</w:t>
      </w:r>
      <w:r w:rsidRPr="00AF299C">
        <w:rPr>
          <w:rFonts w:ascii="Arial" w:hAnsi="Arial" w:cs="Arial"/>
          <w:color w:val="000000" w:themeColor="text1"/>
          <w:sz w:val="21"/>
          <w:szCs w:val="21"/>
        </w:rPr>
        <w:t xml:space="preserve"> </w:t>
      </w:r>
    </w:p>
    <w:p w14:paraId="67BBABF0" w14:textId="77777777" w:rsidR="003B3D60" w:rsidRPr="006651EC" w:rsidRDefault="003B3D60" w:rsidP="003B3D60">
      <w:pPr>
        <w:spacing w:after="0"/>
        <w:ind w:left="709" w:right="709"/>
        <w:jc w:val="both"/>
        <w:rPr>
          <w:rFonts w:ascii="Arial" w:hAnsi="Arial" w:cs="Arial"/>
          <w:color w:val="000000" w:themeColor="text1"/>
          <w:sz w:val="21"/>
          <w:szCs w:val="21"/>
        </w:rPr>
      </w:pPr>
      <w:r w:rsidRPr="00AF299C">
        <w:rPr>
          <w:rFonts w:ascii="Arial" w:hAnsi="Arial" w:cs="Arial"/>
          <w:color w:val="000000" w:themeColor="text1"/>
          <w:sz w:val="21"/>
          <w:szCs w:val="21"/>
        </w:rPr>
        <w:t xml:space="preserve"> </w:t>
      </w:r>
    </w:p>
    <w:p w14:paraId="25C00037" w14:textId="77777777" w:rsidR="003B3D60" w:rsidRDefault="003B3D60" w:rsidP="003B3D60">
      <w:pPr>
        <w:widowControl w:val="0"/>
        <w:tabs>
          <w:tab w:val="left" w:pos="822"/>
        </w:tabs>
        <w:autoSpaceDE w:val="0"/>
        <w:autoSpaceDN w:val="0"/>
        <w:spacing w:after="120" w:line="276" w:lineRule="auto"/>
        <w:ind w:right="119"/>
        <w:jc w:val="both"/>
        <w:rPr>
          <w:rFonts w:ascii="Arial" w:hAnsi="Arial" w:cs="Arial"/>
          <w:bCs/>
          <w:lang w:val="es-ES_tradnl"/>
        </w:rPr>
      </w:pPr>
      <w:bookmarkStart w:id="15" w:name="_Hlk131176177"/>
      <w:r w:rsidRPr="008C4B50">
        <w:rPr>
          <w:rFonts w:ascii="Arial" w:eastAsia="Arial MT" w:hAnsi="Arial" w:cs="Arial"/>
          <w:color w:val="000000" w:themeColor="text1"/>
          <w:lang w:val="es-ES"/>
        </w:rPr>
        <w:t xml:space="preserve">La figura del “contrato por monto agotable” no existe en las leyes civiles y comerciales ni en el EGCAP como una figura contractual típica ni atípica, pues </w:t>
      </w:r>
      <w:r w:rsidRPr="008C4B50">
        <w:rPr>
          <w:rFonts w:ascii="Arial" w:hAnsi="Arial" w:cs="Arial"/>
          <w:bCs/>
          <w:lang w:val="es-ES_tradnl"/>
        </w:rPr>
        <w:t xml:space="preserve">puede corresponder a un contrato de suministro o de obra, donde se pacta el pago de la contraprestación a precios unitarios, conforme a unos valores asignados, que son objeto del negocio y que se entregan a la entidad, durante el plazo de ejecución del contrato, sin exceder el valor o presupuesto oficial asignado por la entidad contratante para el efecto. En este contexto, se encuentra más relacionada con el establecimiento de la forma de pago. </w:t>
      </w:r>
    </w:p>
    <w:bookmarkEnd w:id="15"/>
    <w:p w14:paraId="51D4F248" w14:textId="77777777" w:rsidR="003B3D60" w:rsidRDefault="003B3D60" w:rsidP="003B3D60">
      <w:pPr>
        <w:widowControl w:val="0"/>
        <w:tabs>
          <w:tab w:val="left" w:pos="822"/>
        </w:tabs>
        <w:autoSpaceDE w:val="0"/>
        <w:autoSpaceDN w:val="0"/>
        <w:spacing w:after="120" w:line="276" w:lineRule="auto"/>
        <w:ind w:right="119"/>
        <w:jc w:val="both"/>
        <w:rPr>
          <w:rFonts w:ascii="Arial" w:hAnsi="Arial" w:cs="Arial"/>
          <w:bCs/>
          <w:lang w:val="es-ES_tradnl"/>
        </w:rPr>
      </w:pPr>
      <w:r>
        <w:rPr>
          <w:rFonts w:ascii="Arial" w:hAnsi="Arial" w:cs="Arial"/>
          <w:bCs/>
          <w:lang w:val="es-ES_tradnl"/>
        </w:rPr>
        <w:tab/>
        <w:t>En efecto</w:t>
      </w:r>
      <w:r w:rsidRPr="008C4B50">
        <w:rPr>
          <w:rFonts w:ascii="Arial" w:hAnsi="Arial" w:cs="Arial"/>
          <w:bCs/>
          <w:lang w:val="es-ES_tradnl"/>
        </w:rPr>
        <w:t xml:space="preserve">, </w:t>
      </w:r>
      <w:bookmarkStart w:id="16" w:name="_Hlk131176304"/>
      <w:r w:rsidRPr="008C4B50">
        <w:rPr>
          <w:rFonts w:ascii="Arial" w:hAnsi="Arial" w:cs="Arial"/>
          <w:bCs/>
          <w:lang w:val="es-ES_tradnl"/>
        </w:rPr>
        <w:t xml:space="preserve">existen </w:t>
      </w:r>
      <w:r w:rsidRPr="00FD6BB9">
        <w:rPr>
          <w:rFonts w:ascii="Arial" w:hAnsi="Arial" w:cs="Arial"/>
          <w:bCs/>
          <w:i/>
          <w:iCs/>
          <w:lang w:val="es-ES_tradnl"/>
        </w:rPr>
        <w:t>contratos de suministro</w:t>
      </w:r>
      <w:r w:rsidRPr="008C4B50">
        <w:rPr>
          <w:rFonts w:ascii="Arial" w:hAnsi="Arial" w:cs="Arial"/>
          <w:bCs/>
          <w:lang w:val="es-ES_tradnl"/>
        </w:rPr>
        <w:t xml:space="preserve"> donde el contratista se obliga a entregar los </w:t>
      </w:r>
      <w:r w:rsidRPr="008C4B50">
        <w:rPr>
          <w:rFonts w:ascii="Arial" w:hAnsi="Arial" w:cs="Arial"/>
          <w:bCs/>
          <w:lang w:val="es-ES_tradnl"/>
        </w:rPr>
        <w:lastRenderedPageBreak/>
        <w:t>bienes por un precio unitario, sin que la cuantía se defina exactamente al tiempo de celebrar el contrato, ya que las entregas estas subordinadas a las necesidades de la entidad. Así las cosas, “En este tipo de contratos debe existir un presupuesto limitativo, establecido con el carácter del máximo, y debe preverse la posibilidad de que el objeto del contrato, y por ende el presupuesto máximo, se modifiquen en caso de que la entidad contratante necesite de un mayor número de unidades de producto de las inicialmente estimadas”.</w:t>
      </w:r>
    </w:p>
    <w:p w14:paraId="715F85C0" w14:textId="77777777" w:rsidR="003B3D60" w:rsidRDefault="003B3D60" w:rsidP="003B3D60">
      <w:pPr>
        <w:widowControl w:val="0"/>
        <w:tabs>
          <w:tab w:val="left" w:pos="822"/>
        </w:tabs>
        <w:autoSpaceDE w:val="0"/>
        <w:autoSpaceDN w:val="0"/>
        <w:spacing w:after="120" w:line="276" w:lineRule="auto"/>
        <w:ind w:right="119"/>
        <w:jc w:val="both"/>
        <w:rPr>
          <w:rFonts w:ascii="Arial" w:hAnsi="Arial" w:cs="Arial"/>
          <w:bCs/>
          <w:lang w:val="es-ES_tradnl"/>
        </w:rPr>
      </w:pPr>
      <w:r>
        <w:rPr>
          <w:rFonts w:ascii="Arial" w:hAnsi="Arial" w:cs="Arial"/>
          <w:bCs/>
          <w:lang w:val="es-ES_tradnl"/>
        </w:rPr>
        <w:tab/>
      </w:r>
      <w:r w:rsidRPr="008C4B50">
        <w:rPr>
          <w:rFonts w:ascii="Arial" w:hAnsi="Arial" w:cs="Arial"/>
          <w:bCs/>
          <w:lang w:val="es-ES_tradnl"/>
        </w:rPr>
        <w:t xml:space="preserve">Una situación similar se presenta en algunos </w:t>
      </w:r>
      <w:r w:rsidRPr="00FD6BB9">
        <w:rPr>
          <w:rFonts w:ascii="Arial" w:hAnsi="Arial" w:cs="Arial"/>
          <w:bCs/>
          <w:i/>
          <w:iCs/>
          <w:lang w:val="es-ES_tradnl"/>
        </w:rPr>
        <w:t>contratos de obra</w:t>
      </w:r>
      <w:r w:rsidRPr="008C4B50">
        <w:rPr>
          <w:rFonts w:ascii="Arial" w:hAnsi="Arial" w:cs="Arial"/>
          <w:bCs/>
          <w:lang w:val="es-ES_tradnl"/>
        </w:rPr>
        <w:t xml:space="preserve"> a precios unitarios donde, pese a que se encuentra establecido los ítems y el valor de cada uno de ellos, las cantidades definitivas dependen de lo efectivamente ejecutado al finalizar el plazo. En este sistema las partes establecen una suma fija por cada unidad de los trabajos que debe ejecutar el contratista, por lo que el precio –a diferencia del ajuste alzado o la suma cerrada– no se </w:t>
      </w:r>
      <w:r>
        <w:rPr>
          <w:rFonts w:ascii="Arial" w:hAnsi="Arial" w:cs="Arial"/>
          <w:bCs/>
          <w:lang w:val="es-ES_tradnl"/>
        </w:rPr>
        <w:t>determina</w:t>
      </w:r>
      <w:r w:rsidRPr="008C4B50">
        <w:rPr>
          <w:rFonts w:ascii="Arial" w:hAnsi="Arial" w:cs="Arial"/>
          <w:bCs/>
          <w:lang w:val="es-ES_tradnl"/>
        </w:rPr>
        <w:t xml:space="preserve"> por la totalidad de la obra, sino por cada parte, unidad o medida.</w:t>
      </w:r>
      <w:r>
        <w:rPr>
          <w:rFonts w:ascii="Arial" w:hAnsi="Arial" w:cs="Arial"/>
          <w:bCs/>
          <w:lang w:val="es-ES_tradnl"/>
        </w:rPr>
        <w:t xml:space="preserve"> En este caso, también se requiere establecer un tope máximo para la adelantar las obras, ya que “[…] el precio total depende del conjunto de trabajos ejecutados según el presupuesto, pudiendo por tanto variar por nuevos trabajos adicionales […]”. Por lo demás, a pesar de que el precio del contrato se fije por un monto agotable, este no deja de pertenecer a la tipología del artículo 32.1 del Estatuto General de Contratación de la Administración Pública, especialmente, cuando –conforme al tenor literal de la norma– la obra pública existe </w:t>
      </w:r>
      <w:r w:rsidRPr="00DB7DB1">
        <w:rPr>
          <w:rFonts w:ascii="Arial" w:eastAsia="Calibri" w:hAnsi="Arial" w:cs="Arial"/>
          <w:color w:val="000000"/>
          <w:lang w:val="es-ES_tradnl" w:eastAsia="es-ES" w:bidi="es-ES"/>
        </w:rPr>
        <w:t>cualquiera que sea la modalidad de ejecución y pago</w:t>
      </w:r>
      <w:r>
        <w:rPr>
          <w:rFonts w:ascii="Arial" w:eastAsia="Calibri" w:hAnsi="Arial" w:cs="Arial"/>
          <w:color w:val="000000"/>
          <w:lang w:val="es-ES_tradnl" w:eastAsia="es-ES" w:bidi="es-ES"/>
        </w:rPr>
        <w:t>.</w:t>
      </w:r>
      <w:r>
        <w:rPr>
          <w:rFonts w:ascii="Arial" w:hAnsi="Arial" w:cs="Arial"/>
          <w:bCs/>
          <w:lang w:val="es-ES_tradnl"/>
        </w:rPr>
        <w:t xml:space="preserve">    </w:t>
      </w:r>
    </w:p>
    <w:bookmarkEnd w:id="16"/>
    <w:p w14:paraId="789B0F88" w14:textId="77777777" w:rsidR="003B3D60" w:rsidRPr="008C4B50" w:rsidRDefault="003B3D60" w:rsidP="003B3D60">
      <w:pPr>
        <w:spacing w:after="0" w:line="276" w:lineRule="auto"/>
        <w:ind w:firstLine="708"/>
        <w:jc w:val="both"/>
        <w:rPr>
          <w:rFonts w:ascii="Arial" w:hAnsi="Arial" w:cs="Arial"/>
          <w:bCs/>
          <w:lang w:val="es-ES_tradnl"/>
        </w:rPr>
      </w:pPr>
      <w:r w:rsidRPr="00D2267D">
        <w:rPr>
          <w:rFonts w:ascii="Arial" w:hAnsi="Arial" w:cs="Arial"/>
          <w:bCs/>
          <w:lang w:val="es-ES_tradnl"/>
        </w:rPr>
        <w:t xml:space="preserve">Sin perjuicio de lo anterior, la estructuración del precio del contrato y la forma de pago a precios unitarios, según </w:t>
      </w:r>
      <w:r>
        <w:rPr>
          <w:rFonts w:ascii="Arial" w:hAnsi="Arial" w:cs="Arial"/>
          <w:bCs/>
          <w:lang w:val="es-ES_tradnl"/>
        </w:rPr>
        <w:t xml:space="preserve">la </w:t>
      </w:r>
      <w:r w:rsidRPr="00D2267D">
        <w:rPr>
          <w:rFonts w:ascii="Arial" w:hAnsi="Arial" w:cs="Arial"/>
          <w:bCs/>
          <w:lang w:val="es-ES_tradnl"/>
        </w:rPr>
        <w:t xml:space="preserve">demanda de </w:t>
      </w:r>
      <w:r>
        <w:rPr>
          <w:rFonts w:ascii="Arial" w:hAnsi="Arial" w:cs="Arial"/>
          <w:bCs/>
          <w:lang w:val="es-ES_tradnl"/>
        </w:rPr>
        <w:t>obras, bienes o servicios</w:t>
      </w:r>
      <w:r w:rsidRPr="00D2267D">
        <w:rPr>
          <w:rFonts w:ascii="Arial" w:hAnsi="Arial" w:cs="Arial"/>
          <w:bCs/>
          <w:lang w:val="es-ES_tradnl"/>
        </w:rPr>
        <w:t xml:space="preserve"> requeridos por la entidad contratante durante el plazo del contrato, sin exceder el presupuesto oficial, es una modalidad de pacto contractual admisible en el contrato estatal que puede utiliza</w:t>
      </w:r>
      <w:r>
        <w:rPr>
          <w:rFonts w:ascii="Arial" w:hAnsi="Arial" w:cs="Arial"/>
          <w:bCs/>
          <w:lang w:val="es-ES_tradnl"/>
        </w:rPr>
        <w:t>rse</w:t>
      </w:r>
      <w:r w:rsidRPr="00D2267D">
        <w:rPr>
          <w:rFonts w:ascii="Arial" w:hAnsi="Arial" w:cs="Arial"/>
          <w:bCs/>
          <w:lang w:val="es-ES_tradnl"/>
        </w:rPr>
        <w:t xml:space="preserve"> por las entidades </w:t>
      </w:r>
      <w:r>
        <w:rPr>
          <w:rFonts w:ascii="Arial" w:hAnsi="Arial" w:cs="Arial"/>
          <w:bCs/>
          <w:lang w:val="es-ES_tradnl"/>
        </w:rPr>
        <w:t>públicas</w:t>
      </w:r>
      <w:r w:rsidRPr="00D2267D">
        <w:rPr>
          <w:rFonts w:ascii="Arial" w:hAnsi="Arial" w:cs="Arial"/>
          <w:bCs/>
          <w:lang w:val="es-ES_tradnl"/>
        </w:rPr>
        <w:t>. En efecto, puede resultar procedente si en la etapa de planeación del contrato, producto de los estudios previos y el análisis del sector y de los oferentes, se observa que la misma resulta adecuada para satisfacer de mejor manera la necesidad que se pretende satisfacer con el proceso de contratación y puede generar algún beneficio, como por ejemplo, la posibilidad de contar con precios fijos de l</w:t>
      </w:r>
      <w:r>
        <w:rPr>
          <w:rFonts w:ascii="Arial" w:hAnsi="Arial" w:cs="Arial"/>
          <w:bCs/>
          <w:lang w:val="es-ES_tradnl"/>
        </w:rPr>
        <w:t>as obras,</w:t>
      </w:r>
      <w:r w:rsidRPr="00D2267D">
        <w:rPr>
          <w:rFonts w:ascii="Arial" w:hAnsi="Arial" w:cs="Arial"/>
          <w:bCs/>
          <w:lang w:val="es-ES_tradnl"/>
        </w:rPr>
        <w:t xml:space="preserve"> bienes o servicios que se adquirirán durante el plazo de ejecución</w:t>
      </w:r>
      <w:r>
        <w:rPr>
          <w:rFonts w:ascii="Arial" w:hAnsi="Arial" w:cs="Arial"/>
          <w:bCs/>
          <w:lang w:val="es-ES_tradnl"/>
        </w:rPr>
        <w:t xml:space="preserve">, controlando </w:t>
      </w:r>
      <w:r w:rsidRPr="00D2267D">
        <w:rPr>
          <w:rFonts w:ascii="Arial" w:hAnsi="Arial" w:cs="Arial"/>
          <w:bCs/>
          <w:lang w:val="es-ES_tradnl"/>
        </w:rPr>
        <w:t xml:space="preserve">el gasto </w:t>
      </w:r>
      <w:r>
        <w:rPr>
          <w:rFonts w:ascii="Arial" w:hAnsi="Arial" w:cs="Arial"/>
          <w:bCs/>
          <w:lang w:val="es-ES_tradnl"/>
        </w:rPr>
        <w:t xml:space="preserve">con el propósito de evitar el exceso en el presupuesto oficial. </w:t>
      </w:r>
      <w:r w:rsidRPr="00D2267D">
        <w:rPr>
          <w:rFonts w:ascii="Arial" w:hAnsi="Arial" w:cs="Arial"/>
          <w:bCs/>
          <w:lang w:val="es-ES_tradnl"/>
        </w:rPr>
        <w:t xml:space="preserve">En todo caso, la decisión de acudir a este tipo de cláusulas, usualmente incorporadas en la </w:t>
      </w:r>
      <w:r>
        <w:rPr>
          <w:rFonts w:ascii="Arial" w:hAnsi="Arial" w:cs="Arial"/>
          <w:bCs/>
          <w:lang w:val="es-ES_tradnl"/>
        </w:rPr>
        <w:t>“</w:t>
      </w:r>
      <w:r w:rsidRPr="00D2267D">
        <w:rPr>
          <w:rFonts w:ascii="Arial" w:hAnsi="Arial" w:cs="Arial"/>
          <w:bCs/>
          <w:lang w:val="es-ES_tradnl"/>
        </w:rPr>
        <w:t>forma de pago</w:t>
      </w:r>
      <w:r>
        <w:rPr>
          <w:rFonts w:ascii="Arial" w:hAnsi="Arial" w:cs="Arial"/>
          <w:bCs/>
          <w:lang w:val="es-ES_tradnl"/>
        </w:rPr>
        <w:t>”</w:t>
      </w:r>
      <w:r w:rsidRPr="00D2267D">
        <w:rPr>
          <w:rFonts w:ascii="Arial" w:hAnsi="Arial" w:cs="Arial"/>
          <w:bCs/>
          <w:lang w:val="es-ES_tradnl"/>
        </w:rPr>
        <w:t xml:space="preserve"> o en el </w:t>
      </w:r>
      <w:r>
        <w:rPr>
          <w:rFonts w:ascii="Arial" w:hAnsi="Arial" w:cs="Arial"/>
          <w:bCs/>
          <w:lang w:val="es-ES_tradnl"/>
        </w:rPr>
        <w:t>“</w:t>
      </w:r>
      <w:r w:rsidRPr="00D2267D">
        <w:rPr>
          <w:rFonts w:ascii="Arial" w:hAnsi="Arial" w:cs="Arial"/>
          <w:bCs/>
          <w:lang w:val="es-ES_tradnl"/>
        </w:rPr>
        <w:t>valor del contrato</w:t>
      </w:r>
      <w:r>
        <w:rPr>
          <w:rFonts w:ascii="Arial" w:hAnsi="Arial" w:cs="Arial"/>
          <w:bCs/>
          <w:lang w:val="es-ES_tradnl"/>
        </w:rPr>
        <w:t>”</w:t>
      </w:r>
      <w:r w:rsidRPr="00D2267D">
        <w:rPr>
          <w:rFonts w:ascii="Arial" w:hAnsi="Arial" w:cs="Arial"/>
          <w:bCs/>
          <w:lang w:val="es-ES_tradnl"/>
        </w:rPr>
        <w:t xml:space="preserve">, es de la autonomía de las entidades </w:t>
      </w:r>
      <w:r>
        <w:rPr>
          <w:rFonts w:ascii="Arial" w:hAnsi="Arial" w:cs="Arial"/>
          <w:bCs/>
          <w:lang w:val="es-ES_tradnl"/>
        </w:rPr>
        <w:t xml:space="preserve">públicas </w:t>
      </w:r>
      <w:r w:rsidRPr="00D2267D">
        <w:rPr>
          <w:rFonts w:ascii="Arial" w:hAnsi="Arial" w:cs="Arial"/>
          <w:bCs/>
          <w:lang w:val="es-ES_tradnl"/>
        </w:rPr>
        <w:t>rectoras de sus procesos de contratación</w:t>
      </w:r>
      <w:r>
        <w:rPr>
          <w:rFonts w:ascii="Arial" w:hAnsi="Arial" w:cs="Arial"/>
          <w:bCs/>
          <w:lang w:val="es-ES_tradnl"/>
        </w:rPr>
        <w:t xml:space="preserve"> porque </w:t>
      </w:r>
      <w:r w:rsidRPr="00D2267D">
        <w:rPr>
          <w:rFonts w:ascii="Arial" w:hAnsi="Arial" w:cs="Arial"/>
          <w:bCs/>
          <w:lang w:val="es-ES_tradnl"/>
        </w:rPr>
        <w:t>no están prohibidas o restringidas en la contratación estatal</w:t>
      </w:r>
      <w:r>
        <w:rPr>
          <w:rFonts w:ascii="Arial" w:hAnsi="Arial" w:cs="Arial"/>
          <w:bCs/>
          <w:lang w:val="es-ES_tradnl"/>
        </w:rPr>
        <w:t>,</w:t>
      </w:r>
      <w:r w:rsidRPr="00D2267D">
        <w:rPr>
          <w:rFonts w:ascii="Arial" w:hAnsi="Arial" w:cs="Arial"/>
          <w:bCs/>
          <w:lang w:val="es-ES_tradnl"/>
        </w:rPr>
        <w:t xml:space="preserve"> y podrá adoptarse previa justificación en los estudios previos que soportan el objeto y las condiciones de ejecución del contrato.   </w:t>
      </w:r>
      <w:r>
        <w:rPr>
          <w:rFonts w:ascii="Arial" w:hAnsi="Arial" w:cs="Arial"/>
          <w:bCs/>
          <w:lang w:val="es-ES_tradnl"/>
        </w:rPr>
        <w:t xml:space="preserve">  </w:t>
      </w:r>
    </w:p>
    <w:p w14:paraId="6FAFCD1D" w14:textId="77777777" w:rsidR="003B3D60" w:rsidRPr="00504597" w:rsidRDefault="003B3D60" w:rsidP="003B3D60">
      <w:pPr>
        <w:widowControl w:val="0"/>
        <w:tabs>
          <w:tab w:val="left" w:pos="822"/>
        </w:tabs>
        <w:autoSpaceDE w:val="0"/>
        <w:autoSpaceDN w:val="0"/>
        <w:spacing w:after="0"/>
        <w:ind w:right="117"/>
        <w:jc w:val="both"/>
        <w:rPr>
          <w:rFonts w:ascii="Arial" w:eastAsia="Arial MT" w:hAnsi="Arial" w:cs="Arial"/>
          <w:color w:val="000000" w:themeColor="text1"/>
          <w:sz w:val="21"/>
          <w:szCs w:val="21"/>
          <w:lang w:val="es-ES"/>
        </w:rPr>
      </w:pPr>
    </w:p>
    <w:p w14:paraId="465CC35A" w14:textId="77777777" w:rsidR="003B3D60" w:rsidRDefault="003B3D60" w:rsidP="003B3D60">
      <w:pPr>
        <w:spacing w:after="120" w:line="240" w:lineRule="auto"/>
        <w:ind w:left="709" w:right="709"/>
        <w:jc w:val="both"/>
        <w:rPr>
          <w:rFonts w:ascii="Arial" w:hAnsi="Arial" w:cs="Arial"/>
          <w:color w:val="000000" w:themeColor="text1"/>
          <w:sz w:val="21"/>
          <w:szCs w:val="21"/>
          <w:lang w:val="es-ES_tradnl"/>
        </w:rPr>
      </w:pPr>
      <w:r w:rsidRPr="008C4B50">
        <w:rPr>
          <w:rFonts w:ascii="Arial" w:hAnsi="Arial" w:cs="Arial"/>
          <w:color w:val="000000" w:themeColor="text1"/>
          <w:sz w:val="21"/>
          <w:szCs w:val="21"/>
          <w:lang w:val="es-ES_tradnl"/>
        </w:rPr>
        <w:t>iii) “¿Cuáles son los cinco (5) tipos de necesidades, que mayoritariamente se han buscado satisfacer por las entidades contratantes, mediante el uso del “contrato por monto agotable” como atípico, dentro de la contratación estatal colombiana?”</w:t>
      </w:r>
      <w:r>
        <w:rPr>
          <w:rFonts w:ascii="Arial" w:hAnsi="Arial" w:cs="Arial"/>
          <w:color w:val="000000" w:themeColor="text1"/>
          <w:sz w:val="21"/>
          <w:szCs w:val="21"/>
          <w:lang w:val="es-ES_tradnl"/>
        </w:rPr>
        <w:t>.</w:t>
      </w:r>
    </w:p>
    <w:p w14:paraId="6FBF2A3C" w14:textId="77777777" w:rsidR="003B3D60" w:rsidRDefault="003B3D60" w:rsidP="003B3D60">
      <w:pPr>
        <w:spacing w:after="120" w:line="240" w:lineRule="auto"/>
        <w:ind w:left="709" w:right="709"/>
        <w:jc w:val="both"/>
        <w:rPr>
          <w:rFonts w:ascii="Arial" w:hAnsi="Arial" w:cs="Arial"/>
          <w:color w:val="000000" w:themeColor="text1"/>
          <w:sz w:val="21"/>
          <w:szCs w:val="21"/>
          <w:lang w:val="es-ES_tradnl"/>
        </w:rPr>
      </w:pPr>
      <w:r w:rsidRPr="008C4B50">
        <w:rPr>
          <w:rFonts w:ascii="Arial" w:hAnsi="Arial" w:cs="Arial"/>
          <w:color w:val="000000" w:themeColor="text1"/>
          <w:sz w:val="21"/>
          <w:szCs w:val="21"/>
          <w:lang w:val="es-ES_tradnl"/>
        </w:rPr>
        <w:lastRenderedPageBreak/>
        <w:t>iv) “¿Cuáles cinco (5) entidades contratantes en concreto, son las que más emplean el uso del “contrato por monto agotable” como atípico, dentro de la contratación estatal colombiana?”</w:t>
      </w:r>
      <w:r>
        <w:rPr>
          <w:rFonts w:ascii="Arial" w:hAnsi="Arial" w:cs="Arial"/>
          <w:color w:val="000000" w:themeColor="text1"/>
          <w:sz w:val="21"/>
          <w:szCs w:val="21"/>
          <w:lang w:val="es-ES_tradnl"/>
        </w:rPr>
        <w:t>.</w:t>
      </w:r>
    </w:p>
    <w:p w14:paraId="13C43822" w14:textId="77777777" w:rsidR="003B3D60" w:rsidRDefault="003B3D60" w:rsidP="003B3D60">
      <w:pPr>
        <w:spacing w:after="120" w:line="240" w:lineRule="auto"/>
        <w:ind w:left="709" w:right="709"/>
        <w:jc w:val="both"/>
        <w:rPr>
          <w:rFonts w:ascii="Arial" w:hAnsi="Arial" w:cs="Arial"/>
          <w:color w:val="000000" w:themeColor="text1"/>
          <w:sz w:val="21"/>
          <w:szCs w:val="21"/>
          <w:lang w:val="es-ES_tradnl"/>
        </w:rPr>
      </w:pPr>
      <w:r w:rsidRPr="008C4B50">
        <w:rPr>
          <w:rFonts w:ascii="Arial" w:hAnsi="Arial" w:cs="Arial"/>
          <w:color w:val="000000" w:themeColor="text1"/>
          <w:sz w:val="21"/>
          <w:szCs w:val="21"/>
          <w:lang w:val="es-ES_tradnl"/>
        </w:rPr>
        <w:t>v) “¿Cuál es el contrato y sus datos, de la cuantía más alta, del que se tenga conocimiento y registro, que se haya efectuado, mediante la modalidad “contrato por monto agotable” como atípico, dentro de la contratación estatal colombiana?”</w:t>
      </w:r>
      <w:r>
        <w:rPr>
          <w:rFonts w:ascii="Arial" w:hAnsi="Arial" w:cs="Arial"/>
          <w:color w:val="000000" w:themeColor="text1"/>
          <w:sz w:val="21"/>
          <w:szCs w:val="21"/>
          <w:lang w:val="es-ES_tradnl"/>
        </w:rPr>
        <w:t>.</w:t>
      </w:r>
    </w:p>
    <w:p w14:paraId="69AA3F66" w14:textId="77777777" w:rsidR="003B3D60" w:rsidRPr="008C4B50" w:rsidRDefault="003B3D60" w:rsidP="003B3D60">
      <w:pPr>
        <w:spacing w:after="0" w:line="240" w:lineRule="auto"/>
        <w:ind w:left="709" w:right="709"/>
        <w:jc w:val="both"/>
        <w:rPr>
          <w:rFonts w:ascii="Arial" w:hAnsi="Arial" w:cs="Arial"/>
          <w:color w:val="000000" w:themeColor="text1"/>
          <w:sz w:val="21"/>
          <w:szCs w:val="21"/>
          <w:lang w:val="es-ES_tradnl"/>
        </w:rPr>
      </w:pPr>
      <w:r w:rsidRPr="008C4B50">
        <w:rPr>
          <w:rFonts w:ascii="Arial" w:hAnsi="Arial" w:cs="Arial"/>
          <w:color w:val="000000" w:themeColor="text1"/>
          <w:sz w:val="21"/>
          <w:szCs w:val="21"/>
          <w:lang w:val="es-ES_tradnl"/>
        </w:rPr>
        <w:t>vi) “Solicito respetuosamente aportar copia de las resoluciones vigentes, con las que cuente la entidad, que traten el tema de la regulación y vigencia sobre uso del “contrato por monto agotable” como atípico, dentro de la contratación estatal colombiana”.</w:t>
      </w:r>
      <w:r w:rsidRPr="008C4B50">
        <w:rPr>
          <w:rFonts w:ascii="Arial" w:hAnsi="Arial" w:cs="Arial"/>
          <w:color w:val="000000" w:themeColor="text1"/>
          <w:sz w:val="21"/>
          <w:szCs w:val="21"/>
        </w:rPr>
        <w:t xml:space="preserve">  </w:t>
      </w:r>
    </w:p>
    <w:p w14:paraId="434F1E18" w14:textId="77777777" w:rsidR="003B3D60" w:rsidRDefault="003B3D60" w:rsidP="003B3D60">
      <w:pPr>
        <w:spacing w:after="0" w:line="276" w:lineRule="auto"/>
        <w:jc w:val="both"/>
        <w:rPr>
          <w:rFonts w:ascii="Arial" w:hAnsi="Arial" w:cs="Arial"/>
          <w:color w:val="000000" w:themeColor="text1"/>
          <w:lang w:eastAsia="es-MX"/>
        </w:rPr>
      </w:pPr>
    </w:p>
    <w:p w14:paraId="4D426A17" w14:textId="77777777" w:rsidR="003B3D60" w:rsidRDefault="003B3D60" w:rsidP="003B3D60">
      <w:pPr>
        <w:spacing w:line="276" w:lineRule="auto"/>
        <w:jc w:val="both"/>
        <w:rPr>
          <w:rFonts w:ascii="Arial" w:hAnsi="Arial" w:cs="Arial"/>
          <w:color w:val="000000" w:themeColor="text1"/>
          <w:lang w:eastAsia="es-MX"/>
        </w:rPr>
      </w:pPr>
      <w:r>
        <w:rPr>
          <w:rFonts w:ascii="Arial" w:hAnsi="Arial" w:cs="Arial"/>
          <w:bCs/>
          <w:lang w:val="es-ES_tradnl"/>
        </w:rPr>
        <w:t xml:space="preserve">Se reitera que el denominado </w:t>
      </w:r>
      <w:r w:rsidRPr="00D977D2">
        <w:rPr>
          <w:rFonts w:ascii="Arial" w:hAnsi="Arial" w:cs="Arial"/>
          <w:bCs/>
          <w:i/>
          <w:iCs/>
          <w:lang w:val="es-ES_tradnl"/>
        </w:rPr>
        <w:t xml:space="preserve">“contrato por monto agotable” </w:t>
      </w:r>
      <w:r>
        <w:rPr>
          <w:rFonts w:ascii="Arial" w:hAnsi="Arial" w:cs="Arial"/>
          <w:bCs/>
          <w:lang w:val="es-ES_tradnl"/>
        </w:rPr>
        <w:t>no es una forma de contratación típica ni atípica en el ordenamiento colombiano, pues –aunque no esté expresamente regulado– corresponde una las formas en que puede pactarse el pago en los contratos a precios unitarios. Si bien es usual en algunos contratos de obra y suministro, nada obsta para que –de acuerdo con los estudios previos– se incluya en otras tipologías contractuales cuando la Administración lo estime conveniente y necesario, pues “</w:t>
      </w:r>
      <w:r w:rsidRPr="00942460">
        <w:rPr>
          <w:rFonts w:ascii="Arial" w:hAnsi="Arial" w:cs="Arial"/>
          <w:bCs/>
        </w:rPr>
        <w:t>Las entidades podrán celebrar los contratos y acuerdos que permitan la autonomía de la voluntad y requieran el cumplimiento de los fines estatales</w:t>
      </w:r>
      <w:r>
        <w:rPr>
          <w:rFonts w:ascii="Arial" w:hAnsi="Arial" w:cs="Arial"/>
          <w:bCs/>
        </w:rPr>
        <w:t>” y, por tanto, “</w:t>
      </w:r>
      <w:r w:rsidRPr="00186112">
        <w:rPr>
          <w:rFonts w:ascii="Arial" w:hAnsi="Arial" w:cs="Arial"/>
          <w:bCs/>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Pr>
          <w:rFonts w:ascii="Arial" w:hAnsi="Arial" w:cs="Arial"/>
          <w:bCs/>
        </w:rPr>
        <w:t>” (</w:t>
      </w:r>
      <w:r>
        <w:rPr>
          <w:rFonts w:ascii="Arial" w:hAnsi="Arial" w:cs="Arial"/>
          <w:bCs/>
          <w:lang w:val="es-ES_tradnl"/>
        </w:rPr>
        <w:t>artículo 40 de la Ley 80 de 1993)</w:t>
      </w:r>
      <w:r w:rsidRPr="00942460">
        <w:rPr>
          <w:rFonts w:ascii="Arial" w:hAnsi="Arial" w:cs="Arial"/>
          <w:bCs/>
        </w:rPr>
        <w:t>.</w:t>
      </w:r>
      <w:r>
        <w:rPr>
          <w:rFonts w:ascii="Arial" w:hAnsi="Arial" w:cs="Arial"/>
          <w:bCs/>
        </w:rPr>
        <w:t xml:space="preserve"> Por ello, dado que el contrato objeto de consulta carece de autonomía normativa como contrato atípico no existe registro de las necesidades, entidades o cuantías solicitadas en la consulta, pues no es un parámetro válido para la búsqueda en SECOP.</w:t>
      </w:r>
    </w:p>
    <w:p w14:paraId="07ECD95D" w14:textId="77777777" w:rsidR="003B3D60" w:rsidRPr="007F3BFF" w:rsidRDefault="003B3D60" w:rsidP="003B3D60">
      <w:pPr>
        <w:spacing w:after="0" w:line="276" w:lineRule="auto"/>
        <w:jc w:val="both"/>
        <w:textAlignment w:val="baseline"/>
        <w:rPr>
          <w:rFonts w:ascii="Arial" w:hAnsi="Arial" w:cs="Arial"/>
          <w:color w:val="000000" w:themeColor="text1"/>
          <w:lang w:val="es-ES" w:eastAsia="es-MX"/>
        </w:rPr>
      </w:pPr>
      <w:r>
        <w:rPr>
          <w:rFonts w:ascii="Arial" w:hAnsi="Arial" w:cs="Arial"/>
          <w:color w:val="000000" w:themeColor="text1"/>
          <w:lang w:eastAsia="es-MX"/>
        </w:rPr>
        <w:tab/>
      </w:r>
    </w:p>
    <w:p w14:paraId="245B7292" w14:textId="77777777" w:rsidR="003B3D60" w:rsidRDefault="003B3D60" w:rsidP="003B3D60">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6346FDD7" w14:textId="77777777" w:rsidR="003B3D60" w:rsidRPr="00181816" w:rsidRDefault="003B3D60" w:rsidP="003B3D60">
      <w:pPr>
        <w:widowControl w:val="0"/>
        <w:autoSpaceDE w:val="0"/>
        <w:autoSpaceDN w:val="0"/>
        <w:spacing w:after="0" w:line="276" w:lineRule="auto"/>
        <w:jc w:val="both"/>
        <w:rPr>
          <w:rFonts w:ascii="Arial" w:hAnsi="Arial" w:cs="Arial"/>
          <w:color w:val="000000" w:themeColor="text1"/>
          <w:lang w:val="es-ES_tradnl" w:bidi="es-ES"/>
        </w:rPr>
      </w:pPr>
    </w:p>
    <w:p w14:paraId="358500CA" w14:textId="77777777" w:rsidR="003B3D60" w:rsidRPr="000F4A3A" w:rsidRDefault="003B3D60" w:rsidP="003B3D60">
      <w:pPr>
        <w:tabs>
          <w:tab w:val="left" w:pos="426"/>
        </w:tabs>
        <w:spacing w:line="276" w:lineRule="auto"/>
        <w:jc w:val="both"/>
        <w:rPr>
          <w:rFonts w:ascii="Arial" w:eastAsia="Times New Roman" w:hAnsi="Arial" w:cs="Arial"/>
          <w:color w:val="000000" w:themeColor="text1"/>
        </w:rPr>
      </w:pPr>
      <w:r w:rsidRPr="43C70B32">
        <w:rPr>
          <w:rFonts w:ascii="Arial" w:eastAsia="Times New Roman" w:hAnsi="Arial" w:cs="Arial"/>
          <w:color w:val="000000" w:themeColor="text1"/>
        </w:rPr>
        <w:t>Atentamente,</w:t>
      </w:r>
    </w:p>
    <w:p w14:paraId="4A7C1D80" w14:textId="1B74FE13" w:rsidR="003B3D60" w:rsidRPr="00CB70D9" w:rsidRDefault="36FF4677" w:rsidP="43C70B32">
      <w:pPr>
        <w:jc w:val="center"/>
      </w:pPr>
      <w:r>
        <w:rPr>
          <w:noProof/>
        </w:rPr>
        <w:drawing>
          <wp:inline distT="0" distB="0" distL="0" distR="0" wp14:anchorId="2591988E" wp14:editId="2ACB3AED">
            <wp:extent cx="3152775" cy="1209675"/>
            <wp:effectExtent l="0" t="0" r="0" b="0"/>
            <wp:docPr id="920936724" name="Imagen 9209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B3D60" w:rsidRPr="003F5F71" w14:paraId="236661D3" w14:textId="77777777" w:rsidTr="006D2F61">
        <w:trPr>
          <w:trHeight w:val="409"/>
        </w:trPr>
        <w:tc>
          <w:tcPr>
            <w:tcW w:w="817" w:type="dxa"/>
            <w:tcBorders>
              <w:top w:val="nil"/>
              <w:left w:val="nil"/>
              <w:bottom w:val="nil"/>
              <w:right w:val="nil"/>
            </w:tcBorders>
            <w:vAlign w:val="center"/>
            <w:hideMark/>
          </w:tcPr>
          <w:p w14:paraId="1684825B" w14:textId="77777777" w:rsidR="003B3D60" w:rsidRPr="009C1F1A" w:rsidRDefault="003B3D60" w:rsidP="006D2F61">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489A224" w14:textId="77777777" w:rsidR="003B3D60" w:rsidRPr="009C1F1A" w:rsidRDefault="003B3D60" w:rsidP="006D2F61">
            <w:pPr>
              <w:spacing w:after="0" w:line="240" w:lineRule="auto"/>
              <w:jc w:val="both"/>
              <w:rPr>
                <w:rFonts w:ascii="Arial" w:hAnsi="Arial" w:cs="Arial"/>
                <w:sz w:val="16"/>
                <w:szCs w:val="16"/>
              </w:rPr>
            </w:pPr>
            <w:r>
              <w:rPr>
                <w:rFonts w:ascii="Arial" w:hAnsi="Arial" w:cs="Arial"/>
                <w:sz w:val="16"/>
                <w:szCs w:val="16"/>
              </w:rPr>
              <w:t>Juan David Montoya Penagos</w:t>
            </w:r>
          </w:p>
          <w:p w14:paraId="5F1E2B0C" w14:textId="77777777" w:rsidR="003B3D60" w:rsidRPr="009C1F1A" w:rsidRDefault="003B3D60" w:rsidP="006D2F61">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3B3D60" w:rsidRPr="003F5F71" w14:paraId="188BB14B" w14:textId="77777777" w:rsidTr="006D2F61">
        <w:trPr>
          <w:trHeight w:val="409"/>
        </w:trPr>
        <w:tc>
          <w:tcPr>
            <w:tcW w:w="817" w:type="dxa"/>
            <w:tcBorders>
              <w:top w:val="nil"/>
              <w:left w:val="nil"/>
              <w:right w:val="nil"/>
            </w:tcBorders>
            <w:vAlign w:val="center"/>
          </w:tcPr>
          <w:p w14:paraId="29C395CC" w14:textId="77777777" w:rsidR="003B3D60" w:rsidRPr="1CF3ADA9" w:rsidRDefault="003B3D60" w:rsidP="006D2F61">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F568B26" w14:textId="77777777" w:rsidR="003B3D60" w:rsidRPr="009C1F1A" w:rsidRDefault="003B3D60" w:rsidP="006D2F61">
            <w:pPr>
              <w:spacing w:after="0" w:line="240" w:lineRule="auto"/>
              <w:jc w:val="both"/>
              <w:rPr>
                <w:rFonts w:ascii="Arial" w:hAnsi="Arial" w:cs="Arial"/>
                <w:sz w:val="16"/>
                <w:szCs w:val="16"/>
              </w:rPr>
            </w:pPr>
            <w:r>
              <w:rPr>
                <w:rFonts w:ascii="Arial" w:hAnsi="Arial" w:cs="Arial"/>
                <w:sz w:val="16"/>
                <w:szCs w:val="16"/>
              </w:rPr>
              <w:t>Alejandro Sarmiento Cantillo</w:t>
            </w:r>
          </w:p>
          <w:p w14:paraId="46251B0E" w14:textId="77777777" w:rsidR="003B3D60" w:rsidRPr="009C1F1A" w:rsidRDefault="003B3D60" w:rsidP="006D2F61">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3B3D60" w:rsidRPr="003F5F71" w14:paraId="1219386C" w14:textId="77777777" w:rsidTr="006D2F61">
        <w:trPr>
          <w:trHeight w:val="389"/>
        </w:trPr>
        <w:tc>
          <w:tcPr>
            <w:tcW w:w="817" w:type="dxa"/>
            <w:tcBorders>
              <w:top w:val="nil"/>
              <w:left w:val="nil"/>
              <w:bottom w:val="nil"/>
              <w:right w:val="nil"/>
            </w:tcBorders>
            <w:vAlign w:val="center"/>
            <w:hideMark/>
          </w:tcPr>
          <w:p w14:paraId="421D4F7B" w14:textId="77777777" w:rsidR="003B3D60" w:rsidRPr="009C1F1A" w:rsidRDefault="003B3D60" w:rsidP="006D2F61">
            <w:pPr>
              <w:spacing w:after="0" w:line="240" w:lineRule="auto"/>
              <w:jc w:val="both"/>
              <w:rPr>
                <w:rFonts w:ascii="Arial" w:hAnsi="Arial" w:cs="Arial"/>
                <w:sz w:val="16"/>
                <w:szCs w:val="16"/>
              </w:rPr>
            </w:pPr>
            <w:r w:rsidRPr="009C1F1A">
              <w:rPr>
                <w:rFonts w:ascii="Arial" w:hAnsi="Arial" w:cs="Arial"/>
                <w:sz w:val="16"/>
                <w:szCs w:val="16"/>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97EF53A" w14:textId="77777777" w:rsidR="003B3D60" w:rsidRPr="009C1F1A" w:rsidRDefault="003B3D60" w:rsidP="006D2F61">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1692A038" w14:textId="77777777" w:rsidR="003B3D60" w:rsidRPr="009C1F1A" w:rsidRDefault="003B3D60" w:rsidP="006D2F61">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6C9643ED" w14:textId="77777777" w:rsidR="003B3D60" w:rsidRPr="006219F8" w:rsidRDefault="003B3D60" w:rsidP="003B3D60">
      <w:pPr>
        <w:tabs>
          <w:tab w:val="left" w:pos="0"/>
        </w:tabs>
        <w:spacing w:line="276" w:lineRule="auto"/>
        <w:contextualSpacing/>
        <w:jc w:val="both"/>
        <w:rPr>
          <w:lang w:val="es-MX"/>
        </w:rPr>
      </w:pPr>
    </w:p>
    <w:p w14:paraId="0F293BF4" w14:textId="0F6FB6C1" w:rsidR="00127233" w:rsidRPr="003B3D60" w:rsidRDefault="00127233" w:rsidP="003B3D60"/>
    <w:sectPr w:rsidR="00127233" w:rsidRPr="003B3D60"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BDCC" w14:textId="77777777" w:rsidR="001A35B7" w:rsidRDefault="001A35B7" w:rsidP="004A1847">
      <w:pPr>
        <w:spacing w:after="0" w:line="240" w:lineRule="auto"/>
      </w:pPr>
      <w:r>
        <w:separator/>
      </w:r>
    </w:p>
  </w:endnote>
  <w:endnote w:type="continuationSeparator" w:id="0">
    <w:p w14:paraId="2BEF788A" w14:textId="77777777" w:rsidR="001A35B7" w:rsidRDefault="001A35B7" w:rsidP="004A1847">
      <w:pPr>
        <w:spacing w:after="0" w:line="240" w:lineRule="auto"/>
      </w:pPr>
      <w:r>
        <w:continuationSeparator/>
      </w:r>
    </w:p>
  </w:endnote>
  <w:endnote w:type="continuationNotice" w:id="1">
    <w:p w14:paraId="42B9C89F" w14:textId="77777777" w:rsidR="001A35B7" w:rsidRDefault="001A3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9B7F" w14:textId="77777777" w:rsidR="001A35B7" w:rsidRDefault="001A35B7" w:rsidP="004A1847">
      <w:pPr>
        <w:spacing w:after="0" w:line="240" w:lineRule="auto"/>
      </w:pPr>
      <w:r>
        <w:separator/>
      </w:r>
    </w:p>
  </w:footnote>
  <w:footnote w:type="continuationSeparator" w:id="0">
    <w:p w14:paraId="65AFEF7E" w14:textId="77777777" w:rsidR="001A35B7" w:rsidRDefault="001A35B7" w:rsidP="004A1847">
      <w:pPr>
        <w:spacing w:after="0" w:line="240" w:lineRule="auto"/>
      </w:pPr>
      <w:r>
        <w:continuationSeparator/>
      </w:r>
    </w:p>
  </w:footnote>
  <w:footnote w:type="continuationNotice" w:id="1">
    <w:p w14:paraId="3C63D0C3" w14:textId="77777777" w:rsidR="001A35B7" w:rsidRDefault="001A35B7">
      <w:pPr>
        <w:spacing w:after="0" w:line="240" w:lineRule="auto"/>
      </w:pPr>
    </w:p>
  </w:footnote>
  <w:footnote w:id="2">
    <w:p w14:paraId="54A9F9F7" w14:textId="77777777" w:rsidR="003B3D60" w:rsidRPr="00D977D2" w:rsidRDefault="003B3D60" w:rsidP="003B3D60">
      <w:pPr>
        <w:pStyle w:val="Textonotapie"/>
        <w:ind w:firstLine="708"/>
        <w:jc w:val="both"/>
        <w:rPr>
          <w:rFonts w:ascii="Arial" w:hAnsi="Arial" w:cs="Arial"/>
          <w:sz w:val="18"/>
          <w:szCs w:val="18"/>
          <w:shd w:val="clear" w:color="auto" w:fill="E6E6E6"/>
        </w:rPr>
      </w:pPr>
      <w:r w:rsidRPr="00D977D2">
        <w:rPr>
          <w:rStyle w:val="Refdenotaalpie"/>
          <w:rFonts w:ascii="Arial" w:hAnsi="Arial" w:cs="Arial"/>
          <w:sz w:val="18"/>
          <w:szCs w:val="18"/>
        </w:rPr>
        <w:footnoteRef/>
      </w:r>
      <w:r w:rsidRPr="00D977D2">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D977D2">
          <w:rPr>
            <w:rStyle w:val="Hipervnculo"/>
            <w:rFonts w:ascii="Arial" w:hAnsi="Arial" w:cs="Arial"/>
            <w:sz w:val="18"/>
            <w:szCs w:val="18"/>
          </w:rPr>
          <w:t>https://relatoria.colombiacompra.gov.co/busqueda/conceptos</w:t>
        </w:r>
      </w:hyperlink>
      <w:r w:rsidRPr="00D977D2">
        <w:rPr>
          <w:rStyle w:val="Hipervnculo"/>
          <w:rFonts w:ascii="Arial" w:hAnsi="Arial" w:cs="Arial"/>
          <w:color w:val="auto"/>
          <w:sz w:val="18"/>
          <w:szCs w:val="18"/>
        </w:rPr>
        <w:t xml:space="preserve">. </w:t>
      </w:r>
      <w:r w:rsidRPr="00D977D2">
        <w:rPr>
          <w:rFonts w:ascii="Arial" w:hAnsi="Arial" w:cs="Arial"/>
          <w:sz w:val="18"/>
          <w:szCs w:val="18"/>
          <w:shd w:val="clear" w:color="auto" w:fill="E6E6E6"/>
        </w:rPr>
        <w:t xml:space="preserve"> </w:t>
      </w:r>
    </w:p>
    <w:p w14:paraId="374524C8" w14:textId="77777777" w:rsidR="004D549B" w:rsidRPr="00D977D2" w:rsidRDefault="004D549B" w:rsidP="003B3D60">
      <w:pPr>
        <w:pStyle w:val="Textonotapie"/>
        <w:ind w:firstLine="708"/>
        <w:jc w:val="both"/>
        <w:rPr>
          <w:rFonts w:ascii="Arial" w:hAnsi="Arial" w:cs="Arial"/>
          <w:sz w:val="18"/>
          <w:szCs w:val="18"/>
        </w:rPr>
      </w:pPr>
    </w:p>
  </w:footnote>
  <w:footnote w:id="3">
    <w:p w14:paraId="17E75B90" w14:textId="77777777" w:rsidR="003B3D60" w:rsidRPr="00D977D2" w:rsidRDefault="003B3D60" w:rsidP="003B3D60">
      <w:pPr>
        <w:pStyle w:val="Textonotapie"/>
        <w:ind w:firstLine="708"/>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Diccionario de la Lengua Española.</w:t>
      </w:r>
    </w:p>
  </w:footnote>
  <w:footnote w:id="4">
    <w:p w14:paraId="21B06D32" w14:textId="0A2F54AD" w:rsidR="003B3D60" w:rsidRPr="00D977D2" w:rsidRDefault="003B3D60" w:rsidP="00796BA4">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Wolker Kluwer, 2018. </w:t>
      </w:r>
      <w:r w:rsidR="00796BA4" w:rsidRPr="00D977D2">
        <w:rPr>
          <w:rFonts w:ascii="Arial" w:hAnsi="Arial" w:cs="Arial"/>
          <w:sz w:val="18"/>
          <w:szCs w:val="18"/>
        </w:rPr>
        <w:t>P</w:t>
      </w:r>
      <w:r w:rsidRPr="00D977D2">
        <w:rPr>
          <w:rFonts w:ascii="Arial" w:hAnsi="Arial" w:cs="Arial"/>
          <w:sz w:val="18"/>
          <w:szCs w:val="18"/>
        </w:rPr>
        <w:t xml:space="preserve">. 268).     </w:t>
      </w:r>
    </w:p>
    <w:p w14:paraId="41B4060A" w14:textId="77777777" w:rsidR="00796BA4" w:rsidRPr="00D977D2" w:rsidRDefault="00796BA4" w:rsidP="00796BA4">
      <w:pPr>
        <w:pStyle w:val="Textonotapie"/>
        <w:ind w:firstLine="708"/>
        <w:jc w:val="both"/>
        <w:rPr>
          <w:rFonts w:ascii="Arial" w:hAnsi="Arial" w:cs="Arial"/>
          <w:sz w:val="18"/>
          <w:szCs w:val="18"/>
        </w:rPr>
      </w:pPr>
    </w:p>
  </w:footnote>
  <w:footnote w:id="5">
    <w:p w14:paraId="0859CE64" w14:textId="77777777" w:rsidR="003B3D60" w:rsidRPr="00D977D2" w:rsidRDefault="003B3D60" w:rsidP="00796BA4">
      <w:pPr>
        <w:pStyle w:val="Textonotapie"/>
        <w:ind w:firstLine="708"/>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 xml:space="preserve">MARÍN CORTÉS, Fabián G. El precio. Ed. Librería Jurídica Sánchez R. Ltda. y Centro de Estudios de Derecho Administrativo, Medellín, 2012, p. 60. </w:t>
      </w:r>
    </w:p>
  </w:footnote>
  <w:footnote w:id="6">
    <w:p w14:paraId="5E082DF4" w14:textId="77777777" w:rsidR="00796BA4" w:rsidRPr="00D977D2" w:rsidRDefault="00796BA4" w:rsidP="00796BA4">
      <w:pPr>
        <w:pStyle w:val="Textonotapie"/>
        <w:ind w:firstLine="708"/>
        <w:jc w:val="both"/>
        <w:rPr>
          <w:rFonts w:ascii="Arial" w:hAnsi="Arial" w:cs="Arial"/>
          <w:sz w:val="18"/>
          <w:szCs w:val="18"/>
        </w:rPr>
      </w:pPr>
    </w:p>
    <w:p w14:paraId="784F80C8" w14:textId="7E38A468" w:rsidR="003B3D60" w:rsidRPr="00D977D2" w:rsidRDefault="003B3D60" w:rsidP="00796BA4">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Consejo de Estado, Sección Tercera, Subsección A sentencia de 19 de julio de 2018, M.P. Marta Nubia Velázquez Rico, Rad. 2013-01826(57.576)</w:t>
      </w:r>
      <w:r w:rsidRPr="00D977D2">
        <w:rPr>
          <w:rFonts w:ascii="Arial" w:hAnsi="Arial" w:cs="Arial"/>
          <w:sz w:val="18"/>
          <w:szCs w:val="18"/>
        </w:rPr>
        <w:t xml:space="preserve"> </w:t>
      </w:r>
    </w:p>
  </w:footnote>
  <w:footnote w:id="7">
    <w:p w14:paraId="0710DEBE" w14:textId="77777777" w:rsidR="00796BA4" w:rsidRPr="00D977D2" w:rsidRDefault="00796BA4" w:rsidP="00796BA4">
      <w:pPr>
        <w:pStyle w:val="Textonotapie"/>
        <w:ind w:firstLine="709"/>
        <w:jc w:val="both"/>
        <w:rPr>
          <w:rFonts w:ascii="Arial" w:hAnsi="Arial" w:cs="Arial"/>
          <w:sz w:val="18"/>
          <w:szCs w:val="18"/>
        </w:rPr>
      </w:pPr>
    </w:p>
    <w:p w14:paraId="1D0C6A2D" w14:textId="1E8C4A73" w:rsidR="003B3D60" w:rsidRPr="00D977D2" w:rsidRDefault="003B3D60" w:rsidP="00796BA4">
      <w:pPr>
        <w:pStyle w:val="Textonotapie"/>
        <w:ind w:firstLine="709"/>
        <w:jc w:val="both"/>
        <w:rPr>
          <w:rFonts w:ascii="Arial" w:hAnsi="Arial" w:cs="Arial"/>
          <w:sz w:val="18"/>
          <w:szCs w:val="18"/>
          <w:lang w:val="es-ES"/>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0051FB05" w14:textId="77777777" w:rsidR="003B3D60" w:rsidRPr="00D977D2" w:rsidRDefault="003B3D60" w:rsidP="003B3D60">
      <w:pPr>
        <w:pStyle w:val="Textonotapie"/>
        <w:ind w:firstLine="709"/>
        <w:jc w:val="both"/>
        <w:rPr>
          <w:rFonts w:ascii="Arial" w:hAnsi="Arial" w:cs="Arial"/>
          <w:sz w:val="18"/>
          <w:szCs w:val="18"/>
          <w:lang w:val="es-ES"/>
        </w:rPr>
      </w:pPr>
      <w:r w:rsidRPr="00D977D2">
        <w:rPr>
          <w:rFonts w:ascii="Arial" w:hAnsi="Arial" w:cs="Arial"/>
          <w:sz w:val="18"/>
          <w:szCs w:val="18"/>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D977D2">
        <w:rPr>
          <w:rFonts w:ascii="Arial" w:hAnsi="Arial" w:cs="Arial"/>
          <w:i/>
          <w:iCs/>
          <w:sz w:val="18"/>
          <w:szCs w:val="18"/>
          <w:lang w:val="es-ES"/>
        </w:rPr>
        <w:t>costos directos</w:t>
      </w:r>
      <w:r w:rsidRPr="00D977D2">
        <w:rPr>
          <w:rFonts w:ascii="Arial" w:hAnsi="Arial" w:cs="Arial"/>
          <w:sz w:val="18"/>
          <w:szCs w:val="18"/>
          <w:lang w:val="es-ES"/>
        </w:rPr>
        <w:t xml:space="preserve"> y los</w:t>
      </w:r>
      <w:r w:rsidRPr="00D977D2">
        <w:rPr>
          <w:rFonts w:ascii="Arial" w:hAnsi="Arial" w:cs="Arial"/>
          <w:i/>
          <w:iCs/>
          <w:sz w:val="18"/>
          <w:szCs w:val="18"/>
          <w:lang w:val="es-ES"/>
        </w:rPr>
        <w:t xml:space="preserve"> costos indirectos</w:t>
      </w:r>
      <w:r w:rsidRPr="00D977D2">
        <w:rPr>
          <w:rFonts w:ascii="Arial" w:hAnsi="Arial" w:cs="Arial"/>
          <w:sz w:val="18"/>
          <w:szCs w:val="18"/>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D977D2">
        <w:rPr>
          <w:rFonts w:ascii="Arial" w:hAnsi="Arial" w:cs="Arial"/>
          <w:i/>
          <w:iCs/>
          <w:sz w:val="18"/>
          <w:szCs w:val="18"/>
          <w:lang w:val="es-ES"/>
        </w:rPr>
        <w:t>ítems</w:t>
      </w:r>
      <w:r w:rsidRPr="00D977D2">
        <w:rPr>
          <w:rFonts w:ascii="Arial" w:hAnsi="Arial" w:cs="Arial"/>
          <w:sz w:val="18"/>
          <w:szCs w:val="18"/>
          <w:lang w:val="es-ES"/>
        </w:rPr>
        <w:t xml:space="preserve"> que componen el contrato–. Los costos </w:t>
      </w:r>
      <w:r w:rsidRPr="00D977D2">
        <w:rPr>
          <w:rFonts w:ascii="Arial" w:hAnsi="Arial" w:cs="Arial"/>
          <w:i/>
          <w:iCs/>
          <w:sz w:val="18"/>
          <w:szCs w:val="18"/>
          <w:lang w:val="es-ES"/>
        </w:rPr>
        <w:t>indirectos</w:t>
      </w:r>
      <w:r w:rsidRPr="00D977D2">
        <w:rPr>
          <w:rFonts w:ascii="Arial" w:hAnsi="Arial" w:cs="Arial"/>
          <w:sz w:val="18"/>
          <w:szCs w:val="18"/>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8">
    <w:p w14:paraId="6417AAE8" w14:textId="77777777" w:rsidR="003B3D60"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Consejo de Estado. Sección Tercera. Subsección B. Sentencia del 14 de octubre de 2011. Exp. 20811, C.P. Ruth Stella Correa Palacio.</w:t>
      </w:r>
    </w:p>
    <w:p w14:paraId="3AC7F8BF" w14:textId="77777777" w:rsidR="00796BA4" w:rsidRPr="00D977D2" w:rsidRDefault="00796BA4" w:rsidP="003B3D60">
      <w:pPr>
        <w:pStyle w:val="Textonotapie"/>
        <w:ind w:firstLine="708"/>
        <w:jc w:val="both"/>
        <w:rPr>
          <w:rFonts w:ascii="Arial" w:hAnsi="Arial" w:cs="Arial"/>
          <w:sz w:val="18"/>
          <w:szCs w:val="18"/>
        </w:rPr>
      </w:pPr>
    </w:p>
  </w:footnote>
  <w:footnote w:id="9">
    <w:p w14:paraId="06F4101B" w14:textId="77777777" w:rsidR="00796BA4"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Consejo de Estado. Sala de Consulta y Servicio Civil. Concepto del 5 de septiembre de 2018, radicado No. 11001-0</w:t>
      </w:r>
    </w:p>
    <w:p w14:paraId="7B047A0B" w14:textId="09CFE0E9" w:rsidR="003B3D60" w:rsidRPr="00D977D2" w:rsidRDefault="003B3D60" w:rsidP="003B3D60">
      <w:pPr>
        <w:pStyle w:val="Textonotapie"/>
        <w:ind w:firstLine="708"/>
        <w:jc w:val="both"/>
        <w:rPr>
          <w:rFonts w:ascii="Arial" w:hAnsi="Arial" w:cs="Arial"/>
          <w:sz w:val="18"/>
          <w:szCs w:val="18"/>
        </w:rPr>
      </w:pPr>
      <w:r w:rsidRPr="00D977D2">
        <w:rPr>
          <w:rFonts w:ascii="Arial" w:hAnsi="Arial" w:cs="Arial"/>
          <w:sz w:val="18"/>
          <w:szCs w:val="18"/>
        </w:rPr>
        <w:t>3-06-000-2018-00124-00 C.P. Édgar González López.</w:t>
      </w:r>
    </w:p>
  </w:footnote>
  <w:footnote w:id="10">
    <w:p w14:paraId="764657C7" w14:textId="77777777" w:rsidR="00796BA4" w:rsidRDefault="00796BA4" w:rsidP="003B3D60">
      <w:pPr>
        <w:pStyle w:val="Textonotapie"/>
        <w:ind w:firstLine="708"/>
        <w:jc w:val="both"/>
        <w:rPr>
          <w:rFonts w:ascii="Arial" w:hAnsi="Arial" w:cs="Arial"/>
          <w:sz w:val="18"/>
          <w:szCs w:val="18"/>
        </w:rPr>
      </w:pPr>
    </w:p>
    <w:p w14:paraId="75CAF892" w14:textId="5A291CE5"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footnote>
  <w:footnote w:id="11">
    <w:p w14:paraId="14B530F0" w14:textId="77777777" w:rsidR="00796BA4" w:rsidRDefault="00796BA4" w:rsidP="003B3D60">
      <w:pPr>
        <w:pStyle w:val="Textonotapie"/>
        <w:ind w:firstLine="708"/>
        <w:jc w:val="both"/>
        <w:rPr>
          <w:rFonts w:ascii="Arial" w:hAnsi="Arial" w:cs="Arial"/>
          <w:sz w:val="18"/>
          <w:szCs w:val="18"/>
        </w:rPr>
      </w:pPr>
    </w:p>
    <w:p w14:paraId="06AEED8E" w14:textId="4A720EF9"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eastAsia="Times New Roman" w:hAnsi="Arial" w:cs="Arial"/>
          <w:sz w:val="18"/>
          <w:szCs w:val="18"/>
          <w:lang w:eastAsia="es-ES"/>
        </w:rPr>
        <w:t>…]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D977D2">
        <w:rPr>
          <w:rFonts w:ascii="Arial" w:hAnsi="Arial" w:cs="Arial"/>
          <w:sz w:val="18"/>
          <w:szCs w:val="18"/>
        </w:rPr>
        <w:t>” (</w:t>
      </w:r>
      <w:r w:rsidRPr="00D977D2">
        <w:rPr>
          <w:rFonts w:ascii="Arial" w:hAnsi="Arial" w:cs="Arial"/>
          <w:sz w:val="18"/>
          <w:szCs w:val="18"/>
          <w:lang w:val="es-CO"/>
        </w:rPr>
        <w:t>Consejo de Estado. Sección Tercera. Consejero Ponente: Ramiro Saavedra Becerra. Sentencia del 28 de agosto de 2003. Radicado: 17.554).</w:t>
      </w:r>
      <w:r w:rsidRPr="00D977D2">
        <w:rPr>
          <w:rFonts w:ascii="Arial" w:hAnsi="Arial" w:cs="Arial"/>
          <w:sz w:val="18"/>
          <w:szCs w:val="18"/>
        </w:rPr>
        <w:t xml:space="preserve"> </w:t>
      </w:r>
    </w:p>
  </w:footnote>
  <w:footnote w:id="12">
    <w:p w14:paraId="1C4D477E" w14:textId="77777777" w:rsidR="00796BA4" w:rsidRDefault="00796BA4" w:rsidP="003B3D60">
      <w:pPr>
        <w:pStyle w:val="Textonotapie"/>
        <w:ind w:firstLine="708"/>
        <w:jc w:val="both"/>
        <w:rPr>
          <w:rFonts w:ascii="Arial" w:hAnsi="Arial" w:cs="Arial"/>
          <w:sz w:val="18"/>
          <w:szCs w:val="18"/>
        </w:rPr>
      </w:pPr>
    </w:p>
    <w:p w14:paraId="7FDC2571" w14:textId="5D54E11F"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MARÍN CORTÉS, Op. Cit., pp. 64-65.</w:t>
      </w:r>
    </w:p>
  </w:footnote>
  <w:footnote w:id="13">
    <w:p w14:paraId="261A036C" w14:textId="77777777" w:rsidR="00796BA4" w:rsidRDefault="00796BA4" w:rsidP="003B3D60">
      <w:pPr>
        <w:pStyle w:val="Textonotapie"/>
        <w:ind w:firstLine="709"/>
        <w:jc w:val="both"/>
        <w:rPr>
          <w:rFonts w:ascii="Arial" w:hAnsi="Arial" w:cs="Arial"/>
          <w:sz w:val="18"/>
          <w:szCs w:val="18"/>
        </w:rPr>
      </w:pPr>
    </w:p>
    <w:p w14:paraId="3B955D7B" w14:textId="07ECE501" w:rsidR="003B3D60" w:rsidRPr="00D977D2" w:rsidRDefault="003B3D60" w:rsidP="003B3D60">
      <w:pPr>
        <w:pStyle w:val="Textonotapie"/>
        <w:ind w:firstLine="709"/>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Ibíd., p. 66.</w:t>
      </w:r>
    </w:p>
  </w:footnote>
  <w:footnote w:id="14">
    <w:p w14:paraId="6C301438" w14:textId="77777777" w:rsidR="003B3D60"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Que tienen una definición y regulación establecida en la ley. </w:t>
      </w:r>
    </w:p>
    <w:p w14:paraId="56EDF05A" w14:textId="77777777" w:rsidR="008F2B4C" w:rsidRPr="00D977D2" w:rsidRDefault="008F2B4C" w:rsidP="003B3D60">
      <w:pPr>
        <w:pStyle w:val="Textonotapie"/>
        <w:ind w:firstLine="708"/>
        <w:jc w:val="both"/>
        <w:rPr>
          <w:rFonts w:ascii="Arial" w:hAnsi="Arial" w:cs="Arial"/>
          <w:sz w:val="18"/>
          <w:szCs w:val="18"/>
        </w:rPr>
      </w:pPr>
    </w:p>
  </w:footnote>
  <w:footnote w:id="15">
    <w:p w14:paraId="0B848EB3" w14:textId="77777777"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Por ejemplo: contratos de compraventa, suministro, depósito, seguro, arrendamiento, mutuo, mandato etc. </w:t>
      </w:r>
    </w:p>
  </w:footnote>
  <w:footnote w:id="16">
    <w:p w14:paraId="175AAF7F" w14:textId="77777777" w:rsidR="008F2B4C" w:rsidRDefault="008F2B4C" w:rsidP="003B3D60">
      <w:pPr>
        <w:pStyle w:val="Textonotapie"/>
        <w:ind w:firstLine="708"/>
        <w:jc w:val="both"/>
        <w:rPr>
          <w:rFonts w:ascii="Arial" w:hAnsi="Arial" w:cs="Arial"/>
          <w:sz w:val="18"/>
          <w:szCs w:val="18"/>
        </w:rPr>
      </w:pPr>
    </w:p>
    <w:p w14:paraId="7763214C" w14:textId="580D7552"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Por ejemplo: contratos de obra pública, prestación de servicios, consultoría, concesión, fiducia pública y encargo fiduciario. </w:t>
      </w:r>
    </w:p>
  </w:footnote>
  <w:footnote w:id="17">
    <w:p w14:paraId="31014A42" w14:textId="77777777" w:rsidR="003B3D60"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OSPINA MENA, Jesús Marino. Régimen de la Contratación Estatal. Un salto a la contratación liquida, Ed 1ª Dike, 2020, Bogotá, p. 164. </w:t>
      </w:r>
    </w:p>
    <w:p w14:paraId="237DBEB3" w14:textId="77777777" w:rsidR="001625A4" w:rsidRPr="00D977D2" w:rsidRDefault="001625A4" w:rsidP="003B3D60">
      <w:pPr>
        <w:pStyle w:val="Textonotapie"/>
        <w:ind w:firstLine="708"/>
        <w:jc w:val="both"/>
        <w:rPr>
          <w:rFonts w:ascii="Arial" w:hAnsi="Arial" w:cs="Arial"/>
          <w:sz w:val="18"/>
          <w:szCs w:val="18"/>
        </w:rPr>
      </w:pPr>
    </w:p>
  </w:footnote>
  <w:footnote w:id="18">
    <w:p w14:paraId="198AA450" w14:textId="77777777"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Style w:val="Refdenotaalpie"/>
          <w:rFonts w:ascii="Arial" w:hAnsi="Arial" w:cs="Arial"/>
          <w:sz w:val="18"/>
          <w:szCs w:val="18"/>
        </w:rPr>
        <w:t xml:space="preserve"> </w:t>
      </w:r>
      <w:r w:rsidRPr="00D977D2">
        <w:rPr>
          <w:rFonts w:ascii="Arial" w:hAnsi="Arial" w:cs="Arial"/>
          <w:sz w:val="18"/>
          <w:szCs w:val="18"/>
        </w:rPr>
        <w:t>ARRUBLA PAUCAR, Jaime. Contratos Mercantiles, Tomo III, Contratos Atípicos, 8 Ed, Legis, 2015, p. 23.</w:t>
      </w:r>
    </w:p>
  </w:footnote>
  <w:footnote w:id="19">
    <w:p w14:paraId="7CFA6BE9" w14:textId="77777777" w:rsidR="001625A4" w:rsidRDefault="001625A4" w:rsidP="003B3D60">
      <w:pPr>
        <w:pStyle w:val="Textonotapie"/>
        <w:ind w:firstLine="708"/>
        <w:jc w:val="both"/>
        <w:rPr>
          <w:rFonts w:ascii="Arial" w:hAnsi="Arial" w:cs="Arial"/>
          <w:color w:val="000000" w:themeColor="text1"/>
          <w:sz w:val="18"/>
          <w:szCs w:val="18"/>
        </w:rPr>
      </w:pPr>
    </w:p>
    <w:p w14:paraId="76CE5ED6" w14:textId="1BB4AA6A" w:rsidR="003B3D60" w:rsidRPr="00D977D2" w:rsidRDefault="003B3D60" w:rsidP="003B3D60">
      <w:pPr>
        <w:pStyle w:val="Textonotapie"/>
        <w:ind w:firstLine="708"/>
        <w:jc w:val="both"/>
        <w:rPr>
          <w:rFonts w:ascii="Arial" w:hAnsi="Arial" w:cs="Arial"/>
          <w:iCs/>
          <w:color w:val="000000" w:themeColor="text1"/>
          <w:sz w:val="18"/>
          <w:szCs w:val="18"/>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D977D2">
        <w:rPr>
          <w:rFonts w:ascii="Arial" w:hAnsi="Arial" w:cs="Arial"/>
          <w:iCs/>
          <w:color w:val="000000" w:themeColor="text1"/>
          <w:sz w:val="18"/>
          <w:szCs w:val="18"/>
        </w:rPr>
        <w:t>NARVAEZ GARCÍA, José Ignacio, Derecho mercantil colombiano. Obligaciones y contratos mercantiles. 2 Ed. Bogotá: Legis, 2002. p.67.</w:t>
      </w:r>
    </w:p>
  </w:footnote>
  <w:footnote w:id="20">
    <w:p w14:paraId="03FC111A" w14:textId="77777777" w:rsidR="001625A4" w:rsidRDefault="001625A4" w:rsidP="003B3D60">
      <w:pPr>
        <w:pStyle w:val="Textonotapie"/>
        <w:ind w:firstLine="708"/>
        <w:jc w:val="both"/>
        <w:rPr>
          <w:rFonts w:ascii="Arial" w:hAnsi="Arial" w:cs="Arial"/>
          <w:color w:val="000000" w:themeColor="text1"/>
          <w:sz w:val="18"/>
          <w:szCs w:val="18"/>
        </w:rPr>
      </w:pPr>
    </w:p>
    <w:p w14:paraId="66192669" w14:textId="558FAD66" w:rsidR="003B3D60" w:rsidRPr="00D977D2" w:rsidRDefault="003B3D60" w:rsidP="003B3D60">
      <w:pPr>
        <w:pStyle w:val="Textonotapie"/>
        <w:ind w:firstLine="708"/>
        <w:jc w:val="both"/>
        <w:rPr>
          <w:rFonts w:ascii="Arial" w:hAnsi="Arial" w:cs="Arial"/>
          <w:iCs/>
          <w:color w:val="000000" w:themeColor="text1"/>
          <w:sz w:val="18"/>
          <w:szCs w:val="18"/>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Pr="00D977D2">
        <w:rPr>
          <w:rFonts w:ascii="Arial" w:hAnsi="Arial" w:cs="Arial"/>
          <w:iCs/>
          <w:color w:val="000000" w:themeColor="text1"/>
          <w:sz w:val="18"/>
          <w:szCs w:val="18"/>
        </w:rPr>
        <w:t>Gaceta Judicial T.XLVIII, p.50. Citada por: SUAREZ BELTRÁN, Gonzalo. Estudios de derecho contractual público. Bogotá: Legis, 2014. p. 239.</w:t>
      </w:r>
    </w:p>
  </w:footnote>
  <w:footnote w:id="21">
    <w:p w14:paraId="6DE36EEC" w14:textId="2EFAE0B2" w:rsidR="003B3D60" w:rsidRPr="00D977D2" w:rsidRDefault="003B3D60" w:rsidP="003B3D60">
      <w:pPr>
        <w:pStyle w:val="Textonotapie"/>
        <w:ind w:firstLine="708"/>
        <w:jc w:val="both"/>
        <w:rPr>
          <w:rFonts w:ascii="Arial" w:hAnsi="Arial" w:cs="Arial"/>
          <w:color w:val="000000" w:themeColor="text1"/>
          <w:sz w:val="18"/>
          <w:szCs w:val="18"/>
          <w:lang w:val="es-CO"/>
        </w:rPr>
      </w:pPr>
      <w:r w:rsidRPr="00D977D2">
        <w:rPr>
          <w:rStyle w:val="Refdenotaalpie"/>
          <w:rFonts w:ascii="Arial" w:hAnsi="Arial" w:cs="Arial"/>
          <w:color w:val="000000" w:themeColor="text1"/>
          <w:sz w:val="18"/>
          <w:szCs w:val="18"/>
        </w:rPr>
        <w:footnoteRef/>
      </w:r>
      <w:r w:rsidRPr="00D977D2">
        <w:rPr>
          <w:rFonts w:ascii="Arial" w:hAnsi="Arial" w:cs="Arial"/>
          <w:color w:val="000000" w:themeColor="text1"/>
          <w:sz w:val="18"/>
          <w:szCs w:val="18"/>
        </w:rPr>
        <w:t xml:space="preserve"> </w:t>
      </w:r>
      <w:r w:rsidR="001625A4" w:rsidRPr="001625A4">
        <w:rPr>
          <w:rFonts w:ascii="Arial" w:hAnsi="Arial" w:cs="Arial"/>
          <w:iCs/>
          <w:color w:val="000000" w:themeColor="text1"/>
          <w:sz w:val="18"/>
          <w:szCs w:val="18"/>
        </w:rPr>
        <w:t>CONSEJO DE ESTADO</w:t>
      </w:r>
      <w:r w:rsidRPr="00D977D2">
        <w:rPr>
          <w:rFonts w:ascii="Arial" w:hAnsi="Arial" w:cs="Arial"/>
          <w:iCs/>
          <w:color w:val="000000" w:themeColor="text1"/>
          <w:sz w:val="18"/>
          <w:szCs w:val="18"/>
        </w:rPr>
        <w:t>. Sala de Consulta y Servicio Civil. Concepto</w:t>
      </w:r>
      <w:r w:rsidRPr="00D977D2">
        <w:rPr>
          <w:rFonts w:ascii="Arial" w:hAnsi="Arial" w:cs="Arial"/>
          <w:bCs/>
          <w:color w:val="000000" w:themeColor="text1"/>
          <w:sz w:val="18"/>
          <w:szCs w:val="18"/>
        </w:rPr>
        <w:t xml:space="preserve"> </w:t>
      </w:r>
      <w:r w:rsidRPr="00D977D2">
        <w:rPr>
          <w:rFonts w:ascii="Arial" w:hAnsi="Arial" w:cs="Arial"/>
          <w:iCs/>
          <w:color w:val="000000" w:themeColor="text1"/>
          <w:sz w:val="18"/>
          <w:szCs w:val="18"/>
        </w:rPr>
        <w:t>del 5 de septiembre de 2018. Exp. 2.386. C.P. Edgar González López. Este concepto reitera pronunciamientos anteriores relacionados con la estampilla pro-universidades, tales como: Conceptos 2.229 de 2015, 2.271 de 2016, 2.229 de 2017, 2.324 de 2017.</w:t>
      </w:r>
    </w:p>
  </w:footnote>
  <w:footnote w:id="22">
    <w:p w14:paraId="6947B557" w14:textId="77777777" w:rsidR="001625A4" w:rsidRDefault="001625A4" w:rsidP="003B3D60">
      <w:pPr>
        <w:pStyle w:val="Textonotapie"/>
        <w:ind w:firstLine="708"/>
        <w:jc w:val="both"/>
        <w:rPr>
          <w:rFonts w:ascii="Arial" w:hAnsi="Arial" w:cs="Arial"/>
          <w:sz w:val="18"/>
          <w:szCs w:val="18"/>
        </w:rPr>
      </w:pPr>
    </w:p>
    <w:p w14:paraId="49233956" w14:textId="7CEE9E9C" w:rsidR="003B3D60" w:rsidRPr="00D977D2" w:rsidRDefault="003B3D60" w:rsidP="003B3D60">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NOSSA PEÑA, Lisandro. De los contratos mercantiles, Universidad Católica de Colombia, 2 Ed, 2006, p. 279.</w:t>
      </w:r>
    </w:p>
  </w:footnote>
  <w:footnote w:id="23">
    <w:p w14:paraId="675B7DC5" w14:textId="77777777" w:rsidR="003B3D60" w:rsidRPr="00D977D2" w:rsidRDefault="003B3D60" w:rsidP="003B3D60">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 xml:space="preserve">LAFONT PIANETTA, Pedro. Manual de contratos, Tomo I, Ediciones Librería del Profesional, 1 Ed, 2001, p.110. </w:t>
      </w:r>
    </w:p>
  </w:footnote>
  <w:footnote w:id="24">
    <w:p w14:paraId="3BF4CD20" w14:textId="77777777" w:rsidR="003B3D60" w:rsidRPr="00D977D2" w:rsidRDefault="003B3D60" w:rsidP="003B3D60">
      <w:pPr>
        <w:pStyle w:val="Textonotapie"/>
        <w:ind w:firstLine="708"/>
        <w:jc w:val="both"/>
        <w:rPr>
          <w:rFonts w:ascii="Arial" w:hAnsi="Arial" w:cs="Arial"/>
          <w:iCs/>
          <w:color w:val="000000" w:themeColor="text1"/>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iCs/>
          <w:color w:val="000000" w:themeColor="text1"/>
          <w:sz w:val="18"/>
          <w:szCs w:val="18"/>
        </w:rPr>
        <w:t xml:space="preserve">Ibídem, p. 114. </w:t>
      </w:r>
    </w:p>
  </w:footnote>
  <w:footnote w:id="25">
    <w:p w14:paraId="396E274E" w14:textId="77777777" w:rsidR="003B3D60" w:rsidRPr="00D977D2" w:rsidRDefault="003B3D60" w:rsidP="003B3D60">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ALESSANDRI RODRÍGUEZ, Arturo. De los contratos. Santiago de Chile: Editorial Jurídica EDIAR-CONOCSUR LTDA, 1988. p. 182. </w:t>
      </w:r>
    </w:p>
  </w:footnote>
  <w:footnote w:id="26">
    <w:p w14:paraId="51E6BDA4" w14:textId="77777777" w:rsidR="003B3D60" w:rsidRPr="00D977D2" w:rsidRDefault="003B3D60" w:rsidP="003B3D60">
      <w:pPr>
        <w:pStyle w:val="Textonotapie"/>
        <w:ind w:firstLine="708"/>
        <w:jc w:val="both"/>
        <w:rPr>
          <w:rFonts w:ascii="Arial" w:hAnsi="Arial" w:cs="Arial"/>
          <w:sz w:val="18"/>
          <w:szCs w:val="18"/>
          <w:lang w:val="es-ES_tradnl"/>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ES_tradnl"/>
        </w:rPr>
        <w:t xml:space="preserve">Respecto a la referencia a los bienes inmuebles, debe considerarse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footnote>
  <w:footnote w:id="27">
    <w:p w14:paraId="1C062268" w14:textId="77777777" w:rsidR="003B3D60" w:rsidRPr="00D977D2" w:rsidRDefault="003B3D60" w:rsidP="003B3D60">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OSPINA MENA, Jesús Marino. Régimen de la Contratación Estatal. Un salto a la contratación liquida. Bogotá: Dike, 2020. p. 168.</w:t>
      </w:r>
    </w:p>
  </w:footnote>
  <w:footnote w:id="28">
    <w:p w14:paraId="3262C3DA" w14:textId="1320E7CA" w:rsidR="003B3D60" w:rsidRDefault="003B3D60" w:rsidP="003B3D60">
      <w:pPr>
        <w:pStyle w:val="Textonotapie"/>
        <w:ind w:firstLine="709"/>
        <w:jc w:val="both"/>
        <w:rPr>
          <w:rFonts w:ascii="Arial" w:hAnsi="Arial" w:cs="Arial"/>
          <w:color w:val="000000"/>
          <w:sz w:val="18"/>
          <w:szCs w:val="18"/>
        </w:rPr>
      </w:pPr>
      <w:r w:rsidRPr="00D977D2">
        <w:rPr>
          <w:rStyle w:val="Refdenotaalpie"/>
          <w:rFonts w:ascii="Arial" w:hAnsi="Arial" w:cs="Arial"/>
          <w:color w:val="000000"/>
          <w:sz w:val="18"/>
          <w:szCs w:val="18"/>
        </w:rPr>
        <w:footnoteRef/>
      </w:r>
      <w:r w:rsidRPr="00D977D2">
        <w:rPr>
          <w:rFonts w:ascii="Arial" w:hAnsi="Arial" w:cs="Arial"/>
          <w:color w:val="000000"/>
          <w:sz w:val="18"/>
          <w:szCs w:val="18"/>
        </w:rPr>
        <w:t xml:space="preserve"> </w:t>
      </w:r>
      <w:r w:rsidR="001625A4" w:rsidRPr="001625A4">
        <w:rPr>
          <w:rFonts w:ascii="Arial" w:hAnsi="Arial" w:cs="Arial"/>
          <w:color w:val="000000"/>
          <w:sz w:val="18"/>
          <w:szCs w:val="18"/>
        </w:rPr>
        <w:t>CONSEJO DE ESTADO</w:t>
      </w:r>
      <w:r w:rsidRPr="00D977D2">
        <w:rPr>
          <w:rFonts w:ascii="Arial" w:hAnsi="Arial" w:cs="Arial"/>
          <w:color w:val="000000"/>
          <w:sz w:val="18"/>
          <w:szCs w:val="18"/>
        </w:rPr>
        <w:t>. Sala de Consulta y Servicio Civil. Concepto del 5 de septiembre de 2018. Rad. 2.386. C.P. Edgar González López.</w:t>
      </w:r>
    </w:p>
    <w:p w14:paraId="0A06D749" w14:textId="77777777" w:rsidR="001625A4" w:rsidRPr="00D977D2" w:rsidRDefault="001625A4" w:rsidP="003B3D60">
      <w:pPr>
        <w:pStyle w:val="Textonotapie"/>
        <w:ind w:firstLine="709"/>
        <w:jc w:val="both"/>
        <w:rPr>
          <w:rFonts w:ascii="Arial" w:hAnsi="Arial" w:cs="Arial"/>
          <w:color w:val="000000"/>
          <w:sz w:val="18"/>
          <w:szCs w:val="18"/>
        </w:rPr>
      </w:pPr>
    </w:p>
  </w:footnote>
  <w:footnote w:id="29">
    <w:p w14:paraId="12005465" w14:textId="77777777" w:rsidR="003B3D60" w:rsidRDefault="003B3D60" w:rsidP="003B3D60">
      <w:pPr>
        <w:pStyle w:val="Textonotapie"/>
        <w:ind w:firstLine="708"/>
        <w:jc w:val="both"/>
        <w:rPr>
          <w:rFonts w:ascii="Arial" w:hAnsi="Arial" w:cs="Arial"/>
          <w:sz w:val="18"/>
          <w:szCs w:val="18"/>
          <w:lang w:val="es-CO"/>
        </w:rPr>
      </w:pPr>
      <w:r w:rsidRPr="00D977D2">
        <w:rPr>
          <w:rStyle w:val="Refdenotaalpie"/>
          <w:rFonts w:ascii="Arial" w:hAnsi="Arial" w:cs="Arial"/>
          <w:sz w:val="18"/>
          <w:szCs w:val="18"/>
        </w:rPr>
        <w:footnoteRef/>
      </w:r>
      <w:r w:rsidRPr="00D977D2">
        <w:rPr>
          <w:rFonts w:ascii="Arial" w:hAnsi="Arial" w:cs="Arial"/>
          <w:sz w:val="18"/>
          <w:szCs w:val="18"/>
        </w:rPr>
        <w:t xml:space="preserve"> </w:t>
      </w:r>
      <w:r w:rsidRPr="00D977D2">
        <w:rPr>
          <w:rFonts w:ascii="Arial" w:hAnsi="Arial" w:cs="Arial"/>
          <w:sz w:val="18"/>
          <w:szCs w:val="18"/>
          <w:lang w:val="es-CO"/>
        </w:rPr>
        <w:t>MELÓN PARDO, Carlos. El contrato de suministro. En: Tratado de los contratos del sector público. Tomo III. Valencia: Tirant lo Blanch, 2018. pp. 2620-2621. Esto también concuerda con la regla del numeral 2 del artículo 969 del Código de Comercio, pues “Para establecer la cuantía del suministro si las partes no lo hubieren fijado en cantidad determinada o señalado las bases para determinarla, se aplicarán las siguientes reglas: […] Si las partes han fijado solamente un límite máximo corresponderá al consumidor determinar la cuantía, sin exceder dicho máximo […]”.</w:t>
      </w:r>
    </w:p>
    <w:p w14:paraId="5A8DB32E" w14:textId="77777777" w:rsidR="001625A4" w:rsidRPr="00D977D2" w:rsidRDefault="001625A4" w:rsidP="003B3D60">
      <w:pPr>
        <w:pStyle w:val="Textonotapie"/>
        <w:ind w:firstLine="708"/>
        <w:jc w:val="both"/>
        <w:rPr>
          <w:rFonts w:ascii="Arial" w:hAnsi="Arial" w:cs="Arial"/>
          <w:sz w:val="18"/>
          <w:szCs w:val="18"/>
        </w:rPr>
      </w:pPr>
    </w:p>
  </w:footnote>
  <w:footnote w:id="30">
    <w:p w14:paraId="31B26422" w14:textId="068BC301"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Cfr. </w:t>
      </w:r>
      <w:r w:rsidR="001625A4" w:rsidRPr="001625A4">
        <w:rPr>
          <w:rFonts w:ascii="Arial" w:hAnsi="Arial" w:cs="Arial"/>
          <w:sz w:val="18"/>
          <w:szCs w:val="18"/>
        </w:rPr>
        <w:t>MARTÍNEZ MAS</w:t>
      </w:r>
      <w:r w:rsidRPr="00D977D2">
        <w:rPr>
          <w:rFonts w:ascii="Arial" w:hAnsi="Arial" w:cs="Arial"/>
          <w:sz w:val="18"/>
          <w:szCs w:val="18"/>
        </w:rPr>
        <w:t>, Francisco. La terminación, entrega, recepción, y liquidación en el contrato de obra. Madrid: Dykinson, 2001. pp. 176-177.</w:t>
      </w:r>
    </w:p>
  </w:footnote>
  <w:footnote w:id="31">
    <w:p w14:paraId="232AB17B" w14:textId="77777777" w:rsidR="001625A4" w:rsidRDefault="001625A4" w:rsidP="003B3D60">
      <w:pPr>
        <w:pStyle w:val="Textonotapie"/>
        <w:ind w:firstLine="708"/>
        <w:jc w:val="both"/>
        <w:rPr>
          <w:rFonts w:ascii="Arial" w:hAnsi="Arial" w:cs="Arial"/>
          <w:sz w:val="18"/>
          <w:szCs w:val="18"/>
        </w:rPr>
      </w:pPr>
    </w:p>
    <w:p w14:paraId="23B84418" w14:textId="122D33A4"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PODETTI, Humberto. El contrato de construcción. Buenos Aires: Astrea, 2004. </w:t>
      </w:r>
      <w:r w:rsidR="001625A4" w:rsidRPr="001625A4">
        <w:rPr>
          <w:rFonts w:ascii="Arial" w:hAnsi="Arial" w:cs="Arial"/>
          <w:sz w:val="18"/>
          <w:szCs w:val="18"/>
        </w:rPr>
        <w:t>P</w:t>
      </w:r>
      <w:r w:rsidRPr="00D977D2">
        <w:rPr>
          <w:rFonts w:ascii="Arial" w:hAnsi="Arial" w:cs="Arial"/>
          <w:sz w:val="18"/>
          <w:szCs w:val="18"/>
        </w:rPr>
        <w:t>p. 254-255.</w:t>
      </w:r>
    </w:p>
  </w:footnote>
  <w:footnote w:id="32">
    <w:p w14:paraId="451B00F7" w14:textId="77777777" w:rsidR="001625A4" w:rsidRDefault="001625A4" w:rsidP="003B3D60">
      <w:pPr>
        <w:pStyle w:val="Textonotapie"/>
        <w:ind w:firstLine="708"/>
        <w:jc w:val="both"/>
        <w:rPr>
          <w:rFonts w:ascii="Arial" w:hAnsi="Arial" w:cs="Arial"/>
          <w:sz w:val="18"/>
          <w:szCs w:val="18"/>
        </w:rPr>
      </w:pPr>
    </w:p>
    <w:p w14:paraId="6F191B17" w14:textId="49FE8AAE" w:rsidR="003B3D60" w:rsidRPr="00D977D2" w:rsidRDefault="003B3D60" w:rsidP="003B3D60">
      <w:pPr>
        <w:pStyle w:val="Textonotapie"/>
        <w:ind w:firstLine="708"/>
        <w:jc w:val="both"/>
        <w:rPr>
          <w:rFonts w:ascii="Arial" w:hAnsi="Arial" w:cs="Arial"/>
          <w:sz w:val="18"/>
          <w:szCs w:val="18"/>
        </w:rPr>
      </w:pPr>
      <w:r w:rsidRPr="00D977D2">
        <w:rPr>
          <w:rStyle w:val="Refdenotaalpie"/>
          <w:rFonts w:ascii="Arial" w:hAnsi="Arial" w:cs="Arial"/>
          <w:sz w:val="18"/>
          <w:szCs w:val="18"/>
        </w:rPr>
        <w:footnoteRef/>
      </w:r>
      <w:r w:rsidRPr="00D977D2">
        <w:rPr>
          <w:rFonts w:ascii="Arial" w:hAnsi="Arial" w:cs="Arial"/>
          <w:sz w:val="18"/>
          <w:szCs w:val="18"/>
        </w:rPr>
        <w:t xml:space="preserve"> PLANIOL, Marcel &amp; RIPERT, Jeorge. Tratado práctico de derecho civil francés. Tomo XI. La Habana: Cultural SA, 1940. p. 163.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208614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25A4"/>
    <w:rsid w:val="00164D81"/>
    <w:rsid w:val="001A1011"/>
    <w:rsid w:val="001A35B7"/>
    <w:rsid w:val="001A48D0"/>
    <w:rsid w:val="002653C1"/>
    <w:rsid w:val="0026611D"/>
    <w:rsid w:val="00286EE3"/>
    <w:rsid w:val="002951A0"/>
    <w:rsid w:val="002A64FD"/>
    <w:rsid w:val="002F0839"/>
    <w:rsid w:val="00301469"/>
    <w:rsid w:val="00306EE1"/>
    <w:rsid w:val="00310B9B"/>
    <w:rsid w:val="003276E6"/>
    <w:rsid w:val="0036461C"/>
    <w:rsid w:val="00367884"/>
    <w:rsid w:val="0039439C"/>
    <w:rsid w:val="003B3D60"/>
    <w:rsid w:val="003B69E7"/>
    <w:rsid w:val="003C013B"/>
    <w:rsid w:val="003D0F4D"/>
    <w:rsid w:val="003F58A1"/>
    <w:rsid w:val="00410DD6"/>
    <w:rsid w:val="004134C9"/>
    <w:rsid w:val="0043138C"/>
    <w:rsid w:val="00462A59"/>
    <w:rsid w:val="004A1847"/>
    <w:rsid w:val="004B6B0E"/>
    <w:rsid w:val="004C7DF9"/>
    <w:rsid w:val="004D25B3"/>
    <w:rsid w:val="004D549B"/>
    <w:rsid w:val="00511405"/>
    <w:rsid w:val="00526E9D"/>
    <w:rsid w:val="00535891"/>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93403"/>
    <w:rsid w:val="00796BA4"/>
    <w:rsid w:val="007C0CDF"/>
    <w:rsid w:val="007D74FD"/>
    <w:rsid w:val="007E2A2F"/>
    <w:rsid w:val="007F2B7C"/>
    <w:rsid w:val="00811651"/>
    <w:rsid w:val="00820F5B"/>
    <w:rsid w:val="00833452"/>
    <w:rsid w:val="008614E5"/>
    <w:rsid w:val="008678EB"/>
    <w:rsid w:val="00875894"/>
    <w:rsid w:val="00881C10"/>
    <w:rsid w:val="00890411"/>
    <w:rsid w:val="008D5C70"/>
    <w:rsid w:val="008F2B4C"/>
    <w:rsid w:val="008F7400"/>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977D2"/>
    <w:rsid w:val="00DA1854"/>
    <w:rsid w:val="00DB0887"/>
    <w:rsid w:val="00DF1E43"/>
    <w:rsid w:val="00E20894"/>
    <w:rsid w:val="00E26B7C"/>
    <w:rsid w:val="00EA3003"/>
    <w:rsid w:val="00EB3C91"/>
    <w:rsid w:val="00EB66DA"/>
    <w:rsid w:val="00F605F2"/>
    <w:rsid w:val="00F76AFC"/>
    <w:rsid w:val="00F8319B"/>
    <w:rsid w:val="00FA5516"/>
    <w:rsid w:val="00FD6F73"/>
    <w:rsid w:val="1CC63BF5"/>
    <w:rsid w:val="2F9951DC"/>
    <w:rsid w:val="36FF4677"/>
    <w:rsid w:val="3EA2D60F"/>
    <w:rsid w:val="43C70B32"/>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3B3D60"/>
    <w:rPr>
      <w:color w:val="0563C1" w:themeColor="hyperlink"/>
      <w:u w:val="single"/>
    </w:rPr>
  </w:style>
  <w:style w:type="paragraph" w:customStyle="1" w:styleId="Appelnotedebasde">
    <w:name w:val="Appel note de bas de..."/>
    <w:basedOn w:val="Normal"/>
    <w:link w:val="Refdenotaalpie"/>
    <w:uiPriority w:val="99"/>
    <w:rsid w:val="003B3D60"/>
    <w:pPr>
      <w:spacing w:line="240" w:lineRule="exact"/>
    </w:pPr>
    <w:rPr>
      <w:vertAlign w:val="superscript"/>
    </w:rPr>
  </w:style>
  <w:style w:type="paragraph" w:styleId="Sinespaciado">
    <w:name w:val="No Spacing"/>
    <w:aliases w:val="No Indent"/>
    <w:uiPriority w:val="3"/>
    <w:qFormat/>
    <w:rsid w:val="003B3D60"/>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B3D60"/>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39FFC69-9854-4006-9252-54997706F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9d85dbaf-23eb-4e57-a637-93dcacc8b1a1"/>
    <ds:schemaRef ds:uri="http://purl.org/dc/elements/1.1/"/>
    <ds:schemaRef ds:uri="http://www.w3.org/XML/1998/namespace"/>
    <ds:schemaRef ds:uri="http://schemas.openxmlformats.org/package/2006/metadata/core-properties"/>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6916</Words>
  <Characters>38039</Characters>
  <Application>Microsoft Office Word</Application>
  <DocSecurity>0</DocSecurity>
  <Lines>316</Lines>
  <Paragraphs>89</Paragraphs>
  <ScaleCrop>false</ScaleCrop>
  <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2</cp:revision>
  <dcterms:created xsi:type="dcterms:W3CDTF">2023-08-30T19:59:00Z</dcterms:created>
  <dcterms:modified xsi:type="dcterms:W3CDTF">2023-08-30T19:59:00Z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