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4BDB8" w14:textId="77777777" w:rsidR="0090277C" w:rsidRPr="00CC200E" w:rsidRDefault="0090277C" w:rsidP="00845C54">
      <w:pPr>
        <w:spacing w:after="120" w:line="276" w:lineRule="auto"/>
        <w:jc w:val="both"/>
        <w:rPr>
          <w:rFonts w:ascii="Arial" w:hAnsi="Arial" w:cs="Arial"/>
          <w:sz w:val="20"/>
          <w:szCs w:val="20"/>
          <w:lang w:val="es-ES_tradnl"/>
        </w:rPr>
      </w:pPr>
      <w:r w:rsidRPr="00CC200E">
        <w:rPr>
          <w:rFonts w:ascii="Arial" w:eastAsia="Calibri" w:hAnsi="Arial" w:cs="Arial"/>
          <w:b/>
          <w:sz w:val="20"/>
          <w:szCs w:val="20"/>
          <w:lang w:val="es-ES_tradnl"/>
        </w:rPr>
        <w:t>EXPERIENCIA – Noción – Concepto</w:t>
      </w:r>
    </w:p>
    <w:p w14:paraId="120F37DA" w14:textId="77777777" w:rsidR="0090277C" w:rsidRPr="00CC200E" w:rsidRDefault="0090277C" w:rsidP="00845C54">
      <w:pPr>
        <w:spacing w:after="120" w:line="240" w:lineRule="auto"/>
        <w:jc w:val="both"/>
        <w:rPr>
          <w:rFonts w:ascii="Arial" w:hAnsi="Arial" w:cs="Arial"/>
          <w:sz w:val="20"/>
          <w:szCs w:val="20"/>
        </w:rPr>
      </w:pPr>
      <w:r w:rsidRPr="00CC200E">
        <w:rPr>
          <w:rFonts w:ascii="Arial" w:eastAsia="Calibri" w:hAnsi="Arial" w:cs="Arial"/>
          <w:bCs/>
          <w:sz w:val="20"/>
          <w:szCs w:val="20"/>
          <w:lang w:val="es-ES_tradnl"/>
        </w:rPr>
        <w:t xml:space="preserve">La Ley 1150 de 2007, en el artículo 5, establece los requisitos habilitantes para participar en un procedimiento contractual, dentro de los cuales se destaca la experiencia. El propósito es que las entidades fijen unos requisitos mínimos que debe tener y acreditar el proponente, para que la entidad verifique su aptitud para participar en el procedimiento de contratación y, si se le adjudica, ejecutar el contrato estatal. En ese sentido, la entidad, como responsable de la estructuración de su procedimiento de contratación, es autónoma para requerir la experiencia necesaria para el objeto de contrato, para lo cual, de acuerdo con el artículo 2.2.1.1.1.6.2. del Decreto 1082 de 2015, debe tener en cuenta el estudio del sector y sus componentes como la identificación de riesgos, el mercado y precio del bien, obra o servicio a contratar. La experiencia que se deriva de los contratos que el proponente ha celebrado y ejecutado con diferentes contratantes, sin importar la naturaleza de estos, se verifica con el Registro Único de Proponentes – en adelante RUP -, cuando este certificado sea exigible de acuerdo con la ley. En este registro constan los requisitos habilitantes que se evalúan exclusivamente con este documento, que es plena prueba, sin que la entidad o el proponente puedan solicitar o aportar otra documentación. </w:t>
      </w:r>
    </w:p>
    <w:p w14:paraId="6CDE7159" w14:textId="77777777" w:rsidR="0090277C" w:rsidRPr="00CC200E" w:rsidRDefault="0090277C" w:rsidP="00845C54">
      <w:pPr>
        <w:spacing w:after="120"/>
        <w:rPr>
          <w:rFonts w:ascii="Arial" w:eastAsia="Calibri" w:hAnsi="Arial" w:cs="Arial"/>
          <w:bCs/>
          <w:sz w:val="20"/>
          <w:szCs w:val="20"/>
          <w:lang w:val="es-ES_tradnl"/>
        </w:rPr>
      </w:pPr>
      <w:r w:rsidRPr="00CC200E">
        <w:rPr>
          <w:rFonts w:ascii="Arial" w:eastAsia="Calibri" w:hAnsi="Arial" w:cs="Arial"/>
          <w:b/>
          <w:sz w:val="20"/>
          <w:szCs w:val="20"/>
          <w:lang w:val="es-ES_tradnl"/>
        </w:rPr>
        <w:t>EXPERIENCIA – Noción ‒ Colombia Compra Eficiente</w:t>
      </w:r>
    </w:p>
    <w:p w14:paraId="2CAF444A" w14:textId="77777777" w:rsidR="0090277C" w:rsidRPr="00CC200E" w:rsidRDefault="0090277C" w:rsidP="00845C54">
      <w:pPr>
        <w:spacing w:before="120" w:after="120" w:line="240" w:lineRule="auto"/>
        <w:jc w:val="both"/>
        <w:rPr>
          <w:rFonts w:ascii="Arial" w:eastAsia="Calibri" w:hAnsi="Arial" w:cs="Arial"/>
          <w:bCs/>
          <w:sz w:val="20"/>
          <w:szCs w:val="20"/>
          <w:lang w:val="es-ES_tradnl"/>
        </w:rPr>
      </w:pPr>
      <w:r w:rsidRPr="00CC200E">
        <w:rPr>
          <w:rFonts w:ascii="Arial" w:eastAsia="Calibri" w:hAnsi="Arial" w:cs="Arial"/>
          <w:bCs/>
          <w:sz w:val="20"/>
          <w:szCs w:val="20"/>
          <w:lang w:val="es-ES_tradnl"/>
        </w:rPr>
        <w:t xml:space="preserve">i) La experiencia es personal, esto es, se adquiere participando, directa o indirectamente, sin que sea posible no participar y tener una experiencia que no es propia. </w:t>
      </w:r>
    </w:p>
    <w:p w14:paraId="5ADBA685" w14:textId="77777777" w:rsidR="0090277C" w:rsidRPr="00CC200E" w:rsidRDefault="0090277C" w:rsidP="00845C54">
      <w:pPr>
        <w:spacing w:before="120" w:after="120" w:line="240" w:lineRule="auto"/>
        <w:jc w:val="both"/>
        <w:rPr>
          <w:rFonts w:ascii="Arial" w:eastAsia="Calibri" w:hAnsi="Arial" w:cs="Arial"/>
          <w:bCs/>
          <w:sz w:val="20"/>
          <w:szCs w:val="20"/>
          <w:lang w:val="es-ES_tradnl"/>
        </w:rPr>
      </w:pPr>
      <w:r w:rsidRPr="00CC200E">
        <w:rPr>
          <w:rFonts w:ascii="Arial" w:eastAsia="Calibri" w:hAnsi="Arial" w:cs="Arial"/>
          <w:bCs/>
          <w:sz w:val="20"/>
          <w:szCs w:val="20"/>
          <w:lang w:val="es-ES_tradnl"/>
        </w:rPr>
        <w:t xml:space="preserve">ii) La experiencia se puede compartir, sin que implique que la que le hayan compartido a una persona se entienda suya, ya que dentro del procedimiento contractual se reflejará que esa persona tiene la experiencia de otra, como es el caso de la que le aportan los socios a las sociedades con menos de 3 años de constitución, lo cual constará en el RUP; o de las figuras asociativas ̶consorcios y uniones temporales ̶ que se verificará en el documento privado de constitución. </w:t>
      </w:r>
    </w:p>
    <w:p w14:paraId="37901BC7" w14:textId="77777777" w:rsidR="0090277C" w:rsidRPr="00CC200E" w:rsidRDefault="0090277C" w:rsidP="00845C54">
      <w:pPr>
        <w:spacing w:before="120" w:after="120" w:line="240" w:lineRule="auto"/>
        <w:jc w:val="both"/>
        <w:rPr>
          <w:rFonts w:ascii="Arial" w:eastAsia="Calibri" w:hAnsi="Arial" w:cs="Arial"/>
          <w:bCs/>
          <w:sz w:val="20"/>
          <w:szCs w:val="20"/>
          <w:lang w:val="es-ES_tradnl"/>
        </w:rPr>
      </w:pPr>
      <w:r w:rsidRPr="00CC200E">
        <w:rPr>
          <w:rFonts w:ascii="Arial" w:eastAsia="Calibri" w:hAnsi="Arial" w:cs="Arial"/>
          <w:bCs/>
          <w:sz w:val="20"/>
          <w:szCs w:val="20"/>
          <w:lang w:val="es-ES_tradnl"/>
        </w:rPr>
        <w:t xml:space="preserve">iii) La experiencia se puede transferir, y es diferente a compartir, puesto que implica que la experiencia de una persona se traslada a otra, y esta última acredita esa experiencia como propia, lo cual es el caso de algunas figuras y reformas estatutarias, como se verá y explicará en detalle en el numeral 2.3 de este documento. </w:t>
      </w:r>
    </w:p>
    <w:p w14:paraId="2E866481" w14:textId="77777777" w:rsidR="0090277C" w:rsidRPr="00CC200E" w:rsidRDefault="0090277C" w:rsidP="00845C54">
      <w:pPr>
        <w:spacing w:before="120" w:after="120" w:line="240" w:lineRule="auto"/>
        <w:jc w:val="both"/>
        <w:rPr>
          <w:rFonts w:ascii="Arial" w:eastAsia="Calibri" w:hAnsi="Arial" w:cs="Arial"/>
          <w:bCs/>
          <w:sz w:val="20"/>
          <w:szCs w:val="20"/>
          <w:lang w:val="es-ES_tradnl"/>
        </w:rPr>
      </w:pPr>
      <w:r w:rsidRPr="00CC200E">
        <w:rPr>
          <w:rFonts w:ascii="Arial" w:eastAsia="Calibri" w:hAnsi="Arial" w:cs="Arial"/>
          <w:bCs/>
          <w:sz w:val="20"/>
          <w:szCs w:val="20"/>
          <w:lang w:val="es-ES_tradnl"/>
        </w:rPr>
        <w:t>iv) Cuando la persona que adquirió la experiencia desaparece o se liquida, no es posible que comparta o transfiera su experiencia, porque al ser personal sigue la suerte de quien la adquirió.</w:t>
      </w:r>
    </w:p>
    <w:p w14:paraId="17A06997" w14:textId="45D83EE8" w:rsidR="0090277C" w:rsidRPr="00CC200E" w:rsidRDefault="0090277C" w:rsidP="00845C54">
      <w:pPr>
        <w:spacing w:after="120" w:line="240" w:lineRule="auto"/>
        <w:jc w:val="both"/>
        <w:rPr>
          <w:rFonts w:ascii="Arial" w:eastAsia="Calibri" w:hAnsi="Arial" w:cs="Arial"/>
          <w:b/>
          <w:sz w:val="20"/>
          <w:szCs w:val="20"/>
          <w:lang w:val="es-ES_tradnl"/>
        </w:rPr>
      </w:pPr>
      <w:r w:rsidRPr="00CC200E">
        <w:rPr>
          <w:rFonts w:ascii="Arial" w:eastAsia="Calibri" w:hAnsi="Arial" w:cs="Arial"/>
          <w:b/>
          <w:sz w:val="20"/>
          <w:szCs w:val="20"/>
          <w:lang w:val="es-ES_tradnl"/>
        </w:rPr>
        <w:t>SOCIEDADES NUEVAS ‒ Experiencia ‒ Inferior a tres años ‒ Requisitos habilitantes ‒Desarrollo de la empresa</w:t>
      </w:r>
    </w:p>
    <w:p w14:paraId="7FFF961A" w14:textId="77777777" w:rsidR="0090277C" w:rsidRPr="00CC200E" w:rsidRDefault="0090277C" w:rsidP="00845C54">
      <w:pPr>
        <w:spacing w:before="120" w:after="120" w:line="240" w:lineRule="auto"/>
        <w:jc w:val="both"/>
        <w:rPr>
          <w:rFonts w:ascii="Arial" w:eastAsia="Calibri" w:hAnsi="Arial" w:cs="Arial"/>
          <w:bCs/>
          <w:sz w:val="20"/>
          <w:szCs w:val="20"/>
          <w:lang w:val="es-ES_tradnl"/>
        </w:rPr>
      </w:pPr>
      <w:r w:rsidRPr="00CC200E">
        <w:rPr>
          <w:rFonts w:ascii="Arial" w:eastAsia="Calibri" w:hAnsi="Arial" w:cs="Arial"/>
          <w:bCs/>
          <w:sz w:val="20"/>
          <w:szCs w:val="20"/>
          <w:lang w:val="es-ES_tradnl"/>
        </w:rPr>
        <w:t xml:space="preserve">La parte final del numeral 2.5 del artículo citado incluye una medida diferenciada para las personas jurídicas cuya constitución sea menor a 3 años al momento del registro. Esta prerrogativa, que puede ser entendida como de fomento a la participación de los oferentes en la contratación estatal, permite que las sociedades relativamente nuevas ─con menos de 3 años de constitución─ puedan acreditar como experiencia en el RUP la de sus accionistas, socios o constituyentes. </w:t>
      </w:r>
    </w:p>
    <w:p w14:paraId="0B2E51E5" w14:textId="77777777" w:rsidR="0090277C" w:rsidRPr="00CC200E" w:rsidRDefault="0090277C" w:rsidP="00845C54">
      <w:pPr>
        <w:spacing w:before="120" w:after="120" w:line="240" w:lineRule="auto"/>
        <w:jc w:val="both"/>
        <w:rPr>
          <w:rFonts w:ascii="Arial" w:eastAsia="Calibri" w:hAnsi="Arial" w:cs="Arial"/>
          <w:bCs/>
          <w:sz w:val="20"/>
          <w:szCs w:val="20"/>
          <w:lang w:val="es-ES_tradnl"/>
        </w:rPr>
      </w:pPr>
      <w:r w:rsidRPr="00CC200E">
        <w:rPr>
          <w:rFonts w:ascii="Arial" w:eastAsia="Calibri" w:hAnsi="Arial" w:cs="Arial"/>
          <w:bCs/>
          <w:sz w:val="20"/>
          <w:szCs w:val="20"/>
          <w:lang w:val="es-ES_tradnl"/>
        </w:rPr>
        <w:t xml:space="preserve">[…] </w:t>
      </w:r>
    </w:p>
    <w:p w14:paraId="0B0867C8" w14:textId="77777777" w:rsidR="0090277C" w:rsidRPr="00CC200E" w:rsidRDefault="0090277C" w:rsidP="00845C54">
      <w:pPr>
        <w:spacing w:before="120" w:after="120" w:line="240" w:lineRule="auto"/>
        <w:jc w:val="both"/>
        <w:rPr>
          <w:rFonts w:ascii="Arial" w:eastAsia="Calibri" w:hAnsi="Arial" w:cs="Arial"/>
          <w:bCs/>
          <w:sz w:val="20"/>
          <w:szCs w:val="20"/>
          <w:lang w:val="es-ES_tradnl"/>
        </w:rPr>
      </w:pPr>
      <w:r w:rsidRPr="00CC200E">
        <w:rPr>
          <w:rFonts w:ascii="Arial" w:eastAsia="Calibri" w:hAnsi="Arial" w:cs="Arial"/>
          <w:bCs/>
          <w:sz w:val="20"/>
          <w:szCs w:val="20"/>
          <w:lang w:val="es-ES_tradnl"/>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5C820FDD" w14:textId="77777777" w:rsidR="0090277C" w:rsidRPr="00CC200E" w:rsidRDefault="0090277C" w:rsidP="00845C54">
      <w:pPr>
        <w:spacing w:before="120" w:after="120" w:line="240" w:lineRule="auto"/>
        <w:jc w:val="both"/>
        <w:rPr>
          <w:rFonts w:ascii="Arial" w:eastAsia="Calibri" w:hAnsi="Arial" w:cs="Arial"/>
          <w:b/>
          <w:sz w:val="20"/>
          <w:szCs w:val="20"/>
          <w:lang w:val="es-ES_tradnl"/>
        </w:rPr>
      </w:pPr>
      <w:r w:rsidRPr="00CC200E">
        <w:rPr>
          <w:rFonts w:ascii="Arial" w:eastAsia="Calibri" w:hAnsi="Arial" w:cs="Arial"/>
          <w:b/>
          <w:sz w:val="20"/>
          <w:szCs w:val="20"/>
          <w:lang w:val="es-ES_tradnl"/>
        </w:rPr>
        <w:lastRenderedPageBreak/>
        <w:t>EXPERIENCIA ‒ Conservación ‒ Renovación RUP ‒ Cesación efectos RUP</w:t>
      </w:r>
    </w:p>
    <w:p w14:paraId="04A77192" w14:textId="77777777" w:rsidR="0090277C" w:rsidRPr="00CC200E" w:rsidRDefault="0090277C" w:rsidP="00845C54">
      <w:pPr>
        <w:spacing w:before="120" w:after="120" w:line="240" w:lineRule="auto"/>
        <w:jc w:val="both"/>
        <w:rPr>
          <w:rFonts w:ascii="Arial" w:eastAsia="Calibri" w:hAnsi="Arial" w:cs="Arial"/>
          <w:bCs/>
          <w:sz w:val="20"/>
          <w:szCs w:val="20"/>
          <w:lang w:val="es-ES_tradnl"/>
        </w:rPr>
      </w:pPr>
      <w:r w:rsidRPr="00CC200E">
        <w:rPr>
          <w:rFonts w:ascii="Arial" w:eastAsia="Calibri" w:hAnsi="Arial" w:cs="Arial"/>
          <w:bCs/>
          <w:sz w:val="20"/>
          <w:szCs w:val="20"/>
          <w:lang w:val="es-ES_tradnl"/>
        </w:rPr>
        <w:t>[…] 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w:t>
      </w:r>
    </w:p>
    <w:p w14:paraId="26BCB12D" w14:textId="77777777" w:rsidR="0090277C" w:rsidRPr="00CC200E" w:rsidRDefault="0090277C" w:rsidP="00845C54">
      <w:pPr>
        <w:spacing w:before="120" w:after="120" w:line="240" w:lineRule="auto"/>
        <w:jc w:val="both"/>
        <w:rPr>
          <w:rFonts w:ascii="Arial" w:eastAsia="Calibri" w:hAnsi="Arial" w:cs="Arial"/>
          <w:b/>
          <w:sz w:val="20"/>
          <w:szCs w:val="20"/>
          <w:lang w:val="es-ES_tradnl"/>
        </w:rPr>
      </w:pPr>
      <w:r w:rsidRPr="00CC200E">
        <w:rPr>
          <w:rFonts w:ascii="Arial" w:eastAsia="Calibri" w:hAnsi="Arial" w:cs="Arial"/>
          <w:b/>
          <w:sz w:val="20"/>
          <w:szCs w:val="20"/>
          <w:lang w:val="es-ES_tradnl"/>
        </w:rPr>
        <w:t>EXPERIENCIA – Retiro del socio − Sociedades – Menor a 3 años de constitución</w:t>
      </w:r>
    </w:p>
    <w:p w14:paraId="2FE5DB99" w14:textId="77777777" w:rsidR="0090277C" w:rsidRPr="00CC200E" w:rsidRDefault="0090277C" w:rsidP="00845C54">
      <w:pPr>
        <w:spacing w:before="120" w:after="120" w:line="240" w:lineRule="auto"/>
        <w:jc w:val="both"/>
        <w:rPr>
          <w:rFonts w:ascii="Arial" w:eastAsia="Calibri" w:hAnsi="Arial" w:cs="Arial"/>
          <w:bCs/>
          <w:sz w:val="20"/>
          <w:szCs w:val="20"/>
          <w:lang w:val="es-ES_tradnl"/>
        </w:rPr>
      </w:pPr>
      <w:r w:rsidRPr="00CC200E">
        <w:rPr>
          <w:rFonts w:ascii="Arial" w:eastAsia="Calibri" w:hAnsi="Arial" w:cs="Arial"/>
          <w:bCs/>
          <w:sz w:val="20"/>
          <w:szCs w:val="20"/>
          <w:lang w:val="es-ES_tradnl"/>
        </w:rPr>
        <w:t>El Decreto 1082 de 2015 es claro en indicar que una sociedad con menos de tres años de constituida puede aportar la experiencia de sus accionistas, socios o constituyentes, de modo que si se pierde esta calidad, como sucedería cuando un socio se retira por venta o cesión de su participación y pierde su calidad de socio, con el fin de evitar prácticas corruptivas o que atenten contra la transparencia en la contratación estatal, la experiencia aportada por quien se retira no deberá ser tenida en cuenta por las Entidades Estatales, y no debería ser utilizada por el proponente en Procesos de Contratación, ya que es inherente a la persona que la ha obtenido. En consecuencia, el proponente debería actualizar la experiencia en el RUP, actuando de buena fe en el Proceso de Contratación.</w:t>
      </w:r>
    </w:p>
    <w:p w14:paraId="6E3339A0" w14:textId="77777777" w:rsidR="0067425D" w:rsidRPr="00CC200E" w:rsidRDefault="0067425D" w:rsidP="00845C54">
      <w:pPr>
        <w:spacing w:line="240" w:lineRule="auto"/>
        <w:jc w:val="both"/>
        <w:rPr>
          <w:rFonts w:ascii="Arial" w:hAnsi="Arial" w:cs="Arial"/>
          <w:b/>
          <w:bCs/>
          <w:sz w:val="20"/>
          <w:szCs w:val="20"/>
        </w:rPr>
      </w:pPr>
      <w:r w:rsidRPr="00CC200E">
        <w:rPr>
          <w:rFonts w:ascii="Arial" w:hAnsi="Arial" w:cs="Arial"/>
          <w:b/>
          <w:bCs/>
          <w:sz w:val="20"/>
          <w:szCs w:val="20"/>
        </w:rPr>
        <w:t>CAPACIDAD RESIDUAL- Requisito Habilitante – Subsanación – Aclaración</w:t>
      </w:r>
    </w:p>
    <w:p w14:paraId="3E369494" w14:textId="77777777" w:rsidR="0067425D" w:rsidRPr="00CC200E" w:rsidRDefault="0067425D" w:rsidP="00845C54">
      <w:pPr>
        <w:spacing w:line="240" w:lineRule="auto"/>
        <w:jc w:val="both"/>
        <w:rPr>
          <w:rFonts w:ascii="Arial" w:eastAsia="Geomanist Light" w:hAnsi="Arial" w:cs="Arial"/>
          <w:color w:val="000000" w:themeColor="text1"/>
          <w:sz w:val="20"/>
          <w:szCs w:val="20"/>
          <w:lang w:val="es-MX"/>
        </w:rPr>
      </w:pPr>
      <w:r w:rsidRPr="00CC200E">
        <w:rPr>
          <w:rFonts w:ascii="Arial" w:eastAsia="Geomanist Light" w:hAnsi="Arial" w:cs="Arial"/>
          <w:color w:val="000000" w:themeColor="text1"/>
          <w:sz w:val="20"/>
          <w:szCs w:val="20"/>
          <w:lang w:val="es-MX"/>
        </w:rPr>
        <w:t xml:space="preserve">De conformidad con lo expuesto y teniendo en cuenta que la </w:t>
      </w:r>
      <w:r w:rsidRPr="00CC200E">
        <w:rPr>
          <w:rFonts w:ascii="Arial" w:eastAsia="Geomanist Light" w:hAnsi="Arial" w:cs="Arial"/>
          <w:i/>
          <w:iCs/>
          <w:color w:val="000000" w:themeColor="text1"/>
          <w:sz w:val="20"/>
          <w:szCs w:val="20"/>
          <w:lang w:val="es-MX"/>
        </w:rPr>
        <w:t>Capacidad Residual</w:t>
      </w:r>
      <w:r w:rsidRPr="00CC200E">
        <w:rPr>
          <w:rFonts w:ascii="Arial" w:eastAsia="Geomanist Light" w:hAnsi="Arial" w:cs="Arial"/>
          <w:color w:val="000000" w:themeColor="text1"/>
          <w:sz w:val="20"/>
          <w:szCs w:val="20"/>
          <w:lang w:val="es-MX"/>
        </w:rPr>
        <w:t xml:space="preserve"> es un </w:t>
      </w:r>
      <w:r w:rsidRPr="00CC200E">
        <w:rPr>
          <w:rFonts w:ascii="Arial" w:eastAsia="Geomanist Light" w:hAnsi="Arial" w:cs="Arial"/>
          <w:i/>
          <w:iCs/>
          <w:color w:val="000000" w:themeColor="text1"/>
          <w:sz w:val="20"/>
          <w:szCs w:val="20"/>
          <w:lang w:val="es-MX"/>
        </w:rPr>
        <w:t>requisito habilitante</w:t>
      </w:r>
      <w:r w:rsidRPr="00CC200E">
        <w:rPr>
          <w:rFonts w:ascii="Arial" w:eastAsia="Geomanist Light" w:hAnsi="Arial" w:cs="Arial"/>
          <w:color w:val="000000" w:themeColor="text1"/>
          <w:sz w:val="20"/>
          <w:szCs w:val="20"/>
          <w:lang w:val="es-MX"/>
        </w:rPr>
        <w:t xml:space="preserve"> está sujeta a la posibilidad de solicitarle aclaración, con el fin de esclarecer dudas sobre aspectos de la información presentada por el proponente y de igual forma, esa sujeta a la posibilidad de subsanar la ausencia de requisitos, siempre que se cumpla con los límites temporales y materiales descritos, es decir, que lo omitido no sea un factor que afecte la asignación de puntaje, sea la prueba de una circunstancia o hecho que ocurrió con anterioridad al cierre del proceso y no existe disposición legal o en el pliego de condiciones que prohíba su subsanación.</w:t>
      </w:r>
    </w:p>
    <w:p w14:paraId="5253A6CF" w14:textId="77777777" w:rsidR="0067425D" w:rsidRPr="00CC200E" w:rsidRDefault="0067425D" w:rsidP="00845C54">
      <w:pPr>
        <w:spacing w:before="120" w:after="120" w:line="240" w:lineRule="auto"/>
        <w:jc w:val="both"/>
        <w:rPr>
          <w:rFonts w:ascii="Arial" w:eastAsia="Calibri" w:hAnsi="Arial" w:cs="Arial"/>
          <w:bCs/>
          <w:sz w:val="20"/>
          <w:szCs w:val="20"/>
          <w:lang w:val="es-MX"/>
        </w:rPr>
      </w:pPr>
    </w:p>
    <w:p w14:paraId="4176A330" w14:textId="77777777" w:rsidR="00AE441B" w:rsidRPr="00CC200E" w:rsidRDefault="00AE441B" w:rsidP="00845C54">
      <w:pPr>
        <w:spacing w:after="0"/>
        <w:rPr>
          <w:rFonts w:ascii="Arial" w:hAnsi="Arial" w:cs="Arial"/>
          <w:lang w:val="es-ES_tradnl"/>
        </w:rPr>
      </w:pPr>
    </w:p>
    <w:p w14:paraId="4729DE41" w14:textId="77777777" w:rsidR="007D38CE" w:rsidRPr="00CC200E" w:rsidRDefault="007D38CE" w:rsidP="00845C54">
      <w:pPr>
        <w:spacing w:after="0"/>
        <w:rPr>
          <w:rFonts w:ascii="Arial" w:hAnsi="Arial" w:cs="Arial"/>
          <w:lang w:val="es-ES_tradnl"/>
        </w:rPr>
      </w:pPr>
    </w:p>
    <w:p w14:paraId="362977CC" w14:textId="77777777" w:rsidR="007D38CE" w:rsidRPr="00CC200E" w:rsidRDefault="007D38CE" w:rsidP="00845C54">
      <w:pPr>
        <w:spacing w:after="0"/>
        <w:rPr>
          <w:rFonts w:ascii="Arial" w:hAnsi="Arial" w:cs="Arial"/>
          <w:lang w:val="es-ES_tradnl"/>
        </w:rPr>
      </w:pPr>
    </w:p>
    <w:p w14:paraId="565CBFCE" w14:textId="77777777" w:rsidR="007D38CE" w:rsidRPr="00CC200E" w:rsidRDefault="007D38CE" w:rsidP="00845C54">
      <w:pPr>
        <w:spacing w:after="0"/>
        <w:rPr>
          <w:rFonts w:ascii="Arial" w:hAnsi="Arial" w:cs="Arial"/>
          <w:lang w:val="es-ES_tradnl"/>
        </w:rPr>
      </w:pPr>
    </w:p>
    <w:p w14:paraId="410243F3" w14:textId="77777777" w:rsidR="007D38CE" w:rsidRPr="00CC200E" w:rsidRDefault="007D38CE" w:rsidP="00845C54">
      <w:pPr>
        <w:spacing w:after="0"/>
        <w:rPr>
          <w:rFonts w:ascii="Arial" w:hAnsi="Arial" w:cs="Arial"/>
          <w:lang w:val="es-ES_tradnl"/>
        </w:rPr>
      </w:pPr>
    </w:p>
    <w:p w14:paraId="7F861CFB" w14:textId="77777777" w:rsidR="007D38CE" w:rsidRPr="00CC200E" w:rsidRDefault="007D38CE" w:rsidP="00845C54">
      <w:pPr>
        <w:spacing w:after="0"/>
        <w:rPr>
          <w:rFonts w:ascii="Arial" w:hAnsi="Arial" w:cs="Arial"/>
          <w:lang w:val="es-ES_tradnl"/>
        </w:rPr>
      </w:pPr>
    </w:p>
    <w:p w14:paraId="05D8F752" w14:textId="77777777" w:rsidR="007D38CE" w:rsidRPr="00CC200E" w:rsidRDefault="007D38CE" w:rsidP="00845C54">
      <w:pPr>
        <w:spacing w:after="0"/>
        <w:rPr>
          <w:rFonts w:ascii="Arial" w:hAnsi="Arial" w:cs="Arial"/>
          <w:lang w:val="es-ES_tradnl"/>
        </w:rPr>
      </w:pPr>
    </w:p>
    <w:p w14:paraId="374E3BCC" w14:textId="77777777" w:rsidR="007D38CE" w:rsidRPr="00CC200E" w:rsidRDefault="007D38CE" w:rsidP="00845C54">
      <w:pPr>
        <w:spacing w:after="0"/>
        <w:rPr>
          <w:rFonts w:ascii="Arial" w:hAnsi="Arial" w:cs="Arial"/>
          <w:lang w:val="es-ES_tradnl"/>
        </w:rPr>
      </w:pPr>
    </w:p>
    <w:p w14:paraId="1FD16292" w14:textId="77777777" w:rsidR="007D38CE" w:rsidRPr="00CC200E" w:rsidRDefault="007D38CE" w:rsidP="00845C54">
      <w:pPr>
        <w:spacing w:after="0"/>
        <w:rPr>
          <w:rFonts w:ascii="Arial" w:hAnsi="Arial" w:cs="Arial"/>
          <w:lang w:val="es-ES_tradnl"/>
        </w:rPr>
      </w:pPr>
    </w:p>
    <w:p w14:paraId="4A7BEC30" w14:textId="77777777" w:rsidR="007D38CE" w:rsidRPr="00CC200E" w:rsidRDefault="007D38CE" w:rsidP="00845C54">
      <w:pPr>
        <w:spacing w:after="0"/>
        <w:rPr>
          <w:rFonts w:ascii="Arial" w:hAnsi="Arial" w:cs="Arial"/>
          <w:lang w:val="es-ES_tradnl"/>
        </w:rPr>
      </w:pPr>
    </w:p>
    <w:p w14:paraId="7ABA1BBC" w14:textId="77777777" w:rsidR="007D38CE" w:rsidRPr="00CC200E" w:rsidRDefault="007D38CE" w:rsidP="00845C54">
      <w:pPr>
        <w:spacing w:after="0"/>
        <w:rPr>
          <w:rFonts w:ascii="Arial" w:hAnsi="Arial" w:cs="Arial"/>
          <w:lang w:val="es-ES_tradnl"/>
        </w:rPr>
      </w:pPr>
    </w:p>
    <w:p w14:paraId="79AE91A5" w14:textId="77777777" w:rsidR="007D38CE" w:rsidRPr="00CC200E" w:rsidRDefault="007D38CE" w:rsidP="00845C54">
      <w:pPr>
        <w:spacing w:after="0"/>
        <w:rPr>
          <w:rFonts w:ascii="Arial" w:hAnsi="Arial" w:cs="Arial"/>
          <w:lang w:val="es-ES_tradnl"/>
        </w:rPr>
      </w:pPr>
    </w:p>
    <w:p w14:paraId="2A07390E" w14:textId="77777777" w:rsidR="007D38CE" w:rsidRPr="00CC200E" w:rsidRDefault="007D38CE" w:rsidP="00845C54">
      <w:pPr>
        <w:spacing w:after="0"/>
        <w:rPr>
          <w:rFonts w:ascii="Arial" w:hAnsi="Arial" w:cs="Arial"/>
          <w:lang w:val="es-ES_tradnl"/>
        </w:rPr>
      </w:pPr>
    </w:p>
    <w:p w14:paraId="03A41CC4" w14:textId="77777777" w:rsidR="007D38CE" w:rsidRPr="00CC200E" w:rsidRDefault="007D38CE" w:rsidP="00845C54">
      <w:pPr>
        <w:spacing w:after="0"/>
        <w:rPr>
          <w:rFonts w:ascii="Arial" w:hAnsi="Arial" w:cs="Arial"/>
          <w:lang w:val="es-ES_tradnl"/>
        </w:rPr>
      </w:pPr>
    </w:p>
    <w:p w14:paraId="1EAD4163" w14:textId="77777777" w:rsidR="007D38CE" w:rsidRPr="00CC200E" w:rsidRDefault="007D38CE" w:rsidP="00845C54">
      <w:pPr>
        <w:spacing w:after="0"/>
        <w:rPr>
          <w:rFonts w:ascii="Arial" w:hAnsi="Arial" w:cs="Arial"/>
          <w:lang w:val="es-ES_tradnl"/>
        </w:rPr>
      </w:pPr>
    </w:p>
    <w:p w14:paraId="0C61E1B9" w14:textId="77777777" w:rsidR="007D38CE" w:rsidRPr="00CC200E" w:rsidRDefault="007D38CE" w:rsidP="00845C54">
      <w:pPr>
        <w:spacing w:after="0"/>
        <w:rPr>
          <w:rFonts w:ascii="Arial" w:hAnsi="Arial" w:cs="Arial"/>
          <w:lang w:val="es-ES_tradnl"/>
        </w:rPr>
      </w:pPr>
    </w:p>
    <w:p w14:paraId="51960A1C" w14:textId="77777777" w:rsidR="007D38CE" w:rsidRPr="00CC200E" w:rsidRDefault="007D38CE" w:rsidP="00845C54">
      <w:pPr>
        <w:spacing w:after="0"/>
        <w:rPr>
          <w:rFonts w:ascii="Arial" w:hAnsi="Arial" w:cs="Arial"/>
          <w:lang w:val="es-ES_tradnl"/>
        </w:rPr>
      </w:pPr>
    </w:p>
    <w:p w14:paraId="44EE1B77" w14:textId="77777777" w:rsidR="007D38CE" w:rsidRPr="00CC200E" w:rsidRDefault="007D38CE" w:rsidP="00845C54">
      <w:pPr>
        <w:spacing w:after="0"/>
        <w:rPr>
          <w:rFonts w:ascii="Arial" w:hAnsi="Arial" w:cs="Arial"/>
          <w:lang w:val="es-ES_tradnl"/>
        </w:rPr>
      </w:pPr>
    </w:p>
    <w:p w14:paraId="3FE2184B" w14:textId="0707300E" w:rsidR="00E245AB" w:rsidRPr="00CC200E" w:rsidRDefault="00E245AB" w:rsidP="00845C54">
      <w:pPr>
        <w:spacing w:after="0"/>
        <w:rPr>
          <w:rFonts w:ascii="Arial" w:hAnsi="Arial" w:cs="Arial"/>
        </w:rPr>
      </w:pPr>
      <w:r w:rsidRPr="00CC200E">
        <w:rPr>
          <w:rFonts w:ascii="Arial" w:hAnsi="Arial" w:cs="Arial"/>
        </w:rPr>
        <w:t>Bogotá D.C.,</w:t>
      </w:r>
      <w:r w:rsidR="00926726">
        <w:rPr>
          <w:rFonts w:ascii="Arial" w:hAnsi="Arial" w:cs="Arial"/>
        </w:rPr>
        <w:t>18 de agosto del 2023</w:t>
      </w:r>
      <w:r w:rsidRPr="00CC200E">
        <w:rPr>
          <w:rFonts w:ascii="Arial" w:hAnsi="Arial" w:cs="Arial"/>
        </w:rPr>
        <w:tab/>
      </w:r>
    </w:p>
    <w:p w14:paraId="5FCADBF9" w14:textId="77777777" w:rsidR="00E245AB" w:rsidRDefault="00E245AB" w:rsidP="00845C54">
      <w:pPr>
        <w:spacing w:after="0"/>
        <w:rPr>
          <w:rFonts w:ascii="Arial" w:hAnsi="Arial" w:cs="Arial"/>
        </w:rPr>
      </w:pPr>
    </w:p>
    <w:p w14:paraId="5205C50F" w14:textId="74A764CC" w:rsidR="00DC2361" w:rsidRPr="00CC200E" w:rsidRDefault="00E57F85" w:rsidP="00DC2361">
      <w:pPr>
        <w:spacing w:after="0"/>
        <w:jc w:val="right"/>
        <w:rPr>
          <w:rFonts w:ascii="Arial" w:hAnsi="Arial" w:cs="Arial"/>
        </w:rPr>
      </w:pPr>
      <w:r>
        <w:rPr>
          <w:rFonts w:ascii="Arial" w:hAnsi="Arial" w:cs="Arial"/>
          <w:noProof/>
        </w:rPr>
        <w:drawing>
          <wp:inline distT="0" distB="0" distL="0" distR="0" wp14:anchorId="54D2E3EA" wp14:editId="099F7F4F">
            <wp:extent cx="3079115" cy="762000"/>
            <wp:effectExtent l="0" t="0" r="6985" b="0"/>
            <wp:docPr id="1904842958"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842958" name="Imagen 1" descr="Interfaz de usuario gráfica, Texto&#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82006" cy="762715"/>
                    </a:xfrm>
                    <a:prstGeom prst="rect">
                      <a:avLst/>
                    </a:prstGeom>
                  </pic:spPr>
                </pic:pic>
              </a:graphicData>
            </a:graphic>
          </wp:inline>
        </w:drawing>
      </w:r>
    </w:p>
    <w:p w14:paraId="2309095A" w14:textId="77777777" w:rsidR="00AE441B" w:rsidRPr="00CC200E" w:rsidRDefault="00AE441B" w:rsidP="00845C54">
      <w:pPr>
        <w:spacing w:after="0"/>
        <w:rPr>
          <w:rFonts w:ascii="Arial" w:hAnsi="Arial" w:cs="Arial"/>
          <w:lang w:val="es-MX"/>
        </w:rPr>
      </w:pPr>
    </w:p>
    <w:p w14:paraId="0D89A08F" w14:textId="3AD546C7" w:rsidR="00AE441B" w:rsidRPr="00CC200E" w:rsidRDefault="00AE441B" w:rsidP="00845C54">
      <w:pPr>
        <w:spacing w:after="0"/>
        <w:rPr>
          <w:rFonts w:ascii="Arial" w:eastAsia="Geomanist Light" w:hAnsi="Arial" w:cs="Arial"/>
          <w:color w:val="201F1E"/>
          <w:lang w:val="es-MX"/>
        </w:rPr>
      </w:pPr>
      <w:r w:rsidRPr="00CC200E">
        <w:rPr>
          <w:rFonts w:ascii="Arial" w:hAnsi="Arial" w:cs="Arial"/>
          <w:lang w:val="es-MX"/>
        </w:rPr>
        <w:t>Señor</w:t>
      </w:r>
    </w:p>
    <w:p w14:paraId="73E14D30" w14:textId="4D32501C" w:rsidR="00AE441B" w:rsidRPr="00CC200E" w:rsidRDefault="008B70F0" w:rsidP="00845C54">
      <w:pPr>
        <w:spacing w:after="0" w:line="276" w:lineRule="auto"/>
        <w:rPr>
          <w:rFonts w:ascii="Arial" w:hAnsi="Arial" w:cs="Arial"/>
          <w:b/>
          <w:bCs/>
          <w:lang w:val="es-MX"/>
        </w:rPr>
      </w:pPr>
      <w:r w:rsidRPr="00CC200E">
        <w:rPr>
          <w:rFonts w:ascii="Arial" w:hAnsi="Arial" w:cs="Arial"/>
          <w:b/>
          <w:bCs/>
          <w:lang w:val="es-MX"/>
        </w:rPr>
        <w:t xml:space="preserve">Miguel Alejandro </w:t>
      </w:r>
      <w:bookmarkStart w:id="0" w:name="_Hlk143088087"/>
      <w:r w:rsidR="00665AB9" w:rsidRPr="00CC200E">
        <w:rPr>
          <w:rFonts w:ascii="Arial" w:hAnsi="Arial" w:cs="Arial"/>
          <w:b/>
          <w:bCs/>
          <w:lang w:val="es-MX"/>
        </w:rPr>
        <w:t>Sarmiento Mojica</w:t>
      </w:r>
      <w:bookmarkEnd w:id="0"/>
    </w:p>
    <w:p w14:paraId="255B0FF8" w14:textId="62B49C4C" w:rsidR="00AE441B" w:rsidRPr="00CC200E" w:rsidRDefault="008B70F0" w:rsidP="00845C54">
      <w:pPr>
        <w:spacing w:after="0" w:line="276" w:lineRule="auto"/>
        <w:rPr>
          <w:rFonts w:ascii="Arial" w:hAnsi="Arial" w:cs="Arial"/>
          <w:lang w:val="es-MX"/>
        </w:rPr>
      </w:pPr>
      <w:r w:rsidRPr="00CC200E">
        <w:rPr>
          <w:rFonts w:ascii="Arial" w:hAnsi="Arial" w:cs="Arial"/>
          <w:lang w:val="es-MX"/>
        </w:rPr>
        <w:t>Tame</w:t>
      </w:r>
      <w:r w:rsidR="00AE441B" w:rsidRPr="00CC200E">
        <w:rPr>
          <w:rFonts w:ascii="Arial" w:hAnsi="Arial" w:cs="Arial"/>
          <w:lang w:val="es-MX"/>
        </w:rPr>
        <w:t xml:space="preserve">, </w:t>
      </w:r>
      <w:r w:rsidRPr="00CC200E">
        <w:rPr>
          <w:rFonts w:ascii="Arial" w:hAnsi="Arial" w:cs="Arial"/>
          <w:lang w:val="es-MX"/>
        </w:rPr>
        <w:t>Arauca</w:t>
      </w:r>
    </w:p>
    <w:p w14:paraId="617B74EB" w14:textId="77777777" w:rsidR="000F7349" w:rsidRPr="00CC200E" w:rsidRDefault="000F7349" w:rsidP="00845C54">
      <w:pPr>
        <w:spacing w:after="0" w:line="276" w:lineRule="auto"/>
        <w:rPr>
          <w:rFonts w:ascii="Arial" w:hAnsi="Arial" w:cs="Arial"/>
          <w:lang w:val="es-MX"/>
        </w:rPr>
      </w:pPr>
    </w:p>
    <w:p w14:paraId="2357BA70" w14:textId="77777777" w:rsidR="00AE441B" w:rsidRPr="00CC200E" w:rsidRDefault="00AE441B" w:rsidP="00845C54">
      <w:pPr>
        <w:spacing w:after="0" w:line="276" w:lineRule="auto"/>
        <w:rPr>
          <w:rFonts w:ascii="Arial" w:hAnsi="Arial" w:cs="Arial"/>
          <w:lang w:val="es-MX"/>
        </w:rPr>
      </w:pPr>
    </w:p>
    <w:p w14:paraId="77981282" w14:textId="6498C86F" w:rsidR="00AE441B" w:rsidRPr="00CC200E" w:rsidRDefault="00AE441B" w:rsidP="00845C54">
      <w:pPr>
        <w:spacing w:after="0" w:line="276" w:lineRule="auto"/>
        <w:ind w:left="2832"/>
        <w:rPr>
          <w:rFonts w:ascii="Arial" w:eastAsia="Calibri" w:hAnsi="Arial" w:cs="Arial"/>
          <w:b/>
          <w:bCs/>
          <w:lang w:val="es-ES"/>
        </w:rPr>
      </w:pPr>
      <w:r w:rsidRPr="00CC200E">
        <w:rPr>
          <w:rFonts w:ascii="Arial" w:eastAsia="Calibri" w:hAnsi="Arial" w:cs="Arial"/>
          <w:b/>
          <w:bCs/>
          <w:lang w:val="es-ES"/>
        </w:rPr>
        <w:t>Concepto C-</w:t>
      </w:r>
      <w:r w:rsidRPr="00CC200E">
        <w:rPr>
          <w:rFonts w:ascii="Arial" w:hAnsi="Arial" w:cs="Arial"/>
        </w:rPr>
        <w:t xml:space="preserve"> </w:t>
      </w:r>
      <w:r w:rsidR="001C2399" w:rsidRPr="00CC200E">
        <w:rPr>
          <w:rFonts w:ascii="Arial" w:eastAsia="Calibri" w:hAnsi="Arial" w:cs="Arial"/>
          <w:b/>
          <w:bCs/>
          <w:lang w:val="es-ES"/>
        </w:rPr>
        <w:t>336</w:t>
      </w:r>
      <w:r w:rsidRPr="00CC200E">
        <w:rPr>
          <w:rFonts w:ascii="Arial" w:eastAsia="Calibri" w:hAnsi="Arial" w:cs="Arial"/>
          <w:b/>
          <w:bCs/>
          <w:lang w:val="es-ES"/>
        </w:rPr>
        <w:t xml:space="preserve"> del 2023</w:t>
      </w:r>
    </w:p>
    <w:p w14:paraId="200AEB6E" w14:textId="77777777" w:rsidR="00AE441B" w:rsidRPr="00CC200E" w:rsidRDefault="00AE441B" w:rsidP="00845C54">
      <w:pPr>
        <w:spacing w:after="0" w:line="276" w:lineRule="auto"/>
        <w:jc w:val="both"/>
        <w:rPr>
          <w:rFonts w:ascii="Arial" w:eastAsia="Calibri" w:hAnsi="Arial" w:cs="Arial"/>
          <w:lang w:val="es-ES"/>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AE441B" w:rsidRPr="00CC200E" w14:paraId="3BDB9064" w14:textId="77777777">
        <w:trPr>
          <w:jc w:val="right"/>
        </w:trPr>
        <w:tc>
          <w:tcPr>
            <w:tcW w:w="1838" w:type="dxa"/>
          </w:tcPr>
          <w:p w14:paraId="5DF6AB82" w14:textId="77777777" w:rsidR="00AE441B" w:rsidRPr="00CC200E" w:rsidRDefault="00AE441B" w:rsidP="00845C54">
            <w:pPr>
              <w:spacing w:line="276" w:lineRule="auto"/>
              <w:jc w:val="center"/>
              <w:rPr>
                <w:rFonts w:ascii="Arial" w:eastAsia="Calibri" w:hAnsi="Arial" w:cs="Arial"/>
                <w:lang w:val="es-ES_tradnl"/>
              </w:rPr>
            </w:pPr>
            <w:r w:rsidRPr="00CC200E">
              <w:rPr>
                <w:rFonts w:ascii="Arial" w:eastAsia="Calibri" w:hAnsi="Arial" w:cs="Arial"/>
                <w:b/>
                <w:lang w:val="es-ES_tradnl"/>
              </w:rPr>
              <w:t>Temas:</w:t>
            </w:r>
          </w:p>
        </w:tc>
        <w:tc>
          <w:tcPr>
            <w:tcW w:w="6237" w:type="dxa"/>
          </w:tcPr>
          <w:p w14:paraId="5B1E7E2E" w14:textId="2FEEDD88" w:rsidR="00AE441B" w:rsidRPr="00CC200E" w:rsidRDefault="006D71F9" w:rsidP="00845C54">
            <w:pPr>
              <w:spacing w:after="120"/>
              <w:contextualSpacing/>
              <w:jc w:val="both"/>
              <w:rPr>
                <w:rFonts w:ascii="Arial" w:eastAsia="Calibri" w:hAnsi="Arial" w:cs="Arial"/>
                <w:bCs/>
                <w:lang w:val="es-MX" w:eastAsia="es-ES_tradnl"/>
              </w:rPr>
            </w:pPr>
            <w:r w:rsidRPr="00CC200E">
              <w:rPr>
                <w:rFonts w:ascii="Arial" w:eastAsia="Calibri" w:hAnsi="Arial" w:cs="Arial"/>
                <w:lang w:val="es-ES_tradnl"/>
              </w:rPr>
              <w:t xml:space="preserve">EXPERIENCIA – Noción / EXPERIENCIA – Noción ‒ Colombia Compra Eficiente / SOCIEDADES NUEVAS ‒ Experiencia ‒ Inferior a tres años ‒ Requisitos habilitantes ‒ Desarrollo de la empresa / EXPERIENCIA ‒ Conservación ‒ Renovación RUP ‒ Cesación efectos RUP / EXPERIENCIA – Retiro del socio − Sociedades – Menor a 3 años de constitución / </w:t>
            </w:r>
            <w:r w:rsidR="00217516" w:rsidRPr="00CC200E">
              <w:rPr>
                <w:rFonts w:ascii="Arial" w:hAnsi="Arial" w:cs="Arial"/>
              </w:rPr>
              <w:t>CAPACIDAD RESIDUAL- Requisito Habilitante – Subsanación – Aclaración</w:t>
            </w:r>
          </w:p>
        </w:tc>
      </w:tr>
      <w:tr w:rsidR="00AE441B" w:rsidRPr="00CC200E" w14:paraId="66557A77" w14:textId="77777777">
        <w:trPr>
          <w:jc w:val="right"/>
        </w:trPr>
        <w:tc>
          <w:tcPr>
            <w:tcW w:w="1838" w:type="dxa"/>
          </w:tcPr>
          <w:p w14:paraId="713F1275" w14:textId="77777777" w:rsidR="00AE441B" w:rsidRPr="00CC200E" w:rsidRDefault="00AE441B" w:rsidP="00845C54">
            <w:pPr>
              <w:spacing w:line="276" w:lineRule="auto"/>
              <w:jc w:val="center"/>
              <w:rPr>
                <w:rFonts w:ascii="Arial" w:eastAsia="Calibri" w:hAnsi="Arial" w:cs="Arial"/>
                <w:b/>
                <w:lang w:val="es-ES"/>
              </w:rPr>
            </w:pPr>
            <w:r w:rsidRPr="00CC200E">
              <w:rPr>
                <w:rFonts w:ascii="Arial" w:eastAsia="Calibri" w:hAnsi="Arial" w:cs="Arial"/>
                <w:b/>
                <w:lang w:val="es-ES"/>
              </w:rPr>
              <w:t>Radicación:</w:t>
            </w:r>
          </w:p>
        </w:tc>
        <w:tc>
          <w:tcPr>
            <w:tcW w:w="6237" w:type="dxa"/>
          </w:tcPr>
          <w:p w14:paraId="1BB4134F" w14:textId="3E90E517" w:rsidR="00AE441B" w:rsidRPr="00CC200E" w:rsidRDefault="00AE441B" w:rsidP="00845C54">
            <w:pPr>
              <w:spacing w:line="276" w:lineRule="auto"/>
              <w:jc w:val="both"/>
              <w:rPr>
                <w:rFonts w:ascii="Arial" w:eastAsia="Calibri" w:hAnsi="Arial" w:cs="Arial"/>
                <w:lang w:val="es-ES"/>
              </w:rPr>
            </w:pPr>
            <w:r w:rsidRPr="00CC200E">
              <w:rPr>
                <w:rFonts w:ascii="Arial" w:eastAsia="Calibri" w:hAnsi="Arial" w:cs="Arial"/>
                <w:lang w:val="es-ES"/>
              </w:rPr>
              <w:t xml:space="preserve">Respuesta a consulta Nro. </w:t>
            </w:r>
            <w:r w:rsidR="001C2399" w:rsidRPr="00CC200E">
              <w:rPr>
                <w:rFonts w:ascii="Arial" w:eastAsia="Calibri" w:hAnsi="Arial" w:cs="Arial"/>
                <w:lang w:val="es-ES"/>
              </w:rPr>
              <w:t>P20230705012954</w:t>
            </w:r>
          </w:p>
        </w:tc>
      </w:tr>
    </w:tbl>
    <w:p w14:paraId="78480CFB" w14:textId="77777777" w:rsidR="00AE441B" w:rsidRPr="00CC200E" w:rsidRDefault="00AE441B" w:rsidP="00845C54">
      <w:pPr>
        <w:spacing w:line="276" w:lineRule="auto"/>
        <w:jc w:val="both"/>
        <w:rPr>
          <w:rFonts w:ascii="Arial" w:eastAsia="Calibri" w:hAnsi="Arial" w:cs="Arial"/>
          <w:lang w:val="es-ES_tradnl"/>
        </w:rPr>
      </w:pPr>
    </w:p>
    <w:p w14:paraId="7F26ECA5" w14:textId="06791E61" w:rsidR="00AE441B" w:rsidRPr="00CC200E" w:rsidRDefault="00AE441B" w:rsidP="00845C54">
      <w:pPr>
        <w:spacing w:line="276" w:lineRule="auto"/>
        <w:jc w:val="both"/>
        <w:rPr>
          <w:rFonts w:ascii="Arial" w:eastAsia="Calibri" w:hAnsi="Arial" w:cs="Arial"/>
          <w:bCs/>
          <w:lang w:val="es-ES_tradnl"/>
        </w:rPr>
      </w:pPr>
      <w:r w:rsidRPr="00CC200E">
        <w:rPr>
          <w:rFonts w:ascii="Arial" w:eastAsia="Calibri" w:hAnsi="Arial" w:cs="Arial"/>
          <w:lang w:val="es-ES_tradnl"/>
        </w:rPr>
        <w:t xml:space="preserve">Estimado señor </w:t>
      </w:r>
      <w:r w:rsidR="000F7349" w:rsidRPr="00CC200E">
        <w:rPr>
          <w:rFonts w:ascii="Arial" w:hAnsi="Arial" w:cs="Arial"/>
          <w:lang w:val="es-MX"/>
        </w:rPr>
        <w:t>Sarmiento Mojica</w:t>
      </w:r>
      <w:r w:rsidRPr="00CC200E">
        <w:rPr>
          <w:rFonts w:ascii="Arial" w:eastAsia="Calibri" w:hAnsi="Arial" w:cs="Arial"/>
          <w:bCs/>
          <w:lang w:val="es-ES_tradnl"/>
        </w:rPr>
        <w:t>:</w:t>
      </w:r>
    </w:p>
    <w:p w14:paraId="135172B3" w14:textId="316A9501" w:rsidR="00AE441B" w:rsidRPr="00CC200E" w:rsidRDefault="00AE441B" w:rsidP="00845C54">
      <w:pPr>
        <w:spacing w:after="0" w:line="276" w:lineRule="auto"/>
        <w:jc w:val="both"/>
        <w:rPr>
          <w:rFonts w:ascii="Arial" w:eastAsia="Calibri" w:hAnsi="Arial" w:cs="Arial"/>
          <w:lang w:val="es-ES"/>
        </w:rPr>
      </w:pPr>
      <w:r w:rsidRPr="00CC200E">
        <w:rPr>
          <w:rFonts w:ascii="Arial" w:eastAsia="Calibri" w:hAnsi="Arial" w:cs="Arial"/>
          <w:lang w:val="es-ES"/>
        </w:rPr>
        <w:t xml:space="preserve">En ejercicio de la competencia otorgada por el numeral 8° del artículo 11 y el numeral 5° del artículo 3 del Decreto Ley 4170 de 2011, la Agencia Nacional de Contratación Pública ― Colombia Compra Eficiente responde su consulta del </w:t>
      </w:r>
      <w:r w:rsidR="00852BF9" w:rsidRPr="00CC200E">
        <w:rPr>
          <w:rFonts w:ascii="Arial" w:eastAsia="Calibri" w:hAnsi="Arial" w:cs="Arial"/>
          <w:lang w:val="es-ES"/>
        </w:rPr>
        <w:t>05 de julio del 2023</w:t>
      </w:r>
      <w:r w:rsidRPr="00CC200E">
        <w:rPr>
          <w:rFonts w:ascii="Arial" w:eastAsia="Calibri" w:hAnsi="Arial" w:cs="Arial"/>
          <w:lang w:val="es-ES"/>
        </w:rPr>
        <w:t>.</w:t>
      </w:r>
    </w:p>
    <w:p w14:paraId="0465BA6D" w14:textId="77777777" w:rsidR="00E245AB" w:rsidRPr="00CC200E" w:rsidRDefault="00E245AB" w:rsidP="00845C54">
      <w:pPr>
        <w:spacing w:after="0"/>
        <w:rPr>
          <w:rFonts w:ascii="Arial" w:hAnsi="Arial" w:cs="Arial"/>
          <w:lang w:val="es-ES"/>
        </w:rPr>
      </w:pPr>
    </w:p>
    <w:p w14:paraId="62D5C5DC" w14:textId="77777777" w:rsidR="00F97BFC" w:rsidRPr="00CC200E" w:rsidRDefault="00F97BFC" w:rsidP="00845C54">
      <w:pPr>
        <w:pStyle w:val="Prrafodelista"/>
        <w:numPr>
          <w:ilvl w:val="0"/>
          <w:numId w:val="6"/>
        </w:numPr>
        <w:tabs>
          <w:tab w:val="left" w:pos="0"/>
          <w:tab w:val="left" w:pos="142"/>
          <w:tab w:val="left" w:pos="284"/>
        </w:tabs>
        <w:spacing w:after="0" w:line="276" w:lineRule="auto"/>
        <w:ind w:left="0" w:firstLine="0"/>
        <w:jc w:val="both"/>
        <w:rPr>
          <w:rFonts w:ascii="Arial" w:eastAsia="Calibri" w:hAnsi="Arial" w:cs="Arial"/>
          <w:b/>
          <w:lang w:val="es-ES_tradnl"/>
        </w:rPr>
      </w:pPr>
      <w:r w:rsidRPr="00CC200E">
        <w:rPr>
          <w:rFonts w:ascii="Arial" w:eastAsia="Calibri" w:hAnsi="Arial" w:cs="Arial"/>
          <w:b/>
          <w:lang w:val="es-ES_tradnl"/>
        </w:rPr>
        <w:t xml:space="preserve">Problema planteado </w:t>
      </w:r>
    </w:p>
    <w:p w14:paraId="3E1472CC" w14:textId="77777777" w:rsidR="00F97BFC" w:rsidRPr="00CC200E" w:rsidRDefault="00F97BFC" w:rsidP="00845C54">
      <w:pPr>
        <w:pStyle w:val="Prrafodelista"/>
        <w:tabs>
          <w:tab w:val="left" w:pos="0"/>
          <w:tab w:val="left" w:pos="142"/>
          <w:tab w:val="left" w:pos="284"/>
        </w:tabs>
        <w:spacing w:after="0" w:line="276" w:lineRule="auto"/>
        <w:ind w:left="0"/>
        <w:jc w:val="both"/>
        <w:rPr>
          <w:rFonts w:ascii="Arial" w:eastAsia="Calibri" w:hAnsi="Arial" w:cs="Arial"/>
          <w:b/>
          <w:lang w:val="es-ES_tradnl"/>
        </w:rPr>
      </w:pPr>
    </w:p>
    <w:p w14:paraId="3184C8D6" w14:textId="23692699" w:rsidR="00F97BFC" w:rsidRPr="00CC200E" w:rsidRDefault="00F97BFC" w:rsidP="00845C54">
      <w:pPr>
        <w:spacing w:after="0" w:line="276" w:lineRule="auto"/>
        <w:jc w:val="both"/>
        <w:rPr>
          <w:rFonts w:ascii="Arial" w:hAnsi="Arial" w:cs="Arial"/>
          <w:lang w:val="es-ES_tradnl"/>
        </w:rPr>
      </w:pPr>
      <w:r w:rsidRPr="00CC200E">
        <w:rPr>
          <w:rFonts w:ascii="Arial" w:hAnsi="Arial" w:cs="Arial"/>
          <w:lang w:val="es-ES_tradnl"/>
        </w:rPr>
        <w:t xml:space="preserve">Respecto a la </w:t>
      </w:r>
      <w:r w:rsidR="00FD215D" w:rsidRPr="00CC200E">
        <w:rPr>
          <w:rFonts w:ascii="Arial" w:hAnsi="Arial" w:cs="Arial"/>
          <w:lang w:val="es-ES_tradnl"/>
        </w:rPr>
        <w:t>acreditación de la experiencia de una sociedad</w:t>
      </w:r>
      <w:r w:rsidR="002636DC" w:rsidRPr="00CC200E">
        <w:rPr>
          <w:rFonts w:ascii="Arial" w:hAnsi="Arial" w:cs="Arial"/>
          <w:lang w:val="es-ES_tradnl"/>
        </w:rPr>
        <w:t xml:space="preserve"> </w:t>
      </w:r>
      <w:r w:rsidRPr="00CC200E">
        <w:rPr>
          <w:rFonts w:ascii="Arial" w:hAnsi="Arial" w:cs="Arial"/>
          <w:lang w:val="es-ES_tradnl"/>
        </w:rPr>
        <w:t xml:space="preserve">usted realiza la siguiente consulta: </w:t>
      </w:r>
    </w:p>
    <w:p w14:paraId="6E7CCD6C" w14:textId="77777777" w:rsidR="00A75A84" w:rsidRPr="00CC200E" w:rsidRDefault="00A75A84" w:rsidP="00845C54">
      <w:pPr>
        <w:spacing w:after="0" w:line="276" w:lineRule="auto"/>
        <w:jc w:val="both"/>
        <w:rPr>
          <w:rFonts w:ascii="Arial" w:hAnsi="Arial" w:cs="Arial"/>
          <w:lang w:val="es-ES_tradnl"/>
        </w:rPr>
      </w:pPr>
    </w:p>
    <w:p w14:paraId="43A25549" w14:textId="77777777" w:rsidR="00A47E23" w:rsidRPr="00CC200E" w:rsidRDefault="00A47E23" w:rsidP="00845C54">
      <w:pPr>
        <w:spacing w:after="0" w:line="240" w:lineRule="auto"/>
        <w:ind w:left="709" w:right="709"/>
        <w:jc w:val="both"/>
        <w:rPr>
          <w:rFonts w:ascii="Arial" w:hAnsi="Arial" w:cs="Arial"/>
          <w:sz w:val="21"/>
          <w:szCs w:val="21"/>
        </w:rPr>
      </w:pPr>
      <w:r w:rsidRPr="00CC200E">
        <w:rPr>
          <w:rFonts w:ascii="Arial" w:hAnsi="Arial" w:cs="Arial"/>
          <w:sz w:val="21"/>
          <w:szCs w:val="21"/>
        </w:rPr>
        <w:t xml:space="preserve">“[…] 1. </w:t>
      </w:r>
      <w:r w:rsidR="00D6422E" w:rsidRPr="00CC200E">
        <w:rPr>
          <w:rFonts w:ascii="Arial" w:hAnsi="Arial" w:cs="Arial"/>
          <w:sz w:val="21"/>
          <w:szCs w:val="21"/>
        </w:rPr>
        <w:t xml:space="preserve">¿Una empresa conformada por Sociedad por Acciones Simplificada (SAS), constituida con más de 3 años, puede utilizar la experiencia del accionista para contratar en un proceso de contratación estatal por modalidad de mínima cuantía o </w:t>
      </w:r>
      <w:r w:rsidR="00D6422E" w:rsidRPr="00CC200E">
        <w:rPr>
          <w:rFonts w:ascii="Arial" w:hAnsi="Arial" w:cs="Arial"/>
          <w:color w:val="000000"/>
          <w:sz w:val="21"/>
          <w:szCs w:val="21"/>
          <w:shd w:val="clear" w:color="auto" w:fill="FFFFFF"/>
        </w:rPr>
        <w:t>Licitación pública (Obra pública)</w:t>
      </w:r>
      <w:r w:rsidR="00D6422E" w:rsidRPr="00CC200E">
        <w:rPr>
          <w:rFonts w:ascii="Arial" w:hAnsi="Arial" w:cs="Arial"/>
          <w:sz w:val="21"/>
          <w:szCs w:val="21"/>
        </w:rPr>
        <w:t>, cuando luego de pasado los 3 años y no permitiese que los efectos del RUP cesen?</w:t>
      </w:r>
    </w:p>
    <w:p w14:paraId="5869A02C" w14:textId="77777777" w:rsidR="00A47E23" w:rsidRPr="00CC200E" w:rsidRDefault="00A47E23" w:rsidP="00845C54">
      <w:pPr>
        <w:spacing w:after="0" w:line="240" w:lineRule="auto"/>
        <w:ind w:left="709" w:right="709"/>
        <w:jc w:val="both"/>
        <w:rPr>
          <w:rFonts w:ascii="Arial" w:hAnsi="Arial" w:cs="Arial"/>
          <w:sz w:val="21"/>
          <w:szCs w:val="21"/>
        </w:rPr>
      </w:pPr>
    </w:p>
    <w:p w14:paraId="1F7924D1" w14:textId="4CD8AE77" w:rsidR="00A47E23" w:rsidRPr="00CC200E" w:rsidRDefault="00A47E23" w:rsidP="00845C54">
      <w:pPr>
        <w:spacing w:after="0" w:line="240" w:lineRule="auto"/>
        <w:ind w:left="709" w:right="709"/>
        <w:jc w:val="both"/>
        <w:rPr>
          <w:rFonts w:ascii="Arial" w:hAnsi="Arial" w:cs="Arial"/>
          <w:sz w:val="21"/>
          <w:szCs w:val="21"/>
        </w:rPr>
      </w:pPr>
      <w:r w:rsidRPr="00CC200E">
        <w:rPr>
          <w:rFonts w:ascii="Arial" w:hAnsi="Arial" w:cs="Arial"/>
          <w:sz w:val="21"/>
          <w:szCs w:val="21"/>
        </w:rPr>
        <w:lastRenderedPageBreak/>
        <w:t>2. ¿Una empresa con más de 3 años constituidas con experiencia acreditada de los socios o accionistas en el RUP, debe eliminar dicha experiencia si los socios se retiran luego de los tres años de constituida la empresa?</w:t>
      </w:r>
    </w:p>
    <w:p w14:paraId="41ABA03A" w14:textId="77777777" w:rsidR="00445F67" w:rsidRPr="00CC200E" w:rsidRDefault="00445F67" w:rsidP="00845C54">
      <w:pPr>
        <w:spacing w:after="0" w:line="240" w:lineRule="auto"/>
        <w:ind w:left="709" w:right="709"/>
        <w:jc w:val="both"/>
        <w:rPr>
          <w:rFonts w:ascii="Arial" w:hAnsi="Arial" w:cs="Arial"/>
          <w:sz w:val="21"/>
          <w:szCs w:val="21"/>
        </w:rPr>
      </w:pPr>
    </w:p>
    <w:p w14:paraId="0E229049" w14:textId="39ABBD28" w:rsidR="00445F67" w:rsidRPr="00CC200E" w:rsidRDefault="00445F67" w:rsidP="00845C54">
      <w:pPr>
        <w:spacing w:after="0" w:line="240" w:lineRule="auto"/>
        <w:ind w:left="709" w:right="709"/>
        <w:jc w:val="both"/>
        <w:rPr>
          <w:rFonts w:ascii="Arial" w:hAnsi="Arial" w:cs="Arial"/>
          <w:sz w:val="21"/>
          <w:szCs w:val="21"/>
        </w:rPr>
      </w:pPr>
      <w:r w:rsidRPr="00CC200E">
        <w:rPr>
          <w:rFonts w:ascii="Arial" w:hAnsi="Arial" w:cs="Arial"/>
          <w:sz w:val="21"/>
          <w:szCs w:val="21"/>
        </w:rPr>
        <w:t xml:space="preserve">3. </w:t>
      </w:r>
      <w:r w:rsidR="00D15B0D" w:rsidRPr="00CC200E">
        <w:rPr>
          <w:rFonts w:ascii="Arial" w:hAnsi="Arial" w:cs="Arial"/>
          <w:sz w:val="21"/>
          <w:szCs w:val="21"/>
        </w:rPr>
        <w:t>¿Una empresa con más de 3 años constituidas la cual los efectos del RUP nunca cesaron, para el cálculo de la capacidad residual, puntualmente en el apartado de experiencia, debe reportar todos los contratos relacionados del Segmento 72 relacionados en el RUP, incluyendo la de socios y accionista presentes en el RUP, así estos ya no se encuentren vinculados a la empresa?</w:t>
      </w:r>
    </w:p>
    <w:p w14:paraId="050C646D" w14:textId="77777777" w:rsidR="00C605D1" w:rsidRPr="00CC200E" w:rsidRDefault="00C605D1" w:rsidP="00845C54">
      <w:pPr>
        <w:spacing w:after="0" w:line="240" w:lineRule="auto"/>
        <w:ind w:left="709" w:right="709"/>
        <w:jc w:val="both"/>
        <w:rPr>
          <w:rFonts w:ascii="Arial" w:hAnsi="Arial" w:cs="Arial"/>
          <w:sz w:val="21"/>
          <w:szCs w:val="21"/>
        </w:rPr>
      </w:pPr>
    </w:p>
    <w:p w14:paraId="7CE22F2C" w14:textId="367571EA" w:rsidR="00C605D1" w:rsidRPr="00CC200E" w:rsidRDefault="00C605D1" w:rsidP="00845C54">
      <w:pPr>
        <w:spacing w:after="0" w:line="240" w:lineRule="auto"/>
        <w:ind w:left="709" w:right="709"/>
        <w:jc w:val="both"/>
        <w:rPr>
          <w:rFonts w:ascii="Arial" w:hAnsi="Arial" w:cs="Arial"/>
          <w:sz w:val="21"/>
          <w:szCs w:val="21"/>
        </w:rPr>
      </w:pPr>
      <w:r w:rsidRPr="00CC200E">
        <w:rPr>
          <w:rFonts w:ascii="Arial" w:hAnsi="Arial" w:cs="Arial"/>
          <w:sz w:val="21"/>
          <w:szCs w:val="21"/>
        </w:rPr>
        <w:t xml:space="preserve">4. </w:t>
      </w:r>
      <w:r w:rsidR="009C1A7A" w:rsidRPr="00CC200E">
        <w:rPr>
          <w:rFonts w:ascii="Arial" w:hAnsi="Arial" w:cs="Arial"/>
          <w:sz w:val="21"/>
          <w:szCs w:val="21"/>
        </w:rPr>
        <w:t>¿Para el cálculo de la capacidad residual, si se comete algún error al momento de reportar el saldo de contratos en ejecución procede a un rechazo de la oferta, si la entidad no pidió aclaración de dichos contratos, esto bajo el concepto que se presentaron la cantidad de contratos en ejecución, pero se cometió algún error al digitar las fechas o algún otro valor requerido conforme a la guía para cálculo de capacidad residual, dado por Colombia Compra Eficiente? […]”</w:t>
      </w:r>
    </w:p>
    <w:p w14:paraId="145A2F50" w14:textId="77777777" w:rsidR="00F97BFC" w:rsidRPr="00CC200E" w:rsidRDefault="00F97BFC" w:rsidP="00845C54">
      <w:pPr>
        <w:spacing w:after="0"/>
        <w:rPr>
          <w:rFonts w:ascii="Arial" w:hAnsi="Arial" w:cs="Arial"/>
          <w:lang w:val="es-ES_tradnl"/>
        </w:rPr>
      </w:pPr>
    </w:p>
    <w:p w14:paraId="1BBE36BF" w14:textId="77777777" w:rsidR="002E2777" w:rsidRPr="00CC200E" w:rsidRDefault="002E2777" w:rsidP="00845C54">
      <w:pPr>
        <w:pStyle w:val="Prrafodelista"/>
        <w:numPr>
          <w:ilvl w:val="0"/>
          <w:numId w:val="6"/>
        </w:numPr>
        <w:tabs>
          <w:tab w:val="left" w:pos="0"/>
          <w:tab w:val="left" w:pos="284"/>
        </w:tabs>
        <w:spacing w:after="0" w:line="276" w:lineRule="auto"/>
        <w:ind w:left="360"/>
        <w:jc w:val="both"/>
        <w:rPr>
          <w:rFonts w:ascii="Arial" w:eastAsia="Calibri" w:hAnsi="Arial" w:cs="Arial"/>
          <w:b/>
          <w:lang w:val="es-ES_tradnl"/>
        </w:rPr>
      </w:pPr>
      <w:r w:rsidRPr="00CC200E">
        <w:rPr>
          <w:rFonts w:ascii="Arial" w:eastAsia="Calibri" w:hAnsi="Arial" w:cs="Arial"/>
          <w:b/>
          <w:lang w:val="es-ES_tradnl"/>
        </w:rPr>
        <w:t>Consideraciones</w:t>
      </w:r>
    </w:p>
    <w:p w14:paraId="6B470C95" w14:textId="77777777" w:rsidR="002E2777" w:rsidRPr="00CC200E" w:rsidRDefault="002E2777" w:rsidP="00845C54">
      <w:pPr>
        <w:pStyle w:val="Prrafodelista"/>
        <w:tabs>
          <w:tab w:val="left" w:pos="0"/>
          <w:tab w:val="left" w:pos="284"/>
        </w:tabs>
        <w:spacing w:after="0" w:line="276" w:lineRule="auto"/>
        <w:ind w:left="0"/>
        <w:contextualSpacing w:val="0"/>
        <w:jc w:val="both"/>
        <w:rPr>
          <w:rFonts w:ascii="Arial" w:eastAsia="Calibri" w:hAnsi="Arial" w:cs="Arial"/>
          <w:b/>
          <w:lang w:val="es-ES_tradnl"/>
        </w:rPr>
      </w:pPr>
    </w:p>
    <w:p w14:paraId="1FBAB01C" w14:textId="77777777" w:rsidR="002E2777" w:rsidRPr="00CC200E" w:rsidRDefault="002E2777" w:rsidP="00845C54">
      <w:pPr>
        <w:spacing w:after="120" w:line="276" w:lineRule="auto"/>
        <w:jc w:val="both"/>
        <w:rPr>
          <w:rFonts w:ascii="Arial" w:hAnsi="Arial" w:cs="Arial"/>
          <w:lang w:val="es-ES"/>
        </w:rPr>
      </w:pPr>
      <w:r w:rsidRPr="00CC200E">
        <w:rPr>
          <w:rFonts w:ascii="Arial" w:hAnsi="Arial" w:cs="Aria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1" w:name="_Hlk61701014"/>
      <w:bookmarkStart w:id="2" w:name="_Hlk62136649"/>
      <w:r w:rsidRPr="00CC200E">
        <w:rPr>
          <w:rFonts w:ascii="Arial" w:hAnsi="Arial" w:cs="Arial"/>
        </w:rPr>
        <w:t xml:space="preserve">. </w:t>
      </w:r>
      <w:r w:rsidRPr="00CC200E">
        <w:rPr>
          <w:rFonts w:ascii="Arial" w:hAnsi="Arial" w:cs="Arial"/>
          <w:lang w:val="es-ES"/>
        </w:rPr>
        <w:t xml:space="preserve">Es necesario tener en cuenta que </w:t>
      </w:r>
      <w:bookmarkStart w:id="3" w:name="_Hlk61026958"/>
      <w:r w:rsidRPr="00CC200E">
        <w:rPr>
          <w:rFonts w:ascii="Arial" w:hAnsi="Arial"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CC200E">
        <w:rPr>
          <w:rFonts w:ascii="Arial" w:hAnsi="Arial" w:cs="Arial"/>
        </w:rPr>
        <w:t xml:space="preserve"> de todos los partícipes de la contratación estatal.</w:t>
      </w:r>
      <w:r w:rsidRPr="00CC200E">
        <w:rPr>
          <w:rFonts w:ascii="Arial" w:hAnsi="Arial" w:cs="Arial"/>
          <w:lang w:val="es-ES"/>
        </w:rPr>
        <w:t xml:space="preserve"> </w:t>
      </w:r>
      <w:bookmarkEnd w:id="1"/>
      <w:bookmarkEnd w:id="2"/>
      <w:bookmarkEnd w:id="3"/>
    </w:p>
    <w:p w14:paraId="5802DEF0" w14:textId="77777777" w:rsidR="002E2777" w:rsidRPr="00CC200E" w:rsidRDefault="002E2777" w:rsidP="00845C54">
      <w:pPr>
        <w:spacing w:after="120" w:line="276" w:lineRule="auto"/>
        <w:ind w:firstLine="708"/>
        <w:jc w:val="both"/>
        <w:rPr>
          <w:rFonts w:ascii="Arial" w:hAnsi="Arial" w:cs="Arial"/>
          <w:lang w:val="es-ES"/>
        </w:rPr>
      </w:pPr>
      <w:r w:rsidRPr="00CC200E">
        <w:rPr>
          <w:rFonts w:ascii="Arial" w:eastAsia="Calibri"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CC200E">
        <w:rPr>
          <w:rFonts w:ascii="Arial" w:eastAsia="Calibri" w:hAnsi="Arial" w:cs="Arial"/>
          <w:vertAlign w:val="superscript"/>
          <w:lang w:val="es-ES"/>
        </w:rPr>
        <w:footnoteReference w:id="2"/>
      </w:r>
      <w:r w:rsidRPr="00CC200E">
        <w:rPr>
          <w:rFonts w:ascii="Arial" w:eastAsia="Calibri" w:hAnsi="Arial" w:cs="Arial"/>
          <w:lang w:val="es-ES"/>
        </w:rPr>
        <w:t xml:space="preserve">. Esta </w:t>
      </w:r>
      <w:r w:rsidRPr="00CC200E">
        <w:rPr>
          <w:rFonts w:ascii="Arial" w:eastAsia="Calibri" w:hAnsi="Arial" w:cs="Arial"/>
          <w:lang w:val="es-ES"/>
        </w:rPr>
        <w:lastRenderedPageBreak/>
        <w:t xml:space="preserve">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contractuales de donde surge la inquietud. Por lo anterior, previo concepto de sus órganos asesores, la solución de estos temas corresponde a la Entidad que suscribió el contrato y, en caso de conflicto, a las autoridades judiciales, fiscales y disciplinarias. </w:t>
      </w:r>
    </w:p>
    <w:p w14:paraId="524AC434" w14:textId="122A6DDD" w:rsidR="000A1D12" w:rsidRPr="00EA05AC" w:rsidRDefault="002E2777" w:rsidP="00845C54">
      <w:pPr>
        <w:spacing w:before="120" w:after="120" w:line="276" w:lineRule="auto"/>
        <w:ind w:firstLine="709"/>
        <w:jc w:val="both"/>
        <w:rPr>
          <w:rFonts w:ascii="Arial" w:hAnsi="Arial" w:cs="Arial"/>
          <w:lang w:val="es-ES"/>
        </w:rPr>
      </w:pPr>
      <w:r w:rsidRPr="00CC200E">
        <w:rPr>
          <w:rFonts w:ascii="Arial" w:eastAsia="Calibri" w:hAnsi="Arial" w:cs="Arial"/>
          <w:color w:val="000000"/>
          <w:lang w:val="es-MX"/>
        </w:rPr>
        <w:t xml:space="preserve">Sin perjuicio de lo anterior, </w:t>
      </w:r>
      <w:r w:rsidRPr="00CC200E">
        <w:rPr>
          <w:rFonts w:ascii="Arial" w:eastAsia="Calibri" w:hAnsi="Arial" w:cs="Arial"/>
          <w:color w:val="000000"/>
          <w:lang w:val="es-ES"/>
        </w:rPr>
        <w:t xml:space="preserve">la Subdirección de Gestión Contractual –dentro de los límites de sus atribuciones, esto es, </w:t>
      </w:r>
      <w:bookmarkStart w:id="4" w:name="_Hlk61025408"/>
      <w:r w:rsidRPr="00CC200E">
        <w:rPr>
          <w:rFonts w:ascii="Arial" w:eastAsia="Calibri" w:hAnsi="Arial" w:cs="Arial"/>
          <w:color w:val="000000"/>
          <w:lang w:val="es-ES"/>
        </w:rPr>
        <w:t>haciendo abstracción del caso particular expuesto por el peticionari</w:t>
      </w:r>
      <w:bookmarkEnd w:id="4"/>
      <w:r w:rsidRPr="00CC200E">
        <w:rPr>
          <w:rFonts w:ascii="Arial" w:eastAsia="Calibri" w:hAnsi="Arial" w:cs="Arial"/>
          <w:color w:val="000000"/>
          <w:lang w:val="es-ES"/>
        </w:rPr>
        <w:t>o– resolverá la consulta conforme a las normas generales en materia de contratación estatal</w:t>
      </w:r>
      <w:r w:rsidRPr="00CC200E">
        <w:rPr>
          <w:rFonts w:ascii="Arial" w:eastAsia="Calibri" w:hAnsi="Arial" w:cs="Arial"/>
          <w:lang w:val="es-ES_tradnl" w:eastAsia="es-MX"/>
        </w:rPr>
        <w:t xml:space="preserve">. Con este objetivo se analizarán los siguientes temas: </w:t>
      </w:r>
      <w:r w:rsidR="008A2500" w:rsidRPr="00CC200E">
        <w:rPr>
          <w:rFonts w:ascii="Arial" w:hAnsi="Arial" w:cs="Arial"/>
          <w:lang w:val="es-ES_tradnl"/>
        </w:rPr>
        <w:t xml:space="preserve">i) aproximación general al concepto de experiencia en la contratación pública; ii) consideraciones de la Agencia respecto de la experiencia; iii) acreditación de la experiencia de socios, accionistas o constituyentes por parte de sociedades con menos de tres (3) años de constitución iv) límites de la prerrogativa que contempla el numeral 2.5 del artículo 2.2.1.1.1.5.2 del Decreto 1082 de 2015; </w:t>
      </w:r>
      <w:r w:rsidR="002826F8" w:rsidRPr="00CC200E">
        <w:rPr>
          <w:rFonts w:ascii="Arial" w:hAnsi="Arial" w:cs="Arial"/>
          <w:lang w:val="es-ES_tradnl"/>
        </w:rPr>
        <w:t xml:space="preserve">v) </w:t>
      </w:r>
      <w:r w:rsidR="000A1D12" w:rsidRPr="00CC200E">
        <w:rPr>
          <w:rFonts w:ascii="Arial" w:eastAsia="Calibri" w:hAnsi="Arial" w:cs="Arial"/>
        </w:rPr>
        <w:t>a</w:t>
      </w:r>
      <w:r w:rsidR="000A1D12" w:rsidRPr="00CC200E">
        <w:rPr>
          <w:rFonts w:ascii="Arial" w:hAnsi="Arial" w:cs="Arial"/>
        </w:rPr>
        <w:t>nálisis frente al alcance de la regla de la subsanabilidad y la figura de la aclaración de ofertas frente a la Capacidad Residual</w:t>
      </w:r>
      <w:r w:rsidR="00EA05AC">
        <w:rPr>
          <w:rFonts w:ascii="Arial" w:hAnsi="Arial" w:cs="Arial"/>
        </w:rPr>
        <w:t>; y vi) l</w:t>
      </w:r>
      <w:r w:rsidR="00EA05AC" w:rsidRPr="00EA05AC">
        <w:rPr>
          <w:rFonts w:ascii="Arial" w:hAnsi="Arial" w:cs="Arial"/>
        </w:rPr>
        <w:t>a capacidad residual en los procesos de contratación de obra pública.</w:t>
      </w:r>
    </w:p>
    <w:p w14:paraId="266D3F78" w14:textId="68165541" w:rsidR="00B840AD" w:rsidRPr="00CC200E" w:rsidRDefault="002E2777" w:rsidP="00845C54">
      <w:pPr>
        <w:spacing w:line="276" w:lineRule="auto"/>
        <w:ind w:firstLine="708"/>
        <w:jc w:val="both"/>
        <w:rPr>
          <w:rFonts w:ascii="Arial" w:hAnsi="Arial" w:cs="Arial"/>
          <w:lang w:val="es-ES_tradnl"/>
        </w:rPr>
      </w:pPr>
      <w:r w:rsidRPr="00CC200E">
        <w:rPr>
          <w:rFonts w:ascii="Arial" w:eastAsia="Calibri" w:hAnsi="Arial" w:cs="Arial"/>
          <w:color w:val="000000"/>
        </w:rPr>
        <w:t xml:space="preserve"> </w:t>
      </w:r>
      <w:r w:rsidRPr="00CC200E">
        <w:rPr>
          <w:rFonts w:ascii="Arial" w:eastAsia="Calibri" w:hAnsi="Arial" w:cs="Arial"/>
        </w:rPr>
        <w:t xml:space="preserve">La Agencia Nacional de Contratación Pública – Colombia Compra Eficiente –en adelante la ANCP-CCE– </w:t>
      </w:r>
      <w:r w:rsidRPr="00CC200E">
        <w:rPr>
          <w:rFonts w:ascii="Arial" w:eastAsia="Calibri" w:hAnsi="Arial" w:cs="Arial"/>
          <w:lang w:val="es-ES_tradnl"/>
        </w:rPr>
        <w:t xml:space="preserve">ha impartido lineamientos </w:t>
      </w:r>
      <w:r w:rsidR="006B1752" w:rsidRPr="00CC200E">
        <w:rPr>
          <w:rFonts w:ascii="Arial" w:hAnsi="Arial" w:cs="Arial"/>
          <w:lang w:val="es-ES_tradnl"/>
        </w:rPr>
        <w:t>sobre la experiencia como requisito habilitante en la contratación pública e</w:t>
      </w:r>
      <w:r w:rsidR="001571AF" w:rsidRPr="00CC200E">
        <w:rPr>
          <w:rFonts w:ascii="Arial" w:hAnsi="Arial" w:cs="Arial"/>
          <w:lang w:val="es-ES_tradnl"/>
        </w:rPr>
        <w:t>n</w:t>
      </w:r>
      <w:r w:rsidR="004D4D83" w:rsidRPr="00CC200E">
        <w:rPr>
          <w:rFonts w:ascii="Arial" w:hAnsi="Arial" w:cs="Arial"/>
          <w:lang w:val="es-ES_tradnl"/>
        </w:rPr>
        <w:t xml:space="preserve"> los conceptos</w:t>
      </w:r>
      <w:r w:rsidR="00594C0D" w:rsidRPr="00CC200E">
        <w:rPr>
          <w:rFonts w:ascii="Arial" w:hAnsi="Arial" w:cs="Arial"/>
          <w:lang w:val="es-ES_tradnl"/>
        </w:rPr>
        <w:t xml:space="preserve">, C-226 del 26 de abril de 2022, C-234 del 26 de abril de 2022, C-235 del 26 de abril de 2022, C-239, C-242 del 2 de mayo de 2022, C-287 del 11 de mayo de 2022, C-319 del 19 de mayo de 2022, C-569 del 13 de septiembre de 2022, C-574 del 14 de septiembre de 2022. </w:t>
      </w:r>
      <w:r w:rsidR="00B840AD" w:rsidRPr="00CC200E">
        <w:rPr>
          <w:rFonts w:ascii="Arial" w:hAnsi="Arial" w:cs="Arial"/>
          <w:lang w:val="es-ES_tradnl"/>
        </w:rPr>
        <w:t>Del mismo modo, en los en los conceptos C-025 del 16 de marzo de 2020, C-710 del 9 de diciembre de 2020, C-717 del 10 de diciembre de 2020, C-729 del 11 de diciembre de 2020, C-103 del 24 de marzo del 2021, C-140 del 9 de abril del 2021, C-316 y C-318 del 29 de junio de 2021, C-474 del 6 de septiembre de 2021, C-441 del 13 de octubre de 2021, C-589 del 19 de octubre de 2021, entre otros, se estudiaron diferentes aspectos relativos a la acreditación de la experiencia en los procedimientos de selección.</w:t>
      </w:r>
    </w:p>
    <w:p w14:paraId="0A16764D" w14:textId="414C11DD" w:rsidR="00025FB2" w:rsidRPr="00CC200E" w:rsidRDefault="00B17CF2" w:rsidP="00845C54">
      <w:pPr>
        <w:spacing w:after="0" w:line="276" w:lineRule="auto"/>
        <w:ind w:firstLine="709"/>
        <w:jc w:val="both"/>
        <w:rPr>
          <w:rFonts w:ascii="Arial" w:eastAsia="Calibri" w:hAnsi="Arial" w:cs="Arial"/>
          <w:lang w:val="es-ES_tradnl" w:eastAsia="es-ES_tradnl"/>
        </w:rPr>
      </w:pPr>
      <w:r w:rsidRPr="00CC200E">
        <w:rPr>
          <w:rFonts w:ascii="Arial" w:hAnsi="Arial" w:cs="Arial"/>
          <w:lang w:val="es-ES_tradnl"/>
        </w:rPr>
        <w:t xml:space="preserve">Por otra parte, </w:t>
      </w:r>
      <w:r w:rsidR="00780D55" w:rsidRPr="00CC200E">
        <w:rPr>
          <w:rFonts w:ascii="Arial" w:hAnsi="Arial" w:cs="Arial"/>
          <w:lang w:val="es-ES_tradnl"/>
        </w:rPr>
        <w:t xml:space="preserve">en las consultas con radicado Nro. </w:t>
      </w:r>
      <w:r w:rsidR="001C05F6" w:rsidRPr="00CC200E">
        <w:rPr>
          <w:rFonts w:ascii="Arial" w:hAnsi="Arial" w:cs="Arial"/>
          <w:lang w:val="es-ES_tradnl"/>
        </w:rPr>
        <w:t>2201913000006275 del 27 de agosto de 2019, 4201912000004743 con el radicado de salida No. 2201913000006297 del 28 de agosto de 2019, 4201912000003636 con radicado de salida No. 2201913000006028 del 28 de agosto de 2019, 4201913000005158 con radicado de salida No. 2201913000006577 del 5 de septiembre de 2019, C-717 del 10 de diciembre de 2020 y C-929 del 30 de diciembre del 2022</w:t>
      </w:r>
      <w:r w:rsidR="00960E81" w:rsidRPr="00CC200E">
        <w:rPr>
          <w:rFonts w:ascii="Arial" w:hAnsi="Arial" w:cs="Arial"/>
          <w:lang w:val="es-ES_tradnl"/>
        </w:rPr>
        <w:t xml:space="preserve"> la Agencia conceptuó sobre la posibilidad de que la experiencia de los socios, aportada a la empresa pueda ser utilizada a pesar del retiro de </w:t>
      </w:r>
      <w:r w:rsidR="00960E81" w:rsidRPr="00CC200E">
        <w:rPr>
          <w:rFonts w:ascii="Arial" w:hAnsi="Arial" w:cs="Arial"/>
          <w:lang w:val="es-ES_tradnl"/>
        </w:rPr>
        <w:lastRenderedPageBreak/>
        <w:t xml:space="preserve">alguno de ellos. Y frente a </w:t>
      </w:r>
      <w:r w:rsidR="002D758E" w:rsidRPr="00CC200E">
        <w:rPr>
          <w:rFonts w:ascii="Arial" w:hAnsi="Arial" w:cs="Arial"/>
        </w:rPr>
        <w:t xml:space="preserve">la Capacidad Residual </w:t>
      </w:r>
      <w:r w:rsidR="00A14CA3" w:rsidRPr="00CC200E">
        <w:rPr>
          <w:rFonts w:ascii="Arial" w:hAnsi="Arial" w:cs="Arial"/>
        </w:rPr>
        <w:t xml:space="preserve">se ha pronunciado en los conceptos </w:t>
      </w:r>
      <w:r w:rsidR="00467F5C" w:rsidRPr="00CC200E">
        <w:rPr>
          <w:rFonts w:ascii="Arial" w:eastAsia="Times New Roman" w:hAnsi="Arial" w:cs="Arial"/>
          <w:color w:val="000000"/>
          <w:lang w:eastAsia="es-CO"/>
        </w:rPr>
        <w:t>C-105 del 14 de junio del 2023, C-099 del 20 de junio del 2023, C-154 del 02 de junio del 2023, C-193 del 13 de junio del 2023, C-182 del 29 de junio del 2023, C-241 del 22 de junio del 2023, C-233 del 25 de julio del 2023, C-200 del 27 de julio del 2023, C-320 del 02 de agosto del 2023 y C-</w:t>
      </w:r>
      <w:r w:rsidR="0049282D" w:rsidRPr="00CC200E">
        <w:rPr>
          <w:rFonts w:ascii="Arial" w:eastAsia="Times New Roman" w:hAnsi="Arial" w:cs="Arial"/>
          <w:color w:val="000000"/>
          <w:lang w:eastAsia="es-CO"/>
        </w:rPr>
        <w:t>280 del 06 de junio del 2023</w:t>
      </w:r>
      <w:r w:rsidR="002E2777" w:rsidRPr="00CC200E">
        <w:rPr>
          <w:rFonts w:ascii="Arial" w:eastAsia="Calibri" w:hAnsi="Arial" w:cs="Arial"/>
          <w:bCs/>
          <w:lang w:val="es-MX"/>
        </w:rPr>
        <w:t>.</w:t>
      </w:r>
      <w:r w:rsidR="002E2777" w:rsidRPr="00CC200E">
        <w:rPr>
          <w:rStyle w:val="Refdenotaalpie"/>
          <w:rFonts w:ascii="Arial" w:eastAsia="Calibri" w:hAnsi="Arial" w:cs="Arial"/>
          <w:bCs/>
          <w:lang w:val="es-MX"/>
        </w:rPr>
        <w:footnoteReference w:id="3"/>
      </w:r>
      <w:r w:rsidR="002E2777" w:rsidRPr="00CC200E">
        <w:rPr>
          <w:rFonts w:ascii="Arial" w:eastAsia="Calibri" w:hAnsi="Arial" w:cs="Arial"/>
          <w:lang w:val="es-MX" w:eastAsia="es-ES_tradnl"/>
        </w:rPr>
        <w:t xml:space="preserve"> </w:t>
      </w:r>
      <w:r w:rsidR="000A367A" w:rsidRPr="00CC200E">
        <w:rPr>
          <w:rFonts w:ascii="Arial" w:eastAsia="Calibri" w:hAnsi="Arial" w:cs="Arial"/>
          <w:lang w:val="es-ES_tradnl" w:eastAsia="es-ES_tradnl"/>
        </w:rPr>
        <w:t>Algunas de las consideraciones de estos conceptos se reiteran y se complementan en lo pertinente, teniendo en cuenta lo consultado.</w:t>
      </w:r>
    </w:p>
    <w:p w14:paraId="6AAA04FC" w14:textId="77777777" w:rsidR="00025FB2" w:rsidRPr="00CC200E" w:rsidRDefault="00025FB2" w:rsidP="00845C54">
      <w:pPr>
        <w:spacing w:after="0" w:line="276" w:lineRule="auto"/>
        <w:ind w:firstLine="709"/>
        <w:jc w:val="both"/>
        <w:rPr>
          <w:rFonts w:ascii="Arial" w:eastAsia="Calibri" w:hAnsi="Arial" w:cs="Arial"/>
          <w:lang w:val="es-ES_tradnl" w:eastAsia="es-ES_tradnl"/>
        </w:rPr>
      </w:pPr>
    </w:p>
    <w:p w14:paraId="70647DC9" w14:textId="77777777" w:rsidR="00D14339" w:rsidRPr="00CC200E" w:rsidRDefault="00D14339" w:rsidP="00845C54">
      <w:pPr>
        <w:spacing w:after="0" w:line="276" w:lineRule="auto"/>
        <w:jc w:val="both"/>
        <w:rPr>
          <w:rFonts w:ascii="Arial" w:eastAsia="Calibri" w:hAnsi="Arial" w:cs="Arial"/>
          <w:b/>
          <w:color w:val="000000" w:themeColor="text1"/>
        </w:rPr>
      </w:pPr>
      <w:r w:rsidRPr="00CC200E">
        <w:rPr>
          <w:rFonts w:ascii="Arial" w:eastAsia="Calibri" w:hAnsi="Arial" w:cs="Arial"/>
          <w:b/>
          <w:color w:val="000000" w:themeColor="text1"/>
        </w:rPr>
        <w:t>2.1. Aproximación general al concepto de experiencia en la contratación pública</w:t>
      </w:r>
    </w:p>
    <w:p w14:paraId="5A3A7ABC" w14:textId="77777777" w:rsidR="00D14339" w:rsidRPr="00CC200E" w:rsidRDefault="00D14339" w:rsidP="00845C54">
      <w:pPr>
        <w:spacing w:after="0" w:line="276" w:lineRule="auto"/>
        <w:jc w:val="both"/>
        <w:rPr>
          <w:rFonts w:ascii="Arial" w:hAnsi="Arial" w:cs="Arial"/>
          <w:lang w:val="es-ES_tradnl"/>
        </w:rPr>
      </w:pPr>
      <w:r w:rsidRPr="00CC200E">
        <w:rPr>
          <w:rFonts w:ascii="Arial" w:hAnsi="Arial" w:cs="Arial"/>
          <w:lang w:val="es-ES_tradnl"/>
        </w:rPr>
        <w:t xml:space="preserve">  </w:t>
      </w:r>
    </w:p>
    <w:p w14:paraId="10835BBC" w14:textId="46BEDDBD" w:rsidR="00D14339" w:rsidRPr="00CC200E" w:rsidRDefault="00D14339" w:rsidP="00845C54">
      <w:pPr>
        <w:spacing w:line="276" w:lineRule="auto"/>
        <w:jc w:val="both"/>
        <w:rPr>
          <w:rFonts w:ascii="Arial" w:eastAsia="Calibri" w:hAnsi="Arial" w:cs="Arial"/>
          <w:color w:val="000000" w:themeColor="text1"/>
        </w:rPr>
      </w:pPr>
      <w:r w:rsidRPr="00CC200E">
        <w:rPr>
          <w:rFonts w:ascii="Arial" w:eastAsia="Calibri" w:hAnsi="Arial" w:cs="Arial"/>
          <w:color w:val="000000" w:themeColor="text1"/>
        </w:rPr>
        <w:t xml:space="preserve">La Ley 1150 de 2007, en el artículo 5, establece los requisitos habilitantes para participar en un procedimiento contractual, dentro de los cuales se destaca la experiencia. El propósito es que las </w:t>
      </w:r>
      <w:r w:rsidR="00D146F9" w:rsidRPr="00CC200E">
        <w:rPr>
          <w:rFonts w:ascii="Arial" w:eastAsia="Calibri" w:hAnsi="Arial" w:cs="Arial"/>
          <w:color w:val="000000" w:themeColor="text1"/>
        </w:rPr>
        <w:t>E</w:t>
      </w:r>
      <w:r w:rsidRPr="00CC200E">
        <w:rPr>
          <w:rFonts w:ascii="Arial" w:eastAsia="Calibri" w:hAnsi="Arial" w:cs="Arial"/>
          <w:color w:val="000000" w:themeColor="text1"/>
        </w:rPr>
        <w:t>ntidades fijen unos requisitos mínimos que debe tener y acreditar el proponente, para que la entidad verifique su aptitud para participar en el procedimiento de contratación y, si se le adjudica, ejecutar el contrato estatal</w:t>
      </w:r>
      <w:r w:rsidRPr="00CC200E">
        <w:rPr>
          <w:rStyle w:val="Refdenotaalpie"/>
          <w:rFonts w:ascii="Arial" w:eastAsia="Calibri" w:hAnsi="Arial" w:cs="Arial"/>
          <w:color w:val="000000" w:themeColor="text1"/>
        </w:rPr>
        <w:footnoteReference w:id="4"/>
      </w:r>
      <w:r w:rsidRPr="00CC200E">
        <w:rPr>
          <w:rFonts w:ascii="Arial" w:eastAsia="Calibri" w:hAnsi="Arial" w:cs="Arial"/>
          <w:color w:val="000000" w:themeColor="text1"/>
        </w:rPr>
        <w:t xml:space="preserve">. En ese sentido, la </w:t>
      </w:r>
      <w:r w:rsidR="00D146F9" w:rsidRPr="00CC200E">
        <w:rPr>
          <w:rFonts w:ascii="Arial" w:eastAsia="Calibri" w:hAnsi="Arial" w:cs="Arial"/>
          <w:color w:val="000000" w:themeColor="text1"/>
        </w:rPr>
        <w:t>E</w:t>
      </w:r>
      <w:r w:rsidRPr="00CC200E">
        <w:rPr>
          <w:rFonts w:ascii="Arial" w:eastAsia="Calibri" w:hAnsi="Arial" w:cs="Arial"/>
          <w:color w:val="000000" w:themeColor="text1"/>
        </w:rPr>
        <w:t>ntidad, como responsable de la estructuración de su procedimiento de contratación, es autónoma para requerir la experiencia necesaria para el objeto de contrato, para lo cual, de acuerdo con el artículo 2.2.1.1.1.6.2. del Decreto 1082 de 2015, debe tener en cuenta el estudio del sector y sus componentes como la identificación de riesgos, el mercado y precio del bien, obra o servicio a contratar</w:t>
      </w:r>
      <w:r w:rsidRPr="00CC200E">
        <w:rPr>
          <w:rStyle w:val="Refdenotaalpie"/>
          <w:rFonts w:ascii="Arial" w:eastAsia="Calibri" w:hAnsi="Arial" w:cs="Arial"/>
          <w:color w:val="000000" w:themeColor="text1"/>
        </w:rPr>
        <w:footnoteReference w:id="5"/>
      </w:r>
      <w:r w:rsidRPr="00CC200E">
        <w:rPr>
          <w:rFonts w:ascii="Arial" w:eastAsia="Calibri" w:hAnsi="Arial" w:cs="Arial"/>
          <w:color w:val="000000" w:themeColor="text1"/>
        </w:rPr>
        <w:t>.</w:t>
      </w:r>
    </w:p>
    <w:p w14:paraId="1A63022F" w14:textId="77777777" w:rsidR="00D14339" w:rsidRPr="00CC200E" w:rsidRDefault="00D14339" w:rsidP="00CB2BA7">
      <w:pPr>
        <w:spacing w:line="276" w:lineRule="auto"/>
        <w:ind w:firstLine="708"/>
        <w:jc w:val="both"/>
        <w:rPr>
          <w:rFonts w:ascii="Arial" w:eastAsia="Calibri" w:hAnsi="Arial" w:cs="Arial"/>
          <w:color w:val="000000" w:themeColor="text1"/>
        </w:rPr>
      </w:pPr>
      <w:r w:rsidRPr="00CC200E">
        <w:rPr>
          <w:rFonts w:ascii="Arial" w:eastAsia="Calibri" w:hAnsi="Arial" w:cs="Arial"/>
          <w:color w:val="000000" w:themeColor="text1"/>
        </w:rPr>
        <w:t xml:space="preserve">La experiencia que se deriva de los contratos que el proponente ha celebrado y ejecutado con diferentes contratantes, sin importar la naturaleza de estos, se verifica con el </w:t>
      </w:r>
      <w:r w:rsidRPr="00CC200E">
        <w:rPr>
          <w:rFonts w:ascii="Arial" w:eastAsia="Calibri" w:hAnsi="Arial" w:cs="Arial"/>
          <w:color w:val="000000" w:themeColor="text1"/>
        </w:rPr>
        <w:lastRenderedPageBreak/>
        <w:t>Registro Único de Proponentes – en adelante RUP -</w:t>
      </w:r>
      <w:r w:rsidRPr="00CC200E">
        <w:rPr>
          <w:rStyle w:val="Refdenotaalpie"/>
          <w:rFonts w:ascii="Arial" w:eastAsia="Calibri" w:hAnsi="Arial" w:cs="Arial"/>
          <w:color w:val="000000" w:themeColor="text1"/>
        </w:rPr>
        <w:footnoteReference w:id="6"/>
      </w:r>
      <w:r w:rsidRPr="00CC200E">
        <w:rPr>
          <w:rFonts w:ascii="Arial" w:eastAsia="Calibri" w:hAnsi="Arial" w:cs="Arial"/>
          <w:color w:val="000000" w:themeColor="text1"/>
        </w:rPr>
        <w:t>, cuando este certificado sea exigible de acuerdo con la ley. En este registro constan los requisitos habilitantes que se evalúan exclusivamente con este documento, que es plena prueba, sin que la entidad o el proponente puedan solicitar o aportar otra documentación</w:t>
      </w:r>
      <w:r w:rsidRPr="00CC200E">
        <w:rPr>
          <w:rStyle w:val="Refdenotaalpie"/>
          <w:rFonts w:ascii="Arial" w:eastAsia="Calibri" w:hAnsi="Arial" w:cs="Arial"/>
          <w:color w:val="000000" w:themeColor="text1"/>
        </w:rPr>
        <w:footnoteReference w:id="7"/>
      </w:r>
      <w:r w:rsidRPr="00CC200E">
        <w:rPr>
          <w:rFonts w:ascii="Arial" w:eastAsia="Calibri" w:hAnsi="Arial" w:cs="Arial"/>
          <w:color w:val="000000" w:themeColor="text1"/>
        </w:rPr>
        <w:t>.</w:t>
      </w:r>
    </w:p>
    <w:p w14:paraId="6357721B" w14:textId="73AA462B" w:rsidR="00D14339" w:rsidRPr="00CC200E" w:rsidRDefault="00D14339" w:rsidP="00845C54">
      <w:pPr>
        <w:spacing w:line="276" w:lineRule="auto"/>
        <w:ind w:firstLine="708"/>
        <w:jc w:val="both"/>
        <w:rPr>
          <w:rFonts w:ascii="Arial" w:eastAsia="Calibri" w:hAnsi="Arial" w:cs="Arial"/>
          <w:color w:val="000000" w:themeColor="text1"/>
        </w:rPr>
      </w:pPr>
      <w:r w:rsidRPr="00CC200E">
        <w:rPr>
          <w:rFonts w:ascii="Arial" w:eastAsia="Calibri" w:hAnsi="Arial" w:cs="Arial"/>
          <w:color w:val="000000" w:themeColor="text1"/>
        </w:rPr>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w:t>
      </w:r>
      <w:r w:rsidRPr="00CC200E">
        <w:rPr>
          <w:rStyle w:val="Refdenotaalpie"/>
          <w:rFonts w:ascii="Arial" w:eastAsia="Calibri" w:hAnsi="Arial" w:cs="Arial"/>
          <w:color w:val="000000" w:themeColor="text1"/>
        </w:rPr>
        <w:footnoteReference w:id="8"/>
      </w:r>
      <w:r w:rsidRPr="00CC200E">
        <w:rPr>
          <w:rFonts w:ascii="Arial" w:eastAsia="Calibri" w:hAnsi="Arial" w:cs="Arial"/>
          <w:color w:val="000000" w:themeColor="text1"/>
        </w:rPr>
        <w:t>. De esta manera, con el RUP se verifica que el proponente tenga experiencia en la ejecución del objeto que pretende contratar la</w:t>
      </w:r>
      <w:r w:rsidR="00CD1691" w:rsidRPr="00CC200E">
        <w:rPr>
          <w:rFonts w:ascii="Arial" w:eastAsia="Calibri" w:hAnsi="Arial" w:cs="Arial"/>
          <w:color w:val="000000" w:themeColor="text1"/>
        </w:rPr>
        <w:t xml:space="preserve"> E</w:t>
      </w:r>
      <w:r w:rsidRPr="00CC200E">
        <w:rPr>
          <w:rFonts w:ascii="Arial" w:eastAsia="Calibri" w:hAnsi="Arial" w:cs="Arial"/>
          <w:color w:val="000000" w:themeColor="text1"/>
        </w:rPr>
        <w:t>ntidad, esto es, que haya celebrado y ejecutado contratos que se asimilen a la necesidad que la entidad requiere satisfacer con el procedimiento contractual, sin que sea necesario que su objeto sea idéntico.</w:t>
      </w:r>
    </w:p>
    <w:p w14:paraId="2CC15605" w14:textId="77777777" w:rsidR="00D14339" w:rsidRPr="00CC200E" w:rsidRDefault="00D14339" w:rsidP="00845C54">
      <w:pPr>
        <w:spacing w:after="0" w:line="276" w:lineRule="auto"/>
        <w:jc w:val="both"/>
        <w:rPr>
          <w:rFonts w:ascii="Arial" w:eastAsia="Calibri" w:hAnsi="Arial" w:cs="Arial"/>
          <w:b/>
          <w:color w:val="000000" w:themeColor="text1"/>
        </w:rPr>
      </w:pPr>
      <w:r w:rsidRPr="00CC200E">
        <w:rPr>
          <w:rFonts w:ascii="Arial" w:eastAsia="Calibri" w:hAnsi="Arial" w:cs="Arial"/>
          <w:b/>
          <w:color w:val="000000" w:themeColor="text1"/>
        </w:rPr>
        <w:t>2.2. Consideraciones de la Agencia respecto de la experiencia</w:t>
      </w:r>
    </w:p>
    <w:p w14:paraId="100DB9FD" w14:textId="77777777" w:rsidR="00D14339" w:rsidRPr="00CC200E" w:rsidRDefault="00D14339" w:rsidP="00845C54">
      <w:pPr>
        <w:spacing w:after="0" w:line="276" w:lineRule="auto"/>
        <w:jc w:val="both"/>
        <w:rPr>
          <w:rFonts w:ascii="Arial" w:eastAsia="Calibri" w:hAnsi="Arial" w:cs="Arial"/>
          <w:b/>
          <w:color w:val="000000" w:themeColor="text1"/>
        </w:rPr>
      </w:pPr>
    </w:p>
    <w:p w14:paraId="79A4CCEA" w14:textId="1DA941AE" w:rsidR="00D14339" w:rsidRPr="00CC200E" w:rsidRDefault="00D14339" w:rsidP="00845C54">
      <w:pPr>
        <w:spacing w:line="276" w:lineRule="auto"/>
        <w:jc w:val="both"/>
        <w:rPr>
          <w:rFonts w:ascii="Arial" w:eastAsia="Calibri" w:hAnsi="Arial" w:cs="Arial"/>
          <w:color w:val="000000" w:themeColor="text1"/>
        </w:rPr>
      </w:pPr>
      <w:r w:rsidRPr="00CC200E">
        <w:rPr>
          <w:rFonts w:ascii="Arial" w:eastAsia="Calibri" w:hAnsi="Arial" w:cs="Arial"/>
          <w:color w:val="000000" w:themeColor="text1"/>
        </w:rPr>
        <w:lastRenderedPageBreak/>
        <w:t xml:space="preserve">La Agencia Nacional de Contratación Pública – Colombia Compra Eficiente puso a disposición de los interesados del Sistema de Compra Pública el </w:t>
      </w:r>
      <w:r w:rsidR="001B4468" w:rsidRPr="00CC200E">
        <w:rPr>
          <w:rFonts w:ascii="Arial" w:eastAsia="Calibri" w:hAnsi="Arial" w:cs="Arial"/>
          <w:color w:val="000000" w:themeColor="text1"/>
        </w:rPr>
        <w:t>“</w:t>
      </w:r>
      <w:r w:rsidRPr="00CC200E">
        <w:rPr>
          <w:rFonts w:ascii="Arial" w:eastAsia="Calibri" w:hAnsi="Arial" w:cs="Arial"/>
          <w:color w:val="000000" w:themeColor="text1"/>
        </w:rPr>
        <w:t>Manual para determinar y verificar requisitos habilitantes en los procesos de contratación</w:t>
      </w:r>
      <w:r w:rsidR="001B4468" w:rsidRPr="00CC200E">
        <w:rPr>
          <w:rFonts w:ascii="Arial" w:eastAsia="Calibri" w:hAnsi="Arial" w:cs="Arial"/>
          <w:color w:val="000000" w:themeColor="text1"/>
        </w:rPr>
        <w:t>”</w:t>
      </w:r>
      <w:r w:rsidRPr="00CC200E">
        <w:rPr>
          <w:rStyle w:val="Refdenotaalpie"/>
          <w:rFonts w:ascii="Arial" w:eastAsia="Calibri" w:hAnsi="Arial" w:cs="Arial"/>
          <w:color w:val="000000" w:themeColor="text1"/>
        </w:rPr>
        <w:footnoteReference w:id="9"/>
      </w:r>
      <w:r w:rsidRPr="00CC200E">
        <w:rPr>
          <w:rFonts w:ascii="Arial" w:eastAsia="Calibri" w:hAnsi="Arial" w:cs="Arial"/>
          <w:color w:val="000000" w:themeColor="text1"/>
        </w:rPr>
        <w:t xml:space="preserve">, donde se establecen las definiciones de cada requisito habilitante y se dan lineamientos sobre lo que las </w:t>
      </w:r>
      <w:r w:rsidR="001B4468" w:rsidRPr="00CC200E">
        <w:rPr>
          <w:rFonts w:ascii="Arial" w:eastAsia="Calibri" w:hAnsi="Arial" w:cs="Arial"/>
          <w:color w:val="000000" w:themeColor="text1"/>
        </w:rPr>
        <w:t>E</w:t>
      </w:r>
      <w:r w:rsidRPr="00CC200E">
        <w:rPr>
          <w:rFonts w:ascii="Arial" w:eastAsia="Calibri" w:hAnsi="Arial" w:cs="Arial"/>
          <w:color w:val="000000" w:themeColor="text1"/>
        </w:rPr>
        <w:t xml:space="preserve">ntidades pueden hacer para establecerlos. En relación con la experiencia, el Manual se centra en su carácter personal, lo cual significa que la experiencia se obtiene en razón a la participación del proponente, con anterioridad, en actividades que le permitieron conocer cómo ejecutar determinado objeto contractual, que la </w:t>
      </w:r>
      <w:r w:rsidR="001B4468" w:rsidRPr="00CC200E">
        <w:rPr>
          <w:rFonts w:ascii="Arial" w:eastAsia="Calibri" w:hAnsi="Arial" w:cs="Arial"/>
          <w:color w:val="000000" w:themeColor="text1"/>
        </w:rPr>
        <w:t>E</w:t>
      </w:r>
      <w:r w:rsidRPr="00CC200E">
        <w:rPr>
          <w:rFonts w:ascii="Arial" w:eastAsia="Calibri" w:hAnsi="Arial" w:cs="Arial"/>
          <w:color w:val="000000" w:themeColor="text1"/>
        </w:rPr>
        <w:t>ntidad ahora pretende desarrollar</w:t>
      </w:r>
      <w:r w:rsidRPr="00CC200E">
        <w:rPr>
          <w:rStyle w:val="Refdenotaalpie"/>
          <w:rFonts w:ascii="Arial" w:eastAsia="Calibri" w:hAnsi="Arial" w:cs="Arial"/>
          <w:color w:val="000000" w:themeColor="text1"/>
        </w:rPr>
        <w:footnoteReference w:id="10"/>
      </w:r>
      <w:r w:rsidRPr="00CC200E">
        <w:rPr>
          <w:rFonts w:ascii="Arial" w:eastAsia="Calibri" w:hAnsi="Arial" w:cs="Arial"/>
          <w:color w:val="000000" w:themeColor="text1"/>
        </w:rPr>
        <w:t>.</w:t>
      </w:r>
    </w:p>
    <w:p w14:paraId="42561B14" w14:textId="77777777" w:rsidR="00D14339" w:rsidRPr="00CC200E" w:rsidRDefault="00D14339" w:rsidP="00845C54">
      <w:pPr>
        <w:spacing w:line="276" w:lineRule="auto"/>
        <w:ind w:firstLine="708"/>
        <w:jc w:val="both"/>
        <w:rPr>
          <w:rFonts w:ascii="Arial" w:eastAsia="Calibri" w:hAnsi="Arial" w:cs="Arial"/>
          <w:color w:val="000000" w:themeColor="text1"/>
        </w:rPr>
      </w:pPr>
      <w:r w:rsidRPr="00CC200E">
        <w:rPr>
          <w:rFonts w:ascii="Arial" w:eastAsia="Calibri" w:hAnsi="Arial" w:cs="Arial"/>
          <w:color w:val="000000" w:themeColor="text1"/>
        </w:rPr>
        <w:t>Lo anterior es determinante, porque no es posible adquirir la experiencia si en la práctica no se han ejecutado actividades similares de forma previa. Precisamente, de la experiencia se deriva el conocimiento del proponente, y para la contratación pública este conocimiento es importante, pues ello garantiza que no habrá improvisación ni mayores costos por errores o dificultades originadas en realizar una actividad por primera vez.</w:t>
      </w:r>
    </w:p>
    <w:p w14:paraId="7C59A1A8" w14:textId="77777777" w:rsidR="00D14339" w:rsidRPr="00CC200E" w:rsidRDefault="00D14339" w:rsidP="00845C54">
      <w:pPr>
        <w:spacing w:line="276" w:lineRule="auto"/>
        <w:ind w:firstLine="708"/>
        <w:jc w:val="both"/>
        <w:rPr>
          <w:rFonts w:ascii="Arial" w:eastAsia="Calibri" w:hAnsi="Arial" w:cs="Arial"/>
          <w:color w:val="000000" w:themeColor="text1"/>
        </w:rPr>
      </w:pPr>
      <w:r w:rsidRPr="00CC200E">
        <w:rPr>
          <w:rFonts w:ascii="Arial" w:eastAsia="Calibri" w:hAnsi="Arial" w:cs="Arial"/>
          <w:color w:val="000000" w:themeColor="text1"/>
        </w:rPr>
        <w:t xml:space="preserve">Adicionalmente, el Manual explica que la experiencia puede obtenerse directamente o por participar asociado con otra persona, como es el caso de los proponentes plurales, en cuyo evento la experiencia no deja de ser personal, sino que es proporcional a la participación como miembro de un consorcio o unión temporal, donde por tratarse de esquemas asociativos la experiencia es compartida. </w:t>
      </w:r>
    </w:p>
    <w:p w14:paraId="159BB09B" w14:textId="77777777" w:rsidR="00D14339" w:rsidRPr="00CC200E" w:rsidRDefault="00D14339" w:rsidP="00845C54">
      <w:pPr>
        <w:spacing w:line="276" w:lineRule="auto"/>
        <w:ind w:firstLine="708"/>
        <w:jc w:val="both"/>
        <w:rPr>
          <w:rFonts w:ascii="Arial" w:eastAsia="Calibri" w:hAnsi="Arial" w:cs="Arial"/>
          <w:color w:val="000000" w:themeColor="text1"/>
        </w:rPr>
      </w:pPr>
      <w:r w:rsidRPr="00CC200E">
        <w:rPr>
          <w:rFonts w:ascii="Arial" w:eastAsia="Calibri" w:hAnsi="Arial" w:cs="Arial"/>
          <w:color w:val="000000" w:themeColor="text1"/>
        </w:rPr>
        <w:lastRenderedPageBreak/>
        <w:t xml:space="preserve">Por otra parte, la Agencia recomienda que la experiencia que se solicite sea proporcional y no igual al objeto que se va a contratar, ya que esto puede limitar la participación de los proveedores por no haber ejecutado un objeto igual pero sí similar, lo que ayuda a que exista pluralidad de oferentes. </w:t>
      </w:r>
    </w:p>
    <w:p w14:paraId="10D2E67B" w14:textId="77777777" w:rsidR="00D14339" w:rsidRPr="00CC200E" w:rsidRDefault="00D14339" w:rsidP="00845C54">
      <w:pPr>
        <w:spacing w:line="276" w:lineRule="auto"/>
        <w:ind w:firstLine="708"/>
        <w:jc w:val="both"/>
        <w:rPr>
          <w:rFonts w:ascii="Arial" w:eastAsia="Calibri" w:hAnsi="Arial" w:cs="Arial"/>
          <w:color w:val="000000" w:themeColor="text1"/>
        </w:rPr>
      </w:pPr>
      <w:r w:rsidRPr="00CC200E">
        <w:rPr>
          <w:rFonts w:ascii="Arial" w:eastAsia="Calibri" w:hAnsi="Arial" w:cs="Arial"/>
          <w:color w:val="000000" w:themeColor="text1"/>
        </w:rPr>
        <w:t xml:space="preserve">Finalmente, pueden extraerse cuatro (4) conclusiones relevantes para evaluar las figuras y reformas estatutarias de las sociedades comerciales, respecto de la experiencia: </w:t>
      </w:r>
    </w:p>
    <w:p w14:paraId="05E0AAB2" w14:textId="77777777" w:rsidR="00D14339" w:rsidRPr="00CC200E" w:rsidRDefault="00D14339" w:rsidP="00845C54">
      <w:pPr>
        <w:spacing w:line="276" w:lineRule="auto"/>
        <w:ind w:firstLine="708"/>
        <w:jc w:val="both"/>
        <w:rPr>
          <w:rFonts w:ascii="Arial" w:eastAsia="Calibri" w:hAnsi="Arial" w:cs="Arial"/>
          <w:color w:val="000000" w:themeColor="text1"/>
        </w:rPr>
      </w:pPr>
      <w:r w:rsidRPr="00CC200E">
        <w:rPr>
          <w:rFonts w:ascii="Arial" w:eastAsia="Calibri" w:hAnsi="Arial" w:cs="Arial"/>
          <w:color w:val="000000" w:themeColor="text1"/>
        </w:rPr>
        <w:t xml:space="preserve">i) La experiencia es personal, esto es, se adquiere participando, directa o indirectamente, sin que sea posible no hacerlo y tener experiencia. </w:t>
      </w:r>
    </w:p>
    <w:p w14:paraId="17011003" w14:textId="77777777" w:rsidR="00D14339" w:rsidRPr="00CC200E" w:rsidRDefault="00D14339" w:rsidP="00845C54">
      <w:pPr>
        <w:spacing w:line="276" w:lineRule="auto"/>
        <w:ind w:firstLine="708"/>
        <w:jc w:val="both"/>
        <w:rPr>
          <w:rFonts w:ascii="Arial" w:eastAsia="Calibri" w:hAnsi="Arial" w:cs="Arial"/>
          <w:color w:val="000000" w:themeColor="text1"/>
        </w:rPr>
      </w:pPr>
      <w:r w:rsidRPr="00CC200E">
        <w:rPr>
          <w:rFonts w:ascii="Arial" w:eastAsia="Calibri" w:hAnsi="Arial" w:cs="Arial"/>
          <w:color w:val="000000" w:themeColor="text1"/>
        </w:rPr>
        <w:t>ii) La experiencia se puede compartir, sin que implique que la compartida a una persona se entienda suya, ya que dentro del procedimiento contractual se reflejará que esa persona tiene la experiencia de otra, como es el caso de las figuras asociativas ̶consorcios y uniones temporales ̶ que se verificará en el documento privado de constitución</w:t>
      </w:r>
      <w:r w:rsidRPr="00CC200E">
        <w:rPr>
          <w:rStyle w:val="Refdenotaalpie"/>
          <w:rFonts w:ascii="Arial" w:eastAsia="Calibri" w:hAnsi="Arial" w:cs="Arial"/>
          <w:color w:val="000000" w:themeColor="text1"/>
        </w:rPr>
        <w:footnoteReference w:id="11"/>
      </w:r>
      <w:r w:rsidRPr="00CC200E">
        <w:rPr>
          <w:rFonts w:ascii="Arial" w:eastAsia="Calibri" w:hAnsi="Arial" w:cs="Arial"/>
          <w:color w:val="000000" w:themeColor="text1"/>
        </w:rPr>
        <w:t>.</w:t>
      </w:r>
    </w:p>
    <w:p w14:paraId="1ECFF00D" w14:textId="77777777" w:rsidR="00D14339" w:rsidRPr="00CC200E" w:rsidRDefault="00D14339" w:rsidP="00845C54">
      <w:pPr>
        <w:spacing w:line="276" w:lineRule="auto"/>
        <w:ind w:firstLine="708"/>
        <w:jc w:val="both"/>
        <w:rPr>
          <w:rFonts w:ascii="Arial" w:eastAsia="Calibri" w:hAnsi="Arial" w:cs="Arial"/>
          <w:color w:val="000000" w:themeColor="text1"/>
        </w:rPr>
      </w:pPr>
      <w:r w:rsidRPr="00CC200E">
        <w:rPr>
          <w:rFonts w:ascii="Arial" w:eastAsia="Calibri" w:hAnsi="Arial" w:cs="Arial"/>
          <w:color w:val="000000" w:themeColor="text1"/>
        </w:rPr>
        <w:t>iii) La experiencia se puede transferir, y esto es diferente a compartir, lo que implica que la experiencia de una persona se traslada a otra, y esta última acredita la experiencia como propia, como sucede con la figura que se explicará con más detalle en el numeral 2.3 de este concepto.</w:t>
      </w:r>
    </w:p>
    <w:p w14:paraId="2A38D59A" w14:textId="77777777" w:rsidR="00D14339" w:rsidRPr="00CC200E" w:rsidRDefault="00D14339" w:rsidP="00845C54">
      <w:pPr>
        <w:spacing w:line="276" w:lineRule="auto"/>
        <w:ind w:firstLine="708"/>
        <w:jc w:val="both"/>
        <w:rPr>
          <w:rFonts w:ascii="Arial" w:eastAsia="Calibri" w:hAnsi="Arial" w:cs="Arial"/>
          <w:color w:val="000000" w:themeColor="text1"/>
        </w:rPr>
      </w:pPr>
      <w:r w:rsidRPr="00CC200E">
        <w:rPr>
          <w:rFonts w:ascii="Arial" w:eastAsia="Calibri" w:hAnsi="Arial" w:cs="Arial"/>
          <w:color w:val="000000" w:themeColor="text1"/>
        </w:rPr>
        <w:t>iv) Cuando la persona que adquirió la experiencia desaparece o se liquida no es posible que comparta o transfiera su experiencia, porque al ser personal sigue la suerte de quien la adquirió.</w:t>
      </w:r>
    </w:p>
    <w:p w14:paraId="6167353B" w14:textId="7F407EC8" w:rsidR="00D14339" w:rsidRPr="00CC200E" w:rsidRDefault="00D14339" w:rsidP="00845C54">
      <w:pPr>
        <w:spacing w:line="276" w:lineRule="auto"/>
        <w:ind w:firstLine="708"/>
        <w:jc w:val="both"/>
        <w:rPr>
          <w:rFonts w:ascii="Arial" w:eastAsia="Calibri" w:hAnsi="Arial" w:cs="Arial"/>
          <w:color w:val="000000" w:themeColor="text1"/>
        </w:rPr>
      </w:pPr>
      <w:r w:rsidRPr="00CC200E">
        <w:rPr>
          <w:rFonts w:ascii="Arial" w:eastAsia="Calibri" w:hAnsi="Arial" w:cs="Arial"/>
          <w:color w:val="000000" w:themeColor="text1"/>
        </w:rPr>
        <w:t>Ahora bien, respecto a la forma como se acredita la experiencia, debe destacarse que, el RUP fue creado por el artículo 6 de la Ley 1150 de 2007</w:t>
      </w:r>
      <w:r w:rsidRPr="00CC200E">
        <w:rPr>
          <w:rStyle w:val="Refdenotaalpie"/>
          <w:rFonts w:ascii="Arial" w:eastAsia="Calibri" w:hAnsi="Arial" w:cs="Arial"/>
          <w:color w:val="000000" w:themeColor="text1"/>
        </w:rPr>
        <w:footnoteReference w:id="12"/>
      </w:r>
      <w:r w:rsidRPr="00CC200E">
        <w:rPr>
          <w:rFonts w:ascii="Arial" w:eastAsia="Calibri" w:hAnsi="Arial" w:cs="Arial"/>
          <w:color w:val="000000" w:themeColor="text1"/>
        </w:rPr>
        <w:t xml:space="preserve"> y constituye el medio idóneo para verificar las condiciones de los proponentes en procesos de contratación pública. Este registro, conforme a lo señalado por la Corte Constitucional, es administrado por las Cámaras de Comercio y la actividad relacionada en el mismo está </w:t>
      </w:r>
      <w:r w:rsidR="0088203C" w:rsidRPr="00CC200E">
        <w:rPr>
          <w:rFonts w:ascii="Arial" w:eastAsia="Calibri" w:hAnsi="Arial" w:cs="Arial"/>
          <w:color w:val="000000" w:themeColor="text1"/>
        </w:rPr>
        <w:t>“</w:t>
      </w:r>
      <w:r w:rsidRPr="00CC200E">
        <w:rPr>
          <w:rFonts w:ascii="Arial" w:eastAsia="Calibri" w:hAnsi="Arial" w:cs="Arial"/>
          <w:color w:val="000000" w:themeColor="text1"/>
        </w:rPr>
        <w:t>sometid[a] a los principios de la función administrativa y de contratación estatal</w:t>
      </w:r>
      <w:r w:rsidR="0088203C" w:rsidRPr="00CC200E">
        <w:rPr>
          <w:rFonts w:ascii="Arial" w:eastAsia="Calibri" w:hAnsi="Arial" w:cs="Arial"/>
          <w:color w:val="000000" w:themeColor="text1"/>
        </w:rPr>
        <w:t>”</w:t>
      </w:r>
      <w:r w:rsidRPr="00CC200E">
        <w:rPr>
          <w:rStyle w:val="Refdenotaalpie"/>
          <w:rFonts w:ascii="Arial" w:eastAsia="Calibri" w:hAnsi="Arial" w:cs="Arial"/>
          <w:color w:val="000000" w:themeColor="text1"/>
        </w:rPr>
        <w:footnoteReference w:id="13"/>
      </w:r>
      <w:r w:rsidRPr="00CC200E">
        <w:rPr>
          <w:rFonts w:ascii="Arial" w:eastAsia="Calibri" w:hAnsi="Arial" w:cs="Arial"/>
          <w:color w:val="000000" w:themeColor="text1"/>
        </w:rPr>
        <w:t>.</w:t>
      </w:r>
    </w:p>
    <w:p w14:paraId="4F7212CA" w14:textId="22BFADA2" w:rsidR="00D14339" w:rsidRPr="00CC200E" w:rsidRDefault="00D14339" w:rsidP="00845C54">
      <w:pPr>
        <w:spacing w:line="276" w:lineRule="auto"/>
        <w:ind w:firstLine="708"/>
        <w:jc w:val="both"/>
        <w:rPr>
          <w:rFonts w:ascii="Arial" w:eastAsia="Calibri" w:hAnsi="Arial" w:cs="Arial"/>
          <w:color w:val="000000" w:themeColor="text1"/>
        </w:rPr>
      </w:pPr>
      <w:r w:rsidRPr="00CC200E">
        <w:rPr>
          <w:rFonts w:ascii="Arial" w:eastAsia="Calibri" w:hAnsi="Arial" w:cs="Arial"/>
          <w:color w:val="000000" w:themeColor="text1"/>
        </w:rPr>
        <w:t xml:space="preserve">El artículo 6 de la Ley 1150 de 2007 señala que el RUP </w:t>
      </w:r>
      <w:r w:rsidR="00D52730" w:rsidRPr="00CC200E">
        <w:rPr>
          <w:rFonts w:ascii="Arial" w:eastAsia="Calibri" w:hAnsi="Arial" w:cs="Arial"/>
          <w:color w:val="000000" w:themeColor="text1"/>
        </w:rPr>
        <w:t>“</w:t>
      </w:r>
      <w:r w:rsidRPr="00CC200E">
        <w:rPr>
          <w:rFonts w:ascii="Arial" w:eastAsia="Calibri" w:hAnsi="Arial" w:cs="Arial"/>
          <w:color w:val="000000" w:themeColor="text1"/>
        </w:rPr>
        <w:t>es plena prueba de las circunstancias que en ella se hagan constar y que hayan sido verificadas por las Cámaras de Comercio</w:t>
      </w:r>
      <w:r w:rsidR="00D52730" w:rsidRPr="00CC200E">
        <w:rPr>
          <w:rFonts w:ascii="Arial" w:eastAsia="Calibri" w:hAnsi="Arial" w:cs="Arial"/>
          <w:color w:val="000000" w:themeColor="text1"/>
        </w:rPr>
        <w:t>”</w:t>
      </w:r>
      <w:r w:rsidRPr="00CC200E">
        <w:rPr>
          <w:rFonts w:ascii="Arial" w:eastAsia="Calibri" w:hAnsi="Arial" w:cs="Arial"/>
          <w:color w:val="000000" w:themeColor="text1"/>
        </w:rPr>
        <w:t xml:space="preserve">, es decir, estableció una regla probatoria en lo que se refiere a las condiciones </w:t>
      </w:r>
      <w:r w:rsidRPr="00CC200E">
        <w:rPr>
          <w:rFonts w:ascii="Arial" w:eastAsia="Calibri" w:hAnsi="Arial" w:cs="Arial"/>
          <w:color w:val="000000" w:themeColor="text1"/>
        </w:rPr>
        <w:lastRenderedPageBreak/>
        <w:t xml:space="preserve">de los proponentes contenidas en el registro y asignó la competencia a las cámaras para verificarlas. </w:t>
      </w:r>
    </w:p>
    <w:p w14:paraId="6647C0F9" w14:textId="77777777" w:rsidR="00D14339" w:rsidRPr="00CC200E" w:rsidRDefault="00D14339" w:rsidP="00845C54">
      <w:pPr>
        <w:spacing w:line="276" w:lineRule="auto"/>
        <w:ind w:firstLine="708"/>
        <w:jc w:val="both"/>
        <w:rPr>
          <w:rFonts w:ascii="Arial" w:eastAsia="Calibri" w:hAnsi="Arial" w:cs="Arial"/>
          <w:color w:val="000000" w:themeColor="text1"/>
        </w:rPr>
      </w:pPr>
      <w:r w:rsidRPr="00CC200E">
        <w:rPr>
          <w:rFonts w:ascii="Arial" w:eastAsia="Calibri" w:hAnsi="Arial" w:cs="Arial"/>
          <w:color w:val="000000" w:themeColor="text1"/>
        </w:rPr>
        <w:t xml:space="preserve">La norma impuso la obligación a todos los proponentes de inscribirse en el RUP, salvo en los casos de contratación directa, contratos para la prestación de servicios de salud, contratos de mínima cuantía, enajenación de bienes del Estado y los contratos que tengan por objeto la adquisición de productos de origen o destinación agropecuaria que se ofrezcan en bolsas de productos legalmente constituidas. De igual forma, están exceptuados los actos y contratos que tengan por objeto directo las actividades comerciales e industriales propias de las empresas industriales y comerciales del Estado y las sociedades de economía mixta y los contratos de concesión de cualquier índole. </w:t>
      </w:r>
    </w:p>
    <w:p w14:paraId="69C2F861" w14:textId="2BFCFE2C" w:rsidR="00D14339" w:rsidRPr="00CC200E" w:rsidRDefault="00D14339" w:rsidP="00845C54">
      <w:pPr>
        <w:spacing w:line="276" w:lineRule="auto"/>
        <w:ind w:firstLine="708"/>
        <w:jc w:val="both"/>
        <w:rPr>
          <w:rFonts w:ascii="Arial" w:eastAsia="Calibri" w:hAnsi="Arial" w:cs="Arial"/>
          <w:color w:val="000000" w:themeColor="text1"/>
        </w:rPr>
      </w:pPr>
      <w:r w:rsidRPr="00CC200E">
        <w:rPr>
          <w:rFonts w:ascii="Arial" w:eastAsia="Calibri" w:hAnsi="Arial" w:cs="Arial"/>
          <w:color w:val="000000" w:themeColor="text1"/>
        </w:rPr>
        <w:t xml:space="preserve">Asimismo, correlativo a este deber de los proponentes, la norma impuso a las cámaras de comercio la obligación de verificar los requisitos habilitantes de quienes se registren. El inciso 2 del numeral 6.1. de la Ley 1150 de 2007 le otorga carácter de plena prueba a la información contenida en el registro que haya sido verificada por las cámaras de comercio y, además, dispuso que la verificación de las condiciones de que trata el numeral 1 del artículo 5 ibidem se demostrará </w:t>
      </w:r>
      <w:r w:rsidR="00246528" w:rsidRPr="00CC200E">
        <w:rPr>
          <w:rFonts w:ascii="Arial" w:eastAsia="Calibri" w:hAnsi="Arial" w:cs="Arial"/>
          <w:color w:val="000000" w:themeColor="text1"/>
        </w:rPr>
        <w:t>“</w:t>
      </w:r>
      <w:r w:rsidRPr="00CC200E">
        <w:rPr>
          <w:rFonts w:ascii="Arial" w:eastAsia="Calibri" w:hAnsi="Arial" w:cs="Arial"/>
          <w:color w:val="000000" w:themeColor="text1"/>
        </w:rPr>
        <w:t>exclusivamente con el respectivo certificado del RUP en donde deberán constar dichas condiciones</w:t>
      </w:r>
      <w:r w:rsidR="00246528" w:rsidRPr="00CC200E">
        <w:rPr>
          <w:rFonts w:ascii="Arial" w:eastAsia="Calibri" w:hAnsi="Arial" w:cs="Arial"/>
          <w:color w:val="000000" w:themeColor="text1"/>
        </w:rPr>
        <w:t>”</w:t>
      </w:r>
      <w:r w:rsidRPr="00CC200E">
        <w:rPr>
          <w:rFonts w:ascii="Arial" w:eastAsia="Calibri" w:hAnsi="Arial" w:cs="Arial"/>
          <w:color w:val="000000" w:themeColor="text1"/>
        </w:rPr>
        <w:t xml:space="preserve">. </w:t>
      </w:r>
    </w:p>
    <w:p w14:paraId="77BF9EF7" w14:textId="2B19286B" w:rsidR="00D14339" w:rsidRPr="00CC200E" w:rsidRDefault="00D14339" w:rsidP="00845C54">
      <w:pPr>
        <w:spacing w:line="276" w:lineRule="auto"/>
        <w:ind w:firstLine="708"/>
        <w:jc w:val="both"/>
        <w:rPr>
          <w:rFonts w:ascii="Arial" w:eastAsia="Calibri" w:hAnsi="Arial" w:cs="Arial"/>
          <w:color w:val="000000" w:themeColor="text1"/>
        </w:rPr>
      </w:pPr>
      <w:r w:rsidRPr="00CC200E">
        <w:rPr>
          <w:rFonts w:ascii="Arial" w:eastAsia="Calibri" w:hAnsi="Arial" w:cs="Arial"/>
          <w:color w:val="000000" w:themeColor="text1"/>
        </w:rPr>
        <w:t xml:space="preserve">En consecuencia, la norma dispone que a las </w:t>
      </w:r>
      <w:r w:rsidR="00246528" w:rsidRPr="00CC200E">
        <w:rPr>
          <w:rFonts w:ascii="Arial" w:eastAsia="Calibri" w:hAnsi="Arial" w:cs="Arial"/>
          <w:color w:val="000000" w:themeColor="text1"/>
        </w:rPr>
        <w:t>E</w:t>
      </w:r>
      <w:r w:rsidRPr="00CC200E">
        <w:rPr>
          <w:rFonts w:ascii="Arial" w:eastAsia="Calibri" w:hAnsi="Arial" w:cs="Arial"/>
          <w:color w:val="000000" w:themeColor="text1"/>
        </w:rPr>
        <w:t xml:space="preserve">ntidades les está prohibido exigir otros documentos para efectuar la inscripción en el registro, salvo lo dispuesto en el inciso 3 del numeral 6.1.del artículo 6 de la Ley 1150 de 2007, en el que se prevé que la </w:t>
      </w:r>
      <w:r w:rsidR="00B821DD" w:rsidRPr="00CC200E">
        <w:rPr>
          <w:rFonts w:ascii="Arial" w:eastAsia="Calibri" w:hAnsi="Arial" w:cs="Arial"/>
          <w:color w:val="000000" w:themeColor="text1"/>
        </w:rPr>
        <w:t>E</w:t>
      </w:r>
      <w:r w:rsidRPr="00CC200E">
        <w:rPr>
          <w:rFonts w:ascii="Arial" w:eastAsia="Calibri" w:hAnsi="Arial" w:cs="Arial"/>
          <w:color w:val="000000" w:themeColor="text1"/>
        </w:rPr>
        <w:t xml:space="preserve">ntidad podrá verificar requisitos adicionales a los contenidos en el registro cuando se requiera en virtud de la naturaleza del objeto a contratar. La norma señala que solo en este último evento la </w:t>
      </w:r>
      <w:r w:rsidR="00B821DD" w:rsidRPr="00CC200E">
        <w:rPr>
          <w:rFonts w:ascii="Arial" w:eastAsia="Calibri" w:hAnsi="Arial" w:cs="Arial"/>
          <w:color w:val="000000" w:themeColor="text1"/>
        </w:rPr>
        <w:t>E</w:t>
      </w:r>
      <w:r w:rsidRPr="00CC200E">
        <w:rPr>
          <w:rFonts w:ascii="Arial" w:eastAsia="Calibri" w:hAnsi="Arial" w:cs="Arial"/>
          <w:color w:val="000000" w:themeColor="text1"/>
        </w:rPr>
        <w:t xml:space="preserve">ntidad podrá hacer la verificación en forma directa, es decir, cuando por el objeto del contrato se requieran verificar requisitos adicionales a los contenidos en el registro. </w:t>
      </w:r>
    </w:p>
    <w:p w14:paraId="0D4261FE" w14:textId="31622C46" w:rsidR="00D14339" w:rsidRPr="00CC200E" w:rsidRDefault="00D14339" w:rsidP="00845C54">
      <w:pPr>
        <w:spacing w:line="276" w:lineRule="auto"/>
        <w:ind w:firstLine="708"/>
        <w:jc w:val="both"/>
        <w:rPr>
          <w:rFonts w:ascii="Arial" w:eastAsia="Calibri" w:hAnsi="Arial" w:cs="Arial"/>
          <w:color w:val="000000" w:themeColor="text1"/>
        </w:rPr>
      </w:pPr>
      <w:r w:rsidRPr="00CC200E">
        <w:rPr>
          <w:rFonts w:ascii="Arial" w:eastAsia="Calibri" w:hAnsi="Arial" w:cs="Arial"/>
          <w:color w:val="000000" w:themeColor="text1"/>
        </w:rPr>
        <w:t xml:space="preserve">De lo anterior se concluye que la regla general es que la experiencia se acredite a través del RUP y, en consecuencia, la evaluación de la experiencia, como requisito habilitante, no puede ser evaluada nuevamente por la </w:t>
      </w:r>
      <w:r w:rsidR="009B3021" w:rsidRPr="00CC200E">
        <w:rPr>
          <w:rFonts w:ascii="Arial" w:eastAsia="Calibri" w:hAnsi="Arial" w:cs="Arial"/>
          <w:color w:val="000000" w:themeColor="text1"/>
        </w:rPr>
        <w:t>E</w:t>
      </w:r>
      <w:r w:rsidRPr="00CC200E">
        <w:rPr>
          <w:rFonts w:ascii="Arial" w:eastAsia="Calibri" w:hAnsi="Arial" w:cs="Arial"/>
          <w:color w:val="000000" w:themeColor="text1"/>
        </w:rPr>
        <w:t>ntidad pública a partir de otros criterios distintos a los contenidos en el RUP.</w:t>
      </w:r>
    </w:p>
    <w:p w14:paraId="46B61548" w14:textId="77777777" w:rsidR="00D14339" w:rsidRPr="00CC200E" w:rsidRDefault="00D14339" w:rsidP="00845C54">
      <w:pPr>
        <w:spacing w:after="0" w:line="276" w:lineRule="auto"/>
        <w:jc w:val="both"/>
        <w:rPr>
          <w:rFonts w:ascii="Arial" w:eastAsia="Calibri" w:hAnsi="Arial" w:cs="Arial"/>
          <w:b/>
          <w:color w:val="000000" w:themeColor="text1"/>
        </w:rPr>
      </w:pPr>
      <w:r w:rsidRPr="00CC200E">
        <w:rPr>
          <w:rFonts w:ascii="Arial" w:eastAsia="Calibri" w:hAnsi="Arial" w:cs="Arial"/>
          <w:b/>
          <w:color w:val="000000" w:themeColor="text1"/>
        </w:rPr>
        <w:t>2.3. Acreditación de la experiencia de socios, accionistas o constituyentes por parte de sociedades con menos de tres (3) años de constitución</w:t>
      </w:r>
    </w:p>
    <w:p w14:paraId="525B33FC" w14:textId="77777777" w:rsidR="00D14339" w:rsidRPr="00CC200E" w:rsidRDefault="00D14339" w:rsidP="00845C54">
      <w:pPr>
        <w:spacing w:after="0" w:line="276" w:lineRule="auto"/>
        <w:jc w:val="both"/>
        <w:rPr>
          <w:rFonts w:ascii="Arial" w:eastAsia="Calibri" w:hAnsi="Arial" w:cs="Arial"/>
          <w:b/>
          <w:color w:val="000000" w:themeColor="text1"/>
        </w:rPr>
      </w:pPr>
    </w:p>
    <w:p w14:paraId="0FE639AB" w14:textId="44FB0086" w:rsidR="00D14339" w:rsidRPr="00CC200E" w:rsidRDefault="00D14339" w:rsidP="00845C54">
      <w:pPr>
        <w:spacing w:line="276" w:lineRule="auto"/>
        <w:jc w:val="both"/>
        <w:rPr>
          <w:rFonts w:ascii="Arial" w:eastAsia="Calibri" w:hAnsi="Arial" w:cs="Arial"/>
          <w:color w:val="000000" w:themeColor="text1"/>
        </w:rPr>
      </w:pPr>
      <w:r w:rsidRPr="00CC200E">
        <w:rPr>
          <w:rFonts w:ascii="Arial" w:eastAsia="Calibri" w:hAnsi="Arial" w:cs="Arial"/>
          <w:color w:val="000000" w:themeColor="text1"/>
        </w:rPr>
        <w:t xml:space="preserve">El artículo 5 de la Ley 1150 de 2007 dispone que la capacidad jurídica y las condiciones de experiencia, capacidad financiera y de organización de los proponentes serán objeto de verificación por parte de las </w:t>
      </w:r>
      <w:r w:rsidR="00B70D7B" w:rsidRPr="00CC200E">
        <w:rPr>
          <w:rFonts w:ascii="Arial" w:eastAsia="Calibri" w:hAnsi="Arial" w:cs="Arial"/>
          <w:color w:val="000000" w:themeColor="text1"/>
        </w:rPr>
        <w:t>E</w:t>
      </w:r>
      <w:r w:rsidRPr="00CC200E">
        <w:rPr>
          <w:rFonts w:ascii="Arial" w:eastAsia="Calibri" w:hAnsi="Arial" w:cs="Arial"/>
          <w:color w:val="000000" w:themeColor="text1"/>
        </w:rPr>
        <w:t>ntidades como requisitos habilitantes para participar en los procesos de selección y no otorgarán puntaje. Lo anterior con excepción de la selección de consultores mediante un concurso de méritos, donde es posible otorgar puntaje al criterio de experiencia.</w:t>
      </w:r>
    </w:p>
    <w:p w14:paraId="0E3F16E9" w14:textId="746928EC" w:rsidR="00D14339" w:rsidRPr="00CC200E" w:rsidRDefault="00D14339" w:rsidP="00845C54">
      <w:pPr>
        <w:spacing w:line="276" w:lineRule="auto"/>
        <w:ind w:firstLine="708"/>
        <w:jc w:val="both"/>
        <w:rPr>
          <w:rFonts w:ascii="Arial" w:eastAsia="Calibri" w:hAnsi="Arial" w:cs="Arial"/>
          <w:color w:val="000000" w:themeColor="text1"/>
        </w:rPr>
      </w:pPr>
      <w:r w:rsidRPr="00CC200E">
        <w:rPr>
          <w:rFonts w:ascii="Arial" w:eastAsia="Calibri" w:hAnsi="Arial" w:cs="Arial"/>
          <w:color w:val="000000" w:themeColor="text1"/>
        </w:rPr>
        <w:lastRenderedPageBreak/>
        <w:t xml:space="preserve">Por su parte, conforme lo expuesto en el numeral anterior de este concepto, el artículo 6 de la Ley 1150 de 2007 señala que todas las personas naturales o jurídicas, nacionales o extranjeras, domiciliadas o con sucursal en Colombia, que aspiren celebrar contratos con las </w:t>
      </w:r>
      <w:r w:rsidR="00C5205E" w:rsidRPr="00CC200E">
        <w:rPr>
          <w:rFonts w:ascii="Arial" w:eastAsia="Calibri" w:hAnsi="Arial" w:cs="Arial"/>
          <w:color w:val="000000" w:themeColor="text1"/>
        </w:rPr>
        <w:t>E</w:t>
      </w:r>
      <w:r w:rsidRPr="00CC200E">
        <w:rPr>
          <w:rFonts w:ascii="Arial" w:eastAsia="Calibri" w:hAnsi="Arial" w:cs="Arial"/>
          <w:color w:val="000000" w:themeColor="text1"/>
        </w:rPr>
        <w:t xml:space="preserve">ntidades deberán estar inscritas en el RUP. En dicho registro constará la información relacionada con la experiencia, capacidad jurídica, financiera y de organización del proponente y su clasificación. Frente al requisito habilitante de experiencia, en el </w:t>
      </w:r>
      <w:r w:rsidR="001A2A33" w:rsidRPr="00CC200E">
        <w:rPr>
          <w:rFonts w:ascii="Arial" w:eastAsia="Calibri" w:hAnsi="Arial" w:cs="Arial"/>
          <w:color w:val="000000" w:themeColor="text1"/>
        </w:rPr>
        <w:t>“</w:t>
      </w:r>
      <w:r w:rsidRPr="00CC200E">
        <w:rPr>
          <w:rFonts w:ascii="Arial" w:eastAsia="Calibri" w:hAnsi="Arial" w:cs="Arial"/>
          <w:color w:val="000000" w:themeColor="text1"/>
        </w:rPr>
        <w:t>Manual para determinar y verificar requisitos habilitantes en los procesos de contratación</w:t>
      </w:r>
      <w:r w:rsidR="001A2A33" w:rsidRPr="00CC200E">
        <w:rPr>
          <w:rFonts w:ascii="Arial" w:eastAsia="Calibri" w:hAnsi="Arial" w:cs="Arial"/>
          <w:color w:val="000000" w:themeColor="text1"/>
        </w:rPr>
        <w:t>”</w:t>
      </w:r>
      <w:r w:rsidRPr="00CC200E">
        <w:rPr>
          <w:rFonts w:ascii="Arial" w:eastAsia="Calibri" w:hAnsi="Arial" w:cs="Arial"/>
          <w:color w:val="000000" w:themeColor="text1"/>
        </w:rPr>
        <w:t xml:space="preserve"> se define la experiencia como </w:t>
      </w:r>
      <w:r w:rsidR="00380CB2" w:rsidRPr="00CC200E">
        <w:rPr>
          <w:rFonts w:ascii="Arial" w:eastAsia="Calibri" w:hAnsi="Arial" w:cs="Arial"/>
          <w:color w:val="000000" w:themeColor="text1"/>
        </w:rPr>
        <w:t>“</w:t>
      </w:r>
      <w:r w:rsidRPr="00CC200E">
        <w:rPr>
          <w:rFonts w:ascii="Arial" w:eastAsia="Calibri" w:hAnsi="Arial" w:cs="Arial"/>
          <w:color w:val="000000" w:themeColor="text1"/>
        </w:rPr>
        <w:t>el conocimiento del proponente derivado de su participación previa en actividades iguales o similares a las previstas en el objeto del contrato</w:t>
      </w:r>
      <w:r w:rsidR="00380CB2" w:rsidRPr="00CC200E">
        <w:rPr>
          <w:rFonts w:ascii="Arial" w:eastAsia="Calibri" w:hAnsi="Arial" w:cs="Arial"/>
          <w:color w:val="000000" w:themeColor="text1"/>
        </w:rPr>
        <w:t>”</w:t>
      </w:r>
      <w:r w:rsidRPr="00CC200E">
        <w:rPr>
          <w:rFonts w:ascii="Arial" w:eastAsia="Calibri" w:hAnsi="Arial" w:cs="Arial"/>
          <w:color w:val="000000" w:themeColor="text1"/>
        </w:rPr>
        <w:t xml:space="preserve">. </w:t>
      </w:r>
    </w:p>
    <w:p w14:paraId="255EAE8E" w14:textId="77777777" w:rsidR="00D14339" w:rsidRPr="00CC200E" w:rsidRDefault="00D14339" w:rsidP="00845C54">
      <w:pPr>
        <w:spacing w:line="276" w:lineRule="auto"/>
        <w:ind w:firstLine="708"/>
        <w:jc w:val="both"/>
        <w:rPr>
          <w:rFonts w:ascii="Arial" w:eastAsia="Calibri" w:hAnsi="Arial" w:cs="Arial"/>
          <w:color w:val="000000" w:themeColor="text1"/>
        </w:rPr>
      </w:pPr>
      <w:r w:rsidRPr="00CC200E">
        <w:rPr>
          <w:rFonts w:ascii="Arial" w:eastAsia="Calibri" w:hAnsi="Arial" w:cs="Arial"/>
          <w:color w:val="000000" w:themeColor="text1"/>
        </w:rPr>
        <w:t>El numeral 2.1 del artículo 2.2.1.1.1.5.2 del Decreto 1082 de 2015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Pr="00CC200E">
        <w:rPr>
          <w:rStyle w:val="Refdenotaalpie"/>
          <w:rFonts w:ascii="Arial" w:eastAsia="Calibri" w:hAnsi="Arial" w:cs="Arial"/>
          <w:color w:val="000000" w:themeColor="text1"/>
        </w:rPr>
        <w:footnoteReference w:id="14"/>
      </w:r>
      <w:r w:rsidRPr="00CC200E">
        <w:rPr>
          <w:rFonts w:ascii="Arial" w:eastAsia="Calibri" w:hAnsi="Arial" w:cs="Arial"/>
          <w:color w:val="000000" w:themeColor="text1"/>
        </w:rPr>
        <w:t>.</w:t>
      </w:r>
    </w:p>
    <w:p w14:paraId="3C5B431F" w14:textId="26886DEC" w:rsidR="00D14339" w:rsidRPr="00CC200E" w:rsidRDefault="00D14339" w:rsidP="00845C54">
      <w:pPr>
        <w:spacing w:line="276" w:lineRule="auto"/>
        <w:ind w:firstLine="708"/>
        <w:jc w:val="both"/>
        <w:rPr>
          <w:rFonts w:ascii="Arial" w:eastAsia="Calibri" w:hAnsi="Arial" w:cs="Arial"/>
          <w:color w:val="000000" w:themeColor="text1"/>
        </w:rPr>
      </w:pPr>
      <w:r w:rsidRPr="00CC200E">
        <w:rPr>
          <w:rFonts w:ascii="Arial" w:eastAsia="Calibri" w:hAnsi="Arial" w:cs="Arial"/>
          <w:color w:val="000000" w:themeColor="text1"/>
        </w:rPr>
        <w:t xml:space="preserve">De la misma forma, el numeral 2.5. ibidem señala que la persona jurídica se registrará aportando los certificados de la experiencia en la provisión de los bienes, obras y servicios que ofrecerá a las </w:t>
      </w:r>
      <w:r w:rsidR="00F75EF0" w:rsidRPr="00CC200E">
        <w:rPr>
          <w:rFonts w:ascii="Arial" w:eastAsia="Calibri" w:hAnsi="Arial" w:cs="Arial"/>
          <w:color w:val="000000" w:themeColor="text1"/>
        </w:rPr>
        <w:t>E</w:t>
      </w:r>
      <w:r w:rsidRPr="00CC200E">
        <w:rPr>
          <w:rFonts w:ascii="Arial" w:eastAsia="Calibri" w:hAnsi="Arial" w:cs="Arial"/>
          <w:color w:val="000000" w:themeColor="text1"/>
        </w:rPr>
        <w:t xml:space="preserve">ntidades </w:t>
      </w:r>
      <w:r w:rsidR="00F75EF0" w:rsidRPr="00CC200E">
        <w:rPr>
          <w:rFonts w:ascii="Arial" w:eastAsia="Calibri" w:hAnsi="Arial" w:cs="Arial"/>
          <w:color w:val="000000" w:themeColor="text1"/>
        </w:rPr>
        <w:t>E</w:t>
      </w:r>
      <w:r w:rsidRPr="00CC200E">
        <w:rPr>
          <w:rFonts w:ascii="Arial" w:eastAsia="Calibri" w:hAnsi="Arial" w:cs="Arial"/>
          <w:color w:val="000000" w:themeColor="text1"/>
        </w:rPr>
        <w:t>statales, los cuales deben ser expedidos por terceros que hayan recibido tales bienes, obras o servicios y deben corresponder a contratos ejecutados o copias de los contratos cuando el interesado no puede obtener tal certificado</w:t>
      </w:r>
      <w:r w:rsidRPr="00CC200E">
        <w:rPr>
          <w:rStyle w:val="Refdenotaalpie"/>
          <w:rFonts w:ascii="Arial" w:eastAsia="Calibri" w:hAnsi="Arial" w:cs="Arial"/>
          <w:color w:val="000000" w:themeColor="text1"/>
        </w:rPr>
        <w:footnoteReference w:id="15"/>
      </w:r>
      <w:r w:rsidRPr="00CC200E">
        <w:rPr>
          <w:rFonts w:ascii="Arial" w:eastAsia="Calibri" w:hAnsi="Arial" w:cs="Arial"/>
          <w:color w:val="000000" w:themeColor="text1"/>
        </w:rPr>
        <w:t>.</w:t>
      </w:r>
    </w:p>
    <w:p w14:paraId="142AC552" w14:textId="63C57206" w:rsidR="00D14339" w:rsidRPr="00CC200E" w:rsidRDefault="00D14339" w:rsidP="00845C54">
      <w:pPr>
        <w:spacing w:line="276" w:lineRule="auto"/>
        <w:ind w:firstLine="708"/>
        <w:jc w:val="both"/>
        <w:rPr>
          <w:rFonts w:ascii="Arial" w:eastAsia="Calibri" w:hAnsi="Arial" w:cs="Arial"/>
          <w:color w:val="000000" w:themeColor="text1"/>
        </w:rPr>
      </w:pPr>
      <w:r w:rsidRPr="00CC200E">
        <w:rPr>
          <w:rFonts w:ascii="Arial" w:eastAsia="Calibri" w:hAnsi="Arial" w:cs="Arial"/>
          <w:color w:val="000000" w:themeColor="text1"/>
        </w:rPr>
        <w:t xml:space="preserve">El interesado debe indicar en cada certificado, o en cada copia de los contratos, los bienes, obras y servicios a los cuales corresponde la experiencia que pretende acreditar, </w:t>
      </w:r>
      <w:r w:rsidRPr="00CC200E">
        <w:rPr>
          <w:rFonts w:ascii="Arial" w:eastAsia="Calibri" w:hAnsi="Arial" w:cs="Arial"/>
          <w:color w:val="000000" w:themeColor="text1"/>
        </w:rPr>
        <w:lastRenderedPageBreak/>
        <w:t xml:space="preserve">identificándolos con el Clasificador de Bienes y Servicios, en el tercer nivel. La parte final de ese numeral 2.5. indica que </w:t>
      </w:r>
      <w:r w:rsidR="00F75EF0" w:rsidRPr="00CC200E">
        <w:rPr>
          <w:rFonts w:ascii="Arial" w:eastAsia="Calibri" w:hAnsi="Arial" w:cs="Arial"/>
          <w:color w:val="000000" w:themeColor="text1"/>
        </w:rPr>
        <w:t>“</w:t>
      </w:r>
      <w:r w:rsidRPr="00CC200E">
        <w:rPr>
          <w:rFonts w:ascii="Arial" w:eastAsia="Calibri" w:hAnsi="Arial" w:cs="Arial"/>
          <w:color w:val="000000" w:themeColor="text1"/>
        </w:rPr>
        <w:t>Si la constitución del interesado es menor a tres (3) años, puede acreditar la experiencia de sus accionistas, socios o constituyentes</w:t>
      </w:r>
      <w:r w:rsidR="00F75EF0" w:rsidRPr="00CC200E">
        <w:rPr>
          <w:rFonts w:ascii="Arial" w:eastAsia="Calibri" w:hAnsi="Arial" w:cs="Arial"/>
          <w:color w:val="000000" w:themeColor="text1"/>
        </w:rPr>
        <w:t>”</w:t>
      </w:r>
      <w:r w:rsidRPr="00CC200E">
        <w:rPr>
          <w:rFonts w:ascii="Arial" w:eastAsia="Calibri" w:hAnsi="Arial" w:cs="Arial"/>
          <w:color w:val="000000" w:themeColor="text1"/>
        </w:rPr>
        <w:t>.</w:t>
      </w:r>
    </w:p>
    <w:p w14:paraId="47E09216" w14:textId="77777777" w:rsidR="00D14339" w:rsidRPr="00CC200E" w:rsidRDefault="00D14339" w:rsidP="00845C54">
      <w:pPr>
        <w:spacing w:line="276" w:lineRule="auto"/>
        <w:ind w:firstLine="708"/>
        <w:jc w:val="both"/>
        <w:rPr>
          <w:rFonts w:ascii="Arial" w:eastAsia="Calibri" w:hAnsi="Arial" w:cs="Arial"/>
          <w:color w:val="000000" w:themeColor="text1"/>
        </w:rPr>
      </w:pPr>
      <w:r w:rsidRPr="00CC200E">
        <w:rPr>
          <w:rFonts w:ascii="Arial" w:eastAsia="Calibri" w:hAnsi="Arial" w:cs="Arial"/>
          <w:color w:val="000000" w:themeColor="text1"/>
        </w:rPr>
        <w:t>De este modo, se evidencia que, la parte final del numeral 2.5 del artículo citado incluye una medida diferenciada para las personas jurídicas cuya constitución sea menor a tres (3) años al momento del registro. Esta prerrogativa, que puede entenderse como una medida de fomento a la participación de pequeños oferentes en la contratación estatal, permite que las sociedades relativamente nuevas ─con menos de tres (3) años de constitución─ puedan acreditar como experiencia en el RUP la de sus accionistas, socios o constituyentes.</w:t>
      </w:r>
    </w:p>
    <w:p w14:paraId="0D5131C8" w14:textId="77777777" w:rsidR="00D14339" w:rsidRPr="00CC200E" w:rsidRDefault="00D14339" w:rsidP="00845C54">
      <w:pPr>
        <w:spacing w:line="276" w:lineRule="auto"/>
        <w:ind w:firstLine="708"/>
        <w:jc w:val="both"/>
        <w:rPr>
          <w:rFonts w:ascii="Arial" w:eastAsia="Calibri" w:hAnsi="Arial" w:cs="Arial"/>
          <w:color w:val="000000" w:themeColor="text1"/>
        </w:rPr>
      </w:pPr>
      <w:r w:rsidRPr="00CC200E">
        <w:rPr>
          <w:rFonts w:ascii="Arial" w:eastAsia="Calibri" w:hAnsi="Arial" w:cs="Arial"/>
          <w:color w:val="000000" w:themeColor="text1"/>
        </w:rPr>
        <w:t>A pesar de que la experiencia es inherente a la persona que la ha obtenido, razón por la cual es, en principio, intransferible en virtud de su carácter personalísimo, por disposición legal o reglamentaria, en casos excepcionales, como el descrito en el artículo mencionado, se aplica de otra manera.</w:t>
      </w:r>
    </w:p>
    <w:p w14:paraId="7EEF8CAF" w14:textId="6FD976B8" w:rsidR="00D14339" w:rsidRPr="00CC200E" w:rsidRDefault="00D14339" w:rsidP="00845C54">
      <w:pPr>
        <w:spacing w:line="276" w:lineRule="auto"/>
        <w:ind w:firstLine="708"/>
        <w:jc w:val="both"/>
        <w:rPr>
          <w:rFonts w:ascii="Arial" w:eastAsia="Calibri" w:hAnsi="Arial" w:cs="Arial"/>
          <w:color w:val="000000" w:themeColor="text1"/>
        </w:rPr>
      </w:pPr>
      <w:r w:rsidRPr="00CC200E">
        <w:rPr>
          <w:rFonts w:ascii="Arial" w:eastAsia="Calibri" w:hAnsi="Arial" w:cs="Arial"/>
          <w:color w:val="000000" w:themeColor="text1"/>
        </w:rPr>
        <w:t xml:space="preserve">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w:t>
      </w:r>
      <w:r w:rsidR="00AD0C18" w:rsidRPr="00CC200E">
        <w:rPr>
          <w:rFonts w:ascii="Arial" w:eastAsia="Calibri" w:hAnsi="Arial" w:cs="Arial"/>
          <w:color w:val="000000" w:themeColor="text1"/>
        </w:rPr>
        <w:t>E</w:t>
      </w:r>
      <w:r w:rsidRPr="00CC200E">
        <w:rPr>
          <w:rFonts w:ascii="Arial" w:eastAsia="Calibri" w:hAnsi="Arial" w:cs="Arial"/>
          <w:color w:val="000000" w:themeColor="text1"/>
        </w:rPr>
        <w:t xml:space="preserve">ntidades </w:t>
      </w:r>
      <w:r w:rsidR="00AD0C18" w:rsidRPr="00CC200E">
        <w:rPr>
          <w:rFonts w:ascii="Arial" w:eastAsia="Calibri" w:hAnsi="Arial" w:cs="Arial"/>
          <w:color w:val="000000" w:themeColor="text1"/>
        </w:rPr>
        <w:t>E</w:t>
      </w:r>
      <w:r w:rsidRPr="00CC200E">
        <w:rPr>
          <w:rFonts w:ascii="Arial" w:eastAsia="Calibri" w:hAnsi="Arial" w:cs="Arial"/>
          <w:color w:val="000000" w:themeColor="text1"/>
        </w:rPr>
        <w:t xml:space="preserve">statales en sus procesos de contratación, y de esta forma promover el desarrollo de la empresa y la pluralidad de oferentes en la contratación pública. </w:t>
      </w:r>
    </w:p>
    <w:p w14:paraId="46F51D45" w14:textId="77777777" w:rsidR="00D14339" w:rsidRPr="00CC200E" w:rsidRDefault="00D14339" w:rsidP="00845C54">
      <w:pPr>
        <w:spacing w:line="276" w:lineRule="auto"/>
        <w:ind w:firstLine="708"/>
        <w:jc w:val="both"/>
        <w:rPr>
          <w:rFonts w:ascii="Arial" w:eastAsia="Calibri" w:hAnsi="Arial" w:cs="Arial"/>
          <w:color w:val="000000" w:themeColor="text1"/>
        </w:rPr>
      </w:pPr>
      <w:r w:rsidRPr="00CC200E">
        <w:rPr>
          <w:rFonts w:ascii="Arial" w:eastAsia="Calibri" w:hAnsi="Arial" w:cs="Arial"/>
          <w:color w:val="000000" w:themeColor="text1"/>
        </w:rPr>
        <w:t xml:space="preserve">Este aspecto ofrece meridiana claridad en cuanto a su aplicación, pero el interrogante que ha generado la norma es el siguiente: ¿qué pasa después de que la sociedad a la que le ha sido permitido certificar la experiencia de sus socios, accionistas o constituyentes cumple tres (3) años de su constitución? ¿puede seguir siendo beneficiaria de la prerrogativa del numeral 2.5 del artículo 2.2.1.1.1.5.2 del Decreto 1082 de 2015? Estos interrogantes han sido planteados a la Subdirección de Gestión Contractual de esta Agencia y se han desarrollado, en torno a dos posiciones, que se plantean a continuación: </w:t>
      </w:r>
    </w:p>
    <w:p w14:paraId="4470B81B" w14:textId="466DB5D0" w:rsidR="00D14339" w:rsidRPr="00CC200E" w:rsidRDefault="00D14339" w:rsidP="00845C54">
      <w:pPr>
        <w:spacing w:line="276" w:lineRule="auto"/>
        <w:ind w:firstLine="708"/>
        <w:jc w:val="both"/>
        <w:rPr>
          <w:rFonts w:ascii="Arial" w:eastAsia="Calibri" w:hAnsi="Arial" w:cs="Arial"/>
          <w:color w:val="000000" w:themeColor="text1"/>
        </w:rPr>
      </w:pPr>
      <w:r w:rsidRPr="00CC200E">
        <w:rPr>
          <w:rFonts w:ascii="Arial" w:eastAsia="Calibri" w:hAnsi="Arial" w:cs="Arial"/>
          <w:color w:val="000000" w:themeColor="text1"/>
        </w:rPr>
        <w:t xml:space="preserve">En el concepto identificado con radicado No. 4201814000001418 del 3 de abril de 2018, donde frente a la misma pregunta esta Subdirección respondió que después de cumplidos los tres (3) años contados desde la constitución de la sociedad, las </w:t>
      </w:r>
      <w:r w:rsidR="00FE57C5" w:rsidRPr="00CC200E">
        <w:rPr>
          <w:rFonts w:ascii="Arial" w:eastAsia="Calibri" w:hAnsi="Arial" w:cs="Arial"/>
          <w:color w:val="000000" w:themeColor="text1"/>
        </w:rPr>
        <w:t>E</w:t>
      </w:r>
      <w:r w:rsidRPr="00CC200E">
        <w:rPr>
          <w:rFonts w:ascii="Arial" w:eastAsia="Calibri" w:hAnsi="Arial" w:cs="Arial"/>
          <w:color w:val="000000" w:themeColor="text1"/>
        </w:rPr>
        <w:t xml:space="preserve">ntidades </w:t>
      </w:r>
      <w:r w:rsidR="00FE57C5" w:rsidRPr="00CC200E">
        <w:rPr>
          <w:rFonts w:ascii="Arial" w:eastAsia="Calibri" w:hAnsi="Arial" w:cs="Arial"/>
          <w:color w:val="000000" w:themeColor="text1"/>
        </w:rPr>
        <w:t>E</w:t>
      </w:r>
      <w:r w:rsidRPr="00CC200E">
        <w:rPr>
          <w:rFonts w:ascii="Arial" w:eastAsia="Calibri" w:hAnsi="Arial" w:cs="Arial"/>
          <w:color w:val="000000" w:themeColor="text1"/>
        </w:rPr>
        <w:t xml:space="preserve">statales no deberían tener como válida la experiencia acreditada por los socios, accionistas o constituyentes. Como fundamento de esta posición, la Subdirección consideró lo siguiente: </w:t>
      </w:r>
    </w:p>
    <w:p w14:paraId="3353CE0F" w14:textId="77777777" w:rsidR="00D14339" w:rsidRPr="00CC200E" w:rsidRDefault="00D14339" w:rsidP="00845C54">
      <w:pPr>
        <w:spacing w:line="276" w:lineRule="auto"/>
        <w:ind w:firstLine="708"/>
        <w:jc w:val="both"/>
        <w:rPr>
          <w:rFonts w:ascii="Arial" w:eastAsia="Calibri" w:hAnsi="Arial" w:cs="Arial"/>
          <w:color w:val="000000" w:themeColor="text1"/>
        </w:rPr>
      </w:pPr>
      <w:r w:rsidRPr="00CC200E">
        <w:rPr>
          <w:rFonts w:ascii="Arial" w:eastAsia="Calibri" w:hAnsi="Arial" w:cs="Arial"/>
          <w:color w:val="000000" w:themeColor="text1"/>
        </w:rPr>
        <w:lastRenderedPageBreak/>
        <w:t xml:space="preserve">i) La posición de la Agencia Nacional de Contratación Pública - Colombia Compra Eficiente respecto a la validez de la experiencia de los accionistas, socios o constituyentes, acreditada en el RUP por una sociedad nueva, cuando ésta ya superó los tres (3) años de constituida, ha variado. </w:t>
      </w:r>
    </w:p>
    <w:p w14:paraId="3114DEA8" w14:textId="77777777" w:rsidR="00D14339" w:rsidRPr="00CC200E" w:rsidRDefault="00D14339" w:rsidP="00845C54">
      <w:pPr>
        <w:spacing w:line="276" w:lineRule="auto"/>
        <w:ind w:firstLine="708"/>
        <w:jc w:val="both"/>
        <w:rPr>
          <w:rFonts w:ascii="Arial" w:eastAsia="Calibri" w:hAnsi="Arial" w:cs="Arial"/>
          <w:color w:val="000000" w:themeColor="text1"/>
        </w:rPr>
      </w:pPr>
      <w:r w:rsidRPr="00CC200E">
        <w:rPr>
          <w:rFonts w:ascii="Arial" w:eastAsia="Calibri" w:hAnsi="Arial" w:cs="Arial"/>
          <w:color w:val="000000" w:themeColor="text1"/>
        </w:rPr>
        <w:t xml:space="preserve">ii) El Decreto 1082 de 2015 establece que, para la inscripción en el RUP de una persona jurídica si su constitución es menor a tres (3) años, puede acreditar la experiencia de sus accionistas, socios o constituyentes. </w:t>
      </w:r>
    </w:p>
    <w:p w14:paraId="08AE9845" w14:textId="77777777" w:rsidR="00D14339" w:rsidRPr="00CC200E" w:rsidRDefault="00D14339" w:rsidP="00845C54">
      <w:pPr>
        <w:spacing w:line="276" w:lineRule="auto"/>
        <w:ind w:firstLine="708"/>
        <w:jc w:val="both"/>
        <w:rPr>
          <w:rFonts w:ascii="Arial" w:eastAsia="Calibri" w:hAnsi="Arial" w:cs="Arial"/>
          <w:color w:val="000000" w:themeColor="text1"/>
        </w:rPr>
      </w:pPr>
      <w:r w:rsidRPr="00CC200E">
        <w:rPr>
          <w:rFonts w:ascii="Arial" w:eastAsia="Calibri" w:hAnsi="Arial" w:cs="Arial"/>
          <w:color w:val="000000" w:themeColor="text1"/>
        </w:rPr>
        <w:t>iii)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w:t>
      </w:r>
    </w:p>
    <w:p w14:paraId="2D143C40" w14:textId="77777777" w:rsidR="00D14339" w:rsidRPr="00CC200E" w:rsidRDefault="00D14339" w:rsidP="00845C54">
      <w:pPr>
        <w:spacing w:line="276" w:lineRule="auto"/>
        <w:ind w:firstLine="708"/>
        <w:jc w:val="both"/>
        <w:rPr>
          <w:rFonts w:ascii="Arial" w:eastAsia="Calibri" w:hAnsi="Arial" w:cs="Arial"/>
          <w:color w:val="000000" w:themeColor="text1"/>
        </w:rPr>
      </w:pPr>
      <w:r w:rsidRPr="00CC200E">
        <w:rPr>
          <w:rFonts w:ascii="Arial" w:eastAsia="Calibri" w:hAnsi="Arial" w:cs="Arial"/>
          <w:color w:val="000000" w:themeColor="text1"/>
        </w:rPr>
        <w:t xml:space="preserve">iv) En consecuencia, la persona jurídica cuya constitución es menor a tres (3) años puede registrar la experiencia de sus socios en el RUP, la cual no podrá ser tenida en cuenta por la entidad estatal como experiencia de la sociedad una vez cumplidos los tres (3) años de constituida la persona jurídica a los que hace referencia la norma, pues no se cumple con el presupuesto normativo para acceder al beneficio que contempla el Decreto 1082 de 2015. </w:t>
      </w:r>
    </w:p>
    <w:p w14:paraId="7C582B07" w14:textId="77777777" w:rsidR="00D14339" w:rsidRPr="00CC200E" w:rsidRDefault="00D14339" w:rsidP="00845C54">
      <w:pPr>
        <w:spacing w:line="276" w:lineRule="auto"/>
        <w:ind w:firstLine="708"/>
        <w:jc w:val="both"/>
        <w:rPr>
          <w:rFonts w:ascii="Arial" w:eastAsia="Calibri" w:hAnsi="Arial" w:cs="Arial"/>
          <w:color w:val="000000" w:themeColor="text1"/>
        </w:rPr>
      </w:pPr>
      <w:r w:rsidRPr="00CC200E">
        <w:rPr>
          <w:rFonts w:ascii="Arial" w:eastAsia="Calibri" w:hAnsi="Arial" w:cs="Arial"/>
          <w:color w:val="000000" w:themeColor="text1"/>
        </w:rPr>
        <w:t xml:space="preserve">v)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―únicamente para la capacidad jurídica y experiencia― y debe ser verificada junto con sus soportes por la Cámara de Comercio correspondiente. </w:t>
      </w:r>
    </w:p>
    <w:p w14:paraId="5D77AC32" w14:textId="77777777" w:rsidR="00D14339" w:rsidRPr="00CC200E" w:rsidRDefault="00D14339" w:rsidP="00845C54">
      <w:pPr>
        <w:spacing w:line="276" w:lineRule="auto"/>
        <w:ind w:firstLine="708"/>
        <w:jc w:val="both"/>
        <w:rPr>
          <w:rFonts w:ascii="Arial" w:eastAsia="Calibri" w:hAnsi="Arial" w:cs="Arial"/>
          <w:color w:val="000000" w:themeColor="text1"/>
        </w:rPr>
      </w:pPr>
      <w:r w:rsidRPr="00CC200E">
        <w:rPr>
          <w:rFonts w:ascii="Arial" w:eastAsia="Calibri" w:hAnsi="Arial" w:cs="Arial"/>
          <w:color w:val="000000" w:themeColor="text1"/>
        </w:rPr>
        <w:t>La posición anterior, en relación con la posibilidad de que las sociedades nuevas puedan seguir acreditando la experiencia de sus socios, accionistas o constituyentes, incluso después de cumplidos tres (3) años de constitución de la persona jurídica, fue superada y se ratificó por esta Subdirección la tesis que ya había sido desarrollada en el concepto del 7 de febrero de 2018</w:t>
      </w:r>
      <w:r w:rsidRPr="00CC200E">
        <w:rPr>
          <w:rStyle w:val="Refdenotaalpie"/>
          <w:rFonts w:ascii="Arial" w:eastAsia="Calibri" w:hAnsi="Arial" w:cs="Arial"/>
          <w:color w:val="000000" w:themeColor="text1"/>
        </w:rPr>
        <w:footnoteReference w:id="16"/>
      </w:r>
      <w:r w:rsidRPr="00CC200E">
        <w:rPr>
          <w:rFonts w:ascii="Arial" w:eastAsia="Calibri" w:hAnsi="Arial" w:cs="Arial"/>
          <w:color w:val="000000" w:themeColor="text1"/>
        </w:rPr>
        <w:t>, recogida y unificada en el concepto con radicado No. 4201913000006797 del 19 de noviembre de 2019, en el que se sostuvo que las personas jurídicas que hubieran sido beneficiarias de la norma podían seguir acreditando la experiencia de sus socios o accionistas, inclusive después de transcurridos tres (3) años desde la constitución de la sociedad, siempre que se renovara constantemente el RUP.</w:t>
      </w:r>
    </w:p>
    <w:p w14:paraId="5315CF5B" w14:textId="77777777" w:rsidR="00D14339" w:rsidRPr="00CC200E" w:rsidRDefault="00D14339" w:rsidP="00845C54">
      <w:pPr>
        <w:spacing w:line="276" w:lineRule="auto"/>
        <w:ind w:firstLine="708"/>
        <w:jc w:val="both"/>
        <w:rPr>
          <w:rFonts w:ascii="Arial" w:eastAsia="Calibri" w:hAnsi="Arial" w:cs="Arial"/>
          <w:color w:val="000000" w:themeColor="text1"/>
        </w:rPr>
      </w:pPr>
      <w:r w:rsidRPr="00CC200E">
        <w:rPr>
          <w:rFonts w:ascii="Arial" w:eastAsia="Calibri" w:hAnsi="Arial" w:cs="Arial"/>
          <w:color w:val="000000" w:themeColor="text1"/>
        </w:rPr>
        <w:t xml:space="preserve">Se reitera que la finalidad del numeral 2.5 del artículo 2.2.1.1.1.5.2 del Decreto 1082 de 2015 es incentivar la libre competencia y la pluralidad de oferentes en la contratación </w:t>
      </w:r>
      <w:r w:rsidRPr="00CC200E">
        <w:rPr>
          <w:rFonts w:ascii="Arial" w:eastAsia="Calibri" w:hAnsi="Arial" w:cs="Arial"/>
          <w:color w:val="000000" w:themeColor="text1"/>
        </w:rPr>
        <w:lastRenderedPageBreak/>
        <w:t>estatal. Adicionalmente, el Decreto 1082 de 2015 establece que la persona inscrita en el RUP debe presentar la información para renovar su registro a más tardar el quinto día hábil del mes de abril de cada año, de lo contrario cesan sus efectos</w:t>
      </w:r>
      <w:r w:rsidRPr="00CC200E">
        <w:rPr>
          <w:rStyle w:val="Refdenotaalpie"/>
          <w:rFonts w:ascii="Arial" w:eastAsia="Calibri" w:hAnsi="Arial" w:cs="Arial"/>
          <w:color w:val="000000" w:themeColor="text1"/>
        </w:rPr>
        <w:footnoteReference w:id="17"/>
      </w:r>
      <w:r w:rsidRPr="00CC200E">
        <w:rPr>
          <w:rFonts w:ascii="Arial" w:eastAsia="Calibri" w:hAnsi="Arial" w:cs="Arial"/>
          <w:color w:val="000000" w:themeColor="text1"/>
        </w:rPr>
        <w:t>. En la actualidad, las cámaras de comercio solo pueden eliminar la experiencia registrada en el RUP a solicitud del proponente. Por tanto, les corresponde a las personas jurídicas mantener su RUP actualizado y a las entidades estatales verificar este registro para efectos de verificar y evaluar la experiencia.</w:t>
      </w:r>
    </w:p>
    <w:p w14:paraId="06C0C40F" w14:textId="77777777" w:rsidR="00D14339" w:rsidRPr="00CC200E" w:rsidRDefault="00D14339" w:rsidP="00845C54">
      <w:pPr>
        <w:spacing w:line="276" w:lineRule="auto"/>
        <w:ind w:firstLine="708"/>
        <w:jc w:val="both"/>
        <w:rPr>
          <w:rFonts w:ascii="Arial" w:eastAsia="Calibri" w:hAnsi="Arial" w:cs="Arial"/>
          <w:color w:val="000000" w:themeColor="text1"/>
        </w:rPr>
      </w:pPr>
      <w:r w:rsidRPr="00CC200E">
        <w:rPr>
          <w:rFonts w:ascii="Arial" w:eastAsia="Calibri" w:hAnsi="Arial" w:cs="Arial"/>
          <w:color w:val="000000" w:themeColor="text1"/>
        </w:rPr>
        <w:t>En otras palabras, si la persona jurídica con menos de tres (3) años de constituida registra la experiencia de sus socios, accionistas o constituyentes en el RUP, y éste es renovado, puede continuar utilizando la experiencia inscrita mientras no cesen los efectos del RUP. Por el contrario, si no se renueva y la persona jurídica supera los tres (3) años de constituida, la experiencia que registró de sus socios, accionistas o constituyentes no puede ser inscrita nuevamente, puesto que el RUP ha cesado sus efectos y la cámara de comercio tiene que hacer nuevamente la verificación documental de la información presentada al momento de inscribirse en el registro. Lo anterior, tiene fundamento en la Circular Única de la Superintendencia de Industria y Comercio, cuyo numeral 4.2, sobre el procedimiento para llevar el registro único de proponentes, dispone lo siguiente:</w:t>
      </w:r>
    </w:p>
    <w:p w14:paraId="2C2E1970" w14:textId="7B2F0492" w:rsidR="00D14339" w:rsidRPr="00CC200E" w:rsidRDefault="00691CFE" w:rsidP="00845C54">
      <w:pPr>
        <w:spacing w:after="0"/>
        <w:ind w:left="709" w:right="709"/>
        <w:jc w:val="both"/>
        <w:rPr>
          <w:rFonts w:ascii="Arial" w:eastAsia="Calibri" w:hAnsi="Arial" w:cs="Arial"/>
          <w:sz w:val="21"/>
          <w:szCs w:val="21"/>
        </w:rPr>
      </w:pPr>
      <w:r>
        <w:rPr>
          <w:rFonts w:ascii="Arial" w:eastAsia="Calibri" w:hAnsi="Arial" w:cs="Arial"/>
          <w:sz w:val="21"/>
          <w:szCs w:val="21"/>
        </w:rPr>
        <w:t>“</w:t>
      </w:r>
      <w:r w:rsidR="00D14339" w:rsidRPr="00CC200E">
        <w:rPr>
          <w:rFonts w:ascii="Arial" w:eastAsia="Calibri" w:hAnsi="Arial" w:cs="Arial"/>
          <w:sz w:val="21"/>
          <w:szCs w:val="21"/>
        </w:rPr>
        <w:t>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w:t>
      </w:r>
      <w:r>
        <w:rPr>
          <w:rFonts w:ascii="Arial" w:eastAsia="Calibri" w:hAnsi="Arial" w:cs="Arial"/>
          <w:sz w:val="21"/>
          <w:szCs w:val="21"/>
        </w:rPr>
        <w:t>”</w:t>
      </w:r>
      <w:r w:rsidR="00D14339" w:rsidRPr="00CC200E">
        <w:rPr>
          <w:rFonts w:ascii="Arial" w:eastAsia="Calibri" w:hAnsi="Arial" w:cs="Arial"/>
          <w:sz w:val="21"/>
          <w:szCs w:val="21"/>
        </w:rPr>
        <w:t>.</w:t>
      </w:r>
    </w:p>
    <w:p w14:paraId="2AEFC766" w14:textId="77777777" w:rsidR="00911FB5" w:rsidRPr="00CC200E" w:rsidRDefault="00911FB5" w:rsidP="00845C54">
      <w:pPr>
        <w:spacing w:after="0"/>
        <w:ind w:left="709" w:right="709"/>
        <w:jc w:val="both"/>
        <w:rPr>
          <w:rFonts w:ascii="Arial" w:eastAsia="Calibri" w:hAnsi="Arial" w:cs="Arial"/>
          <w:sz w:val="21"/>
          <w:szCs w:val="21"/>
        </w:rPr>
      </w:pPr>
    </w:p>
    <w:p w14:paraId="7F92BB0B" w14:textId="6B97261E" w:rsidR="00D14339" w:rsidRPr="00CC200E" w:rsidRDefault="00D14339" w:rsidP="00845C54">
      <w:pPr>
        <w:spacing w:line="276" w:lineRule="auto"/>
        <w:ind w:firstLine="708"/>
        <w:jc w:val="both"/>
        <w:rPr>
          <w:rFonts w:ascii="Arial" w:eastAsia="Calibri" w:hAnsi="Arial" w:cs="Arial"/>
          <w:color w:val="000000" w:themeColor="text1"/>
        </w:rPr>
      </w:pPr>
      <w:r w:rsidRPr="00CC200E">
        <w:rPr>
          <w:rFonts w:ascii="Arial" w:eastAsia="Calibri" w:hAnsi="Arial" w:cs="Arial"/>
          <w:color w:val="000000" w:themeColor="text1"/>
        </w:rPr>
        <w:t xml:space="preserve">Así las cosas, con el fin de incentivar la participación continúa y constante de los proponentes, las </w:t>
      </w:r>
      <w:r w:rsidR="00911FB5" w:rsidRPr="00CC200E">
        <w:rPr>
          <w:rFonts w:ascii="Arial" w:eastAsia="Calibri" w:hAnsi="Arial" w:cs="Arial"/>
          <w:color w:val="000000" w:themeColor="text1"/>
        </w:rPr>
        <w:t>E</w:t>
      </w:r>
      <w:r w:rsidRPr="00CC200E">
        <w:rPr>
          <w:rFonts w:ascii="Arial" w:eastAsia="Calibri" w:hAnsi="Arial" w:cs="Arial"/>
          <w:color w:val="000000" w:themeColor="text1"/>
        </w:rPr>
        <w:t xml:space="preserve">ntidades </w:t>
      </w:r>
      <w:r w:rsidR="00911FB5" w:rsidRPr="00CC200E">
        <w:rPr>
          <w:rFonts w:ascii="Arial" w:eastAsia="Calibri" w:hAnsi="Arial" w:cs="Arial"/>
          <w:color w:val="000000" w:themeColor="text1"/>
        </w:rPr>
        <w:t>E</w:t>
      </w:r>
      <w:r w:rsidRPr="00CC200E">
        <w:rPr>
          <w:rFonts w:ascii="Arial" w:eastAsia="Calibri" w:hAnsi="Arial" w:cs="Arial"/>
          <w:color w:val="000000" w:themeColor="text1"/>
        </w:rPr>
        <w:t xml:space="preserve">statales, en sus procesos de contratación, aceptarán como válida la experiencia de los socios, accionistas o constituyentes incluso después de cumplidos los tres (3) años de constitución de la sociedad, pues esta interpretación permite incentivar la creación de empresa y generar una mayor participación de las empresas recién constituidas. En este sentido, si bien la norma no dispone qué sucede con la experiencia aportada por los socios, accionistas o constituyentes, después de los tres (3) años de constituida la persona jurídica, para esta Subdirección sigue siendo válida, por lo que la </w:t>
      </w:r>
      <w:r w:rsidR="00797A43" w:rsidRPr="00CC200E">
        <w:rPr>
          <w:rFonts w:ascii="Arial" w:eastAsia="Calibri" w:hAnsi="Arial" w:cs="Arial"/>
          <w:color w:val="000000" w:themeColor="text1"/>
        </w:rPr>
        <w:lastRenderedPageBreak/>
        <w:t>E</w:t>
      </w:r>
      <w:r w:rsidRPr="00CC200E">
        <w:rPr>
          <w:rFonts w:ascii="Arial" w:eastAsia="Calibri" w:hAnsi="Arial" w:cs="Arial"/>
          <w:color w:val="000000" w:themeColor="text1"/>
        </w:rPr>
        <w:t xml:space="preserve">ntidad la debe tener en cuenta. De esta forma se garantiza la pluralidad de oferentes en los procesos de contratación. </w:t>
      </w:r>
    </w:p>
    <w:p w14:paraId="3B1EA1A3" w14:textId="77777777" w:rsidR="00D14339" w:rsidRPr="00CC200E" w:rsidRDefault="00D14339" w:rsidP="00845C54">
      <w:pPr>
        <w:spacing w:line="276" w:lineRule="auto"/>
        <w:ind w:firstLine="708"/>
        <w:jc w:val="both"/>
        <w:rPr>
          <w:rFonts w:ascii="Arial" w:eastAsia="Calibri" w:hAnsi="Arial" w:cs="Arial"/>
          <w:color w:val="000000" w:themeColor="text1"/>
        </w:rPr>
      </w:pPr>
      <w:r w:rsidRPr="00CC200E">
        <w:rPr>
          <w:rFonts w:ascii="Arial" w:eastAsia="Calibri" w:hAnsi="Arial" w:cs="Arial"/>
          <w:color w:val="000000" w:themeColor="text1"/>
        </w:rPr>
        <w:t xml:space="preserve">En línea con lo anterior, el numeral 2.5. del artículo 2.2.1.1.1.5.2 del Decreto 1082 de 2015 consagra una prerrogativa para las sociedades nuevas, que busca fomentar su competencia en el campo de la contratación estatal, sin establecer limitantes en relación con las entidades o procesos de contratación en los que las personas jurídicas con menos de tres (3) años de constitución pueden acreditar la experiencia transferida por sus socios en virtud de la referida prerrogativa. </w:t>
      </w:r>
    </w:p>
    <w:p w14:paraId="212BC1CF" w14:textId="3C2A1D37" w:rsidR="00D14339" w:rsidRPr="00CC200E" w:rsidRDefault="00D14339" w:rsidP="00845C54">
      <w:pPr>
        <w:spacing w:line="276" w:lineRule="auto"/>
        <w:ind w:firstLine="708"/>
        <w:jc w:val="both"/>
        <w:rPr>
          <w:rFonts w:ascii="Arial" w:eastAsia="Calibri" w:hAnsi="Arial" w:cs="Arial"/>
          <w:color w:val="000000" w:themeColor="text1"/>
        </w:rPr>
      </w:pPr>
      <w:r w:rsidRPr="00CC200E">
        <w:rPr>
          <w:rFonts w:ascii="Arial" w:eastAsia="Calibri" w:hAnsi="Arial" w:cs="Arial"/>
          <w:color w:val="000000" w:themeColor="text1"/>
        </w:rPr>
        <w:t xml:space="preserve">Por tanto, en atención al principio general de interpretación según el cual donde el legislador no distingue no le es dado hacerlo al interprete, el hecho de que una sociedad con menos de tres (3) años de constitución haya hecho uso de la referida prerrogativa en determinado proceso de contratación o </w:t>
      </w:r>
      <w:r w:rsidR="00FE6D90" w:rsidRPr="00CC200E">
        <w:rPr>
          <w:rFonts w:ascii="Arial" w:eastAsia="Calibri" w:hAnsi="Arial" w:cs="Arial"/>
          <w:color w:val="000000" w:themeColor="text1"/>
        </w:rPr>
        <w:t>E</w:t>
      </w:r>
      <w:r w:rsidRPr="00CC200E">
        <w:rPr>
          <w:rFonts w:ascii="Arial" w:eastAsia="Calibri" w:hAnsi="Arial" w:cs="Arial"/>
          <w:color w:val="000000" w:themeColor="text1"/>
        </w:rPr>
        <w:t>ntidad, no excluye la posibilidad de que dicha sociedad siga haciendo uso del beneficio en otros procesos de contratación adelantados por otras entidades, incluso una vez vencidos los tres (3) años de constitución, siempre que no hayan cesado los efectos del RUP por el incumplimiento del deber de renovación.</w:t>
      </w:r>
    </w:p>
    <w:p w14:paraId="26B6E2A4" w14:textId="77777777" w:rsidR="00D14339" w:rsidRPr="00CC200E" w:rsidRDefault="00D14339" w:rsidP="00845C54">
      <w:pPr>
        <w:spacing w:line="276" w:lineRule="auto"/>
        <w:jc w:val="both"/>
        <w:rPr>
          <w:rFonts w:ascii="Arial" w:eastAsia="Calibri" w:hAnsi="Arial" w:cs="Arial"/>
          <w:b/>
          <w:bCs/>
          <w:lang w:val="es-ES_tradnl"/>
        </w:rPr>
      </w:pPr>
      <w:r w:rsidRPr="00CC200E">
        <w:rPr>
          <w:rFonts w:ascii="Arial" w:eastAsia="Calibri" w:hAnsi="Arial" w:cs="Arial"/>
          <w:b/>
          <w:bCs/>
          <w:lang w:val="es-ES_tradnl"/>
        </w:rPr>
        <w:t>2.4. Límites de la prerrogativa que contempla el numeral 2.5 del artículo 2.2.1.1.1.5.2 del Decreto 1082 de 2015</w:t>
      </w:r>
    </w:p>
    <w:p w14:paraId="51216925" w14:textId="77777777" w:rsidR="00D14339" w:rsidRPr="00CC200E" w:rsidRDefault="00D14339" w:rsidP="00845C54">
      <w:pPr>
        <w:spacing w:line="276" w:lineRule="auto"/>
        <w:jc w:val="both"/>
        <w:rPr>
          <w:rFonts w:ascii="Arial" w:eastAsia="Calibri" w:hAnsi="Arial" w:cs="Arial"/>
          <w:color w:val="000000" w:themeColor="text1"/>
        </w:rPr>
      </w:pPr>
      <w:r w:rsidRPr="00CC200E">
        <w:rPr>
          <w:rFonts w:ascii="Arial" w:eastAsia="Calibri" w:hAnsi="Arial" w:cs="Arial"/>
          <w:color w:val="000000" w:themeColor="text1"/>
        </w:rPr>
        <w:t xml:space="preserve">En relación con la consulta plateada acerca de si una persona jurídica puede seguir acreditando la experiencia de un socio o accionista que ya no hace parte de la sociedad, porque este se ha retirado o vendido su parte accionaria después de los tres (3) primeros años, debe darse respuesta con base en los mismos argumentos presentados en el numeral anterior del presente concepto: la experiencia podrá ser acreditada siempre que se haga válidamente de acuerdo con los requisitos establecidos en el ordenamiento. </w:t>
      </w:r>
    </w:p>
    <w:p w14:paraId="09CB99CB" w14:textId="77777777" w:rsidR="00D14339" w:rsidRPr="00CC200E" w:rsidRDefault="00D14339" w:rsidP="00845C54">
      <w:pPr>
        <w:spacing w:line="276" w:lineRule="auto"/>
        <w:ind w:firstLine="708"/>
        <w:jc w:val="both"/>
        <w:rPr>
          <w:rFonts w:ascii="Arial" w:eastAsia="Calibri" w:hAnsi="Arial" w:cs="Arial"/>
          <w:color w:val="000000" w:themeColor="text1"/>
        </w:rPr>
      </w:pPr>
      <w:r w:rsidRPr="00CC200E">
        <w:rPr>
          <w:rFonts w:ascii="Arial" w:eastAsia="Calibri" w:hAnsi="Arial" w:cs="Arial"/>
          <w:color w:val="000000" w:themeColor="text1"/>
        </w:rPr>
        <w:t xml:space="preserve">En ese orden de ideas, no debe perderse de vista que el Decreto 1082 de 2015 solo permite que una sociedad acredite la experiencia de quienes tienen la calidad de accionistas, socios o constituyentes durante los primeros tres (3) años de su constitución. Por tanto, como límite a la prerrogativa que contempla el numeral 2.5 del artículo 2.2.1.1.1.5.2 del Decreto 1082 de 2015, la cual puede ser entendida como una medida de fomento a la participación de las sociedades relativamente nuevas en la contratación estatal, se encuentra la situación en la cual alguno de los socios, accionistas o constituyente pierde estas calidades, como sucedería cuando uno de ellos se retira por venta o cesión de su participación y pierde su calidad de socio. </w:t>
      </w:r>
    </w:p>
    <w:p w14:paraId="62D7C30E" w14:textId="79921960" w:rsidR="00D14339" w:rsidRPr="00CC200E" w:rsidRDefault="00D14339" w:rsidP="00845C54">
      <w:pPr>
        <w:spacing w:line="276" w:lineRule="auto"/>
        <w:ind w:firstLine="708"/>
        <w:jc w:val="both"/>
        <w:rPr>
          <w:rFonts w:ascii="Arial" w:eastAsia="Calibri" w:hAnsi="Arial" w:cs="Arial"/>
          <w:color w:val="000000" w:themeColor="text1"/>
        </w:rPr>
      </w:pPr>
      <w:r w:rsidRPr="00CC200E">
        <w:rPr>
          <w:rFonts w:ascii="Arial" w:eastAsia="Calibri" w:hAnsi="Arial" w:cs="Arial"/>
          <w:color w:val="000000" w:themeColor="text1"/>
        </w:rPr>
        <w:t xml:space="preserve">Así las cosas, si alguno de los integrantes de la persona jurídica pierde la calidad de accionista, socio o constituyente la experiencia aportada por quien se retira no deberá ser tenida en cuenta por las </w:t>
      </w:r>
      <w:r w:rsidR="00CD21BF" w:rsidRPr="00CC200E">
        <w:rPr>
          <w:rFonts w:ascii="Arial" w:eastAsia="Calibri" w:hAnsi="Arial" w:cs="Arial"/>
          <w:color w:val="000000" w:themeColor="text1"/>
        </w:rPr>
        <w:t>E</w:t>
      </w:r>
      <w:r w:rsidRPr="00CC200E">
        <w:rPr>
          <w:rFonts w:ascii="Arial" w:eastAsia="Calibri" w:hAnsi="Arial" w:cs="Arial"/>
          <w:color w:val="000000" w:themeColor="text1"/>
        </w:rPr>
        <w:t xml:space="preserve">ntidades </w:t>
      </w:r>
      <w:r w:rsidR="00CD21BF" w:rsidRPr="00CC200E">
        <w:rPr>
          <w:rFonts w:ascii="Arial" w:eastAsia="Calibri" w:hAnsi="Arial" w:cs="Arial"/>
          <w:color w:val="000000" w:themeColor="text1"/>
        </w:rPr>
        <w:t>E</w:t>
      </w:r>
      <w:r w:rsidRPr="00CC200E">
        <w:rPr>
          <w:rFonts w:ascii="Arial" w:eastAsia="Calibri" w:hAnsi="Arial" w:cs="Arial"/>
          <w:color w:val="000000" w:themeColor="text1"/>
        </w:rPr>
        <w:t xml:space="preserve">statales, y no debería ser utilizada por el proponente en procesos de contratación, ya que es inherente a la persona que la ha obtenido. En </w:t>
      </w:r>
      <w:r w:rsidRPr="00CC200E">
        <w:rPr>
          <w:rFonts w:ascii="Arial" w:eastAsia="Calibri" w:hAnsi="Arial" w:cs="Arial"/>
          <w:color w:val="000000" w:themeColor="text1"/>
        </w:rPr>
        <w:lastRenderedPageBreak/>
        <w:t xml:space="preserve">consecuencia, el proponente debería actualizar la experiencia en el RUP y abstenerse de inscribir la adquirida por el socio que vendió o cedió sus acciones y se retira de la sociedad, actuando así de buena fe en el proceso de contratación. </w:t>
      </w:r>
    </w:p>
    <w:p w14:paraId="0A62E6C7" w14:textId="77777777" w:rsidR="00D14339" w:rsidRPr="00CC200E" w:rsidRDefault="00D14339" w:rsidP="00845C54">
      <w:pPr>
        <w:spacing w:line="276" w:lineRule="auto"/>
        <w:ind w:firstLine="708"/>
        <w:jc w:val="both"/>
        <w:rPr>
          <w:rFonts w:ascii="Arial" w:eastAsia="Calibri" w:hAnsi="Arial" w:cs="Arial"/>
          <w:color w:val="000000" w:themeColor="text1"/>
        </w:rPr>
      </w:pPr>
      <w:r w:rsidRPr="00CC200E">
        <w:rPr>
          <w:rFonts w:ascii="Arial" w:eastAsia="Calibri" w:hAnsi="Arial" w:cs="Arial"/>
          <w:color w:val="000000" w:themeColor="text1"/>
        </w:rPr>
        <w:t>Esta interpretación, además, se impone en atención a fin de evitar prácticas corruptas o que atenten contra la transparencia en la contratación estatal, por lo que la experiencia aportada por quien se retira en cualquier momento no debería ser utilizada por el proponente en los procesos de contratación. De igual forma, lo anterior se fundamenta como se explicó en líneas atrás, en el carácter personalísimo de la experiencia respecto de la persona que la ha adquirido y que solo en casos excepcionales y por disposición legal o reglamentaria se presume de otra forma. En ese sentido, si el socio se retira de la sociedad por venta o cesión de su participación accionaria, no puede vender o ceder su experiencia para que el adquirente o cesionario de la participación accionaria la aporte a la sociedad.</w:t>
      </w:r>
    </w:p>
    <w:p w14:paraId="41B383D3" w14:textId="541C15ED" w:rsidR="00025FB2" w:rsidRPr="00CC200E" w:rsidRDefault="00A27508" w:rsidP="00845C54">
      <w:pPr>
        <w:spacing w:line="276" w:lineRule="auto"/>
        <w:jc w:val="both"/>
        <w:rPr>
          <w:rFonts w:ascii="Arial" w:eastAsia="Calibri" w:hAnsi="Arial" w:cs="Arial"/>
          <w:b/>
          <w:bCs/>
          <w:color w:val="000000" w:themeColor="text1"/>
        </w:rPr>
      </w:pPr>
      <w:r w:rsidRPr="00CC200E">
        <w:rPr>
          <w:rFonts w:ascii="Arial" w:eastAsia="Calibri" w:hAnsi="Arial" w:cs="Arial"/>
          <w:b/>
          <w:bCs/>
          <w:color w:val="000000" w:themeColor="text1"/>
        </w:rPr>
        <w:t xml:space="preserve">2.5 </w:t>
      </w:r>
      <w:r w:rsidR="00233A47" w:rsidRPr="00CC200E">
        <w:rPr>
          <w:rFonts w:ascii="Arial" w:eastAsia="Calibri" w:hAnsi="Arial" w:cs="Arial"/>
          <w:b/>
          <w:bCs/>
        </w:rPr>
        <w:t>A</w:t>
      </w:r>
      <w:r w:rsidR="00233A47" w:rsidRPr="00CC200E">
        <w:rPr>
          <w:rFonts w:ascii="Arial" w:hAnsi="Arial" w:cs="Arial"/>
          <w:b/>
          <w:bCs/>
        </w:rPr>
        <w:t>nálisis frente al alcance de la regla de la subsanabilidad y la figura de la aclaración de ofertas frente a la Capacidad Residual</w:t>
      </w:r>
    </w:p>
    <w:p w14:paraId="54B8F3AE" w14:textId="6770CB08" w:rsidR="003408F0" w:rsidRPr="00CC200E" w:rsidRDefault="00691CFE" w:rsidP="00CB2BA7">
      <w:pPr>
        <w:spacing w:after="120" w:line="276" w:lineRule="auto"/>
        <w:jc w:val="both"/>
        <w:rPr>
          <w:rFonts w:ascii="Arial" w:hAnsi="Arial" w:cs="Arial"/>
          <w:lang w:val="es-ES_tradnl"/>
        </w:rPr>
      </w:pPr>
      <w:r>
        <w:rPr>
          <w:rFonts w:ascii="Arial" w:hAnsi="Arial" w:cs="Arial"/>
          <w:bCs/>
        </w:rPr>
        <w:t>E</w:t>
      </w:r>
      <w:r w:rsidR="001547E0" w:rsidRPr="00CC200E">
        <w:rPr>
          <w:rFonts w:ascii="Arial" w:hAnsi="Arial" w:cs="Arial"/>
          <w:bCs/>
        </w:rPr>
        <w:t>n el concepto CU — 060 de 16 de enero de 2020, se unificó el concepto de la Agencia Nacional de Contratación Pública – Colombia Compra Eficiente en torno al alcance de la regla de la subsanabilidad, contenida actualmente en el artículo 5 de la Ley 1150 de 2007.</w:t>
      </w:r>
      <w:r w:rsidR="003408F0" w:rsidRPr="00CC200E">
        <w:rPr>
          <w:rFonts w:ascii="Arial" w:hAnsi="Arial" w:cs="Arial"/>
          <w:lang w:val="es-ES_tradnl"/>
        </w:rPr>
        <w:t xml:space="preserve"> La referida postura indica que, por regla general, la falta de entrega y los defectos, en la acreditación de los requisitos habilitantes son aspectos subsanables. La excepción se encuentra en los casos, previstos en la ley, que limitan la subsanabilidad, es decir, en la prohibición de permitir la entrega de la garantía de seriedad de la oferta que no fue aportada con la propuesta y de valer la acreditación de circunstancias ocurridas con posterioridad al cierre del proceso. En esta línea, la posibilidad de enmendar, corregir o subsanar los errores en los que se incurre en los documentos contentivos de la oferta es un tema que ha tenido diferentes momentos o etapas en el ordenamiento jurídico colombiano, no obstante, en la actualidad, bajo el numeral 15 del artículo 25 de la Ley 80 de 1993 ya no es posible rechazar las ofertas por falta de requisitos o documentos que no fueran “</w:t>
      </w:r>
      <w:r w:rsidR="003408F0" w:rsidRPr="00CC200E">
        <w:rPr>
          <w:rFonts w:ascii="Arial" w:hAnsi="Arial" w:cs="Arial"/>
          <w:i/>
          <w:iCs/>
          <w:lang w:val="es-ES_tradnl"/>
        </w:rPr>
        <w:t>necesarios para la comparación de propuestas”.</w:t>
      </w:r>
      <w:r w:rsidR="003408F0" w:rsidRPr="00CC200E">
        <w:rPr>
          <w:rFonts w:ascii="Arial" w:hAnsi="Arial" w:cs="Arial"/>
          <w:lang w:val="es-ES_tradnl"/>
        </w:rPr>
        <w:t xml:space="preserve">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56693C11" w14:textId="77777777" w:rsidR="003408F0" w:rsidRPr="00CC200E" w:rsidRDefault="003408F0" w:rsidP="00845C54">
      <w:pPr>
        <w:spacing w:after="120" w:line="276" w:lineRule="auto"/>
        <w:jc w:val="both"/>
        <w:rPr>
          <w:rFonts w:ascii="Arial" w:hAnsi="Arial" w:cs="Arial"/>
          <w:lang w:val="es-ES_tradnl"/>
        </w:rPr>
      </w:pPr>
      <w:r w:rsidRPr="00CC200E">
        <w:rPr>
          <w:rFonts w:ascii="Arial" w:hAnsi="Arial" w:cs="Arial"/>
          <w:lang w:val="es-ES_tradnl"/>
        </w:rPr>
        <w:tab/>
        <w:t xml:space="preserve">Posteriormente, con la expedición de la Ley 1150 de 2007, que, en el parágrafo 1º del artículo 5, reiteró lo que dispuso la Ley 80 de 1993, en el sentido de que los requisitos o documentos que no sean necesarios para la comparación de las ofertas pueden </w:t>
      </w:r>
      <w:r w:rsidRPr="00CC200E">
        <w:rPr>
          <w:rFonts w:ascii="Arial" w:hAnsi="Arial" w:cs="Arial"/>
          <w:lang w:val="es-ES_tradnl"/>
        </w:rPr>
        <w:lastRenderedPageBreak/>
        <w:t xml:space="preserve">subsanarse, pero además introdujo otro criterio que le dio mayor claridad al tema: la asignación de puntaje. </w:t>
      </w:r>
    </w:p>
    <w:p w14:paraId="1E323A8F" w14:textId="77777777" w:rsidR="003408F0" w:rsidRPr="00CC200E" w:rsidRDefault="003408F0" w:rsidP="00845C54">
      <w:pPr>
        <w:spacing w:after="120" w:line="276" w:lineRule="auto"/>
        <w:ind w:firstLine="709"/>
        <w:jc w:val="both"/>
        <w:rPr>
          <w:rFonts w:ascii="Arial" w:hAnsi="Arial" w:cs="Arial"/>
          <w:lang w:val="es-ES_tradnl"/>
        </w:rPr>
      </w:pPr>
      <w:r w:rsidRPr="00CC200E">
        <w:rPr>
          <w:rFonts w:ascii="Arial" w:hAnsi="Arial" w:cs="Arial"/>
          <w:lang w:val="es-ES_tradnl"/>
        </w:rPr>
        <w:t xml:space="preserve">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Si la Administración encuentra que lo omitido por el proponente es un aspecto que otorga puntaje, no es posible subsanarlo; pero, si lo omitido no otorga puntaje, la Administración debe requerir al proponente para que lo subsane.  </w:t>
      </w:r>
    </w:p>
    <w:p w14:paraId="07FD4663" w14:textId="2A9BB4AC" w:rsidR="003408F0" w:rsidRPr="00CC200E" w:rsidRDefault="003408F0" w:rsidP="00845C54">
      <w:pPr>
        <w:tabs>
          <w:tab w:val="left" w:pos="284"/>
        </w:tabs>
        <w:spacing w:after="120" w:line="276" w:lineRule="auto"/>
        <w:ind w:firstLine="709"/>
        <w:jc w:val="both"/>
        <w:rPr>
          <w:rFonts w:ascii="Arial" w:hAnsi="Arial" w:cs="Arial"/>
          <w:lang w:val="es-ES_tradnl"/>
        </w:rPr>
      </w:pPr>
      <w:r w:rsidRPr="00CC200E">
        <w:rPr>
          <w:rFonts w:ascii="Arial" w:hAnsi="Arial" w:cs="Arial"/>
          <w:lang w:val="es-ES_tradnl"/>
        </w:rPr>
        <w:t xml:space="preserve">El artículo 5 de la Ley 1150 de 2007, además de consagrar un criterio más claro, y, de paso, reducir la discrecionalidad de la Administración, fijó un ámbito temporal para que las </w:t>
      </w:r>
      <w:r w:rsidR="000A023D" w:rsidRPr="00CC200E">
        <w:rPr>
          <w:rFonts w:ascii="Arial" w:hAnsi="Arial" w:cs="Arial"/>
          <w:lang w:val="es-ES_tradnl"/>
        </w:rPr>
        <w:t>E</w:t>
      </w:r>
      <w:r w:rsidRPr="00CC200E">
        <w:rPr>
          <w:rFonts w:ascii="Arial" w:hAnsi="Arial" w:cs="Arial"/>
          <w:lang w:val="es-ES_tradnl"/>
        </w:rPr>
        <w:t xml:space="preserve">ntidades requirieran la subsanación de las ofertas: “en cualquier momento, hasta la adjudicación”. Esa interpretación fue compartida por la </w:t>
      </w:r>
      <w:r w:rsidRPr="00CC200E">
        <w:rPr>
          <w:rFonts w:ascii="Arial" w:eastAsia="Times New Roman" w:hAnsi="Arial" w:cs="Arial"/>
          <w:lang w:val="es-ES_tradnl" w:eastAsia="es-CO"/>
        </w:rPr>
        <w:t>Agencia Nacional de Contratación Pública – Colombia Compra Eficiente</w:t>
      </w:r>
      <w:r w:rsidRPr="00CC200E">
        <w:rPr>
          <w:rFonts w:ascii="Arial" w:hAnsi="Arial" w:cs="Arial"/>
          <w:lang w:val="es-ES_tradnl"/>
        </w:rPr>
        <w:t>, pues en la Circular Externa Única se precisó que, si durante un Proceso de Contratación hay proponentes que no acreditaron en sus ofertas requisitos que no afectan la asignación de puntaje o la comparación de estas, la Entidad Estatal deberá indicarlo en el informe de evaluación y advertir que la correspondiente oferta puede ser subsanada.</w:t>
      </w:r>
    </w:p>
    <w:p w14:paraId="1A81ED8D" w14:textId="77777777" w:rsidR="003408F0" w:rsidRPr="00CC200E" w:rsidRDefault="003408F0" w:rsidP="00845C54">
      <w:pPr>
        <w:tabs>
          <w:tab w:val="left" w:pos="284"/>
        </w:tabs>
        <w:spacing w:line="276" w:lineRule="auto"/>
        <w:ind w:firstLine="709"/>
        <w:contextualSpacing/>
        <w:jc w:val="both"/>
        <w:rPr>
          <w:rFonts w:ascii="Arial" w:eastAsia="Times New Roman" w:hAnsi="Arial" w:cs="Arial"/>
          <w:lang w:val="es-ES_tradnl" w:eastAsia="es-CO"/>
        </w:rPr>
      </w:pPr>
      <w:r w:rsidRPr="00CC200E">
        <w:rPr>
          <w:rFonts w:ascii="Arial" w:eastAsia="Times New Roman" w:hAnsi="Arial" w:cs="Arial"/>
          <w:lang w:val="es-ES_tradnl" w:eastAsia="es-CO"/>
        </w:rPr>
        <w:t xml:space="preserve">Sin embargo, con la expedición de la Ley 1882 de 2018, con la finalidad de introducir cambios y ajustes para fortalecer la contratación pública, su artículo 5 modificó el parágrafo 1º del artículo 5 de la Ley 1150 de 2007 y, adicionó algunos otros, entre ellos el 4° del artículo 5 de la Ley 1150 de 2007: </w:t>
      </w:r>
    </w:p>
    <w:p w14:paraId="05830CCC" w14:textId="77777777" w:rsidR="003408F0" w:rsidRPr="00CC200E" w:rsidRDefault="003408F0" w:rsidP="00845C54">
      <w:pPr>
        <w:spacing w:line="276" w:lineRule="auto"/>
        <w:ind w:left="709" w:right="709"/>
        <w:contextualSpacing/>
        <w:jc w:val="both"/>
        <w:rPr>
          <w:rFonts w:ascii="Arial" w:eastAsia="Arial" w:hAnsi="Arial" w:cs="Arial"/>
        </w:rPr>
      </w:pPr>
    </w:p>
    <w:p w14:paraId="0F8EA808" w14:textId="77777777" w:rsidR="003408F0" w:rsidRPr="00CC200E" w:rsidRDefault="003408F0" w:rsidP="00845C54">
      <w:pPr>
        <w:ind w:left="709" w:right="709"/>
        <w:contextualSpacing/>
        <w:jc w:val="both"/>
        <w:rPr>
          <w:rFonts w:ascii="Arial" w:eastAsia="Times New Roman" w:hAnsi="Arial" w:cs="Arial"/>
          <w:sz w:val="21"/>
          <w:szCs w:val="21"/>
          <w:lang w:val="es-ES_tradnl" w:eastAsia="es-CO"/>
        </w:rPr>
      </w:pPr>
      <w:r w:rsidRPr="00CC200E">
        <w:rPr>
          <w:rFonts w:ascii="Arial" w:eastAsia="Arial" w:hAnsi="Arial" w:cs="Arial"/>
          <w:sz w:val="21"/>
          <w:szCs w:val="21"/>
        </w:rPr>
        <w:t>“</w:t>
      </w:r>
      <w:r w:rsidRPr="00CC200E">
        <w:rPr>
          <w:rFonts w:ascii="Arial" w:eastAsia="Times New Roman" w:hAnsi="Arial" w:cs="Arial"/>
          <w:sz w:val="21"/>
          <w:szCs w:val="21"/>
          <w:lang w:val="es-ES_tradnl" w:eastAsia="es-CO"/>
        </w:rPr>
        <w:t xml:space="preserve">Artículo 5°. De la selección objetiva. </w:t>
      </w:r>
    </w:p>
    <w:p w14:paraId="6ED0FE0A" w14:textId="77777777" w:rsidR="003408F0" w:rsidRPr="00CC200E" w:rsidRDefault="003408F0" w:rsidP="00845C54">
      <w:pPr>
        <w:ind w:left="709" w:right="709"/>
        <w:contextualSpacing/>
        <w:jc w:val="both"/>
        <w:rPr>
          <w:rFonts w:ascii="Arial" w:eastAsia="Times New Roman" w:hAnsi="Arial" w:cs="Arial"/>
          <w:sz w:val="21"/>
          <w:szCs w:val="21"/>
          <w:lang w:val="es-ES_tradnl" w:eastAsia="es-CO"/>
        </w:rPr>
      </w:pPr>
    </w:p>
    <w:p w14:paraId="62AEBC3E" w14:textId="77777777" w:rsidR="003408F0" w:rsidRPr="00CC200E" w:rsidRDefault="003408F0" w:rsidP="00845C54">
      <w:pPr>
        <w:ind w:left="709" w:right="709"/>
        <w:contextualSpacing/>
        <w:jc w:val="both"/>
        <w:rPr>
          <w:rFonts w:ascii="Arial" w:eastAsia="Times New Roman" w:hAnsi="Arial" w:cs="Arial"/>
          <w:sz w:val="21"/>
          <w:szCs w:val="21"/>
          <w:lang w:val="es-ES_tradnl" w:eastAsia="es-CO"/>
        </w:rPr>
      </w:pPr>
      <w:r w:rsidRPr="00CC200E">
        <w:rPr>
          <w:rFonts w:ascii="Arial" w:eastAsia="Times New Roman" w:hAnsi="Arial" w:cs="Arial"/>
          <w:sz w:val="21"/>
          <w:szCs w:val="21"/>
          <w:lang w:val="es-ES_tradnl" w:eastAsia="es-CO"/>
        </w:rPr>
        <w:t>[... ]</w:t>
      </w:r>
    </w:p>
    <w:p w14:paraId="6478850A" w14:textId="77777777" w:rsidR="003408F0" w:rsidRPr="00CC200E" w:rsidRDefault="003408F0" w:rsidP="00845C54">
      <w:pPr>
        <w:ind w:left="709" w:right="709"/>
        <w:contextualSpacing/>
        <w:jc w:val="both"/>
        <w:rPr>
          <w:rFonts w:ascii="Arial" w:eastAsia="Times New Roman" w:hAnsi="Arial" w:cs="Arial"/>
          <w:sz w:val="21"/>
          <w:szCs w:val="21"/>
          <w:lang w:val="es-ES_tradnl" w:eastAsia="es-CO"/>
        </w:rPr>
      </w:pPr>
    </w:p>
    <w:p w14:paraId="7E94CDC2" w14:textId="77777777" w:rsidR="003408F0" w:rsidRPr="00CC200E" w:rsidRDefault="003408F0" w:rsidP="00845C54">
      <w:pPr>
        <w:ind w:left="709" w:right="709"/>
        <w:contextualSpacing/>
        <w:jc w:val="both"/>
        <w:rPr>
          <w:rFonts w:ascii="Arial" w:eastAsia="Times New Roman" w:hAnsi="Arial" w:cs="Arial"/>
          <w:sz w:val="21"/>
          <w:szCs w:val="21"/>
          <w:lang w:val="es-ES_tradnl" w:eastAsia="es-CO"/>
        </w:rPr>
      </w:pPr>
      <w:r w:rsidRPr="00CC200E">
        <w:rPr>
          <w:rFonts w:ascii="Arial" w:eastAsia="Times New Roman" w:hAnsi="Arial" w:cs="Arial"/>
          <w:sz w:val="21"/>
          <w:szCs w:val="21"/>
          <w:lang w:val="es-ES_tradnl" w:eastAsia="es-CO"/>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w:t>
      </w:r>
      <w:r w:rsidRPr="00CC200E">
        <w:rPr>
          <w:rFonts w:ascii="Arial" w:eastAsia="Times New Roman" w:hAnsi="Arial" w:cs="Arial"/>
          <w:sz w:val="21"/>
          <w:szCs w:val="21"/>
          <w:lang w:val="es-ES_tradnl" w:eastAsia="es-CO"/>
        </w:rPr>
        <w:lastRenderedPageBreak/>
        <w:t xml:space="preserve">proponentes no podrán acreditar circunstancias ocurridas con posterioridad al cierre del proceso.” </w:t>
      </w:r>
    </w:p>
    <w:p w14:paraId="2DA698B8" w14:textId="77777777" w:rsidR="003408F0" w:rsidRPr="00CC200E" w:rsidRDefault="003408F0" w:rsidP="00845C54">
      <w:pPr>
        <w:spacing w:line="276" w:lineRule="auto"/>
        <w:ind w:left="709" w:right="709"/>
        <w:contextualSpacing/>
        <w:jc w:val="both"/>
        <w:rPr>
          <w:rFonts w:ascii="Arial" w:eastAsia="Times New Roman" w:hAnsi="Arial" w:cs="Arial"/>
          <w:lang w:val="es-ES_tradnl" w:eastAsia="es-CO"/>
        </w:rPr>
      </w:pPr>
    </w:p>
    <w:p w14:paraId="6B3D8D74" w14:textId="77777777" w:rsidR="003408F0" w:rsidRPr="00CC200E" w:rsidRDefault="003408F0" w:rsidP="00845C54">
      <w:pPr>
        <w:spacing w:after="120" w:line="276" w:lineRule="auto"/>
        <w:ind w:firstLine="709"/>
        <w:jc w:val="both"/>
        <w:rPr>
          <w:rFonts w:ascii="Arial" w:hAnsi="Arial" w:cs="Arial"/>
          <w:lang w:val="es-ES_tradnl"/>
        </w:rPr>
      </w:pPr>
      <w:r w:rsidRPr="00CC200E">
        <w:rPr>
          <w:rFonts w:ascii="Arial" w:hAnsi="Arial" w:cs="Arial"/>
          <w:lang w:val="es-ES_tradnl"/>
        </w:rPr>
        <w:t xml:space="preserve">Como puede observarse, la Ley 1882 de 2018: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y, iii) introduce modificaciones en relación con algunos aspectos que se analizarán a continuación. </w:t>
      </w:r>
    </w:p>
    <w:p w14:paraId="33688757" w14:textId="2053D1C9" w:rsidR="003408F0" w:rsidRPr="00CC200E" w:rsidRDefault="003408F0" w:rsidP="00845C54">
      <w:pPr>
        <w:spacing w:after="120" w:line="276" w:lineRule="auto"/>
        <w:ind w:right="51" w:firstLine="709"/>
        <w:jc w:val="both"/>
        <w:rPr>
          <w:rFonts w:ascii="Arial" w:hAnsi="Arial" w:cs="Arial"/>
          <w:lang w:val="es-ES_tradnl"/>
        </w:rPr>
      </w:pPr>
      <w:r w:rsidRPr="00CC200E">
        <w:rPr>
          <w:rFonts w:ascii="Arial" w:hAnsi="Arial" w:cs="Arial"/>
          <w:i/>
          <w:iCs/>
          <w:lang w:val="es-ES_tradnl"/>
        </w:rPr>
        <w:t>El primero</w:t>
      </w:r>
      <w:r w:rsidRPr="00CC200E">
        <w:rPr>
          <w:rFonts w:ascii="Arial" w:hAnsi="Arial" w:cs="Arial"/>
          <w:lang w:val="es-ES_tradnl"/>
        </w:rPr>
        <w:t xml:space="preserve"> es el ámbito temporal para ejercer la facultad de subsanar la oferta, pues la Ley 1882 de 2018 fijó una regla general y una excepción. La regla general es que el límite para que la </w:t>
      </w:r>
      <w:r w:rsidR="003D3FBB" w:rsidRPr="00CC200E">
        <w:rPr>
          <w:rFonts w:ascii="Arial" w:hAnsi="Arial" w:cs="Arial"/>
          <w:lang w:val="es-ES_tradnl"/>
        </w:rPr>
        <w:t>E</w:t>
      </w:r>
      <w:r w:rsidRPr="00CC200E">
        <w:rPr>
          <w:rFonts w:ascii="Arial" w:hAnsi="Arial" w:cs="Arial"/>
          <w:lang w:val="es-ES_tradnl"/>
        </w:rPr>
        <w:t>ntidad solicite y para que el proponente corrija lo que haga falta es hasta el término de traslado del informe de evaluación que corresponda a cada modalidad de selección. La excepción es que el límite anterior no aplica para los procesos de mínima cuantía</w:t>
      </w:r>
      <w:r w:rsidRPr="00CC200E">
        <w:rPr>
          <w:rStyle w:val="Refdenotaalpie"/>
          <w:rFonts w:ascii="Arial" w:hAnsi="Arial" w:cs="Arial"/>
          <w:lang w:val="es-ES_tradnl"/>
        </w:rPr>
        <w:footnoteReference w:id="18"/>
      </w:r>
      <w:r w:rsidRPr="00CC200E">
        <w:rPr>
          <w:rFonts w:ascii="Arial" w:hAnsi="Arial" w:cs="Arial"/>
          <w:lang w:val="es-ES_tradnl"/>
        </w:rPr>
        <w:t xml:space="preserve"> y para el proceso de selección a través del sistema de subasta</w:t>
      </w:r>
      <w:r w:rsidRPr="00CC200E">
        <w:rPr>
          <w:rFonts w:ascii="Arial" w:hAnsi="Arial" w:cs="Arial"/>
          <w:vertAlign w:val="superscript"/>
          <w:lang w:val="es-ES_tradnl"/>
        </w:rPr>
        <w:footnoteReference w:id="19"/>
      </w:r>
      <w:r w:rsidRPr="00CC200E">
        <w:rPr>
          <w:rFonts w:ascii="Arial" w:hAnsi="Arial" w:cs="Arial"/>
          <w:lang w:val="es-ES_tradnl"/>
        </w:rPr>
        <w:t>; en el último los documentos o requisitos subsanables pueden y deben solicitarse hasta el momento previo a la celebración de la audiencia. En cuanto al proceso de mínima cuantía, el Decreto 1860 de 2021 que modifica el Decreto 1082 de 2015, en su artículo 2.2.1.2.1.5.2., numeral 5° dispone que sin perjuicio de la oportunidad que deben otorgar las Entidades para subsanar las ofertas, de acuerdo con el artículo 5 de la Ley 1150 de 2007, para lo cual se establecerá un término preclusivo para recibir los documentos subsanables. En el evento que no se regule este término los proponentes podrán subsanar sus ofertas hasta antes que finalice el traslado del informe de evaluación</w:t>
      </w:r>
      <w:r w:rsidRPr="00CC200E">
        <w:rPr>
          <w:rFonts w:ascii="Arial" w:hAnsi="Arial" w:cs="Arial"/>
          <w:vertAlign w:val="superscript"/>
          <w:lang w:val="es-ES_tradnl"/>
        </w:rPr>
        <w:footnoteReference w:id="20"/>
      </w:r>
      <w:r w:rsidRPr="00CC200E">
        <w:rPr>
          <w:rFonts w:ascii="Arial" w:hAnsi="Arial" w:cs="Arial"/>
          <w:lang w:val="es-ES_tradnl"/>
        </w:rPr>
        <w:t xml:space="preserve">. </w:t>
      </w:r>
    </w:p>
    <w:p w14:paraId="4C1CD32C" w14:textId="77777777" w:rsidR="003408F0" w:rsidRPr="00CC200E" w:rsidRDefault="003408F0" w:rsidP="00845C54">
      <w:pPr>
        <w:spacing w:after="120" w:line="276" w:lineRule="auto"/>
        <w:ind w:firstLine="709"/>
        <w:jc w:val="both"/>
        <w:rPr>
          <w:rFonts w:ascii="Arial" w:hAnsi="Arial" w:cs="Arial"/>
          <w:lang w:val="es-ES_tradnl"/>
        </w:rPr>
      </w:pPr>
      <w:r w:rsidRPr="00CC200E">
        <w:rPr>
          <w:rFonts w:ascii="Arial" w:hAnsi="Arial" w:cs="Arial"/>
          <w:lang w:val="es-ES_tradnl"/>
        </w:rPr>
        <w:lastRenderedPageBreak/>
        <w:t>Frente a la regla general aplicable a los demás procesos de selección, la norma fijó un límite final para que la Administración y los oferentes subsanen los requisitos o documentos que puedan y deban ser subsanados, pero nada impide, y la norma no lo hace, que la Administración requiera al proponente antes de publicar el informe de evaluación. En efecto, la redacción de la norma permite que la Administración solicite a los oferentes subsanar y que estos lo hagan hasta antes del término del traslado del informe de evaluación: “</w:t>
      </w:r>
      <w:r w:rsidRPr="00CC200E">
        <w:rPr>
          <w:rFonts w:ascii="Arial" w:hAnsi="Arial" w:cs="Arial"/>
          <w:i/>
          <w:iCs/>
          <w:lang w:val="es-ES_tradnl"/>
        </w:rPr>
        <w:t>deberán ser solicitados por las entidades estatales y deberán ser entregados por los proponentes hasta el término de traslado del informe de evaluación que corresponda a cada modalidad de selección”.</w:t>
      </w:r>
      <w:r w:rsidRPr="00CC200E">
        <w:rPr>
          <w:rFonts w:ascii="Arial" w:hAnsi="Arial" w:cs="Arial"/>
          <w:lang w:val="es-ES_tradnl"/>
        </w:rPr>
        <w:t xml:space="preserve"> </w:t>
      </w:r>
    </w:p>
    <w:p w14:paraId="08DE0C2A" w14:textId="77777777" w:rsidR="003408F0" w:rsidRPr="00CC200E" w:rsidRDefault="003408F0" w:rsidP="00845C54">
      <w:pPr>
        <w:spacing w:after="120" w:line="276" w:lineRule="auto"/>
        <w:ind w:firstLine="709"/>
        <w:jc w:val="both"/>
        <w:rPr>
          <w:rFonts w:ascii="Arial" w:hAnsi="Arial" w:cs="Arial"/>
          <w:lang w:val="es-ES_tradnl"/>
        </w:rPr>
      </w:pPr>
      <w:r w:rsidRPr="00CC200E">
        <w:rPr>
          <w:rFonts w:ascii="Arial" w:hAnsi="Arial" w:cs="Arial"/>
          <w:lang w:val="es-ES_tradnl"/>
        </w:rPr>
        <w:t xml:space="preserve">No obstante, de la lectura de este aparte podrían, en la práctica, darse dos interpretaciones que dan lugar a dos formas de proceder en los procesos de selección, en lo que a la subsanabilidad de las ofertas se refiere. Primera, que la posibilidad para subsanar de los oferentes es el término del traslado del informe de evaluación, ya que es en este documento donde la Administración consigna los requisitos o documentos omitidos que los oferentes deben subsanar, so pena de rechazo; segunda, que el término del traslado del informe de evaluación es el </w:t>
      </w:r>
      <w:r w:rsidRPr="00CC200E">
        <w:rPr>
          <w:rFonts w:ascii="Arial" w:hAnsi="Arial" w:cs="Arial"/>
          <w:i/>
          <w:iCs/>
          <w:lang w:val="es-ES_tradnl"/>
        </w:rPr>
        <w:t>límite</w:t>
      </w:r>
      <w:r w:rsidRPr="00CC200E">
        <w:rPr>
          <w:rFonts w:ascii="Arial" w:hAnsi="Arial" w:cs="Arial"/>
          <w:lang w:val="es-ES_tradnl"/>
        </w:rPr>
        <w:t xml:space="preserve"> para la subsanación de ofertas, pero no el único momento para hacerlo. </w:t>
      </w:r>
    </w:p>
    <w:p w14:paraId="49855E2E" w14:textId="77777777" w:rsidR="003408F0" w:rsidRPr="00CC200E" w:rsidRDefault="003408F0" w:rsidP="00845C54">
      <w:pPr>
        <w:spacing w:after="120" w:line="276" w:lineRule="auto"/>
        <w:ind w:firstLine="709"/>
        <w:jc w:val="both"/>
        <w:rPr>
          <w:rFonts w:ascii="Arial" w:hAnsi="Arial" w:cs="Arial"/>
          <w:lang w:val="es-ES_tradnl"/>
        </w:rPr>
      </w:pPr>
      <w:r w:rsidRPr="00CC200E">
        <w:rPr>
          <w:rFonts w:ascii="Arial" w:hAnsi="Arial" w:cs="Arial"/>
          <w:lang w:val="es-ES_tradnl"/>
        </w:rPr>
        <w:t xml:space="preserve">De acuerdo con la primera interpretación, el informe de evaluación se convierte en la oportunidad que adopta la Administración para decirles a los oferentes qué documentos o requisitos omitieron y deben subsanar y, consecuentemente, el término del traslado es la oportunidad del proponente para cumplir con lo solicitado.  </w:t>
      </w:r>
    </w:p>
    <w:p w14:paraId="1C7AEA06" w14:textId="77777777" w:rsidR="003408F0" w:rsidRPr="00CC200E" w:rsidRDefault="003408F0" w:rsidP="00845C54">
      <w:pPr>
        <w:spacing w:after="120" w:line="276" w:lineRule="auto"/>
        <w:ind w:firstLine="709"/>
        <w:jc w:val="both"/>
        <w:rPr>
          <w:rFonts w:ascii="Arial" w:hAnsi="Arial" w:cs="Arial"/>
          <w:lang w:val="es-ES_tradnl"/>
        </w:rPr>
      </w:pPr>
      <w:r w:rsidRPr="00CC200E">
        <w:rPr>
          <w:rFonts w:ascii="Arial" w:hAnsi="Arial" w:cs="Arial"/>
          <w:lang w:val="es-ES_tradnl"/>
        </w:rPr>
        <w:t>La segunda interpretación permitiría que la Administración requiera al oferente durante el proceso de evaluación de las propuestas, tan pronto advierta que hace falta un documento o requisito que se puede subsanar. En este caso, el proceso de subsanación se podría realizar con anterioridad a la publicación del informe de evaluación, de manera que, una vez se publique el informe ya se encuentren subsanadas las propuestas, sin perjuicio del término límite que concedió la ley,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w:t>
      </w:r>
    </w:p>
    <w:p w14:paraId="32709D74" w14:textId="77777777" w:rsidR="003408F0" w:rsidRPr="00CC200E" w:rsidRDefault="003408F0" w:rsidP="00845C54">
      <w:pPr>
        <w:spacing w:after="120" w:line="276" w:lineRule="auto"/>
        <w:ind w:firstLine="709"/>
        <w:jc w:val="both"/>
        <w:rPr>
          <w:rFonts w:ascii="Arial" w:hAnsi="Arial" w:cs="Arial"/>
          <w:lang w:val="es-ES_tradnl"/>
        </w:rPr>
      </w:pPr>
      <w:r w:rsidRPr="00CC200E">
        <w:rPr>
          <w:rFonts w:ascii="Arial" w:hAnsi="Arial" w:cs="Arial"/>
          <w:lang w:val="es-ES_tradnl"/>
        </w:rPr>
        <w:t xml:space="preserve">El segundo cambio importante de la Ley 1882 de 2018 fue la introducción de un criterio material, directamente relacionado con los aspectos subsanables: </w:t>
      </w:r>
      <w:r w:rsidRPr="00CC200E">
        <w:rPr>
          <w:rFonts w:ascii="Arial" w:hAnsi="Arial" w:cs="Arial"/>
          <w:i/>
          <w:iCs/>
          <w:lang w:val="es-ES_tradnl"/>
        </w:rPr>
        <w:t>“los proponentes no podrán acreditar circunstancias ocurridas con posterioridad al cierre del proceso”.</w:t>
      </w:r>
      <w:r w:rsidRPr="00CC200E">
        <w:rPr>
          <w:rFonts w:ascii="Arial" w:hAnsi="Arial" w:cs="Arial"/>
          <w:lang w:val="es-ES_tradnl"/>
        </w:rPr>
        <w:t xml:space="preserve"> Lo anterior ofrece dos aspectos que merecen clarificación; primero, qué debe entenderse por circunstancias ocurridas con posterioridad; y segundo, qué es el cierre del proceso. </w:t>
      </w:r>
    </w:p>
    <w:p w14:paraId="25554A9A" w14:textId="77777777" w:rsidR="003408F0" w:rsidRPr="00CC200E" w:rsidRDefault="003408F0" w:rsidP="00845C54">
      <w:pPr>
        <w:spacing w:after="120" w:line="276" w:lineRule="auto"/>
        <w:ind w:firstLine="709"/>
        <w:jc w:val="both"/>
        <w:rPr>
          <w:rFonts w:ascii="Arial" w:hAnsi="Arial" w:cs="Arial"/>
          <w:lang w:val="es-ES_tradnl"/>
        </w:rPr>
      </w:pPr>
      <w:r w:rsidRPr="00CC200E">
        <w:rPr>
          <w:rFonts w:ascii="Arial" w:hAnsi="Arial" w:cs="Arial"/>
          <w:lang w:val="es-ES_tradnl"/>
        </w:rPr>
        <w:lastRenderedPageBreak/>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541BB928" w14:textId="77777777" w:rsidR="003408F0" w:rsidRPr="00CC200E" w:rsidRDefault="003408F0" w:rsidP="00845C54">
      <w:pPr>
        <w:spacing w:after="120" w:line="276" w:lineRule="auto"/>
        <w:ind w:firstLine="709"/>
        <w:jc w:val="both"/>
        <w:rPr>
          <w:rFonts w:ascii="Arial" w:hAnsi="Arial" w:cs="Arial"/>
          <w:lang w:val="es-ES_tradnl"/>
        </w:rPr>
      </w:pPr>
      <w:r w:rsidRPr="00CC200E">
        <w:rPr>
          <w:rFonts w:ascii="Arial" w:hAnsi="Arial" w:cs="Arial"/>
          <w:lang w:val="es-ES_tradnl"/>
        </w:rPr>
        <w:t xml:space="preserve">Un mejor entendimiento del significado de la expresión </w:t>
      </w:r>
      <w:r w:rsidRPr="00CC200E">
        <w:rPr>
          <w:rFonts w:ascii="Arial" w:hAnsi="Arial" w:cs="Arial"/>
          <w:i/>
          <w:iCs/>
          <w:lang w:val="es-ES_tradnl"/>
        </w:rPr>
        <w:t>“circunstancias ocurridas con posterioridad al cierre del proceso”</w:t>
      </w:r>
      <w:r w:rsidRPr="00CC200E">
        <w:rPr>
          <w:rFonts w:ascii="Arial" w:hAnsi="Arial" w:cs="Arial"/>
          <w:lang w:val="es-ES_tradnl"/>
        </w:rPr>
        <w:t xml:space="preserve"> implica distinguir entre la prueba de un hecho y el hecho mismo. En el caso de la subsanabilidad de las ofertas, una cosa es el requisito habilitante o el elemento de la propuesta y otra su prueba. Lo que prohíbe la norma es que se subsanen requisitos que no estaban materialmente cumplidos al momento de presentación de la oferta, o en palabras de la ley, que se acrediten hechos que ocurrieron después del cierre del proceso</w:t>
      </w:r>
      <w:r w:rsidRPr="00CC200E">
        <w:rPr>
          <w:rFonts w:ascii="Arial" w:hAnsi="Arial" w:cs="Arial"/>
          <w:vertAlign w:val="superscript"/>
          <w:lang w:val="es-ES_tradnl"/>
        </w:rPr>
        <w:footnoteReference w:id="21"/>
      </w:r>
      <w:r w:rsidRPr="00CC200E">
        <w:rPr>
          <w:rFonts w:ascii="Arial" w:hAnsi="Arial" w:cs="Arial"/>
          <w:lang w:val="es-ES_tradnl"/>
        </w:rPr>
        <w:t xml:space="preserve">. </w:t>
      </w:r>
    </w:p>
    <w:p w14:paraId="469B0ABF" w14:textId="77777777" w:rsidR="003408F0" w:rsidRPr="00CC200E" w:rsidRDefault="003408F0" w:rsidP="00845C54">
      <w:pPr>
        <w:spacing w:after="120" w:line="276" w:lineRule="auto"/>
        <w:ind w:firstLine="709"/>
        <w:jc w:val="both"/>
        <w:rPr>
          <w:rFonts w:ascii="Arial" w:hAnsi="Arial" w:cs="Arial"/>
          <w:lang w:val="es-ES_tradnl"/>
        </w:rPr>
      </w:pPr>
      <w:r w:rsidRPr="00CC200E">
        <w:rPr>
          <w:rFonts w:ascii="Arial" w:hAnsi="Arial" w:cs="Arial"/>
          <w:lang w:val="es-ES_tradnl"/>
        </w:rPr>
        <w:t>Por ejemplo: 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estando está en firme para dicho momento; ii) si un oferente presentó la propuesta sin allegar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CC200E">
        <w:rPr>
          <w:rFonts w:ascii="Arial" w:hAnsi="Arial" w:cs="Arial"/>
          <w:vertAlign w:val="superscript"/>
          <w:lang w:val="es-ES_tradnl"/>
        </w:rPr>
        <w:footnoteReference w:id="22"/>
      </w:r>
      <w:r w:rsidRPr="00CC200E">
        <w:rPr>
          <w:rFonts w:ascii="Arial" w:hAnsi="Arial" w:cs="Arial"/>
          <w:lang w:val="es-ES_tradnl"/>
        </w:rPr>
        <w:t xml:space="preserve">; iii) si un oferente no anexó el Certificado de existencia y representación legal, el documento aportado con posterioridad debe dar cuenta </w:t>
      </w:r>
      <w:r w:rsidRPr="00CC200E">
        <w:rPr>
          <w:rFonts w:ascii="Arial" w:hAnsi="Arial" w:cs="Arial"/>
          <w:lang w:val="es-ES_tradnl"/>
        </w:rPr>
        <w:lastRenderedPageBreak/>
        <w:t>de que la sociedad existía antes del cierre del proceso</w:t>
      </w:r>
      <w:r w:rsidRPr="00CC200E">
        <w:rPr>
          <w:rFonts w:ascii="Arial" w:hAnsi="Arial" w:cs="Arial"/>
          <w:vertAlign w:val="superscript"/>
          <w:lang w:val="es-ES_tradnl"/>
        </w:rPr>
        <w:footnoteReference w:id="23"/>
      </w:r>
      <w:r w:rsidRPr="00CC200E">
        <w:rPr>
          <w:rFonts w:ascii="Arial" w:hAnsi="Arial" w:cs="Arial"/>
          <w:lang w:val="es-ES_tradnl"/>
        </w:rPr>
        <w:t xml:space="preserve">; iv) si un oferente olvidó adjuntar un certificado que demuestra un título universitario, el documento, aunque tenga fecha posterior al cierre del proceso, debe acreditar que el título académico se obtuvo con anterioridad al cierre del proceso; v) si un oferente no allegó un certificado de experiencia, el documento que subsana –sin importar que tenga fecha posterior– debe demostrar que la experiencia que se pretende hacer valer se obtuvo antes de vencerse el término para presentar ofertas y vi) si el oferente olvidó firmar la propuesta o presentar una copia de ella, puede subsanar sin que con ello se entienda que acreditó una circunstancia ocurrida con posterioridad al cierre del proceso. </w:t>
      </w:r>
    </w:p>
    <w:p w14:paraId="44F82BB6" w14:textId="77777777" w:rsidR="003408F0" w:rsidRPr="00CC200E" w:rsidRDefault="003408F0" w:rsidP="00845C54">
      <w:pPr>
        <w:spacing w:after="120" w:line="276" w:lineRule="auto"/>
        <w:ind w:firstLine="709"/>
        <w:jc w:val="both"/>
        <w:rPr>
          <w:rFonts w:ascii="Arial" w:hAnsi="Arial" w:cs="Arial"/>
          <w:i/>
          <w:iCs/>
          <w:lang w:val="es-ES_tradnl"/>
        </w:rPr>
      </w:pPr>
      <w:r w:rsidRPr="00CC200E">
        <w:rPr>
          <w:rFonts w:ascii="Arial" w:hAnsi="Arial" w:cs="Arial"/>
          <w:lang w:val="es-ES_tradnl"/>
        </w:rPr>
        <w:t>Lo anterior quiere decir que no es la prueba –usualmente un documento– lo que debe ser anterior al cierre del proceso, sino el hecho que ella acredita, es decir, ante la solicitud de la Administración de subsanar determinado requisito, el documento podría estar fechado con posterioridad al vencimiento del término para recibir propuestas, siempre y cuando el hecho que acredite haya ocurrido antes, esto es, que no sea una circunstancia ocurrida con posterioridad al cierre del proceso. Es por esto que el Consejo de Estado sostiene que “</w:t>
      </w:r>
      <w:r w:rsidRPr="00CC200E">
        <w:rPr>
          <w:rFonts w:ascii="Arial" w:hAnsi="Arial" w:cs="Arial"/>
          <w:i/>
          <w:iCs/>
          <w:lang w:val="es-ES_tradnl"/>
        </w:rPr>
        <w:t>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CC200E">
        <w:rPr>
          <w:rFonts w:ascii="Arial" w:hAnsi="Arial" w:cs="Arial"/>
          <w:i/>
          <w:iCs/>
          <w:vertAlign w:val="superscript"/>
          <w:lang w:val="es-ES_tradnl"/>
        </w:rPr>
        <w:footnoteReference w:id="24"/>
      </w:r>
      <w:r w:rsidRPr="00CC200E">
        <w:rPr>
          <w:rFonts w:ascii="Arial" w:hAnsi="Arial" w:cs="Arial"/>
          <w:i/>
          <w:iCs/>
          <w:lang w:val="es-ES_tradnl"/>
        </w:rPr>
        <w:t xml:space="preserve">. </w:t>
      </w:r>
    </w:p>
    <w:p w14:paraId="7FB1B549" w14:textId="77777777" w:rsidR="003408F0" w:rsidRPr="00CC200E" w:rsidRDefault="003408F0" w:rsidP="00845C54">
      <w:pPr>
        <w:spacing w:after="120" w:line="276" w:lineRule="auto"/>
        <w:ind w:firstLine="709"/>
        <w:jc w:val="both"/>
        <w:rPr>
          <w:rFonts w:ascii="Arial" w:hAnsi="Arial" w:cs="Arial"/>
          <w:lang w:val="es-ES_tradnl"/>
        </w:rPr>
      </w:pPr>
      <w:r w:rsidRPr="00CC200E">
        <w:rPr>
          <w:rFonts w:ascii="Arial" w:hAnsi="Arial" w:cs="Arial"/>
          <w:lang w:val="es-ES_tradnl"/>
        </w:rPr>
        <w:t xml:space="preserve">Visto lo anterior, una vez verificada la ausencia de requisitos y/o documentos de la oferta, para efectos de saber si se pueden subsanar, la Administración se debe preguntar, en primer lugar, si lo que hace falta es un documento que afecte la asignación de puntaje o no, en segundo lugar, si el cumplimiento del requisito constituye una circunstancia ocurrida con anterioridad o con posterioridad al cierre del proceso, y, en tercer lugar, si existe prohibición legal o en el pliego de condiciones para su subsanación. Para arribar a la conclusión de que lo omitido puede subsanarse, la respuesta al primer interrogante debe ser negativa, es decir, que lo omitido no sea un factor que afecte la asignación de puntaje, la respuesta al segundo interrogante debe dar cuenta de que lo omitido sea la prueba de una circunstancia o hecho que ocurrió con anterioridad al cierre del proceso y la respuesta a lo tercero debe ser que no existe disposición legal o en el pliego de condiciones que prohíba su subsanación. </w:t>
      </w:r>
    </w:p>
    <w:p w14:paraId="5F84BF5B" w14:textId="0B5FAF34" w:rsidR="003408F0" w:rsidRPr="00CC200E" w:rsidRDefault="003408F0" w:rsidP="00845C54">
      <w:pPr>
        <w:spacing w:after="120" w:line="276" w:lineRule="auto"/>
        <w:ind w:firstLine="709"/>
        <w:jc w:val="both"/>
        <w:rPr>
          <w:rFonts w:ascii="Arial" w:hAnsi="Arial" w:cs="Arial"/>
          <w:bCs/>
        </w:rPr>
      </w:pPr>
      <w:r w:rsidRPr="00CC200E">
        <w:rPr>
          <w:rFonts w:ascii="Arial" w:hAnsi="Arial" w:cs="Arial"/>
          <w:bCs/>
        </w:rPr>
        <w:t xml:space="preserve">Ahora bien, la Agencia debe diferenciar entre la regla sobre subsanación de ofertas en los procedimientos de selección, que acaba de explicarse, por un lado, y por el otro lo </w:t>
      </w:r>
      <w:r w:rsidRPr="00CC200E">
        <w:rPr>
          <w:rFonts w:ascii="Arial" w:hAnsi="Arial" w:cs="Arial"/>
          <w:bCs/>
        </w:rPr>
        <w:lastRenderedPageBreak/>
        <w:t xml:space="preserve">referido a la </w:t>
      </w:r>
      <w:r w:rsidRPr="00CC200E">
        <w:rPr>
          <w:rFonts w:ascii="Arial" w:hAnsi="Arial" w:cs="Arial"/>
          <w:bCs/>
          <w:i/>
          <w:iCs/>
        </w:rPr>
        <w:t>aclaración de las ofertas</w:t>
      </w:r>
      <w:r w:rsidRPr="00CC200E">
        <w:rPr>
          <w:rFonts w:ascii="Arial" w:hAnsi="Arial" w:cs="Arial"/>
          <w:bCs/>
        </w:rPr>
        <w:t xml:space="preserve">, cuestiones que resultan ser distintas, sin perjuicio de que ambas puedan ser considerados como elementos propios del principio de selección objetiva. Así, en aras de que la </w:t>
      </w:r>
      <w:r w:rsidR="00355DAA" w:rsidRPr="00CC200E">
        <w:rPr>
          <w:rFonts w:ascii="Arial" w:hAnsi="Arial" w:cs="Arial"/>
          <w:bCs/>
        </w:rPr>
        <w:t>E</w:t>
      </w:r>
      <w:r w:rsidRPr="00CC200E">
        <w:rPr>
          <w:rFonts w:ascii="Arial" w:hAnsi="Arial" w:cs="Arial"/>
          <w:bCs/>
        </w:rPr>
        <w:t>ntidad, al momento de evaluar las ofertas recibidas, pueda realizar tal evaluación de manera adecuada y contando con los elementos de juicio suficientes y necesarios para la comprensión integral de cada documento contenido en la oferta, puede acudir a la facultad que le otorga expresamente el numeral 7 del artículo 30 de la Ley 80 de 1993. Dicha norma señala que entre los componentes que deberá contener el pliego de condiciones incluye al “</w:t>
      </w:r>
      <w:r w:rsidRPr="00CC200E">
        <w:rPr>
          <w:rFonts w:ascii="Arial" w:hAnsi="Arial" w:cs="Arial"/>
          <w:bCs/>
          <w:i/>
          <w:iCs/>
        </w:rPr>
        <w:t>plazo razonable dentro del cual la entidad deberá elaborar los estudios técnicos, económicos y jurídicos necesarios para la evaluación de las propuestas y para solicitar a los proponentes las aclaraciones y explicaciones que se estimen indispensables”.</w:t>
      </w:r>
      <w:r w:rsidRPr="00CC200E">
        <w:rPr>
          <w:rFonts w:ascii="Arial" w:hAnsi="Arial" w:cs="Arial"/>
          <w:bCs/>
        </w:rPr>
        <w:t xml:space="preserve"> </w:t>
      </w:r>
    </w:p>
    <w:p w14:paraId="02AE006C" w14:textId="77777777" w:rsidR="003408F0" w:rsidRPr="00CC200E" w:rsidRDefault="003408F0" w:rsidP="00845C54">
      <w:pPr>
        <w:spacing w:after="120" w:line="276" w:lineRule="auto"/>
        <w:ind w:firstLine="709"/>
        <w:jc w:val="both"/>
        <w:rPr>
          <w:rFonts w:ascii="Arial" w:hAnsi="Arial" w:cs="Arial"/>
          <w:bCs/>
        </w:rPr>
      </w:pPr>
      <w:r w:rsidRPr="00CC200E">
        <w:rPr>
          <w:rFonts w:ascii="Arial" w:hAnsi="Arial" w:cs="Arial"/>
          <w:bCs/>
        </w:rPr>
        <w:t xml:space="preserve">La misma facultad en cabeza de la Administración se establece, entre otras, en el artículo 2.2.1.1.2.2.4. del Decreto 1082 de 2015, referido a las explicaciones que la Entidad Estatal deberá pedir al oferente, cuando advierta que su oferta contiene un precio artificialmente bajo. En similar sentido, el numeral 3 del artículo 2.2.1.2.1.3.12 incluye el deber de aclaración, en cabeza del organismo asesor dentro del concurso de arquitectura o la posibilidad con la que cuenta la Entidad Estatal para solicitar aclaraciones al originador del proyecto al tratarse de asociaciones público-privadas de iniciativa privada. Todas estas normas contienen ejemplos de aplicación del mismo principio de selección objetiva, porque pretenden que la entidad u organismo que evaluará la respectiva oferta o iniciativa, según el caso, cuente con el conocimiento e información veraz y suficiente para tomar una decisión acertada. </w:t>
      </w:r>
    </w:p>
    <w:p w14:paraId="6852D419" w14:textId="77777777" w:rsidR="003408F0" w:rsidRPr="00CC200E" w:rsidRDefault="003408F0" w:rsidP="00845C54">
      <w:pPr>
        <w:spacing w:after="120" w:line="276" w:lineRule="auto"/>
        <w:ind w:firstLine="709"/>
        <w:jc w:val="both"/>
        <w:rPr>
          <w:rFonts w:ascii="Arial" w:hAnsi="Arial" w:cs="Arial"/>
          <w:bCs/>
        </w:rPr>
      </w:pPr>
      <w:r w:rsidRPr="00CC200E">
        <w:rPr>
          <w:rFonts w:ascii="Arial" w:hAnsi="Arial" w:cs="Arial"/>
          <w:bCs/>
        </w:rPr>
        <w:t>En ese sentido, la facultad  de solicitar aclaraciones en cabeza de la entidad directora del proceso selección establecida, principal y genéricamente, en el artículo 30 de la Ley 80 de 1993, debe comprenderse bajo el entendido que el oferente cuya oferta requiera ser aclarada, no podrá, so pena de proceder de conformidad con el requerimiento de la entidad, realizar modificaciones que impliquen una mejora o alteración sustancial de la oferta, tal y como ha sido expresado por el Consejo de Estado.</w:t>
      </w:r>
    </w:p>
    <w:p w14:paraId="4C9FAB02" w14:textId="77777777" w:rsidR="003408F0" w:rsidRPr="00CC200E" w:rsidRDefault="003408F0" w:rsidP="00845C54">
      <w:pPr>
        <w:spacing w:after="120" w:line="276" w:lineRule="auto"/>
        <w:ind w:firstLine="709"/>
        <w:jc w:val="both"/>
        <w:rPr>
          <w:rFonts w:ascii="Arial" w:hAnsi="Arial" w:cs="Arial"/>
          <w:bCs/>
        </w:rPr>
      </w:pPr>
      <w:r w:rsidRPr="00CC200E">
        <w:rPr>
          <w:rFonts w:ascii="Arial" w:hAnsi="Arial" w:cs="Arial"/>
          <w:bCs/>
        </w:rPr>
        <w:t xml:space="preserve">Ahora bien, lo anterior no impide que se puedan hacer aclaraciones a las propuestas bien porque la Entidad Estatal las solicite en la etapa de evaluación de las mismas, o porque las realicen los oferentes en la etapa dispuesta para las observaciones a los informes de evaluación, pero siempre y cuando verse sobre aspectos meramente formales o adjetivos o que en todo caso no comporten una variación o corrección del fondo de la propuesta a favor de quien las presenta y en detrimento de la posición de los demás proponentes en la evaluación, esto es, sujetas a condición de que con las mismas no se altere de manera sustancial la información inicialmente suministrada y la situación de los oferentes en el proceso de licitación. Por eso, como es posible que por vía aclaratoria los proponentes intenten modificar o mejorar sus ofertas, hay que distinguir entre las simples aclaraciones </w:t>
      </w:r>
      <w:r w:rsidRPr="00CC200E">
        <w:rPr>
          <w:rFonts w:ascii="Arial" w:hAnsi="Arial" w:cs="Arial"/>
          <w:bCs/>
        </w:rPr>
        <w:lastRenderedPageBreak/>
        <w:t>de las propuestas y las modificaciones a estas; las primeras son los medios para que se pueda hacer perceptible, manifiesto, explícito o inteligible algún aspecto confuso de la propuesta, sin implicar una complementación, adición, modificación o mejora de dicho aspecto, que es, precisamente, en lo que consisten las segundas.</w:t>
      </w:r>
    </w:p>
    <w:p w14:paraId="24705A19" w14:textId="7C8B762F" w:rsidR="003408F0" w:rsidRPr="00CC200E" w:rsidRDefault="003408F0" w:rsidP="00845C54">
      <w:pPr>
        <w:spacing w:before="120" w:line="276" w:lineRule="auto"/>
        <w:ind w:firstLine="709"/>
        <w:jc w:val="both"/>
        <w:rPr>
          <w:rFonts w:ascii="Arial" w:hAnsi="Arial" w:cs="Arial"/>
          <w:bCs/>
        </w:rPr>
      </w:pPr>
      <w:bookmarkStart w:id="5" w:name="_Hlk121294835"/>
      <w:r w:rsidRPr="00CC200E">
        <w:rPr>
          <w:rFonts w:ascii="Arial" w:hAnsi="Arial" w:cs="Arial"/>
          <w:bCs/>
        </w:rPr>
        <w:t xml:space="preserve">La solicitud de aclaraciones permite que las </w:t>
      </w:r>
      <w:r w:rsidR="008810C6" w:rsidRPr="00CC200E">
        <w:rPr>
          <w:rFonts w:ascii="Arial" w:hAnsi="Arial" w:cs="Arial"/>
          <w:bCs/>
        </w:rPr>
        <w:t>E</w:t>
      </w:r>
      <w:r w:rsidRPr="00CC200E">
        <w:rPr>
          <w:rFonts w:ascii="Arial" w:hAnsi="Arial" w:cs="Arial"/>
          <w:bCs/>
        </w:rPr>
        <w:t xml:space="preserve">ntidades requieran a los proponentes esclarecer aspectos de sus propuestas que, en principio, resultan confusos para efectos de la evaluación, diferenciándose de la subsanabilidad, pues no parte del supuesto de la ausencia de requisitos de la oferta sino de la existencia de dudas en la misma, cuya explicación se requiere para la evaluar la propuesta. Esta diferencia es importante, pues </w:t>
      </w:r>
      <w:r w:rsidRPr="00CC200E">
        <w:rPr>
          <w:rFonts w:ascii="Arial" w:hAnsi="Arial" w:cs="Arial"/>
          <w:bCs/>
          <w:i/>
          <w:iCs/>
        </w:rPr>
        <w:t>es posible aclarar los requisitos que asignan puntaje</w:t>
      </w:r>
      <w:bookmarkEnd w:id="5"/>
      <w:r w:rsidRPr="00CC200E">
        <w:rPr>
          <w:rFonts w:ascii="Arial" w:hAnsi="Arial" w:cs="Arial"/>
          <w:bCs/>
        </w:rPr>
        <w:t>, tal como lo ha señalado la jurisprudencia en los siguientes términos:</w:t>
      </w:r>
    </w:p>
    <w:p w14:paraId="053D39EB" w14:textId="77777777" w:rsidR="003408F0" w:rsidRPr="00CC200E" w:rsidRDefault="003408F0" w:rsidP="00845C54">
      <w:pPr>
        <w:spacing w:line="276" w:lineRule="auto"/>
        <w:ind w:left="709" w:right="709"/>
        <w:contextualSpacing/>
        <w:jc w:val="both"/>
        <w:rPr>
          <w:rFonts w:ascii="Arial" w:hAnsi="Arial" w:cs="Arial"/>
          <w:bCs/>
        </w:rPr>
      </w:pPr>
    </w:p>
    <w:p w14:paraId="18E38EC4" w14:textId="77777777" w:rsidR="003408F0" w:rsidRPr="00CC200E" w:rsidRDefault="003408F0" w:rsidP="00845C54">
      <w:pPr>
        <w:ind w:left="709" w:right="709"/>
        <w:contextualSpacing/>
        <w:jc w:val="both"/>
        <w:rPr>
          <w:rFonts w:ascii="Arial" w:hAnsi="Arial" w:cs="Arial"/>
          <w:bCs/>
          <w:sz w:val="21"/>
          <w:szCs w:val="21"/>
        </w:rPr>
      </w:pPr>
      <w:bookmarkStart w:id="6" w:name="_3znysh7" w:colFirst="0" w:colLast="0"/>
      <w:bookmarkEnd w:id="6"/>
      <w:r w:rsidRPr="00CC200E">
        <w:rPr>
          <w:rFonts w:ascii="Arial" w:hAnsi="Arial" w:cs="Arial"/>
          <w:bCs/>
          <w:sz w:val="21"/>
          <w:szCs w:val="21"/>
        </w:rPr>
        <w:t>“Conforme al art. 30.7 las entidades deben garantizar el derecho que tienen los oferentes de aclarar los aspectos confusos de sus propuestas, facultad que le permitirá a la entidad definir su adecuación o no al pliego. Esta figura constituye una oportunidad propia del proceso de evaluación de las ofertas -que se diferencia de la subsanabilidad -, pues no parte del supuesto de la ausencia de requisitos de la oferta –los que hay que subsanar-, sino de la presencia de inconsistencias o falta de claridad en la oferta, […]. La importancia de diferenciarlos radica en que la aclaración o explicación se admite, incluso, sobre requisitos que afectan la comparación de las ofertas y/o inciden en la asignación del puntaje; se repite, siempre y cuando se trate de inconsistencias o falta de claridad, porque allí no se modifica el ofrecimiento, simplemente se aclara, es decir, se trata de hacer manifiesto lo que ya existe –sólo que es contradictorio o confuso-, se busca sacar a la luz lo que parece oscuro, no de subsanar algo, pues el requisito que admite ser aclarado tiene que estar incluido en la oferta, solo que la entidad tiene dudas sobre su alcance, contenido o acreditación, porque de la oferta se pueden inferir entendimientos diferentes”</w:t>
      </w:r>
      <w:r w:rsidRPr="00CC200E">
        <w:rPr>
          <w:rFonts w:ascii="Arial" w:hAnsi="Arial" w:cs="Arial"/>
          <w:bCs/>
          <w:sz w:val="21"/>
          <w:szCs w:val="21"/>
          <w:vertAlign w:val="superscript"/>
        </w:rPr>
        <w:footnoteReference w:id="25"/>
      </w:r>
    </w:p>
    <w:p w14:paraId="6CE8B6FD" w14:textId="77777777" w:rsidR="003408F0" w:rsidRPr="00CC200E" w:rsidRDefault="003408F0" w:rsidP="00845C54">
      <w:pPr>
        <w:spacing w:line="276" w:lineRule="auto"/>
        <w:ind w:left="709" w:right="709"/>
        <w:contextualSpacing/>
        <w:jc w:val="both"/>
        <w:rPr>
          <w:rFonts w:ascii="Arial" w:hAnsi="Arial" w:cs="Arial"/>
          <w:bCs/>
        </w:rPr>
      </w:pPr>
    </w:p>
    <w:p w14:paraId="36C0F42F" w14:textId="77777777" w:rsidR="003408F0" w:rsidRPr="00CC200E" w:rsidRDefault="003408F0" w:rsidP="00845C54">
      <w:pPr>
        <w:spacing w:after="120" w:line="276" w:lineRule="auto"/>
        <w:ind w:firstLine="709"/>
        <w:jc w:val="both"/>
        <w:rPr>
          <w:rFonts w:ascii="Arial" w:hAnsi="Arial" w:cs="Arial"/>
          <w:bCs/>
        </w:rPr>
      </w:pPr>
      <w:r w:rsidRPr="00CC200E">
        <w:rPr>
          <w:rFonts w:ascii="Arial" w:hAnsi="Arial" w:cs="Arial"/>
          <w:bCs/>
        </w:rPr>
        <w:t xml:space="preserve">De tal forma que, tal y como lo expresó la alta Corporación, aclarar una oferta no puede implicar su alteración sustancial o mejoría de sus componentes, sino limitarse a disipar lo que resulta borroso u otorgar claridad a lo que resulta oscuro o ininteligible. En este punto, se concluye, es distinto aclarar y subsanar una oferta, siendo este último un instituto que procura porque el oferente presente, dentro del plazo y bajo las condiciones dadas por la norma aplicable, los documentos que acrediten el cumplimiento de los requisitos exigidos como habilitantes para participar en el respectivo procedimiento de selección, mientras que la aclaración permite mejor el entendimiento de los elementos de </w:t>
      </w:r>
      <w:r w:rsidRPr="00CC200E">
        <w:rPr>
          <w:rFonts w:ascii="Arial" w:hAnsi="Arial" w:cs="Arial"/>
          <w:bCs/>
        </w:rPr>
        <w:lastRenderedPageBreak/>
        <w:t xml:space="preserve">la oferta, sean o no subsanables, para la correcta verificación y evaluación de los mismos por parte de la entidad pública.  </w:t>
      </w:r>
    </w:p>
    <w:p w14:paraId="236474AF" w14:textId="77777777" w:rsidR="003408F0" w:rsidRPr="00CC200E" w:rsidRDefault="003408F0" w:rsidP="00845C54">
      <w:pPr>
        <w:spacing w:after="120" w:line="276" w:lineRule="auto"/>
        <w:ind w:firstLine="709"/>
        <w:jc w:val="both"/>
        <w:rPr>
          <w:rFonts w:ascii="Arial" w:hAnsi="Arial" w:cs="Arial"/>
          <w:bCs/>
          <w:i/>
          <w:iCs/>
        </w:rPr>
      </w:pPr>
      <w:r w:rsidRPr="00CC200E">
        <w:rPr>
          <w:rFonts w:ascii="Arial" w:hAnsi="Arial" w:cs="Arial"/>
          <w:bCs/>
        </w:rPr>
        <w:t>Ahora bien, como dispone el numeral 7 del artículo 30 de la Ley 80 de 1993, la aclaración de las propuestas se realiza durante la evaluación de estas, pues es necesario esclarecer los aspectos dudosos de las ofertas antes de la adjudicación</w:t>
      </w:r>
      <w:r w:rsidRPr="00CC200E">
        <w:rPr>
          <w:rStyle w:val="Refdenotaalpie"/>
          <w:rFonts w:ascii="Arial" w:hAnsi="Arial" w:cs="Arial"/>
        </w:rPr>
        <w:footnoteReference w:id="26"/>
      </w:r>
      <w:r w:rsidRPr="00CC200E">
        <w:rPr>
          <w:rFonts w:ascii="Arial" w:hAnsi="Arial" w:cs="Arial"/>
          <w:bCs/>
        </w:rPr>
        <w:t xml:space="preserve">. Por ello, la jurisprudencia también explica que </w:t>
      </w:r>
      <w:r w:rsidRPr="00CC200E">
        <w:rPr>
          <w:rFonts w:ascii="Arial" w:hAnsi="Arial" w:cs="Arial"/>
          <w:bCs/>
          <w:i/>
          <w:iCs/>
        </w:rPr>
        <w:t>“[…] el proponente debe acogerse al tiempo que le otorga la administración para subsanar o aclarar la oferta, lapso que la entidad no puede extender más allá de la adjudicación […]”</w:t>
      </w:r>
      <w:r w:rsidRPr="00CC200E">
        <w:rPr>
          <w:rFonts w:ascii="Arial" w:hAnsi="Arial" w:cs="Arial"/>
          <w:bCs/>
          <w:i/>
          <w:iCs/>
          <w:vertAlign w:val="superscript"/>
        </w:rPr>
        <w:footnoteReference w:id="27"/>
      </w:r>
      <w:r w:rsidRPr="00CC200E">
        <w:rPr>
          <w:rFonts w:ascii="Arial" w:hAnsi="Arial" w:cs="Arial"/>
          <w:bCs/>
          <w:i/>
          <w:iCs/>
        </w:rPr>
        <w:t>.</w:t>
      </w:r>
      <w:r w:rsidRPr="00CC200E">
        <w:rPr>
          <w:rFonts w:ascii="Arial" w:hAnsi="Arial" w:cs="Arial"/>
          <w:bCs/>
        </w:rPr>
        <w:t xml:space="preserve"> De esta manera, “</w:t>
      </w:r>
      <w:r w:rsidRPr="00CC200E">
        <w:rPr>
          <w:rFonts w:ascii="Arial" w:hAnsi="Arial" w:cs="Arial"/>
          <w:bCs/>
          <w:i/>
          <w:iCs/>
        </w:rPr>
        <w:t>lo ideal en un proceso de selección es que las aclaraciones y explicaciones se anticipen y soliciten durante la etapa de evaluación, lo más pronto posible, es decir, antes de que la entidad elabore el informe respectivo, de tal manera que las tenga en cuenta para producir ese acto administrativo”.</w:t>
      </w:r>
      <w:r w:rsidRPr="00CC200E">
        <w:rPr>
          <w:rFonts w:ascii="Arial" w:hAnsi="Arial" w:cs="Arial"/>
          <w:bCs/>
          <w:i/>
          <w:iCs/>
          <w:vertAlign w:val="superscript"/>
        </w:rPr>
        <w:footnoteReference w:id="28"/>
      </w:r>
      <w:r w:rsidRPr="00CC200E">
        <w:rPr>
          <w:rFonts w:ascii="Arial" w:hAnsi="Arial" w:cs="Arial"/>
          <w:bCs/>
          <w:i/>
          <w:iCs/>
        </w:rPr>
        <w:t xml:space="preserve"> </w:t>
      </w:r>
    </w:p>
    <w:p w14:paraId="5FDD2D99" w14:textId="77777777" w:rsidR="003408F0" w:rsidRDefault="003408F0" w:rsidP="00845C54">
      <w:pPr>
        <w:tabs>
          <w:tab w:val="left" w:pos="426"/>
        </w:tabs>
        <w:spacing w:after="120" w:line="276" w:lineRule="auto"/>
        <w:jc w:val="both"/>
        <w:rPr>
          <w:rFonts w:ascii="Arial" w:hAnsi="Arial" w:cs="Arial"/>
        </w:rPr>
      </w:pPr>
      <w:r w:rsidRPr="00CC200E">
        <w:rPr>
          <w:rFonts w:ascii="Arial" w:eastAsia="Calibri" w:hAnsi="Arial" w:cs="Arial"/>
          <w:b/>
          <w:bCs/>
        </w:rPr>
        <w:tab/>
      </w:r>
      <w:r w:rsidRPr="00CC200E">
        <w:rPr>
          <w:rFonts w:ascii="Arial" w:eastAsia="Calibri" w:hAnsi="Arial" w:cs="Arial"/>
          <w:b/>
          <w:bCs/>
        </w:rPr>
        <w:tab/>
      </w:r>
      <w:r w:rsidRPr="00CC200E">
        <w:rPr>
          <w:rFonts w:ascii="Arial" w:eastAsia="Calibri" w:hAnsi="Arial" w:cs="Arial"/>
        </w:rPr>
        <w:t xml:space="preserve">De conformidad con lo expuesto y teniendo en cuenta que </w:t>
      </w:r>
      <w:r w:rsidRPr="00CC200E">
        <w:rPr>
          <w:rFonts w:ascii="Arial" w:hAnsi="Arial" w:cs="Arial"/>
          <w:i/>
          <w:iCs/>
        </w:rPr>
        <w:t>la Capacidad Residual es un requisito habilitante</w:t>
      </w:r>
      <w:r w:rsidRPr="00CC200E">
        <w:rPr>
          <w:rFonts w:ascii="Arial" w:hAnsi="Arial" w:cs="Arial"/>
        </w:rPr>
        <w:t xml:space="preserve"> está sujeta a la posibilidad de solicitarle aclaración, con el fin de esclarecer dudas sobre aspectos de la información presentada por el proponente y de igual forma, esa sujeta a la posibilidad de subsanar la ausencia de requisitos, siempre que se cumpla con los límites temporales y materiales descritos, es decir, </w:t>
      </w:r>
      <w:r w:rsidRPr="00CC200E">
        <w:rPr>
          <w:rFonts w:ascii="Arial" w:hAnsi="Arial" w:cs="Arial"/>
          <w:lang w:val="es-ES_tradnl"/>
        </w:rPr>
        <w:t>que lo omitido no sea un factor que afecte la asignación de puntaje, sea la prueba de una circunstancia o hecho que ocurrió con anterioridad al cierre del proceso y no existe disposición legal o en el pliego de condiciones que prohíba su subsanación</w:t>
      </w:r>
      <w:r w:rsidRPr="00CC200E">
        <w:rPr>
          <w:rFonts w:ascii="Arial" w:hAnsi="Arial" w:cs="Arial"/>
        </w:rPr>
        <w:t xml:space="preserve">. </w:t>
      </w:r>
    </w:p>
    <w:p w14:paraId="7ED55589" w14:textId="5A6CE661" w:rsidR="00902436" w:rsidRDefault="00902436" w:rsidP="00902436">
      <w:pPr>
        <w:spacing w:after="0" w:line="276" w:lineRule="auto"/>
        <w:jc w:val="both"/>
        <w:rPr>
          <w:rFonts w:ascii="Arial" w:hAnsi="Arial" w:cs="Arial"/>
          <w:b/>
          <w:bCs/>
          <w:lang w:val="es-ES"/>
        </w:rPr>
      </w:pPr>
      <w:r w:rsidRPr="00EA702B">
        <w:rPr>
          <w:rFonts w:ascii="Arial" w:eastAsia="Calibri" w:hAnsi="Arial" w:cs="Arial"/>
          <w:b/>
          <w:bCs/>
          <w:lang w:eastAsia="es-MX"/>
        </w:rPr>
        <w:t>2.</w:t>
      </w:r>
      <w:r w:rsidR="00EA05AC">
        <w:rPr>
          <w:rFonts w:ascii="Arial" w:eastAsia="Calibri" w:hAnsi="Arial" w:cs="Arial"/>
          <w:b/>
          <w:bCs/>
          <w:lang w:eastAsia="es-MX"/>
        </w:rPr>
        <w:t>6</w:t>
      </w:r>
      <w:r w:rsidRPr="00EA702B">
        <w:rPr>
          <w:rFonts w:ascii="Arial" w:eastAsia="Calibri" w:hAnsi="Arial" w:cs="Arial"/>
          <w:b/>
          <w:bCs/>
          <w:lang w:eastAsia="es-MX"/>
        </w:rPr>
        <w:t xml:space="preserve">. </w:t>
      </w:r>
      <w:r w:rsidRPr="00EA702B">
        <w:rPr>
          <w:rFonts w:ascii="Arial" w:eastAsia="Calibri" w:hAnsi="Arial" w:cs="Arial"/>
          <w:b/>
          <w:bCs/>
          <w:lang w:val="es-ES"/>
        </w:rPr>
        <w:t>La</w:t>
      </w:r>
      <w:r w:rsidRPr="00EA702B">
        <w:rPr>
          <w:rFonts w:ascii="Arial" w:hAnsi="Arial" w:cs="Arial"/>
          <w:b/>
          <w:bCs/>
          <w:lang w:val="es-ES"/>
        </w:rPr>
        <w:t xml:space="preserve"> capacidad residual en los procesos de contratación de obra pública.</w:t>
      </w:r>
    </w:p>
    <w:p w14:paraId="593F73E9" w14:textId="77777777" w:rsidR="00902436" w:rsidRPr="00EA702B" w:rsidRDefault="00902436" w:rsidP="00902436">
      <w:pPr>
        <w:spacing w:after="0" w:line="276" w:lineRule="auto"/>
        <w:jc w:val="both"/>
        <w:rPr>
          <w:rFonts w:ascii="Arial" w:hAnsi="Arial" w:cs="Arial"/>
          <w:lang w:val="es-ES"/>
        </w:rPr>
      </w:pPr>
    </w:p>
    <w:p w14:paraId="724E9752" w14:textId="77777777" w:rsidR="00902436" w:rsidRDefault="00902436" w:rsidP="00902436">
      <w:pPr>
        <w:spacing w:after="0" w:line="276" w:lineRule="auto"/>
        <w:jc w:val="both"/>
        <w:rPr>
          <w:rFonts w:ascii="Arial" w:hAnsi="Arial" w:cs="Arial"/>
          <w:color w:val="000000" w:themeColor="text1"/>
          <w:lang w:val="es-MX"/>
        </w:rPr>
      </w:pPr>
      <w:r w:rsidRPr="00EA702B">
        <w:rPr>
          <w:rFonts w:ascii="Arial" w:hAnsi="Arial" w:cs="Arial"/>
          <w:color w:val="000000" w:themeColor="text1"/>
          <w:lang w:val="es-MX"/>
        </w:rPr>
        <w:t xml:space="preserve">De acuerdo con la definición establecida en el artículo 2.2.1.1.1.3.1. del Decreto 1082 de 2015, la </w:t>
      </w:r>
      <w:r w:rsidRPr="00E43FE1">
        <w:rPr>
          <w:rFonts w:ascii="Arial" w:hAnsi="Arial" w:cs="Arial"/>
          <w:i/>
          <w:iCs/>
          <w:color w:val="000000" w:themeColor="text1"/>
          <w:lang w:val="es-MX"/>
        </w:rPr>
        <w:t>capacidad residual</w:t>
      </w:r>
      <w:r w:rsidRPr="00EA702B">
        <w:rPr>
          <w:rFonts w:ascii="Arial" w:hAnsi="Arial" w:cs="Arial"/>
          <w:color w:val="000000" w:themeColor="text1"/>
          <w:lang w:val="es-MX"/>
        </w:rPr>
        <w:t xml:space="preserve"> </w:t>
      </w:r>
      <w:r>
        <w:rPr>
          <w:rFonts w:ascii="Arial" w:hAnsi="Arial" w:cs="Arial"/>
          <w:color w:val="000000" w:themeColor="text1"/>
          <w:lang w:val="es-MX"/>
        </w:rPr>
        <w:t xml:space="preserve">o </w:t>
      </w:r>
      <w:r w:rsidRPr="00E43FE1">
        <w:rPr>
          <w:rFonts w:ascii="Arial" w:hAnsi="Arial" w:cs="Arial"/>
          <w:i/>
          <w:iCs/>
          <w:color w:val="000000" w:themeColor="text1"/>
          <w:lang w:val="es-MX"/>
        </w:rPr>
        <w:t>K de contratación</w:t>
      </w:r>
      <w:r>
        <w:rPr>
          <w:rFonts w:ascii="Arial" w:hAnsi="Arial" w:cs="Arial"/>
          <w:color w:val="000000" w:themeColor="text1"/>
          <w:lang w:val="es-MX"/>
        </w:rPr>
        <w:t xml:space="preserve"> </w:t>
      </w:r>
      <w:r w:rsidRPr="00EA702B">
        <w:rPr>
          <w:rFonts w:ascii="Arial" w:hAnsi="Arial" w:cs="Arial"/>
          <w:color w:val="000000" w:themeColor="text1"/>
          <w:lang w:val="es-MX"/>
        </w:rPr>
        <w:t>es la aptitud de los oferentes para cumplir de manera oportuna y a cabalidad el objeto de un contrato de obra, sin que los demás compromisos contractuales que han adquirido afecten su habilidad para cumplir el objeto del contrato que está en proceso de selección</w:t>
      </w:r>
      <w:r w:rsidRPr="00EA702B">
        <w:rPr>
          <w:rFonts w:ascii="Arial" w:hAnsi="Arial" w:cs="Arial"/>
          <w:color w:val="000000" w:themeColor="text1"/>
          <w:vertAlign w:val="superscript"/>
          <w:lang w:val="es-MX"/>
        </w:rPr>
        <w:footnoteReference w:id="29"/>
      </w:r>
      <w:r w:rsidRPr="00EA702B">
        <w:rPr>
          <w:rFonts w:ascii="Arial" w:hAnsi="Arial" w:cs="Arial"/>
          <w:color w:val="000000" w:themeColor="text1"/>
          <w:lang w:val="es-MX"/>
        </w:rPr>
        <w:t xml:space="preserve">. Por su parte, el Consejo de Estado ha </w:t>
      </w:r>
      <w:r w:rsidRPr="00EA702B">
        <w:rPr>
          <w:rFonts w:ascii="Arial" w:hAnsi="Arial" w:cs="Arial"/>
          <w:color w:val="000000" w:themeColor="text1"/>
          <w:lang w:val="es-MX"/>
        </w:rPr>
        <w:lastRenderedPageBreak/>
        <w:t>definido la capacidad residual como “[…] la diferencia que existe entre el potencial de contratación que se tiene y los compromisos que haya adquirido y que se encuentren en ejecución, para la fecha de presentación de la oferta”</w:t>
      </w:r>
      <w:r w:rsidRPr="00EA702B">
        <w:rPr>
          <w:rFonts w:ascii="Arial" w:eastAsia="Calibri" w:hAnsi="Arial" w:cs="Arial"/>
          <w:color w:val="000000" w:themeColor="text1"/>
          <w:vertAlign w:val="superscript"/>
          <w:lang w:val="es-MX"/>
        </w:rPr>
        <w:footnoteReference w:id="30"/>
      </w:r>
      <w:r w:rsidRPr="00EA702B">
        <w:rPr>
          <w:rFonts w:ascii="Arial" w:hAnsi="Arial" w:cs="Arial"/>
          <w:color w:val="000000" w:themeColor="text1"/>
          <w:lang w:val="es-MX"/>
        </w:rPr>
        <w:t xml:space="preserve">.En tales términos, la capacidad residual hace referencia a la suficiencia que tiene el proponente para asumir nuevas obligaciones que se derivan del contrato objeto del proceso de contratación, en relación con las obligaciones que ya adquirió frente a otros contratos. </w:t>
      </w:r>
    </w:p>
    <w:p w14:paraId="7670F0D9" w14:textId="77777777" w:rsidR="00D363FB" w:rsidRPr="00EA702B" w:rsidRDefault="00D363FB" w:rsidP="00902436">
      <w:pPr>
        <w:spacing w:after="0" w:line="276" w:lineRule="auto"/>
        <w:jc w:val="both"/>
        <w:rPr>
          <w:rFonts w:ascii="Arial" w:hAnsi="Arial" w:cs="Arial"/>
          <w:color w:val="000000" w:themeColor="text1"/>
          <w:lang w:val="es-MX"/>
        </w:rPr>
      </w:pPr>
    </w:p>
    <w:p w14:paraId="4C101149" w14:textId="77777777" w:rsidR="00902436" w:rsidRPr="00582636" w:rsidRDefault="00902436" w:rsidP="00902436">
      <w:pPr>
        <w:spacing w:after="120" w:line="276" w:lineRule="auto"/>
        <w:ind w:firstLine="708"/>
        <w:jc w:val="both"/>
        <w:rPr>
          <w:rFonts w:ascii="Arial" w:hAnsi="Arial" w:cs="Arial"/>
          <w:color w:val="000000" w:themeColor="text1"/>
          <w:lang w:val="es-MX"/>
        </w:rPr>
      </w:pPr>
      <w:r w:rsidRPr="00EA702B">
        <w:rPr>
          <w:rFonts w:ascii="Arial" w:hAnsi="Arial" w:cs="Arial"/>
          <w:color w:val="000000" w:themeColor="text1"/>
          <w:lang w:val="es-MX"/>
        </w:rPr>
        <w:t xml:space="preserve">El parágrafo 1 artículo 6 de la Ley 1150 de 2007 estableció como condición “para poder participar en los procesos de selección de los contratos de obra, la capacidad residual del proponente o </w:t>
      </w:r>
      <w:r w:rsidRPr="00EA702B">
        <w:rPr>
          <w:rFonts w:ascii="Arial" w:hAnsi="Arial" w:cs="Arial"/>
          <w:i/>
          <w:iCs/>
          <w:color w:val="000000" w:themeColor="text1"/>
          <w:lang w:val="es-MX"/>
        </w:rPr>
        <w:t>K</w:t>
      </w:r>
      <w:r w:rsidRPr="00EA702B">
        <w:rPr>
          <w:rFonts w:ascii="Arial" w:hAnsi="Arial" w:cs="Arial"/>
          <w:color w:val="000000" w:themeColor="text1"/>
          <w:lang w:val="es-MX"/>
        </w:rPr>
        <w:t xml:space="preserve"> de contratación”. Además, determinó que esta debe ser igual o superior a la establecida en los pliegos de condiciones, en los siguientes términos: </w:t>
      </w:r>
    </w:p>
    <w:p w14:paraId="1F73F7F6" w14:textId="77777777" w:rsidR="00902436" w:rsidRPr="0056673D" w:rsidRDefault="00902436" w:rsidP="00902436">
      <w:pPr>
        <w:spacing w:after="120" w:line="276" w:lineRule="auto"/>
        <w:ind w:left="708" w:right="709"/>
        <w:jc w:val="both"/>
        <w:rPr>
          <w:rFonts w:ascii="Arial" w:eastAsia="Calibri" w:hAnsi="Arial" w:cs="Arial"/>
          <w:color w:val="000000" w:themeColor="text1"/>
          <w:sz w:val="21"/>
          <w:szCs w:val="21"/>
          <w:lang w:val="es-MX"/>
        </w:rPr>
      </w:pPr>
      <w:r>
        <w:rPr>
          <w:rFonts w:ascii="Arial" w:eastAsia="Calibri" w:hAnsi="Arial" w:cs="Arial"/>
          <w:color w:val="000000" w:themeColor="text1"/>
          <w:sz w:val="21"/>
          <w:szCs w:val="21"/>
          <w:lang w:val="es-MX"/>
        </w:rPr>
        <w:t>“</w:t>
      </w:r>
      <w:r w:rsidRPr="0056673D">
        <w:rPr>
          <w:rFonts w:ascii="Arial" w:eastAsia="Calibri" w:hAnsi="Arial" w:cs="Arial"/>
          <w:color w:val="000000" w:themeColor="text1"/>
          <w:sz w:val="21"/>
          <w:szCs w:val="21"/>
          <w:lang w:val="es-MX"/>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3EFC550F" w14:textId="77777777" w:rsidR="00902436" w:rsidRPr="0056673D" w:rsidRDefault="00902436" w:rsidP="00902436">
      <w:pPr>
        <w:spacing w:after="120" w:line="276" w:lineRule="auto"/>
        <w:ind w:left="708" w:right="709"/>
        <w:jc w:val="both"/>
        <w:rPr>
          <w:rFonts w:ascii="Arial" w:eastAsia="Calibri" w:hAnsi="Arial" w:cs="Arial"/>
          <w:color w:val="000000" w:themeColor="text1"/>
          <w:sz w:val="21"/>
          <w:szCs w:val="21"/>
          <w:lang w:val="es-MX"/>
        </w:rPr>
      </w:pPr>
      <w:r w:rsidRPr="0056673D">
        <w:rPr>
          <w:rFonts w:ascii="Arial" w:eastAsia="Calibri" w:hAnsi="Arial" w:cs="Arial"/>
          <w:color w:val="000000" w:themeColor="text1"/>
          <w:sz w:val="21"/>
          <w:szCs w:val="21"/>
          <w:lang w:val="es-MX"/>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7157FF3B" w14:textId="77777777" w:rsidR="00902436" w:rsidRPr="00EA702B" w:rsidRDefault="00902436" w:rsidP="00902436">
      <w:pPr>
        <w:spacing w:after="120" w:line="276" w:lineRule="auto"/>
        <w:ind w:firstLine="709"/>
        <w:jc w:val="both"/>
        <w:rPr>
          <w:rFonts w:ascii="Arial" w:hAnsi="Arial" w:cs="Arial"/>
          <w:color w:val="000000" w:themeColor="text1"/>
          <w:lang w:val="es-MX"/>
        </w:rPr>
      </w:pPr>
      <w:r w:rsidRPr="00EA702B">
        <w:rPr>
          <w:rFonts w:ascii="Arial" w:hAnsi="Arial" w:cs="Arial"/>
          <w:color w:val="000000" w:themeColor="text1"/>
          <w:lang w:val="es-MX"/>
        </w:rPr>
        <w:t xml:space="preserve">Por su parte, el artículo 72 de la Ley 1682 de 2013, por la cual se adoptan medidas y disposiciones para los proyectos de infraestructura de transporte, estableció que la capacidad residual del proponente se debe calcular mediante la evaluación de los siguientes factores: Experiencia –E–, Capacidad Financiera –CF–, Capacidad Técnica –CT– y Capacidad de </w:t>
      </w:r>
      <w:r w:rsidRPr="00EA702B">
        <w:rPr>
          <w:rFonts w:ascii="Arial" w:eastAsia="Calibri" w:hAnsi="Arial" w:cs="Arial"/>
          <w:bCs/>
          <w:color w:val="000000" w:themeColor="text1"/>
          <w:lang w:val="es-MX"/>
        </w:rPr>
        <w:t>Organización</w:t>
      </w:r>
      <w:r w:rsidRPr="00EA702B">
        <w:rPr>
          <w:rFonts w:ascii="Arial" w:hAnsi="Arial" w:cs="Arial"/>
          <w:color w:val="000000" w:themeColor="text1"/>
          <w:lang w:val="es-MX"/>
        </w:rPr>
        <w:t xml:space="preserve"> –CO–. </w:t>
      </w:r>
    </w:p>
    <w:p w14:paraId="57E77205" w14:textId="77777777" w:rsidR="00902436" w:rsidRPr="00EA702B" w:rsidRDefault="00902436" w:rsidP="00902436">
      <w:pPr>
        <w:spacing w:after="120" w:line="276" w:lineRule="auto"/>
        <w:ind w:firstLine="709"/>
        <w:jc w:val="both"/>
        <w:rPr>
          <w:rFonts w:ascii="Arial" w:eastAsia="Calibri" w:hAnsi="Arial" w:cs="Arial"/>
          <w:color w:val="000000" w:themeColor="text1"/>
          <w:lang w:val="es-MX"/>
        </w:rPr>
      </w:pPr>
      <w:r w:rsidRPr="00EA702B">
        <w:rPr>
          <w:rFonts w:ascii="Arial" w:eastAsia="Calibri" w:hAnsi="Arial" w:cs="Arial"/>
          <w:color w:val="000000" w:themeColor="text1"/>
          <w:lang w:val="es-MX"/>
        </w:rPr>
        <w:t>Igualmente, el artículo 2.2.1.1.1.6.4 del Decreto 1082 de 2015, establece que las entidades estatales deberán calcular la capacidad residual conforme a la metodología definida por Colombia Compre Eficiente y precisó que, para tales fines, resulta necesario tener en cuenta los factores de: i) experiencia; ii) capacidad financiera; iii) capacidad técnica; iv) capacidad de organización; y v) los saldos de los contratos en ejecución, así:</w:t>
      </w:r>
    </w:p>
    <w:p w14:paraId="650DFFC2" w14:textId="77777777" w:rsidR="00902436" w:rsidRPr="00EA702B" w:rsidRDefault="00902436" w:rsidP="00902436">
      <w:pPr>
        <w:spacing w:after="120" w:line="276" w:lineRule="auto"/>
        <w:ind w:right="709" w:firstLine="709"/>
        <w:jc w:val="both"/>
        <w:rPr>
          <w:rFonts w:ascii="Arial" w:eastAsia="Calibri" w:hAnsi="Arial" w:cs="Arial"/>
          <w:color w:val="000000" w:themeColor="text1"/>
          <w:lang w:val="es-MX"/>
        </w:rPr>
      </w:pPr>
    </w:p>
    <w:p w14:paraId="65199C6D" w14:textId="77777777" w:rsidR="00902436" w:rsidRPr="0056673D" w:rsidRDefault="00902436" w:rsidP="00902436">
      <w:pPr>
        <w:spacing w:after="120"/>
        <w:ind w:left="709" w:right="709"/>
        <w:jc w:val="both"/>
        <w:rPr>
          <w:rFonts w:ascii="Arial" w:eastAsia="Calibri" w:hAnsi="Arial" w:cs="Arial"/>
          <w:color w:val="000000" w:themeColor="text1"/>
          <w:sz w:val="21"/>
          <w:szCs w:val="21"/>
          <w:lang w:val="es-MX"/>
        </w:rPr>
      </w:pPr>
      <w:r>
        <w:rPr>
          <w:rFonts w:ascii="Arial" w:eastAsia="Calibri" w:hAnsi="Arial" w:cs="Arial"/>
          <w:color w:val="000000" w:themeColor="text1"/>
          <w:sz w:val="21"/>
          <w:szCs w:val="21"/>
          <w:lang w:val="es-MX"/>
        </w:rPr>
        <w:t>“</w:t>
      </w:r>
      <w:r w:rsidRPr="0056673D">
        <w:rPr>
          <w:rFonts w:ascii="Arial" w:eastAsia="Calibri" w:hAnsi="Arial" w:cs="Arial"/>
          <w:color w:val="000000" w:themeColor="text1"/>
          <w:sz w:val="21"/>
          <w:szCs w:val="21"/>
          <w:lang w:val="es-MX"/>
        </w:rPr>
        <w:t>Artículo 2.2.1.1.1.6.4. Capacidad Residual. El interesado en celebrar contratos de obra pública con Entidades Estatales debe acreditar su Capacidad Residual o K de Contratación con los siguientes documentos: […]</w:t>
      </w:r>
    </w:p>
    <w:p w14:paraId="2292F178" w14:textId="77777777" w:rsidR="00902436" w:rsidRPr="0056673D" w:rsidRDefault="00902436" w:rsidP="00902436">
      <w:pPr>
        <w:spacing w:after="120"/>
        <w:ind w:left="709" w:right="709"/>
        <w:jc w:val="both"/>
        <w:rPr>
          <w:rFonts w:ascii="Arial" w:eastAsia="Calibri" w:hAnsi="Arial" w:cs="Arial"/>
          <w:color w:val="000000" w:themeColor="text1"/>
          <w:sz w:val="21"/>
          <w:szCs w:val="21"/>
          <w:lang w:val="es-MX"/>
        </w:rPr>
      </w:pPr>
      <w:r w:rsidRPr="0056673D">
        <w:rPr>
          <w:rFonts w:ascii="Arial" w:eastAsia="Calibri" w:hAnsi="Arial" w:cs="Arial"/>
          <w:color w:val="000000" w:themeColor="text1"/>
          <w:sz w:val="21"/>
          <w:szCs w:val="21"/>
          <w:lang w:val="es-MX"/>
        </w:rPr>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w:t>
      </w:r>
      <w:r>
        <w:rPr>
          <w:rFonts w:ascii="Arial" w:eastAsia="Calibri" w:hAnsi="Arial" w:cs="Arial"/>
          <w:color w:val="000000" w:themeColor="text1"/>
          <w:sz w:val="21"/>
          <w:szCs w:val="21"/>
          <w:lang w:val="es-MX"/>
        </w:rPr>
        <w:t>”</w:t>
      </w:r>
      <w:r w:rsidRPr="0056673D">
        <w:rPr>
          <w:rFonts w:ascii="Arial" w:eastAsia="Calibri" w:hAnsi="Arial" w:cs="Arial"/>
          <w:color w:val="000000" w:themeColor="text1"/>
          <w:sz w:val="21"/>
          <w:szCs w:val="21"/>
          <w:lang w:val="es-MX"/>
        </w:rPr>
        <w:t>.</w:t>
      </w:r>
    </w:p>
    <w:p w14:paraId="7A464356" w14:textId="77777777" w:rsidR="00902436" w:rsidRPr="00EA702B" w:rsidRDefault="00902436" w:rsidP="00902436">
      <w:pPr>
        <w:widowControl w:val="0"/>
        <w:autoSpaceDE w:val="0"/>
        <w:autoSpaceDN w:val="0"/>
        <w:spacing w:after="120" w:line="276" w:lineRule="auto"/>
        <w:ind w:firstLine="709"/>
        <w:jc w:val="both"/>
        <w:rPr>
          <w:rFonts w:ascii="Arial" w:eastAsia="Arial" w:hAnsi="Arial" w:cs="Arial"/>
        </w:rPr>
      </w:pPr>
      <w:r w:rsidRPr="00EA702B">
        <w:rPr>
          <w:rFonts w:ascii="Arial" w:eastAsia="Arial" w:hAnsi="Arial" w:cs="Arial"/>
        </w:rPr>
        <w:t>De conformidad con lo anterior, esta Agencia expidió la “Guía para Determinar y Verificar la Capacidad Residual del Proponente en los Procesos de Contratación de Obra Pública”. En este documento se establece, entre otras cuestiones, que a la entidad contratante le corresponde, primero, establecer la capacidad residual del proceso de contratación “CRPC” y, segundo, determinar si los proponentes cumplen con la capacidad residual del proceso de contratación, claro está, teniendo en cuenta la siguiente información aportada por el proponente:</w:t>
      </w:r>
    </w:p>
    <w:p w14:paraId="749223AA" w14:textId="77777777" w:rsidR="00902436" w:rsidRPr="00582636" w:rsidRDefault="00902436" w:rsidP="00902436">
      <w:pPr>
        <w:widowControl w:val="0"/>
        <w:numPr>
          <w:ilvl w:val="0"/>
          <w:numId w:val="8"/>
        </w:numPr>
        <w:tabs>
          <w:tab w:val="left" w:pos="993"/>
        </w:tabs>
        <w:autoSpaceDE w:val="0"/>
        <w:autoSpaceDN w:val="0"/>
        <w:spacing w:after="120" w:line="240" w:lineRule="auto"/>
        <w:ind w:left="709" w:right="709"/>
        <w:jc w:val="both"/>
        <w:rPr>
          <w:rFonts w:ascii="Arial" w:eastAsia="Arial" w:hAnsi="Arial" w:cs="Arial"/>
        </w:rPr>
      </w:pPr>
      <w:r w:rsidRPr="00EA702B">
        <w:rPr>
          <w:rFonts w:ascii="Arial" w:eastAsia="Arial" w:hAnsi="Arial" w:cs="Arial"/>
        </w:rPr>
        <w:t>La lista de los Contratos en Ejecución, así como el valor y plazo de tales contratos.</w:t>
      </w:r>
    </w:p>
    <w:p w14:paraId="256F207A" w14:textId="77777777" w:rsidR="00902436" w:rsidRPr="00582636" w:rsidRDefault="00902436" w:rsidP="00902436">
      <w:pPr>
        <w:widowControl w:val="0"/>
        <w:numPr>
          <w:ilvl w:val="0"/>
          <w:numId w:val="8"/>
        </w:numPr>
        <w:tabs>
          <w:tab w:val="left" w:pos="993"/>
        </w:tabs>
        <w:autoSpaceDE w:val="0"/>
        <w:autoSpaceDN w:val="0"/>
        <w:spacing w:after="120" w:line="240" w:lineRule="auto"/>
        <w:ind w:left="709" w:right="709"/>
        <w:jc w:val="both"/>
        <w:rPr>
          <w:rFonts w:ascii="Arial" w:eastAsia="Arial" w:hAnsi="Arial" w:cs="Arial"/>
        </w:rPr>
      </w:pPr>
      <w:r w:rsidRPr="00EA702B">
        <w:rPr>
          <w:rFonts w:ascii="Arial" w:eastAsia="Arial" w:hAnsi="Arial" w:cs="Arial"/>
        </w:rPr>
        <w:t>La lista de los Contratos en Ejecución, suscritos por sociedades, consorcios o uniones temporales, en los cuales el proponente tenga participación, así como el valor y plazo de tales contratos.</w:t>
      </w:r>
    </w:p>
    <w:p w14:paraId="333DBB91" w14:textId="77777777" w:rsidR="00902436" w:rsidRDefault="00902436" w:rsidP="00902436">
      <w:pPr>
        <w:widowControl w:val="0"/>
        <w:numPr>
          <w:ilvl w:val="0"/>
          <w:numId w:val="8"/>
        </w:numPr>
        <w:tabs>
          <w:tab w:val="left" w:pos="993"/>
        </w:tabs>
        <w:autoSpaceDE w:val="0"/>
        <w:autoSpaceDN w:val="0"/>
        <w:spacing w:after="120" w:line="240" w:lineRule="auto"/>
        <w:ind w:left="709" w:right="709"/>
        <w:jc w:val="both"/>
        <w:rPr>
          <w:rFonts w:ascii="Arial" w:eastAsia="Arial" w:hAnsi="Arial" w:cs="Arial"/>
        </w:rPr>
      </w:pPr>
      <w:r w:rsidRPr="00EA702B">
        <w:rPr>
          <w:rFonts w:ascii="Arial" w:eastAsia="Arial" w:hAnsi="Arial" w:cs="Arial"/>
        </w:rPr>
        <w:t>El estado de resultados auditado que contiene el mejor ingreso operacional de los últimos cinco (5) años y el balance general auditado del último año, suscrito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que contiene el mejor ingreso operacional de los últimos cinco (5) años puesto que la información de la liquidez se encuentra en el RUP.</w:t>
      </w:r>
    </w:p>
    <w:p w14:paraId="62517BF2" w14:textId="77777777" w:rsidR="00902436" w:rsidRPr="00EA702B" w:rsidRDefault="00902436" w:rsidP="00902436">
      <w:pPr>
        <w:spacing w:after="120"/>
        <w:ind w:right="51" w:firstLine="709"/>
        <w:jc w:val="both"/>
        <w:rPr>
          <w:rFonts w:ascii="Arial" w:eastAsia="Arial" w:hAnsi="Arial" w:cs="Arial"/>
        </w:rPr>
      </w:pPr>
      <w:r w:rsidRPr="00EA702B">
        <w:rPr>
          <w:rFonts w:ascii="Arial" w:eastAsia="Arial" w:hAnsi="Arial" w:cs="Arial"/>
        </w:rPr>
        <w:t xml:space="preserve">Ahora bien, para lo primero, esto es, para establecer la capacidad residual del proceso de contratación “CRPC”, se debe determinar si el plazo del contrato es superior a doce meses. Si no lo es, la CRPC equivale al presupuesto oficial estimado del Proceso de Contratación menos el anticipo o pago anticipado cuando haya lugar. Si lo es, equivale a la proporción lineal de 12 meses del presupuesto oficial estimado menos el anticipo o pago anticipado. </w:t>
      </w:r>
    </w:p>
    <w:p w14:paraId="6B0CDDAF" w14:textId="77777777" w:rsidR="00902436" w:rsidRPr="00EA702B" w:rsidRDefault="00902436" w:rsidP="00902436">
      <w:pPr>
        <w:spacing w:after="120"/>
        <w:ind w:right="51" w:firstLine="709"/>
        <w:jc w:val="both"/>
        <w:rPr>
          <w:rFonts w:ascii="Arial" w:eastAsia="Arial" w:hAnsi="Arial" w:cs="Arial"/>
        </w:rPr>
      </w:pPr>
      <w:r w:rsidRPr="00EA702B">
        <w:rPr>
          <w:rFonts w:ascii="Arial" w:eastAsia="Arial" w:hAnsi="Arial" w:cs="Arial"/>
        </w:rPr>
        <w:t xml:space="preserve">Para lo segundo, es decir, para verificar que cada proponente cumple con la CRPC, la entidad pública debe verificar que la capacidad residual del proponente “CRP” sea igual o superior a la capacidad referida en el párrafo precedente. De todas formas, previamente debe establecer la CRP, con fundamento en los siguientes factores: i) experiencia “E”; ii) </w:t>
      </w:r>
      <w:r w:rsidRPr="00EA702B">
        <w:rPr>
          <w:rFonts w:ascii="Arial" w:eastAsia="Arial" w:hAnsi="Arial" w:cs="Arial"/>
        </w:rPr>
        <w:lastRenderedPageBreak/>
        <w:t>capacidad financiera “CF”; iii) capacidad técnica “CT”, iv) capacidad de organización “CO”; y v) los saldos de los contratos en ejecución “SCE”, según la siguiente fórmula:</w:t>
      </w:r>
    </w:p>
    <w:p w14:paraId="67A17C8E" w14:textId="77777777" w:rsidR="00902436" w:rsidRPr="00EA702B" w:rsidRDefault="00902436" w:rsidP="00902436">
      <w:pPr>
        <w:spacing w:after="120"/>
        <w:ind w:right="709" w:firstLine="709"/>
        <w:jc w:val="both"/>
        <w:rPr>
          <w:rFonts w:ascii="Arial" w:eastAsia="Calibri" w:hAnsi="Arial" w:cs="Arial"/>
          <w:color w:val="000000" w:themeColor="text1"/>
          <w:lang w:val="es-MX"/>
        </w:rPr>
      </w:pPr>
    </w:p>
    <w:p w14:paraId="393448B3" w14:textId="77777777" w:rsidR="00902436" w:rsidRPr="00EA702B" w:rsidRDefault="00902436" w:rsidP="00902436">
      <w:pPr>
        <w:spacing w:after="120" w:line="276" w:lineRule="auto"/>
        <w:ind w:firstLine="709"/>
        <w:jc w:val="both"/>
        <w:rPr>
          <w:rFonts w:ascii="Arial" w:hAnsi="Arial" w:cs="Arial"/>
          <w:color w:val="000000" w:themeColor="text1"/>
          <w:lang w:val="es-MX"/>
        </w:rPr>
      </w:pPr>
      <w:r w:rsidRPr="00EA702B">
        <w:rPr>
          <w:noProof/>
          <w:lang w:eastAsia="es-CO"/>
        </w:rPr>
        <w:drawing>
          <wp:inline distT="0" distB="0" distL="0" distR="0" wp14:anchorId="214EB273" wp14:editId="6320B1AE">
            <wp:extent cx="4495800" cy="716280"/>
            <wp:effectExtent l="0" t="0" r="0" b="7620"/>
            <wp:docPr id="6" name="Imagen 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con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4495801" cy="716280"/>
                    </a:xfrm>
                    <a:prstGeom prst="rect">
                      <a:avLst/>
                    </a:prstGeom>
                  </pic:spPr>
                </pic:pic>
              </a:graphicData>
            </a:graphic>
          </wp:inline>
        </w:drawing>
      </w:r>
    </w:p>
    <w:p w14:paraId="25D5D132" w14:textId="77777777" w:rsidR="00902436" w:rsidRPr="00EA702B" w:rsidRDefault="00902436" w:rsidP="00902436">
      <w:pPr>
        <w:widowControl w:val="0"/>
        <w:autoSpaceDE w:val="0"/>
        <w:autoSpaceDN w:val="0"/>
        <w:spacing w:after="120" w:line="276" w:lineRule="auto"/>
        <w:ind w:firstLine="709"/>
        <w:jc w:val="both"/>
        <w:rPr>
          <w:rFonts w:ascii="Arial" w:eastAsia="Arial" w:hAnsi="Arial" w:cs="Arial"/>
        </w:rPr>
      </w:pPr>
    </w:p>
    <w:p w14:paraId="16C740A9" w14:textId="77777777" w:rsidR="00902436" w:rsidRPr="00EA702B" w:rsidRDefault="00902436" w:rsidP="00902436">
      <w:pPr>
        <w:widowControl w:val="0"/>
        <w:autoSpaceDE w:val="0"/>
        <w:autoSpaceDN w:val="0"/>
        <w:spacing w:after="120" w:line="276" w:lineRule="auto"/>
        <w:ind w:firstLine="709"/>
        <w:jc w:val="both"/>
        <w:rPr>
          <w:rFonts w:ascii="Arial" w:eastAsia="Arial" w:hAnsi="Arial" w:cs="Arial"/>
        </w:rPr>
      </w:pPr>
      <w:r w:rsidRPr="00EA702B">
        <w:rPr>
          <w:rFonts w:ascii="Arial" w:eastAsia="Arial" w:hAnsi="Arial" w:cs="Arial"/>
        </w:rPr>
        <w:t>A cada uno de estos factores se les debe asignar el siguiente puntaje máximo: i) “E” 120; ii) “CF” 40; y iii) “CT” 40. La “CO” no tiene asignación de puntaje en la fórmula, por un lado, porque su unidad de medida es en pesos colombianos “COP” y, por el otro, debido a que el mismo constituye un factor multiplicador de los demás factores en la fórmula. A continuación, se explicará, en términos generales, cómo calcular cada factor:</w:t>
      </w:r>
    </w:p>
    <w:p w14:paraId="75085088" w14:textId="77777777" w:rsidR="00902436" w:rsidRPr="00EA702B" w:rsidRDefault="00902436" w:rsidP="00902436">
      <w:pPr>
        <w:widowControl w:val="0"/>
        <w:numPr>
          <w:ilvl w:val="0"/>
          <w:numId w:val="7"/>
        </w:numPr>
        <w:tabs>
          <w:tab w:val="left" w:pos="993"/>
        </w:tabs>
        <w:autoSpaceDE w:val="0"/>
        <w:autoSpaceDN w:val="0"/>
        <w:spacing w:after="120" w:line="276" w:lineRule="auto"/>
        <w:ind w:left="0" w:firstLine="709"/>
        <w:jc w:val="both"/>
        <w:rPr>
          <w:rFonts w:ascii="Arial" w:eastAsia="Arial" w:hAnsi="Arial" w:cs="Arial"/>
          <w:i/>
          <w:iCs/>
        </w:rPr>
      </w:pPr>
      <w:r w:rsidRPr="00EA702B">
        <w:rPr>
          <w:rFonts w:ascii="Arial" w:eastAsia="Arial" w:hAnsi="Arial" w:cs="Arial"/>
          <w:i/>
          <w:iCs/>
        </w:rPr>
        <w:t>Capacidad financiera.</w:t>
      </w:r>
      <w:r w:rsidRPr="00EA702B">
        <w:rPr>
          <w:rFonts w:ascii="Arial" w:eastAsia="Arial" w:hAnsi="Arial" w:cs="Arial"/>
        </w:rPr>
        <w:t xml:space="preserve"> Se mide por el “índice de liquidez” y este, a su vez, corresponde al resultado de dividir el “activo corriente” sobre el “pasivo corriente”. El resultado puede ser calificado entre 20 y cuarenta puntos, según se explica en la Guía.</w:t>
      </w:r>
    </w:p>
    <w:p w14:paraId="5B067A00" w14:textId="77777777" w:rsidR="00902436" w:rsidRPr="00EA702B" w:rsidRDefault="00902436" w:rsidP="00902436">
      <w:pPr>
        <w:widowControl w:val="0"/>
        <w:numPr>
          <w:ilvl w:val="0"/>
          <w:numId w:val="7"/>
        </w:numPr>
        <w:tabs>
          <w:tab w:val="left" w:pos="993"/>
        </w:tabs>
        <w:autoSpaceDE w:val="0"/>
        <w:autoSpaceDN w:val="0"/>
        <w:spacing w:after="120" w:line="276" w:lineRule="auto"/>
        <w:ind w:left="0" w:firstLine="709"/>
        <w:jc w:val="both"/>
        <w:rPr>
          <w:rFonts w:ascii="Arial" w:eastAsia="Arial" w:hAnsi="Arial" w:cs="Arial"/>
          <w:i/>
          <w:iCs/>
        </w:rPr>
      </w:pPr>
      <w:r w:rsidRPr="00EA702B">
        <w:rPr>
          <w:rFonts w:ascii="Arial" w:eastAsia="Arial" w:hAnsi="Arial" w:cs="Arial"/>
          <w:i/>
          <w:iCs/>
        </w:rPr>
        <w:t>Capacidad técnica</w:t>
      </w:r>
      <w:r w:rsidRPr="00EA702B">
        <w:rPr>
          <w:rFonts w:ascii="Arial" w:eastAsia="Arial" w:hAnsi="Arial" w:cs="Arial"/>
        </w:rPr>
        <w:t>. Se determina teniendo en cuenta el número de socios y profesionales de la arquitectura, ingeniería y geología vinculados mediante una relación laboral o contractual. El puntaje para asignar, según la Guía, oscila entre 20 y 40 puntos. Para tales fines, se aclara, el proponente debe diligenciar el Anexo 2 de la “Guía para Determinar y Verificar la Capacidad Residual del Proponente en los Procesos de Contratación de Obra Pública” −este es diferente al Anexo 2 de los Documentos Tipo−.</w:t>
      </w:r>
    </w:p>
    <w:p w14:paraId="228330F0" w14:textId="77777777" w:rsidR="00902436" w:rsidRPr="00582636" w:rsidRDefault="00902436" w:rsidP="00902436">
      <w:pPr>
        <w:widowControl w:val="0"/>
        <w:numPr>
          <w:ilvl w:val="0"/>
          <w:numId w:val="7"/>
        </w:numPr>
        <w:tabs>
          <w:tab w:val="left" w:pos="993"/>
        </w:tabs>
        <w:autoSpaceDE w:val="0"/>
        <w:autoSpaceDN w:val="0"/>
        <w:spacing w:after="120" w:line="276" w:lineRule="auto"/>
        <w:ind w:left="0" w:firstLine="709"/>
        <w:jc w:val="both"/>
        <w:rPr>
          <w:rFonts w:ascii="Arial" w:eastAsia="Arial" w:hAnsi="Arial" w:cs="Arial"/>
          <w:i/>
          <w:iCs/>
        </w:rPr>
      </w:pPr>
      <w:r w:rsidRPr="00EA702B">
        <w:rPr>
          <w:rFonts w:ascii="Arial" w:eastAsia="Arial" w:hAnsi="Arial" w:cs="Arial"/>
          <w:i/>
          <w:iCs/>
        </w:rPr>
        <w:t>Capacidad de organización</w:t>
      </w:r>
      <w:r w:rsidRPr="00EA702B">
        <w:rPr>
          <w:rFonts w:ascii="Arial" w:eastAsia="Arial" w:hAnsi="Arial" w:cs="Arial"/>
        </w:rPr>
        <w:t>. Corresponde a los ingresos operacionales, según el siguiente cuadro:</w:t>
      </w:r>
    </w:p>
    <w:p w14:paraId="1DF91FFC" w14:textId="77777777" w:rsidR="00902436" w:rsidRPr="00EA702B" w:rsidRDefault="00902436" w:rsidP="00902436">
      <w:pPr>
        <w:widowControl w:val="0"/>
        <w:tabs>
          <w:tab w:val="left" w:pos="993"/>
        </w:tabs>
        <w:autoSpaceDE w:val="0"/>
        <w:autoSpaceDN w:val="0"/>
        <w:spacing w:after="120" w:line="276" w:lineRule="auto"/>
        <w:ind w:right="51" w:firstLine="709"/>
        <w:jc w:val="both"/>
        <w:rPr>
          <w:rFonts w:ascii="Arial" w:eastAsia="Arial" w:hAnsi="Arial" w:cs="Arial"/>
          <w:i/>
          <w:iCs/>
        </w:rPr>
      </w:pPr>
    </w:p>
    <w:tbl>
      <w:tblPr>
        <w:tblStyle w:val="Tablaconcuadrcula"/>
        <w:tblW w:w="7366" w:type="dxa"/>
        <w:tblInd w:w="709" w:type="dxa"/>
        <w:tblLook w:val="04A0" w:firstRow="1" w:lastRow="0" w:firstColumn="1" w:lastColumn="0" w:noHBand="0" w:noVBand="1"/>
      </w:tblPr>
      <w:tblGrid>
        <w:gridCol w:w="4053"/>
        <w:gridCol w:w="3313"/>
      </w:tblGrid>
      <w:tr w:rsidR="00902436" w:rsidRPr="00EA702B" w14:paraId="6527CF51" w14:textId="77777777">
        <w:tc>
          <w:tcPr>
            <w:tcW w:w="4053" w:type="dxa"/>
            <w:shd w:val="clear" w:color="auto" w:fill="D9D9D9" w:themeFill="background1" w:themeFillShade="D9"/>
          </w:tcPr>
          <w:p w14:paraId="794CD43F" w14:textId="77777777" w:rsidR="00902436" w:rsidRPr="00EA702B" w:rsidRDefault="00902436">
            <w:pPr>
              <w:widowControl w:val="0"/>
              <w:tabs>
                <w:tab w:val="left" w:pos="993"/>
              </w:tabs>
              <w:spacing w:after="120" w:line="276" w:lineRule="auto"/>
              <w:ind w:right="51" w:firstLine="709"/>
              <w:jc w:val="center"/>
              <w:rPr>
                <w:rFonts w:ascii="Arial" w:eastAsia="Arial" w:hAnsi="Arial" w:cs="Arial"/>
                <w:b/>
                <w:bCs/>
              </w:rPr>
            </w:pPr>
            <w:r w:rsidRPr="00EA702B">
              <w:rPr>
                <w:rFonts w:ascii="Arial" w:eastAsia="Arial" w:hAnsi="Arial" w:cs="Arial"/>
                <w:b/>
                <w:bCs/>
              </w:rPr>
              <w:t>Años de información financiera</w:t>
            </w:r>
          </w:p>
        </w:tc>
        <w:tc>
          <w:tcPr>
            <w:tcW w:w="3313" w:type="dxa"/>
            <w:shd w:val="clear" w:color="auto" w:fill="D9D9D9" w:themeFill="background1" w:themeFillShade="D9"/>
          </w:tcPr>
          <w:p w14:paraId="13775C97" w14:textId="77777777" w:rsidR="00902436" w:rsidRPr="00EA702B" w:rsidRDefault="00902436">
            <w:pPr>
              <w:widowControl w:val="0"/>
              <w:tabs>
                <w:tab w:val="left" w:pos="993"/>
              </w:tabs>
              <w:spacing w:after="120" w:line="276" w:lineRule="auto"/>
              <w:ind w:right="51" w:firstLine="709"/>
              <w:jc w:val="center"/>
              <w:rPr>
                <w:rFonts w:ascii="Arial" w:eastAsia="Arial" w:hAnsi="Arial" w:cs="Arial"/>
                <w:b/>
                <w:bCs/>
              </w:rPr>
            </w:pPr>
            <w:r w:rsidRPr="00EA702B">
              <w:rPr>
                <w:rFonts w:ascii="Arial" w:eastAsia="Arial" w:hAnsi="Arial" w:cs="Arial"/>
                <w:b/>
                <w:bCs/>
              </w:rPr>
              <w:t>Capacidad de organización</w:t>
            </w:r>
          </w:p>
        </w:tc>
      </w:tr>
      <w:tr w:rsidR="00902436" w:rsidRPr="00EA702B" w14:paraId="73E40DD0" w14:textId="77777777">
        <w:tc>
          <w:tcPr>
            <w:tcW w:w="4053" w:type="dxa"/>
          </w:tcPr>
          <w:p w14:paraId="434934B0" w14:textId="77777777" w:rsidR="00902436" w:rsidRPr="00EA702B" w:rsidRDefault="00902436">
            <w:pPr>
              <w:widowControl w:val="0"/>
              <w:tabs>
                <w:tab w:val="left" w:pos="993"/>
              </w:tabs>
              <w:spacing w:after="120" w:line="276" w:lineRule="auto"/>
              <w:ind w:right="51" w:firstLine="709"/>
              <w:jc w:val="both"/>
              <w:rPr>
                <w:rFonts w:ascii="Arial" w:eastAsia="Arial" w:hAnsi="Arial" w:cs="Arial"/>
              </w:rPr>
            </w:pPr>
            <w:r w:rsidRPr="00EA702B">
              <w:rPr>
                <w:rFonts w:ascii="Arial" w:eastAsia="Arial" w:hAnsi="Arial" w:cs="Arial"/>
              </w:rPr>
              <w:t>Cinco (5) años o más</w:t>
            </w:r>
          </w:p>
        </w:tc>
        <w:tc>
          <w:tcPr>
            <w:tcW w:w="3313" w:type="dxa"/>
          </w:tcPr>
          <w:p w14:paraId="6A770ABE" w14:textId="77777777" w:rsidR="00902436" w:rsidRPr="00EA702B" w:rsidRDefault="00902436">
            <w:pPr>
              <w:widowControl w:val="0"/>
              <w:tabs>
                <w:tab w:val="left" w:pos="993"/>
              </w:tabs>
              <w:spacing w:after="120" w:line="276" w:lineRule="auto"/>
              <w:ind w:right="51" w:firstLine="709"/>
              <w:jc w:val="both"/>
              <w:rPr>
                <w:rFonts w:ascii="Arial" w:eastAsia="Arial" w:hAnsi="Arial" w:cs="Arial"/>
              </w:rPr>
            </w:pPr>
            <w:r w:rsidRPr="00EA702B">
              <w:rPr>
                <w:rFonts w:ascii="Arial" w:eastAsia="Arial" w:hAnsi="Arial" w:cs="Arial"/>
              </w:rPr>
              <w:t>Mayor ingreso operacional de los últimos cinco años</w:t>
            </w:r>
          </w:p>
        </w:tc>
      </w:tr>
      <w:tr w:rsidR="00902436" w:rsidRPr="00EA702B" w14:paraId="295BDF4F" w14:textId="77777777">
        <w:tc>
          <w:tcPr>
            <w:tcW w:w="4053" w:type="dxa"/>
          </w:tcPr>
          <w:p w14:paraId="0EF2C8E5" w14:textId="77777777" w:rsidR="00902436" w:rsidRPr="00EA702B" w:rsidRDefault="00902436">
            <w:pPr>
              <w:widowControl w:val="0"/>
              <w:tabs>
                <w:tab w:val="left" w:pos="993"/>
              </w:tabs>
              <w:spacing w:after="120" w:line="276" w:lineRule="auto"/>
              <w:ind w:right="51" w:firstLine="709"/>
              <w:jc w:val="both"/>
              <w:rPr>
                <w:rFonts w:ascii="Arial" w:eastAsia="Arial" w:hAnsi="Arial" w:cs="Arial"/>
              </w:rPr>
            </w:pPr>
            <w:r w:rsidRPr="00EA702B">
              <w:rPr>
                <w:rFonts w:ascii="Arial" w:eastAsia="Arial" w:hAnsi="Arial" w:cs="Arial"/>
              </w:rPr>
              <w:t>Entre uno (1) y cinco (5) años</w:t>
            </w:r>
          </w:p>
        </w:tc>
        <w:tc>
          <w:tcPr>
            <w:tcW w:w="3313" w:type="dxa"/>
          </w:tcPr>
          <w:p w14:paraId="1311B510" w14:textId="77777777" w:rsidR="00902436" w:rsidRPr="00EA702B" w:rsidRDefault="00902436">
            <w:pPr>
              <w:widowControl w:val="0"/>
              <w:tabs>
                <w:tab w:val="left" w:pos="993"/>
              </w:tabs>
              <w:spacing w:after="120" w:line="276" w:lineRule="auto"/>
              <w:ind w:right="51" w:firstLine="709"/>
              <w:jc w:val="both"/>
              <w:rPr>
                <w:rFonts w:ascii="Arial" w:eastAsia="Arial" w:hAnsi="Arial" w:cs="Arial"/>
              </w:rPr>
            </w:pPr>
            <w:r w:rsidRPr="00EA702B">
              <w:rPr>
                <w:rFonts w:ascii="Arial" w:eastAsia="Arial" w:hAnsi="Arial" w:cs="Arial"/>
              </w:rPr>
              <w:t>Mayor ingreso operacional de los años de vida del oferente</w:t>
            </w:r>
          </w:p>
        </w:tc>
      </w:tr>
      <w:tr w:rsidR="00902436" w:rsidRPr="00EA702B" w14:paraId="27794CA2" w14:textId="77777777">
        <w:tc>
          <w:tcPr>
            <w:tcW w:w="4053" w:type="dxa"/>
          </w:tcPr>
          <w:p w14:paraId="4492B1E4" w14:textId="77777777" w:rsidR="00902436" w:rsidRPr="00EA702B" w:rsidRDefault="00902436">
            <w:pPr>
              <w:widowControl w:val="0"/>
              <w:tabs>
                <w:tab w:val="left" w:pos="993"/>
              </w:tabs>
              <w:spacing w:after="120" w:line="276" w:lineRule="auto"/>
              <w:ind w:right="51" w:firstLine="709"/>
              <w:jc w:val="both"/>
              <w:rPr>
                <w:rFonts w:ascii="Arial" w:eastAsia="Arial" w:hAnsi="Arial" w:cs="Arial"/>
              </w:rPr>
            </w:pPr>
            <w:r w:rsidRPr="00EA702B">
              <w:rPr>
                <w:rFonts w:ascii="Arial" w:eastAsia="Arial" w:hAnsi="Arial" w:cs="Arial"/>
              </w:rPr>
              <w:t>Menos de un (1) año</w:t>
            </w:r>
          </w:p>
        </w:tc>
        <w:tc>
          <w:tcPr>
            <w:tcW w:w="3313" w:type="dxa"/>
          </w:tcPr>
          <w:p w14:paraId="4ABF49A6" w14:textId="77777777" w:rsidR="00902436" w:rsidRPr="00EA702B" w:rsidRDefault="00902436">
            <w:pPr>
              <w:widowControl w:val="0"/>
              <w:tabs>
                <w:tab w:val="left" w:pos="993"/>
              </w:tabs>
              <w:spacing w:after="120" w:line="276" w:lineRule="auto"/>
              <w:ind w:right="51" w:firstLine="709"/>
              <w:jc w:val="both"/>
              <w:rPr>
                <w:rFonts w:ascii="Arial" w:eastAsia="Arial" w:hAnsi="Arial" w:cs="Arial"/>
              </w:rPr>
            </w:pPr>
            <w:r w:rsidRPr="00EA702B">
              <w:rPr>
                <w:rFonts w:ascii="Arial" w:eastAsia="Arial" w:hAnsi="Arial" w:cs="Arial"/>
              </w:rPr>
              <w:t>USD 125.000</w:t>
            </w:r>
          </w:p>
        </w:tc>
      </w:tr>
    </w:tbl>
    <w:p w14:paraId="737DA8D5" w14:textId="77777777" w:rsidR="00902436" w:rsidRPr="00EA702B" w:rsidRDefault="00902436" w:rsidP="00902436">
      <w:pPr>
        <w:widowControl w:val="0"/>
        <w:tabs>
          <w:tab w:val="left" w:pos="993"/>
        </w:tabs>
        <w:autoSpaceDE w:val="0"/>
        <w:autoSpaceDN w:val="0"/>
        <w:spacing w:after="120" w:line="276" w:lineRule="auto"/>
        <w:ind w:right="51" w:firstLine="709"/>
        <w:jc w:val="both"/>
        <w:rPr>
          <w:rFonts w:ascii="Arial" w:eastAsia="Arial" w:hAnsi="Arial" w:cs="Arial"/>
          <w:i/>
          <w:iCs/>
        </w:rPr>
      </w:pPr>
    </w:p>
    <w:p w14:paraId="36C2E63F" w14:textId="77777777" w:rsidR="00902436" w:rsidRPr="00EA702B" w:rsidRDefault="00902436" w:rsidP="00902436">
      <w:pPr>
        <w:widowControl w:val="0"/>
        <w:numPr>
          <w:ilvl w:val="0"/>
          <w:numId w:val="7"/>
        </w:numPr>
        <w:tabs>
          <w:tab w:val="left" w:pos="993"/>
        </w:tabs>
        <w:autoSpaceDE w:val="0"/>
        <w:autoSpaceDN w:val="0"/>
        <w:spacing w:after="120" w:line="276" w:lineRule="auto"/>
        <w:ind w:left="0" w:firstLine="709"/>
        <w:jc w:val="both"/>
        <w:rPr>
          <w:rFonts w:ascii="Arial" w:eastAsia="Arial" w:hAnsi="Arial" w:cs="Arial"/>
        </w:rPr>
      </w:pPr>
      <w:r w:rsidRPr="00EA702B">
        <w:rPr>
          <w:rFonts w:ascii="Arial" w:eastAsia="Arial" w:hAnsi="Arial" w:cs="Arial"/>
          <w:i/>
          <w:iCs/>
        </w:rPr>
        <w:t>Saldos de los contratos en ejecución</w:t>
      </w:r>
      <w:r w:rsidRPr="00EA702B">
        <w:rPr>
          <w:rFonts w:ascii="Arial" w:eastAsia="Arial" w:hAnsi="Arial" w:cs="Arial"/>
        </w:rPr>
        <w:t>. Debe hacerse linealmente y calculando una “ejecución diaria equivalente al valor del contrato dividido por el plazo del contrato expresado en días”. El resultado obtenido se debe multiplicar por el número de días pendientes para cumplir el plazo del contrato. Si el número de días por ejecutar un contrato es superior a 360 días, solo se tendrá en cuenta la proporción lineal de 12 meses.</w:t>
      </w:r>
    </w:p>
    <w:p w14:paraId="6E07C3E5" w14:textId="77777777" w:rsidR="00902436" w:rsidRPr="00EA702B" w:rsidRDefault="00902436" w:rsidP="00902436">
      <w:pPr>
        <w:widowControl w:val="0"/>
        <w:numPr>
          <w:ilvl w:val="0"/>
          <w:numId w:val="7"/>
        </w:numPr>
        <w:tabs>
          <w:tab w:val="left" w:pos="993"/>
        </w:tabs>
        <w:autoSpaceDE w:val="0"/>
        <w:autoSpaceDN w:val="0"/>
        <w:spacing w:after="120" w:line="276" w:lineRule="auto"/>
        <w:ind w:left="0" w:firstLine="709"/>
        <w:jc w:val="both"/>
        <w:rPr>
          <w:rFonts w:ascii="Arial" w:eastAsia="Arial" w:hAnsi="Arial" w:cs="Arial"/>
        </w:rPr>
      </w:pPr>
      <w:r w:rsidRPr="00EA702B">
        <w:rPr>
          <w:rFonts w:ascii="Arial" w:eastAsia="Arial" w:hAnsi="Arial" w:cs="Arial"/>
          <w:i/>
          <w:iCs/>
        </w:rPr>
        <w:t>Experiencia</w:t>
      </w:r>
      <w:r w:rsidRPr="00EA702B">
        <w:rPr>
          <w:rFonts w:ascii="Arial" w:eastAsia="Arial" w:hAnsi="Arial" w:cs="Arial"/>
        </w:rPr>
        <w:t xml:space="preserve">. Para los efectos de la capacidad residual −no para la experiencia general que debe acreditar el contratista según la Matriz 1−, corresponde de un lado, a la relación entre “el valor total en pesos de los contratos relacionados con la actividad de la construcción inscritos por el proponente en el Registro Único de Proponentes “RUP” en el segmento 72 […] del Clasificador de Bienes y Servicios”, y del otro, al presupuesto oficial estimado del Proceso de Contratación. La relación indica el número de veces que el proponente ha ejecutado contratos equivalentes a la cuantía del proceso de contratación.  </w:t>
      </w:r>
    </w:p>
    <w:p w14:paraId="3AF30D32" w14:textId="77777777" w:rsidR="00902436" w:rsidRPr="00EA702B" w:rsidRDefault="00902436" w:rsidP="00902436">
      <w:pPr>
        <w:widowControl w:val="0"/>
        <w:autoSpaceDE w:val="0"/>
        <w:autoSpaceDN w:val="0"/>
        <w:spacing w:after="120" w:line="276" w:lineRule="auto"/>
        <w:ind w:firstLine="709"/>
        <w:jc w:val="both"/>
        <w:rPr>
          <w:rFonts w:ascii="Arial" w:eastAsia="Arial" w:hAnsi="Arial" w:cs="Arial"/>
        </w:rPr>
      </w:pPr>
      <w:r w:rsidRPr="00EA702B">
        <w:rPr>
          <w:rFonts w:ascii="Arial" w:eastAsia="Arial" w:hAnsi="Arial" w:cs="Arial"/>
        </w:rPr>
        <w:t>En este contexto, resulta oportuno precisar que, si bien es cierto la entidad estatal es la que debe calcular la capacidad residual de los proponentes, también lo es que estos últimos, como se referenció, tienen la carga de aportar los documentos para acreditar su capacidad residual</w:t>
      </w:r>
      <w:r w:rsidRPr="00EA702B">
        <w:rPr>
          <w:rFonts w:ascii="Arial" w:eastAsia="Arial" w:hAnsi="Arial" w:cs="Arial"/>
          <w:vertAlign w:val="superscript"/>
        </w:rPr>
        <w:footnoteReference w:id="31"/>
      </w:r>
      <w:r w:rsidRPr="00EA702B">
        <w:rPr>
          <w:rFonts w:ascii="Arial" w:eastAsia="Arial" w:hAnsi="Arial" w:cs="Arial"/>
        </w:rPr>
        <w:t>.</w:t>
      </w:r>
    </w:p>
    <w:p w14:paraId="194E0B50" w14:textId="77777777" w:rsidR="00902436" w:rsidRPr="00EA702B" w:rsidRDefault="00902436" w:rsidP="00902436">
      <w:pPr>
        <w:spacing w:before="120" w:after="120" w:line="276" w:lineRule="auto"/>
        <w:ind w:firstLine="709"/>
        <w:jc w:val="both"/>
        <w:rPr>
          <w:rFonts w:ascii="Arial" w:hAnsi="Arial" w:cs="Arial"/>
          <w:color w:val="000000" w:themeColor="text1"/>
        </w:rPr>
      </w:pPr>
      <w:r w:rsidRPr="00EA702B">
        <w:rPr>
          <w:rFonts w:ascii="Arial" w:hAnsi="Arial" w:cs="Arial"/>
          <w:color w:val="000000" w:themeColor="text1"/>
        </w:rPr>
        <w:t>Respecto de factor de experiencia (</w:t>
      </w:r>
      <w:r w:rsidRPr="00EA702B">
        <w:rPr>
          <w:rFonts w:ascii="Arial" w:hAnsi="Arial" w:cs="Arial"/>
          <w:i/>
          <w:iCs/>
          <w:color w:val="000000" w:themeColor="text1"/>
        </w:rPr>
        <w:t>E</w:t>
      </w:r>
      <w:r w:rsidRPr="00EA702B">
        <w:rPr>
          <w:rFonts w:ascii="Arial" w:hAnsi="Arial" w:cs="Arial"/>
          <w:color w:val="000000" w:themeColor="text1"/>
        </w:rPr>
        <w:t xml:space="preserve">), esta Agencia, en la </w:t>
      </w:r>
      <w:r w:rsidRPr="00EA702B">
        <w:rPr>
          <w:rFonts w:ascii="Arial" w:hAnsi="Arial" w:cs="Arial"/>
          <w:i/>
          <w:iCs/>
          <w:color w:val="000000" w:themeColor="text1"/>
        </w:rPr>
        <w:t>Guía para Determinar y Verificar la Capacidad Residual del Proponente en los Procesos de Contratación de Obra Pública</w:t>
      </w:r>
      <w:r w:rsidRPr="00EA702B">
        <w:rPr>
          <w:rFonts w:ascii="Arial" w:hAnsi="Arial" w:cs="Arial"/>
          <w:color w:val="000000" w:themeColor="text1"/>
        </w:rPr>
        <w:t xml:space="preserve"> estableció una fórmula particular para su cálculo. Esta se obtiene realizando una operación aritmética de división del valor total en pesos de los contratos que figuran en el </w:t>
      </w:r>
      <w:r w:rsidRPr="00EA702B">
        <w:rPr>
          <w:rFonts w:ascii="Arial" w:hAnsi="Arial" w:cs="Arial"/>
          <w:color w:val="000000" w:themeColor="text1"/>
        </w:rPr>
        <w:lastRenderedPageBreak/>
        <w:t>RUP, entre el presupuesto oficial estimado del procedimiento contractual. El cociente de esta operación “[…] indica el número de veces que el proponente ha ejecutado contratos equivalentes a la cuantía del Proceso de Contratación objeto de la acreditación de la Capacidad Residual”. Dicha formula se expresa de la siguiente forma:</w:t>
      </w:r>
    </w:p>
    <w:p w14:paraId="6214AEDD" w14:textId="77777777" w:rsidR="00902436" w:rsidRPr="00EA702B" w:rsidRDefault="00902436" w:rsidP="00902436">
      <w:pPr>
        <w:widowControl w:val="0"/>
        <w:autoSpaceDE w:val="0"/>
        <w:autoSpaceDN w:val="0"/>
        <w:spacing w:after="120" w:line="276" w:lineRule="auto"/>
        <w:ind w:firstLine="709"/>
        <w:jc w:val="both"/>
        <w:rPr>
          <w:rFonts w:ascii="Arial" w:eastAsia="Arial" w:hAnsi="Arial" w:cs="Arial"/>
        </w:rPr>
      </w:pPr>
      <w:r w:rsidRPr="00EA702B">
        <w:rPr>
          <w:rFonts w:ascii="Arial" w:eastAsia="Arial" w:hAnsi="Arial" w:cs="Arial"/>
        </w:rPr>
        <w:t xml:space="preserve"> </w:t>
      </w:r>
      <w:r w:rsidRPr="00EA702B">
        <w:rPr>
          <w:rFonts w:ascii="Arial" w:hAnsi="Arial" w:cs="Arial"/>
          <w:noProof/>
          <w:color w:val="000000" w:themeColor="text1"/>
        </w:rPr>
        <w:drawing>
          <wp:inline distT="0" distB="0" distL="0" distR="0" wp14:anchorId="784D3A1F" wp14:editId="45BBB644">
            <wp:extent cx="6180788" cy="662400"/>
            <wp:effectExtent l="0" t="0" r="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2">
                      <a:extLst>
                        <a:ext uri="{28A0092B-C50C-407E-A947-70E740481C1C}">
                          <a14:useLocalDpi xmlns:a14="http://schemas.microsoft.com/office/drawing/2010/main" val="0"/>
                        </a:ext>
                      </a:extLst>
                    </a:blip>
                    <a:stretch>
                      <a:fillRect/>
                    </a:stretch>
                  </pic:blipFill>
                  <pic:spPr>
                    <a:xfrm>
                      <a:off x="0" y="0"/>
                      <a:ext cx="6237845" cy="668515"/>
                    </a:xfrm>
                    <a:prstGeom prst="rect">
                      <a:avLst/>
                    </a:prstGeom>
                  </pic:spPr>
                </pic:pic>
              </a:graphicData>
            </a:graphic>
          </wp:inline>
        </w:drawing>
      </w:r>
    </w:p>
    <w:p w14:paraId="4E8533F8" w14:textId="77777777" w:rsidR="00902436" w:rsidRPr="00EA702B" w:rsidRDefault="00902436" w:rsidP="00902436">
      <w:pPr>
        <w:spacing w:before="120" w:after="120" w:line="276" w:lineRule="auto"/>
        <w:ind w:firstLine="709"/>
        <w:jc w:val="both"/>
        <w:rPr>
          <w:rFonts w:ascii="Arial" w:hAnsi="Arial" w:cs="Arial"/>
          <w:color w:val="000000" w:themeColor="text1"/>
        </w:rPr>
      </w:pPr>
    </w:p>
    <w:p w14:paraId="67278935" w14:textId="7A05C23B" w:rsidR="00902436" w:rsidRPr="00EA702B" w:rsidRDefault="00902436" w:rsidP="00902436">
      <w:pPr>
        <w:spacing w:before="120" w:after="120" w:line="276" w:lineRule="auto"/>
        <w:ind w:firstLine="709"/>
        <w:jc w:val="both"/>
        <w:rPr>
          <w:rFonts w:ascii="Arial" w:hAnsi="Arial" w:cs="Arial"/>
          <w:color w:val="000000" w:themeColor="text1"/>
        </w:rPr>
      </w:pPr>
      <w:r w:rsidRPr="00EA702B">
        <w:rPr>
          <w:rFonts w:ascii="Arial" w:hAnsi="Arial" w:cs="Arial"/>
          <w:color w:val="000000" w:themeColor="text1"/>
        </w:rPr>
        <w:t xml:space="preserve">Debe advertirse que, para el cálculo del factor de experiencia (E), el proponente debe diligenciar el formato correspondiente al Anexo 1 de la referida Guía. Dicho anexo consiste en una tabla en la que deben identificarse los contratos inscritos en el RUP del proponente en el segmento 72 del Clasificador UNSPSC –correspondiente a </w:t>
      </w:r>
      <w:r w:rsidRPr="00EA702B">
        <w:rPr>
          <w:rFonts w:ascii="Arial" w:hAnsi="Arial" w:cs="Arial"/>
          <w:color w:val="000000"/>
          <w:bdr w:val="none" w:sz="0" w:space="0" w:color="auto" w:frame="1"/>
        </w:rPr>
        <w:t>“Servicios de Edificación, Construcción de Instalaciones y Mantenimiento”–</w:t>
      </w:r>
      <w:r w:rsidRPr="00EA702B">
        <w:rPr>
          <w:rFonts w:ascii="Arial" w:hAnsi="Arial" w:cs="Arial"/>
          <w:color w:val="000000" w:themeColor="text1"/>
        </w:rPr>
        <w:t>, su valor total en pesos colombianos liquidados con el SMMLV y el porcentaje de participación del proponente en la ejecución de cada uno de estos contratos. Tratándose de personas jurídicas con existencia inferior a tres (3) años, de conformidad con lo dispuesto en el numeral 2.5 del artículo 2.2.1.1.1.5.2. del Decreto 1082 de 2015</w:t>
      </w:r>
      <w:r w:rsidRPr="00EA702B">
        <w:rPr>
          <w:rStyle w:val="Refdenotaalpie"/>
          <w:rFonts w:ascii="Arial" w:hAnsi="Arial" w:cs="Arial"/>
          <w:color w:val="000000" w:themeColor="text1"/>
        </w:rPr>
        <w:footnoteReference w:id="32"/>
      </w:r>
      <w:r w:rsidRPr="00EA702B">
        <w:rPr>
          <w:rFonts w:ascii="Arial" w:hAnsi="Arial" w:cs="Arial"/>
          <w:color w:val="000000" w:themeColor="text1"/>
        </w:rPr>
        <w:t xml:space="preserve"> es posible que las mismas acrediten la experiencia de sus accionistas, socios o constituyentes, por lo que podrán tenerse en cuenta para el cálculo de la capacidad residual</w:t>
      </w:r>
      <w:r w:rsidR="008F3A72">
        <w:rPr>
          <w:rFonts w:ascii="Arial" w:hAnsi="Arial" w:cs="Arial"/>
          <w:color w:val="000000" w:themeColor="text1"/>
        </w:rPr>
        <w:t>, incluso después de los transcurridos los tres a</w:t>
      </w:r>
      <w:r w:rsidR="00A36B48">
        <w:rPr>
          <w:rFonts w:ascii="Arial" w:hAnsi="Arial" w:cs="Arial"/>
          <w:color w:val="000000" w:themeColor="text1"/>
        </w:rPr>
        <w:t>ños</w:t>
      </w:r>
      <w:r w:rsidRPr="00EA702B">
        <w:rPr>
          <w:rStyle w:val="Refdenotaalpie"/>
          <w:rFonts w:ascii="Arial" w:hAnsi="Arial" w:cs="Arial"/>
          <w:color w:val="000000" w:themeColor="text1"/>
        </w:rPr>
        <w:footnoteReference w:id="33"/>
      </w:r>
      <w:r w:rsidR="00E741C0">
        <w:rPr>
          <w:rFonts w:ascii="Arial" w:hAnsi="Arial" w:cs="Arial"/>
          <w:color w:val="000000" w:themeColor="text1"/>
        </w:rPr>
        <w:t>.</w:t>
      </w:r>
      <w:r w:rsidR="00343EA1">
        <w:rPr>
          <w:rFonts w:ascii="Arial" w:hAnsi="Arial" w:cs="Arial"/>
          <w:color w:val="000000" w:themeColor="text1"/>
        </w:rPr>
        <w:t xml:space="preserve"> </w:t>
      </w:r>
    </w:p>
    <w:p w14:paraId="72C7A778" w14:textId="77777777" w:rsidR="00902436" w:rsidRPr="00EA702B" w:rsidRDefault="00902436" w:rsidP="00902436">
      <w:pPr>
        <w:spacing w:before="120" w:after="120" w:line="276" w:lineRule="auto"/>
        <w:ind w:firstLine="709"/>
        <w:jc w:val="both"/>
        <w:rPr>
          <w:rFonts w:ascii="Arial" w:hAnsi="Arial" w:cs="Arial"/>
          <w:color w:val="000000" w:themeColor="text1"/>
        </w:rPr>
      </w:pPr>
      <w:r w:rsidRPr="00EA702B">
        <w:rPr>
          <w:rFonts w:ascii="Arial" w:hAnsi="Arial" w:cs="Arial"/>
          <w:color w:val="000000" w:themeColor="text1"/>
        </w:rPr>
        <w:lastRenderedPageBreak/>
        <w:t>Ahora bien, el cociente surgido de la aplicación de esta última formula sirve para establecer el valor que se remplazará en el factor (E) de la fórmula establecida supra para determinar la CRP. Para ello es necesario revisar la tabla establecida en el literal B del numeral 4 de la referida guía. Esta tabla establece cuatro rangos dentro de los que debe ubicarse el valor obtenido al realizar el cálculo del factor (E), en función de lo cual corresponde un determinado puntaje, el cual será el valor que corresponderá por el factor (E) en la fórmula para el calcula de la CRP.  La tabla consta de lo siguiente:</w:t>
      </w:r>
    </w:p>
    <w:tbl>
      <w:tblPr>
        <w:tblStyle w:val="Tablaconcuadrcula4-nfasis6"/>
        <w:tblW w:w="0" w:type="auto"/>
        <w:jc w:val="center"/>
        <w:tblLook w:val="04A0" w:firstRow="1" w:lastRow="0" w:firstColumn="1" w:lastColumn="0" w:noHBand="0" w:noVBand="1"/>
      </w:tblPr>
      <w:tblGrid>
        <w:gridCol w:w="1946"/>
        <w:gridCol w:w="1769"/>
        <w:gridCol w:w="2357"/>
      </w:tblGrid>
      <w:tr w:rsidR="00902436" w:rsidRPr="00EA702B" w14:paraId="5FD0C912"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46" w:type="dxa"/>
          </w:tcPr>
          <w:p w14:paraId="7070920A" w14:textId="77777777" w:rsidR="00902436" w:rsidRPr="00EA702B" w:rsidRDefault="00902436">
            <w:pPr>
              <w:ind w:right="709"/>
              <w:jc w:val="center"/>
              <w:rPr>
                <w:rFonts w:ascii="Arial" w:hAnsi="Arial" w:cs="Arial"/>
                <w:i/>
                <w:iCs/>
                <w:color w:val="262626" w:themeColor="text1" w:themeTint="D9"/>
                <w:sz w:val="22"/>
                <w:szCs w:val="22"/>
              </w:rPr>
            </w:pPr>
            <w:r w:rsidRPr="00EA702B">
              <w:rPr>
                <w:rFonts w:ascii="Arial" w:hAnsi="Arial" w:cs="Arial"/>
                <w:i/>
                <w:iCs/>
                <w:color w:val="262626" w:themeColor="text1" w:themeTint="D9"/>
                <w:sz w:val="22"/>
                <w:szCs w:val="22"/>
              </w:rPr>
              <w:t>Mayor a</w:t>
            </w:r>
          </w:p>
        </w:tc>
        <w:tc>
          <w:tcPr>
            <w:tcW w:w="1769" w:type="dxa"/>
          </w:tcPr>
          <w:p w14:paraId="299F75C2" w14:textId="77777777" w:rsidR="00902436" w:rsidRPr="00EA702B" w:rsidRDefault="00902436">
            <w:pPr>
              <w:ind w:right="-146"/>
              <w:cnfStyle w:val="100000000000" w:firstRow="1" w:lastRow="0" w:firstColumn="0" w:lastColumn="0" w:oddVBand="0" w:evenVBand="0" w:oddHBand="0" w:evenHBand="0" w:firstRowFirstColumn="0" w:firstRowLastColumn="0" w:lastRowFirstColumn="0" w:lastRowLastColumn="0"/>
              <w:rPr>
                <w:rFonts w:ascii="Arial" w:hAnsi="Arial" w:cs="Arial"/>
                <w:i/>
                <w:iCs/>
                <w:color w:val="262626" w:themeColor="text1" w:themeTint="D9"/>
                <w:sz w:val="22"/>
                <w:szCs w:val="22"/>
              </w:rPr>
            </w:pPr>
            <w:r w:rsidRPr="00EA702B">
              <w:rPr>
                <w:rFonts w:ascii="Arial" w:hAnsi="Arial" w:cs="Arial"/>
                <w:i/>
                <w:iCs/>
                <w:color w:val="262626" w:themeColor="text1" w:themeTint="D9"/>
                <w:sz w:val="22"/>
                <w:szCs w:val="22"/>
              </w:rPr>
              <w:t>Menor o igual a</w:t>
            </w:r>
          </w:p>
        </w:tc>
        <w:tc>
          <w:tcPr>
            <w:tcW w:w="2357" w:type="dxa"/>
          </w:tcPr>
          <w:p w14:paraId="65754B25" w14:textId="77777777" w:rsidR="00902436" w:rsidRPr="00EA702B" w:rsidRDefault="00902436">
            <w:pPr>
              <w:ind w:right="709"/>
              <w:jc w:val="center"/>
              <w:cnfStyle w:val="100000000000" w:firstRow="1" w:lastRow="0" w:firstColumn="0" w:lastColumn="0" w:oddVBand="0" w:evenVBand="0" w:oddHBand="0" w:evenHBand="0" w:firstRowFirstColumn="0" w:firstRowLastColumn="0" w:lastRowFirstColumn="0" w:lastRowLastColumn="0"/>
              <w:rPr>
                <w:rFonts w:ascii="Arial" w:hAnsi="Arial" w:cs="Arial"/>
                <w:i/>
                <w:iCs/>
                <w:color w:val="262626" w:themeColor="text1" w:themeTint="D9"/>
                <w:sz w:val="22"/>
                <w:szCs w:val="22"/>
              </w:rPr>
            </w:pPr>
            <w:r w:rsidRPr="00EA702B">
              <w:rPr>
                <w:rFonts w:ascii="Arial" w:hAnsi="Arial" w:cs="Arial"/>
                <w:i/>
                <w:iCs/>
                <w:color w:val="262626" w:themeColor="text1" w:themeTint="D9"/>
                <w:sz w:val="22"/>
                <w:szCs w:val="22"/>
              </w:rPr>
              <w:t>Puntaje</w:t>
            </w:r>
          </w:p>
        </w:tc>
      </w:tr>
      <w:tr w:rsidR="00902436" w:rsidRPr="00EA702B" w14:paraId="6F4077A7"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46" w:type="dxa"/>
          </w:tcPr>
          <w:p w14:paraId="67BE9054" w14:textId="77777777" w:rsidR="00902436" w:rsidRPr="00EA702B" w:rsidRDefault="00902436">
            <w:pPr>
              <w:ind w:right="709"/>
              <w:jc w:val="center"/>
              <w:rPr>
                <w:rFonts w:ascii="Arial" w:hAnsi="Arial" w:cs="Arial"/>
                <w:b w:val="0"/>
                <w:bCs w:val="0"/>
                <w:i/>
                <w:iCs/>
                <w:color w:val="262626" w:themeColor="text1" w:themeTint="D9"/>
                <w:sz w:val="22"/>
                <w:szCs w:val="22"/>
              </w:rPr>
            </w:pPr>
            <w:r w:rsidRPr="00EA702B">
              <w:rPr>
                <w:rFonts w:ascii="Arial" w:hAnsi="Arial" w:cs="Arial"/>
                <w:i/>
                <w:iCs/>
                <w:color w:val="262626" w:themeColor="text1" w:themeTint="D9"/>
                <w:sz w:val="22"/>
                <w:szCs w:val="22"/>
              </w:rPr>
              <w:t>0</w:t>
            </w:r>
          </w:p>
        </w:tc>
        <w:tc>
          <w:tcPr>
            <w:tcW w:w="1769" w:type="dxa"/>
          </w:tcPr>
          <w:p w14:paraId="14B3C9B9" w14:textId="77777777" w:rsidR="00902436" w:rsidRPr="00EA702B" w:rsidRDefault="00902436">
            <w:pPr>
              <w:ind w:right="709"/>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262626" w:themeColor="text1" w:themeTint="D9"/>
                <w:sz w:val="22"/>
                <w:szCs w:val="22"/>
              </w:rPr>
            </w:pPr>
            <w:r w:rsidRPr="00EA702B">
              <w:rPr>
                <w:rFonts w:ascii="Arial" w:hAnsi="Arial" w:cs="Arial"/>
                <w:i/>
                <w:iCs/>
                <w:color w:val="262626" w:themeColor="text1" w:themeTint="D9"/>
                <w:sz w:val="22"/>
                <w:szCs w:val="22"/>
              </w:rPr>
              <w:t>3</w:t>
            </w:r>
          </w:p>
        </w:tc>
        <w:tc>
          <w:tcPr>
            <w:tcW w:w="2357" w:type="dxa"/>
          </w:tcPr>
          <w:p w14:paraId="504E8490" w14:textId="77777777" w:rsidR="00902436" w:rsidRPr="00EA702B" w:rsidRDefault="00902436">
            <w:pPr>
              <w:ind w:right="709"/>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262626" w:themeColor="text1" w:themeTint="D9"/>
                <w:sz w:val="22"/>
                <w:szCs w:val="22"/>
              </w:rPr>
            </w:pPr>
            <w:r w:rsidRPr="00EA702B">
              <w:rPr>
                <w:rFonts w:ascii="Arial" w:hAnsi="Arial" w:cs="Arial"/>
                <w:i/>
                <w:iCs/>
                <w:color w:val="262626" w:themeColor="text1" w:themeTint="D9"/>
                <w:sz w:val="22"/>
                <w:szCs w:val="22"/>
              </w:rPr>
              <w:t>60</w:t>
            </w:r>
          </w:p>
        </w:tc>
      </w:tr>
      <w:tr w:rsidR="00902436" w:rsidRPr="00EA702B" w14:paraId="3859FE55" w14:textId="77777777">
        <w:trPr>
          <w:jc w:val="center"/>
        </w:trPr>
        <w:tc>
          <w:tcPr>
            <w:cnfStyle w:val="001000000000" w:firstRow="0" w:lastRow="0" w:firstColumn="1" w:lastColumn="0" w:oddVBand="0" w:evenVBand="0" w:oddHBand="0" w:evenHBand="0" w:firstRowFirstColumn="0" w:firstRowLastColumn="0" w:lastRowFirstColumn="0" w:lastRowLastColumn="0"/>
            <w:tcW w:w="1946" w:type="dxa"/>
          </w:tcPr>
          <w:p w14:paraId="173B3EBA" w14:textId="77777777" w:rsidR="00902436" w:rsidRPr="00EA702B" w:rsidRDefault="00902436">
            <w:pPr>
              <w:ind w:right="709"/>
              <w:jc w:val="center"/>
              <w:rPr>
                <w:rFonts w:ascii="Arial" w:hAnsi="Arial" w:cs="Arial"/>
                <w:b w:val="0"/>
                <w:bCs w:val="0"/>
                <w:i/>
                <w:iCs/>
                <w:color w:val="262626" w:themeColor="text1" w:themeTint="D9"/>
                <w:sz w:val="22"/>
                <w:szCs w:val="22"/>
              </w:rPr>
            </w:pPr>
            <w:r w:rsidRPr="00EA702B">
              <w:rPr>
                <w:rFonts w:ascii="Arial" w:hAnsi="Arial" w:cs="Arial"/>
                <w:i/>
                <w:iCs/>
                <w:color w:val="262626" w:themeColor="text1" w:themeTint="D9"/>
                <w:sz w:val="22"/>
                <w:szCs w:val="22"/>
              </w:rPr>
              <w:t>3</w:t>
            </w:r>
          </w:p>
        </w:tc>
        <w:tc>
          <w:tcPr>
            <w:tcW w:w="1769" w:type="dxa"/>
          </w:tcPr>
          <w:p w14:paraId="56E21F30" w14:textId="77777777" w:rsidR="00902436" w:rsidRPr="00EA702B" w:rsidRDefault="00902436">
            <w:pPr>
              <w:ind w:right="709"/>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262626" w:themeColor="text1" w:themeTint="D9"/>
                <w:sz w:val="22"/>
                <w:szCs w:val="22"/>
              </w:rPr>
            </w:pPr>
            <w:r w:rsidRPr="00EA702B">
              <w:rPr>
                <w:rFonts w:ascii="Arial" w:hAnsi="Arial" w:cs="Arial"/>
                <w:i/>
                <w:iCs/>
                <w:color w:val="262626" w:themeColor="text1" w:themeTint="D9"/>
                <w:sz w:val="22"/>
                <w:szCs w:val="22"/>
              </w:rPr>
              <w:t>6</w:t>
            </w:r>
          </w:p>
        </w:tc>
        <w:tc>
          <w:tcPr>
            <w:tcW w:w="2357" w:type="dxa"/>
          </w:tcPr>
          <w:p w14:paraId="3BD3686D" w14:textId="77777777" w:rsidR="00902436" w:rsidRPr="00EA702B" w:rsidRDefault="00902436">
            <w:pPr>
              <w:ind w:right="709"/>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262626" w:themeColor="text1" w:themeTint="D9"/>
                <w:sz w:val="22"/>
                <w:szCs w:val="22"/>
              </w:rPr>
            </w:pPr>
            <w:r w:rsidRPr="00EA702B">
              <w:rPr>
                <w:rFonts w:ascii="Arial" w:hAnsi="Arial" w:cs="Arial"/>
                <w:i/>
                <w:iCs/>
                <w:color w:val="262626" w:themeColor="text1" w:themeTint="D9"/>
                <w:sz w:val="22"/>
                <w:szCs w:val="22"/>
              </w:rPr>
              <w:t>80</w:t>
            </w:r>
          </w:p>
        </w:tc>
      </w:tr>
      <w:tr w:rsidR="00902436" w:rsidRPr="00EA702B" w14:paraId="5C25A707" w14:textId="77777777">
        <w:trPr>
          <w:cnfStyle w:val="000000100000" w:firstRow="0" w:lastRow="0" w:firstColumn="0" w:lastColumn="0" w:oddVBand="0" w:evenVBand="0" w:oddHBand="1" w:evenHBand="0" w:firstRowFirstColumn="0" w:firstRowLastColumn="0" w:lastRowFirstColumn="0" w:lastRowLastColumn="0"/>
          <w:trHeight w:val="209"/>
          <w:jc w:val="center"/>
        </w:trPr>
        <w:tc>
          <w:tcPr>
            <w:cnfStyle w:val="001000000000" w:firstRow="0" w:lastRow="0" w:firstColumn="1" w:lastColumn="0" w:oddVBand="0" w:evenVBand="0" w:oddHBand="0" w:evenHBand="0" w:firstRowFirstColumn="0" w:firstRowLastColumn="0" w:lastRowFirstColumn="0" w:lastRowLastColumn="0"/>
            <w:tcW w:w="1946" w:type="dxa"/>
          </w:tcPr>
          <w:p w14:paraId="6F7EC975" w14:textId="77777777" w:rsidR="00902436" w:rsidRPr="00EA702B" w:rsidRDefault="00902436">
            <w:pPr>
              <w:ind w:right="709"/>
              <w:jc w:val="center"/>
              <w:rPr>
                <w:rFonts w:ascii="Arial" w:hAnsi="Arial" w:cs="Arial"/>
                <w:b w:val="0"/>
                <w:bCs w:val="0"/>
                <w:i/>
                <w:iCs/>
                <w:color w:val="262626" w:themeColor="text1" w:themeTint="D9"/>
                <w:sz w:val="22"/>
                <w:szCs w:val="22"/>
              </w:rPr>
            </w:pPr>
            <w:r w:rsidRPr="00EA702B">
              <w:rPr>
                <w:rFonts w:ascii="Arial" w:hAnsi="Arial" w:cs="Arial"/>
                <w:i/>
                <w:iCs/>
                <w:color w:val="262626" w:themeColor="text1" w:themeTint="D9"/>
                <w:sz w:val="22"/>
                <w:szCs w:val="22"/>
              </w:rPr>
              <w:t>6</w:t>
            </w:r>
          </w:p>
        </w:tc>
        <w:tc>
          <w:tcPr>
            <w:tcW w:w="1769" w:type="dxa"/>
          </w:tcPr>
          <w:p w14:paraId="6E0391C0" w14:textId="77777777" w:rsidR="00902436" w:rsidRPr="00EA702B" w:rsidRDefault="00902436">
            <w:pPr>
              <w:ind w:right="709"/>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262626" w:themeColor="text1" w:themeTint="D9"/>
                <w:sz w:val="22"/>
                <w:szCs w:val="22"/>
              </w:rPr>
            </w:pPr>
            <w:r w:rsidRPr="00EA702B">
              <w:rPr>
                <w:rFonts w:ascii="Arial" w:hAnsi="Arial" w:cs="Arial"/>
                <w:i/>
                <w:iCs/>
                <w:color w:val="262626" w:themeColor="text1" w:themeTint="D9"/>
                <w:sz w:val="22"/>
                <w:szCs w:val="22"/>
              </w:rPr>
              <w:t>10</w:t>
            </w:r>
          </w:p>
        </w:tc>
        <w:tc>
          <w:tcPr>
            <w:tcW w:w="2357" w:type="dxa"/>
          </w:tcPr>
          <w:p w14:paraId="19FB6385" w14:textId="77777777" w:rsidR="00902436" w:rsidRPr="00EA702B" w:rsidRDefault="00902436">
            <w:pPr>
              <w:ind w:right="709"/>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262626" w:themeColor="text1" w:themeTint="D9"/>
                <w:sz w:val="22"/>
                <w:szCs w:val="22"/>
              </w:rPr>
            </w:pPr>
            <w:r w:rsidRPr="00EA702B">
              <w:rPr>
                <w:rFonts w:ascii="Arial" w:hAnsi="Arial" w:cs="Arial"/>
                <w:i/>
                <w:iCs/>
                <w:color w:val="262626" w:themeColor="text1" w:themeTint="D9"/>
                <w:sz w:val="22"/>
                <w:szCs w:val="22"/>
              </w:rPr>
              <w:t>100</w:t>
            </w:r>
          </w:p>
        </w:tc>
      </w:tr>
      <w:tr w:rsidR="00902436" w:rsidRPr="00EA702B" w14:paraId="6DBF9189" w14:textId="77777777">
        <w:trPr>
          <w:jc w:val="center"/>
        </w:trPr>
        <w:tc>
          <w:tcPr>
            <w:cnfStyle w:val="001000000000" w:firstRow="0" w:lastRow="0" w:firstColumn="1" w:lastColumn="0" w:oddVBand="0" w:evenVBand="0" w:oddHBand="0" w:evenHBand="0" w:firstRowFirstColumn="0" w:firstRowLastColumn="0" w:lastRowFirstColumn="0" w:lastRowLastColumn="0"/>
            <w:tcW w:w="1946" w:type="dxa"/>
          </w:tcPr>
          <w:p w14:paraId="2B859CD9" w14:textId="77777777" w:rsidR="00902436" w:rsidRPr="00EA702B" w:rsidRDefault="00902436">
            <w:pPr>
              <w:ind w:right="709"/>
              <w:jc w:val="center"/>
              <w:rPr>
                <w:rFonts w:ascii="Arial" w:hAnsi="Arial" w:cs="Arial"/>
                <w:b w:val="0"/>
                <w:bCs w:val="0"/>
                <w:i/>
                <w:iCs/>
                <w:color w:val="262626" w:themeColor="text1" w:themeTint="D9"/>
                <w:sz w:val="22"/>
                <w:szCs w:val="22"/>
              </w:rPr>
            </w:pPr>
            <w:r w:rsidRPr="00EA702B">
              <w:rPr>
                <w:rFonts w:ascii="Arial" w:hAnsi="Arial" w:cs="Arial"/>
                <w:i/>
                <w:iCs/>
                <w:color w:val="262626" w:themeColor="text1" w:themeTint="D9"/>
                <w:sz w:val="22"/>
                <w:szCs w:val="22"/>
              </w:rPr>
              <w:t>10</w:t>
            </w:r>
          </w:p>
        </w:tc>
        <w:tc>
          <w:tcPr>
            <w:tcW w:w="1769" w:type="dxa"/>
          </w:tcPr>
          <w:p w14:paraId="3FDEFA7D" w14:textId="77777777" w:rsidR="00902436" w:rsidRPr="00EA702B" w:rsidRDefault="00902436">
            <w:pPr>
              <w:ind w:right="709"/>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262626" w:themeColor="text1" w:themeTint="D9"/>
                <w:sz w:val="22"/>
                <w:szCs w:val="22"/>
              </w:rPr>
            </w:pPr>
            <w:r w:rsidRPr="00EA702B">
              <w:rPr>
                <w:rFonts w:ascii="Arial" w:hAnsi="Arial" w:cs="Arial"/>
                <w:i/>
                <w:iCs/>
                <w:color w:val="262626" w:themeColor="text1" w:themeTint="D9"/>
                <w:sz w:val="22"/>
                <w:szCs w:val="22"/>
              </w:rPr>
              <w:t>Mayores</w:t>
            </w:r>
          </w:p>
        </w:tc>
        <w:tc>
          <w:tcPr>
            <w:tcW w:w="2357" w:type="dxa"/>
          </w:tcPr>
          <w:p w14:paraId="683C5617" w14:textId="77777777" w:rsidR="00902436" w:rsidRPr="00EA702B" w:rsidRDefault="00902436">
            <w:pPr>
              <w:ind w:right="709"/>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262626" w:themeColor="text1" w:themeTint="D9"/>
                <w:sz w:val="22"/>
                <w:szCs w:val="22"/>
              </w:rPr>
            </w:pPr>
            <w:r w:rsidRPr="00EA702B">
              <w:rPr>
                <w:rFonts w:ascii="Arial" w:hAnsi="Arial" w:cs="Arial"/>
                <w:i/>
                <w:iCs/>
                <w:color w:val="262626" w:themeColor="text1" w:themeTint="D9"/>
                <w:sz w:val="22"/>
                <w:szCs w:val="22"/>
              </w:rPr>
              <w:t>120</w:t>
            </w:r>
          </w:p>
        </w:tc>
      </w:tr>
    </w:tbl>
    <w:p w14:paraId="693F2529" w14:textId="77777777" w:rsidR="00902436" w:rsidRDefault="00902436" w:rsidP="00902436">
      <w:pPr>
        <w:pStyle w:val="NormalWeb"/>
        <w:spacing w:after="120" w:line="276" w:lineRule="auto"/>
        <w:ind w:firstLine="709"/>
        <w:jc w:val="both"/>
        <w:rPr>
          <w:rFonts w:ascii="Arial" w:hAnsi="Arial" w:cs="Arial"/>
          <w:color w:val="000000"/>
          <w:sz w:val="22"/>
          <w:szCs w:val="22"/>
          <w:bdr w:val="none" w:sz="0" w:space="0" w:color="auto" w:frame="1"/>
        </w:rPr>
      </w:pPr>
    </w:p>
    <w:p w14:paraId="3681816B" w14:textId="77777777" w:rsidR="00902436" w:rsidRDefault="00902436" w:rsidP="00902436">
      <w:pPr>
        <w:pStyle w:val="NormalWeb"/>
        <w:spacing w:after="120" w:line="276" w:lineRule="auto"/>
        <w:ind w:firstLine="709"/>
        <w:jc w:val="both"/>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Conforme a lo anterior, la referida guía es</w:t>
      </w:r>
      <w:r w:rsidRPr="00EA702B">
        <w:rPr>
          <w:rFonts w:ascii="Arial" w:hAnsi="Arial" w:cs="Arial"/>
          <w:color w:val="000000"/>
          <w:sz w:val="22"/>
          <w:szCs w:val="22"/>
          <w:bdr w:val="none" w:sz="0" w:space="0" w:color="auto" w:frame="1"/>
        </w:rPr>
        <w:t xml:space="preserve"> clara al establecer que el factor de experiencia (E) se obtiene realizando una división del valor total en pesos de los contratos que inscritos en el RUP del proponente en el segmento 72 del Clasificador </w:t>
      </w:r>
      <w:r w:rsidRPr="00EA702B">
        <w:rPr>
          <w:rFonts w:ascii="Arial" w:hAnsi="Arial" w:cs="Arial"/>
          <w:color w:val="000000" w:themeColor="text1"/>
          <w:sz w:val="22"/>
          <w:szCs w:val="22"/>
        </w:rPr>
        <w:t>UNSPSC, entre</w:t>
      </w:r>
      <w:r w:rsidRPr="00EA702B">
        <w:rPr>
          <w:rFonts w:ascii="Arial" w:hAnsi="Arial" w:cs="Arial"/>
          <w:color w:val="000000"/>
          <w:sz w:val="22"/>
          <w:szCs w:val="22"/>
          <w:bdr w:val="none" w:sz="0" w:space="0" w:color="auto" w:frame="1"/>
        </w:rPr>
        <w:t xml:space="preserve"> el presupuesto oficial estimado del procedimiento contractual multiplicado por el porcentaje de participación en el proponente.  La relación indica el número de veces que el proponente ha ejecutado contratos equivalentes a la cuantía del Proceso de Contratación objeto de la acreditación de la Capacidad Residual. </w:t>
      </w:r>
    </w:p>
    <w:p w14:paraId="1DB5E57A" w14:textId="2A9D3746" w:rsidR="00233A47" w:rsidRPr="00CC200E" w:rsidRDefault="00EE71D2" w:rsidP="00845C54">
      <w:pPr>
        <w:spacing w:line="276" w:lineRule="auto"/>
        <w:jc w:val="both"/>
        <w:rPr>
          <w:rFonts w:ascii="Arial" w:eastAsia="Calibri" w:hAnsi="Arial" w:cs="Arial"/>
          <w:b/>
          <w:bCs/>
          <w:color w:val="000000" w:themeColor="text1"/>
        </w:rPr>
      </w:pPr>
      <w:r w:rsidRPr="00CC200E">
        <w:rPr>
          <w:rFonts w:ascii="Arial" w:eastAsia="Calibri" w:hAnsi="Arial" w:cs="Arial"/>
          <w:b/>
          <w:bCs/>
          <w:color w:val="000000" w:themeColor="text1"/>
        </w:rPr>
        <w:t>3. Respuesta</w:t>
      </w:r>
    </w:p>
    <w:p w14:paraId="38F10521" w14:textId="77777777" w:rsidR="00EE71D2" w:rsidRPr="00CC200E" w:rsidRDefault="00EE71D2" w:rsidP="00845C54">
      <w:pPr>
        <w:spacing w:after="0" w:line="240" w:lineRule="auto"/>
        <w:ind w:left="709" w:right="709"/>
        <w:jc w:val="both"/>
        <w:rPr>
          <w:rFonts w:ascii="Arial" w:hAnsi="Arial" w:cs="Arial"/>
          <w:sz w:val="21"/>
          <w:szCs w:val="21"/>
        </w:rPr>
      </w:pPr>
      <w:r w:rsidRPr="00CC200E">
        <w:rPr>
          <w:rFonts w:ascii="Arial" w:hAnsi="Arial" w:cs="Arial"/>
          <w:sz w:val="21"/>
          <w:szCs w:val="21"/>
        </w:rPr>
        <w:t xml:space="preserve">“[…] 1. ¿Una empresa conformada por Sociedad por Acciones Simplificada (SAS), constituida con más de 3 años, puede utilizar la experiencia del accionista para contratar en un proceso de contratación estatal por modalidad de mínima cuantía o </w:t>
      </w:r>
      <w:r w:rsidRPr="00CC200E">
        <w:rPr>
          <w:rFonts w:ascii="Arial" w:hAnsi="Arial" w:cs="Arial"/>
          <w:color w:val="000000"/>
          <w:sz w:val="21"/>
          <w:szCs w:val="21"/>
          <w:shd w:val="clear" w:color="auto" w:fill="FFFFFF"/>
        </w:rPr>
        <w:t>Licitación pública (Obra pública)</w:t>
      </w:r>
      <w:r w:rsidRPr="00CC200E">
        <w:rPr>
          <w:rFonts w:ascii="Arial" w:hAnsi="Arial" w:cs="Arial"/>
          <w:sz w:val="21"/>
          <w:szCs w:val="21"/>
        </w:rPr>
        <w:t>, cuando luego de pasado los 3 años y no permitiese que los efectos del RUP cesen?</w:t>
      </w:r>
    </w:p>
    <w:p w14:paraId="115E8B39" w14:textId="77777777" w:rsidR="00EE71D2" w:rsidRPr="00CC200E" w:rsidRDefault="00EE71D2" w:rsidP="00845C54">
      <w:pPr>
        <w:spacing w:after="0" w:line="240" w:lineRule="auto"/>
        <w:ind w:left="709" w:right="709"/>
        <w:jc w:val="both"/>
        <w:rPr>
          <w:rFonts w:ascii="Arial" w:hAnsi="Arial" w:cs="Arial"/>
          <w:sz w:val="21"/>
          <w:szCs w:val="21"/>
        </w:rPr>
      </w:pPr>
    </w:p>
    <w:p w14:paraId="730FC114" w14:textId="77777777" w:rsidR="00EE71D2" w:rsidRPr="00CC200E" w:rsidRDefault="00EE71D2" w:rsidP="00845C54">
      <w:pPr>
        <w:spacing w:after="0" w:line="240" w:lineRule="auto"/>
        <w:ind w:left="709" w:right="709"/>
        <w:jc w:val="both"/>
        <w:rPr>
          <w:rFonts w:ascii="Arial" w:hAnsi="Arial" w:cs="Arial"/>
          <w:sz w:val="21"/>
          <w:szCs w:val="21"/>
        </w:rPr>
      </w:pPr>
      <w:r w:rsidRPr="00CC200E">
        <w:rPr>
          <w:rFonts w:ascii="Arial" w:hAnsi="Arial" w:cs="Arial"/>
          <w:sz w:val="21"/>
          <w:szCs w:val="21"/>
        </w:rPr>
        <w:t>2. ¿Una empresa con más de 3 años constituidas con experiencia acreditada de los socios o accionistas en el RUP, debe eliminar dicha experiencia si los socios se retiran luego de los tres años de constituida la empresa?</w:t>
      </w:r>
    </w:p>
    <w:p w14:paraId="3E6EFF06" w14:textId="77777777" w:rsidR="00EE71D2" w:rsidRPr="00CC200E" w:rsidRDefault="00EE71D2" w:rsidP="00845C54">
      <w:pPr>
        <w:spacing w:after="0" w:line="240" w:lineRule="auto"/>
        <w:ind w:left="709" w:right="709"/>
        <w:jc w:val="both"/>
        <w:rPr>
          <w:rFonts w:ascii="Arial" w:hAnsi="Arial" w:cs="Arial"/>
          <w:sz w:val="21"/>
          <w:szCs w:val="21"/>
        </w:rPr>
      </w:pPr>
    </w:p>
    <w:p w14:paraId="433A4C3E" w14:textId="77777777" w:rsidR="00EE71D2" w:rsidRPr="00CC200E" w:rsidRDefault="00EE71D2" w:rsidP="00845C54">
      <w:pPr>
        <w:spacing w:after="0" w:line="240" w:lineRule="auto"/>
        <w:ind w:left="709" w:right="709"/>
        <w:jc w:val="both"/>
        <w:rPr>
          <w:rFonts w:ascii="Arial" w:hAnsi="Arial" w:cs="Arial"/>
          <w:sz w:val="21"/>
          <w:szCs w:val="21"/>
        </w:rPr>
      </w:pPr>
      <w:r w:rsidRPr="00CC200E">
        <w:rPr>
          <w:rFonts w:ascii="Arial" w:hAnsi="Arial" w:cs="Arial"/>
          <w:sz w:val="21"/>
          <w:szCs w:val="21"/>
        </w:rPr>
        <w:t>3. ¿Una empresa con más de 3 años constituidas la cual los efectos del RUP nunca cesaron, para el cálculo de la capacidad residual, puntualmente en el apartado de experiencia, debe reportar todos los contratos relacionados del Segmento 72 relacionados en el RUP, incluyendo la de socios y accionista presentes en el RUP, así estos ya no se encuentren vinculados a la empresa?</w:t>
      </w:r>
    </w:p>
    <w:p w14:paraId="2E8BAFCE" w14:textId="77777777" w:rsidR="00EE71D2" w:rsidRPr="00CC200E" w:rsidRDefault="00EE71D2" w:rsidP="00845C54">
      <w:pPr>
        <w:spacing w:after="0" w:line="240" w:lineRule="auto"/>
        <w:ind w:left="709" w:right="709"/>
        <w:jc w:val="both"/>
        <w:rPr>
          <w:rFonts w:ascii="Arial" w:hAnsi="Arial" w:cs="Arial"/>
          <w:sz w:val="21"/>
          <w:szCs w:val="21"/>
        </w:rPr>
      </w:pPr>
    </w:p>
    <w:p w14:paraId="1B672D5C" w14:textId="0739726B" w:rsidR="00EE71D2" w:rsidRPr="00CC200E" w:rsidRDefault="00EE71D2" w:rsidP="00845C54">
      <w:pPr>
        <w:spacing w:after="0" w:line="240" w:lineRule="auto"/>
        <w:ind w:left="709" w:right="709"/>
        <w:jc w:val="both"/>
        <w:rPr>
          <w:rFonts w:ascii="Arial" w:hAnsi="Arial" w:cs="Arial"/>
          <w:sz w:val="21"/>
          <w:szCs w:val="21"/>
        </w:rPr>
      </w:pPr>
      <w:r w:rsidRPr="00CC200E">
        <w:rPr>
          <w:rFonts w:ascii="Arial" w:hAnsi="Arial" w:cs="Arial"/>
          <w:sz w:val="21"/>
          <w:szCs w:val="21"/>
        </w:rPr>
        <w:lastRenderedPageBreak/>
        <w:t>4. ¿Para el cálculo de la capacidad residual, si se comete algún error al momento de reportar el saldo de contratos en ejecución procede a un rechazo de la oferta, si la entidad no pidió aclaración de dichos contratos, esto bajo el concepto que se presentaron la cantidad de contratos en ejecución, pero se cometió algún error al digitar las fechas o algún otro valor requerido conforme a la guía para cálculo de capacidad residual, dado por Colombia Compra Eficiente? […]”</w:t>
      </w:r>
    </w:p>
    <w:p w14:paraId="5A9D42AD" w14:textId="77777777" w:rsidR="005E7ABA" w:rsidRPr="00CC200E" w:rsidRDefault="005E7ABA" w:rsidP="00845C54">
      <w:pPr>
        <w:spacing w:after="0" w:line="240" w:lineRule="auto"/>
        <w:ind w:left="709" w:right="709"/>
        <w:jc w:val="both"/>
        <w:rPr>
          <w:rFonts w:ascii="Arial" w:hAnsi="Arial" w:cs="Arial"/>
          <w:sz w:val="21"/>
          <w:szCs w:val="21"/>
        </w:rPr>
      </w:pPr>
    </w:p>
    <w:p w14:paraId="1A0818E7" w14:textId="5CA33381" w:rsidR="005E7ABA" w:rsidRPr="00CC200E" w:rsidRDefault="005E7ABA" w:rsidP="00845C54">
      <w:pPr>
        <w:spacing w:line="276" w:lineRule="auto"/>
        <w:jc w:val="both"/>
        <w:rPr>
          <w:rFonts w:ascii="Arial" w:eastAsia="Calibri" w:hAnsi="Arial" w:cs="Arial"/>
          <w:color w:val="000000" w:themeColor="text1"/>
        </w:rPr>
      </w:pPr>
      <w:r w:rsidRPr="00CC200E">
        <w:rPr>
          <w:rFonts w:ascii="Arial" w:eastAsia="Calibri" w:hAnsi="Arial" w:cs="Arial"/>
          <w:color w:val="000000" w:themeColor="text1"/>
        </w:rPr>
        <w:t xml:space="preserve">Conforme a lo expuesto, el numeral 2.5 del artículo 2.2.1.1.1.5. del Decreto 1082 de 2015 establece una prerrogativa en atención a la cual, las personas jurídicas con menos de tres (3) años de constitución pueden inscribir en el RUP la experiencia adquirida por sus socios, accionistas o constituyentes y, en consecuencia, acreditarla como propia en los procesos de contratación en los que participen o pretendan participar. Lo anterior, con el fin de permitir que las sociedades que no cuentan con la experiencia suficiente para contratar con el </w:t>
      </w:r>
      <w:r w:rsidR="000B7C05" w:rsidRPr="00CC200E">
        <w:rPr>
          <w:rFonts w:ascii="Arial" w:eastAsia="Calibri" w:hAnsi="Arial" w:cs="Arial"/>
          <w:color w:val="000000" w:themeColor="text1"/>
        </w:rPr>
        <w:t>Estado</w:t>
      </w:r>
      <w:r w:rsidRPr="00CC200E">
        <w:rPr>
          <w:rFonts w:ascii="Arial" w:eastAsia="Calibri" w:hAnsi="Arial" w:cs="Arial"/>
          <w:color w:val="000000" w:themeColor="text1"/>
        </w:rPr>
        <w:t xml:space="preserve"> puedan apoyarse en la experiencia de sus accionistas, socios o constituyentes, para así incentivar la competencia en la contratación estatal y garantizar la pluralidad de oferentes. </w:t>
      </w:r>
    </w:p>
    <w:p w14:paraId="568A1527" w14:textId="62FE9F71" w:rsidR="005E7ABA" w:rsidRPr="00CC200E" w:rsidRDefault="005E7ABA" w:rsidP="00845C54">
      <w:pPr>
        <w:spacing w:line="276" w:lineRule="auto"/>
        <w:ind w:firstLine="708"/>
        <w:jc w:val="both"/>
        <w:rPr>
          <w:rFonts w:ascii="Arial" w:eastAsia="Calibri" w:hAnsi="Arial" w:cs="Arial"/>
          <w:color w:val="000000" w:themeColor="text1"/>
        </w:rPr>
      </w:pPr>
      <w:r w:rsidRPr="00CC200E">
        <w:rPr>
          <w:rFonts w:ascii="Arial" w:eastAsia="Calibri" w:hAnsi="Arial" w:cs="Arial"/>
          <w:color w:val="000000" w:themeColor="text1"/>
        </w:rPr>
        <w:t xml:space="preserve">En ese orden, la transferencia de la experiencia de los accionistas, socios o constituyentes a la persona jurídica sólo podrá realizarse cuando esta cuente con menos de tres (3) años de constitución. </w:t>
      </w:r>
      <w:r w:rsidR="000B7C05" w:rsidRPr="00CC200E">
        <w:rPr>
          <w:rFonts w:ascii="Arial" w:eastAsia="Calibri" w:hAnsi="Arial" w:cs="Arial"/>
          <w:color w:val="000000" w:themeColor="text1"/>
        </w:rPr>
        <w:t xml:space="preserve">Así las cosas, y en lo </w:t>
      </w:r>
      <w:r w:rsidRPr="00CC200E">
        <w:rPr>
          <w:rFonts w:ascii="Arial" w:eastAsia="Calibri" w:hAnsi="Arial" w:cs="Arial"/>
          <w:color w:val="000000" w:themeColor="text1"/>
        </w:rPr>
        <w:t xml:space="preserve">que respecta a la </w:t>
      </w:r>
      <w:r w:rsidRPr="00CC200E">
        <w:rPr>
          <w:rFonts w:ascii="Arial" w:eastAsia="Calibri" w:hAnsi="Arial" w:cs="Arial"/>
          <w:i/>
          <w:iCs/>
          <w:color w:val="000000" w:themeColor="text1"/>
        </w:rPr>
        <w:t>conservación de esta experiencia</w:t>
      </w:r>
      <w:r w:rsidRPr="00CC200E">
        <w:rPr>
          <w:rFonts w:ascii="Arial" w:eastAsia="Calibri" w:hAnsi="Arial" w:cs="Arial"/>
          <w:color w:val="000000" w:themeColor="text1"/>
        </w:rPr>
        <w:t xml:space="preserve">, debe señalarse que, la sociedad con menos de tres (3) años de constituida que ha registrado la experiencia de sus socios, accionistas y constituyentes en el RUP y lo ha renovado con frecuencia de forma oportuna, </w:t>
      </w:r>
      <w:r w:rsidRPr="00CC200E">
        <w:rPr>
          <w:rFonts w:ascii="Arial" w:eastAsia="Calibri" w:hAnsi="Arial" w:cs="Arial"/>
          <w:i/>
          <w:iCs/>
          <w:color w:val="000000" w:themeColor="text1"/>
        </w:rPr>
        <w:t>tendrá la facultad de continuar utilizando la experiencia inscrita mientras no cesen los efectos del RUP, incluso después de transcurridos los tres (3) años</w:t>
      </w:r>
      <w:r w:rsidRPr="00CC200E">
        <w:rPr>
          <w:rFonts w:ascii="Arial" w:eastAsia="Calibri" w:hAnsi="Arial" w:cs="Arial"/>
          <w:color w:val="000000" w:themeColor="text1"/>
        </w:rPr>
        <w:t xml:space="preserve">. Por el contrario, si este no se renueva y la persona jurídica supera los tres (3)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0A5A4F90" w14:textId="11070033" w:rsidR="005E7ABA" w:rsidRPr="00CC200E" w:rsidRDefault="004B3164" w:rsidP="00845C54">
      <w:pPr>
        <w:spacing w:line="276" w:lineRule="auto"/>
        <w:ind w:firstLine="708"/>
        <w:jc w:val="both"/>
        <w:rPr>
          <w:rFonts w:ascii="Arial" w:eastAsia="Calibri" w:hAnsi="Arial" w:cs="Arial"/>
          <w:color w:val="000000" w:themeColor="text1"/>
        </w:rPr>
      </w:pPr>
      <w:r w:rsidRPr="00CC200E">
        <w:rPr>
          <w:rFonts w:ascii="Arial" w:eastAsia="Calibri" w:hAnsi="Arial" w:cs="Arial"/>
          <w:color w:val="000000" w:themeColor="text1"/>
        </w:rPr>
        <w:t>Ahora bien, f</w:t>
      </w:r>
      <w:r w:rsidR="005E7ABA" w:rsidRPr="00CC200E">
        <w:rPr>
          <w:rFonts w:ascii="Arial" w:eastAsia="Calibri" w:hAnsi="Arial" w:cs="Arial"/>
          <w:color w:val="000000" w:themeColor="text1"/>
        </w:rPr>
        <w:t>rente a la consulta planteada acerca de la posibilidad de que si una persona jurídica puede seguir acreditando la experiencia de un socio o accionista que ya no hace parte de la sociedad después de los tres (3) primeros años, debe señalar</w:t>
      </w:r>
      <w:r w:rsidR="008D3DAF" w:rsidRPr="00CC200E">
        <w:rPr>
          <w:rFonts w:ascii="Arial" w:eastAsia="Calibri" w:hAnsi="Arial" w:cs="Arial"/>
          <w:color w:val="000000" w:themeColor="text1"/>
        </w:rPr>
        <w:t>se</w:t>
      </w:r>
      <w:r w:rsidR="005E7ABA" w:rsidRPr="00CC200E">
        <w:rPr>
          <w:rFonts w:ascii="Arial" w:eastAsia="Calibri" w:hAnsi="Arial" w:cs="Arial"/>
          <w:color w:val="000000" w:themeColor="text1"/>
        </w:rPr>
        <w:t xml:space="preserve"> que, el Decreto 1082 de 2015 solo permite que una sociedad acredite la experiencia de quienes tienen la calidad de accionistas, socios o constituyentes durante los primeros tres (3) años de su constitución. Por tanto, si se pierden estas calidades, como sucedería cuando uno de ellos se retira, ya no sería posible que la sociedad en uso de la prerrogativa dispuesta en la precitada norma acredite la experiencia aportada por dicha persona. En consecuencia, la persona jurídica debería actualizar la experiencia en el RUP y abstenerse de inscribir la adquirida por el socio que vendió o cedió sus acciones y se retira de la sociedad, actuando así de buena fe en el proceso de contratación.</w:t>
      </w:r>
    </w:p>
    <w:p w14:paraId="45AB0B59" w14:textId="77777777" w:rsidR="005E7ABA" w:rsidRPr="00CC200E" w:rsidRDefault="005E7ABA" w:rsidP="00845C54">
      <w:pPr>
        <w:spacing w:line="276" w:lineRule="auto"/>
        <w:ind w:firstLine="708"/>
        <w:jc w:val="both"/>
        <w:rPr>
          <w:rFonts w:ascii="Arial" w:eastAsia="Calibri" w:hAnsi="Arial" w:cs="Arial"/>
          <w:color w:val="000000" w:themeColor="text1"/>
        </w:rPr>
      </w:pPr>
      <w:r w:rsidRPr="00CC200E">
        <w:rPr>
          <w:rFonts w:ascii="Arial" w:eastAsia="Calibri" w:hAnsi="Arial" w:cs="Arial"/>
          <w:color w:val="000000" w:themeColor="text1"/>
        </w:rPr>
        <w:lastRenderedPageBreak/>
        <w:t>Esta interpretación se impone en atención a fin de evitar prácticas corruptas o que atenten contra la transparencia en la contratación estatal. De igual forma, lo anterior se fundamenta como se explicó en líneas atrás, en el carácter personalísimo de la experiencia respecto de la persona que la ha adquirido y que solo en casos excepcionales y por disposición legal o reglamentaria, como en el caso del numeral 2.5. del artículo 2.2.1.1.1.5.2. del Decreto 1082 de 2015, se presume de otra forma. En ese sentido, si el socio se retira de la sociedad por venta o cesión de su participación accionaria, no puede vender o ceder su experiencia para que el adquirente o cesionario de la participación accionaria la aporte a la sociedad.</w:t>
      </w:r>
    </w:p>
    <w:p w14:paraId="0B0DBDF8" w14:textId="77777777" w:rsidR="008D528C" w:rsidRPr="00CC200E" w:rsidRDefault="0058738C" w:rsidP="00845C54">
      <w:pPr>
        <w:spacing w:line="276" w:lineRule="auto"/>
        <w:ind w:firstLine="708"/>
        <w:jc w:val="both"/>
        <w:rPr>
          <w:rFonts w:ascii="Arial" w:hAnsi="Arial" w:cs="Arial"/>
          <w:lang w:val="es-ES_tradnl"/>
        </w:rPr>
      </w:pPr>
      <w:r w:rsidRPr="00CC200E">
        <w:rPr>
          <w:rFonts w:ascii="Arial" w:eastAsia="Calibri" w:hAnsi="Arial" w:cs="Arial"/>
          <w:color w:val="000000" w:themeColor="text1"/>
        </w:rPr>
        <w:t xml:space="preserve">Finalmente, y </w:t>
      </w:r>
      <w:r w:rsidR="00AB3798" w:rsidRPr="00CC200E">
        <w:rPr>
          <w:rFonts w:ascii="Arial" w:eastAsia="Calibri" w:hAnsi="Arial" w:cs="Arial"/>
          <w:color w:val="000000" w:themeColor="text1"/>
        </w:rPr>
        <w:t>en relación con</w:t>
      </w:r>
      <w:r w:rsidRPr="00CC200E">
        <w:rPr>
          <w:rFonts w:ascii="Arial" w:eastAsia="Calibri" w:hAnsi="Arial" w:cs="Arial"/>
          <w:color w:val="000000" w:themeColor="text1"/>
        </w:rPr>
        <w:t xml:space="preserve"> la capacidad residual ha de precisarse que </w:t>
      </w:r>
      <w:r w:rsidR="00AB3798" w:rsidRPr="00CC200E">
        <w:rPr>
          <w:rFonts w:ascii="Arial" w:hAnsi="Arial" w:cs="Arial"/>
        </w:rPr>
        <w:t xml:space="preserve">es un requisito habilitante que está sujeto a la posibilidad de solicitarle aclaración, con el fin de esclarecer dudas sobre aspectos de la información presentada por el proponente y de igual forma, esa sujeta a la posibilidad de subsanar la ausencia de requisitos, siempre que se cumpla con los límites temporales y materiales descritos en este concepto, es decir, </w:t>
      </w:r>
      <w:r w:rsidR="00AB3798" w:rsidRPr="00CC200E">
        <w:rPr>
          <w:rFonts w:ascii="Arial" w:hAnsi="Arial" w:cs="Arial"/>
          <w:lang w:val="es-ES_tradnl"/>
        </w:rPr>
        <w:t>que lo omitido no sea un factor que afecte la asignación de puntaje, que sea la prueba de una circunstancia o hecho que ocurrió con anterioridad al cierre del proceso y que no existe disposición legal o en el pliego de condiciones que prohíba su subsanación</w:t>
      </w:r>
      <w:r w:rsidR="008D528C" w:rsidRPr="00CC200E">
        <w:rPr>
          <w:rFonts w:ascii="Arial" w:hAnsi="Arial" w:cs="Arial"/>
          <w:lang w:val="es-ES_tradnl"/>
        </w:rPr>
        <w:t>.</w:t>
      </w:r>
    </w:p>
    <w:p w14:paraId="23CD677E" w14:textId="07DDCE53" w:rsidR="005E7ABA" w:rsidRPr="00CC200E" w:rsidRDefault="00A96E9E" w:rsidP="00845C54">
      <w:pPr>
        <w:spacing w:after="120" w:line="276" w:lineRule="auto"/>
        <w:jc w:val="both"/>
        <w:rPr>
          <w:rFonts w:ascii="Arial" w:eastAsia="Times New Roman" w:hAnsi="Arial" w:cs="Arial"/>
          <w:lang w:val="es-ES_tradnl" w:eastAsia="es-ES_tradnl"/>
        </w:rPr>
      </w:pPr>
      <w:r w:rsidRPr="00CC200E">
        <w:rPr>
          <w:rFonts w:ascii="Arial" w:eastAsia="Times New Roman" w:hAnsi="Arial" w:cs="Arial"/>
          <w:lang w:val="es-ES_tradnl" w:eastAsia="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4CCCBD25" w14:textId="1CF2BAC6" w:rsidR="007536B9" w:rsidRPr="00CC200E" w:rsidRDefault="00717B6D" w:rsidP="00845C54">
      <w:pPr>
        <w:spacing w:after="120" w:line="276" w:lineRule="auto"/>
        <w:jc w:val="both"/>
        <w:rPr>
          <w:rFonts w:ascii="Arial" w:eastAsia="Times New Roman" w:hAnsi="Arial" w:cs="Arial"/>
          <w:lang w:val="es-ES_tradnl" w:eastAsia="es-ES_tradnl"/>
        </w:rPr>
      </w:pPr>
      <w:r w:rsidRPr="00CC200E">
        <w:rPr>
          <w:rFonts w:ascii="Arial" w:eastAsia="Times New Roman" w:hAnsi="Arial" w:cs="Arial"/>
          <w:lang w:val="es-ES_tradnl" w:eastAsia="es-ES_tradnl"/>
        </w:rPr>
        <w:t>Atentamente,</w:t>
      </w:r>
    </w:p>
    <w:p w14:paraId="7945E712" w14:textId="540AD94B" w:rsidR="003734C1" w:rsidRPr="00CC200E" w:rsidRDefault="00B23F4A" w:rsidP="00845C54">
      <w:pPr>
        <w:spacing w:line="276" w:lineRule="auto"/>
        <w:jc w:val="center"/>
        <w:rPr>
          <w:rFonts w:ascii="Arial" w:eastAsia="Calibri" w:hAnsi="Arial" w:cs="Arial"/>
          <w:b/>
          <w:bCs/>
          <w:color w:val="000000" w:themeColor="text1"/>
          <w:lang w:val="es-ES_tradnl"/>
        </w:rPr>
      </w:pPr>
      <w:r>
        <w:rPr>
          <w:rFonts w:ascii="Arial" w:hAnsi="Arial" w:cs="Arial"/>
          <w:noProof/>
          <w:lang w:val="es-ES_tradnl"/>
        </w:rPr>
        <w:drawing>
          <wp:inline distT="0" distB="0" distL="0" distR="0" wp14:anchorId="3F3EEF3C" wp14:editId="6C6C943B">
            <wp:extent cx="3155950" cy="1212850"/>
            <wp:effectExtent l="0" t="0" r="6350" b="6350"/>
            <wp:docPr id="535979248"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5950" cy="1212850"/>
                    </a:xfrm>
                    <a:prstGeom prst="rect">
                      <a:avLst/>
                    </a:prstGeom>
                    <a:noFill/>
                    <a:ln>
                      <a:noFill/>
                    </a:ln>
                  </pic:spPr>
                </pic:pic>
              </a:graphicData>
            </a:graphic>
          </wp:inline>
        </w:drawing>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734C1" w:rsidRPr="00CC200E" w14:paraId="7A66BFB3" w14:textId="77777777">
        <w:trPr>
          <w:trHeight w:val="315"/>
        </w:trPr>
        <w:tc>
          <w:tcPr>
            <w:tcW w:w="812" w:type="dxa"/>
            <w:vAlign w:val="center"/>
            <w:hideMark/>
          </w:tcPr>
          <w:p w14:paraId="4F14A741" w14:textId="77777777" w:rsidR="003734C1" w:rsidRPr="00CC200E" w:rsidRDefault="003734C1" w:rsidP="00845C54">
            <w:pPr>
              <w:jc w:val="both"/>
              <w:rPr>
                <w:rFonts w:ascii="Arial" w:eastAsia="Times New Roman" w:hAnsi="Arial" w:cs="Arial"/>
                <w:color w:val="000000" w:themeColor="text1"/>
                <w:sz w:val="16"/>
                <w:szCs w:val="16"/>
                <w:lang w:val="es-ES_tradnl" w:eastAsia="es-ES"/>
              </w:rPr>
            </w:pPr>
            <w:r w:rsidRPr="00CC200E">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66614140" w14:textId="4846DE47" w:rsidR="003734C1" w:rsidRPr="00CC200E" w:rsidRDefault="003734C1" w:rsidP="00845C54">
            <w:pPr>
              <w:jc w:val="both"/>
              <w:rPr>
                <w:rFonts w:ascii="Arial" w:eastAsia="Times New Roman" w:hAnsi="Arial" w:cs="Arial"/>
                <w:color w:val="000000" w:themeColor="text1"/>
                <w:sz w:val="16"/>
                <w:szCs w:val="16"/>
                <w:lang w:val="es-ES_tradnl" w:eastAsia="es-ES"/>
              </w:rPr>
            </w:pPr>
            <w:r w:rsidRPr="00CC200E">
              <w:rPr>
                <w:rFonts w:ascii="Arial" w:eastAsia="Times New Roman" w:hAnsi="Arial" w:cs="Arial"/>
                <w:color w:val="000000" w:themeColor="text1"/>
                <w:sz w:val="16"/>
                <w:szCs w:val="16"/>
                <w:lang w:val="es-ES_tradnl" w:eastAsia="es-ES"/>
              </w:rPr>
              <w:t>Ana María Ortiz Ballesteros</w:t>
            </w:r>
          </w:p>
          <w:p w14:paraId="3C112FE2" w14:textId="77777777" w:rsidR="003734C1" w:rsidRPr="00CC200E" w:rsidRDefault="003734C1" w:rsidP="00845C54">
            <w:pPr>
              <w:jc w:val="both"/>
              <w:rPr>
                <w:rFonts w:ascii="Arial" w:eastAsia="Times New Roman" w:hAnsi="Arial" w:cs="Arial"/>
                <w:color w:val="000000" w:themeColor="text1"/>
                <w:sz w:val="16"/>
                <w:szCs w:val="16"/>
                <w:lang w:val="es-ES_tradnl" w:eastAsia="es-ES"/>
              </w:rPr>
            </w:pPr>
            <w:r w:rsidRPr="00CC200E">
              <w:rPr>
                <w:rFonts w:ascii="Arial" w:eastAsia="Times New Roman" w:hAnsi="Arial" w:cs="Arial"/>
                <w:color w:val="000000" w:themeColor="text1"/>
                <w:sz w:val="16"/>
                <w:szCs w:val="16"/>
                <w:lang w:val="es-ES_tradnl" w:eastAsia="es-ES"/>
              </w:rPr>
              <w:t xml:space="preserve">Contratista de la Subdirección de Gestión Contractual  </w:t>
            </w:r>
          </w:p>
        </w:tc>
      </w:tr>
      <w:tr w:rsidR="003734C1" w:rsidRPr="00CC200E" w14:paraId="0E1FCC0C" w14:textId="77777777">
        <w:trPr>
          <w:trHeight w:val="330"/>
        </w:trPr>
        <w:tc>
          <w:tcPr>
            <w:tcW w:w="812" w:type="dxa"/>
            <w:vAlign w:val="center"/>
            <w:hideMark/>
          </w:tcPr>
          <w:p w14:paraId="52D5249F" w14:textId="77777777" w:rsidR="003734C1" w:rsidRPr="00CC200E" w:rsidRDefault="003734C1" w:rsidP="00845C54">
            <w:pPr>
              <w:jc w:val="both"/>
              <w:rPr>
                <w:rFonts w:ascii="Arial" w:eastAsia="Times New Roman" w:hAnsi="Arial" w:cs="Arial"/>
                <w:color w:val="000000" w:themeColor="text1"/>
                <w:sz w:val="16"/>
                <w:szCs w:val="16"/>
                <w:lang w:val="es-ES_tradnl" w:eastAsia="es-ES"/>
              </w:rPr>
            </w:pPr>
            <w:r w:rsidRPr="00CC200E">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648C319" w14:textId="77777777" w:rsidR="003734C1" w:rsidRPr="00CC200E" w:rsidRDefault="003734C1" w:rsidP="00845C54">
            <w:pPr>
              <w:rPr>
                <w:rFonts w:ascii="Arial" w:hAnsi="Arial" w:cs="Arial"/>
                <w:color w:val="000000" w:themeColor="text1"/>
                <w:sz w:val="16"/>
                <w:szCs w:val="16"/>
                <w:lang w:eastAsia="es-ES"/>
              </w:rPr>
            </w:pPr>
            <w:r w:rsidRPr="00CC200E">
              <w:rPr>
                <w:rFonts w:ascii="Arial" w:hAnsi="Arial" w:cs="Arial"/>
                <w:color w:val="000000" w:themeColor="text1"/>
                <w:sz w:val="16"/>
                <w:szCs w:val="16"/>
                <w:lang w:eastAsia="es-ES"/>
              </w:rPr>
              <w:t>Alejandro Sarmiento Cantillo</w:t>
            </w:r>
          </w:p>
          <w:p w14:paraId="1A461852" w14:textId="3CFB488A" w:rsidR="003734C1" w:rsidRPr="00CC200E" w:rsidRDefault="003734C1" w:rsidP="00845C54">
            <w:pPr>
              <w:rPr>
                <w:rFonts w:ascii="Arial" w:hAnsi="Arial" w:cs="Arial"/>
                <w:color w:val="000000" w:themeColor="text1"/>
                <w:sz w:val="16"/>
                <w:szCs w:val="16"/>
                <w:lang w:eastAsia="es-ES"/>
              </w:rPr>
            </w:pPr>
            <w:r w:rsidRPr="00CC200E">
              <w:rPr>
                <w:rFonts w:ascii="Arial" w:hAnsi="Arial" w:cs="Arial"/>
                <w:color w:val="000000" w:themeColor="text1"/>
                <w:sz w:val="16"/>
                <w:szCs w:val="16"/>
                <w:lang w:eastAsia="es-ES"/>
              </w:rPr>
              <w:t>Gestor T1-15 de la Subdirección de Gestión Contractual</w:t>
            </w:r>
          </w:p>
        </w:tc>
      </w:tr>
      <w:tr w:rsidR="003734C1" w:rsidRPr="00CC200E" w14:paraId="73A84742" w14:textId="77777777">
        <w:trPr>
          <w:trHeight w:val="300"/>
        </w:trPr>
        <w:tc>
          <w:tcPr>
            <w:tcW w:w="812" w:type="dxa"/>
            <w:vAlign w:val="center"/>
            <w:hideMark/>
          </w:tcPr>
          <w:p w14:paraId="74E39C0F" w14:textId="77777777" w:rsidR="003734C1" w:rsidRPr="00CC200E" w:rsidRDefault="003734C1" w:rsidP="00845C54">
            <w:pPr>
              <w:jc w:val="both"/>
              <w:rPr>
                <w:rFonts w:ascii="Arial" w:eastAsia="Times New Roman" w:hAnsi="Arial" w:cs="Arial"/>
                <w:color w:val="000000" w:themeColor="text1"/>
                <w:sz w:val="16"/>
                <w:szCs w:val="16"/>
                <w:lang w:val="es-ES_tradnl" w:eastAsia="es-ES"/>
              </w:rPr>
            </w:pPr>
            <w:r w:rsidRPr="00CC200E">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AE6D206" w14:textId="0EEEC8D9" w:rsidR="003734C1" w:rsidRPr="00CC200E" w:rsidRDefault="003734C1" w:rsidP="00845C54">
            <w:pPr>
              <w:rPr>
                <w:rFonts w:ascii="Arial" w:eastAsia="Calibri" w:hAnsi="Arial" w:cs="Arial"/>
                <w:sz w:val="16"/>
                <w:szCs w:val="16"/>
                <w:lang w:val="pt-BR" w:eastAsia="es-ES"/>
              </w:rPr>
            </w:pPr>
            <w:r w:rsidRPr="00CC200E">
              <w:rPr>
                <w:rFonts w:ascii="Arial" w:eastAsia="Calibri" w:hAnsi="Arial" w:cs="Arial"/>
                <w:sz w:val="16"/>
                <w:szCs w:val="16"/>
                <w:lang w:val="pt-BR" w:eastAsia="es-ES"/>
              </w:rPr>
              <w:t>Nohelia Del Carmen Zawady Palacio</w:t>
            </w:r>
          </w:p>
          <w:p w14:paraId="641423A4" w14:textId="77777777" w:rsidR="003734C1" w:rsidRPr="00CC200E" w:rsidRDefault="003734C1" w:rsidP="00845C54">
            <w:pPr>
              <w:jc w:val="both"/>
              <w:rPr>
                <w:rFonts w:ascii="Arial" w:eastAsia="Times New Roman" w:hAnsi="Arial" w:cs="Arial"/>
                <w:color w:val="000000" w:themeColor="text1"/>
                <w:sz w:val="16"/>
                <w:szCs w:val="16"/>
                <w:lang w:val="es-ES_tradnl" w:eastAsia="es-ES"/>
              </w:rPr>
            </w:pPr>
            <w:r w:rsidRPr="00CC200E">
              <w:rPr>
                <w:rFonts w:ascii="Arial" w:eastAsia="Calibri" w:hAnsi="Arial" w:cs="Arial"/>
                <w:sz w:val="16"/>
                <w:szCs w:val="16"/>
                <w:lang w:eastAsia="es-ES"/>
              </w:rPr>
              <w:t>Subdirectora</w:t>
            </w:r>
            <w:r w:rsidRPr="00CC200E">
              <w:rPr>
                <w:rFonts w:ascii="Arial" w:eastAsia="Calibri" w:hAnsi="Arial" w:cs="Arial"/>
                <w:sz w:val="16"/>
                <w:szCs w:val="16"/>
                <w:lang w:val="pt-BR" w:eastAsia="es-ES"/>
              </w:rPr>
              <w:t xml:space="preserve"> de Gestión Contractual ANCP – CCE</w:t>
            </w:r>
          </w:p>
        </w:tc>
      </w:tr>
    </w:tbl>
    <w:p w14:paraId="6FDEBD64" w14:textId="77777777" w:rsidR="003734C1" w:rsidRPr="00CC200E" w:rsidRDefault="003734C1" w:rsidP="00845C54">
      <w:pPr>
        <w:spacing w:line="276" w:lineRule="auto"/>
        <w:jc w:val="both"/>
        <w:rPr>
          <w:rFonts w:ascii="Arial" w:eastAsia="Calibri" w:hAnsi="Arial" w:cs="Arial"/>
          <w:color w:val="000000" w:themeColor="text1"/>
          <w:lang w:val="es-ES_tradnl"/>
        </w:rPr>
      </w:pPr>
    </w:p>
    <w:sectPr w:rsidR="003734C1" w:rsidRPr="00CC200E" w:rsidSect="00923EEF">
      <w:headerReference w:type="default" r:id="rId14"/>
      <w:footerReference w:type="default" r:id="rId15"/>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0DC27" w14:textId="77777777" w:rsidR="00FE42A5" w:rsidRDefault="00FE42A5" w:rsidP="004A1847">
      <w:pPr>
        <w:spacing w:after="0" w:line="240" w:lineRule="auto"/>
      </w:pPr>
      <w:r>
        <w:separator/>
      </w:r>
    </w:p>
  </w:endnote>
  <w:endnote w:type="continuationSeparator" w:id="0">
    <w:p w14:paraId="79B04839" w14:textId="77777777" w:rsidR="00FE42A5" w:rsidRDefault="00FE42A5" w:rsidP="004A1847">
      <w:pPr>
        <w:spacing w:after="0" w:line="240" w:lineRule="auto"/>
      </w:pPr>
      <w:r>
        <w:continuationSeparator/>
      </w:r>
    </w:p>
  </w:endnote>
  <w:endnote w:type="continuationNotice" w:id="1">
    <w:p w14:paraId="094991D9" w14:textId="77777777" w:rsidR="00FE42A5" w:rsidRDefault="00FE42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Geomanist Bold">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79E5" w14:textId="77777777" w:rsidR="00FE42A5" w:rsidRDefault="00FE42A5" w:rsidP="004A1847">
      <w:pPr>
        <w:spacing w:after="0" w:line="240" w:lineRule="auto"/>
      </w:pPr>
      <w:r>
        <w:separator/>
      </w:r>
    </w:p>
  </w:footnote>
  <w:footnote w:type="continuationSeparator" w:id="0">
    <w:p w14:paraId="06E62E9E" w14:textId="77777777" w:rsidR="00FE42A5" w:rsidRDefault="00FE42A5" w:rsidP="004A1847">
      <w:pPr>
        <w:spacing w:after="0" w:line="240" w:lineRule="auto"/>
      </w:pPr>
      <w:r>
        <w:continuationSeparator/>
      </w:r>
    </w:p>
  </w:footnote>
  <w:footnote w:type="continuationNotice" w:id="1">
    <w:p w14:paraId="0A3B8237" w14:textId="77777777" w:rsidR="00FE42A5" w:rsidRDefault="00FE42A5">
      <w:pPr>
        <w:spacing w:after="0" w:line="240" w:lineRule="auto"/>
      </w:pPr>
    </w:p>
  </w:footnote>
  <w:footnote w:id="2">
    <w:p w14:paraId="3DEDF0FD" w14:textId="77777777" w:rsidR="002E2777" w:rsidRPr="00DA793A" w:rsidRDefault="002E2777" w:rsidP="002E2777">
      <w:pPr>
        <w:pStyle w:val="Textonotapie"/>
        <w:ind w:firstLine="708"/>
        <w:jc w:val="both"/>
        <w:rPr>
          <w:rFonts w:ascii="Arial" w:hAnsi="Arial" w:cs="Arial"/>
          <w:sz w:val="18"/>
          <w:szCs w:val="18"/>
        </w:rPr>
      </w:pPr>
      <w:r w:rsidRPr="00DA793A">
        <w:rPr>
          <w:rStyle w:val="Refdenotaalpie"/>
          <w:rFonts w:ascii="Arial" w:hAnsi="Arial" w:cs="Arial"/>
          <w:sz w:val="18"/>
          <w:szCs w:val="18"/>
        </w:rPr>
        <w:footnoteRef/>
      </w:r>
      <w:r w:rsidRPr="00DA793A">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DA793A">
        <w:rPr>
          <w:rFonts w:ascii="Arial" w:hAnsi="Arial" w:cs="Arial"/>
          <w:i/>
          <w:iCs/>
          <w:sz w:val="18"/>
          <w:szCs w:val="18"/>
        </w:rPr>
        <w:t xml:space="preserve">ibidem </w:t>
      </w:r>
      <w:r w:rsidRPr="00DA793A">
        <w:rPr>
          <w:rFonts w:ascii="Arial" w:hAnsi="Arial"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6C42E27A" w14:textId="77777777" w:rsidR="002E2777" w:rsidRPr="00DA793A" w:rsidRDefault="002E2777" w:rsidP="002E2777">
      <w:pPr>
        <w:pStyle w:val="Textonotapie"/>
        <w:ind w:firstLine="708"/>
        <w:jc w:val="both"/>
        <w:rPr>
          <w:rFonts w:ascii="Arial" w:hAnsi="Arial" w:cs="Arial"/>
          <w:sz w:val="18"/>
          <w:szCs w:val="18"/>
        </w:rPr>
      </w:pPr>
    </w:p>
    <w:p w14:paraId="5CF74C44" w14:textId="77777777" w:rsidR="002E2777" w:rsidRPr="00DA793A" w:rsidRDefault="002E2777" w:rsidP="002E2777">
      <w:pPr>
        <w:pStyle w:val="Textonotapie"/>
        <w:ind w:firstLine="708"/>
        <w:jc w:val="both"/>
        <w:rPr>
          <w:rFonts w:ascii="Arial" w:hAnsi="Arial" w:cs="Arial"/>
          <w:sz w:val="18"/>
          <w:szCs w:val="18"/>
          <w:lang w:val="es-ES"/>
        </w:rPr>
      </w:pPr>
    </w:p>
  </w:footnote>
  <w:footnote w:id="3">
    <w:p w14:paraId="281CBC4D" w14:textId="1011EA62" w:rsidR="002E2777" w:rsidRPr="00DA793A" w:rsidRDefault="002E2777" w:rsidP="00FB26A1">
      <w:pPr>
        <w:pStyle w:val="Textonotapie"/>
        <w:ind w:firstLine="708"/>
        <w:jc w:val="both"/>
        <w:rPr>
          <w:rFonts w:ascii="Arial" w:hAnsi="Arial" w:cs="Arial"/>
          <w:sz w:val="18"/>
          <w:szCs w:val="18"/>
          <w:shd w:val="clear" w:color="auto" w:fill="E6E6E6"/>
        </w:rPr>
      </w:pPr>
      <w:r w:rsidRPr="00DA793A">
        <w:rPr>
          <w:rStyle w:val="Refdenotaalpie"/>
          <w:rFonts w:ascii="Arial" w:hAnsi="Arial" w:cs="Arial"/>
          <w:sz w:val="18"/>
          <w:szCs w:val="18"/>
        </w:rPr>
        <w:footnoteRef/>
      </w:r>
      <w:r w:rsidRPr="00DA793A">
        <w:rPr>
          <w:rFonts w:ascii="Arial" w:hAnsi="Arial"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DA793A">
          <w:rPr>
            <w:rStyle w:val="Hipervnculo"/>
            <w:rFonts w:ascii="Arial" w:hAnsi="Arial" w:cs="Arial"/>
            <w:color w:val="auto"/>
            <w:sz w:val="18"/>
            <w:szCs w:val="18"/>
          </w:rPr>
          <w:t>https://relatoria.colombiacompra.gov.co/busqueda/conceptos</w:t>
        </w:r>
      </w:hyperlink>
      <w:r w:rsidRPr="00DA793A">
        <w:rPr>
          <w:rStyle w:val="Hipervnculo"/>
          <w:rFonts w:ascii="Arial" w:hAnsi="Arial" w:cs="Arial"/>
          <w:color w:val="auto"/>
          <w:sz w:val="18"/>
          <w:szCs w:val="18"/>
        </w:rPr>
        <w:t xml:space="preserve">. </w:t>
      </w:r>
      <w:r w:rsidRPr="00DA793A">
        <w:rPr>
          <w:rFonts w:ascii="Arial" w:hAnsi="Arial" w:cs="Arial"/>
          <w:sz w:val="18"/>
          <w:szCs w:val="18"/>
          <w:shd w:val="clear" w:color="auto" w:fill="E6E6E6"/>
        </w:rPr>
        <w:t xml:space="preserve"> </w:t>
      </w:r>
    </w:p>
  </w:footnote>
  <w:footnote w:id="4">
    <w:p w14:paraId="0F3C08FB" w14:textId="45EFEC9D" w:rsidR="00D14339" w:rsidRPr="00DA793A" w:rsidRDefault="00D14339" w:rsidP="00D14339">
      <w:pPr>
        <w:pStyle w:val="Textonotapie"/>
        <w:ind w:firstLine="708"/>
        <w:jc w:val="both"/>
        <w:rPr>
          <w:rFonts w:ascii="Arial" w:hAnsi="Arial" w:cs="Arial"/>
          <w:sz w:val="18"/>
          <w:szCs w:val="18"/>
        </w:rPr>
      </w:pPr>
      <w:r w:rsidRPr="00DA793A">
        <w:rPr>
          <w:rStyle w:val="Refdenotaalpie"/>
          <w:rFonts w:ascii="Arial" w:hAnsi="Arial" w:cs="Arial"/>
          <w:sz w:val="18"/>
          <w:szCs w:val="18"/>
        </w:rPr>
        <w:footnoteRef/>
      </w:r>
      <w:r w:rsidRPr="00DA793A">
        <w:rPr>
          <w:rFonts w:ascii="Arial" w:hAnsi="Arial" w:cs="Arial"/>
          <w:sz w:val="18"/>
          <w:szCs w:val="18"/>
        </w:rPr>
        <w:t xml:space="preserve"> Ley 1150 de 2007: </w:t>
      </w:r>
      <w:r w:rsidR="005C58E1" w:rsidRPr="00DA793A">
        <w:rPr>
          <w:rFonts w:ascii="Arial" w:hAnsi="Arial" w:cs="Arial"/>
          <w:sz w:val="18"/>
          <w:szCs w:val="18"/>
        </w:rPr>
        <w:t>“</w:t>
      </w:r>
      <w:r w:rsidRPr="00DA793A">
        <w:rPr>
          <w:rFonts w:ascii="Arial" w:hAnsi="Arial" w:cs="Arial"/>
          <w:sz w:val="18"/>
          <w:szCs w:val="18"/>
        </w:rPr>
        <w:t xml:space="preserve">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 </w:t>
      </w:r>
    </w:p>
    <w:p w14:paraId="37F7F34C" w14:textId="7CD01EF8" w:rsidR="00D14339" w:rsidRPr="00DA793A" w:rsidRDefault="00D14339" w:rsidP="00FB26A1">
      <w:pPr>
        <w:pStyle w:val="Textonotapie"/>
        <w:ind w:firstLine="708"/>
        <w:jc w:val="both"/>
        <w:rPr>
          <w:rFonts w:ascii="Arial" w:hAnsi="Arial" w:cs="Arial"/>
          <w:sz w:val="18"/>
          <w:szCs w:val="18"/>
        </w:rPr>
      </w:pPr>
      <w:r w:rsidRPr="00DA793A">
        <w:rPr>
          <w:rFonts w:ascii="Arial" w:hAnsi="Arial" w:cs="Arial"/>
          <w:sz w:val="18"/>
          <w:szCs w:val="18"/>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r w:rsidR="00D5164E" w:rsidRPr="00DA793A">
        <w:rPr>
          <w:rFonts w:ascii="Arial" w:hAnsi="Arial" w:cs="Arial"/>
          <w:sz w:val="18"/>
          <w:szCs w:val="18"/>
        </w:rPr>
        <w:t>”</w:t>
      </w:r>
      <w:r w:rsidRPr="00DA793A">
        <w:rPr>
          <w:rFonts w:ascii="Arial" w:hAnsi="Arial" w:cs="Arial"/>
          <w:sz w:val="18"/>
          <w:szCs w:val="18"/>
        </w:rPr>
        <w:t>.</w:t>
      </w:r>
    </w:p>
  </w:footnote>
  <w:footnote w:id="5">
    <w:p w14:paraId="54FB9065" w14:textId="5E90F022" w:rsidR="00D14339" w:rsidRPr="00DA793A" w:rsidRDefault="00D14339" w:rsidP="00FB26A1">
      <w:pPr>
        <w:pStyle w:val="Textonotapie"/>
        <w:ind w:firstLine="708"/>
        <w:jc w:val="both"/>
        <w:rPr>
          <w:rFonts w:ascii="Arial" w:hAnsi="Arial" w:cs="Arial"/>
          <w:sz w:val="18"/>
          <w:szCs w:val="18"/>
        </w:rPr>
      </w:pPr>
      <w:r w:rsidRPr="00DA793A">
        <w:rPr>
          <w:rStyle w:val="Refdenotaalpie"/>
          <w:rFonts w:ascii="Arial" w:hAnsi="Arial" w:cs="Arial"/>
          <w:sz w:val="18"/>
          <w:szCs w:val="18"/>
        </w:rPr>
        <w:footnoteRef/>
      </w:r>
      <w:r w:rsidRPr="00DA793A">
        <w:rPr>
          <w:rFonts w:ascii="Arial" w:hAnsi="Arial" w:cs="Arial"/>
          <w:sz w:val="18"/>
          <w:szCs w:val="18"/>
        </w:rPr>
        <w:t xml:space="preserve"> Decreto 1082 de 2015: </w:t>
      </w:r>
      <w:r w:rsidR="00585772" w:rsidRPr="00DA793A">
        <w:rPr>
          <w:rFonts w:ascii="Arial" w:hAnsi="Arial" w:cs="Arial"/>
          <w:sz w:val="18"/>
          <w:szCs w:val="18"/>
        </w:rPr>
        <w:t>“</w:t>
      </w:r>
      <w:r w:rsidRPr="00DA793A">
        <w:rPr>
          <w:rFonts w:ascii="Arial" w:hAnsi="Arial" w:cs="Arial"/>
          <w:sz w:val="18"/>
          <w:szCs w:val="18"/>
        </w:rPr>
        <w:t>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r w:rsidR="00585772" w:rsidRPr="00DA793A">
        <w:rPr>
          <w:rFonts w:ascii="Arial" w:hAnsi="Arial" w:cs="Arial"/>
          <w:sz w:val="18"/>
          <w:szCs w:val="18"/>
        </w:rPr>
        <w:t>”</w:t>
      </w:r>
      <w:r w:rsidRPr="00DA793A">
        <w:rPr>
          <w:rFonts w:ascii="Arial" w:hAnsi="Arial" w:cs="Arial"/>
          <w:sz w:val="18"/>
          <w:szCs w:val="18"/>
        </w:rPr>
        <w:t xml:space="preserve">. </w:t>
      </w:r>
    </w:p>
  </w:footnote>
  <w:footnote w:id="6">
    <w:p w14:paraId="7E6DF03D" w14:textId="4C023850" w:rsidR="00D14339" w:rsidRPr="00DA793A" w:rsidRDefault="00D14339" w:rsidP="00FB26A1">
      <w:pPr>
        <w:pStyle w:val="Textonotapie"/>
        <w:ind w:firstLine="708"/>
        <w:jc w:val="both"/>
        <w:rPr>
          <w:rFonts w:ascii="Arial" w:hAnsi="Arial" w:cs="Arial"/>
          <w:sz w:val="18"/>
          <w:szCs w:val="18"/>
        </w:rPr>
      </w:pPr>
      <w:r w:rsidRPr="00DA793A">
        <w:rPr>
          <w:rStyle w:val="Refdenotaalpie"/>
          <w:rFonts w:ascii="Arial" w:hAnsi="Arial" w:cs="Arial"/>
          <w:sz w:val="18"/>
          <w:szCs w:val="18"/>
        </w:rPr>
        <w:footnoteRef/>
      </w:r>
      <w:r w:rsidRPr="00DA793A">
        <w:rPr>
          <w:rFonts w:ascii="Arial" w:hAnsi="Arial" w:cs="Arial"/>
          <w:sz w:val="18"/>
          <w:szCs w:val="18"/>
        </w:rPr>
        <w:t xml:space="preserve"> Decreto 1082 de 2015: </w:t>
      </w:r>
      <w:r w:rsidR="0009701F" w:rsidRPr="00DA793A">
        <w:rPr>
          <w:rFonts w:ascii="Arial" w:hAnsi="Arial" w:cs="Arial"/>
          <w:sz w:val="18"/>
          <w:szCs w:val="18"/>
        </w:rPr>
        <w:t>“</w:t>
      </w:r>
      <w:r w:rsidRPr="00DA793A">
        <w:rPr>
          <w:rFonts w:ascii="Arial" w:hAnsi="Arial" w:cs="Arial"/>
          <w:sz w:val="18"/>
          <w:szCs w:val="18"/>
        </w:rPr>
        <w:t>Artículo 2.2.1.1.1.5.3. Requisitos habilitantes contenidos en el RUP. Las cámaras de comercio, con base en la información a la que hace referencia el artículo anterior, deben verificar y certificar los siguientes requisitos habilitantes: 1. Experiencia – Los contratos celebrados por el interesado para cada uno de los bienes, obras y servicios que ofrecerá a las Entidades Estatales, identificados con el Clasificador de Bienes y Servicios en el tercer nivel y su valor expresado en SMMLV. [...]</w:t>
      </w:r>
      <w:r w:rsidR="0009701F" w:rsidRPr="00DA793A">
        <w:rPr>
          <w:rFonts w:ascii="Arial" w:hAnsi="Arial" w:cs="Arial"/>
          <w:sz w:val="18"/>
          <w:szCs w:val="18"/>
        </w:rPr>
        <w:t>”</w:t>
      </w:r>
      <w:r w:rsidRPr="00DA793A">
        <w:rPr>
          <w:rFonts w:ascii="Arial" w:hAnsi="Arial" w:cs="Arial"/>
          <w:sz w:val="18"/>
          <w:szCs w:val="18"/>
        </w:rPr>
        <w:t>.</w:t>
      </w:r>
    </w:p>
  </w:footnote>
  <w:footnote w:id="7">
    <w:p w14:paraId="39BD286F" w14:textId="00852BB5" w:rsidR="00D14339" w:rsidRDefault="00D14339" w:rsidP="00911CE2">
      <w:pPr>
        <w:pStyle w:val="Textonotapie"/>
        <w:ind w:firstLine="708"/>
        <w:jc w:val="both"/>
        <w:rPr>
          <w:rFonts w:ascii="Arial" w:hAnsi="Arial" w:cs="Arial"/>
          <w:sz w:val="18"/>
          <w:szCs w:val="18"/>
        </w:rPr>
      </w:pPr>
      <w:r w:rsidRPr="00DA793A">
        <w:rPr>
          <w:rStyle w:val="Refdenotaalpie"/>
          <w:rFonts w:ascii="Arial" w:hAnsi="Arial" w:cs="Arial"/>
          <w:sz w:val="18"/>
          <w:szCs w:val="18"/>
        </w:rPr>
        <w:footnoteRef/>
      </w:r>
      <w:r w:rsidRPr="00DA793A">
        <w:rPr>
          <w:rFonts w:ascii="Arial" w:hAnsi="Arial" w:cs="Arial"/>
          <w:sz w:val="18"/>
          <w:szCs w:val="18"/>
        </w:rPr>
        <w:t xml:space="preserve"> Ley 1150 de 2007: </w:t>
      </w:r>
      <w:r w:rsidR="00911CE2" w:rsidRPr="00DA793A">
        <w:rPr>
          <w:rFonts w:ascii="Arial" w:hAnsi="Arial" w:cs="Arial"/>
          <w:sz w:val="18"/>
          <w:szCs w:val="18"/>
        </w:rPr>
        <w:t>“</w:t>
      </w:r>
      <w:r w:rsidRPr="00DA793A">
        <w:rPr>
          <w:rFonts w:ascii="Arial" w:hAnsi="Arial" w:cs="Arial"/>
          <w:sz w:val="18"/>
          <w:szCs w:val="18"/>
        </w:rPr>
        <w:t>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r w:rsidR="00911CE2" w:rsidRPr="00DA793A">
        <w:rPr>
          <w:rFonts w:ascii="Arial" w:hAnsi="Arial" w:cs="Arial"/>
          <w:sz w:val="18"/>
          <w:szCs w:val="18"/>
        </w:rPr>
        <w:t>”</w:t>
      </w:r>
      <w:r w:rsidRPr="00DA793A">
        <w:rPr>
          <w:rFonts w:ascii="Arial" w:hAnsi="Arial" w:cs="Arial"/>
          <w:sz w:val="18"/>
          <w:szCs w:val="18"/>
        </w:rPr>
        <w:t xml:space="preserve"> [...] </w:t>
      </w:r>
      <w:r w:rsidR="00911CE2" w:rsidRPr="00DA793A">
        <w:rPr>
          <w:rFonts w:ascii="Arial" w:hAnsi="Arial" w:cs="Arial"/>
          <w:sz w:val="18"/>
          <w:szCs w:val="18"/>
        </w:rPr>
        <w:t>“</w:t>
      </w:r>
      <w:r w:rsidRPr="00DA793A">
        <w:rPr>
          <w:rFonts w:ascii="Arial" w:hAnsi="Arial" w:cs="Arial"/>
          <w:sz w:val="18"/>
          <w:szCs w:val="18"/>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 No obstante lo anterior, sólo en aquellos casos en que por las características del objeto a contratar se requiera la verificación de requisitos del proponente adicionales a los contenidos en el Registro, la entidad podrá hacer tal verificación en forma directa</w:t>
      </w:r>
      <w:r w:rsidR="00911CE2" w:rsidRPr="00DA793A">
        <w:rPr>
          <w:rFonts w:ascii="Arial" w:hAnsi="Arial" w:cs="Arial"/>
          <w:sz w:val="18"/>
          <w:szCs w:val="18"/>
        </w:rPr>
        <w:t>”</w:t>
      </w:r>
      <w:r w:rsidRPr="00DA793A">
        <w:rPr>
          <w:rFonts w:ascii="Arial" w:hAnsi="Arial" w:cs="Arial"/>
          <w:sz w:val="18"/>
          <w:szCs w:val="18"/>
        </w:rPr>
        <w:t>.</w:t>
      </w:r>
    </w:p>
    <w:p w14:paraId="5F14E486" w14:textId="77777777" w:rsidR="00687F91" w:rsidRPr="00DA793A" w:rsidRDefault="00687F91" w:rsidP="00911CE2">
      <w:pPr>
        <w:pStyle w:val="Textonotapie"/>
        <w:ind w:firstLine="708"/>
        <w:jc w:val="both"/>
        <w:rPr>
          <w:rFonts w:ascii="Arial" w:hAnsi="Arial" w:cs="Arial"/>
          <w:sz w:val="18"/>
          <w:szCs w:val="18"/>
        </w:rPr>
      </w:pPr>
    </w:p>
  </w:footnote>
  <w:footnote w:id="8">
    <w:p w14:paraId="28C4EF69" w14:textId="0D58A0BB" w:rsidR="00D14339" w:rsidRPr="00DA793A" w:rsidRDefault="00D14339" w:rsidP="00D14339">
      <w:pPr>
        <w:pStyle w:val="Textonotapie"/>
        <w:ind w:firstLine="708"/>
        <w:jc w:val="both"/>
        <w:rPr>
          <w:rFonts w:ascii="Arial" w:hAnsi="Arial" w:cs="Arial"/>
          <w:sz w:val="18"/>
          <w:szCs w:val="18"/>
        </w:rPr>
      </w:pPr>
      <w:r w:rsidRPr="00DA793A">
        <w:rPr>
          <w:rStyle w:val="Refdenotaalpie"/>
          <w:rFonts w:ascii="Arial" w:hAnsi="Arial" w:cs="Arial"/>
          <w:sz w:val="18"/>
          <w:szCs w:val="18"/>
        </w:rPr>
        <w:footnoteRef/>
      </w:r>
      <w:r w:rsidRPr="00DA793A">
        <w:rPr>
          <w:rFonts w:ascii="Arial" w:hAnsi="Arial" w:cs="Arial"/>
          <w:sz w:val="18"/>
          <w:szCs w:val="18"/>
        </w:rPr>
        <w:t xml:space="preserve"> Decreto 1082 de 2015: </w:t>
      </w:r>
      <w:r w:rsidR="00911CE2" w:rsidRPr="00DA793A">
        <w:rPr>
          <w:rFonts w:ascii="Arial" w:hAnsi="Arial" w:cs="Arial"/>
          <w:sz w:val="18"/>
          <w:szCs w:val="18"/>
        </w:rPr>
        <w:t>“</w:t>
      </w:r>
      <w:r w:rsidRPr="00DA793A">
        <w:rPr>
          <w:rFonts w:ascii="Arial" w:hAnsi="Arial" w:cs="Arial"/>
          <w:sz w:val="18"/>
          <w:szCs w:val="18"/>
        </w:rPr>
        <w:t xml:space="preserve">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 </w:t>
      </w:r>
    </w:p>
    <w:p w14:paraId="262154C1" w14:textId="77777777" w:rsidR="00D14339" w:rsidRPr="00DA793A" w:rsidRDefault="00D14339" w:rsidP="00D14339">
      <w:pPr>
        <w:pStyle w:val="Textonotapie"/>
        <w:ind w:firstLine="708"/>
        <w:jc w:val="both"/>
        <w:rPr>
          <w:rFonts w:ascii="Arial" w:hAnsi="Arial" w:cs="Arial"/>
          <w:sz w:val="18"/>
          <w:szCs w:val="18"/>
        </w:rPr>
      </w:pPr>
      <w:r w:rsidRPr="00DA793A">
        <w:rPr>
          <w:rFonts w:ascii="Arial" w:hAnsi="Arial" w:cs="Arial"/>
          <w:sz w:val="18"/>
          <w:szCs w:val="18"/>
        </w:rPr>
        <w:t xml:space="preserve">1. Si es una persona natural: </w:t>
      </w:r>
    </w:p>
    <w:p w14:paraId="67BD4022" w14:textId="77777777" w:rsidR="00D14339" w:rsidRPr="00DA793A" w:rsidRDefault="00D14339" w:rsidP="00D14339">
      <w:pPr>
        <w:pStyle w:val="Textonotapie"/>
        <w:ind w:firstLine="708"/>
        <w:jc w:val="both"/>
        <w:rPr>
          <w:rFonts w:ascii="Arial" w:hAnsi="Arial" w:cs="Arial"/>
          <w:sz w:val="18"/>
          <w:szCs w:val="18"/>
        </w:rPr>
      </w:pPr>
      <w:r w:rsidRPr="00DA793A">
        <w:rPr>
          <w:rFonts w:ascii="Arial" w:hAnsi="Arial" w:cs="Arial"/>
          <w:sz w:val="18"/>
          <w:szCs w:val="18"/>
        </w:rPr>
        <w:t xml:space="preserve">1.1. Bienes, obras y servicios que ofrecerá a las Entidades Estatales, identificados con el Clasificador de Bienes y Servicios en el tercer nivel. </w:t>
      </w:r>
    </w:p>
    <w:p w14:paraId="0C1091C7" w14:textId="71E6A6B2" w:rsidR="00D14339" w:rsidRPr="00DA793A" w:rsidRDefault="00D14339" w:rsidP="00911CE2">
      <w:pPr>
        <w:pStyle w:val="Textonotapie"/>
        <w:ind w:firstLine="708"/>
        <w:jc w:val="both"/>
        <w:rPr>
          <w:rFonts w:ascii="Arial" w:hAnsi="Arial" w:cs="Arial"/>
          <w:sz w:val="18"/>
          <w:szCs w:val="18"/>
        </w:rPr>
      </w:pPr>
      <w:r w:rsidRPr="00DA793A">
        <w:rPr>
          <w:rFonts w:ascii="Arial" w:hAnsi="Arial" w:cs="Arial"/>
          <w:sz w:val="18"/>
          <w:szCs w:val="18"/>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r w:rsidR="00911CE2" w:rsidRPr="00DA793A">
        <w:rPr>
          <w:rFonts w:ascii="Arial" w:hAnsi="Arial" w:cs="Arial"/>
          <w:sz w:val="18"/>
          <w:szCs w:val="18"/>
        </w:rPr>
        <w:t>”</w:t>
      </w:r>
      <w:r w:rsidRPr="00DA793A">
        <w:rPr>
          <w:rFonts w:ascii="Arial" w:hAnsi="Arial" w:cs="Arial"/>
          <w:sz w:val="18"/>
          <w:szCs w:val="18"/>
        </w:rPr>
        <w:t>.</w:t>
      </w:r>
    </w:p>
  </w:footnote>
  <w:footnote w:id="9">
    <w:p w14:paraId="72B542CD" w14:textId="412618E8" w:rsidR="00D14339" w:rsidRPr="00DA793A" w:rsidRDefault="00D14339" w:rsidP="00D14339">
      <w:pPr>
        <w:pStyle w:val="Textonotapie"/>
        <w:ind w:firstLine="708"/>
        <w:jc w:val="both"/>
        <w:rPr>
          <w:rFonts w:ascii="Arial" w:hAnsi="Arial" w:cs="Arial"/>
          <w:sz w:val="18"/>
          <w:szCs w:val="18"/>
        </w:rPr>
      </w:pPr>
      <w:r w:rsidRPr="00DA793A">
        <w:rPr>
          <w:rStyle w:val="Refdenotaalpie"/>
          <w:rFonts w:ascii="Arial" w:hAnsi="Arial" w:cs="Arial"/>
          <w:sz w:val="18"/>
          <w:szCs w:val="18"/>
        </w:rPr>
        <w:footnoteRef/>
      </w:r>
      <w:r w:rsidRPr="00DA793A">
        <w:rPr>
          <w:rFonts w:ascii="Arial" w:hAnsi="Arial" w:cs="Arial"/>
          <w:sz w:val="18"/>
          <w:szCs w:val="18"/>
        </w:rPr>
        <w:t xml:space="preserve"> El </w:t>
      </w:r>
      <w:r w:rsidR="00911CE2" w:rsidRPr="00DA793A">
        <w:rPr>
          <w:rFonts w:ascii="Arial" w:hAnsi="Arial" w:cs="Arial"/>
          <w:sz w:val="18"/>
          <w:szCs w:val="18"/>
        </w:rPr>
        <w:t>“</w:t>
      </w:r>
      <w:r w:rsidRPr="00DA793A">
        <w:rPr>
          <w:rFonts w:ascii="Arial" w:hAnsi="Arial" w:cs="Arial"/>
          <w:sz w:val="18"/>
          <w:szCs w:val="18"/>
        </w:rPr>
        <w:t>Manual para determinar y verificar requisitos habilitantes en los procesos de contratación</w:t>
      </w:r>
      <w:r w:rsidR="00911CE2" w:rsidRPr="00DA793A">
        <w:rPr>
          <w:rFonts w:ascii="Arial" w:hAnsi="Arial" w:cs="Arial"/>
          <w:sz w:val="18"/>
          <w:szCs w:val="18"/>
        </w:rPr>
        <w:t>”</w:t>
      </w:r>
      <w:r w:rsidRPr="00DA793A">
        <w:rPr>
          <w:rFonts w:ascii="Arial" w:hAnsi="Arial" w:cs="Arial"/>
          <w:sz w:val="18"/>
          <w:szCs w:val="18"/>
        </w:rPr>
        <w:t xml:space="preserve">, expedido por esta Agencia puede ser consultado en el siguiente enlace: </w:t>
      </w:r>
      <w:hyperlink r:id="rId2" w:history="1">
        <w:r w:rsidRPr="00DA793A">
          <w:rPr>
            <w:rStyle w:val="Hipervnculo"/>
            <w:rFonts w:ascii="Arial" w:hAnsi="Arial" w:cs="Arial"/>
            <w:sz w:val="18"/>
            <w:szCs w:val="18"/>
          </w:rPr>
          <w:t>https://colombiacompra.gov.co/sites/cce_public/files/cce_documents/cce_manual_requisitos_habilitantes.pdf</w:t>
        </w:r>
      </w:hyperlink>
      <w:r w:rsidRPr="00DA793A">
        <w:rPr>
          <w:rFonts w:ascii="Arial" w:hAnsi="Arial" w:cs="Arial"/>
          <w:sz w:val="18"/>
          <w:szCs w:val="18"/>
        </w:rPr>
        <w:t xml:space="preserve">  </w:t>
      </w:r>
    </w:p>
    <w:p w14:paraId="2ED0A590" w14:textId="77777777" w:rsidR="00D14339" w:rsidRPr="00DA793A" w:rsidRDefault="00D14339" w:rsidP="00D14339">
      <w:pPr>
        <w:pStyle w:val="Textonotapie"/>
        <w:ind w:firstLine="708"/>
        <w:jc w:val="both"/>
        <w:rPr>
          <w:rFonts w:ascii="Arial" w:hAnsi="Arial" w:cs="Arial"/>
          <w:sz w:val="18"/>
          <w:szCs w:val="18"/>
          <w:lang w:val="es-CO"/>
        </w:rPr>
      </w:pPr>
    </w:p>
  </w:footnote>
  <w:footnote w:id="10">
    <w:p w14:paraId="156C5F28" w14:textId="68118F1C" w:rsidR="00D14339" w:rsidRPr="00DA793A" w:rsidRDefault="00D14339" w:rsidP="00D14339">
      <w:pPr>
        <w:pStyle w:val="Textonotapie"/>
        <w:ind w:firstLine="708"/>
        <w:jc w:val="both"/>
        <w:rPr>
          <w:rFonts w:ascii="Arial" w:hAnsi="Arial" w:cs="Arial"/>
          <w:sz w:val="18"/>
          <w:szCs w:val="18"/>
        </w:rPr>
      </w:pPr>
      <w:r w:rsidRPr="00DA793A">
        <w:rPr>
          <w:rStyle w:val="Refdenotaalpie"/>
          <w:rFonts w:ascii="Arial" w:hAnsi="Arial" w:cs="Arial"/>
          <w:sz w:val="18"/>
          <w:szCs w:val="18"/>
        </w:rPr>
        <w:footnoteRef/>
      </w:r>
      <w:r w:rsidRPr="00DA793A">
        <w:rPr>
          <w:rFonts w:ascii="Arial" w:hAnsi="Arial" w:cs="Arial"/>
          <w:sz w:val="18"/>
          <w:szCs w:val="18"/>
        </w:rPr>
        <w:t xml:space="preserve"> Agencia Nacional de Contratación Pública - Colombia Compra Eficiente, Manual para determinar y verificar requisitos habilitantes en los procesos de contratación: </w:t>
      </w:r>
      <w:r w:rsidR="00A4323F" w:rsidRPr="00DA793A">
        <w:rPr>
          <w:rFonts w:ascii="Arial" w:hAnsi="Arial" w:cs="Arial"/>
          <w:sz w:val="18"/>
          <w:szCs w:val="18"/>
        </w:rPr>
        <w:t>“</w:t>
      </w:r>
      <w:r w:rsidRPr="00DA793A">
        <w:rPr>
          <w:rFonts w:ascii="Arial" w:hAnsi="Arial" w:cs="Arial"/>
          <w:sz w:val="18"/>
          <w:szCs w:val="18"/>
        </w:rPr>
        <w:t>La experiencia es el conocimiento del proponente derivado de su participación previa en actividades iguales o similares a las previstas en el objeto del contrato.</w:t>
      </w:r>
      <w:r w:rsidR="00A4323F" w:rsidRPr="00DA793A">
        <w:rPr>
          <w:rFonts w:ascii="Arial" w:hAnsi="Arial" w:cs="Arial"/>
          <w:sz w:val="18"/>
          <w:szCs w:val="18"/>
        </w:rPr>
        <w:t>”</w:t>
      </w:r>
      <w:r w:rsidRPr="00DA793A">
        <w:rPr>
          <w:rFonts w:ascii="Arial" w:hAnsi="Arial" w:cs="Arial"/>
          <w:sz w:val="18"/>
          <w:szCs w:val="18"/>
        </w:rPr>
        <w:t xml:space="preserve"> </w:t>
      </w:r>
    </w:p>
    <w:p w14:paraId="798B2CD6" w14:textId="57F770C7" w:rsidR="00D14339" w:rsidRPr="00DA793A" w:rsidRDefault="00A4323F" w:rsidP="00D14339">
      <w:pPr>
        <w:pStyle w:val="Textonotapie"/>
        <w:ind w:firstLine="708"/>
        <w:jc w:val="both"/>
        <w:rPr>
          <w:rFonts w:ascii="Arial" w:hAnsi="Arial" w:cs="Arial"/>
          <w:sz w:val="18"/>
          <w:szCs w:val="18"/>
        </w:rPr>
      </w:pPr>
      <w:r w:rsidRPr="00DA793A">
        <w:rPr>
          <w:rFonts w:ascii="Arial" w:hAnsi="Arial" w:cs="Arial"/>
          <w:sz w:val="18"/>
          <w:szCs w:val="18"/>
        </w:rPr>
        <w:t>“</w:t>
      </w:r>
      <w:r w:rsidR="00D14339" w:rsidRPr="00DA793A">
        <w:rPr>
          <w:rFonts w:ascii="Arial" w:hAnsi="Arial" w:cs="Arial"/>
          <w:sz w:val="18"/>
          <w:szCs w:val="18"/>
        </w:rPr>
        <w:t xml:space="preserve">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 </w:t>
      </w:r>
    </w:p>
    <w:p w14:paraId="6B440D7E" w14:textId="77777777" w:rsidR="00D14339" w:rsidRPr="00DA793A" w:rsidRDefault="00D14339" w:rsidP="00D14339">
      <w:pPr>
        <w:pStyle w:val="Textonotapie"/>
        <w:ind w:firstLine="708"/>
        <w:jc w:val="both"/>
        <w:rPr>
          <w:rFonts w:ascii="Arial" w:hAnsi="Arial" w:cs="Arial"/>
          <w:sz w:val="18"/>
          <w:szCs w:val="18"/>
        </w:rPr>
      </w:pPr>
      <w:r w:rsidRPr="00DA793A">
        <w:rPr>
          <w:rFonts w:ascii="Arial" w:hAnsi="Arial" w:cs="Arial"/>
          <w:sz w:val="18"/>
          <w:szCs w:val="18"/>
        </w:rPr>
        <w:t xml:space="preserve">[...] </w:t>
      </w:r>
    </w:p>
    <w:p w14:paraId="2CC68F70" w14:textId="77777777" w:rsidR="00D14339" w:rsidRPr="00DA793A" w:rsidRDefault="00D14339" w:rsidP="00D14339">
      <w:pPr>
        <w:pStyle w:val="Textonotapie"/>
        <w:ind w:firstLine="708"/>
        <w:jc w:val="both"/>
        <w:rPr>
          <w:rFonts w:ascii="Arial" w:hAnsi="Arial" w:cs="Arial"/>
          <w:sz w:val="18"/>
          <w:szCs w:val="18"/>
        </w:rPr>
      </w:pPr>
      <w:r w:rsidRPr="00DA793A">
        <w:rPr>
          <w:rFonts w:ascii="Arial" w:hAnsi="Arial" w:cs="Arial"/>
          <w:sz w:val="18"/>
          <w:szCs w:val="18"/>
        </w:rPr>
        <w:t xml:space="preserve">La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58798E7B" w14:textId="77777777" w:rsidR="00D14339" w:rsidRPr="00DA793A" w:rsidRDefault="00D14339" w:rsidP="00D14339">
      <w:pPr>
        <w:pStyle w:val="Textonotapie"/>
        <w:ind w:firstLine="708"/>
        <w:jc w:val="both"/>
        <w:rPr>
          <w:rFonts w:ascii="Arial" w:hAnsi="Arial" w:cs="Arial"/>
          <w:sz w:val="18"/>
          <w:szCs w:val="18"/>
        </w:rPr>
      </w:pPr>
      <w:r w:rsidRPr="00DA793A">
        <w:rPr>
          <w:rFonts w:ascii="Arial" w:hAnsi="Arial" w:cs="Arial"/>
          <w:sz w:val="18"/>
          <w:szCs w:val="18"/>
        </w:rPr>
        <w:t xml:space="preserve">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 </w:t>
      </w:r>
    </w:p>
    <w:p w14:paraId="4A5BF9DF" w14:textId="0C0A9783" w:rsidR="00D14339" w:rsidRPr="00DA793A" w:rsidRDefault="00D14339" w:rsidP="00D14339">
      <w:pPr>
        <w:pStyle w:val="Textonotapie"/>
        <w:ind w:firstLine="708"/>
        <w:jc w:val="both"/>
        <w:rPr>
          <w:rFonts w:ascii="Arial" w:hAnsi="Arial" w:cs="Arial"/>
          <w:sz w:val="18"/>
          <w:szCs w:val="18"/>
        </w:rPr>
      </w:pPr>
      <w:r w:rsidRPr="00DA793A">
        <w:rPr>
          <w:rFonts w:ascii="Arial" w:hAnsi="Arial" w:cs="Arial"/>
          <w:sz w:val="18"/>
          <w:szCs w:val="18"/>
        </w:rPr>
        <w:t>[...]</w:t>
      </w:r>
      <w:r w:rsidR="00A4323F" w:rsidRPr="00DA793A">
        <w:rPr>
          <w:rFonts w:ascii="Arial" w:hAnsi="Arial" w:cs="Arial"/>
          <w:sz w:val="18"/>
          <w:szCs w:val="18"/>
        </w:rPr>
        <w:t>”</w:t>
      </w:r>
      <w:r w:rsidRPr="00DA793A">
        <w:rPr>
          <w:rFonts w:ascii="Arial" w:hAnsi="Arial" w:cs="Arial"/>
          <w:sz w:val="18"/>
          <w:szCs w:val="18"/>
        </w:rPr>
        <w:t>.</w:t>
      </w:r>
    </w:p>
    <w:p w14:paraId="458DBD26" w14:textId="77777777" w:rsidR="00D14339" w:rsidRPr="00DA793A" w:rsidRDefault="00D14339" w:rsidP="00D14339">
      <w:pPr>
        <w:pStyle w:val="Textonotapie"/>
        <w:jc w:val="both"/>
        <w:rPr>
          <w:rFonts w:ascii="Arial" w:hAnsi="Arial" w:cs="Arial"/>
          <w:sz w:val="18"/>
          <w:szCs w:val="18"/>
          <w:lang w:val="es-CO"/>
        </w:rPr>
      </w:pPr>
    </w:p>
  </w:footnote>
  <w:footnote w:id="11">
    <w:p w14:paraId="74119E39" w14:textId="452FA8D2" w:rsidR="00D14339" w:rsidRPr="00DA793A" w:rsidRDefault="00D14339" w:rsidP="00D52730">
      <w:pPr>
        <w:pStyle w:val="Textonotapie"/>
        <w:ind w:firstLine="708"/>
        <w:jc w:val="both"/>
        <w:rPr>
          <w:rFonts w:ascii="Arial" w:hAnsi="Arial" w:cs="Arial"/>
          <w:sz w:val="18"/>
          <w:szCs w:val="18"/>
        </w:rPr>
      </w:pPr>
      <w:r w:rsidRPr="00DA793A">
        <w:rPr>
          <w:rStyle w:val="Refdenotaalpie"/>
          <w:rFonts w:ascii="Arial" w:hAnsi="Arial" w:cs="Arial"/>
          <w:sz w:val="18"/>
          <w:szCs w:val="18"/>
        </w:rPr>
        <w:footnoteRef/>
      </w:r>
      <w:r w:rsidRPr="00DA793A">
        <w:rPr>
          <w:rFonts w:ascii="Arial" w:hAnsi="Arial" w:cs="Arial"/>
          <w:sz w:val="18"/>
          <w:szCs w:val="18"/>
        </w:rPr>
        <w:t xml:space="preserve"> Esta conclusión cambió respecto del concepto C – 002 del 20 de febrero de 2020, para adecuarla a un mejor entendimiento de las normas sobre la experiencia.</w:t>
      </w:r>
    </w:p>
  </w:footnote>
  <w:footnote w:id="12">
    <w:p w14:paraId="2AB4C3E9" w14:textId="60750DB7" w:rsidR="00D14339" w:rsidRPr="00DA793A" w:rsidRDefault="00D14339" w:rsidP="00D52730">
      <w:pPr>
        <w:pStyle w:val="Textonotapie"/>
        <w:ind w:firstLine="708"/>
        <w:jc w:val="both"/>
        <w:rPr>
          <w:rFonts w:ascii="Arial" w:hAnsi="Arial" w:cs="Arial"/>
          <w:sz w:val="18"/>
          <w:szCs w:val="18"/>
        </w:rPr>
      </w:pPr>
      <w:r w:rsidRPr="00DA793A">
        <w:rPr>
          <w:rStyle w:val="Refdenotaalpie"/>
          <w:rFonts w:ascii="Arial" w:hAnsi="Arial" w:cs="Arial"/>
          <w:sz w:val="18"/>
          <w:szCs w:val="18"/>
        </w:rPr>
        <w:footnoteRef/>
      </w:r>
      <w:r w:rsidRPr="00DA793A">
        <w:rPr>
          <w:rFonts w:ascii="Arial" w:hAnsi="Arial" w:cs="Arial"/>
          <w:sz w:val="18"/>
          <w:szCs w:val="18"/>
        </w:rPr>
        <w:t xml:space="preserve"> Artículo 6 de la Ley 1150 de 2007: </w:t>
      </w:r>
      <w:r w:rsidR="00D52730" w:rsidRPr="00DA793A">
        <w:rPr>
          <w:rFonts w:ascii="Arial" w:hAnsi="Arial" w:cs="Arial"/>
          <w:sz w:val="18"/>
          <w:szCs w:val="18"/>
        </w:rPr>
        <w:t>“</w:t>
      </w:r>
      <w:r w:rsidRPr="00DA793A">
        <w:rPr>
          <w:rFonts w:ascii="Arial" w:hAnsi="Arial" w:cs="Arial"/>
          <w:sz w:val="18"/>
          <w:szCs w:val="18"/>
        </w:rPr>
        <w:t>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 […]</w:t>
      </w:r>
      <w:r w:rsidR="00D52730" w:rsidRPr="00DA793A">
        <w:rPr>
          <w:rFonts w:ascii="Arial" w:hAnsi="Arial" w:cs="Arial"/>
          <w:sz w:val="18"/>
          <w:szCs w:val="18"/>
        </w:rPr>
        <w:t>”</w:t>
      </w:r>
      <w:r w:rsidRPr="00DA793A">
        <w:rPr>
          <w:rFonts w:ascii="Arial" w:hAnsi="Arial" w:cs="Arial"/>
          <w:sz w:val="18"/>
          <w:szCs w:val="18"/>
        </w:rPr>
        <w:t>.</w:t>
      </w:r>
    </w:p>
  </w:footnote>
  <w:footnote w:id="13">
    <w:p w14:paraId="73CC9BB5" w14:textId="77777777" w:rsidR="00D14339" w:rsidRPr="00DA793A" w:rsidRDefault="00D14339" w:rsidP="00D14339">
      <w:pPr>
        <w:pStyle w:val="Textonotapie"/>
        <w:ind w:firstLine="708"/>
        <w:jc w:val="both"/>
        <w:rPr>
          <w:rFonts w:ascii="Arial" w:hAnsi="Arial" w:cs="Arial"/>
          <w:sz w:val="18"/>
          <w:szCs w:val="18"/>
          <w:lang w:val="es-CO"/>
        </w:rPr>
      </w:pPr>
      <w:r w:rsidRPr="00DA793A">
        <w:rPr>
          <w:rStyle w:val="Refdenotaalpie"/>
          <w:rFonts w:ascii="Arial" w:hAnsi="Arial" w:cs="Arial"/>
          <w:sz w:val="18"/>
          <w:szCs w:val="18"/>
        </w:rPr>
        <w:footnoteRef/>
      </w:r>
      <w:r w:rsidRPr="00DA793A">
        <w:rPr>
          <w:rFonts w:ascii="Arial" w:hAnsi="Arial" w:cs="Arial"/>
          <w:sz w:val="18"/>
          <w:szCs w:val="18"/>
        </w:rPr>
        <w:t xml:space="preserve"> Corte Constitucional. Sentencia C - 259 del 11 de marzo 2008. M.P. Jaime Córdoba Triviño.</w:t>
      </w:r>
    </w:p>
  </w:footnote>
  <w:footnote w:id="14">
    <w:p w14:paraId="0B7E5556" w14:textId="2F10CD4B" w:rsidR="00D14339" w:rsidRPr="00DA793A" w:rsidRDefault="00D14339" w:rsidP="00D14339">
      <w:pPr>
        <w:pStyle w:val="Textonotapie"/>
        <w:ind w:firstLine="708"/>
        <w:jc w:val="both"/>
        <w:rPr>
          <w:rFonts w:ascii="Arial" w:hAnsi="Arial" w:cs="Arial"/>
          <w:sz w:val="18"/>
          <w:szCs w:val="18"/>
        </w:rPr>
      </w:pPr>
      <w:r w:rsidRPr="00DA793A">
        <w:rPr>
          <w:rStyle w:val="Refdenotaalpie"/>
          <w:rFonts w:ascii="Arial" w:hAnsi="Arial" w:cs="Arial"/>
          <w:sz w:val="18"/>
          <w:szCs w:val="18"/>
        </w:rPr>
        <w:footnoteRef/>
      </w:r>
      <w:r w:rsidRPr="00DA793A">
        <w:rPr>
          <w:rFonts w:ascii="Arial" w:hAnsi="Arial" w:cs="Arial"/>
          <w:sz w:val="18"/>
          <w:szCs w:val="18"/>
        </w:rPr>
        <w:t xml:space="preserve"> </w:t>
      </w:r>
      <w:r w:rsidR="00430A1D" w:rsidRPr="00DA793A">
        <w:rPr>
          <w:rFonts w:ascii="Arial" w:hAnsi="Arial" w:cs="Arial"/>
          <w:sz w:val="18"/>
          <w:szCs w:val="18"/>
        </w:rPr>
        <w:t>“</w:t>
      </w:r>
      <w:r w:rsidRPr="00DA793A">
        <w:rPr>
          <w:rFonts w:ascii="Arial" w:hAnsi="Arial" w:cs="Arial"/>
          <w:sz w:val="18"/>
          <w:szCs w:val="18"/>
        </w:rPr>
        <w:t xml:space="preserve">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 </w:t>
      </w:r>
    </w:p>
    <w:p w14:paraId="089C6AFC" w14:textId="77777777" w:rsidR="00D14339" w:rsidRPr="00DA793A" w:rsidRDefault="00D14339" w:rsidP="00D14339">
      <w:pPr>
        <w:pStyle w:val="Textonotapie"/>
        <w:ind w:firstLine="708"/>
        <w:jc w:val="both"/>
        <w:rPr>
          <w:rFonts w:ascii="Arial" w:hAnsi="Arial" w:cs="Arial"/>
          <w:sz w:val="18"/>
          <w:szCs w:val="18"/>
        </w:rPr>
      </w:pPr>
      <w:r w:rsidRPr="00DA793A">
        <w:rPr>
          <w:rFonts w:ascii="Arial" w:hAnsi="Arial" w:cs="Arial"/>
          <w:sz w:val="18"/>
          <w:szCs w:val="18"/>
        </w:rPr>
        <w:t xml:space="preserve">[…] </w:t>
      </w:r>
    </w:p>
    <w:p w14:paraId="4C9712EE" w14:textId="6A302288" w:rsidR="00D14339" w:rsidRPr="00DA793A" w:rsidRDefault="00430A1D" w:rsidP="00430A1D">
      <w:pPr>
        <w:pStyle w:val="Textonotapie"/>
        <w:ind w:firstLine="708"/>
        <w:jc w:val="both"/>
        <w:rPr>
          <w:rFonts w:ascii="Arial" w:hAnsi="Arial" w:cs="Arial"/>
          <w:sz w:val="18"/>
          <w:szCs w:val="18"/>
        </w:rPr>
      </w:pPr>
      <w:r w:rsidRPr="00DA793A">
        <w:rPr>
          <w:rFonts w:ascii="Arial" w:hAnsi="Arial" w:cs="Arial"/>
          <w:sz w:val="18"/>
          <w:szCs w:val="18"/>
        </w:rPr>
        <w:t>“</w:t>
      </w:r>
      <w:r w:rsidR="00D14339" w:rsidRPr="00DA793A">
        <w:rPr>
          <w:rFonts w:ascii="Arial" w:hAnsi="Arial" w:cs="Arial"/>
          <w:sz w:val="18"/>
          <w:szCs w:val="18"/>
        </w:rPr>
        <w:t>2.1. Bienes, obras y servicios que ofrecerá a las Entidades Estatales, identificados con el Clasificador de Bienes y Servicios en el tercer nivel</w:t>
      </w:r>
      <w:r w:rsidRPr="00DA793A">
        <w:rPr>
          <w:rFonts w:ascii="Arial" w:hAnsi="Arial" w:cs="Arial"/>
          <w:sz w:val="18"/>
          <w:szCs w:val="18"/>
        </w:rPr>
        <w:t>”</w:t>
      </w:r>
      <w:r w:rsidR="00D14339" w:rsidRPr="00DA793A">
        <w:rPr>
          <w:rFonts w:ascii="Arial" w:hAnsi="Arial" w:cs="Arial"/>
          <w:sz w:val="18"/>
          <w:szCs w:val="18"/>
        </w:rPr>
        <w:t>.</w:t>
      </w:r>
    </w:p>
  </w:footnote>
  <w:footnote w:id="15">
    <w:p w14:paraId="5ABE0FCC" w14:textId="2A56E05C" w:rsidR="00D14339" w:rsidRPr="00DA793A" w:rsidRDefault="00D14339" w:rsidP="00D14339">
      <w:pPr>
        <w:pStyle w:val="Textonotapie"/>
        <w:ind w:firstLine="708"/>
        <w:jc w:val="both"/>
        <w:rPr>
          <w:rFonts w:ascii="Arial" w:hAnsi="Arial" w:cs="Arial"/>
          <w:sz w:val="18"/>
          <w:szCs w:val="18"/>
        </w:rPr>
      </w:pPr>
      <w:r w:rsidRPr="00DA793A">
        <w:rPr>
          <w:rStyle w:val="Refdenotaalpie"/>
          <w:rFonts w:ascii="Arial" w:hAnsi="Arial" w:cs="Arial"/>
          <w:sz w:val="18"/>
          <w:szCs w:val="18"/>
        </w:rPr>
        <w:footnoteRef/>
      </w:r>
      <w:r w:rsidRPr="00DA793A">
        <w:rPr>
          <w:rFonts w:ascii="Arial" w:hAnsi="Arial" w:cs="Arial"/>
          <w:sz w:val="18"/>
          <w:szCs w:val="18"/>
        </w:rPr>
        <w:t xml:space="preserve"> </w:t>
      </w:r>
      <w:r w:rsidR="00430A1D" w:rsidRPr="00DA793A">
        <w:rPr>
          <w:rFonts w:ascii="Arial" w:hAnsi="Arial" w:cs="Arial"/>
          <w:sz w:val="18"/>
          <w:szCs w:val="18"/>
        </w:rPr>
        <w:t>“</w:t>
      </w:r>
      <w:r w:rsidRPr="00DA793A">
        <w:rPr>
          <w:rFonts w:ascii="Arial" w:hAnsi="Arial" w:cs="Arial"/>
          <w:sz w:val="18"/>
          <w:szCs w:val="18"/>
        </w:rPr>
        <w:t>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4870EF0F" w14:textId="77777777" w:rsidR="00D14339" w:rsidRPr="00DA793A" w:rsidRDefault="00D14339" w:rsidP="00D14339">
      <w:pPr>
        <w:pStyle w:val="Textonotapie"/>
        <w:ind w:firstLine="708"/>
        <w:jc w:val="both"/>
        <w:rPr>
          <w:rFonts w:ascii="Arial" w:hAnsi="Arial" w:cs="Arial"/>
          <w:sz w:val="18"/>
          <w:szCs w:val="18"/>
        </w:rPr>
      </w:pPr>
      <w:r w:rsidRPr="00DA793A">
        <w:rPr>
          <w:rFonts w:ascii="Arial" w:hAnsi="Arial" w:cs="Arial"/>
          <w:sz w:val="18"/>
          <w:szCs w:val="18"/>
        </w:rPr>
        <w:t xml:space="preserve">[…] </w:t>
      </w:r>
    </w:p>
    <w:p w14:paraId="2F8FE625" w14:textId="17CD2A96" w:rsidR="00D14339" w:rsidRPr="00DA793A" w:rsidRDefault="00430A1D" w:rsidP="00D14339">
      <w:pPr>
        <w:pStyle w:val="Textonotapie"/>
        <w:ind w:firstLine="708"/>
        <w:jc w:val="both"/>
        <w:rPr>
          <w:rFonts w:ascii="Arial" w:hAnsi="Arial" w:cs="Arial"/>
          <w:sz w:val="18"/>
          <w:szCs w:val="18"/>
          <w:lang w:val="es-CO"/>
        </w:rPr>
      </w:pPr>
      <w:r w:rsidRPr="00DA793A">
        <w:rPr>
          <w:rFonts w:ascii="Arial" w:hAnsi="Arial" w:cs="Arial"/>
          <w:sz w:val="18"/>
          <w:szCs w:val="18"/>
        </w:rPr>
        <w:t>“</w:t>
      </w:r>
      <w:r w:rsidR="00D14339" w:rsidRPr="00DA793A">
        <w:rPr>
          <w:rFonts w:ascii="Arial" w:hAnsi="Arial" w:cs="Arial"/>
          <w:sz w:val="18"/>
          <w:szCs w:val="18"/>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r w:rsidRPr="00DA793A">
        <w:rPr>
          <w:rFonts w:ascii="Arial" w:hAnsi="Arial" w:cs="Arial"/>
          <w:sz w:val="18"/>
          <w:szCs w:val="18"/>
        </w:rPr>
        <w:t>”</w:t>
      </w:r>
      <w:r w:rsidR="00D14339" w:rsidRPr="00DA793A">
        <w:rPr>
          <w:rFonts w:ascii="Arial" w:hAnsi="Arial" w:cs="Arial"/>
          <w:sz w:val="18"/>
          <w:szCs w:val="18"/>
        </w:rPr>
        <w:t>.</w:t>
      </w:r>
    </w:p>
  </w:footnote>
  <w:footnote w:id="16">
    <w:p w14:paraId="59EFC9F1" w14:textId="61428FCA" w:rsidR="00D14339" w:rsidRPr="00DA793A" w:rsidRDefault="00D14339" w:rsidP="009C7A80">
      <w:pPr>
        <w:pStyle w:val="Textonotapie"/>
        <w:ind w:firstLine="708"/>
        <w:jc w:val="both"/>
        <w:rPr>
          <w:rFonts w:ascii="Arial" w:hAnsi="Arial" w:cs="Arial"/>
          <w:sz w:val="18"/>
          <w:szCs w:val="18"/>
        </w:rPr>
      </w:pPr>
      <w:r w:rsidRPr="00DA793A">
        <w:rPr>
          <w:rStyle w:val="Refdenotaalpie"/>
          <w:rFonts w:ascii="Arial" w:hAnsi="Arial" w:cs="Arial"/>
          <w:sz w:val="18"/>
          <w:szCs w:val="18"/>
        </w:rPr>
        <w:footnoteRef/>
      </w:r>
      <w:r w:rsidRPr="00DA793A">
        <w:rPr>
          <w:rFonts w:ascii="Arial" w:hAnsi="Arial" w:cs="Arial"/>
          <w:sz w:val="18"/>
          <w:szCs w:val="18"/>
        </w:rPr>
        <w:t xml:space="preserve"> Colombia Compra Eficiente. Concepto del 7 de febrero de 2018, Rad. 2201813000000954.</w:t>
      </w:r>
    </w:p>
  </w:footnote>
  <w:footnote w:id="17">
    <w:p w14:paraId="5F22F86B" w14:textId="4C45009F" w:rsidR="00D14339" w:rsidRPr="00DA793A" w:rsidRDefault="00D14339" w:rsidP="00D14339">
      <w:pPr>
        <w:pStyle w:val="Textonotapie"/>
        <w:ind w:firstLine="708"/>
        <w:jc w:val="both"/>
        <w:rPr>
          <w:rFonts w:ascii="Arial" w:hAnsi="Arial" w:cs="Arial"/>
          <w:sz w:val="18"/>
          <w:szCs w:val="18"/>
          <w:lang w:val="es-CO"/>
        </w:rPr>
      </w:pPr>
      <w:r w:rsidRPr="00DA793A">
        <w:rPr>
          <w:rStyle w:val="Refdenotaalpie"/>
          <w:rFonts w:ascii="Arial" w:hAnsi="Arial" w:cs="Arial"/>
          <w:sz w:val="18"/>
          <w:szCs w:val="18"/>
        </w:rPr>
        <w:footnoteRef/>
      </w:r>
      <w:r w:rsidRPr="00DA793A">
        <w:rPr>
          <w:rFonts w:ascii="Arial" w:hAnsi="Arial" w:cs="Arial"/>
          <w:sz w:val="18"/>
          <w:szCs w:val="18"/>
        </w:rPr>
        <w:t xml:space="preserve"> En el marco del Estado de emergencia económica, social y ecológica declarado por el Gobierno Nacional a través del Decreto 417 de 2020, a causa de la pandemia mundial desatada por el virus del Covid 19, se expidió el Decreto 434 de 2020 el cual dispone lo siguiente: </w:t>
      </w:r>
      <w:r w:rsidR="009C7A80" w:rsidRPr="00DA793A">
        <w:rPr>
          <w:rFonts w:ascii="Arial" w:hAnsi="Arial" w:cs="Arial"/>
          <w:sz w:val="18"/>
          <w:szCs w:val="18"/>
        </w:rPr>
        <w:t>“</w:t>
      </w:r>
      <w:r w:rsidRPr="00DA793A">
        <w:rPr>
          <w:rFonts w:ascii="Arial" w:hAnsi="Arial" w:cs="Arial"/>
          <w:sz w:val="18"/>
          <w:szCs w:val="18"/>
        </w:rPr>
        <w:t>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r w:rsidR="009C7A80" w:rsidRPr="00DA793A">
        <w:rPr>
          <w:rFonts w:ascii="Arial" w:hAnsi="Arial" w:cs="Arial"/>
          <w:sz w:val="18"/>
          <w:szCs w:val="18"/>
        </w:rPr>
        <w:t>”</w:t>
      </w:r>
      <w:r w:rsidRPr="00DA793A">
        <w:rPr>
          <w:rFonts w:ascii="Arial" w:hAnsi="Arial" w:cs="Arial"/>
          <w:sz w:val="18"/>
          <w:szCs w:val="18"/>
        </w:rPr>
        <w:t>.</w:t>
      </w:r>
    </w:p>
  </w:footnote>
  <w:footnote w:id="18">
    <w:p w14:paraId="687C216C" w14:textId="77777777" w:rsidR="003408F0" w:rsidRPr="00DA793A" w:rsidRDefault="003408F0" w:rsidP="007019FF">
      <w:pPr>
        <w:pStyle w:val="Textonotapie"/>
        <w:ind w:firstLine="708"/>
        <w:jc w:val="both"/>
        <w:rPr>
          <w:rFonts w:ascii="Arial" w:hAnsi="Arial" w:cs="Arial"/>
          <w:sz w:val="18"/>
          <w:szCs w:val="18"/>
        </w:rPr>
      </w:pPr>
      <w:r w:rsidRPr="00DA793A">
        <w:rPr>
          <w:rStyle w:val="Refdenotaalpie"/>
          <w:rFonts w:ascii="Arial" w:hAnsi="Arial" w:cs="Arial"/>
          <w:sz w:val="18"/>
          <w:szCs w:val="18"/>
        </w:rPr>
        <w:footnoteRef/>
      </w:r>
      <w:r w:rsidRPr="00DA793A">
        <w:rPr>
          <w:rFonts w:ascii="Arial" w:hAnsi="Arial" w:cs="Arial"/>
          <w:sz w:val="18"/>
          <w:szCs w:val="18"/>
        </w:rPr>
        <w:t xml:space="preserve"> Sin embargo tener en cuenta el termino de traslado previsto en el Decreto 1080 de 2021 para proceso de contratación adelantados por mínima cuantía.</w:t>
      </w:r>
    </w:p>
  </w:footnote>
  <w:footnote w:id="19">
    <w:p w14:paraId="132BFCE7" w14:textId="6BDB94A3" w:rsidR="003408F0" w:rsidRPr="00DA793A" w:rsidRDefault="003408F0" w:rsidP="007019FF">
      <w:pPr>
        <w:pStyle w:val="Textonotapie"/>
        <w:ind w:firstLine="709"/>
        <w:contextualSpacing/>
        <w:jc w:val="both"/>
        <w:rPr>
          <w:rFonts w:ascii="Arial" w:hAnsi="Arial" w:cs="Arial"/>
          <w:color w:val="000000"/>
          <w:sz w:val="18"/>
          <w:szCs w:val="18"/>
        </w:rPr>
      </w:pPr>
      <w:r w:rsidRPr="00DA793A">
        <w:rPr>
          <w:rStyle w:val="Refdenotaalpie"/>
          <w:rFonts w:ascii="Arial" w:hAnsi="Arial" w:cs="Arial"/>
          <w:color w:val="000000"/>
          <w:sz w:val="18"/>
          <w:szCs w:val="18"/>
        </w:rPr>
        <w:footnoteRef/>
      </w:r>
      <w:r w:rsidRPr="00DA793A">
        <w:rPr>
          <w:rStyle w:val="Refdenotaalpie"/>
          <w:rFonts w:ascii="Arial" w:hAnsi="Arial" w:cs="Arial"/>
          <w:color w:val="000000"/>
          <w:sz w:val="18"/>
          <w:szCs w:val="18"/>
        </w:rPr>
        <w:t xml:space="preserve"> </w:t>
      </w:r>
      <w:r w:rsidRPr="00DA793A">
        <w:rPr>
          <w:rFonts w:ascii="Arial" w:hAnsi="Arial" w:cs="Arial"/>
          <w:color w:val="000000"/>
          <w:sz w:val="18"/>
          <w:szCs w:val="18"/>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footnote>
  <w:footnote w:id="20">
    <w:p w14:paraId="1991DD65" w14:textId="77777777" w:rsidR="003408F0" w:rsidRPr="00DA793A" w:rsidRDefault="003408F0" w:rsidP="007019FF">
      <w:pPr>
        <w:pStyle w:val="NormalWeb"/>
        <w:shd w:val="clear" w:color="auto" w:fill="FFFFFF"/>
        <w:spacing w:after="0"/>
        <w:ind w:firstLine="708"/>
        <w:contextualSpacing/>
        <w:jc w:val="both"/>
        <w:rPr>
          <w:rFonts w:ascii="Arial" w:hAnsi="Arial" w:cs="Arial"/>
          <w:sz w:val="18"/>
          <w:szCs w:val="18"/>
          <w:lang w:val="es-ES"/>
        </w:rPr>
      </w:pPr>
      <w:r w:rsidRPr="00DA793A">
        <w:rPr>
          <w:rStyle w:val="Refdenotaalpie"/>
          <w:rFonts w:ascii="Arial" w:eastAsia="Arial" w:hAnsi="Arial" w:cs="Arial"/>
          <w:sz w:val="18"/>
          <w:szCs w:val="18"/>
        </w:rPr>
        <w:footnoteRef/>
      </w:r>
      <w:r w:rsidRPr="00DA793A">
        <w:rPr>
          <w:rFonts w:ascii="Arial" w:hAnsi="Arial" w:cs="Arial"/>
          <w:sz w:val="18"/>
          <w:szCs w:val="18"/>
        </w:rPr>
        <w:t xml:space="preserve"> “</w:t>
      </w:r>
      <w:r w:rsidRPr="00DA793A">
        <w:rPr>
          <w:rFonts w:ascii="Arial" w:hAnsi="Arial" w:cs="Arial"/>
          <w:bCs/>
          <w:sz w:val="18"/>
          <w:szCs w:val="18"/>
          <w:shd w:val="clear" w:color="auto" w:fill="FFFFFF"/>
        </w:rPr>
        <w:t>2.2.1.2.1.5.2</w:t>
      </w:r>
      <w:r w:rsidRPr="00DA793A">
        <w:rPr>
          <w:rFonts w:ascii="Arial" w:hAnsi="Arial" w:cs="Arial"/>
          <w:sz w:val="18"/>
          <w:szCs w:val="18"/>
          <w:lang w:val="es-ES"/>
        </w:rPr>
        <w:t xml:space="preserve">5. </w:t>
      </w:r>
      <w:r w:rsidRPr="00DA793A">
        <w:rPr>
          <w:rFonts w:ascii="Arial" w:hAnsi="Arial" w:cs="Arial"/>
          <w:bCs/>
          <w:sz w:val="18"/>
          <w:szCs w:val="18"/>
          <w:lang w:val="es-ES"/>
        </w:rPr>
        <w:t>Procedimiento para la contratación de mínima cuantía.</w:t>
      </w:r>
      <w:r w:rsidRPr="00DA793A">
        <w:rPr>
          <w:rFonts w:ascii="Arial" w:hAnsi="Arial" w:cs="Arial"/>
          <w:sz w:val="18"/>
          <w:szCs w:val="18"/>
          <w:lang w:val="es-ES"/>
        </w:rPr>
        <w:t> Las siguientes reglas son aplicables a la contratación cuyo valor no excede del diez por ciento (10%) de la menor cuantía de la Entidad Estatal, independientemente de su objeto:</w:t>
      </w:r>
    </w:p>
    <w:p w14:paraId="0BE73D5E" w14:textId="77777777" w:rsidR="003408F0" w:rsidRPr="00DA793A" w:rsidRDefault="003408F0" w:rsidP="007019FF">
      <w:pPr>
        <w:pStyle w:val="NormalWeb"/>
        <w:shd w:val="clear" w:color="auto" w:fill="FFFFFF"/>
        <w:spacing w:after="0"/>
        <w:ind w:firstLine="708"/>
        <w:contextualSpacing/>
        <w:jc w:val="both"/>
        <w:rPr>
          <w:rFonts w:ascii="Arial" w:hAnsi="Arial" w:cs="Arial"/>
          <w:sz w:val="18"/>
          <w:szCs w:val="18"/>
          <w:lang w:val="es-ES"/>
        </w:rPr>
      </w:pPr>
      <w:r w:rsidRPr="00DA793A">
        <w:rPr>
          <w:rFonts w:ascii="Arial" w:hAnsi="Arial" w:cs="Arial"/>
          <w:sz w:val="18"/>
          <w:szCs w:val="18"/>
          <w:lang w:val="es-ES"/>
        </w:rPr>
        <w:t>[…]</w:t>
      </w:r>
    </w:p>
    <w:p w14:paraId="4129F22D" w14:textId="77777777" w:rsidR="003408F0" w:rsidRPr="00DA793A" w:rsidRDefault="003408F0" w:rsidP="007019FF">
      <w:pPr>
        <w:pStyle w:val="NormalWeb"/>
        <w:shd w:val="clear" w:color="auto" w:fill="FFFFFF"/>
        <w:spacing w:after="0"/>
        <w:ind w:firstLine="708"/>
        <w:contextualSpacing/>
        <w:jc w:val="both"/>
        <w:rPr>
          <w:rFonts w:ascii="Arial" w:hAnsi="Arial" w:cs="Arial"/>
          <w:sz w:val="18"/>
          <w:szCs w:val="18"/>
          <w:lang w:val="es-ES"/>
        </w:rPr>
      </w:pPr>
      <w:r w:rsidRPr="00DA793A">
        <w:rPr>
          <w:rFonts w:ascii="Arial" w:hAnsi="Arial" w:cs="Arial"/>
          <w:sz w:val="18"/>
          <w:szCs w:val="18"/>
          <w:lang w:val="es-ES"/>
        </w:rPr>
        <w:t>5. La Entidad Estatal debe revisar las ofertas económicas y verificar que la de menor precio cumple con las condiciones de la invitación. Si esta no cumple, la Entidad Estatal debe verificar el cumplimento de los requisitos de la invitación de la oferta con el segundo mejor precio, y así sucesivamente. Lo anterior sin perjuicio de la oportunidad que deberán otorgar las Entidades Estatales para subsanar las ofertas, en los términos del artículo </w:t>
      </w:r>
      <w:hyperlink r:id="rId3" w:anchor="5" w:history="1">
        <w:r w:rsidRPr="00DA793A">
          <w:rPr>
            <w:rFonts w:ascii="Arial" w:hAnsi="Arial" w:cs="Arial"/>
            <w:sz w:val="18"/>
            <w:szCs w:val="18"/>
            <w:u w:val="single"/>
            <w:lang w:val="es-ES"/>
          </w:rPr>
          <w:t>5 </w:t>
        </w:r>
      </w:hyperlink>
      <w:r w:rsidRPr="00DA793A">
        <w:rPr>
          <w:rFonts w:ascii="Arial" w:hAnsi="Arial" w:cs="Arial"/>
          <w:sz w:val="18"/>
          <w:szCs w:val="18"/>
          <w:lang w:val="es-ES"/>
        </w:rPr>
        <w:t>de la Ley 1150 de 2007, para lo cual establecerán un término preclusivo en la invitación para recibir los documentos subsanables, frente a cada uno de los requerimientos. En caso de que no se establezca este término, los proponentes podrán subsanar sus ofertas hasta antes de que finalice el traslado del informe de evaluación</w:t>
      </w:r>
      <w:r w:rsidRPr="00DA793A">
        <w:rPr>
          <w:rFonts w:ascii="Arial" w:hAnsi="Arial" w:cs="Arial"/>
          <w:sz w:val="18"/>
          <w:szCs w:val="18"/>
        </w:rPr>
        <w:t>”</w:t>
      </w:r>
      <w:r w:rsidRPr="00DA793A">
        <w:rPr>
          <w:rFonts w:ascii="Arial" w:hAnsi="Arial" w:cs="Arial"/>
          <w:sz w:val="18"/>
          <w:szCs w:val="18"/>
          <w:lang w:val="es-ES"/>
        </w:rPr>
        <w:t>.</w:t>
      </w:r>
    </w:p>
    <w:p w14:paraId="013C7694" w14:textId="77777777" w:rsidR="003408F0" w:rsidRPr="00DA793A" w:rsidRDefault="003408F0" w:rsidP="003408F0">
      <w:pPr>
        <w:pStyle w:val="Textonotapie"/>
        <w:contextualSpacing/>
        <w:jc w:val="both"/>
        <w:rPr>
          <w:rFonts w:ascii="Arial" w:hAnsi="Arial" w:cs="Arial"/>
          <w:sz w:val="18"/>
          <w:szCs w:val="18"/>
          <w:lang w:val="es-ES"/>
        </w:rPr>
      </w:pPr>
    </w:p>
  </w:footnote>
  <w:footnote w:id="21">
    <w:p w14:paraId="079DB129" w14:textId="77777777" w:rsidR="003408F0" w:rsidRPr="00DA793A" w:rsidRDefault="003408F0" w:rsidP="003408F0">
      <w:pPr>
        <w:pStyle w:val="Textonotapie"/>
        <w:ind w:firstLine="709"/>
        <w:contextualSpacing/>
        <w:jc w:val="both"/>
        <w:rPr>
          <w:rFonts w:ascii="Arial" w:hAnsi="Arial" w:cs="Arial"/>
          <w:color w:val="000000"/>
          <w:sz w:val="18"/>
          <w:szCs w:val="18"/>
        </w:rPr>
      </w:pPr>
      <w:r w:rsidRPr="00DA793A">
        <w:rPr>
          <w:rStyle w:val="Refdenotaalpie"/>
          <w:rFonts w:ascii="Arial" w:hAnsi="Arial" w:cs="Arial"/>
          <w:sz w:val="18"/>
          <w:szCs w:val="18"/>
        </w:rPr>
        <w:footnoteRef/>
      </w:r>
      <w:r w:rsidRPr="00DA793A">
        <w:rPr>
          <w:rFonts w:ascii="Arial" w:hAnsi="Arial" w:cs="Arial"/>
          <w:sz w:val="18"/>
          <w:szCs w:val="18"/>
        </w:rPr>
        <w:t xml:space="preserve"> </w:t>
      </w:r>
      <w:r w:rsidRPr="00DA793A">
        <w:rPr>
          <w:rFonts w:ascii="Arial" w:hAnsi="Arial" w:cs="Arial"/>
          <w:color w:val="000000"/>
          <w:sz w:val="18"/>
          <w:szCs w:val="18"/>
        </w:rPr>
        <w:t xml:space="preserve">En armonía con lo anterior, actualmente la Circular Externa Única de Colombia Compra Eficiente señala lo siguiente: “De otro lado, cabe destacar que, de conformidad con el artículo 5 de la Ley 1882 de 2018, durante el término otorgado para subsanar, los proponentes no podrán acreditar circunstancias ocurridas luego del cierre del proceso. De esta manera, es subsanable la prueba de todas las circunstancias ocurridas antes del vencimiento del término para presentar las ofertas, por lo que no se podrán acreditar circunstancias ocurridas con posterioridad a dicho momento. </w:t>
      </w:r>
    </w:p>
    <w:p w14:paraId="306CC29D" w14:textId="2DE7812B" w:rsidR="003408F0" w:rsidRPr="00DA793A" w:rsidRDefault="003408F0" w:rsidP="00925325">
      <w:pPr>
        <w:pStyle w:val="Textonotapie"/>
        <w:ind w:firstLine="709"/>
        <w:contextualSpacing/>
        <w:jc w:val="both"/>
        <w:rPr>
          <w:rFonts w:ascii="Arial" w:hAnsi="Arial" w:cs="Arial"/>
          <w:color w:val="000000"/>
          <w:sz w:val="18"/>
          <w:szCs w:val="18"/>
        </w:rPr>
      </w:pPr>
      <w:r w:rsidRPr="00DA793A">
        <w:rPr>
          <w:rFonts w:ascii="Arial" w:hAnsi="Arial" w:cs="Arial"/>
          <w:color w:val="000000"/>
          <w:sz w:val="18"/>
          <w:szCs w:val="18"/>
        </w:rPr>
        <w:t xml:space="preserve">“Lo anterior quiere decir que no es la prueba lo que debe ser anterior al cierre del proceso, sino el hecho que esta acredita. En ese sentido, ante la solicitud de la Administración de subsanar un requisito, el documento podría estar fechado con posterioridad al vencimiento del término para recibir propuestas, con la condición de que el hecho que acredite haya ocurrido antes, esto es, que no sea una circunstancia ocurrida con posterioridad al cierre del proceso. Un mejor entendimiento del significado de la expresión “circunstancias ocurridas con posterioridad al cierre del proceso” implica distinguir entre la prueba de un hecho y el hecho mismo. En el caso de la subsanabilidad de las ofertas, una cosa es el requisito habilitante o el elemento de la propuesta que permite cumplir determinada exigencia del pliego de condiciones –o documento equivalente– y otra su prueba. Lo que prohíbe la norma es que se subsanen requisitos que no estaban materialmente cumplidos al momento del cierre del proceso”. Disponible en: </w:t>
      </w:r>
      <w:hyperlink r:id="rId4" w:history="1">
        <w:r w:rsidRPr="00DA793A">
          <w:rPr>
            <w:rStyle w:val="Hipervnculo"/>
            <w:rFonts w:ascii="Arial" w:hAnsi="Arial" w:cs="Arial"/>
            <w:color w:val="000000"/>
            <w:sz w:val="18"/>
            <w:szCs w:val="18"/>
          </w:rPr>
          <w:t>https://www.colombiacompra.gov.co/content/circular-unica-externa</w:t>
        </w:r>
      </w:hyperlink>
      <w:r w:rsidRPr="00DA793A">
        <w:rPr>
          <w:rFonts w:ascii="Arial" w:hAnsi="Arial" w:cs="Arial"/>
          <w:color w:val="000000"/>
          <w:sz w:val="18"/>
          <w:szCs w:val="18"/>
        </w:rPr>
        <w:t>.</w:t>
      </w:r>
    </w:p>
  </w:footnote>
  <w:footnote w:id="22">
    <w:p w14:paraId="67EB2718" w14:textId="3C1614BE" w:rsidR="003408F0" w:rsidRPr="00DA793A" w:rsidRDefault="003408F0" w:rsidP="00925325">
      <w:pPr>
        <w:pStyle w:val="Textonotapie"/>
        <w:ind w:firstLine="709"/>
        <w:contextualSpacing/>
        <w:jc w:val="both"/>
        <w:rPr>
          <w:rFonts w:ascii="Arial" w:hAnsi="Arial" w:cs="Arial"/>
          <w:color w:val="000000"/>
          <w:sz w:val="18"/>
          <w:szCs w:val="18"/>
        </w:rPr>
      </w:pPr>
      <w:r w:rsidRPr="00DA793A">
        <w:rPr>
          <w:rStyle w:val="Refdenotaalpie"/>
          <w:rFonts w:ascii="Arial" w:hAnsi="Arial" w:cs="Arial"/>
          <w:color w:val="000000"/>
          <w:sz w:val="18"/>
          <w:szCs w:val="18"/>
        </w:rPr>
        <w:footnoteRef/>
      </w:r>
      <w:r w:rsidRPr="00DA793A">
        <w:rPr>
          <w:rFonts w:ascii="Arial" w:hAnsi="Arial" w:cs="Arial"/>
          <w:color w:val="000000"/>
          <w:sz w:val="18"/>
          <w:szCs w:val="18"/>
        </w:rPr>
        <w:t xml:space="preserve"> Ver CONSEJO DE ESTADO, Sección Tercera, Subsección C. Sentencia del 26 de febrero de 2011. C.P. Jaime Orlando Santofimio. Rad. 36.408. </w:t>
      </w:r>
    </w:p>
  </w:footnote>
  <w:footnote w:id="23">
    <w:p w14:paraId="4347B310" w14:textId="77777777" w:rsidR="003408F0" w:rsidRPr="00DA793A" w:rsidRDefault="003408F0" w:rsidP="003408F0">
      <w:pPr>
        <w:pStyle w:val="Textonotapie"/>
        <w:ind w:firstLine="709"/>
        <w:contextualSpacing/>
        <w:jc w:val="both"/>
        <w:rPr>
          <w:rFonts w:ascii="Arial" w:hAnsi="Arial" w:cs="Arial"/>
          <w:color w:val="000000"/>
          <w:sz w:val="18"/>
          <w:szCs w:val="18"/>
        </w:rPr>
      </w:pPr>
      <w:r w:rsidRPr="00DA793A">
        <w:rPr>
          <w:rStyle w:val="Refdenotaalpie"/>
          <w:rFonts w:ascii="Arial" w:hAnsi="Arial" w:cs="Arial"/>
          <w:color w:val="000000"/>
          <w:sz w:val="18"/>
          <w:szCs w:val="18"/>
        </w:rPr>
        <w:footnoteRef/>
      </w:r>
      <w:r w:rsidRPr="00DA793A">
        <w:rPr>
          <w:rFonts w:ascii="Arial" w:hAnsi="Arial" w:cs="Arial"/>
          <w:color w:val="000000"/>
          <w:sz w:val="18"/>
          <w:szCs w:val="18"/>
        </w:rPr>
        <w:t xml:space="preserve"> Ver CONSEJO DE ESTADO, Sección Tercera, Subsección C. Sentencia del 26 de febrero de 2014. C.P. Enrique Gil Botero. Rad. 25.804. </w:t>
      </w:r>
    </w:p>
    <w:p w14:paraId="30AD4381" w14:textId="77777777" w:rsidR="003408F0" w:rsidRPr="00DA793A" w:rsidRDefault="003408F0" w:rsidP="003408F0">
      <w:pPr>
        <w:pStyle w:val="Textonotapie"/>
        <w:ind w:firstLine="709"/>
        <w:contextualSpacing/>
        <w:jc w:val="both"/>
        <w:rPr>
          <w:rFonts w:ascii="Arial" w:hAnsi="Arial" w:cs="Arial"/>
          <w:color w:val="000000"/>
          <w:sz w:val="18"/>
          <w:szCs w:val="18"/>
        </w:rPr>
      </w:pPr>
    </w:p>
  </w:footnote>
  <w:footnote w:id="24">
    <w:p w14:paraId="02038BC7" w14:textId="77777777" w:rsidR="003408F0" w:rsidRPr="00DA793A" w:rsidRDefault="003408F0" w:rsidP="003408F0">
      <w:pPr>
        <w:pStyle w:val="Textonotapie"/>
        <w:ind w:firstLine="709"/>
        <w:contextualSpacing/>
        <w:jc w:val="both"/>
        <w:rPr>
          <w:rFonts w:ascii="Arial" w:hAnsi="Arial" w:cs="Arial"/>
          <w:color w:val="000000"/>
          <w:sz w:val="18"/>
          <w:szCs w:val="18"/>
        </w:rPr>
      </w:pPr>
      <w:r w:rsidRPr="00DA793A">
        <w:rPr>
          <w:rStyle w:val="Refdenotaalpie"/>
          <w:rFonts w:ascii="Arial" w:hAnsi="Arial" w:cs="Arial"/>
          <w:color w:val="000000"/>
          <w:sz w:val="18"/>
          <w:szCs w:val="18"/>
        </w:rPr>
        <w:footnoteRef/>
      </w:r>
      <w:r w:rsidRPr="00DA793A">
        <w:rPr>
          <w:rFonts w:ascii="Arial" w:hAnsi="Arial" w:cs="Arial"/>
          <w:color w:val="000000"/>
          <w:sz w:val="18"/>
          <w:szCs w:val="18"/>
        </w:rPr>
        <w:t xml:space="preserve"> CONSEJO DE ESTADO. Sala de Consulta y Servicio Civil. Concepto del 20 de mayo de 2010. Expediente: 1992. Consejero Ponente: Enrique José Arboleda Perdomo.</w:t>
      </w:r>
    </w:p>
  </w:footnote>
  <w:footnote w:id="25">
    <w:p w14:paraId="2DE1EC59" w14:textId="0D600E11" w:rsidR="003408F0" w:rsidRPr="00521917" w:rsidRDefault="003408F0" w:rsidP="00D26C4E">
      <w:pPr>
        <w:pBdr>
          <w:top w:val="nil"/>
          <w:left w:val="nil"/>
          <w:bottom w:val="nil"/>
          <w:right w:val="nil"/>
          <w:between w:val="nil"/>
        </w:pBdr>
        <w:spacing w:after="0"/>
        <w:ind w:firstLine="709"/>
        <w:contextualSpacing/>
        <w:jc w:val="both"/>
        <w:rPr>
          <w:rFonts w:ascii="Arial" w:eastAsia="Arial" w:hAnsi="Arial" w:cs="Arial"/>
          <w:color w:val="000000"/>
          <w:sz w:val="18"/>
          <w:szCs w:val="18"/>
        </w:rPr>
      </w:pPr>
      <w:r w:rsidRPr="00521917">
        <w:rPr>
          <w:rFonts w:ascii="Arial" w:hAnsi="Arial" w:cs="Arial"/>
          <w:sz w:val="18"/>
          <w:szCs w:val="18"/>
          <w:vertAlign w:val="superscript"/>
        </w:rPr>
        <w:footnoteRef/>
      </w:r>
      <w:r w:rsidRPr="00521917">
        <w:rPr>
          <w:rFonts w:ascii="Arial" w:eastAsia="Arial" w:hAnsi="Arial" w:cs="Arial"/>
          <w:color w:val="000000"/>
          <w:sz w:val="18"/>
          <w:szCs w:val="18"/>
        </w:rPr>
        <w:t xml:space="preserve"> CONSEJO DE ESTADO. Sección Tercera. Subsección C. Sentencia del 12 de noviembre de 2014. Exp. 27.986. C.P. Enrique Gil Botero.</w:t>
      </w:r>
    </w:p>
  </w:footnote>
  <w:footnote w:id="26">
    <w:p w14:paraId="4F34EF8B" w14:textId="77777777" w:rsidR="003408F0" w:rsidRPr="00521917" w:rsidRDefault="003408F0" w:rsidP="00D363FB">
      <w:pPr>
        <w:pStyle w:val="Textonotapie"/>
        <w:ind w:firstLine="709"/>
        <w:contextualSpacing/>
        <w:jc w:val="both"/>
        <w:rPr>
          <w:rFonts w:ascii="Arial" w:hAnsi="Arial" w:cs="Arial"/>
          <w:sz w:val="18"/>
          <w:szCs w:val="18"/>
          <w:lang w:val="es-CO"/>
        </w:rPr>
      </w:pPr>
      <w:r w:rsidRPr="00521917">
        <w:rPr>
          <w:rStyle w:val="Refdenotaalpie"/>
          <w:rFonts w:ascii="Arial" w:hAnsi="Arial" w:cs="Arial"/>
          <w:sz w:val="18"/>
          <w:szCs w:val="18"/>
        </w:rPr>
        <w:footnoteRef/>
      </w:r>
      <w:r w:rsidRPr="00521917">
        <w:rPr>
          <w:rFonts w:ascii="Arial" w:hAnsi="Arial" w:cs="Arial"/>
          <w:sz w:val="18"/>
          <w:szCs w:val="18"/>
        </w:rPr>
        <w:t xml:space="preserve"> </w:t>
      </w:r>
      <w:r w:rsidRPr="00521917">
        <w:rPr>
          <w:rFonts w:ascii="Arial" w:hAnsi="Arial" w:cs="Arial"/>
          <w:bCs/>
          <w:sz w:val="18"/>
          <w:szCs w:val="18"/>
        </w:rPr>
        <w:t xml:space="preserve">En todo caso, conforme al parágrafo 3 del artículo 30 del Estatuto General de Contratación de la Administración pública, es necesario tener en cuenta que para los procesos de licitación para los contratistas de obra pública la oferta debe entregarse en dos sobres. El sobre numero 2 contiene la propuesta económica, y la norma dispone “[…] se mantendrá cerrado hasta la audiencia efectiva de adjudicación, momento en el cual se podrán hacer observaciones al informe de evaluación, las cuales se decidirán en la misma. Durante esta audiencia se dará apertura al sobre, se evaluará la oferta económica a través del mecanismo escogido mediante el método aleatorio que se establezca en los pliegos de condiciones, corriendo traslado a los proponentes habilitados en la misma diligencia solo para la revisión del aspecto económico y se establecerá el orden de elegibilidad”. </w:t>
      </w:r>
    </w:p>
  </w:footnote>
  <w:footnote w:id="27">
    <w:p w14:paraId="3CD67FD6" w14:textId="77777777" w:rsidR="003408F0" w:rsidRPr="00521917" w:rsidRDefault="003408F0" w:rsidP="00D363FB">
      <w:pPr>
        <w:pBdr>
          <w:top w:val="nil"/>
          <w:left w:val="nil"/>
          <w:bottom w:val="nil"/>
          <w:right w:val="nil"/>
          <w:between w:val="nil"/>
        </w:pBdr>
        <w:spacing w:after="0"/>
        <w:ind w:firstLine="709"/>
        <w:contextualSpacing/>
        <w:jc w:val="both"/>
        <w:rPr>
          <w:rFonts w:ascii="Arial" w:hAnsi="Arial" w:cs="Arial"/>
          <w:color w:val="000000"/>
          <w:sz w:val="18"/>
          <w:szCs w:val="18"/>
        </w:rPr>
      </w:pPr>
      <w:r w:rsidRPr="00521917">
        <w:rPr>
          <w:rFonts w:ascii="Arial" w:hAnsi="Arial" w:cs="Arial"/>
          <w:sz w:val="18"/>
          <w:szCs w:val="18"/>
          <w:vertAlign w:val="superscript"/>
        </w:rPr>
        <w:footnoteRef/>
      </w:r>
      <w:r w:rsidRPr="00521917">
        <w:rPr>
          <w:rFonts w:ascii="Arial" w:hAnsi="Arial" w:cs="Arial"/>
          <w:color w:val="000000"/>
          <w:sz w:val="18"/>
          <w:szCs w:val="18"/>
        </w:rPr>
        <w:t xml:space="preserve"> </w:t>
      </w:r>
      <w:r w:rsidRPr="00521917">
        <w:rPr>
          <w:rFonts w:ascii="Arial" w:eastAsia="Arial" w:hAnsi="Arial" w:cs="Arial"/>
          <w:color w:val="000000"/>
          <w:sz w:val="18"/>
          <w:szCs w:val="18"/>
        </w:rPr>
        <w:t>Ibídem</w:t>
      </w:r>
      <w:r w:rsidRPr="00521917">
        <w:rPr>
          <w:rFonts w:ascii="Arial" w:eastAsia="Arial" w:hAnsi="Arial" w:cs="Arial"/>
          <w:i/>
          <w:color w:val="000000"/>
          <w:sz w:val="18"/>
          <w:szCs w:val="18"/>
        </w:rPr>
        <w:t>.</w:t>
      </w:r>
    </w:p>
  </w:footnote>
  <w:footnote w:id="28">
    <w:p w14:paraId="07665196" w14:textId="0334FCC4" w:rsidR="003408F0" w:rsidRPr="00521917" w:rsidRDefault="003408F0" w:rsidP="00D363FB">
      <w:pPr>
        <w:pBdr>
          <w:top w:val="nil"/>
          <w:left w:val="nil"/>
          <w:bottom w:val="nil"/>
          <w:right w:val="nil"/>
          <w:between w:val="nil"/>
        </w:pBdr>
        <w:spacing w:after="0"/>
        <w:ind w:firstLine="709"/>
        <w:contextualSpacing/>
        <w:jc w:val="both"/>
        <w:rPr>
          <w:rFonts w:ascii="Arial" w:hAnsi="Arial" w:cs="Arial"/>
          <w:color w:val="000000"/>
          <w:sz w:val="18"/>
          <w:szCs w:val="18"/>
        </w:rPr>
      </w:pPr>
      <w:r w:rsidRPr="00521917">
        <w:rPr>
          <w:rFonts w:ascii="Arial" w:hAnsi="Arial" w:cs="Arial"/>
          <w:sz w:val="18"/>
          <w:szCs w:val="18"/>
          <w:vertAlign w:val="superscript"/>
        </w:rPr>
        <w:footnoteRef/>
      </w:r>
      <w:r w:rsidRPr="00521917">
        <w:rPr>
          <w:rFonts w:ascii="Arial" w:hAnsi="Arial" w:cs="Arial"/>
          <w:color w:val="000000"/>
          <w:sz w:val="18"/>
          <w:szCs w:val="18"/>
        </w:rPr>
        <w:t xml:space="preserve"> Ibídem</w:t>
      </w:r>
    </w:p>
  </w:footnote>
  <w:footnote w:id="29">
    <w:p w14:paraId="4D4C240C" w14:textId="77777777" w:rsidR="00902436" w:rsidRPr="00521917" w:rsidRDefault="00902436" w:rsidP="00D363FB">
      <w:pPr>
        <w:pStyle w:val="Textonotapie"/>
        <w:ind w:firstLine="709"/>
        <w:jc w:val="both"/>
        <w:rPr>
          <w:rFonts w:ascii="Arial" w:eastAsia="Calibri" w:hAnsi="Arial" w:cs="Arial"/>
          <w:color w:val="000000" w:themeColor="text1"/>
          <w:sz w:val="18"/>
          <w:szCs w:val="18"/>
        </w:rPr>
      </w:pPr>
      <w:r w:rsidRPr="00521917">
        <w:rPr>
          <w:rStyle w:val="Refdenotaalpie"/>
          <w:rFonts w:ascii="Arial" w:hAnsi="Arial" w:cs="Arial"/>
          <w:color w:val="000000" w:themeColor="text1"/>
          <w:sz w:val="18"/>
          <w:szCs w:val="18"/>
        </w:rPr>
        <w:footnoteRef/>
      </w:r>
      <w:r w:rsidRPr="00521917">
        <w:rPr>
          <w:rFonts w:ascii="Arial" w:hAnsi="Arial" w:cs="Arial"/>
          <w:color w:val="000000" w:themeColor="text1"/>
          <w:sz w:val="18"/>
          <w:szCs w:val="18"/>
        </w:rPr>
        <w:t xml:space="preserve"> </w:t>
      </w:r>
      <w:r w:rsidRPr="00521917">
        <w:rPr>
          <w:rFonts w:ascii="Arial" w:eastAsia="Calibri" w:hAnsi="Arial" w:cs="Arial"/>
          <w:color w:val="000000" w:themeColor="text1"/>
          <w:sz w:val="18"/>
          <w:szCs w:val="18"/>
        </w:rPr>
        <w:t xml:space="preserve">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7D0FB5ED" w14:textId="77777777" w:rsidR="00902436" w:rsidRPr="00521917" w:rsidRDefault="00902436" w:rsidP="00D363FB">
      <w:pPr>
        <w:pStyle w:val="Textonotapie"/>
        <w:ind w:firstLine="709"/>
        <w:jc w:val="both"/>
        <w:rPr>
          <w:rFonts w:ascii="Arial" w:eastAsia="Calibri" w:hAnsi="Arial" w:cs="Arial"/>
          <w:color w:val="000000" w:themeColor="text1"/>
          <w:sz w:val="18"/>
          <w:szCs w:val="18"/>
        </w:rPr>
      </w:pPr>
      <w:r w:rsidRPr="00521917">
        <w:rPr>
          <w:rFonts w:ascii="Arial" w:eastAsia="Calibri" w:hAnsi="Arial" w:cs="Arial"/>
          <w:color w:val="000000" w:themeColor="text1"/>
          <w:sz w:val="18"/>
          <w:szCs w:val="18"/>
        </w:rPr>
        <w:t>[…]</w:t>
      </w:r>
    </w:p>
    <w:p w14:paraId="0104D23A" w14:textId="3EFF6C8F" w:rsidR="00902436" w:rsidRPr="00521917" w:rsidRDefault="00902436" w:rsidP="00D363FB">
      <w:pPr>
        <w:pStyle w:val="Textonotapie"/>
        <w:ind w:firstLine="709"/>
        <w:jc w:val="both"/>
        <w:rPr>
          <w:rFonts w:ascii="Arial" w:hAnsi="Arial" w:cs="Arial"/>
          <w:color w:val="000000" w:themeColor="text1"/>
          <w:sz w:val="18"/>
          <w:szCs w:val="18"/>
          <w:lang w:val="es-CO"/>
        </w:rPr>
      </w:pPr>
      <w:r w:rsidRPr="00521917">
        <w:rPr>
          <w:rFonts w:ascii="Arial" w:eastAsia="Calibri" w:hAnsi="Arial" w:cs="Arial"/>
          <w:color w:val="000000" w:themeColor="text1"/>
          <w:sz w:val="18"/>
          <w:szCs w:val="18"/>
        </w:rPr>
        <w:t>“Capacidad Residual o K de Contratación: Aptitud de un oferente para cumplir oportuna y cabalmente con el objeto de un contrato de obra, sin que sus otros compromisos contractuales afecten su habilidad de cumplir con el contrato que está en proceso de selección”.</w:t>
      </w:r>
      <w:r w:rsidRPr="00521917">
        <w:rPr>
          <w:rFonts w:ascii="Arial" w:hAnsi="Arial" w:cs="Arial"/>
          <w:color w:val="000000" w:themeColor="text1"/>
          <w:sz w:val="18"/>
          <w:szCs w:val="18"/>
          <w:lang w:val="es-CO"/>
        </w:rPr>
        <w:t xml:space="preserve"> </w:t>
      </w:r>
    </w:p>
  </w:footnote>
  <w:footnote w:id="30">
    <w:p w14:paraId="3101BAE9" w14:textId="67F48117" w:rsidR="00902436" w:rsidRPr="00521917" w:rsidRDefault="00D363FB" w:rsidP="00D363FB">
      <w:pPr>
        <w:pStyle w:val="Textonotapie"/>
        <w:jc w:val="both"/>
        <w:rPr>
          <w:rFonts w:ascii="Arial" w:hAnsi="Arial" w:cs="Arial"/>
          <w:color w:val="000000" w:themeColor="text1"/>
          <w:sz w:val="18"/>
          <w:szCs w:val="18"/>
          <w:lang w:val="es-CO"/>
        </w:rPr>
      </w:pPr>
      <w:r w:rsidRPr="00521917">
        <w:rPr>
          <w:rFonts w:ascii="Arial" w:eastAsia="Calibri" w:hAnsi="Arial" w:cs="Arial"/>
          <w:color w:val="000000" w:themeColor="text1"/>
          <w:sz w:val="18"/>
          <w:szCs w:val="18"/>
          <w:vertAlign w:val="superscript"/>
        </w:rPr>
        <w:tab/>
      </w:r>
      <w:r w:rsidR="00902436" w:rsidRPr="00521917">
        <w:rPr>
          <w:rFonts w:ascii="Arial" w:eastAsia="Calibri" w:hAnsi="Arial" w:cs="Arial"/>
          <w:color w:val="000000" w:themeColor="text1"/>
          <w:sz w:val="18"/>
          <w:szCs w:val="18"/>
          <w:vertAlign w:val="superscript"/>
        </w:rPr>
        <w:footnoteRef/>
      </w:r>
      <w:r w:rsidR="00902436" w:rsidRPr="00521917">
        <w:rPr>
          <w:rFonts w:ascii="Arial" w:eastAsia="Calibri" w:hAnsi="Arial" w:cs="Arial"/>
          <w:color w:val="000000" w:themeColor="text1"/>
          <w:sz w:val="18"/>
          <w:szCs w:val="18"/>
          <w:vertAlign w:val="superscript"/>
        </w:rPr>
        <w:t xml:space="preserve"> </w:t>
      </w:r>
      <w:r w:rsidR="00902436" w:rsidRPr="00521917">
        <w:rPr>
          <w:rFonts w:ascii="Arial" w:eastAsia="Calibri" w:hAnsi="Arial" w:cs="Arial"/>
          <w:color w:val="000000" w:themeColor="text1"/>
          <w:sz w:val="18"/>
          <w:szCs w:val="18"/>
        </w:rPr>
        <w:t xml:space="preserve">CONSEJO DE ESTADO. Sección Tercera. Sentencia del 26 de junio de 2003. Rad. 13.354. C.P: María Elena Giraldo Gómez. </w:t>
      </w:r>
    </w:p>
  </w:footnote>
  <w:footnote w:id="31">
    <w:p w14:paraId="2A6C4D32" w14:textId="77777777" w:rsidR="00902436" w:rsidRPr="00521917" w:rsidRDefault="00902436" w:rsidP="00902436">
      <w:pPr>
        <w:ind w:right="49" w:firstLine="709"/>
        <w:jc w:val="both"/>
        <w:rPr>
          <w:rFonts w:ascii="Arial" w:hAnsi="Arial" w:cs="Arial"/>
          <w:color w:val="000000" w:themeColor="text1"/>
          <w:sz w:val="18"/>
          <w:szCs w:val="18"/>
        </w:rPr>
      </w:pPr>
      <w:r w:rsidRPr="00521917">
        <w:rPr>
          <w:rStyle w:val="Refdenotaalpie"/>
          <w:rFonts w:ascii="Arial" w:hAnsi="Arial" w:cs="Arial"/>
          <w:color w:val="000000" w:themeColor="text1"/>
          <w:sz w:val="18"/>
          <w:szCs w:val="18"/>
        </w:rPr>
        <w:footnoteRef/>
      </w:r>
      <w:r w:rsidRPr="00521917">
        <w:rPr>
          <w:rFonts w:ascii="Arial" w:hAnsi="Arial" w:cs="Arial"/>
          <w:color w:val="000000" w:themeColor="text1"/>
          <w:sz w:val="18"/>
          <w:szCs w:val="18"/>
        </w:rPr>
        <w:t xml:space="preserve"> Decreto 1082 de 2015. “Artículo 2.2.1.1.1.6.4. Capacidad Residual. El interesado en celebrar contratos de obra pública con Entidades Estatales debe acreditar su Capacidad Residual o K de Contratación con los siguientes</w:t>
      </w:r>
      <w:r w:rsidRPr="00521917">
        <w:rPr>
          <w:rFonts w:ascii="Arial" w:hAnsi="Arial" w:cs="Arial"/>
          <w:color w:val="000000" w:themeColor="text1"/>
          <w:spacing w:val="-3"/>
          <w:sz w:val="18"/>
          <w:szCs w:val="18"/>
        </w:rPr>
        <w:t xml:space="preserve"> </w:t>
      </w:r>
      <w:r w:rsidRPr="00521917">
        <w:rPr>
          <w:rFonts w:ascii="Arial" w:hAnsi="Arial" w:cs="Arial"/>
          <w:color w:val="000000" w:themeColor="text1"/>
          <w:sz w:val="18"/>
          <w:szCs w:val="18"/>
        </w:rPr>
        <w:t>documentos:</w:t>
      </w:r>
    </w:p>
    <w:p w14:paraId="17DA4042" w14:textId="77777777" w:rsidR="00902436" w:rsidRPr="00521917" w:rsidRDefault="00902436" w:rsidP="00902436">
      <w:pPr>
        <w:ind w:right="49" w:firstLine="709"/>
        <w:jc w:val="both"/>
        <w:rPr>
          <w:rFonts w:ascii="Arial" w:hAnsi="Arial" w:cs="Arial"/>
          <w:color w:val="000000" w:themeColor="text1"/>
          <w:sz w:val="18"/>
          <w:szCs w:val="18"/>
        </w:rPr>
      </w:pPr>
      <w:r w:rsidRPr="00521917">
        <w:rPr>
          <w:rFonts w:ascii="Arial" w:hAnsi="Arial" w:cs="Arial"/>
          <w:color w:val="000000" w:themeColor="text1"/>
          <w:sz w:val="18"/>
          <w:szCs w:val="18"/>
        </w:rPr>
        <w:t>“1. La lista de los contratos de obras civiles en ejecución suscritos con Entidades Estatales y con entidades privadas, así como el valor y plazo de tales contratos, incluyendo contratos de concesión y los contratos de obra suscritos con</w:t>
      </w:r>
      <w:r w:rsidRPr="00521917">
        <w:rPr>
          <w:rFonts w:ascii="Arial" w:hAnsi="Arial" w:cs="Arial"/>
          <w:color w:val="000000" w:themeColor="text1"/>
          <w:spacing w:val="-4"/>
          <w:sz w:val="18"/>
          <w:szCs w:val="18"/>
        </w:rPr>
        <w:t xml:space="preserve"> </w:t>
      </w:r>
      <w:r w:rsidRPr="00521917">
        <w:rPr>
          <w:rFonts w:ascii="Arial" w:hAnsi="Arial" w:cs="Arial"/>
          <w:color w:val="000000" w:themeColor="text1"/>
          <w:sz w:val="18"/>
          <w:szCs w:val="18"/>
        </w:rPr>
        <w:t>concesionarios.</w:t>
      </w:r>
    </w:p>
    <w:p w14:paraId="2ADFF1F1" w14:textId="77777777" w:rsidR="00902436" w:rsidRPr="00521917" w:rsidRDefault="00902436" w:rsidP="00902436">
      <w:pPr>
        <w:ind w:right="49" w:firstLine="709"/>
        <w:jc w:val="both"/>
        <w:rPr>
          <w:rFonts w:ascii="Arial" w:hAnsi="Arial" w:cs="Arial"/>
          <w:color w:val="000000" w:themeColor="text1"/>
          <w:sz w:val="18"/>
          <w:szCs w:val="18"/>
        </w:rPr>
      </w:pPr>
      <w:r w:rsidRPr="00521917">
        <w:rPr>
          <w:rFonts w:ascii="Arial" w:hAnsi="Arial" w:cs="Arial"/>
          <w:color w:val="000000" w:themeColor="text1"/>
          <w:sz w:val="18"/>
          <w:szCs w:val="18"/>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6C517118" w14:textId="77777777" w:rsidR="00902436" w:rsidRPr="00521917" w:rsidRDefault="00902436" w:rsidP="00902436">
      <w:pPr>
        <w:ind w:right="49" w:firstLine="709"/>
        <w:jc w:val="both"/>
        <w:rPr>
          <w:rFonts w:ascii="Arial" w:hAnsi="Arial" w:cs="Arial"/>
          <w:color w:val="000000" w:themeColor="text1"/>
          <w:sz w:val="18"/>
          <w:szCs w:val="18"/>
        </w:rPr>
      </w:pPr>
      <w:r w:rsidRPr="00521917">
        <w:rPr>
          <w:rFonts w:ascii="Arial" w:hAnsi="Arial" w:cs="Arial"/>
          <w:color w:val="000000" w:themeColor="text1"/>
          <w:sz w:val="18"/>
          <w:szCs w:val="18"/>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p w14:paraId="0B6C934E" w14:textId="77777777" w:rsidR="00902436" w:rsidRPr="00521917" w:rsidRDefault="00902436" w:rsidP="00902436">
      <w:pPr>
        <w:pStyle w:val="Textonotapie"/>
        <w:ind w:right="49" w:firstLine="709"/>
        <w:jc w:val="both"/>
        <w:rPr>
          <w:rFonts w:ascii="Arial" w:hAnsi="Arial" w:cs="Arial"/>
          <w:color w:val="000000" w:themeColor="text1"/>
          <w:sz w:val="18"/>
          <w:szCs w:val="18"/>
        </w:rPr>
      </w:pPr>
    </w:p>
  </w:footnote>
  <w:footnote w:id="32">
    <w:p w14:paraId="5F5BD0A8" w14:textId="77777777" w:rsidR="00902436" w:rsidRPr="00521917" w:rsidRDefault="00902436" w:rsidP="00902436">
      <w:pPr>
        <w:pStyle w:val="NormalWeb"/>
        <w:spacing w:after="0"/>
        <w:ind w:firstLine="709"/>
        <w:jc w:val="both"/>
        <w:rPr>
          <w:rFonts w:ascii="Arial" w:hAnsi="Arial" w:cs="Arial"/>
          <w:color w:val="000000"/>
          <w:sz w:val="18"/>
          <w:szCs w:val="18"/>
        </w:rPr>
      </w:pPr>
      <w:r w:rsidRPr="00521917">
        <w:rPr>
          <w:rStyle w:val="Refdenotaalpie"/>
          <w:rFonts w:ascii="Arial" w:hAnsi="Arial" w:cs="Arial"/>
          <w:sz w:val="18"/>
          <w:szCs w:val="18"/>
        </w:rPr>
        <w:footnoteRef/>
      </w:r>
      <w:r w:rsidRPr="00521917">
        <w:rPr>
          <w:rFonts w:ascii="Arial" w:hAnsi="Arial" w:cs="Arial"/>
          <w:sz w:val="18"/>
          <w:szCs w:val="18"/>
        </w:rPr>
        <w:t xml:space="preserve"> Decreto 1082 de 2015. “</w:t>
      </w:r>
      <w:r w:rsidRPr="00521917">
        <w:rPr>
          <w:rStyle w:val="Textoennegrita"/>
          <w:rFonts w:ascii="Arial" w:hAnsi="Arial" w:cs="Arial"/>
          <w:color w:val="000000"/>
          <w:sz w:val="18"/>
          <w:szCs w:val="18"/>
        </w:rPr>
        <w:t>Artículo 2.2.1.1.1.5.2. </w:t>
      </w:r>
      <w:r w:rsidRPr="00521917">
        <w:rPr>
          <w:rStyle w:val="nfasis"/>
          <w:rFonts w:ascii="Arial" w:hAnsi="Arial" w:cs="Arial"/>
          <w:color w:val="000000"/>
          <w:sz w:val="18"/>
          <w:szCs w:val="18"/>
        </w:rPr>
        <w:t>Información para inscripción, renovación o actualización. </w:t>
      </w:r>
      <w:r w:rsidRPr="00521917">
        <w:rPr>
          <w:rFonts w:ascii="Arial" w:hAnsi="Arial" w:cs="Arial"/>
          <w:color w:val="000000"/>
          <w:sz w:val="18"/>
          <w:szCs w:val="18"/>
        </w:rPr>
        <w:t>El interesado debe presentar a cualquier cámara de comercio del país una solicitud de registro, acompañada de la siguiente información. La cámara de comercio del domicilio del solicitante es la responsable de la inscripción, renovación o actualización correspondiente: </w:t>
      </w:r>
    </w:p>
    <w:p w14:paraId="60609525" w14:textId="77777777" w:rsidR="00902436" w:rsidRPr="00521917" w:rsidRDefault="00902436" w:rsidP="00902436">
      <w:pPr>
        <w:pStyle w:val="NormalWeb"/>
        <w:spacing w:after="0"/>
        <w:jc w:val="both"/>
        <w:rPr>
          <w:rFonts w:ascii="Arial" w:hAnsi="Arial" w:cs="Arial"/>
          <w:color w:val="000000"/>
          <w:sz w:val="18"/>
          <w:szCs w:val="18"/>
        </w:rPr>
      </w:pPr>
      <w:r w:rsidRPr="00521917">
        <w:rPr>
          <w:rFonts w:ascii="Arial" w:hAnsi="Arial" w:cs="Arial"/>
          <w:color w:val="000000"/>
          <w:sz w:val="18"/>
          <w:szCs w:val="18"/>
        </w:rPr>
        <w:t>[…]</w:t>
      </w:r>
    </w:p>
    <w:p w14:paraId="74469DA8" w14:textId="77777777" w:rsidR="00902436" w:rsidRPr="00521917" w:rsidRDefault="00902436" w:rsidP="00902436">
      <w:pPr>
        <w:pStyle w:val="NormalWeb"/>
        <w:spacing w:after="0"/>
        <w:jc w:val="both"/>
        <w:rPr>
          <w:rFonts w:ascii="Arial" w:hAnsi="Arial" w:cs="Arial"/>
          <w:color w:val="000000"/>
          <w:sz w:val="18"/>
          <w:szCs w:val="18"/>
        </w:rPr>
      </w:pPr>
      <w:r w:rsidRPr="00521917">
        <w:rPr>
          <w:rFonts w:ascii="Arial" w:hAnsi="Arial" w:cs="Arial"/>
          <w:color w:val="000000"/>
          <w:sz w:val="18"/>
          <w:szCs w:val="18"/>
        </w:rPr>
        <w:t>“2. Si es una persona jurídica: </w:t>
      </w:r>
    </w:p>
    <w:p w14:paraId="541B217A" w14:textId="77777777" w:rsidR="00902436" w:rsidRPr="00521917" w:rsidRDefault="00902436" w:rsidP="00902436">
      <w:pPr>
        <w:pStyle w:val="NormalWeb"/>
        <w:spacing w:after="0"/>
        <w:jc w:val="both"/>
        <w:rPr>
          <w:rFonts w:ascii="Arial" w:hAnsi="Arial" w:cs="Arial"/>
          <w:color w:val="000000"/>
          <w:sz w:val="18"/>
          <w:szCs w:val="18"/>
        </w:rPr>
      </w:pPr>
      <w:r w:rsidRPr="00521917">
        <w:rPr>
          <w:rFonts w:ascii="Arial" w:hAnsi="Arial" w:cs="Arial"/>
          <w:color w:val="000000"/>
          <w:sz w:val="18"/>
          <w:szCs w:val="18"/>
        </w:rPr>
        <w:t>  </w:t>
      </w:r>
      <w:r w:rsidRPr="00521917">
        <w:rPr>
          <w:rFonts w:ascii="Arial" w:hAnsi="Arial" w:cs="Arial"/>
          <w:color w:val="000000"/>
          <w:sz w:val="18"/>
          <w:szCs w:val="18"/>
        </w:rPr>
        <w:tab/>
        <w:t>[…]</w:t>
      </w:r>
    </w:p>
    <w:p w14:paraId="46D59A03" w14:textId="44ED053C" w:rsidR="00902436" w:rsidRPr="00521917" w:rsidRDefault="00902436" w:rsidP="0073735B">
      <w:pPr>
        <w:pStyle w:val="NormalWeb"/>
        <w:spacing w:after="0"/>
        <w:jc w:val="both"/>
        <w:rPr>
          <w:rFonts w:ascii="Arial" w:hAnsi="Arial" w:cs="Arial"/>
          <w:color w:val="000000"/>
          <w:sz w:val="18"/>
          <w:szCs w:val="18"/>
        </w:rPr>
      </w:pPr>
      <w:r w:rsidRPr="00521917">
        <w:rPr>
          <w:rFonts w:ascii="Arial" w:hAnsi="Arial" w:cs="Arial"/>
          <w:color w:val="000000"/>
          <w:sz w:val="18"/>
          <w:szCs w:val="18"/>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tres (3) años, puede acreditar la experiencia de sus accionistas, socios o constituyentes. […]</w:t>
      </w:r>
    </w:p>
  </w:footnote>
  <w:footnote w:id="33">
    <w:p w14:paraId="0B823664" w14:textId="53EE983A" w:rsidR="00902436" w:rsidRPr="00521917" w:rsidRDefault="0073735B" w:rsidP="00902436">
      <w:pPr>
        <w:pStyle w:val="Textonotapie"/>
        <w:jc w:val="both"/>
        <w:rPr>
          <w:rFonts w:ascii="Arial" w:eastAsia="Calibri" w:hAnsi="Arial" w:cs="Arial"/>
          <w:color w:val="000000"/>
          <w:sz w:val="18"/>
          <w:szCs w:val="18"/>
          <w:lang w:eastAsia="es-ES_tradnl"/>
        </w:rPr>
      </w:pPr>
      <w:r w:rsidRPr="00521917">
        <w:rPr>
          <w:rFonts w:ascii="Arial" w:hAnsi="Arial" w:cs="Arial"/>
          <w:sz w:val="18"/>
          <w:szCs w:val="18"/>
        </w:rPr>
        <w:tab/>
      </w:r>
      <w:r w:rsidR="00902436" w:rsidRPr="00521917">
        <w:rPr>
          <w:rStyle w:val="Refdenotaalpie"/>
          <w:rFonts w:ascii="Arial" w:hAnsi="Arial" w:cs="Arial"/>
          <w:sz w:val="18"/>
          <w:szCs w:val="18"/>
        </w:rPr>
        <w:footnoteRef/>
      </w:r>
      <w:r w:rsidR="00902436" w:rsidRPr="00521917">
        <w:rPr>
          <w:rFonts w:ascii="Arial" w:hAnsi="Arial" w:cs="Arial"/>
          <w:sz w:val="18"/>
          <w:szCs w:val="18"/>
        </w:rPr>
        <w:t xml:space="preserve">  La Agencia Nacional de Contratación Pública ‒ Colombia Compra Eficiente se ha pronunciado en múltiples ocasiones sobre el alcance del numeral 2.5. del artículo 2.2.1.1.1.5.2 del Decreto 1082 de 2015, en torno a la posibilidad de que las personas jurídicas acrediten experiencia adquirida por sus socios o constituyentes. En particular en los conceptos </w:t>
      </w:r>
      <w:r w:rsidR="00902436" w:rsidRPr="00521917">
        <w:rPr>
          <w:rFonts w:ascii="Arial" w:eastAsia="Calibri" w:hAnsi="Arial" w:cs="Arial"/>
          <w:color w:val="000000"/>
          <w:sz w:val="18"/>
          <w:szCs w:val="18"/>
          <w:lang w:eastAsia="es-ES_tradnl"/>
        </w:rPr>
        <w:t>C-511 del 18 de agosto de 2020, C-584 de 31 de agosto 2020, C-619 de 21 de septiembre 2020, C-710 del 9 de diciembre de 2020, C-717 del 10 de diciembre de 2020, C-729 del 11 de diciembre de 2020, C-008 del 15 de febrero de 2021, C-103 del 24 de marzo del 2021, C-140 del 9 de abril del 2021, C-230 del 25 de mayo de 2021, C-249 de 1 de junio de 2021, C-326 del 2 de julio de 2021, entre otros.</w:t>
      </w:r>
    </w:p>
    <w:p w14:paraId="1D6D50E1" w14:textId="77777777" w:rsidR="00902436" w:rsidRPr="004570E5" w:rsidRDefault="00902436" w:rsidP="00902436">
      <w:pPr>
        <w:pStyle w:val="Textonotapie"/>
        <w:ind w:firstLine="709"/>
        <w:jc w:val="both"/>
        <w:rPr>
          <w:rFonts w:ascii="Arial" w:hAnsi="Arial" w:cs="Arial"/>
          <w:sz w:val="16"/>
          <w:szCs w:val="16"/>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5"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16cid:durableId="948779781">
    <w:abstractNumId w:val="3"/>
  </w:num>
  <w:num w:numId="2" w16cid:durableId="19822139">
    <w:abstractNumId w:val="1"/>
  </w:num>
  <w:num w:numId="3" w16cid:durableId="876742304">
    <w:abstractNumId w:val="2"/>
  </w:num>
  <w:num w:numId="4" w16cid:durableId="245186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1329089972">
    <w:abstractNumId w:val="0"/>
  </w:num>
  <w:num w:numId="7" w16cid:durableId="1266495051">
    <w:abstractNumId w:val="4"/>
  </w:num>
  <w:num w:numId="8" w16cid:durableId="10223663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4F8F"/>
    <w:rsid w:val="00025FB2"/>
    <w:rsid w:val="000755E4"/>
    <w:rsid w:val="0009701F"/>
    <w:rsid w:val="000A023D"/>
    <w:rsid w:val="000A1D12"/>
    <w:rsid w:val="000A367A"/>
    <w:rsid w:val="000A683E"/>
    <w:rsid w:val="000B19B9"/>
    <w:rsid w:val="000B7C05"/>
    <w:rsid w:val="000C2DDD"/>
    <w:rsid w:val="000D0334"/>
    <w:rsid w:val="000D71B2"/>
    <w:rsid w:val="000F6486"/>
    <w:rsid w:val="000F7349"/>
    <w:rsid w:val="00125105"/>
    <w:rsid w:val="0012709C"/>
    <w:rsid w:val="00127233"/>
    <w:rsid w:val="00134850"/>
    <w:rsid w:val="001547E0"/>
    <w:rsid w:val="001571AF"/>
    <w:rsid w:val="001A2A33"/>
    <w:rsid w:val="001B4468"/>
    <w:rsid w:val="001B5F5F"/>
    <w:rsid w:val="001C05F6"/>
    <w:rsid w:val="001C2399"/>
    <w:rsid w:val="001D260C"/>
    <w:rsid w:val="001E4177"/>
    <w:rsid w:val="001F3542"/>
    <w:rsid w:val="00201103"/>
    <w:rsid w:val="00217516"/>
    <w:rsid w:val="00233A47"/>
    <w:rsid w:val="00246528"/>
    <w:rsid w:val="002636DC"/>
    <w:rsid w:val="002826F8"/>
    <w:rsid w:val="002951A0"/>
    <w:rsid w:val="002962BC"/>
    <w:rsid w:val="002A093D"/>
    <w:rsid w:val="002A49AC"/>
    <w:rsid w:val="002A64FD"/>
    <w:rsid w:val="002C7A84"/>
    <w:rsid w:val="002D758E"/>
    <w:rsid w:val="002E2777"/>
    <w:rsid w:val="002E2C77"/>
    <w:rsid w:val="00302E31"/>
    <w:rsid w:val="00326309"/>
    <w:rsid w:val="003408F0"/>
    <w:rsid w:val="00343EA1"/>
    <w:rsid w:val="003448F4"/>
    <w:rsid w:val="00355DAA"/>
    <w:rsid w:val="00370D7D"/>
    <w:rsid w:val="003734C1"/>
    <w:rsid w:val="00380CB2"/>
    <w:rsid w:val="003A247F"/>
    <w:rsid w:val="003A779E"/>
    <w:rsid w:val="003D0F4D"/>
    <w:rsid w:val="003D3FBB"/>
    <w:rsid w:val="003E0499"/>
    <w:rsid w:val="003F3941"/>
    <w:rsid w:val="00400548"/>
    <w:rsid w:val="00414F89"/>
    <w:rsid w:val="00430A1D"/>
    <w:rsid w:val="00442D5F"/>
    <w:rsid w:val="00445F67"/>
    <w:rsid w:val="00452A91"/>
    <w:rsid w:val="00465EDD"/>
    <w:rsid w:val="00467F5C"/>
    <w:rsid w:val="004728D1"/>
    <w:rsid w:val="0049282D"/>
    <w:rsid w:val="004A1847"/>
    <w:rsid w:val="004A305D"/>
    <w:rsid w:val="004B3164"/>
    <w:rsid w:val="004D4D83"/>
    <w:rsid w:val="004F21C4"/>
    <w:rsid w:val="004F685F"/>
    <w:rsid w:val="00521917"/>
    <w:rsid w:val="00544245"/>
    <w:rsid w:val="005566E8"/>
    <w:rsid w:val="00557466"/>
    <w:rsid w:val="00560EE9"/>
    <w:rsid w:val="00574867"/>
    <w:rsid w:val="00585772"/>
    <w:rsid w:val="0058738C"/>
    <w:rsid w:val="00594C0D"/>
    <w:rsid w:val="005C58E1"/>
    <w:rsid w:val="005C5CDC"/>
    <w:rsid w:val="005D476C"/>
    <w:rsid w:val="005E4605"/>
    <w:rsid w:val="005E7ABA"/>
    <w:rsid w:val="005F6B86"/>
    <w:rsid w:val="006219F8"/>
    <w:rsid w:val="00660EB0"/>
    <w:rsid w:val="00665AB9"/>
    <w:rsid w:val="00665D70"/>
    <w:rsid w:val="0067425D"/>
    <w:rsid w:val="0067611C"/>
    <w:rsid w:val="00687F91"/>
    <w:rsid w:val="00691CFE"/>
    <w:rsid w:val="006B1752"/>
    <w:rsid w:val="006D71F9"/>
    <w:rsid w:val="007019FF"/>
    <w:rsid w:val="00706C16"/>
    <w:rsid w:val="00716DBB"/>
    <w:rsid w:val="00717B6D"/>
    <w:rsid w:val="0073735B"/>
    <w:rsid w:val="00745EAA"/>
    <w:rsid w:val="007536B9"/>
    <w:rsid w:val="00756841"/>
    <w:rsid w:val="007649AB"/>
    <w:rsid w:val="00780D55"/>
    <w:rsid w:val="007833AC"/>
    <w:rsid w:val="00797A43"/>
    <w:rsid w:val="007A53BC"/>
    <w:rsid w:val="007B7171"/>
    <w:rsid w:val="007C3DC2"/>
    <w:rsid w:val="007D38CE"/>
    <w:rsid w:val="007E5497"/>
    <w:rsid w:val="00806F5F"/>
    <w:rsid w:val="00820278"/>
    <w:rsid w:val="008448A3"/>
    <w:rsid w:val="00845C54"/>
    <w:rsid w:val="00850037"/>
    <w:rsid w:val="00852BF9"/>
    <w:rsid w:val="00875E8A"/>
    <w:rsid w:val="008810C6"/>
    <w:rsid w:val="0088203C"/>
    <w:rsid w:val="008843B6"/>
    <w:rsid w:val="00891928"/>
    <w:rsid w:val="008A2500"/>
    <w:rsid w:val="008A446D"/>
    <w:rsid w:val="008B70F0"/>
    <w:rsid w:val="008D3DAF"/>
    <w:rsid w:val="008D528C"/>
    <w:rsid w:val="008D6B35"/>
    <w:rsid w:val="008F0EA7"/>
    <w:rsid w:val="008F3A72"/>
    <w:rsid w:val="00902436"/>
    <w:rsid w:val="0090277C"/>
    <w:rsid w:val="00911CE2"/>
    <w:rsid w:val="00911FB5"/>
    <w:rsid w:val="00923EEF"/>
    <w:rsid w:val="00925325"/>
    <w:rsid w:val="00926726"/>
    <w:rsid w:val="009419F9"/>
    <w:rsid w:val="00960E81"/>
    <w:rsid w:val="00961B09"/>
    <w:rsid w:val="00965334"/>
    <w:rsid w:val="0097093E"/>
    <w:rsid w:val="009B3021"/>
    <w:rsid w:val="009C1A7A"/>
    <w:rsid w:val="009C71FA"/>
    <w:rsid w:val="009C72E7"/>
    <w:rsid w:val="009C7A80"/>
    <w:rsid w:val="009E76B7"/>
    <w:rsid w:val="00A0041B"/>
    <w:rsid w:val="00A02F32"/>
    <w:rsid w:val="00A04D92"/>
    <w:rsid w:val="00A14CA3"/>
    <w:rsid w:val="00A17F13"/>
    <w:rsid w:val="00A20739"/>
    <w:rsid w:val="00A27508"/>
    <w:rsid w:val="00A33C78"/>
    <w:rsid w:val="00A33C79"/>
    <w:rsid w:val="00A36B48"/>
    <w:rsid w:val="00A4323F"/>
    <w:rsid w:val="00A47E23"/>
    <w:rsid w:val="00A52E4D"/>
    <w:rsid w:val="00A53FA2"/>
    <w:rsid w:val="00A57AE5"/>
    <w:rsid w:val="00A75A84"/>
    <w:rsid w:val="00A96E9E"/>
    <w:rsid w:val="00AA5466"/>
    <w:rsid w:val="00AB0ADB"/>
    <w:rsid w:val="00AB2A09"/>
    <w:rsid w:val="00AB3798"/>
    <w:rsid w:val="00AD0C18"/>
    <w:rsid w:val="00AE441B"/>
    <w:rsid w:val="00B17CF2"/>
    <w:rsid w:val="00B23F4A"/>
    <w:rsid w:val="00B41948"/>
    <w:rsid w:val="00B70D7B"/>
    <w:rsid w:val="00B72CD3"/>
    <w:rsid w:val="00B72FFF"/>
    <w:rsid w:val="00B821DD"/>
    <w:rsid w:val="00B840AD"/>
    <w:rsid w:val="00BA3D19"/>
    <w:rsid w:val="00BC1A23"/>
    <w:rsid w:val="00BD7F72"/>
    <w:rsid w:val="00C04FB3"/>
    <w:rsid w:val="00C330EB"/>
    <w:rsid w:val="00C35A82"/>
    <w:rsid w:val="00C5205E"/>
    <w:rsid w:val="00C532FE"/>
    <w:rsid w:val="00C559CF"/>
    <w:rsid w:val="00C605D1"/>
    <w:rsid w:val="00C754BE"/>
    <w:rsid w:val="00C92AC0"/>
    <w:rsid w:val="00CB2BA7"/>
    <w:rsid w:val="00CB6357"/>
    <w:rsid w:val="00CC1B26"/>
    <w:rsid w:val="00CC200E"/>
    <w:rsid w:val="00CD1691"/>
    <w:rsid w:val="00CD21BF"/>
    <w:rsid w:val="00CE6760"/>
    <w:rsid w:val="00CF444C"/>
    <w:rsid w:val="00D125A6"/>
    <w:rsid w:val="00D14339"/>
    <w:rsid w:val="00D146F9"/>
    <w:rsid w:val="00D15B0D"/>
    <w:rsid w:val="00D26C4E"/>
    <w:rsid w:val="00D363FB"/>
    <w:rsid w:val="00D423A2"/>
    <w:rsid w:val="00D5164E"/>
    <w:rsid w:val="00D52730"/>
    <w:rsid w:val="00D63AC2"/>
    <w:rsid w:val="00D6422E"/>
    <w:rsid w:val="00D7383B"/>
    <w:rsid w:val="00D75002"/>
    <w:rsid w:val="00DA231B"/>
    <w:rsid w:val="00DA793A"/>
    <w:rsid w:val="00DC2361"/>
    <w:rsid w:val="00E16408"/>
    <w:rsid w:val="00E20894"/>
    <w:rsid w:val="00E23028"/>
    <w:rsid w:val="00E245AB"/>
    <w:rsid w:val="00E50AFE"/>
    <w:rsid w:val="00E57F85"/>
    <w:rsid w:val="00E741C0"/>
    <w:rsid w:val="00E771DC"/>
    <w:rsid w:val="00E776D4"/>
    <w:rsid w:val="00E8772A"/>
    <w:rsid w:val="00E90F6B"/>
    <w:rsid w:val="00E92C27"/>
    <w:rsid w:val="00EA05AC"/>
    <w:rsid w:val="00EA0E3D"/>
    <w:rsid w:val="00EE1AA8"/>
    <w:rsid w:val="00EE71D2"/>
    <w:rsid w:val="00EF3A94"/>
    <w:rsid w:val="00EF6BC4"/>
    <w:rsid w:val="00F204AB"/>
    <w:rsid w:val="00F31EDC"/>
    <w:rsid w:val="00F345AB"/>
    <w:rsid w:val="00F5664F"/>
    <w:rsid w:val="00F75EF0"/>
    <w:rsid w:val="00F76AFC"/>
    <w:rsid w:val="00F97BFC"/>
    <w:rsid w:val="00FB26A1"/>
    <w:rsid w:val="00FB5DD1"/>
    <w:rsid w:val="00FC2B5D"/>
    <w:rsid w:val="00FC32EC"/>
    <w:rsid w:val="00FD215D"/>
    <w:rsid w:val="00FE42A5"/>
    <w:rsid w:val="00FE57C5"/>
    <w:rsid w:val="00FE6D90"/>
    <w:rsid w:val="00FF1449"/>
    <w:rsid w:val="5411EC76"/>
    <w:rsid w:val="7BE23E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79F84EA1-1BC8-491A-B2EA-9E094A23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semiHidden/>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F97BFC"/>
    <w:rPr>
      <w:rFonts w:ascii="Geomanist Light" w:hAnsi="Geomanist Light"/>
      <w:lang w:val="es-ES"/>
    </w:rPr>
  </w:style>
  <w:style w:type="paragraph" w:customStyle="1" w:styleId="Appelnotedebasde">
    <w:name w:val="Appel note de bas de..."/>
    <w:basedOn w:val="Normal"/>
    <w:link w:val="Refdenotaalpie"/>
    <w:uiPriority w:val="99"/>
    <w:rsid w:val="002E2777"/>
    <w:pPr>
      <w:spacing w:line="240" w:lineRule="exact"/>
    </w:pPr>
    <w:rPr>
      <w:vertAlign w:val="superscript"/>
    </w:rPr>
  </w:style>
  <w:style w:type="paragraph" w:styleId="NormalWeb">
    <w:name w:val="Normal (Web)"/>
    <w:basedOn w:val="Normal"/>
    <w:link w:val="NormalWebCar"/>
    <w:uiPriority w:val="99"/>
    <w:unhideWhenUsed/>
    <w:rsid w:val="003408F0"/>
    <w:rPr>
      <w:rFonts w:ascii="Times New Roman" w:hAnsi="Times New Roman" w:cs="Times New Roman"/>
      <w:sz w:val="24"/>
      <w:szCs w:val="24"/>
    </w:rPr>
  </w:style>
  <w:style w:type="character" w:customStyle="1" w:styleId="NormalWebCar">
    <w:name w:val="Normal (Web) Car"/>
    <w:link w:val="NormalWeb"/>
    <w:uiPriority w:val="99"/>
    <w:rsid w:val="003408F0"/>
    <w:rPr>
      <w:rFonts w:ascii="Times New Roman" w:hAnsi="Times New Roman" w:cs="Times New Roman"/>
      <w:sz w:val="24"/>
      <w:szCs w:val="24"/>
    </w:rPr>
  </w:style>
  <w:style w:type="table" w:customStyle="1" w:styleId="Tablaconcuadrcula1">
    <w:name w:val="Tabla con cuadrícula1"/>
    <w:basedOn w:val="Tablanormal"/>
    <w:next w:val="Tablaconcuadrcula"/>
    <w:uiPriority w:val="59"/>
    <w:rsid w:val="00373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D71B2"/>
    <w:pPr>
      <w:spacing w:after="0" w:line="240" w:lineRule="auto"/>
    </w:pPr>
  </w:style>
  <w:style w:type="character" w:styleId="Textoennegrita">
    <w:name w:val="Strong"/>
    <w:basedOn w:val="Fuentedeprrafopredeter"/>
    <w:uiPriority w:val="22"/>
    <w:qFormat/>
    <w:rsid w:val="00CE6760"/>
    <w:rPr>
      <w:b/>
      <w:bCs/>
    </w:rPr>
  </w:style>
  <w:style w:type="character" w:styleId="nfasis">
    <w:name w:val="Emphasis"/>
    <w:basedOn w:val="Fuentedeprrafopredeter"/>
    <w:uiPriority w:val="20"/>
    <w:qFormat/>
    <w:rsid w:val="00CE6760"/>
    <w:rPr>
      <w:i/>
      <w:iCs/>
    </w:rPr>
  </w:style>
  <w:style w:type="table" w:styleId="Tablaconcuadrcula4-nfasis6">
    <w:name w:val="Grid Table 4 Accent 6"/>
    <w:basedOn w:val="Tablanormal"/>
    <w:uiPriority w:val="49"/>
    <w:rsid w:val="00CE6760"/>
    <w:pPr>
      <w:spacing w:after="0" w:line="240" w:lineRule="auto"/>
    </w:pPr>
    <w:rPr>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independiente">
    <w:name w:val="Body Text"/>
    <w:basedOn w:val="Normal"/>
    <w:link w:val="TextoindependienteCar"/>
    <w:uiPriority w:val="1"/>
    <w:qFormat/>
    <w:rsid w:val="00CE6760"/>
    <w:pPr>
      <w:widowControl w:val="0"/>
      <w:autoSpaceDE w:val="0"/>
      <w:autoSpaceDN w:val="0"/>
      <w:spacing w:after="0" w:line="240" w:lineRule="auto"/>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CE6760"/>
    <w:rPr>
      <w:rFonts w:ascii="Arial" w:eastAsia="Arial" w:hAnsi="Arial" w:cs="Arial"/>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245817">
      <w:bodyDiv w:val="1"/>
      <w:marLeft w:val="0"/>
      <w:marRight w:val="0"/>
      <w:marTop w:val="0"/>
      <w:marBottom w:val="0"/>
      <w:divBdr>
        <w:top w:val="none" w:sz="0" w:space="0" w:color="auto"/>
        <w:left w:val="none" w:sz="0" w:space="0" w:color="auto"/>
        <w:bottom w:val="none" w:sz="0" w:space="0" w:color="auto"/>
        <w:right w:val="none" w:sz="0" w:space="0" w:color="auto"/>
      </w:divBdr>
      <w:divsChild>
        <w:div w:id="1832522321">
          <w:marLeft w:val="0"/>
          <w:marRight w:val="0"/>
          <w:marTop w:val="0"/>
          <w:marBottom w:val="0"/>
          <w:divBdr>
            <w:top w:val="none" w:sz="0" w:space="0" w:color="auto"/>
            <w:left w:val="none" w:sz="0" w:space="0" w:color="auto"/>
            <w:bottom w:val="none" w:sz="0" w:space="0" w:color="auto"/>
            <w:right w:val="none" w:sz="0" w:space="0" w:color="auto"/>
          </w:divBdr>
        </w:div>
      </w:divsChild>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tmp"/><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3" Type="http://schemas.openxmlformats.org/officeDocument/2006/relationships/hyperlink" Target="https://www.funcionpublica.gov.co/eva/gestornormativo/norma.php?i=25678" TargetMode="External"/><Relationship Id="rId2" Type="http://schemas.openxmlformats.org/officeDocument/2006/relationships/hyperlink" Target="https://colombiacompra.gov.co/sites/cce_public/files/cce_documents/cce_manual_requisitos_habilitantes.pdf" TargetMode="External"/><Relationship Id="rId1" Type="http://schemas.openxmlformats.org/officeDocument/2006/relationships/hyperlink" Target="https://relatoria.colombiacompra.gov.co/busqueda/conceptos%20" TargetMode="External"/><Relationship Id="rId4" Type="http://schemas.openxmlformats.org/officeDocument/2006/relationships/hyperlink" Target="https://www.colombiacompra.gov.co/content/circular-unica-extern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2.xml><?xml version="1.0" encoding="utf-8"?>
<ds:datastoreItem xmlns:ds="http://schemas.openxmlformats.org/officeDocument/2006/customXml" ds:itemID="{BB5C1F8A-7A34-4908-AF18-BD972E7ED15D}"/>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11638</Words>
  <Characters>64011</Characters>
  <Application>Microsoft Office Word</Application>
  <DocSecurity>0</DocSecurity>
  <Lines>533</Lines>
  <Paragraphs>150</Paragraphs>
  <ScaleCrop>false</ScaleCrop>
  <Company/>
  <LinksUpToDate>false</LinksUpToDate>
  <CharactersWithSpaces>75499</CharactersWithSpaces>
  <SharedDoc>false</SharedDoc>
  <HLinks>
    <vt:vector size="24" baseType="variant">
      <vt:variant>
        <vt:i4>5832784</vt:i4>
      </vt:variant>
      <vt:variant>
        <vt:i4>9</vt:i4>
      </vt:variant>
      <vt:variant>
        <vt:i4>0</vt:i4>
      </vt:variant>
      <vt:variant>
        <vt:i4>5</vt:i4>
      </vt:variant>
      <vt:variant>
        <vt:lpwstr>https://www.colombiacompra.gov.co/content/circular-unica-externa</vt:lpwstr>
      </vt:variant>
      <vt:variant>
        <vt:lpwstr/>
      </vt:variant>
      <vt:variant>
        <vt:i4>2555924</vt:i4>
      </vt:variant>
      <vt:variant>
        <vt:i4>6</vt:i4>
      </vt:variant>
      <vt:variant>
        <vt:i4>0</vt:i4>
      </vt:variant>
      <vt:variant>
        <vt:i4>5</vt:i4>
      </vt:variant>
      <vt:variant>
        <vt:lpwstr>https://www.funcionpublica.gov.co/eva/gestornormativo/norma.php?i=25678</vt:lpwstr>
      </vt:variant>
      <vt:variant>
        <vt:lpwstr>5</vt:lpwstr>
      </vt:variant>
      <vt:variant>
        <vt:i4>5242922</vt:i4>
      </vt:variant>
      <vt:variant>
        <vt:i4>3</vt:i4>
      </vt:variant>
      <vt:variant>
        <vt:i4>0</vt:i4>
      </vt:variant>
      <vt:variant>
        <vt:i4>5</vt:i4>
      </vt:variant>
      <vt:variant>
        <vt:lpwstr>https://colombiacompra.gov.co/sites/cce_public/files/cce_documents/cce_manual_requisitos_habilitantes.pdf</vt:lpwstr>
      </vt:variant>
      <vt:variant>
        <vt:lpwstr/>
      </vt:variant>
      <vt:variant>
        <vt:i4>7471218</vt:i4>
      </vt:variant>
      <vt:variant>
        <vt:i4>0</vt:i4>
      </vt:variant>
      <vt:variant>
        <vt:i4>0</vt:i4>
      </vt:variant>
      <vt:variant>
        <vt:i4>5</vt:i4>
      </vt:variant>
      <vt:variant>
        <vt:lpwstr>https://relatoria.colombiacompra.gov.co/busqueda/conceptos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Ortiz Ballesteros</cp:lastModifiedBy>
  <cp:revision>18</cp:revision>
  <cp:lastPrinted>2023-01-11T00:18:00Z</cp:lastPrinted>
  <dcterms:created xsi:type="dcterms:W3CDTF">2023-08-18T03:03:00Z</dcterms:created>
  <dcterms:modified xsi:type="dcterms:W3CDTF">2023-08-18T14:56:00Z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