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42EFF" w:rsidR="00607A0E" w:rsidP="00607A0E" w:rsidRDefault="00607A0E" w14:paraId="22EE563E" w14:textId="77777777">
      <w:pPr>
        <w:pStyle w:val="Prrafodelista"/>
        <w:spacing w:after="0"/>
        <w:ind w:left="0"/>
        <w:jc w:val="both"/>
        <w:rPr>
          <w:rFonts w:ascii="Arial" w:hAnsi="Arial" w:eastAsia="Calibri" w:cs="Arial"/>
          <w:b/>
          <w:szCs w:val="20"/>
        </w:rPr>
      </w:pPr>
      <w:bookmarkStart w:name="_Hlk94281581" w:id="0"/>
      <w:bookmarkStart w:name="_Hlk102489058" w:id="1"/>
      <w:bookmarkStart w:name="_Hlk34951122" w:id="2"/>
      <w:r>
        <w:rPr>
          <w:rFonts w:ascii="Arial" w:hAnsi="Arial" w:eastAsia="Calibri" w:cs="Arial"/>
          <w:b/>
          <w:szCs w:val="20"/>
        </w:rPr>
        <w:t>SECOP – Deber de publicidad</w:t>
      </w:r>
      <w:r w:rsidRPr="00842EFF">
        <w:rPr>
          <w:rFonts w:ascii="Arial" w:hAnsi="Arial" w:eastAsia="Calibri" w:cs="Arial"/>
          <w:b/>
          <w:szCs w:val="20"/>
        </w:rPr>
        <w:t xml:space="preserve"> – Finalidad – Principio de publicidad</w:t>
      </w:r>
    </w:p>
    <w:p w:rsidRPr="00842EFF" w:rsidR="00607A0E" w:rsidP="00607A0E" w:rsidRDefault="00607A0E" w14:paraId="2C6F539A" w14:textId="77777777">
      <w:pPr>
        <w:pStyle w:val="Prrafodelista"/>
        <w:spacing w:after="0"/>
        <w:ind w:left="0"/>
        <w:jc w:val="both"/>
        <w:rPr>
          <w:rFonts w:ascii="Arial" w:hAnsi="Arial" w:eastAsia="Calibri" w:cs="Arial"/>
          <w:b/>
          <w:szCs w:val="20"/>
        </w:rPr>
      </w:pPr>
    </w:p>
    <w:p w:rsidR="00607A0E" w:rsidP="00607A0E" w:rsidRDefault="00607A0E" w14:paraId="45E714EF" w14:textId="77777777">
      <w:pPr>
        <w:spacing w:after="0"/>
        <w:jc w:val="both"/>
        <w:rPr>
          <w:rFonts w:ascii="Arial" w:hAnsi="Arial" w:cs="Arial"/>
          <w:sz w:val="20"/>
          <w:szCs w:val="20"/>
          <w:lang w:val="es-ES"/>
        </w:rPr>
      </w:pPr>
      <w:r w:rsidRPr="00842EFF">
        <w:rPr>
          <w:rFonts w:ascii="Arial" w:hAnsi="Arial" w:cs="Arial"/>
          <w:sz w:val="20"/>
          <w:szCs w:val="20"/>
          <w:lang w:val="es-ES"/>
        </w:rPr>
        <w:t>[</w:t>
      </w:r>
      <w:r>
        <w:rPr>
          <w:rFonts w:ascii="Arial" w:hAnsi="Arial" w:cs="Arial"/>
          <w:sz w:val="20"/>
          <w:szCs w:val="20"/>
          <w:lang w:val="es-ES"/>
        </w:rPr>
        <w:t>…</w:t>
      </w:r>
      <w:r w:rsidRPr="00842EFF">
        <w:rPr>
          <w:rFonts w:ascii="Arial" w:hAnsi="Arial" w:cs="Arial"/>
          <w:sz w:val="20"/>
          <w:szCs w:val="20"/>
          <w:lang w:val="es-ES"/>
        </w:rPr>
        <w:t xml:space="preserve">] </w:t>
      </w:r>
      <w:r w:rsidRPr="00C65397">
        <w:rPr>
          <w:rFonts w:ascii="Arial" w:hAnsi="Arial" w:cs="Arial"/>
          <w:sz w:val="20"/>
          <w:szCs w:val="20"/>
          <w:lang w:val="es-ES"/>
        </w:rPr>
        <w:t xml:space="preserve">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Conforme a lo anterior, la Agencia Nacional de Contratación Pública – Colombia Compra Eficiente, en el Concepto 4201912000007289 del 4 de diciembre de 2019,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rsidRPr="00C65397" w:rsidR="00607A0E" w:rsidP="00607A0E" w:rsidRDefault="00607A0E" w14:paraId="4D1AF46F" w14:textId="77777777">
      <w:pPr>
        <w:spacing w:after="0"/>
        <w:jc w:val="both"/>
        <w:rPr>
          <w:rFonts w:ascii="Arial" w:hAnsi="Arial" w:cs="Arial"/>
          <w:sz w:val="20"/>
          <w:szCs w:val="20"/>
          <w:lang w:val="es-ES"/>
        </w:rPr>
      </w:pPr>
    </w:p>
    <w:p w:rsidR="00607A0E" w:rsidP="00607A0E" w:rsidRDefault="00607A0E" w14:paraId="1E201779" w14:textId="77777777">
      <w:pPr>
        <w:spacing w:after="0"/>
        <w:jc w:val="both"/>
        <w:rPr>
          <w:rFonts w:ascii="Arial" w:hAnsi="Arial" w:cs="Arial"/>
          <w:sz w:val="20"/>
          <w:szCs w:val="20"/>
          <w:lang w:val="es-ES"/>
        </w:rPr>
      </w:pPr>
      <w:r w:rsidRPr="00C65397">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dado que el objetivo del deber de dar publicidad a las actuaciones contractuales es materializar el derecho a conocer e intervenir en las decisiones de la Administración Pública.</w:t>
      </w:r>
    </w:p>
    <w:p w:rsidRPr="00842EFF" w:rsidR="00607A0E" w:rsidP="00607A0E" w:rsidRDefault="00607A0E" w14:paraId="50314BEE" w14:textId="77777777">
      <w:pPr>
        <w:spacing w:after="0"/>
        <w:jc w:val="both"/>
        <w:rPr>
          <w:rFonts w:ascii="Arial" w:hAnsi="Arial" w:eastAsia="Calibri" w:cs="Arial"/>
          <w:b/>
          <w:sz w:val="20"/>
          <w:szCs w:val="20"/>
          <w:lang w:val="es-ES"/>
        </w:rPr>
      </w:pPr>
    </w:p>
    <w:p w:rsidR="00607A0E" w:rsidP="00607A0E" w:rsidRDefault="00607A0E" w14:paraId="0E3AD489" w14:textId="77777777">
      <w:pPr>
        <w:spacing w:after="0"/>
        <w:jc w:val="both"/>
        <w:rPr>
          <w:rFonts w:ascii="Arial" w:hAnsi="Arial" w:cs="Arial"/>
          <w:b/>
          <w:bCs/>
          <w:lang w:val="es-ES"/>
        </w:rPr>
      </w:pPr>
      <w:r w:rsidRPr="00842EFF">
        <w:rPr>
          <w:rFonts w:ascii="Arial" w:hAnsi="Arial" w:cs="Arial"/>
          <w:b/>
          <w:bCs/>
          <w:lang w:val="es-ES"/>
        </w:rPr>
        <w:t>DOCUMENTOS DEL PROCESO</w:t>
      </w:r>
      <w:r>
        <w:rPr>
          <w:rFonts w:ascii="Arial" w:hAnsi="Arial" w:cs="Arial"/>
          <w:b/>
          <w:bCs/>
          <w:lang w:val="es-ES"/>
        </w:rPr>
        <w:t xml:space="preserve"> – Noción – Deber de publicidad</w:t>
      </w:r>
      <w:r w:rsidRPr="00842EFF">
        <w:rPr>
          <w:rFonts w:ascii="Arial" w:hAnsi="Arial" w:cs="Arial"/>
          <w:b/>
          <w:bCs/>
          <w:lang w:val="es-ES"/>
        </w:rPr>
        <w:t xml:space="preserve"> – Proceso de contratación</w:t>
      </w:r>
    </w:p>
    <w:p w:rsidRPr="00842EFF" w:rsidR="00607A0E" w:rsidP="00607A0E" w:rsidRDefault="00607A0E" w14:paraId="01F854E7" w14:textId="77777777">
      <w:pPr>
        <w:spacing w:after="0"/>
        <w:jc w:val="both"/>
        <w:rPr>
          <w:rFonts w:ascii="Arial" w:hAnsi="Arial" w:cs="Arial"/>
          <w:b/>
          <w:bCs/>
          <w:lang w:val="es-ES"/>
        </w:rPr>
      </w:pPr>
    </w:p>
    <w:p w:rsidR="00607A0E" w:rsidP="00607A0E" w:rsidRDefault="00607A0E" w14:paraId="2EDDE02F" w14:textId="77777777">
      <w:pPr>
        <w:spacing w:after="0"/>
        <w:jc w:val="both"/>
        <w:rPr>
          <w:rFonts w:ascii="Arial" w:hAnsi="Arial" w:eastAsia="Arial" w:cs="Arial"/>
          <w:sz w:val="20"/>
          <w:szCs w:val="20"/>
          <w:lang w:val="es-ES"/>
        </w:rPr>
      </w:pPr>
      <w:r w:rsidRPr="00842EFF">
        <w:rPr>
          <w:rFonts w:ascii="Arial" w:hAnsi="Arial" w:eastAsia="Calibri" w:cs="Arial"/>
          <w:sz w:val="20"/>
          <w:szCs w:val="20"/>
          <w:lang w:val="es-ES"/>
        </w:rPr>
        <w:t xml:space="preserve">[…] el deber de publicidad de la actividad contractual de las entidades estatales no solo se encuentra regulado por el artículo 3 de la Ley 1150 de 2007 y el </w:t>
      </w:r>
      <w:r w:rsidRPr="00842EFF">
        <w:rPr>
          <w:rFonts w:ascii="Arial" w:hAnsi="Arial" w:eastAsia="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842EFF">
        <w:rPr>
          <w:rFonts w:ascii="Arial" w:hAnsi="Arial" w:eastAsia="Arial" w:cs="Arial"/>
          <w:i/>
          <w:iCs/>
          <w:sz w:val="20"/>
          <w:szCs w:val="20"/>
          <w:lang w:val="es-ES"/>
        </w:rPr>
        <w:t xml:space="preserve">Documentos del Procesos </w:t>
      </w:r>
      <w:r w:rsidRPr="00842EFF">
        <w:rPr>
          <w:rFonts w:ascii="Arial" w:hAnsi="Arial" w:eastAsia="Arial" w:cs="Arial"/>
          <w:sz w:val="20"/>
          <w:szCs w:val="20"/>
          <w:lang w:val="es-ES"/>
        </w:rPr>
        <w:t>expedidos por la entidad estatal.</w:t>
      </w:r>
    </w:p>
    <w:p w:rsidRPr="00842EFF" w:rsidR="00607A0E" w:rsidP="00607A0E" w:rsidRDefault="00607A0E" w14:paraId="10EE42BF" w14:textId="77777777">
      <w:pPr>
        <w:spacing w:after="0"/>
        <w:jc w:val="both"/>
        <w:rPr>
          <w:rFonts w:ascii="Arial" w:hAnsi="Arial" w:eastAsia="Calibri" w:cs="Arial"/>
          <w:sz w:val="20"/>
          <w:szCs w:val="20"/>
          <w:lang w:val="es-ES"/>
        </w:rPr>
      </w:pPr>
    </w:p>
    <w:p w:rsidRPr="00842EFF" w:rsidR="00607A0E" w:rsidP="00607A0E" w:rsidRDefault="00607A0E" w14:paraId="1F83516F" w14:textId="77777777">
      <w:pPr>
        <w:spacing w:after="0"/>
        <w:jc w:val="both"/>
        <w:rPr>
          <w:rFonts w:ascii="Arial" w:hAnsi="Arial" w:eastAsia="Calibri" w:cs="Arial"/>
          <w:lang w:val="es-ES"/>
        </w:rPr>
      </w:pPr>
      <w:r w:rsidRPr="00842EFF">
        <w:rPr>
          <w:rFonts w:ascii="Arial" w:hAnsi="Arial" w:eastAsia="Calibri" w:cs="Arial"/>
          <w:sz w:val="20"/>
          <w:szCs w:val="20"/>
          <w:lang w:val="es-ES"/>
        </w:rPr>
        <w:t xml:space="preserve">Esto quiere decir que las entidades estatales, además de los documentos y actos administrativos que expidan durante el </w:t>
      </w:r>
      <w:r w:rsidRPr="00842EFF">
        <w:rPr>
          <w:rFonts w:ascii="Arial" w:hAnsi="Arial" w:eastAsia="Calibri" w:cs="Arial"/>
          <w:i/>
          <w:iCs/>
          <w:sz w:val="20"/>
          <w:szCs w:val="20"/>
          <w:lang w:val="es-ES"/>
        </w:rPr>
        <w:t>Proceso de Contratación,</w:t>
      </w:r>
      <w:r w:rsidRPr="00842EFF">
        <w:rPr>
          <w:rFonts w:ascii="Arial" w:hAnsi="Arial" w:eastAsia="Calibri"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842EFF">
        <w:rPr>
          <w:rFonts w:ascii="Arial" w:hAnsi="Arial" w:eastAsia="Calibri" w:cs="Arial"/>
          <w:i/>
          <w:iCs/>
          <w:sz w:val="20"/>
          <w:szCs w:val="20"/>
          <w:lang w:val="es-ES"/>
        </w:rPr>
        <w:t xml:space="preserve"> Documento del Proceso, </w:t>
      </w:r>
      <w:r w:rsidRPr="00842EFF">
        <w:rPr>
          <w:rFonts w:ascii="Arial" w:hAnsi="Arial" w:eastAsia="Calibri"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842EFF">
        <w:rPr>
          <w:rFonts w:ascii="Arial" w:hAnsi="Arial" w:eastAsia="Calibri" w:cs="Arial"/>
          <w:lang w:val="es-ES"/>
        </w:rPr>
        <w:t xml:space="preserve">.   </w:t>
      </w:r>
    </w:p>
    <w:p w:rsidRPr="00842EFF" w:rsidR="00607A0E" w:rsidP="00607A0E" w:rsidRDefault="00607A0E" w14:paraId="0BD7E412" w14:textId="77777777">
      <w:pPr>
        <w:spacing w:after="0"/>
        <w:jc w:val="both"/>
        <w:rPr>
          <w:rFonts w:ascii="Arial" w:hAnsi="Arial" w:cs="Arial"/>
          <w:sz w:val="20"/>
          <w:szCs w:val="20"/>
          <w:lang w:val="es-ES"/>
        </w:rPr>
      </w:pPr>
    </w:p>
    <w:p w:rsidRPr="00842EFF" w:rsidR="00607A0E" w:rsidP="00607A0E" w:rsidRDefault="00607A0E" w14:paraId="74554AB9" w14:textId="77777777">
      <w:pPr>
        <w:spacing w:after="0" w:line="276" w:lineRule="auto"/>
        <w:jc w:val="both"/>
        <w:rPr>
          <w:rFonts w:ascii="Arial" w:hAnsi="Arial" w:cs="Arial"/>
          <w:b/>
          <w:bCs/>
          <w:lang w:val="es-ES"/>
        </w:rPr>
      </w:pPr>
      <w:r w:rsidRPr="00842EFF">
        <w:rPr>
          <w:rFonts w:ascii="Arial" w:hAnsi="Arial" w:cs="Arial"/>
          <w:b/>
          <w:bCs/>
          <w:lang w:val="es-ES"/>
        </w:rPr>
        <w:t>PLAN ANUA</w:t>
      </w:r>
      <w:r>
        <w:rPr>
          <w:rFonts w:ascii="Arial" w:hAnsi="Arial" w:cs="Arial"/>
          <w:b/>
          <w:bCs/>
          <w:lang w:val="es-ES"/>
        </w:rPr>
        <w:t>L DE ADQUISICIONES – Publicidad</w:t>
      </w:r>
      <w:r w:rsidRPr="00842EFF">
        <w:rPr>
          <w:rFonts w:ascii="Arial" w:hAnsi="Arial" w:cs="Arial"/>
          <w:b/>
          <w:bCs/>
          <w:lang w:val="es-ES"/>
        </w:rPr>
        <w:t xml:space="preserve"> – Fundamento normativo</w:t>
      </w:r>
    </w:p>
    <w:p w:rsidRPr="00842EFF" w:rsidR="00607A0E" w:rsidP="00607A0E" w:rsidRDefault="00607A0E" w14:paraId="0720804A" w14:textId="77777777">
      <w:pPr>
        <w:spacing w:after="0"/>
        <w:jc w:val="both"/>
        <w:rPr>
          <w:rFonts w:ascii="Arial" w:hAnsi="Arial" w:eastAsia="Calibri" w:cs="Arial"/>
          <w:bCs/>
          <w:sz w:val="20"/>
          <w:szCs w:val="20"/>
          <w:lang w:val="es-ES_tradnl"/>
        </w:rPr>
      </w:pPr>
    </w:p>
    <w:p w:rsidR="00607A0E" w:rsidP="00607A0E" w:rsidRDefault="00607A0E" w14:paraId="04E64BB6" w14:textId="77777777">
      <w:pPr>
        <w:spacing w:after="0"/>
        <w:jc w:val="both"/>
        <w:rPr>
          <w:rFonts w:ascii="Arial" w:hAnsi="Arial" w:eastAsia="Calibri" w:cs="Arial"/>
          <w:bCs/>
          <w:sz w:val="20"/>
          <w:szCs w:val="20"/>
          <w:lang w:val="es-ES_tradnl"/>
        </w:rPr>
      </w:pPr>
      <w:r w:rsidRPr="00842EFF">
        <w:rPr>
          <w:rFonts w:ascii="Arial" w:hAnsi="Arial" w:eastAsia="Calibri" w:cs="Arial"/>
          <w:bCs/>
          <w:sz w:val="20"/>
          <w:szCs w:val="20"/>
          <w:lang w:val="es-ES_tradnl"/>
        </w:rPr>
        <w:t>En cuanto al Plan Anual de Adquisiciones, se aclara que si bien es una herramienta de planeación para los procesos de contratación, cuya naturaleza corresponde a la de un acto administrativo, de conformidad con lo expuesto por esta Subdirección en el concepto C</w:t>
      </w:r>
      <w:r>
        <w:rPr>
          <w:rFonts w:ascii="Arial" w:hAnsi="Arial" w:eastAsia="Calibri" w:cs="Arial"/>
          <w:bCs/>
          <w:sz w:val="20"/>
          <w:szCs w:val="20"/>
          <w:lang w:val="es-ES_tradnl"/>
        </w:rPr>
        <w:t>-</w:t>
      </w:r>
      <w:r w:rsidRPr="00842EFF">
        <w:rPr>
          <w:rFonts w:ascii="Arial" w:hAnsi="Arial" w:eastAsia="Calibri" w:cs="Arial"/>
          <w:bCs/>
          <w:sz w:val="20"/>
          <w:szCs w:val="20"/>
          <w:lang w:val="es-ES_tradnl"/>
        </w:rPr>
        <w:t xml:space="preserve">237 del 24 de abril de 2020 –radicado interno No. </w:t>
      </w:r>
      <w:r w:rsidRPr="00842EFF">
        <w:rPr>
          <w:rFonts w:ascii="Arial" w:hAnsi="Arial" w:eastAsia="Calibri" w:cs="Arial"/>
          <w:bCs/>
          <w:sz w:val="20"/>
          <w:szCs w:val="20"/>
          <w:lang w:val="es-ES_tradnl"/>
        </w:rPr>
        <w:t>2202013000003074–, 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rsidRPr="00842EFF" w:rsidR="00607A0E" w:rsidP="00607A0E" w:rsidRDefault="00607A0E" w14:paraId="11F33AC5" w14:textId="77777777">
      <w:pPr>
        <w:spacing w:after="0"/>
        <w:jc w:val="both"/>
        <w:rPr>
          <w:rFonts w:ascii="Arial" w:hAnsi="Arial" w:eastAsia="Calibri" w:cs="Arial"/>
          <w:bCs/>
          <w:sz w:val="20"/>
          <w:szCs w:val="20"/>
          <w:lang w:val="es-ES_tradnl"/>
        </w:rPr>
      </w:pPr>
    </w:p>
    <w:p w:rsidRPr="00842EFF" w:rsidR="00607A0E" w:rsidP="00607A0E" w:rsidRDefault="00607A0E" w14:paraId="3B224D24" w14:textId="77777777">
      <w:pPr>
        <w:spacing w:after="0"/>
        <w:jc w:val="both"/>
        <w:rPr>
          <w:rFonts w:ascii="Arial" w:hAnsi="Arial" w:eastAsia="Calibri" w:cs="Arial"/>
          <w:bCs/>
          <w:sz w:val="20"/>
          <w:szCs w:val="20"/>
          <w:lang w:val="es-ES_tradnl"/>
        </w:rPr>
      </w:pPr>
      <w:r w:rsidRPr="00842EFF">
        <w:rPr>
          <w:rFonts w:ascii="Arial" w:hAnsi="Arial" w:eastAsia="Calibri" w:cs="Arial"/>
          <w:bCs/>
          <w:sz w:val="20"/>
          <w:szCs w:val="20"/>
          <w:lang w:val="es-ES_tradnl"/>
        </w:rPr>
        <w:t xml:space="preserve">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w:t>
      </w:r>
      <w:proofErr w:type="spellStart"/>
      <w:r w:rsidRPr="00C65397">
        <w:rPr>
          <w:rFonts w:ascii="Arial" w:hAnsi="Arial" w:eastAsia="Calibri" w:cs="Arial"/>
          <w:bCs/>
          <w:i/>
          <w:iCs/>
          <w:sz w:val="20"/>
          <w:szCs w:val="20"/>
          <w:lang w:val="es-ES_tradnl"/>
        </w:rPr>
        <w:t>Ibídem</w:t>
      </w:r>
      <w:proofErr w:type="spellEnd"/>
      <w:r w:rsidRPr="00842EFF">
        <w:rPr>
          <w:rFonts w:ascii="Arial" w:hAnsi="Arial" w:eastAsia="Calibri" w:cs="Arial"/>
          <w:bCs/>
          <w:sz w:val="20"/>
          <w:szCs w:val="20"/>
          <w:lang w:val="es-ES_tradnl"/>
        </w:rPr>
        <w:t>.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rsidRPr="00842EFF" w:rsidR="00607A0E" w:rsidP="00607A0E" w:rsidRDefault="00607A0E" w14:paraId="2DF6330C" w14:textId="77777777">
      <w:pPr>
        <w:spacing w:after="0"/>
        <w:jc w:val="both"/>
        <w:rPr>
          <w:rFonts w:ascii="Arial" w:hAnsi="Arial" w:eastAsia="Calibri" w:cs="Arial"/>
          <w:sz w:val="20"/>
          <w:szCs w:val="20"/>
          <w:lang w:val="es-ES"/>
        </w:rPr>
      </w:pPr>
    </w:p>
    <w:p w:rsidRPr="00842EFF" w:rsidR="00607A0E" w:rsidP="00607A0E" w:rsidRDefault="00607A0E" w14:paraId="59112C73" w14:textId="77777777">
      <w:pPr>
        <w:spacing w:after="0" w:line="276" w:lineRule="auto"/>
        <w:jc w:val="both"/>
        <w:rPr>
          <w:rFonts w:ascii="Arial" w:hAnsi="Arial" w:cs="Arial"/>
          <w:b/>
          <w:bCs/>
        </w:rPr>
      </w:pPr>
      <w:r>
        <w:rPr>
          <w:rFonts w:ascii="Arial" w:hAnsi="Arial" w:cs="Arial"/>
          <w:b/>
          <w:bCs/>
        </w:rPr>
        <w:t xml:space="preserve">SECOP – Publicidad </w:t>
      </w:r>
      <w:r w:rsidRPr="00842EFF">
        <w:rPr>
          <w:rFonts w:ascii="Arial" w:hAnsi="Arial" w:cs="Arial"/>
          <w:b/>
          <w:bCs/>
        </w:rPr>
        <w:t>– Documentos</w:t>
      </w:r>
    </w:p>
    <w:p w:rsidRPr="00842EFF" w:rsidR="00607A0E" w:rsidP="00607A0E" w:rsidRDefault="00607A0E" w14:paraId="02E3107F" w14:textId="77777777">
      <w:pPr>
        <w:spacing w:after="0" w:line="276" w:lineRule="auto"/>
        <w:jc w:val="both"/>
        <w:rPr>
          <w:rFonts w:ascii="Arial" w:hAnsi="Arial" w:cs="Arial"/>
          <w:b/>
          <w:bCs/>
          <w:sz w:val="20"/>
          <w:szCs w:val="20"/>
        </w:rPr>
      </w:pPr>
    </w:p>
    <w:p w:rsidR="00607A0E" w:rsidP="00607A0E" w:rsidRDefault="00607A0E" w14:paraId="5BFC8E02" w14:textId="77777777">
      <w:pPr>
        <w:spacing w:after="0"/>
        <w:jc w:val="both"/>
        <w:rPr>
          <w:rFonts w:ascii="Arial" w:hAnsi="Arial" w:cs="Arial"/>
          <w:sz w:val="20"/>
          <w:szCs w:val="20"/>
          <w:lang w:val="es-ES_tradnl"/>
        </w:rPr>
      </w:pPr>
      <w:r w:rsidRPr="00842EFF">
        <w:rPr>
          <w:rFonts w:ascii="Arial" w:hAnsi="Arial" w:cs="Arial"/>
          <w:sz w:val="20"/>
          <w:szCs w:val="20"/>
          <w:lang w:val="es-ES_tradnl"/>
        </w:rPr>
        <w:t xml:space="preserve">Las entidades públicas sometidas al Estatuto General de Contratación de la Administración Pública,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w:t>
      </w:r>
      <w:proofErr w:type="spellStart"/>
      <w:r w:rsidRPr="00842EFF">
        <w:rPr>
          <w:rFonts w:ascii="Arial" w:hAnsi="Arial" w:cs="Arial"/>
          <w:sz w:val="20"/>
          <w:szCs w:val="20"/>
          <w:lang w:val="es-ES_tradnl"/>
        </w:rPr>
        <w:t>ii</w:t>
      </w:r>
      <w:proofErr w:type="spellEnd"/>
      <w:r w:rsidRPr="00842EFF">
        <w:rPr>
          <w:rFonts w:ascii="Arial" w:hAnsi="Arial" w:cs="Arial"/>
          <w:sz w:val="20"/>
          <w:szCs w:val="20"/>
          <w:lang w:val="es-ES_tradnl"/>
        </w:rPr>
        <w:t xml:space="preserve">) los estudios y documentos previos –técnicos o no–; </w:t>
      </w:r>
      <w:proofErr w:type="spellStart"/>
      <w:r w:rsidRPr="00842EFF">
        <w:rPr>
          <w:rFonts w:ascii="Arial" w:hAnsi="Arial" w:cs="Arial"/>
          <w:sz w:val="20"/>
          <w:szCs w:val="20"/>
          <w:lang w:val="es-ES_tradnl"/>
        </w:rPr>
        <w:t>iii</w:t>
      </w:r>
      <w:proofErr w:type="spellEnd"/>
      <w:r w:rsidRPr="00842EFF">
        <w:rPr>
          <w:rFonts w:ascii="Arial" w:hAnsi="Arial" w:cs="Arial"/>
          <w:sz w:val="20"/>
          <w:szCs w:val="20"/>
          <w:lang w:val="es-ES_tradnl"/>
        </w:rPr>
        <w:t xml:space="preserve">) el  aviso de convocatoria; </w:t>
      </w:r>
      <w:proofErr w:type="spellStart"/>
      <w:r w:rsidRPr="00842EFF">
        <w:rPr>
          <w:rFonts w:ascii="Arial" w:hAnsi="Arial" w:cs="Arial"/>
          <w:sz w:val="20"/>
          <w:szCs w:val="20"/>
          <w:lang w:val="es-ES_tradnl"/>
        </w:rPr>
        <w:t>iv</w:t>
      </w:r>
      <w:proofErr w:type="spellEnd"/>
      <w:r w:rsidRPr="00842EFF">
        <w:rPr>
          <w:rFonts w:ascii="Arial" w:hAnsi="Arial" w:cs="Arial"/>
          <w:sz w:val="20"/>
          <w:szCs w:val="20"/>
          <w:lang w:val="es-ES_tradnl"/>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842EFF">
        <w:rPr>
          <w:rFonts w:ascii="Arial" w:hAnsi="Arial" w:cs="Arial"/>
          <w:sz w:val="20"/>
          <w:szCs w:val="20"/>
          <w:lang w:val="es-ES_tradnl"/>
        </w:rPr>
        <w:t>vii</w:t>
      </w:r>
      <w:proofErr w:type="spellEnd"/>
      <w:r w:rsidRPr="00842EFF">
        <w:rPr>
          <w:rFonts w:ascii="Arial" w:hAnsi="Arial" w:cs="Arial"/>
          <w:sz w:val="20"/>
          <w:szCs w:val="20"/>
          <w:lang w:val="es-ES_tradnl"/>
        </w:rPr>
        <w:t xml:space="preserve">) el acta de cierre del plazo para presentar ofertas; </w:t>
      </w:r>
      <w:proofErr w:type="spellStart"/>
      <w:r w:rsidRPr="00842EFF">
        <w:rPr>
          <w:rFonts w:ascii="Arial" w:hAnsi="Arial" w:cs="Arial"/>
          <w:sz w:val="20"/>
          <w:szCs w:val="20"/>
          <w:lang w:val="es-ES_tradnl"/>
        </w:rPr>
        <w:t>viii</w:t>
      </w:r>
      <w:proofErr w:type="spellEnd"/>
      <w:r w:rsidRPr="00842EFF">
        <w:rPr>
          <w:rFonts w:ascii="Arial" w:hAnsi="Arial" w:cs="Arial"/>
          <w:sz w:val="20"/>
          <w:szCs w:val="20"/>
          <w:lang w:val="es-ES_tradnl"/>
        </w:rPr>
        <w:t xml:space="preserve">) las adendas; </w:t>
      </w:r>
      <w:proofErr w:type="spellStart"/>
      <w:r w:rsidRPr="00842EFF">
        <w:rPr>
          <w:rFonts w:ascii="Arial" w:hAnsi="Arial" w:cs="Arial"/>
          <w:sz w:val="20"/>
          <w:szCs w:val="20"/>
          <w:lang w:val="es-ES_tradnl"/>
        </w:rPr>
        <w:t>ix</w:t>
      </w:r>
      <w:proofErr w:type="spellEnd"/>
      <w:r w:rsidRPr="00842EFF">
        <w:rPr>
          <w:rFonts w:ascii="Arial" w:hAnsi="Arial" w:cs="Arial"/>
          <w:sz w:val="20"/>
          <w:szCs w:val="20"/>
          <w:lang w:val="es-ES_tradnl"/>
        </w:rPr>
        <w:t xml:space="preserve">) la oferta del adjudicatario, así como las aclaraciones que se le realicen; x) el informe de precalificación y las observaciones que se formulen; xi) el informe de evaluación y las observaciones que se formulen; </w:t>
      </w:r>
      <w:proofErr w:type="spellStart"/>
      <w:r w:rsidRPr="00842EFF">
        <w:rPr>
          <w:rFonts w:ascii="Arial" w:hAnsi="Arial" w:cs="Arial"/>
          <w:sz w:val="20"/>
          <w:szCs w:val="20"/>
          <w:lang w:val="es-ES_tradnl"/>
        </w:rPr>
        <w:t>xii</w:t>
      </w:r>
      <w:proofErr w:type="spellEnd"/>
      <w:r w:rsidRPr="00842EFF">
        <w:rPr>
          <w:rFonts w:ascii="Arial" w:hAnsi="Arial" w:cs="Arial"/>
          <w:sz w:val="20"/>
          <w:szCs w:val="20"/>
          <w:lang w:val="es-ES_tradnl"/>
        </w:rPr>
        <w:t xml:space="preserve">) las respuestas a las observaciones; </w:t>
      </w:r>
      <w:proofErr w:type="spellStart"/>
      <w:r w:rsidRPr="00842EFF">
        <w:rPr>
          <w:rFonts w:ascii="Arial" w:hAnsi="Arial" w:cs="Arial"/>
          <w:sz w:val="20"/>
          <w:szCs w:val="20"/>
          <w:lang w:val="es-ES_tradnl"/>
        </w:rPr>
        <w:t>xiii</w:t>
      </w:r>
      <w:proofErr w:type="spellEnd"/>
      <w:r w:rsidRPr="00842EFF">
        <w:rPr>
          <w:rFonts w:ascii="Arial" w:hAnsi="Arial" w:cs="Arial"/>
          <w:sz w:val="20"/>
          <w:szCs w:val="20"/>
          <w:lang w:val="es-ES_tradnl"/>
        </w:rPr>
        <w:t xml:space="preserve">) el contrato y los otrosíes o modificaciones; </w:t>
      </w:r>
      <w:proofErr w:type="spellStart"/>
      <w:r w:rsidRPr="00842EFF">
        <w:rPr>
          <w:rFonts w:ascii="Arial" w:hAnsi="Arial" w:cs="Arial"/>
          <w:sz w:val="20"/>
          <w:szCs w:val="20"/>
          <w:lang w:val="es-ES_tradnl"/>
        </w:rPr>
        <w:t>xiv</w:t>
      </w:r>
      <w:proofErr w:type="spellEnd"/>
      <w:r w:rsidRPr="00842EFF">
        <w:rPr>
          <w:rFonts w:ascii="Arial" w:hAnsi="Arial" w:cs="Arial"/>
          <w:sz w:val="20"/>
          <w:szCs w:val="20"/>
          <w:lang w:val="es-ES_tradnl"/>
        </w:rPr>
        <w:t xml:space="preserve">) el acta de inicio; </w:t>
      </w:r>
      <w:proofErr w:type="spellStart"/>
      <w:r w:rsidRPr="00842EFF">
        <w:rPr>
          <w:rFonts w:ascii="Arial" w:hAnsi="Arial" w:cs="Arial"/>
          <w:sz w:val="20"/>
          <w:szCs w:val="20"/>
          <w:lang w:val="es-ES_tradnl"/>
        </w:rPr>
        <w:t>xv</w:t>
      </w:r>
      <w:proofErr w:type="spellEnd"/>
      <w:r w:rsidRPr="00842EFF">
        <w:rPr>
          <w:rFonts w:ascii="Arial" w:hAnsi="Arial" w:cs="Arial"/>
          <w:sz w:val="20"/>
          <w:szCs w:val="20"/>
          <w:lang w:val="es-ES_tradnl"/>
        </w:rPr>
        <w:t xml:space="preserve">) las garantías; </w:t>
      </w:r>
      <w:proofErr w:type="spellStart"/>
      <w:r w:rsidRPr="00842EFF">
        <w:rPr>
          <w:rFonts w:ascii="Arial" w:hAnsi="Arial" w:cs="Arial"/>
          <w:sz w:val="20"/>
          <w:szCs w:val="20"/>
          <w:lang w:val="es-ES_tradnl"/>
        </w:rPr>
        <w:t>xvi</w:t>
      </w:r>
      <w:proofErr w:type="spellEnd"/>
      <w:r w:rsidRPr="00842EFF">
        <w:rPr>
          <w:rFonts w:ascii="Arial" w:hAnsi="Arial" w:cs="Arial"/>
          <w:sz w:val="20"/>
          <w:szCs w:val="20"/>
          <w:lang w:val="es-ES_tradnl"/>
        </w:rPr>
        <w:t xml:space="preserve">) el acta de liquidación; </w:t>
      </w:r>
      <w:proofErr w:type="spellStart"/>
      <w:r w:rsidRPr="00842EFF">
        <w:rPr>
          <w:rFonts w:ascii="Arial" w:hAnsi="Arial" w:cs="Arial"/>
          <w:sz w:val="20"/>
          <w:szCs w:val="20"/>
          <w:lang w:val="es-ES_tradnl"/>
        </w:rPr>
        <w:t>xvii</w:t>
      </w:r>
      <w:proofErr w:type="spellEnd"/>
      <w:r w:rsidRPr="00842EFF">
        <w:rPr>
          <w:rFonts w:ascii="Arial" w:hAnsi="Arial" w:cs="Arial"/>
          <w:sz w:val="20"/>
          <w:szCs w:val="20"/>
          <w:lang w:val="es-ES_tradnl"/>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842EFF">
        <w:rPr>
          <w:rFonts w:ascii="Arial" w:hAnsi="Arial" w:cs="Arial"/>
          <w:sz w:val="20"/>
          <w:szCs w:val="20"/>
          <w:lang w:val="es-ES_tradnl"/>
        </w:rPr>
        <w:t>xviii</w:t>
      </w:r>
      <w:proofErr w:type="spellEnd"/>
      <w:r w:rsidRPr="00842EFF">
        <w:rPr>
          <w:rFonts w:ascii="Arial" w:hAnsi="Arial" w:cs="Arial"/>
          <w:sz w:val="20"/>
          <w:szCs w:val="20"/>
          <w:lang w:val="es-ES_tradnl"/>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842EFF">
        <w:rPr>
          <w:rFonts w:ascii="Arial" w:hAnsi="Arial" w:cs="Arial"/>
          <w:sz w:val="20"/>
          <w:szCs w:val="20"/>
          <w:lang w:val="es-ES_tradnl"/>
        </w:rPr>
        <w:t>ix</w:t>
      </w:r>
      <w:proofErr w:type="spellEnd"/>
      <w:r w:rsidRPr="00842EFF">
        <w:rPr>
          <w:rFonts w:ascii="Arial" w:hAnsi="Arial" w:cs="Arial"/>
          <w:sz w:val="20"/>
          <w:szCs w:val="20"/>
          <w:lang w:val="es-ES_tradnl"/>
        </w:rPr>
        <w:t xml:space="preserve">) las reclamaciones que presenten las partes y las respuestas que se expidan a las mismas; </w:t>
      </w:r>
      <w:proofErr w:type="spellStart"/>
      <w:r w:rsidRPr="00842EFF">
        <w:rPr>
          <w:rFonts w:ascii="Arial" w:hAnsi="Arial" w:cs="Arial"/>
          <w:sz w:val="20"/>
          <w:szCs w:val="20"/>
          <w:lang w:val="es-ES_tradnl"/>
        </w:rPr>
        <w:t>xx</w:t>
      </w:r>
      <w:proofErr w:type="spellEnd"/>
      <w:r w:rsidRPr="00842EFF">
        <w:rPr>
          <w:rFonts w:ascii="Arial" w:hAnsi="Arial" w:cs="Arial"/>
          <w:sz w:val="20"/>
          <w:szCs w:val="20"/>
          <w:lang w:val="es-ES_tradnl"/>
        </w:rPr>
        <w:t xml:space="preserve">) las actas de entrega o recibo, </w:t>
      </w:r>
      <w:proofErr w:type="spellStart"/>
      <w:r w:rsidRPr="00842EFF">
        <w:rPr>
          <w:rFonts w:ascii="Arial" w:hAnsi="Arial" w:cs="Arial"/>
          <w:sz w:val="20"/>
          <w:szCs w:val="20"/>
          <w:lang w:val="es-ES_tradnl"/>
        </w:rPr>
        <w:t>xxi</w:t>
      </w:r>
      <w:proofErr w:type="spellEnd"/>
      <w:r w:rsidRPr="00842EFF">
        <w:rPr>
          <w:rFonts w:ascii="Arial" w:hAnsi="Arial" w:cs="Arial"/>
          <w:sz w:val="20"/>
          <w:szCs w:val="20"/>
          <w:lang w:val="es-ES_tradnl"/>
        </w:rPr>
        <w:t xml:space="preserve">) los informes de supervisión y/o interventoría; </w:t>
      </w:r>
      <w:proofErr w:type="spellStart"/>
      <w:r w:rsidRPr="00842EFF">
        <w:rPr>
          <w:rFonts w:ascii="Arial" w:hAnsi="Arial" w:cs="Arial"/>
          <w:sz w:val="20"/>
          <w:szCs w:val="20"/>
          <w:lang w:val="es-ES_tradnl"/>
        </w:rPr>
        <w:t>xxii</w:t>
      </w:r>
      <w:proofErr w:type="spellEnd"/>
      <w:r w:rsidRPr="00842EFF">
        <w:rPr>
          <w:rFonts w:ascii="Arial" w:hAnsi="Arial" w:cs="Arial"/>
          <w:sz w:val="20"/>
          <w:szCs w:val="20"/>
          <w:lang w:val="es-ES_tradnl"/>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842EFF">
        <w:rPr>
          <w:rFonts w:ascii="Arial" w:hAnsi="Arial" w:cs="Arial"/>
          <w:sz w:val="20"/>
          <w:szCs w:val="20"/>
          <w:lang w:val="es-ES_tradnl"/>
        </w:rPr>
        <w:t>xxiii</w:t>
      </w:r>
      <w:proofErr w:type="spellEnd"/>
      <w:r w:rsidRPr="00842EFF">
        <w:rPr>
          <w:rFonts w:ascii="Arial" w:hAnsi="Arial" w:cs="Arial"/>
          <w:sz w:val="20"/>
          <w:szCs w:val="20"/>
          <w:lang w:val="es-ES_tradnl"/>
        </w:rPr>
        <w:t xml:space="preserve">) la liquidación unilateral y </w:t>
      </w:r>
      <w:proofErr w:type="spellStart"/>
      <w:r w:rsidRPr="00842EFF">
        <w:rPr>
          <w:rFonts w:ascii="Arial" w:hAnsi="Arial" w:cs="Arial"/>
          <w:sz w:val="20"/>
          <w:szCs w:val="20"/>
          <w:lang w:val="es-ES_tradnl"/>
        </w:rPr>
        <w:t>xxiv</w:t>
      </w:r>
      <w:proofErr w:type="spellEnd"/>
      <w:r w:rsidRPr="00842EFF">
        <w:rPr>
          <w:rFonts w:ascii="Arial" w:hAnsi="Arial" w:cs="Arial"/>
          <w:sz w:val="20"/>
          <w:szCs w:val="20"/>
          <w:lang w:val="es-ES_tradnl"/>
        </w:rPr>
        <w:t>)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p>
    <w:p w:rsidR="00607A0E" w:rsidP="00607A0E" w:rsidRDefault="00607A0E" w14:paraId="02E0D393" w14:textId="77777777">
      <w:pPr>
        <w:spacing w:after="0"/>
        <w:jc w:val="both"/>
        <w:rPr>
          <w:rFonts w:ascii="Arial" w:hAnsi="Arial" w:cs="Arial"/>
          <w:sz w:val="20"/>
          <w:szCs w:val="20"/>
          <w:lang w:val="es-ES_tradnl"/>
        </w:rPr>
      </w:pPr>
    </w:p>
    <w:p w:rsidRPr="0031783A" w:rsidR="00607A0E" w:rsidP="00607A0E" w:rsidRDefault="00607A0E" w14:paraId="062167A7" w14:textId="77777777">
      <w:pPr>
        <w:spacing w:after="0"/>
        <w:jc w:val="both"/>
        <w:rPr>
          <w:rFonts w:ascii="Arial" w:hAnsi="Arial" w:cs="Arial"/>
          <w:b/>
          <w:bCs/>
          <w:lang w:val="es-ES_tradnl"/>
        </w:rPr>
      </w:pPr>
      <w:r w:rsidRPr="0031783A">
        <w:rPr>
          <w:rFonts w:ascii="Arial" w:hAnsi="Arial" w:cs="Arial"/>
          <w:b/>
          <w:bCs/>
          <w:lang w:val="es-ES_tradnl"/>
        </w:rPr>
        <w:t>SECOP – Contratación directa – Publicidad – Excepciones</w:t>
      </w:r>
    </w:p>
    <w:p w:rsidR="00607A0E" w:rsidP="00607A0E" w:rsidRDefault="00607A0E" w14:paraId="4A921C74" w14:textId="77777777">
      <w:pPr>
        <w:spacing w:after="0"/>
        <w:jc w:val="both"/>
        <w:rPr>
          <w:rFonts w:ascii="Arial" w:hAnsi="Arial" w:cs="Arial"/>
          <w:sz w:val="20"/>
          <w:szCs w:val="20"/>
          <w:lang w:val="es-ES_tradnl"/>
        </w:rPr>
      </w:pPr>
    </w:p>
    <w:p w:rsidR="00607A0E" w:rsidP="00607A0E" w:rsidRDefault="00607A0E" w14:paraId="625A741B" w14:textId="77777777">
      <w:pPr>
        <w:spacing w:after="0"/>
        <w:jc w:val="both"/>
        <w:rPr>
          <w:rFonts w:ascii="Arial" w:hAnsi="Arial" w:cs="Arial"/>
          <w:sz w:val="20"/>
          <w:szCs w:val="20"/>
          <w:lang w:val="es-ES_tradnl"/>
        </w:rPr>
      </w:pPr>
      <w:r>
        <w:rPr>
          <w:rFonts w:ascii="Arial" w:hAnsi="Arial" w:cs="Arial"/>
          <w:sz w:val="20"/>
          <w:szCs w:val="20"/>
          <w:lang w:val="es-ES_tradnl"/>
        </w:rPr>
        <w:t xml:space="preserve">[…] </w:t>
      </w:r>
      <w:r w:rsidRPr="0031783A">
        <w:rPr>
          <w:rFonts w:ascii="Arial" w:hAnsi="Arial" w:cs="Arial"/>
          <w:sz w:val="20"/>
          <w:szCs w:val="20"/>
          <w:lang w:val="es-ES_tradnl"/>
        </w:rPr>
        <w:t xml:space="preserve">en lo que tiene que ver con la modalidad de selección de contratación directa, en virtud de lo dispuesto en lo en el artículo 2.2.1.2.1.4.3 del Decreto 1082 de 2015 , las entidades no están obligadas a publicar los estudios y documentos previos relacionados con: i) la contratación de empréstitos, </w:t>
      </w:r>
      <w:proofErr w:type="spellStart"/>
      <w:r w:rsidRPr="0031783A">
        <w:rPr>
          <w:rFonts w:ascii="Arial" w:hAnsi="Arial" w:cs="Arial"/>
          <w:sz w:val="20"/>
          <w:szCs w:val="20"/>
          <w:lang w:val="es-ES_tradnl"/>
        </w:rPr>
        <w:t>ii</w:t>
      </w:r>
      <w:proofErr w:type="spellEnd"/>
      <w:r w:rsidRPr="0031783A">
        <w:rPr>
          <w:rFonts w:ascii="Arial" w:hAnsi="Arial" w:cs="Arial"/>
          <w:sz w:val="20"/>
          <w:szCs w:val="20"/>
          <w:lang w:val="es-ES_tradnl"/>
        </w:rPr>
        <w:t xml:space="preserve">) los contratos interadministrativos que celebre el Ministerio de Hacienda y Crédito Público con el Banco de la República, y </w:t>
      </w:r>
      <w:proofErr w:type="spellStart"/>
      <w:r w:rsidRPr="0031783A">
        <w:rPr>
          <w:rFonts w:ascii="Arial" w:hAnsi="Arial" w:cs="Arial"/>
          <w:sz w:val="20"/>
          <w:szCs w:val="20"/>
          <w:lang w:val="es-ES_tradnl"/>
        </w:rPr>
        <w:t>iii</w:t>
      </w:r>
      <w:proofErr w:type="spellEnd"/>
      <w:r w:rsidRPr="0031783A">
        <w:rPr>
          <w:rFonts w:ascii="Arial" w:hAnsi="Arial" w:cs="Arial"/>
          <w:sz w:val="20"/>
          <w:szCs w:val="20"/>
          <w:lang w:val="es-ES_tradnl"/>
        </w:rPr>
        <w:t xml:space="preserve">) los contratos a los que se refiere el artículo 2.2.1.2.1.4.6 del Decreto 1082 de 2015, referido a la adquisición de bienes y servicios del Sector Defensa que requieren reserva para su adquisición. Además, en virtud del artículo 2.2.1.2.1.4.6 </w:t>
      </w:r>
      <w:proofErr w:type="spellStart"/>
      <w:r w:rsidRPr="00C72085">
        <w:rPr>
          <w:rFonts w:ascii="Arial" w:hAnsi="Arial" w:cs="Arial"/>
          <w:i/>
          <w:iCs/>
          <w:sz w:val="20"/>
          <w:szCs w:val="20"/>
          <w:lang w:val="es-ES_tradnl"/>
        </w:rPr>
        <w:t>Ibídem</w:t>
      </w:r>
      <w:proofErr w:type="spellEnd"/>
      <w:r w:rsidRPr="0031783A">
        <w:rPr>
          <w:rFonts w:ascii="Arial" w:hAnsi="Arial" w:cs="Arial"/>
          <w:sz w:val="20"/>
          <w:szCs w:val="20"/>
          <w:lang w:val="es-ES_tradnl"/>
        </w:rPr>
        <w:t>, la Dirección Nacional de Inteligencia y la Unidad Nacional de Protección, no estarán obligadas a publicar los Documentos del Proceso referidos a procesos de contratación de bienes y servicios del Sector Defensa, que requieran reserva para su adquisición.</w:t>
      </w:r>
    </w:p>
    <w:p w:rsidR="00607A0E" w:rsidP="006622B3" w:rsidRDefault="00607A0E" w14:paraId="6485A271" w14:textId="77777777">
      <w:pPr>
        <w:spacing w:after="0"/>
        <w:rPr>
          <w:rFonts w:ascii="Arial" w:hAnsi="Arial" w:eastAsia="Geomanist Light" w:cs="Arial"/>
          <w:color w:val="000000" w:themeColor="text1"/>
          <w:lang w:val="es-MX"/>
        </w:rPr>
      </w:pPr>
    </w:p>
    <w:p w:rsidR="00607A0E" w:rsidP="006622B3" w:rsidRDefault="00607A0E" w14:paraId="38B674C8" w14:textId="77777777">
      <w:pPr>
        <w:spacing w:after="0"/>
        <w:rPr>
          <w:rFonts w:ascii="Arial" w:hAnsi="Arial" w:eastAsia="Geomanist Light" w:cs="Arial"/>
          <w:color w:val="000000" w:themeColor="text1"/>
          <w:lang w:val="es-MX"/>
        </w:rPr>
      </w:pPr>
    </w:p>
    <w:p w:rsidR="00607A0E" w:rsidP="006622B3" w:rsidRDefault="00607A0E" w14:paraId="1A15CAF4" w14:textId="77777777">
      <w:pPr>
        <w:spacing w:after="0"/>
        <w:rPr>
          <w:rFonts w:ascii="Arial" w:hAnsi="Arial" w:eastAsia="Geomanist Light" w:cs="Arial"/>
          <w:color w:val="000000" w:themeColor="text1"/>
          <w:lang w:val="es-MX"/>
        </w:rPr>
      </w:pPr>
    </w:p>
    <w:p w:rsidR="00607A0E" w:rsidP="006622B3" w:rsidRDefault="00607A0E" w14:paraId="12A5E613" w14:textId="77777777">
      <w:pPr>
        <w:spacing w:after="0"/>
        <w:rPr>
          <w:rFonts w:ascii="Arial" w:hAnsi="Arial" w:eastAsia="Geomanist Light" w:cs="Arial"/>
          <w:color w:val="000000" w:themeColor="text1"/>
          <w:lang w:val="es-MX"/>
        </w:rPr>
      </w:pPr>
    </w:p>
    <w:p w:rsidR="00607A0E" w:rsidP="006622B3" w:rsidRDefault="00607A0E" w14:paraId="78DABE6C" w14:textId="77777777">
      <w:pPr>
        <w:spacing w:after="0"/>
        <w:rPr>
          <w:rFonts w:ascii="Arial" w:hAnsi="Arial" w:eastAsia="Geomanist Light" w:cs="Arial"/>
          <w:color w:val="000000" w:themeColor="text1"/>
          <w:lang w:val="es-MX"/>
        </w:rPr>
      </w:pPr>
    </w:p>
    <w:p w:rsidR="00607A0E" w:rsidP="006622B3" w:rsidRDefault="00607A0E" w14:paraId="6D77A9D1" w14:textId="77777777">
      <w:pPr>
        <w:spacing w:after="0"/>
        <w:rPr>
          <w:rFonts w:ascii="Arial" w:hAnsi="Arial" w:eastAsia="Geomanist Light" w:cs="Arial"/>
          <w:color w:val="000000" w:themeColor="text1"/>
          <w:lang w:val="es-MX"/>
        </w:rPr>
      </w:pPr>
    </w:p>
    <w:p w:rsidR="00607A0E" w:rsidP="006622B3" w:rsidRDefault="00607A0E" w14:paraId="6D3BDF53" w14:textId="77777777">
      <w:pPr>
        <w:spacing w:after="0"/>
        <w:rPr>
          <w:rFonts w:ascii="Arial" w:hAnsi="Arial" w:eastAsia="Geomanist Light" w:cs="Arial"/>
          <w:color w:val="000000" w:themeColor="text1"/>
          <w:lang w:val="es-MX"/>
        </w:rPr>
      </w:pPr>
    </w:p>
    <w:p w:rsidR="00607A0E" w:rsidP="006622B3" w:rsidRDefault="00607A0E" w14:paraId="0E3F0E31" w14:textId="77777777">
      <w:pPr>
        <w:spacing w:after="0"/>
        <w:rPr>
          <w:rFonts w:ascii="Arial" w:hAnsi="Arial" w:eastAsia="Geomanist Light" w:cs="Arial"/>
          <w:color w:val="000000" w:themeColor="text1"/>
          <w:lang w:val="es-MX"/>
        </w:rPr>
      </w:pPr>
    </w:p>
    <w:p w:rsidR="00607A0E" w:rsidP="006622B3" w:rsidRDefault="00607A0E" w14:paraId="1AA58949" w14:textId="77777777">
      <w:pPr>
        <w:spacing w:after="0"/>
        <w:rPr>
          <w:rFonts w:ascii="Arial" w:hAnsi="Arial" w:eastAsia="Geomanist Light" w:cs="Arial"/>
          <w:color w:val="000000" w:themeColor="text1"/>
          <w:lang w:val="es-MX"/>
        </w:rPr>
      </w:pPr>
    </w:p>
    <w:p w:rsidR="00607A0E" w:rsidP="006622B3" w:rsidRDefault="00607A0E" w14:paraId="502C9862" w14:textId="77777777">
      <w:pPr>
        <w:spacing w:after="0"/>
        <w:rPr>
          <w:rFonts w:ascii="Arial" w:hAnsi="Arial" w:eastAsia="Geomanist Light" w:cs="Arial"/>
          <w:color w:val="000000" w:themeColor="text1"/>
          <w:lang w:val="es-MX"/>
        </w:rPr>
      </w:pPr>
    </w:p>
    <w:p w:rsidR="00607A0E" w:rsidP="006622B3" w:rsidRDefault="00607A0E" w14:paraId="52597617" w14:textId="77777777">
      <w:pPr>
        <w:spacing w:after="0"/>
        <w:rPr>
          <w:rFonts w:ascii="Arial" w:hAnsi="Arial" w:eastAsia="Geomanist Light" w:cs="Arial"/>
          <w:color w:val="000000" w:themeColor="text1"/>
          <w:lang w:val="es-MX"/>
        </w:rPr>
      </w:pPr>
    </w:p>
    <w:p w:rsidR="00607A0E" w:rsidP="006622B3" w:rsidRDefault="00607A0E" w14:paraId="1D60C6C6" w14:textId="77777777">
      <w:pPr>
        <w:spacing w:after="0"/>
        <w:rPr>
          <w:rFonts w:ascii="Arial" w:hAnsi="Arial" w:eastAsia="Geomanist Light" w:cs="Arial"/>
          <w:color w:val="000000" w:themeColor="text1"/>
          <w:lang w:val="es-MX"/>
        </w:rPr>
      </w:pPr>
    </w:p>
    <w:p w:rsidR="00607A0E" w:rsidP="006622B3" w:rsidRDefault="00607A0E" w14:paraId="0203721A" w14:textId="77777777">
      <w:pPr>
        <w:spacing w:after="0"/>
        <w:rPr>
          <w:rFonts w:ascii="Arial" w:hAnsi="Arial" w:eastAsia="Geomanist Light" w:cs="Arial"/>
          <w:color w:val="000000" w:themeColor="text1"/>
          <w:lang w:val="es-MX"/>
        </w:rPr>
      </w:pPr>
    </w:p>
    <w:p w:rsidR="00607A0E" w:rsidP="006622B3" w:rsidRDefault="00607A0E" w14:paraId="1504C525" w14:textId="77777777">
      <w:pPr>
        <w:spacing w:after="0"/>
        <w:rPr>
          <w:rFonts w:ascii="Arial" w:hAnsi="Arial" w:eastAsia="Geomanist Light" w:cs="Arial"/>
          <w:color w:val="000000" w:themeColor="text1"/>
          <w:lang w:val="es-MX"/>
        </w:rPr>
      </w:pPr>
    </w:p>
    <w:p w:rsidR="00607A0E" w:rsidP="006622B3" w:rsidRDefault="00607A0E" w14:paraId="27737933" w14:textId="77777777">
      <w:pPr>
        <w:spacing w:after="0"/>
        <w:rPr>
          <w:rFonts w:ascii="Arial" w:hAnsi="Arial" w:eastAsia="Geomanist Light" w:cs="Arial"/>
          <w:color w:val="000000" w:themeColor="text1"/>
          <w:lang w:val="es-MX"/>
        </w:rPr>
      </w:pPr>
    </w:p>
    <w:p w:rsidR="00607A0E" w:rsidP="006622B3" w:rsidRDefault="00607A0E" w14:paraId="7B17C7A6" w14:textId="77777777">
      <w:pPr>
        <w:spacing w:after="0"/>
        <w:rPr>
          <w:rFonts w:ascii="Arial" w:hAnsi="Arial" w:eastAsia="Geomanist Light" w:cs="Arial"/>
          <w:color w:val="000000" w:themeColor="text1"/>
          <w:lang w:val="es-MX"/>
        </w:rPr>
      </w:pPr>
    </w:p>
    <w:p w:rsidR="00607A0E" w:rsidP="006622B3" w:rsidRDefault="00607A0E" w14:paraId="417FC595" w14:textId="77777777">
      <w:pPr>
        <w:spacing w:after="0"/>
        <w:rPr>
          <w:rFonts w:ascii="Arial" w:hAnsi="Arial" w:eastAsia="Geomanist Light" w:cs="Arial"/>
          <w:color w:val="000000" w:themeColor="text1"/>
          <w:lang w:val="es-MX"/>
        </w:rPr>
      </w:pPr>
    </w:p>
    <w:p w:rsidR="00607A0E" w:rsidP="006622B3" w:rsidRDefault="00607A0E" w14:paraId="693106E1" w14:textId="77777777">
      <w:pPr>
        <w:spacing w:after="0"/>
        <w:rPr>
          <w:rFonts w:ascii="Arial" w:hAnsi="Arial" w:eastAsia="Geomanist Light" w:cs="Arial"/>
          <w:color w:val="000000" w:themeColor="text1"/>
          <w:lang w:val="es-MX"/>
        </w:rPr>
      </w:pPr>
    </w:p>
    <w:p w:rsidR="00607A0E" w:rsidP="006622B3" w:rsidRDefault="00607A0E" w14:paraId="2C33CC40" w14:textId="77777777">
      <w:pPr>
        <w:spacing w:after="0"/>
        <w:rPr>
          <w:rFonts w:ascii="Arial" w:hAnsi="Arial" w:eastAsia="Geomanist Light" w:cs="Arial"/>
          <w:color w:val="000000" w:themeColor="text1"/>
          <w:lang w:val="es-MX"/>
        </w:rPr>
      </w:pPr>
    </w:p>
    <w:p w:rsidR="00607A0E" w:rsidP="006622B3" w:rsidRDefault="00607A0E" w14:paraId="6D24DE73" w14:textId="77777777">
      <w:pPr>
        <w:spacing w:after="0"/>
        <w:rPr>
          <w:rFonts w:ascii="Arial" w:hAnsi="Arial" w:eastAsia="Geomanist Light" w:cs="Arial"/>
          <w:color w:val="000000" w:themeColor="text1"/>
          <w:lang w:val="es-MX"/>
        </w:rPr>
      </w:pPr>
    </w:p>
    <w:p w:rsidR="00607A0E" w:rsidP="006622B3" w:rsidRDefault="00607A0E" w14:paraId="790282F7" w14:textId="77777777">
      <w:pPr>
        <w:spacing w:after="0"/>
        <w:rPr>
          <w:rFonts w:ascii="Arial" w:hAnsi="Arial" w:eastAsia="Geomanist Light" w:cs="Arial"/>
          <w:color w:val="000000" w:themeColor="text1"/>
          <w:lang w:val="es-MX"/>
        </w:rPr>
      </w:pPr>
    </w:p>
    <w:p w:rsidR="00607A0E" w:rsidP="006622B3" w:rsidRDefault="00607A0E" w14:paraId="43C86B42" w14:textId="77777777">
      <w:pPr>
        <w:spacing w:after="0"/>
        <w:rPr>
          <w:rFonts w:ascii="Arial" w:hAnsi="Arial" w:eastAsia="Geomanist Light" w:cs="Arial"/>
          <w:color w:val="000000" w:themeColor="text1"/>
          <w:lang w:val="es-MX"/>
        </w:rPr>
      </w:pPr>
    </w:p>
    <w:p w:rsidR="00607A0E" w:rsidP="006622B3" w:rsidRDefault="00607A0E" w14:paraId="5705CD87" w14:textId="77777777">
      <w:pPr>
        <w:spacing w:after="0"/>
        <w:rPr>
          <w:rFonts w:ascii="Arial" w:hAnsi="Arial" w:eastAsia="Geomanist Light" w:cs="Arial"/>
          <w:color w:val="000000" w:themeColor="text1"/>
          <w:lang w:val="es-MX"/>
        </w:rPr>
      </w:pPr>
    </w:p>
    <w:p w:rsidR="00607A0E" w:rsidP="006622B3" w:rsidRDefault="00607A0E" w14:paraId="6FA456AA" w14:textId="77777777">
      <w:pPr>
        <w:spacing w:after="0"/>
        <w:rPr>
          <w:rFonts w:ascii="Arial" w:hAnsi="Arial" w:eastAsia="Geomanist Light" w:cs="Arial"/>
          <w:color w:val="000000" w:themeColor="text1"/>
          <w:lang w:val="es-MX"/>
        </w:rPr>
      </w:pPr>
    </w:p>
    <w:p w:rsidR="00607A0E" w:rsidP="006622B3" w:rsidRDefault="00607A0E" w14:paraId="535C6D7A" w14:textId="77777777">
      <w:pPr>
        <w:spacing w:after="0"/>
        <w:rPr>
          <w:rFonts w:ascii="Arial" w:hAnsi="Arial" w:eastAsia="Geomanist Light" w:cs="Arial"/>
          <w:color w:val="000000" w:themeColor="text1"/>
          <w:lang w:val="es-MX"/>
        </w:rPr>
      </w:pPr>
    </w:p>
    <w:p w:rsidR="00607A0E" w:rsidP="006622B3" w:rsidRDefault="00607A0E" w14:paraId="17424807" w14:textId="77777777">
      <w:pPr>
        <w:spacing w:after="0"/>
        <w:rPr>
          <w:rFonts w:ascii="Arial" w:hAnsi="Arial" w:eastAsia="Geomanist Light" w:cs="Arial"/>
          <w:color w:val="000000" w:themeColor="text1"/>
          <w:lang w:val="es-MX"/>
        </w:rPr>
      </w:pPr>
    </w:p>
    <w:p w:rsidR="00607A0E" w:rsidP="006622B3" w:rsidRDefault="00607A0E" w14:paraId="63E9F78C" w14:textId="77777777">
      <w:pPr>
        <w:spacing w:after="0"/>
        <w:rPr>
          <w:rFonts w:ascii="Arial" w:hAnsi="Arial" w:eastAsia="Geomanist Light" w:cs="Arial"/>
          <w:color w:val="000000" w:themeColor="text1"/>
          <w:lang w:val="es-MX"/>
        </w:rPr>
      </w:pPr>
    </w:p>
    <w:p w:rsidR="00607A0E" w:rsidP="006622B3" w:rsidRDefault="00607A0E" w14:paraId="75225EBD" w14:textId="77777777">
      <w:pPr>
        <w:spacing w:after="0"/>
        <w:rPr>
          <w:rFonts w:ascii="Arial" w:hAnsi="Arial" w:eastAsia="Geomanist Light" w:cs="Arial"/>
          <w:color w:val="000000" w:themeColor="text1"/>
          <w:lang w:val="es-MX"/>
        </w:rPr>
      </w:pPr>
    </w:p>
    <w:p w:rsidR="00607A0E" w:rsidP="006622B3" w:rsidRDefault="00607A0E" w14:paraId="10775962" w14:textId="77777777">
      <w:pPr>
        <w:spacing w:after="0"/>
        <w:rPr>
          <w:rFonts w:ascii="Arial" w:hAnsi="Arial" w:eastAsia="Geomanist Light" w:cs="Arial"/>
          <w:color w:val="000000" w:themeColor="text1"/>
          <w:lang w:val="es-MX"/>
        </w:rPr>
      </w:pPr>
    </w:p>
    <w:p w:rsidR="00607A0E" w:rsidP="006622B3" w:rsidRDefault="00607A0E" w14:paraId="77B9B671" w14:textId="77777777">
      <w:pPr>
        <w:spacing w:after="0"/>
        <w:rPr>
          <w:rFonts w:ascii="Arial" w:hAnsi="Arial" w:eastAsia="Geomanist Light" w:cs="Arial"/>
          <w:color w:val="000000" w:themeColor="text1"/>
          <w:lang w:val="es-MX"/>
        </w:rPr>
      </w:pPr>
    </w:p>
    <w:p w:rsidR="00607A0E" w:rsidP="006622B3" w:rsidRDefault="00607A0E" w14:paraId="4A7940FC" w14:textId="77777777">
      <w:pPr>
        <w:spacing w:after="0"/>
        <w:rPr>
          <w:rFonts w:ascii="Arial" w:hAnsi="Arial" w:eastAsia="Geomanist Light" w:cs="Arial"/>
          <w:color w:val="000000" w:themeColor="text1"/>
          <w:lang w:val="es-MX"/>
        </w:rPr>
      </w:pPr>
    </w:p>
    <w:p w:rsidR="00607A0E" w:rsidP="006622B3" w:rsidRDefault="00607A0E" w14:paraId="40286F24" w14:textId="77777777">
      <w:pPr>
        <w:spacing w:after="0"/>
        <w:rPr>
          <w:rFonts w:ascii="Arial" w:hAnsi="Arial" w:eastAsia="Geomanist Light" w:cs="Arial"/>
          <w:color w:val="000000" w:themeColor="text1"/>
          <w:lang w:val="es-MX"/>
        </w:rPr>
      </w:pPr>
    </w:p>
    <w:p w:rsidR="00607A0E" w:rsidP="006622B3" w:rsidRDefault="00607A0E" w14:paraId="31AB0B0D" w14:textId="77777777">
      <w:pPr>
        <w:spacing w:after="0"/>
        <w:rPr>
          <w:rFonts w:ascii="Arial" w:hAnsi="Arial" w:eastAsia="Geomanist Light" w:cs="Arial"/>
          <w:color w:val="000000" w:themeColor="text1"/>
          <w:lang w:val="es-MX"/>
        </w:rPr>
      </w:pPr>
    </w:p>
    <w:p w:rsidR="00607A0E" w:rsidP="006622B3" w:rsidRDefault="00607A0E" w14:paraId="584D276D" w14:textId="77777777">
      <w:pPr>
        <w:spacing w:after="0"/>
        <w:rPr>
          <w:rFonts w:ascii="Arial" w:hAnsi="Arial" w:eastAsia="Geomanist Light" w:cs="Arial"/>
          <w:color w:val="000000" w:themeColor="text1"/>
          <w:lang w:val="es-MX"/>
        </w:rPr>
      </w:pPr>
    </w:p>
    <w:p w:rsidRPr="00044F0D" w:rsidR="006622B3" w:rsidP="006622B3" w:rsidRDefault="006622B3" w14:paraId="624D02B5" w14:textId="4B9D16EF">
      <w:pPr>
        <w:spacing w:after="0"/>
        <w:rPr>
          <w:rFonts w:ascii="Arial" w:hAnsi="Arial" w:eastAsia="Geomanist Light" w:cs="Arial"/>
          <w:color w:val="201F1E"/>
          <w:lang w:val="es-MX"/>
        </w:rPr>
      </w:pPr>
      <w:r w:rsidRPr="00044F0D">
        <w:rPr>
          <w:rFonts w:ascii="Arial" w:hAnsi="Arial" w:eastAsia="Geomanist Light" w:cs="Arial"/>
          <w:color w:val="000000" w:themeColor="text1"/>
          <w:lang w:val="es-MX"/>
        </w:rPr>
        <w:t>Bogotá D.C., </w:t>
      </w:r>
      <w:r w:rsidRPr="003B3C6F" w:rsidR="003B3C6F">
        <w:rPr>
          <w:rFonts w:ascii="Arial" w:hAnsi="Arial" w:eastAsia="Geomanist Light" w:cs="Arial"/>
          <w:color w:val="201F1E"/>
          <w:lang w:val="es-MX"/>
        </w:rPr>
        <w:t xml:space="preserve">15 de </w:t>
      </w:r>
      <w:proofErr w:type="gramStart"/>
      <w:r w:rsidRPr="003B3C6F" w:rsidR="003B3C6F">
        <w:rPr>
          <w:rFonts w:ascii="Arial" w:hAnsi="Arial" w:eastAsia="Geomanist Light" w:cs="Arial"/>
          <w:color w:val="201F1E"/>
          <w:lang w:val="es-MX"/>
        </w:rPr>
        <w:t>Junio</w:t>
      </w:r>
      <w:proofErr w:type="gramEnd"/>
      <w:r w:rsidRPr="003B3C6F" w:rsidR="003B3C6F">
        <w:rPr>
          <w:rFonts w:ascii="Arial" w:hAnsi="Arial" w:eastAsia="Geomanist Light" w:cs="Arial"/>
          <w:color w:val="201F1E"/>
          <w:lang w:val="es-MX"/>
        </w:rPr>
        <w:t xml:space="preserve"> de 2023</w:t>
      </w:r>
    </w:p>
    <w:p w:rsidRPr="00044F0D" w:rsidR="006622B3" w:rsidP="006622B3" w:rsidRDefault="006622B3" w14:paraId="3F6DBEFB" w14:textId="77777777">
      <w:pPr>
        <w:spacing w:after="0"/>
        <w:rPr>
          <w:rFonts w:ascii="Arial" w:hAnsi="Arial" w:eastAsia="Times New Roman" w:cs="Arial"/>
          <w:bCs/>
          <w:lang w:val="es-MX" w:eastAsia="es-ES"/>
        </w:rPr>
      </w:pPr>
    </w:p>
    <w:p w:rsidR="006622B3" w:rsidP="003B3C6F" w:rsidRDefault="003B3C6F" w14:paraId="70448C3B" w14:textId="4E6C1CCA">
      <w:pPr>
        <w:spacing w:after="0"/>
        <w:contextualSpacing/>
        <w:jc w:val="right"/>
        <w:rPr>
          <w:rFonts w:ascii="Arial" w:hAnsi="Arial" w:eastAsia="Calibri" w:cs="Arial"/>
          <w:lang w:val="es-ES_tradnl" w:eastAsia="es-ES_tradnl"/>
        </w:rPr>
      </w:pPr>
      <w:r>
        <w:rPr>
          <w:rFonts w:ascii="Arial" w:hAnsi="Arial" w:eastAsia="Calibri" w:cs="Arial"/>
          <w:noProof/>
          <w:lang w:val="es-ES_tradnl" w:eastAsia="es-ES_tradnl"/>
        </w:rPr>
        <w:drawing>
          <wp:inline distT="0" distB="0" distL="0" distR="0" wp14:anchorId="228BE1CF" wp14:editId="2B448639">
            <wp:extent cx="3067050" cy="690703"/>
            <wp:effectExtent l="0" t="0" r="0" b="0"/>
            <wp:docPr id="2015442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882" cy="694268"/>
                    </a:xfrm>
                    <a:prstGeom prst="rect">
                      <a:avLst/>
                    </a:prstGeom>
                    <a:noFill/>
                    <a:ln>
                      <a:noFill/>
                    </a:ln>
                  </pic:spPr>
                </pic:pic>
              </a:graphicData>
            </a:graphic>
          </wp:inline>
        </w:drawing>
      </w:r>
    </w:p>
    <w:p w:rsidRPr="00C046D8" w:rsidR="003B3C6F" w:rsidP="006622B3" w:rsidRDefault="003B3C6F" w14:paraId="12F56822" w14:textId="77777777">
      <w:pPr>
        <w:spacing w:after="0"/>
        <w:contextualSpacing/>
        <w:jc w:val="both"/>
        <w:rPr>
          <w:rFonts w:ascii="Arial" w:hAnsi="Arial" w:eastAsia="Calibri" w:cs="Arial"/>
          <w:lang w:val="es-ES_tradnl" w:eastAsia="es-ES_tradnl"/>
        </w:rPr>
      </w:pPr>
    </w:p>
    <w:p w:rsidRPr="0006291B" w:rsidR="006622B3" w:rsidP="006622B3" w:rsidRDefault="006622B3" w14:paraId="10C4A69A" w14:textId="77777777">
      <w:pPr>
        <w:contextualSpacing/>
        <w:jc w:val="both"/>
        <w:rPr>
          <w:rFonts w:ascii="Arial" w:hAnsi="Arial" w:eastAsia="Calibri" w:cs="Arial"/>
          <w:lang w:eastAsia="es-ES_tradnl"/>
        </w:rPr>
      </w:pPr>
      <w:r w:rsidRPr="0006291B">
        <w:rPr>
          <w:rFonts w:ascii="Arial" w:hAnsi="Arial" w:eastAsia="Calibri" w:cs="Arial"/>
          <w:lang w:eastAsia="es-ES_tradnl"/>
        </w:rPr>
        <w:t>Señor</w:t>
      </w:r>
    </w:p>
    <w:p w:rsidR="006622B3" w:rsidP="006622B3" w:rsidRDefault="006622B3" w14:paraId="63381C76" w14:textId="77777777">
      <w:pPr>
        <w:contextualSpacing/>
        <w:jc w:val="both"/>
        <w:rPr>
          <w:rFonts w:ascii="Arial" w:hAnsi="Arial" w:eastAsia="Calibri" w:cs="Arial"/>
          <w:b/>
          <w:lang w:eastAsia="es-ES_tradnl"/>
        </w:rPr>
      </w:pPr>
      <w:r w:rsidRPr="007C6851">
        <w:rPr>
          <w:rFonts w:ascii="Arial" w:hAnsi="Arial" w:eastAsia="Calibri" w:cs="Arial"/>
          <w:b/>
          <w:lang w:eastAsia="es-ES_tradnl"/>
        </w:rPr>
        <w:t>Daniel Ricardo González Cuadros</w:t>
      </w:r>
    </w:p>
    <w:p w:rsidRPr="0006291B" w:rsidR="006622B3" w:rsidP="006622B3" w:rsidRDefault="006622B3" w14:paraId="7AA8D5BF" w14:textId="77777777">
      <w:pPr>
        <w:contextualSpacing/>
        <w:jc w:val="both"/>
        <w:rPr>
          <w:rFonts w:ascii="Arial" w:hAnsi="Arial" w:eastAsia="Calibri" w:cs="Arial"/>
          <w:bCs/>
          <w:lang w:eastAsia="es-ES_tradnl"/>
        </w:rPr>
      </w:pPr>
      <w:r w:rsidRPr="00264F85">
        <w:rPr>
          <w:rFonts w:ascii="Arial" w:hAnsi="Arial" w:eastAsia="Calibri" w:cs="Arial"/>
          <w:lang w:eastAsia="es-ES_tradnl"/>
        </w:rPr>
        <w:t>Bogotá D.C.</w:t>
      </w:r>
    </w:p>
    <w:p w:rsidRPr="00C046D8" w:rsidR="006622B3" w:rsidP="006622B3" w:rsidRDefault="006622B3" w14:paraId="3A1CFC65" w14:textId="77777777">
      <w:pPr>
        <w:contextualSpacing/>
        <w:jc w:val="both"/>
        <w:rPr>
          <w:rFonts w:ascii="Arial" w:hAnsi="Arial" w:eastAsia="Calibri" w:cs="Arial"/>
          <w:lang w:val="es-ES_tradnl" w:eastAsia="es-ES_tradnl"/>
        </w:rPr>
      </w:pPr>
    </w:p>
    <w:p w:rsidRPr="00C046D8" w:rsidR="006622B3" w:rsidP="006622B3" w:rsidRDefault="006622B3" w14:paraId="050B79D9" w14:textId="77777777">
      <w:pPr>
        <w:contextualSpacing/>
        <w:rPr>
          <w:rFonts w:ascii="Arial" w:hAnsi="Arial" w:eastAsia="Calibri" w:cs="Arial"/>
          <w:b/>
          <w:bCs/>
          <w:lang w:val="es-ES_tradnl" w:eastAsia="es-ES_tradnl"/>
        </w:rPr>
      </w:pPr>
    </w:p>
    <w:p w:rsidRPr="00C046D8" w:rsidR="006622B3" w:rsidP="006622B3" w:rsidRDefault="006622B3" w14:paraId="244E346E" w14:textId="77777777">
      <w:pPr>
        <w:ind w:left="2124" w:firstLine="570"/>
        <w:contextualSpacing/>
        <w:rPr>
          <w:rFonts w:ascii="Arial" w:hAnsi="Arial" w:eastAsia="Calibri" w:cs="Arial"/>
          <w:b/>
          <w:bCs/>
          <w:lang w:val="es-ES_tradnl" w:eastAsia="es-ES_tradnl"/>
        </w:rPr>
      </w:pPr>
      <w:r w:rsidRPr="00C046D8">
        <w:rPr>
          <w:rFonts w:ascii="Arial" w:hAnsi="Arial" w:eastAsia="Calibri" w:cs="Arial"/>
          <w:b/>
          <w:bCs/>
          <w:lang w:val="es-ES_tradnl" w:eastAsia="es-ES_tradnl"/>
        </w:rPr>
        <w:t>Concepto C</w:t>
      </w:r>
      <w:r>
        <w:rPr>
          <w:rFonts w:ascii="Arial" w:hAnsi="Arial" w:eastAsia="Calibri" w:cs="Arial"/>
          <w:b/>
          <w:bCs/>
          <w:lang w:val="es-ES_tradnl" w:eastAsia="es-ES_tradnl"/>
        </w:rPr>
        <w:t xml:space="preserve"> – 196</w:t>
      </w:r>
      <w:r w:rsidRPr="00C046D8">
        <w:rPr>
          <w:rFonts w:ascii="Arial" w:hAnsi="Arial" w:eastAsia="Calibri" w:cs="Arial"/>
          <w:b/>
          <w:bCs/>
          <w:lang w:val="es-ES_tradnl" w:eastAsia="es-ES_tradnl"/>
        </w:rPr>
        <w:t xml:space="preserve"> de 202</w:t>
      </w:r>
      <w:r>
        <w:rPr>
          <w:rFonts w:ascii="Arial" w:hAnsi="Arial" w:eastAsia="Calibri" w:cs="Arial"/>
          <w:b/>
          <w:bCs/>
          <w:lang w:val="es-ES_tradnl" w:eastAsia="es-ES_tradnl"/>
        </w:rPr>
        <w:t>3</w:t>
      </w:r>
    </w:p>
    <w:p w:rsidRPr="00C046D8" w:rsidR="006622B3" w:rsidP="006622B3" w:rsidRDefault="006622B3" w14:paraId="673E1515" w14:textId="77777777">
      <w:pPr>
        <w:contextualSpacing/>
        <w:jc w:val="both"/>
        <w:rPr>
          <w:rFonts w:ascii="Arial" w:hAnsi="Arial"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046D8" w:rsidR="006622B3" w:rsidTr="6424575E" w14:paraId="1BA6BF41" w14:textId="77777777">
        <w:trPr>
          <w:trHeight w:val="1830"/>
        </w:trPr>
        <w:tc>
          <w:tcPr>
            <w:tcW w:w="2689" w:type="dxa"/>
            <w:tcMar/>
          </w:tcPr>
          <w:p w:rsidRPr="00C046D8" w:rsidR="006622B3" w:rsidP="00E01045" w:rsidRDefault="006622B3" w14:paraId="53BBBE83" w14:textId="77777777">
            <w:pPr>
              <w:contextualSpacing/>
              <w:jc w:val="both"/>
              <w:rPr>
                <w:rFonts w:ascii="Arial" w:hAnsi="Arial" w:eastAsia="Calibri" w:cs="Arial"/>
                <w:lang w:val="es-ES_tradnl" w:eastAsia="es-ES_tradnl"/>
              </w:rPr>
            </w:pPr>
            <w:r w:rsidRPr="00C046D8">
              <w:rPr>
                <w:rFonts w:ascii="Arial" w:hAnsi="Arial" w:eastAsia="Calibri" w:cs="Arial"/>
                <w:b/>
                <w:lang w:val="es-ES_tradnl" w:eastAsia="es-ES_tradnl"/>
              </w:rPr>
              <w:t>Temas:</w:t>
            </w:r>
            <w:r w:rsidRPr="00C046D8">
              <w:rPr>
                <w:rFonts w:ascii="Arial" w:hAnsi="Arial" w:eastAsia="Calibri" w:cs="Arial"/>
                <w:lang w:val="es-ES_tradnl" w:eastAsia="es-ES_tradnl"/>
              </w:rPr>
              <w:t xml:space="preserve">                                      </w:t>
            </w:r>
          </w:p>
        </w:tc>
        <w:tc>
          <w:tcPr>
            <w:tcW w:w="6237" w:type="dxa"/>
            <w:tcMar/>
          </w:tcPr>
          <w:p w:rsidR="006622B3" w:rsidP="00E01045" w:rsidRDefault="006622B3" w14:paraId="64889967" w14:textId="77777777">
            <w:pPr>
              <w:spacing w:after="120"/>
              <w:contextualSpacing/>
              <w:jc w:val="both"/>
              <w:rPr>
                <w:rFonts w:ascii="Arial" w:hAnsi="Arial" w:eastAsia="Calibri" w:cs="Arial"/>
                <w:bCs/>
                <w:lang w:val="es-MX" w:eastAsia="es-ES_tradnl"/>
              </w:rPr>
            </w:pPr>
            <w:r w:rsidRPr="00C72085">
              <w:rPr>
                <w:rFonts w:ascii="Arial" w:hAnsi="Arial" w:eastAsia="Calibri" w:cs="Arial"/>
                <w:bCs/>
                <w:lang w:val="es-MX" w:eastAsia="es-ES_tradnl"/>
              </w:rPr>
              <w:t>SECOP – Deber de publicación – Finalidad – Principio de publicidad / DOCUMENTOS DEL PROCESO – Noción – Deber de publicación – Proceso de contratación / PLAN ANUAL DE ADQUISICIONES – Publicación – Fundamento normativo / SECOP – Publicación – Documentos / SECOP – Contratación directa – Publicidad – Excepciones</w:t>
            </w:r>
          </w:p>
          <w:p w:rsidRPr="0006291B" w:rsidR="006622B3" w:rsidP="00E01045" w:rsidRDefault="006622B3" w14:paraId="6772013F" w14:textId="77777777">
            <w:pPr>
              <w:spacing w:after="120"/>
              <w:contextualSpacing/>
              <w:jc w:val="both"/>
              <w:rPr>
                <w:rFonts w:ascii="Arial" w:hAnsi="Arial" w:eastAsia="Calibri" w:cs="Arial"/>
                <w:bCs/>
                <w:sz w:val="12"/>
                <w:szCs w:val="12"/>
                <w:lang w:val="es-ES_tradnl" w:eastAsia="es-ES_tradnl"/>
              </w:rPr>
            </w:pPr>
          </w:p>
        </w:tc>
      </w:tr>
      <w:tr w:rsidRPr="00C046D8" w:rsidR="006622B3" w:rsidTr="6424575E" w14:paraId="156031E8" w14:textId="77777777">
        <w:trPr>
          <w:trHeight w:val="227"/>
        </w:trPr>
        <w:tc>
          <w:tcPr>
            <w:tcW w:w="2689" w:type="dxa"/>
            <w:tcMar/>
          </w:tcPr>
          <w:p w:rsidRPr="00C046D8" w:rsidR="006622B3" w:rsidP="00E01045" w:rsidRDefault="006622B3" w14:paraId="6703F3A2" w14:textId="77777777">
            <w:pPr>
              <w:contextualSpacing/>
              <w:jc w:val="both"/>
              <w:rPr>
                <w:rFonts w:ascii="Arial" w:hAnsi="Arial" w:eastAsia="Calibri" w:cs="Arial"/>
                <w:b/>
                <w:lang w:val="es-ES_tradnl" w:eastAsia="es-ES_tradnl"/>
              </w:rPr>
            </w:pPr>
            <w:r w:rsidRPr="00C046D8">
              <w:rPr>
                <w:rFonts w:ascii="Arial" w:hAnsi="Arial" w:eastAsia="Calibri" w:cs="Arial"/>
                <w:b/>
                <w:lang w:val="es-ES_tradnl" w:eastAsia="es-ES_tradnl"/>
              </w:rPr>
              <w:t>Radicación:</w:t>
            </w:r>
            <w:r w:rsidRPr="00C046D8">
              <w:rPr>
                <w:rFonts w:ascii="Arial" w:hAnsi="Arial" w:eastAsia="Calibri" w:cs="Arial"/>
                <w:lang w:val="es-ES_tradnl" w:eastAsia="es-ES_tradnl"/>
              </w:rPr>
              <w:t xml:space="preserve">                             </w:t>
            </w:r>
          </w:p>
        </w:tc>
        <w:tc>
          <w:tcPr>
            <w:tcW w:w="6237" w:type="dxa"/>
            <w:tcMar/>
          </w:tcPr>
          <w:p w:rsidRPr="00C046D8" w:rsidR="006622B3" w:rsidP="00E01045" w:rsidRDefault="006622B3" w14:paraId="1DA67195" w14:textId="77777777">
            <w:pPr>
              <w:contextualSpacing/>
              <w:jc w:val="both"/>
              <w:rPr>
                <w:rFonts w:ascii="Arial" w:hAnsi="Arial" w:eastAsia="Calibri" w:cs="Arial"/>
                <w:lang w:val="es-ES_tradnl" w:eastAsia="es-ES_tradnl"/>
              </w:rPr>
            </w:pPr>
            <w:r w:rsidRPr="0006291B">
              <w:rPr>
                <w:rFonts w:ascii="Arial" w:hAnsi="Arial" w:eastAsia="Calibri" w:cs="Arial"/>
                <w:lang w:val="es-ES_tradnl" w:eastAsia="es-ES_tradnl"/>
              </w:rPr>
              <w:t xml:space="preserve">Respuesta a consulta </w:t>
            </w:r>
            <w:r w:rsidRPr="007C6851">
              <w:rPr>
                <w:rFonts w:ascii="Arial" w:hAnsi="Arial" w:eastAsia="Calibri" w:cs="Arial"/>
                <w:lang w:val="es-ES_tradnl" w:eastAsia="es-ES_tradnl"/>
              </w:rPr>
              <w:t>P20230502003850</w:t>
            </w:r>
          </w:p>
        </w:tc>
      </w:tr>
    </w:tbl>
    <w:p w:rsidRPr="00C046D8" w:rsidR="006622B3" w:rsidP="006622B3" w:rsidRDefault="006622B3" w14:paraId="26673D6A" w14:textId="77777777">
      <w:pPr>
        <w:contextualSpacing/>
        <w:jc w:val="both"/>
        <w:rPr>
          <w:rFonts w:ascii="Arial" w:hAnsi="Arial" w:eastAsia="Calibri" w:cs="Arial"/>
          <w:lang w:val="es-ES_tradnl" w:eastAsia="es-ES_tradnl"/>
        </w:rPr>
      </w:pPr>
    </w:p>
    <w:p w:rsidRPr="00C046D8" w:rsidR="006622B3" w:rsidP="006622B3" w:rsidRDefault="006622B3" w14:paraId="61ABE4D2" w14:textId="77777777">
      <w:pPr>
        <w:contextualSpacing/>
        <w:jc w:val="both"/>
        <w:rPr>
          <w:rFonts w:ascii="Arial" w:hAnsi="Arial" w:eastAsia="Calibri" w:cs="Arial"/>
          <w:lang w:val="es-ES_tradnl" w:eastAsia="es-ES_tradnl"/>
        </w:rPr>
      </w:pPr>
    </w:p>
    <w:p w:rsidRPr="00C046D8" w:rsidR="006622B3" w:rsidP="006622B3" w:rsidRDefault="006622B3" w14:paraId="1A7639E9" w14:textId="77777777">
      <w:pPr>
        <w:contextualSpacing/>
        <w:jc w:val="both"/>
        <w:rPr>
          <w:rFonts w:ascii="Arial" w:hAnsi="Arial" w:eastAsia="Calibri" w:cs="Arial"/>
          <w:lang w:val="es-ES" w:eastAsia="es-ES"/>
        </w:rPr>
      </w:pPr>
      <w:r w:rsidRPr="293D6149">
        <w:rPr>
          <w:rFonts w:ascii="Arial" w:hAnsi="Arial" w:eastAsia="Calibri" w:cs="Arial"/>
          <w:lang w:val="es-ES" w:eastAsia="es-ES"/>
        </w:rPr>
        <w:t>Respetad</w:t>
      </w:r>
      <w:r>
        <w:rPr>
          <w:rFonts w:ascii="Arial" w:hAnsi="Arial" w:eastAsia="Calibri" w:cs="Arial"/>
          <w:lang w:val="es-ES" w:eastAsia="es-ES"/>
        </w:rPr>
        <w:t>o</w:t>
      </w:r>
      <w:r w:rsidRPr="293D6149">
        <w:rPr>
          <w:rFonts w:ascii="Arial" w:hAnsi="Arial" w:eastAsia="Calibri" w:cs="Arial"/>
          <w:lang w:val="es-ES" w:eastAsia="es-ES"/>
        </w:rPr>
        <w:t xml:space="preserve"> señor </w:t>
      </w:r>
      <w:r w:rsidRPr="007C6851">
        <w:rPr>
          <w:rFonts w:ascii="Arial" w:hAnsi="Arial" w:eastAsia="Times New Roman" w:cs="Arial"/>
          <w:lang w:eastAsia="es-ES"/>
        </w:rPr>
        <w:t>González</w:t>
      </w:r>
      <w:r w:rsidRPr="293D6149">
        <w:rPr>
          <w:rFonts w:ascii="Arial" w:hAnsi="Arial" w:eastAsia="Calibri" w:cs="Arial"/>
          <w:lang w:val="es-ES" w:eastAsia="es-ES"/>
        </w:rPr>
        <w:t>:</w:t>
      </w:r>
      <w:r>
        <w:rPr>
          <w:rFonts w:ascii="Arial" w:hAnsi="Arial" w:eastAsia="Calibri" w:cs="Arial"/>
          <w:lang w:val="es-ES" w:eastAsia="es-ES"/>
        </w:rPr>
        <w:t xml:space="preserve"> </w:t>
      </w:r>
    </w:p>
    <w:p w:rsidRPr="00C046D8" w:rsidR="006622B3" w:rsidP="006622B3" w:rsidRDefault="006622B3" w14:paraId="44986F85" w14:textId="77777777">
      <w:pPr>
        <w:spacing w:line="276" w:lineRule="auto"/>
        <w:contextualSpacing/>
        <w:jc w:val="both"/>
        <w:rPr>
          <w:rFonts w:ascii="Arial" w:hAnsi="Arial" w:eastAsia="Calibri" w:cs="Arial"/>
          <w:szCs w:val="24"/>
          <w:lang w:val="es-ES_tradnl" w:eastAsia="es-ES_tradnl"/>
        </w:rPr>
      </w:pPr>
    </w:p>
    <w:bookmarkEnd w:id="0"/>
    <w:bookmarkEnd w:id="1"/>
    <w:p w:rsidRPr="00504597" w:rsidR="006622B3" w:rsidP="006622B3" w:rsidRDefault="006622B3" w14:paraId="26FB0CEC" w14:textId="77777777">
      <w:pPr>
        <w:spacing w:after="0" w:line="276" w:lineRule="auto"/>
        <w:jc w:val="both"/>
        <w:rPr>
          <w:rFonts w:ascii="Arial" w:hAnsi="Arial" w:eastAsia="Calibri" w:cs="Arial"/>
          <w:color w:val="000000" w:themeColor="text1"/>
          <w:lang w:val="es-ES_tradnl"/>
        </w:rPr>
      </w:pPr>
      <w:r w:rsidRPr="00504597">
        <w:rPr>
          <w:rFonts w:ascii="Arial" w:hAnsi="Arial" w:eastAsia="Calibri" w:cs="Arial"/>
          <w:color w:val="000000" w:themeColor="text1"/>
          <w:lang w:val="es-ES_tradnl"/>
        </w:rPr>
        <w:t xml:space="preserve">En ejercicio de la competencia otorgada por el numeral 8 del artículo 11 y el numeral 5 del artículo 3 del Decreto </w:t>
      </w:r>
      <w:r w:rsidRPr="00E87A11">
        <w:rPr>
          <w:rFonts w:ascii="Arial" w:hAnsi="Arial" w:eastAsia="Calibri" w:cs="Arial"/>
          <w:color w:val="000000" w:themeColor="text1"/>
          <w:lang w:val="es-ES_tradnl"/>
        </w:rPr>
        <w:t>Ley 4170 de 2011</w:t>
      </w:r>
      <w:bookmarkStart w:name="_Hlk99120496" w:id="3"/>
      <w:r w:rsidRPr="00E87A11">
        <w:rPr>
          <w:rFonts w:ascii="Arial MT" w:hAnsi="Arial MT" w:eastAsia="Arial MT" w:cs="Arial MT"/>
          <w:lang w:val="es-ES"/>
        </w:rPr>
        <w:t xml:space="preserve">, </w:t>
      </w:r>
      <w:bookmarkEnd w:id="3"/>
      <w:r w:rsidRPr="00E87A11">
        <w:rPr>
          <w:rFonts w:ascii="Arial" w:hAnsi="Arial" w:eastAsia="Calibri" w:cs="Arial"/>
          <w:color w:val="000000" w:themeColor="text1"/>
          <w:lang w:val="es-ES_tradnl"/>
        </w:rPr>
        <w:t>la</w:t>
      </w:r>
      <w:r w:rsidRPr="00504597">
        <w:rPr>
          <w:rFonts w:ascii="Arial" w:hAnsi="Arial" w:eastAsia="Calibri" w:cs="Arial"/>
          <w:color w:val="000000" w:themeColor="text1"/>
          <w:lang w:val="es-ES_tradnl"/>
        </w:rPr>
        <w:t xml:space="preserve"> Agencia Nacional de Contratación Pública </w:t>
      </w:r>
      <w:r>
        <w:rPr>
          <w:rFonts w:ascii="Arial" w:hAnsi="Arial" w:eastAsia="Calibri" w:cs="Arial"/>
          <w:color w:val="000000" w:themeColor="text1"/>
          <w:lang w:val="es-ES_tradnl"/>
        </w:rPr>
        <w:t>–</w:t>
      </w:r>
      <w:r w:rsidRPr="00504597">
        <w:rPr>
          <w:rFonts w:ascii="Arial" w:hAnsi="Arial" w:eastAsia="Calibri" w:cs="Arial"/>
          <w:color w:val="000000" w:themeColor="text1"/>
          <w:lang w:val="es-ES_tradnl"/>
        </w:rPr>
        <w:t xml:space="preserve"> Colombia Compra Eficiente responde </w:t>
      </w:r>
      <w:r>
        <w:rPr>
          <w:rFonts w:ascii="Arial" w:hAnsi="Arial" w:eastAsia="Calibri" w:cs="Arial"/>
          <w:color w:val="000000" w:themeColor="text1"/>
          <w:lang w:val="es-ES_tradnl"/>
        </w:rPr>
        <w:t>la</w:t>
      </w:r>
      <w:r w:rsidRPr="00504597">
        <w:rPr>
          <w:rFonts w:ascii="Arial" w:hAnsi="Arial" w:eastAsia="Calibri" w:cs="Arial"/>
          <w:color w:val="000000" w:themeColor="text1"/>
          <w:lang w:val="es-ES_tradnl"/>
        </w:rPr>
        <w:t xml:space="preserve"> consulta </w:t>
      </w:r>
      <w:r>
        <w:rPr>
          <w:rFonts w:ascii="Arial" w:hAnsi="Arial" w:eastAsia="Calibri" w:cs="Arial"/>
          <w:color w:val="000000" w:themeColor="text1"/>
          <w:lang w:val="es-ES_tradnl"/>
        </w:rPr>
        <w:t xml:space="preserve">radicada </w:t>
      </w:r>
      <w:r w:rsidRPr="00504597">
        <w:rPr>
          <w:rFonts w:ascii="Arial" w:hAnsi="Arial" w:eastAsia="Calibri" w:cs="Arial"/>
          <w:color w:val="000000" w:themeColor="text1"/>
          <w:lang w:val="es-ES_tradnl"/>
        </w:rPr>
        <w:t xml:space="preserve">el </w:t>
      </w:r>
      <w:r>
        <w:rPr>
          <w:rFonts w:ascii="Arial" w:hAnsi="Arial" w:eastAsia="Calibri" w:cs="Arial"/>
          <w:color w:val="000000" w:themeColor="text1"/>
          <w:lang w:val="es-ES_tradnl"/>
        </w:rPr>
        <w:t>2 de mayo de 2023</w:t>
      </w:r>
      <w:r w:rsidRPr="00504597">
        <w:rPr>
          <w:rFonts w:ascii="Arial" w:hAnsi="Arial" w:eastAsia="Calibri" w:cs="Arial"/>
          <w:color w:val="000000" w:themeColor="text1"/>
          <w:lang w:val="es-ES_tradnl"/>
        </w:rPr>
        <w:t>.</w:t>
      </w:r>
    </w:p>
    <w:p w:rsidRPr="00504597" w:rsidR="006622B3" w:rsidP="006622B3" w:rsidRDefault="006622B3" w14:paraId="082B77C7" w14:textId="77777777">
      <w:pPr>
        <w:spacing w:after="0" w:line="276" w:lineRule="auto"/>
        <w:jc w:val="both"/>
        <w:rPr>
          <w:rFonts w:ascii="Arial" w:hAnsi="Arial" w:eastAsia="Calibri" w:cs="Arial"/>
          <w:b/>
          <w:color w:val="000000" w:themeColor="text1"/>
          <w:lang w:val="es-ES_tradnl"/>
        </w:rPr>
      </w:pPr>
    </w:p>
    <w:p w:rsidRPr="00504597" w:rsidR="006622B3" w:rsidP="006622B3" w:rsidRDefault="006622B3" w14:paraId="069ED00F" w14:textId="77777777">
      <w:pPr>
        <w:pStyle w:val="Prrafodelista"/>
        <w:numPr>
          <w:ilvl w:val="0"/>
          <w:numId w:val="4"/>
        </w:numPr>
        <w:tabs>
          <w:tab w:val="left" w:pos="0"/>
          <w:tab w:val="left" w:pos="142"/>
          <w:tab w:val="left" w:pos="284"/>
        </w:tabs>
        <w:spacing w:after="0" w:line="276" w:lineRule="auto"/>
        <w:ind w:left="0" w:firstLine="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Problema</w:t>
      </w:r>
      <w:r>
        <w:rPr>
          <w:rFonts w:ascii="Arial" w:hAnsi="Arial" w:eastAsia="Calibri" w:cs="Arial"/>
          <w:b/>
          <w:color w:val="000000" w:themeColor="text1"/>
          <w:lang w:val="es-ES_tradnl"/>
        </w:rPr>
        <w:t>s</w:t>
      </w:r>
      <w:r w:rsidRPr="00504597">
        <w:rPr>
          <w:rFonts w:ascii="Arial" w:hAnsi="Arial" w:eastAsia="Calibri" w:cs="Arial"/>
          <w:b/>
          <w:color w:val="000000" w:themeColor="text1"/>
          <w:lang w:val="es-ES_tradnl"/>
        </w:rPr>
        <w:t xml:space="preserve"> planteado</w:t>
      </w:r>
      <w:r>
        <w:rPr>
          <w:rFonts w:ascii="Arial" w:hAnsi="Arial" w:eastAsia="Calibri" w:cs="Arial"/>
          <w:b/>
          <w:color w:val="000000" w:themeColor="text1"/>
          <w:lang w:val="es-ES_tradnl"/>
        </w:rPr>
        <w:t>s</w:t>
      </w:r>
      <w:r w:rsidRPr="00504597">
        <w:rPr>
          <w:rFonts w:ascii="Arial" w:hAnsi="Arial" w:eastAsia="Calibri" w:cs="Arial"/>
          <w:b/>
          <w:color w:val="000000" w:themeColor="text1"/>
          <w:lang w:val="es-ES_tradnl"/>
        </w:rPr>
        <w:t xml:space="preserve"> </w:t>
      </w:r>
    </w:p>
    <w:p w:rsidRPr="00504597" w:rsidR="006622B3" w:rsidP="006622B3" w:rsidRDefault="006622B3" w14:paraId="15A07CDC" w14:textId="77777777">
      <w:pPr>
        <w:tabs>
          <w:tab w:val="left" w:pos="426"/>
        </w:tabs>
        <w:spacing w:after="0" w:line="276" w:lineRule="auto"/>
        <w:jc w:val="both"/>
        <w:rPr>
          <w:rFonts w:ascii="Arial" w:hAnsi="Arial" w:eastAsia="Calibri" w:cs="Arial"/>
          <w:b/>
          <w:color w:val="000000" w:themeColor="text1"/>
          <w:lang w:val="es-ES_tradnl"/>
        </w:rPr>
      </w:pPr>
    </w:p>
    <w:p w:rsidR="006622B3" w:rsidP="006622B3" w:rsidRDefault="006622B3" w14:paraId="48E2BA3F" w14:textId="77777777">
      <w:pPr>
        <w:spacing w:after="0" w:line="276" w:lineRule="auto"/>
        <w:jc w:val="both"/>
        <w:rPr>
          <w:rFonts w:ascii="Arial" w:hAnsi="Arial" w:cs="Arial"/>
          <w:color w:val="000000" w:themeColor="text1"/>
          <w:lang w:val="es-ES_tradnl"/>
        </w:rPr>
      </w:pPr>
      <w:bookmarkStart w:name="_Hlk132291872" w:id="4"/>
      <w:r>
        <w:rPr>
          <w:rFonts w:ascii="Arial" w:hAnsi="Arial" w:cs="Arial"/>
          <w:color w:val="000000" w:themeColor="text1"/>
          <w:lang w:val="es-ES_tradnl"/>
        </w:rPr>
        <w:t>Usted realiza las siguientes preguntas</w:t>
      </w:r>
      <w:bookmarkEnd w:id="4"/>
      <w:r>
        <w:rPr>
          <w:rFonts w:ascii="Arial" w:hAnsi="Arial" w:cs="Arial"/>
          <w:color w:val="000000" w:themeColor="text1"/>
          <w:lang w:val="es-ES_tradnl"/>
        </w:rPr>
        <w:t>:</w:t>
      </w:r>
    </w:p>
    <w:p w:rsidRPr="006C2B4F" w:rsidR="006622B3" w:rsidP="006622B3" w:rsidRDefault="006622B3" w14:paraId="3D0FD0D0" w14:textId="77777777">
      <w:pPr>
        <w:spacing w:after="0" w:line="276" w:lineRule="auto"/>
        <w:jc w:val="both"/>
        <w:rPr>
          <w:rFonts w:ascii="Arial" w:hAnsi="Arial" w:cs="Arial"/>
          <w:color w:val="000000" w:themeColor="text1"/>
          <w:lang w:val="es-ES_tradnl"/>
        </w:rPr>
      </w:pPr>
    </w:p>
    <w:p w:rsidRPr="006C2B4F" w:rsidR="006622B3" w:rsidP="006622B3" w:rsidRDefault="006622B3" w14:paraId="22CA91CF" w14:textId="77777777">
      <w:pPr>
        <w:spacing w:after="120" w:line="240" w:lineRule="auto"/>
        <w:ind w:left="709" w:right="709"/>
        <w:jc w:val="both"/>
        <w:rPr>
          <w:rFonts w:ascii="Arial" w:hAnsi="Arial" w:cs="Arial"/>
          <w:color w:val="000000" w:themeColor="text1"/>
          <w:sz w:val="21"/>
          <w:szCs w:val="21"/>
          <w:lang w:val="es-ES_tradnl"/>
        </w:rPr>
      </w:pPr>
      <w:bookmarkStart w:name="_Hlk135737852" w:id="5"/>
      <w:r w:rsidRPr="006C2B4F">
        <w:rPr>
          <w:rFonts w:ascii="Arial" w:hAnsi="Arial" w:cs="Arial"/>
          <w:color w:val="000000" w:themeColor="text1"/>
          <w:sz w:val="21"/>
          <w:szCs w:val="21"/>
          <w:lang w:val="es-ES_tradnl"/>
        </w:rPr>
        <w:t>“1) Ordena la normativa la publicación en SECOP II, la publicación de los documentos del proceso y los actos administrativos del proceso de contratación dentro de los tres (3) días siguientes a su expedición, y a continuación hace relación directa sobre la oferta a publicar en relación del adjudicatario de los procesos de selección, excepcionando los relacionados con las llamadas bolsas de productos.</w:t>
      </w:r>
    </w:p>
    <w:p w:rsidRPr="006C2B4F" w:rsidR="006622B3" w:rsidP="006622B3" w:rsidRDefault="006622B3" w14:paraId="5048684C" w14:textId="77777777">
      <w:pPr>
        <w:spacing w:after="120" w:line="240" w:lineRule="auto"/>
        <w:ind w:left="709" w:right="709"/>
        <w:jc w:val="both"/>
        <w:rPr>
          <w:rFonts w:ascii="Arial" w:hAnsi="Arial" w:cs="Arial"/>
          <w:color w:val="000000" w:themeColor="text1"/>
          <w:sz w:val="21"/>
          <w:szCs w:val="21"/>
          <w:lang w:val="es-ES_tradnl"/>
        </w:rPr>
      </w:pPr>
      <w:proofErr w:type="gramStart"/>
      <w:r w:rsidRPr="006C2B4F">
        <w:rPr>
          <w:rFonts w:ascii="Arial" w:hAnsi="Arial" w:cs="Arial"/>
          <w:color w:val="000000" w:themeColor="text1"/>
          <w:sz w:val="21"/>
          <w:szCs w:val="21"/>
          <w:lang w:val="es-ES_tradnl"/>
        </w:rPr>
        <w:t>Interrogantes a resolver</w:t>
      </w:r>
      <w:proofErr w:type="gramEnd"/>
      <w:r w:rsidRPr="006C2B4F">
        <w:rPr>
          <w:rFonts w:ascii="Arial" w:hAnsi="Arial" w:cs="Arial"/>
          <w:color w:val="000000" w:themeColor="text1"/>
          <w:sz w:val="21"/>
          <w:szCs w:val="21"/>
          <w:lang w:val="es-ES_tradnl"/>
        </w:rPr>
        <w:t>:</w:t>
      </w:r>
    </w:p>
    <w:p w:rsidRPr="006C2B4F" w:rsidR="006622B3" w:rsidP="006622B3" w:rsidRDefault="006622B3" w14:paraId="04D60AFF"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 xml:space="preserve">a) Respecto de la interpretación que hemos podido realizar de acuerdo con la redacción del inciso uno del referido artículo, se entiende que la publicidad de la que se trata hace referencia a los procesos competitivos, tales como la selección </w:t>
      </w:r>
      <w:r w:rsidRPr="006C2B4F">
        <w:rPr>
          <w:rFonts w:ascii="Arial" w:hAnsi="Arial" w:cs="Arial"/>
          <w:color w:val="000000" w:themeColor="text1"/>
          <w:sz w:val="21"/>
          <w:szCs w:val="21"/>
          <w:lang w:val="es-ES_tradnl"/>
        </w:rPr>
        <w:t xml:space="preserve">abreviada, licitación pública y mínima cuantía, exceptuando los procesos de contratación directa. </w:t>
      </w:r>
    </w:p>
    <w:p w:rsidRPr="006C2B4F" w:rsidR="006622B3" w:rsidP="006622B3" w:rsidRDefault="006622B3" w14:paraId="227094E2"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¿Es correcta la interpretación dada?</w:t>
      </w:r>
    </w:p>
    <w:bookmarkEnd w:id="5"/>
    <w:p w:rsidRPr="006C2B4F" w:rsidR="006622B3" w:rsidP="006622B3" w:rsidRDefault="006622B3" w14:paraId="540C5713"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b) De cara a los procesos de contratación directa asisten las siguientes interrogantes:</w:t>
      </w:r>
    </w:p>
    <w:p w:rsidRPr="006C2B4F" w:rsidR="006622B3" w:rsidP="006622B3" w:rsidRDefault="006622B3" w14:paraId="78755DD9"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 xml:space="preserve">Es conocido que las entidades del estado conforman un expediente contractual que a su vez se integra por documentos que son expedidos en diferentes momentos, unos producidos por la misma entidad y otros que son solicitados o expedidos, por el contratista. </w:t>
      </w:r>
    </w:p>
    <w:p w:rsidRPr="006C2B4F" w:rsidR="006622B3" w:rsidP="006622B3" w:rsidRDefault="006622B3" w14:paraId="499E47E4"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 xml:space="preserve">1. ¿Si se tomara en estricto sentido literal del artículo del Decreto 1082 de 2015, ante la ausencia de claridad </w:t>
      </w:r>
      <w:proofErr w:type="gramStart"/>
      <w:r w:rsidRPr="006C2B4F">
        <w:rPr>
          <w:rFonts w:ascii="Arial" w:hAnsi="Arial" w:cs="Arial"/>
          <w:color w:val="000000" w:themeColor="text1"/>
          <w:sz w:val="21"/>
          <w:szCs w:val="21"/>
          <w:lang w:val="es-ES_tradnl"/>
        </w:rPr>
        <w:t>del mismo</w:t>
      </w:r>
      <w:proofErr w:type="gramEnd"/>
      <w:r w:rsidRPr="006C2B4F">
        <w:rPr>
          <w:rFonts w:ascii="Arial" w:hAnsi="Arial" w:cs="Arial"/>
          <w:color w:val="000000" w:themeColor="text1"/>
          <w:sz w:val="21"/>
          <w:szCs w:val="21"/>
          <w:lang w:val="es-ES_tradnl"/>
        </w:rPr>
        <w:t xml:space="preserve">, cual es la fecha que se debe tomar para la publicación de los documentos previos a la celebración del contrato tales como certificados de idoneidad o insuficiencia del personal de la entidad del futuro contratista de prestación de servicios profesionales y de apoyo a la gestión? </w:t>
      </w:r>
    </w:p>
    <w:p w:rsidRPr="006C2B4F" w:rsidR="006622B3" w:rsidP="006622B3" w:rsidRDefault="006622B3" w14:paraId="5838CB9F"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2. ¿Sería válido desintegrar la unidad que conforma el expediente y tomar cualquier documento como referencia para la publicación?</w:t>
      </w:r>
    </w:p>
    <w:p w:rsidRPr="006C2B4F" w:rsidR="006622B3" w:rsidP="006622B3" w:rsidRDefault="006622B3" w14:paraId="15E86BC8"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3. Por ejemplo: Los llamados certificados de falta o insuficiencia de personal en planta de la entidad, se gestiona ante las oficinas como uno de los primeros documentos, normalmente por las dinámicas de una entidad no logra consolidarse el expediente (Factores internos y externos) y se radica al cuarto, quinto sexto día siguiente a su expedición, ¿se vulnera la norma si este documento no es publicado al tercer día de su expedición?</w:t>
      </w:r>
    </w:p>
    <w:p w:rsidRPr="006C2B4F" w:rsidR="006622B3" w:rsidP="006622B3" w:rsidRDefault="006622B3" w14:paraId="107B830B"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4. Otro ejemplo muy claro es con los documentos ajenos a la entidad a excepción de aquellos que, si hay norma para que tengan validez como el Certificado de Existencia y Representación, o de otros que son confidenciales, hay otros que no lo tienen, entonces, ¿se vulnera la norma si no son publicados al tercer día?</w:t>
      </w:r>
    </w:p>
    <w:p w:rsidRPr="006C2B4F" w:rsidR="006622B3" w:rsidP="006622B3" w:rsidRDefault="006622B3" w14:paraId="6D5EF6FD"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5. De cara a las anteriores interrogantes, ¿Cuál es el documento de referencia o punto de partida para que se produzca la publicación en los contratos de prestación de servicios profesionales y de apoyo a la gestión?</w:t>
      </w:r>
    </w:p>
    <w:p w:rsidRPr="00B35C0C" w:rsidR="006622B3" w:rsidP="006622B3" w:rsidRDefault="006622B3" w14:paraId="6F363860" w14:textId="77777777">
      <w:pPr>
        <w:spacing w:after="0" w:line="240" w:lineRule="auto"/>
        <w:ind w:left="709" w:right="709"/>
        <w:jc w:val="both"/>
        <w:rPr>
          <w:rFonts w:ascii="Arial" w:hAnsi="Arial" w:cs="Arial"/>
          <w:color w:val="000000" w:themeColor="text1"/>
          <w:lang w:val="es-ES_tradnl"/>
        </w:rPr>
      </w:pPr>
      <w:r w:rsidRPr="006C2B4F">
        <w:rPr>
          <w:rFonts w:ascii="Arial" w:hAnsi="Arial" w:cs="Arial"/>
          <w:color w:val="000000" w:themeColor="text1"/>
          <w:sz w:val="21"/>
          <w:szCs w:val="21"/>
          <w:lang w:val="es-ES_tradnl"/>
        </w:rPr>
        <w:t xml:space="preserve">6. ¿Existe recomendación para y en tratándose de procesos de contratación directa, teniendo en cuenta las dinámicas de la entidad?”. </w:t>
      </w:r>
      <w:r w:rsidRPr="00B35C0C">
        <w:rPr>
          <w:rFonts w:ascii="Arial" w:hAnsi="Arial" w:cs="Arial"/>
          <w:color w:val="000000" w:themeColor="text1"/>
          <w:lang w:val="es-ES_tradnl"/>
        </w:rPr>
        <w:t xml:space="preserve"> </w:t>
      </w:r>
      <w:r w:rsidRPr="00466C39">
        <w:rPr>
          <w:rFonts w:ascii="Arial" w:hAnsi="Arial" w:cs="Arial"/>
          <w:color w:val="000000" w:themeColor="text1"/>
          <w:sz w:val="21"/>
          <w:szCs w:val="21"/>
        </w:rPr>
        <w:t xml:space="preserve"> </w:t>
      </w:r>
    </w:p>
    <w:p w:rsidRPr="00466C39" w:rsidR="006622B3" w:rsidP="006622B3" w:rsidRDefault="006622B3" w14:paraId="0E1DAD72" w14:textId="77777777">
      <w:pPr>
        <w:spacing w:after="0" w:line="276" w:lineRule="auto"/>
        <w:ind w:right="709"/>
        <w:jc w:val="both"/>
        <w:rPr>
          <w:rFonts w:ascii="Arial" w:hAnsi="Arial" w:cs="Arial"/>
          <w:color w:val="000000" w:themeColor="text1"/>
        </w:rPr>
      </w:pPr>
    </w:p>
    <w:p w:rsidRPr="00504597" w:rsidR="006622B3" w:rsidP="006622B3" w:rsidRDefault="006622B3" w14:paraId="2393978D" w14:textId="77777777">
      <w:pPr>
        <w:pStyle w:val="Prrafodelista"/>
        <w:numPr>
          <w:ilvl w:val="0"/>
          <w:numId w:val="4"/>
        </w:numPr>
        <w:tabs>
          <w:tab w:val="left" w:pos="0"/>
          <w:tab w:val="left" w:pos="284"/>
        </w:tabs>
        <w:spacing w:after="0" w:line="240" w:lineRule="auto"/>
        <w:ind w:left="0" w:firstLine="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Consideraciones</w:t>
      </w:r>
    </w:p>
    <w:p w:rsidRPr="00504597" w:rsidR="006622B3" w:rsidP="006622B3" w:rsidRDefault="006622B3" w14:paraId="7029CB58" w14:textId="77777777">
      <w:pPr>
        <w:spacing w:after="0" w:line="276" w:lineRule="auto"/>
        <w:jc w:val="both"/>
        <w:rPr>
          <w:rFonts w:ascii="Arial" w:hAnsi="Arial" w:eastAsia="Calibri" w:cs="Arial"/>
          <w:color w:val="000000" w:themeColor="text1"/>
          <w:lang w:val="es-ES"/>
        </w:rPr>
      </w:pPr>
    </w:p>
    <w:p w:rsidRPr="00781AC2" w:rsidR="006622B3" w:rsidP="006622B3" w:rsidRDefault="006622B3" w14:paraId="0E6AE7FB" w14:textId="77777777">
      <w:pPr>
        <w:spacing w:after="120" w:line="276" w:lineRule="auto"/>
        <w:jc w:val="both"/>
        <w:rPr>
          <w:rFonts w:ascii="Arial" w:hAnsi="Arial" w:cs="Arial"/>
          <w:lang w:val="es-ES"/>
        </w:rPr>
      </w:pPr>
      <w:r w:rsidRPr="00781AC2">
        <w:rPr>
          <w:rFonts w:ascii="Arial" w:hAnsi="Arial"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w:t>
      </w:r>
      <w:r w:rsidRPr="00781AC2">
        <w:rPr>
          <w:rFonts w:ascii="Arial" w:hAnsi="Arial" w:cs="Arial"/>
          <w:lang w:val="es-ES"/>
        </w:rPr>
        <w:t>que no concibió a Colombia Compra Eficiente como una autoridad para solucionar problemas jurídicos particulares</w:t>
      </w:r>
      <w:r w:rsidRPr="00781AC2">
        <w:rPr>
          <w:rFonts w:ascii="Arial" w:hAnsi="Arial" w:cs="Arial"/>
        </w:rPr>
        <w:t xml:space="preserve"> de todos los partícipes de la contratación estatal.</w:t>
      </w:r>
    </w:p>
    <w:p w:rsidR="006622B3" w:rsidP="006622B3" w:rsidRDefault="006622B3" w14:paraId="36524926" w14:textId="77777777">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rsidR="006622B3" w:rsidP="006622B3" w:rsidRDefault="006622B3" w14:paraId="0DCCFCCB" w14:textId="77777777">
      <w:pPr>
        <w:spacing w:line="276" w:lineRule="auto"/>
        <w:ind w:firstLine="708"/>
        <w:jc w:val="both"/>
        <w:rPr>
          <w:rFonts w:ascii="Arial" w:hAnsi="Arial" w:cs="Arial"/>
          <w:color w:val="000000" w:themeColor="text1"/>
          <w:lang w:val="es-ES_tradnl"/>
        </w:rPr>
      </w:pPr>
      <w:r w:rsidRPr="00781AC2">
        <w:rPr>
          <w:rFonts w:ascii="Arial" w:hAnsi="Arial" w:cs="Arial"/>
        </w:rPr>
        <w:t xml:space="preserve">Sin perjuicio de lo anterior, la Subdirección –dentro de los límites de sus atribuciones, esto es, haciendo abstracción </w:t>
      </w:r>
      <w:r>
        <w:rPr>
          <w:rFonts w:ascii="Arial" w:hAnsi="Arial" w:cs="Arial"/>
        </w:rPr>
        <w:t>de los supuestos puntuales planteados</w:t>
      </w:r>
      <w:r w:rsidRPr="00781AC2">
        <w:rPr>
          <w:rFonts w:ascii="Arial" w:hAnsi="Arial" w:cs="Arial"/>
        </w:rPr>
        <w:t xml:space="preserve">–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hAnsi="Arial" w:eastAsia="Calibri" w:cs="Arial"/>
          <w:lang w:val="es-ES"/>
        </w:rPr>
        <w:t>los siguientes temas</w:t>
      </w:r>
      <w:r w:rsidRPr="00504597">
        <w:rPr>
          <w:rFonts w:ascii="Arial" w:hAnsi="Arial" w:cs="Arial"/>
          <w:color w:val="000000" w:themeColor="text1"/>
          <w:lang w:val="es-ES"/>
        </w:rPr>
        <w:t>:</w:t>
      </w:r>
      <w:r>
        <w:rPr>
          <w:rFonts w:ascii="Arial" w:hAnsi="Arial" w:cs="Arial"/>
          <w:color w:val="000000" w:themeColor="text1"/>
          <w:lang w:val="es-ES"/>
        </w:rPr>
        <w:t xml:space="preserve"> </w:t>
      </w:r>
      <w:r w:rsidRPr="00016D44">
        <w:rPr>
          <w:rFonts w:ascii="Arial" w:hAnsi="Arial" w:cs="Arial"/>
          <w:color w:val="000000" w:themeColor="text1"/>
          <w:lang w:val="es-ES_tradnl"/>
        </w:rPr>
        <w:t>i)</w:t>
      </w:r>
      <w:r>
        <w:rPr>
          <w:rFonts w:ascii="Arial" w:hAnsi="Arial" w:cs="Arial"/>
          <w:color w:val="000000" w:themeColor="text1"/>
          <w:lang w:val="es-ES_tradnl"/>
        </w:rPr>
        <w:t xml:space="preserve"> principio de publicidad y acceso a la información pública y </w:t>
      </w:r>
      <w:proofErr w:type="spellStart"/>
      <w:r>
        <w:rPr>
          <w:rFonts w:ascii="Arial" w:hAnsi="Arial" w:cs="Arial"/>
          <w:color w:val="000000" w:themeColor="text1"/>
          <w:lang w:val="es-ES_tradnl"/>
        </w:rPr>
        <w:t>ii</w:t>
      </w:r>
      <w:proofErr w:type="spellEnd"/>
      <w:r>
        <w:rPr>
          <w:rFonts w:ascii="Arial" w:hAnsi="Arial" w:cs="Arial"/>
          <w:color w:val="000000" w:themeColor="text1"/>
          <w:lang w:val="es-ES_tradnl"/>
        </w:rPr>
        <w:t>) p</w:t>
      </w:r>
      <w:r w:rsidRPr="006C2B4F">
        <w:rPr>
          <w:rFonts w:ascii="Arial" w:hAnsi="Arial" w:cs="Arial"/>
          <w:color w:val="000000" w:themeColor="text1"/>
          <w:lang w:val="es-ES_tradnl"/>
        </w:rPr>
        <w:t>rocedimientos contractuales y documentos que deben publicar</w:t>
      </w:r>
      <w:r>
        <w:rPr>
          <w:rFonts w:ascii="Arial" w:hAnsi="Arial" w:cs="Arial"/>
          <w:color w:val="000000" w:themeColor="text1"/>
          <w:lang w:val="es-ES_tradnl"/>
        </w:rPr>
        <w:t>se</w:t>
      </w:r>
      <w:r w:rsidRPr="006C2B4F">
        <w:rPr>
          <w:rFonts w:ascii="Arial" w:hAnsi="Arial" w:cs="Arial"/>
          <w:color w:val="000000" w:themeColor="text1"/>
          <w:lang w:val="es-ES_tradnl"/>
        </w:rPr>
        <w:t xml:space="preserve"> en el SECOP</w:t>
      </w:r>
      <w:r>
        <w:rPr>
          <w:rFonts w:ascii="Arial" w:hAnsi="Arial" w:cs="Arial"/>
          <w:color w:val="000000" w:themeColor="text1"/>
          <w:lang w:val="es-ES_tradnl"/>
        </w:rPr>
        <w:t xml:space="preserve"> </w:t>
      </w:r>
      <w:r w:rsidRPr="00C858ED">
        <w:rPr>
          <w:rFonts w:ascii="Arial" w:hAnsi="Arial" w:cs="Arial"/>
          <w:color w:val="000000" w:themeColor="text1"/>
          <w:lang w:val="es-ES_tradnl"/>
        </w:rPr>
        <w:t>tratándose de entidades sometidas al EGCAP</w:t>
      </w:r>
      <w:r>
        <w:rPr>
          <w:rFonts w:ascii="Arial" w:hAnsi="Arial" w:cs="Arial"/>
          <w:color w:val="000000" w:themeColor="text1"/>
          <w:lang w:val="es-ES_tradnl"/>
        </w:rPr>
        <w:t>.</w:t>
      </w:r>
    </w:p>
    <w:p w:rsidRPr="007A035B" w:rsidR="006622B3" w:rsidP="006622B3" w:rsidRDefault="006622B3" w14:paraId="0C0A9DE3" w14:textId="77777777">
      <w:pPr>
        <w:tabs>
          <w:tab w:val="left" w:pos="426"/>
        </w:tabs>
        <w:spacing w:after="120" w:line="276" w:lineRule="auto"/>
        <w:jc w:val="both"/>
        <w:rPr>
          <w:rFonts w:ascii="Arial" w:hAnsi="Arial" w:eastAsia="Calibri" w:cs="Arial"/>
          <w:lang w:val="es-ES"/>
        </w:rPr>
      </w:pPr>
      <w:r>
        <w:rPr>
          <w:rFonts w:ascii="Arial" w:hAnsi="Arial" w:eastAsia="Calibri" w:cs="Arial"/>
          <w:lang w:val="es-ES"/>
        </w:rPr>
        <w:tab/>
      </w:r>
      <w:r>
        <w:rPr>
          <w:rFonts w:ascii="Arial" w:hAnsi="Arial" w:eastAsia="Calibri" w:cs="Arial"/>
          <w:lang w:val="es-ES"/>
        </w:rPr>
        <w:tab/>
      </w:r>
      <w:r w:rsidRPr="00217435">
        <w:rPr>
          <w:rFonts w:ascii="Arial" w:hAnsi="Arial" w:eastAsia="Calibri" w:cs="Arial"/>
          <w:lang w:val="es-ES"/>
        </w:rPr>
        <w:t xml:space="preserve">La Agencia Nacional de Contratación Pública – Colombia Compra Eficiente ha tenido la oportunidad de estudiar en diferentes ocasiones los temas relacionados con la publicación de documentación contractual </w:t>
      </w:r>
      <w:r>
        <w:rPr>
          <w:rFonts w:ascii="Arial" w:hAnsi="Arial" w:eastAsia="Calibri" w:cs="Arial"/>
          <w:lang w:val="es-ES"/>
        </w:rPr>
        <w:t>en el SECOP</w:t>
      </w:r>
      <w:r w:rsidRPr="00217435">
        <w:rPr>
          <w:rFonts w:ascii="Arial" w:hAnsi="Arial" w:eastAsia="Calibri" w:cs="Arial"/>
          <w:lang w:val="es-ES"/>
        </w:rPr>
        <w:t>. Por una parte,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la naturaleza transaccional y obligatoriedad de SECOP II y los documentos que deben publicarse en estas plataformas.</w:t>
      </w:r>
    </w:p>
    <w:p w:rsidR="006622B3" w:rsidP="006622B3" w:rsidRDefault="006622B3" w14:paraId="0E57D267" w14:textId="77777777">
      <w:pPr>
        <w:spacing w:after="0" w:line="276" w:lineRule="auto"/>
        <w:jc w:val="both"/>
        <w:rPr>
          <w:rFonts w:ascii="Arial" w:hAnsi="Arial" w:cs="Arial"/>
          <w:color w:val="000000" w:themeColor="text1"/>
          <w:lang w:val="es-ES_tradnl"/>
        </w:rPr>
      </w:pPr>
      <w:r>
        <w:rPr>
          <w:rFonts w:ascii="Arial" w:hAnsi="Arial" w:eastAsia="Calibri" w:cs="Arial"/>
          <w:bCs/>
          <w:color w:val="000000" w:themeColor="text1"/>
        </w:rPr>
        <w:tab/>
      </w:r>
      <w:r>
        <w:rPr>
          <w:rFonts w:ascii="Arial" w:hAnsi="Arial" w:cs="Arial"/>
          <w:color w:val="000000" w:themeColor="text1"/>
          <w:lang w:val="es-ES_tradnl"/>
        </w:rPr>
        <w:t xml:space="preserve">Dicha postura se unificó a partir del </w:t>
      </w:r>
      <w:r>
        <w:rPr>
          <w:rFonts w:ascii="Arial" w:hAnsi="Arial" w:cs="Arial"/>
          <w:bCs/>
          <w:color w:val="1A1A1A" w:themeColor="background1" w:themeShade="1A"/>
        </w:rPr>
        <w:t>Concepto</w:t>
      </w:r>
      <w:r w:rsidRPr="00B31293">
        <w:rPr>
          <w:rFonts w:ascii="Arial" w:hAnsi="Arial" w:cs="Arial"/>
          <w:bCs/>
          <w:color w:val="1A1A1A" w:themeColor="background1" w:themeShade="1A"/>
        </w:rPr>
        <w:t xml:space="preserve"> </w:t>
      </w:r>
      <w:r w:rsidRPr="00DD5F33">
        <w:rPr>
          <w:rFonts w:ascii="Arial" w:hAnsi="Arial" w:cs="Arial"/>
          <w:color w:val="000000" w:themeColor="text1"/>
          <w:lang w:val="es-ES_tradnl"/>
        </w:rPr>
        <w:t>C</w:t>
      </w:r>
      <w:r>
        <w:rPr>
          <w:rFonts w:ascii="Arial" w:hAnsi="Arial" w:cs="Arial"/>
          <w:color w:val="000000" w:themeColor="text1"/>
          <w:lang w:val="es-ES_tradnl"/>
        </w:rPr>
        <w:t>U-367</w:t>
      </w:r>
      <w:r w:rsidRPr="00DD5F33">
        <w:rPr>
          <w:rFonts w:ascii="Arial" w:hAnsi="Arial" w:cs="Arial"/>
          <w:color w:val="000000" w:themeColor="text1"/>
          <w:lang w:val="es-ES_tradnl"/>
        </w:rPr>
        <w:t xml:space="preserve"> del </w:t>
      </w:r>
      <w:r>
        <w:rPr>
          <w:rFonts w:ascii="Arial" w:hAnsi="Arial" w:cs="Arial"/>
          <w:color w:val="000000" w:themeColor="text1"/>
          <w:lang w:val="es-ES_tradnl"/>
        </w:rPr>
        <w:t>23 de septiembre de 2020 y, en lo sucesivo, se ha reiterado en los Conceptos C-433 del 24 de julio de 2020, C-474 del 24 de julio de 2020, C-488 del 28 de julio de 2020, C-504 del 31 de julio de 2020, C-508 del 31 de julio de 2020, C-521 del 11 de agosto de 2020, C-543 del 19 de agosto de 2020, C-544 del 21 de agosto de 2020, C-575 del 27 de agosto de 2020, C-604 del 9 de septiembre de 2020, C-661 del 17 de noviembre de 2020, C-672 del 11 de noviembre de 2020, C-780 del 18 de enero de 2021, C-023 del 19 de febrero de 2021, C-048 del 8 de marzo de 2021, C-104 del 6 de abril de 2021, C-132 del 6 de abril de 2021, C-289 del 10 de mayo de 2021, C-300 del 12 de mayo de 2021, C-313 del 29 de junio de 2021, C-472 del 6 de septiembre de 2021, C-533 del 29 de septiembre de 2021, C-597 del 21 de octubre de 2021, C-744 del 4 de febrero de 2022, C-026 del 18 de febrero de 2022, C-049 del 7 de marzo de 2022, C-132 del 28 de marzo de 2022, C-135 del 28 de marzo de 2022, C181 del 7 de abril de 2022, C-229 del 26 de abril de 2022, C-332 del 23 de mayo de 2022, C-348 del 13 de junio de 2022, C-367 del 7 de junio de 2022, C-379 del 22 de junio de 2022, C-480 del 18 de julio de 2022, C-492 del 2 de agosto de 2022, C-495 del 2 de agosto de 2022, C-497 del 24 de agosto de 2022, C-500 del 10 de agosto de 2022, C-508 del 30 de agosto de 2022, C-510 del 8 de agosto de 2022, C-512 del 10 de agosto de 2022, C-552 del 1° de agosto de 2022, C-568 del 12 de septiembre de 2022, C-596 del 20 de septiembre de 2022, C-609 del 23 de septiembre de 2022, C-649 del 9 de septiembre de 2022, C-714 del 15 de noviembre de 2022, C-723 del 16 de diciembre de 2022, C-763 del 15 de noviembre de 2022, C-766 del 20 de octubre de 2022, C-797 del 23 de noviembre de 2022, C-815 del 28 de noviembre de 2022, C-817 del 5 de diciembre de 2022, C-821 del 29 de noviembre de 2022, C-852 del 9 de diciembre de 2022, C-890 del 13 de febrero de 2023, C-901 del 22 de diciembre de 2022, C-909 del 5 de enero de 2023, C-958 del 13 de febrero de 2023, C-014 del 23 de febrero de 2023, C-024 del 6 de marzo de 2023, C-055 del 19 de abril de 2023, C-071 del 28 de marzo de 2023, C-074 del 16 de marzo de 2023, C-103 del 5 de mayo de 2023 y C-130 del 18 de mayo de 2023</w:t>
      </w:r>
      <w:r w:rsidRPr="00192DD0">
        <w:rPr>
          <w:color w:val="000000" w:themeColor="text1"/>
          <w:vertAlign w:val="superscript"/>
          <w:lang w:val="es-ES_tradnl"/>
        </w:rPr>
        <w:footnoteReference w:id="3"/>
      </w:r>
      <w:r>
        <w:rPr>
          <w:rFonts w:ascii="Arial" w:hAnsi="Arial" w:cs="Arial"/>
          <w:color w:val="000000" w:themeColor="text1"/>
          <w:lang w:val="es-ES_tradnl"/>
        </w:rPr>
        <w:t xml:space="preserve">. </w:t>
      </w:r>
      <w:r w:rsidRPr="00192DD0">
        <w:rPr>
          <w:rFonts w:ascii="Arial" w:hAnsi="Arial" w:cs="Arial"/>
          <w:color w:val="000000" w:themeColor="text1"/>
          <w:lang w:val="es-ES_tradnl"/>
        </w:rPr>
        <w:t>En lo pertinente, algunas consideraciones realizadas en los conceptos mencionados se reiteran a continuación</w:t>
      </w:r>
      <w:r>
        <w:rPr>
          <w:rFonts w:ascii="Arial" w:hAnsi="Arial" w:cs="Arial"/>
          <w:color w:val="000000" w:themeColor="text1"/>
          <w:lang w:val="es-ES_tradnl"/>
        </w:rPr>
        <w:t xml:space="preserve"> y se complementan en lo pertinente</w:t>
      </w:r>
      <w:r w:rsidRPr="00192DD0">
        <w:rPr>
          <w:rFonts w:ascii="Arial" w:hAnsi="Arial" w:cs="Arial"/>
          <w:color w:val="000000" w:themeColor="text1"/>
          <w:lang w:val="es-ES_tradnl"/>
        </w:rPr>
        <w:t>.</w:t>
      </w:r>
    </w:p>
    <w:p w:rsidR="006622B3" w:rsidP="006622B3" w:rsidRDefault="006622B3" w14:paraId="5A2F7117" w14:textId="77777777">
      <w:pPr>
        <w:spacing w:after="0" w:line="276" w:lineRule="auto"/>
        <w:jc w:val="both"/>
        <w:rPr>
          <w:rFonts w:ascii="Arial" w:hAnsi="Arial" w:cs="Arial"/>
          <w:color w:val="000000" w:themeColor="text1"/>
          <w:lang w:val="es-ES_tradnl"/>
        </w:rPr>
      </w:pPr>
    </w:p>
    <w:p w:rsidRPr="00FB77CF" w:rsidR="006622B3" w:rsidP="006622B3" w:rsidRDefault="006622B3" w14:paraId="6912579E" w14:textId="77777777">
      <w:pPr>
        <w:widowControl w:val="0"/>
        <w:tabs>
          <w:tab w:val="left" w:pos="728"/>
        </w:tabs>
        <w:autoSpaceDE w:val="0"/>
        <w:autoSpaceDN w:val="0"/>
        <w:spacing w:after="0" w:line="276" w:lineRule="auto"/>
        <w:jc w:val="both"/>
        <w:rPr>
          <w:rFonts w:ascii="Arial" w:hAnsi="Arial" w:eastAsia="Arial" w:cs="Arial"/>
          <w:b/>
          <w:bCs/>
        </w:rPr>
      </w:pPr>
      <w:r>
        <w:rPr>
          <w:rFonts w:ascii="Arial" w:hAnsi="Arial" w:eastAsia="Arial" w:cs="Arial"/>
          <w:b/>
          <w:bCs/>
        </w:rPr>
        <w:t xml:space="preserve">2.1. </w:t>
      </w:r>
      <w:r w:rsidRPr="00FB77CF">
        <w:rPr>
          <w:rFonts w:ascii="Arial" w:hAnsi="Arial" w:eastAsia="Arial" w:cs="Arial"/>
          <w:b/>
          <w:bCs/>
        </w:rPr>
        <w:t xml:space="preserve">Principio de publicidad y acceso a la información pública </w:t>
      </w:r>
    </w:p>
    <w:p w:rsidRPr="00842EFF" w:rsidR="006622B3" w:rsidP="006622B3" w:rsidRDefault="006622B3" w14:paraId="7FB8478C" w14:textId="77777777">
      <w:pPr>
        <w:pStyle w:val="Prrafodelista"/>
        <w:widowControl w:val="0"/>
        <w:tabs>
          <w:tab w:val="left" w:pos="728"/>
        </w:tabs>
        <w:autoSpaceDE w:val="0"/>
        <w:autoSpaceDN w:val="0"/>
        <w:spacing w:after="0" w:line="276" w:lineRule="auto"/>
        <w:ind w:left="1080"/>
        <w:jc w:val="both"/>
        <w:rPr>
          <w:rFonts w:ascii="Arial" w:hAnsi="Arial" w:eastAsia="Arial" w:cs="Arial"/>
          <w:b/>
          <w:bCs/>
        </w:rPr>
      </w:pPr>
    </w:p>
    <w:p w:rsidRPr="00842EFF" w:rsidR="006622B3" w:rsidP="006622B3" w:rsidRDefault="006622B3" w14:paraId="5B9DCF6D" w14:textId="77777777">
      <w:pPr>
        <w:widowControl w:val="0"/>
        <w:tabs>
          <w:tab w:val="left" w:pos="728"/>
        </w:tabs>
        <w:autoSpaceDE w:val="0"/>
        <w:autoSpaceDN w:val="0"/>
        <w:spacing w:after="0" w:line="276" w:lineRule="auto"/>
        <w:jc w:val="both"/>
        <w:rPr>
          <w:rFonts w:ascii="Arial" w:hAnsi="Arial" w:eastAsia="Arial" w:cs="Arial"/>
          <w:b/>
          <w:lang w:val="es-ES"/>
        </w:rPr>
      </w:pPr>
      <w:r w:rsidRPr="00842EFF">
        <w:rPr>
          <w:rFonts w:ascii="Arial" w:hAnsi="Arial" w:eastAsia="Arial" w:cs="Arial"/>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rsidRPr="00842EFF" w:rsidR="006622B3" w:rsidP="006622B3" w:rsidRDefault="006622B3" w14:paraId="502B7551" w14:textId="77777777">
      <w:pPr>
        <w:widowControl w:val="0"/>
        <w:tabs>
          <w:tab w:val="left" w:pos="728"/>
        </w:tabs>
        <w:autoSpaceDE w:val="0"/>
        <w:autoSpaceDN w:val="0"/>
        <w:spacing w:after="0" w:line="276" w:lineRule="auto"/>
        <w:jc w:val="both"/>
        <w:rPr>
          <w:rFonts w:ascii="Arial" w:hAnsi="Arial" w:eastAsia="Arial" w:cs="Arial"/>
          <w:lang w:val="es-ES"/>
        </w:rPr>
      </w:pPr>
    </w:p>
    <w:p w:rsidRPr="00842EFF" w:rsidR="006622B3" w:rsidP="006622B3" w:rsidRDefault="006622B3" w14:paraId="2E4093C5" w14:textId="77777777">
      <w:pPr>
        <w:widowControl w:val="0"/>
        <w:tabs>
          <w:tab w:val="left" w:pos="728"/>
        </w:tabs>
        <w:autoSpaceDE w:val="0"/>
        <w:autoSpaceDN w:val="0"/>
        <w:spacing w:after="120" w:line="240" w:lineRule="auto"/>
        <w:ind w:left="709" w:right="709"/>
        <w:jc w:val="both"/>
        <w:rPr>
          <w:rFonts w:ascii="Arial" w:hAnsi="Arial" w:eastAsia="Arial" w:cs="Arial"/>
          <w:sz w:val="21"/>
          <w:szCs w:val="21"/>
          <w:lang w:val="es-ES"/>
        </w:rPr>
      </w:pPr>
      <w:r w:rsidRPr="00842EFF">
        <w:rPr>
          <w:rFonts w:ascii="Arial" w:hAnsi="Arial" w:eastAsia="Arial" w:cs="Arial"/>
          <w:sz w:val="21"/>
          <w:szCs w:val="21"/>
          <w:lang w:val="es-ES"/>
        </w:rPr>
        <w:t xml:space="preserve">El principio de publicidad se encuentra consagrado en el artículo 209 de la Constitución Política, que señala que la función administrativa está al servicio de los intereses generales y se desarrolla con fundamento entre otros, en el </w:t>
      </w:r>
      <w:r>
        <w:rPr>
          <w:rFonts w:ascii="Arial" w:hAnsi="Arial" w:eastAsia="Arial" w:cs="Arial"/>
          <w:sz w:val="21"/>
          <w:szCs w:val="21"/>
          <w:lang w:val="es-ES"/>
        </w:rPr>
        <w:t>“</w:t>
      </w:r>
      <w:r w:rsidRPr="00842EFF">
        <w:rPr>
          <w:rFonts w:ascii="Arial" w:hAnsi="Arial" w:eastAsia="Arial" w:cs="Arial"/>
          <w:sz w:val="21"/>
          <w:szCs w:val="21"/>
          <w:lang w:val="es-ES"/>
        </w:rPr>
        <w:t>principio de publicidad</w:t>
      </w:r>
      <w:r>
        <w:rPr>
          <w:rFonts w:ascii="Arial" w:hAnsi="Arial" w:eastAsia="Arial" w:cs="Arial"/>
          <w:sz w:val="21"/>
          <w:szCs w:val="21"/>
          <w:lang w:val="es-ES"/>
        </w:rPr>
        <w:t>”</w:t>
      </w:r>
      <w:r w:rsidRPr="00842EFF">
        <w:rPr>
          <w:rFonts w:ascii="Arial" w:hAnsi="Arial" w:eastAsia="Arial" w:cs="Arial"/>
          <w:sz w:val="21"/>
          <w:szCs w:val="21"/>
          <w:lang w:val="es-ES"/>
        </w:rPr>
        <w:t xml:space="preserve">, </w:t>
      </w:r>
      <w:r w:rsidRPr="00842EFF">
        <w:rPr>
          <w:rFonts w:ascii="Arial" w:hAnsi="Arial" w:eastAsia="Arial" w:cs="Arial"/>
          <w:sz w:val="21"/>
          <w:szCs w:val="21"/>
          <w:lang w:val="es-ES"/>
        </w:rPr>
        <w:t>el cual se evidencia en dos dimensiones.</w:t>
      </w:r>
    </w:p>
    <w:p w:rsidRPr="00842EFF" w:rsidR="006622B3" w:rsidP="006622B3" w:rsidRDefault="006622B3" w14:paraId="7E71C341" w14:textId="77777777">
      <w:pPr>
        <w:widowControl w:val="0"/>
        <w:tabs>
          <w:tab w:val="left" w:pos="728"/>
        </w:tabs>
        <w:autoSpaceDE w:val="0"/>
        <w:autoSpaceDN w:val="0"/>
        <w:spacing w:after="0" w:line="240" w:lineRule="auto"/>
        <w:ind w:left="709" w:right="709"/>
        <w:jc w:val="both"/>
        <w:rPr>
          <w:rFonts w:ascii="Arial" w:hAnsi="Arial" w:eastAsia="Arial" w:cs="Arial"/>
          <w:sz w:val="21"/>
          <w:szCs w:val="21"/>
          <w:lang w:val="es-ES"/>
        </w:rPr>
      </w:pPr>
      <w:r w:rsidRPr="00842EFF">
        <w:rPr>
          <w:rFonts w:ascii="Arial" w:hAnsi="Arial" w:eastAsia="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842EFF">
        <w:rPr>
          <w:rFonts w:ascii="Arial" w:hAnsi="Arial" w:eastAsia="Arial" w:cs="Arial"/>
          <w:sz w:val="21"/>
          <w:szCs w:val="21"/>
          <w:lang w:val="es-ES"/>
        </w:rPr>
        <w:t>autoridades públicas</w:t>
      </w:r>
      <w:proofErr w:type="gramEnd"/>
      <w:r w:rsidRPr="00842EFF">
        <w:rPr>
          <w:rFonts w:ascii="Arial" w:hAnsi="Arial" w:eastAsia="Arial" w:cs="Arial"/>
          <w:sz w:val="21"/>
          <w:szCs w:val="21"/>
          <w:lang w:val="es-ES"/>
        </w:rPr>
        <w:t xml:space="preserve"> y, a través de ese conocimiento, a exigir que ellas se surtan conforme a la ley</w:t>
      </w:r>
      <w:r w:rsidRPr="00842EFF">
        <w:rPr>
          <w:rFonts w:ascii="Arial" w:hAnsi="Arial" w:eastAsia="Arial" w:cs="Arial"/>
          <w:sz w:val="21"/>
          <w:szCs w:val="21"/>
          <w:vertAlign w:val="superscript"/>
          <w:lang w:val="es-ES"/>
        </w:rPr>
        <w:footnoteReference w:id="4"/>
      </w:r>
      <w:r w:rsidRPr="00842EFF">
        <w:rPr>
          <w:rFonts w:ascii="Arial" w:hAnsi="Arial" w:eastAsia="Arial" w:cs="Arial"/>
          <w:sz w:val="21"/>
          <w:szCs w:val="21"/>
          <w:lang w:val="es-ES"/>
        </w:rPr>
        <w:t>.</w:t>
      </w:r>
    </w:p>
    <w:p w:rsidRPr="00842EFF" w:rsidR="006622B3" w:rsidP="006622B3" w:rsidRDefault="006622B3" w14:paraId="6D5C9AE2" w14:textId="77777777">
      <w:pPr>
        <w:widowControl w:val="0"/>
        <w:tabs>
          <w:tab w:val="left" w:pos="728"/>
        </w:tabs>
        <w:autoSpaceDE w:val="0"/>
        <w:autoSpaceDN w:val="0"/>
        <w:spacing w:after="0" w:line="276" w:lineRule="auto"/>
        <w:jc w:val="both"/>
        <w:rPr>
          <w:rFonts w:ascii="Arial" w:hAnsi="Arial" w:eastAsia="Arial" w:cs="Arial"/>
          <w:lang w:val="es-ES"/>
        </w:rPr>
      </w:pPr>
    </w:p>
    <w:p w:rsidRPr="00842EFF" w:rsidR="006622B3" w:rsidP="006622B3" w:rsidRDefault="006622B3" w14:paraId="14AEBD20" w14:textId="77777777">
      <w:pPr>
        <w:widowControl w:val="0"/>
        <w:tabs>
          <w:tab w:val="left" w:pos="728"/>
        </w:tabs>
        <w:autoSpaceDE w:val="0"/>
        <w:autoSpaceDN w:val="0"/>
        <w:spacing w:after="120" w:line="276" w:lineRule="auto"/>
        <w:jc w:val="both"/>
        <w:rPr>
          <w:rFonts w:ascii="Arial" w:hAnsi="Arial" w:eastAsia="Arial" w:cs="Arial"/>
          <w:lang w:val="es-ES"/>
        </w:rPr>
      </w:pPr>
      <w:r w:rsidRPr="00842EFF">
        <w:rPr>
          <w:rFonts w:ascii="Arial" w:hAnsi="Arial" w:eastAsia="Arial" w:cs="Arial"/>
          <w:lang w:val="es-ES"/>
        </w:rPr>
        <w:tab/>
      </w:r>
      <w:r w:rsidRPr="00842EFF">
        <w:rPr>
          <w:rFonts w:ascii="Arial" w:hAnsi="Arial" w:eastAsia="Arial" w:cs="Arial"/>
          <w:lang w:val="es-ES"/>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w:t>
      </w:r>
      <w:r>
        <w:rPr>
          <w:rFonts w:ascii="Arial" w:hAnsi="Arial" w:eastAsia="Arial" w:cs="Arial"/>
          <w:lang w:val="es-ES"/>
        </w:rPr>
        <w:t>“</w:t>
      </w:r>
      <w:r w:rsidRPr="00842EFF">
        <w:rPr>
          <w:rFonts w:ascii="Arial" w:hAnsi="Arial" w:eastAsia="Arial" w:cs="Arial"/>
          <w:lang w:val="es-ES"/>
        </w:rPr>
        <w:t>contará con la información oficial de la contratación realizada con dineros públicos, para lo cual establecerá los patrones a que haya lugar y se encargará de su difusión a través de canales electrónicos</w:t>
      </w:r>
      <w:r>
        <w:rPr>
          <w:rFonts w:ascii="Arial" w:hAnsi="Arial" w:eastAsia="Arial" w:cs="Arial"/>
          <w:lang w:val="es-ES"/>
        </w:rPr>
        <w:t>”</w:t>
      </w:r>
      <w:r w:rsidRPr="00842EFF">
        <w:rPr>
          <w:rFonts w:ascii="Arial" w:hAnsi="Arial" w:eastAsia="Arial" w:cs="Arial"/>
          <w:vertAlign w:val="superscript"/>
          <w:lang w:val="es-ES"/>
        </w:rPr>
        <w:footnoteReference w:id="5"/>
      </w:r>
      <w:r w:rsidRPr="00842EFF">
        <w:rPr>
          <w:rFonts w:ascii="Arial" w:hAnsi="Arial" w:eastAsia="Arial" w:cs="Arial"/>
          <w:lang w:val="es-ES"/>
        </w:rPr>
        <w:t xml:space="preserve">. </w:t>
      </w:r>
    </w:p>
    <w:p w:rsidRPr="00842EFF" w:rsidR="006622B3" w:rsidP="006622B3" w:rsidRDefault="006622B3" w14:paraId="0E9A3332" w14:textId="77777777">
      <w:pPr>
        <w:widowControl w:val="0"/>
        <w:tabs>
          <w:tab w:val="left" w:pos="728"/>
        </w:tabs>
        <w:autoSpaceDE w:val="0"/>
        <w:autoSpaceDN w:val="0"/>
        <w:spacing w:after="120" w:line="276" w:lineRule="auto"/>
        <w:jc w:val="both"/>
        <w:rPr>
          <w:rFonts w:ascii="Arial" w:hAnsi="Arial" w:eastAsia="Arial" w:cs="Arial"/>
          <w:lang w:val="es-ES"/>
        </w:rPr>
      </w:pPr>
      <w:r w:rsidRPr="00842EFF">
        <w:rPr>
          <w:rFonts w:ascii="Arial" w:hAnsi="Arial" w:eastAsia="Arial" w:cs="Arial"/>
          <w:lang w:val="es-ES"/>
        </w:rPr>
        <w:tab/>
      </w:r>
      <w:r w:rsidRPr="00842EFF">
        <w:rPr>
          <w:rFonts w:ascii="Arial" w:hAnsi="Arial" w:eastAsia="Arial" w:cs="Arial"/>
          <w:lang w:val="es-ES"/>
        </w:rPr>
        <w:t xml:space="preserve">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w:t>
      </w:r>
      <w:r>
        <w:rPr>
          <w:rFonts w:ascii="Arial" w:hAnsi="Arial" w:eastAsia="Arial" w:cs="Arial"/>
          <w:lang w:val="es-ES"/>
        </w:rPr>
        <w:t>“</w:t>
      </w:r>
      <w:r w:rsidRPr="00842EFF">
        <w:rPr>
          <w:rFonts w:ascii="Arial" w:hAnsi="Arial" w:eastAsia="Arial" w:cs="Arial"/>
          <w:lang w:val="es-ES"/>
        </w:rPr>
        <w:t>toda información en posesión, bajo control o custodia de un sujeto obligado es pública y no podrá ser reservada o limitada sino por disposición constitucional o legal</w:t>
      </w:r>
      <w:r>
        <w:rPr>
          <w:rFonts w:ascii="Arial" w:hAnsi="Arial" w:eastAsia="Arial" w:cs="Arial"/>
          <w:lang w:val="es-ES"/>
        </w:rPr>
        <w:t>”</w:t>
      </w:r>
      <w:r w:rsidRPr="00842EFF">
        <w:rPr>
          <w:rFonts w:ascii="Arial" w:hAnsi="Arial" w:eastAsia="Arial" w:cs="Arial"/>
          <w:vertAlign w:val="superscript"/>
          <w:lang w:val="es-ES"/>
        </w:rPr>
        <w:footnoteReference w:id="6"/>
      </w:r>
      <w:r w:rsidRPr="00842EFF">
        <w:rPr>
          <w:rFonts w:ascii="Arial" w:hAnsi="Arial" w:eastAsia="Arial" w:cs="Arial"/>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842EFF" w:rsidR="006622B3" w:rsidP="006622B3" w:rsidRDefault="006622B3" w14:paraId="4CAAABFA" w14:textId="77777777">
      <w:pPr>
        <w:widowControl w:val="0"/>
        <w:tabs>
          <w:tab w:val="left" w:pos="728"/>
        </w:tabs>
        <w:autoSpaceDE w:val="0"/>
        <w:autoSpaceDN w:val="0"/>
        <w:spacing w:after="120" w:line="276" w:lineRule="auto"/>
        <w:jc w:val="both"/>
        <w:rPr>
          <w:rFonts w:ascii="Arial" w:hAnsi="Arial" w:eastAsia="Arial" w:cs="Arial"/>
          <w:lang w:val="es-ES"/>
        </w:rPr>
      </w:pPr>
      <w:r w:rsidRPr="00842EFF">
        <w:rPr>
          <w:rFonts w:ascii="Arial" w:hAnsi="Arial" w:eastAsia="Arial" w:cs="Arial"/>
          <w:lang w:val="es-ES"/>
        </w:rPr>
        <w:tab/>
      </w:r>
      <w:r w:rsidRPr="00842EFF">
        <w:rPr>
          <w:rFonts w:ascii="Arial" w:hAnsi="Arial" w:eastAsia="Arial" w:cs="Arial"/>
          <w:lang w:val="es-ES"/>
        </w:rPr>
        <w:t>La ley citada establece, en el literal e) del artículo 9, que los sujetos obligados, que son todas las entidades públicas</w:t>
      </w:r>
      <w:r w:rsidRPr="00842EFF">
        <w:rPr>
          <w:rFonts w:ascii="Arial" w:hAnsi="Arial" w:eastAsia="Arial" w:cs="Arial"/>
          <w:vertAlign w:val="superscript"/>
          <w:lang w:val="es-ES"/>
        </w:rPr>
        <w:footnoteReference w:id="7"/>
      </w:r>
      <w:r w:rsidRPr="00842EFF">
        <w:rPr>
          <w:rFonts w:ascii="Arial" w:hAnsi="Arial" w:eastAsia="Arial" w:cs="Arial"/>
          <w:lang w:val="es-ES"/>
        </w:rPr>
        <w:t xml:space="preserve">, deben publicar la información relativa a su contratación. Esta </w:t>
      </w:r>
      <w:r w:rsidRPr="00842EFF">
        <w:rPr>
          <w:rFonts w:ascii="Arial" w:hAnsi="Arial" w:eastAsia="Arial" w:cs="Arial"/>
          <w:lang w:val="es-ES"/>
        </w:rPr>
        <w:t>obligación fue en principio desarrollada por el Decreto 103 de 2015, hoy compilado en el Decreto Único Reglamentario 1081 de 2015</w:t>
      </w:r>
      <w:r w:rsidRPr="00842EFF">
        <w:rPr>
          <w:rFonts w:ascii="Arial" w:hAnsi="Arial" w:eastAsia="Arial" w:cs="Arial"/>
          <w:vertAlign w:val="superscript"/>
          <w:lang w:val="es-ES"/>
        </w:rPr>
        <w:footnoteReference w:id="8"/>
      </w:r>
      <w:r w:rsidRPr="00842EFF">
        <w:rPr>
          <w:rFonts w:ascii="Arial" w:hAnsi="Arial" w:eastAsia="Arial" w:cs="Arial"/>
          <w:lang w:val="es-ES"/>
        </w:rPr>
        <w:t>, el cual dispuso que la publicación de la información contractual de los sujetos obligados, que contratan con cargo a recursos públicos, debe hacerse en el Sistema Electrónico de Contratación Pública –SECOP–.</w:t>
      </w:r>
    </w:p>
    <w:p w:rsidRPr="00842EFF" w:rsidR="006622B3" w:rsidP="006622B3" w:rsidRDefault="006622B3" w14:paraId="4A94731B" w14:textId="77777777">
      <w:pPr>
        <w:widowControl w:val="0"/>
        <w:tabs>
          <w:tab w:val="left" w:pos="728"/>
        </w:tabs>
        <w:autoSpaceDE w:val="0"/>
        <w:autoSpaceDN w:val="0"/>
        <w:spacing w:after="120" w:line="276" w:lineRule="auto"/>
        <w:jc w:val="both"/>
        <w:rPr>
          <w:rFonts w:ascii="Arial" w:hAnsi="Arial" w:eastAsia="Arial" w:cs="Arial"/>
          <w:lang w:val="es-ES"/>
        </w:rPr>
      </w:pPr>
      <w:r w:rsidRPr="00842EFF">
        <w:rPr>
          <w:rFonts w:ascii="Arial" w:hAnsi="Arial" w:eastAsia="Arial" w:cs="Arial"/>
          <w:lang w:val="es-ES"/>
        </w:rPr>
        <w:tab/>
      </w:r>
      <w:r w:rsidRPr="00842EFF">
        <w:rPr>
          <w:rFonts w:ascii="Arial" w:hAnsi="Arial" w:eastAsia="Arial" w:cs="Arial"/>
          <w:lang w:val="es-ES"/>
        </w:rPr>
        <w:t xml:space="preserve">Asimismo, de acuerdo con el literal g) del artículo 11 de la misma Ley, todos los destinatarios de la ley de transparencia deben garantizar la publicidad de </w:t>
      </w:r>
      <w:r>
        <w:rPr>
          <w:rFonts w:ascii="Arial" w:hAnsi="Arial" w:eastAsia="Arial" w:cs="Arial"/>
          <w:lang w:val="es-ES"/>
        </w:rPr>
        <w:t>“</w:t>
      </w:r>
      <w:r w:rsidRPr="00842EFF">
        <w:rPr>
          <w:rFonts w:ascii="Arial" w:hAnsi="Arial" w:eastAsia="Arial" w:cs="Arial"/>
          <w:lang w:val="es-ES"/>
        </w:rPr>
        <w:t>sus procedimientos, lineamientos, políticas en materia de adquisiciones y compras, así como todos los datos de adjudicación y ejecución de contratos, incluidos concursos y licitaciones</w:t>
      </w:r>
      <w:r>
        <w:rPr>
          <w:rFonts w:ascii="Arial" w:hAnsi="Arial" w:eastAsia="Arial" w:cs="Arial"/>
          <w:lang w:val="es-ES"/>
        </w:rPr>
        <w:t>”</w:t>
      </w:r>
      <w:r w:rsidRPr="00842EFF">
        <w:rPr>
          <w:rFonts w:ascii="Arial" w:hAnsi="Arial" w:eastAsia="Arial" w:cs="Arial"/>
          <w:lang w:val="es-ES"/>
        </w:rPr>
        <w:t>,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42EFF">
        <w:rPr>
          <w:rFonts w:ascii="Arial" w:hAnsi="Arial" w:eastAsia="Arial" w:cs="Arial"/>
          <w:vertAlign w:val="superscript"/>
          <w:lang w:val="es-ES"/>
        </w:rPr>
        <w:footnoteReference w:id="9"/>
      </w:r>
      <w:r w:rsidRPr="00842EFF">
        <w:rPr>
          <w:rFonts w:ascii="Arial" w:hAnsi="Arial" w:eastAsia="Arial" w:cs="Arial"/>
          <w:lang w:val="es-ES"/>
        </w:rPr>
        <w:t>.</w:t>
      </w:r>
    </w:p>
    <w:p w:rsidRPr="00842EFF" w:rsidR="006622B3" w:rsidP="006622B3" w:rsidRDefault="006622B3" w14:paraId="3C10B21E" w14:textId="77777777">
      <w:pPr>
        <w:widowControl w:val="0"/>
        <w:tabs>
          <w:tab w:val="left" w:pos="728"/>
        </w:tabs>
        <w:autoSpaceDE w:val="0"/>
        <w:autoSpaceDN w:val="0"/>
        <w:spacing w:after="0" w:line="276" w:lineRule="auto"/>
        <w:jc w:val="both"/>
        <w:rPr>
          <w:rFonts w:ascii="Arial" w:hAnsi="Arial" w:cs="Arial"/>
          <w:lang w:val="es-ES"/>
        </w:rPr>
      </w:pPr>
      <w:r w:rsidRPr="00842EFF">
        <w:rPr>
          <w:rFonts w:ascii="Arial" w:hAnsi="Arial" w:eastAsia="Arial" w:cs="Arial"/>
          <w:lang w:val="es-ES"/>
        </w:rPr>
        <w:tab/>
      </w:r>
      <w:r w:rsidRPr="00842EFF">
        <w:rPr>
          <w:rFonts w:ascii="Arial" w:hAnsi="Arial" w:cs="Arial"/>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deben publicar</w:t>
      </w:r>
      <w:r>
        <w:rPr>
          <w:rFonts w:ascii="Arial" w:hAnsi="Arial" w:cs="Arial"/>
          <w:lang w:val="es-ES"/>
        </w:rPr>
        <w:t>se</w:t>
      </w:r>
      <w:r w:rsidRPr="00842EFF">
        <w:rPr>
          <w:rFonts w:ascii="Arial" w:hAnsi="Arial" w:cs="Arial"/>
          <w:lang w:val="es-ES"/>
        </w:rPr>
        <w:t xml:space="preserve"> y al SECOP como medio de publicación</w:t>
      </w:r>
      <w:r w:rsidRPr="00842EFF">
        <w:rPr>
          <w:rFonts w:ascii="Arial" w:hAnsi="Arial" w:cs="Arial"/>
          <w:vertAlign w:val="superscript"/>
          <w:lang w:val="es-ES"/>
        </w:rPr>
        <w:footnoteReference w:id="10"/>
      </w:r>
      <w:r w:rsidRPr="00842EFF">
        <w:rPr>
          <w:rFonts w:ascii="Arial" w:hAnsi="Arial" w:cs="Arial"/>
          <w:lang w:val="es-ES"/>
        </w:rPr>
        <w:t>,  lo que permite controlar las actuaciones y decisiones de la Administración y el cumplimiento de los demás principios de la contratación pública. Así lo confirma el Consejo de Estado, analizando el principio de publicidad:</w:t>
      </w:r>
    </w:p>
    <w:p w:rsidRPr="009B3335" w:rsidR="006622B3" w:rsidP="006622B3" w:rsidRDefault="006622B3" w14:paraId="678E0489" w14:textId="77777777">
      <w:pPr>
        <w:spacing w:after="0"/>
        <w:ind w:left="709" w:right="709"/>
        <w:jc w:val="both"/>
        <w:rPr>
          <w:rFonts w:ascii="Arial" w:hAnsi="Arial" w:cs="Arial"/>
          <w:lang w:val="es-ES"/>
        </w:rPr>
      </w:pPr>
    </w:p>
    <w:p w:rsidRPr="00842EFF" w:rsidR="006622B3" w:rsidP="006622B3" w:rsidRDefault="006622B3" w14:paraId="4E50DB3A" w14:textId="77777777">
      <w:pPr>
        <w:spacing w:after="120" w:line="240" w:lineRule="auto"/>
        <w:ind w:left="709" w:right="709"/>
        <w:jc w:val="both"/>
        <w:rPr>
          <w:rFonts w:ascii="Arial" w:hAnsi="Arial" w:cs="Arial"/>
          <w:sz w:val="21"/>
          <w:szCs w:val="21"/>
          <w:lang w:val="es-ES"/>
        </w:rPr>
      </w:pPr>
      <w:r w:rsidRPr="00842EFF">
        <w:rPr>
          <w:rFonts w:ascii="Arial" w:hAnsi="Arial" w:cs="Arial"/>
          <w:sz w:val="21"/>
          <w:szCs w:val="21"/>
          <w:lang w:val="es-ES"/>
        </w:rPr>
        <w:t xml:space="preserve">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w:t>
      </w:r>
      <w:r w:rsidRPr="00842EFF">
        <w:rPr>
          <w:rFonts w:ascii="Arial" w:hAnsi="Arial" w:cs="Arial"/>
          <w:sz w:val="21"/>
          <w:szCs w:val="21"/>
          <w:lang w:val="es-ES"/>
        </w:rPr>
        <w:t>decisiones y su motivación para hacerlas saber a quiénes va dirigida, de manera que puedan ser obligatorias, controvertibles y controlables.</w:t>
      </w:r>
    </w:p>
    <w:p w:rsidRPr="00842EFF" w:rsidR="006622B3" w:rsidP="006622B3" w:rsidRDefault="006622B3" w14:paraId="0EF729A6" w14:textId="77777777">
      <w:pPr>
        <w:spacing w:after="120" w:line="240" w:lineRule="auto"/>
        <w:ind w:left="709" w:right="709"/>
        <w:jc w:val="both"/>
        <w:rPr>
          <w:rFonts w:ascii="Arial" w:hAnsi="Arial" w:cs="Arial"/>
          <w:sz w:val="21"/>
          <w:szCs w:val="21"/>
          <w:lang w:val="es-ES"/>
        </w:rPr>
      </w:pPr>
      <w:r w:rsidRPr="00842EFF">
        <w:rPr>
          <w:rFonts w:ascii="Arial"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842EFF">
        <w:rPr>
          <w:rFonts w:ascii="Arial" w:hAnsi="Arial" w:cs="Arial"/>
          <w:sz w:val="21"/>
          <w:szCs w:val="21"/>
          <w:lang w:val="es-ES"/>
        </w:rPr>
        <w:t>ibídem</w:t>
      </w:r>
      <w:proofErr w:type="spellEnd"/>
      <w:r w:rsidRPr="00842EFF">
        <w:rPr>
          <w:rFonts w:ascii="Arial" w:hAnsi="Arial" w:cs="Arial"/>
          <w:sz w:val="21"/>
          <w:szCs w:val="21"/>
          <w:lang w:val="es-ES"/>
        </w:rPr>
        <w:t xml:space="preserve"> en armonía con el artículo 273 de la Constitución Política).</w:t>
      </w:r>
    </w:p>
    <w:p w:rsidRPr="00842EFF" w:rsidR="006622B3" w:rsidP="006622B3" w:rsidRDefault="006622B3" w14:paraId="3B057629" w14:textId="77777777">
      <w:pPr>
        <w:spacing w:after="0" w:line="240" w:lineRule="auto"/>
        <w:ind w:left="709" w:right="709"/>
        <w:jc w:val="both"/>
        <w:rPr>
          <w:rFonts w:ascii="Arial" w:hAnsi="Arial" w:cs="Arial"/>
          <w:sz w:val="21"/>
          <w:szCs w:val="21"/>
          <w:lang w:val="es-ES"/>
        </w:rPr>
      </w:pPr>
      <w:r w:rsidRPr="00842EFF">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842EFF">
        <w:rPr>
          <w:rFonts w:ascii="Arial" w:hAnsi="Arial" w:cs="Arial"/>
          <w:sz w:val="21"/>
          <w:szCs w:val="21"/>
          <w:vertAlign w:val="superscript"/>
          <w:lang w:val="es-ES"/>
        </w:rPr>
        <w:footnoteReference w:id="11"/>
      </w:r>
      <w:r w:rsidRPr="00842EFF">
        <w:rPr>
          <w:rFonts w:ascii="Arial" w:hAnsi="Arial" w:cs="Arial"/>
          <w:sz w:val="21"/>
          <w:szCs w:val="21"/>
          <w:lang w:val="es-ES"/>
        </w:rPr>
        <w:t>.</w:t>
      </w:r>
    </w:p>
    <w:p w:rsidRPr="009B3335" w:rsidR="006622B3" w:rsidP="006622B3" w:rsidRDefault="006622B3" w14:paraId="5B92C6DA" w14:textId="77777777">
      <w:pPr>
        <w:spacing w:after="0"/>
        <w:ind w:left="709" w:right="709"/>
        <w:jc w:val="both"/>
        <w:rPr>
          <w:rFonts w:ascii="Arial" w:hAnsi="Arial" w:cs="Arial"/>
          <w:lang w:val="es-ES"/>
        </w:rPr>
      </w:pPr>
    </w:p>
    <w:p w:rsidRPr="00842EFF" w:rsidR="006622B3" w:rsidP="006622B3" w:rsidRDefault="006622B3" w14:paraId="28E38FBC" w14:textId="77777777">
      <w:pPr>
        <w:spacing w:after="120" w:line="276" w:lineRule="auto"/>
        <w:ind w:firstLine="709"/>
        <w:jc w:val="both"/>
        <w:rPr>
          <w:rFonts w:ascii="Arial" w:hAnsi="Arial" w:cs="Arial"/>
          <w:lang w:val="es-ES"/>
        </w:rPr>
      </w:pPr>
      <w:r w:rsidRPr="00842EFF">
        <w:rPr>
          <w:rFonts w:ascii="Arial" w:hAnsi="Arial" w:cs="Arial"/>
          <w:lang w:val="es-ES"/>
        </w:rPr>
        <w:t xml:space="preserve">De acuerdo con esto, </w:t>
      </w:r>
      <w:bookmarkStart w:name="_Hlk135740478" w:id="6"/>
      <w:r w:rsidRPr="00842EFF">
        <w:rPr>
          <w:rFonts w:ascii="Arial" w:hAnsi="Arial" w:cs="Arial"/>
          <w:lang w:val="es-ES"/>
        </w:rPr>
        <w:t xml:space="preserve">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Conforme a lo anterior, la Agencia Nacional de Contratación Pública – Colombia Compra Eficiente, en el </w:t>
      </w:r>
      <w:r>
        <w:rPr>
          <w:rFonts w:ascii="Arial" w:hAnsi="Arial" w:cs="Arial"/>
          <w:lang w:val="es-ES"/>
        </w:rPr>
        <w:t>C</w:t>
      </w:r>
      <w:r w:rsidRPr="00842EFF">
        <w:rPr>
          <w:rFonts w:ascii="Arial" w:hAnsi="Arial" w:cs="Arial"/>
          <w:lang w:val="es-ES"/>
        </w:rPr>
        <w:t>oncepto</w:t>
      </w:r>
      <w:r>
        <w:rPr>
          <w:rFonts w:ascii="Arial" w:hAnsi="Arial" w:cs="Arial"/>
          <w:lang w:val="es-ES"/>
        </w:rPr>
        <w:t xml:space="preserve"> </w:t>
      </w:r>
      <w:r w:rsidRPr="00842EFF">
        <w:rPr>
          <w:rFonts w:ascii="Arial" w:hAnsi="Arial" w:cs="Arial"/>
          <w:lang w:val="es-ES"/>
        </w:rPr>
        <w:t>4201912000007289 de</w:t>
      </w:r>
      <w:r>
        <w:rPr>
          <w:rFonts w:ascii="Arial" w:hAnsi="Arial" w:cs="Arial"/>
          <w:lang w:val="es-ES"/>
        </w:rPr>
        <w:t>l</w:t>
      </w:r>
      <w:r w:rsidRPr="00842EFF">
        <w:rPr>
          <w:rFonts w:ascii="Arial" w:hAnsi="Arial" w:cs="Arial"/>
          <w:lang w:val="es-ES"/>
        </w:rPr>
        <w:t xml:space="preserve"> 4 de diciembre de 2019,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rsidRPr="00842EFF" w:rsidR="006622B3" w:rsidP="006622B3" w:rsidRDefault="006622B3" w14:paraId="3D0DE069" w14:textId="77777777">
      <w:pPr>
        <w:spacing w:after="0" w:line="276" w:lineRule="auto"/>
        <w:ind w:firstLine="709"/>
        <w:jc w:val="both"/>
        <w:rPr>
          <w:rFonts w:ascii="Arial" w:hAnsi="Arial" w:cs="Arial"/>
          <w:lang w:val="es-ES"/>
        </w:rPr>
      </w:pPr>
      <w:r w:rsidRPr="00842EFF">
        <w:rPr>
          <w:rFonts w:ascii="Arial" w:hAnsi="Arial" w:cs="Arial"/>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w:t>
      </w:r>
      <w:r>
        <w:rPr>
          <w:rFonts w:ascii="Arial" w:hAnsi="Arial" w:cs="Arial"/>
          <w:lang w:val="es-ES"/>
        </w:rPr>
        <w:t xml:space="preserve"> dado</w:t>
      </w:r>
      <w:r w:rsidRPr="00842EFF">
        <w:rPr>
          <w:rFonts w:ascii="Arial" w:hAnsi="Arial" w:cs="Arial"/>
          <w:lang w:val="es-ES"/>
        </w:rPr>
        <w:t xml:space="preserve"> que el objetivo del deber de dar publicidad a las actuaciones contractuales es materializar el derecho a conocer e intervenir </w:t>
      </w:r>
      <w:r>
        <w:rPr>
          <w:rFonts w:ascii="Arial" w:hAnsi="Arial" w:cs="Arial"/>
          <w:lang w:val="es-ES"/>
        </w:rPr>
        <w:t>en</w:t>
      </w:r>
      <w:r w:rsidRPr="00842EFF">
        <w:rPr>
          <w:rFonts w:ascii="Arial" w:hAnsi="Arial" w:cs="Arial"/>
          <w:lang w:val="es-ES"/>
        </w:rPr>
        <w:t xml:space="preserve"> las decisiones de la Administración Pública.</w:t>
      </w:r>
    </w:p>
    <w:bookmarkEnd w:id="6"/>
    <w:p w:rsidRPr="00842EFF" w:rsidR="006622B3" w:rsidP="006622B3" w:rsidRDefault="006622B3" w14:paraId="5866F010" w14:textId="77777777">
      <w:pPr>
        <w:spacing w:after="0" w:line="276" w:lineRule="auto"/>
        <w:jc w:val="both"/>
        <w:rPr>
          <w:rFonts w:ascii="Arial" w:hAnsi="Arial" w:eastAsia="Calibri" w:cs="Arial"/>
          <w:b/>
          <w:bCs/>
          <w:lang w:val="es-ES"/>
        </w:rPr>
      </w:pPr>
    </w:p>
    <w:p w:rsidRPr="00842EFF" w:rsidR="006622B3" w:rsidP="006622B3" w:rsidRDefault="006622B3" w14:paraId="00148071" w14:textId="77777777">
      <w:pPr>
        <w:spacing w:after="0" w:line="276" w:lineRule="auto"/>
        <w:jc w:val="both"/>
        <w:rPr>
          <w:rFonts w:ascii="Arial" w:hAnsi="Arial" w:eastAsia="Calibri" w:cs="Arial"/>
          <w:b/>
          <w:lang w:val="es-ES"/>
        </w:rPr>
      </w:pPr>
      <w:r w:rsidRPr="00842EFF">
        <w:rPr>
          <w:rFonts w:ascii="Arial" w:hAnsi="Arial" w:eastAsia="Calibri" w:cs="Arial"/>
          <w:b/>
          <w:bCs/>
          <w:lang w:val="es-ES"/>
        </w:rPr>
        <w:t xml:space="preserve">2.2. </w:t>
      </w:r>
      <w:r w:rsidRPr="00842EFF">
        <w:rPr>
          <w:rFonts w:ascii="Arial" w:hAnsi="Arial" w:eastAsia="Calibri" w:cs="Arial"/>
          <w:b/>
          <w:lang w:val="es-ES"/>
        </w:rPr>
        <w:t>Procedimientos contractuales</w:t>
      </w:r>
      <w:r>
        <w:rPr>
          <w:rFonts w:ascii="Arial" w:hAnsi="Arial" w:eastAsia="Calibri" w:cs="Arial"/>
          <w:b/>
          <w:lang w:val="es-ES"/>
        </w:rPr>
        <w:t xml:space="preserve"> </w:t>
      </w:r>
      <w:r w:rsidRPr="00842EFF">
        <w:rPr>
          <w:rFonts w:ascii="Arial" w:hAnsi="Arial" w:eastAsia="Calibri" w:cs="Arial"/>
          <w:b/>
          <w:lang w:val="es-ES"/>
        </w:rPr>
        <w:t>y documentos que deben publicar</w:t>
      </w:r>
      <w:r>
        <w:rPr>
          <w:rFonts w:ascii="Arial" w:hAnsi="Arial" w:eastAsia="Calibri" w:cs="Arial"/>
          <w:b/>
          <w:lang w:val="es-ES"/>
        </w:rPr>
        <w:t>se</w:t>
      </w:r>
      <w:r w:rsidRPr="00842EFF">
        <w:rPr>
          <w:rFonts w:ascii="Arial" w:hAnsi="Arial" w:eastAsia="Calibri" w:cs="Arial"/>
          <w:b/>
          <w:lang w:val="es-ES"/>
        </w:rPr>
        <w:t xml:space="preserve"> en el SECOP </w:t>
      </w:r>
      <w:r>
        <w:rPr>
          <w:rFonts w:ascii="Arial" w:hAnsi="Arial" w:eastAsia="Calibri" w:cs="Arial"/>
          <w:b/>
          <w:lang w:val="es-ES"/>
        </w:rPr>
        <w:t>tratándose de entidades sometidas al EGCAP</w:t>
      </w:r>
    </w:p>
    <w:p w:rsidR="006622B3" w:rsidP="006622B3" w:rsidRDefault="006622B3" w14:paraId="2D900E5F" w14:textId="77777777">
      <w:pPr>
        <w:spacing w:after="0" w:line="276" w:lineRule="auto"/>
        <w:jc w:val="both"/>
        <w:rPr>
          <w:rFonts w:ascii="Arial" w:hAnsi="Arial" w:eastAsia="Calibri" w:cs="Arial"/>
          <w:lang w:val="es-ES"/>
        </w:rPr>
      </w:pPr>
    </w:p>
    <w:p w:rsidRPr="00842EFF" w:rsidR="006622B3" w:rsidP="006622B3" w:rsidRDefault="006622B3" w14:paraId="0A842982" w14:textId="77777777">
      <w:pPr>
        <w:spacing w:after="120" w:line="276" w:lineRule="auto"/>
        <w:jc w:val="both"/>
        <w:rPr>
          <w:rFonts w:ascii="Arial" w:hAnsi="Arial" w:eastAsia="Calibri" w:cs="Arial"/>
          <w:lang w:val="es-ES"/>
        </w:rPr>
      </w:pPr>
      <w:r w:rsidRPr="00842EFF">
        <w:rPr>
          <w:rFonts w:ascii="Arial" w:hAnsi="Arial" w:eastAsia="Calibri" w:cs="Arial"/>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842EFF">
        <w:rPr>
          <w:rFonts w:ascii="Arial" w:hAnsi="Arial" w:eastAsia="Calibri" w:cs="Arial"/>
          <w:lang w:val="es-ES"/>
        </w:rPr>
        <w:t>2007</w:t>
      </w:r>
      <w:r>
        <w:rPr>
          <w:rFonts w:ascii="Arial" w:hAnsi="Arial" w:eastAsia="Calibri" w:cs="Arial"/>
          <w:lang w:val="es-ES"/>
        </w:rPr>
        <w:t xml:space="preserve"> </w:t>
      </w:r>
      <w:r w:rsidRPr="00842EFF">
        <w:rPr>
          <w:rFonts w:ascii="Arial" w:hAnsi="Arial" w:eastAsia="Calibri" w:cs="Arial"/>
          <w:lang w:val="es-ES"/>
        </w:rPr>
        <w:t xml:space="preserve"> ̶</w:t>
      </w:r>
      <w:proofErr w:type="gramEnd"/>
      <w:r w:rsidRPr="00842EFF">
        <w:rPr>
          <w:rFonts w:ascii="Arial" w:hAnsi="Arial" w:eastAsia="Calibri" w:cs="Arial"/>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842EFF">
        <w:rPr>
          <w:rFonts w:ascii="Arial" w:hAnsi="Arial" w:eastAsia="Calibri" w:cs="Arial"/>
          <w:vertAlign w:val="superscript"/>
          <w:lang w:val="es-ES"/>
        </w:rPr>
        <w:footnoteReference w:id="12"/>
      </w:r>
      <w:r w:rsidRPr="00842EFF">
        <w:rPr>
          <w:rFonts w:ascii="Arial" w:hAnsi="Arial" w:eastAsia="Calibri" w:cs="Arial"/>
          <w:lang w:val="es-ES"/>
        </w:rPr>
        <w:t>. Por consiguiente, para que los documentos de la actividad contractual se conozcan la entidad debe publicarlos, sin importar la modalidad de selección.</w:t>
      </w:r>
    </w:p>
    <w:p w:rsidRPr="00842EFF" w:rsidR="006622B3" w:rsidP="006622B3" w:rsidRDefault="006622B3" w14:paraId="0B391CEC" w14:textId="77777777">
      <w:pPr>
        <w:widowControl w:val="0"/>
        <w:autoSpaceDE w:val="0"/>
        <w:autoSpaceDN w:val="0"/>
        <w:spacing w:line="276" w:lineRule="auto"/>
        <w:ind w:firstLine="709"/>
        <w:jc w:val="both"/>
        <w:rPr>
          <w:rFonts w:ascii="Arial" w:hAnsi="Arial" w:eastAsia="Arial" w:cs="Arial"/>
          <w:lang w:val="es-ES"/>
        </w:rPr>
      </w:pPr>
      <w:r w:rsidRPr="00842EFF">
        <w:rPr>
          <w:rFonts w:ascii="Arial" w:hAnsi="Arial" w:eastAsia="Arial" w:cs="Arial"/>
          <w:lang w:val="es-ES"/>
        </w:rPr>
        <w:t xml:space="preserve">El artículo 3 de la Ley 1150 de 2007 señala que los actos relacionados con los procedimientos de contratación de las entidades estatales pueden ser electrónicos, al igual que su publicidad, por lo que el Gobierno nacional debe definir los medios para </w:t>
      </w:r>
      <w:r>
        <w:rPr>
          <w:rFonts w:ascii="Arial" w:hAnsi="Arial" w:eastAsia="Arial" w:cs="Arial"/>
          <w:lang w:val="es-ES"/>
        </w:rPr>
        <w:t>implementar</w:t>
      </w:r>
      <w:r w:rsidRPr="00842EFF">
        <w:rPr>
          <w:rFonts w:ascii="Arial" w:hAnsi="Arial" w:eastAsia="Arial" w:cs="Arial"/>
          <w:lang w:val="es-ES"/>
        </w:rPr>
        <w:t xml:space="preserve"> dicha publicidad, y tiene la obligación de desarrollar el SECOP</w:t>
      </w:r>
      <w:r w:rsidRPr="00842EFF">
        <w:rPr>
          <w:rFonts w:ascii="Arial" w:hAnsi="Arial" w:eastAsia="Arial" w:cs="Arial"/>
          <w:vertAlign w:val="superscript"/>
          <w:lang w:val="es-ES"/>
        </w:rPr>
        <w:footnoteReference w:id="13"/>
      </w:r>
      <w:r w:rsidRPr="00842EFF">
        <w:rPr>
          <w:rFonts w:ascii="Arial" w:hAnsi="Arial" w:eastAsia="Arial" w:cs="Arial"/>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rsidRPr="00842EFF" w:rsidR="006622B3" w:rsidP="006622B3" w:rsidRDefault="006622B3" w14:paraId="29174228" w14:textId="77777777">
      <w:pPr>
        <w:widowControl w:val="0"/>
        <w:autoSpaceDE w:val="0"/>
        <w:autoSpaceDN w:val="0"/>
        <w:spacing w:before="120" w:after="0" w:line="276" w:lineRule="auto"/>
        <w:ind w:firstLine="709"/>
        <w:jc w:val="both"/>
        <w:rPr>
          <w:rFonts w:ascii="Arial" w:hAnsi="Arial" w:eastAsia="Arial" w:cs="Arial"/>
          <w:lang w:val="es-ES"/>
        </w:rPr>
      </w:pPr>
      <w:r w:rsidRPr="00842EFF">
        <w:rPr>
          <w:rFonts w:ascii="Arial" w:hAnsi="Arial" w:eastAsia="Arial" w:cs="Arial"/>
          <w:lang w:val="es-ES"/>
        </w:rPr>
        <w:t xml:space="preserve">La norma citada genera un cambio en la contratación pública, ámbito en el que las </w:t>
      </w:r>
      <w:r w:rsidRPr="00842EFF">
        <w:rPr>
          <w:rFonts w:ascii="Arial" w:hAnsi="Arial" w:eastAsia="Arial" w:cs="Arial"/>
          <w:lang w:val="es-ES"/>
        </w:rPr>
        <w:t>actuaciones de las entidades se realizaban por escrito y en papel</w:t>
      </w:r>
      <w:r>
        <w:rPr>
          <w:rFonts w:ascii="Arial" w:hAnsi="Arial" w:eastAsia="Arial" w:cs="Arial"/>
          <w:lang w:val="es-ES"/>
        </w:rPr>
        <w:t>. A</w:t>
      </w:r>
      <w:r w:rsidRPr="00842EFF">
        <w:rPr>
          <w:rFonts w:ascii="Arial" w:hAnsi="Arial" w:eastAsia="Arial" w:cs="Arial"/>
          <w:lang w:val="es-ES"/>
        </w:rPr>
        <w:t xml:space="preserve">hora se crea un mecanismo eficiente que reduce costos, para que se cumpla el principio de publicidad, como un deber de las </w:t>
      </w:r>
      <w:proofErr w:type="gramStart"/>
      <w:r w:rsidRPr="00842EFF">
        <w:rPr>
          <w:rFonts w:ascii="Arial" w:hAnsi="Arial" w:eastAsia="Arial" w:cs="Arial"/>
          <w:lang w:val="es-ES"/>
        </w:rPr>
        <w:t>autoridades públicas</w:t>
      </w:r>
      <w:proofErr w:type="gramEnd"/>
      <w:r w:rsidRPr="00842EFF">
        <w:rPr>
          <w:rFonts w:ascii="Arial" w:hAnsi="Arial" w:eastAsia="Arial" w:cs="Arial"/>
          <w:lang w:val="es-ES"/>
        </w:rPr>
        <w:t xml:space="preserve"> en el ejercicio de las funciones administrativas que la ley les otorga.</w:t>
      </w:r>
      <w:r>
        <w:rPr>
          <w:rFonts w:ascii="Arial" w:hAnsi="Arial" w:eastAsia="Arial" w:cs="Arial"/>
          <w:lang w:val="es-ES"/>
        </w:rPr>
        <w:t xml:space="preserve"> </w:t>
      </w:r>
      <w:r w:rsidRPr="00842EFF">
        <w:rPr>
          <w:rFonts w:ascii="Arial" w:hAnsi="Arial" w:eastAsia="Arial" w:cs="Arial"/>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rsidRPr="00842EFF" w:rsidR="006622B3" w:rsidP="006622B3" w:rsidRDefault="006622B3" w14:paraId="7C51C9C0" w14:textId="77777777">
      <w:pPr>
        <w:widowControl w:val="0"/>
        <w:autoSpaceDE w:val="0"/>
        <w:autoSpaceDN w:val="0"/>
        <w:spacing w:after="0"/>
        <w:rPr>
          <w:rFonts w:ascii="Arial" w:hAnsi="Arial" w:eastAsia="Arial" w:cs="Arial"/>
          <w:sz w:val="25"/>
          <w:lang w:val="es-ES"/>
        </w:rPr>
      </w:pPr>
    </w:p>
    <w:p w:rsidRPr="00842EFF" w:rsidR="006622B3" w:rsidP="006622B3" w:rsidRDefault="006622B3" w14:paraId="68B5C70E" w14:textId="77777777">
      <w:pPr>
        <w:widowControl w:val="0"/>
        <w:autoSpaceDE w:val="0"/>
        <w:autoSpaceDN w:val="0"/>
        <w:spacing w:after="120" w:line="240" w:lineRule="auto"/>
        <w:ind w:left="709" w:right="709"/>
        <w:jc w:val="both"/>
        <w:rPr>
          <w:rFonts w:ascii="Arial" w:hAnsi="Arial" w:eastAsia="Arial" w:cs="Arial"/>
          <w:sz w:val="20"/>
          <w:lang w:val="es-ES"/>
        </w:rPr>
      </w:pPr>
      <w:r w:rsidRPr="00842EFF">
        <w:rPr>
          <w:rFonts w:ascii="Arial" w:hAnsi="Arial" w:eastAsia="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842EFF">
        <w:rPr>
          <w:rFonts w:ascii="Arial" w:hAnsi="Arial" w:eastAsia="Arial" w:cs="Arial"/>
          <w:spacing w:val="-6"/>
          <w:sz w:val="21"/>
          <w:lang w:val="es-ES"/>
        </w:rPr>
        <w:t xml:space="preserve"> </w:t>
      </w:r>
      <w:r w:rsidRPr="00842EFF">
        <w:rPr>
          <w:rFonts w:ascii="Arial" w:hAnsi="Arial" w:eastAsia="Arial" w:cs="Arial"/>
          <w:sz w:val="21"/>
          <w:lang w:val="es-ES"/>
        </w:rPr>
        <w:t>estatal.</w:t>
      </w:r>
    </w:p>
    <w:p w:rsidRPr="00842EFF" w:rsidR="006622B3" w:rsidP="006622B3" w:rsidRDefault="006622B3" w14:paraId="20A24B1D" w14:textId="77777777">
      <w:pPr>
        <w:widowControl w:val="0"/>
        <w:autoSpaceDE w:val="0"/>
        <w:autoSpaceDN w:val="0"/>
        <w:spacing w:before="1" w:after="0" w:line="240" w:lineRule="auto"/>
        <w:ind w:left="709" w:right="709"/>
        <w:jc w:val="both"/>
        <w:rPr>
          <w:rFonts w:ascii="Arial" w:hAnsi="Arial" w:eastAsia="Arial" w:cs="Arial"/>
          <w:sz w:val="21"/>
          <w:lang w:val="es-ES"/>
        </w:rPr>
      </w:pPr>
      <w:r w:rsidRPr="00842EFF">
        <w:rPr>
          <w:rFonts w:ascii="Arial" w:hAnsi="Arial" w:eastAsia="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842EFF">
        <w:rPr>
          <w:rFonts w:ascii="Arial" w:hAnsi="Arial" w:eastAsia="Arial" w:cs="Arial"/>
          <w:spacing w:val="-3"/>
          <w:sz w:val="21"/>
          <w:lang w:val="es-ES"/>
        </w:rPr>
        <w:t xml:space="preserve">Y, </w:t>
      </w:r>
      <w:r w:rsidRPr="00842EFF">
        <w:rPr>
          <w:rFonts w:ascii="Arial" w:hAnsi="Arial" w:eastAsia="Arial" w:cs="Arial"/>
          <w:sz w:val="21"/>
          <w:lang w:val="es-ES"/>
        </w:rPr>
        <w:t>de conteras, suple algunas de las limitaciones de las que adolecía el Diario Único de Contratación, en términos de cobertura geográfica, de cantidad de ejemplares y de posibilidad de acceso por parte de la</w:t>
      </w:r>
      <w:r w:rsidRPr="00842EFF">
        <w:rPr>
          <w:rFonts w:ascii="Arial" w:hAnsi="Arial" w:eastAsia="Arial" w:cs="Arial"/>
          <w:spacing w:val="-4"/>
          <w:sz w:val="21"/>
          <w:lang w:val="es-ES"/>
        </w:rPr>
        <w:t xml:space="preserve"> </w:t>
      </w:r>
      <w:r w:rsidRPr="00842EFF">
        <w:rPr>
          <w:rFonts w:ascii="Arial" w:hAnsi="Arial" w:eastAsia="Arial" w:cs="Arial"/>
          <w:sz w:val="21"/>
          <w:lang w:val="es-ES"/>
        </w:rPr>
        <w:t>ciudadanía.</w:t>
      </w:r>
    </w:p>
    <w:p w:rsidRPr="009B3335" w:rsidR="006622B3" w:rsidP="006622B3" w:rsidRDefault="006622B3" w14:paraId="0D286803" w14:textId="77777777">
      <w:pPr>
        <w:widowControl w:val="0"/>
        <w:autoSpaceDE w:val="0"/>
        <w:autoSpaceDN w:val="0"/>
        <w:spacing w:before="1" w:after="0" w:line="276" w:lineRule="auto"/>
        <w:ind w:right="307"/>
        <w:jc w:val="both"/>
        <w:rPr>
          <w:rFonts w:ascii="Arial" w:hAnsi="Arial" w:eastAsia="Arial" w:cs="Arial"/>
          <w:lang w:val="es-ES"/>
        </w:rPr>
      </w:pPr>
    </w:p>
    <w:p w:rsidRPr="00842EFF" w:rsidR="006622B3" w:rsidP="006622B3" w:rsidRDefault="006622B3" w14:paraId="622AF1B6" w14:textId="77777777">
      <w:pPr>
        <w:widowControl w:val="0"/>
        <w:autoSpaceDE w:val="0"/>
        <w:autoSpaceDN w:val="0"/>
        <w:spacing w:after="120" w:line="276" w:lineRule="auto"/>
        <w:ind w:firstLine="709"/>
        <w:jc w:val="both"/>
        <w:rPr>
          <w:rFonts w:ascii="Arial" w:hAnsi="Arial" w:eastAsia="Arial" w:cs="Arial"/>
          <w:lang w:val="es-ES"/>
        </w:rPr>
      </w:pPr>
      <w:r w:rsidRPr="00842EFF">
        <w:rPr>
          <w:rFonts w:ascii="Arial" w:hAnsi="Arial" w:eastAsia="Arial" w:cs="Arial"/>
          <w:lang w:val="es-ES"/>
        </w:rPr>
        <w:t xml:space="preserve">Ahora bien, las entidades estatales, conforme al artículo 2.2.1.1.1.7.1 del Decreto 1082 de 2015, tienen la obligación de publicar en el SECOP </w:t>
      </w:r>
      <w:r>
        <w:rPr>
          <w:rFonts w:ascii="Arial" w:hAnsi="Arial" w:eastAsia="Arial" w:cs="Arial"/>
          <w:lang w:val="es-ES"/>
        </w:rPr>
        <w:t>“</w:t>
      </w:r>
      <w:r w:rsidRPr="00842EFF">
        <w:rPr>
          <w:rFonts w:ascii="Arial" w:hAnsi="Arial" w:eastAsia="Arial" w:cs="Arial"/>
          <w:lang w:val="es-ES"/>
        </w:rPr>
        <w:t>[…] los Documentos del Proceso y los actos administrativos del Proceso de Contratación, dentro de los tres (3) días siguientes a su expedición […]</w:t>
      </w:r>
      <w:r>
        <w:rPr>
          <w:rFonts w:ascii="Arial" w:hAnsi="Arial" w:eastAsia="Arial" w:cs="Arial"/>
          <w:lang w:val="es-ES"/>
        </w:rPr>
        <w:t>”</w:t>
      </w:r>
      <w:r w:rsidRPr="00842EFF">
        <w:rPr>
          <w:rFonts w:ascii="Arial" w:hAnsi="Arial" w:eastAsia="Arial" w:cs="Arial"/>
          <w:lang w:val="es-ES"/>
        </w:rPr>
        <w:t xml:space="preserve">. La expresión </w:t>
      </w:r>
      <w:r w:rsidRPr="00842EFF">
        <w:rPr>
          <w:rFonts w:ascii="Arial" w:hAnsi="Arial" w:eastAsia="Arial" w:cs="Arial"/>
          <w:i/>
          <w:iCs/>
          <w:lang w:val="es-ES"/>
        </w:rPr>
        <w:t>Documentos del Proceso</w:t>
      </w:r>
      <w:r w:rsidRPr="00842EFF">
        <w:rPr>
          <w:rFonts w:ascii="Arial" w:hAnsi="Arial" w:eastAsia="Arial" w:cs="Arial"/>
          <w:lang w:val="es-ES"/>
        </w:rPr>
        <w:t xml:space="preserve"> está definida en el artículo 2.2.1.1.1.3.1 del Decreto 1082 de 2015, donde se establece que: </w:t>
      </w:r>
      <w:r>
        <w:rPr>
          <w:rFonts w:ascii="Arial" w:hAnsi="Arial" w:eastAsia="Arial" w:cs="Arial"/>
          <w:lang w:val="es-ES"/>
        </w:rPr>
        <w:t>“</w:t>
      </w:r>
      <w:r w:rsidRPr="00842EFF">
        <w:rPr>
          <w:rFonts w:ascii="Arial" w:hAnsi="Arial" w:eastAsia="Arial" w:cs="Arial"/>
          <w:lang w:val="es-ES"/>
        </w:rPr>
        <w:t>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Pr>
          <w:rFonts w:ascii="Arial" w:hAnsi="Arial" w:eastAsia="Arial" w:cs="Arial"/>
          <w:lang w:val="es-ES"/>
        </w:rPr>
        <w:t>”</w:t>
      </w:r>
      <w:r w:rsidRPr="00842EFF">
        <w:rPr>
          <w:rFonts w:ascii="Arial" w:hAnsi="Arial" w:eastAsia="Arial" w:cs="Arial"/>
          <w:lang w:val="es-ES"/>
        </w:rPr>
        <w:t xml:space="preserve">. </w:t>
      </w:r>
    </w:p>
    <w:p w:rsidRPr="00842EFF" w:rsidR="006622B3" w:rsidP="006622B3" w:rsidRDefault="006622B3" w14:paraId="2487BCEB" w14:textId="77777777">
      <w:pPr>
        <w:widowControl w:val="0"/>
        <w:autoSpaceDE w:val="0"/>
        <w:autoSpaceDN w:val="0"/>
        <w:spacing w:after="120" w:line="276" w:lineRule="auto"/>
        <w:ind w:firstLine="709"/>
        <w:jc w:val="both"/>
        <w:rPr>
          <w:rFonts w:ascii="Arial" w:hAnsi="Arial" w:eastAsia="Arial" w:cs="Arial"/>
          <w:lang w:val="es-ES"/>
        </w:rPr>
      </w:pPr>
      <w:r w:rsidRPr="00842EFF">
        <w:rPr>
          <w:rFonts w:ascii="Arial" w:hAnsi="Arial" w:eastAsia="Arial" w:cs="Arial"/>
          <w:lang w:val="es-ES"/>
        </w:rPr>
        <w:t xml:space="preserve">No obstante, para identificar los documentos que deben publicarse, es necesario realizar una interpretación sistemática de las disposiciones del Decreto 1082 del 2015, </w:t>
      </w:r>
      <w:r>
        <w:rPr>
          <w:rFonts w:ascii="Arial" w:hAnsi="Arial" w:eastAsia="Arial" w:cs="Arial"/>
          <w:lang w:val="es-ES"/>
        </w:rPr>
        <w:t>puesto</w:t>
      </w:r>
      <w:r w:rsidRPr="00842EFF">
        <w:rPr>
          <w:rFonts w:ascii="Arial" w:hAnsi="Arial" w:eastAsia="Arial" w:cs="Arial"/>
          <w:lang w:val="es-ES"/>
        </w:rPr>
        <w:t xml:space="preserve"> que el anterior no es un listado taxativo, sino enunciativo, porque además de los documentos enlistados, el artículo 2.2.1.1.1.3.1 </w:t>
      </w:r>
      <w:proofErr w:type="spellStart"/>
      <w:r w:rsidRPr="00842EFF">
        <w:rPr>
          <w:rFonts w:ascii="Arial" w:hAnsi="Arial" w:eastAsia="Arial" w:cs="Arial"/>
          <w:i/>
          <w:iCs/>
          <w:lang w:val="es-ES"/>
        </w:rPr>
        <w:t>Ibídem</w:t>
      </w:r>
      <w:proofErr w:type="spellEnd"/>
      <w:r w:rsidRPr="00842EFF">
        <w:rPr>
          <w:rFonts w:ascii="Arial" w:hAnsi="Arial" w:eastAsia="Arial" w:cs="Arial"/>
          <w:lang w:val="es-ES"/>
        </w:rPr>
        <w:t xml:space="preserve"> recoge en la noción de </w:t>
      </w:r>
      <w:r w:rsidRPr="00842EFF">
        <w:rPr>
          <w:rFonts w:ascii="Arial" w:hAnsi="Arial" w:eastAsia="Arial" w:cs="Arial"/>
          <w:i/>
          <w:iCs/>
          <w:lang w:val="es-ES"/>
        </w:rPr>
        <w:t>Documentos del Proceso</w:t>
      </w:r>
      <w:r w:rsidRPr="00842EFF">
        <w:rPr>
          <w:rFonts w:ascii="Arial" w:hAnsi="Arial" w:eastAsia="Arial" w:cs="Arial"/>
          <w:lang w:val="es-ES"/>
        </w:rPr>
        <w:t xml:space="preserve"> </w:t>
      </w:r>
      <w:r>
        <w:rPr>
          <w:rFonts w:ascii="Arial" w:hAnsi="Arial" w:eastAsia="Arial" w:cs="Arial"/>
          <w:lang w:val="es-ES"/>
        </w:rPr>
        <w:t>“</w:t>
      </w:r>
      <w:r w:rsidRPr="00842EFF">
        <w:rPr>
          <w:rFonts w:ascii="Arial" w:hAnsi="Arial" w:eastAsia="Arial" w:cs="Arial"/>
          <w:lang w:val="es-ES"/>
        </w:rPr>
        <w:t xml:space="preserve">cualquier otro documento expedido por la Entidad Estatal durante el </w:t>
      </w:r>
      <w:r w:rsidRPr="00842EFF">
        <w:rPr>
          <w:rFonts w:ascii="Arial" w:hAnsi="Arial" w:eastAsia="Arial" w:cs="Arial"/>
          <w:i/>
          <w:iCs/>
          <w:lang w:val="es-ES"/>
        </w:rPr>
        <w:t>Proceso de Contratación</w:t>
      </w:r>
      <w:r>
        <w:rPr>
          <w:rFonts w:ascii="Arial" w:hAnsi="Arial" w:eastAsia="Arial" w:cs="Arial"/>
          <w:i/>
          <w:iCs/>
          <w:lang w:val="es-ES"/>
        </w:rPr>
        <w:t>”</w:t>
      </w:r>
      <w:r w:rsidRPr="00842EFF">
        <w:rPr>
          <w:rFonts w:ascii="Arial" w:hAnsi="Arial" w:eastAsia="Arial" w:cs="Arial"/>
          <w:lang w:val="es-ES"/>
        </w:rPr>
        <w:t xml:space="preserve">. Este mismo </w:t>
      </w:r>
      <w:r w:rsidRPr="00842EFF">
        <w:rPr>
          <w:rFonts w:ascii="Arial" w:hAnsi="Arial" w:eastAsia="Arial" w:cs="Arial"/>
          <w:lang w:val="es-ES"/>
        </w:rPr>
        <w:t xml:space="preserve">artículo define la expresión </w:t>
      </w:r>
      <w:r w:rsidRPr="00842EFF">
        <w:rPr>
          <w:rFonts w:ascii="Arial" w:hAnsi="Arial" w:eastAsia="Arial" w:cs="Arial"/>
          <w:i/>
          <w:iCs/>
          <w:lang w:val="es-ES"/>
        </w:rPr>
        <w:t>Proceso de Contratación</w:t>
      </w:r>
      <w:r w:rsidRPr="00842EFF">
        <w:rPr>
          <w:rFonts w:ascii="Arial" w:hAnsi="Arial" w:eastAsia="Arial" w:cs="Arial"/>
          <w:lang w:val="es-ES"/>
        </w:rPr>
        <w:t xml:space="preserve"> como el </w:t>
      </w:r>
      <w:r>
        <w:rPr>
          <w:rFonts w:ascii="Arial" w:hAnsi="Arial" w:eastAsia="Arial" w:cs="Arial"/>
          <w:lang w:val="es-ES"/>
        </w:rPr>
        <w:t>“</w:t>
      </w:r>
      <w:r w:rsidRPr="00842EFF">
        <w:rPr>
          <w:rFonts w:ascii="Arial" w:hAnsi="Arial" w:eastAsia="Arial" w:cs="Arial"/>
          <w:lang w:val="es-ES"/>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Pr>
          <w:rFonts w:ascii="Arial" w:hAnsi="Arial" w:eastAsia="Arial" w:cs="Arial"/>
          <w:lang w:val="es-ES"/>
        </w:rPr>
        <w:t>”</w:t>
      </w:r>
      <w:r w:rsidRPr="00842EFF">
        <w:rPr>
          <w:rFonts w:ascii="Arial" w:hAnsi="Arial" w:eastAsia="Arial" w:cs="Arial"/>
          <w:lang w:val="es-ES"/>
        </w:rPr>
        <w:t xml:space="preserve">. Nótese que la norma hace referencia a los documentos </w:t>
      </w:r>
      <w:r>
        <w:rPr>
          <w:rFonts w:ascii="Arial" w:hAnsi="Arial" w:eastAsia="Arial" w:cs="Arial"/>
          <w:lang w:val="es-ES"/>
        </w:rPr>
        <w:t>“</w:t>
      </w:r>
      <w:r w:rsidRPr="00842EFF">
        <w:rPr>
          <w:rFonts w:ascii="Arial" w:hAnsi="Arial" w:eastAsia="Arial" w:cs="Arial"/>
          <w:lang w:val="es-ES"/>
        </w:rPr>
        <w:t>expedidos por la entidad estatal</w:t>
      </w:r>
      <w:r>
        <w:rPr>
          <w:rFonts w:ascii="Arial" w:hAnsi="Arial" w:eastAsia="Arial" w:cs="Arial"/>
          <w:lang w:val="es-ES"/>
        </w:rPr>
        <w:t>”</w:t>
      </w:r>
      <w:r w:rsidRPr="00842EFF">
        <w:rPr>
          <w:rFonts w:ascii="Arial" w:hAnsi="Arial" w:eastAsia="Arial" w:cs="Arial"/>
          <w:lang w:val="es-ES"/>
        </w:rPr>
        <w:t xml:space="preserve"> durante el proceso de contratación, excluyendo de la noción de </w:t>
      </w:r>
      <w:r w:rsidRPr="00842EFF">
        <w:rPr>
          <w:rFonts w:ascii="Arial" w:hAnsi="Arial" w:eastAsia="Arial" w:cs="Arial"/>
          <w:i/>
          <w:iCs/>
          <w:lang w:val="es-ES"/>
        </w:rPr>
        <w:t>Documentos del Proceso</w:t>
      </w:r>
      <w:r w:rsidRPr="00842EFF">
        <w:rPr>
          <w:rFonts w:ascii="Arial" w:hAnsi="Arial" w:eastAsia="Arial" w:cs="Arial"/>
          <w:lang w:val="es-ES"/>
        </w:rPr>
        <w:t xml:space="preserve"> los expedidos por un sujeto distinto a la entidad, salvo la oferta</w:t>
      </w:r>
      <w:r>
        <w:rPr>
          <w:rFonts w:ascii="Arial" w:hAnsi="Arial" w:eastAsia="Arial" w:cs="Arial"/>
          <w:lang w:val="es-ES"/>
        </w:rPr>
        <w:t xml:space="preserve"> ganadora</w:t>
      </w:r>
      <w:r w:rsidRPr="00842EFF">
        <w:rPr>
          <w:rFonts w:ascii="Arial" w:hAnsi="Arial" w:eastAsia="Arial" w:cs="Arial"/>
          <w:lang w:val="es-ES"/>
        </w:rPr>
        <w:t xml:space="preserve">, la cual se incluye expresamente en el artículo 2.2.1.1.1.3.1. </w:t>
      </w:r>
    </w:p>
    <w:p w:rsidRPr="00842EFF" w:rsidR="006622B3" w:rsidP="006622B3" w:rsidRDefault="006622B3" w14:paraId="06674922" w14:textId="77777777">
      <w:pPr>
        <w:widowControl w:val="0"/>
        <w:autoSpaceDE w:val="0"/>
        <w:autoSpaceDN w:val="0"/>
        <w:spacing w:after="120" w:line="276" w:lineRule="auto"/>
        <w:ind w:firstLine="708"/>
        <w:jc w:val="both"/>
        <w:rPr>
          <w:rFonts w:ascii="Arial" w:hAnsi="Arial" w:eastAsia="Arial" w:cs="Arial"/>
          <w:lang w:val="es-ES"/>
        </w:rPr>
      </w:pPr>
      <w:r w:rsidRPr="00842EFF">
        <w:rPr>
          <w:rFonts w:ascii="Arial" w:hAnsi="Arial" w:eastAsia="Arial" w:cs="Arial"/>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842EFF">
        <w:rPr>
          <w:rFonts w:ascii="Arial" w:hAnsi="Arial" w:eastAsia="Arial" w:cs="Arial"/>
          <w:i/>
          <w:iCs/>
          <w:lang w:val="es-ES"/>
        </w:rPr>
        <w:t>Proceso de Contratación</w:t>
      </w:r>
      <w:r w:rsidRPr="00842EFF">
        <w:rPr>
          <w:rFonts w:ascii="Arial" w:hAnsi="Arial" w:eastAsia="Arial" w:cs="Arial"/>
          <w:lang w:val="es-ES"/>
        </w:rPr>
        <w:t xml:space="preserve">, esto es, desde la fase de planeación hasta </w:t>
      </w:r>
      <w:r>
        <w:rPr>
          <w:rFonts w:ascii="Arial" w:hAnsi="Arial" w:eastAsia="Arial" w:cs="Arial"/>
          <w:lang w:val="es-ES"/>
        </w:rPr>
        <w:t>“</w:t>
      </w:r>
      <w:r w:rsidRPr="00842EFF">
        <w:rPr>
          <w:rFonts w:ascii="Arial" w:hAnsi="Arial" w:eastAsia="Arial" w:cs="Arial"/>
          <w:lang w:val="es-ES"/>
        </w:rPr>
        <w:t>el vencimiento de las garantías de calidad, estabilidad y mantenimiento, o las condiciones de disposición final o recuperación ambiental de las obras o bienes o el vencimiento del plazo, lo que ocurra más tarde</w:t>
      </w:r>
      <w:r>
        <w:rPr>
          <w:rFonts w:ascii="Arial" w:hAnsi="Arial" w:eastAsia="Arial" w:cs="Arial"/>
          <w:lang w:val="es-ES"/>
        </w:rPr>
        <w:t>”</w:t>
      </w:r>
      <w:r w:rsidRPr="00842EFF">
        <w:rPr>
          <w:rFonts w:ascii="Arial" w:hAnsi="Arial" w:eastAsia="Arial" w:cs="Arial"/>
          <w:lang w:val="es-ES"/>
        </w:rPr>
        <w:t xml:space="preserve">, lo que significa que todos los documentos expedidos por la entidad durante las etapas precontractual, de ejecución y </w:t>
      </w:r>
      <w:proofErr w:type="spellStart"/>
      <w:r w:rsidRPr="00842EFF">
        <w:rPr>
          <w:rFonts w:ascii="Arial" w:hAnsi="Arial" w:eastAsia="Arial" w:cs="Arial"/>
          <w:lang w:val="es-ES"/>
        </w:rPr>
        <w:t>postcontractual</w:t>
      </w:r>
      <w:proofErr w:type="spellEnd"/>
      <w:r w:rsidRPr="00842EFF">
        <w:rPr>
          <w:rFonts w:ascii="Arial" w:hAnsi="Arial" w:eastAsia="Arial" w:cs="Arial"/>
          <w:lang w:val="es-ES"/>
        </w:rPr>
        <w:t xml:space="preserve"> deberán ser publicados en SECOP dentro de los tres (3) días siguientes a su expedición, para  cumplir el deber de publicidad regulado por el artículo 2.2.1.1.1.7.1 del Decreto 1082 de 2015.</w:t>
      </w:r>
    </w:p>
    <w:p w:rsidRPr="00842EFF" w:rsidR="006622B3" w:rsidP="006622B3" w:rsidRDefault="006622B3" w14:paraId="436D54F3" w14:textId="77777777">
      <w:pPr>
        <w:widowControl w:val="0"/>
        <w:autoSpaceDE w:val="0"/>
        <w:autoSpaceDN w:val="0"/>
        <w:spacing w:after="120" w:line="276" w:lineRule="auto"/>
        <w:ind w:firstLine="708"/>
        <w:jc w:val="both"/>
        <w:rPr>
          <w:rFonts w:ascii="Arial" w:hAnsi="Arial" w:eastAsia="Arial" w:cs="Arial"/>
          <w:lang w:val="es-ES"/>
        </w:rPr>
      </w:pPr>
      <w:r w:rsidRPr="00842EFF">
        <w:rPr>
          <w:rFonts w:ascii="Arial" w:hAnsi="Arial" w:eastAsia="Arial" w:cs="Arial"/>
          <w:lang w:val="es-ES"/>
        </w:rPr>
        <w:t xml:space="preserve">En todo caso, de conformidad con la segunda parte del inciso primero del artículo 2.2.1.1.1.7.1 </w:t>
      </w:r>
      <w:proofErr w:type="spellStart"/>
      <w:r w:rsidRPr="00842EFF">
        <w:rPr>
          <w:rFonts w:ascii="Arial" w:hAnsi="Arial" w:eastAsia="Arial" w:cs="Arial"/>
          <w:i/>
          <w:iCs/>
          <w:lang w:val="es-ES"/>
        </w:rPr>
        <w:t>Ibídem</w:t>
      </w:r>
      <w:proofErr w:type="spellEnd"/>
      <w:r w:rsidRPr="00842EFF">
        <w:rPr>
          <w:rFonts w:ascii="Arial" w:hAnsi="Arial" w:eastAsia="Arial" w:cs="Arial"/>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842EFF">
        <w:rPr>
          <w:rFonts w:ascii="Arial" w:hAnsi="Arial" w:eastAsia="Arial" w:cs="Arial"/>
          <w:i/>
          <w:iCs/>
          <w:lang w:val="es-ES"/>
        </w:rPr>
        <w:t xml:space="preserve"> </w:t>
      </w:r>
      <w:r w:rsidRPr="00842EFF">
        <w:rPr>
          <w:rFonts w:ascii="Arial" w:hAnsi="Arial" w:eastAsia="Arial" w:cs="Arial"/>
          <w:lang w:val="es-ES"/>
        </w:rPr>
        <w:t>Del deber de publicidad, de conformidad con la tercera parte del inciso primero de la referida norma, también se encuentran exentos los documentos de las operaciones que se realicen en bolsa de productos.</w:t>
      </w:r>
    </w:p>
    <w:p w:rsidRPr="00842EFF" w:rsidR="006622B3" w:rsidP="006622B3" w:rsidRDefault="006622B3" w14:paraId="5460BF93" w14:textId="77777777">
      <w:pPr>
        <w:widowControl w:val="0"/>
        <w:autoSpaceDE w:val="0"/>
        <w:autoSpaceDN w:val="0"/>
        <w:spacing w:after="120" w:line="276" w:lineRule="auto"/>
        <w:ind w:firstLine="708"/>
        <w:jc w:val="both"/>
        <w:rPr>
          <w:rFonts w:ascii="Arial" w:hAnsi="Arial" w:eastAsia="Arial" w:cs="Arial"/>
          <w:lang w:val="es-ES"/>
        </w:rPr>
      </w:pPr>
      <w:r w:rsidRPr="00842EFF">
        <w:rPr>
          <w:rFonts w:ascii="Arial" w:hAnsi="Arial" w:eastAsia="Arial" w:cs="Arial"/>
          <w:lang w:val="es-ES"/>
        </w:rPr>
        <w:t xml:space="preserve"> El inciso segundo del artículo 2.2.1.1.1.7.1 </w:t>
      </w:r>
      <w:proofErr w:type="spellStart"/>
      <w:r w:rsidRPr="00842EFF">
        <w:rPr>
          <w:rFonts w:ascii="Arial" w:hAnsi="Arial" w:eastAsia="Arial" w:cs="Arial"/>
          <w:i/>
          <w:iCs/>
          <w:lang w:val="es-ES"/>
        </w:rPr>
        <w:t>ejusdem</w:t>
      </w:r>
      <w:proofErr w:type="spellEnd"/>
      <w:r w:rsidRPr="00842EFF">
        <w:rPr>
          <w:rFonts w:ascii="Arial" w:hAnsi="Arial" w:eastAsia="Arial" w:cs="Arial"/>
          <w:i/>
          <w:iCs/>
          <w:lang w:val="es-ES"/>
        </w:rPr>
        <w:t xml:space="preserve">, </w:t>
      </w:r>
      <w:r w:rsidRPr="00842EFF">
        <w:rPr>
          <w:rFonts w:ascii="Arial" w:hAnsi="Arial" w:eastAsia="Arial" w:cs="Arial"/>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842EFF">
        <w:rPr>
          <w:rFonts w:ascii="Arial" w:hAnsi="Arial" w:cs="Arial"/>
          <w:lang w:val="es-ES"/>
        </w:rPr>
        <w:t xml:space="preserve">2.2.1.1.2.1.4, deber que hace extensivo a la invitación </w:t>
      </w:r>
      <w:r w:rsidRPr="00842EFF">
        <w:rPr>
          <w:rFonts w:ascii="Arial" w:hAnsi="Arial" w:eastAsia="Arial" w:cs="Arial"/>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rsidRPr="00B41299" w:rsidR="006622B3" w:rsidP="006622B3" w:rsidRDefault="006622B3" w14:paraId="1EA24751" w14:textId="77777777">
      <w:pPr>
        <w:spacing w:after="120" w:line="276" w:lineRule="auto"/>
        <w:ind w:firstLine="708"/>
        <w:jc w:val="both"/>
        <w:rPr>
          <w:rFonts w:ascii="Arial" w:hAnsi="Arial" w:eastAsia="Calibri" w:cs="Arial"/>
        </w:rPr>
      </w:pPr>
      <w:r w:rsidRPr="00842EFF">
        <w:rPr>
          <w:rFonts w:ascii="Arial" w:hAnsi="Arial" w:eastAsia="Arial" w:cs="Arial"/>
          <w:lang w:val="es-ES"/>
        </w:rPr>
        <w:t>De lo anterior puede concluir</w:t>
      </w:r>
      <w:r>
        <w:rPr>
          <w:rFonts w:ascii="Arial" w:hAnsi="Arial" w:eastAsia="Arial" w:cs="Arial"/>
          <w:lang w:val="es-ES"/>
        </w:rPr>
        <w:t>se</w:t>
      </w:r>
      <w:r w:rsidRPr="00842EFF">
        <w:rPr>
          <w:rFonts w:ascii="Arial" w:hAnsi="Arial" w:eastAsia="Arial" w:cs="Arial"/>
          <w:lang w:val="es-ES"/>
        </w:rPr>
        <w:t xml:space="preserve"> que, </w:t>
      </w:r>
      <w:bookmarkStart w:name="_Hlk135738123" w:id="7"/>
      <w:r w:rsidRPr="00842EFF">
        <w:rPr>
          <w:rFonts w:ascii="Arial" w:hAnsi="Arial" w:eastAsia="Arial" w:cs="Arial"/>
          <w:lang w:val="es-ES"/>
        </w:rPr>
        <w:t xml:space="preserve">en virtud del artículo 3 de la Ley 1150 de 2007, desarrollado por el artículo 2.2.1.1.1.7.1 del Decreto 1082 de 2015, las entidades están obligadas a publicar en el SECOP todos los documentos relacionados con el </w:t>
      </w:r>
      <w:r w:rsidRPr="00842EFF">
        <w:rPr>
          <w:rFonts w:ascii="Arial" w:hAnsi="Arial" w:eastAsia="Arial" w:cs="Arial"/>
          <w:i/>
          <w:iCs/>
          <w:lang w:val="es-ES"/>
        </w:rPr>
        <w:t>Proceso de Contratación</w:t>
      </w:r>
      <w:r w:rsidRPr="00842EFF">
        <w:rPr>
          <w:rFonts w:ascii="Arial" w:hAnsi="Arial" w:eastAsia="Arial" w:cs="Arial"/>
          <w:lang w:val="es-ES"/>
        </w:rPr>
        <w:t xml:space="preserve"> expedidos durante las etapas precontractual, de ejecución y </w:t>
      </w:r>
      <w:proofErr w:type="spellStart"/>
      <w:r w:rsidRPr="00842EFF">
        <w:rPr>
          <w:rFonts w:ascii="Arial" w:hAnsi="Arial" w:eastAsia="Arial" w:cs="Arial"/>
          <w:lang w:val="es-ES"/>
        </w:rPr>
        <w:t>postcontractual</w:t>
      </w:r>
      <w:proofErr w:type="spellEnd"/>
      <w:r w:rsidRPr="00842EFF">
        <w:rPr>
          <w:rFonts w:ascii="Arial" w:hAnsi="Arial" w:eastAsia="Arial" w:cs="Arial"/>
          <w:lang w:val="es-ES"/>
        </w:rPr>
        <w:t xml:space="preserve">, dentro de los tres (3) días hábiles siguientes a su producción, deber que aplica a todas las modalidades de selección y entidades regidas por el Estatuto General de Contratación de la Administración </w:t>
      </w:r>
      <w:r w:rsidRPr="00842EFF">
        <w:rPr>
          <w:rFonts w:ascii="Arial" w:hAnsi="Arial" w:eastAsia="Arial" w:cs="Arial"/>
          <w:lang w:val="es-ES"/>
        </w:rPr>
        <w:t xml:space="preserve">Pública, y del que se encuentran excluidas las ofertas </w:t>
      </w:r>
      <w:r>
        <w:rPr>
          <w:rFonts w:ascii="Arial" w:hAnsi="Arial" w:eastAsia="Arial" w:cs="Arial"/>
          <w:lang w:val="es-ES"/>
        </w:rPr>
        <w:t xml:space="preserve">que no fueron las </w:t>
      </w:r>
      <w:r w:rsidRPr="00842EFF">
        <w:rPr>
          <w:rFonts w:ascii="Arial" w:hAnsi="Arial" w:eastAsia="Arial" w:cs="Arial"/>
          <w:lang w:val="es-ES"/>
        </w:rPr>
        <w:t>ganadoras y los documentos expedidos en el marco de operaciones de bolsa de productos.</w:t>
      </w:r>
      <w:r>
        <w:rPr>
          <w:rFonts w:ascii="Arial" w:hAnsi="Arial" w:eastAsia="Arial" w:cs="Arial"/>
          <w:lang w:val="es-ES"/>
        </w:rPr>
        <w:t xml:space="preserve"> </w:t>
      </w:r>
      <w:r>
        <w:rPr>
          <w:rFonts w:ascii="Arial" w:hAnsi="Arial" w:eastAsia="Calibri" w:cs="Arial"/>
        </w:rPr>
        <w:t xml:space="preserve">En este contexto, el deber de publicidad aplica todos los procedimientos de selección previstos en el artículo 2 de la Ley 1150 de 2007, independientemente de que se trate de procesos con o sin pluralidad de oferentes. </w:t>
      </w:r>
    </w:p>
    <w:bookmarkEnd w:id="7"/>
    <w:p w:rsidRPr="00842EFF" w:rsidR="006622B3" w:rsidP="006622B3" w:rsidRDefault="006622B3" w14:paraId="5296AAE4"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842EFF">
        <w:rPr>
          <w:rFonts w:ascii="Arial" w:hAnsi="Arial" w:cs="Arial"/>
          <w:lang w:val="es-ES"/>
        </w:rPr>
        <w:t>la información de su gestión contractual</w:t>
      </w:r>
      <w:r w:rsidRPr="00842EFF">
        <w:rPr>
          <w:rStyle w:val="Refdenotaalpie"/>
          <w:rFonts w:ascii="Arial" w:hAnsi="Arial" w:cs="Arial"/>
          <w:lang w:val="es-ES"/>
        </w:rPr>
        <w:footnoteReference w:id="14"/>
      </w:r>
      <w:r w:rsidRPr="00842EFF">
        <w:rPr>
          <w:rFonts w:ascii="Arial" w:hAnsi="Arial" w:eastAsia="Calibri" w:cs="Arial"/>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842EFF">
        <w:rPr>
          <w:rStyle w:val="Refdenotaalpie"/>
          <w:rFonts w:ascii="Arial" w:hAnsi="Arial" w:eastAsia="Calibri" w:cs="Arial"/>
          <w:lang w:val="es-ES"/>
        </w:rPr>
        <w:footnoteReference w:id="15"/>
      </w:r>
      <w:r w:rsidRPr="00842EFF">
        <w:rPr>
          <w:rFonts w:ascii="Arial" w:hAnsi="Arial" w:eastAsia="Calibri" w:cs="Arial"/>
          <w:lang w:val="es-ES"/>
        </w:rPr>
        <w:t>. El artículo 2.1.1.2.1.10 establece la obligación que tienen las entidades de publicar en el SECOP el Plan Anual de Adquisiciones</w:t>
      </w:r>
      <w:r w:rsidRPr="00842EFF">
        <w:rPr>
          <w:rStyle w:val="Refdenotaalpie"/>
          <w:rFonts w:ascii="Arial" w:hAnsi="Arial" w:eastAsia="Calibri" w:cs="Arial"/>
          <w:lang w:val="es-ES"/>
        </w:rPr>
        <w:footnoteReference w:id="16"/>
      </w:r>
      <w:r w:rsidRPr="00842EFF">
        <w:rPr>
          <w:rFonts w:ascii="Arial" w:hAnsi="Arial" w:eastAsia="Calibri" w:cs="Arial"/>
          <w:lang w:val="es-ES"/>
        </w:rPr>
        <w:t xml:space="preserve">. </w:t>
      </w:r>
    </w:p>
    <w:p w:rsidRPr="00842EFF" w:rsidR="006622B3" w:rsidP="006622B3" w:rsidRDefault="006622B3" w14:paraId="7926DD11"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 xml:space="preserve">De otro lado, el artículo 2.1.1.2.1.8, establece los efectos de </w:t>
      </w:r>
      <w:r w:rsidRPr="00842EFF">
        <w:rPr>
          <w:rFonts w:ascii="Arial" w:hAnsi="Arial" w:cs="Arial"/>
          <w:lang w:val="es-ES"/>
        </w:rPr>
        <w:t>la obligación contenida en el literal g) del artículo 11 de la Ley 1712 de 2014, en relación con los documentos producidos durante la ejecución del contrato, señalando que</w:t>
      </w:r>
      <w:r w:rsidRPr="00842EFF">
        <w:rPr>
          <w:rFonts w:ascii="Arial" w:hAnsi="Arial" w:eastAsia="Calibri" w:cs="Arial"/>
          <w:lang w:val="es-ES"/>
        </w:rPr>
        <w:t xml:space="preserve"> deben publicar</w:t>
      </w:r>
      <w:r>
        <w:rPr>
          <w:rFonts w:ascii="Arial" w:hAnsi="Arial" w:eastAsia="Calibri" w:cs="Arial"/>
          <w:lang w:val="es-ES"/>
        </w:rPr>
        <w:t>se</w:t>
      </w:r>
      <w:r w:rsidRPr="00842EFF">
        <w:rPr>
          <w:rFonts w:ascii="Arial" w:hAnsi="Arial" w:eastAsia="Calibri" w:cs="Arial"/>
          <w:lang w:val="es-ES"/>
        </w:rPr>
        <w:t xml:space="preserve"> las aprobaciones, autorizaciones, requerimientos o informes del supervisor o interventor, que prueben la ejecución del contrato</w:t>
      </w:r>
      <w:r w:rsidRPr="00842EFF">
        <w:rPr>
          <w:rStyle w:val="Refdenotaalpie"/>
          <w:rFonts w:ascii="Arial" w:hAnsi="Arial" w:eastAsia="Calibri" w:cs="Arial"/>
          <w:lang w:val="es-ES"/>
        </w:rPr>
        <w:footnoteReference w:id="17"/>
      </w:r>
      <w:r w:rsidRPr="00842EFF">
        <w:rPr>
          <w:rFonts w:ascii="Arial" w:hAnsi="Arial" w:eastAsia="Calibri" w:cs="Arial"/>
          <w:lang w:val="es-ES"/>
        </w:rPr>
        <w:t>.</w:t>
      </w:r>
    </w:p>
    <w:p w:rsidRPr="00842EFF" w:rsidR="006622B3" w:rsidP="006622B3" w:rsidRDefault="006622B3" w14:paraId="62FBD91F"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 xml:space="preserve">En ese orden, el deber de publicar la actividad contractual de las entidades estatales no solo está regulado en el artículo 3 de la Ley 1150 de 2007 y en el </w:t>
      </w:r>
      <w:r w:rsidRPr="00842EFF">
        <w:rPr>
          <w:rFonts w:ascii="Arial" w:hAnsi="Arial" w:eastAsia="Arial" w:cs="Arial"/>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w:t>
      </w:r>
      <w:r>
        <w:rPr>
          <w:rFonts w:ascii="Arial" w:hAnsi="Arial" w:eastAsia="Arial" w:cs="Arial"/>
          <w:lang w:val="es-ES"/>
        </w:rPr>
        <w:t>“</w:t>
      </w:r>
      <w:r w:rsidRPr="00842EFF">
        <w:rPr>
          <w:rFonts w:ascii="Arial" w:hAnsi="Arial" w:eastAsia="Arial" w:cs="Arial"/>
          <w:lang w:val="es-ES"/>
        </w:rPr>
        <w:t>procedimientos</w:t>
      </w:r>
      <w:r>
        <w:rPr>
          <w:rFonts w:ascii="Arial" w:hAnsi="Arial" w:eastAsia="Arial" w:cs="Arial"/>
          <w:lang w:val="es-ES"/>
        </w:rPr>
        <w:t>”</w:t>
      </w:r>
      <w:r w:rsidRPr="00842EFF">
        <w:rPr>
          <w:rFonts w:ascii="Arial" w:hAnsi="Arial" w:eastAsia="Arial" w:cs="Arial"/>
          <w:lang w:val="es-ES"/>
        </w:rPr>
        <w:t xml:space="preserve"> y la información relativa a la </w:t>
      </w:r>
      <w:r>
        <w:rPr>
          <w:rFonts w:ascii="Arial" w:hAnsi="Arial" w:eastAsia="Arial" w:cs="Arial"/>
          <w:lang w:val="es-ES"/>
        </w:rPr>
        <w:t>“</w:t>
      </w:r>
      <w:r w:rsidRPr="00842EFF">
        <w:rPr>
          <w:rFonts w:ascii="Arial" w:hAnsi="Arial" w:eastAsia="Arial" w:cs="Arial"/>
          <w:lang w:val="es-ES"/>
        </w:rPr>
        <w:t>gestión contractual</w:t>
      </w:r>
      <w:r>
        <w:rPr>
          <w:rFonts w:ascii="Arial" w:hAnsi="Arial" w:eastAsia="Arial" w:cs="Arial"/>
          <w:lang w:val="es-ES"/>
        </w:rPr>
        <w:t>”</w:t>
      </w:r>
      <w:r w:rsidRPr="00842EFF">
        <w:rPr>
          <w:rFonts w:ascii="Arial" w:hAnsi="Arial" w:eastAsia="Arial" w:cs="Arial"/>
          <w:lang w:val="es-ES"/>
        </w:rPr>
        <w:t xml:space="preserve">, sin el condicionamiento de tratarse exclusivamente de los </w:t>
      </w:r>
      <w:r w:rsidRPr="00842EFF">
        <w:rPr>
          <w:rFonts w:ascii="Arial" w:hAnsi="Arial" w:eastAsia="Arial" w:cs="Arial"/>
          <w:i/>
          <w:iCs/>
          <w:lang w:val="es-ES"/>
        </w:rPr>
        <w:t xml:space="preserve">Documentos del Proceso </w:t>
      </w:r>
      <w:r w:rsidRPr="00842EFF">
        <w:rPr>
          <w:rFonts w:ascii="Arial" w:hAnsi="Arial" w:eastAsia="Arial" w:cs="Arial"/>
          <w:lang w:val="es-ES"/>
        </w:rPr>
        <w:t xml:space="preserve">expedidos por la </w:t>
      </w:r>
      <w:r>
        <w:rPr>
          <w:rFonts w:ascii="Arial" w:hAnsi="Arial" w:eastAsia="Arial" w:cs="Arial"/>
          <w:lang w:val="es-ES"/>
        </w:rPr>
        <w:t>“</w:t>
      </w:r>
      <w:r w:rsidRPr="00842EFF">
        <w:rPr>
          <w:rFonts w:ascii="Arial" w:hAnsi="Arial" w:eastAsia="Arial" w:cs="Arial"/>
          <w:lang w:val="es-ES"/>
        </w:rPr>
        <w:t>entidad estatal</w:t>
      </w:r>
      <w:r>
        <w:rPr>
          <w:rFonts w:ascii="Arial" w:hAnsi="Arial" w:eastAsia="Arial" w:cs="Arial"/>
          <w:lang w:val="es-ES"/>
        </w:rPr>
        <w:t>”</w:t>
      </w:r>
      <w:r w:rsidRPr="00842EFF">
        <w:rPr>
          <w:rFonts w:ascii="Arial" w:hAnsi="Arial" w:eastAsia="Arial" w:cs="Arial"/>
          <w:lang w:val="es-ES"/>
        </w:rPr>
        <w:t>.</w:t>
      </w:r>
    </w:p>
    <w:p w:rsidRPr="00842EFF" w:rsidR="006622B3" w:rsidP="006622B3" w:rsidRDefault="006622B3" w14:paraId="72C57584"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w:t>
      </w:r>
      <w:r>
        <w:rPr>
          <w:rFonts w:ascii="Arial" w:hAnsi="Arial" w:eastAsia="Calibri" w:cs="Arial"/>
          <w:lang w:val="es-ES"/>
        </w:rPr>
        <w:t>“</w:t>
      </w:r>
      <w:r w:rsidRPr="00842EFF">
        <w:rPr>
          <w:rFonts w:ascii="Arial" w:hAnsi="Arial" w:eastAsia="Calibri" w:cs="Arial"/>
          <w:lang w:val="es-ES"/>
        </w:rPr>
        <w:t>producida por la entidad estatal</w:t>
      </w:r>
      <w:r>
        <w:rPr>
          <w:rFonts w:ascii="Arial" w:hAnsi="Arial" w:eastAsia="Calibri" w:cs="Arial"/>
          <w:lang w:val="es-ES"/>
        </w:rPr>
        <w:t>”</w:t>
      </w:r>
      <w:r w:rsidRPr="00842EFF">
        <w:rPr>
          <w:rFonts w:ascii="Arial" w:hAnsi="Arial" w:eastAsia="Calibri" w:cs="Arial"/>
          <w:lang w:val="es-ES"/>
        </w:rPr>
        <w:t xml:space="preserve"> asociada a la noción de </w:t>
      </w:r>
      <w:r w:rsidRPr="00842EFF">
        <w:rPr>
          <w:rFonts w:ascii="Arial" w:hAnsi="Arial" w:eastAsia="Calibri" w:cs="Arial"/>
          <w:i/>
          <w:iCs/>
          <w:lang w:val="es-ES"/>
        </w:rPr>
        <w:t>Documentos del Proceso.</w:t>
      </w:r>
      <w:r w:rsidRPr="00842EFF">
        <w:rPr>
          <w:rFonts w:ascii="Arial" w:hAnsi="Arial" w:cs="Arial"/>
          <w:lang w:val="es-ES"/>
        </w:rPr>
        <w:t xml:space="preserve"> Esto</w:t>
      </w:r>
      <w:r w:rsidRPr="00842EFF">
        <w:rPr>
          <w:rFonts w:ascii="Arial" w:hAnsi="Arial" w:eastAsia="Calibri" w:cs="Arial"/>
          <w:i/>
          <w:iCs/>
          <w:lang w:val="es-ES"/>
        </w:rPr>
        <w:t xml:space="preserve"> </w:t>
      </w:r>
      <w:r w:rsidRPr="00842EFF">
        <w:rPr>
          <w:rFonts w:ascii="Arial" w:hAnsi="Arial" w:eastAsia="Calibri" w:cs="Arial"/>
          <w:lang w:val="es-ES"/>
        </w:rPr>
        <w:t xml:space="preserve">en la medida en que, al establecerse la obligación de publicar los </w:t>
      </w:r>
      <w:r>
        <w:rPr>
          <w:rFonts w:ascii="Arial" w:hAnsi="Arial" w:eastAsia="Calibri" w:cs="Arial"/>
          <w:lang w:val="es-ES"/>
        </w:rPr>
        <w:t>“</w:t>
      </w:r>
      <w:r w:rsidRPr="00842EFF">
        <w:rPr>
          <w:rFonts w:ascii="Arial" w:hAnsi="Arial" w:eastAsia="Calibri" w:cs="Arial"/>
          <w:lang w:val="es-ES"/>
        </w:rPr>
        <w:t>procedimientos</w:t>
      </w:r>
      <w:r>
        <w:rPr>
          <w:rFonts w:ascii="Arial" w:hAnsi="Arial" w:eastAsia="Calibri" w:cs="Arial"/>
          <w:lang w:val="es-ES"/>
        </w:rPr>
        <w:t>”</w:t>
      </w:r>
      <w:r w:rsidRPr="00842EFF">
        <w:rPr>
          <w:rFonts w:ascii="Arial" w:hAnsi="Arial" w:eastAsia="Calibri" w:cs="Arial"/>
          <w:lang w:val="es-ES"/>
        </w:rPr>
        <w:t xml:space="preserve"> y la </w:t>
      </w:r>
      <w:r>
        <w:rPr>
          <w:rFonts w:ascii="Arial" w:hAnsi="Arial" w:eastAsia="Calibri" w:cs="Arial"/>
          <w:lang w:val="es-ES"/>
        </w:rPr>
        <w:t>“</w:t>
      </w:r>
      <w:r w:rsidRPr="00842EFF">
        <w:rPr>
          <w:rFonts w:ascii="Arial" w:hAnsi="Arial" w:eastAsia="Calibri" w:cs="Arial"/>
          <w:lang w:val="es-ES"/>
        </w:rPr>
        <w:t>información de la gestión contractual</w:t>
      </w:r>
      <w:r>
        <w:rPr>
          <w:rFonts w:ascii="Arial" w:hAnsi="Arial" w:eastAsia="Calibri" w:cs="Arial"/>
          <w:lang w:val="es-ES"/>
        </w:rPr>
        <w:t>”</w:t>
      </w:r>
      <w:r w:rsidRPr="00842EFF">
        <w:rPr>
          <w:rFonts w:ascii="Arial" w:hAnsi="Arial" w:eastAsia="Calibri" w:cs="Arial"/>
          <w:lang w:val="es-ES"/>
        </w:rPr>
        <w:t xml:space="preserve"> en el SECOP, se incorporó una visión omnicomprensiva de la actividad contractual que debe publicarse, comoquiera que la noción de procedimiento debe asimilarse a la de </w:t>
      </w:r>
      <w:r w:rsidRPr="00842EFF">
        <w:rPr>
          <w:rFonts w:ascii="Arial" w:hAnsi="Arial" w:eastAsia="Calibri" w:cs="Arial"/>
          <w:i/>
          <w:iCs/>
          <w:lang w:val="es-ES"/>
        </w:rPr>
        <w:t>Proceso de Contratación,</w:t>
      </w:r>
      <w:r w:rsidRPr="00842EFF">
        <w:rPr>
          <w:rFonts w:ascii="Arial" w:hAnsi="Arial" w:eastAsia="Calibri" w:cs="Arial"/>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rsidRPr="00842EFF" w:rsidR="006622B3" w:rsidP="006622B3" w:rsidRDefault="006622B3" w14:paraId="1C3A4171"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Esto quiere decir que las entidades estatales, además de los documentos y actos administrativos –de trámite o definitivos– que expiden durante los procedimientos de contratación</w:t>
      </w:r>
      <w:r w:rsidRPr="00842EFF">
        <w:rPr>
          <w:rFonts w:ascii="Arial" w:hAnsi="Arial" w:eastAsia="Calibri" w:cs="Arial"/>
          <w:i/>
          <w:iCs/>
          <w:lang w:val="es-ES"/>
        </w:rPr>
        <w:t>,</w:t>
      </w:r>
      <w:r w:rsidRPr="00842EFF">
        <w:rPr>
          <w:rFonts w:ascii="Arial" w:hAnsi="Arial" w:eastAsia="Calibri" w:cs="Arial"/>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842EFF">
        <w:rPr>
          <w:rFonts w:ascii="Arial" w:hAnsi="Arial" w:eastAsia="Calibri" w:cs="Arial"/>
          <w:i/>
          <w:iCs/>
          <w:lang w:val="es-ES"/>
        </w:rPr>
        <w:t xml:space="preserve"> Documento del Proceso, </w:t>
      </w:r>
      <w:r w:rsidRPr="00842EFF">
        <w:rPr>
          <w:rFonts w:ascii="Arial" w:hAnsi="Arial" w:eastAsia="Calibri" w:cs="Arial"/>
          <w:lang w:val="es-ES"/>
        </w:rPr>
        <w:t xml:space="preserve">hace parte de su desarrollo, y que por disposición de la Ley de transparencia y acceso a la información pública, debe publicar la entidad de manera proactiva.   </w:t>
      </w:r>
    </w:p>
    <w:p w:rsidRPr="00842EFF" w:rsidR="006622B3" w:rsidP="006622B3" w:rsidRDefault="006622B3" w14:paraId="01ED4287"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lang w:val="es-ES"/>
        </w:rPr>
        <w:t>Ahora, es importante resaltar que al no existir efectos derogatorios o subrogatorios entre las disposiciones del EGCAP y la normativa de la transparencia y el acceso a la información pública, las disposiciones de ambos regímenes deben interpreta</w:t>
      </w:r>
      <w:r>
        <w:rPr>
          <w:rFonts w:ascii="Arial" w:hAnsi="Arial" w:eastAsia="Calibri" w:cs="Arial"/>
          <w:lang w:val="es-ES"/>
        </w:rPr>
        <w:t>rse</w:t>
      </w:r>
      <w:r w:rsidRPr="00842EFF">
        <w:rPr>
          <w:rFonts w:ascii="Arial" w:hAnsi="Arial" w:eastAsia="Calibri" w:cs="Arial"/>
          <w:lang w:val="es-ES"/>
        </w:rPr>
        <w:t xml:space="preserve">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842EFF">
        <w:rPr>
          <w:rFonts w:ascii="Arial" w:hAnsi="Arial" w:eastAsia="Arial" w:cs="Arial"/>
          <w:lang w:val="es-ES"/>
        </w:rPr>
        <w:t>artículo 2.2.1.1.1.7.1 del Decreto 1082 de 2015.</w:t>
      </w:r>
    </w:p>
    <w:p w:rsidRPr="00467955" w:rsidR="006622B3" w:rsidP="006622B3" w:rsidRDefault="006622B3" w14:paraId="061DEA8C" w14:textId="77777777">
      <w:pPr>
        <w:spacing w:before="120" w:after="120" w:line="276" w:lineRule="auto"/>
        <w:ind w:firstLine="709"/>
        <w:jc w:val="both"/>
        <w:rPr>
          <w:rFonts w:ascii="Arial" w:hAnsi="Arial" w:eastAsia="Calibri" w:cs="Arial"/>
          <w:i/>
          <w:iCs/>
        </w:rPr>
      </w:pPr>
      <w:r w:rsidRPr="00467955">
        <w:rPr>
          <w:rFonts w:ascii="Arial" w:hAnsi="Arial" w:eastAsia="Calibri" w:cs="Arial"/>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467955">
        <w:rPr>
          <w:rFonts w:ascii="Arial" w:hAnsi="Arial" w:eastAsia="Calibri" w:cs="Arial"/>
        </w:rPr>
        <w:t>máxima publicidad para un titular universal</w:t>
      </w:r>
      <w:r w:rsidRPr="00467955">
        <w:rPr>
          <w:rFonts w:ascii="Arial" w:hAnsi="Arial" w:eastAsia="Calibri" w:cs="Arial"/>
        </w:rPr>
        <w:footnoteReference w:id="18"/>
      </w:r>
      <w:r w:rsidRPr="00467955">
        <w:rPr>
          <w:rFonts w:ascii="Arial" w:hAnsi="Arial" w:eastAsia="Calibri" w:cs="Arial"/>
        </w:rPr>
        <w:t>, transparencia, facilitación y divulgación proactiva de la información</w:t>
      </w:r>
      <w:r w:rsidRPr="00467955">
        <w:rPr>
          <w:rFonts w:ascii="Arial" w:hAnsi="Arial" w:eastAsia="Calibri" w:cs="Arial"/>
          <w:vertAlign w:val="superscript"/>
        </w:rPr>
        <w:footnoteReference w:id="19"/>
      </w:r>
      <w:r w:rsidRPr="00467955">
        <w:rPr>
          <w:rFonts w:ascii="Arial" w:hAnsi="Arial" w:eastAsia="Calibri" w:cs="Arial"/>
        </w:rPr>
        <w:t>,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w:t>
      </w:r>
      <w:r w:rsidRPr="00467955">
        <w:rPr>
          <w:rFonts w:ascii="Arial" w:hAnsi="Arial" w:eastAsia="Calibri" w:cs="Arial"/>
          <w:i/>
          <w:iCs/>
        </w:rPr>
        <w:t xml:space="preserve">   </w:t>
      </w:r>
    </w:p>
    <w:p w:rsidR="006622B3" w:rsidP="006622B3" w:rsidRDefault="006622B3" w14:paraId="44BBA480"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Ahora bien, en cuanto al plazo con el que cuentan las entidades estatales para cumplir con el deber de publicidad en el SECOP, el </w:t>
      </w:r>
      <w:r w:rsidRPr="00556A70">
        <w:rPr>
          <w:rFonts w:ascii="Arial" w:hAnsi="Arial" w:eastAsia="Arial" w:cs="Arial"/>
          <w:lang w:val="es-ES"/>
        </w:rPr>
        <w:t>artículo 2.2.1.1.1.7.1 del Decreto 1082 de 2015</w:t>
      </w:r>
      <w:r>
        <w:rPr>
          <w:rFonts w:ascii="Arial" w:hAnsi="Arial" w:eastAsia="Arial" w:cs="Arial"/>
          <w:lang w:val="es-ES"/>
        </w:rPr>
        <w:t xml:space="preserve"> señala el término genérico de los 3 días siguientes a la expedición de cada documento. </w:t>
      </w:r>
      <w:r w:rsidRPr="00556A70">
        <w:rPr>
          <w:rFonts w:ascii="Arial" w:hAnsi="Arial" w:eastAsia="Arial" w:cs="Arial"/>
          <w:lang w:val="es-ES"/>
        </w:rPr>
        <w:t>Si bien</w:t>
      </w:r>
      <w:r>
        <w:rPr>
          <w:rFonts w:ascii="Arial" w:hAnsi="Arial" w:eastAsia="Arial" w:cs="Arial"/>
          <w:lang w:val="es-ES"/>
        </w:rPr>
        <w:t xml:space="preserve"> la norma</w:t>
      </w:r>
      <w:r w:rsidRPr="00556A70">
        <w:rPr>
          <w:rFonts w:ascii="Arial" w:hAnsi="Arial" w:eastAsia="Arial" w:cs="Arial"/>
          <w:lang w:val="es-ES"/>
        </w:rPr>
        <w:t xml:space="preserve"> </w:t>
      </w:r>
      <w:r w:rsidRPr="00556A70">
        <w:rPr>
          <w:rFonts w:ascii="Arial" w:hAnsi="Arial" w:eastAsia="Arial" w:cs="Arial"/>
          <w:lang w:val="es-ES"/>
        </w:rPr>
        <w:t xml:space="preserve">no </w:t>
      </w:r>
      <w:r>
        <w:rPr>
          <w:rFonts w:ascii="Arial" w:hAnsi="Arial" w:eastAsia="Arial" w:cs="Arial"/>
          <w:lang w:val="es-ES"/>
        </w:rPr>
        <w:t>indica</w:t>
      </w:r>
      <w:r w:rsidRPr="00556A70">
        <w:rPr>
          <w:rFonts w:ascii="Arial" w:hAnsi="Arial" w:eastAsia="Arial" w:cs="Arial"/>
          <w:lang w:val="es-ES"/>
        </w:rPr>
        <w:t xml:space="preserve"> </w:t>
      </w:r>
      <w:r>
        <w:rPr>
          <w:rFonts w:ascii="Arial" w:hAnsi="Arial" w:eastAsia="Arial" w:cs="Arial"/>
          <w:lang w:val="es-ES"/>
        </w:rPr>
        <w:t xml:space="preserve">si </w:t>
      </w:r>
      <w:r w:rsidRPr="00556A70">
        <w:rPr>
          <w:rFonts w:ascii="Arial" w:hAnsi="Arial" w:eastAsia="Arial" w:cs="Arial"/>
          <w:lang w:val="es-ES"/>
        </w:rPr>
        <w:t>se</w:t>
      </w:r>
      <w:r>
        <w:rPr>
          <w:rFonts w:ascii="Arial" w:hAnsi="Arial" w:eastAsia="Arial" w:cs="Arial"/>
          <w:lang w:val="es-ES"/>
        </w:rPr>
        <w:t xml:space="preserve"> tratan</w:t>
      </w:r>
      <w:r w:rsidRPr="00556A70">
        <w:rPr>
          <w:rFonts w:ascii="Arial" w:hAnsi="Arial" w:eastAsia="Arial" w:cs="Arial"/>
          <w:lang w:val="es-ES"/>
        </w:rPr>
        <w:t xml:space="preserve"> de días hábiles</w:t>
      </w:r>
      <w:r>
        <w:rPr>
          <w:rFonts w:ascii="Arial" w:hAnsi="Arial" w:eastAsia="Arial" w:cs="Arial"/>
          <w:lang w:val="es-ES"/>
        </w:rPr>
        <w:t xml:space="preserve"> o calendario</w:t>
      </w:r>
      <w:r w:rsidRPr="00556A70">
        <w:rPr>
          <w:rFonts w:ascii="Arial" w:hAnsi="Arial" w:eastAsia="Arial" w:cs="Arial"/>
          <w:lang w:val="es-ES"/>
        </w:rPr>
        <w:t>,</w:t>
      </w:r>
      <w:r>
        <w:rPr>
          <w:rFonts w:ascii="Arial" w:hAnsi="Arial" w:eastAsia="Arial" w:cs="Arial"/>
          <w:lang w:val="es-ES"/>
        </w:rPr>
        <w:t xml:space="preserve"> esta Agencia ha explicado que dicho término debe interpretarse de acuerdo con las disposiciones del </w:t>
      </w:r>
      <w:r w:rsidRPr="0088570A">
        <w:rPr>
          <w:rFonts w:ascii="Arial" w:hAnsi="Arial" w:eastAsia="Arial" w:cs="Arial"/>
          <w:lang w:val="es-ES"/>
        </w:rPr>
        <w:t>Capítulo VI</w:t>
      </w:r>
      <w:r>
        <w:rPr>
          <w:rFonts w:ascii="Arial" w:hAnsi="Arial" w:eastAsia="Arial" w:cs="Arial"/>
          <w:lang w:val="es-ES"/>
        </w:rPr>
        <w:t xml:space="preserve"> de la Ley 4 de 1913.</w:t>
      </w:r>
      <w:r w:rsidRPr="00556A70">
        <w:rPr>
          <w:rFonts w:ascii="Arial" w:hAnsi="Arial" w:eastAsia="Arial" w:cs="Arial"/>
          <w:lang w:val="es-ES"/>
        </w:rPr>
        <w:t xml:space="preserve"> </w:t>
      </w:r>
      <w:r>
        <w:rPr>
          <w:rFonts w:ascii="Arial" w:hAnsi="Arial" w:eastAsia="Arial" w:cs="Arial"/>
          <w:lang w:val="es-ES"/>
        </w:rPr>
        <w:t>Particularmente,</w:t>
      </w:r>
      <w:r w:rsidRPr="00556A70">
        <w:rPr>
          <w:rFonts w:ascii="Arial" w:hAnsi="Arial" w:eastAsia="Arial" w:cs="Arial"/>
          <w:lang w:val="es-ES"/>
        </w:rPr>
        <w:t xml:space="preserve"> el artículo 62 establece que </w:t>
      </w:r>
      <w:r>
        <w:rPr>
          <w:rFonts w:ascii="Arial" w:hAnsi="Arial" w:eastAsia="Arial" w:cs="Arial"/>
          <w:lang w:val="es-ES"/>
        </w:rPr>
        <w:t xml:space="preserve">de </w:t>
      </w:r>
      <w:r w:rsidRPr="00556A70">
        <w:rPr>
          <w:rFonts w:ascii="Arial" w:hAnsi="Arial" w:eastAsia="Arial" w:cs="Arial"/>
          <w:lang w:val="es-ES"/>
        </w:rPr>
        <w:t xml:space="preserve">los plazos de días señalados en la ley </w:t>
      </w:r>
      <w:r>
        <w:rPr>
          <w:rFonts w:ascii="Arial" w:hAnsi="Arial" w:eastAsia="Arial" w:cs="Arial"/>
          <w:lang w:val="es-ES"/>
        </w:rPr>
        <w:t>deben entenderse</w:t>
      </w:r>
      <w:r w:rsidRPr="00556A70">
        <w:rPr>
          <w:rFonts w:ascii="Arial" w:hAnsi="Arial" w:eastAsia="Arial" w:cs="Arial"/>
          <w:lang w:val="es-ES"/>
        </w:rPr>
        <w:t xml:space="preserve"> suprimidos los feriados, y que cuando se aluda a meses se computarán conforme al calendario, extendiéndose hasta el día hábil siguiente si el mes termina en un día feriado o vacante</w:t>
      </w:r>
      <w:r>
        <w:rPr>
          <w:rStyle w:val="Refdenotaalpie"/>
          <w:rFonts w:ascii="Arial" w:hAnsi="Arial" w:eastAsia="Arial" w:cs="Arial"/>
          <w:lang w:val="es-ES"/>
        </w:rPr>
        <w:footnoteReference w:id="20"/>
      </w:r>
      <w:r w:rsidRPr="00556A70">
        <w:rPr>
          <w:rFonts w:ascii="Arial" w:hAnsi="Arial" w:eastAsia="Arial" w:cs="Arial"/>
          <w:lang w:val="es-ES"/>
        </w:rPr>
        <w:t>, lo que significa que lo días referidos en la ley deben entenderse como hábiles</w:t>
      </w:r>
      <w:r>
        <w:rPr>
          <w:rStyle w:val="Refdenotaalpie"/>
          <w:rFonts w:ascii="Arial" w:hAnsi="Arial" w:eastAsia="Arial" w:cs="Arial"/>
          <w:lang w:val="es-ES"/>
        </w:rPr>
        <w:footnoteReference w:id="21"/>
      </w:r>
      <w:r w:rsidRPr="00556A70">
        <w:rPr>
          <w:rFonts w:ascii="Arial" w:hAnsi="Arial" w:eastAsia="Arial" w:cs="Arial"/>
          <w:lang w:val="es-ES"/>
        </w:rPr>
        <w:t>.</w:t>
      </w:r>
    </w:p>
    <w:p w:rsidRPr="00805C1A" w:rsidR="006622B3" w:rsidP="006622B3" w:rsidRDefault="006622B3" w14:paraId="6DA29057"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De acuerdo con lo anterior, estando integrado por </w:t>
      </w:r>
      <w:r w:rsidRPr="00BC6B59">
        <w:rPr>
          <w:rFonts w:ascii="Arial" w:hAnsi="Arial" w:eastAsia="Arial" w:cs="Arial"/>
          <w:i/>
          <w:iCs/>
          <w:lang w:val="es-ES"/>
        </w:rPr>
        <w:t>días</w:t>
      </w:r>
      <w:r>
        <w:rPr>
          <w:rFonts w:ascii="Arial" w:hAnsi="Arial" w:eastAsia="Arial" w:cs="Arial"/>
          <w:lang w:val="es-ES"/>
        </w:rPr>
        <w:t xml:space="preserve"> el plazo señalado en el </w:t>
      </w:r>
      <w:r w:rsidRPr="00556A70">
        <w:rPr>
          <w:rFonts w:ascii="Arial" w:hAnsi="Arial" w:eastAsia="Arial" w:cs="Arial"/>
          <w:lang w:val="es-ES"/>
        </w:rPr>
        <w:t>artículo 2.2.1.1.1.7.1 del Decreto 1082 de 2015</w:t>
      </w:r>
      <w:r>
        <w:rPr>
          <w:rFonts w:ascii="Arial" w:hAnsi="Arial" w:eastAsia="Arial" w:cs="Arial"/>
          <w:lang w:val="es-ES"/>
        </w:rPr>
        <w:t xml:space="preserve">, respecto de los cuales no se realiza distinción alguna, de conformidad con lo dispuesto en el artículo 62 de la Ley 4 de 1913 resulta palmario que se trata de un término de cuyo cómputo deben suprimirse los días vacantes o feriados, lo que significa que se trata de un plazo de 3 días hábiles.  Esto significa que, las entidades estatales, en principio, deben publicar cada uno de los </w:t>
      </w:r>
      <w:r w:rsidRPr="00BC6B59">
        <w:rPr>
          <w:rFonts w:ascii="Arial" w:hAnsi="Arial" w:eastAsia="Arial" w:cs="Arial"/>
          <w:i/>
          <w:iCs/>
          <w:lang w:val="es-ES"/>
        </w:rPr>
        <w:t>Documentos del Proceso</w:t>
      </w:r>
      <w:r>
        <w:rPr>
          <w:rFonts w:ascii="Arial" w:hAnsi="Arial" w:eastAsia="Arial" w:cs="Arial"/>
          <w:i/>
          <w:iCs/>
          <w:lang w:val="es-ES"/>
        </w:rPr>
        <w:t xml:space="preserve"> </w:t>
      </w:r>
      <w:r>
        <w:rPr>
          <w:rFonts w:ascii="Arial" w:hAnsi="Arial" w:eastAsia="Arial" w:cs="Arial"/>
          <w:lang w:val="es-ES"/>
        </w:rPr>
        <w:t xml:space="preserve">dentro de los 3 días hábiles siguientes a la expedición, de tal manera que, conforme avanza el proceso, se vaya realizando la publicación de cada una de las actuaciones que lo desarrollan, dentro del plazo señalado. </w:t>
      </w:r>
    </w:p>
    <w:p w:rsidR="006622B3" w:rsidP="006622B3" w:rsidRDefault="006622B3" w14:paraId="10883FF6" w14:textId="77777777">
      <w:pPr>
        <w:widowControl w:val="0"/>
        <w:autoSpaceDE w:val="0"/>
        <w:autoSpaceDN w:val="0"/>
        <w:spacing w:after="120" w:line="276" w:lineRule="auto"/>
        <w:jc w:val="both"/>
        <w:rPr>
          <w:rFonts w:ascii="Arial" w:hAnsi="Arial" w:eastAsia="Arial" w:cs="Arial"/>
          <w:lang w:val="es-ES"/>
        </w:rPr>
      </w:pPr>
      <w:r>
        <w:rPr>
          <w:rFonts w:ascii="Arial" w:hAnsi="Arial" w:eastAsia="Arial" w:cs="Arial"/>
          <w:lang w:val="es-ES"/>
        </w:rPr>
        <w:tab/>
      </w:r>
      <w:r>
        <w:rPr>
          <w:rFonts w:ascii="Arial" w:hAnsi="Arial" w:eastAsia="Arial" w:cs="Arial"/>
          <w:lang w:val="es-ES"/>
        </w:rPr>
        <w:t>Debe precisarse que, actualmente, la plataforma introducida por el artículo 3 de la Ley 1150 de 2007 cuenta con dos versiones–SECOP I y SECOP II–. La primera de ellas funciona como repositorio y medio de publicidad de la documentación contractual que, luego de ser producida en medio físico, se digitaliza para ser publicada en la plataforma, para lo que las entidades cuentan con el plazo señalado. De otra parte, la segunda versión no solo permite dar publicidad al desarrollo del proceso de contratación, sino que además funciona como plataforma transaccional que</w:t>
      </w:r>
      <w:r w:rsidRPr="00217435">
        <w:rPr>
          <w:rFonts w:ascii="Arial" w:hAnsi="Arial" w:eastAsia="Calibri" w:cs="Arial"/>
          <w:lang w:val="es-ES"/>
        </w:rPr>
        <w:t xml:space="preserve"> permite gestionar en línea todos los procedimientos de contratación con cuentas y usuarios asociados a estas, para las entidades y los proveedores, y vista pública para cualquier interesado en hacer seguimiento a la contratación pública. </w:t>
      </w:r>
      <w:r>
        <w:rPr>
          <w:rFonts w:ascii="Arial" w:hAnsi="Arial" w:eastAsia="Calibri" w:cs="Arial"/>
          <w:lang w:val="es-ES"/>
        </w:rPr>
        <w:t>E</w:t>
      </w:r>
      <w:r w:rsidRPr="009D198D">
        <w:rPr>
          <w:rFonts w:ascii="Arial" w:hAnsi="Arial" w:eastAsia="Calibri" w:cs="Arial"/>
          <w:lang w:val="es-ES"/>
        </w:rPr>
        <w:t>s</w:t>
      </w:r>
      <w:r>
        <w:rPr>
          <w:rFonts w:ascii="Arial" w:hAnsi="Arial" w:eastAsia="Calibri" w:cs="Arial"/>
          <w:lang w:val="es-ES"/>
        </w:rPr>
        <w:t>ta</w:t>
      </w:r>
      <w:r w:rsidRPr="009D198D">
        <w:rPr>
          <w:rFonts w:ascii="Arial" w:hAnsi="Arial" w:eastAsia="Calibri" w:cs="Arial"/>
          <w:lang w:val="es-ES"/>
        </w:rPr>
        <w:t xml:space="preserve"> diferencia</w:t>
      </w:r>
      <w:r>
        <w:rPr>
          <w:rFonts w:ascii="Arial" w:hAnsi="Arial" w:eastAsia="Calibri" w:cs="Arial"/>
          <w:lang w:val="es-ES"/>
        </w:rPr>
        <w:t xml:space="preserve"> fundamental</w:t>
      </w:r>
      <w:r w:rsidRPr="009D198D">
        <w:rPr>
          <w:rFonts w:ascii="Arial" w:hAnsi="Arial" w:eastAsia="Calibri" w:cs="Arial"/>
          <w:lang w:val="es-ES"/>
        </w:rPr>
        <w:t xml:space="preserve"> entre las dos versiones del SECOP, </w:t>
      </w:r>
      <w:r>
        <w:rPr>
          <w:rFonts w:ascii="Arial" w:hAnsi="Arial" w:eastAsia="Calibri" w:cs="Arial"/>
          <w:lang w:val="es-ES"/>
        </w:rPr>
        <w:t xml:space="preserve">tiene incidencia en </w:t>
      </w:r>
      <w:r w:rsidRPr="009D198D">
        <w:rPr>
          <w:rFonts w:ascii="Arial" w:hAnsi="Arial" w:eastAsia="Calibri" w:cs="Arial"/>
          <w:lang w:val="es-ES"/>
        </w:rPr>
        <w:t>el cumplimiento del deber de publicidad de las actuaciones contractuales</w:t>
      </w:r>
      <w:r>
        <w:rPr>
          <w:rFonts w:ascii="Arial" w:hAnsi="Arial" w:eastAsia="Calibri" w:cs="Arial"/>
          <w:lang w:val="es-ES"/>
        </w:rPr>
        <w:t xml:space="preserve">, de cara al término señalado por el artículo </w:t>
      </w:r>
      <w:r w:rsidRPr="00556A70">
        <w:rPr>
          <w:rFonts w:ascii="Arial" w:hAnsi="Arial" w:eastAsia="Arial" w:cs="Arial"/>
          <w:lang w:val="es-ES"/>
        </w:rPr>
        <w:t>2.2.1.1.1.7.1</w:t>
      </w:r>
      <w:r>
        <w:rPr>
          <w:rFonts w:ascii="Arial" w:hAnsi="Arial" w:eastAsia="Arial" w:cs="Arial"/>
          <w:lang w:val="es-ES"/>
        </w:rPr>
        <w:t xml:space="preserve"> del Decreto 1082 de 2015.</w:t>
      </w:r>
    </w:p>
    <w:p w:rsidR="006622B3" w:rsidP="006622B3" w:rsidRDefault="006622B3" w14:paraId="560A78A3" w14:textId="77777777">
      <w:pPr>
        <w:widowControl w:val="0"/>
        <w:autoSpaceDE w:val="0"/>
        <w:autoSpaceDN w:val="0"/>
        <w:spacing w:after="120" w:line="276" w:lineRule="auto"/>
        <w:ind w:firstLine="708"/>
        <w:jc w:val="both"/>
        <w:rPr>
          <w:rFonts w:ascii="Arial" w:hAnsi="Arial" w:eastAsia="Calibri" w:cs="Arial"/>
          <w:lang w:val="es-ES"/>
        </w:rPr>
      </w:pPr>
      <w:r w:rsidRPr="009D198D">
        <w:rPr>
          <w:rFonts w:ascii="Arial" w:hAnsi="Arial" w:eastAsia="Calibri" w:cs="Arial"/>
          <w:lang w:val="es-ES"/>
        </w:rPr>
        <w:t>S</w:t>
      </w:r>
      <w:r>
        <w:rPr>
          <w:rFonts w:ascii="Arial" w:hAnsi="Arial" w:eastAsia="Calibri" w:cs="Arial"/>
          <w:lang w:val="es-ES"/>
        </w:rPr>
        <w:t>i</w:t>
      </w:r>
      <w:r w:rsidRPr="009D198D">
        <w:rPr>
          <w:rFonts w:ascii="Arial" w:hAnsi="Arial" w:eastAsia="Calibri" w:cs="Arial"/>
          <w:lang w:val="es-ES"/>
        </w:rPr>
        <w:t xml:space="preserve"> bien los documentos</w:t>
      </w:r>
      <w:r w:rsidRPr="009D198D">
        <w:rPr>
          <w:rFonts w:ascii="Arial" w:hAnsi="Arial" w:eastAsia="Calibri" w:cs="Arial"/>
          <w:i/>
          <w:iCs/>
          <w:lang w:val="es-ES"/>
        </w:rPr>
        <w:t xml:space="preserve"> </w:t>
      </w:r>
      <w:r w:rsidRPr="009D198D">
        <w:rPr>
          <w:rFonts w:ascii="Arial" w:hAnsi="Arial" w:eastAsia="Calibri" w:cs="Arial"/>
          <w:lang w:val="es-ES"/>
        </w:rPr>
        <w:t xml:space="preserve">que deben publicarse en el SECOP II </w:t>
      </w:r>
      <w:r>
        <w:rPr>
          <w:rFonts w:ascii="Arial" w:hAnsi="Arial" w:eastAsia="Calibri" w:cs="Arial"/>
          <w:lang w:val="es-ES"/>
        </w:rPr>
        <w:t>son</w:t>
      </w:r>
      <w:r w:rsidRPr="009D198D">
        <w:rPr>
          <w:rFonts w:ascii="Arial" w:hAnsi="Arial" w:eastAsia="Calibri" w:cs="Arial"/>
          <w:lang w:val="es-ES"/>
        </w:rPr>
        <w:t xml:space="preserve"> los mismos que deben publicarse en el SECOP I, esto es, todos los expedidos con ocasión el </w:t>
      </w:r>
      <w:r w:rsidRPr="009D198D">
        <w:rPr>
          <w:rFonts w:ascii="Arial" w:hAnsi="Arial" w:eastAsia="Calibri" w:cs="Arial"/>
          <w:i/>
          <w:iCs/>
          <w:lang w:val="es-ES"/>
        </w:rPr>
        <w:t xml:space="preserve">Proceso de Contratación </w:t>
      </w:r>
      <w:r>
        <w:rPr>
          <w:rFonts w:ascii="Arial" w:hAnsi="Arial" w:eastAsia="Calibri" w:cs="Arial"/>
          <w:i/>
          <w:iCs/>
          <w:lang w:val="es-ES"/>
        </w:rPr>
        <w:t>–</w:t>
      </w:r>
      <w:r w:rsidRPr="009D198D">
        <w:rPr>
          <w:rFonts w:ascii="Arial" w:hAnsi="Arial" w:eastAsia="Calibri" w:cs="Arial"/>
          <w:lang w:val="es-ES"/>
        </w:rPr>
        <w:t>con excepción de los expresamente excluidos</w:t>
      </w:r>
      <w:r>
        <w:rPr>
          <w:rFonts w:ascii="Arial" w:hAnsi="Arial" w:eastAsia="Calibri" w:cs="Arial"/>
          <w:lang w:val="es-ES"/>
        </w:rPr>
        <w:t>–</w:t>
      </w:r>
      <w:r w:rsidRPr="009D198D">
        <w:rPr>
          <w:rFonts w:ascii="Arial" w:hAnsi="Arial" w:eastAsia="Calibri" w:cs="Arial"/>
          <w:lang w:val="es-ES"/>
        </w:rPr>
        <w:t>,</w:t>
      </w:r>
      <w:r>
        <w:rPr>
          <w:rFonts w:ascii="Arial" w:hAnsi="Arial" w:eastAsia="Calibri" w:cs="Arial"/>
          <w:lang w:val="es-ES"/>
        </w:rPr>
        <w:t xml:space="preserve"> conforme se viene explicando, </w:t>
      </w:r>
      <w:r w:rsidRPr="009D198D">
        <w:rPr>
          <w:rFonts w:ascii="Arial" w:hAnsi="Arial" w:eastAsia="Calibri" w:cs="Arial"/>
          <w:lang w:val="es-ES"/>
        </w:rPr>
        <w:t xml:space="preserve">la naturaleza </w:t>
      </w:r>
      <w:r w:rsidRPr="009D198D">
        <w:rPr>
          <w:rFonts w:ascii="Arial" w:hAnsi="Arial" w:eastAsia="Calibri" w:cs="Arial"/>
          <w:lang w:val="es-ES"/>
        </w:rPr>
        <w:t>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 Esto</w:t>
      </w:r>
      <w:r>
        <w:rPr>
          <w:rFonts w:ascii="Arial" w:hAnsi="Arial" w:eastAsia="Calibri" w:cs="Arial"/>
          <w:lang w:val="es-ES"/>
        </w:rPr>
        <w:t xml:space="preserve"> supone que, en los procedimientos adelantados en SECOP II, la entidad materialmente cuenta con el término </w:t>
      </w:r>
      <w:r w:rsidRPr="009D198D">
        <w:rPr>
          <w:rFonts w:ascii="Arial" w:hAnsi="Arial" w:eastAsia="Calibri" w:cs="Arial"/>
          <w:lang w:val="es-ES"/>
        </w:rPr>
        <w:t>de 3 días para publicar,</w:t>
      </w:r>
      <w:r>
        <w:rPr>
          <w:rFonts w:ascii="Arial" w:hAnsi="Arial" w:eastAsia="Calibri" w:cs="Arial"/>
          <w:lang w:val="es-ES"/>
        </w:rPr>
        <w:t xml:space="preserve"> pero</w:t>
      </w:r>
      <w:r w:rsidRPr="009D198D">
        <w:rPr>
          <w:rFonts w:ascii="Arial" w:hAnsi="Arial" w:eastAsia="Calibri" w:cs="Arial"/>
          <w:lang w:val="es-ES"/>
        </w:rPr>
        <w:t xml:space="preserve"> en la práctica</w:t>
      </w:r>
      <w:r>
        <w:rPr>
          <w:rFonts w:ascii="Arial" w:hAnsi="Arial" w:eastAsia="Calibri" w:cs="Arial"/>
          <w:lang w:val="es-ES"/>
        </w:rPr>
        <w:t xml:space="preserve"> el mismo </w:t>
      </w:r>
      <w:r w:rsidRPr="009D198D">
        <w:rPr>
          <w:rFonts w:ascii="Arial" w:hAnsi="Arial" w:eastAsia="Calibri" w:cs="Arial"/>
          <w:lang w:val="es-ES"/>
        </w:rPr>
        <w:t>no</w:t>
      </w:r>
      <w:r>
        <w:rPr>
          <w:rFonts w:ascii="Arial" w:hAnsi="Arial" w:eastAsia="Calibri" w:cs="Arial"/>
          <w:lang w:val="es-ES"/>
        </w:rPr>
        <w:t xml:space="preserve"> siempre</w:t>
      </w:r>
      <w:r w:rsidRPr="009D198D">
        <w:rPr>
          <w:rFonts w:ascii="Arial" w:hAnsi="Arial" w:eastAsia="Calibri" w:cs="Arial"/>
          <w:lang w:val="es-ES"/>
        </w:rPr>
        <w:t xml:space="preserve"> opera</w:t>
      </w:r>
      <w:r>
        <w:rPr>
          <w:rFonts w:ascii="Arial" w:hAnsi="Arial" w:eastAsia="Calibri" w:cs="Arial"/>
          <w:lang w:val="es-ES"/>
        </w:rPr>
        <w:t>, toda vez que la plataforma permite que algunos de</w:t>
      </w:r>
      <w:r w:rsidRPr="009D198D">
        <w:rPr>
          <w:rFonts w:ascii="Arial" w:hAnsi="Arial" w:eastAsia="Calibri" w:cs="Arial"/>
          <w:lang w:val="es-ES"/>
        </w:rPr>
        <w:t xml:space="preserve"> l</w:t>
      </w:r>
      <w:r>
        <w:rPr>
          <w:rFonts w:ascii="Arial" w:hAnsi="Arial" w:eastAsia="Calibri" w:cs="Arial"/>
          <w:lang w:val="es-ES"/>
        </w:rPr>
        <w:t>os documentos que desarrollan las</w:t>
      </w:r>
      <w:r w:rsidRPr="009D198D">
        <w:rPr>
          <w:rFonts w:ascii="Arial" w:hAnsi="Arial" w:eastAsia="Calibri" w:cs="Arial"/>
          <w:lang w:val="es-ES"/>
        </w:rPr>
        <w:t xml:space="preserve"> actuaciones</w:t>
      </w:r>
      <w:r>
        <w:rPr>
          <w:rFonts w:ascii="Arial" w:hAnsi="Arial" w:eastAsia="Calibri" w:cs="Arial"/>
          <w:lang w:val="es-ES"/>
        </w:rPr>
        <w:t xml:space="preserve"> contractuales</w:t>
      </w:r>
      <w:r w:rsidRPr="009D198D">
        <w:rPr>
          <w:rFonts w:ascii="Arial" w:hAnsi="Arial" w:eastAsia="Calibri" w:cs="Arial"/>
          <w:lang w:val="es-ES"/>
        </w:rPr>
        <w:t xml:space="preserve"> </w:t>
      </w:r>
      <w:r>
        <w:rPr>
          <w:rFonts w:ascii="Arial" w:hAnsi="Arial" w:eastAsia="Calibri" w:cs="Arial"/>
          <w:lang w:val="es-ES"/>
        </w:rPr>
        <w:t xml:space="preserve">sean </w:t>
      </w:r>
      <w:r w:rsidRPr="009D198D">
        <w:rPr>
          <w:rFonts w:ascii="Arial" w:hAnsi="Arial" w:eastAsia="Calibri" w:cs="Arial"/>
          <w:lang w:val="es-ES"/>
        </w:rPr>
        <w:t>generad</w:t>
      </w:r>
      <w:r>
        <w:rPr>
          <w:rFonts w:ascii="Arial" w:hAnsi="Arial" w:eastAsia="Calibri" w:cs="Arial"/>
          <w:lang w:val="es-ES"/>
        </w:rPr>
        <w:t>o</w:t>
      </w:r>
      <w:r w:rsidRPr="009D198D">
        <w:rPr>
          <w:rFonts w:ascii="Arial" w:hAnsi="Arial" w:eastAsia="Calibri" w:cs="Arial"/>
          <w:lang w:val="es-ES"/>
        </w:rPr>
        <w:t>s de manera electrónica</w:t>
      </w:r>
      <w:r>
        <w:rPr>
          <w:rFonts w:ascii="Arial" w:hAnsi="Arial" w:eastAsia="Calibri" w:cs="Arial"/>
          <w:lang w:val="es-ES"/>
        </w:rPr>
        <w:t xml:space="preserve"> dentro de la misma, por lo que no se requiere digitalización de estos,</w:t>
      </w:r>
      <w:r w:rsidRPr="009D198D">
        <w:rPr>
          <w:rFonts w:ascii="Arial" w:hAnsi="Arial" w:eastAsia="Calibri" w:cs="Arial"/>
          <w:lang w:val="es-ES"/>
        </w:rPr>
        <w:t xml:space="preserve"> </w:t>
      </w:r>
      <w:r>
        <w:rPr>
          <w:rFonts w:ascii="Arial" w:hAnsi="Arial" w:eastAsia="Calibri" w:cs="Arial"/>
          <w:lang w:val="es-ES"/>
        </w:rPr>
        <w:t>ya</w:t>
      </w:r>
      <w:r w:rsidRPr="009D198D">
        <w:rPr>
          <w:rFonts w:ascii="Arial" w:hAnsi="Arial" w:eastAsia="Calibri" w:cs="Arial"/>
          <w:lang w:val="es-ES"/>
        </w:rPr>
        <w:t xml:space="preserve"> que una vez estos se aprueban</w:t>
      </w:r>
      <w:r>
        <w:rPr>
          <w:rFonts w:ascii="Arial" w:hAnsi="Arial" w:eastAsia="Calibri" w:cs="Arial"/>
          <w:lang w:val="es-ES"/>
        </w:rPr>
        <w:t xml:space="preserve"> pueden ser</w:t>
      </w:r>
      <w:r w:rsidRPr="009D198D">
        <w:rPr>
          <w:rFonts w:ascii="Arial" w:hAnsi="Arial" w:eastAsia="Calibri" w:cs="Arial"/>
          <w:lang w:val="es-ES"/>
        </w:rPr>
        <w:t xml:space="preserve"> inmediatamente publicados, sin que transcurra el referido término</w:t>
      </w:r>
      <w:r>
        <w:rPr>
          <w:rFonts w:ascii="Arial" w:hAnsi="Arial" w:eastAsia="Calibri" w:cs="Arial"/>
          <w:lang w:val="es-ES"/>
        </w:rPr>
        <w:t>.</w:t>
      </w:r>
    </w:p>
    <w:p w:rsidR="006622B3" w:rsidP="006622B3" w:rsidRDefault="006622B3" w14:paraId="6AC2EEDD" w14:textId="77777777">
      <w:pPr>
        <w:widowControl w:val="0"/>
        <w:autoSpaceDE w:val="0"/>
        <w:autoSpaceDN w:val="0"/>
        <w:spacing w:after="0" w:line="276" w:lineRule="auto"/>
        <w:ind w:firstLine="708"/>
        <w:jc w:val="both"/>
        <w:rPr>
          <w:rFonts w:ascii="Arial" w:hAnsi="Arial" w:eastAsia="Calibri" w:cs="Arial"/>
          <w:lang w:val="es-ES"/>
        </w:rPr>
      </w:pPr>
      <w:r>
        <w:rPr>
          <w:rFonts w:ascii="Arial" w:hAnsi="Arial" w:eastAsia="Calibri" w:cs="Arial"/>
          <w:lang w:val="es-ES"/>
        </w:rPr>
        <w:t>En sintonía con lo expuesto, en ejercicio de las diferentes funciones de compilación y difusión normativa atribuidas a esta entidad por el Decreto 4170 de 2011</w:t>
      </w:r>
      <w:r>
        <w:rPr>
          <w:rStyle w:val="Refdenotaalpie"/>
          <w:rFonts w:ascii="Arial" w:hAnsi="Arial" w:eastAsia="Calibri" w:cs="Arial"/>
          <w:lang w:val="es-ES"/>
        </w:rPr>
        <w:footnoteReference w:id="22"/>
      </w:r>
      <w:r>
        <w:rPr>
          <w:rFonts w:ascii="Arial" w:hAnsi="Arial" w:eastAsia="Calibri" w:cs="Arial"/>
          <w:lang w:val="es-ES"/>
        </w:rPr>
        <w:t xml:space="preserve">, se han expedido diferentes circulares en la que se imparten lineamientos sobre las principales normas aplicables en los procesos de contratación pública. Entre estas se destaca la Circular Externa Única –actualizada el 15 de julio de 2022–, en cuyo numeral 1.3 se abordó el tema de la oportunidad para </w:t>
      </w:r>
      <w:r w:rsidRPr="00313BBB">
        <w:rPr>
          <w:rFonts w:ascii="Arial" w:hAnsi="Arial" w:eastAsia="Calibri" w:cs="Arial"/>
          <w:lang w:val="es-ES"/>
        </w:rPr>
        <w:t xml:space="preserve">la publicación de la información </w:t>
      </w:r>
      <w:r>
        <w:rPr>
          <w:rFonts w:ascii="Arial" w:hAnsi="Arial" w:eastAsia="Calibri" w:cs="Arial"/>
          <w:lang w:val="es-ES"/>
        </w:rPr>
        <w:t xml:space="preserve">contractual </w:t>
      </w:r>
      <w:r w:rsidRPr="00313BBB">
        <w:rPr>
          <w:rFonts w:ascii="Arial" w:hAnsi="Arial" w:eastAsia="Calibri" w:cs="Arial"/>
          <w:lang w:val="es-ES"/>
        </w:rPr>
        <w:t>en el SECOP</w:t>
      </w:r>
      <w:r>
        <w:rPr>
          <w:rFonts w:ascii="Arial" w:hAnsi="Arial" w:eastAsia="Calibri" w:cs="Arial"/>
          <w:lang w:val="es-ES"/>
        </w:rPr>
        <w:t xml:space="preserve">. Al respecto se indicó lo siguiente: </w:t>
      </w:r>
    </w:p>
    <w:p w:rsidRPr="00C858ED" w:rsidR="006622B3" w:rsidP="006622B3" w:rsidRDefault="006622B3" w14:paraId="53527278" w14:textId="77777777">
      <w:pPr>
        <w:widowControl w:val="0"/>
        <w:autoSpaceDE w:val="0"/>
        <w:autoSpaceDN w:val="0"/>
        <w:spacing w:after="0" w:line="276" w:lineRule="auto"/>
        <w:ind w:right="709"/>
        <w:jc w:val="both"/>
        <w:rPr>
          <w:rFonts w:ascii="Arial" w:hAnsi="Arial" w:cs="Arial"/>
        </w:rPr>
      </w:pPr>
    </w:p>
    <w:p w:rsidR="006622B3" w:rsidP="006622B3" w:rsidRDefault="006622B3" w14:paraId="1CFE4BCC" w14:textId="77777777">
      <w:pPr>
        <w:widowControl w:val="0"/>
        <w:autoSpaceDE w:val="0"/>
        <w:autoSpaceDN w:val="0"/>
        <w:spacing w:after="120" w:line="240" w:lineRule="auto"/>
        <w:ind w:left="709" w:right="709"/>
        <w:jc w:val="both"/>
        <w:rPr>
          <w:rFonts w:ascii="Arial" w:hAnsi="Arial" w:cs="Arial"/>
          <w:sz w:val="21"/>
          <w:szCs w:val="21"/>
        </w:rPr>
      </w:pPr>
      <w:r w:rsidRPr="004D394D">
        <w:rPr>
          <w:rFonts w:ascii="Arial" w:hAnsi="Arial" w:cs="Arial"/>
          <w:sz w:val="21"/>
          <w:szCs w:val="21"/>
        </w:rPr>
        <w:t>Las Entidades que aún utilizan el SECOP I están obligadas a publicar en el SECOP los</w:t>
      </w:r>
      <w:r>
        <w:rPr>
          <w:rFonts w:ascii="Arial" w:hAnsi="Arial" w:cs="Arial"/>
          <w:sz w:val="21"/>
          <w:szCs w:val="21"/>
        </w:rPr>
        <w:t xml:space="preserve"> </w:t>
      </w:r>
      <w:r w:rsidRPr="004D394D">
        <w:rPr>
          <w:rFonts w:ascii="Arial" w:hAnsi="Arial" w:cs="Arial"/>
          <w:sz w:val="21"/>
          <w:szCs w:val="21"/>
        </w:rPr>
        <w:t>Documentos del Proceso dentro de los tres (3) días hábiles siguientes a su expedición, por</w:t>
      </w:r>
      <w:r>
        <w:rPr>
          <w:rFonts w:ascii="Arial" w:hAnsi="Arial" w:cs="Arial"/>
          <w:sz w:val="21"/>
          <w:szCs w:val="21"/>
        </w:rPr>
        <w:t xml:space="preserve"> </w:t>
      </w:r>
      <w:r w:rsidRPr="004D394D">
        <w:rPr>
          <w:rFonts w:ascii="Arial" w:hAnsi="Arial" w:cs="Arial"/>
          <w:sz w:val="21"/>
          <w:szCs w:val="21"/>
        </w:rPr>
        <w:t>disposición del artículo 2.2.1.1.1.7.1 del Decreto 1082 de 2015.</w:t>
      </w:r>
    </w:p>
    <w:p w:rsidR="006622B3" w:rsidP="006622B3" w:rsidRDefault="006622B3" w14:paraId="62AEA1A8" w14:textId="77777777">
      <w:pPr>
        <w:widowControl w:val="0"/>
        <w:autoSpaceDE w:val="0"/>
        <w:autoSpaceDN w:val="0"/>
        <w:spacing w:after="120" w:line="240" w:lineRule="auto"/>
        <w:ind w:left="709" w:right="709"/>
        <w:jc w:val="both"/>
        <w:rPr>
          <w:rFonts w:ascii="Arial" w:hAnsi="Arial" w:cs="Arial"/>
          <w:sz w:val="21"/>
          <w:szCs w:val="21"/>
        </w:rPr>
      </w:pPr>
      <w:r w:rsidRPr="004D394D">
        <w:rPr>
          <w:rFonts w:ascii="Arial" w:hAnsi="Arial" w:cs="Arial"/>
          <w:sz w:val="21"/>
          <w:szCs w:val="21"/>
        </w:rPr>
        <w:t>La información registrada por las Entidades en el SECOP II y en la Tienda Virtual del Estado</w:t>
      </w:r>
      <w:r>
        <w:rPr>
          <w:rFonts w:ascii="Arial" w:hAnsi="Arial" w:cs="Arial"/>
          <w:sz w:val="21"/>
          <w:szCs w:val="21"/>
        </w:rPr>
        <w:t xml:space="preserve"> </w:t>
      </w:r>
      <w:r w:rsidRPr="004D394D">
        <w:rPr>
          <w:rFonts w:ascii="Arial" w:hAnsi="Arial" w:cs="Arial"/>
          <w:sz w:val="21"/>
          <w:szCs w:val="21"/>
        </w:rPr>
        <w:t>Colombiano está disponible en tiempo real, debido a que las actuaciones del Proceso de</w:t>
      </w:r>
      <w:r>
        <w:rPr>
          <w:rFonts w:ascii="Arial" w:hAnsi="Arial" w:cs="Arial"/>
          <w:sz w:val="21"/>
          <w:szCs w:val="21"/>
        </w:rPr>
        <w:t xml:space="preserve"> </w:t>
      </w:r>
      <w:r w:rsidRPr="004D394D">
        <w:rPr>
          <w:rFonts w:ascii="Arial" w:hAnsi="Arial" w:cs="Arial"/>
          <w:sz w:val="21"/>
          <w:szCs w:val="21"/>
        </w:rPr>
        <w:t>Contratación tienen lugar electrónicamente, a través de dichas plataformas transaccionales.</w:t>
      </w:r>
      <w:r>
        <w:rPr>
          <w:rFonts w:ascii="Arial" w:hAnsi="Arial" w:cs="Arial"/>
          <w:sz w:val="21"/>
          <w:szCs w:val="21"/>
        </w:rPr>
        <w:t xml:space="preserve"> </w:t>
      </w:r>
      <w:r w:rsidRPr="004D394D">
        <w:rPr>
          <w:rFonts w:ascii="Arial" w:hAnsi="Arial" w:cs="Arial"/>
          <w:sz w:val="21"/>
          <w:szCs w:val="21"/>
        </w:rPr>
        <w:t>Sin embargo, a pesar del carácter transaccional, que permite que el trámite de gran parte de</w:t>
      </w:r>
      <w:r>
        <w:rPr>
          <w:rFonts w:ascii="Arial" w:hAnsi="Arial" w:cs="Arial"/>
          <w:sz w:val="21"/>
          <w:szCs w:val="21"/>
        </w:rPr>
        <w:t xml:space="preserve"> </w:t>
      </w:r>
      <w:r w:rsidRPr="004D394D">
        <w:rPr>
          <w:rFonts w:ascii="Arial" w:hAnsi="Arial" w:cs="Arial"/>
          <w:sz w:val="21"/>
          <w:szCs w:val="21"/>
        </w:rPr>
        <w:t>las actuaciones de la gestión contractual se realice en línea y de forma concomitante a su</w:t>
      </w:r>
      <w:r>
        <w:rPr>
          <w:rFonts w:ascii="Arial" w:hAnsi="Arial" w:cs="Arial"/>
          <w:sz w:val="21"/>
          <w:szCs w:val="21"/>
        </w:rPr>
        <w:t xml:space="preserve"> </w:t>
      </w:r>
      <w:r w:rsidRPr="004D394D">
        <w:rPr>
          <w:rFonts w:ascii="Arial" w:hAnsi="Arial" w:cs="Arial"/>
          <w:sz w:val="21"/>
          <w:szCs w:val="21"/>
        </w:rPr>
        <w:t>publicidad, las Entidades pueden crear documentos en medio físico o electrónico por fuera</w:t>
      </w:r>
      <w:r>
        <w:rPr>
          <w:rFonts w:ascii="Arial" w:hAnsi="Arial" w:cs="Arial"/>
          <w:sz w:val="21"/>
          <w:szCs w:val="21"/>
        </w:rPr>
        <w:t xml:space="preserve"> </w:t>
      </w:r>
      <w:r w:rsidRPr="004D394D">
        <w:rPr>
          <w:rFonts w:ascii="Arial" w:hAnsi="Arial" w:cs="Arial"/>
          <w:sz w:val="21"/>
          <w:szCs w:val="21"/>
        </w:rPr>
        <w:t>de la plataforma para, posteriormente, ser incorporados en el módulo dispuesto para el</w:t>
      </w:r>
      <w:r>
        <w:rPr>
          <w:rFonts w:ascii="Arial" w:hAnsi="Arial" w:cs="Arial"/>
          <w:sz w:val="21"/>
          <w:szCs w:val="21"/>
        </w:rPr>
        <w:t xml:space="preserve"> </w:t>
      </w:r>
      <w:r w:rsidRPr="004D394D">
        <w:rPr>
          <w:rFonts w:ascii="Arial" w:hAnsi="Arial" w:cs="Arial"/>
          <w:sz w:val="21"/>
          <w:szCs w:val="21"/>
        </w:rPr>
        <w:t>efecto</w:t>
      </w:r>
      <w:r>
        <w:rPr>
          <w:rFonts w:ascii="Arial" w:hAnsi="Arial" w:cs="Arial"/>
          <w:sz w:val="21"/>
          <w:szCs w:val="21"/>
        </w:rPr>
        <w:t xml:space="preserve">. </w:t>
      </w:r>
    </w:p>
    <w:p w:rsidR="006622B3" w:rsidP="006622B3" w:rsidRDefault="006622B3" w14:paraId="607C8DFC" w14:textId="77777777">
      <w:pPr>
        <w:widowControl w:val="0"/>
        <w:autoSpaceDE w:val="0"/>
        <w:autoSpaceDN w:val="0"/>
        <w:spacing w:after="120" w:line="240" w:lineRule="auto"/>
        <w:ind w:left="709" w:right="709"/>
        <w:jc w:val="both"/>
        <w:rPr>
          <w:rFonts w:ascii="Arial" w:hAnsi="Arial" w:cs="Arial"/>
          <w:sz w:val="21"/>
          <w:szCs w:val="21"/>
        </w:rPr>
      </w:pPr>
      <w:r w:rsidRPr="004D394D">
        <w:rPr>
          <w:rFonts w:ascii="Arial" w:hAnsi="Arial" w:cs="Arial"/>
          <w:sz w:val="21"/>
          <w:szCs w:val="21"/>
        </w:rPr>
        <w:t xml:space="preserve">Por lo tanto, el SECOP II y la TVEC, están conformados por documentos electrónicos </w:t>
      </w:r>
      <w:r w:rsidRPr="004D394D">
        <w:rPr>
          <w:rFonts w:ascii="Arial" w:hAnsi="Arial" w:cs="Arial"/>
          <w:sz w:val="21"/>
          <w:szCs w:val="21"/>
        </w:rPr>
        <w:t>como formularios o plantillas generados a partir de la información diligenciada por la Entidad Estatal o el Proveedor y documentos producidos originalmente en físico o por medios electrónicos, que la Entidad Estatal o el Proveedor digitalizan y cargan o publican en las plataformas, mediante las secciones correspondientes de acuerdo con la etapa del Proceso de Contratación.</w:t>
      </w:r>
      <w:r>
        <w:rPr>
          <w:rFonts w:ascii="Arial" w:hAnsi="Arial" w:cs="Arial"/>
          <w:sz w:val="21"/>
          <w:szCs w:val="21"/>
        </w:rPr>
        <w:t xml:space="preserve"> </w:t>
      </w:r>
    </w:p>
    <w:p w:rsidRPr="004D394D" w:rsidR="006622B3" w:rsidP="006622B3" w:rsidRDefault="006622B3" w14:paraId="255FE23A" w14:textId="77777777">
      <w:pPr>
        <w:widowControl w:val="0"/>
        <w:autoSpaceDE w:val="0"/>
        <w:autoSpaceDN w:val="0"/>
        <w:spacing w:after="0" w:line="240" w:lineRule="auto"/>
        <w:ind w:left="709" w:right="709"/>
        <w:jc w:val="both"/>
        <w:rPr>
          <w:rFonts w:ascii="Arial" w:hAnsi="Arial" w:cs="Arial"/>
          <w:sz w:val="21"/>
          <w:szCs w:val="21"/>
        </w:rPr>
      </w:pPr>
      <w:r w:rsidRPr="004D394D">
        <w:rPr>
          <w:rFonts w:ascii="Arial" w:hAnsi="Arial" w:cs="Arial"/>
          <w:sz w:val="21"/>
          <w:szCs w:val="21"/>
        </w:rPr>
        <w:t>Respecto a los documentos que no son generados en línea, el SECOP II y la TVEC</w:t>
      </w:r>
      <w:r>
        <w:rPr>
          <w:rFonts w:ascii="Arial" w:hAnsi="Arial" w:cs="Arial"/>
          <w:sz w:val="21"/>
          <w:szCs w:val="21"/>
        </w:rPr>
        <w:t xml:space="preserve"> </w:t>
      </w:r>
      <w:r w:rsidRPr="004D394D">
        <w:rPr>
          <w:rFonts w:ascii="Arial" w:hAnsi="Arial" w:cs="Arial"/>
          <w:sz w:val="21"/>
          <w:szCs w:val="21"/>
        </w:rPr>
        <w:t>permiten</w:t>
      </w:r>
      <w:r>
        <w:rPr>
          <w:rFonts w:ascii="Arial" w:hAnsi="Arial" w:cs="Arial"/>
          <w:sz w:val="21"/>
          <w:szCs w:val="21"/>
        </w:rPr>
        <w:t xml:space="preserve"> </w:t>
      </w:r>
      <w:r w:rsidRPr="004D394D">
        <w:rPr>
          <w:rFonts w:ascii="Arial" w:hAnsi="Arial" w:cs="Arial"/>
          <w:sz w:val="21"/>
          <w:szCs w:val="21"/>
        </w:rPr>
        <w:t>su publicidad. Para ello, se aplicará la misma regla de los tres (3) días hábiles siguientes a la</w:t>
      </w:r>
      <w:r>
        <w:rPr>
          <w:rFonts w:ascii="Arial" w:hAnsi="Arial" w:cs="Arial"/>
          <w:sz w:val="21"/>
          <w:szCs w:val="21"/>
        </w:rPr>
        <w:t xml:space="preserve"> </w:t>
      </w:r>
      <w:r w:rsidRPr="004D394D">
        <w:rPr>
          <w:rFonts w:ascii="Arial" w:hAnsi="Arial" w:cs="Arial"/>
          <w:sz w:val="21"/>
          <w:szCs w:val="21"/>
        </w:rPr>
        <w:t>expedición, conforme con lo previsto en el artículo 2.2.1.1.1.7.1. del Decreto 1082 de 2015.</w:t>
      </w:r>
      <w:r w:rsidRPr="004D394D">
        <w:rPr>
          <w:rStyle w:val="Refdenotaalpie"/>
          <w:rFonts w:ascii="Arial" w:hAnsi="Arial" w:cs="Arial"/>
          <w:sz w:val="21"/>
          <w:szCs w:val="21"/>
        </w:rPr>
        <w:t xml:space="preserve"> </w:t>
      </w:r>
      <w:r>
        <w:rPr>
          <w:rStyle w:val="Refdenotaalpie"/>
          <w:rFonts w:ascii="Arial" w:hAnsi="Arial" w:cs="Arial"/>
          <w:sz w:val="21"/>
          <w:szCs w:val="21"/>
        </w:rPr>
        <w:footnoteReference w:id="23"/>
      </w:r>
      <w:r w:rsidRPr="00BC6B59">
        <w:rPr>
          <w:rFonts w:ascii="Arial" w:hAnsi="Arial" w:eastAsia="Calibri" w:cs="Arial"/>
          <w:sz w:val="21"/>
          <w:szCs w:val="21"/>
          <w:lang w:val="es-ES"/>
        </w:rPr>
        <w:t xml:space="preserve"> </w:t>
      </w:r>
    </w:p>
    <w:p w:rsidR="006622B3" w:rsidP="006622B3" w:rsidRDefault="006622B3" w14:paraId="6A769133" w14:textId="77777777">
      <w:pPr>
        <w:widowControl w:val="0"/>
        <w:autoSpaceDE w:val="0"/>
        <w:autoSpaceDN w:val="0"/>
        <w:spacing w:after="0" w:line="276" w:lineRule="auto"/>
        <w:ind w:firstLine="708"/>
        <w:jc w:val="both"/>
        <w:rPr>
          <w:rFonts w:ascii="Arial" w:hAnsi="Arial" w:eastAsia="Calibri" w:cs="Arial"/>
          <w:lang w:val="es-ES"/>
        </w:rPr>
      </w:pPr>
    </w:p>
    <w:p w:rsidR="006622B3" w:rsidP="006622B3" w:rsidRDefault="006622B3" w14:paraId="61AD5254" w14:textId="77777777">
      <w:pPr>
        <w:widowControl w:val="0"/>
        <w:autoSpaceDE w:val="0"/>
        <w:autoSpaceDN w:val="0"/>
        <w:spacing w:after="120" w:line="276" w:lineRule="auto"/>
        <w:ind w:firstLine="708"/>
        <w:jc w:val="both"/>
        <w:rPr>
          <w:rFonts w:ascii="Arial" w:hAnsi="Arial" w:eastAsia="Calibri" w:cs="Arial"/>
          <w:lang w:val="es-ES"/>
        </w:rPr>
      </w:pPr>
      <w:r>
        <w:rPr>
          <w:rFonts w:ascii="Arial" w:hAnsi="Arial" w:eastAsia="Calibri" w:cs="Arial"/>
          <w:lang w:val="es-ES"/>
        </w:rPr>
        <w:t xml:space="preserve">Conforme se advierte, en la referida circular se hace a alusión al plazo de publicación de 3 días siguientes a la expedición de cada documento. Sin embargo, al igual que como se explicó respecto del artículo </w:t>
      </w:r>
      <w:r w:rsidRPr="00B27835">
        <w:rPr>
          <w:rFonts w:ascii="Arial" w:hAnsi="Arial" w:eastAsia="Calibri" w:cs="Arial"/>
          <w:lang w:val="es-ES"/>
        </w:rPr>
        <w:t>2.2.1.1.1.7.1</w:t>
      </w:r>
      <w:r>
        <w:rPr>
          <w:rFonts w:ascii="Arial" w:hAnsi="Arial" w:eastAsia="Calibri" w:cs="Arial"/>
          <w:lang w:val="es-ES"/>
        </w:rPr>
        <w:t xml:space="preserve"> del Decreto 1082 de 2015, los días señalados en este apartado de la circular son hábiles, en virtud de lo señalado en el artículo 62 de la Ley 4 de 1913. Esto no necesariamente en virtud de una aplicación directa de esta última norma a lo dicho en la circular, sino porque lo allí señalado por la Agencia es en realidad una reproducción de lo señalado en el Decreto 1082 de 2015, expresada a modo de lineamiento en el marco de un documento diseñado para facilitar la contratación pública. </w:t>
      </w:r>
    </w:p>
    <w:p w:rsidRPr="00C858ED" w:rsidR="006622B3" w:rsidP="006622B3" w:rsidRDefault="006622B3" w14:paraId="513C4392" w14:textId="77777777">
      <w:pPr>
        <w:spacing w:line="276" w:lineRule="auto"/>
        <w:jc w:val="both"/>
        <w:rPr>
          <w:rFonts w:ascii="Arial" w:hAnsi="Arial" w:eastAsia="Calibri" w:cs="Arial"/>
          <w:color w:val="000000"/>
        </w:rPr>
      </w:pPr>
      <w:r>
        <w:rPr>
          <w:rFonts w:ascii="Arial" w:hAnsi="Arial" w:eastAsia="Calibri" w:cs="Arial"/>
          <w:color w:val="000000"/>
        </w:rPr>
        <w:tab/>
      </w:r>
      <w:r>
        <w:rPr>
          <w:rFonts w:ascii="Arial" w:hAnsi="Arial" w:eastAsia="Calibri" w:cs="Arial"/>
          <w:color w:val="000000"/>
        </w:rPr>
        <w:t xml:space="preserve">De esta manera, el término con el que cuentan las entidades estatales para publicar los </w:t>
      </w:r>
      <w:r w:rsidRPr="00BC6B59">
        <w:rPr>
          <w:rFonts w:ascii="Arial" w:hAnsi="Arial" w:eastAsia="Calibri" w:cs="Arial"/>
          <w:i/>
          <w:iCs/>
          <w:color w:val="000000"/>
        </w:rPr>
        <w:t>Documentos del Proceso</w:t>
      </w:r>
      <w:r>
        <w:rPr>
          <w:rFonts w:ascii="Arial" w:hAnsi="Arial" w:eastAsia="Calibri" w:cs="Arial"/>
          <w:i/>
          <w:iCs/>
          <w:color w:val="000000"/>
        </w:rPr>
        <w:t xml:space="preserve"> </w:t>
      </w:r>
      <w:r>
        <w:rPr>
          <w:rFonts w:ascii="Arial" w:hAnsi="Arial" w:eastAsia="Calibri" w:cs="Arial"/>
          <w:color w:val="000000"/>
        </w:rPr>
        <w:t xml:space="preserve">es el señalado en el artículo </w:t>
      </w:r>
      <w:r w:rsidRPr="004A5A7F">
        <w:rPr>
          <w:rFonts w:ascii="Arial" w:hAnsi="Arial" w:eastAsia="Calibri" w:cs="Arial"/>
          <w:color w:val="000000"/>
        </w:rPr>
        <w:t>2.2.1.1.1.7.1 del Decreto 1082 de 2015</w:t>
      </w:r>
      <w:r>
        <w:rPr>
          <w:rFonts w:ascii="Arial" w:hAnsi="Arial" w:eastAsia="Calibri" w:cs="Arial"/>
          <w:color w:val="000000"/>
        </w:rPr>
        <w:t xml:space="preserve">, que consta de los 3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pueden publicar algunos de ellos incluso inmediatamente se aprueba el respectivo documento electrónico.  </w:t>
      </w:r>
    </w:p>
    <w:p w:rsidRPr="00842EFF" w:rsidR="006622B3" w:rsidP="006622B3" w:rsidRDefault="006622B3" w14:paraId="0FF916D4" w14:textId="77777777">
      <w:pPr>
        <w:spacing w:before="120" w:after="120" w:line="276" w:lineRule="auto"/>
        <w:ind w:firstLine="709"/>
        <w:jc w:val="both"/>
        <w:rPr>
          <w:rFonts w:ascii="Arial" w:hAnsi="Arial" w:eastAsia="Calibri" w:cs="Arial"/>
          <w:lang w:val="es-ES"/>
        </w:rPr>
      </w:pPr>
      <w:r w:rsidRPr="00842EFF">
        <w:rPr>
          <w:rFonts w:ascii="Arial" w:hAnsi="Arial" w:eastAsia="Calibri" w:cs="Arial"/>
          <w:bCs/>
          <w:lang w:val="es-ES"/>
        </w:rPr>
        <w:t xml:space="preserve">En cuanto al Plan Anual de Adquisiciones, se aclara que si bien es una herramienta de planeación para los procesos de contratación, cuya naturaleza corresponde a la de un acto administrativo, de conformidad con lo expuesto por esta Subdirección en el </w:t>
      </w:r>
      <w:r>
        <w:rPr>
          <w:rFonts w:ascii="Arial" w:hAnsi="Arial" w:eastAsia="Calibri" w:cs="Arial"/>
          <w:bCs/>
          <w:lang w:val="es-ES"/>
        </w:rPr>
        <w:t>C</w:t>
      </w:r>
      <w:r w:rsidRPr="00842EFF">
        <w:rPr>
          <w:rFonts w:ascii="Arial" w:hAnsi="Arial" w:eastAsia="Calibri" w:cs="Arial"/>
          <w:bCs/>
          <w:lang w:val="es-ES"/>
        </w:rPr>
        <w:t>oncepto C</w:t>
      </w:r>
      <w:r>
        <w:rPr>
          <w:rFonts w:ascii="Arial" w:hAnsi="Arial" w:eastAsia="Calibri" w:cs="Arial"/>
          <w:bCs/>
          <w:lang w:val="es-ES"/>
        </w:rPr>
        <w:t>-</w:t>
      </w:r>
      <w:r w:rsidRPr="00842EFF">
        <w:rPr>
          <w:rFonts w:ascii="Arial" w:hAnsi="Arial" w:eastAsia="Calibri" w:cs="Arial"/>
          <w:bCs/>
          <w:lang w:val="es-ES"/>
        </w:rPr>
        <w:t xml:space="preserve">237 del 24 de abril de 2020, </w:t>
      </w:r>
      <w:r w:rsidRPr="00842EFF">
        <w:rPr>
          <w:rFonts w:ascii="Arial" w:hAnsi="Arial" w:eastAsia="Calibri" w:cs="Arial"/>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rsidRPr="00FB77CF" w:rsidR="006622B3" w:rsidP="006622B3" w:rsidRDefault="006622B3" w14:paraId="61ED6DDF" w14:textId="77777777">
      <w:pPr>
        <w:spacing w:after="120" w:line="276" w:lineRule="auto"/>
        <w:ind w:firstLine="709"/>
        <w:jc w:val="both"/>
        <w:rPr>
          <w:rStyle w:val="Textoennegrita"/>
          <w:rFonts w:ascii="Arial" w:hAnsi="Arial" w:cs="Arial"/>
          <w:b w:val="0"/>
          <w:bCs w:val="0"/>
          <w:lang w:val="es-ES"/>
        </w:rPr>
      </w:pPr>
      <w:r w:rsidRPr="00842EFF">
        <w:rPr>
          <w:rFonts w:ascii="Arial" w:hAnsi="Arial" w:eastAsia="Calibri" w:cs="Arial"/>
          <w:lang w:val="es-ES"/>
        </w:rPr>
        <w:t xml:space="preserve">En ese sentido, el Plan Anual de Adquisiciones no forma parte de la noción de </w:t>
      </w:r>
      <w:r w:rsidRPr="00842EFF">
        <w:rPr>
          <w:rFonts w:ascii="Arial" w:hAnsi="Arial" w:eastAsia="Calibri" w:cs="Arial"/>
          <w:i/>
          <w:iCs/>
          <w:lang w:val="es-ES"/>
        </w:rPr>
        <w:t xml:space="preserve">Documentos del Proceso, </w:t>
      </w:r>
      <w:r w:rsidRPr="00842EFF">
        <w:rPr>
          <w:rFonts w:ascii="Arial" w:hAnsi="Arial" w:eastAsia="Calibri" w:cs="Arial"/>
          <w:lang w:val="es-ES"/>
        </w:rPr>
        <w:t xml:space="preserve">ni hace parte del </w:t>
      </w:r>
      <w:r w:rsidRPr="00842EFF">
        <w:rPr>
          <w:rFonts w:ascii="Arial" w:hAnsi="Arial" w:eastAsia="Calibri" w:cs="Arial"/>
          <w:i/>
          <w:iCs/>
          <w:lang w:val="es-ES"/>
        </w:rPr>
        <w:t>Proce</w:t>
      </w:r>
      <w:r w:rsidRPr="00842EFF">
        <w:rPr>
          <w:rFonts w:ascii="Arial" w:hAnsi="Arial" w:eastAsia="Calibri" w:cs="Arial"/>
          <w:lang w:val="es-ES"/>
        </w:rPr>
        <w:t xml:space="preserve">so </w:t>
      </w:r>
      <w:r w:rsidRPr="00842EFF">
        <w:rPr>
          <w:rFonts w:ascii="Arial" w:hAnsi="Arial" w:eastAsia="Calibri" w:cs="Arial"/>
          <w:i/>
          <w:iCs/>
          <w:lang w:val="es-ES"/>
        </w:rPr>
        <w:t>de Contratación,</w:t>
      </w:r>
      <w:r w:rsidRPr="00842EFF">
        <w:rPr>
          <w:rFonts w:ascii="Arial" w:hAnsi="Arial" w:eastAsia="Calibri" w:cs="Arial"/>
          <w:lang w:val="es-ES"/>
        </w:rPr>
        <w:t xml:space="preserve"> conforme al artículo </w:t>
      </w:r>
      <w:r w:rsidRPr="00842EFF">
        <w:rPr>
          <w:rFonts w:ascii="Arial" w:hAnsi="Arial" w:eastAsia="Calibri" w:cs="Arial"/>
          <w:lang w:val="es-ES"/>
        </w:rPr>
        <w:t xml:space="preserve">2.2.1.1.1.3.1 del Decreto 1082 de 2015, por lo que el deber de publicarlo encuentra apoyo en normas distintas del artículo 2.2.1.1.1.7.1 </w:t>
      </w:r>
      <w:proofErr w:type="spellStart"/>
      <w:r w:rsidRPr="00842EFF">
        <w:rPr>
          <w:rFonts w:ascii="Arial" w:hAnsi="Arial" w:eastAsia="Calibri" w:cs="Arial"/>
          <w:i/>
          <w:iCs/>
          <w:lang w:val="es-ES"/>
        </w:rPr>
        <w:t>Ibídem</w:t>
      </w:r>
      <w:proofErr w:type="spellEnd"/>
      <w:r w:rsidRPr="00842EFF">
        <w:rPr>
          <w:rFonts w:ascii="Arial" w:hAnsi="Arial" w:eastAsia="Calibri" w:cs="Arial"/>
          <w:i/>
          <w:iCs/>
          <w:lang w:val="es-ES"/>
        </w:rPr>
        <w:t xml:space="preserve">. </w:t>
      </w:r>
      <w:r w:rsidRPr="00842EFF">
        <w:rPr>
          <w:rFonts w:ascii="Arial" w:hAnsi="Arial" w:eastAsia="Calibri" w:cs="Arial"/>
          <w:lang w:val="es-ES"/>
        </w:rPr>
        <w:t>Es el artículo 74 de la Ley 1474 de 2011</w:t>
      </w:r>
      <w:r w:rsidRPr="00842EFF">
        <w:rPr>
          <w:rStyle w:val="Refdenotaalpie"/>
          <w:rFonts w:ascii="Arial" w:hAnsi="Arial" w:eastAsia="Calibri" w:cs="Arial"/>
          <w:lang w:val="es-ES"/>
        </w:rPr>
        <w:footnoteReference w:id="24"/>
      </w:r>
      <w:r w:rsidRPr="00842EFF">
        <w:rPr>
          <w:rFonts w:ascii="Arial" w:hAnsi="Arial" w:eastAsia="Calibri" w:cs="Arial"/>
          <w:lang w:val="es-ES"/>
        </w:rPr>
        <w:t xml:space="preserve"> el que dispone que </w:t>
      </w:r>
      <w:r w:rsidRPr="00842EFF">
        <w:rPr>
          <w:rFonts w:ascii="Arial" w:hAnsi="Arial" w:cs="Arial"/>
          <w:lang w:val="es-ES"/>
        </w:rPr>
        <w:t xml:space="preserve">a más tardar el 31 de enero de cada año las entidades deben publicar, en su página web, el Plan de Acción para el año siguiente; y el artículo </w:t>
      </w:r>
      <w:r w:rsidRPr="00FB77CF">
        <w:rPr>
          <w:rStyle w:val="Textoennegrita"/>
          <w:rFonts w:ascii="Arial" w:hAnsi="Arial" w:cs="Arial"/>
          <w:b w:val="0"/>
          <w:bCs w:val="0"/>
          <w:lang w:val="es-ES"/>
        </w:rPr>
        <w:t>2.2.1.1.1.4.3</w:t>
      </w:r>
      <w:r w:rsidRPr="00FB77CF">
        <w:rPr>
          <w:rStyle w:val="Refdenotaalpie"/>
          <w:rFonts w:ascii="Arial" w:hAnsi="Arial" w:cs="Arial"/>
          <w:b/>
          <w:bCs/>
          <w:lang w:val="es-ES"/>
        </w:rPr>
        <w:footnoteReference w:id="25"/>
      </w:r>
      <w:r w:rsidRPr="00FB77CF">
        <w:rPr>
          <w:rStyle w:val="Textoennegrita"/>
          <w:rFonts w:ascii="Arial" w:hAnsi="Arial" w:cs="Arial"/>
          <w:b w:val="0"/>
          <w:bCs w:val="0"/>
          <w:lang w:val="es-ES"/>
        </w:rPr>
        <w:t xml:space="preserve"> del Decreto 1082 de 2015 también exige publicarlo en la página web de la entidad y además en el SECOP; así como también lo indica el citado artículo 2.1.1.2.1.10 del Decreto 1081 de 2015.</w:t>
      </w:r>
    </w:p>
    <w:p w:rsidR="006622B3" w:rsidP="006622B3" w:rsidRDefault="006622B3" w14:paraId="6C9D0051" w14:textId="77777777">
      <w:pPr>
        <w:spacing w:after="120" w:line="276" w:lineRule="auto"/>
        <w:ind w:firstLine="709"/>
        <w:jc w:val="both"/>
        <w:rPr>
          <w:rFonts w:ascii="Arial" w:hAnsi="Arial" w:eastAsia="Arial" w:cs="Arial"/>
          <w:lang w:val="es-ES"/>
        </w:rPr>
      </w:pPr>
      <w:r w:rsidRPr="00FB77CF">
        <w:rPr>
          <w:rStyle w:val="Textoennegrita"/>
          <w:rFonts w:ascii="Arial" w:hAnsi="Arial" w:cs="Arial"/>
          <w:b w:val="0"/>
          <w:bCs w:val="0"/>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FB77CF">
        <w:rPr>
          <w:rStyle w:val="Textoennegrita"/>
          <w:rFonts w:ascii="Arial" w:hAnsi="Arial" w:cs="Arial"/>
          <w:b w:val="0"/>
          <w:bCs w:val="0"/>
          <w:i/>
          <w:iCs/>
          <w:lang w:val="es-ES"/>
        </w:rPr>
        <w:t>proceso de contratación</w:t>
      </w:r>
      <w:r w:rsidRPr="00FB77CF">
        <w:rPr>
          <w:rStyle w:val="Textoennegrita"/>
          <w:rFonts w:ascii="Arial" w:hAnsi="Arial" w:cs="Arial"/>
          <w:b w:val="0"/>
          <w:bCs w:val="0"/>
          <w:lang w:val="es-ES"/>
        </w:rPr>
        <w:t xml:space="preserve">: i) el estudio de oportunidad y conveniencia; </w:t>
      </w:r>
      <w:proofErr w:type="spellStart"/>
      <w:r w:rsidRPr="00FB77CF">
        <w:rPr>
          <w:rStyle w:val="Textoennegrita"/>
          <w:rFonts w:ascii="Arial" w:hAnsi="Arial" w:cs="Arial"/>
          <w:b w:val="0"/>
          <w:bCs w:val="0"/>
          <w:lang w:val="es-ES"/>
        </w:rPr>
        <w:t>ii</w:t>
      </w:r>
      <w:proofErr w:type="spellEnd"/>
      <w:r w:rsidRPr="00FB77CF">
        <w:rPr>
          <w:rStyle w:val="Textoennegrita"/>
          <w:rFonts w:ascii="Arial" w:hAnsi="Arial" w:cs="Arial"/>
          <w:b w:val="0"/>
          <w:bCs w:val="0"/>
          <w:lang w:val="es-ES"/>
        </w:rPr>
        <w:t>)</w:t>
      </w:r>
      <w:r w:rsidRPr="00842EFF">
        <w:rPr>
          <w:rStyle w:val="Textoennegrita"/>
          <w:rFonts w:ascii="Arial" w:hAnsi="Arial" w:cs="Arial"/>
          <w:lang w:val="es-ES"/>
        </w:rPr>
        <w:t xml:space="preserve"> </w:t>
      </w:r>
      <w:r w:rsidRPr="00842EFF">
        <w:rPr>
          <w:rFonts w:ascii="Arial" w:hAnsi="Arial" w:cs="Arial"/>
          <w:lang w:val="es-ES"/>
        </w:rPr>
        <w:t xml:space="preserve">los estudios y documentos previos –técnicos o no–; </w:t>
      </w:r>
      <w:proofErr w:type="spellStart"/>
      <w:r w:rsidRPr="00842EFF">
        <w:rPr>
          <w:rFonts w:ascii="Arial" w:hAnsi="Arial" w:cs="Arial"/>
          <w:lang w:val="es-ES"/>
        </w:rPr>
        <w:t>iii</w:t>
      </w:r>
      <w:proofErr w:type="spellEnd"/>
      <w:r w:rsidRPr="00842EFF">
        <w:rPr>
          <w:rFonts w:ascii="Arial" w:hAnsi="Arial" w:cs="Arial"/>
          <w:lang w:val="es-ES"/>
        </w:rPr>
        <w:t xml:space="preserve">) el  aviso de convocatoria; </w:t>
      </w:r>
      <w:proofErr w:type="spellStart"/>
      <w:r w:rsidRPr="00842EFF">
        <w:rPr>
          <w:rFonts w:ascii="Arial" w:hAnsi="Arial" w:cs="Arial"/>
          <w:lang w:val="es-ES"/>
        </w:rPr>
        <w:t>iv</w:t>
      </w:r>
      <w:proofErr w:type="spellEnd"/>
      <w:r w:rsidRPr="00842EFF">
        <w:rPr>
          <w:rFonts w:ascii="Arial" w:hAnsi="Arial" w:cs="Arial"/>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842EFF">
        <w:rPr>
          <w:rFonts w:ascii="Arial" w:hAnsi="Arial" w:cs="Arial"/>
          <w:lang w:val="es-ES"/>
        </w:rPr>
        <w:t>vii</w:t>
      </w:r>
      <w:proofErr w:type="spellEnd"/>
      <w:r w:rsidRPr="00842EFF">
        <w:rPr>
          <w:rFonts w:ascii="Arial" w:hAnsi="Arial" w:cs="Arial"/>
          <w:lang w:val="es-ES"/>
        </w:rPr>
        <w:t xml:space="preserve">) el acta de cierre del plazo para presentar ofertas; </w:t>
      </w:r>
      <w:proofErr w:type="spellStart"/>
      <w:r w:rsidRPr="00842EFF">
        <w:rPr>
          <w:rFonts w:ascii="Arial" w:hAnsi="Arial" w:cs="Arial"/>
          <w:lang w:val="es-ES"/>
        </w:rPr>
        <w:t>viii</w:t>
      </w:r>
      <w:proofErr w:type="spellEnd"/>
      <w:r w:rsidRPr="00842EFF">
        <w:rPr>
          <w:rFonts w:ascii="Arial" w:hAnsi="Arial" w:cs="Arial"/>
          <w:lang w:val="es-ES"/>
        </w:rPr>
        <w:t xml:space="preserve">) las adendas; </w:t>
      </w:r>
      <w:proofErr w:type="spellStart"/>
      <w:r w:rsidRPr="00842EFF">
        <w:rPr>
          <w:rFonts w:ascii="Arial" w:hAnsi="Arial" w:cs="Arial"/>
          <w:lang w:val="es-ES"/>
        </w:rPr>
        <w:t>ix</w:t>
      </w:r>
      <w:proofErr w:type="spellEnd"/>
      <w:r w:rsidRPr="00842EFF">
        <w:rPr>
          <w:rFonts w:ascii="Arial" w:hAnsi="Arial" w:cs="Arial"/>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842EFF">
        <w:rPr>
          <w:rFonts w:ascii="Arial" w:hAnsi="Arial" w:cs="Arial"/>
          <w:lang w:val="es-ES"/>
        </w:rPr>
        <w:t>xii</w:t>
      </w:r>
      <w:proofErr w:type="spellEnd"/>
      <w:r w:rsidRPr="00842EFF">
        <w:rPr>
          <w:rFonts w:ascii="Arial" w:hAnsi="Arial" w:cs="Arial"/>
          <w:lang w:val="es-ES"/>
        </w:rPr>
        <w:t xml:space="preserve">) las respuestas a las observaciones; </w:t>
      </w:r>
      <w:proofErr w:type="spellStart"/>
      <w:r w:rsidRPr="00842EFF">
        <w:rPr>
          <w:rFonts w:ascii="Arial" w:hAnsi="Arial" w:cs="Arial"/>
          <w:lang w:val="es-ES"/>
        </w:rPr>
        <w:t>xiii</w:t>
      </w:r>
      <w:proofErr w:type="spellEnd"/>
      <w:r w:rsidRPr="00842EFF">
        <w:rPr>
          <w:rFonts w:ascii="Arial" w:hAnsi="Arial" w:cs="Arial"/>
          <w:lang w:val="es-ES"/>
        </w:rPr>
        <w:t xml:space="preserve">) el contrato y los otrosíes o modificaciones; </w:t>
      </w:r>
      <w:proofErr w:type="spellStart"/>
      <w:r w:rsidRPr="00842EFF">
        <w:rPr>
          <w:rFonts w:ascii="Arial" w:hAnsi="Arial" w:cs="Arial"/>
          <w:lang w:val="es-ES"/>
        </w:rPr>
        <w:t>xiv</w:t>
      </w:r>
      <w:proofErr w:type="spellEnd"/>
      <w:r w:rsidRPr="00842EFF">
        <w:rPr>
          <w:rFonts w:ascii="Arial" w:hAnsi="Arial" w:cs="Arial"/>
          <w:lang w:val="es-ES"/>
        </w:rPr>
        <w:t xml:space="preserve">) el acta de inicio; </w:t>
      </w:r>
      <w:proofErr w:type="spellStart"/>
      <w:r w:rsidRPr="00842EFF">
        <w:rPr>
          <w:rFonts w:ascii="Arial" w:hAnsi="Arial" w:cs="Arial"/>
          <w:lang w:val="es-ES"/>
        </w:rPr>
        <w:t>xv</w:t>
      </w:r>
      <w:proofErr w:type="spellEnd"/>
      <w:r w:rsidRPr="00842EFF">
        <w:rPr>
          <w:rFonts w:ascii="Arial" w:hAnsi="Arial" w:cs="Arial"/>
          <w:lang w:val="es-ES"/>
        </w:rPr>
        <w:t xml:space="preserve">) las garantías; </w:t>
      </w:r>
      <w:proofErr w:type="spellStart"/>
      <w:r w:rsidRPr="00842EFF">
        <w:rPr>
          <w:rFonts w:ascii="Arial" w:hAnsi="Arial" w:cs="Arial"/>
          <w:lang w:val="es-ES"/>
        </w:rPr>
        <w:t>xvi</w:t>
      </w:r>
      <w:proofErr w:type="spellEnd"/>
      <w:r w:rsidRPr="00842EFF">
        <w:rPr>
          <w:rFonts w:ascii="Arial" w:hAnsi="Arial" w:cs="Arial"/>
          <w:lang w:val="es-ES"/>
        </w:rPr>
        <w:t xml:space="preserve">) el acta de liquidación; </w:t>
      </w:r>
      <w:proofErr w:type="spellStart"/>
      <w:r w:rsidRPr="00842EFF">
        <w:rPr>
          <w:rFonts w:ascii="Arial" w:hAnsi="Arial" w:cs="Arial"/>
          <w:lang w:val="es-ES"/>
        </w:rPr>
        <w:t>xvii</w:t>
      </w:r>
      <w:proofErr w:type="spellEnd"/>
      <w:r w:rsidRPr="00842EFF">
        <w:rPr>
          <w:rFonts w:ascii="Arial" w:hAnsi="Arial" w:cs="Arial"/>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842EFF">
        <w:rPr>
          <w:rFonts w:ascii="Arial" w:hAnsi="Arial" w:cs="Arial"/>
          <w:lang w:val="es-ES"/>
        </w:rPr>
        <w:t>xviii</w:t>
      </w:r>
      <w:proofErr w:type="spellEnd"/>
      <w:r w:rsidRPr="00842EFF">
        <w:rPr>
          <w:rFonts w:ascii="Arial" w:hAnsi="Arial" w:cs="Arial"/>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842EFF">
        <w:rPr>
          <w:rFonts w:ascii="Arial" w:hAnsi="Arial" w:cs="Arial"/>
          <w:lang w:val="es-ES"/>
        </w:rPr>
        <w:t>ix</w:t>
      </w:r>
      <w:proofErr w:type="spellEnd"/>
      <w:r w:rsidRPr="00842EFF">
        <w:rPr>
          <w:rFonts w:ascii="Arial" w:hAnsi="Arial" w:cs="Arial"/>
          <w:lang w:val="es-ES"/>
        </w:rPr>
        <w:t xml:space="preserve">) las reclamaciones que presenten las partes y las respuestas que se expidan a las mismas; </w:t>
      </w:r>
      <w:proofErr w:type="spellStart"/>
      <w:r w:rsidRPr="00842EFF">
        <w:rPr>
          <w:rFonts w:ascii="Arial" w:hAnsi="Arial" w:cs="Arial"/>
          <w:lang w:val="es-ES"/>
        </w:rPr>
        <w:t>xx</w:t>
      </w:r>
      <w:proofErr w:type="spellEnd"/>
      <w:r w:rsidRPr="00842EFF">
        <w:rPr>
          <w:rFonts w:ascii="Arial" w:hAnsi="Arial" w:cs="Arial"/>
          <w:lang w:val="es-ES"/>
        </w:rPr>
        <w:t xml:space="preserve">) las actas de entrega o recibo, </w:t>
      </w:r>
      <w:proofErr w:type="spellStart"/>
      <w:r w:rsidRPr="00842EFF">
        <w:rPr>
          <w:rFonts w:ascii="Arial" w:hAnsi="Arial" w:cs="Arial"/>
          <w:lang w:val="es-ES"/>
        </w:rPr>
        <w:t>xxi</w:t>
      </w:r>
      <w:proofErr w:type="spellEnd"/>
      <w:r w:rsidRPr="00842EFF">
        <w:rPr>
          <w:rFonts w:ascii="Arial" w:hAnsi="Arial" w:cs="Arial"/>
          <w:lang w:val="es-ES"/>
        </w:rPr>
        <w:t xml:space="preserve">) los informes de supervisión y/o interventoría; </w:t>
      </w:r>
      <w:proofErr w:type="spellStart"/>
      <w:r w:rsidRPr="00842EFF">
        <w:rPr>
          <w:rFonts w:ascii="Arial" w:hAnsi="Arial" w:cs="Arial"/>
          <w:lang w:val="es-ES"/>
        </w:rPr>
        <w:t>xxii</w:t>
      </w:r>
      <w:proofErr w:type="spellEnd"/>
      <w:r w:rsidRPr="00842EFF">
        <w:rPr>
          <w:rFonts w:ascii="Arial" w:hAnsi="Arial" w:cs="Arial"/>
          <w:lang w:val="es-ES"/>
        </w:rPr>
        <w:t xml:space="preserve">) en cuanto a la ejecución, de conformidad con el artículo 2.1.1.2.1.8 de Decreto 1081 de 2015, deberán publicarse las aprobaciones, autorizaciones, requerimientos o </w:t>
      </w:r>
      <w:r w:rsidRPr="00842EFF">
        <w:rPr>
          <w:rFonts w:ascii="Arial" w:hAnsi="Arial" w:cs="Arial"/>
          <w:lang w:val="es-ES"/>
        </w:rPr>
        <w:t xml:space="preserve">informes del supervisor o del interventor, que prueben la ejecución del contrato; </w:t>
      </w:r>
      <w:proofErr w:type="spellStart"/>
      <w:r w:rsidRPr="00842EFF">
        <w:rPr>
          <w:rFonts w:ascii="Arial" w:hAnsi="Arial" w:cs="Arial"/>
          <w:lang w:val="es-ES"/>
        </w:rPr>
        <w:t>xxiii</w:t>
      </w:r>
      <w:proofErr w:type="spellEnd"/>
      <w:r w:rsidRPr="00842EFF">
        <w:rPr>
          <w:rFonts w:ascii="Arial" w:hAnsi="Arial" w:cs="Arial"/>
          <w:lang w:val="es-ES"/>
        </w:rPr>
        <w:t xml:space="preserve">) la liquidación unilateral; y </w:t>
      </w:r>
      <w:proofErr w:type="spellStart"/>
      <w:r w:rsidRPr="00842EFF">
        <w:rPr>
          <w:rFonts w:ascii="Arial" w:hAnsi="Arial" w:cs="Arial"/>
          <w:lang w:val="es-ES"/>
        </w:rPr>
        <w:t>xxiv</w:t>
      </w:r>
      <w:proofErr w:type="spellEnd"/>
      <w:r w:rsidRPr="00842EFF">
        <w:rPr>
          <w:rFonts w:ascii="Arial" w:hAnsi="Arial" w:cs="Arial"/>
          <w:lang w:val="es-ES"/>
        </w:rPr>
        <w:t xml:space="preserve">) en general cualquier otro documento producido o expedido con ocasión del </w:t>
      </w:r>
      <w:r w:rsidRPr="00842EFF">
        <w:rPr>
          <w:rFonts w:ascii="Arial" w:hAnsi="Arial" w:cs="Arial"/>
          <w:i/>
          <w:iCs/>
          <w:lang w:val="es-ES"/>
        </w:rPr>
        <w:t>Proceso de Contratación</w:t>
      </w:r>
      <w:r w:rsidRPr="00842EFF">
        <w:rPr>
          <w:rFonts w:ascii="Arial" w:hAnsi="Arial" w:cs="Arial"/>
          <w:lang w:val="es-ES"/>
        </w:rPr>
        <w:t>, sin importar quién sea su autor –la Administración o el contratista–, con excepción de los que pertenecen a</w:t>
      </w:r>
      <w:r w:rsidRPr="00842EFF">
        <w:rPr>
          <w:rFonts w:ascii="Arial" w:hAnsi="Arial" w:eastAsia="Arial" w:cs="Arial"/>
          <w:lang w:val="es-ES"/>
        </w:rPr>
        <w:t xml:space="preserve">l marco de operaciones de bolsa de productos, expresamente excluidos de publicación por el artículo 2.2.1.1.1.7.1 del Decreto 1082 de 2015. </w:t>
      </w:r>
    </w:p>
    <w:p w:rsidRPr="0031783A" w:rsidR="006622B3" w:rsidP="006622B3" w:rsidRDefault="006622B3" w14:paraId="5E220A60" w14:textId="77777777">
      <w:pPr>
        <w:spacing w:after="120" w:line="276" w:lineRule="auto"/>
        <w:ind w:firstLine="709"/>
        <w:jc w:val="both"/>
        <w:rPr>
          <w:rFonts w:ascii="Arial" w:hAnsi="Arial" w:cs="Arial"/>
        </w:rPr>
      </w:pPr>
      <w:r w:rsidRPr="0031783A">
        <w:rPr>
          <w:rFonts w:ascii="Arial" w:hAnsi="Arial" w:eastAsia="Arial" w:cs="Arial"/>
          <w:lang w:val="es-ES"/>
        </w:rPr>
        <w:t>Conforme a esto, las entidades estarán obligadas a publicar todos lo</w:t>
      </w:r>
      <w:r>
        <w:rPr>
          <w:rFonts w:ascii="Arial" w:hAnsi="Arial" w:eastAsia="Arial" w:cs="Arial"/>
          <w:lang w:val="es-ES"/>
        </w:rPr>
        <w:t>s</w:t>
      </w:r>
      <w:r w:rsidRPr="0031783A">
        <w:rPr>
          <w:rFonts w:ascii="Arial" w:hAnsi="Arial" w:eastAsia="Arial" w:cs="Arial"/>
          <w:lang w:val="es-ES"/>
        </w:rPr>
        <w:t xml:space="preserve"> documentos que se produzcan en el marco del </w:t>
      </w:r>
      <w:r w:rsidRPr="0031783A">
        <w:rPr>
          <w:rFonts w:ascii="Arial" w:hAnsi="Arial" w:eastAsia="Arial" w:cs="Arial"/>
          <w:i/>
          <w:iCs/>
          <w:lang w:val="es-ES"/>
        </w:rPr>
        <w:t>Proceso de Contratación</w:t>
      </w:r>
      <w:r w:rsidRPr="0031783A">
        <w:rPr>
          <w:rFonts w:ascii="Arial" w:hAnsi="Arial" w:eastAsia="Arial" w:cs="Arial"/>
          <w:lang w:val="es-ES"/>
        </w:rPr>
        <w:t xml:space="preserve">, de conformidad con las normas que regulan la respectiva modalidad de selección. En sentido resulta necesario precisar que, en lo que tiene que ver con la modalidad de selección de contratación directa, </w:t>
      </w:r>
      <w:bookmarkStart w:name="_Hlk48034832" w:id="8"/>
      <w:r w:rsidRPr="0031783A">
        <w:rPr>
          <w:rFonts w:ascii="Arial" w:hAnsi="Arial" w:eastAsia="Arial" w:cs="Arial"/>
          <w:lang w:val="es-ES"/>
        </w:rPr>
        <w:t xml:space="preserve">en virtud de lo dispuesto en lo en el artículo </w:t>
      </w:r>
      <w:r w:rsidRPr="00FB77CF">
        <w:rPr>
          <w:rStyle w:val="Textoennegrita"/>
          <w:rFonts w:ascii="Arial" w:hAnsi="Arial" w:cs="Arial"/>
          <w:b w:val="0"/>
          <w:bCs w:val="0"/>
          <w:color w:val="000000"/>
        </w:rPr>
        <w:t>2.2.1.2.1.4.3 del Decreto 1082 de 2015</w:t>
      </w:r>
      <w:r w:rsidRPr="00FB77CF">
        <w:rPr>
          <w:rStyle w:val="Refdenotaalpie"/>
          <w:rFonts w:ascii="Arial" w:hAnsi="Arial" w:cs="Arial"/>
          <w:b/>
          <w:bCs/>
          <w:color w:val="000000"/>
        </w:rPr>
        <w:footnoteReference w:id="26"/>
      </w:r>
      <w:r w:rsidRPr="00FB77CF">
        <w:rPr>
          <w:rStyle w:val="Textoennegrita"/>
          <w:rFonts w:ascii="Arial" w:hAnsi="Arial" w:cs="Arial"/>
          <w:b w:val="0"/>
          <w:bCs w:val="0"/>
          <w:color w:val="000000"/>
        </w:rPr>
        <w:t xml:space="preserve">, las entidades no están obligadas a publicar los estudios y documentos previos relacionados con: i) la contratación de empréstitos, </w:t>
      </w:r>
      <w:proofErr w:type="spellStart"/>
      <w:r w:rsidRPr="00FB77CF">
        <w:rPr>
          <w:rStyle w:val="Textoennegrita"/>
          <w:rFonts w:ascii="Arial" w:hAnsi="Arial" w:cs="Arial"/>
          <w:b w:val="0"/>
          <w:bCs w:val="0"/>
          <w:color w:val="000000"/>
        </w:rPr>
        <w:t>ii</w:t>
      </w:r>
      <w:proofErr w:type="spellEnd"/>
      <w:r w:rsidRPr="00FB77CF">
        <w:rPr>
          <w:rStyle w:val="Textoennegrita"/>
          <w:rFonts w:ascii="Arial" w:hAnsi="Arial" w:cs="Arial"/>
          <w:b w:val="0"/>
          <w:bCs w:val="0"/>
          <w:color w:val="000000"/>
        </w:rPr>
        <w:t>) los contratos</w:t>
      </w:r>
      <w:r w:rsidRPr="0031783A">
        <w:rPr>
          <w:rStyle w:val="Textoennegrita"/>
          <w:rFonts w:ascii="Arial" w:hAnsi="Arial" w:cs="Arial"/>
          <w:color w:val="000000"/>
        </w:rPr>
        <w:t xml:space="preserve"> </w:t>
      </w:r>
      <w:r w:rsidRPr="0031783A">
        <w:rPr>
          <w:rFonts w:ascii="Arial" w:hAnsi="Arial" w:cs="Arial"/>
        </w:rPr>
        <w:t xml:space="preserve">interadministrativos que celebre el Ministerio de Hacienda y Crédito Público con el Banco de la República, y </w:t>
      </w:r>
      <w:proofErr w:type="spellStart"/>
      <w:r w:rsidRPr="0031783A">
        <w:rPr>
          <w:rFonts w:ascii="Arial" w:hAnsi="Arial" w:cs="Arial"/>
        </w:rPr>
        <w:t>iii</w:t>
      </w:r>
      <w:proofErr w:type="spellEnd"/>
      <w:r w:rsidRPr="0031783A">
        <w:rPr>
          <w:rFonts w:ascii="Arial" w:hAnsi="Arial" w:cs="Arial"/>
        </w:rPr>
        <w:t>) los contratos a los que se refiere el artículo 2.2.1.2.1.4.6 del Decreto 1082 de 2015, r</w:t>
      </w:r>
      <w:r>
        <w:rPr>
          <w:rFonts w:ascii="Arial" w:hAnsi="Arial" w:cs="Arial"/>
        </w:rPr>
        <w:t xml:space="preserve">elacionados con </w:t>
      </w:r>
      <w:r w:rsidRPr="0031783A">
        <w:rPr>
          <w:rFonts w:ascii="Arial" w:hAnsi="Arial" w:cs="Arial"/>
        </w:rPr>
        <w:t>bienes y servicios del Sector Defensa</w:t>
      </w:r>
      <w:r>
        <w:rPr>
          <w:rFonts w:ascii="Arial" w:hAnsi="Arial" w:cs="Arial"/>
        </w:rPr>
        <w:t xml:space="preserve">, </w:t>
      </w:r>
      <w:r w:rsidRPr="00AB2522">
        <w:rPr>
          <w:rFonts w:ascii="Arial" w:hAnsi="Arial" w:cs="Arial"/>
        </w:rPr>
        <w:t>la Dirección Nacional de Inteligencia y la Unidad Nacional de Protección</w:t>
      </w:r>
      <w:r w:rsidRPr="0031783A">
        <w:rPr>
          <w:rFonts w:ascii="Arial" w:hAnsi="Arial" w:cs="Arial"/>
        </w:rPr>
        <w:t xml:space="preserve"> que requieren reserva para su adquisición</w:t>
      </w:r>
      <w:bookmarkEnd w:id="8"/>
      <w:r w:rsidRPr="0031783A">
        <w:rPr>
          <w:rStyle w:val="Refdenotaalpie"/>
          <w:rFonts w:ascii="Arial" w:hAnsi="Arial" w:cs="Arial"/>
          <w:color w:val="000000"/>
        </w:rPr>
        <w:footnoteReference w:id="27"/>
      </w:r>
      <w:r w:rsidRPr="0031783A">
        <w:rPr>
          <w:rFonts w:ascii="Arial" w:hAnsi="Arial" w:cs="Arial"/>
        </w:rPr>
        <w:t xml:space="preserve">. </w:t>
      </w:r>
    </w:p>
    <w:p w:rsidR="006622B3" w:rsidP="006622B3" w:rsidRDefault="006622B3" w14:paraId="5AF4F4E4" w14:textId="77777777">
      <w:pPr>
        <w:spacing w:after="0" w:line="276" w:lineRule="auto"/>
        <w:ind w:firstLine="709"/>
        <w:jc w:val="both"/>
        <w:rPr>
          <w:rFonts w:ascii="Arial" w:hAnsi="Arial" w:cs="Arial"/>
          <w:lang w:val="es-ES"/>
        </w:rPr>
      </w:pPr>
      <w:r w:rsidRPr="00842EFF">
        <w:rPr>
          <w:rFonts w:ascii="Arial" w:hAnsi="Arial" w:cs="Arial"/>
          <w:lang w:val="es-ES"/>
        </w:rPr>
        <w:t>Sin perjuicio de lo anterior, no debe perderse de vista que en virtud del principio de transparencia, específicamente por cuenta de lo dispuesto en el numeral 4 del artículo 24 de la Ley 80 de 1993</w:t>
      </w:r>
      <w:r w:rsidRPr="00842EFF">
        <w:rPr>
          <w:rStyle w:val="Refdenotaalpie"/>
          <w:rFonts w:ascii="Arial" w:hAnsi="Arial" w:cs="Arial"/>
          <w:lang w:val="es-ES"/>
        </w:rPr>
        <w:footnoteReference w:id="28"/>
      </w:r>
      <w:r w:rsidRPr="00842EFF">
        <w:rPr>
          <w:rFonts w:ascii="Arial" w:hAnsi="Arial" w:cs="Arial"/>
          <w:lang w:val="es-ES"/>
        </w:rPr>
        <w:t>, así como por el principio de máxima publicidad establecido en el artículo 2 de la Ley 1712 de 2014</w:t>
      </w:r>
      <w:r w:rsidRPr="00842EFF">
        <w:rPr>
          <w:rStyle w:val="Refdenotaalpie"/>
          <w:rFonts w:ascii="Arial" w:hAnsi="Arial" w:cs="Arial"/>
          <w:lang w:val="es-ES"/>
        </w:rPr>
        <w:footnoteReference w:id="29"/>
      </w:r>
      <w:r w:rsidRPr="00842EFF">
        <w:rPr>
          <w:rFonts w:ascii="Arial" w:hAnsi="Arial" w:cs="Arial"/>
          <w:lang w:val="es-ES"/>
        </w:rPr>
        <w:t xml:space="preserve">,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w:t>
      </w:r>
      <w:r w:rsidRPr="00842EFF">
        <w:rPr>
          <w:rFonts w:ascii="Arial" w:hAnsi="Arial" w:cs="Arial"/>
          <w:lang w:val="es-ES"/>
        </w:rPr>
        <w:t>ciudadano</w:t>
      </w:r>
      <w:r w:rsidRPr="00842EFF">
        <w:rPr>
          <w:rStyle w:val="Refdenotaalpie"/>
          <w:rFonts w:ascii="Arial" w:hAnsi="Arial" w:cs="Arial"/>
          <w:lang w:val="es-ES"/>
        </w:rPr>
        <w:footnoteReference w:id="30"/>
      </w:r>
      <w:r w:rsidRPr="00842EFF">
        <w:rPr>
          <w:rFonts w:ascii="Arial" w:hAnsi="Arial" w:cs="Arial"/>
          <w:lang w:val="es-ES"/>
        </w:rPr>
        <w:t>. Esta posibilidad solo se encuentra limitada respecto de la documentación que tenga la calidad de reservada</w:t>
      </w:r>
      <w:r w:rsidRPr="00842EFF">
        <w:rPr>
          <w:rFonts w:ascii="Arial" w:hAnsi="Arial" w:cs="Arial"/>
          <w:vertAlign w:val="superscript"/>
          <w:lang w:val="es-ES"/>
        </w:rPr>
        <w:footnoteReference w:id="31"/>
      </w:r>
      <w:r w:rsidRPr="00842EFF">
        <w:rPr>
          <w:rFonts w:ascii="Arial" w:hAnsi="Arial" w:cs="Arial"/>
          <w:lang w:val="es-ES"/>
        </w:rPr>
        <w:t>, que deberá someterse al tratamiento establecido en el artículo 36 del CPACA, en lo relativo a la formación de cuadernos separados</w:t>
      </w:r>
      <w:r w:rsidRPr="00842EFF">
        <w:rPr>
          <w:rFonts w:ascii="Arial" w:hAnsi="Arial" w:cs="Arial"/>
          <w:vertAlign w:val="superscript"/>
          <w:lang w:val="es-ES"/>
        </w:rPr>
        <w:footnoteReference w:id="32"/>
      </w:r>
      <w:r w:rsidRPr="00842EFF">
        <w:rPr>
          <w:rFonts w:ascii="Arial" w:hAnsi="Arial" w:cs="Arial"/>
          <w:lang w:val="es-ES"/>
        </w:rPr>
        <w:t>.</w:t>
      </w:r>
    </w:p>
    <w:p w:rsidRPr="004D394D" w:rsidR="006622B3" w:rsidP="006622B3" w:rsidRDefault="006622B3" w14:paraId="0263BDE0" w14:textId="77777777">
      <w:pPr>
        <w:spacing w:after="0" w:line="276" w:lineRule="auto"/>
        <w:ind w:firstLine="709"/>
        <w:jc w:val="both"/>
        <w:rPr>
          <w:rFonts w:ascii="Arial" w:hAnsi="Arial" w:cs="Arial"/>
          <w:lang w:val="es-ES"/>
        </w:rPr>
      </w:pPr>
    </w:p>
    <w:p w:rsidR="006622B3" w:rsidP="006622B3" w:rsidRDefault="006622B3" w14:paraId="4777F532" w14:textId="77777777">
      <w:pPr>
        <w:tabs>
          <w:tab w:val="left" w:pos="0"/>
        </w:tabs>
        <w:spacing w:after="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3. Respuesta</w:t>
      </w:r>
      <w:r>
        <w:rPr>
          <w:rFonts w:ascii="Arial" w:hAnsi="Arial" w:eastAsia="Calibri" w:cs="Arial"/>
          <w:b/>
          <w:color w:val="000000" w:themeColor="text1"/>
          <w:lang w:val="es-ES_tradnl"/>
        </w:rPr>
        <w:t>s</w:t>
      </w:r>
    </w:p>
    <w:p w:rsidR="006622B3" w:rsidP="006622B3" w:rsidRDefault="006622B3" w14:paraId="60064932" w14:textId="77777777">
      <w:pPr>
        <w:tabs>
          <w:tab w:val="left" w:pos="0"/>
        </w:tabs>
        <w:spacing w:after="0"/>
        <w:jc w:val="both"/>
        <w:rPr>
          <w:rFonts w:ascii="Arial" w:hAnsi="Arial" w:eastAsia="Calibri" w:cs="Arial"/>
          <w:b/>
          <w:color w:val="000000" w:themeColor="text1"/>
          <w:lang w:val="es-ES_tradnl"/>
        </w:rPr>
      </w:pPr>
    </w:p>
    <w:p w:rsidRPr="00B41299" w:rsidR="006622B3" w:rsidP="006622B3" w:rsidRDefault="006622B3" w14:paraId="6C32DF53" w14:textId="77777777">
      <w:pPr>
        <w:spacing w:after="120" w:line="240" w:lineRule="auto"/>
        <w:ind w:left="709" w:right="709"/>
        <w:jc w:val="both"/>
        <w:rPr>
          <w:rFonts w:ascii="Arial" w:hAnsi="Arial" w:cs="Arial"/>
          <w:color w:val="000000" w:themeColor="text1"/>
          <w:sz w:val="21"/>
          <w:szCs w:val="21"/>
          <w:lang w:val="es-ES_tradnl"/>
        </w:rPr>
      </w:pPr>
      <w:r w:rsidRPr="00B41299">
        <w:rPr>
          <w:rFonts w:ascii="Arial" w:hAnsi="Arial" w:cs="Arial"/>
          <w:color w:val="000000" w:themeColor="text1"/>
          <w:sz w:val="21"/>
          <w:szCs w:val="21"/>
          <w:lang w:val="es-ES_tradnl"/>
        </w:rPr>
        <w:t>“1) Ordena la normativa la publicación en SECOP II, la publicación de los documentos del proceso y los actos administrativos del proceso de contratación dentro de los tres (3) días siguientes a su expedición, y a continuación hace relación directa sobre la oferta a publicar en relación del adjudicatario de los procesos de selección, excepcionando los relacionados con las llamadas bolsas de productos.</w:t>
      </w:r>
    </w:p>
    <w:p w:rsidRPr="00B41299" w:rsidR="006622B3" w:rsidP="006622B3" w:rsidRDefault="006622B3" w14:paraId="76AE5D06" w14:textId="77777777">
      <w:pPr>
        <w:spacing w:after="120" w:line="240" w:lineRule="auto"/>
        <w:ind w:left="709" w:right="709"/>
        <w:jc w:val="both"/>
        <w:rPr>
          <w:rFonts w:ascii="Arial" w:hAnsi="Arial" w:cs="Arial"/>
          <w:color w:val="000000" w:themeColor="text1"/>
          <w:sz w:val="21"/>
          <w:szCs w:val="21"/>
          <w:lang w:val="es-ES_tradnl"/>
        </w:rPr>
      </w:pPr>
      <w:proofErr w:type="gramStart"/>
      <w:r w:rsidRPr="00B41299">
        <w:rPr>
          <w:rFonts w:ascii="Arial" w:hAnsi="Arial" w:cs="Arial"/>
          <w:color w:val="000000" w:themeColor="text1"/>
          <w:sz w:val="21"/>
          <w:szCs w:val="21"/>
          <w:lang w:val="es-ES_tradnl"/>
        </w:rPr>
        <w:t>Interrogantes a resolver</w:t>
      </w:r>
      <w:proofErr w:type="gramEnd"/>
      <w:r w:rsidRPr="00B41299">
        <w:rPr>
          <w:rFonts w:ascii="Arial" w:hAnsi="Arial" w:cs="Arial"/>
          <w:color w:val="000000" w:themeColor="text1"/>
          <w:sz w:val="21"/>
          <w:szCs w:val="21"/>
          <w:lang w:val="es-ES_tradnl"/>
        </w:rPr>
        <w:t>:</w:t>
      </w:r>
    </w:p>
    <w:p w:rsidRPr="00B41299" w:rsidR="006622B3" w:rsidP="006622B3" w:rsidRDefault="006622B3" w14:paraId="1A33A259" w14:textId="77777777">
      <w:pPr>
        <w:spacing w:after="120" w:line="240" w:lineRule="auto"/>
        <w:ind w:left="709" w:right="709"/>
        <w:jc w:val="both"/>
        <w:rPr>
          <w:rFonts w:ascii="Arial" w:hAnsi="Arial" w:cs="Arial"/>
          <w:color w:val="000000" w:themeColor="text1"/>
          <w:sz w:val="21"/>
          <w:szCs w:val="21"/>
          <w:lang w:val="es-ES_tradnl"/>
        </w:rPr>
      </w:pPr>
      <w:r w:rsidRPr="00B41299">
        <w:rPr>
          <w:rFonts w:ascii="Arial" w:hAnsi="Arial" w:cs="Arial"/>
          <w:color w:val="000000" w:themeColor="text1"/>
          <w:sz w:val="21"/>
          <w:szCs w:val="21"/>
          <w:lang w:val="es-ES_tradnl"/>
        </w:rPr>
        <w:t xml:space="preserve">a) Respecto de la interpretación que hemos podido realizar de acuerdo con la redacción del inciso uno del referido artículo, se entiende que la publicidad de la que se trata hace referencia a los procesos competitivos, tales como la selección </w:t>
      </w:r>
      <w:r w:rsidRPr="00B41299">
        <w:rPr>
          <w:rFonts w:ascii="Arial" w:hAnsi="Arial" w:cs="Arial"/>
          <w:color w:val="000000" w:themeColor="text1"/>
          <w:sz w:val="21"/>
          <w:szCs w:val="21"/>
          <w:lang w:val="es-ES_tradnl"/>
        </w:rPr>
        <w:t xml:space="preserve">abreviada, licitación pública y mínima cuantía, exceptuando los procesos de contratación directa. </w:t>
      </w:r>
    </w:p>
    <w:p w:rsidRPr="00192E64" w:rsidR="006622B3" w:rsidP="006622B3" w:rsidRDefault="006622B3" w14:paraId="49E7EADA" w14:textId="77777777">
      <w:pPr>
        <w:spacing w:after="0" w:line="240" w:lineRule="auto"/>
        <w:ind w:left="709" w:right="709"/>
        <w:jc w:val="both"/>
        <w:rPr>
          <w:rFonts w:ascii="Arial" w:hAnsi="Arial" w:cs="Arial"/>
          <w:color w:val="000000" w:themeColor="text1"/>
          <w:sz w:val="21"/>
          <w:szCs w:val="21"/>
        </w:rPr>
      </w:pPr>
      <w:r w:rsidRPr="00B41299">
        <w:rPr>
          <w:rFonts w:ascii="Arial" w:hAnsi="Arial" w:cs="Arial"/>
          <w:color w:val="000000" w:themeColor="text1"/>
          <w:sz w:val="21"/>
          <w:szCs w:val="21"/>
          <w:lang w:val="es-ES_tradnl"/>
        </w:rPr>
        <w:t>¿Es correcta la interpretación dada?</w:t>
      </w:r>
      <w:r>
        <w:rPr>
          <w:rFonts w:ascii="Arial" w:hAnsi="Arial" w:cs="Arial"/>
          <w:color w:val="000000" w:themeColor="text1"/>
          <w:sz w:val="21"/>
          <w:szCs w:val="21"/>
        </w:rPr>
        <w:t>”.</w:t>
      </w:r>
    </w:p>
    <w:p w:rsidRPr="0098205B" w:rsidR="006622B3" w:rsidP="006622B3" w:rsidRDefault="006622B3" w14:paraId="612981B6" w14:textId="77777777">
      <w:pPr>
        <w:spacing w:after="0" w:line="276" w:lineRule="auto"/>
        <w:jc w:val="both"/>
        <w:rPr>
          <w:rFonts w:ascii="Arial" w:hAnsi="Arial" w:cs="Arial"/>
          <w:color w:val="000000" w:themeColor="text1"/>
        </w:rPr>
      </w:pPr>
    </w:p>
    <w:p w:rsidR="006622B3" w:rsidP="006622B3" w:rsidRDefault="006622B3" w14:paraId="10621F20" w14:textId="77777777">
      <w:pPr>
        <w:spacing w:after="0" w:line="276" w:lineRule="auto"/>
        <w:jc w:val="both"/>
        <w:rPr>
          <w:rFonts w:ascii="Arial" w:hAnsi="Arial" w:eastAsia="Calibri" w:cs="Arial"/>
        </w:rPr>
      </w:pPr>
      <w:r>
        <w:rPr>
          <w:rFonts w:ascii="Arial" w:hAnsi="Arial" w:eastAsia="Calibri" w:cs="Arial"/>
        </w:rPr>
        <w:t>E</w:t>
      </w:r>
      <w:r w:rsidRPr="00B41299">
        <w:rPr>
          <w:rFonts w:ascii="Arial" w:hAnsi="Arial" w:eastAsia="Calibri" w:cs="Arial"/>
        </w:rPr>
        <w:t xml:space="preserve">n virtud del artículo 3 de la Ley 1150 de 2007, desarrollado por el artículo 2.2.1.1.1.7.1 del Decreto 1082 de 2015, las entidades están obligadas a publicar en el SECOP todos los documentos relacionados con el Proceso de Contratación expedidos durante las etapas precontractual, de ejecución y </w:t>
      </w:r>
      <w:proofErr w:type="spellStart"/>
      <w:r w:rsidRPr="00B41299">
        <w:rPr>
          <w:rFonts w:ascii="Arial" w:hAnsi="Arial" w:eastAsia="Calibri" w:cs="Arial"/>
        </w:rPr>
        <w:t>postcontractual</w:t>
      </w:r>
      <w:proofErr w:type="spellEnd"/>
      <w:r w:rsidRPr="00B41299">
        <w:rPr>
          <w:rFonts w:ascii="Arial" w:hAnsi="Arial" w:eastAsia="Calibri" w:cs="Arial"/>
        </w:rPr>
        <w:t>, dentro de los tres (3) días hábiles siguientes a su producción, deber que aplica a todas las modalidades de selección y entidades regidas por el Estatuto General de Contratación de la Administración Pública, y del que se encuentran excluidas las ofertas que no fueron las ganadoras y los documentos expedidos en el marco de operaciones de bolsa de productos.</w:t>
      </w:r>
      <w:r>
        <w:rPr>
          <w:rFonts w:ascii="Arial" w:hAnsi="Arial" w:eastAsia="Calibri" w:cs="Arial"/>
        </w:rPr>
        <w:t xml:space="preserve"> En este contexto, el deber de publicidad aplica todos los procedimientos de selección previstos en el artículo 2 de la Ley 1150 de 2007, independientemente de que se trate de procesos con o sin pluralidad de oferentes. </w:t>
      </w:r>
    </w:p>
    <w:p w:rsidR="006622B3" w:rsidP="006622B3" w:rsidRDefault="006622B3" w14:paraId="1F50D9B5" w14:textId="77777777">
      <w:pPr>
        <w:spacing w:after="0" w:line="276" w:lineRule="auto"/>
        <w:jc w:val="both"/>
        <w:rPr>
          <w:rFonts w:ascii="Arial" w:hAnsi="Arial" w:eastAsia="Calibri" w:cs="Arial"/>
        </w:rPr>
      </w:pPr>
    </w:p>
    <w:p w:rsidRPr="006C2B4F" w:rsidR="006622B3" w:rsidP="006622B3" w:rsidRDefault="006622B3" w14:paraId="7BBCA860" w14:textId="77777777">
      <w:pPr>
        <w:spacing w:after="12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6C2B4F">
        <w:rPr>
          <w:rFonts w:ascii="Arial" w:hAnsi="Arial" w:cs="Arial"/>
          <w:color w:val="000000" w:themeColor="text1"/>
          <w:sz w:val="21"/>
          <w:szCs w:val="21"/>
          <w:lang w:val="es-ES_tradnl"/>
        </w:rPr>
        <w:t>b) De cara a los procesos de contratación directa asisten las siguientes interrogantes:</w:t>
      </w:r>
    </w:p>
    <w:p w:rsidRPr="006C2B4F" w:rsidR="006622B3" w:rsidP="006622B3" w:rsidRDefault="006622B3" w14:paraId="0F9470DA"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 xml:space="preserve">Es conocido que las entidades del estado conforman un expediente contractual que a su vez se integra por documentos que son expedidos en diferentes momentos, unos producidos por la misma entidad y otros que son solicitados o expedidos, por el contratista. </w:t>
      </w:r>
    </w:p>
    <w:p w:rsidRPr="006C2B4F" w:rsidR="006622B3" w:rsidP="006622B3" w:rsidRDefault="006622B3" w14:paraId="4CBA05FB"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 xml:space="preserve">1. ¿Si se tomara en estricto sentido literal del artículo del Decreto 1082 de 2015, ante la ausencia de claridad </w:t>
      </w:r>
      <w:proofErr w:type="gramStart"/>
      <w:r w:rsidRPr="006C2B4F">
        <w:rPr>
          <w:rFonts w:ascii="Arial" w:hAnsi="Arial" w:cs="Arial"/>
          <w:color w:val="000000" w:themeColor="text1"/>
          <w:sz w:val="21"/>
          <w:szCs w:val="21"/>
          <w:lang w:val="es-ES_tradnl"/>
        </w:rPr>
        <w:t>del mismo</w:t>
      </w:r>
      <w:proofErr w:type="gramEnd"/>
      <w:r w:rsidRPr="006C2B4F">
        <w:rPr>
          <w:rFonts w:ascii="Arial" w:hAnsi="Arial" w:cs="Arial"/>
          <w:color w:val="000000" w:themeColor="text1"/>
          <w:sz w:val="21"/>
          <w:szCs w:val="21"/>
          <w:lang w:val="es-ES_tradnl"/>
        </w:rPr>
        <w:t xml:space="preserve">, cual es la fecha que se debe tomar para la publicación de los documentos previos a la celebración del contrato tales como certificados de idoneidad o insuficiencia del personal de la entidad del futuro contratista de prestación de servicios profesionales y de apoyo a la gestión? </w:t>
      </w:r>
    </w:p>
    <w:p w:rsidRPr="006C2B4F" w:rsidR="006622B3" w:rsidP="006622B3" w:rsidRDefault="006622B3" w14:paraId="17843D29"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2. ¿Sería válido desintegrar la unidad que conforma el expediente y tomar cualquier documento como referencia para la publicación?</w:t>
      </w:r>
    </w:p>
    <w:p w:rsidRPr="006C2B4F" w:rsidR="006622B3" w:rsidP="006622B3" w:rsidRDefault="006622B3" w14:paraId="472B129B"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3. Por ejemplo: Los llamados certificados de falta o insuficiencia de personal en planta de la entidad, se gestiona ante las oficinas como uno de los primeros documentos, normalmente por las dinámicas de una entidad no logra consolidarse el expediente (Factores internos y externos) y se radica al cuarto, quinto sexto día siguiente a su expedición, ¿se vulnera la norma si este documento no es publicado al tercer día de su expedición?</w:t>
      </w:r>
    </w:p>
    <w:p w:rsidRPr="006C2B4F" w:rsidR="006622B3" w:rsidP="006622B3" w:rsidRDefault="006622B3" w14:paraId="5A758D70"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4. Otro ejemplo muy claro es con los documentos ajenos a la entidad a excepción de aquellos que, si hay norma para que tengan validez como el Certificado de Existencia y Representación, o de otros que son confidenciales, hay otros que no lo tienen, entonces, ¿se vulnera la norma si no son publicados al tercer día?</w:t>
      </w:r>
    </w:p>
    <w:p w:rsidRPr="006C2B4F" w:rsidR="006622B3" w:rsidP="006622B3" w:rsidRDefault="006622B3" w14:paraId="6ABFE650" w14:textId="77777777">
      <w:pPr>
        <w:spacing w:after="120" w:line="240" w:lineRule="auto"/>
        <w:ind w:left="709" w:right="709"/>
        <w:jc w:val="both"/>
        <w:rPr>
          <w:rFonts w:ascii="Arial" w:hAnsi="Arial" w:cs="Arial"/>
          <w:color w:val="000000" w:themeColor="text1"/>
          <w:sz w:val="21"/>
          <w:szCs w:val="21"/>
          <w:lang w:val="es-ES_tradnl"/>
        </w:rPr>
      </w:pPr>
      <w:r w:rsidRPr="006C2B4F">
        <w:rPr>
          <w:rFonts w:ascii="Arial" w:hAnsi="Arial" w:cs="Arial"/>
          <w:color w:val="000000" w:themeColor="text1"/>
          <w:sz w:val="21"/>
          <w:szCs w:val="21"/>
          <w:lang w:val="es-ES_tradnl"/>
        </w:rPr>
        <w:t>5. De cara a las anteriores interrogantes, ¿Cuál es el documento de referencia o punto de partida para que se produzca la publicación en los contratos de prestación de servicios profesionales y de apoyo a la gestión?</w:t>
      </w:r>
    </w:p>
    <w:p w:rsidRPr="0063078B" w:rsidR="006622B3" w:rsidP="006622B3" w:rsidRDefault="006622B3" w14:paraId="5EF38917" w14:textId="77777777">
      <w:pPr>
        <w:spacing w:after="0" w:line="240" w:lineRule="auto"/>
        <w:ind w:left="709" w:right="709"/>
        <w:jc w:val="both"/>
        <w:rPr>
          <w:rFonts w:ascii="Arial" w:hAnsi="Arial" w:cs="Arial"/>
          <w:color w:val="000000" w:themeColor="text1"/>
          <w:lang w:val="es-ES_tradnl"/>
        </w:rPr>
      </w:pPr>
      <w:r w:rsidRPr="006C2B4F">
        <w:rPr>
          <w:rFonts w:ascii="Arial" w:hAnsi="Arial" w:cs="Arial"/>
          <w:color w:val="000000" w:themeColor="text1"/>
          <w:sz w:val="21"/>
          <w:szCs w:val="21"/>
          <w:lang w:val="es-ES_tradnl"/>
        </w:rPr>
        <w:t xml:space="preserve">6. ¿Existe recomendación para y en tratándose de procesos de contratación directa, teniendo en cuenta las dinámicas de la entidad?”. </w:t>
      </w:r>
      <w:r w:rsidRPr="00B35C0C">
        <w:rPr>
          <w:rFonts w:ascii="Arial" w:hAnsi="Arial" w:cs="Arial"/>
          <w:color w:val="000000" w:themeColor="text1"/>
          <w:lang w:val="es-ES_tradnl"/>
        </w:rPr>
        <w:t xml:space="preserve"> </w:t>
      </w:r>
      <w:r w:rsidRPr="00466C39">
        <w:rPr>
          <w:rFonts w:ascii="Arial" w:hAnsi="Arial" w:cs="Arial"/>
          <w:color w:val="000000" w:themeColor="text1"/>
          <w:sz w:val="21"/>
          <w:szCs w:val="21"/>
        </w:rPr>
        <w:t xml:space="preserve"> </w:t>
      </w:r>
    </w:p>
    <w:p w:rsidR="006622B3" w:rsidP="006622B3" w:rsidRDefault="006622B3" w14:paraId="3FDF2520" w14:textId="77777777">
      <w:pPr>
        <w:spacing w:after="0" w:line="276" w:lineRule="auto"/>
        <w:jc w:val="both"/>
        <w:rPr>
          <w:rFonts w:ascii="Arial" w:hAnsi="Arial" w:eastAsia="Calibri" w:cs="Arial"/>
        </w:rPr>
      </w:pPr>
    </w:p>
    <w:p w:rsidR="006622B3" w:rsidP="006622B3" w:rsidRDefault="006622B3" w14:paraId="6EA01A6F" w14:textId="77777777">
      <w:pPr>
        <w:spacing w:after="0" w:line="276" w:lineRule="auto"/>
        <w:jc w:val="both"/>
        <w:rPr>
          <w:rFonts w:ascii="Arial" w:hAnsi="Arial" w:eastAsia="Calibri" w:cs="Arial"/>
          <w:lang w:val="es-ES"/>
        </w:rPr>
      </w:pPr>
      <w:r>
        <w:rPr>
          <w:rFonts w:ascii="Arial" w:hAnsi="Arial" w:eastAsia="Calibri" w:cs="Arial"/>
        </w:rPr>
        <w:t xml:space="preserve">Conforme a la interpretación de las normas generales del sistema de compras públicas, </w:t>
      </w:r>
      <w:r w:rsidRPr="00842EFF">
        <w:rPr>
          <w:rFonts w:ascii="Arial" w:hAnsi="Arial" w:eastAsia="Calibri" w:cs="Arial"/>
          <w:lang w:val="es-ES"/>
        </w:rPr>
        <w:t xml:space="preserve">el deber de publicar la actividad contractual de las entidades estatales no solo está regulado en el artículo 3 de la Ley 1150 de 2007 y en el </w:t>
      </w:r>
      <w:r w:rsidRPr="00842EFF">
        <w:rPr>
          <w:rFonts w:ascii="Arial" w:hAnsi="Arial" w:eastAsia="Arial" w:cs="Arial"/>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w:t>
      </w:r>
      <w:r>
        <w:rPr>
          <w:rFonts w:ascii="Arial" w:hAnsi="Arial" w:eastAsia="Arial" w:cs="Arial"/>
          <w:lang w:val="es-ES"/>
        </w:rPr>
        <w:t>“</w:t>
      </w:r>
      <w:r w:rsidRPr="00842EFF">
        <w:rPr>
          <w:rFonts w:ascii="Arial" w:hAnsi="Arial" w:eastAsia="Arial" w:cs="Arial"/>
          <w:lang w:val="es-ES"/>
        </w:rPr>
        <w:t>procedimientos</w:t>
      </w:r>
      <w:r>
        <w:rPr>
          <w:rFonts w:ascii="Arial" w:hAnsi="Arial" w:eastAsia="Arial" w:cs="Arial"/>
          <w:lang w:val="es-ES"/>
        </w:rPr>
        <w:t>”</w:t>
      </w:r>
      <w:r w:rsidRPr="00842EFF">
        <w:rPr>
          <w:rFonts w:ascii="Arial" w:hAnsi="Arial" w:eastAsia="Arial" w:cs="Arial"/>
          <w:lang w:val="es-ES"/>
        </w:rPr>
        <w:t xml:space="preserve"> y la información relativa a la </w:t>
      </w:r>
      <w:r>
        <w:rPr>
          <w:rFonts w:ascii="Arial" w:hAnsi="Arial" w:eastAsia="Arial" w:cs="Arial"/>
          <w:lang w:val="es-ES"/>
        </w:rPr>
        <w:t>“</w:t>
      </w:r>
      <w:r w:rsidRPr="00842EFF">
        <w:rPr>
          <w:rFonts w:ascii="Arial" w:hAnsi="Arial" w:eastAsia="Arial" w:cs="Arial"/>
          <w:lang w:val="es-ES"/>
        </w:rPr>
        <w:t>gestión contractual</w:t>
      </w:r>
      <w:r>
        <w:rPr>
          <w:rFonts w:ascii="Arial" w:hAnsi="Arial" w:eastAsia="Arial" w:cs="Arial"/>
          <w:lang w:val="es-ES"/>
        </w:rPr>
        <w:t>”</w:t>
      </w:r>
      <w:r w:rsidRPr="00842EFF">
        <w:rPr>
          <w:rFonts w:ascii="Arial" w:hAnsi="Arial" w:eastAsia="Arial" w:cs="Arial"/>
          <w:lang w:val="es-ES"/>
        </w:rPr>
        <w:t xml:space="preserve">, sin el condicionamiento de tratarse exclusivamente de los </w:t>
      </w:r>
      <w:r w:rsidRPr="00842EFF">
        <w:rPr>
          <w:rFonts w:ascii="Arial" w:hAnsi="Arial" w:eastAsia="Arial" w:cs="Arial"/>
          <w:i/>
          <w:iCs/>
          <w:lang w:val="es-ES"/>
        </w:rPr>
        <w:t xml:space="preserve">Documentos del Proceso </w:t>
      </w:r>
      <w:r w:rsidRPr="00842EFF">
        <w:rPr>
          <w:rFonts w:ascii="Arial" w:hAnsi="Arial" w:eastAsia="Arial" w:cs="Arial"/>
          <w:lang w:val="es-ES"/>
        </w:rPr>
        <w:t xml:space="preserve">expedidos por la </w:t>
      </w:r>
      <w:r>
        <w:rPr>
          <w:rFonts w:ascii="Arial" w:hAnsi="Arial" w:eastAsia="Arial" w:cs="Arial"/>
          <w:lang w:val="es-ES"/>
        </w:rPr>
        <w:t>“</w:t>
      </w:r>
      <w:r w:rsidRPr="00842EFF">
        <w:rPr>
          <w:rFonts w:ascii="Arial" w:hAnsi="Arial" w:eastAsia="Arial" w:cs="Arial"/>
          <w:lang w:val="es-ES"/>
        </w:rPr>
        <w:t>entidad estatal</w:t>
      </w:r>
      <w:r>
        <w:rPr>
          <w:rFonts w:ascii="Arial" w:hAnsi="Arial" w:eastAsia="Arial" w:cs="Arial"/>
          <w:lang w:val="es-ES"/>
        </w:rPr>
        <w:t>”</w:t>
      </w:r>
      <w:r w:rsidRPr="00842EFF">
        <w:rPr>
          <w:rFonts w:ascii="Arial" w:hAnsi="Arial" w:eastAsia="Arial" w:cs="Arial"/>
          <w:lang w:val="es-ES"/>
        </w:rPr>
        <w:t>.</w:t>
      </w:r>
      <w:r>
        <w:rPr>
          <w:rFonts w:ascii="Arial" w:hAnsi="Arial" w:eastAsia="Arial" w:cs="Arial"/>
          <w:lang w:val="es-ES"/>
        </w:rPr>
        <w:t xml:space="preserve"> </w:t>
      </w:r>
      <w:r w:rsidRPr="00842EFF">
        <w:rPr>
          <w:rFonts w:ascii="Arial" w:hAnsi="Arial" w:eastAsia="Calibri" w:cs="Arial"/>
          <w:lang w:val="es-ES"/>
        </w:rPr>
        <w:t>Esto quiere decir que las entidades estatales, además de los documentos y actos administrativos –de trámite o definitivos– que expiden durante los procedimientos de contratación</w:t>
      </w:r>
      <w:r w:rsidRPr="00842EFF">
        <w:rPr>
          <w:rFonts w:ascii="Arial" w:hAnsi="Arial" w:eastAsia="Calibri" w:cs="Arial"/>
          <w:i/>
          <w:iCs/>
          <w:lang w:val="es-ES"/>
        </w:rPr>
        <w:t>,</w:t>
      </w:r>
      <w:r w:rsidRPr="00842EFF">
        <w:rPr>
          <w:rFonts w:ascii="Arial" w:hAnsi="Arial" w:eastAsia="Calibri" w:cs="Arial"/>
          <w:lang w:val="es-ES"/>
        </w:rPr>
        <w:t xml:space="preserve"> deben publicar los documentos que los impulsan y materializan, incluso los que no produce la entidad, pero que hacen parte del procedimiento</w:t>
      </w:r>
      <w:r>
        <w:rPr>
          <w:rFonts w:ascii="Arial" w:hAnsi="Arial" w:eastAsia="Calibri" w:cs="Arial"/>
          <w:lang w:val="es-ES"/>
        </w:rPr>
        <w:t xml:space="preserve">. </w:t>
      </w:r>
    </w:p>
    <w:p w:rsidR="006622B3" w:rsidP="006622B3" w:rsidRDefault="006622B3" w14:paraId="0F22FE0D" w14:textId="77777777">
      <w:pPr>
        <w:spacing w:before="120" w:after="120" w:line="276" w:lineRule="auto"/>
        <w:ind w:firstLine="709"/>
        <w:jc w:val="both"/>
        <w:rPr>
          <w:rFonts w:ascii="Arial" w:hAnsi="Arial" w:eastAsia="Arial" w:cs="Arial"/>
          <w:lang w:val="es-ES"/>
        </w:rPr>
      </w:pPr>
      <w:r w:rsidRPr="00842EFF">
        <w:rPr>
          <w:rFonts w:ascii="Arial" w:hAnsi="Arial" w:eastAsia="Calibri" w:cs="Arial"/>
          <w:lang w:val="es-ES"/>
        </w:rPr>
        <w:t>Ahora, es importante resaltar que al no existir efectos derogatorios o subrogatorios entre las disposiciones del EGCAP y la normativa de la transparencia y el acceso a la información pública, las disposiciones de ambos regímenes deben interpreta</w:t>
      </w:r>
      <w:r>
        <w:rPr>
          <w:rFonts w:ascii="Arial" w:hAnsi="Arial" w:eastAsia="Calibri" w:cs="Arial"/>
          <w:lang w:val="es-ES"/>
        </w:rPr>
        <w:t>rse</w:t>
      </w:r>
      <w:r w:rsidRPr="00842EFF">
        <w:rPr>
          <w:rFonts w:ascii="Arial" w:hAnsi="Arial" w:eastAsia="Calibri" w:cs="Arial"/>
          <w:lang w:val="es-ES"/>
        </w:rPr>
        <w:t xml:space="preserve">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842EFF">
        <w:rPr>
          <w:rFonts w:ascii="Arial" w:hAnsi="Arial" w:eastAsia="Arial" w:cs="Arial"/>
          <w:lang w:val="es-ES"/>
        </w:rPr>
        <w:t>artículo 2.2.1.1.1.7.1 del Decreto 1082 de 2015.</w:t>
      </w:r>
    </w:p>
    <w:p w:rsidR="006622B3" w:rsidP="006622B3" w:rsidRDefault="006622B3" w14:paraId="4C78F796" w14:textId="77777777">
      <w:pPr>
        <w:spacing w:before="120" w:after="120" w:line="276" w:lineRule="auto"/>
        <w:ind w:firstLine="709"/>
        <w:jc w:val="both"/>
        <w:rPr>
          <w:rFonts w:ascii="Arial" w:hAnsi="Arial" w:eastAsia="Calibri" w:cs="Arial"/>
          <w:color w:val="000000"/>
        </w:rPr>
      </w:pPr>
      <w:r>
        <w:rPr>
          <w:rFonts w:ascii="Arial" w:hAnsi="Arial" w:eastAsia="Calibri" w:cs="Arial"/>
          <w:color w:val="000000"/>
        </w:rPr>
        <w:t xml:space="preserve">De esta manera, el término con el que cuentan las entidades estatales para publicar los </w:t>
      </w:r>
      <w:r w:rsidRPr="00BC6B59">
        <w:rPr>
          <w:rFonts w:ascii="Arial" w:hAnsi="Arial" w:eastAsia="Calibri" w:cs="Arial"/>
          <w:i/>
          <w:iCs/>
          <w:color w:val="000000"/>
        </w:rPr>
        <w:t>Documentos del Proceso</w:t>
      </w:r>
      <w:r>
        <w:rPr>
          <w:rFonts w:ascii="Arial" w:hAnsi="Arial" w:eastAsia="Calibri" w:cs="Arial"/>
          <w:i/>
          <w:iCs/>
          <w:color w:val="000000"/>
        </w:rPr>
        <w:t xml:space="preserve"> </w:t>
      </w:r>
      <w:r>
        <w:rPr>
          <w:rFonts w:ascii="Arial" w:hAnsi="Arial" w:eastAsia="Calibri" w:cs="Arial"/>
          <w:color w:val="000000"/>
        </w:rPr>
        <w:t xml:space="preserve">es el señalado en el artículo </w:t>
      </w:r>
      <w:r w:rsidRPr="004A5A7F">
        <w:rPr>
          <w:rFonts w:ascii="Arial" w:hAnsi="Arial" w:eastAsia="Calibri" w:cs="Arial"/>
          <w:color w:val="000000"/>
        </w:rPr>
        <w:t>2.2.1.1.1.7.1 del Decreto 1082 de 2015</w:t>
      </w:r>
      <w:r>
        <w:rPr>
          <w:rFonts w:ascii="Arial" w:hAnsi="Arial" w:eastAsia="Calibri" w:cs="Arial"/>
          <w:color w:val="000000"/>
        </w:rPr>
        <w:t xml:space="preserve">, que consta de los 3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pueden publicar algunos de ellos incluso inmediatamente se aprueba el respectivo documento electrónico. </w:t>
      </w:r>
    </w:p>
    <w:p w:rsidR="006622B3" w:rsidP="006622B3" w:rsidRDefault="006622B3" w14:paraId="57BF1E8A" w14:textId="77777777">
      <w:pPr>
        <w:spacing w:after="120" w:line="276" w:lineRule="auto"/>
        <w:ind w:firstLine="709"/>
        <w:jc w:val="both"/>
        <w:rPr>
          <w:rFonts w:ascii="Arial" w:hAnsi="Arial" w:eastAsia="Arial" w:cs="Arial"/>
          <w:lang w:val="es-ES"/>
        </w:rPr>
      </w:pPr>
      <w:r w:rsidRPr="00FB77CF">
        <w:rPr>
          <w:rStyle w:val="Textoennegrita"/>
          <w:rFonts w:ascii="Arial" w:hAnsi="Arial" w:cs="Arial"/>
          <w:b w:val="0"/>
          <w:bCs w:val="0"/>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FB77CF">
        <w:rPr>
          <w:rStyle w:val="Textoennegrita"/>
          <w:rFonts w:ascii="Arial" w:hAnsi="Arial" w:cs="Arial"/>
          <w:b w:val="0"/>
          <w:bCs w:val="0"/>
          <w:i/>
          <w:iCs/>
          <w:lang w:val="es-ES"/>
        </w:rPr>
        <w:t>proceso de contratación</w:t>
      </w:r>
      <w:r w:rsidRPr="00FB77CF">
        <w:rPr>
          <w:rStyle w:val="Textoennegrita"/>
          <w:rFonts w:ascii="Arial" w:hAnsi="Arial" w:cs="Arial"/>
          <w:b w:val="0"/>
          <w:bCs w:val="0"/>
          <w:lang w:val="es-ES"/>
        </w:rPr>
        <w:t xml:space="preserve">: i) el estudio de oportunidad y conveniencia; </w:t>
      </w:r>
      <w:proofErr w:type="spellStart"/>
      <w:r w:rsidRPr="00FB77CF">
        <w:rPr>
          <w:rStyle w:val="Textoennegrita"/>
          <w:rFonts w:ascii="Arial" w:hAnsi="Arial" w:cs="Arial"/>
          <w:b w:val="0"/>
          <w:bCs w:val="0"/>
          <w:lang w:val="es-ES"/>
        </w:rPr>
        <w:t>ii</w:t>
      </w:r>
      <w:proofErr w:type="spellEnd"/>
      <w:r w:rsidRPr="00FB77CF">
        <w:rPr>
          <w:rStyle w:val="Textoennegrita"/>
          <w:rFonts w:ascii="Arial" w:hAnsi="Arial" w:cs="Arial"/>
          <w:b w:val="0"/>
          <w:bCs w:val="0"/>
          <w:lang w:val="es-ES"/>
        </w:rPr>
        <w:t>)</w:t>
      </w:r>
      <w:r w:rsidRPr="00842EFF">
        <w:rPr>
          <w:rStyle w:val="Textoennegrita"/>
          <w:rFonts w:ascii="Arial" w:hAnsi="Arial" w:cs="Arial"/>
          <w:lang w:val="es-ES"/>
        </w:rPr>
        <w:t xml:space="preserve"> </w:t>
      </w:r>
      <w:r w:rsidRPr="00842EFF">
        <w:rPr>
          <w:rFonts w:ascii="Arial" w:hAnsi="Arial" w:cs="Arial"/>
          <w:lang w:val="es-ES"/>
        </w:rPr>
        <w:t xml:space="preserve">los estudios y documentos previos –técnicos o no–; </w:t>
      </w:r>
      <w:proofErr w:type="spellStart"/>
      <w:r w:rsidRPr="00842EFF">
        <w:rPr>
          <w:rFonts w:ascii="Arial" w:hAnsi="Arial" w:cs="Arial"/>
          <w:lang w:val="es-ES"/>
        </w:rPr>
        <w:t>iii</w:t>
      </w:r>
      <w:proofErr w:type="spellEnd"/>
      <w:r w:rsidRPr="00842EFF">
        <w:rPr>
          <w:rFonts w:ascii="Arial" w:hAnsi="Arial" w:cs="Arial"/>
          <w:lang w:val="es-ES"/>
        </w:rPr>
        <w:t xml:space="preserve">) el  aviso de convocatoria; </w:t>
      </w:r>
      <w:proofErr w:type="spellStart"/>
      <w:r w:rsidRPr="00842EFF">
        <w:rPr>
          <w:rFonts w:ascii="Arial" w:hAnsi="Arial" w:cs="Arial"/>
          <w:lang w:val="es-ES"/>
        </w:rPr>
        <w:t>iv</w:t>
      </w:r>
      <w:proofErr w:type="spellEnd"/>
      <w:r w:rsidRPr="00842EFF">
        <w:rPr>
          <w:rFonts w:ascii="Arial" w:hAnsi="Arial" w:cs="Arial"/>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842EFF">
        <w:rPr>
          <w:rFonts w:ascii="Arial" w:hAnsi="Arial" w:cs="Arial"/>
          <w:lang w:val="es-ES"/>
        </w:rPr>
        <w:t>vii</w:t>
      </w:r>
      <w:proofErr w:type="spellEnd"/>
      <w:r w:rsidRPr="00842EFF">
        <w:rPr>
          <w:rFonts w:ascii="Arial" w:hAnsi="Arial" w:cs="Arial"/>
          <w:lang w:val="es-ES"/>
        </w:rPr>
        <w:t xml:space="preserve">) el acta de cierre del plazo para presentar ofertas; </w:t>
      </w:r>
      <w:proofErr w:type="spellStart"/>
      <w:r w:rsidRPr="00842EFF">
        <w:rPr>
          <w:rFonts w:ascii="Arial" w:hAnsi="Arial" w:cs="Arial"/>
          <w:lang w:val="es-ES"/>
        </w:rPr>
        <w:t>viii</w:t>
      </w:r>
      <w:proofErr w:type="spellEnd"/>
      <w:r w:rsidRPr="00842EFF">
        <w:rPr>
          <w:rFonts w:ascii="Arial" w:hAnsi="Arial" w:cs="Arial"/>
          <w:lang w:val="es-ES"/>
        </w:rPr>
        <w:t xml:space="preserve">) las adendas; </w:t>
      </w:r>
      <w:proofErr w:type="spellStart"/>
      <w:r w:rsidRPr="00842EFF">
        <w:rPr>
          <w:rFonts w:ascii="Arial" w:hAnsi="Arial" w:cs="Arial"/>
          <w:lang w:val="es-ES"/>
        </w:rPr>
        <w:t>ix</w:t>
      </w:r>
      <w:proofErr w:type="spellEnd"/>
      <w:r w:rsidRPr="00842EFF">
        <w:rPr>
          <w:rFonts w:ascii="Arial" w:hAnsi="Arial" w:cs="Arial"/>
          <w:lang w:val="es-ES"/>
        </w:rPr>
        <w:t xml:space="preserve">) en  procesos cuya publicación </w:t>
      </w:r>
      <w:r w:rsidRPr="00842EFF">
        <w:rPr>
          <w:rFonts w:ascii="Arial" w:hAnsi="Arial" w:cs="Arial"/>
          <w:lang w:val="es-ES"/>
        </w:rPr>
        <w:t xml:space="preserve">deba realizarse en SECOP I, la oferta del adjudicatario y las aclaraciones que se le realicen; x) el informe de precalificación y las observaciones que se formulen; xi) el informe de evaluación y las observaciones que se formulen; </w:t>
      </w:r>
      <w:proofErr w:type="spellStart"/>
      <w:r w:rsidRPr="00842EFF">
        <w:rPr>
          <w:rFonts w:ascii="Arial" w:hAnsi="Arial" w:cs="Arial"/>
          <w:lang w:val="es-ES"/>
        </w:rPr>
        <w:t>xii</w:t>
      </w:r>
      <w:proofErr w:type="spellEnd"/>
      <w:r w:rsidRPr="00842EFF">
        <w:rPr>
          <w:rFonts w:ascii="Arial" w:hAnsi="Arial" w:cs="Arial"/>
          <w:lang w:val="es-ES"/>
        </w:rPr>
        <w:t xml:space="preserve">) las respuestas a las observaciones; </w:t>
      </w:r>
      <w:proofErr w:type="spellStart"/>
      <w:r w:rsidRPr="00842EFF">
        <w:rPr>
          <w:rFonts w:ascii="Arial" w:hAnsi="Arial" w:cs="Arial"/>
          <w:lang w:val="es-ES"/>
        </w:rPr>
        <w:t>xiii</w:t>
      </w:r>
      <w:proofErr w:type="spellEnd"/>
      <w:r w:rsidRPr="00842EFF">
        <w:rPr>
          <w:rFonts w:ascii="Arial" w:hAnsi="Arial" w:cs="Arial"/>
          <w:lang w:val="es-ES"/>
        </w:rPr>
        <w:t xml:space="preserve">) el contrato y los otrosíes o modificaciones; </w:t>
      </w:r>
      <w:proofErr w:type="spellStart"/>
      <w:r w:rsidRPr="00842EFF">
        <w:rPr>
          <w:rFonts w:ascii="Arial" w:hAnsi="Arial" w:cs="Arial"/>
          <w:lang w:val="es-ES"/>
        </w:rPr>
        <w:t>xiv</w:t>
      </w:r>
      <w:proofErr w:type="spellEnd"/>
      <w:r w:rsidRPr="00842EFF">
        <w:rPr>
          <w:rFonts w:ascii="Arial" w:hAnsi="Arial" w:cs="Arial"/>
          <w:lang w:val="es-ES"/>
        </w:rPr>
        <w:t xml:space="preserve">) el acta de inicio; </w:t>
      </w:r>
      <w:proofErr w:type="spellStart"/>
      <w:r w:rsidRPr="00842EFF">
        <w:rPr>
          <w:rFonts w:ascii="Arial" w:hAnsi="Arial" w:cs="Arial"/>
          <w:lang w:val="es-ES"/>
        </w:rPr>
        <w:t>xv</w:t>
      </w:r>
      <w:proofErr w:type="spellEnd"/>
      <w:r w:rsidRPr="00842EFF">
        <w:rPr>
          <w:rFonts w:ascii="Arial" w:hAnsi="Arial" w:cs="Arial"/>
          <w:lang w:val="es-ES"/>
        </w:rPr>
        <w:t xml:space="preserve">) las garantías; </w:t>
      </w:r>
      <w:proofErr w:type="spellStart"/>
      <w:r w:rsidRPr="00842EFF">
        <w:rPr>
          <w:rFonts w:ascii="Arial" w:hAnsi="Arial" w:cs="Arial"/>
          <w:lang w:val="es-ES"/>
        </w:rPr>
        <w:t>xvi</w:t>
      </w:r>
      <w:proofErr w:type="spellEnd"/>
      <w:r w:rsidRPr="00842EFF">
        <w:rPr>
          <w:rFonts w:ascii="Arial" w:hAnsi="Arial" w:cs="Arial"/>
          <w:lang w:val="es-ES"/>
        </w:rPr>
        <w:t xml:space="preserve">) el acta de liquidación; </w:t>
      </w:r>
      <w:proofErr w:type="spellStart"/>
      <w:r w:rsidRPr="00842EFF">
        <w:rPr>
          <w:rFonts w:ascii="Arial" w:hAnsi="Arial" w:cs="Arial"/>
          <w:lang w:val="es-ES"/>
        </w:rPr>
        <w:t>xvii</w:t>
      </w:r>
      <w:proofErr w:type="spellEnd"/>
      <w:r w:rsidRPr="00842EFF">
        <w:rPr>
          <w:rFonts w:ascii="Arial" w:hAnsi="Arial" w:cs="Arial"/>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842EFF">
        <w:rPr>
          <w:rFonts w:ascii="Arial" w:hAnsi="Arial" w:cs="Arial"/>
          <w:lang w:val="es-ES"/>
        </w:rPr>
        <w:t>xviii</w:t>
      </w:r>
      <w:proofErr w:type="spellEnd"/>
      <w:r w:rsidRPr="00842EFF">
        <w:rPr>
          <w:rFonts w:ascii="Arial" w:hAnsi="Arial" w:cs="Arial"/>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842EFF">
        <w:rPr>
          <w:rFonts w:ascii="Arial" w:hAnsi="Arial" w:cs="Arial"/>
          <w:lang w:val="es-ES"/>
        </w:rPr>
        <w:t>ix</w:t>
      </w:r>
      <w:proofErr w:type="spellEnd"/>
      <w:r w:rsidRPr="00842EFF">
        <w:rPr>
          <w:rFonts w:ascii="Arial" w:hAnsi="Arial" w:cs="Arial"/>
          <w:lang w:val="es-ES"/>
        </w:rPr>
        <w:t xml:space="preserve">) las reclamaciones que presenten las partes y las respuestas que se expidan a las mismas; </w:t>
      </w:r>
      <w:proofErr w:type="spellStart"/>
      <w:r w:rsidRPr="00842EFF">
        <w:rPr>
          <w:rFonts w:ascii="Arial" w:hAnsi="Arial" w:cs="Arial"/>
          <w:lang w:val="es-ES"/>
        </w:rPr>
        <w:t>xx</w:t>
      </w:r>
      <w:proofErr w:type="spellEnd"/>
      <w:r w:rsidRPr="00842EFF">
        <w:rPr>
          <w:rFonts w:ascii="Arial" w:hAnsi="Arial" w:cs="Arial"/>
          <w:lang w:val="es-ES"/>
        </w:rPr>
        <w:t xml:space="preserve">) las actas de entrega o recibo, </w:t>
      </w:r>
      <w:proofErr w:type="spellStart"/>
      <w:r w:rsidRPr="00842EFF">
        <w:rPr>
          <w:rFonts w:ascii="Arial" w:hAnsi="Arial" w:cs="Arial"/>
          <w:lang w:val="es-ES"/>
        </w:rPr>
        <w:t>xxi</w:t>
      </w:r>
      <w:proofErr w:type="spellEnd"/>
      <w:r w:rsidRPr="00842EFF">
        <w:rPr>
          <w:rFonts w:ascii="Arial" w:hAnsi="Arial" w:cs="Arial"/>
          <w:lang w:val="es-ES"/>
        </w:rPr>
        <w:t xml:space="preserve">) los informes de supervisión y/o interventoría; </w:t>
      </w:r>
      <w:proofErr w:type="spellStart"/>
      <w:r w:rsidRPr="00842EFF">
        <w:rPr>
          <w:rFonts w:ascii="Arial" w:hAnsi="Arial" w:cs="Arial"/>
          <w:lang w:val="es-ES"/>
        </w:rPr>
        <w:t>xxii</w:t>
      </w:r>
      <w:proofErr w:type="spellEnd"/>
      <w:r w:rsidRPr="00842EFF">
        <w:rPr>
          <w:rFonts w:ascii="Arial" w:hAnsi="Arial" w:cs="Arial"/>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842EFF">
        <w:rPr>
          <w:rFonts w:ascii="Arial" w:hAnsi="Arial" w:cs="Arial"/>
          <w:lang w:val="es-ES"/>
        </w:rPr>
        <w:t>xxiii</w:t>
      </w:r>
      <w:proofErr w:type="spellEnd"/>
      <w:r w:rsidRPr="00842EFF">
        <w:rPr>
          <w:rFonts w:ascii="Arial" w:hAnsi="Arial" w:cs="Arial"/>
          <w:lang w:val="es-ES"/>
        </w:rPr>
        <w:t xml:space="preserve">) la liquidación unilateral; y </w:t>
      </w:r>
      <w:proofErr w:type="spellStart"/>
      <w:r w:rsidRPr="00842EFF">
        <w:rPr>
          <w:rFonts w:ascii="Arial" w:hAnsi="Arial" w:cs="Arial"/>
          <w:lang w:val="es-ES"/>
        </w:rPr>
        <w:t>xxiv</w:t>
      </w:r>
      <w:proofErr w:type="spellEnd"/>
      <w:r w:rsidRPr="00842EFF">
        <w:rPr>
          <w:rFonts w:ascii="Arial" w:hAnsi="Arial" w:cs="Arial"/>
          <w:lang w:val="es-ES"/>
        </w:rPr>
        <w:t xml:space="preserve">) en general cualquier otro documento producido o expedido con ocasión del </w:t>
      </w:r>
      <w:r w:rsidRPr="00842EFF">
        <w:rPr>
          <w:rFonts w:ascii="Arial" w:hAnsi="Arial" w:cs="Arial"/>
          <w:i/>
          <w:iCs/>
          <w:lang w:val="es-ES"/>
        </w:rPr>
        <w:t>Proceso de Contratación</w:t>
      </w:r>
      <w:r w:rsidRPr="00842EFF">
        <w:rPr>
          <w:rFonts w:ascii="Arial" w:hAnsi="Arial" w:cs="Arial"/>
          <w:lang w:val="es-ES"/>
        </w:rPr>
        <w:t>, sin importar quién sea su autor –la Administración o el contratista–, con excepción de los que pertenecen a</w:t>
      </w:r>
      <w:r w:rsidRPr="00842EFF">
        <w:rPr>
          <w:rFonts w:ascii="Arial" w:hAnsi="Arial" w:eastAsia="Arial" w:cs="Arial"/>
          <w:lang w:val="es-ES"/>
        </w:rPr>
        <w:t xml:space="preserve">l marco de operaciones de bolsa de productos, expresamente excluidos de publicación por el artículo 2.2.1.1.1.7.1 del Decreto 1082 de 2015. </w:t>
      </w:r>
    </w:p>
    <w:p w:rsidRPr="0031783A" w:rsidR="006622B3" w:rsidP="006622B3" w:rsidRDefault="006622B3" w14:paraId="5A03874C" w14:textId="77777777">
      <w:pPr>
        <w:spacing w:after="120" w:line="276" w:lineRule="auto"/>
        <w:ind w:firstLine="709"/>
        <w:jc w:val="both"/>
        <w:rPr>
          <w:rFonts w:ascii="Arial" w:hAnsi="Arial" w:cs="Arial"/>
        </w:rPr>
      </w:pPr>
      <w:r w:rsidRPr="0031783A">
        <w:rPr>
          <w:rFonts w:ascii="Arial" w:hAnsi="Arial" w:eastAsia="Arial" w:cs="Arial"/>
          <w:lang w:val="es-ES"/>
        </w:rPr>
        <w:t>Conforme a esto, las entidades estarán obligadas a publicar todos lo</w:t>
      </w:r>
      <w:r>
        <w:rPr>
          <w:rFonts w:ascii="Arial" w:hAnsi="Arial" w:eastAsia="Arial" w:cs="Arial"/>
          <w:lang w:val="es-ES"/>
        </w:rPr>
        <w:t>s</w:t>
      </w:r>
      <w:r w:rsidRPr="0031783A">
        <w:rPr>
          <w:rFonts w:ascii="Arial" w:hAnsi="Arial" w:eastAsia="Arial" w:cs="Arial"/>
          <w:lang w:val="es-ES"/>
        </w:rPr>
        <w:t xml:space="preserve"> documentos que se produzcan en el marco del </w:t>
      </w:r>
      <w:r w:rsidRPr="0031783A">
        <w:rPr>
          <w:rFonts w:ascii="Arial" w:hAnsi="Arial" w:eastAsia="Arial" w:cs="Arial"/>
          <w:i/>
          <w:iCs/>
          <w:lang w:val="es-ES"/>
        </w:rPr>
        <w:t>Proceso de Contratación</w:t>
      </w:r>
      <w:r w:rsidRPr="0031783A">
        <w:rPr>
          <w:rFonts w:ascii="Arial" w:hAnsi="Arial" w:eastAsia="Arial" w:cs="Arial"/>
          <w:lang w:val="es-ES"/>
        </w:rPr>
        <w:t xml:space="preserve">, de conformidad con las normas que regulan la respectiva modalidad de selección. En sentido resulta necesario precisar que, en lo que tiene que ver con la modalidad de selección de contratación directa, en virtud de lo dispuesto en lo en el artículo </w:t>
      </w:r>
      <w:r w:rsidRPr="00FB77CF">
        <w:rPr>
          <w:rStyle w:val="Textoennegrita"/>
          <w:rFonts w:ascii="Arial" w:hAnsi="Arial" w:cs="Arial"/>
          <w:b w:val="0"/>
          <w:bCs w:val="0"/>
          <w:color w:val="000000"/>
        </w:rPr>
        <w:t xml:space="preserve">2.2.1.2.1.4.3 del Decreto 1082 de 2015, las entidades no están obligadas a publicar los estudios y documentos previos relacionados con: i) la contratación de empréstitos, </w:t>
      </w:r>
      <w:proofErr w:type="spellStart"/>
      <w:r w:rsidRPr="00FB77CF">
        <w:rPr>
          <w:rStyle w:val="Textoennegrita"/>
          <w:rFonts w:ascii="Arial" w:hAnsi="Arial" w:cs="Arial"/>
          <w:b w:val="0"/>
          <w:bCs w:val="0"/>
          <w:color w:val="000000"/>
        </w:rPr>
        <w:t>ii</w:t>
      </w:r>
      <w:proofErr w:type="spellEnd"/>
      <w:r w:rsidRPr="00FB77CF">
        <w:rPr>
          <w:rStyle w:val="Textoennegrita"/>
          <w:rFonts w:ascii="Arial" w:hAnsi="Arial" w:cs="Arial"/>
          <w:b w:val="0"/>
          <w:bCs w:val="0"/>
          <w:color w:val="000000"/>
        </w:rPr>
        <w:t>) los contratos</w:t>
      </w:r>
      <w:r w:rsidRPr="0031783A">
        <w:rPr>
          <w:rStyle w:val="Textoennegrita"/>
          <w:rFonts w:ascii="Arial" w:hAnsi="Arial" w:cs="Arial"/>
          <w:color w:val="000000"/>
        </w:rPr>
        <w:t xml:space="preserve"> </w:t>
      </w:r>
      <w:r w:rsidRPr="0031783A">
        <w:rPr>
          <w:rFonts w:ascii="Arial" w:hAnsi="Arial" w:cs="Arial"/>
        </w:rPr>
        <w:t xml:space="preserve">interadministrativos que celebre el Ministerio de Hacienda y Crédito Público con el Banco de la República, y </w:t>
      </w:r>
      <w:proofErr w:type="spellStart"/>
      <w:r w:rsidRPr="0031783A">
        <w:rPr>
          <w:rFonts w:ascii="Arial" w:hAnsi="Arial" w:cs="Arial"/>
        </w:rPr>
        <w:t>iii</w:t>
      </w:r>
      <w:proofErr w:type="spellEnd"/>
      <w:r w:rsidRPr="0031783A">
        <w:rPr>
          <w:rFonts w:ascii="Arial" w:hAnsi="Arial" w:cs="Arial"/>
        </w:rPr>
        <w:t>) los contratos a los que se refiere el artículo 2.2.1.2.1.4.6 del Decreto 1082 de 2015, r</w:t>
      </w:r>
      <w:r>
        <w:rPr>
          <w:rFonts w:ascii="Arial" w:hAnsi="Arial" w:cs="Arial"/>
        </w:rPr>
        <w:t xml:space="preserve">elacionados con </w:t>
      </w:r>
      <w:r w:rsidRPr="0031783A">
        <w:rPr>
          <w:rFonts w:ascii="Arial" w:hAnsi="Arial" w:cs="Arial"/>
        </w:rPr>
        <w:t>bienes y servicios del Sector Defensa</w:t>
      </w:r>
      <w:r>
        <w:rPr>
          <w:rFonts w:ascii="Arial" w:hAnsi="Arial" w:cs="Arial"/>
        </w:rPr>
        <w:t xml:space="preserve">, </w:t>
      </w:r>
      <w:r w:rsidRPr="00AB2522">
        <w:rPr>
          <w:rFonts w:ascii="Arial" w:hAnsi="Arial" w:cs="Arial"/>
        </w:rPr>
        <w:t>la Dirección Nacional de Inteligencia y la Unidad Nacional de Protección</w:t>
      </w:r>
      <w:r w:rsidRPr="0031783A">
        <w:rPr>
          <w:rFonts w:ascii="Arial" w:hAnsi="Arial" w:cs="Arial"/>
        </w:rPr>
        <w:t xml:space="preserve"> que requieren reserva para su adquisición. </w:t>
      </w:r>
    </w:p>
    <w:p w:rsidR="006622B3" w:rsidP="006622B3" w:rsidRDefault="006622B3" w14:paraId="546A4F6A" w14:textId="77777777">
      <w:pPr>
        <w:spacing w:after="120" w:line="276" w:lineRule="auto"/>
        <w:ind w:firstLine="709"/>
        <w:jc w:val="both"/>
        <w:rPr>
          <w:rFonts w:ascii="Arial" w:hAnsi="Arial" w:cs="Arial"/>
          <w:lang w:val="es-ES"/>
        </w:rPr>
      </w:pPr>
      <w:r w:rsidRPr="00842EFF">
        <w:rPr>
          <w:rFonts w:ascii="Arial" w:hAnsi="Arial" w:cs="Arial"/>
          <w:lang w:val="es-ES"/>
        </w:rPr>
        <w:t xml:space="preserve">Sin perjuicio de lo anterior, no debe perderse de vista que en virtud del principio de transparencia, específicamente por cuenta de lo dispuesto en el numeral 4 del artículo 24 de la Ley 80 de 1993, así como por el principio de máxima publicidad establecido en el artículo 2 de la Ley 1712 de 2014,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 Esta posibilidad solo se encuentra limitada respecto de la documentación que tenga la calidad de </w:t>
      </w:r>
      <w:r w:rsidRPr="00842EFF">
        <w:rPr>
          <w:rFonts w:ascii="Arial" w:hAnsi="Arial" w:cs="Arial"/>
          <w:lang w:val="es-ES"/>
        </w:rPr>
        <w:t>reservada, que deberá someterse al tratamiento establecido en el artículo 36 del CPACA, en lo relativo a la formación de cuadernos separados.</w:t>
      </w:r>
    </w:p>
    <w:p w:rsidR="006622B3" w:rsidP="006622B3" w:rsidRDefault="006622B3" w14:paraId="0D75896D" w14:textId="77777777">
      <w:pPr>
        <w:spacing w:after="120" w:line="276" w:lineRule="auto"/>
        <w:ind w:firstLine="708"/>
        <w:jc w:val="both"/>
        <w:rPr>
          <w:rFonts w:ascii="Arial" w:hAnsi="Arial" w:eastAsia="Calibri" w:cs="Arial"/>
          <w:bCs/>
          <w:color w:val="000000"/>
          <w:lang w:val="es-ES"/>
        </w:rPr>
      </w:pPr>
      <w:r w:rsidRPr="00426FE6">
        <w:rPr>
          <w:rFonts w:ascii="Arial" w:hAnsi="Arial" w:eastAsia="Calibri" w:cs="Arial"/>
          <w:bCs/>
          <w:color w:val="000000"/>
          <w:lang w:val="es-ES_tradnl"/>
        </w:rPr>
        <w:t xml:space="preserve">Dentro de este marco general, corresponderá a la entidad contratante definir lo relacionado </w:t>
      </w:r>
      <w:r>
        <w:rPr>
          <w:rFonts w:ascii="Arial" w:hAnsi="Arial" w:eastAsia="Calibri" w:cs="Arial"/>
          <w:bCs/>
          <w:color w:val="000000"/>
          <w:lang w:val="es-ES_tradnl"/>
        </w:rPr>
        <w:t>con la publicidad de la información contractual en el SECOP, ya que la Agencia no es una instancia validación para los partícipes del sistema de compras públicas</w:t>
      </w:r>
      <w:r w:rsidRPr="00426FE6">
        <w:rPr>
          <w:rFonts w:ascii="Arial" w:hAnsi="Arial" w:eastAsia="Calibri" w:cs="Arial"/>
          <w:bCs/>
          <w:color w:val="000000"/>
        </w:rPr>
        <w:t xml:space="preserve">. </w:t>
      </w:r>
      <w:r w:rsidRPr="006D7E12">
        <w:rPr>
          <w:rFonts w:ascii="Arial" w:hAnsi="Arial" w:cs="Arial"/>
          <w:lang w:val="es-ES"/>
        </w:rPr>
        <w:t>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w:t>
      </w:r>
      <w:r>
        <w:rPr>
          <w:rFonts w:ascii="Arial" w:hAnsi="Arial" w:eastAsia="Calibri" w:cs="Arial"/>
          <w:bCs/>
          <w:color w:val="000000"/>
          <w:lang w:val="es-ES"/>
        </w:rPr>
        <w:t xml:space="preserve">. </w:t>
      </w:r>
      <w:r w:rsidRPr="00426FE6">
        <w:rPr>
          <w:rFonts w:ascii="Arial" w:hAnsi="Arial" w:eastAsia="Calibri" w:cs="Arial"/>
          <w:bCs/>
          <w:color w:val="000000"/>
          <w:lang w:val="es-ES"/>
        </w:rPr>
        <w:t>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rsidRPr="00C8114B" w:rsidR="006622B3" w:rsidP="006622B3" w:rsidRDefault="006622B3" w14:paraId="7125CDFF" w14:textId="77777777">
      <w:pPr>
        <w:spacing w:after="0" w:line="276" w:lineRule="auto"/>
        <w:jc w:val="both"/>
        <w:rPr>
          <w:rFonts w:ascii="Arial" w:hAnsi="Arial" w:cs="Arial"/>
          <w:color w:val="000000" w:themeColor="text1"/>
          <w:lang w:eastAsia="es-MX"/>
        </w:rPr>
      </w:pPr>
    </w:p>
    <w:p w:rsidR="006622B3" w:rsidP="006622B3" w:rsidRDefault="006622B3" w14:paraId="525CA0B4" w14:textId="77777777">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rsidRPr="00181816" w:rsidR="006622B3" w:rsidP="006622B3" w:rsidRDefault="006622B3" w14:paraId="468DF6FA" w14:textId="77777777">
      <w:pPr>
        <w:widowControl w:val="0"/>
        <w:autoSpaceDE w:val="0"/>
        <w:autoSpaceDN w:val="0"/>
        <w:spacing w:after="0" w:line="276" w:lineRule="auto"/>
        <w:jc w:val="both"/>
        <w:rPr>
          <w:rFonts w:ascii="Arial" w:hAnsi="Arial" w:cs="Arial"/>
          <w:color w:val="000000" w:themeColor="text1"/>
          <w:lang w:val="es-ES_tradnl" w:bidi="es-ES"/>
        </w:rPr>
      </w:pPr>
    </w:p>
    <w:p w:rsidRPr="000F4A3A" w:rsidR="006622B3" w:rsidP="006622B3" w:rsidRDefault="006622B3" w14:paraId="4F48A9A3" w14:textId="77777777">
      <w:pPr>
        <w:tabs>
          <w:tab w:val="left" w:pos="426"/>
        </w:tabs>
        <w:spacing w:line="276" w:lineRule="auto"/>
        <w:jc w:val="both"/>
        <w:rPr>
          <w:rFonts w:ascii="Arial" w:hAnsi="Arial" w:eastAsia="Times New Roman" w:cs="Arial"/>
          <w:color w:val="000000" w:themeColor="text1"/>
        </w:rPr>
      </w:pPr>
      <w:r w:rsidRPr="000F4A3A">
        <w:rPr>
          <w:rFonts w:ascii="Arial" w:hAnsi="Arial" w:eastAsia="Times New Roman" w:cs="Arial"/>
          <w:color w:val="000000" w:themeColor="text1"/>
        </w:rPr>
        <w:t>Atentamente,</w:t>
      </w:r>
    </w:p>
    <w:p w:rsidRPr="00CB70D9" w:rsidR="006622B3" w:rsidP="006622B3" w:rsidRDefault="002C3A78" w14:paraId="31A0C3BB" w14:textId="4C923FCC">
      <w:pPr>
        <w:jc w:val="center"/>
        <w:rPr>
          <w:rFonts w:ascii="Arial" w:hAnsi="Arial" w:eastAsia="Times New Roman" w:cs="Arial"/>
          <w:lang w:eastAsia="es-CO"/>
        </w:rPr>
      </w:pPr>
      <w:r>
        <w:rPr>
          <w:rFonts w:ascii="Arial" w:hAnsi="Arial" w:cs="Arial"/>
          <w:noProof/>
          <w:lang w:eastAsia="es-CO"/>
        </w:rPr>
        <w:drawing>
          <wp:inline distT="0" distB="0" distL="0" distR="0" wp14:anchorId="21A64BA7" wp14:editId="03B117A5">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3F5F71" w:rsidR="006622B3" w:rsidTr="00E01045" w14:paraId="5107209A" w14:textId="77777777">
        <w:trPr>
          <w:trHeight w:val="409"/>
        </w:trPr>
        <w:tc>
          <w:tcPr>
            <w:tcW w:w="817" w:type="dxa"/>
            <w:tcBorders>
              <w:top w:val="nil"/>
              <w:left w:val="nil"/>
              <w:bottom w:val="nil"/>
              <w:right w:val="nil"/>
            </w:tcBorders>
            <w:vAlign w:val="center"/>
            <w:hideMark/>
          </w:tcPr>
          <w:p w:rsidRPr="009C1F1A" w:rsidR="006622B3" w:rsidP="00E01045" w:rsidRDefault="006622B3" w14:paraId="7F81BDE3" w14:textId="77777777">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9C1F1A" w:rsidR="006622B3" w:rsidP="00E01045" w:rsidRDefault="006622B3" w14:paraId="2F5EAF51" w14:textId="77777777">
            <w:pPr>
              <w:spacing w:after="0" w:line="240" w:lineRule="auto"/>
              <w:jc w:val="both"/>
              <w:rPr>
                <w:rFonts w:ascii="Arial" w:hAnsi="Arial" w:cs="Arial"/>
                <w:sz w:val="16"/>
                <w:szCs w:val="16"/>
              </w:rPr>
            </w:pPr>
            <w:r>
              <w:rPr>
                <w:rFonts w:ascii="Arial" w:hAnsi="Arial" w:cs="Arial"/>
                <w:sz w:val="16"/>
                <w:szCs w:val="16"/>
              </w:rPr>
              <w:t>Juan David Montoya Penagos</w:t>
            </w:r>
          </w:p>
          <w:p w:rsidRPr="009C1F1A" w:rsidR="006622B3" w:rsidP="00E01045" w:rsidRDefault="006622B3" w14:paraId="5E788805" w14:textId="77777777">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Pr="003F5F71" w:rsidR="006622B3" w:rsidTr="00E01045" w14:paraId="1332B441" w14:textId="77777777">
        <w:trPr>
          <w:trHeight w:val="409"/>
        </w:trPr>
        <w:tc>
          <w:tcPr>
            <w:tcW w:w="817" w:type="dxa"/>
            <w:tcBorders>
              <w:top w:val="nil"/>
              <w:left w:val="nil"/>
              <w:right w:val="nil"/>
            </w:tcBorders>
            <w:vAlign w:val="center"/>
          </w:tcPr>
          <w:p w:rsidRPr="1CF3ADA9" w:rsidR="006622B3" w:rsidP="00E01045" w:rsidRDefault="006622B3" w14:paraId="197A864B" w14:textId="77777777">
            <w:pPr>
              <w:jc w:val="both"/>
              <w:rPr>
                <w:rFonts w:ascii="Arial" w:hAnsi="Arial" w:cs="Arial"/>
                <w:sz w:val="16"/>
                <w:szCs w:val="16"/>
              </w:rPr>
            </w:pPr>
            <w:r w:rsidRPr="1CF3ADA9">
              <w:rPr>
                <w:rFonts w:ascii="Arial" w:hAnsi="Arial"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006622B3" w:rsidP="00E01045" w:rsidRDefault="006622B3" w14:paraId="0C7EB6A1" w14:textId="77777777">
            <w:pPr>
              <w:spacing w:after="0" w:line="240" w:lineRule="auto"/>
              <w:jc w:val="both"/>
              <w:rPr>
                <w:rFonts w:ascii="Arial" w:hAnsi="Arial" w:cs="Arial"/>
                <w:sz w:val="16"/>
                <w:szCs w:val="16"/>
              </w:rPr>
            </w:pPr>
            <w:r w:rsidRPr="00560A5D">
              <w:rPr>
                <w:rFonts w:ascii="Arial" w:hAnsi="Arial" w:cs="Arial"/>
                <w:sz w:val="16"/>
                <w:szCs w:val="16"/>
              </w:rPr>
              <w:t xml:space="preserve">Juan David Cárdenas Cabeza </w:t>
            </w:r>
          </w:p>
          <w:p w:rsidRPr="009C1F1A" w:rsidR="006622B3" w:rsidP="00E01045" w:rsidRDefault="006622B3" w14:paraId="7430E79F" w14:textId="77777777">
            <w:pPr>
              <w:spacing w:after="0" w:line="240" w:lineRule="auto"/>
              <w:jc w:val="both"/>
              <w:rPr>
                <w:rFonts w:ascii="Arial" w:hAnsi="Arial" w:cs="Arial"/>
                <w:sz w:val="16"/>
                <w:szCs w:val="16"/>
              </w:rPr>
            </w:pPr>
            <w:r>
              <w:rPr>
                <w:rFonts w:ascii="Arial" w:hAnsi="Arial" w:cs="Arial"/>
                <w:sz w:val="16"/>
                <w:szCs w:val="16"/>
              </w:rPr>
              <w:t xml:space="preserve">Contratista </w:t>
            </w:r>
            <w:r w:rsidRPr="009C1F1A">
              <w:rPr>
                <w:rFonts w:ascii="Arial" w:hAnsi="Arial" w:cs="Arial"/>
                <w:sz w:val="16"/>
                <w:szCs w:val="16"/>
              </w:rPr>
              <w:t>de la Subdirección de Gestión Contractual</w:t>
            </w:r>
          </w:p>
        </w:tc>
      </w:tr>
      <w:tr w:rsidRPr="003F5F71" w:rsidR="006622B3" w:rsidTr="00E01045" w14:paraId="061F4996" w14:textId="77777777">
        <w:trPr>
          <w:trHeight w:val="389"/>
        </w:trPr>
        <w:tc>
          <w:tcPr>
            <w:tcW w:w="817" w:type="dxa"/>
            <w:tcBorders>
              <w:top w:val="nil"/>
              <w:left w:val="nil"/>
              <w:bottom w:val="nil"/>
              <w:right w:val="nil"/>
            </w:tcBorders>
            <w:vAlign w:val="center"/>
            <w:hideMark/>
          </w:tcPr>
          <w:p w:rsidRPr="009C1F1A" w:rsidR="006622B3" w:rsidP="00E01045" w:rsidRDefault="006622B3" w14:paraId="1B39CDE6" w14:textId="77777777">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9C1F1A" w:rsidR="006622B3" w:rsidP="00E01045" w:rsidRDefault="006622B3" w14:paraId="139CB172" w14:textId="77777777">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rsidRPr="009C1F1A" w:rsidR="006622B3" w:rsidP="00E01045" w:rsidRDefault="006622B3" w14:paraId="7D50216D" w14:textId="77777777">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rsidRPr="006219F8" w:rsidR="006622B3" w:rsidP="006622B3" w:rsidRDefault="006622B3" w14:paraId="7956C40C" w14:textId="77777777">
      <w:pPr>
        <w:tabs>
          <w:tab w:val="left" w:pos="0"/>
        </w:tabs>
        <w:spacing w:line="276" w:lineRule="auto"/>
        <w:contextualSpacing/>
        <w:jc w:val="both"/>
        <w:rPr>
          <w:lang w:val="es-MX"/>
        </w:rPr>
      </w:pPr>
    </w:p>
    <w:p w:rsidRPr="0058422F" w:rsidR="00127233" w:rsidP="0058422F" w:rsidRDefault="00127233" w14:paraId="0F293BF4" w14:textId="0F6FB6C1"/>
    <w:sectPr w:rsidRPr="0058422F" w:rsidR="00127233" w:rsidSect="0039439C">
      <w:headerReference w:type="default" r:id="rId13"/>
      <w:footerReference w:type="default" r:id="rId14"/>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3D3" w:rsidP="004A1847" w:rsidRDefault="009273D3" w14:paraId="7E4EA293" w14:textId="77777777">
      <w:pPr>
        <w:spacing w:after="0" w:line="240" w:lineRule="auto"/>
      </w:pPr>
      <w:r>
        <w:separator/>
      </w:r>
    </w:p>
  </w:endnote>
  <w:endnote w:type="continuationSeparator" w:id="0">
    <w:p w:rsidR="009273D3" w:rsidP="004A1847" w:rsidRDefault="009273D3" w14:paraId="42A05939" w14:textId="77777777">
      <w:pPr>
        <w:spacing w:after="0" w:line="240" w:lineRule="auto"/>
      </w:pPr>
      <w:r>
        <w:continuationSeparator/>
      </w:r>
    </w:p>
  </w:endnote>
  <w:endnote w:type="continuationNotice" w:id="1">
    <w:p w:rsidR="009273D3" w:rsidRDefault="009273D3" w14:paraId="382618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3D3" w:rsidP="004A1847" w:rsidRDefault="009273D3" w14:paraId="3C1D2BD6" w14:textId="77777777">
      <w:pPr>
        <w:spacing w:after="0" w:line="240" w:lineRule="auto"/>
      </w:pPr>
      <w:r>
        <w:separator/>
      </w:r>
    </w:p>
  </w:footnote>
  <w:footnote w:type="continuationSeparator" w:id="0">
    <w:p w:rsidR="009273D3" w:rsidP="004A1847" w:rsidRDefault="009273D3" w14:paraId="75894CF9" w14:textId="77777777">
      <w:pPr>
        <w:spacing w:after="0" w:line="240" w:lineRule="auto"/>
      </w:pPr>
      <w:r>
        <w:continuationSeparator/>
      </w:r>
    </w:p>
  </w:footnote>
  <w:footnote w:type="continuationNotice" w:id="1">
    <w:p w:rsidR="009273D3" w:rsidRDefault="009273D3" w14:paraId="4A19D079" w14:textId="77777777">
      <w:pPr>
        <w:spacing w:after="0" w:line="240" w:lineRule="auto"/>
      </w:pPr>
    </w:p>
  </w:footnote>
  <w:footnote w:id="2">
    <w:p w:rsidRPr="00FB77CF" w:rsidR="006622B3" w:rsidP="006622B3" w:rsidRDefault="006622B3" w14:paraId="0315A86C" w14:textId="77777777">
      <w:pPr>
        <w:pStyle w:val="Textonotapie"/>
        <w:ind w:firstLine="708"/>
        <w:jc w:val="both"/>
        <w:rPr>
          <w:rFonts w:ascii="Arial" w:hAnsi="Arial" w:cs="Arial"/>
          <w:sz w:val="18"/>
          <w:szCs w:val="18"/>
          <w:lang w:val="es-ES"/>
        </w:rPr>
      </w:pPr>
      <w:r w:rsidRPr="00FB77CF">
        <w:rPr>
          <w:rStyle w:val="Refdenotaalpie"/>
          <w:rFonts w:ascii="Arial" w:hAnsi="Arial" w:cs="Arial"/>
          <w:sz w:val="18"/>
          <w:szCs w:val="18"/>
        </w:rPr>
        <w:footnoteRef/>
      </w:r>
      <w:r w:rsidRPr="00FB77CF">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B77CF">
        <w:rPr>
          <w:rFonts w:ascii="Arial" w:hAnsi="Arial" w:cs="Arial"/>
          <w:i/>
          <w:iCs/>
          <w:sz w:val="18"/>
          <w:szCs w:val="18"/>
        </w:rPr>
        <w:t xml:space="preserve">ibidem </w:t>
      </w:r>
      <w:r w:rsidRPr="00FB77CF">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FB77CF" w:rsidR="006622B3" w:rsidP="006622B3" w:rsidRDefault="006622B3" w14:paraId="70EAD714" w14:textId="77777777">
      <w:pPr>
        <w:pStyle w:val="Textonotapie"/>
        <w:ind w:firstLine="708"/>
        <w:jc w:val="both"/>
        <w:rPr>
          <w:rFonts w:ascii="Arial" w:hAnsi="Arial"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FB77CF">
          <w:rPr>
            <w:rStyle w:val="Hipervnculo"/>
            <w:rFonts w:ascii="Arial" w:hAnsi="Arial" w:cs="Arial"/>
            <w:sz w:val="18"/>
            <w:szCs w:val="18"/>
          </w:rPr>
          <w:t>https://relatoria.colombiacompra.gov.co/busqueda/conceptos</w:t>
        </w:r>
      </w:hyperlink>
      <w:r w:rsidRPr="00FB77CF">
        <w:rPr>
          <w:rStyle w:val="Hipervnculo"/>
          <w:rFonts w:ascii="Arial" w:hAnsi="Arial" w:cs="Arial"/>
          <w:color w:val="auto"/>
          <w:sz w:val="18"/>
          <w:szCs w:val="18"/>
        </w:rPr>
        <w:t xml:space="preserve">. </w:t>
      </w:r>
      <w:r w:rsidRPr="00FB77CF">
        <w:rPr>
          <w:rFonts w:ascii="Arial" w:hAnsi="Arial" w:cs="Arial"/>
          <w:sz w:val="18"/>
          <w:szCs w:val="18"/>
          <w:shd w:val="clear" w:color="auto" w:fill="E6E6E6"/>
        </w:rPr>
        <w:t xml:space="preserve"> </w:t>
      </w:r>
    </w:p>
  </w:footnote>
  <w:footnote w:id="4">
    <w:p w:rsidRPr="00FB77CF" w:rsidR="006622B3" w:rsidP="006622B3" w:rsidRDefault="006622B3" w14:paraId="7C49FBAC"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Corte Constitucional. Sentencia C- 341 del 4 de junio de 2014. M. P. Mauricio González Cuervo.</w:t>
      </w:r>
    </w:p>
  </w:footnote>
  <w:footnote w:id="5">
    <w:p w:rsidRPr="00FB77CF" w:rsidR="006622B3" w:rsidP="006622B3" w:rsidRDefault="006622B3" w14:paraId="3D48EB7F"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Ley 1150 de 2007: </w:t>
      </w:r>
      <w:r>
        <w:rPr>
          <w:rFonts w:ascii="Arial" w:hAnsi="Arial" w:cs="Arial"/>
          <w:color w:val="000000" w:themeColor="text1"/>
          <w:sz w:val="18"/>
          <w:szCs w:val="18"/>
        </w:rPr>
        <w:t>“</w:t>
      </w:r>
      <w:r w:rsidRPr="00FB77CF">
        <w:rPr>
          <w:rFonts w:ascii="Arial" w:hAnsi="Arial" w:cs="Arial"/>
          <w:color w:val="000000" w:themeColor="text1"/>
          <w:sz w:val="18"/>
          <w:szCs w:val="18"/>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FB77CF" w:rsidR="006622B3" w:rsidP="006622B3" w:rsidRDefault="006622B3" w14:paraId="317F4446"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Lo anterior, sin perjuicio de las publicaciones previstas en el numeral 3 del artículo 30 de la Ley 80 de 1993.</w:t>
      </w:r>
    </w:p>
    <w:p w:rsidRPr="00FB77CF" w:rsidR="006622B3" w:rsidP="006622B3" w:rsidRDefault="006622B3" w14:paraId="7A6B02CC"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rsidRPr="00FB77CF" w:rsidR="006622B3" w:rsidP="006622B3" w:rsidRDefault="006622B3" w14:paraId="76575659"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w:t>
      </w:r>
    </w:p>
    <w:p w:rsidRPr="00FB77CF" w:rsidR="006622B3" w:rsidP="006622B3" w:rsidRDefault="006622B3" w14:paraId="0F98997C"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w:t>
      </w:r>
      <w:r>
        <w:rPr>
          <w:rFonts w:ascii="Arial" w:hAnsi="Arial" w:cs="Arial"/>
          <w:color w:val="000000" w:themeColor="text1"/>
          <w:sz w:val="18"/>
          <w:szCs w:val="18"/>
        </w:rPr>
        <w:t>”</w:t>
      </w:r>
      <w:r w:rsidRPr="00FB77CF">
        <w:rPr>
          <w:rFonts w:ascii="Arial" w:hAnsi="Arial" w:cs="Arial"/>
          <w:color w:val="000000" w:themeColor="text1"/>
          <w:sz w:val="18"/>
          <w:szCs w:val="18"/>
        </w:rPr>
        <w:t xml:space="preserve">. </w:t>
      </w:r>
    </w:p>
  </w:footnote>
  <w:footnote w:id="6">
    <w:p w:rsidRPr="00FB77CF" w:rsidR="006622B3" w:rsidP="006622B3" w:rsidRDefault="006622B3" w14:paraId="6C44D4FA"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Ley 1712 de 2014: </w:t>
      </w:r>
      <w:r>
        <w:rPr>
          <w:rFonts w:ascii="Arial" w:hAnsi="Arial" w:cs="Arial"/>
          <w:color w:val="000000" w:themeColor="text1"/>
          <w:sz w:val="18"/>
          <w:szCs w:val="18"/>
        </w:rPr>
        <w:t>“</w:t>
      </w:r>
      <w:r w:rsidRPr="00FB77CF">
        <w:rPr>
          <w:rFonts w:ascii="Arial" w:hAnsi="Arial" w:cs="Arial"/>
          <w:color w:val="000000" w:themeColor="text1"/>
          <w:sz w:val="18"/>
          <w:szCs w:val="18"/>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7">
    <w:p w:rsidRPr="00FB77CF" w:rsidR="006622B3" w:rsidP="006622B3" w:rsidRDefault="006622B3" w14:paraId="27AB7E19"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Ley 1712 de 2014: </w:t>
      </w:r>
      <w:r>
        <w:rPr>
          <w:rFonts w:ascii="Arial" w:hAnsi="Arial" w:cs="Arial"/>
          <w:color w:val="000000" w:themeColor="text1"/>
          <w:sz w:val="18"/>
          <w:szCs w:val="18"/>
        </w:rPr>
        <w:t>“</w:t>
      </w:r>
      <w:r w:rsidRPr="00FB77CF">
        <w:rPr>
          <w:rFonts w:ascii="Arial" w:hAnsi="Arial" w:cs="Arial"/>
          <w:color w:val="000000" w:themeColor="text1"/>
          <w:sz w:val="18"/>
          <w:szCs w:val="18"/>
        </w:rPr>
        <w:t xml:space="preserve">Artículo 5. Ámbito de aplicación. Las disposiciones de esta ley serán aplicables a las siguientes personas en calidad de sujetos obligados: </w:t>
      </w:r>
    </w:p>
    <w:p w:rsidRPr="00FB77CF" w:rsidR="006622B3" w:rsidP="006622B3" w:rsidRDefault="006622B3" w14:paraId="7911418C"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Pr>
          <w:rFonts w:ascii="Arial" w:hAnsi="Arial" w:cs="Arial"/>
          <w:color w:val="000000" w:themeColor="text1"/>
          <w:sz w:val="18"/>
          <w:szCs w:val="18"/>
        </w:rPr>
        <w:t>”</w:t>
      </w:r>
      <w:r w:rsidRPr="00FB77CF">
        <w:rPr>
          <w:rFonts w:ascii="Arial" w:hAnsi="Arial" w:cs="Arial"/>
          <w:color w:val="000000" w:themeColor="text1"/>
          <w:sz w:val="18"/>
          <w:szCs w:val="18"/>
        </w:rPr>
        <w:t>. Obsérvese que este artículo no efectúa distinción alguna sobre el régimen jurídico aplicable a los sujetos obligados.</w:t>
      </w:r>
    </w:p>
  </w:footnote>
  <w:footnote w:id="8">
    <w:p w:rsidRPr="00FB77CF" w:rsidR="006622B3" w:rsidP="006622B3" w:rsidRDefault="006622B3" w14:paraId="260C881B"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vertAlign w:val="superscript"/>
          <w:lang w:val="es-ES" w:eastAsia="es-ES"/>
        </w:rPr>
        <w:footnoteRef/>
      </w:r>
      <w:r w:rsidRPr="00FB77CF">
        <w:rPr>
          <w:rFonts w:ascii="Arial" w:hAnsi="Arial" w:cs="Arial"/>
          <w:color w:val="000000" w:themeColor="text1"/>
          <w:sz w:val="18"/>
          <w:szCs w:val="18"/>
          <w:vertAlign w:val="superscript"/>
          <w:lang w:val="es-ES" w:eastAsia="es-ES"/>
        </w:rPr>
        <w:t xml:space="preserve"> </w:t>
      </w:r>
      <w:r>
        <w:rPr>
          <w:rFonts w:ascii="Arial" w:hAnsi="Arial" w:cs="Arial"/>
          <w:color w:val="000000" w:themeColor="text1"/>
          <w:sz w:val="18"/>
          <w:szCs w:val="18"/>
          <w:lang w:val="es-ES" w:eastAsia="es-ES"/>
        </w:rPr>
        <w:t>“</w:t>
      </w:r>
      <w:r w:rsidRPr="00FB77CF">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FB77CF" w:rsidR="006622B3" w:rsidP="006622B3" w:rsidRDefault="006622B3" w14:paraId="49CE2B2E" w14:textId="77777777">
      <w:pPr>
        <w:pStyle w:val="Textonotapie"/>
        <w:ind w:right="49" w:firstLine="709"/>
        <w:jc w:val="both"/>
        <w:rPr>
          <w:rFonts w:ascii="Arial" w:hAnsi="Arial" w:cs="Arial"/>
          <w:color w:val="000000" w:themeColor="text1"/>
          <w:sz w:val="18"/>
          <w:szCs w:val="18"/>
          <w:lang w:val="es-ES" w:eastAsia="es-ES"/>
        </w:rPr>
      </w:pPr>
      <w:r w:rsidRPr="00FB77CF">
        <w:rPr>
          <w:rFonts w:ascii="Arial" w:hAnsi="Arial" w:cs="Arial"/>
          <w:color w:val="000000" w:themeColor="text1"/>
          <w:sz w:val="18"/>
          <w:szCs w:val="18"/>
        </w:rPr>
        <w:t>[…].</w:t>
      </w:r>
    </w:p>
    <w:p w:rsidRPr="00FB77CF" w:rsidR="006622B3" w:rsidP="006622B3" w:rsidRDefault="006622B3" w14:paraId="055B6678" w14:textId="77777777">
      <w:pPr>
        <w:pStyle w:val="Textonotapie"/>
        <w:ind w:right="49" w:firstLine="709"/>
        <w:jc w:val="both"/>
        <w:rPr>
          <w:rFonts w:ascii="Arial" w:hAnsi="Arial" w:cs="Arial"/>
          <w:color w:val="000000" w:themeColor="text1"/>
          <w:sz w:val="18"/>
          <w:szCs w:val="18"/>
          <w:lang w:val="es-ES" w:eastAsia="es-ES"/>
        </w:rPr>
      </w:pPr>
      <w:r w:rsidRPr="00FB77CF">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color w:val="000000" w:themeColor="text1"/>
          <w:sz w:val="18"/>
          <w:szCs w:val="18"/>
          <w:lang w:val="es-ES" w:eastAsia="es-ES"/>
        </w:rPr>
        <w:t>”</w:t>
      </w:r>
      <w:r w:rsidRPr="00FB77CF">
        <w:rPr>
          <w:rFonts w:ascii="Arial" w:hAnsi="Arial" w:cs="Arial"/>
          <w:color w:val="000000" w:themeColor="text1"/>
          <w:sz w:val="18"/>
          <w:szCs w:val="18"/>
          <w:lang w:val="es-ES" w:eastAsia="es-ES"/>
        </w:rPr>
        <w:t>.</w:t>
      </w:r>
    </w:p>
  </w:footnote>
  <w:footnote w:id="9">
    <w:p w:rsidRPr="00FB77CF" w:rsidR="006622B3" w:rsidP="006622B3" w:rsidRDefault="006622B3" w14:paraId="1E76CC82"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C</w:t>
      </w:r>
      <w:r w:rsidRPr="00FB77CF">
        <w:rPr>
          <w:rFonts w:ascii="Arial" w:hAnsi="Arial" w:cs="Arial"/>
          <w:color w:val="000000" w:themeColor="text1"/>
          <w:sz w:val="18"/>
          <w:szCs w:val="18"/>
          <w:lang w:val="es-ES" w:eastAsia="es-ES"/>
        </w:rPr>
        <w:t xml:space="preserve">orte Constitucional. Sentencia C-274 de 9 de mayo de 2013. M.P. María Victoria Calle Correa. </w:t>
      </w:r>
    </w:p>
  </w:footnote>
  <w:footnote w:id="10">
    <w:p w:rsidRPr="00FB77CF" w:rsidR="006622B3" w:rsidP="006622B3" w:rsidRDefault="006622B3" w14:paraId="4E905292" w14:textId="77777777">
      <w:pPr>
        <w:pStyle w:val="Textonotapie"/>
        <w:ind w:right="49" w:firstLine="708"/>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1082 de 2015: </w:t>
      </w:r>
      <w:r>
        <w:rPr>
          <w:rFonts w:ascii="Arial" w:hAnsi="Arial" w:cs="Arial"/>
          <w:color w:val="000000" w:themeColor="text1"/>
          <w:sz w:val="18"/>
          <w:szCs w:val="18"/>
        </w:rPr>
        <w:t>“</w:t>
      </w:r>
      <w:r w:rsidRPr="00FB77CF">
        <w:rPr>
          <w:rFonts w:ascii="Arial" w:hAnsi="Arial" w:cs="Arial"/>
          <w:color w:val="000000" w:themeColor="text1"/>
          <w:sz w:val="18"/>
          <w:szCs w:val="18"/>
        </w:rPr>
        <w:t>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FB77CF" w:rsidR="006622B3" w:rsidP="006622B3" w:rsidRDefault="006622B3" w14:paraId="11BC7F7D" w14:textId="77777777">
      <w:pPr>
        <w:pStyle w:val="Textonotapie"/>
        <w:ind w:right="49" w:firstLine="708"/>
        <w:jc w:val="both"/>
        <w:rPr>
          <w:rFonts w:ascii="Arial" w:hAnsi="Arial" w:cs="Arial"/>
          <w:color w:val="000000" w:themeColor="text1"/>
          <w:sz w:val="18"/>
          <w:szCs w:val="18"/>
          <w:lang w:val="es-ES"/>
        </w:rPr>
      </w:pPr>
      <w:r w:rsidRPr="00FB77CF">
        <w:rPr>
          <w:rFonts w:ascii="Arial" w:hAnsi="Arial"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1">
    <w:p w:rsidRPr="00FB77CF" w:rsidR="006622B3" w:rsidP="006622B3" w:rsidRDefault="006622B3" w14:paraId="077386BA" w14:textId="77777777">
      <w:pPr>
        <w:pStyle w:val="Textonotapie"/>
        <w:ind w:right="49" w:firstLine="708"/>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Consejo de Estado. Sección Tercera. Sentencia del 14 de diciembre de 2007. Exp. 24.715. C.P. Ruth Stella Correa Palacio.</w:t>
      </w:r>
    </w:p>
    <w:p w:rsidRPr="00FB77CF" w:rsidR="006622B3" w:rsidP="006622B3" w:rsidRDefault="006622B3" w14:paraId="76043667" w14:textId="77777777">
      <w:pPr>
        <w:pStyle w:val="Textonotapie"/>
        <w:ind w:right="49" w:firstLine="708"/>
        <w:jc w:val="both"/>
        <w:rPr>
          <w:rFonts w:ascii="Arial" w:hAnsi="Arial" w:cs="Arial"/>
          <w:color w:val="000000" w:themeColor="text1"/>
          <w:sz w:val="18"/>
          <w:szCs w:val="18"/>
          <w:lang w:val="es-ES"/>
        </w:rPr>
      </w:pPr>
      <w:r w:rsidRPr="00FB77CF">
        <w:rPr>
          <w:rFonts w:ascii="Arial" w:hAnsi="Arial" w:cs="Arial"/>
          <w:color w:val="000000" w:themeColor="text1"/>
          <w:sz w:val="18"/>
          <w:szCs w:val="18"/>
        </w:rPr>
        <w:t xml:space="preserve"> </w:t>
      </w:r>
    </w:p>
  </w:footnote>
  <w:footnote w:id="12">
    <w:p w:rsidRPr="00FB77CF" w:rsidR="006622B3" w:rsidP="006622B3" w:rsidRDefault="006622B3" w14:paraId="1AA80D66" w14:textId="77777777">
      <w:pPr>
        <w:pStyle w:val="Textonotapie"/>
        <w:ind w:right="49" w:firstLine="708"/>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1082 de 2015: </w:t>
      </w:r>
      <w:r>
        <w:rPr>
          <w:rFonts w:ascii="Arial" w:hAnsi="Arial" w:cs="Arial"/>
          <w:color w:val="000000" w:themeColor="text1"/>
          <w:sz w:val="18"/>
          <w:szCs w:val="18"/>
        </w:rPr>
        <w:t>“</w:t>
      </w:r>
      <w:r w:rsidRPr="00FB77CF">
        <w:rPr>
          <w:rFonts w:ascii="Arial" w:hAnsi="Arial" w:cs="Arial"/>
          <w:color w:val="000000" w:themeColor="text1"/>
          <w:sz w:val="18"/>
          <w:szCs w:val="18"/>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FB77CF" w:rsidR="006622B3" w:rsidP="006622B3" w:rsidRDefault="006622B3" w14:paraId="3C16BED2" w14:textId="77777777">
      <w:pPr>
        <w:pStyle w:val="Textonotapie"/>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w:t>
      </w:r>
    </w:p>
    <w:p w:rsidRPr="00FB77CF" w:rsidR="006622B3" w:rsidP="006622B3" w:rsidRDefault="006622B3" w14:paraId="4FA3640B" w14:textId="77777777">
      <w:pPr>
        <w:pStyle w:val="Textonotapie"/>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3">
    <w:p w:rsidRPr="00FB77CF" w:rsidR="006622B3" w:rsidP="006622B3" w:rsidRDefault="006622B3" w14:paraId="4A41C719" w14:textId="77777777">
      <w:pPr>
        <w:spacing w:after="0"/>
        <w:ind w:right="49" w:firstLine="708"/>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Ley 1150 de 2007: </w:t>
      </w:r>
      <w:r>
        <w:rPr>
          <w:rFonts w:ascii="Arial" w:hAnsi="Arial" w:cs="Arial"/>
          <w:color w:val="000000" w:themeColor="text1"/>
          <w:sz w:val="18"/>
          <w:szCs w:val="18"/>
        </w:rPr>
        <w:t>“</w:t>
      </w:r>
      <w:r w:rsidRPr="00FB77CF">
        <w:rPr>
          <w:rFonts w:ascii="Arial" w:hAnsi="Arial" w:cs="Arial"/>
          <w:color w:val="000000" w:themeColor="text1"/>
          <w:sz w:val="18"/>
          <w:szCs w:val="18"/>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FB77CF">
        <w:rPr>
          <w:rFonts w:ascii="Arial" w:hAnsi="Arial" w:cs="Arial"/>
          <w:color w:val="000000" w:themeColor="text1"/>
          <w:spacing w:val="-3"/>
          <w:sz w:val="18"/>
          <w:szCs w:val="18"/>
        </w:rPr>
        <w:t xml:space="preserve"> </w:t>
      </w:r>
      <w:r w:rsidRPr="00FB77CF">
        <w:rPr>
          <w:rFonts w:ascii="Arial" w:hAnsi="Arial" w:cs="Arial"/>
          <w:color w:val="000000" w:themeColor="text1"/>
          <w:sz w:val="18"/>
          <w:szCs w:val="18"/>
        </w:rPr>
        <w:t>Nacional.</w:t>
      </w:r>
    </w:p>
    <w:p w:rsidRPr="00FB77CF" w:rsidR="006622B3" w:rsidP="006622B3" w:rsidRDefault="006622B3" w14:paraId="587FE066"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Lo anterior, sin perjuicio de las publicaciones previstas en el numeral 3 del artículo 30 de la Ley 80 de 1993.</w:t>
      </w:r>
    </w:p>
    <w:p w:rsidRPr="00FB77CF" w:rsidR="006622B3" w:rsidP="006622B3" w:rsidRDefault="006622B3" w14:paraId="3CD08C7C"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Con el fin de materializar los objetivos a que se refiere el inciso anterior, el Gobierno Nacional desarrollará el Sistema Electrónico para la Contratación Pública, Secop, el cual:</w:t>
      </w:r>
    </w:p>
    <w:p w:rsidRPr="00FB77CF" w:rsidR="006622B3" w:rsidP="006622B3" w:rsidRDefault="006622B3" w14:paraId="27AA4C50"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a) Dispondrá de las funcionalidades tecnológicas para realizar procesos de contratación electrónicos bajo los métodos de selección señalados en el artículo 2o de la presente ley según lo defina el reglamento;</w:t>
      </w:r>
    </w:p>
    <w:p w:rsidRPr="00FB77CF" w:rsidR="006622B3" w:rsidP="006622B3" w:rsidRDefault="006622B3" w14:paraId="4B3E55AE"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b) Servirá de punto único de ingreso de información y de generación de reportes para las entidades estatales y la ciudadanía;</w:t>
      </w:r>
    </w:p>
    <w:p w:rsidRPr="00FB77CF" w:rsidR="006622B3" w:rsidP="006622B3" w:rsidRDefault="006622B3" w14:paraId="3169CC07"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electrónicos y;</w:t>
      </w:r>
    </w:p>
    <w:p w:rsidRPr="00FB77CF" w:rsidR="006622B3" w:rsidP="006622B3" w:rsidRDefault="006622B3" w14:paraId="42C4FDE3" w14:textId="77777777">
      <w:pPr>
        <w:spacing w:after="0"/>
        <w:ind w:right="49" w:firstLine="708"/>
        <w:jc w:val="both"/>
        <w:rPr>
          <w:rFonts w:ascii="Arial" w:hAnsi="Arial" w:cs="Arial"/>
          <w:color w:val="000000" w:themeColor="text1"/>
          <w:sz w:val="18"/>
          <w:szCs w:val="18"/>
        </w:rPr>
      </w:pPr>
      <w:r w:rsidRPr="00FB77CF">
        <w:rPr>
          <w:rFonts w:ascii="Arial" w:hAnsi="Arial" w:cs="Arial"/>
          <w:color w:val="000000" w:themeColor="text1"/>
          <w:sz w:val="18"/>
          <w:szCs w:val="18"/>
        </w:rPr>
        <w:t>d) Integrará el Registro Único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4">
    <w:p w:rsidRPr="00FB77CF" w:rsidR="006622B3" w:rsidP="006622B3" w:rsidRDefault="006622B3" w14:paraId="1A4CC309" w14:textId="77777777">
      <w:pPr>
        <w:pStyle w:val="NormalWeb"/>
        <w:spacing w:before="0" w:beforeAutospacing="0" w:after="0" w:afterAutospacing="0"/>
        <w:ind w:firstLine="708"/>
        <w:jc w:val="both"/>
        <w:rPr>
          <w:rFonts w:ascii="Arial" w:hAnsi="Arial" w:cs="Arial"/>
          <w:color w:val="000000"/>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Decreto 1081 de 2015 </w:t>
      </w:r>
      <w:r>
        <w:rPr>
          <w:rFonts w:ascii="Arial" w:hAnsi="Arial" w:cs="Arial"/>
          <w:sz w:val="18"/>
          <w:szCs w:val="18"/>
        </w:rPr>
        <w:t>“</w:t>
      </w:r>
      <w:r w:rsidRPr="00FB77CF">
        <w:rPr>
          <w:rFonts w:ascii="Arial" w:hAnsi="Arial"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FB77CF" w:rsidR="006622B3" w:rsidP="006622B3" w:rsidRDefault="006622B3" w14:paraId="0DE2F462" w14:textId="77777777">
      <w:pPr>
        <w:spacing w:after="0"/>
        <w:jc w:val="both"/>
        <w:rPr>
          <w:rFonts w:ascii="Arial" w:hAnsi="Arial" w:eastAsia="Times New Roman" w:cs="Arial"/>
          <w:color w:val="000000"/>
          <w:sz w:val="18"/>
          <w:szCs w:val="18"/>
          <w:lang w:eastAsia="es-CO"/>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Los sujetos obligados que contratan con cargo a recursos públicos deben publicar la información de su gestión contractual en el plazo previsto en el artículo 19 del Decreto 1510 de 2013, o el que lo modifique, sustituya o adicione. </w:t>
      </w:r>
    </w:p>
    <w:p w:rsidRPr="006517FF" w:rsidR="006622B3" w:rsidP="006622B3" w:rsidRDefault="006622B3" w14:paraId="56C60B59" w14:textId="77777777">
      <w:pPr>
        <w:spacing w:after="0"/>
        <w:jc w:val="both"/>
        <w:rPr>
          <w:rFonts w:ascii="Arial" w:hAnsi="Arial" w:cs="Arial"/>
          <w:sz w:val="18"/>
          <w:szCs w:val="18"/>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sz w:val="18"/>
          <w:szCs w:val="18"/>
        </w:rPr>
        <w:t>”</w:t>
      </w:r>
      <w:r w:rsidRPr="00FB77CF">
        <w:rPr>
          <w:rFonts w:ascii="Arial" w:hAnsi="Arial" w:cs="Arial"/>
          <w:sz w:val="18"/>
          <w:szCs w:val="18"/>
        </w:rPr>
        <w:t>.</w:t>
      </w:r>
    </w:p>
  </w:footnote>
  <w:footnote w:id="15">
    <w:p w:rsidRPr="00FB77CF" w:rsidR="006622B3" w:rsidP="006622B3" w:rsidRDefault="006622B3" w14:paraId="06AE3492"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1081 de 2015: </w:t>
      </w:r>
      <w:r>
        <w:rPr>
          <w:rFonts w:ascii="Arial" w:hAnsi="Arial" w:cs="Arial"/>
          <w:color w:val="000000" w:themeColor="text1"/>
          <w:sz w:val="18"/>
          <w:szCs w:val="18"/>
        </w:rPr>
        <w:t>“</w:t>
      </w:r>
      <w:r w:rsidRPr="00FB77CF">
        <w:rPr>
          <w:rFonts w:ascii="Arial" w:hAnsi="Arial" w:cs="Arial"/>
          <w:color w:val="000000" w:themeColor="text1"/>
          <w:sz w:val="18"/>
          <w:szCs w:val="18"/>
        </w:rPr>
        <w:t>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6">
    <w:p w:rsidRPr="00FB77CF" w:rsidR="006622B3" w:rsidP="006622B3" w:rsidRDefault="006622B3" w14:paraId="64237358"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1081 de 2015: </w:t>
      </w:r>
      <w:r>
        <w:rPr>
          <w:rFonts w:ascii="Arial" w:hAnsi="Arial" w:cs="Arial"/>
          <w:color w:val="000000" w:themeColor="text1"/>
          <w:sz w:val="18"/>
          <w:szCs w:val="18"/>
        </w:rPr>
        <w:t>“</w:t>
      </w:r>
      <w:r w:rsidRPr="00FB77CF">
        <w:rPr>
          <w:rFonts w:ascii="Arial" w:hAnsi="Arial" w:cs="Arial"/>
          <w:color w:val="000000" w:themeColor="text1"/>
          <w:sz w:val="18"/>
          <w:szCs w:val="18"/>
        </w:rPr>
        <w:t xml:space="preserve">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rsidRPr="00FB77CF" w:rsidR="006622B3" w:rsidP="006622B3" w:rsidRDefault="006622B3" w14:paraId="3F0CDA8D"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 xml:space="preserve">Los sujetos obligados que no contratan con cargo a recursos públicos no están obligados a publicar su Plan Anual de Adquisiciones. </w:t>
      </w:r>
    </w:p>
    <w:p w:rsidRPr="00FB77CF" w:rsidR="006622B3" w:rsidP="006622B3" w:rsidRDefault="006622B3" w14:paraId="6B29160E"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 xml:space="preserve">Los sujetos obligados que contratan con cargo a recursos públicos y recursos privados, deben publicar en su página web y en el SECOP el Plan Anual de Adquisiciones para los recursos de carácter público que ejecutarán en el año. </w:t>
      </w:r>
    </w:p>
    <w:p w:rsidRPr="00FB77CF" w:rsidR="006622B3" w:rsidP="006622B3" w:rsidRDefault="006622B3" w14:paraId="22401831" w14:textId="77777777">
      <w:pPr>
        <w:pStyle w:val="Textonotapie"/>
        <w:ind w:right="49" w:firstLine="709"/>
        <w:jc w:val="both"/>
        <w:rPr>
          <w:rFonts w:ascii="Arial" w:hAnsi="Arial" w:cs="Arial"/>
          <w:color w:val="000000" w:themeColor="text1"/>
          <w:sz w:val="18"/>
          <w:szCs w:val="18"/>
        </w:rPr>
      </w:pPr>
      <w:r w:rsidRPr="00FB77CF">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7">
    <w:p w:rsidRPr="00FB77CF" w:rsidR="006622B3" w:rsidP="006622B3" w:rsidRDefault="006622B3" w14:paraId="0FECC215" w14:textId="77777777">
      <w:pPr>
        <w:pStyle w:val="Textonotapie"/>
        <w:ind w:right="49" w:firstLine="709"/>
        <w:jc w:val="both"/>
        <w:rPr>
          <w:rFonts w:ascii="Arial" w:hAnsi="Arial" w:cs="Arial"/>
          <w:color w:val="000000" w:themeColor="text1"/>
          <w:sz w:val="18"/>
          <w:szCs w:val="18"/>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1081 de 2015: </w:t>
      </w:r>
      <w:r>
        <w:rPr>
          <w:rFonts w:ascii="Arial" w:hAnsi="Arial" w:cs="Arial"/>
          <w:color w:val="000000" w:themeColor="text1"/>
          <w:sz w:val="18"/>
          <w:szCs w:val="18"/>
        </w:rPr>
        <w:t>“</w:t>
      </w:r>
      <w:r w:rsidRPr="00FB77CF">
        <w:rPr>
          <w:rFonts w:ascii="Arial" w:hAnsi="Arial" w:cs="Arial"/>
          <w:color w:val="000000" w:themeColor="text1"/>
          <w:sz w:val="18"/>
          <w:szCs w:val="18"/>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18">
    <w:p w:rsidRPr="00FB77CF" w:rsidR="006622B3" w:rsidP="006622B3" w:rsidRDefault="006622B3" w14:paraId="08DE4E8A" w14:textId="77777777">
      <w:pPr>
        <w:pStyle w:val="Textonotapie"/>
        <w:ind w:firstLine="708"/>
        <w:jc w:val="both"/>
        <w:rPr>
          <w:rFonts w:ascii="Arial" w:hAnsi="Arial" w:cs="Arial"/>
          <w:sz w:val="18"/>
          <w:szCs w:val="18"/>
          <w:lang w:val="es-CO"/>
        </w:rPr>
      </w:pPr>
      <w:r w:rsidRPr="00FB77CF">
        <w:rPr>
          <w:rStyle w:val="Refdenotaalpie"/>
          <w:rFonts w:ascii="Arial" w:hAnsi="Arial" w:cs="Arial"/>
          <w:sz w:val="18"/>
          <w:szCs w:val="18"/>
        </w:rPr>
        <w:footnoteRef/>
      </w:r>
      <w:r w:rsidRPr="00FB77CF">
        <w:rPr>
          <w:rFonts w:ascii="Arial" w:hAnsi="Arial" w:cs="Arial"/>
          <w:sz w:val="18"/>
          <w:szCs w:val="18"/>
        </w:rPr>
        <w:t xml:space="preserve">  Ley 1712 de 2014 </w:t>
      </w:r>
      <w:r>
        <w:rPr>
          <w:rFonts w:ascii="Arial" w:hAnsi="Arial" w:cs="Arial"/>
          <w:sz w:val="18"/>
          <w:szCs w:val="18"/>
        </w:rPr>
        <w:t>“</w:t>
      </w:r>
      <w:r w:rsidRPr="00FB77CF">
        <w:rPr>
          <w:rFonts w:ascii="Arial" w:hAnsi="Arial" w:cs="Arial"/>
          <w:sz w:val="18"/>
          <w:szCs w:val="18"/>
        </w:rPr>
        <w:t>Artículo 2°.</w:t>
      </w:r>
      <w:r>
        <w:rPr>
          <w:rFonts w:ascii="Arial" w:hAnsi="Arial" w:cs="Arial"/>
          <w:sz w:val="18"/>
          <w:szCs w:val="18"/>
        </w:rPr>
        <w:t xml:space="preserve"> </w:t>
      </w:r>
      <w:r w:rsidRPr="00FB77CF">
        <w:rPr>
          <w:rFonts w:ascii="Arial" w:hAnsi="Arial" w:cs="Arial"/>
          <w:sz w:val="18"/>
          <w:szCs w:val="18"/>
        </w:rPr>
        <w:t>Principio de máxima publicidad para titular universal. Toda información en posesión, bajo control o custodia de un sujeto obligado es pública y no podrá ser reservada o limitada sino por disposición constitucional o legal, de conformidad con la presente ley</w:t>
      </w:r>
      <w:r>
        <w:rPr>
          <w:rFonts w:ascii="Arial" w:hAnsi="Arial" w:cs="Arial"/>
          <w:sz w:val="18"/>
          <w:szCs w:val="18"/>
        </w:rPr>
        <w:t>”</w:t>
      </w:r>
      <w:r w:rsidRPr="00FB77CF">
        <w:rPr>
          <w:rFonts w:ascii="Arial" w:hAnsi="Arial" w:cs="Arial"/>
          <w:sz w:val="18"/>
          <w:szCs w:val="18"/>
        </w:rPr>
        <w:t>.</w:t>
      </w:r>
    </w:p>
  </w:footnote>
  <w:footnote w:id="19">
    <w:p w:rsidRPr="00FB77CF" w:rsidR="006622B3" w:rsidP="006622B3" w:rsidRDefault="006622B3" w14:paraId="5377AC5E" w14:textId="77777777">
      <w:pPr>
        <w:pStyle w:val="NormalWeb"/>
        <w:spacing w:before="0" w:beforeAutospacing="0" w:after="0" w:afterAutospacing="0"/>
        <w:ind w:firstLine="708"/>
        <w:jc w:val="both"/>
        <w:rPr>
          <w:rFonts w:ascii="Arial" w:hAnsi="Arial" w:cs="Arial"/>
          <w:color w:val="000000"/>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Ley 1712 de 2014 </w:t>
      </w:r>
      <w:r>
        <w:rPr>
          <w:rFonts w:ascii="Arial" w:hAnsi="Arial" w:cs="Arial"/>
          <w:sz w:val="18"/>
          <w:szCs w:val="18"/>
        </w:rPr>
        <w:t>“</w:t>
      </w:r>
      <w:r w:rsidRPr="00FB77CF">
        <w:rPr>
          <w:rFonts w:ascii="Arial" w:hAnsi="Arial" w:cs="Arial"/>
          <w:color w:val="000000"/>
          <w:sz w:val="18"/>
          <w:szCs w:val="18"/>
        </w:rPr>
        <w:t>Artículo 3°.</w:t>
      </w:r>
      <w:r>
        <w:rPr>
          <w:rFonts w:ascii="Arial" w:hAnsi="Arial" w:cs="Arial"/>
          <w:color w:val="000000"/>
          <w:sz w:val="18"/>
          <w:szCs w:val="18"/>
        </w:rPr>
        <w:t xml:space="preserve"> </w:t>
      </w:r>
      <w:r w:rsidRPr="00FB77CF">
        <w:rPr>
          <w:rFonts w:ascii="Arial" w:hAnsi="Arial" w:cs="Arial"/>
          <w:color w:val="000000"/>
          <w:sz w:val="18"/>
          <w:szCs w:val="18"/>
        </w:rPr>
        <w:t>Otros principios de la transparencia y acceso a la información pública. En la interpretación del derecho de acceso a la información se deberá adoptar un criterio de razonabilidad y proporcionalidad, así como aplicar los siguientes principios: </w:t>
      </w:r>
    </w:p>
    <w:p w:rsidRPr="00FB77CF" w:rsidR="006622B3" w:rsidP="006622B3" w:rsidRDefault="006622B3" w14:paraId="311C80BE" w14:textId="77777777">
      <w:pPr>
        <w:spacing w:after="0"/>
        <w:jc w:val="both"/>
        <w:rPr>
          <w:rFonts w:ascii="Arial" w:hAnsi="Arial" w:eastAsia="Times New Roman" w:cs="Arial"/>
          <w:color w:val="000000"/>
          <w:sz w:val="18"/>
          <w:szCs w:val="18"/>
          <w:lang w:eastAsia="es-CO"/>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Pr="00FB77CF" w:rsidR="006622B3" w:rsidP="006622B3" w:rsidRDefault="006622B3" w14:paraId="2D83D6C3" w14:textId="77777777">
      <w:pPr>
        <w:spacing w:after="0"/>
        <w:jc w:val="both"/>
        <w:rPr>
          <w:rFonts w:ascii="Arial" w:hAnsi="Arial" w:eastAsia="Times New Roman" w:cs="Arial"/>
          <w:color w:val="000000"/>
          <w:sz w:val="18"/>
          <w:szCs w:val="18"/>
          <w:lang w:eastAsia="es-CO"/>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 </w:t>
      </w:r>
    </w:p>
    <w:p w:rsidRPr="00FB77CF" w:rsidR="006622B3" w:rsidP="006622B3" w:rsidRDefault="006622B3" w14:paraId="35D2B33C" w14:textId="77777777">
      <w:pPr>
        <w:spacing w:after="0"/>
        <w:jc w:val="both"/>
        <w:rPr>
          <w:rFonts w:ascii="Arial" w:hAnsi="Arial" w:eastAsia="Times New Roman" w:cs="Arial"/>
          <w:color w:val="000000"/>
          <w:sz w:val="18"/>
          <w:szCs w:val="18"/>
          <w:lang w:eastAsia="es-CO"/>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Principio de facilitación. En virtud de este principio los sujetos obligados deberán facilitar el ejercicio del derecho de acceso a la información pública, excluyendo exigencias o requisitos que puedan obstruirlo o impedirlo. </w:t>
      </w:r>
    </w:p>
    <w:p w:rsidRPr="00FB77CF" w:rsidR="006622B3" w:rsidP="006622B3" w:rsidRDefault="006622B3" w14:paraId="6F32C7B5" w14:textId="77777777">
      <w:pPr>
        <w:spacing w:after="0"/>
        <w:jc w:val="both"/>
        <w:rPr>
          <w:rFonts w:ascii="Arial" w:hAnsi="Arial" w:eastAsia="Times New Roman" w:cs="Arial"/>
          <w:color w:val="000000"/>
          <w:sz w:val="18"/>
          <w:szCs w:val="18"/>
          <w:lang w:eastAsia="es-CO"/>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w:t>
      </w:r>
    </w:p>
    <w:p w:rsidRPr="00FB77CF" w:rsidR="006622B3" w:rsidP="006622B3" w:rsidRDefault="006622B3" w14:paraId="0A244C77" w14:textId="77777777">
      <w:pPr>
        <w:spacing w:after="0"/>
        <w:jc w:val="both"/>
        <w:rPr>
          <w:rFonts w:ascii="Arial" w:hAnsi="Arial" w:cs="Arial"/>
          <w:sz w:val="18"/>
          <w:szCs w:val="18"/>
        </w:rPr>
      </w:pPr>
      <w:r w:rsidRPr="00FB77CF">
        <w:rPr>
          <w:rFonts w:ascii="Arial" w:hAnsi="Arial" w:eastAsia="Times New Roman" w:cs="Arial"/>
          <w:color w:val="000000"/>
          <w:sz w:val="18"/>
          <w:szCs w:val="18"/>
          <w:lang w:eastAsia="es-CO"/>
        </w:rPr>
        <w:t>  </w:t>
      </w:r>
      <w:r w:rsidRPr="00FB77CF">
        <w:rPr>
          <w:rFonts w:ascii="Arial" w:hAnsi="Arial" w:eastAsia="Times New Roman" w:cs="Arial"/>
          <w:color w:val="000000"/>
          <w:sz w:val="18"/>
          <w:szCs w:val="18"/>
          <w:lang w:eastAsia="es-CO"/>
        </w:rPr>
        <w:tab/>
      </w:r>
      <w:r w:rsidRPr="00FB77CF">
        <w:rPr>
          <w:rFonts w:ascii="Arial" w:hAnsi="Arial" w:eastAsia="Times New Roman" w:cs="Arial"/>
          <w:color w:val="000000"/>
          <w:sz w:val="18"/>
          <w:szCs w:val="18"/>
          <w:lang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r>
        <w:rPr>
          <w:rFonts w:ascii="Arial" w:hAnsi="Arial" w:eastAsia="Times New Roman" w:cs="Arial"/>
          <w:color w:val="000000"/>
          <w:sz w:val="18"/>
          <w:szCs w:val="18"/>
          <w:lang w:eastAsia="es-CO"/>
        </w:rPr>
        <w:t>”</w:t>
      </w:r>
      <w:r w:rsidRPr="00FB77CF">
        <w:rPr>
          <w:rFonts w:ascii="Arial" w:hAnsi="Arial" w:eastAsia="Times New Roman" w:cs="Arial"/>
          <w:color w:val="000000"/>
          <w:sz w:val="18"/>
          <w:szCs w:val="18"/>
          <w:lang w:eastAsia="es-CO"/>
        </w:rPr>
        <w:t>.</w:t>
      </w:r>
    </w:p>
  </w:footnote>
  <w:footnote w:id="20">
    <w:p w:rsidRPr="00BC6B59" w:rsidR="006622B3" w:rsidP="006622B3" w:rsidRDefault="006622B3" w14:paraId="2D961F50" w14:textId="77777777">
      <w:pPr>
        <w:pStyle w:val="Textonotapie"/>
        <w:ind w:firstLine="708"/>
        <w:jc w:val="both"/>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w:t>
      </w:r>
      <w:r>
        <w:rPr>
          <w:rFonts w:ascii="Arial" w:hAnsi="Arial" w:cs="Arial"/>
          <w:sz w:val="18"/>
          <w:szCs w:val="18"/>
        </w:rPr>
        <w:t>“</w:t>
      </w:r>
      <w:r w:rsidRPr="00BC6B59">
        <w:rPr>
          <w:rFonts w:ascii="Arial" w:hAnsi="Arial" w:cs="Arial"/>
          <w:sz w:val="18"/>
          <w:szCs w:val="18"/>
        </w:rPr>
        <w:t>Artículo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Pr>
          <w:rFonts w:ascii="Arial" w:hAnsi="Arial" w:cs="Arial"/>
          <w:sz w:val="18"/>
          <w:szCs w:val="18"/>
        </w:rPr>
        <w:t>”</w:t>
      </w:r>
      <w:r w:rsidRPr="00BC6B59">
        <w:rPr>
          <w:rFonts w:ascii="Arial" w:hAnsi="Arial" w:cs="Arial"/>
          <w:sz w:val="18"/>
          <w:szCs w:val="18"/>
        </w:rPr>
        <w:t>.</w:t>
      </w:r>
    </w:p>
  </w:footnote>
  <w:footnote w:id="21">
    <w:p w:rsidRPr="00BC6B59" w:rsidR="006622B3" w:rsidP="006622B3" w:rsidRDefault="006622B3" w14:paraId="733C0EBC" w14:textId="77777777">
      <w:pPr>
        <w:widowControl w:val="0"/>
        <w:autoSpaceDE w:val="0"/>
        <w:autoSpaceDN w:val="0"/>
        <w:spacing w:after="120"/>
        <w:ind w:firstLine="709"/>
        <w:jc w:val="both"/>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w:t>
      </w:r>
      <w:r w:rsidRPr="00BC6B59">
        <w:rPr>
          <w:rFonts w:ascii="Arial" w:hAnsi="Arial" w:eastAsia="Arial" w:cs="Arial"/>
          <w:sz w:val="18"/>
          <w:szCs w:val="18"/>
          <w:lang w:val="es-ES"/>
        </w:rPr>
        <w:t xml:space="preserve">Respecto a la noción de día hábil, son relevantes las consideraciones expuestas por esta Subdirección en el concepto C-160 del 3 de abril de 2020 –radicado No. 2202013000002420–, donde se expuso que </w:t>
      </w:r>
      <w:r>
        <w:rPr>
          <w:rFonts w:ascii="Arial" w:hAnsi="Arial" w:eastAsia="Arial" w:cs="Arial"/>
          <w:sz w:val="18"/>
          <w:szCs w:val="18"/>
          <w:lang w:val="es-ES"/>
        </w:rPr>
        <w:t>“</w:t>
      </w:r>
      <w:r w:rsidRPr="00BC6B59">
        <w:rPr>
          <w:rFonts w:ascii="Arial" w:hAnsi="Arial" w:eastAsia="Arial" w:cs="Arial"/>
          <w:sz w:val="18"/>
          <w:szCs w:val="18"/>
          <w:lang w:val="es-ES"/>
        </w:rPr>
        <w:t>[…]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r>
        <w:rPr>
          <w:rFonts w:ascii="Arial" w:hAnsi="Arial" w:eastAsia="Arial" w:cs="Arial"/>
          <w:sz w:val="18"/>
          <w:szCs w:val="18"/>
          <w:lang w:val="es-ES"/>
        </w:rPr>
        <w:t>”</w:t>
      </w:r>
      <w:r w:rsidRPr="00BC6B59">
        <w:rPr>
          <w:rFonts w:ascii="Arial" w:hAnsi="Arial" w:eastAsia="Arial" w:cs="Arial"/>
          <w:sz w:val="18"/>
          <w:szCs w:val="18"/>
          <w:lang w:val="es-ES"/>
        </w:rPr>
        <w:t>.</w:t>
      </w:r>
    </w:p>
  </w:footnote>
  <w:footnote w:id="22">
    <w:p w:rsidRPr="00BC6B59" w:rsidR="006622B3" w:rsidP="006622B3" w:rsidRDefault="006622B3" w14:paraId="620E37DC" w14:textId="77777777">
      <w:pPr>
        <w:pStyle w:val="Textonotapie"/>
        <w:ind w:firstLine="708"/>
        <w:jc w:val="both"/>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w:t>
      </w:r>
      <w:r>
        <w:rPr>
          <w:rFonts w:ascii="Arial" w:hAnsi="Arial" w:cs="Arial"/>
          <w:sz w:val="18"/>
          <w:szCs w:val="18"/>
        </w:rPr>
        <w:t>“</w:t>
      </w:r>
      <w:r w:rsidRPr="00BC6B59">
        <w:rPr>
          <w:rFonts w:ascii="Arial" w:hAnsi="Arial" w:cs="Arial"/>
          <w:sz w:val="18"/>
          <w:szCs w:val="18"/>
        </w:rPr>
        <w:t xml:space="preserve">Artículo 3°. Funciones. La Agencia Nacional de Contratación Pública -Colombia Compra Eficiente- ejercerá las siguientes funciones: </w:t>
      </w:r>
    </w:p>
    <w:p w:rsidRPr="00BC6B59" w:rsidR="006622B3" w:rsidP="006622B3" w:rsidRDefault="006622B3" w14:paraId="5681CC9C" w14:textId="77777777">
      <w:pPr>
        <w:pStyle w:val="Textonotapie"/>
        <w:ind w:firstLine="708"/>
        <w:jc w:val="both"/>
        <w:rPr>
          <w:rFonts w:ascii="Arial" w:hAnsi="Arial" w:cs="Arial"/>
          <w:sz w:val="18"/>
          <w:szCs w:val="18"/>
        </w:rPr>
      </w:pPr>
      <w:r w:rsidRPr="00BC6B59">
        <w:rPr>
          <w:rFonts w:ascii="Arial" w:hAnsi="Arial" w:cs="Arial"/>
          <w:sz w:val="18"/>
          <w:szCs w:val="18"/>
        </w:rPr>
        <w:t xml:space="preserve">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 </w:t>
      </w:r>
    </w:p>
    <w:p w:rsidRPr="00BC6B59" w:rsidR="006622B3" w:rsidP="006622B3" w:rsidRDefault="006622B3" w14:paraId="4C9366C5" w14:textId="77777777">
      <w:pPr>
        <w:pStyle w:val="Textonotapie"/>
        <w:ind w:firstLine="708"/>
        <w:jc w:val="both"/>
        <w:rPr>
          <w:rFonts w:ascii="Arial" w:hAnsi="Arial" w:cs="Arial"/>
          <w:sz w:val="18"/>
          <w:szCs w:val="18"/>
        </w:rPr>
      </w:pPr>
      <w:r w:rsidRPr="00BC6B59">
        <w:rPr>
          <w:rFonts w:ascii="Arial" w:hAnsi="Arial" w:cs="Arial"/>
          <w:sz w:val="18"/>
          <w:szCs w:val="18"/>
        </w:rPr>
        <w:t xml:space="preserve">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rsidRPr="00BC6B59" w:rsidR="006622B3" w:rsidP="006622B3" w:rsidRDefault="006622B3" w14:paraId="4DDA7533" w14:textId="77777777">
      <w:pPr>
        <w:pStyle w:val="Textonotapie"/>
        <w:ind w:firstLine="708"/>
        <w:jc w:val="both"/>
        <w:rPr>
          <w:rFonts w:ascii="Arial" w:hAnsi="Arial" w:cs="Arial"/>
          <w:sz w:val="18"/>
          <w:szCs w:val="18"/>
        </w:rPr>
      </w:pPr>
      <w:r w:rsidRPr="00BC6B59">
        <w:rPr>
          <w:rFonts w:ascii="Arial" w:hAnsi="Arial" w:cs="Arial"/>
          <w:sz w:val="18"/>
          <w:szCs w:val="18"/>
        </w:rPr>
        <w:t xml:space="preserve">3. Coordinar con las demás entidades públicas las gestiones necesarias para el cumplimiento del objetivo de la Agencia. </w:t>
      </w:r>
    </w:p>
    <w:p w:rsidRPr="00BC6B59" w:rsidR="006622B3" w:rsidP="006622B3" w:rsidRDefault="006622B3" w14:paraId="50CEF301" w14:textId="77777777">
      <w:pPr>
        <w:pStyle w:val="Textonotapie"/>
        <w:ind w:firstLine="708"/>
        <w:jc w:val="both"/>
        <w:rPr>
          <w:rFonts w:ascii="Arial" w:hAnsi="Arial" w:cs="Arial"/>
          <w:sz w:val="18"/>
          <w:szCs w:val="18"/>
        </w:rPr>
      </w:pPr>
      <w:r w:rsidRPr="00BC6B59">
        <w:rPr>
          <w:rFonts w:ascii="Arial" w:hAnsi="Arial" w:cs="Arial"/>
          <w:sz w:val="18"/>
          <w:szCs w:val="18"/>
        </w:rPr>
        <w:t xml:space="preserve">4. Hacer estudios, diagnósticos, estadísticas en materia de compras y contratación con recursos del Estado, buscando la efectividad entre la oferta y la demanda en el mercado de compras y contratación pública. </w:t>
      </w:r>
    </w:p>
    <w:p w:rsidRPr="00BC6B59" w:rsidR="006622B3" w:rsidP="006622B3" w:rsidRDefault="006622B3" w14:paraId="2E4D4029" w14:textId="77777777">
      <w:pPr>
        <w:pStyle w:val="Textonotapie"/>
        <w:ind w:firstLine="708"/>
        <w:jc w:val="both"/>
        <w:rPr>
          <w:rFonts w:ascii="Arial" w:hAnsi="Arial" w:cs="Arial"/>
          <w:sz w:val="18"/>
          <w:szCs w:val="18"/>
        </w:rPr>
      </w:pPr>
      <w:r w:rsidRPr="00BC6B59">
        <w:rPr>
          <w:rFonts w:ascii="Arial" w:hAnsi="Arial" w:cs="Arial"/>
          <w:sz w:val="18"/>
          <w:szCs w:val="18"/>
        </w:rPr>
        <w:t>5. Absolver consultas sobre la aplicación de normas de carácter general y expedir circulares externas en materia de compras y contratación pública […]</w:t>
      </w:r>
      <w:r>
        <w:rPr>
          <w:rFonts w:ascii="Arial" w:hAnsi="Arial" w:cs="Arial"/>
          <w:sz w:val="18"/>
          <w:szCs w:val="18"/>
        </w:rPr>
        <w:t>”</w:t>
      </w:r>
      <w:r w:rsidRPr="00BC6B59">
        <w:rPr>
          <w:rFonts w:ascii="Arial" w:hAnsi="Arial" w:cs="Arial"/>
          <w:sz w:val="18"/>
          <w:szCs w:val="18"/>
        </w:rPr>
        <w:t xml:space="preserve">. </w:t>
      </w:r>
    </w:p>
  </w:footnote>
  <w:footnote w:id="23">
    <w:p w:rsidRPr="009D3FE6" w:rsidR="006622B3" w:rsidP="006622B3" w:rsidRDefault="006622B3" w14:paraId="64A333B8" w14:textId="77777777">
      <w:pPr>
        <w:pStyle w:val="Textonotapie"/>
        <w:ind w:firstLine="708"/>
        <w:jc w:val="both"/>
        <w:rPr>
          <w:rFonts w:ascii="Arial" w:hAnsi="Arial" w:cs="Arial"/>
          <w:sz w:val="18"/>
          <w:szCs w:val="18"/>
        </w:rPr>
      </w:pPr>
      <w:r w:rsidRPr="00BC6B59">
        <w:rPr>
          <w:rStyle w:val="Refdenotaalpie"/>
          <w:rFonts w:ascii="Arial" w:hAnsi="Arial" w:cs="Arial"/>
          <w:sz w:val="18"/>
          <w:szCs w:val="18"/>
        </w:rPr>
        <w:footnoteRef/>
      </w:r>
      <w:r w:rsidRPr="00BC6B59">
        <w:rPr>
          <w:rFonts w:ascii="Arial" w:hAnsi="Arial" w:cs="Arial"/>
          <w:sz w:val="18"/>
          <w:szCs w:val="18"/>
        </w:rPr>
        <w:t xml:space="preserve"> Agencia Nacional de Contratación Pública – Colombia Compra Eficiente. Circular Externa Única</w:t>
      </w:r>
      <w:r>
        <w:rPr>
          <w:rFonts w:ascii="Arial" w:hAnsi="Arial" w:cs="Arial"/>
          <w:sz w:val="18"/>
          <w:szCs w:val="18"/>
        </w:rPr>
        <w:t xml:space="preserve">, </w:t>
      </w:r>
      <w:r w:rsidRPr="00BC6B59">
        <w:rPr>
          <w:rFonts w:ascii="Arial" w:hAnsi="Arial" w:cs="Arial"/>
          <w:sz w:val="18"/>
          <w:szCs w:val="18"/>
        </w:rPr>
        <w:t xml:space="preserve">actualizada </w:t>
      </w:r>
      <w:r>
        <w:rPr>
          <w:rFonts w:ascii="Arial" w:hAnsi="Arial" w:cs="Arial"/>
          <w:sz w:val="18"/>
          <w:szCs w:val="18"/>
        </w:rPr>
        <w:t>el 15 de julio de 2022</w:t>
      </w:r>
      <w:r w:rsidRPr="00BC6B59">
        <w:rPr>
          <w:rFonts w:ascii="Arial" w:hAnsi="Arial" w:cs="Arial"/>
          <w:sz w:val="18"/>
          <w:szCs w:val="18"/>
        </w:rPr>
        <w:t>. Consultada el 2</w:t>
      </w:r>
      <w:r>
        <w:rPr>
          <w:rFonts w:ascii="Arial" w:hAnsi="Arial" w:cs="Arial"/>
          <w:sz w:val="18"/>
          <w:szCs w:val="18"/>
        </w:rPr>
        <w:t>3</w:t>
      </w:r>
      <w:r w:rsidRPr="00BC6B59">
        <w:rPr>
          <w:rFonts w:ascii="Arial" w:hAnsi="Arial" w:cs="Arial"/>
          <w:sz w:val="18"/>
          <w:szCs w:val="18"/>
        </w:rPr>
        <w:t xml:space="preserve"> de </w:t>
      </w:r>
      <w:r>
        <w:rPr>
          <w:rFonts w:ascii="Arial" w:hAnsi="Arial" w:cs="Arial"/>
          <w:sz w:val="18"/>
          <w:szCs w:val="18"/>
        </w:rPr>
        <w:t>mayo</w:t>
      </w:r>
      <w:r w:rsidRPr="00BC6B59">
        <w:rPr>
          <w:rFonts w:ascii="Arial" w:hAnsi="Arial" w:cs="Arial"/>
          <w:sz w:val="18"/>
          <w:szCs w:val="18"/>
        </w:rPr>
        <w:t xml:space="preserve"> de 202</w:t>
      </w:r>
      <w:r>
        <w:rPr>
          <w:rFonts w:ascii="Arial" w:hAnsi="Arial" w:cs="Arial"/>
          <w:sz w:val="18"/>
          <w:szCs w:val="18"/>
        </w:rPr>
        <w:t>3</w:t>
      </w:r>
      <w:r w:rsidRPr="00BC6B59">
        <w:rPr>
          <w:rFonts w:ascii="Arial" w:hAnsi="Arial" w:cs="Arial"/>
          <w:sz w:val="18"/>
          <w:szCs w:val="18"/>
        </w:rPr>
        <w:t xml:space="preserve"> en:  </w:t>
      </w:r>
      <w:hyperlink w:history="1" r:id="rId2">
        <w:r w:rsidRPr="009D3FE6">
          <w:rPr>
            <w:rStyle w:val="Hipervnculo"/>
            <w:rFonts w:ascii="Arial" w:hAnsi="Arial" w:cs="Arial"/>
            <w:sz w:val="18"/>
            <w:szCs w:val="18"/>
          </w:rPr>
          <w:t>https://colombiacompra.gov.co/sites/cce_public/files/cce_circulares/cce-eicp-ma-06_circular_externa_con_comentarios_de_ciudadanos-_v2f_002.pdf</w:t>
        </w:r>
      </w:hyperlink>
      <w:r w:rsidRPr="009D3FE6">
        <w:rPr>
          <w:rFonts w:ascii="Arial" w:hAnsi="Arial" w:cs="Arial"/>
          <w:sz w:val="18"/>
          <w:szCs w:val="18"/>
        </w:rPr>
        <w:t xml:space="preserve">. </w:t>
      </w:r>
    </w:p>
  </w:footnote>
  <w:footnote w:id="24">
    <w:p w:rsidRPr="00FB77CF" w:rsidR="006622B3" w:rsidP="006622B3" w:rsidRDefault="006622B3" w14:paraId="6403F6FA" w14:textId="77777777">
      <w:pPr>
        <w:pStyle w:val="Textonotapie"/>
        <w:ind w:firstLine="708"/>
        <w:jc w:val="both"/>
        <w:rPr>
          <w:rFonts w:ascii="Arial" w:hAnsi="Arial" w:cs="Arial"/>
          <w:color w:val="000000" w:themeColor="text1"/>
          <w:sz w:val="18"/>
          <w:szCs w:val="18"/>
          <w:lang w:val="es-CO"/>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Ley 1474 de 2011 </w:t>
      </w:r>
      <w:r>
        <w:rPr>
          <w:rFonts w:ascii="Arial" w:hAnsi="Arial" w:cs="Arial"/>
          <w:color w:val="000000" w:themeColor="text1"/>
          <w:sz w:val="18"/>
          <w:szCs w:val="18"/>
        </w:rPr>
        <w:t>“</w:t>
      </w:r>
      <w:r w:rsidRPr="00FB77CF">
        <w:rPr>
          <w:rFonts w:ascii="Arial" w:hAnsi="Arial" w:cs="Arial"/>
          <w:color w:val="000000" w:themeColor="text1"/>
          <w:sz w:val="18"/>
          <w:szCs w:val="18"/>
          <w:lang w:val="es-CO"/>
        </w:rPr>
        <w:t>Artículo 74. </w:t>
      </w:r>
      <w:r w:rsidRPr="00FB77CF">
        <w:rPr>
          <w:rFonts w:ascii="Arial" w:hAnsi="Arial" w:cs="Arial"/>
          <w:i/>
          <w:iCs/>
          <w:color w:val="000000" w:themeColor="text1"/>
          <w:sz w:val="18"/>
          <w:szCs w:val="18"/>
          <w:lang w:val="es-CO"/>
        </w:rPr>
        <w:t>Plan de acción de las entidades públicas</w:t>
      </w:r>
      <w:r w:rsidRPr="00FB77CF">
        <w:rPr>
          <w:rFonts w:ascii="Arial" w:hAnsi="Arial" w:cs="Arial"/>
          <w:color w:val="000000" w:themeColor="text1"/>
          <w:sz w:val="18"/>
          <w:szCs w:val="18"/>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rsidRPr="00FB77CF" w:rsidR="006622B3" w:rsidP="006622B3" w:rsidRDefault="006622B3" w14:paraId="0726CC8F" w14:textId="77777777">
      <w:pPr>
        <w:pStyle w:val="Textonotapie"/>
        <w:jc w:val="both"/>
        <w:rPr>
          <w:rFonts w:ascii="Arial" w:hAnsi="Arial" w:cs="Arial"/>
          <w:color w:val="000000" w:themeColor="text1"/>
          <w:sz w:val="18"/>
          <w:szCs w:val="18"/>
          <w:lang w:val="es-CO"/>
        </w:rPr>
      </w:pPr>
      <w:r w:rsidRPr="00FB77CF">
        <w:rPr>
          <w:rFonts w:ascii="Arial" w:hAnsi="Arial" w:cs="Arial"/>
          <w:color w:val="000000" w:themeColor="text1"/>
          <w:sz w:val="18"/>
          <w:szCs w:val="18"/>
          <w:lang w:val="es-CO"/>
        </w:rPr>
        <w:t>  </w:t>
      </w:r>
      <w:r w:rsidRPr="00FB77CF">
        <w:rPr>
          <w:rFonts w:ascii="Arial" w:hAnsi="Arial" w:cs="Arial"/>
          <w:color w:val="000000" w:themeColor="text1"/>
          <w:sz w:val="18"/>
          <w:szCs w:val="18"/>
          <w:lang w:val="es-CO"/>
        </w:rPr>
        <w:tab/>
      </w:r>
      <w:r w:rsidRPr="00FB77CF">
        <w:rPr>
          <w:rFonts w:ascii="Arial" w:hAnsi="Arial" w:cs="Arial"/>
          <w:color w:val="000000" w:themeColor="text1"/>
          <w:sz w:val="18"/>
          <w:szCs w:val="18"/>
          <w:lang w:val="es-CO"/>
        </w:rPr>
        <w:t>A partir del año siguiente, el Plan de Acción deberá estar acompañado del informe de gestión del año inmediatamente anterior. </w:t>
      </w:r>
    </w:p>
    <w:p w:rsidRPr="00FB77CF" w:rsidR="006622B3" w:rsidP="006622B3" w:rsidRDefault="006622B3" w14:paraId="76824776" w14:textId="77777777">
      <w:pPr>
        <w:pStyle w:val="Textonotapie"/>
        <w:jc w:val="both"/>
        <w:rPr>
          <w:rFonts w:ascii="Arial" w:hAnsi="Arial" w:cs="Arial"/>
          <w:color w:val="000000" w:themeColor="text1"/>
          <w:sz w:val="18"/>
          <w:szCs w:val="18"/>
          <w:lang w:val="es-CO"/>
        </w:rPr>
      </w:pPr>
      <w:r w:rsidRPr="00FB77CF">
        <w:rPr>
          <w:rFonts w:ascii="Arial" w:hAnsi="Arial" w:cs="Arial"/>
          <w:color w:val="000000" w:themeColor="text1"/>
          <w:sz w:val="18"/>
          <w:szCs w:val="18"/>
          <w:lang w:val="es-CO"/>
        </w:rPr>
        <w:t>  </w:t>
      </w:r>
      <w:r w:rsidRPr="00FB77CF">
        <w:rPr>
          <w:rFonts w:ascii="Arial" w:hAnsi="Arial" w:cs="Arial"/>
          <w:color w:val="000000" w:themeColor="text1"/>
          <w:sz w:val="18"/>
          <w:szCs w:val="18"/>
          <w:lang w:val="es-CO"/>
        </w:rPr>
        <w:tab/>
      </w:r>
      <w:r w:rsidRPr="00FB77CF">
        <w:rPr>
          <w:rFonts w:ascii="Arial" w:hAnsi="Arial" w:cs="Arial"/>
          <w:color w:val="000000" w:themeColor="text1"/>
          <w:sz w:val="18"/>
          <w:szCs w:val="18"/>
          <w:lang w:val="es-CO"/>
        </w:rPr>
        <w:t>Igualmente publicarán por dicho medio su presupuesto debidamente desagregado, así como las modificaciones a este o a su desagregación. </w:t>
      </w:r>
    </w:p>
    <w:p w:rsidRPr="00FB77CF" w:rsidR="006622B3" w:rsidP="006622B3" w:rsidRDefault="006622B3" w14:paraId="7EFC7EF0" w14:textId="77777777">
      <w:pPr>
        <w:pStyle w:val="Textonotapie"/>
        <w:jc w:val="both"/>
        <w:rPr>
          <w:rFonts w:ascii="Arial" w:hAnsi="Arial" w:cs="Arial"/>
          <w:color w:val="000000" w:themeColor="text1"/>
          <w:sz w:val="18"/>
          <w:szCs w:val="18"/>
          <w:lang w:val="es-CO"/>
        </w:rPr>
      </w:pPr>
      <w:r w:rsidRPr="00FB77CF">
        <w:rPr>
          <w:rFonts w:ascii="Arial" w:hAnsi="Arial" w:cs="Arial"/>
          <w:color w:val="000000" w:themeColor="text1"/>
          <w:sz w:val="18"/>
          <w:szCs w:val="18"/>
          <w:lang w:val="es-CO"/>
        </w:rPr>
        <w:t>  </w:t>
      </w:r>
      <w:r w:rsidRPr="00FB77CF">
        <w:rPr>
          <w:rFonts w:ascii="Arial" w:hAnsi="Arial" w:cs="Arial"/>
          <w:color w:val="000000" w:themeColor="text1"/>
          <w:sz w:val="18"/>
          <w:szCs w:val="18"/>
          <w:lang w:val="es-CO"/>
        </w:rPr>
        <w:tab/>
      </w:r>
      <w:r w:rsidRPr="00FB77CF">
        <w:rPr>
          <w:rFonts w:ascii="Arial" w:hAnsi="Arial" w:cs="Arial"/>
          <w:color w:val="000000" w:themeColor="text1"/>
          <w:sz w:val="18"/>
          <w:szCs w:val="18"/>
          <w:lang w:val="es-CO"/>
        </w:rPr>
        <w:t>Parágrafo. Las empresas industriales y comerciales del Estado y las Sociedades de Economía Mixta estarán exentas de publicar la información relacionada con sus proyectos de inversión</w:t>
      </w:r>
      <w:r>
        <w:rPr>
          <w:rFonts w:ascii="Arial" w:hAnsi="Arial" w:cs="Arial"/>
          <w:color w:val="000000" w:themeColor="text1"/>
          <w:sz w:val="18"/>
          <w:szCs w:val="18"/>
          <w:lang w:val="es-CO"/>
        </w:rPr>
        <w:t>”</w:t>
      </w:r>
      <w:r w:rsidRPr="00FB77CF">
        <w:rPr>
          <w:rFonts w:ascii="Arial" w:hAnsi="Arial" w:cs="Arial"/>
          <w:color w:val="000000" w:themeColor="text1"/>
          <w:sz w:val="18"/>
          <w:szCs w:val="18"/>
          <w:lang w:val="es-CO"/>
        </w:rPr>
        <w:t>. </w:t>
      </w:r>
    </w:p>
    <w:p w:rsidRPr="00FB77CF" w:rsidR="006622B3" w:rsidP="006622B3" w:rsidRDefault="006622B3" w14:paraId="379EADCE" w14:textId="77777777">
      <w:pPr>
        <w:pStyle w:val="Textonotapie"/>
        <w:jc w:val="both"/>
        <w:rPr>
          <w:rFonts w:ascii="Arial" w:hAnsi="Arial" w:cs="Arial"/>
          <w:color w:val="000000" w:themeColor="text1"/>
          <w:sz w:val="18"/>
          <w:szCs w:val="18"/>
          <w:lang w:val="es-CO"/>
        </w:rPr>
      </w:pPr>
    </w:p>
  </w:footnote>
  <w:footnote w:id="25">
    <w:p w:rsidRPr="00FB77CF" w:rsidR="006622B3" w:rsidP="006622B3" w:rsidRDefault="006622B3" w14:paraId="5D7E91F9" w14:textId="77777777">
      <w:pPr>
        <w:pStyle w:val="Textonotapie"/>
        <w:ind w:firstLine="708"/>
        <w:jc w:val="both"/>
        <w:rPr>
          <w:rFonts w:ascii="Arial" w:hAnsi="Arial" w:cs="Arial"/>
          <w:color w:val="000000" w:themeColor="text1"/>
          <w:sz w:val="18"/>
          <w:szCs w:val="18"/>
          <w:lang w:val="es-CO"/>
        </w:rPr>
      </w:pPr>
      <w:r w:rsidRPr="00FB77CF">
        <w:rPr>
          <w:rStyle w:val="Refdenotaalpie"/>
          <w:rFonts w:ascii="Arial" w:hAnsi="Arial" w:cs="Arial"/>
          <w:color w:val="000000" w:themeColor="text1"/>
          <w:sz w:val="18"/>
          <w:szCs w:val="18"/>
        </w:rPr>
        <w:footnoteRef/>
      </w:r>
      <w:r w:rsidRPr="00FB77CF">
        <w:rPr>
          <w:rFonts w:ascii="Arial" w:hAnsi="Arial" w:cs="Arial"/>
          <w:color w:val="000000" w:themeColor="text1"/>
          <w:sz w:val="18"/>
          <w:szCs w:val="18"/>
        </w:rPr>
        <w:t xml:space="preserve"> Decreto 1082 de 2015</w:t>
      </w:r>
      <w:r>
        <w:rPr>
          <w:rFonts w:ascii="Arial" w:hAnsi="Arial" w:cs="Arial"/>
          <w:color w:val="000000" w:themeColor="text1"/>
          <w:sz w:val="18"/>
          <w:szCs w:val="18"/>
        </w:rPr>
        <w:t>”</w:t>
      </w:r>
      <w:r w:rsidRPr="00FB77CF">
        <w:rPr>
          <w:rFonts w:ascii="Arial" w:hAnsi="Arial" w:cs="Arial"/>
          <w:color w:val="000000" w:themeColor="text1"/>
          <w:sz w:val="18"/>
          <w:szCs w:val="18"/>
        </w:rPr>
        <w:t>Artículo 2.2.1.1.1.4.3. Publicación del Plan Anual de Adquisiciones. La Entidad Estatal debe publicar su Plan Anual de Adquisiciones y las actualizaciones del mismo en su página web y en el SECOP, en la forma que para el efecto disponga Colombia Compra Eficiente</w:t>
      </w:r>
      <w:r>
        <w:rPr>
          <w:rFonts w:ascii="Arial" w:hAnsi="Arial" w:cs="Arial"/>
          <w:color w:val="000000" w:themeColor="text1"/>
          <w:sz w:val="18"/>
          <w:szCs w:val="18"/>
        </w:rPr>
        <w:t>”</w:t>
      </w:r>
      <w:r w:rsidRPr="00FB77CF">
        <w:rPr>
          <w:rFonts w:ascii="Arial" w:hAnsi="Arial" w:cs="Arial"/>
          <w:color w:val="000000" w:themeColor="text1"/>
          <w:sz w:val="18"/>
          <w:szCs w:val="18"/>
        </w:rPr>
        <w:t>.</w:t>
      </w:r>
    </w:p>
  </w:footnote>
  <w:footnote w:id="26">
    <w:p w:rsidRPr="00FB77CF" w:rsidR="006622B3" w:rsidP="006622B3" w:rsidRDefault="006622B3" w14:paraId="5BB2EB00" w14:textId="77777777">
      <w:pPr>
        <w:pStyle w:val="Textonotapie"/>
        <w:ind w:firstLine="708"/>
        <w:jc w:val="both"/>
        <w:rPr>
          <w:rFonts w:ascii="Arial" w:hAnsi="Arial" w:cs="Arial"/>
          <w:sz w:val="18"/>
          <w:szCs w:val="18"/>
          <w:lang w:val="es-CO"/>
        </w:rPr>
      </w:pPr>
      <w:r w:rsidRPr="00FB77CF">
        <w:rPr>
          <w:rStyle w:val="Refdenotaalpie"/>
          <w:rFonts w:ascii="Arial" w:hAnsi="Arial" w:cs="Arial"/>
          <w:sz w:val="18"/>
          <w:szCs w:val="18"/>
        </w:rPr>
        <w:footnoteRef/>
      </w:r>
      <w:r w:rsidRPr="00FB77CF">
        <w:rPr>
          <w:rFonts w:ascii="Arial" w:hAnsi="Arial" w:cs="Arial"/>
          <w:sz w:val="18"/>
          <w:szCs w:val="18"/>
        </w:rPr>
        <w:t xml:space="preserve"> Decreto 1082 de 2015 </w:t>
      </w:r>
      <w:r>
        <w:rPr>
          <w:rFonts w:ascii="Arial" w:hAnsi="Arial" w:cs="Arial"/>
          <w:sz w:val="18"/>
          <w:szCs w:val="18"/>
        </w:rPr>
        <w:t>“</w:t>
      </w:r>
      <w:r w:rsidRPr="00FB77CF">
        <w:rPr>
          <w:rFonts w:ascii="Arial" w:hAnsi="Arial" w:cs="Arial"/>
          <w:sz w:val="18"/>
          <w:szCs w:val="18"/>
        </w:rPr>
        <w:t>Artículo 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w:t>
      </w:r>
      <w:r>
        <w:rPr>
          <w:rFonts w:ascii="Arial" w:hAnsi="Arial" w:cs="Arial"/>
          <w:sz w:val="18"/>
          <w:szCs w:val="18"/>
        </w:rPr>
        <w:t>”</w:t>
      </w:r>
      <w:r w:rsidRPr="00FB77CF">
        <w:rPr>
          <w:rFonts w:ascii="Arial" w:hAnsi="Arial" w:cs="Arial"/>
          <w:sz w:val="18"/>
          <w:szCs w:val="18"/>
        </w:rPr>
        <w:t>.</w:t>
      </w:r>
    </w:p>
  </w:footnote>
  <w:footnote w:id="27">
    <w:p w:rsidRPr="00FB77CF" w:rsidR="006622B3" w:rsidP="006622B3" w:rsidRDefault="006622B3" w14:paraId="79EE4E44" w14:textId="77777777">
      <w:pPr>
        <w:pStyle w:val="Textonotapie"/>
        <w:ind w:firstLine="708"/>
        <w:jc w:val="both"/>
        <w:rPr>
          <w:rFonts w:ascii="Arial" w:hAnsi="Arial"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Decreto 1082 de 2015 </w:t>
      </w:r>
      <w:r>
        <w:rPr>
          <w:rFonts w:ascii="Arial" w:hAnsi="Arial" w:cs="Arial"/>
          <w:sz w:val="18"/>
          <w:szCs w:val="18"/>
        </w:rPr>
        <w:t>“</w:t>
      </w:r>
      <w:r w:rsidRPr="00FB77CF">
        <w:rPr>
          <w:rFonts w:ascii="Arial" w:hAnsi="Arial" w:cs="Arial"/>
          <w:sz w:val="18"/>
          <w:szCs w:val="18"/>
        </w:rPr>
        <w:t xml:space="preserve">Artículo 2.2.1.2.1.4.6. Contratación de Bienes y Servicios en el Sector Defensa, </w:t>
      </w:r>
      <w:bookmarkStart w:name="_Hlk48034091" w:id="9"/>
      <w:r w:rsidRPr="00FB77CF">
        <w:rPr>
          <w:rFonts w:ascii="Arial" w:hAnsi="Arial" w:cs="Arial"/>
          <w:sz w:val="18"/>
          <w:szCs w:val="18"/>
        </w:rPr>
        <w:t>la Dirección Nacional de Inteligencia y la Unidad Nacional de Protección</w:t>
      </w:r>
      <w:bookmarkEnd w:id="9"/>
      <w:r w:rsidRPr="00FB77CF">
        <w:rPr>
          <w:rFonts w:ascii="Arial" w:hAnsi="Arial" w:cs="Arial"/>
          <w:sz w:val="18"/>
          <w:szCs w:val="18"/>
        </w:rPr>
        <w:t xml:space="preserve">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r>
        <w:rPr>
          <w:rFonts w:ascii="Arial" w:hAnsi="Arial" w:cs="Arial"/>
          <w:sz w:val="18"/>
          <w:szCs w:val="18"/>
        </w:rPr>
        <w:t>”</w:t>
      </w:r>
      <w:r w:rsidRPr="00FB77CF">
        <w:rPr>
          <w:rFonts w:ascii="Arial" w:hAnsi="Arial" w:cs="Arial"/>
          <w:sz w:val="18"/>
          <w:szCs w:val="18"/>
        </w:rPr>
        <w:t>.</w:t>
      </w:r>
    </w:p>
  </w:footnote>
  <w:footnote w:id="28">
    <w:p w:rsidRPr="00FB77CF" w:rsidR="006622B3" w:rsidP="006622B3" w:rsidRDefault="006622B3" w14:paraId="463D7CCA" w14:textId="77777777">
      <w:pPr>
        <w:pStyle w:val="Textonotapie"/>
        <w:ind w:firstLine="708"/>
        <w:jc w:val="both"/>
        <w:rPr>
          <w:rFonts w:ascii="Arial" w:hAnsi="Arial"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Ley 80 de 1993 </w:t>
      </w:r>
      <w:r>
        <w:rPr>
          <w:rFonts w:ascii="Arial" w:hAnsi="Arial" w:cs="Arial"/>
          <w:sz w:val="18"/>
          <w:szCs w:val="18"/>
        </w:rPr>
        <w:t>“</w:t>
      </w:r>
      <w:r w:rsidRPr="00FB77CF">
        <w:rPr>
          <w:rFonts w:ascii="Arial" w:hAnsi="Arial" w:cs="Arial"/>
          <w:sz w:val="18"/>
          <w:szCs w:val="18"/>
        </w:rPr>
        <w:t xml:space="preserve">Artículo 24. Del principio de transparencia. En virtud de este principio: </w:t>
      </w:r>
    </w:p>
    <w:p w:rsidRPr="00FB77CF" w:rsidR="006622B3" w:rsidP="006622B3" w:rsidRDefault="006622B3" w14:paraId="3FE9356A" w14:textId="77777777">
      <w:pPr>
        <w:pStyle w:val="Textonotapie"/>
        <w:ind w:firstLine="708"/>
        <w:jc w:val="both"/>
        <w:rPr>
          <w:rFonts w:ascii="Arial" w:hAnsi="Arial" w:cs="Arial"/>
          <w:sz w:val="18"/>
          <w:szCs w:val="18"/>
        </w:rPr>
      </w:pPr>
      <w:r w:rsidRPr="00FB77CF">
        <w:rPr>
          <w:rFonts w:ascii="Arial" w:hAnsi="Arial" w:cs="Arial"/>
          <w:sz w:val="18"/>
          <w:szCs w:val="18"/>
        </w:rPr>
        <w:t>[…]</w:t>
      </w:r>
    </w:p>
    <w:p w:rsidRPr="00FB77CF" w:rsidR="006622B3" w:rsidP="006622B3" w:rsidRDefault="006622B3" w14:paraId="70B2E9CA" w14:textId="77777777">
      <w:pPr>
        <w:pStyle w:val="Textonotapie"/>
        <w:ind w:firstLine="708"/>
        <w:jc w:val="both"/>
        <w:rPr>
          <w:rFonts w:ascii="Arial" w:hAnsi="Arial" w:cs="Arial"/>
          <w:sz w:val="18"/>
          <w:szCs w:val="18"/>
          <w:lang w:val="es-CO"/>
        </w:rPr>
      </w:pPr>
      <w:r w:rsidRPr="00FB77CF">
        <w:rPr>
          <w:rFonts w:ascii="Arial" w:hAnsi="Arial" w:cs="Arial"/>
          <w:sz w:val="18"/>
          <w:szCs w:val="18"/>
        </w:rPr>
        <w:t>4o. Las autoridades expedirán a costa de aquellas personas que demuestren interés legítimo, copias de las actuaciones y propuestas recibidas, respetando la reserva de que gocen legalmente las patentes, procedimientos y privilegios</w:t>
      </w:r>
      <w:r>
        <w:rPr>
          <w:rFonts w:ascii="Arial" w:hAnsi="Arial" w:cs="Arial"/>
          <w:sz w:val="18"/>
          <w:szCs w:val="18"/>
        </w:rPr>
        <w:t>”</w:t>
      </w:r>
      <w:r w:rsidRPr="00FB77CF">
        <w:rPr>
          <w:rFonts w:ascii="Arial" w:hAnsi="Arial" w:cs="Arial"/>
          <w:sz w:val="18"/>
          <w:szCs w:val="18"/>
        </w:rPr>
        <w:t>.</w:t>
      </w:r>
    </w:p>
  </w:footnote>
  <w:footnote w:id="29">
    <w:p w:rsidRPr="00FB77CF" w:rsidR="006622B3" w:rsidP="006622B3" w:rsidRDefault="006622B3" w14:paraId="1ABFD2C3" w14:textId="77777777">
      <w:pPr>
        <w:pStyle w:val="Textonotapie"/>
        <w:ind w:firstLine="708"/>
        <w:jc w:val="both"/>
        <w:rPr>
          <w:rFonts w:ascii="Arial" w:hAnsi="Arial" w:cs="Arial"/>
          <w:sz w:val="18"/>
          <w:szCs w:val="18"/>
          <w:lang w:val="es-CO"/>
        </w:rPr>
      </w:pPr>
      <w:r w:rsidRPr="00FB77CF">
        <w:rPr>
          <w:rStyle w:val="Refdenotaalpie"/>
          <w:rFonts w:ascii="Arial" w:hAnsi="Arial" w:cs="Arial"/>
          <w:sz w:val="18"/>
          <w:szCs w:val="18"/>
        </w:rPr>
        <w:footnoteRef/>
      </w:r>
      <w:r w:rsidRPr="00FB77CF">
        <w:rPr>
          <w:rFonts w:ascii="Arial" w:hAnsi="Arial" w:cs="Arial"/>
          <w:sz w:val="18"/>
          <w:szCs w:val="18"/>
        </w:rPr>
        <w:t xml:space="preserve">  Ley 1712 de 2014</w:t>
      </w:r>
      <w:r>
        <w:rPr>
          <w:rFonts w:ascii="Arial" w:hAnsi="Arial" w:cs="Arial"/>
          <w:sz w:val="18"/>
          <w:szCs w:val="18"/>
        </w:rPr>
        <w:t>”</w:t>
      </w:r>
      <w:r w:rsidRPr="00FB77CF">
        <w:rPr>
          <w:rFonts w:ascii="Arial" w:hAnsi="Arial" w:cs="Arial"/>
          <w:sz w:val="18"/>
          <w:szCs w:val="18"/>
        </w:rPr>
        <w:t>Artículo 2°.</w:t>
      </w:r>
      <w:r>
        <w:rPr>
          <w:rFonts w:ascii="Arial" w:hAnsi="Arial" w:cs="Arial"/>
          <w:sz w:val="18"/>
          <w:szCs w:val="18"/>
        </w:rPr>
        <w:t xml:space="preserve"> </w:t>
      </w:r>
      <w:r w:rsidRPr="00FB77CF">
        <w:rPr>
          <w:rFonts w:ascii="Arial" w:hAnsi="Arial" w:cs="Arial"/>
          <w:sz w:val="18"/>
          <w:szCs w:val="18"/>
        </w:rPr>
        <w:t>Principio de máxima publicidad para titular universal. Toda información en posesión, bajo control o custodia de un sujeto obligado es pública y no podrá ser reservada o limitada sino por disposición constitucional o legal, de conformidad con la presente ley</w:t>
      </w:r>
      <w:r>
        <w:rPr>
          <w:rFonts w:ascii="Arial" w:hAnsi="Arial" w:cs="Arial"/>
          <w:sz w:val="18"/>
          <w:szCs w:val="18"/>
        </w:rPr>
        <w:t>”</w:t>
      </w:r>
      <w:r w:rsidRPr="00FB77CF">
        <w:rPr>
          <w:rFonts w:ascii="Arial" w:hAnsi="Arial" w:cs="Arial"/>
          <w:sz w:val="18"/>
          <w:szCs w:val="18"/>
        </w:rPr>
        <w:t>.</w:t>
      </w:r>
    </w:p>
  </w:footnote>
  <w:footnote w:id="30">
    <w:p w:rsidRPr="00B41299" w:rsidR="006622B3" w:rsidP="006622B3" w:rsidRDefault="006622B3" w14:paraId="4C05375D" w14:textId="77777777">
      <w:pPr>
        <w:pStyle w:val="Textonotapie"/>
        <w:ind w:firstLine="708"/>
        <w:jc w:val="both"/>
        <w:rPr>
          <w:rFonts w:ascii="Arial" w:hAnsi="Arial"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MATALLANA CAMACHO Ernesto. Manual de Contratación de la Administración Pública. Reforma a la Ley 80 de 1993. Universidad Externado de Colombia, Cuarta edición, 2015, pp 139.</w:t>
      </w:r>
    </w:p>
  </w:footnote>
  <w:footnote w:id="31">
    <w:p w:rsidRPr="00FB77CF" w:rsidR="006622B3" w:rsidP="006622B3" w:rsidRDefault="006622B3" w14:paraId="7F29D149" w14:textId="77777777">
      <w:pPr>
        <w:pStyle w:val="Textonotapie"/>
        <w:ind w:firstLine="708"/>
        <w:jc w:val="both"/>
        <w:rPr>
          <w:rFonts w:ascii="Arial" w:hAnsi="Arial"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Ley 1437 de 2011 </w:t>
      </w:r>
      <w:r>
        <w:rPr>
          <w:rFonts w:ascii="Arial" w:hAnsi="Arial" w:cs="Arial"/>
          <w:sz w:val="18"/>
          <w:szCs w:val="18"/>
        </w:rPr>
        <w:t>“</w:t>
      </w:r>
      <w:r w:rsidRPr="00FB77CF">
        <w:rPr>
          <w:rFonts w:ascii="Arial" w:hAnsi="Arial" w:cs="Arial"/>
          <w:sz w:val="18"/>
          <w:szCs w:val="18"/>
        </w:rPr>
        <w:t>Artículo 24.</w:t>
      </w:r>
      <w:r>
        <w:rPr>
          <w:rFonts w:ascii="Arial" w:hAnsi="Arial" w:cs="Arial"/>
          <w:sz w:val="18"/>
          <w:szCs w:val="18"/>
        </w:rPr>
        <w:t xml:space="preserve"> </w:t>
      </w:r>
      <w:r w:rsidRPr="00FB77CF">
        <w:rPr>
          <w:rFonts w:ascii="Arial" w:hAnsi="Arial" w:cs="Arial"/>
          <w:sz w:val="18"/>
          <w:szCs w:val="18"/>
        </w:rPr>
        <w:t>Informaciones y documentos reservados.</w:t>
      </w:r>
      <w:r>
        <w:rPr>
          <w:rFonts w:ascii="Arial" w:hAnsi="Arial" w:cs="Arial"/>
          <w:sz w:val="18"/>
          <w:szCs w:val="18"/>
        </w:rPr>
        <w:t xml:space="preserve"> </w:t>
      </w:r>
      <w:r w:rsidRPr="00FB77CF">
        <w:rPr>
          <w:rFonts w:ascii="Arial" w:hAnsi="Arial" w:cs="Arial"/>
          <w:sz w:val="18"/>
          <w:szCs w:val="18"/>
        </w:rPr>
        <w:t xml:space="preserve">Solo tendrán carácter reservado las informaciones y documentos expresamente sometidos a reserva por la Constitución Política o la ley, y en especial:  </w:t>
      </w:r>
    </w:p>
    <w:p w:rsidRPr="00FB77CF" w:rsidR="006622B3" w:rsidP="006622B3" w:rsidRDefault="006622B3" w14:paraId="024EC9F2" w14:textId="77777777">
      <w:pPr>
        <w:pStyle w:val="Textonotapie"/>
        <w:ind w:firstLine="708"/>
        <w:rPr>
          <w:rFonts w:ascii="Arial" w:hAnsi="Arial" w:cs="Arial"/>
          <w:sz w:val="18"/>
          <w:szCs w:val="18"/>
        </w:rPr>
      </w:pPr>
      <w:r w:rsidRPr="00FB77CF">
        <w:rPr>
          <w:rFonts w:ascii="Arial" w:hAnsi="Arial" w:cs="Arial"/>
          <w:sz w:val="18"/>
          <w:szCs w:val="18"/>
        </w:rPr>
        <w:t xml:space="preserve">1. Los relacionados con la defensa o seguridad nacionales.  </w:t>
      </w:r>
    </w:p>
    <w:p w:rsidRPr="00FB77CF" w:rsidR="006622B3" w:rsidP="006622B3" w:rsidRDefault="006622B3" w14:paraId="23A5F619" w14:textId="77777777">
      <w:pPr>
        <w:pStyle w:val="Textonotapie"/>
        <w:ind w:firstLine="708"/>
        <w:rPr>
          <w:rFonts w:ascii="Arial" w:hAnsi="Arial" w:cs="Arial"/>
          <w:sz w:val="18"/>
          <w:szCs w:val="18"/>
        </w:rPr>
      </w:pPr>
      <w:r w:rsidRPr="00FB77CF">
        <w:rPr>
          <w:rFonts w:ascii="Arial" w:hAnsi="Arial" w:cs="Arial"/>
          <w:sz w:val="18"/>
          <w:szCs w:val="18"/>
        </w:rPr>
        <w:t xml:space="preserve">2. Las instrucciones en materia diplomática o sobre negociaciones reservadas.  </w:t>
      </w:r>
    </w:p>
    <w:p w:rsidRPr="00FB77CF" w:rsidR="006622B3" w:rsidP="006622B3" w:rsidRDefault="006622B3" w14:paraId="30DEE4DE" w14:textId="77777777">
      <w:pPr>
        <w:pStyle w:val="Textonotapie"/>
        <w:ind w:firstLine="708"/>
        <w:rPr>
          <w:rFonts w:ascii="Arial" w:hAnsi="Arial" w:cs="Arial"/>
          <w:sz w:val="18"/>
          <w:szCs w:val="18"/>
        </w:rPr>
      </w:pPr>
      <w:r w:rsidRPr="00FB77CF">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FB77CF" w:rsidR="006622B3" w:rsidP="006622B3" w:rsidRDefault="006622B3" w14:paraId="71FEE393" w14:textId="77777777">
      <w:pPr>
        <w:pStyle w:val="Textonotapie"/>
        <w:ind w:firstLine="708"/>
        <w:rPr>
          <w:rFonts w:ascii="Arial" w:hAnsi="Arial" w:cs="Arial"/>
          <w:sz w:val="18"/>
          <w:szCs w:val="18"/>
        </w:rPr>
      </w:pPr>
      <w:r w:rsidRPr="00FB77CF">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FB77CF" w:rsidR="006622B3" w:rsidP="006622B3" w:rsidRDefault="006622B3" w14:paraId="5A6D70D1" w14:textId="77777777">
      <w:pPr>
        <w:pStyle w:val="Textonotapie"/>
        <w:ind w:firstLine="708"/>
        <w:rPr>
          <w:rFonts w:ascii="Arial" w:hAnsi="Arial" w:cs="Arial"/>
          <w:sz w:val="18"/>
          <w:szCs w:val="18"/>
        </w:rPr>
      </w:pPr>
      <w:r w:rsidRPr="00FB77CF">
        <w:rPr>
          <w:rFonts w:ascii="Arial" w:hAnsi="Arial" w:cs="Arial"/>
          <w:sz w:val="18"/>
          <w:szCs w:val="18"/>
        </w:rPr>
        <w:t xml:space="preserve">5. Los datos referentes a la información financiera y comercial, en los términos de la Ley Estatutaria 1266 de 2008.  </w:t>
      </w:r>
    </w:p>
    <w:p w:rsidRPr="00FB77CF" w:rsidR="006622B3" w:rsidP="006622B3" w:rsidRDefault="006622B3" w14:paraId="338DE9DA" w14:textId="77777777">
      <w:pPr>
        <w:pStyle w:val="Textonotapie"/>
        <w:ind w:firstLine="708"/>
        <w:rPr>
          <w:rFonts w:ascii="Arial" w:hAnsi="Arial" w:cs="Arial"/>
          <w:sz w:val="18"/>
          <w:szCs w:val="18"/>
        </w:rPr>
      </w:pPr>
      <w:r w:rsidRPr="00FB77CF">
        <w:rPr>
          <w:rFonts w:ascii="Arial" w:hAnsi="Arial" w:cs="Arial"/>
          <w:sz w:val="18"/>
          <w:szCs w:val="18"/>
        </w:rPr>
        <w:t xml:space="preserve">6. Los protegidos por el secreto comercial o industrial, así como los planes estratégicos de las empresas públicas de servicios públicos.  </w:t>
      </w:r>
    </w:p>
    <w:p w:rsidRPr="00FB77CF" w:rsidR="006622B3" w:rsidP="006622B3" w:rsidRDefault="006622B3" w14:paraId="6651278F" w14:textId="77777777">
      <w:pPr>
        <w:pStyle w:val="Textonotapie"/>
        <w:ind w:firstLine="708"/>
        <w:rPr>
          <w:rFonts w:ascii="Arial" w:hAnsi="Arial" w:cs="Arial"/>
          <w:sz w:val="18"/>
          <w:szCs w:val="18"/>
        </w:rPr>
      </w:pPr>
      <w:r w:rsidRPr="00FB77CF">
        <w:rPr>
          <w:rFonts w:ascii="Arial" w:hAnsi="Arial" w:cs="Arial"/>
          <w:sz w:val="18"/>
          <w:szCs w:val="18"/>
        </w:rPr>
        <w:t xml:space="preserve">7. Los amparados por el secreto profesional.  </w:t>
      </w:r>
    </w:p>
    <w:p w:rsidRPr="00FB77CF" w:rsidR="006622B3" w:rsidP="006622B3" w:rsidRDefault="006622B3" w14:paraId="52679135" w14:textId="77777777">
      <w:pPr>
        <w:pStyle w:val="Textonotapie"/>
        <w:ind w:firstLine="708"/>
        <w:rPr>
          <w:rFonts w:ascii="Arial" w:hAnsi="Arial" w:cs="Arial"/>
          <w:sz w:val="18"/>
          <w:szCs w:val="18"/>
        </w:rPr>
      </w:pPr>
      <w:r w:rsidRPr="00FB77CF">
        <w:rPr>
          <w:rFonts w:ascii="Arial" w:hAnsi="Arial" w:cs="Arial"/>
          <w:sz w:val="18"/>
          <w:szCs w:val="18"/>
        </w:rPr>
        <w:t xml:space="preserve">8. Los datos genéticos humanos.  </w:t>
      </w:r>
    </w:p>
    <w:p w:rsidRPr="00FB77CF" w:rsidR="006622B3" w:rsidP="006622B3" w:rsidRDefault="006622B3" w14:paraId="6A3A8C8C" w14:textId="77777777">
      <w:pPr>
        <w:pStyle w:val="Textonotapie"/>
        <w:ind w:firstLine="708"/>
        <w:rPr>
          <w:rFonts w:ascii="Arial" w:hAnsi="Arial" w:cs="Arial"/>
          <w:sz w:val="18"/>
          <w:szCs w:val="18"/>
        </w:rPr>
      </w:pPr>
      <w:r w:rsidRPr="00FB77CF">
        <w:rPr>
          <w:rFonts w:ascii="Arial" w:hAnsi="Arial"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Pr>
          <w:rFonts w:ascii="Arial" w:hAnsi="Arial" w:cs="Arial"/>
          <w:sz w:val="18"/>
          <w:szCs w:val="18"/>
        </w:rPr>
        <w:t>”</w:t>
      </w:r>
      <w:r w:rsidRPr="00FB77CF">
        <w:rPr>
          <w:rFonts w:ascii="Arial" w:hAnsi="Arial" w:cs="Arial"/>
          <w:sz w:val="18"/>
          <w:szCs w:val="18"/>
        </w:rPr>
        <w:t xml:space="preserve">.  </w:t>
      </w:r>
    </w:p>
  </w:footnote>
  <w:footnote w:id="32">
    <w:p w:rsidRPr="00FB77CF" w:rsidR="006622B3" w:rsidP="006622B3" w:rsidRDefault="006622B3" w14:paraId="632EBF15" w14:textId="77777777">
      <w:pPr>
        <w:pStyle w:val="Textonotapie"/>
        <w:ind w:firstLine="708"/>
        <w:jc w:val="both"/>
        <w:rPr>
          <w:rFonts w:ascii="Arial" w:hAnsi="Arial" w:eastAsia="Calibri" w:cs="Arial"/>
          <w:sz w:val="18"/>
          <w:szCs w:val="18"/>
        </w:rPr>
      </w:pPr>
      <w:r w:rsidRPr="00FB77CF">
        <w:rPr>
          <w:rStyle w:val="Refdenotaalpie"/>
          <w:rFonts w:ascii="Arial" w:hAnsi="Arial" w:cs="Arial"/>
          <w:sz w:val="18"/>
          <w:szCs w:val="18"/>
        </w:rPr>
        <w:footnoteRef/>
      </w:r>
      <w:r w:rsidRPr="00FB77CF">
        <w:rPr>
          <w:rFonts w:ascii="Arial" w:hAnsi="Arial" w:cs="Arial"/>
          <w:sz w:val="18"/>
          <w:szCs w:val="18"/>
        </w:rPr>
        <w:t xml:space="preserve"> Resultan relevantes las consideraciones expuestas en el concepto C- 322 del 16 de junio de 2020 –radicado No. 2202013000005088–, sobre la aplicación del artículo 36 del CPACA en torno al manejo de información reservada en cuadernos separados: </w:t>
      </w:r>
      <w:r>
        <w:rPr>
          <w:rFonts w:ascii="Arial" w:hAnsi="Arial" w:cs="Arial"/>
          <w:sz w:val="18"/>
          <w:szCs w:val="18"/>
        </w:rPr>
        <w:t>“</w:t>
      </w:r>
      <w:r w:rsidRPr="00FB77CF">
        <w:rPr>
          <w:rFonts w:ascii="Arial" w:hAnsi="Arial" w:eastAsia="Calibri" w:cs="Arial"/>
          <w:sz w:val="18"/>
          <w:szCs w:val="18"/>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r>
        <w:rPr>
          <w:rFonts w:ascii="Arial" w:hAnsi="Arial" w:eastAsia="Calibri" w:cs="Arial"/>
          <w:sz w:val="18"/>
          <w:szCs w:val="18"/>
        </w:rPr>
        <w:t>”</w:t>
      </w:r>
      <w:r w:rsidRPr="00FB77CF">
        <w:rPr>
          <w:rFonts w:ascii="Arial" w:hAnsi="Arial" w:eastAsia="Calibri" w:cs="Arial"/>
          <w:sz w:val="18"/>
          <w:szCs w:val="18"/>
        </w:rPr>
        <w:t>.</w:t>
      </w:r>
    </w:p>
    <w:p w:rsidRPr="00FB77CF" w:rsidR="006622B3" w:rsidP="006622B3" w:rsidRDefault="006622B3" w14:paraId="13657BDF" w14:textId="77777777">
      <w:pPr>
        <w:pStyle w:val="Textonotapie"/>
        <w:ind w:firstLine="708"/>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8719162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CB5"/>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C3A78"/>
    <w:rsid w:val="002F0839"/>
    <w:rsid w:val="00301469"/>
    <w:rsid w:val="00306EE1"/>
    <w:rsid w:val="00310B9B"/>
    <w:rsid w:val="0036461C"/>
    <w:rsid w:val="00367884"/>
    <w:rsid w:val="0039439C"/>
    <w:rsid w:val="003B3C6F"/>
    <w:rsid w:val="003B69E7"/>
    <w:rsid w:val="003C013B"/>
    <w:rsid w:val="003D0F4D"/>
    <w:rsid w:val="003F58A1"/>
    <w:rsid w:val="00410DD6"/>
    <w:rsid w:val="004134C9"/>
    <w:rsid w:val="0043138C"/>
    <w:rsid w:val="00462A59"/>
    <w:rsid w:val="004A1847"/>
    <w:rsid w:val="004B6B0E"/>
    <w:rsid w:val="004D25B3"/>
    <w:rsid w:val="00511405"/>
    <w:rsid w:val="005206A4"/>
    <w:rsid w:val="00526E9D"/>
    <w:rsid w:val="00547856"/>
    <w:rsid w:val="00547A74"/>
    <w:rsid w:val="005566E8"/>
    <w:rsid w:val="005746AB"/>
    <w:rsid w:val="0058422F"/>
    <w:rsid w:val="0059357F"/>
    <w:rsid w:val="005A1130"/>
    <w:rsid w:val="005D65C8"/>
    <w:rsid w:val="00607A0E"/>
    <w:rsid w:val="006219F8"/>
    <w:rsid w:val="006622B3"/>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273D3"/>
    <w:rsid w:val="0095342C"/>
    <w:rsid w:val="009F33F2"/>
    <w:rsid w:val="009F6C77"/>
    <w:rsid w:val="00A07532"/>
    <w:rsid w:val="00A1085C"/>
    <w:rsid w:val="00A309E2"/>
    <w:rsid w:val="00A8066E"/>
    <w:rsid w:val="00A95247"/>
    <w:rsid w:val="00AA4B8A"/>
    <w:rsid w:val="00AA6BF7"/>
    <w:rsid w:val="00B01ED6"/>
    <w:rsid w:val="00B06D09"/>
    <w:rsid w:val="00B441DB"/>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6AFC"/>
    <w:rsid w:val="00F8319B"/>
    <w:rsid w:val="00FA5516"/>
    <w:rsid w:val="00FD6F73"/>
    <w:rsid w:val="1CC63BF5"/>
    <w:rsid w:val="2F9951DC"/>
    <w:rsid w:val="3EA2D60F"/>
    <w:rsid w:val="6424575E"/>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6622B3"/>
    <w:rPr>
      <w:color w:val="0563C1" w:themeColor="hyperlink"/>
      <w:u w:val="single"/>
    </w:rPr>
  </w:style>
  <w:style w:type="character" w:styleId="Textoennegrita">
    <w:name w:val="Strong"/>
    <w:basedOn w:val="Fuentedeprrafopredeter"/>
    <w:uiPriority w:val="22"/>
    <w:qFormat/>
    <w:rsid w:val="006622B3"/>
    <w:rPr>
      <w:b/>
      <w:bCs/>
    </w:rPr>
  </w:style>
  <w:style w:type="paragraph" w:styleId="Appelnotedebasde" w:customStyle="1">
    <w:name w:val="Appel note de bas de..."/>
    <w:basedOn w:val="Normal"/>
    <w:link w:val="Refdenotaalpie"/>
    <w:uiPriority w:val="99"/>
    <w:rsid w:val="006622B3"/>
    <w:pPr>
      <w:spacing w:line="240" w:lineRule="exact"/>
    </w:pPr>
    <w:rPr>
      <w:vertAlign w:val="superscript"/>
    </w:rPr>
  </w:style>
  <w:style w:type="paragraph" w:styleId="NormalWeb">
    <w:name w:val="Normal (Web)"/>
    <w:basedOn w:val="Normal"/>
    <w:link w:val="NormalWebCar"/>
    <w:uiPriority w:val="99"/>
    <w:unhideWhenUsed/>
    <w:rsid w:val="006622B3"/>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6622B3"/>
    <w:rPr>
      <w:rFonts w:ascii="Times New Roman" w:hAnsi="Times New Roman" w:eastAsia="Times New Roman" w:cs="Times New Roman"/>
      <w:sz w:val="24"/>
      <w:szCs w:val="24"/>
      <w:lang w:eastAsia="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622B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DD628-1121-40B5-B814-D9AD1CEA994A}"/>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6</cp:revision>
  <dcterms:created xsi:type="dcterms:W3CDTF">2023-06-15T23:12:00Z</dcterms:created>
  <dcterms:modified xsi:type="dcterms:W3CDTF">2023-08-11T20:23:15Z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