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BFD7" w14:textId="77777777" w:rsidR="001B0927" w:rsidRPr="00F45BA8" w:rsidRDefault="001B0927" w:rsidP="001B0927">
      <w:pPr>
        <w:tabs>
          <w:tab w:val="left" w:pos="426"/>
        </w:tabs>
        <w:rPr>
          <w:rFonts w:ascii="Arial" w:eastAsia="Calibri" w:hAnsi="Arial" w:cs="Arial"/>
          <w:b/>
          <w:bCs/>
        </w:rPr>
      </w:pPr>
      <w:bookmarkStart w:id="0" w:name="_Hlk77152637"/>
      <w:bookmarkStart w:id="1" w:name="_Hlk77157066"/>
      <w:r w:rsidRPr="00F45BA8">
        <w:rPr>
          <w:rFonts w:ascii="Arial" w:eastAsia="Calibri" w:hAnsi="Arial" w:cs="Arial"/>
          <w:b/>
          <w:bCs/>
        </w:rPr>
        <w:t>LEY DE GARANTÍAS ELECTORALES ‒</w:t>
      </w:r>
      <w:bookmarkEnd w:id="0"/>
      <w:r w:rsidRPr="00F45BA8">
        <w:rPr>
          <w:rFonts w:ascii="Arial" w:eastAsia="Calibri" w:hAnsi="Arial" w:cs="Arial"/>
          <w:b/>
          <w:bCs/>
        </w:rPr>
        <w:t xml:space="preserve"> Tipos de restricciones </w:t>
      </w:r>
      <w:bookmarkStart w:id="2" w:name="_Hlk77157034"/>
      <w:r w:rsidRPr="00F45BA8">
        <w:rPr>
          <w:rFonts w:ascii="Arial" w:eastAsia="Calibri" w:hAnsi="Arial" w:cs="Arial"/>
          <w:b/>
          <w:bCs/>
        </w:rPr>
        <w:t xml:space="preserve">‒ </w:t>
      </w:r>
      <w:bookmarkStart w:id="3" w:name="_Hlk77153098"/>
      <w:bookmarkEnd w:id="2"/>
      <w:r w:rsidRPr="00F45BA8">
        <w:rPr>
          <w:rFonts w:ascii="Arial" w:eastAsia="Calibri" w:hAnsi="Arial" w:cs="Arial"/>
          <w:b/>
          <w:bCs/>
        </w:rPr>
        <w:t xml:space="preserve">Ámbito temporal </w:t>
      </w:r>
      <w:bookmarkEnd w:id="3"/>
    </w:p>
    <w:bookmarkEnd w:id="1"/>
    <w:p w14:paraId="399A5853" w14:textId="77777777" w:rsidR="001B0927" w:rsidRPr="00F45BA8" w:rsidRDefault="001B0927" w:rsidP="001B0927">
      <w:pPr>
        <w:tabs>
          <w:tab w:val="left" w:pos="426"/>
        </w:tabs>
        <w:jc w:val="both"/>
        <w:rPr>
          <w:rFonts w:ascii="Arial" w:eastAsia="Calibri" w:hAnsi="Arial" w:cs="Arial"/>
          <w:noProof/>
          <w:lang w:val="es-ES_tradnl"/>
        </w:rPr>
      </w:pPr>
      <w:r w:rsidRPr="00F45BA8">
        <w:rPr>
          <w:rFonts w:ascii="Arial" w:eastAsia="Calibri" w:hAnsi="Arial" w:cs="Arial"/>
          <w:noProof/>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13B2AFC" w14:textId="77777777" w:rsidR="001B0927" w:rsidRPr="003677E7" w:rsidRDefault="001B0927" w:rsidP="001B0927">
      <w:pPr>
        <w:tabs>
          <w:tab w:val="left" w:pos="426"/>
        </w:tabs>
        <w:jc w:val="both"/>
        <w:rPr>
          <w:rFonts w:ascii="Arial" w:eastAsia="Calibri" w:hAnsi="Arial" w:cs="Arial"/>
          <w:b/>
          <w:bCs/>
        </w:rPr>
      </w:pPr>
      <w:bookmarkStart w:id="4" w:name="_Hlk77165666"/>
      <w:r w:rsidRPr="00F45BA8">
        <w:rPr>
          <w:rFonts w:ascii="Arial" w:eastAsia="Calibri" w:hAnsi="Arial" w:cs="Arial"/>
          <w:b/>
          <w:bCs/>
        </w:rPr>
        <w:t xml:space="preserve">LEY DE GARANTÍAS ELECTORALES ─ Prohibición ‒ </w:t>
      </w:r>
      <w:bookmarkEnd w:id="4"/>
      <w:r w:rsidRPr="00F45BA8">
        <w:rPr>
          <w:rFonts w:ascii="Arial" w:eastAsia="Calibri" w:hAnsi="Arial" w:cs="Arial"/>
          <w:b/>
          <w:bCs/>
        </w:rPr>
        <w:t xml:space="preserve">Contratación directa ‒ Alcance – </w:t>
      </w:r>
      <w:r w:rsidRPr="00F45BA8">
        <w:rPr>
          <w:rFonts w:ascii="Arial" w:hAnsi="Arial" w:cs="Arial"/>
          <w:b/>
          <w:bCs/>
          <w:lang w:eastAsia="es-CO"/>
        </w:rPr>
        <w:t>Excepciones</w:t>
      </w:r>
      <w:r w:rsidRPr="00F45BA8">
        <w:rPr>
          <w:rFonts w:ascii="Arial" w:eastAsia="Calibri" w:hAnsi="Arial" w:cs="Arial"/>
          <w:b/>
          <w:bCs/>
        </w:rPr>
        <w:t xml:space="preserve"> </w:t>
      </w:r>
    </w:p>
    <w:p w14:paraId="05ED06A7" w14:textId="77777777" w:rsidR="001B0927" w:rsidRPr="00F45BA8" w:rsidRDefault="001B0927" w:rsidP="001B0927">
      <w:pPr>
        <w:tabs>
          <w:tab w:val="left" w:pos="426"/>
        </w:tabs>
        <w:jc w:val="both"/>
        <w:rPr>
          <w:rFonts w:ascii="Arial" w:hAnsi="Arial" w:cs="Arial"/>
          <w:lang w:eastAsia="es-ES"/>
        </w:rPr>
      </w:pPr>
      <w:r w:rsidRPr="00F45BA8">
        <w:rPr>
          <w:rFonts w:ascii="Arial" w:eastAsia="Calibri" w:hAnsi="Arial" w:cs="Arial"/>
          <w:noProof/>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7124E6F1" w14:textId="77777777" w:rsidR="001B0927" w:rsidRDefault="001B0927" w:rsidP="001B0927">
      <w:pPr>
        <w:jc w:val="both"/>
        <w:rPr>
          <w:rFonts w:ascii="Arial" w:hAnsi="Arial" w:cs="Arial"/>
        </w:rPr>
      </w:pPr>
      <w:r w:rsidRPr="00F45BA8">
        <w:rPr>
          <w:rFonts w:ascii="Arial" w:hAnsi="Arial" w:cs="Arial"/>
          <w:lang w:eastAsia="x-none"/>
        </w:rPr>
        <w:t xml:space="preserve">[…] </w:t>
      </w:r>
      <w:r w:rsidRPr="00F45BA8">
        <w:rPr>
          <w:rFonts w:ascii="Arial" w:hAnsi="Arial" w:cs="Arial"/>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F45BA8">
        <w:rPr>
          <w:rFonts w:ascii="Arial" w:hAnsi="Arial" w:cs="Arial"/>
        </w:rPr>
        <w:t>ii</w:t>
      </w:r>
      <w:proofErr w:type="spellEnd"/>
      <w:r w:rsidRPr="00F45BA8">
        <w:rPr>
          <w:rFonts w:ascii="Arial" w:hAnsi="Arial" w:cs="Arial"/>
        </w:rPr>
        <w:t xml:space="preserve">) los contratos de crédito público; </w:t>
      </w:r>
      <w:proofErr w:type="spellStart"/>
      <w:r w:rsidRPr="00F45BA8">
        <w:rPr>
          <w:rFonts w:ascii="Arial" w:hAnsi="Arial" w:cs="Arial"/>
        </w:rPr>
        <w:t>iii</w:t>
      </w:r>
      <w:proofErr w:type="spellEnd"/>
      <w:r w:rsidRPr="00F45BA8">
        <w:rPr>
          <w:rFonts w:ascii="Arial" w:hAnsi="Arial" w:cs="Arial"/>
        </w:rPr>
        <w:t xml:space="preserve">) los requeridos para cubrir las emergencias educativas, sanitarias y desastres; </w:t>
      </w:r>
      <w:proofErr w:type="spellStart"/>
      <w:r w:rsidRPr="00F45BA8">
        <w:rPr>
          <w:rFonts w:ascii="Arial" w:hAnsi="Arial" w:cs="Arial"/>
        </w:rPr>
        <w:t>iv</w:t>
      </w:r>
      <w:proofErr w:type="spellEnd"/>
      <w:r w:rsidRPr="00F45BA8">
        <w:rPr>
          <w:rFonts w:ascii="Arial" w:hAnsi="Arial" w:cs="Arial"/>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2FBCA72F" w14:textId="77777777" w:rsidR="001B0927" w:rsidRPr="00966BB6" w:rsidRDefault="001B0927" w:rsidP="001B0927">
      <w:pPr>
        <w:jc w:val="both"/>
        <w:rPr>
          <w:rFonts w:ascii="Arial" w:hAnsi="Arial" w:cs="Arial"/>
        </w:rPr>
      </w:pPr>
    </w:p>
    <w:p w14:paraId="736684D2" w14:textId="77777777" w:rsidR="001B0927" w:rsidRPr="00F45BA8" w:rsidRDefault="001B0927" w:rsidP="001B0927">
      <w:pPr>
        <w:spacing w:after="120"/>
        <w:jc w:val="both"/>
        <w:rPr>
          <w:rFonts w:ascii="Arial" w:eastAsia="Calibri" w:hAnsi="Arial" w:cs="Arial"/>
        </w:rPr>
      </w:pPr>
      <w:r>
        <w:rPr>
          <w:rFonts w:ascii="Arial" w:eastAsia="Calibri" w:hAnsi="Arial" w:cs="Arial"/>
          <w:b/>
          <w:bCs/>
        </w:rPr>
        <w:t xml:space="preserve">CONVENIOS DE </w:t>
      </w:r>
      <w:proofErr w:type="gramStart"/>
      <w:r>
        <w:rPr>
          <w:rFonts w:ascii="Arial" w:eastAsia="Calibri" w:hAnsi="Arial" w:cs="Arial"/>
          <w:b/>
          <w:bCs/>
        </w:rPr>
        <w:t>ASOCIACIÓN  -</w:t>
      </w:r>
      <w:proofErr w:type="gramEnd"/>
      <w:r>
        <w:rPr>
          <w:rFonts w:ascii="Arial" w:eastAsia="Calibri" w:hAnsi="Arial" w:cs="Arial"/>
          <w:b/>
          <w:bCs/>
        </w:rPr>
        <w:t xml:space="preserve"> ESAL - Objeto</w:t>
      </w:r>
    </w:p>
    <w:p w14:paraId="3F0268D2" w14:textId="77777777" w:rsidR="001B0927" w:rsidRPr="00510393" w:rsidRDefault="001B0927" w:rsidP="001B0927">
      <w:pPr>
        <w:pStyle w:val="Sinespaciado"/>
        <w:spacing w:after="120" w:line="276" w:lineRule="auto"/>
        <w:jc w:val="both"/>
        <w:rPr>
          <w:rFonts w:ascii="Arial" w:hAnsi="Arial" w:cs="Arial"/>
          <w:sz w:val="22"/>
        </w:rPr>
      </w:pPr>
      <w:r w:rsidRPr="00F45BA8">
        <w:rPr>
          <w:rFonts w:ascii="Arial" w:eastAsia="Calibri" w:hAnsi="Arial" w:cs="Arial"/>
          <w:noProof/>
        </w:rPr>
        <w:t>[…]</w:t>
      </w:r>
      <w:r>
        <w:rPr>
          <w:rFonts w:ascii="Arial" w:eastAsia="Calibri" w:hAnsi="Arial" w:cs="Arial"/>
          <w:noProof/>
        </w:rPr>
        <w:t xml:space="preserve"> </w:t>
      </w:r>
      <w:r w:rsidRPr="00510393">
        <w:rPr>
          <w:rFonts w:ascii="Arial" w:hAnsi="Arial" w:cs="Arial"/>
          <w:sz w:val="22"/>
        </w:rPr>
        <w:t xml:space="preserve">los </w:t>
      </w:r>
      <w:r w:rsidRPr="00510393">
        <w:rPr>
          <w:rFonts w:ascii="Arial" w:hAnsi="Arial" w:cs="Arial"/>
          <w:i/>
          <w:iCs/>
          <w:sz w:val="22"/>
        </w:rPr>
        <w:t>convenios de asociación</w:t>
      </w:r>
      <w:r w:rsidRPr="00510393">
        <w:rPr>
          <w:rFonts w:ascii="Arial" w:hAnsi="Arial" w:cs="Arial"/>
          <w:sz w:val="22"/>
        </w:rPr>
        <w:t xml:space="preserve"> </w:t>
      </w:r>
      <w:r>
        <w:rPr>
          <w:rFonts w:ascii="Arial" w:hAnsi="Arial" w:cs="Arial"/>
          <w:sz w:val="22"/>
        </w:rPr>
        <w:t>“</w:t>
      </w:r>
      <w:r w:rsidRPr="00510393">
        <w:rPr>
          <w:rFonts w:ascii="Arial" w:hAnsi="Arial" w:cs="Arial"/>
          <w:sz w:val="22"/>
        </w:rPr>
        <w:t>[t]</w:t>
      </w:r>
      <w:proofErr w:type="spellStart"/>
      <w:r w:rsidRPr="00510393">
        <w:rPr>
          <w:rFonts w:ascii="Arial" w:hAnsi="Arial" w:cs="Arial"/>
          <w:sz w:val="22"/>
        </w:rPr>
        <w:t>ienen</w:t>
      </w:r>
      <w:proofErr w:type="spellEnd"/>
      <w:r w:rsidRPr="00510393">
        <w:rPr>
          <w:rFonts w:ascii="Arial" w:hAnsi="Arial" w:cs="Arial"/>
          <w:sz w:val="22"/>
        </w:rPr>
        <w:t xml:space="preserve"> como finalidad que la entidad estatal, cualquiera que sea su naturaleza y orden administrativo, se asocien con personas jurídicas particulares para el desarrollo conjunto de actividades relacionadas con los cometidos y funciones </w:t>
      </w:r>
      <w:r w:rsidRPr="00510393">
        <w:rPr>
          <w:rFonts w:ascii="Arial" w:hAnsi="Arial" w:cs="Arial"/>
          <w:sz w:val="22"/>
        </w:rPr>
        <w:lastRenderedPageBreak/>
        <w:t>asignadas a aquellas conforme a la Constitución y a la Ley</w:t>
      </w:r>
      <w:r>
        <w:rPr>
          <w:rFonts w:ascii="Arial" w:hAnsi="Arial" w:cs="Arial"/>
          <w:sz w:val="22"/>
        </w:rPr>
        <w:t>”</w:t>
      </w:r>
      <w:r w:rsidRPr="00510393">
        <w:rPr>
          <w:rStyle w:val="Refdenotaalpie"/>
          <w:rFonts w:ascii="Arial" w:hAnsi="Arial" w:cs="Arial"/>
          <w:sz w:val="22"/>
        </w:rPr>
        <w:footnoteReference w:id="1"/>
      </w:r>
      <w:r w:rsidRPr="00510393">
        <w:rPr>
          <w:rFonts w:ascii="Arial" w:hAnsi="Arial" w:cs="Arial"/>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5A7C15EE" w14:textId="77777777" w:rsidR="001B0927" w:rsidRPr="000A1343" w:rsidRDefault="001B0927" w:rsidP="001B0927">
      <w:pPr>
        <w:spacing w:after="0"/>
        <w:rPr>
          <w:rFonts w:ascii="Century Gothic" w:hAnsi="Century Gothic"/>
          <w:b/>
        </w:rPr>
      </w:pPr>
    </w:p>
    <w:p w14:paraId="65623CE7" w14:textId="77777777" w:rsidR="001B0927" w:rsidRPr="000A1343" w:rsidRDefault="001B0927" w:rsidP="001B0927">
      <w:pPr>
        <w:spacing w:after="0"/>
        <w:rPr>
          <w:rFonts w:ascii="Century Gothic" w:hAnsi="Century Gothic"/>
          <w:b/>
        </w:rPr>
      </w:pPr>
      <w:r w:rsidRPr="000A1343">
        <w:rPr>
          <w:rFonts w:ascii="Arial" w:eastAsia="Calibri" w:hAnsi="Arial" w:cs="Arial"/>
          <w:b/>
        </w:rPr>
        <w:t>CONTRATACIÓN CON ESAL‒ Ley de garantías – Restricciones – Artículos 33 y 38 – Alcance</w:t>
      </w:r>
    </w:p>
    <w:p w14:paraId="04C743E9" w14:textId="77777777" w:rsidR="001B0927" w:rsidRDefault="001B0927" w:rsidP="001B0927">
      <w:pPr>
        <w:spacing w:after="0"/>
        <w:rPr>
          <w:rFonts w:ascii="Century Gothic" w:hAnsi="Century Gothic"/>
        </w:rPr>
      </w:pPr>
    </w:p>
    <w:p w14:paraId="6B84FAE3" w14:textId="77777777" w:rsidR="001B0927" w:rsidRPr="00F45BA8" w:rsidRDefault="001B0927" w:rsidP="001B0927">
      <w:pPr>
        <w:spacing w:after="120"/>
        <w:jc w:val="both"/>
        <w:rPr>
          <w:rFonts w:ascii="Arial" w:eastAsia="Calibri" w:hAnsi="Arial" w:cs="Arial"/>
        </w:rPr>
      </w:pPr>
      <w:r w:rsidRPr="00F45BA8">
        <w:rPr>
          <w:rFonts w:ascii="Arial" w:eastAsia="Calibri" w:hAnsi="Arial" w:cs="Arial"/>
        </w:rPr>
        <w:t xml:space="preserve">En cuanto a los </w:t>
      </w:r>
      <w:r w:rsidRPr="00F45BA8">
        <w:rPr>
          <w:rFonts w:ascii="Arial" w:eastAsia="Calibri" w:hAnsi="Arial" w:cs="Arial"/>
          <w:i/>
          <w:iCs/>
        </w:rPr>
        <w:t>convenios de asociación</w:t>
      </w:r>
      <w:r w:rsidRPr="00F45BA8">
        <w:rPr>
          <w:rFonts w:ascii="Arial" w:eastAsia="Calibri" w:hAnsi="Arial" w:cs="Arial"/>
        </w:rPr>
        <w:t xml:space="preserve">,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 En contraste, la restricción citada no aplicaría a los </w:t>
      </w:r>
      <w:r w:rsidRPr="00F45BA8">
        <w:rPr>
          <w:rFonts w:ascii="Arial" w:eastAsia="Calibri" w:hAnsi="Arial" w:cs="Arial"/>
          <w:i/>
          <w:iCs/>
        </w:rPr>
        <w:t>convenios de asociación</w:t>
      </w:r>
      <w:r w:rsidRPr="00F45BA8">
        <w:rPr>
          <w:rFonts w:ascii="Arial" w:eastAsia="Calibri" w:hAnsi="Arial" w:cs="Arial"/>
        </w:rPr>
        <w:t xml:space="preserve"> que celebren las Entidades Estatales y entidades privadas sin ánimo de lucro bajo el procedimiento competitivo, pues este supone la pluralidad de oferentes y la selección objetiva del contratista. </w:t>
      </w:r>
    </w:p>
    <w:p w14:paraId="6799CDF9" w14:textId="77777777" w:rsidR="001B0927" w:rsidRDefault="001B0927" w:rsidP="001B0927">
      <w:pPr>
        <w:jc w:val="both"/>
        <w:rPr>
          <w:rFonts w:ascii="Century Gothic" w:hAnsi="Century Gothic"/>
        </w:rPr>
      </w:pPr>
      <w:r w:rsidRPr="00F45BA8">
        <w:rPr>
          <w:rFonts w:ascii="Arial" w:eastAsia="Calibri" w:hAnsi="Arial" w:cs="Arial"/>
        </w:rPr>
        <w:t xml:space="preserve">[…] Es preciso advertir que los convenios de asociación no entran dentro del ámbito de aplicación de la restricción del parágrafo del artículo 38 de la Ley 996 de 2021, ya que esta norma se refiere exclusivamente a convenios interadministrativos. Esto comoquiera que, los convenios de asociación son celebrados por Entidades Estatales con entidades privadas sin ánimo de lucro, correspondiendo a una naturaleza jurídica distinta de los convenios interadministrativos, los cuales son determinados por un criterio orgánico que exige que ambos extremos de la relación contractual sean entidades estatales. </w:t>
      </w:r>
      <w:r w:rsidRPr="00F45BA8">
        <w:rPr>
          <w:rFonts w:ascii="Arial" w:eastAsia="Times New Roman" w:hAnsi="Arial" w:cs="Arial"/>
          <w:bCs/>
          <w:lang w:eastAsia="es-CO"/>
        </w:rPr>
        <w:t xml:space="preserve">   </w:t>
      </w:r>
    </w:p>
    <w:p w14:paraId="127FBEDF" w14:textId="77777777" w:rsidR="001B0927" w:rsidRDefault="001B0927" w:rsidP="001B0927">
      <w:pPr>
        <w:spacing w:after="0"/>
        <w:rPr>
          <w:rFonts w:ascii="Century Gothic" w:hAnsi="Century Gothic"/>
        </w:rPr>
      </w:pPr>
    </w:p>
    <w:p w14:paraId="4DB9BB56" w14:textId="77777777" w:rsidR="00CA66F9" w:rsidRDefault="00CA66F9" w:rsidP="00E245AB">
      <w:pPr>
        <w:spacing w:after="0"/>
        <w:rPr>
          <w:rFonts w:ascii="Century Gothic" w:hAnsi="Century Gothic"/>
        </w:rPr>
      </w:pPr>
    </w:p>
    <w:p w14:paraId="7F838CDA" w14:textId="77777777" w:rsidR="00887F26" w:rsidRDefault="00887F26" w:rsidP="00E245AB">
      <w:pPr>
        <w:spacing w:after="0"/>
        <w:rPr>
          <w:rFonts w:ascii="Century Gothic" w:hAnsi="Century Gothic"/>
        </w:rPr>
      </w:pPr>
    </w:p>
    <w:p w14:paraId="17BDDFA6" w14:textId="00B3FBF0" w:rsidR="45CF66E9" w:rsidRDefault="45CF66E9">
      <w:r>
        <w:br w:type="page"/>
      </w:r>
    </w:p>
    <w:p w14:paraId="73F097D5" w14:textId="6DC1BACB" w:rsidR="00887F26" w:rsidRDefault="00887F26" w:rsidP="00E245AB">
      <w:pPr>
        <w:spacing w:after="0"/>
        <w:rPr>
          <w:rFonts w:ascii="Century Gothic" w:hAnsi="Century Gothic"/>
        </w:rPr>
      </w:pPr>
    </w:p>
    <w:p w14:paraId="37D18543" w14:textId="519258CD" w:rsidR="005F5053" w:rsidRPr="000A1343" w:rsidRDefault="004E4BFA" w:rsidP="005F5053">
      <w:pPr>
        <w:spacing w:after="0"/>
        <w:rPr>
          <w:rFonts w:ascii="Arial" w:hAnsi="Arial" w:cs="Arial"/>
        </w:rPr>
      </w:pPr>
      <w:r w:rsidRPr="00B02D21">
        <w:rPr>
          <w:rFonts w:ascii="Arial" w:hAnsi="Arial" w:cs="Arial"/>
        </w:rPr>
        <w:t xml:space="preserve">Bogotá D.C., </w:t>
      </w:r>
      <w:r>
        <w:rPr>
          <w:rFonts w:ascii="Arial" w:hAnsi="Arial" w:cs="Arial"/>
        </w:rPr>
        <w:t>2</w:t>
      </w:r>
      <w:r w:rsidR="00BD107F">
        <w:rPr>
          <w:rFonts w:ascii="Arial" w:hAnsi="Arial" w:cs="Arial"/>
        </w:rPr>
        <w:t>7</w:t>
      </w:r>
      <w:r>
        <w:rPr>
          <w:rFonts w:ascii="Arial" w:hAnsi="Arial" w:cs="Arial"/>
        </w:rPr>
        <w:t xml:space="preserve"> de julio de 2023</w:t>
      </w:r>
      <w:r w:rsidR="005F5053" w:rsidRPr="000A1343">
        <w:rPr>
          <w:rFonts w:ascii="Arial" w:hAnsi="Arial" w:cs="Arial"/>
        </w:rPr>
        <w:tab/>
      </w:r>
    </w:p>
    <w:p w14:paraId="7BF2310E" w14:textId="77777777" w:rsidR="005F5053" w:rsidRDefault="005F5053" w:rsidP="005F5053">
      <w:pPr>
        <w:spacing w:after="0"/>
        <w:rPr>
          <w:rFonts w:ascii="Century Gothic" w:hAnsi="Century Gothic"/>
        </w:rPr>
      </w:pPr>
    </w:p>
    <w:p w14:paraId="1550DE80" w14:textId="0A4213FE" w:rsidR="005F5053" w:rsidRDefault="00BD107F" w:rsidP="00BD107F">
      <w:pPr>
        <w:spacing w:after="0"/>
        <w:jc w:val="right"/>
        <w:rPr>
          <w:rFonts w:ascii="Century Gothic" w:hAnsi="Century Gothic"/>
        </w:rPr>
      </w:pPr>
      <w:r w:rsidRPr="00BD107F">
        <w:rPr>
          <w:rFonts w:ascii="Century Gothic" w:hAnsi="Century Gothic"/>
          <w:noProof/>
        </w:rPr>
        <w:drawing>
          <wp:inline distT="0" distB="0" distL="0" distR="0" wp14:anchorId="2405B491" wp14:editId="09ECE87C">
            <wp:extent cx="2110923" cy="602032"/>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0923" cy="602032"/>
                    </a:xfrm>
                    <a:prstGeom prst="rect">
                      <a:avLst/>
                    </a:prstGeom>
                  </pic:spPr>
                </pic:pic>
              </a:graphicData>
            </a:graphic>
          </wp:inline>
        </w:drawing>
      </w:r>
    </w:p>
    <w:p w14:paraId="5C65526A" w14:textId="6037726C" w:rsidR="004E4BFA" w:rsidRDefault="004E4BFA" w:rsidP="004E4BFA">
      <w:pPr>
        <w:spacing w:after="0"/>
        <w:jc w:val="right"/>
        <w:rPr>
          <w:rFonts w:ascii="Century Gothic" w:hAnsi="Century Gothic"/>
        </w:rPr>
      </w:pPr>
    </w:p>
    <w:p w14:paraId="5A748414" w14:textId="77777777" w:rsidR="005F5053" w:rsidRPr="00911656" w:rsidRDefault="005F5053" w:rsidP="005F5053">
      <w:pPr>
        <w:spacing w:after="0"/>
        <w:rPr>
          <w:rFonts w:ascii="Arial" w:eastAsia="Geomanist Light" w:hAnsi="Arial" w:cs="Arial"/>
          <w:color w:val="201F1E"/>
          <w:lang w:val="es-MX"/>
        </w:rPr>
      </w:pPr>
      <w:bookmarkStart w:id="5" w:name="_Hlk34951122"/>
      <w:r w:rsidRPr="00911656">
        <w:rPr>
          <w:rFonts w:ascii="Arial" w:hAnsi="Arial" w:cs="Arial"/>
          <w:lang w:val="es-MX"/>
        </w:rPr>
        <w:t>Señor</w:t>
      </w:r>
      <w:r>
        <w:rPr>
          <w:rFonts w:ascii="Arial" w:hAnsi="Arial" w:cs="Arial"/>
          <w:lang w:val="es-MX"/>
        </w:rPr>
        <w:t>a</w:t>
      </w:r>
      <w:r w:rsidRPr="00911656">
        <w:rPr>
          <w:rFonts w:ascii="Arial" w:hAnsi="Arial" w:cs="Arial"/>
          <w:lang w:val="es-MX"/>
        </w:rPr>
        <w:t>:</w:t>
      </w:r>
    </w:p>
    <w:p w14:paraId="42FBDA38" w14:textId="77777777" w:rsidR="005F5053" w:rsidRDefault="005F5053" w:rsidP="005F5053">
      <w:pPr>
        <w:spacing w:after="0" w:line="276" w:lineRule="auto"/>
        <w:rPr>
          <w:rFonts w:ascii="Arial" w:hAnsi="Arial" w:cs="Arial"/>
          <w:b/>
          <w:bCs/>
          <w:lang w:val="es-MX"/>
        </w:rPr>
      </w:pPr>
      <w:bookmarkStart w:id="6" w:name="_Hlk137493281"/>
      <w:r>
        <w:rPr>
          <w:rFonts w:ascii="Arial" w:hAnsi="Arial" w:cs="Arial"/>
          <w:b/>
          <w:bCs/>
          <w:lang w:val="es-MX"/>
        </w:rPr>
        <w:t>Luisa Liliana Guiza Castillo</w:t>
      </w:r>
    </w:p>
    <w:bookmarkEnd w:id="6"/>
    <w:p w14:paraId="52EF5FD9" w14:textId="77777777" w:rsidR="005F5053" w:rsidRPr="00911656" w:rsidRDefault="005F5053" w:rsidP="005F5053">
      <w:pPr>
        <w:spacing w:after="0" w:line="276" w:lineRule="auto"/>
        <w:rPr>
          <w:rFonts w:ascii="Arial" w:hAnsi="Arial" w:cs="Arial"/>
          <w:lang w:val="es-MX"/>
        </w:rPr>
      </w:pPr>
      <w:r>
        <w:rPr>
          <w:rFonts w:ascii="Arial" w:hAnsi="Arial" w:cs="Arial"/>
          <w:lang w:val="es-MX"/>
        </w:rPr>
        <w:t>Ciudad</w:t>
      </w:r>
    </w:p>
    <w:p w14:paraId="443CE8F0" w14:textId="77777777" w:rsidR="005F5053" w:rsidRPr="00911656" w:rsidRDefault="005F5053" w:rsidP="005F5053">
      <w:pPr>
        <w:spacing w:after="0" w:line="276" w:lineRule="auto"/>
        <w:rPr>
          <w:rFonts w:ascii="Arial" w:hAnsi="Arial" w:cs="Arial"/>
          <w:lang w:val="es-MX"/>
        </w:rPr>
      </w:pPr>
    </w:p>
    <w:p w14:paraId="6FC1289C" w14:textId="77777777" w:rsidR="005F5053" w:rsidRPr="00911656" w:rsidRDefault="005F5053" w:rsidP="005F5053">
      <w:pPr>
        <w:spacing w:after="0" w:line="276" w:lineRule="auto"/>
        <w:ind w:left="2832"/>
        <w:rPr>
          <w:rFonts w:ascii="Arial" w:eastAsia="Calibri" w:hAnsi="Arial" w:cs="Arial"/>
          <w:b/>
          <w:bCs/>
          <w:lang w:val="es-ES"/>
        </w:rPr>
      </w:pPr>
      <w:r w:rsidRPr="00911656">
        <w:rPr>
          <w:rFonts w:ascii="Arial" w:eastAsia="Calibri" w:hAnsi="Arial" w:cs="Arial"/>
          <w:b/>
          <w:bCs/>
          <w:lang w:val="es-ES"/>
        </w:rPr>
        <w:t>Concepto C-</w:t>
      </w:r>
      <w:r>
        <w:rPr>
          <w:rFonts w:ascii="Arial" w:eastAsia="Calibri" w:hAnsi="Arial" w:cs="Arial"/>
          <w:b/>
          <w:bCs/>
          <w:lang w:val="es-ES"/>
        </w:rPr>
        <w:t>200</w:t>
      </w:r>
      <w:r w:rsidRPr="00911656">
        <w:rPr>
          <w:rFonts w:ascii="Arial" w:eastAsia="Calibri" w:hAnsi="Arial" w:cs="Arial"/>
          <w:b/>
          <w:bCs/>
          <w:lang w:val="es-ES"/>
        </w:rPr>
        <w:t xml:space="preserve"> del 2023</w:t>
      </w:r>
    </w:p>
    <w:p w14:paraId="603FD850" w14:textId="77777777" w:rsidR="005F5053" w:rsidRPr="00911656" w:rsidRDefault="005F5053" w:rsidP="005F5053">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5F5053" w:rsidRPr="00911656" w14:paraId="44F2416F" w14:textId="77777777" w:rsidTr="00363C4F">
        <w:trPr>
          <w:jc w:val="right"/>
        </w:trPr>
        <w:tc>
          <w:tcPr>
            <w:tcW w:w="1838" w:type="dxa"/>
          </w:tcPr>
          <w:p w14:paraId="0C5A67C8" w14:textId="77777777" w:rsidR="005F5053" w:rsidRPr="00911656" w:rsidRDefault="005F5053" w:rsidP="00363C4F">
            <w:pPr>
              <w:spacing w:line="276" w:lineRule="auto"/>
              <w:jc w:val="center"/>
              <w:rPr>
                <w:rFonts w:ascii="Arial" w:eastAsia="Calibri" w:hAnsi="Arial" w:cs="Arial"/>
                <w:lang w:val="es-ES_tradnl"/>
              </w:rPr>
            </w:pPr>
            <w:r w:rsidRPr="00911656">
              <w:rPr>
                <w:rFonts w:ascii="Arial" w:eastAsia="Calibri" w:hAnsi="Arial" w:cs="Arial"/>
                <w:b/>
                <w:lang w:val="es-ES_tradnl"/>
              </w:rPr>
              <w:t>Temas:</w:t>
            </w:r>
          </w:p>
        </w:tc>
        <w:tc>
          <w:tcPr>
            <w:tcW w:w="6237" w:type="dxa"/>
          </w:tcPr>
          <w:p w14:paraId="034C1AA8" w14:textId="77777777" w:rsidR="005F5053" w:rsidRDefault="005F5053" w:rsidP="00363C4F">
            <w:pPr>
              <w:spacing w:line="276" w:lineRule="auto"/>
              <w:jc w:val="both"/>
              <w:rPr>
                <w:rFonts w:ascii="Arial" w:eastAsia="Calibri" w:hAnsi="Arial" w:cs="Arial"/>
              </w:rPr>
            </w:pPr>
            <w:r w:rsidRPr="006A2CCA">
              <w:rPr>
                <w:rFonts w:ascii="Arial" w:eastAsia="Calibri" w:hAnsi="Arial" w:cs="Arial"/>
              </w:rPr>
              <w:t xml:space="preserve">LEY DE GARANTÍAS ELECTORALES ‒ Tipos de restricciones ‒ Ámbito temporal </w:t>
            </w:r>
            <w:r w:rsidRPr="006A2CCA">
              <w:rPr>
                <w:rFonts w:ascii="Arial" w:hAnsi="Arial" w:cs="Arial"/>
                <w:lang w:eastAsia="es-CO"/>
              </w:rPr>
              <w:t xml:space="preserve">/ </w:t>
            </w:r>
            <w:r w:rsidRPr="006A2CCA">
              <w:rPr>
                <w:rFonts w:ascii="Arial" w:eastAsia="Calibri" w:hAnsi="Arial" w:cs="Arial"/>
              </w:rPr>
              <w:t xml:space="preserve">LEY DE GARANTÍAS ELECTORALES ‒ Prohibición ‒ Contratación directa ‒ Alcance – </w:t>
            </w:r>
            <w:r w:rsidRPr="006A2CCA">
              <w:rPr>
                <w:rFonts w:ascii="Arial" w:hAnsi="Arial" w:cs="Arial"/>
                <w:lang w:eastAsia="es-CO"/>
              </w:rPr>
              <w:t>Excepciones /</w:t>
            </w:r>
            <w:r w:rsidRPr="002E596C">
              <w:rPr>
                <w:rFonts w:ascii="Arial" w:eastAsia="Calibri" w:hAnsi="Arial" w:cs="Arial"/>
                <w:color w:val="000000" w:themeColor="text1"/>
                <w:lang w:val="es-ES"/>
              </w:rPr>
              <w:t xml:space="preserve"> CONVENIOS DE ASOCIACIÓN – ESAL – Objeto </w:t>
            </w:r>
            <w:r>
              <w:rPr>
                <w:rFonts w:ascii="Arial" w:hAnsi="Arial" w:cs="Arial"/>
                <w:lang w:eastAsia="es-CO"/>
              </w:rPr>
              <w:t xml:space="preserve">/ </w:t>
            </w:r>
            <w:r>
              <w:rPr>
                <w:rFonts w:ascii="Arial" w:eastAsia="Calibri" w:hAnsi="Arial" w:cs="Arial"/>
              </w:rPr>
              <w:t>CONTRATACIÓN CON ESAL</w:t>
            </w:r>
            <w:r w:rsidRPr="00E917A4">
              <w:rPr>
                <w:rFonts w:ascii="Arial" w:eastAsia="Calibri" w:hAnsi="Arial" w:cs="Arial"/>
              </w:rPr>
              <w:t>‒</w:t>
            </w:r>
            <w:r>
              <w:rPr>
                <w:rFonts w:ascii="Arial" w:eastAsia="Calibri" w:hAnsi="Arial" w:cs="Arial"/>
              </w:rPr>
              <w:t xml:space="preserve"> Ley de garantías –</w:t>
            </w:r>
            <w:r w:rsidRPr="00E917A4">
              <w:rPr>
                <w:rFonts w:ascii="Arial" w:eastAsia="Calibri" w:hAnsi="Arial" w:cs="Arial"/>
              </w:rPr>
              <w:t xml:space="preserve"> Restricciones – Artículos 33 y 38 – </w:t>
            </w:r>
            <w:r>
              <w:rPr>
                <w:rFonts w:ascii="Arial" w:eastAsia="Calibri" w:hAnsi="Arial" w:cs="Arial"/>
              </w:rPr>
              <w:t>Alcance</w:t>
            </w:r>
          </w:p>
          <w:p w14:paraId="19A75EF3" w14:textId="77777777" w:rsidR="005F5053" w:rsidRPr="007D0CF3" w:rsidRDefault="005F5053" w:rsidP="00363C4F">
            <w:pPr>
              <w:jc w:val="both"/>
              <w:rPr>
                <w:rFonts w:ascii="Segoe UI" w:hAnsi="Segoe UI" w:cs="Segoe UI"/>
                <w:lang w:eastAsia="es-CO"/>
              </w:rPr>
            </w:pPr>
          </w:p>
        </w:tc>
      </w:tr>
      <w:tr w:rsidR="005F5053" w:rsidRPr="00911656" w14:paraId="301D9C85" w14:textId="77777777" w:rsidTr="00363C4F">
        <w:trPr>
          <w:jc w:val="right"/>
        </w:trPr>
        <w:tc>
          <w:tcPr>
            <w:tcW w:w="1838" w:type="dxa"/>
          </w:tcPr>
          <w:p w14:paraId="1CC50FCD" w14:textId="77777777" w:rsidR="005F5053" w:rsidRPr="00911656" w:rsidRDefault="005F5053" w:rsidP="00363C4F">
            <w:pPr>
              <w:spacing w:line="276" w:lineRule="auto"/>
              <w:jc w:val="center"/>
              <w:rPr>
                <w:rFonts w:ascii="Arial" w:eastAsia="Calibri" w:hAnsi="Arial" w:cs="Arial"/>
                <w:b/>
                <w:lang w:val="es-ES"/>
              </w:rPr>
            </w:pPr>
            <w:r w:rsidRPr="00911656">
              <w:rPr>
                <w:rFonts w:ascii="Arial" w:eastAsia="Calibri" w:hAnsi="Arial" w:cs="Arial"/>
                <w:b/>
                <w:lang w:val="es-ES"/>
              </w:rPr>
              <w:t>Radicación:</w:t>
            </w:r>
          </w:p>
        </w:tc>
        <w:tc>
          <w:tcPr>
            <w:tcW w:w="6237" w:type="dxa"/>
          </w:tcPr>
          <w:p w14:paraId="4EFBE218" w14:textId="77777777" w:rsidR="005F5053" w:rsidRPr="00911656" w:rsidRDefault="005F5053" w:rsidP="00363C4F">
            <w:pPr>
              <w:spacing w:line="276" w:lineRule="auto"/>
              <w:jc w:val="both"/>
              <w:rPr>
                <w:rFonts w:ascii="Arial" w:eastAsia="Calibri" w:hAnsi="Arial" w:cs="Arial"/>
                <w:lang w:val="es-ES"/>
              </w:rPr>
            </w:pPr>
            <w:r w:rsidRPr="00911656">
              <w:rPr>
                <w:rFonts w:ascii="Arial" w:eastAsia="Calibri" w:hAnsi="Arial" w:cs="Arial"/>
                <w:lang w:val="es-ES"/>
              </w:rPr>
              <w:t xml:space="preserve">Respuesta a consulta </w:t>
            </w:r>
            <w:r w:rsidRPr="003677E7">
              <w:rPr>
                <w:rFonts w:ascii="Arial" w:eastAsia="Calibri" w:hAnsi="Arial" w:cs="Arial"/>
                <w:lang w:val="es-ES"/>
              </w:rPr>
              <w:t>P20230613012267</w:t>
            </w:r>
          </w:p>
        </w:tc>
      </w:tr>
    </w:tbl>
    <w:p w14:paraId="7B0A6012" w14:textId="77777777" w:rsidR="005F5053" w:rsidRPr="00911656" w:rsidRDefault="005F5053" w:rsidP="005F5053">
      <w:pPr>
        <w:spacing w:line="276" w:lineRule="auto"/>
        <w:jc w:val="both"/>
        <w:rPr>
          <w:rFonts w:ascii="Arial" w:eastAsia="Calibri" w:hAnsi="Arial" w:cs="Arial"/>
          <w:lang w:val="es-ES_tradnl"/>
        </w:rPr>
      </w:pPr>
    </w:p>
    <w:p w14:paraId="581496DC" w14:textId="77777777" w:rsidR="005F5053" w:rsidRPr="00911656" w:rsidRDefault="005F5053" w:rsidP="005F5053">
      <w:pPr>
        <w:spacing w:line="276" w:lineRule="auto"/>
        <w:jc w:val="both"/>
        <w:rPr>
          <w:rFonts w:ascii="Arial" w:eastAsia="Calibri" w:hAnsi="Arial" w:cs="Arial"/>
          <w:bCs/>
          <w:lang w:val="es-ES_tradnl"/>
        </w:rPr>
      </w:pPr>
      <w:r w:rsidRPr="00911656">
        <w:rPr>
          <w:rFonts w:ascii="Arial" w:eastAsia="Calibri" w:hAnsi="Arial" w:cs="Arial"/>
          <w:lang w:val="es-ES_tradnl"/>
        </w:rPr>
        <w:t>Estimad</w:t>
      </w:r>
      <w:r>
        <w:rPr>
          <w:rFonts w:ascii="Arial" w:eastAsia="Calibri" w:hAnsi="Arial" w:cs="Arial"/>
          <w:lang w:val="es-ES_tradnl"/>
        </w:rPr>
        <w:t>a</w:t>
      </w:r>
      <w:r w:rsidRPr="00911656">
        <w:rPr>
          <w:rFonts w:ascii="Arial" w:eastAsia="Calibri" w:hAnsi="Arial" w:cs="Arial"/>
          <w:lang w:val="es-ES_tradnl"/>
        </w:rPr>
        <w:t xml:space="preserve"> señor</w:t>
      </w:r>
      <w:r>
        <w:rPr>
          <w:rFonts w:ascii="Arial" w:eastAsia="Calibri" w:hAnsi="Arial" w:cs="Arial"/>
          <w:lang w:val="es-ES_tradnl"/>
        </w:rPr>
        <w:t>a</w:t>
      </w:r>
      <w:r w:rsidRPr="00911656">
        <w:rPr>
          <w:rFonts w:ascii="Arial" w:eastAsia="Calibri" w:hAnsi="Arial" w:cs="Arial"/>
          <w:lang w:val="es-ES_tradnl"/>
        </w:rPr>
        <w:t xml:space="preserve"> </w:t>
      </w:r>
      <w:r>
        <w:rPr>
          <w:rFonts w:ascii="Arial" w:hAnsi="Arial" w:cs="Arial"/>
          <w:lang w:val="es-MX"/>
        </w:rPr>
        <w:t>Guiza Castillo</w:t>
      </w:r>
      <w:r w:rsidRPr="00911656">
        <w:rPr>
          <w:rFonts w:ascii="Arial" w:eastAsia="Calibri" w:hAnsi="Arial" w:cs="Arial"/>
          <w:bCs/>
          <w:lang w:val="es-ES_tradnl"/>
        </w:rPr>
        <w:t>:</w:t>
      </w:r>
    </w:p>
    <w:p w14:paraId="28EC6DBC" w14:textId="77777777" w:rsidR="005F5053" w:rsidRPr="00911656" w:rsidRDefault="005F5053" w:rsidP="005F5053">
      <w:pPr>
        <w:spacing w:after="0" w:line="276" w:lineRule="auto"/>
        <w:jc w:val="both"/>
        <w:rPr>
          <w:rFonts w:ascii="Arial" w:eastAsia="Calibri" w:hAnsi="Arial" w:cs="Arial"/>
          <w:lang w:val="es-ES"/>
        </w:rPr>
      </w:pPr>
      <w:r w:rsidRPr="00911656">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lang w:val="es-ES"/>
        </w:rPr>
        <w:t>13</w:t>
      </w:r>
      <w:r w:rsidRPr="00911656">
        <w:rPr>
          <w:rFonts w:ascii="Arial" w:eastAsia="Calibri" w:hAnsi="Arial" w:cs="Arial"/>
          <w:lang w:val="es-ES"/>
        </w:rPr>
        <w:t xml:space="preserve"> de </w:t>
      </w:r>
      <w:r>
        <w:rPr>
          <w:rFonts w:ascii="Arial" w:eastAsia="Calibri" w:hAnsi="Arial" w:cs="Arial"/>
          <w:lang w:val="es-ES"/>
        </w:rPr>
        <w:t>junio</w:t>
      </w:r>
      <w:r w:rsidRPr="00911656">
        <w:rPr>
          <w:rFonts w:ascii="Arial" w:eastAsia="Calibri" w:hAnsi="Arial" w:cs="Arial"/>
          <w:lang w:val="es-ES"/>
        </w:rPr>
        <w:t xml:space="preserve"> del 2023.</w:t>
      </w:r>
    </w:p>
    <w:p w14:paraId="113A89C9" w14:textId="77777777" w:rsidR="005F5053" w:rsidRPr="00911656" w:rsidRDefault="005F5053" w:rsidP="005F5053">
      <w:pPr>
        <w:spacing w:after="0" w:line="276" w:lineRule="auto"/>
        <w:jc w:val="both"/>
        <w:rPr>
          <w:rFonts w:ascii="Arial" w:eastAsia="Calibri" w:hAnsi="Arial" w:cs="Arial"/>
          <w:lang w:val="es-ES"/>
        </w:rPr>
      </w:pPr>
    </w:p>
    <w:p w14:paraId="0DC4983F" w14:textId="77777777" w:rsidR="005F5053" w:rsidRPr="00911656" w:rsidRDefault="005F5053" w:rsidP="005F5053">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911656">
        <w:rPr>
          <w:rFonts w:ascii="Arial" w:eastAsia="Calibri" w:hAnsi="Arial" w:cs="Arial"/>
          <w:b/>
          <w:lang w:val="es-ES_tradnl"/>
        </w:rPr>
        <w:t xml:space="preserve">Problema planteado </w:t>
      </w:r>
    </w:p>
    <w:p w14:paraId="4A117384" w14:textId="77777777" w:rsidR="005F5053" w:rsidRPr="00911656" w:rsidRDefault="005F5053" w:rsidP="005F5053">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1A89657F" w14:textId="77777777" w:rsidR="005F5053" w:rsidRPr="003677E7" w:rsidRDefault="005F5053" w:rsidP="005F5053">
      <w:pPr>
        <w:spacing w:after="0" w:line="276" w:lineRule="auto"/>
        <w:jc w:val="both"/>
        <w:rPr>
          <w:rFonts w:ascii="Arial" w:hAnsi="Arial" w:cs="Arial"/>
          <w:i/>
          <w:iCs/>
          <w:lang w:val="es-ES_tradnl"/>
        </w:rPr>
      </w:pPr>
      <w:r w:rsidRPr="00373CD0">
        <w:rPr>
          <w:rFonts w:ascii="Arial" w:hAnsi="Arial" w:cs="Arial"/>
          <w:lang w:val="es-ES_tradnl"/>
        </w:rPr>
        <w:t xml:space="preserve">Usted realiza la siguiente consulta: </w:t>
      </w:r>
      <w:r w:rsidRPr="00AB6A8B">
        <w:rPr>
          <w:rFonts w:ascii="Arial" w:hAnsi="Arial" w:cs="Arial"/>
          <w:i/>
          <w:iCs/>
          <w:lang w:val="es-ES_tradnl"/>
        </w:rPr>
        <w:t>“</w:t>
      </w:r>
      <w:r w:rsidRPr="00AB6A8B">
        <w:rPr>
          <w:rFonts w:ascii="Arial" w:hAnsi="Arial" w:cs="Arial"/>
          <w:i/>
          <w:iCs/>
        </w:rPr>
        <w:t>[…]</w:t>
      </w:r>
      <w:r>
        <w:rPr>
          <w:rFonts w:ascii="Arial" w:hAnsi="Arial" w:cs="Arial"/>
          <w:i/>
          <w:iCs/>
          <w:lang w:val="es-ES_tradnl"/>
        </w:rPr>
        <w:t xml:space="preserve"> S</w:t>
      </w:r>
      <w:r w:rsidRPr="003677E7">
        <w:rPr>
          <w:rFonts w:ascii="Arial" w:hAnsi="Arial" w:cs="Arial"/>
          <w:i/>
          <w:iCs/>
          <w:lang w:val="es-ES_tradnl"/>
        </w:rPr>
        <w:t>olicito a ustedes me indiquen frente a las restricciones de ley de garantías en los contratos de asociaci</w:t>
      </w:r>
      <w:r>
        <w:rPr>
          <w:rFonts w:ascii="Arial" w:hAnsi="Arial" w:cs="Arial"/>
          <w:i/>
          <w:iCs/>
          <w:lang w:val="es-ES_tradnl"/>
        </w:rPr>
        <w:t>ó</w:t>
      </w:r>
      <w:r w:rsidRPr="003677E7">
        <w:rPr>
          <w:rFonts w:ascii="Arial" w:hAnsi="Arial" w:cs="Arial"/>
          <w:i/>
          <w:iCs/>
          <w:lang w:val="es-ES_tradnl"/>
        </w:rPr>
        <w:t xml:space="preserve">n con entidades privadas sin </w:t>
      </w:r>
      <w:r>
        <w:rPr>
          <w:rFonts w:ascii="Arial" w:hAnsi="Arial" w:cs="Arial"/>
          <w:i/>
          <w:iCs/>
          <w:lang w:val="es-ES_tradnl"/>
        </w:rPr>
        <w:t>á</w:t>
      </w:r>
      <w:r w:rsidRPr="003677E7">
        <w:rPr>
          <w:rFonts w:ascii="Arial" w:hAnsi="Arial" w:cs="Arial"/>
          <w:i/>
          <w:iCs/>
          <w:lang w:val="es-ES_tradnl"/>
        </w:rPr>
        <w:t>nimo de lucro. La entidad podr</w:t>
      </w:r>
      <w:r>
        <w:rPr>
          <w:rFonts w:ascii="Arial" w:hAnsi="Arial" w:cs="Arial"/>
          <w:i/>
          <w:iCs/>
          <w:lang w:val="es-ES_tradnl"/>
        </w:rPr>
        <w:t>í</w:t>
      </w:r>
      <w:r w:rsidRPr="003677E7">
        <w:rPr>
          <w:rFonts w:ascii="Arial" w:hAnsi="Arial" w:cs="Arial"/>
          <w:i/>
          <w:iCs/>
          <w:lang w:val="es-ES_tradnl"/>
        </w:rPr>
        <w:t>a realizar un convenio de asociaci</w:t>
      </w:r>
      <w:r>
        <w:rPr>
          <w:rFonts w:ascii="Arial" w:hAnsi="Arial" w:cs="Arial"/>
          <w:i/>
          <w:iCs/>
          <w:lang w:val="es-ES_tradnl"/>
        </w:rPr>
        <w:t>ó</w:t>
      </w:r>
      <w:r w:rsidRPr="003677E7">
        <w:rPr>
          <w:rFonts w:ascii="Arial" w:hAnsi="Arial" w:cs="Arial"/>
          <w:i/>
          <w:iCs/>
          <w:lang w:val="es-ES_tradnl"/>
        </w:rPr>
        <w:t xml:space="preserve">n con una entidad sin </w:t>
      </w:r>
      <w:r>
        <w:rPr>
          <w:rFonts w:ascii="Arial" w:hAnsi="Arial" w:cs="Arial"/>
          <w:i/>
          <w:iCs/>
          <w:lang w:val="es-ES_tradnl"/>
        </w:rPr>
        <w:t>á</w:t>
      </w:r>
      <w:r w:rsidRPr="003677E7">
        <w:rPr>
          <w:rFonts w:ascii="Arial" w:hAnsi="Arial" w:cs="Arial"/>
          <w:i/>
          <w:iCs/>
          <w:lang w:val="es-ES_tradnl"/>
        </w:rPr>
        <w:t>nimo de lucro a trav</w:t>
      </w:r>
      <w:r>
        <w:rPr>
          <w:rFonts w:ascii="Arial" w:hAnsi="Arial" w:cs="Arial"/>
          <w:i/>
          <w:iCs/>
          <w:lang w:val="es-ES_tradnl"/>
        </w:rPr>
        <w:t>é</w:t>
      </w:r>
      <w:r w:rsidRPr="003677E7">
        <w:rPr>
          <w:rFonts w:ascii="Arial" w:hAnsi="Arial" w:cs="Arial"/>
          <w:i/>
          <w:iCs/>
          <w:lang w:val="es-ES_tradnl"/>
        </w:rPr>
        <w:t xml:space="preserve">s de un PROCESO COMPETITIVO, estando en los tiempos de ley de </w:t>
      </w:r>
      <w:r>
        <w:rPr>
          <w:rFonts w:ascii="Arial" w:hAnsi="Arial" w:cs="Arial"/>
          <w:i/>
          <w:iCs/>
          <w:lang w:val="es-ES_tradnl"/>
        </w:rPr>
        <w:t xml:space="preserve">garantías </w:t>
      </w:r>
      <w:r w:rsidRPr="00AB6A8B">
        <w:rPr>
          <w:rFonts w:ascii="Arial" w:hAnsi="Arial" w:cs="Arial"/>
          <w:i/>
          <w:iCs/>
        </w:rPr>
        <w:t>[…]</w:t>
      </w:r>
      <w:r w:rsidRPr="00AB6A8B">
        <w:rPr>
          <w:rFonts w:ascii="Arial" w:hAnsi="Arial" w:cs="Arial"/>
          <w:i/>
          <w:iCs/>
          <w:lang w:val="es-ES_tradnl"/>
        </w:rPr>
        <w:t>”.</w:t>
      </w:r>
    </w:p>
    <w:p w14:paraId="24078B1C" w14:textId="77777777" w:rsidR="005F5053" w:rsidRPr="005722C0" w:rsidRDefault="005F5053" w:rsidP="005F5053">
      <w:pPr>
        <w:spacing w:after="0" w:line="240" w:lineRule="auto"/>
        <w:ind w:left="708" w:right="709"/>
        <w:jc w:val="both"/>
        <w:rPr>
          <w:rFonts w:ascii="Arial" w:hAnsi="Arial" w:cs="Arial"/>
          <w:sz w:val="21"/>
          <w:szCs w:val="21"/>
          <w:lang w:val="es-ES_tradnl"/>
        </w:rPr>
      </w:pPr>
    </w:p>
    <w:p w14:paraId="50708012" w14:textId="77777777" w:rsidR="005F5053" w:rsidRPr="00911656" w:rsidRDefault="005F5053" w:rsidP="005F5053">
      <w:pPr>
        <w:pStyle w:val="Prrafodelista"/>
        <w:numPr>
          <w:ilvl w:val="0"/>
          <w:numId w:val="6"/>
        </w:numPr>
        <w:tabs>
          <w:tab w:val="left" w:pos="0"/>
          <w:tab w:val="left" w:pos="284"/>
        </w:tabs>
        <w:spacing w:after="0" w:line="276" w:lineRule="auto"/>
        <w:ind w:left="0" w:firstLine="0"/>
        <w:contextualSpacing w:val="0"/>
        <w:jc w:val="both"/>
        <w:rPr>
          <w:rFonts w:ascii="Arial" w:eastAsia="Calibri" w:hAnsi="Arial" w:cs="Arial"/>
          <w:b/>
          <w:lang w:val="es-ES_tradnl"/>
        </w:rPr>
      </w:pPr>
      <w:r w:rsidRPr="00911656">
        <w:rPr>
          <w:rFonts w:ascii="Arial" w:eastAsia="Calibri" w:hAnsi="Arial" w:cs="Arial"/>
          <w:b/>
          <w:lang w:val="es-ES_tradnl"/>
        </w:rPr>
        <w:t>Consideraciones</w:t>
      </w:r>
    </w:p>
    <w:p w14:paraId="06EE16A6" w14:textId="77777777" w:rsidR="005F5053" w:rsidRPr="00911656" w:rsidRDefault="005F5053" w:rsidP="005F5053">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76E78530" w14:textId="77777777" w:rsidR="005F5053" w:rsidRPr="00911656" w:rsidRDefault="005F5053" w:rsidP="005F5053">
      <w:pPr>
        <w:spacing w:after="120" w:line="276" w:lineRule="auto"/>
        <w:jc w:val="both"/>
        <w:rPr>
          <w:rFonts w:ascii="Arial" w:hAnsi="Arial" w:cs="Arial"/>
          <w:lang w:val="es-ES"/>
        </w:rPr>
      </w:pPr>
      <w:r w:rsidRPr="00911656">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7" w:name="_Hlk61701014"/>
      <w:bookmarkStart w:id="8" w:name="_Hlk62136649"/>
      <w:r w:rsidRPr="00911656">
        <w:rPr>
          <w:rFonts w:ascii="Arial" w:hAnsi="Arial" w:cs="Arial"/>
        </w:rPr>
        <w:t xml:space="preserve">. </w:t>
      </w:r>
      <w:r w:rsidRPr="00911656">
        <w:rPr>
          <w:rFonts w:ascii="Arial" w:hAnsi="Arial" w:cs="Arial"/>
          <w:lang w:val="es-ES"/>
        </w:rPr>
        <w:t xml:space="preserve">Es necesario tener en cuenta que </w:t>
      </w:r>
      <w:bookmarkStart w:id="9" w:name="_Hlk61026958"/>
      <w:r w:rsidRPr="00911656">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11656">
        <w:rPr>
          <w:rFonts w:ascii="Arial" w:hAnsi="Arial" w:cs="Arial"/>
        </w:rPr>
        <w:t xml:space="preserve"> de todos los partícipes de la contratación estatal.</w:t>
      </w:r>
      <w:r w:rsidRPr="00911656">
        <w:rPr>
          <w:rFonts w:ascii="Arial" w:hAnsi="Arial" w:cs="Arial"/>
          <w:lang w:val="es-ES"/>
        </w:rPr>
        <w:t xml:space="preserve"> </w:t>
      </w:r>
      <w:bookmarkEnd w:id="7"/>
      <w:bookmarkEnd w:id="8"/>
      <w:bookmarkEnd w:id="9"/>
    </w:p>
    <w:p w14:paraId="2AED8D0E" w14:textId="77777777" w:rsidR="005F5053" w:rsidRPr="00911656" w:rsidRDefault="005F5053" w:rsidP="005F5053">
      <w:pPr>
        <w:spacing w:after="120" w:line="276" w:lineRule="auto"/>
        <w:ind w:firstLine="708"/>
        <w:jc w:val="both"/>
        <w:rPr>
          <w:rFonts w:ascii="Arial" w:hAnsi="Arial" w:cs="Arial"/>
          <w:lang w:val="es-ES"/>
        </w:rPr>
      </w:pPr>
      <w:r w:rsidRPr="00911656">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11656">
        <w:rPr>
          <w:rFonts w:ascii="Arial" w:eastAsia="Calibri" w:hAnsi="Arial" w:cs="Arial"/>
          <w:vertAlign w:val="superscript"/>
          <w:lang w:val="es-ES"/>
        </w:rPr>
        <w:footnoteReference w:id="2"/>
      </w:r>
      <w:r w:rsidRPr="00911656">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76492D6C" w14:textId="77777777" w:rsidR="005F5053" w:rsidRPr="003677E7" w:rsidRDefault="005F5053" w:rsidP="005F5053">
      <w:pPr>
        <w:tabs>
          <w:tab w:val="left" w:pos="426"/>
        </w:tabs>
        <w:spacing w:line="276" w:lineRule="auto"/>
        <w:ind w:firstLine="709"/>
        <w:jc w:val="both"/>
        <w:rPr>
          <w:rFonts w:ascii="Arial" w:eastAsia="Calibri" w:hAnsi="Arial" w:cs="Arial"/>
        </w:rPr>
      </w:pPr>
      <w:r w:rsidRPr="003677E7">
        <w:rPr>
          <w:rFonts w:ascii="Arial" w:hAnsi="Arial" w:cs="Arial"/>
          <w:lang w:val="es-ES"/>
        </w:rPr>
        <w:t>Sin perjuicio de lo anterior, la Agencia –dentro de los límites de sus atribuciones– resolverá la consulta conforme a las normas generales en materia de contratación estatal. En línea con lo anterior, p</w:t>
      </w:r>
      <w:r w:rsidRPr="003677E7">
        <w:rPr>
          <w:rFonts w:ascii="Arial" w:eastAsia="Calibri" w:hAnsi="Arial" w:cs="Arial"/>
          <w:bCs/>
          <w:lang w:val="es-ES_tradnl"/>
        </w:rPr>
        <w:t xml:space="preserve">ara responder la consulta planteada, la Agencia </w:t>
      </w:r>
      <w:r w:rsidRPr="003677E7">
        <w:rPr>
          <w:rFonts w:ascii="Arial" w:eastAsia="Calibri" w:hAnsi="Arial" w:cs="Arial"/>
        </w:rPr>
        <w:t xml:space="preserve">Nacional de Contratación Pública </w:t>
      </w:r>
      <w:r w:rsidRPr="001F3B6B">
        <w:rPr>
          <w:rFonts w:ascii="Arial" w:eastAsia="Calibri" w:hAnsi="Arial" w:cs="Arial"/>
        </w:rPr>
        <w:t xml:space="preserve">‒ Colombia Compra Eficiente realizará algunas consideraciones sobre los siguientes temas: i) alcance y finalidad de las restricciones a la contratación establecidas en </w:t>
      </w:r>
      <w:proofErr w:type="gramStart"/>
      <w:r w:rsidRPr="001F3B6B">
        <w:rPr>
          <w:rFonts w:ascii="Arial" w:eastAsia="Calibri" w:hAnsi="Arial" w:cs="Arial"/>
        </w:rPr>
        <w:t>la  Ley</w:t>
      </w:r>
      <w:proofErr w:type="gramEnd"/>
      <w:r w:rsidRPr="001F3B6B">
        <w:rPr>
          <w:rFonts w:ascii="Arial" w:eastAsia="Calibri" w:hAnsi="Arial" w:cs="Arial"/>
        </w:rPr>
        <w:t xml:space="preserve"> de Garantías Electorales; y </w:t>
      </w:r>
      <w:proofErr w:type="spellStart"/>
      <w:r w:rsidRPr="001F3B6B">
        <w:rPr>
          <w:rFonts w:ascii="Arial" w:eastAsia="Calibri" w:hAnsi="Arial" w:cs="Arial"/>
        </w:rPr>
        <w:t>ii</w:t>
      </w:r>
      <w:proofErr w:type="spellEnd"/>
      <w:r w:rsidRPr="001F3B6B">
        <w:rPr>
          <w:rFonts w:ascii="Arial" w:eastAsia="Calibri" w:hAnsi="Arial" w:cs="Arial"/>
        </w:rPr>
        <w:t>) aplicabilidad de las restricciones contractuales de la Ley de Garantías Electorales a los convenios de asociación con entidades privadas sin ánimo de lucro</w:t>
      </w:r>
    </w:p>
    <w:p w14:paraId="7060722E" w14:textId="77777777" w:rsidR="005F5053" w:rsidRPr="001B7021" w:rsidRDefault="005F5053" w:rsidP="005F5053">
      <w:pPr>
        <w:spacing w:before="120" w:after="0" w:line="276" w:lineRule="auto"/>
        <w:ind w:firstLine="708"/>
        <w:jc w:val="both"/>
        <w:rPr>
          <w:rFonts w:ascii="Arial" w:eastAsia="Calibri" w:hAnsi="Arial" w:cs="Arial"/>
        </w:rPr>
      </w:pPr>
      <w:r w:rsidRPr="00911656">
        <w:rPr>
          <w:rFonts w:ascii="Arial" w:eastAsia="Calibri" w:hAnsi="Arial" w:cs="Arial"/>
          <w:color w:val="000000"/>
        </w:rPr>
        <w:t xml:space="preserve"> </w:t>
      </w:r>
      <w:r w:rsidRPr="00E76161">
        <w:rPr>
          <w:rFonts w:ascii="Arial" w:eastAsia="Calibri" w:hAnsi="Arial" w:cs="Arial"/>
          <w:color w:val="000000" w:themeColor="text1"/>
          <w:lang w:val="es-ES"/>
        </w:rPr>
        <w:t>La Agencia Nacional de Contratación Pública – Colombia Compra Eficiente, en los Conceptos</w:t>
      </w:r>
      <w:r w:rsidRPr="00E76161">
        <w:rPr>
          <w:rFonts w:ascii="Arial" w:eastAsia="Calibri" w:hAnsi="Arial" w:cs="Arial"/>
          <w:color w:val="000000" w:themeColor="text1"/>
          <w:lang w:val="es-MX" w:eastAsia="en-GB"/>
        </w:rPr>
        <w:t xml:space="preserve"> </w:t>
      </w:r>
      <w:r w:rsidRPr="00E76161">
        <w:rPr>
          <w:rStyle w:val="normaltextrun"/>
          <w:rFonts w:ascii="Arial" w:hAnsi="Arial" w:cs="Arial"/>
          <w:color w:val="000000"/>
          <w:shd w:val="clear" w:color="auto" w:fill="FFFFFF"/>
          <w:lang w:val="es-ES"/>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 C-723 del 28 de diciembre de 2021, </w:t>
      </w:r>
      <w:r w:rsidRPr="00E76161">
        <w:rPr>
          <w:rStyle w:val="normaltextrun"/>
          <w:rFonts w:ascii="Arial" w:hAnsi="Arial" w:cs="Arial"/>
          <w:color w:val="000000"/>
          <w:shd w:val="clear" w:color="auto" w:fill="FFFFFF"/>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C-054 del 7 de marzo de 2022, C-064 del 8 de marzo de 2022, C-072 del 11 de marzo de, C-098 del 9 de marzo de 2022, C-099 del 22 de marzo de 2022, C-102 del 22 de marzo de 2022, C-107 del 18 de marzo de 2022, C-111 del 22 de marzo de 2022. C-115 del 22 de marzo de 2022, C-116 del 18 de marzo de 2022, C-127 del 22 de marzo de 2022, C-134 del 1° de abril de 2022, , C-076 del 25 de abril de 2023, C-098 del 4 de mayo de 2023, C-105 del 14 de junio de 2023, C-107 del 8 de mayo de 2023, C-115 del 8 de junio de 2023, C-116 del 8 de junio de 2023, C-118 del 9 de junio de 2023, C-134 del 26 de mayo de 2023, C-145 del 18 de mayo de 2023 y C-149 del 1° de junio de 2023, C-182 del 23 de junio de 2023</w:t>
      </w:r>
      <w:r>
        <w:rPr>
          <w:rStyle w:val="normaltextrun"/>
          <w:rFonts w:ascii="Arial" w:hAnsi="Arial" w:cs="Arial"/>
          <w:color w:val="000000"/>
          <w:shd w:val="clear" w:color="auto" w:fill="FFFFFF"/>
        </w:rPr>
        <w:t>,</w:t>
      </w:r>
      <w:r w:rsidRPr="00E76161">
        <w:rPr>
          <w:rStyle w:val="normaltextrun"/>
          <w:rFonts w:ascii="Arial" w:hAnsi="Arial" w:cs="Arial"/>
          <w:color w:val="000000"/>
          <w:shd w:val="clear" w:color="auto" w:fill="FFFFFF"/>
        </w:rPr>
        <w:t xml:space="preserve"> C-345 del 14 de julio de 2023</w:t>
      </w:r>
      <w:r>
        <w:rPr>
          <w:rStyle w:val="normaltextrun"/>
          <w:rFonts w:ascii="Arial" w:hAnsi="Arial" w:cs="Arial"/>
          <w:color w:val="000000"/>
          <w:shd w:val="clear" w:color="auto" w:fill="FFFFFF"/>
        </w:rPr>
        <w:t xml:space="preserve"> y C-358 del 19 de julio de 2023</w:t>
      </w:r>
      <w:r w:rsidRPr="00E76161">
        <w:rPr>
          <w:rStyle w:val="normaltextrun"/>
          <w:rFonts w:ascii="Arial" w:hAnsi="Arial" w:cs="Arial"/>
          <w:color w:val="000000"/>
          <w:shd w:val="clear" w:color="auto" w:fill="FFFFFF"/>
        </w:rPr>
        <w:t>, se ha pronunciado sobre la aplicación de la Ley de garantías</w:t>
      </w:r>
      <w:r w:rsidRPr="00E76161">
        <w:rPr>
          <w:rStyle w:val="Refdenotaalpie"/>
          <w:rFonts w:ascii="Arial" w:eastAsia="Calibri" w:hAnsi="Arial" w:cs="Arial"/>
        </w:rPr>
        <w:footnoteReference w:id="3"/>
      </w:r>
      <w:r w:rsidRPr="00E76161">
        <w:rPr>
          <w:rStyle w:val="normaltextrun"/>
          <w:rFonts w:ascii="Arial" w:hAnsi="Arial" w:cs="Arial"/>
          <w:color w:val="000000"/>
          <w:shd w:val="clear" w:color="auto" w:fill="FFFFFF"/>
        </w:rPr>
        <w:t xml:space="preserve">. </w:t>
      </w:r>
      <w:r w:rsidRPr="00E02019">
        <w:rPr>
          <w:rFonts w:ascii="Arial" w:hAnsi="Arial" w:cs="Arial"/>
        </w:rPr>
        <w:t xml:space="preserve">Las tesis expuestas </w:t>
      </w:r>
      <w:r w:rsidRPr="007377E5">
        <w:rPr>
          <w:rFonts w:ascii="Arial" w:hAnsi="Arial" w:cs="Arial"/>
          <w:color w:val="000000" w:themeColor="text1"/>
        </w:rPr>
        <w:t>en los anteriores conceptos se reiteran a continuación</w:t>
      </w:r>
      <w:r w:rsidRPr="007377E5">
        <w:rPr>
          <w:rFonts w:ascii="Arial" w:hAnsi="Arial" w:cs="Arial"/>
          <w:bCs/>
          <w:color w:val="000000" w:themeColor="text1"/>
        </w:rPr>
        <w:t xml:space="preserve"> y se complementan en lo pertinente. </w:t>
      </w:r>
    </w:p>
    <w:p w14:paraId="3F0948EB" w14:textId="77777777" w:rsidR="005F5053" w:rsidRPr="00510393" w:rsidRDefault="005F5053" w:rsidP="005F5053">
      <w:pPr>
        <w:spacing w:after="0" w:line="276" w:lineRule="auto"/>
        <w:jc w:val="both"/>
        <w:rPr>
          <w:rFonts w:ascii="Arial" w:hAnsi="Arial" w:cs="Arial"/>
          <w:b/>
          <w:bCs/>
        </w:rPr>
      </w:pPr>
    </w:p>
    <w:p w14:paraId="623F4319" w14:textId="77777777" w:rsidR="005F5053" w:rsidRPr="00510393" w:rsidRDefault="005F5053" w:rsidP="005F5053">
      <w:pPr>
        <w:tabs>
          <w:tab w:val="left" w:pos="426"/>
        </w:tabs>
        <w:jc w:val="both"/>
        <w:rPr>
          <w:rFonts w:ascii="Arial" w:eastAsia="Calibri" w:hAnsi="Arial" w:cs="Arial"/>
          <w:b/>
          <w:bCs/>
          <w:u w:val="single"/>
        </w:rPr>
      </w:pPr>
      <w:r w:rsidRPr="00510393">
        <w:rPr>
          <w:rFonts w:ascii="Arial" w:eastAsia="Calibri" w:hAnsi="Arial" w:cs="Arial"/>
          <w:b/>
          <w:bCs/>
        </w:rPr>
        <w:t>2.1</w:t>
      </w:r>
      <w:r>
        <w:rPr>
          <w:rFonts w:ascii="Arial" w:eastAsia="Calibri" w:hAnsi="Arial" w:cs="Arial"/>
          <w:b/>
          <w:bCs/>
        </w:rPr>
        <w:t>. A</w:t>
      </w:r>
      <w:r w:rsidRPr="00510393">
        <w:rPr>
          <w:rFonts w:ascii="Arial" w:eastAsia="Calibri" w:hAnsi="Arial" w:cs="Arial"/>
          <w:b/>
          <w:bCs/>
        </w:rPr>
        <w:t>lcance</w:t>
      </w:r>
      <w:r>
        <w:rPr>
          <w:rFonts w:ascii="Arial" w:eastAsia="Calibri" w:hAnsi="Arial" w:cs="Arial"/>
          <w:b/>
          <w:bCs/>
        </w:rPr>
        <w:t xml:space="preserve"> y finalidad</w:t>
      </w:r>
      <w:r w:rsidRPr="00510393">
        <w:rPr>
          <w:rFonts w:ascii="Arial" w:eastAsia="Calibri" w:hAnsi="Arial" w:cs="Arial"/>
          <w:b/>
          <w:bCs/>
        </w:rPr>
        <w:t xml:space="preserve"> de las restricciones</w:t>
      </w:r>
      <w:r>
        <w:rPr>
          <w:rFonts w:ascii="Arial" w:eastAsia="Calibri" w:hAnsi="Arial" w:cs="Arial"/>
          <w:b/>
          <w:bCs/>
        </w:rPr>
        <w:t xml:space="preserve"> a la contratación establecidas en </w:t>
      </w:r>
      <w:proofErr w:type="gramStart"/>
      <w:r>
        <w:rPr>
          <w:rFonts w:ascii="Arial" w:eastAsia="Calibri" w:hAnsi="Arial" w:cs="Arial"/>
          <w:b/>
          <w:bCs/>
        </w:rPr>
        <w:t>la</w:t>
      </w:r>
      <w:r w:rsidRPr="00510393">
        <w:rPr>
          <w:rFonts w:ascii="Arial" w:eastAsia="Calibri" w:hAnsi="Arial" w:cs="Arial"/>
          <w:b/>
          <w:bCs/>
        </w:rPr>
        <w:t xml:space="preserve">  Ley</w:t>
      </w:r>
      <w:proofErr w:type="gramEnd"/>
      <w:r w:rsidRPr="00510393">
        <w:rPr>
          <w:rFonts w:ascii="Arial" w:eastAsia="Calibri" w:hAnsi="Arial" w:cs="Arial"/>
          <w:b/>
          <w:bCs/>
        </w:rPr>
        <w:t xml:space="preserve"> de Garantías Electorales </w:t>
      </w:r>
    </w:p>
    <w:p w14:paraId="2FFE0D38" w14:textId="77777777" w:rsidR="005F5053" w:rsidRPr="00474F1A" w:rsidRDefault="005F5053" w:rsidP="005F5053">
      <w:pPr>
        <w:tabs>
          <w:tab w:val="left" w:pos="426"/>
        </w:tabs>
        <w:spacing w:line="276" w:lineRule="auto"/>
        <w:jc w:val="both"/>
        <w:rPr>
          <w:rFonts w:ascii="Arial" w:hAnsi="Arial" w:cs="Arial"/>
          <w:bCs/>
          <w:lang w:eastAsia="es-CO"/>
        </w:rPr>
      </w:pPr>
      <w:r w:rsidRPr="00510393">
        <w:rPr>
          <w:rFonts w:ascii="Arial" w:hAnsi="Arial" w:cs="Arial"/>
          <w:bCs/>
          <w:lang w:eastAsia="es-CO"/>
        </w:rPr>
        <w:t xml:space="preserve">La Ley 996 de 2005, conocida como </w:t>
      </w:r>
      <w:r>
        <w:rPr>
          <w:rFonts w:ascii="Arial" w:hAnsi="Arial" w:cs="Arial"/>
          <w:bCs/>
          <w:lang w:eastAsia="es-CO"/>
        </w:rPr>
        <w:t>“</w:t>
      </w:r>
      <w:r w:rsidRPr="00510393">
        <w:rPr>
          <w:rFonts w:ascii="Arial" w:hAnsi="Arial" w:cs="Arial"/>
          <w:bCs/>
          <w:lang w:eastAsia="es-CO"/>
        </w:rPr>
        <w:t>Ley de Garantías Electorales</w:t>
      </w:r>
      <w:r>
        <w:rPr>
          <w:rFonts w:ascii="Arial" w:hAnsi="Arial" w:cs="Arial"/>
          <w:bCs/>
          <w:lang w:eastAsia="es-CO"/>
        </w:rPr>
        <w:t>”</w:t>
      </w:r>
      <w:r w:rsidRPr="00510393">
        <w:rPr>
          <w:rFonts w:ascii="Arial" w:hAnsi="Arial" w:cs="Arial"/>
          <w:bCs/>
          <w:lang w:eastAsia="es-CO"/>
        </w:rPr>
        <w:t>, tiene como propósito evitar cualquier tipo de arbitrariedad, de ventaja injustificada, de uso irregular de los recursos del Estado en las campañas o falta de garantías en la elección presidencial</w:t>
      </w:r>
      <w:r w:rsidRPr="00510393">
        <w:rPr>
          <w:rStyle w:val="Refdenotaalpie"/>
          <w:rFonts w:ascii="Arial" w:hAnsi="Arial" w:cs="Arial"/>
          <w:bCs/>
          <w:lang w:eastAsia="es-CO"/>
        </w:rPr>
        <w:footnoteReference w:id="4"/>
      </w:r>
      <w:r w:rsidRPr="00510393">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w:t>
      </w:r>
      <w:r w:rsidRPr="00510393">
        <w:rPr>
          <w:rFonts w:ascii="Arial" w:eastAsia="Calibri" w:hAnsi="Arial" w:cs="Arial"/>
          <w:noProof/>
          <w:lang w:val="es-ES_tradnl"/>
        </w:rPr>
        <w:t xml:space="preserve"> </w:t>
      </w:r>
      <w:r w:rsidRPr="00510393">
        <w:rPr>
          <w:rFonts w:ascii="Arial" w:hAnsi="Arial" w:cs="Arial"/>
          <w:bCs/>
          <w:lang w:eastAsia="es-CO"/>
        </w:rPr>
        <w:t>En armonía con lo anterior, la Corte Constitucional ha abordado la definición de la Ley de Garantías Electorales. De esta manera:</w:t>
      </w:r>
    </w:p>
    <w:p w14:paraId="404DEFD7" w14:textId="77777777" w:rsidR="005F5053" w:rsidRDefault="005F5053" w:rsidP="005F5053">
      <w:pPr>
        <w:ind w:left="709" w:right="709"/>
        <w:jc w:val="both"/>
        <w:rPr>
          <w:rFonts w:ascii="Arial" w:hAnsi="Arial" w:cs="Arial"/>
          <w:bCs/>
          <w:sz w:val="21"/>
          <w:szCs w:val="21"/>
          <w:lang w:eastAsia="es-CO"/>
        </w:rPr>
      </w:pPr>
      <w:r>
        <w:rPr>
          <w:rFonts w:ascii="Arial" w:hAnsi="Arial" w:cs="Arial"/>
          <w:sz w:val="21"/>
          <w:szCs w:val="21"/>
          <w:lang w:val="es-ES" w:eastAsia="es-CO"/>
        </w:rPr>
        <w:t>“</w:t>
      </w:r>
      <w:r w:rsidRPr="00510393">
        <w:rPr>
          <w:rFonts w:ascii="Arial" w:hAnsi="Arial" w:cs="Arial"/>
          <w:sz w:val="21"/>
          <w:szCs w:val="21"/>
          <w:lang w:val="es-ES" w:eastAsia="es-CO"/>
        </w:rPr>
        <w:t xml:space="preserve">[…] </w:t>
      </w:r>
      <w:r w:rsidRPr="00510393">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10393">
        <w:rPr>
          <w:rStyle w:val="Refdenotaalpie"/>
          <w:rFonts w:ascii="Arial" w:hAnsi="Arial" w:cs="Arial"/>
          <w:sz w:val="21"/>
          <w:szCs w:val="21"/>
        </w:rPr>
        <w:footnoteReference w:id="5"/>
      </w:r>
      <w:r w:rsidRPr="00510393">
        <w:rPr>
          <w:rFonts w:ascii="Arial" w:hAnsi="Arial" w:cs="Arial"/>
          <w:bCs/>
          <w:sz w:val="21"/>
          <w:szCs w:val="21"/>
          <w:lang w:eastAsia="es-CO"/>
        </w:rPr>
        <w:t>.</w:t>
      </w:r>
      <w:r>
        <w:rPr>
          <w:rFonts w:ascii="Arial" w:hAnsi="Arial" w:cs="Arial"/>
          <w:bCs/>
          <w:sz w:val="21"/>
          <w:szCs w:val="21"/>
          <w:lang w:eastAsia="es-CO"/>
        </w:rPr>
        <w:t>”</w:t>
      </w:r>
    </w:p>
    <w:p w14:paraId="08F6E46C" w14:textId="77777777" w:rsidR="005F5053" w:rsidRPr="00510393" w:rsidRDefault="005F5053" w:rsidP="005F5053">
      <w:pPr>
        <w:spacing w:line="276" w:lineRule="auto"/>
        <w:ind w:firstLine="709"/>
        <w:jc w:val="both"/>
        <w:rPr>
          <w:rFonts w:ascii="Arial" w:hAnsi="Arial" w:cs="Arial"/>
          <w:bCs/>
          <w:lang w:eastAsia="es-CO"/>
        </w:rPr>
      </w:pPr>
      <w:bookmarkStart w:id="10" w:name="_Hlk78818186"/>
      <w:r w:rsidRPr="00510393">
        <w:rPr>
          <w:rFonts w:ascii="Arial" w:hAnsi="Arial" w:cs="Arial"/>
          <w:bCs/>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0"/>
      <w:r w:rsidRPr="00510393">
        <w:rPr>
          <w:rFonts w:ascii="Arial" w:hAnsi="Arial" w:cs="Arial"/>
          <w:bCs/>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02A5CA7F" w14:textId="77777777" w:rsidR="005F5053" w:rsidRPr="00510393" w:rsidRDefault="005F5053" w:rsidP="005F5053">
      <w:pPr>
        <w:spacing w:after="120"/>
        <w:ind w:left="709" w:right="709"/>
        <w:jc w:val="both"/>
        <w:rPr>
          <w:rFonts w:ascii="Arial" w:hAnsi="Arial" w:cs="Arial"/>
          <w:bCs/>
          <w:sz w:val="21"/>
          <w:szCs w:val="21"/>
          <w:lang w:eastAsia="es-CO"/>
        </w:rPr>
      </w:pPr>
      <w:r>
        <w:rPr>
          <w:rFonts w:ascii="Arial" w:hAnsi="Arial" w:cs="Arial"/>
          <w:bCs/>
          <w:sz w:val="21"/>
          <w:szCs w:val="21"/>
          <w:lang w:eastAsia="es-CO"/>
        </w:rPr>
        <w:t>“</w:t>
      </w:r>
      <w:r w:rsidRPr="00510393">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10393">
        <w:rPr>
          <w:rFonts w:ascii="Arial" w:hAnsi="Arial" w:cs="Arial"/>
          <w:bCs/>
          <w:sz w:val="21"/>
          <w:szCs w:val="21"/>
          <w:lang w:eastAsia="es-CO"/>
        </w:rPr>
        <w:t>legis</w:t>
      </w:r>
      <w:proofErr w:type="spellEnd"/>
      <w:r w:rsidRPr="00510393">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D5613A6" w14:textId="77777777" w:rsidR="005F5053" w:rsidRPr="00510393" w:rsidRDefault="005F5053" w:rsidP="005F5053">
      <w:pPr>
        <w:ind w:left="709" w:right="709"/>
        <w:jc w:val="both"/>
        <w:rPr>
          <w:rFonts w:ascii="Arial" w:hAnsi="Arial" w:cs="Arial"/>
          <w:bCs/>
          <w:sz w:val="21"/>
          <w:szCs w:val="21"/>
          <w:lang w:eastAsia="es-CO"/>
        </w:rPr>
      </w:pPr>
      <w:r w:rsidRPr="00510393">
        <w:rPr>
          <w:rFonts w:ascii="Arial" w:hAnsi="Arial" w:cs="Arial"/>
          <w:bCs/>
          <w:sz w:val="21"/>
          <w:szCs w:val="21"/>
          <w:lang w:eastAsia="es-CO"/>
        </w:rPr>
        <w:t>La jurisprudencia de la Corte Constitucional</w:t>
      </w:r>
      <w:r w:rsidRPr="00510393">
        <w:rPr>
          <w:rStyle w:val="Refdenotaalpie"/>
          <w:rFonts w:ascii="Arial" w:hAnsi="Arial" w:cs="Arial"/>
          <w:bCs/>
          <w:sz w:val="21"/>
          <w:szCs w:val="21"/>
          <w:lang w:eastAsia="es-CO"/>
        </w:rPr>
        <w:footnoteReference w:id="6"/>
      </w:r>
      <w:r w:rsidRPr="00510393">
        <w:rPr>
          <w:rFonts w:ascii="Arial" w:hAnsi="Arial" w:cs="Arial"/>
          <w:bCs/>
          <w:sz w:val="21"/>
          <w:szCs w:val="21"/>
          <w:lang w:eastAsia="es-CO"/>
        </w:rPr>
        <w:t> y del Consejo de Estado</w:t>
      </w:r>
      <w:r w:rsidRPr="00510393">
        <w:rPr>
          <w:rStyle w:val="Refdenotaalpie"/>
          <w:rFonts w:ascii="Arial" w:hAnsi="Arial" w:cs="Arial"/>
          <w:bCs/>
          <w:sz w:val="21"/>
          <w:szCs w:val="21"/>
          <w:lang w:eastAsia="es-CO"/>
        </w:rPr>
        <w:footnoteReference w:id="7"/>
      </w:r>
      <w:r w:rsidRPr="00510393">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10393">
        <w:rPr>
          <w:rStyle w:val="Refdenotaalpie"/>
          <w:rFonts w:ascii="Arial" w:hAnsi="Arial" w:cs="Arial"/>
          <w:bCs/>
          <w:sz w:val="21"/>
          <w:szCs w:val="21"/>
          <w:lang w:eastAsia="es-CO"/>
        </w:rPr>
        <w:footnoteReference w:id="8"/>
      </w:r>
      <w:r w:rsidRPr="00510393">
        <w:rPr>
          <w:rFonts w:ascii="Arial" w:hAnsi="Arial" w:cs="Arial"/>
          <w:bCs/>
          <w:sz w:val="21"/>
          <w:szCs w:val="21"/>
          <w:lang w:eastAsia="es-CO"/>
        </w:rPr>
        <w:t>.</w:t>
      </w:r>
      <w:r>
        <w:rPr>
          <w:rFonts w:ascii="Arial" w:hAnsi="Arial" w:cs="Arial"/>
          <w:bCs/>
          <w:sz w:val="21"/>
          <w:szCs w:val="21"/>
          <w:lang w:eastAsia="es-CO"/>
        </w:rPr>
        <w:t>”</w:t>
      </w:r>
    </w:p>
    <w:p w14:paraId="5A3C92E9" w14:textId="77777777" w:rsidR="005F5053" w:rsidRPr="00510393" w:rsidRDefault="005F5053" w:rsidP="005F5053">
      <w:pPr>
        <w:spacing w:after="120" w:line="276" w:lineRule="auto"/>
        <w:jc w:val="both"/>
        <w:rPr>
          <w:rFonts w:ascii="Arial" w:eastAsia="Arial" w:hAnsi="Arial" w:cs="Arial"/>
          <w:lang w:val="es-ES" w:eastAsia="es-ES" w:bidi="es-ES"/>
        </w:rPr>
      </w:pPr>
      <w:r w:rsidRPr="00510393">
        <w:rPr>
          <w:rFonts w:ascii="Arial" w:hAnsi="Arial" w:cs="Arial"/>
          <w:bCs/>
          <w:lang w:eastAsia="es-CO"/>
        </w:rPr>
        <w:tab/>
        <w:t>De</w:t>
      </w:r>
      <w:r w:rsidRPr="00510393">
        <w:rPr>
          <w:rFonts w:ascii="Arial" w:eastAsia="Arial" w:hAnsi="Arial" w:cs="Arial"/>
          <w:lang w:val="es-ES" w:eastAsia="es-ES" w:bidi="es-ES"/>
        </w:rPr>
        <w:t xml:space="preserve"> conformidad con lo anterior, </w:t>
      </w:r>
      <w:bookmarkStart w:id="11" w:name="_Hlk77236098"/>
      <w:r w:rsidRPr="00510393">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1"/>
    </w:p>
    <w:p w14:paraId="60DCC9B0" w14:textId="77777777" w:rsidR="005F5053" w:rsidRPr="00510393" w:rsidRDefault="005F5053" w:rsidP="005F5053">
      <w:pPr>
        <w:spacing w:after="120" w:line="276" w:lineRule="auto"/>
        <w:ind w:firstLine="708"/>
        <w:jc w:val="both"/>
        <w:rPr>
          <w:rFonts w:ascii="Arial" w:eastAsia="Calibri" w:hAnsi="Arial" w:cs="Arial"/>
        </w:rPr>
      </w:pPr>
      <w:r w:rsidRPr="00510393">
        <w:rPr>
          <w:rFonts w:ascii="Arial" w:eastAsia="Calibri" w:hAnsi="Arial" w:cs="Arial"/>
        </w:rPr>
        <w:t xml:space="preserve">Por un lado, el artículo 33 de la Ley 996 de 2005 prohíbe </w:t>
      </w:r>
      <w:r>
        <w:rPr>
          <w:rFonts w:ascii="Arial" w:eastAsia="Calibri" w:hAnsi="Arial" w:cs="Arial"/>
          <w:bCs/>
        </w:rPr>
        <w:t>“</w:t>
      </w:r>
      <w:r w:rsidRPr="00510393">
        <w:rPr>
          <w:rFonts w:ascii="Arial" w:eastAsia="Calibri" w:hAnsi="Arial" w:cs="Arial"/>
          <w:bCs/>
        </w:rPr>
        <w:t xml:space="preserve">[…] </w:t>
      </w:r>
      <w:r w:rsidRPr="00510393">
        <w:rPr>
          <w:rFonts w:ascii="Arial" w:eastAsia="Calibri" w:hAnsi="Arial" w:cs="Arial"/>
        </w:rPr>
        <w:t>la contratación directa por parte de todos los entes del Estado</w:t>
      </w:r>
      <w:r w:rsidRPr="00510393">
        <w:rPr>
          <w:rFonts w:ascii="Arial" w:eastAsia="Calibri" w:hAnsi="Arial" w:cs="Arial"/>
          <w:bCs/>
        </w:rPr>
        <w:t>»</w:t>
      </w:r>
      <w:r w:rsidRPr="00510393">
        <w:rPr>
          <w:rFonts w:ascii="Arial" w:eastAsia="Calibri" w:hAnsi="Arial" w:cs="Arial"/>
        </w:rPr>
        <w:t xml:space="preserve"> durante los cuatro (4) meses anteriores a las elecciones presidenciales, salvo </w:t>
      </w:r>
      <w:r>
        <w:rPr>
          <w:rFonts w:ascii="Arial" w:eastAsia="Calibri" w:hAnsi="Arial" w:cs="Arial"/>
          <w:bCs/>
        </w:rPr>
        <w:t>“</w:t>
      </w:r>
      <w:r w:rsidRPr="00510393">
        <w:rPr>
          <w:rFonts w:ascii="Arial" w:eastAsia="Calibri" w:hAnsi="Arial" w:cs="Arial"/>
          <w:bCs/>
        </w:rPr>
        <w:t xml:space="preserve">[…] </w:t>
      </w:r>
      <w:r w:rsidRPr="00510393">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bCs/>
        </w:rPr>
        <w:t>”</w:t>
      </w:r>
      <w:r w:rsidRPr="00510393">
        <w:rPr>
          <w:rFonts w:ascii="Arial" w:eastAsia="Calibri" w:hAnsi="Arial" w:cs="Arial"/>
          <w:bCs/>
          <w:vertAlign w:val="superscript"/>
        </w:rPr>
        <w:footnoteReference w:id="9"/>
      </w:r>
      <w:r w:rsidRPr="00510393">
        <w:rPr>
          <w:rFonts w:ascii="Arial" w:eastAsia="Calibri" w:hAnsi="Arial" w:cs="Arial"/>
        </w:rPr>
        <w:t>.</w:t>
      </w:r>
    </w:p>
    <w:p w14:paraId="11324500" w14:textId="77777777" w:rsidR="005F5053" w:rsidRPr="00510393" w:rsidRDefault="005F5053" w:rsidP="005F5053">
      <w:pPr>
        <w:widowControl w:val="0"/>
        <w:autoSpaceDE w:val="0"/>
        <w:autoSpaceDN w:val="0"/>
        <w:spacing w:line="276" w:lineRule="auto"/>
        <w:ind w:right="113" w:firstLine="708"/>
        <w:jc w:val="both"/>
        <w:rPr>
          <w:rFonts w:ascii="Arial" w:eastAsia="Arial" w:hAnsi="Arial" w:cs="Arial"/>
          <w:lang w:val="es-ES" w:eastAsia="es-ES" w:bidi="es-ES"/>
        </w:rPr>
      </w:pPr>
      <w:r w:rsidRPr="00510393">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Pr>
          <w:rFonts w:ascii="Arial" w:eastAsia="Calibri" w:hAnsi="Arial" w:cs="Arial"/>
          <w:bCs/>
        </w:rPr>
        <w:t>“</w:t>
      </w:r>
      <w:r w:rsidRPr="00510393">
        <w:rPr>
          <w:rFonts w:ascii="Arial" w:eastAsia="Calibri" w:hAnsi="Arial" w:cs="Arial"/>
          <w:bCs/>
        </w:rPr>
        <w:t xml:space="preserve">[…] </w:t>
      </w:r>
      <w:r w:rsidRPr="00510393">
        <w:rPr>
          <w:rFonts w:ascii="Arial" w:eastAsia="Calibri" w:hAnsi="Arial" w:cs="Aria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bCs/>
          <w:sz w:val="19"/>
          <w:szCs w:val="19"/>
        </w:rPr>
        <w:t>”</w:t>
      </w:r>
      <w:r w:rsidRPr="00510393">
        <w:rPr>
          <w:rFonts w:ascii="Arial" w:eastAsia="Calibri" w:hAnsi="Arial" w:cs="Arial"/>
          <w:bCs/>
          <w:sz w:val="19"/>
          <w:szCs w:val="19"/>
          <w:vertAlign w:val="superscript"/>
        </w:rPr>
        <w:footnoteReference w:id="10"/>
      </w:r>
      <w:r w:rsidRPr="00510393">
        <w:rPr>
          <w:rFonts w:ascii="Arial" w:eastAsia="Calibri" w:hAnsi="Arial" w:cs="Arial"/>
        </w:rPr>
        <w:t>.</w:t>
      </w:r>
      <w:r w:rsidRPr="00510393">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508DBF3B" w14:textId="77777777" w:rsidR="005F5053" w:rsidRPr="00510393" w:rsidRDefault="005F5053" w:rsidP="005F5053">
      <w:pPr>
        <w:widowControl w:val="0"/>
        <w:autoSpaceDE w:val="0"/>
        <w:autoSpaceDN w:val="0"/>
        <w:ind w:left="709" w:right="709"/>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w:t>
      </w:r>
      <w:r w:rsidRPr="0051039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4" w:name="_Hlk76109421"/>
      <w:r w:rsidRPr="00510393">
        <w:rPr>
          <w:rFonts w:ascii="Arial" w:eastAsia="Arial" w:hAnsi="Arial" w:cs="Arial"/>
          <w:sz w:val="21"/>
          <w:szCs w:val="21"/>
          <w:lang w:val="es-ES" w:eastAsia="es-ES" w:bidi="es-ES"/>
        </w:rPr>
        <w:t>se integran parcialmente</w:t>
      </w:r>
      <w:bookmarkEnd w:id="14"/>
      <w:r w:rsidRPr="0051039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10393">
        <w:rPr>
          <w:rFonts w:ascii="Arial" w:eastAsia="Arial" w:hAnsi="Arial" w:cs="Arial"/>
          <w:bCs/>
          <w:sz w:val="21"/>
          <w:szCs w:val="21"/>
          <w:lang w:val="es-ES" w:eastAsia="es-ES" w:bidi="es-ES"/>
        </w:rPr>
        <w:t xml:space="preserve">En cambio, para elecciones en general, excluyendo las correspondientes a </w:t>
      </w:r>
      <w:proofErr w:type="gramStart"/>
      <w:r w:rsidRPr="00510393">
        <w:rPr>
          <w:rFonts w:ascii="Arial" w:eastAsia="Arial" w:hAnsi="Arial" w:cs="Arial"/>
          <w:bCs/>
          <w:sz w:val="21"/>
          <w:szCs w:val="21"/>
          <w:lang w:val="es-ES" w:eastAsia="es-ES" w:bidi="es-ES"/>
        </w:rPr>
        <w:t>Presidente</w:t>
      </w:r>
      <w:proofErr w:type="gramEnd"/>
      <w:r w:rsidRPr="0051039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510393">
        <w:rPr>
          <w:rFonts w:ascii="Arial" w:eastAsia="Arial" w:hAnsi="Arial" w:cs="Arial"/>
          <w:sz w:val="21"/>
          <w:szCs w:val="21"/>
          <w:vertAlign w:val="superscript"/>
          <w:lang w:val="es-ES" w:eastAsia="es-ES" w:bidi="es-ES"/>
        </w:rPr>
        <w:footnoteReference w:id="11"/>
      </w:r>
      <w:r>
        <w:rPr>
          <w:rFonts w:ascii="Arial" w:eastAsia="Arial" w:hAnsi="Arial" w:cs="Arial"/>
          <w:bCs/>
          <w:sz w:val="21"/>
          <w:szCs w:val="21"/>
          <w:lang w:val="es-ES" w:eastAsia="es-ES" w:bidi="es-ES"/>
        </w:rPr>
        <w:t>.”</w:t>
      </w:r>
      <w:r w:rsidRPr="00510393">
        <w:rPr>
          <w:rFonts w:ascii="Calibri" w:hAnsi="Calibri" w:cs="Calibri"/>
        </w:rPr>
        <w:t xml:space="preserve"> </w:t>
      </w:r>
    </w:p>
    <w:p w14:paraId="68EE170B" w14:textId="77777777" w:rsidR="005F5053" w:rsidRPr="00510393" w:rsidRDefault="005F5053" w:rsidP="005F5053">
      <w:pPr>
        <w:spacing w:after="120" w:line="276" w:lineRule="auto"/>
        <w:ind w:firstLine="709"/>
        <w:jc w:val="both"/>
        <w:rPr>
          <w:rFonts w:ascii="Arial" w:eastAsia="Arial" w:hAnsi="Arial" w:cs="Arial"/>
          <w:lang w:val="es-ES" w:eastAsia="es-ES" w:bidi="es-ES"/>
        </w:rPr>
      </w:pPr>
      <w:r w:rsidRPr="00510393">
        <w:rPr>
          <w:rFonts w:ascii="Arial" w:eastAsia="Arial" w:hAnsi="Arial" w:cs="Arial"/>
          <w:lang w:val="es-ES" w:eastAsia="es-ES" w:bidi="es-ES"/>
        </w:rPr>
        <w:t xml:space="preserve">De conformidad con lo anterior, </w:t>
      </w:r>
      <w:bookmarkStart w:id="15" w:name="_Hlk77236420"/>
      <w:bookmarkStart w:id="16" w:name="_Hlk78818435"/>
      <w:bookmarkStart w:id="17" w:name="_Hlk75780333"/>
      <w:r w:rsidRPr="00510393">
        <w:rPr>
          <w:rFonts w:ascii="Arial" w:eastAsia="Arial" w:hAnsi="Arial" w:cs="Arial"/>
          <w:lang w:val="es-ES" w:eastAsia="es-ES" w:bidi="es-ES"/>
        </w:rPr>
        <w:t xml:space="preserve">la Ley 996 de 2005 establece dos (2) tipos de restricciones en materia de contratación, las cuales coinciden parcialmente. </w:t>
      </w:r>
      <w:r w:rsidRPr="00510393">
        <w:rPr>
          <w:rFonts w:ascii="Arial" w:eastAsia="Arial" w:hAnsi="Arial" w:cs="Arial"/>
          <w:i/>
          <w:iCs/>
          <w:lang w:val="es-ES" w:eastAsia="es-ES" w:bidi="es-ES"/>
        </w:rPr>
        <w:t>En primer lugar</w:t>
      </w:r>
      <w:r w:rsidRPr="00510393">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10393">
        <w:rPr>
          <w:rFonts w:ascii="Arial" w:eastAsia="Arial" w:hAnsi="Arial" w:cs="Arial"/>
          <w:i/>
          <w:iCs/>
          <w:lang w:val="es-ES" w:eastAsia="es-ES" w:bidi="es-ES"/>
        </w:rPr>
        <w:t>En segundo lugar</w:t>
      </w:r>
      <w:r w:rsidRPr="00510393">
        <w:rPr>
          <w:rFonts w:ascii="Arial" w:eastAsia="Arial" w:hAnsi="Arial" w:cs="Arial"/>
          <w:lang w:val="es-ES" w:eastAsia="es-ES" w:bidi="es-ES"/>
        </w:rPr>
        <w:t>, también se encuentra la prohibición del</w:t>
      </w:r>
      <w:r>
        <w:rPr>
          <w:rFonts w:ascii="Arial" w:eastAsia="Arial" w:hAnsi="Arial" w:cs="Arial"/>
          <w:lang w:val="es-ES" w:eastAsia="es-ES" w:bidi="es-ES"/>
        </w:rPr>
        <w:t xml:space="preserve"> inciso primero del</w:t>
      </w:r>
      <w:r w:rsidRPr="00510393">
        <w:rPr>
          <w:rFonts w:ascii="Arial" w:eastAsia="Arial" w:hAnsi="Arial" w:cs="Arial"/>
          <w:lang w:val="es-ES" w:eastAsia="es-ES" w:bidi="es-ES"/>
        </w:rPr>
        <w:t xml:space="preserve">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5"/>
    </w:p>
    <w:bookmarkEnd w:id="16"/>
    <w:p w14:paraId="10F6EE52" w14:textId="77777777" w:rsidR="005F5053" w:rsidRPr="00510393" w:rsidRDefault="005F5053" w:rsidP="005F5053">
      <w:pPr>
        <w:spacing w:after="120" w:line="276" w:lineRule="auto"/>
        <w:ind w:firstLine="709"/>
        <w:jc w:val="both"/>
        <w:rPr>
          <w:rFonts w:ascii="Arial" w:eastAsia="Arial" w:hAnsi="Arial" w:cs="Arial"/>
          <w:lang w:val="es-ES" w:eastAsia="es-ES" w:bidi="es-ES"/>
        </w:rPr>
      </w:pPr>
      <w:r w:rsidRPr="00510393">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510393">
        <w:rPr>
          <w:rFonts w:ascii="Arial" w:eastAsia="Arial" w:hAnsi="Arial" w:cs="Arial"/>
          <w:lang w:val="es-ES" w:eastAsia="es-ES" w:bidi="es-ES"/>
        </w:rPr>
        <w:t>Presidente</w:t>
      </w:r>
      <w:proofErr w:type="gramEnd"/>
      <w:r w:rsidRPr="00510393">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510393">
        <w:rPr>
          <w:rFonts w:ascii="Arial" w:eastAsia="Arial" w:hAnsi="Arial" w:cs="Arial"/>
          <w:lang w:val="es-ES" w:eastAsia="es-ES" w:bidi="es-ES"/>
        </w:rPr>
        <w:t>Presidente</w:t>
      </w:r>
      <w:proofErr w:type="gramEnd"/>
      <w:r w:rsidRPr="00510393">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17"/>
    <w:p w14:paraId="6C2173C9" w14:textId="77777777" w:rsidR="005F5053" w:rsidRDefault="005F5053" w:rsidP="005F5053">
      <w:pPr>
        <w:spacing w:line="276" w:lineRule="auto"/>
        <w:ind w:firstLine="708"/>
        <w:jc w:val="both"/>
        <w:rPr>
          <w:rFonts w:ascii="Arial" w:eastAsia="Arial" w:hAnsi="Arial" w:cs="Arial"/>
          <w:lang w:val="es-ES" w:eastAsia="es-ES" w:bidi="es-ES"/>
        </w:rPr>
      </w:pPr>
      <w:r w:rsidRPr="00510393">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510393">
        <w:rPr>
          <w:rFonts w:ascii="Arial" w:eastAsia="Arial" w:hAnsi="Arial" w:cs="Arial"/>
          <w:lang w:val="es-ES" w:eastAsia="es-ES" w:bidi="es-ES"/>
        </w:rPr>
        <w:t>Presidente</w:t>
      </w:r>
      <w:proofErr w:type="gramEnd"/>
      <w:r w:rsidRPr="00510393">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A63E878" w14:textId="77777777" w:rsidR="005F5053" w:rsidRPr="00510393" w:rsidRDefault="005F5053" w:rsidP="005F5053">
      <w:pPr>
        <w:spacing w:after="0" w:line="276" w:lineRule="auto"/>
        <w:jc w:val="both"/>
        <w:rPr>
          <w:rFonts w:ascii="Arial" w:eastAsia="Arial" w:hAnsi="Arial" w:cs="Arial"/>
          <w:b/>
          <w:bCs/>
          <w:lang w:val="es-ES" w:eastAsia="es-ES" w:bidi="es-ES"/>
        </w:rPr>
      </w:pPr>
      <w:r w:rsidRPr="00510393">
        <w:rPr>
          <w:rFonts w:ascii="Arial" w:eastAsia="Arial" w:hAnsi="Arial" w:cs="Arial"/>
          <w:b/>
          <w:bCs/>
          <w:lang w:val="es-ES" w:eastAsia="es-ES" w:bidi="es-ES"/>
        </w:rPr>
        <w:t>2.</w:t>
      </w:r>
      <w:r>
        <w:rPr>
          <w:rFonts w:ascii="Arial" w:eastAsia="Arial" w:hAnsi="Arial" w:cs="Arial"/>
          <w:b/>
          <w:bCs/>
          <w:lang w:val="es-ES" w:eastAsia="es-ES" w:bidi="es-ES"/>
        </w:rPr>
        <w:t>2</w:t>
      </w:r>
      <w:r w:rsidRPr="00510393">
        <w:rPr>
          <w:rFonts w:ascii="Arial" w:eastAsia="Arial" w:hAnsi="Arial" w:cs="Arial"/>
          <w:b/>
          <w:bCs/>
          <w:lang w:val="es-ES" w:eastAsia="es-ES" w:bidi="es-ES"/>
        </w:rPr>
        <w:t xml:space="preserve">. </w:t>
      </w:r>
      <w:bookmarkStart w:id="18" w:name="_Hlk93328413"/>
      <w:r>
        <w:rPr>
          <w:rFonts w:ascii="Arial" w:eastAsia="Arial" w:hAnsi="Arial" w:cs="Arial"/>
          <w:b/>
          <w:bCs/>
          <w:lang w:val="es-ES" w:eastAsia="es-ES" w:bidi="es-ES"/>
        </w:rPr>
        <w:t>Aplicabilidad de las r</w:t>
      </w:r>
      <w:r w:rsidRPr="00510393">
        <w:rPr>
          <w:rFonts w:ascii="Arial" w:eastAsia="Arial" w:hAnsi="Arial" w:cs="Arial"/>
          <w:b/>
          <w:bCs/>
          <w:lang w:val="es-ES" w:eastAsia="es-ES" w:bidi="es-ES"/>
        </w:rPr>
        <w:t>estricciones</w:t>
      </w:r>
      <w:r>
        <w:rPr>
          <w:rFonts w:ascii="Arial" w:eastAsia="Arial" w:hAnsi="Arial" w:cs="Arial"/>
          <w:b/>
          <w:bCs/>
          <w:lang w:val="es-ES" w:eastAsia="es-ES" w:bidi="es-ES"/>
        </w:rPr>
        <w:t xml:space="preserve"> contractuales</w:t>
      </w:r>
      <w:r w:rsidRPr="00510393">
        <w:rPr>
          <w:rFonts w:ascii="Arial" w:eastAsia="Arial" w:hAnsi="Arial" w:cs="Arial"/>
          <w:b/>
          <w:bCs/>
          <w:lang w:val="es-ES" w:eastAsia="es-ES" w:bidi="es-ES"/>
        </w:rPr>
        <w:t xml:space="preserve"> de la Ley de Garantías</w:t>
      </w:r>
      <w:r>
        <w:rPr>
          <w:rFonts w:ascii="Arial" w:eastAsia="Arial" w:hAnsi="Arial" w:cs="Arial"/>
          <w:b/>
          <w:bCs/>
          <w:lang w:val="es-ES" w:eastAsia="es-ES" w:bidi="es-ES"/>
        </w:rPr>
        <w:t xml:space="preserve"> Electorales</w:t>
      </w:r>
      <w:r w:rsidRPr="00510393">
        <w:rPr>
          <w:rFonts w:ascii="Arial" w:eastAsia="Arial" w:hAnsi="Arial" w:cs="Arial"/>
          <w:b/>
          <w:bCs/>
          <w:lang w:val="es-ES" w:eastAsia="es-ES" w:bidi="es-ES"/>
        </w:rPr>
        <w:t xml:space="preserve"> </w:t>
      </w:r>
      <w:r>
        <w:rPr>
          <w:rFonts w:ascii="Arial" w:eastAsia="Arial" w:hAnsi="Arial" w:cs="Arial"/>
          <w:b/>
          <w:bCs/>
          <w:lang w:val="es-ES" w:eastAsia="es-ES" w:bidi="es-ES"/>
        </w:rPr>
        <w:t>a</w:t>
      </w:r>
      <w:r w:rsidRPr="00510393">
        <w:rPr>
          <w:rFonts w:ascii="Arial" w:eastAsia="Arial" w:hAnsi="Arial" w:cs="Arial"/>
          <w:b/>
          <w:bCs/>
          <w:lang w:val="es-ES" w:eastAsia="es-ES" w:bidi="es-ES"/>
        </w:rPr>
        <w:t xml:space="preserve"> los convenios de asociación </w:t>
      </w:r>
      <w:bookmarkStart w:id="19" w:name="_Hlk99534975"/>
      <w:r w:rsidRPr="00510393">
        <w:rPr>
          <w:rFonts w:ascii="Arial" w:eastAsia="Arial" w:hAnsi="Arial" w:cs="Arial"/>
          <w:b/>
          <w:bCs/>
          <w:lang w:val="es-ES" w:eastAsia="es-ES" w:bidi="es-ES"/>
        </w:rPr>
        <w:t>con entidades privadas sin ánimo de lucro</w:t>
      </w:r>
      <w:bookmarkEnd w:id="18"/>
      <w:bookmarkEnd w:id="19"/>
    </w:p>
    <w:p w14:paraId="45DA2693" w14:textId="77777777" w:rsidR="005F5053" w:rsidRPr="00510393" w:rsidRDefault="005F5053" w:rsidP="005F5053">
      <w:pPr>
        <w:pStyle w:val="Sinespaciado"/>
        <w:spacing w:line="276" w:lineRule="auto"/>
        <w:jc w:val="both"/>
        <w:rPr>
          <w:rFonts w:ascii="Arial" w:hAnsi="Arial" w:cs="Arial"/>
          <w:sz w:val="22"/>
        </w:rPr>
      </w:pPr>
    </w:p>
    <w:p w14:paraId="5D06AD38" w14:textId="77777777" w:rsidR="005F5053" w:rsidRPr="00510393" w:rsidRDefault="005F5053" w:rsidP="005F5053">
      <w:pPr>
        <w:pStyle w:val="Sinespaciado"/>
        <w:spacing w:after="120" w:line="276" w:lineRule="auto"/>
        <w:jc w:val="both"/>
        <w:rPr>
          <w:rFonts w:ascii="Arial" w:hAnsi="Arial" w:cs="Arial"/>
          <w:sz w:val="22"/>
        </w:rPr>
      </w:pPr>
      <w:bookmarkStart w:id="20" w:name="_Hlk99534341"/>
      <w:r w:rsidRPr="00510393">
        <w:rPr>
          <w:rFonts w:ascii="Arial" w:hAnsi="Arial" w:cs="Arial"/>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510393">
        <w:rPr>
          <w:rStyle w:val="Refdenotaalpie"/>
          <w:rFonts w:ascii="Arial" w:hAnsi="Arial" w:cs="Arial"/>
          <w:sz w:val="22"/>
        </w:rPr>
        <w:footnoteReference w:id="12"/>
      </w:r>
      <w:r w:rsidRPr="00510393">
        <w:rPr>
          <w:rFonts w:ascii="Arial" w:hAnsi="Arial" w:cs="Arial"/>
          <w:sz w:val="22"/>
        </w:rPr>
        <w:t xml:space="preserve">. </w:t>
      </w:r>
      <w:r w:rsidRPr="00510393">
        <w:rPr>
          <w:rFonts w:ascii="Arial" w:eastAsia="Calibri" w:hAnsi="Arial"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510393">
        <w:rPr>
          <w:rStyle w:val="Refdenotaalpie"/>
          <w:rFonts w:ascii="Arial" w:eastAsia="Calibri" w:hAnsi="Arial" w:cs="Arial"/>
          <w:sz w:val="22"/>
        </w:rPr>
        <w:footnoteReference w:id="13"/>
      </w:r>
      <w:r w:rsidRPr="00510393">
        <w:rPr>
          <w:rFonts w:ascii="Arial" w:eastAsia="Calibri" w:hAnsi="Arial" w:cs="Arial"/>
          <w:sz w:val="22"/>
        </w:rPr>
        <w:t>. Ambas figuras tienen como fin desarrollar conjuntamente actividades relacionadas con los cometidos y funciones legales asignadas a la entidad.</w:t>
      </w:r>
      <w:bookmarkEnd w:id="20"/>
    </w:p>
    <w:p w14:paraId="643012AF" w14:textId="77777777" w:rsidR="005F5053" w:rsidRPr="00510393" w:rsidRDefault="005F5053" w:rsidP="005F5053">
      <w:pPr>
        <w:spacing w:after="120" w:line="276" w:lineRule="auto"/>
        <w:ind w:firstLine="708"/>
        <w:jc w:val="both"/>
        <w:rPr>
          <w:rFonts w:ascii="Arial" w:eastAsia="Calibri" w:hAnsi="Arial" w:cs="Arial"/>
        </w:rPr>
      </w:pPr>
      <w:r w:rsidRPr="00510393">
        <w:rPr>
          <w:rFonts w:ascii="Arial" w:hAnsi="Arial" w:cs="Arial"/>
        </w:rPr>
        <w:t>En desarrollo del artículo 355 de la Constitución, el Gobierno Nacional expidió el Decreto 92 de 2017, q</w:t>
      </w:r>
      <w:r w:rsidRPr="00510393">
        <w:rPr>
          <w:rFonts w:ascii="Arial" w:eastAsia="Calibri" w:hAnsi="Arial" w:cs="Arial"/>
        </w:rPr>
        <w:t xml:space="preserve">ue dispone las reglas para las contrataciones que realicen las entidades estatales con las ESAL. El Decreto regula dos eventos: i) los </w:t>
      </w:r>
      <w:r w:rsidRPr="00510393">
        <w:rPr>
          <w:rFonts w:ascii="Arial" w:eastAsia="Calibri" w:hAnsi="Arial" w:cs="Arial"/>
          <w:i/>
          <w:iCs/>
        </w:rPr>
        <w:t>contratos de colaboración</w:t>
      </w:r>
      <w:r w:rsidRPr="00510393">
        <w:rPr>
          <w:rFonts w:ascii="Arial" w:eastAsia="Calibri" w:hAnsi="Arial" w:cs="Arial"/>
        </w:rPr>
        <w:t xml:space="preserve"> o de interés público con el fin impulsar programas y actividades de interés público de acuerdo con el Plan Nacional o los planes seccionales de desarrollo, en los términos del artículo 355 de la Constitución Política; y </w:t>
      </w:r>
      <w:proofErr w:type="spellStart"/>
      <w:r w:rsidRPr="00510393">
        <w:rPr>
          <w:rFonts w:ascii="Arial" w:eastAsia="Calibri" w:hAnsi="Arial" w:cs="Arial"/>
        </w:rPr>
        <w:t>ii</w:t>
      </w:r>
      <w:proofErr w:type="spellEnd"/>
      <w:r w:rsidRPr="00510393">
        <w:rPr>
          <w:rFonts w:ascii="Arial" w:eastAsia="Calibri" w:hAnsi="Arial" w:cs="Arial"/>
        </w:rPr>
        <w:t xml:space="preserve">) </w:t>
      </w:r>
      <w:bookmarkStart w:id="21" w:name="_Hlk99534400"/>
      <w:r w:rsidRPr="00510393">
        <w:rPr>
          <w:rFonts w:ascii="Arial" w:eastAsia="Calibri" w:hAnsi="Arial" w:cs="Arial"/>
        </w:rPr>
        <w:t xml:space="preserve">los </w:t>
      </w:r>
      <w:r w:rsidRPr="00510393">
        <w:rPr>
          <w:rFonts w:ascii="Arial" w:eastAsia="Calibri" w:hAnsi="Arial" w:cs="Arial"/>
          <w:i/>
          <w:iCs/>
        </w:rPr>
        <w:t>convenios de asociación</w:t>
      </w:r>
      <w:r w:rsidRPr="00510393">
        <w:rPr>
          <w:rFonts w:ascii="Arial" w:eastAsia="Calibri" w:hAnsi="Arial" w:cs="Arial"/>
        </w:rPr>
        <w:t>, para el desarrollo conjunto de actividades relacionadas con las funciones de las entidades estatales, en desarrollo del artículo 96 de la Ley 489 de 1998</w:t>
      </w:r>
      <w:bookmarkEnd w:id="21"/>
      <w:r w:rsidRPr="00510393">
        <w:rPr>
          <w:rFonts w:ascii="Arial" w:eastAsia="Calibri" w:hAnsi="Arial" w:cs="Arial"/>
        </w:rPr>
        <w:t xml:space="preserve">. Los primeros están regulados en el artículo 2 </w:t>
      </w:r>
      <w:bookmarkStart w:id="22" w:name="_Hlk99534444"/>
      <w:r w:rsidRPr="00510393">
        <w:rPr>
          <w:rFonts w:ascii="Arial" w:eastAsia="Calibri" w:hAnsi="Arial" w:cs="Arial"/>
        </w:rPr>
        <w:t>del Decreto 92 de 2017</w:t>
      </w:r>
      <w:bookmarkEnd w:id="22"/>
      <w:r w:rsidRPr="00510393">
        <w:rPr>
          <w:rFonts w:ascii="Arial" w:eastAsia="Calibri" w:hAnsi="Arial" w:cs="Arial"/>
        </w:rPr>
        <w:t xml:space="preserve">, mientras que los segundos </w:t>
      </w:r>
      <w:bookmarkStart w:id="23" w:name="_Hlk99534426"/>
      <w:r w:rsidRPr="00510393">
        <w:rPr>
          <w:rFonts w:ascii="Arial" w:eastAsia="Calibri" w:hAnsi="Arial" w:cs="Arial"/>
        </w:rPr>
        <w:t xml:space="preserve">en los artículos 5, 6, 7 y 8 </w:t>
      </w:r>
      <w:bookmarkEnd w:id="23"/>
      <w:r w:rsidRPr="00510393">
        <w:rPr>
          <w:rFonts w:ascii="Arial" w:eastAsia="Calibri" w:hAnsi="Arial" w:cs="Arial"/>
          <w:i/>
          <w:iCs/>
        </w:rPr>
        <w:t>ibidem</w:t>
      </w:r>
      <w:r w:rsidRPr="00510393">
        <w:rPr>
          <w:rFonts w:ascii="Arial" w:eastAsia="Calibri" w:hAnsi="Arial" w:cs="Arial"/>
        </w:rPr>
        <w:t xml:space="preserve">. Es posible diferenciar, pues, los </w:t>
      </w:r>
      <w:r w:rsidRPr="00510393">
        <w:rPr>
          <w:rFonts w:ascii="Arial" w:eastAsia="Calibri" w:hAnsi="Arial" w:cs="Arial"/>
          <w:i/>
          <w:iCs/>
        </w:rPr>
        <w:t>convenios de asociación</w:t>
      </w:r>
      <w:r w:rsidRPr="00510393">
        <w:rPr>
          <w:rFonts w:ascii="Arial" w:eastAsia="Calibri" w:hAnsi="Arial" w:cs="Arial"/>
        </w:rPr>
        <w:t xml:space="preserve">, regulados en el artículo 5, de los </w:t>
      </w:r>
      <w:r w:rsidRPr="00510393">
        <w:rPr>
          <w:rFonts w:ascii="Arial" w:eastAsia="Calibri" w:hAnsi="Arial" w:cs="Arial"/>
          <w:i/>
          <w:iCs/>
        </w:rPr>
        <w:t>contratos de colaboración</w:t>
      </w:r>
      <w:r w:rsidRPr="00510393">
        <w:rPr>
          <w:rFonts w:ascii="Arial" w:eastAsia="Calibri" w:hAnsi="Arial" w:cs="Arial"/>
        </w:rPr>
        <w:t>, establecidos en el artículo 2 del Decreto 92 de 2017</w:t>
      </w:r>
      <w:r w:rsidRPr="00510393">
        <w:rPr>
          <w:rStyle w:val="Refdenotaalpie"/>
          <w:rFonts w:ascii="Arial" w:eastAsia="Calibri" w:hAnsi="Arial" w:cs="Arial"/>
        </w:rPr>
        <w:footnoteReference w:id="14"/>
      </w:r>
      <w:r w:rsidRPr="00510393">
        <w:rPr>
          <w:rFonts w:ascii="Arial" w:eastAsia="Calibri" w:hAnsi="Arial" w:cs="Arial"/>
        </w:rPr>
        <w:t xml:space="preserve">. </w:t>
      </w:r>
    </w:p>
    <w:p w14:paraId="2349BF82" w14:textId="77777777" w:rsidR="005F5053" w:rsidRPr="00510393" w:rsidRDefault="005F5053" w:rsidP="005F5053">
      <w:pPr>
        <w:spacing w:after="120" w:line="276" w:lineRule="auto"/>
        <w:ind w:firstLine="708"/>
        <w:jc w:val="both"/>
        <w:rPr>
          <w:rFonts w:ascii="Arial" w:eastAsia="Calibri" w:hAnsi="Arial" w:cs="Arial"/>
        </w:rPr>
      </w:pPr>
      <w:r w:rsidRPr="00510393">
        <w:rPr>
          <w:rFonts w:ascii="Arial" w:eastAsia="Calibri" w:hAnsi="Arial" w:cs="Arial"/>
        </w:rPr>
        <w:t xml:space="preserve">Los </w:t>
      </w:r>
      <w:r w:rsidRPr="00510393">
        <w:rPr>
          <w:rFonts w:ascii="Arial" w:eastAsia="Calibri" w:hAnsi="Arial" w:cs="Arial"/>
          <w:i/>
          <w:iCs/>
        </w:rPr>
        <w:t xml:space="preserve">contratos de colaboración </w:t>
      </w:r>
      <w:r w:rsidRPr="00510393">
        <w:rPr>
          <w:rFonts w:ascii="Arial" w:eastAsia="Calibri" w:hAnsi="Arial" w:cs="Arial"/>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510393">
        <w:rPr>
          <w:rFonts w:ascii="Arial" w:eastAsia="Calibri" w:hAnsi="Arial" w:cs="Arial"/>
        </w:rPr>
        <w:t>ii</w:t>
      </w:r>
      <w:proofErr w:type="spellEnd"/>
      <w:r w:rsidRPr="00510393">
        <w:rPr>
          <w:rFonts w:ascii="Arial" w:eastAsia="Calibri" w:hAnsi="Arial" w:cs="Arial"/>
        </w:rPr>
        <w:t>)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5F44A256" w14:textId="77777777" w:rsidR="005F5053" w:rsidRPr="00510393" w:rsidRDefault="005F5053" w:rsidP="005F5053">
      <w:pPr>
        <w:pStyle w:val="Sinespaciado"/>
        <w:spacing w:after="120" w:line="276" w:lineRule="auto"/>
        <w:ind w:firstLine="708"/>
        <w:jc w:val="both"/>
        <w:rPr>
          <w:rFonts w:ascii="Arial" w:hAnsi="Arial" w:cs="Arial"/>
          <w:sz w:val="22"/>
        </w:rPr>
      </w:pPr>
      <w:r w:rsidRPr="00510393">
        <w:rPr>
          <w:rFonts w:ascii="Arial" w:hAnsi="Arial" w:cs="Arial"/>
          <w:sz w:val="22"/>
        </w:rPr>
        <w:t xml:space="preserve">De otro lado, los </w:t>
      </w:r>
      <w:r w:rsidRPr="00510393">
        <w:rPr>
          <w:rFonts w:ascii="Arial" w:hAnsi="Arial" w:cs="Arial"/>
          <w:i/>
          <w:iCs/>
          <w:sz w:val="22"/>
        </w:rPr>
        <w:t>convenios de asociación</w:t>
      </w:r>
      <w:r w:rsidRPr="00510393">
        <w:rPr>
          <w:rFonts w:ascii="Arial" w:hAnsi="Arial" w:cs="Arial"/>
          <w:sz w:val="22"/>
        </w:rPr>
        <w:t xml:space="preserve"> </w:t>
      </w:r>
      <w:r>
        <w:rPr>
          <w:rFonts w:ascii="Arial" w:hAnsi="Arial" w:cs="Arial"/>
          <w:sz w:val="22"/>
        </w:rPr>
        <w:t>“</w:t>
      </w:r>
      <w:r w:rsidRPr="00510393">
        <w:rPr>
          <w:rFonts w:ascii="Arial" w:hAnsi="Arial" w:cs="Arial"/>
          <w:sz w:val="22"/>
        </w:rPr>
        <w:t>[t]</w:t>
      </w:r>
      <w:proofErr w:type="spellStart"/>
      <w:r w:rsidRPr="00510393">
        <w:rPr>
          <w:rFonts w:ascii="Arial" w:hAnsi="Arial" w:cs="Arial"/>
          <w:sz w:val="22"/>
        </w:rPr>
        <w:t>ienen</w:t>
      </w:r>
      <w:proofErr w:type="spellEnd"/>
      <w:r w:rsidRPr="00510393">
        <w:rPr>
          <w:rFonts w:ascii="Arial" w:hAnsi="Arial" w:cs="Arial"/>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Pr>
          <w:rFonts w:ascii="Arial" w:hAnsi="Arial" w:cs="Arial"/>
          <w:sz w:val="22"/>
        </w:rPr>
        <w:t>”</w:t>
      </w:r>
      <w:r w:rsidRPr="00510393">
        <w:rPr>
          <w:rStyle w:val="Refdenotaalpie"/>
          <w:rFonts w:ascii="Arial" w:hAnsi="Arial" w:cs="Arial"/>
          <w:sz w:val="22"/>
        </w:rPr>
        <w:footnoteReference w:id="15"/>
      </w:r>
      <w:r w:rsidRPr="00510393">
        <w:rPr>
          <w:rFonts w:ascii="Arial" w:hAnsi="Arial" w:cs="Arial"/>
          <w:sz w:val="22"/>
        </w:rPr>
        <w:t xml:space="preserve">. </w:t>
      </w:r>
      <w:bookmarkStart w:id="24" w:name="_Hlk99534477"/>
      <w:r w:rsidRPr="00510393">
        <w:rPr>
          <w:rFonts w:ascii="Arial" w:hAnsi="Arial" w:cs="Arial"/>
          <w:sz w:val="22"/>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bookmarkEnd w:id="24"/>
      <w:r w:rsidRPr="00510393">
        <w:rPr>
          <w:rFonts w:ascii="Arial" w:hAnsi="Arial" w:cs="Arial"/>
          <w:sz w:val="22"/>
        </w:rPr>
        <w:t xml:space="preserve"> </w:t>
      </w:r>
    </w:p>
    <w:p w14:paraId="67149B5A" w14:textId="77777777" w:rsidR="005F5053" w:rsidRPr="00510393" w:rsidRDefault="005F5053" w:rsidP="005F5053">
      <w:pPr>
        <w:pStyle w:val="Sinespaciado"/>
        <w:spacing w:after="120" w:line="276" w:lineRule="auto"/>
        <w:ind w:firstLine="708"/>
        <w:jc w:val="both"/>
        <w:rPr>
          <w:rFonts w:ascii="Arial" w:hAnsi="Arial" w:cs="Arial"/>
          <w:sz w:val="22"/>
        </w:rPr>
      </w:pPr>
      <w:r w:rsidRPr="00510393">
        <w:rPr>
          <w:rFonts w:ascii="Arial" w:hAnsi="Arial" w:cs="Arial"/>
          <w:sz w:val="22"/>
        </w:rPr>
        <w:t xml:space="preserve">De conformidad con el inciso segundo del artículo 96 de la Ley 489 de 1998, en estos convenios debe determinarse </w:t>
      </w:r>
      <w:r>
        <w:rPr>
          <w:rFonts w:ascii="Arial" w:hAnsi="Arial" w:cs="Arial"/>
          <w:sz w:val="22"/>
        </w:rPr>
        <w:t>“</w:t>
      </w:r>
      <w:r w:rsidRPr="00510393">
        <w:rPr>
          <w:rFonts w:ascii="Arial" w:hAnsi="Arial" w:cs="Arial"/>
          <w:sz w:val="22"/>
        </w:rPr>
        <w:t>con precisión su objeto, término, obligaciones de las partes, aportes, coordinación y todos aquellos aspectos que se consideren pertinentes</w:t>
      </w:r>
      <w:r>
        <w:rPr>
          <w:rFonts w:ascii="Arial" w:hAnsi="Arial" w:cs="Arial"/>
          <w:sz w:val="22"/>
        </w:rPr>
        <w:t>”</w:t>
      </w:r>
      <w:r w:rsidRPr="00510393">
        <w:rPr>
          <w:rFonts w:ascii="Arial" w:hAnsi="Arial" w:cs="Arial"/>
          <w:sz w:val="22"/>
        </w:rPr>
        <w:t xml:space="preserve">,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1C98AAEF" w14:textId="77777777" w:rsidR="005F5053" w:rsidRPr="00510393" w:rsidRDefault="005F5053" w:rsidP="005F5053">
      <w:pPr>
        <w:pStyle w:val="Sinespaciado"/>
        <w:spacing w:after="120" w:line="276" w:lineRule="auto"/>
        <w:ind w:firstLine="708"/>
        <w:jc w:val="both"/>
        <w:rPr>
          <w:rFonts w:ascii="Arial" w:eastAsia="Calibri" w:hAnsi="Arial" w:cs="Arial"/>
          <w:sz w:val="22"/>
        </w:rPr>
      </w:pPr>
      <w:r w:rsidRPr="00510393">
        <w:rPr>
          <w:rFonts w:ascii="Arial" w:hAnsi="Arial" w:cs="Arial"/>
          <w:sz w:val="22"/>
        </w:rPr>
        <w:t>L</w:t>
      </w:r>
      <w:r w:rsidRPr="00510393">
        <w:rPr>
          <w:rFonts w:ascii="Arial" w:eastAsia="Calibri" w:hAnsi="Arial" w:cs="Arial"/>
          <w:sz w:val="22"/>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510393">
        <w:rPr>
          <w:rStyle w:val="Refdenotaalpie"/>
          <w:rFonts w:ascii="Arial" w:eastAsia="Calibri" w:hAnsi="Arial" w:cs="Arial"/>
          <w:sz w:val="22"/>
        </w:rPr>
        <w:footnoteReference w:id="16"/>
      </w:r>
      <w:r w:rsidRPr="00510393">
        <w:rPr>
          <w:rFonts w:ascii="Arial" w:eastAsia="Calibri" w:hAnsi="Arial" w:cs="Arial"/>
          <w:sz w:val="22"/>
        </w:rPr>
        <w:t xml:space="preserve">. Sin embargo, como 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27E24122" w14:textId="77777777" w:rsidR="005F5053" w:rsidRPr="00510393" w:rsidRDefault="005F5053" w:rsidP="005F5053">
      <w:pPr>
        <w:pStyle w:val="Sinespaciado"/>
        <w:spacing w:after="120" w:line="276" w:lineRule="auto"/>
        <w:ind w:firstLine="708"/>
        <w:jc w:val="both"/>
        <w:rPr>
          <w:rFonts w:ascii="Arial" w:eastAsia="Calibri" w:hAnsi="Arial" w:cs="Arial"/>
          <w:sz w:val="22"/>
        </w:rPr>
      </w:pPr>
      <w:r w:rsidRPr="00510393">
        <w:rPr>
          <w:rFonts w:ascii="Arial" w:eastAsia="Calibri" w:hAnsi="Arial" w:cs="Arial"/>
          <w:sz w:val="22"/>
        </w:rPr>
        <w:t xml:space="preserve">Igualmente, </w:t>
      </w:r>
      <w:bookmarkStart w:id="25" w:name="_Hlk99534555"/>
      <w:r w:rsidRPr="00510393">
        <w:rPr>
          <w:rFonts w:ascii="Arial" w:eastAsia="Calibri" w:hAnsi="Arial" w:cs="Arial"/>
          <w:sz w:val="22"/>
        </w:rPr>
        <w:t xml:space="preserve">considerando que los convenios de asociación </w:t>
      </w:r>
      <w:r>
        <w:rPr>
          <w:rFonts w:ascii="Arial" w:eastAsia="Calibri" w:hAnsi="Arial" w:cs="Arial"/>
          <w:sz w:val="22"/>
        </w:rPr>
        <w:t>“</w:t>
      </w:r>
      <w:r w:rsidRPr="00510393">
        <w:rPr>
          <w:rFonts w:ascii="Arial" w:eastAsia="Calibri" w:hAnsi="Arial" w:cs="Arial"/>
          <w:sz w:val="22"/>
        </w:rPr>
        <w:t>no estarán sujetos a competencia cuando la entidad sin ánimo de lucro comprometa recursos en dinero para la ejecución de esas actividades en una proporción no inferior al 30% del valor total del convenio</w:t>
      </w:r>
      <w:r>
        <w:rPr>
          <w:rFonts w:ascii="Arial" w:eastAsia="Calibri" w:hAnsi="Arial" w:cs="Arial"/>
          <w:sz w:val="22"/>
        </w:rPr>
        <w:t>”</w:t>
      </w:r>
      <w:r w:rsidRPr="00510393">
        <w:rPr>
          <w:rFonts w:ascii="Arial" w:eastAsia="Calibri" w:hAnsi="Arial" w:cs="Arial"/>
          <w:sz w:val="22"/>
        </w:rPr>
        <w:t xml:space="preserve">, las entidades deben asegurarse de que su contratista, es decir, una o varias ESAL, aporten al menos el treinta por ciento del valor del convenio para celebrarlo directamente, pues de lo contrario deberá adelantarse un proceso competitivo. Además, en atención al inciso 2 del artículo 5 del Decreto 092 de 2017, deben </w:t>
      </w:r>
      <w:r>
        <w:rPr>
          <w:rFonts w:ascii="Arial" w:eastAsia="Calibri" w:hAnsi="Arial" w:cs="Arial"/>
          <w:sz w:val="22"/>
        </w:rPr>
        <w:t>“</w:t>
      </w:r>
      <w:r w:rsidRPr="00510393">
        <w:rPr>
          <w:rFonts w:ascii="Arial" w:eastAsia="Calibri" w:hAnsi="Arial" w:cs="Arial"/>
          <w:sz w:val="22"/>
        </w:rPr>
        <w:t>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bookmarkEnd w:id="25"/>
      <w:r>
        <w:rPr>
          <w:rFonts w:ascii="Arial" w:eastAsia="Calibri" w:hAnsi="Arial" w:cs="Arial"/>
          <w:sz w:val="22"/>
        </w:rPr>
        <w:t>”</w:t>
      </w:r>
      <w:r w:rsidRPr="00510393">
        <w:rPr>
          <w:rStyle w:val="Refdenotaalpie"/>
          <w:rFonts w:ascii="Arial" w:eastAsia="Calibri" w:hAnsi="Arial" w:cs="Arial"/>
          <w:sz w:val="22"/>
        </w:rPr>
        <w:footnoteReference w:id="17"/>
      </w:r>
      <w:r w:rsidRPr="00510393">
        <w:rPr>
          <w:rFonts w:ascii="Arial" w:eastAsia="Calibri" w:hAnsi="Arial" w:cs="Arial"/>
          <w:sz w:val="22"/>
        </w:rPr>
        <w:t>.</w:t>
      </w:r>
    </w:p>
    <w:p w14:paraId="2DE97292" w14:textId="77777777" w:rsidR="005F5053" w:rsidRPr="00510393" w:rsidRDefault="005F5053" w:rsidP="005F5053">
      <w:pPr>
        <w:spacing w:after="120" w:line="276" w:lineRule="auto"/>
        <w:ind w:firstLine="708"/>
        <w:jc w:val="both"/>
        <w:rPr>
          <w:rFonts w:ascii="Arial" w:hAnsi="Arial" w:cs="Arial"/>
        </w:rPr>
      </w:pPr>
      <w:r w:rsidRPr="00510393">
        <w:rPr>
          <w:rFonts w:ascii="Arial" w:hAnsi="Arial" w:cs="Arial"/>
        </w:rPr>
        <w:t xml:space="preserve">La noción </w:t>
      </w:r>
      <w:r>
        <w:rPr>
          <w:rFonts w:ascii="Arial" w:hAnsi="Arial" w:cs="Arial"/>
        </w:rPr>
        <w:t>“</w:t>
      </w:r>
      <w:r w:rsidRPr="00510393">
        <w:rPr>
          <w:rFonts w:ascii="Arial" w:hAnsi="Arial" w:cs="Arial"/>
        </w:rPr>
        <w:t>seleccionar de forma objetiva</w:t>
      </w:r>
      <w:r>
        <w:rPr>
          <w:rFonts w:ascii="Arial" w:hAnsi="Arial" w:cs="Arial"/>
        </w:rPr>
        <w:t>”</w:t>
      </w:r>
      <w:r w:rsidRPr="00510393">
        <w:rPr>
          <w:rFonts w:ascii="Arial" w:hAnsi="Arial" w:cs="Arial"/>
        </w:rPr>
        <w:t xml:space="preserve">, contenida en la disposición </w:t>
      </w:r>
      <w:r w:rsidRPr="00510393">
        <w:rPr>
          <w:rFonts w:ascii="Arial" w:hAnsi="Arial" w:cs="Arial"/>
          <w:i/>
          <w:iCs/>
        </w:rPr>
        <w:t xml:space="preserve">sub examine </w:t>
      </w:r>
      <w:r w:rsidRPr="00510393">
        <w:rPr>
          <w:rFonts w:ascii="Arial" w:hAnsi="Arial" w:cs="Arial"/>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6FDD0DDF" w14:textId="77777777" w:rsidR="005F5053" w:rsidRPr="00510393" w:rsidRDefault="005F5053" w:rsidP="005F5053">
      <w:pPr>
        <w:spacing w:after="120" w:line="276" w:lineRule="auto"/>
        <w:ind w:firstLine="708"/>
        <w:jc w:val="both"/>
        <w:textAlignment w:val="baseline"/>
        <w:rPr>
          <w:rFonts w:ascii="Arial" w:hAnsi="Arial" w:cs="Arial"/>
        </w:rPr>
      </w:pPr>
      <w:r w:rsidRPr="00510393">
        <w:rPr>
          <w:rFonts w:ascii="Arial" w:eastAsia="Arial" w:hAnsi="Arial" w:cs="Arial"/>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510393">
        <w:rPr>
          <w:rFonts w:ascii="Arial" w:hAnsi="Arial" w:cs="Arial"/>
        </w:rPr>
        <w:t>. </w:t>
      </w:r>
    </w:p>
    <w:p w14:paraId="0E6A251E" w14:textId="77777777" w:rsidR="005F5053" w:rsidRPr="00510393" w:rsidRDefault="005F5053" w:rsidP="005F5053">
      <w:pPr>
        <w:spacing w:after="120" w:line="276" w:lineRule="auto"/>
        <w:ind w:firstLine="709"/>
        <w:jc w:val="both"/>
        <w:rPr>
          <w:rFonts w:ascii="Arial" w:eastAsia="Calibri" w:hAnsi="Arial" w:cs="Arial"/>
        </w:rPr>
      </w:pPr>
      <w:r w:rsidRPr="00510393">
        <w:rPr>
          <w:rFonts w:ascii="Arial" w:hAnsi="Arial" w:cs="Arial"/>
        </w:rPr>
        <w:t>Ahora bien, e</w:t>
      </w:r>
      <w:r w:rsidRPr="00510393">
        <w:rPr>
          <w:rFonts w:ascii="Arial" w:eastAsia="Calibri" w:hAnsi="Arial" w:cs="Arial"/>
        </w:rPr>
        <w:t>l Consejo de Estado, en el Auto del 6 de agosto de 2019 de la Sección Tercera, Subsección A –</w:t>
      </w:r>
      <w:proofErr w:type="spellStart"/>
      <w:r w:rsidRPr="00510393">
        <w:rPr>
          <w:rFonts w:ascii="Arial" w:eastAsia="Calibri" w:hAnsi="Arial" w:cs="Arial"/>
        </w:rPr>
        <w:t>Exp</w:t>
      </w:r>
      <w:proofErr w:type="spellEnd"/>
      <w:r w:rsidRPr="00510393">
        <w:rPr>
          <w:rFonts w:ascii="Arial" w:eastAsia="Calibri" w:hAnsi="Arial" w:cs="Arial"/>
        </w:rPr>
        <w:t>. 62.003–, estudió la solicitud de suspensión provisional</w:t>
      </w:r>
      <w:r w:rsidRPr="00510393">
        <w:rPr>
          <w:rStyle w:val="Refdenotaalpie"/>
          <w:rFonts w:ascii="Arial" w:eastAsia="Calibri" w:hAnsi="Arial" w:cs="Arial"/>
        </w:rPr>
        <w:footnoteReference w:id="18"/>
      </w:r>
      <w:r w:rsidRPr="00510393">
        <w:rPr>
          <w:rFonts w:ascii="Arial" w:eastAsia="Calibri" w:hAnsi="Arial" w:cs="Arial"/>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510393">
        <w:rPr>
          <w:rFonts w:ascii="Arial" w:eastAsia="Calibri" w:hAnsi="Arial" w:cs="Arial"/>
          <w:i/>
          <w:iCs/>
        </w:rPr>
        <w:t>convenio de asociación</w:t>
      </w:r>
      <w:r w:rsidRPr="00510393">
        <w:rPr>
          <w:rFonts w:ascii="Arial" w:eastAsia="Calibri" w:hAnsi="Arial" w:cs="Arial"/>
        </w:rPr>
        <w:t xml:space="preserve"> con ESAL de reconocida idoneidad para el cumplimiento de las funciones que la ley les asigna a las entidades públicas, debe aplicarse lo dispuesto en el artículo 5 del Decreto 092 de 2017. </w:t>
      </w:r>
    </w:p>
    <w:p w14:paraId="191EA22E" w14:textId="77777777" w:rsidR="005F5053" w:rsidRPr="00510393" w:rsidRDefault="005F5053" w:rsidP="005F5053">
      <w:pPr>
        <w:spacing w:after="120" w:line="276" w:lineRule="auto"/>
        <w:ind w:firstLine="708"/>
        <w:jc w:val="both"/>
        <w:rPr>
          <w:rFonts w:ascii="Arial" w:eastAsia="Calibri" w:hAnsi="Arial" w:cs="Arial"/>
        </w:rPr>
      </w:pPr>
      <w:bookmarkStart w:id="26" w:name="_Hlk99534675"/>
      <w:r w:rsidRPr="00510393">
        <w:rPr>
          <w:rFonts w:ascii="Arial" w:eastAsia="Calibri" w:hAnsi="Arial" w:cs="Arial"/>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510393">
        <w:rPr>
          <w:rStyle w:val="Refdenotaalpie"/>
          <w:rFonts w:ascii="Arial" w:hAnsi="Arial" w:cs="Arial"/>
        </w:rPr>
        <w:footnoteReference w:id="19"/>
      </w:r>
      <w:r w:rsidRPr="00510393">
        <w:rPr>
          <w:rFonts w:ascii="Arial" w:eastAsia="Calibri" w:hAnsi="Arial" w:cs="Arial"/>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w:t>
      </w:r>
    </w:p>
    <w:p w14:paraId="47406D9E" w14:textId="77777777" w:rsidR="005F5053" w:rsidRPr="000A1343" w:rsidRDefault="005F5053" w:rsidP="005F5053">
      <w:pPr>
        <w:spacing w:after="120"/>
        <w:ind w:firstLine="708"/>
        <w:jc w:val="both"/>
        <w:rPr>
          <w:rFonts w:ascii="Arial" w:eastAsia="Calibri" w:hAnsi="Arial" w:cs="Arial"/>
          <w:lang w:eastAsia="es-ES_tradnl"/>
        </w:rPr>
      </w:pPr>
      <w:r w:rsidRPr="00DD2E82">
        <w:rPr>
          <w:rFonts w:ascii="Arial" w:eastAsia="Calibri" w:hAnsi="Arial" w:cs="Arial"/>
          <w:lang w:eastAsia="es-ES_tradnl"/>
        </w:rPr>
        <w:t xml:space="preserve">Teniendo en estas consideraciones sobre la celebración de convenios de asociación, así como las consideraciones realizadas en los acápites previos, es posible concluir que la prohibición de contratación directa del artículo 33 de la Ley de Garantías Electorales únicamente aplica frente a los procedimientos </w:t>
      </w:r>
      <w:r w:rsidRPr="00DD2E82">
        <w:rPr>
          <w:rFonts w:ascii="Arial" w:eastAsia="Calibri" w:hAnsi="Arial" w:cs="Arial"/>
          <w:i/>
          <w:iCs/>
          <w:lang w:eastAsia="es-ES_tradnl"/>
        </w:rPr>
        <w:t>no competitivos</w:t>
      </w:r>
      <w:r w:rsidRPr="00DD2E82">
        <w:rPr>
          <w:rFonts w:ascii="Arial" w:eastAsia="Calibri" w:hAnsi="Arial" w:cs="Arial"/>
          <w:lang w:eastAsia="es-ES_tradnl"/>
        </w:rPr>
        <w:t>, que son los que implican una contratación directa.</w:t>
      </w:r>
      <w:bookmarkEnd w:id="26"/>
      <w:r w:rsidRPr="00DD2E82">
        <w:rPr>
          <w:rFonts w:ascii="Arial" w:eastAsia="Calibri" w:hAnsi="Arial" w:cs="Arial"/>
          <w:lang w:eastAsia="es-ES_tradnl"/>
        </w:rPr>
        <w:t xml:space="preserve"> Como explica la Sala de Consulta y Servicio Civil del Consejo de Estado: </w:t>
      </w:r>
      <w:r w:rsidRPr="000A1343">
        <w:rPr>
          <w:rFonts w:ascii="Arial" w:eastAsia="Calibri" w:hAnsi="Arial" w:cs="Arial"/>
          <w:i/>
          <w:iCs/>
          <w:lang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0A1343">
        <w:rPr>
          <w:rFonts w:ascii="Arial" w:eastAsia="Calibri" w:hAnsi="Arial" w:cs="Arial"/>
          <w:vertAlign w:val="superscript"/>
          <w:lang w:eastAsia="es-ES_tradnl"/>
        </w:rPr>
        <w:footnoteReference w:id="20"/>
      </w:r>
      <w:r w:rsidRPr="000A1343">
        <w:rPr>
          <w:rFonts w:ascii="Arial" w:eastAsia="Calibri" w:hAnsi="Arial" w:cs="Arial"/>
          <w:lang w:eastAsia="es-ES_tradnl"/>
        </w:rPr>
        <w:t xml:space="preserve">. </w:t>
      </w:r>
    </w:p>
    <w:p w14:paraId="0DBA1500" w14:textId="77777777" w:rsidR="005F5053" w:rsidRPr="00510393" w:rsidRDefault="005F5053" w:rsidP="005F5053">
      <w:pPr>
        <w:spacing w:after="120" w:line="276" w:lineRule="auto"/>
        <w:jc w:val="both"/>
        <w:rPr>
          <w:rFonts w:ascii="Arial" w:eastAsia="Calibri" w:hAnsi="Arial" w:cs="Arial"/>
          <w:szCs w:val="24"/>
          <w:lang w:eastAsia="es-ES_tradnl"/>
        </w:rPr>
      </w:pPr>
      <w:r w:rsidRPr="00510393">
        <w:rPr>
          <w:rFonts w:ascii="Arial" w:eastAsia="Calibri" w:hAnsi="Arial" w:cs="Arial"/>
          <w:szCs w:val="24"/>
          <w:lang w:eastAsia="es-ES_tradnl"/>
        </w:rPr>
        <w:tab/>
        <w:t xml:space="preserve">En contraste, la restricción del artículo 33 no aplicaría a los convenios de asociación que celebren las entidades estatales y las ESAL bajo el procedimiento </w:t>
      </w:r>
      <w:r w:rsidRPr="00510393">
        <w:rPr>
          <w:rFonts w:ascii="Arial" w:eastAsia="Calibri" w:hAnsi="Arial" w:cs="Arial"/>
          <w:i/>
          <w:iCs/>
          <w:szCs w:val="24"/>
          <w:lang w:eastAsia="es-ES_tradnl"/>
        </w:rPr>
        <w:t>competitivo</w:t>
      </w:r>
      <w:r w:rsidRPr="00510393">
        <w:rPr>
          <w:rFonts w:ascii="Arial" w:eastAsia="Calibri" w:hAnsi="Arial" w:cs="Arial"/>
          <w:szCs w:val="24"/>
          <w:lang w:eastAsia="es-ES_tradnl"/>
        </w:rPr>
        <w:t xml:space="preserve">, pues este supone la pluralidad de oferentes y la selección objetiva del contratista. Conforme al artículo 5 del Decreto 092 de 2017, esta es la regla general, salvo en aquellos casos en que una ESAL comprometa recursos en dinero por un valor igual o superior al 30% del valor total del convenio, siempre que la entidad estatal verifique previamente que no existe ninguna otra ESAL que ofrezca aportes iguales o superiores a dicho porcentaje, supuesto excepcional en que procede la selección directa. </w:t>
      </w:r>
    </w:p>
    <w:p w14:paraId="36C4693B" w14:textId="77777777" w:rsidR="005F5053" w:rsidRDefault="005F5053" w:rsidP="005F5053">
      <w:pPr>
        <w:spacing w:after="120" w:line="276" w:lineRule="auto"/>
        <w:ind w:firstLine="709"/>
        <w:jc w:val="both"/>
        <w:rPr>
          <w:rFonts w:ascii="Arial" w:eastAsia="Calibri" w:hAnsi="Arial" w:cs="Arial"/>
          <w:lang w:val="es-ES_tradnl"/>
        </w:rPr>
      </w:pPr>
      <w:r w:rsidRPr="00510393">
        <w:rPr>
          <w:rFonts w:ascii="Arial" w:eastAsia="Calibri" w:hAnsi="Arial" w:cs="Arial"/>
        </w:rPr>
        <w:t>De otra parte, en cuanto a la restricción del parágrafo del artículo 38 de la Ley de 996 de 2005, conforme se explicó</w:t>
      </w:r>
      <w:r w:rsidRPr="00510393">
        <w:rPr>
          <w:rFonts w:ascii="Arial" w:eastAsia="Calibri" w:hAnsi="Arial" w:cs="Arial"/>
          <w:i/>
          <w:iCs/>
        </w:rPr>
        <w:t xml:space="preserve"> ut supra,</w:t>
      </w:r>
      <w:r w:rsidRPr="00510393">
        <w:rPr>
          <w:rFonts w:ascii="Arial" w:eastAsia="Calibri" w:hAnsi="Arial" w:cs="Arial"/>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w:t>
      </w:r>
      <w:r>
        <w:rPr>
          <w:rFonts w:ascii="Arial" w:eastAsia="Calibri" w:hAnsi="Arial" w:cs="Arial"/>
        </w:rPr>
        <w:t xml:space="preserve"> los </w:t>
      </w:r>
      <w:r w:rsidRPr="00510393">
        <w:rPr>
          <w:rFonts w:ascii="Arial" w:eastAsia="Calibri" w:hAnsi="Arial" w:cs="Arial"/>
          <w:i/>
          <w:iCs/>
        </w:rPr>
        <w:t>convenios de asociación</w:t>
      </w:r>
      <w:r>
        <w:rPr>
          <w:rFonts w:ascii="Arial" w:eastAsia="Calibri" w:hAnsi="Arial" w:cs="Arial"/>
          <w:i/>
          <w:iCs/>
        </w:rPr>
        <w:t xml:space="preserve"> </w:t>
      </w:r>
      <w:r w:rsidRPr="000A1343">
        <w:rPr>
          <w:rFonts w:ascii="Arial" w:eastAsia="Calibri" w:hAnsi="Arial" w:cs="Arial"/>
        </w:rPr>
        <w:t>regulados por el Decreto 092 de 2017</w:t>
      </w:r>
      <w:r w:rsidRPr="00510393">
        <w:rPr>
          <w:rFonts w:ascii="Arial" w:eastAsia="Calibri" w:hAnsi="Arial" w:cs="Arial"/>
        </w:rPr>
        <w:t xml:space="preserve">, ya que este tipo de acuerdos son celebrados entre entidades estatales y ESALES, es decir, que no cumplen con el criterio orgánico que determina la calidad de interadministrativo. </w:t>
      </w:r>
    </w:p>
    <w:p w14:paraId="2805DA2C" w14:textId="77777777" w:rsidR="005F5053" w:rsidRDefault="005F5053" w:rsidP="005F5053">
      <w:pPr>
        <w:spacing w:after="120" w:line="276" w:lineRule="auto"/>
        <w:ind w:firstLine="709"/>
        <w:jc w:val="both"/>
        <w:rPr>
          <w:rFonts w:ascii="Arial" w:eastAsia="Calibri" w:hAnsi="Arial" w:cs="Arial"/>
          <w:lang w:val="es-ES_tradnl"/>
        </w:rPr>
      </w:pPr>
      <w:r w:rsidRPr="00510393">
        <w:rPr>
          <w:rFonts w:ascii="Arial" w:eastAsia="Calibri" w:hAnsi="Arial" w:cs="Arial"/>
          <w:lang w:val="es-ES_tradnl"/>
        </w:rPr>
        <w:t xml:space="preserve">De esta manera, en lo relativo a la celebración de </w:t>
      </w:r>
      <w:r w:rsidRPr="000A1343">
        <w:rPr>
          <w:rFonts w:ascii="Arial" w:eastAsia="Calibri" w:hAnsi="Arial" w:cs="Arial"/>
          <w:i/>
          <w:iCs/>
          <w:lang w:val="es-ES_tradnl"/>
        </w:rPr>
        <w:t>convenios de asociación</w:t>
      </w:r>
      <w:r w:rsidRPr="00510393">
        <w:rPr>
          <w:rFonts w:ascii="Arial" w:eastAsia="Calibri" w:hAnsi="Arial" w:cs="Arial"/>
          <w:lang w:val="es-ES_tradnl"/>
        </w:rPr>
        <w:t xml:space="preserve"> en vigencia de la restricción del artículo 33 de la Ley de Garantías, se concluye que, esto solo será posible cuando dicho tipo de acuerdos se realicen a través de la modalidad </w:t>
      </w:r>
      <w:r w:rsidRPr="00510393">
        <w:rPr>
          <w:rFonts w:ascii="Arial" w:eastAsia="Calibri" w:hAnsi="Arial" w:cs="Arial"/>
          <w:i/>
          <w:iCs/>
          <w:lang w:val="es-ES_tradnl"/>
        </w:rPr>
        <w:t>competitiva</w:t>
      </w:r>
      <w:r w:rsidRPr="00510393">
        <w:rPr>
          <w:rFonts w:ascii="Arial" w:eastAsia="Calibri" w:hAnsi="Arial" w:cs="Arial"/>
          <w:lang w:val="es-ES_tradnl"/>
        </w:rPr>
        <w:t xml:space="preserve">, mientras que la celebración de este tipo de convenios en la modalidad </w:t>
      </w:r>
      <w:r w:rsidRPr="00510393">
        <w:rPr>
          <w:rFonts w:ascii="Arial" w:eastAsia="Calibri" w:hAnsi="Arial" w:cs="Arial"/>
          <w:i/>
          <w:iCs/>
          <w:lang w:val="es-ES_tradnl"/>
        </w:rPr>
        <w:t>no competitiva</w:t>
      </w:r>
      <w:r w:rsidRPr="00510393">
        <w:rPr>
          <w:rFonts w:ascii="Arial" w:eastAsia="Calibri" w:hAnsi="Arial" w:cs="Arial"/>
          <w:lang w:val="es-ES_tradnl"/>
        </w:rPr>
        <w:t xml:space="preserve"> sí estaría prohibida durante el periodo de aplicación de esta restricción. De igual forma, es posible concluir que, la celebración de </w:t>
      </w:r>
      <w:r w:rsidRPr="00510393">
        <w:rPr>
          <w:rFonts w:ascii="Arial" w:eastAsia="Calibri" w:hAnsi="Arial" w:cs="Arial"/>
          <w:i/>
          <w:iCs/>
          <w:lang w:val="es-ES_tradnl"/>
        </w:rPr>
        <w:t>convenios de asociación</w:t>
      </w:r>
      <w:r w:rsidRPr="00510393">
        <w:rPr>
          <w:rFonts w:ascii="Arial" w:eastAsia="Calibri" w:hAnsi="Arial" w:cs="Arial"/>
          <w:lang w:val="es-ES_tradnl"/>
        </w:rPr>
        <w:t xml:space="preserve">, </w:t>
      </w:r>
      <w:r w:rsidRPr="00510393">
        <w:rPr>
          <w:rFonts w:ascii="Arial" w:eastAsia="Calibri" w:hAnsi="Arial" w:cs="Arial"/>
          <w:i/>
          <w:iCs/>
          <w:lang w:val="es-ES_tradnl"/>
        </w:rPr>
        <w:t xml:space="preserve">per se, </w:t>
      </w:r>
      <w:r w:rsidRPr="00510393">
        <w:rPr>
          <w:rFonts w:ascii="Arial" w:eastAsia="Calibri" w:hAnsi="Arial" w:cs="Arial"/>
          <w:lang w:val="es-ES_tradnl"/>
        </w:rPr>
        <w:t>no está prohibida por la restricción del parágrafo del artículo 38 de la Ley 2069 de 2020, la cual solo es aplicable a convenios interadministrativos.</w:t>
      </w:r>
    </w:p>
    <w:p w14:paraId="038F8661" w14:textId="77777777" w:rsidR="005F5053" w:rsidRDefault="005F5053" w:rsidP="005F5053">
      <w:pPr>
        <w:spacing w:line="276" w:lineRule="auto"/>
        <w:ind w:firstLine="708"/>
        <w:jc w:val="both"/>
        <w:rPr>
          <w:rFonts w:ascii="Arial" w:eastAsia="Arial" w:hAnsi="Arial" w:cs="Arial"/>
          <w:lang w:val="es-ES" w:eastAsia="es-ES" w:bidi="es-ES"/>
        </w:rPr>
      </w:pPr>
      <w:r>
        <w:rPr>
          <w:rFonts w:ascii="Arial" w:eastAsia="Arial" w:hAnsi="Arial" w:cs="Arial"/>
          <w:lang w:val="es-ES" w:eastAsia="es-ES" w:bidi="es-ES"/>
        </w:rPr>
        <w:t xml:space="preserve">En cuanto a la vigencia de estas restricciones en el momento actual es necesario poner de presente que para el año lectivo no se encuentran programadas elecciones presidenciales. Por otro lado, de conformidad con el calendario electoral definido por la Registraduría Nacional del Estado Civil mediante Resolución No. 28229 del 14 de octubre de 2022, el próximo 29 de octubre de 2023 se celebrarán elecciones de autoridades territoriales. Lo anterior significa que, mientras que la restricción a la contratación directa prevista en el artículo 33 de la Ley 996 de 2005 no regirá el presente año, la prohibición a la celebración de convenios interadministrativos del inciso primero del parágrafo del artículo 38 se encuentra surtiendo sus efectos desde el pasado 29 de junio de 2023, los cuales continuarán hasta la fecha de los comicios. </w:t>
      </w:r>
    </w:p>
    <w:p w14:paraId="3422FA26" w14:textId="77777777" w:rsidR="005F5053" w:rsidRPr="00510393" w:rsidRDefault="005F5053" w:rsidP="005F5053">
      <w:pPr>
        <w:pStyle w:val="Textoindependiente"/>
        <w:spacing w:before="240" w:line="276" w:lineRule="auto"/>
        <w:jc w:val="both"/>
        <w:rPr>
          <w:u w:val="single"/>
        </w:rPr>
      </w:pPr>
      <w:r w:rsidRPr="00510393">
        <w:rPr>
          <w:rFonts w:eastAsia="Calibri"/>
          <w:b/>
          <w:lang w:val="es-ES_tradnl"/>
        </w:rPr>
        <w:t>3. Respuesta</w:t>
      </w:r>
    </w:p>
    <w:p w14:paraId="3CE36583" w14:textId="77777777" w:rsidR="005F5053" w:rsidRDefault="005F5053" w:rsidP="005F5053">
      <w:pPr>
        <w:spacing w:after="0" w:line="240" w:lineRule="auto"/>
        <w:ind w:left="709" w:right="709"/>
        <w:jc w:val="both"/>
        <w:rPr>
          <w:rFonts w:ascii="Arial" w:hAnsi="Arial" w:cs="Arial"/>
          <w:iCs/>
          <w:sz w:val="20"/>
          <w:szCs w:val="20"/>
          <w:lang w:val="es-ES_tradnl"/>
        </w:rPr>
      </w:pPr>
    </w:p>
    <w:p w14:paraId="7ABA2708" w14:textId="77777777" w:rsidR="005F5053" w:rsidRPr="000A1343" w:rsidRDefault="005F5053" w:rsidP="005F5053">
      <w:pPr>
        <w:spacing w:after="0" w:line="240" w:lineRule="auto"/>
        <w:ind w:left="709" w:right="709"/>
        <w:jc w:val="both"/>
        <w:rPr>
          <w:rFonts w:ascii="Arial" w:hAnsi="Arial" w:cs="Arial"/>
          <w:sz w:val="20"/>
          <w:szCs w:val="20"/>
          <w:lang w:val="es-ES_tradnl"/>
        </w:rPr>
      </w:pPr>
      <w:r w:rsidRPr="000A1343">
        <w:rPr>
          <w:rFonts w:ascii="Arial" w:hAnsi="Arial" w:cs="Arial"/>
          <w:iCs/>
          <w:sz w:val="20"/>
          <w:szCs w:val="20"/>
          <w:lang w:val="es-ES_tradnl"/>
        </w:rPr>
        <w:t xml:space="preserve"> “</w:t>
      </w:r>
      <w:r w:rsidRPr="000A1343">
        <w:rPr>
          <w:rFonts w:ascii="Arial" w:hAnsi="Arial" w:cs="Arial"/>
          <w:iCs/>
          <w:sz w:val="20"/>
          <w:szCs w:val="20"/>
        </w:rPr>
        <w:t>[…]</w:t>
      </w:r>
      <w:r w:rsidRPr="000A1343">
        <w:rPr>
          <w:rFonts w:ascii="Arial" w:hAnsi="Arial" w:cs="Arial"/>
          <w:iCs/>
          <w:sz w:val="20"/>
          <w:szCs w:val="20"/>
          <w:lang w:val="es-ES_tradnl"/>
        </w:rPr>
        <w:t xml:space="preserve"> Solicito a ustedes me indiquen frente a las restricciones de ley de garantías en los contratos de asociación con entidades privadas sin ánimo de lucro. La entidad podría realizar un convenio de asociación con una entidad sin ánimo de lucro a través de un PROCESO COMPETITIVO, estando en los tiempos de ley de garantías </w:t>
      </w:r>
      <w:r w:rsidRPr="000A1343">
        <w:rPr>
          <w:rFonts w:ascii="Arial" w:hAnsi="Arial" w:cs="Arial"/>
          <w:iCs/>
          <w:sz w:val="20"/>
          <w:szCs w:val="20"/>
        </w:rPr>
        <w:t>[…]</w:t>
      </w:r>
      <w:r w:rsidRPr="000A1343">
        <w:rPr>
          <w:rFonts w:ascii="Arial" w:hAnsi="Arial" w:cs="Arial"/>
          <w:iCs/>
          <w:sz w:val="20"/>
          <w:szCs w:val="20"/>
          <w:lang w:val="es-ES_tradnl"/>
        </w:rPr>
        <w:t>”.</w:t>
      </w:r>
    </w:p>
    <w:p w14:paraId="527852F2" w14:textId="77777777" w:rsidR="005F5053" w:rsidRDefault="005F5053" w:rsidP="005F5053">
      <w:pPr>
        <w:spacing w:after="0" w:line="240" w:lineRule="auto"/>
        <w:jc w:val="both"/>
        <w:rPr>
          <w:rFonts w:ascii="Arial" w:eastAsia="Calibri" w:hAnsi="Arial" w:cs="Arial"/>
          <w:bCs/>
          <w:lang w:val="es-ES"/>
        </w:rPr>
      </w:pPr>
    </w:p>
    <w:p w14:paraId="6D12DD43" w14:textId="77777777" w:rsidR="005F5053" w:rsidRDefault="005F5053" w:rsidP="005F5053">
      <w:pPr>
        <w:spacing w:after="120" w:line="276" w:lineRule="auto"/>
        <w:jc w:val="both"/>
        <w:rPr>
          <w:rFonts w:ascii="Arial" w:hAnsi="Arial" w:cs="Arial"/>
          <w:bCs/>
          <w:lang w:eastAsia="x-none"/>
        </w:rPr>
      </w:pPr>
      <w:r w:rsidRPr="00510393">
        <w:rPr>
          <w:rFonts w:ascii="Arial" w:eastAsia="Calibri" w:hAnsi="Arial" w:cs="Arial"/>
          <w:bCs/>
          <w:lang w:val="es-ES"/>
        </w:rPr>
        <w:t xml:space="preserve">Con base en las consideraciones expuestas es posible afirmar que, </w:t>
      </w:r>
      <w:r w:rsidRPr="00510393">
        <w:rPr>
          <w:rFonts w:ascii="Arial" w:hAnsi="Arial" w:cs="Arial"/>
        </w:rPr>
        <w:t xml:space="preserve">la restricción a la contratación directa prevista en el artículo 33 de la Ley 996 de 2005 </w:t>
      </w:r>
      <w:r w:rsidRPr="00510393">
        <w:rPr>
          <w:rFonts w:ascii="Arial" w:hAnsi="Arial" w:cs="Arial"/>
          <w:bCs/>
          <w:lang w:eastAsia="x-none"/>
        </w:rPr>
        <w:t xml:space="preserve">cobija a </w:t>
      </w:r>
      <w:r w:rsidRPr="000A1343">
        <w:rPr>
          <w:rFonts w:ascii="Arial" w:hAnsi="Arial" w:cs="Arial"/>
          <w:bCs/>
          <w:i/>
          <w:iCs/>
          <w:lang w:eastAsia="x-none"/>
        </w:rPr>
        <w:t>“todos los entes del Estado”</w:t>
      </w:r>
      <w:r w:rsidRPr="00510393">
        <w:rPr>
          <w:rFonts w:ascii="Arial" w:hAnsi="Arial" w:cs="Arial"/>
          <w:bCs/>
          <w:lang w:eastAsia="x-none"/>
        </w:rPr>
        <w:t xml:space="preserve">,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Pr>
          <w:rFonts w:ascii="Arial" w:hAnsi="Arial" w:cs="Arial"/>
          <w:bCs/>
          <w:lang w:eastAsia="x-none"/>
        </w:rPr>
        <w:t xml:space="preserve"> Esta</w:t>
      </w:r>
      <w:r w:rsidRPr="00510393">
        <w:rPr>
          <w:rFonts w:ascii="Arial" w:hAnsi="Arial" w:cs="Arial"/>
          <w:bCs/>
          <w:lang w:eastAsia="x-none"/>
        </w:rPr>
        <w:t xml:space="preserve"> restricción prohíbe la contratación </w:t>
      </w:r>
      <w:proofErr w:type="gramStart"/>
      <w:r w:rsidRPr="00510393">
        <w:rPr>
          <w:rFonts w:ascii="Arial" w:hAnsi="Arial" w:cs="Arial"/>
          <w:bCs/>
          <w:lang w:eastAsia="x-none"/>
        </w:rPr>
        <w:t>directa  durante</w:t>
      </w:r>
      <w:proofErr w:type="gramEnd"/>
      <w:r w:rsidRPr="00510393">
        <w:rPr>
          <w:rFonts w:ascii="Arial" w:hAnsi="Arial" w:cs="Arial"/>
          <w:bCs/>
          <w:lang w:eastAsia="x-none"/>
        </w:rPr>
        <w:t xml:space="preserve"> los cuatro (4) meses anteriores a la elección presidencial y hasta la realización de la elección en la segunda vuelta, en caso de que se presente. Esto implica que, la celebración de contratos o convenios</w:t>
      </w:r>
      <w:r>
        <w:rPr>
          <w:rFonts w:ascii="Arial" w:hAnsi="Arial" w:cs="Arial"/>
          <w:bCs/>
          <w:lang w:eastAsia="x-none"/>
        </w:rPr>
        <w:t>,</w:t>
      </w:r>
      <w:r w:rsidRPr="00510393">
        <w:rPr>
          <w:rFonts w:ascii="Arial" w:hAnsi="Arial" w:cs="Arial"/>
          <w:bCs/>
          <w:lang w:eastAsia="x-none"/>
        </w:rPr>
        <w:t xml:space="preserve"> cuya selección se adelante a través de contratación directa, está prohibida durante el período de aplicación de esta restricción.</w:t>
      </w:r>
    </w:p>
    <w:p w14:paraId="07BF3AE5" w14:textId="77777777" w:rsidR="005F5053" w:rsidRPr="00510393" w:rsidRDefault="005F5053" w:rsidP="005F5053">
      <w:pPr>
        <w:spacing w:after="120" w:line="276" w:lineRule="auto"/>
        <w:jc w:val="both"/>
        <w:rPr>
          <w:rFonts w:ascii="Arial" w:hAnsi="Arial" w:cs="Arial"/>
          <w:bCs/>
          <w:lang w:eastAsia="x-none"/>
        </w:rPr>
      </w:pPr>
      <w:r>
        <w:rPr>
          <w:rFonts w:ascii="Arial" w:hAnsi="Arial" w:cs="Arial"/>
          <w:bCs/>
          <w:lang w:eastAsia="x-none"/>
        </w:rPr>
        <w:tab/>
      </w:r>
      <w:r>
        <w:rPr>
          <w:rFonts w:ascii="Arial" w:eastAsia="Arial" w:hAnsi="Arial" w:cs="Arial"/>
          <w:lang w:val="es-ES" w:eastAsia="es-ES" w:bidi="es-ES"/>
        </w:rPr>
        <w:t xml:space="preserve">Por otro lado, </w:t>
      </w:r>
      <w:r w:rsidRPr="00510393">
        <w:rPr>
          <w:rFonts w:ascii="Arial" w:eastAsia="Arial" w:hAnsi="Arial" w:cs="Arial"/>
          <w:lang w:val="es-ES" w:eastAsia="es-ES" w:bidi="es-ES"/>
        </w:rPr>
        <w:t xml:space="preserve">la prohibición </w:t>
      </w:r>
      <w:r>
        <w:rPr>
          <w:rFonts w:ascii="Arial" w:eastAsia="Arial" w:hAnsi="Arial" w:cs="Arial"/>
          <w:lang w:val="es-ES" w:eastAsia="es-ES" w:bidi="es-ES"/>
        </w:rPr>
        <w:t>impuesta por el inciso primero del</w:t>
      </w:r>
      <w:r w:rsidRPr="00510393">
        <w:rPr>
          <w:rFonts w:ascii="Arial" w:eastAsia="Arial" w:hAnsi="Arial" w:cs="Arial"/>
          <w:lang w:val="es-ES" w:eastAsia="es-ES" w:bidi="es-ES"/>
        </w:rPr>
        <w:t xml:space="preserve"> parágrafo del artículo 38</w:t>
      </w:r>
      <w:r>
        <w:rPr>
          <w:rFonts w:ascii="Arial" w:eastAsia="Arial" w:hAnsi="Arial" w:cs="Arial"/>
          <w:lang w:val="es-ES" w:eastAsia="es-ES" w:bidi="es-ES"/>
        </w:rPr>
        <w:t xml:space="preserve"> a los </w:t>
      </w:r>
      <w:r w:rsidRPr="000E1B18">
        <w:rPr>
          <w:rFonts w:ascii="Arial" w:eastAsia="Arial" w:hAnsi="Arial" w:cs="Arial"/>
          <w:lang w:val="es-ES" w:eastAsia="es-ES" w:bidi="es-ES"/>
        </w:rPr>
        <w:t xml:space="preserve">gobernadores, alcaldes municipales y/o distritales, secretarios, gerentes y directores de entidades descentralizadas del orden municipal, departamental o distrital, </w:t>
      </w:r>
      <w:r w:rsidRPr="00510393">
        <w:rPr>
          <w:rFonts w:ascii="Arial" w:eastAsia="Arial" w:hAnsi="Arial" w:cs="Arial"/>
          <w:lang w:val="es-ES" w:eastAsia="es-ES" w:bidi="es-ES"/>
        </w:rPr>
        <w:t xml:space="preserve"> debe aplicarse respecto de cualquier tipo de contienda electoral, y prohíbe la celebración de convenios interadministrativos que impliquen la ejecución de recursos públicos dentro de los cuatro (4) meses anteriores a la respectiva jornada de votaciones.</w:t>
      </w:r>
      <w:r>
        <w:rPr>
          <w:rFonts w:ascii="Arial" w:eastAsia="Arial" w:hAnsi="Arial" w:cs="Arial"/>
          <w:lang w:val="es-ES" w:eastAsia="es-ES" w:bidi="es-ES"/>
        </w:rPr>
        <w:t xml:space="preserve"> </w:t>
      </w:r>
    </w:p>
    <w:p w14:paraId="4E4317DE" w14:textId="77777777" w:rsidR="005F5053" w:rsidRDefault="005F5053" w:rsidP="005F5053">
      <w:pPr>
        <w:spacing w:after="120" w:line="276" w:lineRule="auto"/>
        <w:ind w:firstLine="709"/>
        <w:jc w:val="both"/>
        <w:rPr>
          <w:rFonts w:ascii="Arial" w:eastAsia="Times New Roman" w:hAnsi="Arial" w:cs="Arial"/>
          <w:bCs/>
          <w:lang w:eastAsia="es-CO"/>
        </w:rPr>
      </w:pPr>
      <w:r>
        <w:rPr>
          <w:rFonts w:ascii="Arial" w:eastAsia="Calibri" w:hAnsi="Arial" w:cs="Arial"/>
        </w:rPr>
        <w:t>Lo anterior implica que,</w:t>
      </w:r>
      <w:r w:rsidRPr="00510393">
        <w:rPr>
          <w:rFonts w:ascii="Arial" w:eastAsia="Calibri" w:hAnsi="Arial" w:cs="Arial"/>
        </w:rPr>
        <w:t xml:space="preserve"> </w:t>
      </w:r>
      <w:r>
        <w:rPr>
          <w:rFonts w:ascii="Arial" w:eastAsia="Calibri" w:hAnsi="Arial" w:cs="Arial"/>
        </w:rPr>
        <w:t xml:space="preserve">en cuanto a </w:t>
      </w:r>
      <w:r w:rsidRPr="00510393">
        <w:rPr>
          <w:rFonts w:ascii="Arial" w:eastAsia="Calibri" w:hAnsi="Arial" w:cs="Arial"/>
        </w:rPr>
        <w:t xml:space="preserve">los </w:t>
      </w:r>
      <w:r w:rsidRPr="00510393">
        <w:rPr>
          <w:rFonts w:ascii="Arial" w:eastAsia="Calibri" w:hAnsi="Arial" w:cs="Arial"/>
          <w:i/>
          <w:iCs/>
        </w:rPr>
        <w:t>convenios de asociación</w:t>
      </w:r>
      <w:r w:rsidRPr="00510393">
        <w:rPr>
          <w:rFonts w:ascii="Arial" w:eastAsia="Calibri" w:hAnsi="Arial" w:cs="Arial"/>
        </w:rPr>
        <w:t xml:space="preserve">, la prohibición de contratación directa del artículo 33 de la Ley de Garantías aplica únicamente a los procedimientos no competitivos. En contraste, la restricción citada no aplicaría a los </w:t>
      </w:r>
      <w:r w:rsidRPr="00510393">
        <w:rPr>
          <w:rFonts w:ascii="Arial" w:eastAsia="Calibri" w:hAnsi="Arial" w:cs="Arial"/>
          <w:i/>
          <w:iCs/>
        </w:rPr>
        <w:t>convenios de asociación</w:t>
      </w:r>
      <w:r w:rsidRPr="00510393">
        <w:rPr>
          <w:rFonts w:ascii="Arial" w:eastAsia="Calibri" w:hAnsi="Arial" w:cs="Arial"/>
        </w:rPr>
        <w:t xml:space="preserve"> que celebren las Entidades Estatales y entidades privadas sin ánimo de lucro bajo el procedimiento competitivo, pues este supone la pluralidad de oferentes y la selección objetiva del contratista.</w:t>
      </w:r>
      <w:r w:rsidRPr="008079A0">
        <w:rPr>
          <w:rFonts w:ascii="Arial" w:eastAsia="Calibri" w:hAnsi="Arial" w:cs="Arial"/>
          <w:lang w:val="es-ES_tradnl"/>
        </w:rPr>
        <w:t xml:space="preserve"> </w:t>
      </w:r>
      <w:r>
        <w:rPr>
          <w:rFonts w:ascii="Arial" w:eastAsia="Calibri" w:hAnsi="Arial" w:cs="Arial"/>
          <w:lang w:val="es-ES_tradnl"/>
        </w:rPr>
        <w:t>Así mismo</w:t>
      </w:r>
      <w:r w:rsidRPr="00510393">
        <w:rPr>
          <w:rFonts w:ascii="Arial" w:eastAsia="Calibri" w:hAnsi="Arial" w:cs="Arial"/>
          <w:lang w:val="es-ES_tradnl"/>
        </w:rPr>
        <w:t xml:space="preserve">, es posible concluir que, la celebración de </w:t>
      </w:r>
      <w:r w:rsidRPr="00510393">
        <w:rPr>
          <w:rFonts w:ascii="Arial" w:eastAsia="Calibri" w:hAnsi="Arial" w:cs="Arial"/>
          <w:i/>
          <w:iCs/>
          <w:lang w:val="es-ES_tradnl"/>
        </w:rPr>
        <w:t>convenios de asociación</w:t>
      </w:r>
      <w:r w:rsidRPr="00510393">
        <w:rPr>
          <w:rFonts w:ascii="Arial" w:eastAsia="Calibri" w:hAnsi="Arial" w:cs="Arial"/>
          <w:lang w:val="es-ES_tradnl"/>
        </w:rPr>
        <w:t>, no está prohibida por la restricción del parágrafo del artículo 38 de la Ley 2069 de 2020, la cual solo es aplicable a convenios interadministrativos.</w:t>
      </w:r>
    </w:p>
    <w:p w14:paraId="7EF76DB8" w14:textId="77777777" w:rsidR="005F5053" w:rsidRDefault="005F5053" w:rsidP="005F5053">
      <w:pPr>
        <w:spacing w:line="276" w:lineRule="auto"/>
        <w:ind w:firstLine="709"/>
        <w:jc w:val="both"/>
        <w:rPr>
          <w:rFonts w:ascii="Arial" w:eastAsia="Calibri" w:hAnsi="Arial" w:cs="Arial"/>
          <w:bCs/>
          <w:lang w:val="es-ES_tradnl"/>
        </w:rPr>
      </w:pPr>
      <w:r>
        <w:rPr>
          <w:rFonts w:ascii="Arial" w:eastAsia="Calibri" w:hAnsi="Arial" w:cs="Arial"/>
          <w:bCs/>
          <w:lang w:val="es-ES_tradnl"/>
        </w:rPr>
        <w:t>Con todo, es pertinente poner de presente que durante el 2023 no se realizarán elecciones presidenciales, más si se llevarán a cabo elecciones de autoridades territoriales el próximo 29 de octubre. Esto significa que la restricción del artículo 33 de la Ley 996 de 2005 no aplicará durante la presente vigencia, contrario a lo que sucede con la del parágrafo del artículo 38, que se encuentra rigiendo desde el 29 de junio y así continuará hasta el 29 de octubre de 2023.</w:t>
      </w:r>
    </w:p>
    <w:p w14:paraId="75393662" w14:textId="77777777" w:rsidR="005F5053" w:rsidRDefault="005F5053" w:rsidP="00001D7A">
      <w:pPr>
        <w:spacing w:before="120" w:after="0" w:line="276" w:lineRule="auto"/>
        <w:jc w:val="both"/>
        <w:rPr>
          <w:rFonts w:ascii="Arial" w:hAnsi="Arial" w:cs="Arial"/>
          <w:lang w:val="es-ES_tradnl"/>
        </w:rPr>
      </w:pPr>
      <w:r w:rsidRPr="00DA4AEE">
        <w:rPr>
          <w:rFonts w:ascii="Arial" w:hAnsi="Arial" w:cs="Arial"/>
          <w:lang w:val="es-ES_tradnl"/>
        </w:rPr>
        <w:t>Este concepto tiene el alcance previsto en el artículo 28 del Código de Procedimiento Administrativo y de lo Contencioso Administrativo</w:t>
      </w:r>
      <w:r>
        <w:rPr>
          <w:rFonts w:ascii="Arial" w:hAnsi="Arial" w:cs="Arial"/>
          <w:lang w:val="es-ES_tradnl"/>
        </w:rPr>
        <w:t>.</w:t>
      </w:r>
    </w:p>
    <w:p w14:paraId="74FA52B6" w14:textId="77777777" w:rsidR="00001D7A" w:rsidRPr="00DA4AEE" w:rsidRDefault="00001D7A" w:rsidP="00001D7A">
      <w:pPr>
        <w:spacing w:before="120" w:after="0" w:line="276" w:lineRule="auto"/>
        <w:jc w:val="both"/>
        <w:rPr>
          <w:rFonts w:ascii="Arial" w:hAnsi="Arial" w:cs="Arial"/>
          <w:shd w:val="clear" w:color="auto" w:fill="FFFFFF"/>
          <w:lang w:val="es-MX"/>
        </w:rPr>
      </w:pPr>
    </w:p>
    <w:bookmarkEnd w:id="5"/>
    <w:p w14:paraId="2EE84843" w14:textId="77777777" w:rsidR="005F5053" w:rsidRPr="00DA4AEE" w:rsidRDefault="005F5053" w:rsidP="005F5053">
      <w:pPr>
        <w:spacing w:before="120" w:after="0" w:line="276" w:lineRule="auto"/>
        <w:jc w:val="both"/>
        <w:rPr>
          <w:rFonts w:ascii="Arial" w:hAnsi="Arial" w:cs="Arial"/>
          <w:lang w:val="es-ES_tradnl"/>
        </w:rPr>
      </w:pPr>
      <w:r w:rsidRPr="00DA4AEE">
        <w:rPr>
          <w:rFonts w:ascii="Arial" w:hAnsi="Arial" w:cs="Arial"/>
          <w:lang w:val="es-ES_tradnl"/>
        </w:rPr>
        <w:t>Atentamente,</w:t>
      </w:r>
    </w:p>
    <w:p w14:paraId="69AC9034" w14:textId="77777777" w:rsidR="00887F26" w:rsidRDefault="00887F26" w:rsidP="00891928">
      <w:pPr>
        <w:spacing w:after="0"/>
        <w:jc w:val="both"/>
        <w:rPr>
          <w:rFonts w:ascii="Century Gothic" w:hAnsi="Century Gothic"/>
          <w:lang w:val="es-MX"/>
        </w:rPr>
      </w:pPr>
    </w:p>
    <w:p w14:paraId="4C352000" w14:textId="202D9FF5" w:rsidR="00891928" w:rsidRPr="00C330EB" w:rsidRDefault="00FA7312" w:rsidP="00887F26">
      <w:pPr>
        <w:spacing w:after="0"/>
        <w:jc w:val="center"/>
        <w:rPr>
          <w:rFonts w:ascii="Century Gothic" w:hAnsi="Century Gothic"/>
          <w:b/>
          <w:bCs/>
          <w:lang w:val="es-MX"/>
        </w:rPr>
      </w:pPr>
      <w:r>
        <w:rPr>
          <w:rFonts w:ascii="Century Gothic" w:hAnsi="Century Gothic"/>
          <w:b/>
          <w:bCs/>
          <w:noProof/>
          <w:lang w:val="es-MX"/>
        </w:rPr>
        <w:drawing>
          <wp:inline distT="0" distB="0" distL="0" distR="0" wp14:anchorId="115E3D38" wp14:editId="675F3E32">
            <wp:extent cx="3154680" cy="1211580"/>
            <wp:effectExtent l="0" t="0" r="7620" b="7620"/>
            <wp:docPr id="2" name="Imagen 2"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o\AppData\Local\Microsoft\Windows\INetCache\Content.MSO\C6BE34F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r w:rsidR="00DF321C">
        <w:rPr>
          <w:rFonts w:ascii="Arial" w:hAnsi="Arial" w:cs="Arial"/>
          <w:color w:val="000000"/>
          <w:sz w:val="18"/>
          <w:szCs w:val="18"/>
          <w:shd w:val="clear" w:color="auto" w:fill="FFFFFF"/>
        </w:rPr>
        <w:br/>
      </w:r>
    </w:p>
    <w:p w14:paraId="2D19824F" w14:textId="77777777" w:rsidR="00891928" w:rsidRPr="00C330EB" w:rsidRDefault="00891928" w:rsidP="00891928">
      <w:pPr>
        <w:spacing w:after="0"/>
        <w:jc w:val="both"/>
        <w:rPr>
          <w:rFonts w:ascii="Century Gothic" w:hAnsi="Century Gothic"/>
          <w:b/>
          <w:bCs/>
          <w:lang w:val="es-MX"/>
        </w:rPr>
      </w:pPr>
    </w:p>
    <w:p w14:paraId="67A4AA6B" w14:textId="77777777" w:rsidR="00891928" w:rsidRPr="001E4177" w:rsidRDefault="00891928" w:rsidP="00891928">
      <w:pPr>
        <w:spacing w:after="0"/>
        <w:jc w:val="both"/>
        <w:rPr>
          <w:rFonts w:ascii="Century Gothic" w:hAnsi="Century Gothic"/>
          <w:b/>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887F26" w:rsidRPr="00911656" w14:paraId="4AEDE30A" w14:textId="77777777" w:rsidTr="00FD1ADF">
        <w:trPr>
          <w:trHeight w:val="315"/>
        </w:trPr>
        <w:tc>
          <w:tcPr>
            <w:tcW w:w="812" w:type="dxa"/>
            <w:vAlign w:val="center"/>
            <w:hideMark/>
          </w:tcPr>
          <w:p w14:paraId="5EA7A73D" w14:textId="77777777" w:rsidR="00887F26" w:rsidRPr="00911656" w:rsidRDefault="00887F26" w:rsidP="00FD1ADF">
            <w:pPr>
              <w:spacing w:line="276" w:lineRule="auto"/>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60C7BE21" w14:textId="77777777" w:rsidR="00887F26" w:rsidRPr="00911656" w:rsidRDefault="00887F26" w:rsidP="00FD1ADF">
            <w:pPr>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Diana Carolina Blanco Rodríguez</w:t>
            </w:r>
          </w:p>
          <w:p w14:paraId="69D5D233" w14:textId="77777777" w:rsidR="00887F26" w:rsidRPr="00911656" w:rsidRDefault="00887F26" w:rsidP="00FD1ADF">
            <w:pPr>
              <w:jc w:val="both"/>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Contratista de la Subdirección de Gestión Contractual</w:t>
            </w:r>
          </w:p>
        </w:tc>
      </w:tr>
      <w:tr w:rsidR="00887F26" w:rsidRPr="00911656" w14:paraId="3A7E34CE" w14:textId="77777777" w:rsidTr="00FD1ADF">
        <w:trPr>
          <w:trHeight w:val="330"/>
        </w:trPr>
        <w:tc>
          <w:tcPr>
            <w:tcW w:w="812" w:type="dxa"/>
            <w:vAlign w:val="center"/>
            <w:hideMark/>
          </w:tcPr>
          <w:p w14:paraId="232BE1C8" w14:textId="77777777" w:rsidR="00887F26" w:rsidRPr="00911656" w:rsidRDefault="00887F26" w:rsidP="00FD1ADF">
            <w:pPr>
              <w:spacing w:line="276" w:lineRule="auto"/>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658185C1" w14:textId="77777777" w:rsidR="00887F26" w:rsidRPr="00911656" w:rsidRDefault="00887F26" w:rsidP="00FD1ADF">
            <w:pPr>
              <w:jc w:val="both"/>
              <w:rPr>
                <w:rFonts w:ascii="Arial" w:hAnsi="Arial" w:cs="Arial"/>
                <w:sz w:val="16"/>
                <w:szCs w:val="16"/>
              </w:rPr>
            </w:pPr>
            <w:r>
              <w:rPr>
                <w:rFonts w:ascii="Arial" w:hAnsi="Arial" w:cs="Arial"/>
                <w:sz w:val="16"/>
                <w:szCs w:val="16"/>
              </w:rPr>
              <w:t>Alejandro Sarmiento Cantillo</w:t>
            </w:r>
          </w:p>
          <w:p w14:paraId="34F51D9F" w14:textId="77777777" w:rsidR="00887F26" w:rsidRPr="00911656" w:rsidRDefault="00887F26" w:rsidP="00FD1ADF">
            <w:pPr>
              <w:rPr>
                <w:rFonts w:ascii="Arial" w:eastAsia="Times New Roman" w:hAnsi="Arial" w:cs="Arial"/>
                <w:sz w:val="16"/>
                <w:szCs w:val="16"/>
                <w:lang w:val="es-ES" w:eastAsia="es-ES"/>
              </w:rPr>
            </w:pPr>
            <w:r>
              <w:rPr>
                <w:rFonts w:ascii="Arial" w:eastAsia="Times New Roman" w:hAnsi="Arial" w:cs="Arial"/>
                <w:sz w:val="16"/>
                <w:szCs w:val="16"/>
                <w:lang w:val="es-ES" w:eastAsia="es-ES"/>
              </w:rPr>
              <w:t>Gestor T1-15 de la Subdirección de Gestión Contractual</w:t>
            </w:r>
          </w:p>
        </w:tc>
      </w:tr>
      <w:tr w:rsidR="00887F26" w:rsidRPr="00911656" w14:paraId="1A82A792" w14:textId="77777777" w:rsidTr="00FD1ADF">
        <w:trPr>
          <w:trHeight w:val="178"/>
        </w:trPr>
        <w:tc>
          <w:tcPr>
            <w:tcW w:w="812" w:type="dxa"/>
            <w:vAlign w:val="center"/>
            <w:hideMark/>
          </w:tcPr>
          <w:p w14:paraId="16BC86B9" w14:textId="77777777" w:rsidR="00887F26" w:rsidRPr="00911656" w:rsidRDefault="00887F26" w:rsidP="00FD1ADF">
            <w:pPr>
              <w:spacing w:line="276" w:lineRule="auto"/>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59893069" w14:textId="77777777" w:rsidR="00887F26" w:rsidRPr="00911656" w:rsidRDefault="00887F26" w:rsidP="00FD1ADF">
            <w:pPr>
              <w:textAlignment w:val="baseline"/>
              <w:rPr>
                <w:rFonts w:ascii="Arial" w:eastAsia="Times New Roman" w:hAnsi="Arial" w:cs="Arial"/>
                <w:sz w:val="16"/>
                <w:szCs w:val="16"/>
                <w:lang w:val="es-ES" w:eastAsia="es-CO"/>
              </w:rPr>
            </w:pPr>
            <w:bookmarkStart w:id="27" w:name="_Hlk116036152"/>
            <w:r w:rsidRPr="00911656">
              <w:rPr>
                <w:rFonts w:ascii="Arial" w:eastAsia="Times New Roman" w:hAnsi="Arial" w:cs="Arial"/>
                <w:sz w:val="16"/>
                <w:szCs w:val="16"/>
                <w:lang w:val="es-ES" w:eastAsia="es-CO"/>
              </w:rPr>
              <w:t xml:space="preserve">Nohelia del Carmen </w:t>
            </w:r>
            <w:proofErr w:type="spellStart"/>
            <w:r w:rsidRPr="00911656">
              <w:rPr>
                <w:rFonts w:ascii="Arial" w:eastAsia="Times New Roman" w:hAnsi="Arial" w:cs="Arial"/>
                <w:sz w:val="16"/>
                <w:szCs w:val="16"/>
                <w:lang w:val="es-ES" w:eastAsia="es-CO"/>
              </w:rPr>
              <w:t>Zawady</w:t>
            </w:r>
            <w:proofErr w:type="spellEnd"/>
            <w:r w:rsidRPr="00911656">
              <w:rPr>
                <w:rFonts w:ascii="Arial" w:eastAsia="Times New Roman" w:hAnsi="Arial" w:cs="Arial"/>
                <w:sz w:val="16"/>
                <w:szCs w:val="16"/>
                <w:lang w:val="es-ES" w:eastAsia="es-CO"/>
              </w:rPr>
              <w:t xml:space="preserve"> Palacio</w:t>
            </w:r>
          </w:p>
          <w:p w14:paraId="7F1317BD" w14:textId="77777777" w:rsidR="00887F26" w:rsidRPr="00911656" w:rsidRDefault="00887F26" w:rsidP="00FD1ADF">
            <w:pPr>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 xml:space="preserve">Subdirectora de Gestión Contractual </w:t>
            </w:r>
            <w:bookmarkEnd w:id="27"/>
            <w:r w:rsidRPr="00911656">
              <w:rPr>
                <w:rFonts w:ascii="Arial" w:eastAsia="Times New Roman" w:hAnsi="Arial" w:cs="Arial"/>
                <w:sz w:val="16"/>
                <w:szCs w:val="16"/>
                <w:lang w:val="es-ES" w:eastAsia="es-ES"/>
              </w:rPr>
              <w:t>ANCP – CCE</w:t>
            </w:r>
          </w:p>
        </w:tc>
      </w:tr>
    </w:tbl>
    <w:p w14:paraId="0F293BF4" w14:textId="4E630EB9" w:rsidR="00127233" w:rsidRPr="00C330EB" w:rsidRDefault="00E245AB" w:rsidP="00665D70">
      <w:pPr>
        <w:spacing w:after="0"/>
        <w:jc w:val="both"/>
        <w:rPr>
          <w:rFonts w:ascii="Century Gothic" w:hAnsi="Century Gothic"/>
        </w:rPr>
      </w:pPr>
      <w:r w:rsidRPr="00C330EB">
        <w:rPr>
          <w:rFonts w:ascii="Century Gothic" w:hAnsi="Century Gothic"/>
        </w:rPr>
        <w:t xml:space="preserve"> </w:t>
      </w:r>
    </w:p>
    <w:sectPr w:rsidR="00127233" w:rsidRPr="00C330EB"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CEAE" w14:textId="77777777" w:rsidR="00753592" w:rsidRDefault="00753592" w:rsidP="004A1847">
      <w:pPr>
        <w:spacing w:after="0" w:line="240" w:lineRule="auto"/>
      </w:pPr>
      <w:r>
        <w:separator/>
      </w:r>
    </w:p>
  </w:endnote>
  <w:endnote w:type="continuationSeparator" w:id="0">
    <w:p w14:paraId="36BCC40C" w14:textId="77777777" w:rsidR="00753592" w:rsidRDefault="0075359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7C6B" w14:textId="77777777" w:rsidR="00753592" w:rsidRDefault="00753592" w:rsidP="004A1847">
      <w:pPr>
        <w:spacing w:after="0" w:line="240" w:lineRule="auto"/>
      </w:pPr>
      <w:r>
        <w:separator/>
      </w:r>
    </w:p>
  </w:footnote>
  <w:footnote w:type="continuationSeparator" w:id="0">
    <w:p w14:paraId="53C2A7B6" w14:textId="77777777" w:rsidR="00753592" w:rsidRDefault="00753592" w:rsidP="004A1847">
      <w:pPr>
        <w:spacing w:after="0" w:line="240" w:lineRule="auto"/>
      </w:pPr>
      <w:r>
        <w:continuationSeparator/>
      </w:r>
    </w:p>
  </w:footnote>
  <w:footnote w:id="1">
    <w:p w14:paraId="49CA3CB0" w14:textId="77777777" w:rsidR="001B0927" w:rsidRPr="00474F1A" w:rsidRDefault="001B0927" w:rsidP="001B0927">
      <w:pPr>
        <w:pStyle w:val="Textonotapie"/>
        <w:ind w:firstLine="708"/>
        <w:jc w:val="both"/>
        <w:rPr>
          <w:rFonts w:ascii="Arial" w:hAnsi="Arial" w:cs="Arial"/>
          <w:color w:val="000000" w:themeColor="text1"/>
          <w:sz w:val="18"/>
          <w:szCs w:val="18"/>
        </w:rPr>
      </w:pPr>
      <w:r w:rsidRPr="00474F1A">
        <w:rPr>
          <w:rStyle w:val="Refdenotaalpie"/>
          <w:rFonts w:ascii="Arial" w:hAnsi="Arial" w:cs="Arial"/>
          <w:color w:val="000000" w:themeColor="text1"/>
          <w:sz w:val="18"/>
          <w:szCs w:val="18"/>
        </w:rPr>
        <w:footnoteRef/>
      </w:r>
      <w:r w:rsidRPr="00474F1A">
        <w:rPr>
          <w:rFonts w:ascii="Arial" w:hAnsi="Arial" w:cs="Arial"/>
          <w:color w:val="000000" w:themeColor="text1"/>
          <w:sz w:val="18"/>
          <w:szCs w:val="18"/>
        </w:rPr>
        <w:t xml:space="preserve"> Concepto del 3 de septiembre de 2019, emitido en el radicado No. 2201913000006512.</w:t>
      </w:r>
    </w:p>
    <w:p w14:paraId="6E87174F" w14:textId="77777777" w:rsidR="001B0927" w:rsidRPr="00474F1A" w:rsidRDefault="001B0927" w:rsidP="001B0927">
      <w:pPr>
        <w:pStyle w:val="Textonotapie"/>
        <w:ind w:firstLine="708"/>
        <w:jc w:val="both"/>
        <w:rPr>
          <w:rFonts w:ascii="Arial" w:hAnsi="Arial" w:cs="Arial"/>
          <w:color w:val="000000" w:themeColor="text1"/>
          <w:sz w:val="18"/>
          <w:szCs w:val="18"/>
        </w:rPr>
      </w:pPr>
    </w:p>
  </w:footnote>
  <w:footnote w:id="2">
    <w:p w14:paraId="2028F328" w14:textId="77777777" w:rsidR="005F5053" w:rsidRPr="00B34DD2" w:rsidRDefault="005F5053" w:rsidP="005F5053">
      <w:pPr>
        <w:pStyle w:val="Textonotapie"/>
        <w:ind w:firstLine="708"/>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34DD2">
        <w:rPr>
          <w:rFonts w:ascii="Arial" w:hAnsi="Arial" w:cs="Arial"/>
          <w:i/>
          <w:iCs/>
          <w:sz w:val="18"/>
          <w:szCs w:val="18"/>
        </w:rPr>
        <w:t xml:space="preserve">ibidem </w:t>
      </w:r>
      <w:r w:rsidRPr="00B34DD2">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B34DD2">
        <w:rPr>
          <w:rFonts w:ascii="Arial" w:hAnsi="Arial" w:cs="Arial"/>
          <w:sz w:val="18"/>
          <w:szCs w:val="18"/>
        </w:rPr>
        <w:t>bsolver</w:t>
      </w:r>
      <w:proofErr w:type="spellEnd"/>
      <w:r w:rsidRPr="00B34DD2">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34DD2">
        <w:rPr>
          <w:rFonts w:ascii="Arial" w:hAnsi="Arial" w:cs="Arial"/>
          <w:sz w:val="18"/>
          <w:szCs w:val="18"/>
        </w:rPr>
        <w:t>bsolver</w:t>
      </w:r>
      <w:proofErr w:type="spellEnd"/>
      <w:r w:rsidRPr="00B34DD2">
        <w:rPr>
          <w:rFonts w:ascii="Arial" w:hAnsi="Arial" w:cs="Arial"/>
          <w:sz w:val="18"/>
          <w:szCs w:val="18"/>
        </w:rPr>
        <w:t xml:space="preserve"> consultas sobre la aplicación de normas de carácter general”</w:t>
      </w:r>
    </w:p>
    <w:p w14:paraId="5E04FD93" w14:textId="77777777" w:rsidR="005F5053" w:rsidRPr="00AB6A8B" w:rsidRDefault="005F5053" w:rsidP="005F5053">
      <w:pPr>
        <w:pStyle w:val="Textonotapie"/>
        <w:ind w:firstLine="708"/>
        <w:jc w:val="both"/>
        <w:rPr>
          <w:rFonts w:ascii="Arial" w:hAnsi="Arial" w:cs="Arial"/>
          <w:sz w:val="18"/>
          <w:szCs w:val="18"/>
          <w:lang w:val="es-ES"/>
        </w:rPr>
      </w:pPr>
    </w:p>
  </w:footnote>
  <w:footnote w:id="3">
    <w:p w14:paraId="0080EB84" w14:textId="77777777" w:rsidR="005F5053" w:rsidRPr="003C6BF8" w:rsidRDefault="005F5053" w:rsidP="005F5053">
      <w:pPr>
        <w:pStyle w:val="Textonotapie"/>
        <w:ind w:firstLine="708"/>
        <w:jc w:val="both"/>
        <w:rPr>
          <w:rFonts w:ascii="Arial" w:hAnsi="Arial" w:cs="Arial"/>
          <w:sz w:val="18"/>
          <w:szCs w:val="18"/>
        </w:rPr>
      </w:pPr>
      <w:r w:rsidRPr="003C6BF8">
        <w:rPr>
          <w:rStyle w:val="Refdenotaalpie"/>
          <w:rFonts w:ascii="Arial" w:hAnsi="Arial" w:cs="Arial"/>
          <w:sz w:val="18"/>
          <w:szCs w:val="18"/>
        </w:rPr>
        <w:footnoteRef/>
      </w:r>
      <w:r w:rsidRPr="003C6BF8">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3C6BF8">
          <w:rPr>
            <w:rStyle w:val="Hipervnculo"/>
            <w:rFonts w:ascii="Arial" w:hAnsi="Arial" w:cs="Arial"/>
            <w:sz w:val="18"/>
            <w:szCs w:val="18"/>
          </w:rPr>
          <w:t>https://relatoria.colombiacompra.gov.co/busqueda/conceptos</w:t>
        </w:r>
      </w:hyperlink>
      <w:r w:rsidRPr="003C6BF8">
        <w:rPr>
          <w:rStyle w:val="Hipervnculo"/>
          <w:rFonts w:ascii="Arial" w:hAnsi="Arial" w:cs="Arial"/>
          <w:sz w:val="18"/>
          <w:szCs w:val="18"/>
        </w:rPr>
        <w:t xml:space="preserve">. </w:t>
      </w:r>
      <w:r w:rsidRPr="003C6BF8">
        <w:rPr>
          <w:rFonts w:ascii="Arial" w:hAnsi="Arial" w:cs="Arial"/>
          <w:sz w:val="18"/>
          <w:szCs w:val="18"/>
          <w:shd w:val="clear" w:color="auto" w:fill="E6E6E6"/>
        </w:rPr>
        <w:t xml:space="preserve"> </w:t>
      </w:r>
    </w:p>
  </w:footnote>
  <w:footnote w:id="4">
    <w:p w14:paraId="6CD7C4C6" w14:textId="77777777" w:rsidR="005F5053" w:rsidRPr="00562692" w:rsidRDefault="005F5053" w:rsidP="005F5053">
      <w:pPr>
        <w:pStyle w:val="Textonotapie"/>
        <w:ind w:firstLine="709"/>
        <w:jc w:val="both"/>
        <w:rPr>
          <w:rFonts w:ascii="Arial" w:hAnsi="Arial" w:cs="Arial"/>
          <w:sz w:val="12"/>
          <w:szCs w:val="12"/>
        </w:rPr>
      </w:pPr>
      <w:r w:rsidRPr="00474F1A">
        <w:rPr>
          <w:rStyle w:val="Refdenotaalpie"/>
          <w:rFonts w:ascii="Arial" w:hAnsi="Arial" w:cs="Arial"/>
          <w:sz w:val="18"/>
          <w:szCs w:val="18"/>
        </w:rPr>
        <w:footnoteRef/>
      </w:r>
      <w:r w:rsidRPr="00474F1A">
        <w:rPr>
          <w:rFonts w:ascii="Arial" w:hAnsi="Arial" w:cs="Arial"/>
          <w:sz w:val="18"/>
          <w:szCs w:val="18"/>
        </w:rPr>
        <w:t xml:space="preserve"> Gaceta del Congreso de la República No. 71 del 2005.</w:t>
      </w:r>
    </w:p>
  </w:footnote>
  <w:footnote w:id="5">
    <w:p w14:paraId="2CA4C503" w14:textId="77777777" w:rsidR="005F5053" w:rsidRPr="00474F1A" w:rsidRDefault="005F5053" w:rsidP="005F5053">
      <w:pPr>
        <w:pStyle w:val="Textonotapie"/>
        <w:ind w:firstLine="709"/>
        <w:jc w:val="both"/>
        <w:rPr>
          <w:rFonts w:ascii="Arial" w:hAnsi="Arial" w:cs="Arial"/>
          <w:sz w:val="18"/>
          <w:szCs w:val="18"/>
        </w:rPr>
      </w:pPr>
      <w:r w:rsidRPr="00474F1A">
        <w:rPr>
          <w:rStyle w:val="Refdenotaalpie"/>
          <w:rFonts w:ascii="Arial" w:hAnsi="Arial" w:cs="Arial"/>
          <w:sz w:val="18"/>
          <w:szCs w:val="18"/>
        </w:rPr>
        <w:footnoteRef/>
      </w:r>
      <w:r w:rsidRPr="00474F1A">
        <w:rPr>
          <w:rFonts w:ascii="Arial" w:hAnsi="Arial" w:cs="Arial"/>
          <w:sz w:val="18"/>
          <w:szCs w:val="18"/>
        </w:rPr>
        <w:t xml:space="preserve"> Corte Constitucional, Sentencia C- 1153 de 2005, M.P. Marco Gerardo Monroy Cabra.</w:t>
      </w:r>
    </w:p>
    <w:p w14:paraId="4826C474" w14:textId="77777777" w:rsidR="005F5053" w:rsidRPr="00474F1A" w:rsidRDefault="005F5053" w:rsidP="005F5053">
      <w:pPr>
        <w:pStyle w:val="Textonotapie"/>
        <w:ind w:firstLine="709"/>
        <w:jc w:val="both"/>
        <w:rPr>
          <w:rFonts w:ascii="Arial" w:hAnsi="Arial" w:cs="Arial"/>
          <w:sz w:val="18"/>
          <w:szCs w:val="18"/>
        </w:rPr>
      </w:pPr>
    </w:p>
  </w:footnote>
  <w:footnote w:id="6">
    <w:p w14:paraId="124B711B" w14:textId="77777777" w:rsidR="005F5053" w:rsidRPr="00474F1A" w:rsidRDefault="005F5053" w:rsidP="005F5053">
      <w:pPr>
        <w:pStyle w:val="Textonotapie"/>
        <w:ind w:firstLine="709"/>
        <w:jc w:val="both"/>
        <w:rPr>
          <w:rFonts w:ascii="Arial" w:hAnsi="Arial" w:cs="Arial"/>
          <w:sz w:val="18"/>
          <w:szCs w:val="18"/>
        </w:rPr>
      </w:pPr>
      <w:r w:rsidRPr="00474F1A">
        <w:rPr>
          <w:rStyle w:val="Refdenotaalpie"/>
          <w:rFonts w:ascii="Arial" w:hAnsi="Arial" w:cs="Arial"/>
          <w:sz w:val="18"/>
          <w:szCs w:val="18"/>
        </w:rPr>
        <w:footnoteRef/>
      </w:r>
      <w:r w:rsidRPr="00474F1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733EDFEA" w14:textId="77777777" w:rsidR="005F5053" w:rsidRPr="00474F1A" w:rsidRDefault="005F5053" w:rsidP="005F5053">
      <w:pPr>
        <w:pStyle w:val="Textonotapie"/>
        <w:ind w:firstLine="708"/>
        <w:jc w:val="both"/>
        <w:rPr>
          <w:rFonts w:ascii="Arial" w:hAnsi="Arial" w:cs="Arial"/>
          <w:sz w:val="18"/>
          <w:szCs w:val="18"/>
          <w:lang w:val="es-CO"/>
        </w:rPr>
      </w:pPr>
      <w:r w:rsidRPr="00474F1A">
        <w:rPr>
          <w:rStyle w:val="Refdenotaalpie"/>
          <w:rFonts w:ascii="Arial" w:hAnsi="Arial" w:cs="Arial"/>
          <w:sz w:val="18"/>
          <w:szCs w:val="18"/>
        </w:rPr>
        <w:footnoteRef/>
      </w:r>
      <w:r w:rsidRPr="00474F1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4E20FC4F" w14:textId="77777777" w:rsidR="005F5053" w:rsidRPr="00474F1A" w:rsidRDefault="005F5053" w:rsidP="005F5053">
      <w:pPr>
        <w:pStyle w:val="Textonotapie"/>
        <w:ind w:firstLine="708"/>
        <w:jc w:val="both"/>
        <w:rPr>
          <w:rFonts w:ascii="Arial" w:hAnsi="Arial" w:cs="Arial"/>
          <w:sz w:val="18"/>
          <w:szCs w:val="18"/>
          <w:lang w:val="es-CO"/>
        </w:rPr>
      </w:pPr>
    </w:p>
  </w:footnote>
  <w:footnote w:id="8">
    <w:p w14:paraId="627C368B" w14:textId="77777777" w:rsidR="005F5053" w:rsidRDefault="005F5053" w:rsidP="005F5053">
      <w:pPr>
        <w:pStyle w:val="Textonotapie"/>
        <w:ind w:firstLine="709"/>
        <w:jc w:val="both"/>
        <w:rPr>
          <w:rFonts w:ascii="Arial" w:hAnsi="Arial" w:cs="Arial"/>
          <w:sz w:val="18"/>
          <w:szCs w:val="18"/>
        </w:rPr>
      </w:pPr>
      <w:r w:rsidRPr="00474F1A">
        <w:rPr>
          <w:rStyle w:val="Refdenotaalpie"/>
          <w:rFonts w:ascii="Arial" w:hAnsi="Arial" w:cs="Arial"/>
          <w:sz w:val="18"/>
          <w:szCs w:val="18"/>
        </w:rPr>
        <w:footnoteRef/>
      </w:r>
      <w:r w:rsidRPr="00474F1A">
        <w:rPr>
          <w:rFonts w:ascii="Arial" w:hAnsi="Arial" w:cs="Arial"/>
          <w:sz w:val="18"/>
          <w:szCs w:val="18"/>
        </w:rPr>
        <w:t xml:space="preserve"> Consejo de Estado, Sala de Consulta y Servicio Civil de fecha 24 de julio de 2013, radicado 2166, Consejero Ponente: Álvaro </w:t>
      </w:r>
      <w:proofErr w:type="spellStart"/>
      <w:r w:rsidRPr="00474F1A">
        <w:rPr>
          <w:rFonts w:ascii="Arial" w:hAnsi="Arial" w:cs="Arial"/>
          <w:sz w:val="18"/>
          <w:szCs w:val="18"/>
        </w:rPr>
        <w:t>Namén</w:t>
      </w:r>
      <w:proofErr w:type="spellEnd"/>
      <w:r w:rsidRPr="00474F1A">
        <w:rPr>
          <w:rFonts w:ascii="Arial" w:hAnsi="Arial" w:cs="Arial"/>
          <w:sz w:val="18"/>
          <w:szCs w:val="18"/>
        </w:rPr>
        <w:t xml:space="preserve"> Vargas.  </w:t>
      </w:r>
    </w:p>
    <w:p w14:paraId="52455626" w14:textId="77777777" w:rsidR="005F5053" w:rsidRPr="00474F1A" w:rsidRDefault="005F5053" w:rsidP="005F5053">
      <w:pPr>
        <w:pStyle w:val="Textonotapie"/>
        <w:ind w:firstLine="709"/>
        <w:jc w:val="both"/>
        <w:rPr>
          <w:rFonts w:ascii="Arial" w:hAnsi="Arial" w:cs="Arial"/>
          <w:sz w:val="18"/>
          <w:szCs w:val="18"/>
        </w:rPr>
      </w:pPr>
    </w:p>
  </w:footnote>
  <w:footnote w:id="9">
    <w:p w14:paraId="4906DFF9" w14:textId="77777777" w:rsidR="005F5053" w:rsidRPr="00474F1A" w:rsidRDefault="005F5053" w:rsidP="005F5053">
      <w:pPr>
        <w:ind w:firstLine="709"/>
        <w:jc w:val="both"/>
        <w:rPr>
          <w:rFonts w:ascii="Arial" w:hAnsi="Arial" w:cs="Arial"/>
          <w:sz w:val="18"/>
          <w:szCs w:val="18"/>
        </w:rPr>
      </w:pPr>
      <w:r w:rsidRPr="00474F1A">
        <w:rPr>
          <w:rStyle w:val="Refdenotaalpie"/>
          <w:rFonts w:ascii="Arial" w:hAnsi="Arial" w:cs="Arial"/>
          <w:sz w:val="18"/>
          <w:szCs w:val="18"/>
        </w:rPr>
        <w:footnoteRef/>
      </w:r>
      <w:r w:rsidRPr="00474F1A">
        <w:rPr>
          <w:rFonts w:ascii="Arial" w:hAnsi="Arial" w:cs="Arial"/>
          <w:sz w:val="18"/>
          <w:szCs w:val="18"/>
        </w:rPr>
        <w:t xml:space="preserve"> </w:t>
      </w:r>
      <w:bookmarkStart w:id="12" w:name="33"/>
      <w:r>
        <w:rPr>
          <w:rFonts w:ascii="Arial" w:eastAsia="Calibri" w:hAnsi="Arial" w:cs="Arial"/>
          <w:bCs/>
          <w:color w:val="000000"/>
          <w:sz w:val="18"/>
          <w:szCs w:val="18"/>
        </w:rPr>
        <w:t>“</w:t>
      </w:r>
      <w:r w:rsidRPr="00474F1A">
        <w:rPr>
          <w:rFonts w:ascii="Arial" w:hAnsi="Arial" w:cs="Arial"/>
          <w:sz w:val="18"/>
          <w:szCs w:val="18"/>
        </w:rPr>
        <w:t>Artículo 33. Restricciones a la contratación pública.</w:t>
      </w:r>
      <w:bookmarkEnd w:id="12"/>
      <w:r w:rsidRPr="00474F1A">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27CB2A13" w14:textId="77777777" w:rsidR="005F5053" w:rsidRPr="00474F1A" w:rsidRDefault="005F5053" w:rsidP="005F5053">
      <w:pPr>
        <w:ind w:firstLine="709"/>
        <w:jc w:val="both"/>
        <w:rPr>
          <w:rFonts w:ascii="Arial" w:hAnsi="Arial" w:cs="Arial"/>
          <w:sz w:val="18"/>
          <w:szCs w:val="18"/>
        </w:rPr>
      </w:pPr>
      <w:r>
        <w:rPr>
          <w:rFonts w:ascii="Arial" w:eastAsia="Calibri" w:hAnsi="Arial" w:cs="Arial"/>
          <w:bCs/>
          <w:color w:val="000000"/>
          <w:sz w:val="18"/>
          <w:szCs w:val="18"/>
        </w:rPr>
        <w:t>“</w:t>
      </w:r>
      <w:r w:rsidRPr="00474F1A">
        <w:rPr>
          <w:rFonts w:ascii="Arial" w:hAnsi="Arial" w:cs="Arial"/>
          <w:sz w:val="18"/>
          <w:szCs w:val="18"/>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bCs/>
          <w:color w:val="000000"/>
          <w:sz w:val="18"/>
          <w:szCs w:val="18"/>
        </w:rPr>
        <w:t>”</w:t>
      </w:r>
      <w:r w:rsidRPr="00474F1A">
        <w:rPr>
          <w:rFonts w:ascii="Arial" w:hAnsi="Arial" w:cs="Arial"/>
          <w:sz w:val="18"/>
          <w:szCs w:val="18"/>
        </w:rPr>
        <w:t>.</w:t>
      </w:r>
    </w:p>
  </w:footnote>
  <w:footnote w:id="10">
    <w:p w14:paraId="3819F3D8" w14:textId="77777777" w:rsidR="005F5053" w:rsidRPr="00474F1A" w:rsidRDefault="005F5053" w:rsidP="005F5053">
      <w:pPr>
        <w:pStyle w:val="NormalWeb"/>
        <w:spacing w:before="0" w:beforeAutospacing="0" w:after="0" w:afterAutospacing="0"/>
        <w:ind w:firstLine="709"/>
        <w:jc w:val="both"/>
        <w:rPr>
          <w:rFonts w:ascii="Arial" w:hAnsi="Arial" w:cs="Arial"/>
          <w:sz w:val="18"/>
          <w:szCs w:val="18"/>
          <w:lang w:val="es-MX"/>
        </w:rPr>
      </w:pPr>
      <w:r w:rsidRPr="00474F1A">
        <w:rPr>
          <w:rStyle w:val="Refdenotaalpie"/>
          <w:rFonts w:ascii="Arial" w:hAnsi="Arial" w:cs="Arial"/>
          <w:sz w:val="18"/>
          <w:szCs w:val="18"/>
        </w:rPr>
        <w:footnoteRef/>
      </w:r>
      <w:r w:rsidRPr="00474F1A">
        <w:rPr>
          <w:rFonts w:ascii="Arial" w:hAnsi="Arial" w:cs="Arial"/>
          <w:sz w:val="18"/>
          <w:szCs w:val="18"/>
        </w:rPr>
        <w:t xml:space="preserve"> </w:t>
      </w:r>
      <w:bookmarkStart w:id="13" w:name="38"/>
      <w:r w:rsidRPr="00474F1A">
        <w:rPr>
          <w:rFonts w:ascii="Arial" w:eastAsia="Calibri" w:hAnsi="Arial" w:cs="Arial"/>
          <w:bCs/>
          <w:color w:val="000000"/>
          <w:sz w:val="18"/>
          <w:szCs w:val="18"/>
        </w:rPr>
        <w:t>«</w:t>
      </w:r>
      <w:r w:rsidRPr="00474F1A">
        <w:rPr>
          <w:rFonts w:ascii="Arial" w:hAnsi="Arial" w:cs="Arial"/>
          <w:sz w:val="18"/>
          <w:szCs w:val="18"/>
          <w:lang w:val="es-MX"/>
        </w:rPr>
        <w:t>Artículo 38. Prohibiciones para los servidores públicos. A los empleados del Estado les está prohibido:</w:t>
      </w:r>
      <w:bookmarkEnd w:id="13"/>
    </w:p>
    <w:p w14:paraId="56AC703F" w14:textId="77777777" w:rsidR="005F5053" w:rsidRPr="00474F1A" w:rsidRDefault="005F5053" w:rsidP="005F5053">
      <w:pPr>
        <w:pStyle w:val="NormalWeb"/>
        <w:spacing w:before="0" w:beforeAutospacing="0" w:after="0" w:afterAutospacing="0"/>
        <w:ind w:firstLine="709"/>
        <w:jc w:val="both"/>
        <w:rPr>
          <w:rFonts w:ascii="Arial" w:hAnsi="Arial" w:cs="Arial"/>
          <w:sz w:val="18"/>
          <w:szCs w:val="18"/>
          <w:lang w:val="es-MX"/>
        </w:rPr>
      </w:pPr>
      <w:r>
        <w:rPr>
          <w:rFonts w:ascii="Arial" w:eastAsia="Calibri" w:hAnsi="Arial" w:cs="Arial"/>
          <w:bCs/>
          <w:color w:val="000000"/>
          <w:sz w:val="18"/>
          <w:szCs w:val="18"/>
        </w:rPr>
        <w:t>“</w:t>
      </w:r>
      <w:r w:rsidRPr="00474F1A">
        <w:rPr>
          <w:rFonts w:ascii="Arial" w:hAnsi="Arial" w:cs="Arial"/>
          <w:sz w:val="18"/>
          <w:szCs w:val="18"/>
          <w:lang w:val="es-MX"/>
        </w:rPr>
        <w:t>[…]</w:t>
      </w:r>
    </w:p>
    <w:p w14:paraId="305B055E" w14:textId="77777777" w:rsidR="005F5053" w:rsidRDefault="005F5053" w:rsidP="005F5053">
      <w:pPr>
        <w:pStyle w:val="NormalWeb"/>
        <w:spacing w:before="0" w:beforeAutospacing="0" w:after="0" w:afterAutospacing="0"/>
        <w:ind w:firstLine="709"/>
        <w:jc w:val="both"/>
        <w:rPr>
          <w:rFonts w:ascii="Arial" w:hAnsi="Arial" w:cs="Arial"/>
          <w:sz w:val="18"/>
          <w:szCs w:val="18"/>
          <w:lang w:val="es-MX"/>
        </w:rPr>
      </w:pPr>
      <w:r>
        <w:rPr>
          <w:rFonts w:ascii="Arial" w:eastAsia="Calibri" w:hAnsi="Arial" w:cs="Arial"/>
          <w:bCs/>
          <w:color w:val="000000"/>
          <w:sz w:val="18"/>
          <w:szCs w:val="18"/>
        </w:rPr>
        <w:t>“</w:t>
      </w:r>
      <w:r w:rsidRPr="00474F1A">
        <w:rPr>
          <w:rStyle w:val="baj"/>
          <w:rFonts w:ascii="Arial" w:hAnsi="Arial" w:cs="Arial"/>
          <w:sz w:val="18"/>
          <w:szCs w:val="18"/>
        </w:rPr>
        <w:t>Parágrafo.</w:t>
      </w:r>
      <w:r w:rsidRPr="00474F1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bCs/>
          <w:color w:val="000000"/>
          <w:sz w:val="18"/>
          <w:szCs w:val="18"/>
        </w:rPr>
        <w:t>”</w:t>
      </w:r>
      <w:r w:rsidRPr="00474F1A">
        <w:rPr>
          <w:rFonts w:ascii="Arial" w:hAnsi="Arial" w:cs="Arial"/>
          <w:sz w:val="18"/>
          <w:szCs w:val="18"/>
          <w:lang w:val="es-MX"/>
        </w:rPr>
        <w:t>.</w:t>
      </w:r>
    </w:p>
    <w:p w14:paraId="2EE9B0E1" w14:textId="77777777" w:rsidR="005F5053" w:rsidRPr="00474F1A" w:rsidRDefault="005F5053" w:rsidP="005F5053">
      <w:pPr>
        <w:pStyle w:val="NormalWeb"/>
        <w:spacing w:before="0" w:beforeAutospacing="0" w:after="0" w:afterAutospacing="0"/>
        <w:ind w:firstLine="709"/>
        <w:jc w:val="both"/>
        <w:rPr>
          <w:rFonts w:ascii="Arial" w:hAnsi="Arial" w:cs="Arial"/>
          <w:sz w:val="18"/>
          <w:szCs w:val="18"/>
          <w:lang w:val="es-MX"/>
        </w:rPr>
      </w:pPr>
    </w:p>
  </w:footnote>
  <w:footnote w:id="11">
    <w:p w14:paraId="56337763" w14:textId="77777777" w:rsidR="005F5053" w:rsidRPr="00562692" w:rsidRDefault="005F5053" w:rsidP="005F5053">
      <w:pPr>
        <w:ind w:left="100" w:right="244" w:firstLine="709"/>
        <w:jc w:val="both"/>
        <w:rPr>
          <w:rFonts w:ascii="Arial" w:hAnsi="Arial" w:cs="Arial"/>
          <w:sz w:val="12"/>
          <w:szCs w:val="12"/>
          <w:lang w:val="es-ES"/>
        </w:rPr>
      </w:pPr>
      <w:r w:rsidRPr="00474F1A">
        <w:rPr>
          <w:rStyle w:val="Refdenotaalpie"/>
          <w:rFonts w:ascii="Arial" w:hAnsi="Arial" w:cs="Arial"/>
          <w:sz w:val="18"/>
          <w:szCs w:val="18"/>
        </w:rPr>
        <w:footnoteRef/>
      </w:r>
      <w:r w:rsidRPr="00474F1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2">
    <w:p w14:paraId="0F77EE07" w14:textId="77777777" w:rsidR="005F5053" w:rsidRPr="00474F1A" w:rsidRDefault="005F5053" w:rsidP="005F5053">
      <w:pPr>
        <w:pStyle w:val="Textonotapie"/>
        <w:ind w:firstLine="708"/>
        <w:jc w:val="both"/>
        <w:rPr>
          <w:rFonts w:ascii="Arial" w:hAnsi="Arial" w:cs="Arial"/>
          <w:color w:val="000000" w:themeColor="text1"/>
          <w:sz w:val="18"/>
          <w:szCs w:val="18"/>
        </w:rPr>
      </w:pPr>
      <w:r w:rsidRPr="00474F1A">
        <w:rPr>
          <w:rStyle w:val="Refdenotaalpie"/>
          <w:rFonts w:ascii="Arial" w:hAnsi="Arial" w:cs="Arial"/>
          <w:color w:val="000000" w:themeColor="text1"/>
          <w:sz w:val="18"/>
          <w:szCs w:val="18"/>
        </w:rPr>
        <w:footnoteRef/>
      </w:r>
      <w:r w:rsidRPr="00474F1A">
        <w:rPr>
          <w:rFonts w:ascii="Arial" w:hAnsi="Arial" w:cs="Arial"/>
          <w:color w:val="000000" w:themeColor="text1"/>
          <w:sz w:val="18"/>
          <w:szCs w:val="18"/>
        </w:rPr>
        <w:t xml:space="preserve"> Sobre esta norma consultar los conceptos del 8 de octubre de 2019, con radicado 2201913000007532, y del 20 de diciembre de 2019, cuyo radicado es el No. 4201913000008240.</w:t>
      </w:r>
    </w:p>
  </w:footnote>
  <w:footnote w:id="13">
    <w:p w14:paraId="06F34CF3" w14:textId="77777777" w:rsidR="005F5053" w:rsidRPr="00474F1A" w:rsidRDefault="005F5053" w:rsidP="005F5053">
      <w:pPr>
        <w:pStyle w:val="Textonotapie"/>
        <w:ind w:firstLine="708"/>
        <w:jc w:val="both"/>
        <w:rPr>
          <w:rFonts w:ascii="Arial" w:hAnsi="Arial" w:cs="Arial"/>
          <w:color w:val="000000" w:themeColor="text1"/>
          <w:sz w:val="18"/>
          <w:szCs w:val="18"/>
        </w:rPr>
      </w:pPr>
      <w:r w:rsidRPr="00474F1A">
        <w:rPr>
          <w:rStyle w:val="Refdenotaalpie"/>
          <w:rFonts w:ascii="Arial" w:hAnsi="Arial" w:cs="Arial"/>
          <w:color w:val="000000" w:themeColor="text1"/>
          <w:sz w:val="18"/>
          <w:szCs w:val="18"/>
        </w:rPr>
        <w:footnoteRef/>
      </w:r>
      <w:r w:rsidRPr="00474F1A">
        <w:rPr>
          <w:rFonts w:ascii="Arial" w:hAnsi="Arial" w:cs="Arial"/>
          <w:color w:val="000000" w:themeColor="text1"/>
          <w:sz w:val="18"/>
          <w:szCs w:val="18"/>
        </w:rPr>
        <w:t xml:space="preserve"> </w:t>
      </w:r>
      <w:r>
        <w:rPr>
          <w:rFonts w:ascii="Arial" w:hAnsi="Arial" w:cs="Arial"/>
          <w:color w:val="000000" w:themeColor="text1"/>
          <w:sz w:val="18"/>
          <w:szCs w:val="18"/>
        </w:rPr>
        <w:t>“</w:t>
      </w:r>
      <w:r w:rsidRPr="00474F1A">
        <w:rPr>
          <w:rFonts w:ascii="Arial" w:hAnsi="Arial" w:cs="Arial"/>
          <w:color w:val="000000" w:themeColor="text1"/>
          <w:sz w:val="18"/>
          <w:szCs w:val="18"/>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EDBC7EA" w14:textId="77777777" w:rsidR="005F5053" w:rsidRPr="00474F1A" w:rsidRDefault="005F5053" w:rsidP="005F5053">
      <w:pPr>
        <w:pStyle w:val="Textonotapie"/>
        <w:ind w:firstLine="708"/>
        <w:jc w:val="both"/>
        <w:rPr>
          <w:rFonts w:ascii="Arial" w:hAnsi="Arial" w:cs="Arial"/>
          <w:color w:val="000000" w:themeColor="text1"/>
          <w:sz w:val="18"/>
          <w:szCs w:val="18"/>
        </w:rPr>
      </w:pPr>
      <w:r>
        <w:rPr>
          <w:rFonts w:ascii="Arial" w:hAnsi="Arial" w:cs="Arial"/>
          <w:color w:val="000000" w:themeColor="text1"/>
          <w:sz w:val="18"/>
          <w:szCs w:val="18"/>
        </w:rPr>
        <w:t>“</w:t>
      </w:r>
      <w:r w:rsidRPr="00474F1A">
        <w:rPr>
          <w:rFonts w:ascii="Arial" w:hAnsi="Arial" w:cs="Arial"/>
          <w:color w:val="000000" w:themeColor="text1"/>
          <w:sz w:val="18"/>
          <w:szCs w:val="18"/>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r>
        <w:rPr>
          <w:rFonts w:ascii="Arial" w:hAnsi="Arial" w:cs="Arial"/>
          <w:color w:val="000000" w:themeColor="text1"/>
          <w:sz w:val="18"/>
          <w:szCs w:val="18"/>
        </w:rPr>
        <w:t>”</w:t>
      </w:r>
      <w:r w:rsidRPr="00474F1A">
        <w:rPr>
          <w:rFonts w:ascii="Arial" w:hAnsi="Arial" w:cs="Arial"/>
          <w:color w:val="000000" w:themeColor="text1"/>
          <w:sz w:val="18"/>
          <w:szCs w:val="18"/>
        </w:rPr>
        <w:t>.</w:t>
      </w:r>
    </w:p>
  </w:footnote>
  <w:footnote w:id="14">
    <w:p w14:paraId="10913A59" w14:textId="77777777" w:rsidR="005F5053" w:rsidRPr="00562692" w:rsidRDefault="005F5053" w:rsidP="005F5053">
      <w:pPr>
        <w:pStyle w:val="Textonotapie"/>
        <w:ind w:firstLine="708"/>
        <w:jc w:val="both"/>
        <w:rPr>
          <w:rFonts w:ascii="Arial" w:hAnsi="Arial" w:cs="Arial"/>
          <w:color w:val="000000" w:themeColor="text1"/>
          <w:sz w:val="12"/>
          <w:szCs w:val="12"/>
        </w:rPr>
      </w:pPr>
      <w:r w:rsidRPr="00474F1A">
        <w:rPr>
          <w:rStyle w:val="Refdenotaalpie"/>
          <w:rFonts w:ascii="Arial" w:hAnsi="Arial" w:cs="Arial"/>
          <w:color w:val="000000" w:themeColor="text1"/>
          <w:sz w:val="18"/>
          <w:szCs w:val="18"/>
        </w:rPr>
        <w:footnoteRef/>
      </w:r>
      <w:r w:rsidRPr="00474F1A">
        <w:rPr>
          <w:rFonts w:ascii="Arial" w:hAnsi="Arial" w:cs="Arial"/>
          <w:color w:val="000000" w:themeColor="text1"/>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r>
        <w:rPr>
          <w:rFonts w:ascii="Arial" w:hAnsi="Arial" w:cs="Arial"/>
          <w:color w:val="000000" w:themeColor="text1"/>
          <w:sz w:val="18"/>
          <w:szCs w:val="18"/>
        </w:rPr>
        <w:t>”</w:t>
      </w:r>
      <w:r w:rsidRPr="00474F1A">
        <w:rPr>
          <w:rFonts w:ascii="Arial" w:hAnsi="Arial" w:cs="Arial"/>
          <w:color w:val="000000" w:themeColor="text1"/>
          <w:sz w:val="18"/>
          <w:szCs w:val="18"/>
        </w:rPr>
        <w:t>.</w:t>
      </w:r>
    </w:p>
  </w:footnote>
  <w:footnote w:id="15">
    <w:p w14:paraId="2E780FBF" w14:textId="77777777" w:rsidR="005F5053" w:rsidRPr="00474F1A" w:rsidRDefault="005F5053" w:rsidP="005F5053">
      <w:pPr>
        <w:pStyle w:val="Textonotapie"/>
        <w:ind w:firstLine="708"/>
        <w:jc w:val="both"/>
        <w:rPr>
          <w:rFonts w:ascii="Arial" w:hAnsi="Arial" w:cs="Arial"/>
          <w:color w:val="000000" w:themeColor="text1"/>
          <w:sz w:val="18"/>
          <w:szCs w:val="18"/>
        </w:rPr>
      </w:pPr>
      <w:r w:rsidRPr="00474F1A">
        <w:rPr>
          <w:rStyle w:val="Refdenotaalpie"/>
          <w:rFonts w:ascii="Arial" w:hAnsi="Arial" w:cs="Arial"/>
          <w:color w:val="000000" w:themeColor="text1"/>
          <w:sz w:val="18"/>
          <w:szCs w:val="18"/>
        </w:rPr>
        <w:footnoteRef/>
      </w:r>
      <w:r w:rsidRPr="00474F1A">
        <w:rPr>
          <w:rFonts w:ascii="Arial" w:hAnsi="Arial" w:cs="Arial"/>
          <w:color w:val="000000" w:themeColor="text1"/>
          <w:sz w:val="18"/>
          <w:szCs w:val="18"/>
        </w:rPr>
        <w:t xml:space="preserve"> Concepto del 3 de septiembre de 2019, emitido en el radicado No. 2201913000006512.</w:t>
      </w:r>
    </w:p>
    <w:p w14:paraId="4F00DAB1" w14:textId="77777777" w:rsidR="005F5053" w:rsidRPr="00474F1A" w:rsidRDefault="005F5053" w:rsidP="005F5053">
      <w:pPr>
        <w:pStyle w:val="Textonotapie"/>
        <w:ind w:firstLine="708"/>
        <w:jc w:val="both"/>
        <w:rPr>
          <w:rFonts w:ascii="Arial" w:hAnsi="Arial" w:cs="Arial"/>
          <w:color w:val="000000" w:themeColor="text1"/>
          <w:sz w:val="18"/>
          <w:szCs w:val="18"/>
        </w:rPr>
      </w:pPr>
    </w:p>
  </w:footnote>
  <w:footnote w:id="16">
    <w:p w14:paraId="6ED29D00" w14:textId="77777777" w:rsidR="005F5053" w:rsidRPr="00474F1A" w:rsidRDefault="005F5053" w:rsidP="005F5053">
      <w:pPr>
        <w:pStyle w:val="Textonotapie"/>
        <w:ind w:firstLine="708"/>
        <w:jc w:val="both"/>
        <w:rPr>
          <w:rFonts w:ascii="Arial" w:hAnsi="Arial" w:cs="Arial"/>
          <w:color w:val="000000" w:themeColor="text1"/>
          <w:sz w:val="18"/>
          <w:szCs w:val="18"/>
        </w:rPr>
      </w:pPr>
      <w:r w:rsidRPr="00474F1A">
        <w:rPr>
          <w:rStyle w:val="Refdenotaalpie"/>
          <w:rFonts w:ascii="Arial" w:hAnsi="Arial" w:cs="Arial"/>
          <w:color w:val="000000" w:themeColor="text1"/>
          <w:sz w:val="18"/>
          <w:szCs w:val="18"/>
        </w:rPr>
        <w:footnoteRef/>
      </w:r>
      <w:r w:rsidRPr="00474F1A">
        <w:rPr>
          <w:rFonts w:ascii="Arial" w:hAnsi="Arial" w:cs="Arial"/>
          <w:color w:val="000000" w:themeColor="text1"/>
          <w:sz w:val="18"/>
          <w:szCs w:val="18"/>
        </w:rPr>
        <w:t xml:space="preserve"> El numeral 16.9 de la Circular Externa Única de Colombia Compra Eficiente determina:</w:t>
      </w:r>
    </w:p>
    <w:p w14:paraId="20DE0E00" w14:textId="77777777" w:rsidR="005F5053" w:rsidRPr="00474F1A" w:rsidRDefault="005F5053" w:rsidP="005F5053">
      <w:pPr>
        <w:pStyle w:val="Textonotapie"/>
        <w:ind w:firstLine="708"/>
        <w:jc w:val="both"/>
        <w:rPr>
          <w:rFonts w:ascii="Arial" w:hAnsi="Arial" w:cs="Arial"/>
          <w:color w:val="000000" w:themeColor="text1"/>
          <w:sz w:val="18"/>
          <w:szCs w:val="18"/>
        </w:rPr>
      </w:pPr>
      <w:r>
        <w:rPr>
          <w:rFonts w:ascii="Arial" w:hAnsi="Arial" w:cs="Arial"/>
          <w:color w:val="000000" w:themeColor="text1"/>
          <w:sz w:val="18"/>
          <w:szCs w:val="18"/>
        </w:rPr>
        <w:t>“</w:t>
      </w:r>
      <w:r w:rsidRPr="00474F1A">
        <w:rPr>
          <w:rFonts w:ascii="Arial" w:hAnsi="Arial" w:cs="Arial"/>
          <w:color w:val="000000" w:themeColor="text1"/>
          <w:sz w:val="18"/>
          <w:szCs w:val="18"/>
        </w:rPr>
        <w:t>16.9 Uniones temporales y consorcios conformados por entidades sin ánimo de lucro.</w:t>
      </w:r>
    </w:p>
    <w:p w14:paraId="01CBD95D" w14:textId="77777777" w:rsidR="005F5053" w:rsidRPr="001929A8" w:rsidRDefault="005F5053" w:rsidP="005F5053">
      <w:pPr>
        <w:pStyle w:val="Textonotapie"/>
        <w:ind w:firstLine="708"/>
        <w:jc w:val="both"/>
        <w:rPr>
          <w:rFonts w:ascii="Arial" w:hAnsi="Arial" w:cs="Arial"/>
          <w:color w:val="000000" w:themeColor="text1"/>
          <w:sz w:val="18"/>
          <w:szCs w:val="18"/>
        </w:rPr>
      </w:pPr>
      <w:r>
        <w:rPr>
          <w:rFonts w:ascii="Arial" w:hAnsi="Arial" w:cs="Arial"/>
          <w:color w:val="000000" w:themeColor="text1"/>
          <w:sz w:val="18"/>
          <w:szCs w:val="18"/>
        </w:rPr>
        <w:t>“</w:t>
      </w:r>
      <w:r w:rsidRPr="00474F1A">
        <w:rPr>
          <w:rFonts w:ascii="Arial" w:hAnsi="Arial" w:cs="Arial"/>
          <w:color w:val="000000" w:themeColor="text1"/>
          <w:sz w:val="18"/>
          <w:szCs w:val="18"/>
        </w:rPr>
        <w:t xml:space="preserve">El Decreto 092 de 2017 no restringe ninguna forma de asociación entre las entidades privadas sin ánimo de lucro, y prevé que los contratos y convenios que regula se sujetarán a las normas generales aplicables </w:t>
      </w:r>
      <w:r w:rsidRPr="001929A8">
        <w:rPr>
          <w:rFonts w:ascii="Arial" w:hAnsi="Arial" w:cs="Arial"/>
          <w:color w:val="000000" w:themeColor="text1"/>
          <w:sz w:val="18"/>
          <w:szCs w:val="18"/>
        </w:rPr>
        <w:t>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r>
        <w:rPr>
          <w:rFonts w:ascii="Arial" w:hAnsi="Arial" w:cs="Arial"/>
          <w:color w:val="000000" w:themeColor="text1"/>
          <w:sz w:val="18"/>
          <w:szCs w:val="18"/>
        </w:rPr>
        <w:t>”</w:t>
      </w:r>
      <w:r w:rsidRPr="001929A8">
        <w:rPr>
          <w:rFonts w:ascii="Arial" w:hAnsi="Arial" w:cs="Arial"/>
          <w:color w:val="000000" w:themeColor="text1"/>
          <w:sz w:val="18"/>
          <w:szCs w:val="18"/>
        </w:rPr>
        <w:t>.</w:t>
      </w:r>
    </w:p>
  </w:footnote>
  <w:footnote w:id="17">
    <w:p w14:paraId="045E8394" w14:textId="77777777" w:rsidR="005F5053" w:rsidRPr="001929A8" w:rsidRDefault="005F5053" w:rsidP="005F5053">
      <w:pPr>
        <w:pStyle w:val="Textonotapie"/>
        <w:ind w:firstLine="708"/>
        <w:jc w:val="both"/>
        <w:rPr>
          <w:rFonts w:ascii="Arial" w:hAnsi="Arial" w:cs="Arial"/>
          <w:color w:val="000000" w:themeColor="text1"/>
          <w:sz w:val="18"/>
          <w:szCs w:val="18"/>
        </w:rPr>
      </w:pPr>
      <w:r w:rsidRPr="001929A8">
        <w:rPr>
          <w:rStyle w:val="Refdenotaalpie"/>
          <w:rFonts w:ascii="Arial" w:hAnsi="Arial" w:cs="Arial"/>
          <w:color w:val="000000" w:themeColor="text1"/>
          <w:sz w:val="18"/>
          <w:szCs w:val="18"/>
        </w:rPr>
        <w:footnoteRef/>
      </w:r>
      <w:r w:rsidRPr="001929A8">
        <w:rPr>
          <w:rFonts w:ascii="Arial" w:hAnsi="Arial" w:cs="Arial"/>
          <w:color w:val="000000" w:themeColor="text1"/>
          <w:sz w:val="18"/>
          <w:szCs w:val="18"/>
        </w:rPr>
        <w:t xml:space="preserve"> Concepto del 19 de noviembre de 2019, emitido en el radicado No. 2201913000008611.</w:t>
      </w:r>
    </w:p>
    <w:p w14:paraId="38EA807D" w14:textId="77777777" w:rsidR="005F5053" w:rsidRPr="0053557D" w:rsidRDefault="005F5053" w:rsidP="005F5053">
      <w:pPr>
        <w:pStyle w:val="Textonotapie"/>
        <w:ind w:firstLine="708"/>
        <w:jc w:val="both"/>
        <w:rPr>
          <w:rFonts w:ascii="Arial" w:hAnsi="Arial" w:cs="Arial"/>
          <w:color w:val="000000" w:themeColor="text1"/>
          <w:sz w:val="19"/>
          <w:szCs w:val="19"/>
          <w:lang w:val="es-ES"/>
        </w:rPr>
      </w:pPr>
    </w:p>
  </w:footnote>
  <w:footnote w:id="18">
    <w:p w14:paraId="174FFCF7" w14:textId="77777777" w:rsidR="005F5053" w:rsidRPr="001929A8" w:rsidRDefault="005F5053" w:rsidP="005F5053">
      <w:pPr>
        <w:pStyle w:val="Textonotapie"/>
        <w:ind w:firstLine="708"/>
        <w:jc w:val="both"/>
        <w:rPr>
          <w:rFonts w:ascii="Arial" w:hAnsi="Arial" w:cs="Arial"/>
          <w:color w:val="000000" w:themeColor="text1"/>
          <w:sz w:val="18"/>
          <w:szCs w:val="18"/>
        </w:rPr>
      </w:pPr>
      <w:r w:rsidRPr="001929A8">
        <w:rPr>
          <w:rStyle w:val="Refdenotaalpie"/>
          <w:rFonts w:ascii="Arial" w:hAnsi="Arial" w:cs="Arial"/>
          <w:color w:val="000000" w:themeColor="text1"/>
          <w:sz w:val="18"/>
          <w:szCs w:val="18"/>
        </w:rPr>
        <w:footnoteRef/>
      </w:r>
      <w:r w:rsidRPr="001929A8">
        <w:rPr>
          <w:rFonts w:ascii="Arial" w:hAnsi="Arial" w:cs="Arial"/>
          <w:color w:val="000000" w:themeColor="text1"/>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9">
    <w:p w14:paraId="72A857CF" w14:textId="77777777" w:rsidR="005F5053" w:rsidRPr="001929A8" w:rsidRDefault="005F5053" w:rsidP="005F5053">
      <w:pPr>
        <w:pStyle w:val="Textonotapie"/>
        <w:ind w:firstLine="708"/>
        <w:jc w:val="both"/>
        <w:rPr>
          <w:rFonts w:ascii="Arial" w:hAnsi="Arial" w:cs="Arial"/>
          <w:color w:val="000000" w:themeColor="text1"/>
          <w:sz w:val="18"/>
          <w:szCs w:val="18"/>
        </w:rPr>
      </w:pPr>
      <w:r w:rsidRPr="001929A8">
        <w:rPr>
          <w:rStyle w:val="Refdenotaalpie"/>
          <w:rFonts w:ascii="Arial" w:hAnsi="Arial" w:cs="Arial"/>
          <w:color w:val="000000" w:themeColor="text1"/>
          <w:sz w:val="18"/>
          <w:szCs w:val="18"/>
        </w:rPr>
        <w:footnoteRef/>
      </w:r>
      <w:r w:rsidRPr="001929A8">
        <w:rPr>
          <w:rFonts w:ascii="Arial" w:hAnsi="Arial" w:cs="Arial"/>
          <w:color w:val="000000" w:themeColor="text1"/>
          <w:sz w:val="18"/>
          <w:szCs w:val="18"/>
        </w:rPr>
        <w:t xml:space="preserve"> Decreto 1082, artículo 5: </w:t>
      </w:r>
      <w:r>
        <w:rPr>
          <w:rFonts w:ascii="Arial" w:hAnsi="Arial" w:cs="Arial"/>
          <w:color w:val="000000" w:themeColor="text1"/>
          <w:sz w:val="18"/>
          <w:szCs w:val="18"/>
        </w:rPr>
        <w:t>“</w:t>
      </w:r>
      <w:r w:rsidRPr="001929A8">
        <w:rPr>
          <w:rFonts w:ascii="Arial" w:hAnsi="Arial" w:cs="Arial"/>
          <w:color w:val="000000" w:themeColor="text1"/>
          <w:sz w:val="18"/>
          <w:szCs w:val="18"/>
        </w:rPr>
        <w:t>[…]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r>
        <w:rPr>
          <w:rFonts w:ascii="Arial" w:hAnsi="Arial" w:cs="Arial"/>
          <w:color w:val="000000" w:themeColor="text1"/>
          <w:sz w:val="18"/>
          <w:szCs w:val="18"/>
        </w:rPr>
        <w:t>”</w:t>
      </w:r>
      <w:r w:rsidRPr="001929A8">
        <w:rPr>
          <w:rFonts w:ascii="Arial" w:hAnsi="Arial" w:cs="Arial"/>
          <w:color w:val="000000" w:themeColor="text1"/>
          <w:sz w:val="18"/>
          <w:szCs w:val="18"/>
        </w:rPr>
        <w:t>.</w:t>
      </w:r>
    </w:p>
    <w:p w14:paraId="3F3D965D" w14:textId="77777777" w:rsidR="005F5053" w:rsidRPr="0053557D" w:rsidRDefault="005F5053" w:rsidP="005F5053">
      <w:pPr>
        <w:pStyle w:val="Textonotapie"/>
        <w:ind w:firstLine="708"/>
        <w:jc w:val="both"/>
        <w:rPr>
          <w:rFonts w:ascii="Arial" w:hAnsi="Arial" w:cs="Arial"/>
          <w:color w:val="000000" w:themeColor="text1"/>
          <w:sz w:val="19"/>
          <w:szCs w:val="19"/>
        </w:rPr>
      </w:pPr>
    </w:p>
  </w:footnote>
  <w:footnote w:id="20">
    <w:p w14:paraId="38BE327F" w14:textId="77777777" w:rsidR="005F5053" w:rsidRPr="00562692" w:rsidRDefault="005F5053" w:rsidP="005F5053">
      <w:pPr>
        <w:pStyle w:val="Textonotapie"/>
        <w:ind w:firstLine="708"/>
        <w:jc w:val="both"/>
        <w:rPr>
          <w:rFonts w:ascii="Arial" w:hAnsi="Arial" w:cs="Arial"/>
          <w:sz w:val="12"/>
          <w:szCs w:val="12"/>
          <w:lang w:val="es-ES"/>
        </w:rPr>
      </w:pPr>
      <w:r w:rsidRPr="00562692">
        <w:rPr>
          <w:rStyle w:val="Refdenotaalpie"/>
          <w:rFonts w:ascii="Arial" w:hAnsi="Arial" w:cs="Arial"/>
          <w:sz w:val="12"/>
          <w:szCs w:val="12"/>
        </w:rPr>
        <w:footnoteRef/>
      </w:r>
      <w:r w:rsidRPr="00562692">
        <w:rPr>
          <w:rFonts w:ascii="Arial" w:hAnsi="Arial" w:cs="Arial"/>
          <w:sz w:val="12"/>
          <w:szCs w:val="12"/>
        </w:rPr>
        <w:t xml:space="preserve"> </w:t>
      </w:r>
      <w:r w:rsidRPr="00562692">
        <w:rPr>
          <w:rFonts w:ascii="Arial" w:hAnsi="Arial" w:cs="Arial"/>
          <w:sz w:val="12"/>
          <w:szCs w:val="12"/>
          <w:lang w:val="es-CO"/>
        </w:rPr>
        <w:t xml:space="preserve">CONSEJO DE ESTADO. Sala de Consulta y Servicio Civil. Concepto del 8 de mayo de 2018. Rad. 2382. C.P. Álvaro </w:t>
      </w:r>
      <w:proofErr w:type="spellStart"/>
      <w:r w:rsidRPr="00562692">
        <w:rPr>
          <w:rFonts w:ascii="Arial" w:hAnsi="Arial" w:cs="Arial"/>
          <w:sz w:val="12"/>
          <w:szCs w:val="12"/>
          <w:lang w:val="es-CO"/>
        </w:rPr>
        <w:t>Namén</w:t>
      </w:r>
      <w:proofErr w:type="spellEnd"/>
      <w:r w:rsidRPr="00562692">
        <w:rPr>
          <w:rFonts w:ascii="Arial" w:hAnsi="Arial" w:cs="Arial"/>
          <w:sz w:val="12"/>
          <w:szCs w:val="12"/>
          <w:lang w:val="es-CO"/>
        </w:rPr>
        <w:t xml:space="preserve">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36778748">
    <w:abstractNumId w:val="3"/>
  </w:num>
  <w:num w:numId="2" w16cid:durableId="41025547">
    <w:abstractNumId w:val="1"/>
  </w:num>
  <w:num w:numId="3" w16cid:durableId="1680038933">
    <w:abstractNumId w:val="2"/>
  </w:num>
  <w:num w:numId="4" w16cid:durableId="1476145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4149518">
    <w:abstractNumId w:val="1"/>
  </w:num>
  <w:num w:numId="6" w16cid:durableId="134224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D7A"/>
    <w:rsid w:val="0003166A"/>
    <w:rsid w:val="0008095B"/>
    <w:rsid w:val="00082CAD"/>
    <w:rsid w:val="000A4DA5"/>
    <w:rsid w:val="000A683E"/>
    <w:rsid w:val="000B19B9"/>
    <w:rsid w:val="000D0334"/>
    <w:rsid w:val="000E4D71"/>
    <w:rsid w:val="000F6486"/>
    <w:rsid w:val="00123E50"/>
    <w:rsid w:val="00125105"/>
    <w:rsid w:val="00127233"/>
    <w:rsid w:val="0015011E"/>
    <w:rsid w:val="001830C7"/>
    <w:rsid w:val="001929A8"/>
    <w:rsid w:val="001A1606"/>
    <w:rsid w:val="001B0927"/>
    <w:rsid w:val="001B7021"/>
    <w:rsid w:val="001E1307"/>
    <w:rsid w:val="001E4177"/>
    <w:rsid w:val="00210ABD"/>
    <w:rsid w:val="00263A8E"/>
    <w:rsid w:val="002951A0"/>
    <w:rsid w:val="002962BC"/>
    <w:rsid w:val="002A093D"/>
    <w:rsid w:val="002A49AC"/>
    <w:rsid w:val="002A64FD"/>
    <w:rsid w:val="002C7A84"/>
    <w:rsid w:val="002C7C49"/>
    <w:rsid w:val="003448F4"/>
    <w:rsid w:val="003677E7"/>
    <w:rsid w:val="00373CD0"/>
    <w:rsid w:val="00375AA4"/>
    <w:rsid w:val="0038365A"/>
    <w:rsid w:val="003A779E"/>
    <w:rsid w:val="003A7AA3"/>
    <w:rsid w:val="003D0F4D"/>
    <w:rsid w:val="003E0499"/>
    <w:rsid w:val="003F3941"/>
    <w:rsid w:val="00400548"/>
    <w:rsid w:val="004113F9"/>
    <w:rsid w:val="004357E4"/>
    <w:rsid w:val="00474F1A"/>
    <w:rsid w:val="00481403"/>
    <w:rsid w:val="00492A5A"/>
    <w:rsid w:val="00497759"/>
    <w:rsid w:val="004A1847"/>
    <w:rsid w:val="004A305D"/>
    <w:rsid w:val="004D78C2"/>
    <w:rsid w:val="004E49EE"/>
    <w:rsid w:val="004E4BFA"/>
    <w:rsid w:val="004F21C4"/>
    <w:rsid w:val="004F685F"/>
    <w:rsid w:val="00501752"/>
    <w:rsid w:val="00501B64"/>
    <w:rsid w:val="00506B96"/>
    <w:rsid w:val="00510393"/>
    <w:rsid w:val="00514E48"/>
    <w:rsid w:val="0052634B"/>
    <w:rsid w:val="005566E8"/>
    <w:rsid w:val="00574867"/>
    <w:rsid w:val="005B7849"/>
    <w:rsid w:val="005C02C5"/>
    <w:rsid w:val="005C5CDC"/>
    <w:rsid w:val="005D0A7C"/>
    <w:rsid w:val="005D476C"/>
    <w:rsid w:val="005F5053"/>
    <w:rsid w:val="0060130A"/>
    <w:rsid w:val="006219F8"/>
    <w:rsid w:val="006478E3"/>
    <w:rsid w:val="00665D70"/>
    <w:rsid w:val="006E596E"/>
    <w:rsid w:val="00706C16"/>
    <w:rsid w:val="00731FE3"/>
    <w:rsid w:val="007530A2"/>
    <w:rsid w:val="00753592"/>
    <w:rsid w:val="00756841"/>
    <w:rsid w:val="007571C4"/>
    <w:rsid w:val="007649AB"/>
    <w:rsid w:val="007833AC"/>
    <w:rsid w:val="007A1720"/>
    <w:rsid w:val="007B5BE8"/>
    <w:rsid w:val="007B7171"/>
    <w:rsid w:val="007C3DC2"/>
    <w:rsid w:val="007E5497"/>
    <w:rsid w:val="007E5A9B"/>
    <w:rsid w:val="00806F5F"/>
    <w:rsid w:val="00807610"/>
    <w:rsid w:val="00820278"/>
    <w:rsid w:val="008439E5"/>
    <w:rsid w:val="00847ECA"/>
    <w:rsid w:val="00875F00"/>
    <w:rsid w:val="008843B6"/>
    <w:rsid w:val="00887F26"/>
    <w:rsid w:val="00891928"/>
    <w:rsid w:val="008A446D"/>
    <w:rsid w:val="008B4199"/>
    <w:rsid w:val="008F0EA7"/>
    <w:rsid w:val="00923EEF"/>
    <w:rsid w:val="009419F9"/>
    <w:rsid w:val="00942531"/>
    <w:rsid w:val="00961B09"/>
    <w:rsid w:val="00965334"/>
    <w:rsid w:val="0097093E"/>
    <w:rsid w:val="009C71FA"/>
    <w:rsid w:val="009C72E7"/>
    <w:rsid w:val="00A17F13"/>
    <w:rsid w:val="00A20739"/>
    <w:rsid w:val="00A33C78"/>
    <w:rsid w:val="00AB0ADB"/>
    <w:rsid w:val="00AB6A8B"/>
    <w:rsid w:val="00AE01A6"/>
    <w:rsid w:val="00B02748"/>
    <w:rsid w:val="00B02D21"/>
    <w:rsid w:val="00B247CC"/>
    <w:rsid w:val="00B34DD2"/>
    <w:rsid w:val="00B72CD3"/>
    <w:rsid w:val="00B72FFF"/>
    <w:rsid w:val="00BC5A0C"/>
    <w:rsid w:val="00BD107F"/>
    <w:rsid w:val="00BD7F72"/>
    <w:rsid w:val="00C04FB3"/>
    <w:rsid w:val="00C330EB"/>
    <w:rsid w:val="00C754BE"/>
    <w:rsid w:val="00CA66F9"/>
    <w:rsid w:val="00CB6357"/>
    <w:rsid w:val="00CC1B26"/>
    <w:rsid w:val="00D103BC"/>
    <w:rsid w:val="00D423A2"/>
    <w:rsid w:val="00D63AC2"/>
    <w:rsid w:val="00D7383B"/>
    <w:rsid w:val="00D8009C"/>
    <w:rsid w:val="00D97CD8"/>
    <w:rsid w:val="00DA231B"/>
    <w:rsid w:val="00DA4AEE"/>
    <w:rsid w:val="00DC4366"/>
    <w:rsid w:val="00DF321C"/>
    <w:rsid w:val="00E02019"/>
    <w:rsid w:val="00E152D2"/>
    <w:rsid w:val="00E16408"/>
    <w:rsid w:val="00E20894"/>
    <w:rsid w:val="00E245AB"/>
    <w:rsid w:val="00E50AFE"/>
    <w:rsid w:val="00E60331"/>
    <w:rsid w:val="00E631C6"/>
    <w:rsid w:val="00E771DC"/>
    <w:rsid w:val="00E776FD"/>
    <w:rsid w:val="00E8772A"/>
    <w:rsid w:val="00E90F6B"/>
    <w:rsid w:val="00E92C27"/>
    <w:rsid w:val="00EA0E3D"/>
    <w:rsid w:val="00EB5AB0"/>
    <w:rsid w:val="00ED10EA"/>
    <w:rsid w:val="00EE1AA8"/>
    <w:rsid w:val="00EF0860"/>
    <w:rsid w:val="00F152B6"/>
    <w:rsid w:val="00F204AB"/>
    <w:rsid w:val="00F31EDC"/>
    <w:rsid w:val="00F45BA8"/>
    <w:rsid w:val="00F471F4"/>
    <w:rsid w:val="00F52089"/>
    <w:rsid w:val="00F5664F"/>
    <w:rsid w:val="00F76AFC"/>
    <w:rsid w:val="00F77411"/>
    <w:rsid w:val="00FA7312"/>
    <w:rsid w:val="00FB19EE"/>
    <w:rsid w:val="00FB5DD1"/>
    <w:rsid w:val="00FC2B5D"/>
    <w:rsid w:val="00FD0F08"/>
    <w:rsid w:val="00FF1449"/>
    <w:rsid w:val="00FF4D7E"/>
    <w:rsid w:val="45CF66E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887F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887F26"/>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87F26"/>
    <w:rPr>
      <w:rFonts w:ascii="Geomanist Light" w:hAnsi="Geomanist Light"/>
      <w:lang w:val="es-ES"/>
    </w:rPr>
  </w:style>
  <w:style w:type="paragraph" w:customStyle="1" w:styleId="Appelnotedebasde">
    <w:name w:val="Appel note de bas de..."/>
    <w:basedOn w:val="Normal"/>
    <w:link w:val="Refdenotaalpie"/>
    <w:uiPriority w:val="99"/>
    <w:rsid w:val="00887F26"/>
    <w:pPr>
      <w:spacing w:line="240" w:lineRule="exact"/>
    </w:pPr>
    <w:rPr>
      <w:vertAlign w:val="superscript"/>
    </w:rPr>
  </w:style>
  <w:style w:type="paragraph" w:styleId="Revisin">
    <w:name w:val="Revision"/>
    <w:hidden/>
    <w:uiPriority w:val="99"/>
    <w:semiHidden/>
    <w:rsid w:val="00ED10EA"/>
    <w:pPr>
      <w:spacing w:after="0" w:line="240" w:lineRule="auto"/>
    </w:pPr>
  </w:style>
  <w:style w:type="character" w:styleId="Refdecomentario">
    <w:name w:val="annotation reference"/>
    <w:basedOn w:val="Fuentedeprrafopredeter"/>
    <w:uiPriority w:val="99"/>
    <w:semiHidden/>
    <w:unhideWhenUsed/>
    <w:rsid w:val="004357E4"/>
    <w:rPr>
      <w:sz w:val="16"/>
      <w:szCs w:val="16"/>
    </w:rPr>
  </w:style>
  <w:style w:type="paragraph" w:styleId="Textocomentario">
    <w:name w:val="annotation text"/>
    <w:basedOn w:val="Normal"/>
    <w:link w:val="TextocomentarioCar"/>
    <w:uiPriority w:val="99"/>
    <w:unhideWhenUsed/>
    <w:rsid w:val="004357E4"/>
    <w:pPr>
      <w:spacing w:line="240" w:lineRule="auto"/>
    </w:pPr>
    <w:rPr>
      <w:sz w:val="20"/>
      <w:szCs w:val="20"/>
    </w:rPr>
  </w:style>
  <w:style w:type="character" w:customStyle="1" w:styleId="TextocomentarioCar">
    <w:name w:val="Texto comentario Car"/>
    <w:basedOn w:val="Fuentedeprrafopredeter"/>
    <w:link w:val="Textocomentario"/>
    <w:uiPriority w:val="99"/>
    <w:rsid w:val="004357E4"/>
    <w:rPr>
      <w:sz w:val="20"/>
      <w:szCs w:val="20"/>
    </w:rPr>
  </w:style>
  <w:style w:type="paragraph" w:styleId="Asuntodelcomentario">
    <w:name w:val="annotation subject"/>
    <w:basedOn w:val="Textocomentario"/>
    <w:next w:val="Textocomentario"/>
    <w:link w:val="AsuntodelcomentarioCar"/>
    <w:uiPriority w:val="99"/>
    <w:semiHidden/>
    <w:unhideWhenUsed/>
    <w:rsid w:val="004357E4"/>
    <w:rPr>
      <w:b/>
      <w:bCs/>
    </w:rPr>
  </w:style>
  <w:style w:type="character" w:customStyle="1" w:styleId="AsuntodelcomentarioCar">
    <w:name w:val="Asunto del comentario Car"/>
    <w:basedOn w:val="TextocomentarioCar"/>
    <w:link w:val="Asuntodelcomentario"/>
    <w:uiPriority w:val="99"/>
    <w:semiHidden/>
    <w:rsid w:val="004357E4"/>
    <w:rPr>
      <w:b/>
      <w:bCs/>
      <w:sz w:val="20"/>
      <w:szCs w:val="20"/>
    </w:rPr>
  </w:style>
  <w:style w:type="paragraph" w:styleId="Textodeglobo">
    <w:name w:val="Balloon Text"/>
    <w:basedOn w:val="Normal"/>
    <w:link w:val="TextodegloboCar"/>
    <w:uiPriority w:val="99"/>
    <w:semiHidden/>
    <w:unhideWhenUsed/>
    <w:rsid w:val="00B02D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D21"/>
    <w:rPr>
      <w:rFonts w:ascii="Segoe UI" w:hAnsi="Segoe UI" w:cs="Segoe UI"/>
      <w:sz w:val="18"/>
      <w:szCs w:val="18"/>
    </w:rPr>
  </w:style>
  <w:style w:type="paragraph" w:styleId="Sinespaciado">
    <w:name w:val="No Spacing"/>
    <w:aliases w:val="No Indent"/>
    <w:uiPriority w:val="3"/>
    <w:qFormat/>
    <w:rsid w:val="00510393"/>
    <w:pPr>
      <w:spacing w:after="0" w:line="240" w:lineRule="auto"/>
    </w:pPr>
    <w:rPr>
      <w:sz w:val="24"/>
      <w:lang w:val="es-MX"/>
    </w:rPr>
  </w:style>
  <w:style w:type="paragraph" w:styleId="NormalWeb">
    <w:name w:val="Normal (Web)"/>
    <w:basedOn w:val="Normal"/>
    <w:link w:val="NormalWebCar"/>
    <w:uiPriority w:val="99"/>
    <w:unhideWhenUsed/>
    <w:rsid w:val="0051039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1"/>
    <w:qFormat/>
    <w:rsid w:val="00510393"/>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10393"/>
    <w:rPr>
      <w:rFonts w:ascii="Arial" w:eastAsia="Arial" w:hAnsi="Arial" w:cs="Arial"/>
      <w:lang w:val="es-ES"/>
    </w:rPr>
  </w:style>
  <w:style w:type="character" w:customStyle="1" w:styleId="baj">
    <w:name w:val="b_aj"/>
    <w:basedOn w:val="Fuentedeprrafopredeter"/>
    <w:rsid w:val="00510393"/>
  </w:style>
  <w:style w:type="character" w:customStyle="1" w:styleId="NormalWebCar">
    <w:name w:val="Normal (Web) Car"/>
    <w:link w:val="NormalWeb"/>
    <w:uiPriority w:val="99"/>
    <w:rsid w:val="00510393"/>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7165">
      <w:bodyDiv w:val="1"/>
      <w:marLeft w:val="0"/>
      <w:marRight w:val="0"/>
      <w:marTop w:val="0"/>
      <w:marBottom w:val="0"/>
      <w:divBdr>
        <w:top w:val="none" w:sz="0" w:space="0" w:color="auto"/>
        <w:left w:val="none" w:sz="0" w:space="0" w:color="auto"/>
        <w:bottom w:val="none" w:sz="0" w:space="0" w:color="auto"/>
        <w:right w:val="none" w:sz="0" w:space="0" w:color="auto"/>
      </w:divBdr>
      <w:divsChild>
        <w:div w:id="262304864">
          <w:marLeft w:val="-120"/>
          <w:marRight w:val="-120"/>
          <w:marTop w:val="0"/>
          <w:marBottom w:val="0"/>
          <w:divBdr>
            <w:top w:val="none" w:sz="0" w:space="0" w:color="auto"/>
            <w:left w:val="none" w:sz="0" w:space="0" w:color="auto"/>
            <w:bottom w:val="none" w:sz="0" w:space="0" w:color="auto"/>
            <w:right w:val="none" w:sz="0" w:space="0" w:color="auto"/>
          </w:divBdr>
          <w:divsChild>
            <w:div w:id="900754353">
              <w:marLeft w:val="0"/>
              <w:marRight w:val="0"/>
              <w:marTop w:val="0"/>
              <w:marBottom w:val="0"/>
              <w:divBdr>
                <w:top w:val="none" w:sz="0" w:space="0" w:color="auto"/>
                <w:left w:val="none" w:sz="0" w:space="0" w:color="auto"/>
                <w:bottom w:val="none" w:sz="0" w:space="0" w:color="auto"/>
                <w:right w:val="none" w:sz="0" w:space="0" w:color="auto"/>
              </w:divBdr>
            </w:div>
          </w:divsChild>
        </w:div>
        <w:div w:id="1588004725">
          <w:marLeft w:val="-120"/>
          <w:marRight w:val="-120"/>
          <w:marTop w:val="0"/>
          <w:marBottom w:val="0"/>
          <w:divBdr>
            <w:top w:val="none" w:sz="0" w:space="0" w:color="auto"/>
            <w:left w:val="none" w:sz="0" w:space="0" w:color="auto"/>
            <w:bottom w:val="none" w:sz="0" w:space="0" w:color="auto"/>
            <w:right w:val="none" w:sz="0" w:space="0" w:color="auto"/>
          </w:divBdr>
          <w:divsChild>
            <w:div w:id="451366703">
              <w:marLeft w:val="0"/>
              <w:marRight w:val="0"/>
              <w:marTop w:val="0"/>
              <w:marBottom w:val="0"/>
              <w:divBdr>
                <w:top w:val="none" w:sz="0" w:space="0" w:color="auto"/>
                <w:left w:val="none" w:sz="0" w:space="0" w:color="auto"/>
                <w:bottom w:val="none" w:sz="0" w:space="0" w:color="auto"/>
                <w:right w:val="none" w:sz="0" w:space="0" w:color="auto"/>
              </w:divBdr>
              <w:divsChild>
                <w:div w:id="1410495694">
                  <w:marLeft w:val="0"/>
                  <w:marRight w:val="0"/>
                  <w:marTop w:val="0"/>
                  <w:marBottom w:val="0"/>
                  <w:divBdr>
                    <w:top w:val="none" w:sz="0" w:space="0" w:color="auto"/>
                    <w:left w:val="none" w:sz="0" w:space="0" w:color="auto"/>
                    <w:bottom w:val="none" w:sz="0" w:space="0" w:color="auto"/>
                    <w:right w:val="none" w:sz="0" w:space="0" w:color="auto"/>
                  </w:divBdr>
                  <w:divsChild>
                    <w:div w:id="1334837440">
                      <w:marLeft w:val="0"/>
                      <w:marRight w:val="0"/>
                      <w:marTop w:val="0"/>
                      <w:marBottom w:val="0"/>
                      <w:divBdr>
                        <w:top w:val="none" w:sz="0" w:space="0" w:color="auto"/>
                        <w:left w:val="none" w:sz="0" w:space="0" w:color="auto"/>
                        <w:bottom w:val="none" w:sz="0" w:space="0" w:color="auto"/>
                        <w:right w:val="none" w:sz="0" w:space="0" w:color="auto"/>
                      </w:divBdr>
                      <w:divsChild>
                        <w:div w:id="1068310138">
                          <w:marLeft w:val="300"/>
                          <w:marRight w:val="300"/>
                          <w:marTop w:val="0"/>
                          <w:marBottom w:val="0"/>
                          <w:divBdr>
                            <w:top w:val="none" w:sz="0" w:space="0" w:color="auto"/>
                            <w:left w:val="none" w:sz="0" w:space="0" w:color="auto"/>
                            <w:bottom w:val="none" w:sz="0" w:space="0" w:color="auto"/>
                            <w:right w:val="none" w:sz="0" w:space="0" w:color="auto"/>
                          </w:divBdr>
                          <w:divsChild>
                            <w:div w:id="876893169">
                              <w:marLeft w:val="0"/>
                              <w:marRight w:val="0"/>
                              <w:marTop w:val="0"/>
                              <w:marBottom w:val="0"/>
                              <w:divBdr>
                                <w:top w:val="none" w:sz="0" w:space="0" w:color="auto"/>
                                <w:left w:val="none" w:sz="0" w:space="0" w:color="auto"/>
                                <w:bottom w:val="none" w:sz="0" w:space="0" w:color="auto"/>
                                <w:right w:val="none" w:sz="0" w:space="0" w:color="auto"/>
                              </w:divBdr>
                            </w:div>
                            <w:div w:id="1965765855">
                              <w:marLeft w:val="0"/>
                              <w:marRight w:val="0"/>
                              <w:marTop w:val="0"/>
                              <w:marBottom w:val="0"/>
                              <w:divBdr>
                                <w:top w:val="none" w:sz="0" w:space="0" w:color="auto"/>
                                <w:left w:val="none" w:sz="0" w:space="0" w:color="auto"/>
                                <w:bottom w:val="none" w:sz="0" w:space="0" w:color="auto"/>
                                <w:right w:val="none" w:sz="0" w:space="0" w:color="auto"/>
                              </w:divBdr>
                            </w:div>
                            <w:div w:id="1942912203">
                              <w:marLeft w:val="0"/>
                              <w:marRight w:val="0"/>
                              <w:marTop w:val="0"/>
                              <w:marBottom w:val="0"/>
                              <w:divBdr>
                                <w:top w:val="none" w:sz="0" w:space="0" w:color="auto"/>
                                <w:left w:val="none" w:sz="0" w:space="0" w:color="auto"/>
                                <w:bottom w:val="none" w:sz="0" w:space="0" w:color="auto"/>
                                <w:right w:val="none" w:sz="0" w:space="0" w:color="auto"/>
                              </w:divBdr>
                            </w:div>
                            <w:div w:id="659847018">
                              <w:marLeft w:val="0"/>
                              <w:marRight w:val="0"/>
                              <w:marTop w:val="0"/>
                              <w:marBottom w:val="0"/>
                              <w:divBdr>
                                <w:top w:val="none" w:sz="0" w:space="0" w:color="auto"/>
                                <w:left w:val="none" w:sz="0" w:space="0" w:color="auto"/>
                                <w:bottom w:val="none" w:sz="0" w:space="0" w:color="auto"/>
                                <w:right w:val="none" w:sz="0" w:space="0" w:color="auto"/>
                              </w:divBdr>
                            </w:div>
                            <w:div w:id="1318150086">
                              <w:marLeft w:val="0"/>
                              <w:marRight w:val="0"/>
                              <w:marTop w:val="0"/>
                              <w:marBottom w:val="0"/>
                              <w:divBdr>
                                <w:top w:val="none" w:sz="0" w:space="0" w:color="auto"/>
                                <w:left w:val="none" w:sz="0" w:space="0" w:color="auto"/>
                                <w:bottom w:val="none" w:sz="0" w:space="0" w:color="auto"/>
                                <w:right w:val="none" w:sz="0" w:space="0" w:color="auto"/>
                              </w:divBdr>
                            </w:div>
                            <w:div w:id="1330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771373">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636596275">
      <w:bodyDiv w:val="1"/>
      <w:marLeft w:val="0"/>
      <w:marRight w:val="0"/>
      <w:marTop w:val="0"/>
      <w:marBottom w:val="0"/>
      <w:divBdr>
        <w:top w:val="none" w:sz="0" w:space="0" w:color="auto"/>
        <w:left w:val="none" w:sz="0" w:space="0" w:color="auto"/>
        <w:bottom w:val="none" w:sz="0" w:space="0" w:color="auto"/>
        <w:right w:val="none" w:sz="0" w:space="0" w:color="auto"/>
      </w:divBdr>
      <w:divsChild>
        <w:div w:id="530846506">
          <w:marLeft w:val="0"/>
          <w:marRight w:val="0"/>
          <w:marTop w:val="0"/>
          <w:marBottom w:val="0"/>
          <w:divBdr>
            <w:top w:val="none" w:sz="0" w:space="0" w:color="auto"/>
            <w:left w:val="none" w:sz="0" w:space="0" w:color="auto"/>
            <w:bottom w:val="none" w:sz="0" w:space="0" w:color="auto"/>
            <w:right w:val="none" w:sz="0" w:space="0" w:color="auto"/>
          </w:divBdr>
        </w:div>
        <w:div w:id="927150356">
          <w:marLeft w:val="0"/>
          <w:marRight w:val="0"/>
          <w:marTop w:val="0"/>
          <w:marBottom w:val="0"/>
          <w:divBdr>
            <w:top w:val="none" w:sz="0" w:space="0" w:color="auto"/>
            <w:left w:val="none" w:sz="0" w:space="0" w:color="auto"/>
            <w:bottom w:val="none" w:sz="0" w:space="0" w:color="auto"/>
            <w:right w:val="none" w:sz="0" w:space="0" w:color="auto"/>
          </w:divBdr>
        </w:div>
        <w:div w:id="1414548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3D64A-4981-429E-B2FF-2246BDB9A153}">
  <ds:schemaRefs>
    <ds:schemaRef ds:uri="http://schemas.openxmlformats.org/officeDocument/2006/bibliography"/>
  </ds:schemaRefs>
</ds:datastoreItem>
</file>

<file path=customXml/itemProps2.xml><?xml version="1.0" encoding="utf-8"?>
<ds:datastoreItem xmlns:ds="http://schemas.openxmlformats.org/officeDocument/2006/customXml" ds:itemID="{6E5EFF81-720A-4700-BFA2-E4FC2A17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5821</Words>
  <Characters>32021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ANCP-CCE-</cp:lastModifiedBy>
  <cp:revision>26</cp:revision>
  <cp:lastPrinted>2023-01-10T21:18:00Z</cp:lastPrinted>
  <dcterms:created xsi:type="dcterms:W3CDTF">2023-07-25T20:26:00Z</dcterms:created>
  <dcterms:modified xsi:type="dcterms:W3CDTF">2023-08-01T16:31:00Z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