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ADBF9" w14:textId="77777777" w:rsidR="00E245AB" w:rsidRPr="00C330EB" w:rsidRDefault="00E245AB" w:rsidP="00E245AB">
      <w:pPr>
        <w:spacing w:after="0"/>
        <w:rPr>
          <w:rFonts w:ascii="Century Gothic" w:hAnsi="Century Gothic"/>
        </w:rPr>
      </w:pPr>
    </w:p>
    <w:p w14:paraId="3AF91C66" w14:textId="77777777" w:rsidR="0099001C" w:rsidRPr="0099001C" w:rsidRDefault="0099001C" w:rsidP="0099001C">
      <w:pPr>
        <w:spacing w:after="0" w:line="276" w:lineRule="auto"/>
        <w:jc w:val="both"/>
        <w:rPr>
          <w:rFonts w:ascii="Arial" w:eastAsia="Calibri" w:hAnsi="Arial" w:cs="Arial"/>
          <w:b/>
          <w:bCs/>
          <w:lang w:val="es-ES" w:eastAsia="es-ES_tradnl"/>
        </w:rPr>
      </w:pPr>
      <w:r w:rsidRPr="0099001C">
        <w:rPr>
          <w:rFonts w:ascii="Arial" w:eastAsia="Calibri" w:hAnsi="Arial" w:cs="Arial"/>
          <w:b/>
          <w:bCs/>
          <w:lang w:val="es-ES" w:eastAsia="es-ES_tradnl"/>
        </w:rPr>
        <w:t>REQUISITOS HABILITANTES – Capacidad financiera – Autonomía</w:t>
      </w:r>
    </w:p>
    <w:p w14:paraId="01C34F59" w14:textId="77777777" w:rsidR="0099001C" w:rsidRPr="0099001C" w:rsidRDefault="0099001C" w:rsidP="0099001C">
      <w:pPr>
        <w:spacing w:after="0" w:line="276" w:lineRule="auto"/>
        <w:jc w:val="both"/>
        <w:rPr>
          <w:rFonts w:ascii="Arial" w:eastAsia="Calibri" w:hAnsi="Arial" w:cs="Arial"/>
          <w:b/>
          <w:bCs/>
          <w:sz w:val="20"/>
          <w:szCs w:val="20"/>
          <w:lang w:val="es-ES" w:eastAsia="es-ES_tradnl"/>
        </w:rPr>
      </w:pPr>
    </w:p>
    <w:p w14:paraId="3CC7B816" w14:textId="6A731409" w:rsidR="0099001C" w:rsidRPr="0099001C" w:rsidRDefault="00EB048C" w:rsidP="0099001C">
      <w:pPr>
        <w:spacing w:after="0" w:line="240" w:lineRule="auto"/>
        <w:jc w:val="both"/>
        <w:rPr>
          <w:rFonts w:ascii="Arial" w:eastAsia="Calibri" w:hAnsi="Arial" w:cs="Arial"/>
          <w:sz w:val="20"/>
          <w:szCs w:val="20"/>
          <w:lang w:val="es-MX"/>
        </w:rPr>
      </w:pPr>
      <w:r w:rsidRPr="00EB048C">
        <w:rPr>
          <w:rFonts w:ascii="Arial" w:eastAsia="Calibri" w:hAnsi="Arial" w:cs="Arial"/>
          <w:sz w:val="20"/>
          <w:szCs w:val="20"/>
          <w:lang w:val="es-MX"/>
        </w:rPr>
        <w:t>Los requisitos habilitantes se definen como exigencias de participación en los procedimientos de selección, establecidos en disposiciones normativas, de carácter legal o reglamentario, o contenidas en el acto administrativo que regula las reglas de la convocatoria, es decir, en el pliego de condiciones o el documento equivalente a este. Se diferencian de los criterios de evaluación –también conocidos como criterios de calificación– en que estos son los factores definidos por la Entidad Estatal para la asignación de puntaje en el momento de la comparación de las ofertas, y que, a partir de su ponderación, permiten establecer el orden de elegibilidad y, por ende, la propuesta ganadora.</w:t>
      </w:r>
    </w:p>
    <w:p w14:paraId="5E631F5A" w14:textId="77777777" w:rsidR="00F91A42" w:rsidRDefault="0099001C" w:rsidP="00F91A42">
      <w:pPr>
        <w:spacing w:after="0" w:line="240" w:lineRule="auto"/>
        <w:jc w:val="both"/>
        <w:rPr>
          <w:rFonts w:ascii="Arial" w:eastAsia="Calibri" w:hAnsi="Arial" w:cs="Arial"/>
          <w:sz w:val="20"/>
          <w:szCs w:val="20"/>
          <w:lang w:val="es-MX"/>
        </w:rPr>
      </w:pPr>
      <w:r w:rsidRPr="0099001C">
        <w:rPr>
          <w:rFonts w:ascii="Arial" w:eastAsia="Calibri" w:hAnsi="Arial" w:cs="Arial"/>
          <w:sz w:val="20"/>
          <w:szCs w:val="20"/>
          <w:lang w:val="es-MX"/>
        </w:rPr>
        <w:t>[…]</w:t>
      </w:r>
    </w:p>
    <w:p w14:paraId="1DBCD1EF" w14:textId="34D1573F" w:rsidR="00F91A42" w:rsidRPr="00F91A42" w:rsidRDefault="00F91A42" w:rsidP="00F91A42">
      <w:pPr>
        <w:spacing w:after="0" w:line="240" w:lineRule="auto"/>
        <w:jc w:val="both"/>
        <w:rPr>
          <w:rFonts w:ascii="Arial" w:eastAsia="Calibri" w:hAnsi="Arial" w:cs="Arial"/>
          <w:sz w:val="20"/>
          <w:szCs w:val="20"/>
          <w:lang w:val="es-MX"/>
        </w:rPr>
      </w:pPr>
      <w:r w:rsidRPr="00F91A42">
        <w:rPr>
          <w:rFonts w:ascii="Arial" w:eastAsia="Calibri" w:hAnsi="Arial" w:cs="Arial"/>
          <w:color w:val="000000"/>
          <w:sz w:val="20"/>
          <w:szCs w:val="20"/>
          <w:lang w:val="es-MX" w:eastAsia="es-ES_tradnl"/>
        </w:rPr>
        <w:t xml:space="preserve">Ahora bien, dentro de los requisitos habilitantes se destaca la capacidad financiera, la cual </w:t>
      </w:r>
      <w:r w:rsidRPr="00F91A42">
        <w:rPr>
          <w:rFonts w:ascii="Arial" w:eastAsia="Calibri" w:hAnsi="Arial" w:cs="Arial"/>
          <w:sz w:val="20"/>
          <w:szCs w:val="20"/>
          <w:lang w:val="es-MX"/>
        </w:rPr>
        <w:t xml:space="preserve">se deriva del comportamiento contable de la empresa, su liquidez y endeudamiento, para determinar que sus recursos y solidez financiera le permita cumplir los compromisos que adquiera. Como explica esta Agencia en el </w:t>
      </w:r>
      <w:r w:rsidRPr="00F91A42">
        <w:rPr>
          <w:rFonts w:ascii="Arial" w:eastAsia="Calibri" w:hAnsi="Arial" w:cs="Arial"/>
          <w:i/>
          <w:iCs/>
          <w:sz w:val="20"/>
          <w:szCs w:val="20"/>
          <w:lang w:val="es-MX"/>
        </w:rPr>
        <w:t>Manual para determinar y verificar los requisitos habilitantes en los procesos de contratación</w:t>
      </w:r>
      <w:r w:rsidRPr="00F91A42">
        <w:rPr>
          <w:rFonts w:ascii="Arial" w:eastAsia="Calibri" w:hAnsi="Arial" w:cs="Arial"/>
          <w:sz w:val="20"/>
          <w:szCs w:val="20"/>
          <w:lang w:val="es-MX"/>
        </w:rPr>
        <w:t xml:space="preserve">: </w:t>
      </w:r>
      <w:r w:rsidRPr="00F91A42">
        <w:rPr>
          <w:rFonts w:ascii="Arial" w:eastAsia="Calibri" w:hAnsi="Arial" w:cs="Arial"/>
          <w:i/>
          <w:iCs/>
          <w:sz w:val="20"/>
          <w:szCs w:val="20"/>
          <w:lang w:val="es-MX"/>
        </w:rPr>
        <w:t>“Los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w:t>
      </w:r>
      <w:r w:rsidRPr="00F91A42">
        <w:rPr>
          <w:rFonts w:ascii="Arial" w:eastAsia="Calibri" w:hAnsi="Arial" w:cs="Arial"/>
          <w:i/>
          <w:iCs/>
          <w:color w:val="000000"/>
          <w:sz w:val="20"/>
          <w:szCs w:val="20"/>
          <w:lang w:val="es-ES_tradnl" w:eastAsia="es-ES_tradnl"/>
        </w:rPr>
        <w:t>.</w:t>
      </w:r>
      <w:r w:rsidRPr="00F91A42">
        <w:rPr>
          <w:rFonts w:ascii="Arial" w:eastAsia="Calibri" w:hAnsi="Arial" w:cs="Arial"/>
          <w:color w:val="000000"/>
          <w:sz w:val="20"/>
          <w:szCs w:val="20"/>
          <w:lang w:val="es-MX" w:eastAsia="es-ES_tradnl"/>
        </w:rPr>
        <w:t xml:space="preserve"> La Entidad Estatal, como responsable de la estructuración de su procedimiento de selección, es autónoma para determinar la capacidad financiera necesaria de acuerdo con el objeto contractual que se pretende satisfacer, no obstante, en atención a lo dispuesto en el artículo 2.2.1.1.1.6.2 del Decreto 1082 de 2015, debe ser establecida con sustento en el estudio del sector y sus componentes como la identificación de riesgos, el mercado y precio del bien, obra o servicio a contratar.</w:t>
      </w:r>
    </w:p>
    <w:p w14:paraId="17DD5F2B" w14:textId="77777777" w:rsidR="0099001C" w:rsidRPr="00F91A42" w:rsidRDefault="0099001C" w:rsidP="0099001C">
      <w:pPr>
        <w:spacing w:after="0" w:line="240" w:lineRule="auto"/>
        <w:jc w:val="both"/>
        <w:rPr>
          <w:rFonts w:ascii="Arial" w:eastAsia="Calibri" w:hAnsi="Arial" w:cs="Arial"/>
          <w:lang w:val="es-MX"/>
        </w:rPr>
      </w:pPr>
    </w:p>
    <w:p w14:paraId="13785B80" w14:textId="7B421208" w:rsidR="001C0F59" w:rsidRDefault="0099001C" w:rsidP="001C0F59">
      <w:pPr>
        <w:spacing w:after="0" w:line="276" w:lineRule="auto"/>
        <w:jc w:val="both"/>
        <w:rPr>
          <w:rFonts w:ascii="Arial" w:eastAsia="Calibri" w:hAnsi="Arial" w:cs="Arial"/>
          <w:b/>
          <w:color w:val="000000" w:themeColor="text1"/>
          <w:szCs w:val="24"/>
          <w:lang w:val="es-MX" w:eastAsia="es-ES_tradnl"/>
        </w:rPr>
      </w:pPr>
      <w:r w:rsidRPr="0099001C">
        <w:rPr>
          <w:rFonts w:ascii="Arial" w:eastAsia="Calibri" w:hAnsi="Arial" w:cs="Arial"/>
          <w:b/>
          <w:color w:val="000000" w:themeColor="text1"/>
          <w:szCs w:val="24"/>
          <w:lang w:val="es-MX" w:eastAsia="es-ES_tradnl"/>
        </w:rPr>
        <w:t xml:space="preserve">CAPACIDAD FINANCIERA – Acreditación – Regla general – RUP – Proponentes extranjeros </w:t>
      </w:r>
    </w:p>
    <w:p w14:paraId="0355369F" w14:textId="77777777" w:rsidR="001C0F59" w:rsidRPr="001C0F59" w:rsidRDefault="001C0F59" w:rsidP="001C0F59">
      <w:pPr>
        <w:spacing w:after="0" w:line="276" w:lineRule="auto"/>
        <w:jc w:val="both"/>
        <w:rPr>
          <w:rFonts w:ascii="Arial" w:eastAsia="Calibri" w:hAnsi="Arial" w:cs="Arial"/>
          <w:b/>
          <w:color w:val="000000" w:themeColor="text1"/>
          <w:szCs w:val="24"/>
          <w:lang w:val="es-MX" w:eastAsia="es-ES_tradnl"/>
        </w:rPr>
      </w:pPr>
    </w:p>
    <w:p w14:paraId="1FBE66DF" w14:textId="29A72FA3" w:rsidR="001C0F59" w:rsidRDefault="001C0F59" w:rsidP="001C0F59">
      <w:pPr>
        <w:spacing w:after="0" w:line="240" w:lineRule="auto"/>
        <w:jc w:val="both"/>
        <w:rPr>
          <w:rFonts w:ascii="Arial" w:eastAsia="Calibri" w:hAnsi="Arial" w:cs="Arial"/>
          <w:color w:val="000000"/>
          <w:sz w:val="20"/>
          <w:szCs w:val="20"/>
          <w:lang w:val="es-ES_tradnl" w:eastAsia="es-ES_tradnl"/>
        </w:rPr>
      </w:pPr>
      <w:r w:rsidRPr="001C0F59">
        <w:rPr>
          <w:rFonts w:ascii="Arial" w:eastAsia="Calibri" w:hAnsi="Arial" w:cs="Arial"/>
          <w:color w:val="000000"/>
          <w:sz w:val="20"/>
          <w:szCs w:val="20"/>
          <w:lang w:val="es-ES_tradnl" w:eastAsia="es-ES_tradnl"/>
        </w:rPr>
        <w:t xml:space="preserve">De conformidad con lo dispuesto en los artículos 5, numeral 1 de la Ley 1150 de 2007 y 2.2.1.1.1.5.3 del Decreto 1082 de 2015, por regla general, la acreditación del requisito habilitante de capacidad financiera se realiza a través del RUP. En atención a esto, para los tramites de inscripción, renovación y actualización el numeral 2.3 del artículo 2.2.1.1.1.5.2 del Decreto 1082 de 2015 exige la presentación de los </w:t>
      </w:r>
      <w:r w:rsidRPr="001C0F59">
        <w:rPr>
          <w:rFonts w:ascii="Arial" w:eastAsia="Calibri" w:hAnsi="Arial" w:cs="Arial"/>
          <w:i/>
          <w:iCs/>
          <w:color w:val="000000"/>
          <w:sz w:val="20"/>
          <w:szCs w:val="20"/>
          <w:lang w:val="es-ES_tradnl" w:eastAsia="es-ES_tradnl"/>
        </w:rPr>
        <w:t>“</w:t>
      </w:r>
      <w:r w:rsidRPr="001C0F59">
        <w:rPr>
          <w:rFonts w:ascii="Arial" w:hAnsi="Arial" w:cs="Arial"/>
          <w:i/>
          <w:iCs/>
          <w:color w:val="000000"/>
          <w:sz w:val="20"/>
          <w:szCs w:val="20"/>
        </w:rPr>
        <w:t>Estados financieros de la sociedad y los estados financieros consolidados del grupo empresarial, cuando la norma aplicable lo exige, auditados con sus notas […]”</w:t>
      </w:r>
      <w:r w:rsidRPr="001C0F59">
        <w:rPr>
          <w:rFonts w:ascii="Arial" w:eastAsia="Calibri" w:hAnsi="Arial" w:cs="Arial"/>
          <w:color w:val="000000"/>
          <w:sz w:val="20"/>
          <w:szCs w:val="20"/>
          <w:lang w:val="es-ES_tradnl" w:eastAsia="es-ES_tradnl"/>
        </w:rPr>
        <w:t xml:space="preserve">, además de unos anexos dirigidos a servir de medio de verificación de la salud financiera de los proponentes.  De este modo, lo que se verifica con el registro es que el proponente cumpla con los indicadores financieros solicitados por la entidad para medir la capacidad financiera requerida para el procedimiento de selección. </w:t>
      </w:r>
    </w:p>
    <w:p w14:paraId="739A7B30" w14:textId="77777777" w:rsidR="0099001C" w:rsidRPr="004E4929" w:rsidRDefault="0099001C" w:rsidP="0099001C">
      <w:pPr>
        <w:spacing w:after="0" w:line="240" w:lineRule="auto"/>
        <w:jc w:val="both"/>
        <w:rPr>
          <w:rFonts w:ascii="Arial" w:eastAsia="Calibri" w:hAnsi="Arial" w:cs="Arial"/>
          <w:lang w:val="es-MX"/>
        </w:rPr>
      </w:pPr>
    </w:p>
    <w:p w14:paraId="0874E570" w14:textId="0841E15B" w:rsidR="0099001C" w:rsidRPr="0099001C" w:rsidRDefault="0099001C" w:rsidP="0099001C">
      <w:pPr>
        <w:spacing w:after="0" w:line="276" w:lineRule="auto"/>
        <w:jc w:val="both"/>
        <w:rPr>
          <w:rFonts w:ascii="Arial" w:eastAsia="Calibri" w:hAnsi="Arial" w:cs="Arial"/>
          <w:b/>
          <w:color w:val="000000" w:themeColor="text1"/>
          <w:szCs w:val="24"/>
          <w:lang w:val="es-MX" w:eastAsia="es-ES_tradnl"/>
        </w:rPr>
      </w:pPr>
      <w:r w:rsidRPr="0099001C">
        <w:rPr>
          <w:rFonts w:ascii="Arial" w:eastAsia="Calibri" w:hAnsi="Arial" w:cs="Arial"/>
          <w:b/>
          <w:color w:val="000000" w:themeColor="text1"/>
          <w:szCs w:val="24"/>
          <w:lang w:val="es-MX" w:eastAsia="es-ES_tradnl"/>
        </w:rPr>
        <w:t>CAPACIDAD FINANCIERA – Indicadores financieros</w:t>
      </w:r>
    </w:p>
    <w:p w14:paraId="0792BD0D" w14:textId="77777777" w:rsidR="0099001C" w:rsidRPr="0099001C" w:rsidRDefault="0099001C" w:rsidP="0099001C">
      <w:pPr>
        <w:spacing w:after="0" w:line="276" w:lineRule="auto"/>
        <w:jc w:val="both"/>
        <w:rPr>
          <w:rFonts w:ascii="Arial" w:eastAsia="Calibri" w:hAnsi="Arial" w:cs="Arial"/>
          <w:b/>
          <w:color w:val="000000" w:themeColor="text1"/>
          <w:szCs w:val="24"/>
          <w:lang w:val="es-MX" w:eastAsia="es-ES_tradnl"/>
        </w:rPr>
      </w:pPr>
    </w:p>
    <w:p w14:paraId="27830295" w14:textId="77777777" w:rsidR="00AE41B0" w:rsidRDefault="004E4929" w:rsidP="00AE41B0">
      <w:pPr>
        <w:spacing w:after="0" w:line="240" w:lineRule="auto"/>
        <w:jc w:val="both"/>
        <w:rPr>
          <w:rFonts w:ascii="Arial" w:eastAsia="Calibri" w:hAnsi="Arial" w:cs="Arial"/>
          <w:color w:val="000000"/>
          <w:sz w:val="20"/>
          <w:szCs w:val="20"/>
          <w:lang w:val="es-ES_tradnl" w:eastAsia="es-ES_tradnl"/>
        </w:rPr>
      </w:pPr>
      <w:r w:rsidRPr="001C0F59">
        <w:rPr>
          <w:rFonts w:ascii="Arial" w:eastAsia="Calibri" w:hAnsi="Arial" w:cs="Arial"/>
          <w:color w:val="000000"/>
          <w:sz w:val="20"/>
          <w:szCs w:val="20"/>
          <w:lang w:val="es-ES_tradnl" w:eastAsia="es-ES_tradnl"/>
        </w:rPr>
        <w:t xml:space="preserve">Según el artículo 2.2.1.1.1.5.3. del Decreto 1082 de 2015, el RUP contempla como indicadores de capacidad financiera los siguientes: i) el </w:t>
      </w:r>
      <w:r w:rsidRPr="001C0F59">
        <w:rPr>
          <w:rFonts w:ascii="Arial" w:eastAsia="Calibri" w:hAnsi="Arial" w:cs="Arial"/>
          <w:i/>
          <w:iCs/>
          <w:color w:val="000000"/>
          <w:sz w:val="20"/>
          <w:szCs w:val="20"/>
          <w:lang w:val="es-ES_tradnl" w:eastAsia="es-ES_tradnl"/>
        </w:rPr>
        <w:t>índice de liquidez</w:t>
      </w:r>
      <w:r w:rsidRPr="001C0F59">
        <w:rPr>
          <w:rFonts w:ascii="Arial" w:eastAsia="Calibri" w:hAnsi="Arial" w:cs="Arial"/>
          <w:color w:val="000000"/>
          <w:sz w:val="20"/>
          <w:szCs w:val="20"/>
          <w:lang w:val="es-ES_tradnl" w:eastAsia="es-ES_tradnl"/>
        </w:rPr>
        <w:t xml:space="preserve">, que corresponde a la división entre el activo corriente y el pasivo corriente, y que determina la capacidad que tiene el proponente para cumplir con sus obligaciones de corto plazo; </w:t>
      </w:r>
      <w:proofErr w:type="spellStart"/>
      <w:r w:rsidRPr="001C0F59">
        <w:rPr>
          <w:rFonts w:ascii="Arial" w:eastAsia="Calibri" w:hAnsi="Arial" w:cs="Arial"/>
          <w:color w:val="000000"/>
          <w:sz w:val="20"/>
          <w:szCs w:val="20"/>
          <w:lang w:val="es-ES_tradnl" w:eastAsia="es-ES_tradnl"/>
        </w:rPr>
        <w:t>ii</w:t>
      </w:r>
      <w:proofErr w:type="spellEnd"/>
      <w:r w:rsidRPr="001C0F59">
        <w:rPr>
          <w:rFonts w:ascii="Arial" w:eastAsia="Calibri" w:hAnsi="Arial" w:cs="Arial"/>
          <w:color w:val="000000"/>
          <w:sz w:val="20"/>
          <w:szCs w:val="20"/>
          <w:lang w:val="es-ES_tradnl" w:eastAsia="es-ES_tradnl"/>
        </w:rPr>
        <w:t xml:space="preserve">) el </w:t>
      </w:r>
      <w:r w:rsidRPr="001C0F59">
        <w:rPr>
          <w:rFonts w:ascii="Arial" w:eastAsia="Calibri" w:hAnsi="Arial" w:cs="Arial"/>
          <w:i/>
          <w:iCs/>
          <w:color w:val="000000"/>
          <w:sz w:val="20"/>
          <w:szCs w:val="20"/>
          <w:lang w:val="es-ES_tradnl" w:eastAsia="es-ES_tradnl"/>
        </w:rPr>
        <w:t>índice de endeudamiento</w:t>
      </w:r>
      <w:r w:rsidRPr="001C0F59">
        <w:rPr>
          <w:rFonts w:ascii="Arial" w:eastAsia="Calibri" w:hAnsi="Arial" w:cs="Arial"/>
          <w:color w:val="000000"/>
          <w:sz w:val="20"/>
          <w:szCs w:val="20"/>
          <w:lang w:val="es-ES_tradnl" w:eastAsia="es-ES_tradnl"/>
        </w:rPr>
        <w:t xml:space="preserve">, que se calcula dividiendo el pasivo total por el activo total, el cual determina el grado de endeudamiento en la estructura de </w:t>
      </w:r>
      <w:r w:rsidRPr="001C0F59">
        <w:rPr>
          <w:rFonts w:ascii="Arial" w:eastAsia="Calibri" w:hAnsi="Arial" w:cs="Arial"/>
          <w:color w:val="000000"/>
          <w:sz w:val="20"/>
          <w:szCs w:val="20"/>
          <w:lang w:val="es-ES_tradnl" w:eastAsia="es-ES_tradnl"/>
        </w:rPr>
        <w:lastRenderedPageBreak/>
        <w:t xml:space="preserve">financiación del proponente; y </w:t>
      </w:r>
      <w:proofErr w:type="spellStart"/>
      <w:r w:rsidRPr="001C0F59">
        <w:rPr>
          <w:rFonts w:ascii="Arial" w:eastAsia="Calibri" w:hAnsi="Arial" w:cs="Arial"/>
          <w:color w:val="000000"/>
          <w:sz w:val="20"/>
          <w:szCs w:val="20"/>
          <w:lang w:val="es-ES_tradnl" w:eastAsia="es-ES_tradnl"/>
        </w:rPr>
        <w:t>iii</w:t>
      </w:r>
      <w:proofErr w:type="spellEnd"/>
      <w:r w:rsidRPr="001C0F59">
        <w:rPr>
          <w:rFonts w:ascii="Arial" w:eastAsia="Calibri" w:hAnsi="Arial" w:cs="Arial"/>
          <w:color w:val="000000"/>
          <w:sz w:val="20"/>
          <w:szCs w:val="20"/>
          <w:lang w:val="es-ES_tradnl" w:eastAsia="es-ES_tradnl"/>
        </w:rPr>
        <w:t xml:space="preserve">) la </w:t>
      </w:r>
      <w:r w:rsidRPr="001C0F59">
        <w:rPr>
          <w:rFonts w:ascii="Arial" w:eastAsia="Calibri" w:hAnsi="Arial" w:cs="Arial"/>
          <w:i/>
          <w:iCs/>
          <w:color w:val="000000"/>
          <w:sz w:val="20"/>
          <w:szCs w:val="20"/>
          <w:lang w:val="es-ES_tradnl" w:eastAsia="es-ES_tradnl"/>
        </w:rPr>
        <w:t>razón de cobertura de intereses</w:t>
      </w:r>
      <w:r w:rsidRPr="001C0F59">
        <w:rPr>
          <w:rFonts w:ascii="Arial" w:eastAsia="Calibri" w:hAnsi="Arial" w:cs="Arial"/>
          <w:color w:val="000000"/>
          <w:sz w:val="20"/>
          <w:szCs w:val="20"/>
          <w:lang w:val="es-ES_tradnl" w:eastAsia="es-ES_tradnl"/>
        </w:rPr>
        <w:t xml:space="preserve">, que es igual a la utilidad operacional, sobre los gastos de intereses, y que refleja la capacidad del proponente para cumplir con sus obligaciones financieras. Adicionalmente, la Agencia Nacional de Contratación Pública – Colombia Compra Eficiente recomienda valorar otro tipo de indicadores como el </w:t>
      </w:r>
      <w:r w:rsidRPr="001C0F59">
        <w:rPr>
          <w:rFonts w:ascii="Arial" w:eastAsia="Calibri" w:hAnsi="Arial" w:cs="Arial"/>
          <w:i/>
          <w:iCs/>
          <w:color w:val="000000"/>
          <w:sz w:val="20"/>
          <w:szCs w:val="20"/>
          <w:lang w:val="es-ES_tradnl" w:eastAsia="es-ES_tradnl"/>
        </w:rPr>
        <w:t>capital de trabajo</w:t>
      </w:r>
      <w:r w:rsidRPr="001C0F59">
        <w:rPr>
          <w:rFonts w:ascii="Arial" w:eastAsia="Calibri" w:hAnsi="Arial" w:cs="Arial"/>
          <w:color w:val="000000"/>
          <w:sz w:val="20"/>
          <w:szCs w:val="20"/>
          <w:lang w:val="es-ES_tradnl" w:eastAsia="es-ES_tradnl"/>
        </w:rPr>
        <w:t xml:space="preserve">, la </w:t>
      </w:r>
      <w:r w:rsidRPr="001C0F59">
        <w:rPr>
          <w:rFonts w:ascii="Arial" w:eastAsia="Calibri" w:hAnsi="Arial" w:cs="Arial"/>
          <w:i/>
          <w:iCs/>
          <w:color w:val="000000"/>
          <w:sz w:val="20"/>
          <w:szCs w:val="20"/>
          <w:lang w:val="es-ES_tradnl" w:eastAsia="es-ES_tradnl"/>
        </w:rPr>
        <w:t>razón de efectivo</w:t>
      </w:r>
      <w:r w:rsidRPr="001C0F59">
        <w:rPr>
          <w:rFonts w:ascii="Arial" w:eastAsia="Calibri" w:hAnsi="Arial" w:cs="Arial"/>
          <w:color w:val="000000"/>
          <w:sz w:val="20"/>
          <w:szCs w:val="20"/>
          <w:lang w:val="es-ES_tradnl" w:eastAsia="es-ES_tradnl"/>
        </w:rPr>
        <w:t xml:space="preserve">, la denominada </w:t>
      </w:r>
      <w:r w:rsidRPr="001C0F59">
        <w:rPr>
          <w:rFonts w:ascii="Arial" w:eastAsia="Calibri" w:hAnsi="Arial" w:cs="Arial"/>
          <w:i/>
          <w:iCs/>
          <w:color w:val="000000"/>
          <w:sz w:val="20"/>
          <w:szCs w:val="20"/>
          <w:lang w:val="es-ES_tradnl" w:eastAsia="es-ES_tradnl"/>
        </w:rPr>
        <w:t>prueba ácida</w:t>
      </w:r>
      <w:r w:rsidRPr="001C0F59">
        <w:rPr>
          <w:rFonts w:ascii="Arial" w:eastAsia="Calibri" w:hAnsi="Arial" w:cs="Arial"/>
          <w:color w:val="000000"/>
          <w:sz w:val="20"/>
          <w:szCs w:val="20"/>
          <w:lang w:val="es-ES_tradnl" w:eastAsia="es-ES_tradnl"/>
        </w:rPr>
        <w:t xml:space="preserve">, la </w:t>
      </w:r>
      <w:r w:rsidRPr="001C0F59">
        <w:rPr>
          <w:rFonts w:ascii="Arial" w:eastAsia="Calibri" w:hAnsi="Arial" w:cs="Arial"/>
          <w:i/>
          <w:iCs/>
          <w:color w:val="000000"/>
          <w:sz w:val="20"/>
          <w:szCs w:val="20"/>
          <w:lang w:val="es-ES_tradnl" w:eastAsia="es-ES_tradnl"/>
        </w:rPr>
        <w:t xml:space="preserve">concentración de endeudamiento a corto </w:t>
      </w:r>
      <w:r w:rsidRPr="001C0F59">
        <w:rPr>
          <w:rFonts w:ascii="Arial" w:eastAsia="Calibri" w:hAnsi="Arial" w:cs="Arial"/>
          <w:color w:val="000000"/>
          <w:sz w:val="20"/>
          <w:szCs w:val="20"/>
          <w:lang w:val="es-ES_tradnl" w:eastAsia="es-ES_tradnl"/>
        </w:rPr>
        <w:t>y</w:t>
      </w:r>
      <w:r w:rsidRPr="001C0F59">
        <w:rPr>
          <w:rFonts w:ascii="Arial" w:eastAsia="Calibri" w:hAnsi="Arial" w:cs="Arial"/>
          <w:i/>
          <w:iCs/>
          <w:color w:val="000000"/>
          <w:sz w:val="20"/>
          <w:szCs w:val="20"/>
          <w:lang w:val="es-ES_tradnl" w:eastAsia="es-ES_tradnl"/>
        </w:rPr>
        <w:t xml:space="preserve"> a largo plazo</w:t>
      </w:r>
      <w:r w:rsidRPr="001C0F59">
        <w:rPr>
          <w:rFonts w:ascii="Arial" w:eastAsia="Calibri" w:hAnsi="Arial" w:cs="Arial"/>
          <w:color w:val="000000"/>
          <w:sz w:val="20"/>
          <w:szCs w:val="20"/>
          <w:lang w:val="es-ES_tradnl" w:eastAsia="es-ES_tradnl"/>
        </w:rPr>
        <w:t xml:space="preserve"> y el </w:t>
      </w:r>
      <w:r w:rsidRPr="001C0F59">
        <w:rPr>
          <w:rFonts w:ascii="Arial" w:eastAsia="Calibri" w:hAnsi="Arial" w:cs="Arial"/>
          <w:i/>
          <w:iCs/>
          <w:color w:val="000000"/>
          <w:sz w:val="20"/>
          <w:szCs w:val="20"/>
          <w:lang w:val="es-ES_tradnl" w:eastAsia="es-ES_tradnl"/>
        </w:rPr>
        <w:t>patrimonio</w:t>
      </w:r>
      <w:r w:rsidRPr="001C0F59">
        <w:rPr>
          <w:rFonts w:ascii="Arial" w:eastAsia="Calibri" w:hAnsi="Arial" w:cs="Arial"/>
          <w:color w:val="000000"/>
          <w:sz w:val="20"/>
          <w:szCs w:val="20"/>
          <w:lang w:val="es-ES_tradnl" w:eastAsia="es-ES_tradnl"/>
        </w:rPr>
        <w:t>.</w:t>
      </w:r>
    </w:p>
    <w:p w14:paraId="69E73ED1" w14:textId="77777777" w:rsidR="00AE41B0" w:rsidRDefault="00AE41B0" w:rsidP="00AE41B0">
      <w:pPr>
        <w:spacing w:after="0" w:line="240" w:lineRule="auto"/>
        <w:jc w:val="both"/>
        <w:rPr>
          <w:rFonts w:ascii="Arial" w:eastAsia="Calibri" w:hAnsi="Arial" w:cs="Arial"/>
          <w:color w:val="000000"/>
          <w:sz w:val="20"/>
          <w:szCs w:val="20"/>
          <w:lang w:val="es-ES_tradnl" w:eastAsia="es-ES_tradnl"/>
        </w:rPr>
      </w:pPr>
    </w:p>
    <w:p w14:paraId="64356E5A" w14:textId="6806DA07" w:rsidR="00AE41B0" w:rsidRPr="00AE41B0" w:rsidRDefault="00AE41B0" w:rsidP="00AE41B0">
      <w:pPr>
        <w:spacing w:after="0" w:line="240" w:lineRule="auto"/>
        <w:jc w:val="both"/>
        <w:rPr>
          <w:rFonts w:ascii="Arial" w:eastAsia="Calibri" w:hAnsi="Arial" w:cs="Arial"/>
          <w:color w:val="000000"/>
          <w:sz w:val="20"/>
          <w:szCs w:val="20"/>
          <w:lang w:val="es-ES_tradnl" w:eastAsia="es-ES_tradnl"/>
        </w:rPr>
      </w:pPr>
      <w:r w:rsidRPr="00AE41B0">
        <w:rPr>
          <w:rFonts w:ascii="Arial" w:eastAsia="Calibri" w:hAnsi="Arial" w:cs="Arial"/>
          <w:color w:val="000000" w:themeColor="text1"/>
          <w:sz w:val="20"/>
          <w:szCs w:val="20"/>
          <w:lang w:val="es-ES_tradnl" w:eastAsia="es-ES_tradnl"/>
        </w:rPr>
        <w:t>De igual forma, es importante tener en cuenta que el numeral 3 del artículo 2.2.1.1.1.5.3. del Decreto 1082 de 2015 se refiere a los aspectos de la capacidad financiera que deben verificar las cámaras de comercio al momento de la inscripción, renovación o actualización del Registro Único de Proponentes. Sin embargo, no dispone expresamente que el índice de liquidez, el índice de endeudamiento y la razón de cobertura de intereses sean aspectos que deban validarse obligatoriamente en cada proceso de selección. Una cosa son los requisitos de capacidad financiera que debe certificar el registro y otra, muy diferente, los aspectos de este requisito habilitante que la entidad verifica en cada procedimiento contractual. Mientras los primeros están regulados en el artículo 2.2.1.1.1.5.3. del Decreto 1082 de 2015, los segundos debe establecerlos la entidad contratante en el pliego de condiciones o la invitación, según corresponda.</w:t>
      </w:r>
    </w:p>
    <w:p w14:paraId="7FDAC89F" w14:textId="77777777" w:rsidR="00EB2705" w:rsidRPr="00AE41B0" w:rsidRDefault="00EB2705" w:rsidP="0099001C">
      <w:pPr>
        <w:spacing w:after="0" w:line="240" w:lineRule="auto"/>
        <w:jc w:val="both"/>
        <w:rPr>
          <w:rFonts w:ascii="Arial" w:eastAsia="Calibri" w:hAnsi="Arial" w:cs="Arial"/>
          <w:lang w:val="es-MX"/>
        </w:rPr>
      </w:pPr>
    </w:p>
    <w:p w14:paraId="11532D76" w14:textId="4F76C084" w:rsidR="00EB2705" w:rsidRDefault="00182EB3" w:rsidP="0099001C">
      <w:pPr>
        <w:spacing w:after="0" w:line="240" w:lineRule="auto"/>
        <w:jc w:val="both"/>
        <w:rPr>
          <w:rFonts w:ascii="Arial" w:eastAsia="Calibri" w:hAnsi="Arial" w:cs="Arial"/>
          <w:b/>
          <w:bCs/>
          <w:lang w:val="es-MX"/>
        </w:rPr>
      </w:pPr>
      <w:r w:rsidRPr="00182EB3">
        <w:rPr>
          <w:rFonts w:ascii="Arial" w:eastAsia="Calibri" w:hAnsi="Arial" w:cs="Arial"/>
          <w:b/>
          <w:bCs/>
          <w:lang w:val="es-MX"/>
        </w:rPr>
        <w:t>ESTADOS FINANCIEROS – Proponentes nacionales – Normativa – Ley 222 de 1995</w:t>
      </w:r>
    </w:p>
    <w:p w14:paraId="1F94C727" w14:textId="77777777" w:rsidR="00182EB3" w:rsidRDefault="00182EB3" w:rsidP="0099001C">
      <w:pPr>
        <w:spacing w:after="0" w:line="240" w:lineRule="auto"/>
        <w:jc w:val="both"/>
        <w:rPr>
          <w:rFonts w:ascii="Arial" w:eastAsia="Calibri" w:hAnsi="Arial" w:cs="Arial"/>
          <w:b/>
          <w:bCs/>
          <w:lang w:val="es-MX"/>
        </w:rPr>
      </w:pPr>
    </w:p>
    <w:p w14:paraId="30A25F74" w14:textId="77777777" w:rsidR="00632FF1" w:rsidRPr="00632FF1" w:rsidRDefault="00632FF1" w:rsidP="00632FF1">
      <w:pPr>
        <w:spacing w:after="0" w:line="240" w:lineRule="auto"/>
        <w:jc w:val="both"/>
        <w:rPr>
          <w:sz w:val="20"/>
          <w:szCs w:val="20"/>
        </w:rPr>
      </w:pPr>
      <w:r w:rsidRPr="00632FF1">
        <w:rPr>
          <w:rFonts w:ascii="Arial" w:hAnsi="Arial" w:cs="Arial"/>
          <w:sz w:val="20"/>
          <w:szCs w:val="20"/>
          <w:lang w:val="es-ES_tradnl" w:eastAsia="es-ES_tradnl"/>
        </w:rPr>
        <w:t xml:space="preserve">Ahora bien, conforme se explicaba </w:t>
      </w:r>
      <w:r w:rsidRPr="00632FF1">
        <w:rPr>
          <w:rFonts w:ascii="Arial" w:hAnsi="Arial" w:cs="Arial"/>
          <w:i/>
          <w:iCs/>
          <w:sz w:val="20"/>
          <w:szCs w:val="20"/>
          <w:lang w:val="es-ES_tradnl" w:eastAsia="es-ES_tradnl"/>
        </w:rPr>
        <w:t>supra</w:t>
      </w:r>
      <w:r w:rsidRPr="00632FF1">
        <w:rPr>
          <w:rFonts w:ascii="Arial" w:hAnsi="Arial" w:cs="Arial"/>
          <w:sz w:val="20"/>
          <w:szCs w:val="20"/>
          <w:lang w:val="es-ES_tradnl" w:eastAsia="es-ES_tradnl"/>
        </w:rPr>
        <w:t xml:space="preserve">, para la inscripción en el RUP, los interesados deben presentar los estados financieros de la sociedad y los estados financieros consolidados del grupo empresarial, cuando la norma aplicable lo exige, auditados con sus notas, acompañados de los siguientes anexos, suscritos por el representante legal y el revisor fiscal, si la persona jurídica está obligada a tenerlo, o suscritos por el representante legal y el auditor o contador si la persona jurídica no está obligada a tener revisor fiscal: </w:t>
      </w:r>
      <w:r w:rsidRPr="00632FF1">
        <w:rPr>
          <w:rFonts w:ascii="Arial" w:hAnsi="Arial" w:cs="Arial"/>
          <w:sz w:val="20"/>
          <w:szCs w:val="20"/>
          <w:lang w:eastAsia="es-ES_tradnl"/>
        </w:rPr>
        <w:t xml:space="preserve">i) principales cuentas detalladas del balance general; </w:t>
      </w:r>
      <w:proofErr w:type="spellStart"/>
      <w:r w:rsidRPr="00632FF1">
        <w:rPr>
          <w:rFonts w:ascii="Arial" w:hAnsi="Arial" w:cs="Arial"/>
          <w:sz w:val="20"/>
          <w:szCs w:val="20"/>
          <w:lang w:eastAsia="es-ES_tradnl"/>
        </w:rPr>
        <w:t>ii</w:t>
      </w:r>
      <w:proofErr w:type="spellEnd"/>
      <w:r w:rsidRPr="00632FF1">
        <w:rPr>
          <w:rFonts w:ascii="Arial" w:hAnsi="Arial" w:cs="Arial"/>
          <w:sz w:val="20"/>
          <w:szCs w:val="20"/>
          <w:lang w:eastAsia="es-ES_tradnl"/>
        </w:rPr>
        <w:t xml:space="preserve">) principales cuentas del estado de pérdidas y ganancias; y </w:t>
      </w:r>
      <w:proofErr w:type="spellStart"/>
      <w:r w:rsidRPr="00632FF1">
        <w:rPr>
          <w:rFonts w:ascii="Arial" w:hAnsi="Arial" w:cs="Arial"/>
          <w:sz w:val="20"/>
          <w:szCs w:val="20"/>
          <w:lang w:eastAsia="es-ES_tradnl"/>
        </w:rPr>
        <w:t>iii</w:t>
      </w:r>
      <w:proofErr w:type="spellEnd"/>
      <w:r w:rsidRPr="00632FF1">
        <w:rPr>
          <w:rFonts w:ascii="Arial" w:hAnsi="Arial" w:cs="Arial"/>
          <w:sz w:val="20"/>
          <w:szCs w:val="20"/>
          <w:lang w:eastAsia="es-ES_tradnl"/>
        </w:rPr>
        <w:t>) Cuentas contingentes deudoras y acreedoras. Sobre el particular, la</w:t>
      </w:r>
      <w:r w:rsidRPr="00632FF1">
        <w:rPr>
          <w:rFonts w:ascii="Arial" w:hAnsi="Arial" w:cs="Arial"/>
          <w:sz w:val="20"/>
          <w:szCs w:val="20"/>
        </w:rPr>
        <w:t xml:space="preserve"> Circular Externa Única de la Superintendencia de Industria y Comercio, en el capítulo VII, numeral 4.2.2.3 prevé lo siguiente:</w:t>
      </w:r>
    </w:p>
    <w:p w14:paraId="27C9AE18" w14:textId="1DB2BE03" w:rsidR="00C20D32" w:rsidRPr="00617E63" w:rsidRDefault="00C20D32" w:rsidP="00617E63">
      <w:pPr>
        <w:spacing w:after="0" w:line="240" w:lineRule="auto"/>
        <w:jc w:val="both"/>
        <w:rPr>
          <w:rFonts w:ascii="Arial" w:eastAsia="Calibri" w:hAnsi="Arial" w:cs="Arial"/>
          <w:sz w:val="20"/>
          <w:szCs w:val="20"/>
          <w:lang w:val="es-MX"/>
        </w:rPr>
      </w:pPr>
      <w:r w:rsidRPr="00617E63">
        <w:rPr>
          <w:rFonts w:ascii="Arial" w:eastAsia="Calibri" w:hAnsi="Arial" w:cs="Arial"/>
          <w:sz w:val="20"/>
          <w:szCs w:val="20"/>
          <w:lang w:val="es-MX"/>
        </w:rPr>
        <w:t>[…]</w:t>
      </w:r>
    </w:p>
    <w:p w14:paraId="78A4C065" w14:textId="7B96147C" w:rsidR="00C20D32" w:rsidRPr="00632FF1" w:rsidRDefault="00632FF1" w:rsidP="00632FF1">
      <w:pPr>
        <w:spacing w:after="0" w:line="240" w:lineRule="auto"/>
        <w:jc w:val="both"/>
        <w:rPr>
          <w:rFonts w:ascii="Arial" w:eastAsia="Calibri" w:hAnsi="Arial" w:cs="Arial"/>
          <w:i/>
          <w:iCs/>
          <w:color w:val="000000" w:themeColor="text1"/>
          <w:sz w:val="20"/>
          <w:szCs w:val="20"/>
          <w:lang w:eastAsia="es-ES_tradnl"/>
        </w:rPr>
      </w:pPr>
      <w:r w:rsidRPr="00632FF1">
        <w:rPr>
          <w:rFonts w:ascii="Arial" w:eastAsia="Calibri" w:hAnsi="Arial" w:cs="Arial"/>
          <w:color w:val="000000" w:themeColor="text1"/>
          <w:sz w:val="20"/>
          <w:szCs w:val="20"/>
          <w:lang w:eastAsia="es-ES_tradnl"/>
        </w:rPr>
        <w:t>En cuanto a la normatividad que regula la expedición de estados financieros, es necesario hacer referencia a la Ley 222 de 1995, que en su artículo 34 y ss. regula la obligación de preparar y difundir estados financieros, así como diferentes nociones asociadas, situaciones, parámetros y normas asociadas a los mismos. Dicha ley se encuentra a su vez reglamentada por el Decreto 2420 de 2015 “</w:t>
      </w:r>
      <w:r w:rsidRPr="00632FF1">
        <w:rPr>
          <w:rFonts w:ascii="Arial" w:eastAsia="Calibri" w:hAnsi="Arial" w:cs="Arial"/>
          <w:i/>
          <w:iCs/>
          <w:color w:val="000000" w:themeColor="text1"/>
          <w:sz w:val="20"/>
          <w:szCs w:val="20"/>
          <w:lang w:eastAsia="es-ES_tradnl"/>
        </w:rPr>
        <w:t>Por medio del cual se expide el Decreto Único Reglamentario de las Normas de Contabilidad, de Información Financiera y de Aseguramiento de la Información y se dictan otras disposiciones”.</w:t>
      </w:r>
    </w:p>
    <w:p w14:paraId="770593FA" w14:textId="77777777" w:rsidR="00617E63" w:rsidRDefault="00617E63" w:rsidP="00617E63">
      <w:pPr>
        <w:spacing w:after="0" w:line="240" w:lineRule="auto"/>
        <w:jc w:val="both"/>
        <w:rPr>
          <w:rFonts w:ascii="Arial" w:eastAsia="Calibri" w:hAnsi="Arial" w:cs="Arial"/>
          <w:b/>
          <w:bCs/>
          <w:color w:val="000000" w:themeColor="text1"/>
          <w:szCs w:val="24"/>
          <w:lang w:eastAsia="es-ES_tradnl"/>
        </w:rPr>
      </w:pPr>
    </w:p>
    <w:p w14:paraId="078E87EB" w14:textId="7AC8738B" w:rsidR="00617E63" w:rsidRDefault="00617E63" w:rsidP="00617E63">
      <w:pPr>
        <w:spacing w:after="0" w:line="276" w:lineRule="auto"/>
        <w:jc w:val="both"/>
        <w:rPr>
          <w:rFonts w:ascii="Arial" w:eastAsia="Calibri" w:hAnsi="Arial" w:cs="Arial"/>
          <w:b/>
          <w:bCs/>
          <w:color w:val="000000" w:themeColor="text1"/>
          <w:szCs w:val="24"/>
          <w:lang w:eastAsia="es-ES_tradnl"/>
        </w:rPr>
      </w:pPr>
      <w:r w:rsidRPr="00617E63">
        <w:rPr>
          <w:rFonts w:ascii="Arial" w:eastAsia="Calibri" w:hAnsi="Arial" w:cs="Arial"/>
          <w:b/>
          <w:bCs/>
          <w:color w:val="000000" w:themeColor="text1"/>
          <w:szCs w:val="24"/>
          <w:lang w:eastAsia="es-ES_tradnl"/>
        </w:rPr>
        <w:t>ESTADOS FINANCIEROS – Proponentes extranjeros sin sucursal en Colombia – Normativa – Normas NIIF</w:t>
      </w:r>
    </w:p>
    <w:p w14:paraId="35A3BD9D" w14:textId="77777777" w:rsidR="00617E63" w:rsidRPr="00617E63" w:rsidRDefault="00617E63" w:rsidP="00617E63">
      <w:pPr>
        <w:spacing w:after="0" w:line="240" w:lineRule="auto"/>
        <w:jc w:val="both"/>
        <w:rPr>
          <w:rFonts w:ascii="Arial" w:eastAsia="Calibri" w:hAnsi="Arial" w:cs="Arial"/>
          <w:b/>
          <w:bCs/>
          <w:color w:val="000000" w:themeColor="text1"/>
          <w:szCs w:val="24"/>
          <w:lang w:eastAsia="es-ES_tradnl"/>
        </w:rPr>
      </w:pPr>
    </w:p>
    <w:p w14:paraId="403D454A" w14:textId="77777777" w:rsidR="00887CAE" w:rsidRDefault="00887CAE" w:rsidP="00887CAE">
      <w:pPr>
        <w:spacing w:after="0" w:line="240" w:lineRule="auto"/>
        <w:jc w:val="both"/>
        <w:rPr>
          <w:rFonts w:ascii="Arial" w:eastAsia="Calibri" w:hAnsi="Arial" w:cs="Arial"/>
          <w:color w:val="000000"/>
          <w:sz w:val="20"/>
          <w:szCs w:val="20"/>
          <w:lang w:val="es-ES_tradnl" w:eastAsia="es-ES_tradnl"/>
        </w:rPr>
      </w:pPr>
      <w:r w:rsidRPr="00887CAE">
        <w:rPr>
          <w:rFonts w:ascii="Arial" w:eastAsia="Calibri" w:hAnsi="Arial" w:cs="Arial"/>
          <w:color w:val="000000" w:themeColor="text1"/>
          <w:sz w:val="20"/>
          <w:szCs w:val="20"/>
          <w:lang w:eastAsia="es-ES_tradnl"/>
        </w:rPr>
        <w:t xml:space="preserve">De acuerdo con lo anterior, las empresas colombianas y las extranjeras con sucursal en Colombia deben elaborar sus estados financieros de conformidad con lo dispuesto en la Ley 222 de 1995 y el Decreto 2420 de 2015, o las normas que los modifiquen, los cuales deben presentarse para la inscripción, renovación o actualización del RUP, según lo dispuesto en el artículo </w:t>
      </w:r>
      <w:r w:rsidRPr="00887CAE">
        <w:rPr>
          <w:rFonts w:ascii="Arial" w:eastAsia="Calibri" w:hAnsi="Arial" w:cs="Arial"/>
          <w:color w:val="000000"/>
          <w:sz w:val="20"/>
          <w:szCs w:val="20"/>
          <w:lang w:val="es-ES_tradnl" w:eastAsia="es-ES_tradnl"/>
        </w:rPr>
        <w:t xml:space="preserve">numeral 2.3 del artículo 2.2.1.1.1.5.2 del Decreto 1082 de 2015 y en el numeral </w:t>
      </w:r>
      <w:r w:rsidRPr="00887CAE">
        <w:rPr>
          <w:rFonts w:ascii="Arial" w:hAnsi="Arial" w:cs="Arial"/>
          <w:sz w:val="20"/>
          <w:szCs w:val="20"/>
        </w:rPr>
        <w:t xml:space="preserve">4.2.2.3 </w:t>
      </w:r>
      <w:r w:rsidRPr="00887CAE">
        <w:rPr>
          <w:rFonts w:ascii="Arial" w:eastAsia="Calibri" w:hAnsi="Arial" w:cs="Arial"/>
          <w:color w:val="000000"/>
          <w:sz w:val="20"/>
          <w:szCs w:val="20"/>
          <w:lang w:val="es-ES_tradnl" w:eastAsia="es-ES_tradnl"/>
        </w:rPr>
        <w:t xml:space="preserve">la Circular Externa Única expedida por la Superintendencia de Industria y Comercio.  La presentación de esos estados financieros eventualmente podrá ser exigida por alguna entidad estatal en un proceso de selección, en el caso de que se requiera acreditar información adicional a la contenida en el RUP, evento en el </w:t>
      </w:r>
      <w:r w:rsidRPr="00887CAE">
        <w:rPr>
          <w:rFonts w:ascii="Arial" w:eastAsia="Calibri" w:hAnsi="Arial" w:cs="Arial"/>
          <w:color w:val="000000"/>
          <w:sz w:val="20"/>
          <w:szCs w:val="20"/>
          <w:lang w:val="es-ES_tradnl" w:eastAsia="es-ES_tradnl"/>
        </w:rPr>
        <w:lastRenderedPageBreak/>
        <w:t>cual además de lo señalado en la normatividad aplicable a la expedición de estados financieros deberá observarse lo indicado en el pliego de condiciones.</w:t>
      </w:r>
    </w:p>
    <w:p w14:paraId="25B25CF6" w14:textId="77777777" w:rsidR="00887CAE" w:rsidRDefault="00887CAE" w:rsidP="00887CAE">
      <w:pPr>
        <w:spacing w:after="0" w:line="240" w:lineRule="auto"/>
        <w:jc w:val="both"/>
        <w:rPr>
          <w:rFonts w:ascii="Arial" w:eastAsia="Calibri" w:hAnsi="Arial" w:cs="Arial"/>
          <w:color w:val="000000"/>
          <w:sz w:val="20"/>
          <w:szCs w:val="20"/>
          <w:lang w:val="es-ES_tradnl" w:eastAsia="es-ES_tradnl"/>
        </w:rPr>
      </w:pPr>
    </w:p>
    <w:p w14:paraId="0413A286" w14:textId="51560496" w:rsidR="00887CAE" w:rsidRPr="00887CAE" w:rsidRDefault="00887CAE" w:rsidP="00887CAE">
      <w:pPr>
        <w:spacing w:after="0" w:line="240" w:lineRule="auto"/>
        <w:jc w:val="both"/>
        <w:rPr>
          <w:rFonts w:ascii="Arial" w:eastAsia="Calibri" w:hAnsi="Arial" w:cs="Arial"/>
          <w:color w:val="000000"/>
          <w:sz w:val="20"/>
          <w:szCs w:val="20"/>
          <w:lang w:val="es-ES_tradnl" w:eastAsia="es-ES_tradnl"/>
        </w:rPr>
      </w:pPr>
      <w:r w:rsidRPr="00887CAE">
        <w:rPr>
          <w:rFonts w:ascii="Arial" w:eastAsia="Calibri" w:hAnsi="Arial" w:cs="Arial"/>
          <w:color w:val="000000"/>
          <w:sz w:val="20"/>
          <w:szCs w:val="20"/>
          <w:lang w:val="es-ES_tradnl" w:eastAsia="es-ES_tradnl"/>
        </w:rPr>
        <w:t xml:space="preserve">De otro lado, los proponentes extranjeros sin sucursal en Colombia, al estar no estar obligados a inscribirse en el RUP y no estar en principio sometidos al derecho colombiano, deben presentar sus estados de acuerdo con la legislación de su país de origen, sin perjuicio de las </w:t>
      </w:r>
      <w:r w:rsidRPr="00887CAE">
        <w:rPr>
          <w:rFonts w:ascii="Arial" w:eastAsia="Calibri" w:hAnsi="Arial" w:cs="Arial"/>
          <w:color w:val="000000" w:themeColor="text1"/>
          <w:sz w:val="20"/>
          <w:szCs w:val="20"/>
          <w:lang w:val="es-ES_tradnl" w:eastAsia="es-ES_tradnl"/>
        </w:rPr>
        <w:t xml:space="preserve">conversiones, traducciones y/o homologaciones a la que haya lugar. Al respecto, es conveniente resaltar que las Normas Internacionales de Información Financiera –NIIF–, adoptadas en Colombia con la expedición de la Ley 1314 de 2009, que son reglas que permiten unificar el lenguaje de los estados financieros de las empresas, independientemente de su nacionalidad. De esta manera, la aplicación de estas normas en los procesos de contratación, particularmente, en el caso de proveedores extranjeros, facilita la evaluación de los requisitos de capacidad financiera, teniendo en cuenta que establecen una base común para la presentación de información financiera a nivel mundial. </w:t>
      </w:r>
    </w:p>
    <w:p w14:paraId="7BBEA229" w14:textId="004E92E0" w:rsidR="00617E63" w:rsidRPr="00887CAE" w:rsidRDefault="00617E63" w:rsidP="00887CAE">
      <w:pPr>
        <w:spacing w:after="0" w:line="240" w:lineRule="auto"/>
        <w:jc w:val="both"/>
        <w:rPr>
          <w:rFonts w:ascii="Arial" w:eastAsia="Calibri" w:hAnsi="Arial" w:cs="Arial"/>
          <w:color w:val="000000"/>
          <w:sz w:val="20"/>
          <w:szCs w:val="20"/>
          <w:lang w:val="es-ES_tradnl" w:eastAsia="es-ES_tradnl"/>
        </w:rPr>
      </w:pPr>
    </w:p>
    <w:p w14:paraId="688C850D" w14:textId="77777777" w:rsidR="0099001C" w:rsidRPr="0099001C" w:rsidRDefault="0099001C" w:rsidP="0099001C">
      <w:pPr>
        <w:spacing w:after="200" w:line="276" w:lineRule="auto"/>
        <w:ind w:firstLine="709"/>
        <w:jc w:val="both"/>
        <w:rPr>
          <w:rFonts w:ascii="Arial" w:eastAsia="Calibri" w:hAnsi="Arial" w:cs="Arial"/>
          <w:noProof/>
          <w:color w:val="000000"/>
          <w:sz w:val="20"/>
          <w:szCs w:val="20"/>
          <w:lang w:val="es-ES_tradnl" w:eastAsia="es-ES_tradnl"/>
        </w:rPr>
      </w:pPr>
    </w:p>
    <w:p w14:paraId="71D9407A" w14:textId="77777777" w:rsidR="0099001C" w:rsidRPr="0099001C" w:rsidRDefault="0099001C" w:rsidP="0099001C">
      <w:pPr>
        <w:spacing w:after="200" w:line="276" w:lineRule="auto"/>
        <w:ind w:firstLine="709"/>
        <w:jc w:val="both"/>
        <w:rPr>
          <w:rFonts w:ascii="Arial" w:eastAsia="Calibri" w:hAnsi="Arial" w:cs="Arial"/>
          <w:noProof/>
          <w:color w:val="000000"/>
          <w:sz w:val="20"/>
          <w:szCs w:val="20"/>
          <w:lang w:val="es-ES_tradnl" w:eastAsia="es-ES_tradnl"/>
        </w:rPr>
      </w:pPr>
    </w:p>
    <w:p w14:paraId="368B72B8" w14:textId="77777777" w:rsidR="0099001C" w:rsidRPr="0099001C" w:rsidRDefault="0099001C" w:rsidP="0099001C">
      <w:pPr>
        <w:spacing w:after="200" w:line="276" w:lineRule="auto"/>
        <w:ind w:firstLine="709"/>
        <w:jc w:val="both"/>
        <w:rPr>
          <w:rFonts w:ascii="Arial" w:eastAsia="Calibri" w:hAnsi="Arial" w:cs="Arial"/>
          <w:noProof/>
          <w:color w:val="000000"/>
          <w:sz w:val="20"/>
          <w:szCs w:val="20"/>
          <w:lang w:val="es-ES_tradnl" w:eastAsia="es-ES_tradnl"/>
        </w:rPr>
      </w:pPr>
    </w:p>
    <w:p w14:paraId="1EBCD3FD" w14:textId="77777777" w:rsidR="0099001C" w:rsidRPr="0099001C" w:rsidRDefault="0099001C" w:rsidP="0099001C">
      <w:pPr>
        <w:spacing w:after="200" w:line="276" w:lineRule="auto"/>
        <w:ind w:firstLine="709"/>
        <w:jc w:val="both"/>
        <w:rPr>
          <w:rFonts w:ascii="Arial" w:eastAsia="Calibri" w:hAnsi="Arial" w:cs="Arial"/>
          <w:noProof/>
          <w:color w:val="000000"/>
          <w:sz w:val="20"/>
          <w:szCs w:val="20"/>
          <w:lang w:val="es-ES_tradnl" w:eastAsia="es-ES_tradnl"/>
        </w:rPr>
      </w:pPr>
    </w:p>
    <w:p w14:paraId="4D1D4DE7" w14:textId="77777777" w:rsidR="0099001C" w:rsidRPr="0099001C" w:rsidRDefault="0099001C" w:rsidP="0099001C">
      <w:pPr>
        <w:spacing w:after="200" w:line="276" w:lineRule="auto"/>
        <w:ind w:firstLine="709"/>
        <w:jc w:val="both"/>
        <w:rPr>
          <w:rFonts w:ascii="Arial" w:eastAsia="Calibri" w:hAnsi="Arial" w:cs="Arial"/>
          <w:noProof/>
          <w:color w:val="000000"/>
          <w:sz w:val="20"/>
          <w:szCs w:val="20"/>
          <w:lang w:val="es-ES_tradnl" w:eastAsia="es-ES_tradnl"/>
        </w:rPr>
      </w:pPr>
    </w:p>
    <w:p w14:paraId="78426B36" w14:textId="77777777" w:rsidR="0099001C" w:rsidRPr="0099001C" w:rsidRDefault="0099001C" w:rsidP="0099001C">
      <w:pPr>
        <w:spacing w:after="200" w:line="276" w:lineRule="auto"/>
        <w:ind w:firstLine="709"/>
        <w:jc w:val="both"/>
        <w:rPr>
          <w:rFonts w:ascii="Arial" w:eastAsia="Calibri" w:hAnsi="Arial" w:cs="Arial"/>
          <w:noProof/>
          <w:color w:val="000000"/>
          <w:sz w:val="20"/>
          <w:szCs w:val="20"/>
          <w:lang w:val="es-ES_tradnl" w:eastAsia="es-ES_tradnl"/>
        </w:rPr>
      </w:pPr>
    </w:p>
    <w:p w14:paraId="2717DDB8" w14:textId="77777777" w:rsidR="0099001C" w:rsidRPr="0099001C" w:rsidRDefault="0099001C" w:rsidP="0099001C">
      <w:pPr>
        <w:spacing w:after="200" w:line="276" w:lineRule="auto"/>
        <w:ind w:firstLine="709"/>
        <w:jc w:val="both"/>
        <w:rPr>
          <w:rFonts w:ascii="Arial" w:eastAsia="Calibri" w:hAnsi="Arial" w:cs="Arial"/>
          <w:noProof/>
          <w:color w:val="000000"/>
          <w:sz w:val="20"/>
          <w:szCs w:val="20"/>
          <w:lang w:val="es-ES_tradnl" w:eastAsia="es-ES_tradnl"/>
        </w:rPr>
      </w:pPr>
    </w:p>
    <w:p w14:paraId="59A1B349" w14:textId="77777777" w:rsidR="0099001C" w:rsidRPr="0099001C" w:rsidRDefault="0099001C" w:rsidP="0099001C">
      <w:pPr>
        <w:spacing w:after="200" w:line="276" w:lineRule="auto"/>
        <w:ind w:firstLine="709"/>
        <w:jc w:val="both"/>
        <w:rPr>
          <w:rFonts w:ascii="Arial" w:eastAsia="Calibri" w:hAnsi="Arial" w:cs="Arial"/>
          <w:noProof/>
          <w:color w:val="000000"/>
          <w:sz w:val="24"/>
          <w:szCs w:val="24"/>
          <w:lang w:val="es-ES_tradnl" w:eastAsia="es-ES_tradnl"/>
        </w:rPr>
      </w:pPr>
    </w:p>
    <w:p w14:paraId="2B67D063" w14:textId="77777777" w:rsidR="0099001C" w:rsidRPr="0099001C" w:rsidRDefault="0099001C" w:rsidP="0099001C">
      <w:pPr>
        <w:spacing w:after="200" w:line="276" w:lineRule="auto"/>
        <w:ind w:firstLine="709"/>
        <w:jc w:val="both"/>
        <w:rPr>
          <w:rFonts w:ascii="Arial" w:eastAsia="Calibri" w:hAnsi="Arial" w:cs="Arial"/>
          <w:noProof/>
          <w:color w:val="000000"/>
          <w:sz w:val="24"/>
          <w:szCs w:val="24"/>
          <w:lang w:val="es-ES_tradnl" w:eastAsia="es-ES_tradnl"/>
        </w:rPr>
      </w:pPr>
    </w:p>
    <w:p w14:paraId="48B229C6" w14:textId="77777777" w:rsidR="0099001C" w:rsidRPr="0099001C" w:rsidRDefault="0099001C" w:rsidP="0099001C">
      <w:pPr>
        <w:spacing w:after="200" w:line="276" w:lineRule="auto"/>
        <w:ind w:firstLine="709"/>
        <w:jc w:val="both"/>
        <w:rPr>
          <w:rFonts w:ascii="Arial" w:eastAsia="Calibri" w:hAnsi="Arial" w:cs="Arial"/>
          <w:noProof/>
          <w:color w:val="000000"/>
          <w:sz w:val="24"/>
          <w:szCs w:val="24"/>
          <w:lang w:val="es-ES_tradnl" w:eastAsia="es-ES_tradnl"/>
        </w:rPr>
      </w:pPr>
    </w:p>
    <w:p w14:paraId="75F97987" w14:textId="77777777" w:rsidR="0099001C" w:rsidRPr="0099001C" w:rsidRDefault="0099001C" w:rsidP="0099001C">
      <w:pPr>
        <w:spacing w:after="200" w:line="276" w:lineRule="auto"/>
        <w:ind w:firstLine="709"/>
        <w:jc w:val="both"/>
        <w:rPr>
          <w:rFonts w:ascii="Arial" w:eastAsia="Calibri" w:hAnsi="Arial" w:cs="Arial"/>
          <w:noProof/>
          <w:color w:val="000000"/>
          <w:sz w:val="24"/>
          <w:szCs w:val="24"/>
          <w:lang w:val="es-ES_tradnl" w:eastAsia="es-ES_tradnl"/>
        </w:rPr>
      </w:pPr>
    </w:p>
    <w:p w14:paraId="7EB81FC2" w14:textId="77777777" w:rsidR="0099001C" w:rsidRPr="0099001C" w:rsidRDefault="0099001C" w:rsidP="0099001C">
      <w:pPr>
        <w:spacing w:after="200" w:line="276" w:lineRule="auto"/>
        <w:ind w:firstLine="709"/>
        <w:jc w:val="both"/>
        <w:rPr>
          <w:rFonts w:ascii="Arial" w:eastAsia="Calibri" w:hAnsi="Arial" w:cs="Arial"/>
          <w:noProof/>
          <w:color w:val="000000"/>
          <w:sz w:val="24"/>
          <w:szCs w:val="24"/>
          <w:lang w:val="es-ES_tradnl" w:eastAsia="es-ES_tradnl"/>
        </w:rPr>
      </w:pPr>
    </w:p>
    <w:p w14:paraId="0618C210" w14:textId="77777777" w:rsidR="0099001C" w:rsidRDefault="0099001C" w:rsidP="0099001C">
      <w:pPr>
        <w:spacing w:after="200" w:line="276" w:lineRule="auto"/>
        <w:jc w:val="both"/>
        <w:rPr>
          <w:rFonts w:ascii="Arial" w:eastAsia="Calibri" w:hAnsi="Arial" w:cs="Arial"/>
          <w:noProof/>
          <w:color w:val="000000"/>
          <w:sz w:val="24"/>
          <w:szCs w:val="24"/>
          <w:lang w:val="es-ES_tradnl" w:eastAsia="es-ES_tradnl"/>
        </w:rPr>
      </w:pPr>
    </w:p>
    <w:p w14:paraId="5B0EB8F6" w14:textId="77777777" w:rsidR="00617E63" w:rsidRDefault="00617E63" w:rsidP="0099001C">
      <w:pPr>
        <w:spacing w:after="200" w:line="276" w:lineRule="auto"/>
        <w:jc w:val="both"/>
        <w:rPr>
          <w:rFonts w:ascii="Arial" w:eastAsia="Calibri" w:hAnsi="Arial" w:cs="Arial"/>
          <w:noProof/>
          <w:color w:val="000000"/>
          <w:sz w:val="24"/>
          <w:szCs w:val="24"/>
          <w:lang w:val="es-ES_tradnl" w:eastAsia="es-ES_tradnl"/>
        </w:rPr>
      </w:pPr>
    </w:p>
    <w:p w14:paraId="013A8B77" w14:textId="77777777" w:rsidR="00617E63" w:rsidRDefault="00617E63" w:rsidP="0099001C">
      <w:pPr>
        <w:spacing w:after="200" w:line="276" w:lineRule="auto"/>
        <w:jc w:val="both"/>
        <w:rPr>
          <w:rFonts w:ascii="Arial" w:eastAsia="Calibri" w:hAnsi="Arial" w:cs="Arial"/>
          <w:noProof/>
          <w:color w:val="000000"/>
          <w:sz w:val="24"/>
          <w:szCs w:val="24"/>
          <w:lang w:val="es-ES_tradnl" w:eastAsia="es-ES_tradnl"/>
        </w:rPr>
      </w:pPr>
    </w:p>
    <w:p w14:paraId="5FFA53F6" w14:textId="77777777" w:rsidR="00617E63" w:rsidRDefault="00617E63" w:rsidP="0099001C">
      <w:pPr>
        <w:spacing w:after="200" w:line="276" w:lineRule="auto"/>
        <w:jc w:val="both"/>
        <w:rPr>
          <w:rFonts w:ascii="Arial" w:eastAsia="Calibri" w:hAnsi="Arial" w:cs="Arial"/>
          <w:noProof/>
          <w:color w:val="000000"/>
          <w:sz w:val="24"/>
          <w:szCs w:val="24"/>
          <w:lang w:val="es-ES_tradnl" w:eastAsia="es-ES_tradnl"/>
        </w:rPr>
      </w:pPr>
    </w:p>
    <w:p w14:paraId="58EC480A" w14:textId="77777777" w:rsidR="0099001C" w:rsidRPr="0099001C" w:rsidRDefault="0099001C" w:rsidP="0099001C">
      <w:pPr>
        <w:spacing w:after="200" w:line="276" w:lineRule="auto"/>
        <w:jc w:val="both"/>
        <w:rPr>
          <w:rFonts w:ascii="Arial" w:eastAsia="Calibri" w:hAnsi="Arial" w:cs="Arial"/>
          <w:noProof/>
          <w:color w:val="000000"/>
          <w:sz w:val="24"/>
          <w:szCs w:val="24"/>
          <w:lang w:val="es-ES_tradnl" w:eastAsia="es-ES_tradnl"/>
        </w:rPr>
      </w:pPr>
    </w:p>
    <w:p w14:paraId="2DBD1078" w14:textId="716A2EA4" w:rsidR="00BE3181" w:rsidRPr="002153B5" w:rsidRDefault="00526152" w:rsidP="00526152">
      <w:pPr>
        <w:spacing w:after="0"/>
        <w:jc w:val="right"/>
        <w:rPr>
          <w:rFonts w:ascii="Arial" w:hAnsi="Arial" w:cs="Arial"/>
        </w:rPr>
      </w:pPr>
      <w:r>
        <w:rPr>
          <w:rFonts w:ascii="Arial" w:hAnsi="Arial" w:cs="Arial"/>
          <w:noProof/>
        </w:rPr>
        <w:lastRenderedPageBreak/>
        <w:drawing>
          <wp:inline distT="0" distB="0" distL="0" distR="0" wp14:anchorId="11164950" wp14:editId="1F072D86">
            <wp:extent cx="3048411" cy="818367"/>
            <wp:effectExtent l="0" t="0" r="0" b="1270"/>
            <wp:docPr id="189972736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727361"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3099418" cy="832060"/>
                    </a:xfrm>
                    <a:prstGeom prst="rect">
                      <a:avLst/>
                    </a:prstGeom>
                  </pic:spPr>
                </pic:pic>
              </a:graphicData>
            </a:graphic>
          </wp:inline>
        </w:drawing>
      </w:r>
    </w:p>
    <w:p w14:paraId="7301F92E" w14:textId="77777777" w:rsidR="00F44F31" w:rsidRDefault="00F44F31" w:rsidP="0099001C">
      <w:pPr>
        <w:spacing w:after="0" w:line="276" w:lineRule="auto"/>
        <w:jc w:val="both"/>
        <w:rPr>
          <w:rFonts w:ascii="Arial" w:eastAsia="Calibri" w:hAnsi="Arial" w:cs="Arial"/>
          <w:bCs/>
          <w:color w:val="000000"/>
          <w:lang w:val="es-ES_tradnl" w:eastAsia="es-ES_tradnl"/>
        </w:rPr>
      </w:pPr>
    </w:p>
    <w:p w14:paraId="043C36F9" w14:textId="3AA5502F" w:rsidR="0099001C" w:rsidRPr="0099001C" w:rsidRDefault="0099001C" w:rsidP="0099001C">
      <w:pPr>
        <w:spacing w:after="0" w:line="276" w:lineRule="auto"/>
        <w:jc w:val="both"/>
        <w:rPr>
          <w:rFonts w:ascii="Arial" w:eastAsia="Calibri" w:hAnsi="Arial" w:cs="Arial"/>
          <w:bCs/>
          <w:color w:val="000000"/>
          <w:lang w:val="es-ES_tradnl" w:eastAsia="es-ES_tradnl"/>
        </w:rPr>
      </w:pPr>
      <w:r w:rsidRPr="0099001C">
        <w:rPr>
          <w:rFonts w:ascii="Arial" w:eastAsia="Calibri" w:hAnsi="Arial" w:cs="Arial"/>
          <w:bCs/>
          <w:color w:val="000000"/>
          <w:lang w:val="es-ES_tradnl" w:eastAsia="es-ES_tradnl"/>
        </w:rPr>
        <w:t>Señora</w:t>
      </w:r>
    </w:p>
    <w:p w14:paraId="1515B2DF" w14:textId="77777777" w:rsidR="0099001C" w:rsidRPr="0099001C" w:rsidRDefault="0099001C" w:rsidP="0099001C">
      <w:pPr>
        <w:spacing w:after="0" w:line="276" w:lineRule="auto"/>
        <w:jc w:val="both"/>
        <w:rPr>
          <w:rFonts w:ascii="Arial" w:eastAsia="Calibri" w:hAnsi="Arial" w:cs="Arial"/>
          <w:b/>
          <w:color w:val="000000"/>
          <w:lang w:val="es-ES_tradnl" w:eastAsia="es-ES_tradnl"/>
        </w:rPr>
      </w:pPr>
      <w:r w:rsidRPr="0099001C">
        <w:rPr>
          <w:rFonts w:ascii="Arial" w:eastAsia="Calibri" w:hAnsi="Arial" w:cs="Arial"/>
          <w:b/>
          <w:color w:val="000000"/>
          <w:lang w:val="es-ES_tradnl" w:eastAsia="es-ES_tradnl"/>
        </w:rPr>
        <w:t>Paola Andrea Molina Vega</w:t>
      </w:r>
    </w:p>
    <w:p w14:paraId="7C7BC244" w14:textId="77777777" w:rsidR="0099001C" w:rsidRPr="0099001C" w:rsidRDefault="0099001C" w:rsidP="0099001C">
      <w:pPr>
        <w:spacing w:after="0" w:line="276" w:lineRule="auto"/>
        <w:jc w:val="both"/>
        <w:rPr>
          <w:rFonts w:ascii="Arial" w:eastAsia="Calibri" w:hAnsi="Arial" w:cs="Arial"/>
          <w:bCs/>
          <w:color w:val="000000"/>
          <w:lang w:val="es-ES_tradnl" w:eastAsia="es-ES_tradnl"/>
        </w:rPr>
      </w:pPr>
      <w:r w:rsidRPr="0099001C">
        <w:rPr>
          <w:rFonts w:ascii="Arial" w:eastAsia="Calibri" w:hAnsi="Arial" w:cs="Arial"/>
          <w:bCs/>
          <w:color w:val="000000"/>
          <w:lang w:val="es-ES_tradnl" w:eastAsia="es-ES_tradnl"/>
        </w:rPr>
        <w:t>Técnico Investigador IV</w:t>
      </w:r>
    </w:p>
    <w:p w14:paraId="32D89FD1" w14:textId="77777777" w:rsidR="0099001C" w:rsidRPr="0099001C" w:rsidRDefault="0099001C" w:rsidP="0099001C">
      <w:pPr>
        <w:spacing w:after="0" w:line="276" w:lineRule="auto"/>
        <w:jc w:val="both"/>
        <w:rPr>
          <w:rFonts w:ascii="Arial" w:eastAsia="Calibri" w:hAnsi="Arial" w:cs="Arial"/>
          <w:bCs/>
          <w:color w:val="000000"/>
          <w:lang w:val="es-ES_tradnl" w:eastAsia="es-ES_tradnl"/>
        </w:rPr>
      </w:pPr>
      <w:r w:rsidRPr="0099001C">
        <w:rPr>
          <w:rFonts w:ascii="Arial" w:eastAsia="Calibri" w:hAnsi="Arial" w:cs="Arial"/>
          <w:bCs/>
          <w:color w:val="000000"/>
          <w:lang w:val="es-ES_tradnl" w:eastAsia="es-ES_tradnl"/>
        </w:rPr>
        <w:t>Fiscalía General de la Nación</w:t>
      </w:r>
    </w:p>
    <w:p w14:paraId="3B77EB2B" w14:textId="77777777" w:rsidR="0099001C" w:rsidRPr="0099001C" w:rsidRDefault="0099001C" w:rsidP="0099001C">
      <w:pPr>
        <w:spacing w:after="0" w:line="276" w:lineRule="auto"/>
        <w:jc w:val="both"/>
        <w:rPr>
          <w:rFonts w:ascii="Arial" w:eastAsia="Calibri" w:hAnsi="Arial" w:cs="Arial"/>
          <w:bCs/>
          <w:color w:val="000000"/>
          <w:lang w:val="es-ES_tradnl" w:eastAsia="es-ES_tradnl"/>
        </w:rPr>
      </w:pPr>
      <w:r w:rsidRPr="0099001C">
        <w:rPr>
          <w:rFonts w:ascii="Arial" w:eastAsia="Calibri" w:hAnsi="Arial" w:cs="Arial"/>
          <w:bCs/>
          <w:color w:val="000000"/>
          <w:lang w:val="es-ES_tradnl" w:eastAsia="es-ES_tradnl"/>
        </w:rPr>
        <w:t xml:space="preserve">Bogotá, D.C. </w:t>
      </w:r>
    </w:p>
    <w:p w14:paraId="5D4DDE03" w14:textId="77777777" w:rsidR="0099001C" w:rsidRPr="0099001C" w:rsidRDefault="0099001C" w:rsidP="0099001C">
      <w:pPr>
        <w:spacing w:after="0" w:line="276" w:lineRule="auto"/>
        <w:jc w:val="both"/>
        <w:rPr>
          <w:rFonts w:ascii="Arial" w:eastAsia="Calibri" w:hAnsi="Arial" w:cs="Arial"/>
          <w:color w:val="000000"/>
          <w:lang w:val="es-ES_tradnl" w:eastAsia="es-ES_tradnl"/>
        </w:rPr>
      </w:pPr>
    </w:p>
    <w:p w14:paraId="0F4AFBB3" w14:textId="77777777" w:rsidR="0099001C" w:rsidRPr="0099001C" w:rsidRDefault="0099001C" w:rsidP="0099001C">
      <w:pPr>
        <w:spacing w:after="0" w:line="276" w:lineRule="auto"/>
        <w:ind w:left="707" w:firstLine="709"/>
        <w:jc w:val="both"/>
        <w:rPr>
          <w:rFonts w:ascii="Arial" w:eastAsia="Calibri" w:hAnsi="Arial" w:cs="Arial"/>
          <w:b/>
          <w:bCs/>
          <w:color w:val="000000"/>
          <w:lang w:val="es-ES_tradnl" w:eastAsia="es-ES_tradnl"/>
        </w:rPr>
      </w:pPr>
      <w:r w:rsidRPr="0099001C">
        <w:rPr>
          <w:rFonts w:ascii="Arial" w:eastAsia="Calibri" w:hAnsi="Arial" w:cs="Arial"/>
          <w:b/>
          <w:bCs/>
          <w:color w:val="000000"/>
          <w:lang w:val="es-ES_tradnl" w:eastAsia="es-ES_tradnl"/>
        </w:rPr>
        <w:t xml:space="preserve">                     Concepto C ‒ 215 de 2023</w:t>
      </w:r>
    </w:p>
    <w:p w14:paraId="4AA6CE01" w14:textId="77777777" w:rsidR="0099001C" w:rsidRPr="0099001C" w:rsidRDefault="0099001C" w:rsidP="0099001C">
      <w:pPr>
        <w:spacing w:after="0" w:line="276" w:lineRule="auto"/>
        <w:ind w:left="707" w:firstLine="709"/>
        <w:jc w:val="both"/>
        <w:rPr>
          <w:rFonts w:ascii="Arial" w:eastAsia="Calibri" w:hAnsi="Arial" w:cs="Arial"/>
          <w:b/>
          <w:bCs/>
          <w:color w:val="000000"/>
          <w:lang w:val="es-ES_tradnl" w:eastAsia="es-ES_tradnl"/>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9001C" w:rsidRPr="0099001C" w14:paraId="25887DAE" w14:textId="77777777" w:rsidTr="00BE267F">
        <w:tc>
          <w:tcPr>
            <w:tcW w:w="2689" w:type="dxa"/>
          </w:tcPr>
          <w:p w14:paraId="7C39DD3E" w14:textId="77777777" w:rsidR="0099001C" w:rsidRPr="0099001C" w:rsidRDefault="0099001C" w:rsidP="0099001C">
            <w:pPr>
              <w:spacing w:line="276" w:lineRule="auto"/>
              <w:rPr>
                <w:rFonts w:ascii="Arial" w:eastAsia="Calibri" w:hAnsi="Arial" w:cs="Arial"/>
                <w:color w:val="000000"/>
                <w:lang w:val="es-ES_tradnl" w:eastAsia="es-ES_tradnl"/>
              </w:rPr>
            </w:pPr>
            <w:r w:rsidRPr="0099001C">
              <w:rPr>
                <w:rFonts w:ascii="Arial" w:eastAsia="Calibri" w:hAnsi="Arial" w:cs="Arial"/>
                <w:b/>
                <w:color w:val="000000"/>
                <w:lang w:val="es-ES_tradnl" w:eastAsia="es-ES_tradnl"/>
              </w:rPr>
              <w:t>Temas:</w:t>
            </w:r>
            <w:r w:rsidRPr="0099001C">
              <w:rPr>
                <w:rFonts w:ascii="Arial" w:eastAsia="Calibri" w:hAnsi="Arial" w:cs="Arial"/>
                <w:color w:val="000000"/>
                <w:lang w:val="es-ES_tradnl" w:eastAsia="es-ES_tradnl"/>
              </w:rPr>
              <w:t xml:space="preserve">                                      </w:t>
            </w:r>
          </w:p>
        </w:tc>
        <w:tc>
          <w:tcPr>
            <w:tcW w:w="6237" w:type="dxa"/>
          </w:tcPr>
          <w:p w14:paraId="52E98E68" w14:textId="21374BE9" w:rsidR="0099001C" w:rsidRPr="0099001C" w:rsidRDefault="0099001C" w:rsidP="0099001C">
            <w:pPr>
              <w:spacing w:line="276" w:lineRule="auto"/>
              <w:rPr>
                <w:rFonts w:ascii="Arial" w:eastAsia="Calibri" w:hAnsi="Arial" w:cs="Arial"/>
                <w:bCs/>
                <w:color w:val="000000"/>
                <w:highlight w:val="yellow"/>
                <w:lang w:val="es-ES_tradnl" w:eastAsia="es-ES_tradnl"/>
              </w:rPr>
            </w:pPr>
            <w:r w:rsidRPr="0099001C">
              <w:rPr>
                <w:rFonts w:ascii="Arial" w:eastAsia="Calibri" w:hAnsi="Arial" w:cs="Arial"/>
                <w:bCs/>
                <w:color w:val="000000" w:themeColor="text1"/>
                <w:lang w:val="es-MX" w:eastAsia="es-ES_tradnl"/>
              </w:rPr>
              <w:t xml:space="preserve">REQUISITOS HABILITANTES – Capacidad financiera – Autonomía / CAPACIDAD FINANCIERA – Acreditación – Regla general – RUP – Proponentes extranjeros / CAPACIDAD FINANCIERA – Indicadores financieros </w:t>
            </w:r>
            <w:r w:rsidR="00D86F73">
              <w:rPr>
                <w:rFonts w:ascii="Arial" w:eastAsia="Calibri" w:hAnsi="Arial" w:cs="Arial"/>
                <w:bCs/>
                <w:color w:val="000000" w:themeColor="text1"/>
                <w:lang w:val="es-MX" w:eastAsia="es-ES_tradnl"/>
              </w:rPr>
              <w:t xml:space="preserve">/ ESTADOS FINANCIEROS </w:t>
            </w:r>
            <w:r w:rsidRPr="0099001C">
              <w:rPr>
                <w:rFonts w:ascii="Arial" w:eastAsia="Calibri" w:hAnsi="Arial" w:cs="Arial"/>
                <w:bCs/>
                <w:color w:val="000000" w:themeColor="text1"/>
                <w:lang w:val="es-MX" w:eastAsia="es-ES_tradnl"/>
              </w:rPr>
              <w:t>–</w:t>
            </w:r>
            <w:r w:rsidR="00BC682E">
              <w:rPr>
                <w:rFonts w:ascii="Arial" w:eastAsia="Calibri" w:hAnsi="Arial" w:cs="Arial"/>
                <w:bCs/>
                <w:color w:val="000000" w:themeColor="text1"/>
                <w:lang w:val="es-MX" w:eastAsia="es-ES_tradnl"/>
              </w:rPr>
              <w:t xml:space="preserve"> Proponentes nacionales –</w:t>
            </w:r>
            <w:r w:rsidR="00D86F73">
              <w:rPr>
                <w:rFonts w:ascii="Arial" w:eastAsia="Calibri" w:hAnsi="Arial" w:cs="Arial"/>
                <w:bCs/>
                <w:color w:val="000000" w:themeColor="text1"/>
                <w:lang w:val="es-MX" w:eastAsia="es-ES_tradnl"/>
              </w:rPr>
              <w:t xml:space="preserve"> Normativa – Ley 222 de 1995 / ESTADOS FINANCIEROS – Proponentes extranjeros sin sucursal en Colombia – </w:t>
            </w:r>
            <w:r w:rsidR="00BC682E">
              <w:rPr>
                <w:rFonts w:ascii="Arial" w:eastAsia="Calibri" w:hAnsi="Arial" w:cs="Arial"/>
                <w:bCs/>
                <w:color w:val="000000" w:themeColor="text1"/>
                <w:lang w:val="es-MX" w:eastAsia="es-ES_tradnl"/>
              </w:rPr>
              <w:t xml:space="preserve">Normativa – </w:t>
            </w:r>
            <w:r w:rsidRPr="0099001C">
              <w:rPr>
                <w:rFonts w:ascii="Arial" w:eastAsia="Calibri" w:hAnsi="Arial" w:cs="Arial"/>
                <w:bCs/>
                <w:color w:val="000000" w:themeColor="text1"/>
                <w:lang w:val="es-MX" w:eastAsia="es-ES_tradnl"/>
              </w:rPr>
              <w:t>Normas NIIF</w:t>
            </w:r>
          </w:p>
          <w:p w14:paraId="6509016C" w14:textId="77777777" w:rsidR="0099001C" w:rsidRPr="0099001C" w:rsidRDefault="0099001C" w:rsidP="0099001C">
            <w:pPr>
              <w:spacing w:line="276" w:lineRule="auto"/>
              <w:rPr>
                <w:rFonts w:ascii="Arial" w:eastAsia="Calibri" w:hAnsi="Arial" w:cs="Arial"/>
                <w:color w:val="000000"/>
                <w:highlight w:val="yellow"/>
                <w:lang w:val="es-ES_tradnl" w:eastAsia="es-ES_tradnl"/>
              </w:rPr>
            </w:pPr>
          </w:p>
        </w:tc>
      </w:tr>
      <w:tr w:rsidR="0099001C" w:rsidRPr="0099001C" w14:paraId="618A58D4" w14:textId="77777777" w:rsidTr="00BE267F">
        <w:trPr>
          <w:trHeight w:val="67"/>
        </w:trPr>
        <w:tc>
          <w:tcPr>
            <w:tcW w:w="2689" w:type="dxa"/>
          </w:tcPr>
          <w:p w14:paraId="004A2FD7" w14:textId="77777777" w:rsidR="0099001C" w:rsidRPr="0099001C" w:rsidRDefault="0099001C" w:rsidP="0099001C">
            <w:pPr>
              <w:spacing w:line="276" w:lineRule="auto"/>
              <w:rPr>
                <w:rFonts w:ascii="Arial" w:eastAsia="Calibri" w:hAnsi="Arial" w:cs="Arial"/>
                <w:b/>
                <w:color w:val="000000"/>
                <w:lang w:val="es-ES_tradnl" w:eastAsia="es-ES_tradnl"/>
              </w:rPr>
            </w:pPr>
            <w:r w:rsidRPr="0099001C">
              <w:rPr>
                <w:rFonts w:ascii="Arial" w:eastAsia="Calibri" w:hAnsi="Arial" w:cs="Arial"/>
                <w:b/>
                <w:color w:val="000000"/>
                <w:lang w:val="es-ES_tradnl" w:eastAsia="es-ES_tradnl"/>
              </w:rPr>
              <w:t>Radicación:</w:t>
            </w:r>
            <w:r w:rsidRPr="0099001C">
              <w:rPr>
                <w:rFonts w:ascii="Arial" w:eastAsia="Calibri" w:hAnsi="Arial" w:cs="Arial"/>
                <w:color w:val="000000"/>
                <w:lang w:val="es-ES_tradnl" w:eastAsia="es-ES_tradnl"/>
              </w:rPr>
              <w:t xml:space="preserve">                              </w:t>
            </w:r>
          </w:p>
        </w:tc>
        <w:tc>
          <w:tcPr>
            <w:tcW w:w="6237" w:type="dxa"/>
          </w:tcPr>
          <w:p w14:paraId="391A045A" w14:textId="77777777" w:rsidR="0099001C" w:rsidRPr="0099001C" w:rsidRDefault="0099001C" w:rsidP="0099001C">
            <w:pPr>
              <w:spacing w:line="276" w:lineRule="auto"/>
              <w:rPr>
                <w:rFonts w:ascii="Arial" w:eastAsia="Calibri" w:hAnsi="Arial" w:cs="Arial"/>
                <w:lang w:val="es-MX" w:eastAsia="es-ES_tradnl"/>
              </w:rPr>
            </w:pPr>
            <w:r w:rsidRPr="0099001C">
              <w:rPr>
                <w:rFonts w:ascii="Arial" w:eastAsia="Calibri" w:hAnsi="Arial" w:cs="Arial"/>
                <w:color w:val="000000"/>
                <w:lang w:val="es-ES_tradnl" w:eastAsia="es-ES_tradnl"/>
              </w:rPr>
              <w:t xml:space="preserve">Respuesta a consulta </w:t>
            </w:r>
            <w:r w:rsidRPr="0099001C">
              <w:rPr>
                <w:rFonts w:ascii="Arial" w:eastAsia="Calibri" w:hAnsi="Arial" w:cs="Arial"/>
                <w:lang w:val="es-MX" w:eastAsia="es-ES_tradnl"/>
              </w:rPr>
              <w:t>P20230622012580</w:t>
            </w:r>
          </w:p>
          <w:p w14:paraId="3625C1D8" w14:textId="77777777" w:rsidR="0099001C" w:rsidRPr="0099001C" w:rsidRDefault="0099001C" w:rsidP="0099001C">
            <w:pPr>
              <w:spacing w:line="276" w:lineRule="auto"/>
              <w:rPr>
                <w:rFonts w:ascii="Arial" w:eastAsia="Calibri" w:hAnsi="Arial" w:cs="Arial"/>
                <w:color w:val="000000"/>
                <w:lang w:val="es-ES_tradnl" w:eastAsia="es-ES_tradnl"/>
              </w:rPr>
            </w:pPr>
          </w:p>
        </w:tc>
      </w:tr>
      <w:tr w:rsidR="0099001C" w:rsidRPr="0099001C" w14:paraId="6FA657AC" w14:textId="77777777" w:rsidTr="00BE267F">
        <w:trPr>
          <w:trHeight w:val="67"/>
        </w:trPr>
        <w:tc>
          <w:tcPr>
            <w:tcW w:w="2689" w:type="dxa"/>
          </w:tcPr>
          <w:p w14:paraId="137EA34C" w14:textId="77777777" w:rsidR="0099001C" w:rsidRPr="0099001C" w:rsidRDefault="0099001C" w:rsidP="0099001C">
            <w:pPr>
              <w:spacing w:line="276" w:lineRule="auto"/>
              <w:rPr>
                <w:rFonts w:ascii="Arial" w:eastAsia="Calibri" w:hAnsi="Arial" w:cs="Arial"/>
                <w:b/>
                <w:color w:val="000000"/>
                <w:lang w:val="es-ES_tradnl" w:eastAsia="es-ES_tradnl"/>
              </w:rPr>
            </w:pPr>
          </w:p>
        </w:tc>
        <w:tc>
          <w:tcPr>
            <w:tcW w:w="6237" w:type="dxa"/>
          </w:tcPr>
          <w:p w14:paraId="7C4B4BC2" w14:textId="77777777" w:rsidR="0099001C" w:rsidRPr="0099001C" w:rsidRDefault="0099001C" w:rsidP="0099001C">
            <w:pPr>
              <w:spacing w:line="276" w:lineRule="auto"/>
              <w:rPr>
                <w:rFonts w:ascii="Arial" w:eastAsia="Calibri" w:hAnsi="Arial" w:cs="Arial"/>
                <w:color w:val="000000"/>
                <w:lang w:val="es-ES_tradnl" w:eastAsia="es-ES_tradnl"/>
              </w:rPr>
            </w:pPr>
          </w:p>
        </w:tc>
      </w:tr>
    </w:tbl>
    <w:p w14:paraId="5B7E479C" w14:textId="77777777" w:rsidR="0099001C" w:rsidRPr="0099001C" w:rsidRDefault="0099001C" w:rsidP="0099001C">
      <w:pPr>
        <w:spacing w:after="0" w:line="276" w:lineRule="auto"/>
        <w:jc w:val="both"/>
        <w:rPr>
          <w:rFonts w:ascii="Arial" w:eastAsia="Calibri" w:hAnsi="Arial" w:cs="Arial"/>
          <w:color w:val="000000"/>
          <w:lang w:val="es-ES_tradnl" w:eastAsia="es-ES_tradnl"/>
        </w:rPr>
      </w:pPr>
      <w:r w:rsidRPr="0099001C">
        <w:rPr>
          <w:rFonts w:ascii="Arial" w:eastAsia="Calibri" w:hAnsi="Arial" w:cs="Arial"/>
          <w:color w:val="000000"/>
          <w:lang w:val="es-ES_tradnl" w:eastAsia="es-ES_tradnl"/>
        </w:rPr>
        <w:t>Estimada señora Molina Vega:</w:t>
      </w:r>
    </w:p>
    <w:p w14:paraId="168E1BB1" w14:textId="77777777" w:rsidR="0099001C" w:rsidRPr="0099001C" w:rsidRDefault="0099001C" w:rsidP="00124F4A">
      <w:pPr>
        <w:spacing w:after="0" w:line="240" w:lineRule="auto"/>
        <w:jc w:val="both"/>
        <w:rPr>
          <w:rFonts w:ascii="Arial" w:eastAsia="Calibri" w:hAnsi="Arial" w:cs="Arial"/>
          <w:color w:val="000000"/>
          <w:lang w:val="es-ES_tradnl" w:eastAsia="es-ES_tradnl"/>
        </w:rPr>
      </w:pPr>
    </w:p>
    <w:p w14:paraId="64C91DFB" w14:textId="77777777" w:rsidR="0099001C" w:rsidRPr="0099001C" w:rsidRDefault="0099001C" w:rsidP="0099001C">
      <w:pPr>
        <w:spacing w:after="0" w:line="276" w:lineRule="auto"/>
        <w:jc w:val="both"/>
        <w:rPr>
          <w:rFonts w:ascii="Arial" w:eastAsia="Calibri" w:hAnsi="Arial" w:cs="Arial"/>
          <w:color w:val="000000"/>
          <w:lang w:val="es-ES_tradnl" w:eastAsia="es-ES_tradnl"/>
        </w:rPr>
      </w:pPr>
      <w:r w:rsidRPr="0099001C">
        <w:rPr>
          <w:rFonts w:ascii="Arial" w:eastAsia="Calibri" w:hAnsi="Arial" w:cs="Arial"/>
          <w:color w:val="000000"/>
          <w:lang w:val="es-ES_tradnl" w:eastAsia="es-ES_tradnl"/>
        </w:rPr>
        <w:t>En ejercicio de la competencia otorgada por el numeral 8 del artículo 11 y el numeral 5 del artículo 3 del Decreto Ley 4170 de 2011, la Agencia Nacional de Contratación Pública ― Colombia Compra Eficiente responde su consulta del 21 de junio de 2023.</w:t>
      </w:r>
    </w:p>
    <w:p w14:paraId="1290075E" w14:textId="77777777" w:rsidR="0099001C" w:rsidRPr="0099001C" w:rsidRDefault="0099001C" w:rsidP="0099001C">
      <w:pPr>
        <w:spacing w:after="0" w:line="276" w:lineRule="auto"/>
        <w:jc w:val="both"/>
        <w:rPr>
          <w:rFonts w:ascii="Arial" w:eastAsia="Calibri" w:hAnsi="Arial" w:cs="Arial"/>
          <w:color w:val="000000"/>
          <w:lang w:val="es-ES_tradnl" w:eastAsia="es-ES_tradnl"/>
        </w:rPr>
      </w:pPr>
    </w:p>
    <w:p w14:paraId="3A776B2E" w14:textId="77777777" w:rsidR="0099001C" w:rsidRPr="0099001C" w:rsidRDefault="0099001C" w:rsidP="0099001C">
      <w:pPr>
        <w:numPr>
          <w:ilvl w:val="0"/>
          <w:numId w:val="6"/>
        </w:numPr>
        <w:tabs>
          <w:tab w:val="left" w:pos="0"/>
          <w:tab w:val="left" w:pos="142"/>
          <w:tab w:val="left" w:pos="284"/>
        </w:tabs>
        <w:spacing w:after="0" w:line="276" w:lineRule="auto"/>
        <w:ind w:left="360"/>
        <w:jc w:val="both"/>
        <w:rPr>
          <w:rFonts w:ascii="Arial" w:eastAsia="Calibri" w:hAnsi="Arial" w:cs="Arial"/>
          <w:b/>
          <w:color w:val="000000"/>
          <w:lang w:val="es-ES_tradnl"/>
        </w:rPr>
      </w:pPr>
      <w:r w:rsidRPr="0099001C">
        <w:rPr>
          <w:rFonts w:ascii="Arial" w:eastAsia="Calibri" w:hAnsi="Arial" w:cs="Arial"/>
          <w:b/>
          <w:color w:val="000000"/>
          <w:lang w:val="es-ES_tradnl"/>
        </w:rPr>
        <w:t xml:space="preserve">Problema planteado </w:t>
      </w:r>
    </w:p>
    <w:p w14:paraId="125788DF" w14:textId="77777777" w:rsidR="0099001C" w:rsidRPr="0099001C" w:rsidRDefault="0099001C" w:rsidP="00124F4A">
      <w:pPr>
        <w:tabs>
          <w:tab w:val="left" w:pos="0"/>
          <w:tab w:val="left" w:pos="142"/>
          <w:tab w:val="left" w:pos="284"/>
        </w:tabs>
        <w:spacing w:after="0" w:line="240" w:lineRule="auto"/>
        <w:ind w:left="360"/>
        <w:jc w:val="both"/>
        <w:rPr>
          <w:rFonts w:ascii="Arial" w:eastAsia="Calibri" w:hAnsi="Arial" w:cs="Arial"/>
          <w:b/>
          <w:color w:val="000000"/>
          <w:lang w:val="es-ES_tradnl"/>
        </w:rPr>
      </w:pPr>
    </w:p>
    <w:p w14:paraId="04C23A5E" w14:textId="12B2EBE8" w:rsidR="0099001C" w:rsidRPr="00124F4A" w:rsidRDefault="0099001C" w:rsidP="00780F41">
      <w:pPr>
        <w:spacing w:after="0" w:line="276" w:lineRule="auto"/>
        <w:jc w:val="both"/>
        <w:rPr>
          <w:rFonts w:ascii="Arial" w:eastAsia="Calibri" w:hAnsi="Arial" w:cs="Arial"/>
          <w:lang w:val="es-MX" w:eastAsia="es-ES_tradnl"/>
        </w:rPr>
      </w:pPr>
      <w:r w:rsidRPr="0099001C">
        <w:rPr>
          <w:rFonts w:ascii="Arial" w:eastAsia="Calibri" w:hAnsi="Arial" w:cs="Arial"/>
          <w:color w:val="000000" w:themeColor="text1"/>
          <w:lang w:val="es-ES_tradnl" w:eastAsia="es-ES_tradnl"/>
        </w:rPr>
        <w:t>Usted realiza las siguientes preguntas:</w:t>
      </w:r>
      <w:r w:rsidR="00767F39" w:rsidRPr="00780F41">
        <w:rPr>
          <w:rFonts w:ascii="Arial" w:eastAsia="Calibri" w:hAnsi="Arial" w:cs="Arial"/>
          <w:color w:val="000000" w:themeColor="text1"/>
          <w:lang w:val="es-ES_tradnl" w:eastAsia="es-ES_tradnl"/>
        </w:rPr>
        <w:t xml:space="preserve"> </w:t>
      </w:r>
      <w:r w:rsidRPr="00124F4A">
        <w:rPr>
          <w:rFonts w:ascii="Arial" w:eastAsia="Calibri" w:hAnsi="Arial" w:cs="Arial"/>
          <w:i/>
          <w:color w:val="000000" w:themeColor="text1"/>
          <w:lang w:val="es-ES_tradnl" w:eastAsia="es-ES_tradnl"/>
        </w:rPr>
        <w:t>“</w:t>
      </w:r>
      <w:r w:rsidRPr="00124F4A">
        <w:rPr>
          <w:rFonts w:ascii="Arial" w:eastAsia="Calibri" w:hAnsi="Arial" w:cs="Arial"/>
          <w:i/>
          <w:lang w:val="es-MX" w:eastAsia="es-ES_tradnl"/>
        </w:rPr>
        <w:t xml:space="preserve">1. </w:t>
      </w:r>
      <w:proofErr w:type="gramStart"/>
      <w:r w:rsidRPr="00124F4A">
        <w:rPr>
          <w:rFonts w:ascii="Arial" w:eastAsia="Calibri" w:hAnsi="Arial" w:cs="Arial"/>
          <w:i/>
          <w:lang w:val="es-MX" w:eastAsia="es-ES_tradnl"/>
        </w:rPr>
        <w:t>Cómo deben presentar los estados financieros las empresas extranjeras en los procesos contractuales realizados en Colombia y cuál es la normativa aplicable?</w:t>
      </w:r>
      <w:proofErr w:type="gramEnd"/>
      <w:r w:rsidRPr="00124F4A">
        <w:rPr>
          <w:rFonts w:ascii="Arial" w:eastAsia="Calibri" w:hAnsi="Arial" w:cs="Arial"/>
          <w:i/>
          <w:lang w:val="es-MX" w:eastAsia="es-ES_tradnl"/>
        </w:rPr>
        <w:t xml:space="preserve"> Específicamente, respecto de concursos de méritos.  2. </w:t>
      </w:r>
      <w:proofErr w:type="gramStart"/>
      <w:r w:rsidRPr="00124F4A">
        <w:rPr>
          <w:rFonts w:ascii="Arial" w:eastAsia="Calibri" w:hAnsi="Arial" w:cs="Arial"/>
          <w:i/>
          <w:lang w:val="es-MX" w:eastAsia="es-ES_tradnl"/>
        </w:rPr>
        <w:t>¿Cuál es la regla general para las empresas colombianas para la presentación de los estados financieros en los procesos contractuales que se tramiten en Colombia.</w:t>
      </w:r>
      <w:proofErr w:type="gramEnd"/>
      <w:r w:rsidRPr="00124F4A">
        <w:rPr>
          <w:rFonts w:ascii="Arial" w:eastAsia="Calibri" w:hAnsi="Arial" w:cs="Arial"/>
          <w:i/>
          <w:lang w:val="es-MX" w:eastAsia="es-ES_tradnl"/>
        </w:rPr>
        <w:t xml:space="preserve"> Específicamente, respecto de concursos de méritos</w:t>
      </w:r>
      <w:r w:rsidRPr="00124F4A">
        <w:rPr>
          <w:rFonts w:ascii="Arial" w:eastAsia="Calibri" w:hAnsi="Arial" w:cs="Arial"/>
          <w:i/>
          <w:iCs/>
          <w:lang w:val="es-MX" w:eastAsia="es-ES_tradnl"/>
        </w:rPr>
        <w:t>”</w:t>
      </w:r>
      <w:r w:rsidR="00767F39">
        <w:rPr>
          <w:rFonts w:ascii="Arial" w:eastAsia="Calibri" w:hAnsi="Arial" w:cs="Arial"/>
          <w:lang w:val="es-MX" w:eastAsia="es-ES_tradnl"/>
        </w:rPr>
        <w:t>.</w:t>
      </w:r>
    </w:p>
    <w:p w14:paraId="2A45D063" w14:textId="77777777" w:rsidR="0099001C" w:rsidRPr="0099001C" w:rsidRDefault="0099001C" w:rsidP="00124F4A">
      <w:pPr>
        <w:spacing w:after="0" w:line="240" w:lineRule="auto"/>
        <w:ind w:left="709" w:right="709"/>
        <w:jc w:val="both"/>
        <w:rPr>
          <w:rFonts w:ascii="Arial" w:eastAsia="Calibri" w:hAnsi="Arial" w:cs="Arial"/>
          <w:color w:val="000000"/>
          <w:lang w:val="es-MX" w:eastAsia="es-ES_tradnl"/>
        </w:rPr>
      </w:pPr>
    </w:p>
    <w:p w14:paraId="53582E32" w14:textId="77777777" w:rsidR="0099001C" w:rsidRPr="0099001C" w:rsidRDefault="0099001C" w:rsidP="0099001C">
      <w:pPr>
        <w:numPr>
          <w:ilvl w:val="0"/>
          <w:numId w:val="6"/>
        </w:numPr>
        <w:tabs>
          <w:tab w:val="left" w:pos="0"/>
          <w:tab w:val="left" w:pos="284"/>
        </w:tabs>
        <w:spacing w:after="0" w:line="276" w:lineRule="auto"/>
        <w:ind w:left="360"/>
        <w:jc w:val="both"/>
        <w:rPr>
          <w:rFonts w:ascii="Arial" w:eastAsia="Calibri" w:hAnsi="Arial" w:cs="Arial"/>
          <w:color w:val="000000"/>
          <w:lang w:val="es-ES_tradnl" w:eastAsia="es-ES_tradnl"/>
        </w:rPr>
      </w:pPr>
      <w:r w:rsidRPr="0099001C">
        <w:rPr>
          <w:rFonts w:ascii="Arial" w:eastAsia="Calibri" w:hAnsi="Arial" w:cs="Arial"/>
          <w:b/>
          <w:color w:val="000000"/>
          <w:lang w:val="es-ES_tradnl"/>
        </w:rPr>
        <w:lastRenderedPageBreak/>
        <w:t>Consideraciones</w:t>
      </w:r>
    </w:p>
    <w:p w14:paraId="78F111E5" w14:textId="77777777" w:rsidR="0099001C" w:rsidRPr="0099001C" w:rsidRDefault="0099001C" w:rsidP="00124F4A">
      <w:pPr>
        <w:tabs>
          <w:tab w:val="left" w:pos="0"/>
          <w:tab w:val="left" w:pos="284"/>
        </w:tabs>
        <w:spacing w:after="0" w:line="240" w:lineRule="auto"/>
        <w:ind w:left="360"/>
        <w:jc w:val="both"/>
        <w:rPr>
          <w:rFonts w:ascii="Arial" w:eastAsia="Calibri" w:hAnsi="Arial" w:cs="Arial"/>
          <w:color w:val="000000"/>
          <w:lang w:val="es-ES_tradnl" w:eastAsia="es-ES_tradnl"/>
        </w:rPr>
      </w:pPr>
    </w:p>
    <w:p w14:paraId="207BCB20" w14:textId="78D4A8DF" w:rsidR="0099001C" w:rsidRPr="0099001C" w:rsidRDefault="0099001C" w:rsidP="00780F41">
      <w:pPr>
        <w:spacing w:after="120" w:line="276" w:lineRule="auto"/>
        <w:jc w:val="both"/>
        <w:rPr>
          <w:rFonts w:ascii="Arial" w:eastAsia="Calibri" w:hAnsi="Arial" w:cs="Arial"/>
          <w:bCs/>
          <w:szCs w:val="24"/>
          <w:lang w:val="es-MX" w:eastAsia="es-ES_tradnl"/>
        </w:rPr>
      </w:pPr>
      <w:r w:rsidRPr="0099001C">
        <w:rPr>
          <w:rFonts w:ascii="Arial" w:eastAsia="Calibri" w:hAnsi="Arial" w:cs="Arial"/>
          <w:bCs/>
          <w:szCs w:val="24"/>
          <w:lang w:val="es-MX" w:eastAsia="es-ES_tradnl"/>
        </w:rPr>
        <w:t xml:space="preserve">En ejercicio de las competencias establecidas </w:t>
      </w:r>
      <w:r w:rsidRPr="0099001C">
        <w:rPr>
          <w:rFonts w:ascii="Arial" w:eastAsia="Calibri" w:hAnsi="Arial" w:cs="Arial"/>
          <w:color w:val="000000"/>
          <w:lang w:val="es-ES_tradnl" w:eastAsia="es-ES_tradnl"/>
        </w:rPr>
        <w:t>por el numeral 8 del artículo 11 y el numeral 5 del artículo 3 del Decreto Ley 4170 de 2011</w:t>
      </w:r>
      <w:r w:rsidRPr="0099001C">
        <w:rPr>
          <w:rFonts w:ascii="Arial" w:eastAsia="Calibri" w:hAnsi="Arial" w:cs="Arial"/>
          <w:bCs/>
          <w:szCs w:val="24"/>
          <w:lang w:val="es-MX" w:eastAsia="es-ES_tradnl"/>
        </w:rPr>
        <w:t>, la Agencia Nacional de Contratación Pública – Colombia Compra Eficiente resuelve las consultas sobre los asuntos de su competencia, esto es, sobre las temáticas de contratación estatal y compras públicas relacionadas en los artículos citados.</w:t>
      </w:r>
      <w:r w:rsidR="00767F39">
        <w:rPr>
          <w:rFonts w:ascii="Arial" w:eastAsia="Calibri" w:hAnsi="Arial" w:cs="Arial"/>
          <w:szCs w:val="24"/>
          <w:lang w:val="es-ES" w:eastAsia="es-ES_tradnl"/>
        </w:rPr>
        <w:t xml:space="preserve"> </w:t>
      </w:r>
      <w:r w:rsidRPr="0099001C">
        <w:rPr>
          <w:rFonts w:ascii="Arial" w:eastAsia="Calibri" w:hAnsi="Arial" w:cs="Arial"/>
          <w:szCs w:val="24"/>
          <w:lang w:val="es-ES" w:eastAsia="es-ES_tradnl"/>
        </w:rPr>
        <w:t>Es necesario tener en cuenta que esta entidad solo tiene competencia para responder solicitudes sobre la aplicación de normas de carácter general en materia de compras y contratación pública</w:t>
      </w:r>
      <w:r w:rsidRPr="0099001C">
        <w:rPr>
          <w:rFonts w:ascii="Arial" w:eastAsia="Calibri" w:hAnsi="Arial" w:cs="Arial"/>
          <w:szCs w:val="24"/>
          <w:vertAlign w:val="superscript"/>
          <w:lang w:val="es-ES" w:eastAsia="es-ES_tradnl"/>
        </w:rPr>
        <w:footnoteReference w:id="2"/>
      </w:r>
      <w:r w:rsidRPr="0099001C">
        <w:rPr>
          <w:rFonts w:ascii="Arial" w:eastAsia="Calibri" w:hAnsi="Arial" w:cs="Arial"/>
          <w:szCs w:val="24"/>
          <w:lang w:val="es-ES" w:eastAsia="es-ES_tradnl"/>
        </w:rPr>
        <w:t>. Esta se fija con límites claros, con el objeto de evitar que la Agencia actúe como una instancia de validación de las actuaciones de las entidades sujetas a la Ley 80 de 1993 o de los demás participantes de la contratación pública.</w:t>
      </w:r>
    </w:p>
    <w:p w14:paraId="482C53E8" w14:textId="115F7338" w:rsidR="0099001C" w:rsidRPr="0099001C" w:rsidRDefault="0099001C" w:rsidP="0099001C">
      <w:pPr>
        <w:spacing w:after="120" w:line="276" w:lineRule="auto"/>
        <w:ind w:firstLine="709"/>
        <w:jc w:val="both"/>
        <w:rPr>
          <w:rFonts w:ascii="Arial" w:eastAsia="Calibri" w:hAnsi="Arial" w:cs="Arial"/>
          <w:b/>
          <w:szCs w:val="24"/>
          <w:lang w:val="es-ES" w:eastAsia="es-ES_tradnl"/>
        </w:rPr>
      </w:pPr>
      <w:r w:rsidRPr="0099001C">
        <w:rPr>
          <w:rFonts w:ascii="Arial" w:eastAsia="Calibri" w:hAnsi="Arial" w:cs="Arial"/>
          <w:color w:val="000000" w:themeColor="text1"/>
          <w:szCs w:val="24"/>
          <w:lang w:val="es-ES" w:eastAsia="es-ES_tradnl"/>
        </w:rPr>
        <w:t xml:space="preserve">Por ello, la Subdirección de Gestión Contractual, dentro de los límites de sus atribuciones, resolverá la consulta conforme a las normas generales en materia de contratación estatal. Con este objetivo, se </w:t>
      </w:r>
      <w:r w:rsidR="00C85F95">
        <w:rPr>
          <w:rFonts w:ascii="Arial" w:eastAsia="Calibri" w:hAnsi="Arial" w:cs="Arial"/>
          <w:color w:val="000000" w:themeColor="text1"/>
          <w:szCs w:val="24"/>
          <w:lang w:val="es-ES" w:eastAsia="es-ES_tradnl"/>
        </w:rPr>
        <w:t>realizarán unas consideraciones sobre</w:t>
      </w:r>
      <w:r w:rsidRPr="0099001C">
        <w:rPr>
          <w:rFonts w:ascii="Arial" w:eastAsia="Calibri" w:hAnsi="Arial" w:cs="Arial"/>
          <w:color w:val="000000" w:themeColor="text1"/>
          <w:szCs w:val="24"/>
          <w:lang w:val="es-ES" w:eastAsia="es-ES_tradnl"/>
        </w:rPr>
        <w:t xml:space="preserve"> la </w:t>
      </w:r>
      <w:r w:rsidRPr="0099001C">
        <w:rPr>
          <w:rFonts w:ascii="Arial" w:eastAsia="Calibri" w:hAnsi="Arial" w:cs="Arial"/>
          <w:color w:val="000000" w:themeColor="text1"/>
          <w:szCs w:val="24"/>
          <w:lang w:val="es-MX" w:eastAsia="es-ES_tradnl"/>
        </w:rPr>
        <w:t>capacidad financiera como requisito habilitante en los procesos de contratación</w:t>
      </w:r>
      <w:r w:rsidR="00C85F95">
        <w:rPr>
          <w:rFonts w:ascii="Arial" w:eastAsia="Calibri" w:hAnsi="Arial" w:cs="Arial"/>
          <w:color w:val="000000" w:themeColor="text1"/>
          <w:szCs w:val="24"/>
          <w:lang w:val="es-MX" w:eastAsia="es-ES_tradnl"/>
        </w:rPr>
        <w:t xml:space="preserve"> y la normatividad aplicable para expedición de estados </w:t>
      </w:r>
      <w:r w:rsidR="00767F39">
        <w:rPr>
          <w:rFonts w:ascii="Arial" w:eastAsia="Calibri" w:hAnsi="Arial" w:cs="Arial"/>
          <w:color w:val="000000" w:themeColor="text1"/>
          <w:szCs w:val="24"/>
          <w:lang w:val="es-MX" w:eastAsia="es-ES_tradnl"/>
        </w:rPr>
        <w:t>financieros</w:t>
      </w:r>
      <w:r w:rsidRPr="0099001C">
        <w:rPr>
          <w:rFonts w:ascii="Arial" w:eastAsia="Calibri" w:hAnsi="Arial" w:cs="Arial"/>
          <w:color w:val="000000" w:themeColor="text1"/>
          <w:szCs w:val="24"/>
          <w:lang w:val="es-MX" w:eastAsia="es-ES_tradnl"/>
        </w:rPr>
        <w:t xml:space="preserve">. </w:t>
      </w:r>
    </w:p>
    <w:p w14:paraId="679BB77B" w14:textId="77777777" w:rsidR="0099001C" w:rsidRPr="0099001C" w:rsidRDefault="0099001C" w:rsidP="00124F4A">
      <w:pPr>
        <w:tabs>
          <w:tab w:val="left" w:pos="426"/>
        </w:tabs>
        <w:spacing w:after="120" w:line="276" w:lineRule="auto"/>
        <w:ind w:firstLine="709"/>
        <w:jc w:val="both"/>
        <w:rPr>
          <w:rFonts w:ascii="Arial" w:eastAsia="Calibri" w:hAnsi="Arial" w:cs="Arial"/>
          <w:color w:val="000000" w:themeColor="text1"/>
          <w:szCs w:val="24"/>
          <w:lang w:val="es-ES_tradnl" w:eastAsia="es-ES_tradnl"/>
        </w:rPr>
      </w:pPr>
      <w:r w:rsidRPr="0099001C">
        <w:rPr>
          <w:rFonts w:ascii="Arial" w:eastAsia="Calibri" w:hAnsi="Arial" w:cs="Arial"/>
          <w:color w:val="000000" w:themeColor="text1"/>
          <w:szCs w:val="24"/>
          <w:lang w:val="es-ES_tradnl" w:eastAsia="es-ES_tradnl"/>
        </w:rPr>
        <w:t xml:space="preserve">Al respecto, conviene indicar que la Agencia Nacional de Contratación Pública – Colombia Compra Eficiente se refirió a la acreditación de los indicadores de capacidad financiera y organizacional de los oferentes mediante el RUP, entre otros, en los conceptos No. 4201912000006798 del 24 de octubre de 2019, C-002 del 12 de febrero de 2020, C-089 del 4 de marzo de 2020, C-099 del 06 de abril de 2020, C-166 del 14 de abril de 2020, C-233 del 16 de abril de 2020, C-326 del 9 de junio de 2020, C-140 del 9 de abril de 2021. Respecto de la reciente reglamentación establecida en los Decretos 399 y 579 de 2021 se pronunció en los Conceptos C-288 de 17 de junio de 2021, C-353 del 19 de julio de 2021, C-366 del 26 de julio de 2021 y C-372 del 28 de julio de 2021, </w:t>
      </w:r>
      <w:r w:rsidRPr="0099001C">
        <w:rPr>
          <w:rFonts w:ascii="Arial" w:eastAsia="Calibri" w:hAnsi="Arial" w:cs="Arial"/>
          <w:szCs w:val="24"/>
          <w:lang w:val="es-MX" w:eastAsia="es-ES_tradnl"/>
        </w:rPr>
        <w:t xml:space="preserve">C-406 del 8 de agosto de 2021, C-407 del 25 de agosto de 2021, C-439 de 5 de julio de 2022, C-673 del 19 de octubre de 2023 y C-831 del 28 de noviembre de 2023. </w:t>
      </w:r>
      <w:r w:rsidRPr="0099001C">
        <w:rPr>
          <w:rFonts w:ascii="Arial" w:eastAsia="Calibri" w:hAnsi="Arial" w:cs="Arial"/>
          <w:color w:val="000000" w:themeColor="text1"/>
          <w:szCs w:val="24"/>
          <w:lang w:val="es-ES_tradnl" w:eastAsia="es-ES_tradnl"/>
        </w:rPr>
        <w:t>Las tesis propuestas en los conceptos mencionados se reiteran a continuación y se complementan en lo pertinente.</w:t>
      </w:r>
    </w:p>
    <w:p w14:paraId="47D69900" w14:textId="77777777" w:rsidR="0099001C" w:rsidRPr="0099001C" w:rsidRDefault="0099001C" w:rsidP="00124F4A">
      <w:pPr>
        <w:spacing w:after="120" w:line="276" w:lineRule="auto"/>
        <w:ind w:firstLine="708"/>
        <w:jc w:val="both"/>
        <w:rPr>
          <w:rFonts w:ascii="Arial" w:eastAsia="Calibri" w:hAnsi="Arial" w:cs="Arial"/>
          <w:color w:val="000000" w:themeColor="text1"/>
          <w:szCs w:val="24"/>
          <w:lang w:val="es-ES_tradnl" w:eastAsia="es-ES_tradnl"/>
        </w:rPr>
      </w:pPr>
      <w:r w:rsidRPr="0099001C">
        <w:rPr>
          <w:rFonts w:ascii="Arial" w:eastAsia="Calibri" w:hAnsi="Arial" w:cs="Arial"/>
          <w:color w:val="000000" w:themeColor="text1"/>
          <w:szCs w:val="24"/>
          <w:lang w:val="es-ES_tradnl" w:eastAsia="es-ES_tradnl"/>
        </w:rPr>
        <w:t xml:space="preserve">Los </w:t>
      </w:r>
      <w:r w:rsidRPr="0099001C">
        <w:rPr>
          <w:rFonts w:ascii="Arial" w:eastAsia="Calibri" w:hAnsi="Arial" w:cs="Arial"/>
          <w:i/>
          <w:iCs/>
          <w:color w:val="000000" w:themeColor="text1"/>
          <w:szCs w:val="24"/>
          <w:lang w:val="es-ES_tradnl" w:eastAsia="es-ES_tradnl"/>
        </w:rPr>
        <w:t>requisitos habilitantes</w:t>
      </w:r>
      <w:r w:rsidRPr="0099001C">
        <w:rPr>
          <w:rFonts w:ascii="Arial" w:eastAsia="Calibri" w:hAnsi="Arial" w:cs="Arial"/>
          <w:color w:val="000000" w:themeColor="text1"/>
          <w:szCs w:val="24"/>
          <w:lang w:val="es-ES_tradnl" w:eastAsia="es-ES_tradnl"/>
        </w:rPr>
        <w:t xml:space="preserve"> se definen como exigencias de participación en los procedimientos de selección, establecidos en disposiciones normativas, de carácter legal o reglamentario, o contenidas en el acto administrativo que regula las reglas de la </w:t>
      </w:r>
      <w:r w:rsidRPr="0099001C">
        <w:rPr>
          <w:rFonts w:ascii="Arial" w:eastAsia="Calibri" w:hAnsi="Arial" w:cs="Arial"/>
          <w:color w:val="000000" w:themeColor="text1"/>
          <w:szCs w:val="24"/>
          <w:lang w:val="es-ES_tradnl" w:eastAsia="es-ES_tradnl"/>
        </w:rPr>
        <w:lastRenderedPageBreak/>
        <w:t xml:space="preserve">convocatoria, es decir, en el pliego de condiciones o el documento equivalente a este. Se diferencian de los </w:t>
      </w:r>
      <w:r w:rsidRPr="0099001C">
        <w:rPr>
          <w:rFonts w:ascii="Arial" w:eastAsia="Calibri" w:hAnsi="Arial" w:cs="Arial"/>
          <w:i/>
          <w:iCs/>
          <w:color w:val="000000" w:themeColor="text1"/>
          <w:szCs w:val="24"/>
          <w:lang w:val="es-ES_tradnl" w:eastAsia="es-ES_tradnl"/>
        </w:rPr>
        <w:t>criterios de evaluación</w:t>
      </w:r>
      <w:r w:rsidRPr="0099001C">
        <w:rPr>
          <w:rFonts w:ascii="Arial" w:eastAsia="Calibri" w:hAnsi="Arial" w:cs="Arial"/>
          <w:color w:val="000000" w:themeColor="text1"/>
          <w:szCs w:val="24"/>
          <w:lang w:val="es-ES_tradnl" w:eastAsia="es-ES_tradnl"/>
        </w:rPr>
        <w:t xml:space="preserve"> –también conocidos como </w:t>
      </w:r>
      <w:r w:rsidRPr="0099001C">
        <w:rPr>
          <w:rFonts w:ascii="Arial" w:eastAsia="Calibri" w:hAnsi="Arial" w:cs="Arial"/>
          <w:i/>
          <w:iCs/>
          <w:color w:val="000000" w:themeColor="text1"/>
          <w:szCs w:val="24"/>
          <w:lang w:val="es-ES_tradnl" w:eastAsia="es-ES_tradnl"/>
        </w:rPr>
        <w:t>criterios de calificación</w:t>
      </w:r>
      <w:r w:rsidRPr="0099001C">
        <w:rPr>
          <w:rFonts w:ascii="Arial" w:eastAsia="Calibri" w:hAnsi="Arial" w:cs="Arial"/>
          <w:color w:val="000000" w:themeColor="text1"/>
          <w:szCs w:val="24"/>
          <w:lang w:val="es-ES_tradnl" w:eastAsia="es-ES_tradnl"/>
        </w:rPr>
        <w:t xml:space="preserve">– en que estos son los factores definidos por la Entidad Estatal para la asignación de puntaje en el momento de la comparación de las ofertas, y que, a partir de su ponderación, permiten establecer el orden de elegibilidad y, por ende, la propuesta ganadora. </w:t>
      </w:r>
    </w:p>
    <w:p w14:paraId="0EB8657A" w14:textId="77777777" w:rsidR="0099001C" w:rsidRPr="0099001C" w:rsidRDefault="0099001C" w:rsidP="0099001C">
      <w:pPr>
        <w:spacing w:after="120" w:line="276" w:lineRule="auto"/>
        <w:ind w:firstLine="708"/>
        <w:jc w:val="both"/>
        <w:rPr>
          <w:rFonts w:ascii="Arial" w:eastAsia="Calibri" w:hAnsi="Arial" w:cs="Arial"/>
          <w:color w:val="000000" w:themeColor="text1"/>
          <w:szCs w:val="24"/>
          <w:lang w:val="es-ES_tradnl" w:eastAsia="es-ES_tradnl"/>
        </w:rPr>
      </w:pPr>
      <w:r w:rsidRPr="0099001C">
        <w:rPr>
          <w:rFonts w:ascii="Arial" w:eastAsia="Calibri" w:hAnsi="Arial" w:cs="Arial"/>
          <w:color w:val="000000" w:themeColor="text1"/>
          <w:szCs w:val="24"/>
          <w:lang w:val="es-ES_tradnl" w:eastAsia="es-ES_tradnl"/>
        </w:rPr>
        <w:t>A partir de lo dicho se deduce que los requisitos habilitantes, si bien constituyen obligaciones que los proponentes deben cumplir y acreditar para participar en el procedimiento de selección, no se valoran con un puntaje que determine el orden de escogencia, sino que se analizan como criterios previos a la evaluación en sentido estricto, de manera que quienes no los reúnan no pueden continuar en el procedimiento de selección, o sea, incurren en causal de rechazo. Esto sin perjuicio del derecho que tienen los oferentes de subsanar los defectos que se presenten en la prueba de tales requisitos, de conformidad con el artículo 5, parágrafos 1º al 4º, de la Ley 1150 de 2007.</w:t>
      </w:r>
    </w:p>
    <w:p w14:paraId="5319AFF1" w14:textId="77777777" w:rsidR="0099001C" w:rsidRPr="0099001C" w:rsidRDefault="0099001C" w:rsidP="0099001C">
      <w:pPr>
        <w:spacing w:after="0" w:line="276" w:lineRule="auto"/>
        <w:ind w:firstLine="709"/>
        <w:jc w:val="both"/>
        <w:rPr>
          <w:rFonts w:ascii="Arial" w:eastAsia="Calibri" w:hAnsi="Arial" w:cs="Arial"/>
          <w:color w:val="000000" w:themeColor="text1"/>
          <w:szCs w:val="24"/>
          <w:lang w:val="es-ES_tradnl" w:eastAsia="es-ES_tradnl"/>
        </w:rPr>
      </w:pPr>
      <w:r w:rsidRPr="0099001C">
        <w:rPr>
          <w:rFonts w:ascii="Arial" w:eastAsia="Calibri" w:hAnsi="Arial" w:cs="Arial"/>
          <w:color w:val="000000" w:themeColor="text1"/>
          <w:szCs w:val="24"/>
          <w:lang w:val="es-ES_tradnl" w:eastAsia="es-ES_tradnl"/>
        </w:rPr>
        <w:t xml:space="preserve">El mencionado artículo dispone que se considera </w:t>
      </w:r>
      <w:r w:rsidRPr="0099001C">
        <w:rPr>
          <w:rFonts w:ascii="Arial" w:eastAsia="Calibri" w:hAnsi="Arial" w:cs="Arial"/>
          <w:i/>
          <w:iCs/>
          <w:color w:val="000000" w:themeColor="text1"/>
          <w:szCs w:val="24"/>
          <w:lang w:val="es-ES_tradnl" w:eastAsia="es-ES_tradnl"/>
        </w:rPr>
        <w:t>“objetiva la selección en la cual la escogencia se haga al ofrecimiento más favorable a la entidad y a los fines que ella busca, sin tener en consideración factores de afecto o de interés y, en general, cualquier clase de motivación subjetiva”.</w:t>
      </w:r>
      <w:r w:rsidRPr="0099001C">
        <w:rPr>
          <w:rFonts w:ascii="Arial" w:eastAsia="Calibri" w:hAnsi="Arial" w:cs="Arial"/>
          <w:color w:val="000000" w:themeColor="text1"/>
          <w:szCs w:val="24"/>
          <w:lang w:val="es-ES_tradnl" w:eastAsia="es-ES_tradnl"/>
        </w:rPr>
        <w:t xml:space="preserve"> En ese contexto, los factores de escogencia y calificación que establezcan las entidades en los pliegos de condiciones o sus documentos equivalentes deberán tener en cuenta, entre otras cuestiones, los criterios establecidos en dicha disposición. Específicamente, el numeral 1º del artículo referido establece que en los procesos de selección de contratistas serán objeto de verificación, como requisitos habilitantes, </w:t>
      </w:r>
      <w:r w:rsidRPr="0099001C">
        <w:rPr>
          <w:rFonts w:ascii="Arial" w:eastAsia="Calibri" w:hAnsi="Arial" w:cs="Arial"/>
          <w:i/>
          <w:iCs/>
          <w:color w:val="000000" w:themeColor="text1"/>
          <w:szCs w:val="24"/>
          <w:lang w:val="es-ES_tradnl" w:eastAsia="es-ES_tradnl"/>
        </w:rPr>
        <w:t>entre otros</w:t>
      </w:r>
      <w:r w:rsidRPr="0099001C">
        <w:rPr>
          <w:rFonts w:ascii="Arial" w:eastAsia="Calibri" w:hAnsi="Arial" w:cs="Arial"/>
          <w:color w:val="000000" w:themeColor="text1"/>
          <w:szCs w:val="24"/>
          <w:lang w:val="es-ES_tradnl" w:eastAsia="es-ES_tradnl"/>
        </w:rPr>
        <w:t xml:space="preserve">, los siguientes: i) la capacidad jurídica; </w:t>
      </w:r>
      <w:proofErr w:type="spellStart"/>
      <w:r w:rsidRPr="0099001C">
        <w:rPr>
          <w:rFonts w:ascii="Arial" w:eastAsia="Calibri" w:hAnsi="Arial" w:cs="Arial"/>
          <w:color w:val="000000" w:themeColor="text1"/>
          <w:szCs w:val="24"/>
          <w:lang w:val="es-ES_tradnl" w:eastAsia="es-ES_tradnl"/>
        </w:rPr>
        <w:t>ii</w:t>
      </w:r>
      <w:proofErr w:type="spellEnd"/>
      <w:r w:rsidRPr="0099001C">
        <w:rPr>
          <w:rFonts w:ascii="Arial" w:eastAsia="Calibri" w:hAnsi="Arial" w:cs="Arial"/>
          <w:color w:val="000000" w:themeColor="text1"/>
          <w:szCs w:val="24"/>
          <w:lang w:val="es-ES_tradnl" w:eastAsia="es-ES_tradnl"/>
        </w:rPr>
        <w:t xml:space="preserve">) la experiencia; </w:t>
      </w:r>
      <w:proofErr w:type="spellStart"/>
      <w:r w:rsidRPr="0099001C">
        <w:rPr>
          <w:rFonts w:ascii="Arial" w:eastAsia="Calibri" w:hAnsi="Arial" w:cs="Arial"/>
          <w:color w:val="000000" w:themeColor="text1"/>
          <w:szCs w:val="24"/>
          <w:lang w:val="es-ES_tradnl" w:eastAsia="es-ES_tradnl"/>
        </w:rPr>
        <w:t>iii</w:t>
      </w:r>
      <w:proofErr w:type="spellEnd"/>
      <w:r w:rsidRPr="0099001C">
        <w:rPr>
          <w:rFonts w:ascii="Arial" w:eastAsia="Calibri" w:hAnsi="Arial" w:cs="Arial"/>
          <w:color w:val="000000" w:themeColor="text1"/>
          <w:szCs w:val="24"/>
          <w:lang w:val="es-ES_tradnl" w:eastAsia="es-ES_tradnl"/>
        </w:rPr>
        <w:t xml:space="preserve">) la capacidad financiera y </w:t>
      </w:r>
      <w:proofErr w:type="spellStart"/>
      <w:r w:rsidRPr="0099001C">
        <w:rPr>
          <w:rFonts w:ascii="Arial" w:eastAsia="Calibri" w:hAnsi="Arial" w:cs="Arial"/>
          <w:color w:val="000000" w:themeColor="text1"/>
          <w:szCs w:val="24"/>
          <w:lang w:val="es-ES_tradnl" w:eastAsia="es-ES_tradnl"/>
        </w:rPr>
        <w:t>iv</w:t>
      </w:r>
      <w:proofErr w:type="spellEnd"/>
      <w:r w:rsidRPr="0099001C">
        <w:rPr>
          <w:rFonts w:ascii="Arial" w:eastAsia="Calibri" w:hAnsi="Arial" w:cs="Arial"/>
          <w:color w:val="000000" w:themeColor="text1"/>
          <w:szCs w:val="24"/>
          <w:lang w:val="es-ES_tradnl" w:eastAsia="es-ES_tradnl"/>
        </w:rPr>
        <w:t>) la capacidad de organización. En efecto, la normativa citada prescribe lo siguiente:</w:t>
      </w:r>
    </w:p>
    <w:p w14:paraId="1B7F9A5A" w14:textId="77777777" w:rsidR="0099001C" w:rsidRPr="0099001C" w:rsidRDefault="0099001C" w:rsidP="0099001C">
      <w:pPr>
        <w:spacing w:after="0" w:line="276" w:lineRule="auto"/>
        <w:ind w:firstLine="709"/>
        <w:jc w:val="both"/>
        <w:rPr>
          <w:rFonts w:ascii="Arial" w:eastAsia="Calibri" w:hAnsi="Arial" w:cs="Arial"/>
          <w:color w:val="000000" w:themeColor="text1"/>
          <w:szCs w:val="24"/>
          <w:lang w:val="es-ES_tradnl" w:eastAsia="es-ES_tradnl"/>
        </w:rPr>
      </w:pPr>
      <w:r w:rsidRPr="0099001C">
        <w:rPr>
          <w:rFonts w:ascii="Arial" w:eastAsia="Calibri" w:hAnsi="Arial" w:cs="Arial"/>
          <w:color w:val="000000" w:themeColor="text1"/>
          <w:szCs w:val="24"/>
          <w:lang w:val="es-ES_tradnl" w:eastAsia="es-ES_tradnl"/>
        </w:rPr>
        <w:t xml:space="preserve"> </w:t>
      </w:r>
    </w:p>
    <w:p w14:paraId="09513475" w14:textId="77777777" w:rsidR="0099001C" w:rsidRPr="0099001C" w:rsidRDefault="0099001C" w:rsidP="00124F4A">
      <w:pPr>
        <w:spacing w:after="0" w:line="240" w:lineRule="auto"/>
        <w:ind w:left="709" w:right="709"/>
        <w:jc w:val="both"/>
        <w:rPr>
          <w:rFonts w:ascii="Arial" w:eastAsia="Calibri" w:hAnsi="Arial" w:cs="Arial"/>
          <w:color w:val="000000" w:themeColor="text1"/>
          <w:sz w:val="21"/>
          <w:szCs w:val="21"/>
          <w:lang w:val="es-ES_tradnl" w:eastAsia="es-ES_tradnl"/>
        </w:rPr>
      </w:pPr>
      <w:r w:rsidRPr="0099001C">
        <w:rPr>
          <w:rFonts w:ascii="Arial" w:eastAsia="Calibri" w:hAnsi="Arial" w:cs="Arial"/>
          <w:i/>
          <w:iCs/>
          <w:color w:val="000000" w:themeColor="text1"/>
          <w:sz w:val="21"/>
          <w:szCs w:val="21"/>
          <w:lang w:val="es-ES_tradnl" w:eastAsia="es-ES_tradnl"/>
        </w:rPr>
        <w:t>“</w:t>
      </w:r>
      <w:r w:rsidRPr="0099001C">
        <w:rPr>
          <w:rFonts w:ascii="Arial" w:eastAsia="Calibri" w:hAnsi="Arial" w:cs="Arial"/>
          <w:color w:val="000000" w:themeColor="text1"/>
          <w:sz w:val="21"/>
          <w:szCs w:val="21"/>
          <w:lang w:val="es-ES_tradnl" w:eastAsia="es-ES_tradnl"/>
        </w:rPr>
        <w:t xml:space="preserve">Artículo 5. De la Selección Objetiva. </w:t>
      </w:r>
    </w:p>
    <w:p w14:paraId="0B56241B" w14:textId="77777777" w:rsidR="0099001C" w:rsidRPr="0099001C" w:rsidRDefault="0099001C" w:rsidP="00124F4A">
      <w:pPr>
        <w:spacing w:after="0" w:line="240" w:lineRule="auto"/>
        <w:ind w:left="709" w:right="709"/>
        <w:jc w:val="both"/>
        <w:rPr>
          <w:rFonts w:ascii="Arial" w:eastAsia="Calibri" w:hAnsi="Arial" w:cs="Arial"/>
          <w:color w:val="000000" w:themeColor="text1"/>
          <w:sz w:val="21"/>
          <w:szCs w:val="21"/>
          <w:lang w:val="es-ES_tradnl" w:eastAsia="es-ES_tradnl"/>
        </w:rPr>
      </w:pPr>
      <w:r w:rsidRPr="0099001C">
        <w:rPr>
          <w:rFonts w:ascii="Arial" w:eastAsia="Calibri" w:hAnsi="Arial" w:cs="Arial"/>
          <w:color w:val="000000" w:themeColor="text1"/>
          <w:sz w:val="21"/>
          <w:szCs w:val="21"/>
          <w:lang w:val="es-ES_tradnl" w:eastAsia="es-ES_tradnl"/>
        </w:rPr>
        <w:t>[…]</w:t>
      </w:r>
    </w:p>
    <w:p w14:paraId="02B3CABF" w14:textId="6FBF4E06" w:rsidR="0099001C" w:rsidRPr="0099001C" w:rsidRDefault="0099001C" w:rsidP="00124F4A">
      <w:pPr>
        <w:spacing w:after="0" w:line="240" w:lineRule="auto"/>
        <w:ind w:left="709" w:right="709"/>
        <w:contextualSpacing/>
        <w:jc w:val="both"/>
        <w:rPr>
          <w:rFonts w:ascii="Arial" w:eastAsia="Calibri" w:hAnsi="Arial" w:cs="Arial"/>
          <w:color w:val="000000" w:themeColor="text1"/>
          <w:sz w:val="21"/>
          <w:szCs w:val="21"/>
          <w:lang w:val="es-ES_tradnl"/>
        </w:rPr>
      </w:pPr>
      <w:r w:rsidRPr="0099001C">
        <w:rPr>
          <w:rFonts w:ascii="Arial" w:eastAsia="Calibri" w:hAnsi="Arial" w:cs="Arial"/>
          <w:color w:val="000000" w:themeColor="text1"/>
          <w:sz w:val="21"/>
          <w:szCs w:val="21"/>
          <w:lang w:val="es-ES_tradnl"/>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w:t>
      </w:r>
      <w:r w:rsidR="007B5FB5">
        <w:rPr>
          <w:rFonts w:ascii="Arial" w:eastAsia="Calibri" w:hAnsi="Arial" w:cs="Arial"/>
          <w:color w:val="000000" w:themeColor="text1"/>
          <w:sz w:val="21"/>
          <w:szCs w:val="21"/>
          <w:lang w:val="es-ES_tradnl"/>
        </w:rPr>
        <w:t>.</w:t>
      </w:r>
    </w:p>
    <w:p w14:paraId="4675B7EF" w14:textId="77777777" w:rsidR="0099001C" w:rsidRPr="0099001C" w:rsidRDefault="0099001C" w:rsidP="0099001C">
      <w:pPr>
        <w:spacing w:after="0" w:line="276" w:lineRule="auto"/>
        <w:ind w:left="709" w:right="709"/>
        <w:contextualSpacing/>
        <w:jc w:val="both"/>
        <w:rPr>
          <w:rFonts w:ascii="Arial" w:eastAsia="Calibri" w:hAnsi="Arial" w:cs="Arial"/>
          <w:color w:val="000000" w:themeColor="text1"/>
          <w:lang w:val="es-ES_tradnl"/>
        </w:rPr>
      </w:pPr>
    </w:p>
    <w:p w14:paraId="2D1E2EA9" w14:textId="77777777" w:rsidR="0099001C" w:rsidRPr="0099001C" w:rsidRDefault="0099001C" w:rsidP="0099001C">
      <w:pPr>
        <w:spacing w:after="120" w:line="276" w:lineRule="auto"/>
        <w:jc w:val="both"/>
        <w:rPr>
          <w:rFonts w:ascii="Arial" w:eastAsia="Calibri" w:hAnsi="Arial" w:cs="Arial"/>
          <w:lang w:val="es-MX"/>
        </w:rPr>
      </w:pPr>
      <w:r w:rsidRPr="0099001C">
        <w:rPr>
          <w:rFonts w:ascii="Arial" w:eastAsia="Calibri" w:hAnsi="Arial" w:cs="Arial"/>
          <w:color w:val="000000" w:themeColor="text1"/>
          <w:lang w:val="es-ES_tradnl" w:eastAsia="es-ES_tradnl"/>
        </w:rPr>
        <w:tab/>
      </w:r>
      <w:r w:rsidRPr="0099001C">
        <w:rPr>
          <w:rFonts w:ascii="Arial" w:eastAsia="Calibri" w:hAnsi="Arial" w:cs="Arial"/>
          <w:lang w:val="es-MX"/>
        </w:rPr>
        <w:t xml:space="preserve">Una vez fijados los requisitos habilitantes por la Entidad Estatal, quienes presenten ofertas deben acreditar que cumplen con los mismos, pues, en el evento contrario, las propuestas deberán ser rechazadas. El ente encargado de verificar el cumplimiento por </w:t>
      </w:r>
      <w:r w:rsidRPr="0099001C">
        <w:rPr>
          <w:rFonts w:ascii="Arial" w:eastAsia="Calibri" w:hAnsi="Arial" w:cs="Arial"/>
          <w:lang w:val="es-MX"/>
        </w:rPr>
        <w:lastRenderedPageBreak/>
        <w:t>parte de los proponentes sobre los requisitos que haya considerado la entidad como habilitantes será la Cámara de Comercio, esto en la medida en que, mediante el Registro Único de Proponentes –RUP</w:t>
      </w:r>
      <w:r w:rsidRPr="0099001C">
        <w:rPr>
          <w:rFonts w:ascii="Arial" w:eastAsia="Calibri" w:hAnsi="Arial" w:cs="Arial"/>
          <w:color w:val="000000" w:themeColor="text1"/>
          <w:vertAlign w:val="superscript"/>
          <w:lang w:val="es-ES_tradnl" w:eastAsia="es-ES_tradnl"/>
        </w:rPr>
        <w:footnoteReference w:id="3"/>
      </w:r>
      <w:r w:rsidRPr="0099001C">
        <w:rPr>
          <w:rFonts w:ascii="Arial" w:eastAsia="Calibri" w:hAnsi="Arial" w:cs="Arial"/>
          <w:lang w:val="es-MX"/>
        </w:rPr>
        <w:t xml:space="preserve">–, se pondrá de presente toda la información relacionada con la experiencia, capacidad jurídica, capacidad financiera y organizacional, así como la clasificación del proponente. </w:t>
      </w:r>
    </w:p>
    <w:p w14:paraId="79F0C3E9" w14:textId="77777777" w:rsidR="0099001C" w:rsidRPr="0099001C" w:rsidRDefault="0099001C" w:rsidP="0099001C">
      <w:pPr>
        <w:spacing w:after="120" w:line="276" w:lineRule="auto"/>
        <w:ind w:firstLine="709"/>
        <w:jc w:val="both"/>
        <w:rPr>
          <w:rFonts w:ascii="Arial" w:eastAsia="Calibri" w:hAnsi="Arial" w:cs="Arial"/>
          <w:lang w:val="es-MX"/>
        </w:rPr>
      </w:pPr>
      <w:r w:rsidRPr="0099001C">
        <w:rPr>
          <w:rFonts w:ascii="Arial" w:eastAsia="Calibri" w:hAnsi="Arial" w:cs="Arial"/>
          <w:lang w:val="es-MX"/>
        </w:rPr>
        <w:t>El artículo 6 de la Ley 1150 de 2007, que regula los sujetos que deben inscribirse en el RUP, señaló que deben hacerlo las personas naturales o jurídicas, nacionales o extranjeras que tengan domicilio o sucursal en el país. Estas personas tienen la obligación de registrarse en el RUP, en dos casos: a) cuando pretendan celebrar contratos estatales y b) si el procedimiento de contratación es de aquellos en los cuales no se exceptúa el RUP, de acuerdo con el inciso segundo del artículo 6 de la Ley 1150 de 2007 –contratación directa, contratos para la prestación de servicios de salud, contratos de mínima cuantía, entre otros puestos de presente por la norma–. De esto se desprende que las personas extranjeras sin domicilio o sucursal en Colombia que pretendan celebrar contratos con el Estado colombiano no están obligadas a inscribirse en el RUP, puesto que, tratándose de proponentes extranjeros la norma únicamente señala como obligados a quienes tengan domicilio o sucursal en el país. En consecuencia, este tipo de proponentes extranjeros deberán acreditar la experiencia y los demás requisitos habilitantes exigidos en los procesos de selección de contratación pública en los que participen mediante la presentación de los documentos que cumplan con los requisitos de validez dispuestos por la ley y el pliego de condiciones que haya determinado previamente la Entidad Estatal, para que sirvan de prueba, y la Entidad Estatal deberá realizar una verificación directa del cumplimiento de los requisitos habilitantes.</w:t>
      </w:r>
    </w:p>
    <w:p w14:paraId="12855CB0" w14:textId="3C9E31DD" w:rsidR="0099001C" w:rsidRDefault="0099001C" w:rsidP="0099001C">
      <w:pPr>
        <w:spacing w:after="120" w:line="276" w:lineRule="auto"/>
        <w:ind w:firstLine="708"/>
        <w:jc w:val="both"/>
        <w:rPr>
          <w:rFonts w:ascii="Arial" w:eastAsia="Calibri" w:hAnsi="Arial" w:cs="Arial"/>
          <w:color w:val="000000"/>
          <w:szCs w:val="24"/>
          <w:lang w:val="es-MX" w:eastAsia="es-ES_tradnl"/>
        </w:rPr>
      </w:pPr>
      <w:r w:rsidRPr="0099001C">
        <w:rPr>
          <w:rFonts w:ascii="Arial" w:eastAsia="Calibri" w:hAnsi="Arial" w:cs="Arial"/>
          <w:color w:val="000000"/>
          <w:szCs w:val="24"/>
          <w:lang w:val="es-MX" w:eastAsia="es-ES_tradnl"/>
        </w:rPr>
        <w:t>Ahora bien, dentro de los requisitos habilitantes se destaca la capacidad financiera</w:t>
      </w:r>
      <w:r w:rsidR="005A38A1">
        <w:rPr>
          <w:rFonts w:ascii="Arial" w:eastAsia="Calibri" w:hAnsi="Arial" w:cs="Arial"/>
          <w:color w:val="000000"/>
          <w:szCs w:val="24"/>
          <w:lang w:val="es-MX" w:eastAsia="es-ES_tradnl"/>
        </w:rPr>
        <w:t xml:space="preserve">, la cual </w:t>
      </w:r>
      <w:r w:rsidRPr="0099001C">
        <w:rPr>
          <w:rFonts w:ascii="Arial" w:eastAsia="Calibri" w:hAnsi="Arial" w:cs="Arial"/>
          <w:lang w:val="es-MX"/>
        </w:rPr>
        <w:t xml:space="preserve">se deriva del comportamiento contable de la empresa, su liquidez y endeudamiento, para determinar que sus recursos y solidez financiera le permita cumplir los compromisos que adquiera. Como explica esta Agencia en el </w:t>
      </w:r>
      <w:r w:rsidRPr="0099001C">
        <w:rPr>
          <w:rFonts w:ascii="Arial" w:eastAsia="Calibri" w:hAnsi="Arial" w:cs="Arial"/>
          <w:i/>
          <w:iCs/>
          <w:lang w:val="es-MX"/>
        </w:rPr>
        <w:t>Manual para determinar y verificar los requisitos habilitantes en los procesos de contratación</w:t>
      </w:r>
      <w:r w:rsidRPr="0099001C">
        <w:rPr>
          <w:rFonts w:ascii="Arial" w:eastAsia="Calibri" w:hAnsi="Arial" w:cs="Arial"/>
          <w:lang w:val="es-MX"/>
        </w:rPr>
        <w:t xml:space="preserve">: </w:t>
      </w:r>
      <w:r w:rsidRPr="0099001C">
        <w:rPr>
          <w:rFonts w:ascii="Arial" w:eastAsia="Calibri" w:hAnsi="Arial" w:cs="Arial"/>
          <w:i/>
          <w:iCs/>
          <w:lang w:val="es-MX"/>
        </w:rPr>
        <w:t xml:space="preserve">“Los indicadores de capacidad financiera buscan establecer unas condiciones mínimas que reflejan la salud financiera de </w:t>
      </w:r>
      <w:r w:rsidRPr="0099001C">
        <w:rPr>
          <w:rFonts w:ascii="Arial" w:eastAsia="Calibri" w:hAnsi="Arial" w:cs="Arial"/>
          <w:i/>
          <w:iCs/>
          <w:lang w:val="es-MX"/>
        </w:rPr>
        <w:lastRenderedPageBreak/>
        <w:t>los proponentes a través de su liquidez y endeudamiento. Estas condiciones muestran la aptitud del proponente para cumplir oportuna y cabalmente el objeto del contrato”</w:t>
      </w:r>
      <w:r w:rsidRPr="0099001C">
        <w:rPr>
          <w:rFonts w:ascii="Arial" w:eastAsia="Calibri" w:hAnsi="Arial" w:cs="Arial"/>
          <w:i/>
          <w:iCs/>
          <w:color w:val="000000"/>
          <w:vertAlign w:val="superscript"/>
          <w:lang w:val="es-ES_tradnl" w:eastAsia="es-ES_tradnl"/>
        </w:rPr>
        <w:footnoteReference w:id="4"/>
      </w:r>
      <w:r w:rsidRPr="0099001C">
        <w:rPr>
          <w:rFonts w:ascii="Arial" w:eastAsia="Calibri" w:hAnsi="Arial" w:cs="Arial"/>
          <w:i/>
          <w:iCs/>
          <w:color w:val="000000"/>
          <w:lang w:val="es-ES_tradnl" w:eastAsia="es-ES_tradnl"/>
        </w:rPr>
        <w:t>.</w:t>
      </w:r>
      <w:r w:rsidR="005A38A1" w:rsidRPr="0099001C">
        <w:rPr>
          <w:rFonts w:ascii="Arial" w:eastAsia="Calibri" w:hAnsi="Arial" w:cs="Arial"/>
          <w:color w:val="000000"/>
          <w:szCs w:val="24"/>
          <w:lang w:val="es-MX" w:eastAsia="es-ES_tradnl"/>
        </w:rPr>
        <w:t xml:space="preserve"> </w:t>
      </w:r>
      <w:r w:rsidR="005A38A1">
        <w:rPr>
          <w:rFonts w:ascii="Arial" w:eastAsia="Calibri" w:hAnsi="Arial" w:cs="Arial"/>
          <w:color w:val="000000"/>
          <w:szCs w:val="24"/>
          <w:lang w:val="es-MX" w:eastAsia="es-ES_tradnl"/>
        </w:rPr>
        <w:t>L</w:t>
      </w:r>
      <w:r w:rsidR="005A38A1" w:rsidRPr="0099001C">
        <w:rPr>
          <w:rFonts w:ascii="Arial" w:eastAsia="Calibri" w:hAnsi="Arial" w:cs="Arial"/>
          <w:color w:val="000000"/>
          <w:szCs w:val="24"/>
          <w:lang w:val="es-MX" w:eastAsia="es-ES_tradnl"/>
        </w:rPr>
        <w:t xml:space="preserve">a Entidad Estatal, como responsable de la estructuración de su procedimiento de selección, es autónoma para </w:t>
      </w:r>
      <w:r w:rsidR="005A38A1">
        <w:rPr>
          <w:rFonts w:ascii="Arial" w:eastAsia="Calibri" w:hAnsi="Arial" w:cs="Arial"/>
          <w:color w:val="000000"/>
          <w:szCs w:val="24"/>
          <w:lang w:val="es-MX" w:eastAsia="es-ES_tradnl"/>
        </w:rPr>
        <w:t>determinar</w:t>
      </w:r>
      <w:r w:rsidR="005A38A1" w:rsidRPr="0099001C">
        <w:rPr>
          <w:rFonts w:ascii="Arial" w:eastAsia="Calibri" w:hAnsi="Arial" w:cs="Arial"/>
          <w:color w:val="000000"/>
          <w:szCs w:val="24"/>
          <w:lang w:val="es-MX" w:eastAsia="es-ES_tradnl"/>
        </w:rPr>
        <w:t xml:space="preserve"> la capacidad financiera necesaria de acuerdo con el objeto contractual que se pretende satisfacer</w:t>
      </w:r>
      <w:r w:rsidR="005A38A1">
        <w:rPr>
          <w:rFonts w:ascii="Arial" w:eastAsia="Calibri" w:hAnsi="Arial" w:cs="Arial"/>
          <w:color w:val="000000"/>
          <w:szCs w:val="24"/>
          <w:lang w:val="es-MX" w:eastAsia="es-ES_tradnl"/>
        </w:rPr>
        <w:t xml:space="preserve">, </w:t>
      </w:r>
      <w:r w:rsidR="00C16228">
        <w:rPr>
          <w:rFonts w:ascii="Arial" w:eastAsia="Calibri" w:hAnsi="Arial" w:cs="Arial"/>
          <w:color w:val="000000"/>
          <w:szCs w:val="24"/>
          <w:lang w:val="es-MX" w:eastAsia="es-ES_tradnl"/>
        </w:rPr>
        <w:t>no obstante</w:t>
      </w:r>
      <w:r w:rsidR="005A38A1">
        <w:rPr>
          <w:rFonts w:ascii="Arial" w:eastAsia="Calibri" w:hAnsi="Arial" w:cs="Arial"/>
          <w:color w:val="000000"/>
          <w:szCs w:val="24"/>
          <w:lang w:val="es-MX" w:eastAsia="es-ES_tradnl"/>
        </w:rPr>
        <w:t>,</w:t>
      </w:r>
      <w:r w:rsidR="005A38A1" w:rsidRPr="0099001C">
        <w:rPr>
          <w:rFonts w:ascii="Arial" w:eastAsia="Calibri" w:hAnsi="Arial" w:cs="Arial"/>
          <w:color w:val="000000"/>
          <w:szCs w:val="24"/>
          <w:lang w:val="es-MX" w:eastAsia="es-ES_tradnl"/>
        </w:rPr>
        <w:t xml:space="preserve"> </w:t>
      </w:r>
      <w:r w:rsidR="00C16228">
        <w:rPr>
          <w:rFonts w:ascii="Arial" w:eastAsia="Calibri" w:hAnsi="Arial" w:cs="Arial"/>
          <w:color w:val="000000"/>
          <w:szCs w:val="24"/>
          <w:lang w:val="es-MX" w:eastAsia="es-ES_tradnl"/>
        </w:rPr>
        <w:t>en atención a lo dispuesto en</w:t>
      </w:r>
      <w:r w:rsidR="005A38A1" w:rsidRPr="0099001C">
        <w:rPr>
          <w:rFonts w:ascii="Arial" w:eastAsia="Calibri" w:hAnsi="Arial" w:cs="Arial"/>
          <w:color w:val="000000"/>
          <w:szCs w:val="24"/>
          <w:lang w:val="es-MX" w:eastAsia="es-ES_tradnl"/>
        </w:rPr>
        <w:t xml:space="preserve"> el artículo 2.2.1.1.1.6.2 del Decreto 1082 de 2015, debe </w:t>
      </w:r>
      <w:r w:rsidR="005A38A1">
        <w:rPr>
          <w:rFonts w:ascii="Arial" w:eastAsia="Calibri" w:hAnsi="Arial" w:cs="Arial"/>
          <w:color w:val="000000"/>
          <w:szCs w:val="24"/>
          <w:lang w:val="es-MX" w:eastAsia="es-ES_tradnl"/>
        </w:rPr>
        <w:t xml:space="preserve">ser </w:t>
      </w:r>
      <w:r w:rsidR="005A38A1" w:rsidRPr="0099001C">
        <w:rPr>
          <w:rFonts w:ascii="Arial" w:eastAsia="Calibri" w:hAnsi="Arial" w:cs="Arial"/>
          <w:color w:val="000000"/>
          <w:szCs w:val="24"/>
          <w:lang w:val="es-MX" w:eastAsia="es-ES_tradnl"/>
        </w:rPr>
        <w:t>e</w:t>
      </w:r>
      <w:r w:rsidR="00C16228">
        <w:rPr>
          <w:rFonts w:ascii="Arial" w:eastAsia="Calibri" w:hAnsi="Arial" w:cs="Arial"/>
          <w:color w:val="000000"/>
          <w:szCs w:val="24"/>
          <w:lang w:val="es-MX" w:eastAsia="es-ES_tradnl"/>
        </w:rPr>
        <w:t>stablecida con sustento</w:t>
      </w:r>
      <w:r w:rsidR="005A38A1" w:rsidRPr="0099001C">
        <w:rPr>
          <w:rFonts w:ascii="Arial" w:eastAsia="Calibri" w:hAnsi="Arial" w:cs="Arial"/>
          <w:color w:val="000000"/>
          <w:szCs w:val="24"/>
          <w:lang w:val="es-MX" w:eastAsia="es-ES_tradnl"/>
        </w:rPr>
        <w:t xml:space="preserve"> </w:t>
      </w:r>
      <w:r w:rsidR="00C16228">
        <w:rPr>
          <w:rFonts w:ascii="Arial" w:eastAsia="Calibri" w:hAnsi="Arial" w:cs="Arial"/>
          <w:color w:val="000000"/>
          <w:szCs w:val="24"/>
          <w:lang w:val="es-MX" w:eastAsia="es-ES_tradnl"/>
        </w:rPr>
        <w:t xml:space="preserve">en el </w:t>
      </w:r>
      <w:r w:rsidR="005A38A1" w:rsidRPr="0099001C">
        <w:rPr>
          <w:rFonts w:ascii="Arial" w:eastAsia="Calibri" w:hAnsi="Arial" w:cs="Arial"/>
          <w:color w:val="000000"/>
          <w:szCs w:val="24"/>
          <w:lang w:val="es-MX" w:eastAsia="es-ES_tradnl"/>
        </w:rPr>
        <w:t>estudio del sector</w:t>
      </w:r>
      <w:r w:rsidR="005A38A1" w:rsidRPr="0099001C">
        <w:rPr>
          <w:rFonts w:ascii="Arial" w:eastAsia="Calibri" w:hAnsi="Arial" w:cs="Arial"/>
          <w:color w:val="000000"/>
          <w:szCs w:val="24"/>
          <w:vertAlign w:val="superscript"/>
          <w:lang w:val="es-MX" w:eastAsia="es-ES_tradnl"/>
        </w:rPr>
        <w:footnoteReference w:id="5"/>
      </w:r>
      <w:r w:rsidR="005A38A1" w:rsidRPr="0099001C">
        <w:rPr>
          <w:rFonts w:ascii="Arial" w:eastAsia="Calibri" w:hAnsi="Arial" w:cs="Arial"/>
          <w:color w:val="000000"/>
          <w:szCs w:val="24"/>
          <w:lang w:val="es-MX" w:eastAsia="es-ES_tradnl"/>
        </w:rPr>
        <w:t xml:space="preserve"> y sus componentes como la identificación de riesgos, el mercado y precio del bien, obra o servicio a contratar</w:t>
      </w:r>
      <w:r w:rsidR="005A38A1" w:rsidRPr="0099001C">
        <w:rPr>
          <w:rFonts w:ascii="Arial" w:eastAsia="Calibri" w:hAnsi="Arial" w:cs="Arial"/>
          <w:color w:val="000000"/>
          <w:szCs w:val="24"/>
          <w:vertAlign w:val="superscript"/>
          <w:lang w:val="es-MX" w:eastAsia="es-ES_tradnl"/>
        </w:rPr>
        <w:footnoteReference w:id="6"/>
      </w:r>
      <w:r w:rsidR="005A38A1" w:rsidRPr="0099001C">
        <w:rPr>
          <w:rFonts w:ascii="Arial" w:eastAsia="Calibri" w:hAnsi="Arial" w:cs="Arial"/>
          <w:color w:val="000000"/>
          <w:szCs w:val="24"/>
          <w:lang w:val="es-MX" w:eastAsia="es-ES_tradnl"/>
        </w:rPr>
        <w:t>.</w:t>
      </w:r>
    </w:p>
    <w:p w14:paraId="21419705" w14:textId="65743BCC" w:rsidR="0099001C" w:rsidRPr="0099001C" w:rsidRDefault="004C0BFB" w:rsidP="0099001C">
      <w:pPr>
        <w:spacing w:before="120" w:after="120" w:line="276" w:lineRule="auto"/>
        <w:ind w:firstLine="709"/>
        <w:jc w:val="both"/>
        <w:rPr>
          <w:rFonts w:ascii="Arial" w:eastAsia="Calibri" w:hAnsi="Arial" w:cs="Arial"/>
          <w:color w:val="000000"/>
          <w:szCs w:val="24"/>
          <w:lang w:val="es-ES_tradnl" w:eastAsia="es-ES_tradnl"/>
        </w:rPr>
      </w:pPr>
      <w:r>
        <w:rPr>
          <w:rFonts w:ascii="Arial" w:eastAsia="Calibri" w:hAnsi="Arial" w:cs="Arial"/>
          <w:color w:val="000000"/>
          <w:szCs w:val="24"/>
          <w:lang w:val="es-ES_tradnl" w:eastAsia="es-ES_tradnl"/>
        </w:rPr>
        <w:t>De conformidad con lo dispuesto</w:t>
      </w:r>
      <w:r w:rsidR="00280700">
        <w:rPr>
          <w:rFonts w:ascii="Arial" w:eastAsia="Calibri" w:hAnsi="Arial" w:cs="Arial"/>
          <w:color w:val="000000"/>
          <w:szCs w:val="24"/>
          <w:lang w:val="es-ES_tradnl" w:eastAsia="es-ES_tradnl"/>
        </w:rPr>
        <w:t xml:space="preserve"> en los artículos 5, numeral 1 de la Ley 1150 de 2007 y</w:t>
      </w:r>
      <w:r>
        <w:rPr>
          <w:rFonts w:ascii="Arial" w:eastAsia="Calibri" w:hAnsi="Arial" w:cs="Arial"/>
          <w:color w:val="000000"/>
          <w:szCs w:val="24"/>
          <w:lang w:val="es-ES_tradnl" w:eastAsia="es-ES_tradnl"/>
        </w:rPr>
        <w:t xml:space="preserve"> </w:t>
      </w:r>
      <w:r w:rsidR="0099001C" w:rsidRPr="0099001C">
        <w:rPr>
          <w:rFonts w:ascii="Arial" w:eastAsia="Calibri" w:hAnsi="Arial" w:cs="Arial"/>
          <w:color w:val="000000"/>
          <w:szCs w:val="24"/>
          <w:lang w:val="es-ES_tradnl" w:eastAsia="es-ES_tradnl"/>
        </w:rPr>
        <w:t>2.2.1.1.1.5.3 del Decreto 1082 de 2015</w:t>
      </w:r>
      <w:r w:rsidR="00280700">
        <w:rPr>
          <w:rFonts w:ascii="Arial" w:eastAsia="Calibri" w:hAnsi="Arial" w:cs="Arial"/>
          <w:color w:val="000000"/>
          <w:szCs w:val="24"/>
          <w:lang w:val="es-ES_tradnl" w:eastAsia="es-ES_tradnl"/>
        </w:rPr>
        <w:t>, por regla general, la acreditación de</w:t>
      </w:r>
      <w:r w:rsidR="00CF2DCE">
        <w:rPr>
          <w:rFonts w:ascii="Arial" w:eastAsia="Calibri" w:hAnsi="Arial" w:cs="Arial"/>
          <w:color w:val="000000"/>
          <w:szCs w:val="24"/>
          <w:lang w:val="es-ES_tradnl" w:eastAsia="es-ES_tradnl"/>
        </w:rPr>
        <w:t xml:space="preserve">l requisito habilitante de capacidad financiera se realiza a través del RUP. </w:t>
      </w:r>
      <w:r w:rsidR="005D0448">
        <w:rPr>
          <w:rFonts w:ascii="Arial" w:eastAsia="Calibri" w:hAnsi="Arial" w:cs="Arial"/>
          <w:color w:val="000000"/>
          <w:szCs w:val="24"/>
          <w:lang w:val="es-ES_tradnl" w:eastAsia="es-ES_tradnl"/>
        </w:rPr>
        <w:t xml:space="preserve">En atención a esto, </w:t>
      </w:r>
      <w:r w:rsidR="00FC65CA">
        <w:rPr>
          <w:rFonts w:ascii="Arial" w:eastAsia="Calibri" w:hAnsi="Arial" w:cs="Arial"/>
          <w:color w:val="000000"/>
          <w:szCs w:val="24"/>
          <w:lang w:val="es-ES_tradnl" w:eastAsia="es-ES_tradnl"/>
        </w:rPr>
        <w:t>para los tramites de inscripción, renovación y actualización</w:t>
      </w:r>
      <w:r w:rsidR="00CE7465">
        <w:rPr>
          <w:rFonts w:ascii="Arial" w:eastAsia="Calibri" w:hAnsi="Arial" w:cs="Arial"/>
          <w:color w:val="000000"/>
          <w:szCs w:val="24"/>
          <w:lang w:val="es-ES_tradnl" w:eastAsia="es-ES_tradnl"/>
        </w:rPr>
        <w:t xml:space="preserve"> el</w:t>
      </w:r>
      <w:r w:rsidR="00596E1D">
        <w:rPr>
          <w:rFonts w:ascii="Arial" w:eastAsia="Calibri" w:hAnsi="Arial" w:cs="Arial"/>
          <w:color w:val="000000"/>
          <w:szCs w:val="24"/>
          <w:lang w:val="es-ES_tradnl" w:eastAsia="es-ES_tradnl"/>
        </w:rPr>
        <w:t xml:space="preserve"> numeral 2.3 del</w:t>
      </w:r>
      <w:r w:rsidR="00CE7465">
        <w:rPr>
          <w:rFonts w:ascii="Arial" w:eastAsia="Calibri" w:hAnsi="Arial" w:cs="Arial"/>
          <w:color w:val="000000"/>
          <w:szCs w:val="24"/>
          <w:lang w:val="es-ES_tradnl" w:eastAsia="es-ES_tradnl"/>
        </w:rPr>
        <w:t xml:space="preserve"> artículo </w:t>
      </w:r>
      <w:r w:rsidR="00CE7465" w:rsidRPr="00CE7465">
        <w:rPr>
          <w:rFonts w:ascii="Arial" w:eastAsia="Calibri" w:hAnsi="Arial" w:cs="Arial"/>
          <w:color w:val="000000"/>
          <w:szCs w:val="24"/>
          <w:lang w:val="es-ES_tradnl" w:eastAsia="es-ES_tradnl"/>
        </w:rPr>
        <w:t>2.2.1.1.1.5.2</w:t>
      </w:r>
      <w:r w:rsidR="00CE7465">
        <w:rPr>
          <w:rFonts w:ascii="Arial" w:eastAsia="Calibri" w:hAnsi="Arial" w:cs="Arial"/>
          <w:color w:val="000000"/>
          <w:szCs w:val="24"/>
          <w:lang w:val="es-ES_tradnl" w:eastAsia="es-ES_tradnl"/>
        </w:rPr>
        <w:t xml:space="preserve"> del Decreto 1082 de 2015</w:t>
      </w:r>
      <w:r w:rsidR="00FC65CA">
        <w:rPr>
          <w:rFonts w:ascii="Arial" w:eastAsia="Calibri" w:hAnsi="Arial" w:cs="Arial"/>
          <w:color w:val="000000"/>
          <w:szCs w:val="24"/>
          <w:lang w:val="es-ES_tradnl" w:eastAsia="es-ES_tradnl"/>
        </w:rPr>
        <w:t xml:space="preserve"> exige la presentación</w:t>
      </w:r>
      <w:r w:rsidR="00CE7465">
        <w:rPr>
          <w:rFonts w:ascii="Arial" w:eastAsia="Calibri" w:hAnsi="Arial" w:cs="Arial"/>
          <w:color w:val="000000"/>
          <w:szCs w:val="24"/>
          <w:lang w:val="es-ES_tradnl" w:eastAsia="es-ES_tradnl"/>
        </w:rPr>
        <w:t xml:space="preserve"> de </w:t>
      </w:r>
      <w:r w:rsidR="00EB5605">
        <w:rPr>
          <w:rFonts w:ascii="Arial" w:eastAsia="Calibri" w:hAnsi="Arial" w:cs="Arial"/>
          <w:color w:val="000000"/>
          <w:szCs w:val="24"/>
          <w:lang w:val="es-ES_tradnl" w:eastAsia="es-ES_tradnl"/>
        </w:rPr>
        <w:t xml:space="preserve">los </w:t>
      </w:r>
      <w:r w:rsidR="00596E1D" w:rsidRPr="00341D4A">
        <w:rPr>
          <w:rFonts w:ascii="Arial" w:eastAsia="Calibri" w:hAnsi="Arial" w:cs="Arial"/>
          <w:i/>
          <w:iCs/>
          <w:color w:val="000000"/>
          <w:lang w:val="es-ES_tradnl" w:eastAsia="es-ES_tradnl"/>
        </w:rPr>
        <w:t>“</w:t>
      </w:r>
      <w:r w:rsidR="00947FDD" w:rsidRPr="00341D4A">
        <w:rPr>
          <w:rFonts w:ascii="Arial" w:hAnsi="Arial" w:cs="Arial"/>
          <w:i/>
          <w:iCs/>
          <w:color w:val="000000"/>
        </w:rPr>
        <w:t>Estados financieros de la sociedad y los estados financieros consolidados del grupo empresarial, cuando la norma aplicable lo exige, auditados con sus notas […]”</w:t>
      </w:r>
      <w:r w:rsidR="00D9622C">
        <w:rPr>
          <w:rFonts w:ascii="Arial" w:eastAsia="Calibri" w:hAnsi="Arial" w:cs="Arial"/>
          <w:color w:val="000000"/>
          <w:szCs w:val="24"/>
          <w:lang w:val="es-ES_tradnl" w:eastAsia="es-ES_tradnl"/>
        </w:rPr>
        <w:t xml:space="preserve">, además de unos anexos </w:t>
      </w:r>
      <w:r w:rsidR="007A0511">
        <w:rPr>
          <w:rFonts w:ascii="Arial" w:eastAsia="Calibri" w:hAnsi="Arial" w:cs="Arial"/>
          <w:color w:val="000000"/>
          <w:szCs w:val="24"/>
          <w:lang w:val="es-ES_tradnl" w:eastAsia="es-ES_tradnl"/>
        </w:rPr>
        <w:t>dirigidos a servir de medio de verificación de la salud financiera de los proponentes</w:t>
      </w:r>
      <w:r w:rsidR="007A0511">
        <w:rPr>
          <w:rStyle w:val="Refdenotaalpie"/>
          <w:rFonts w:ascii="Arial" w:eastAsia="Calibri" w:hAnsi="Arial" w:cs="Arial"/>
          <w:color w:val="000000"/>
          <w:szCs w:val="24"/>
          <w:lang w:val="es-ES_tradnl" w:eastAsia="es-ES_tradnl"/>
        </w:rPr>
        <w:footnoteReference w:id="7"/>
      </w:r>
      <w:r w:rsidR="007A0511">
        <w:rPr>
          <w:rFonts w:ascii="Arial" w:eastAsia="Calibri" w:hAnsi="Arial" w:cs="Arial"/>
          <w:color w:val="000000"/>
          <w:szCs w:val="24"/>
          <w:lang w:val="es-ES_tradnl" w:eastAsia="es-ES_tradnl"/>
        </w:rPr>
        <w:t xml:space="preserve">. </w:t>
      </w:r>
      <w:r w:rsidR="0099001C" w:rsidRPr="0099001C">
        <w:rPr>
          <w:rFonts w:ascii="Arial" w:eastAsia="Calibri" w:hAnsi="Arial" w:cs="Arial"/>
          <w:color w:val="000000"/>
          <w:szCs w:val="24"/>
          <w:lang w:val="es-ES_tradnl" w:eastAsia="es-ES_tradnl"/>
        </w:rPr>
        <w:t xml:space="preserve"> De este modo, lo que se verifica con el registro es que el proponente </w:t>
      </w:r>
      <w:r w:rsidR="006E1778">
        <w:rPr>
          <w:rFonts w:ascii="Arial" w:eastAsia="Calibri" w:hAnsi="Arial" w:cs="Arial"/>
          <w:color w:val="000000"/>
          <w:szCs w:val="24"/>
          <w:lang w:val="es-ES_tradnl" w:eastAsia="es-ES_tradnl"/>
        </w:rPr>
        <w:t>cumpla con</w:t>
      </w:r>
      <w:r w:rsidR="006E1778" w:rsidRPr="0099001C">
        <w:rPr>
          <w:rFonts w:ascii="Arial" w:eastAsia="Calibri" w:hAnsi="Arial" w:cs="Arial"/>
          <w:color w:val="000000"/>
          <w:szCs w:val="24"/>
          <w:lang w:val="es-ES_tradnl" w:eastAsia="es-ES_tradnl"/>
        </w:rPr>
        <w:t xml:space="preserve"> </w:t>
      </w:r>
      <w:r w:rsidR="0099001C" w:rsidRPr="0099001C">
        <w:rPr>
          <w:rFonts w:ascii="Arial" w:eastAsia="Calibri" w:hAnsi="Arial" w:cs="Arial"/>
          <w:color w:val="000000"/>
          <w:szCs w:val="24"/>
          <w:lang w:val="es-ES_tradnl" w:eastAsia="es-ES_tradnl"/>
        </w:rPr>
        <w:t>los indicadores financieros solicitados por la entidad</w:t>
      </w:r>
      <w:r w:rsidR="006E1778">
        <w:rPr>
          <w:rFonts w:ascii="Arial" w:eastAsia="Calibri" w:hAnsi="Arial" w:cs="Arial"/>
          <w:color w:val="000000"/>
          <w:szCs w:val="24"/>
          <w:lang w:val="es-ES_tradnl" w:eastAsia="es-ES_tradnl"/>
        </w:rPr>
        <w:t xml:space="preserve"> para medir la capacidad financiera requerida para </w:t>
      </w:r>
      <w:r w:rsidR="0099001C" w:rsidRPr="0099001C">
        <w:rPr>
          <w:rFonts w:ascii="Arial" w:eastAsia="Calibri" w:hAnsi="Arial" w:cs="Arial"/>
          <w:color w:val="000000"/>
          <w:szCs w:val="24"/>
          <w:lang w:val="es-ES_tradnl" w:eastAsia="es-ES_tradnl"/>
        </w:rPr>
        <w:t xml:space="preserve">el procedimiento de selección. </w:t>
      </w:r>
    </w:p>
    <w:p w14:paraId="6DD16CDB" w14:textId="6F8E08BA" w:rsidR="005C3B1C" w:rsidRPr="0099001C" w:rsidRDefault="005C3B1C" w:rsidP="005C3B1C">
      <w:pPr>
        <w:spacing w:before="120" w:after="120" w:line="276" w:lineRule="auto"/>
        <w:ind w:firstLine="709"/>
        <w:jc w:val="both"/>
        <w:rPr>
          <w:rFonts w:ascii="Arial" w:eastAsia="Calibri" w:hAnsi="Arial" w:cs="Arial"/>
          <w:color w:val="000000"/>
          <w:szCs w:val="24"/>
          <w:lang w:val="es-ES_tradnl" w:eastAsia="es-ES_tradnl"/>
        </w:rPr>
      </w:pPr>
      <w:r w:rsidRPr="0099001C">
        <w:rPr>
          <w:rFonts w:ascii="Arial" w:eastAsia="Calibri" w:hAnsi="Arial" w:cs="Arial"/>
          <w:color w:val="000000"/>
          <w:szCs w:val="24"/>
          <w:lang w:val="es-ES_tradnl" w:eastAsia="es-ES_tradnl"/>
        </w:rPr>
        <w:lastRenderedPageBreak/>
        <w:t xml:space="preserve">Según el artículo 2.2.1.1.1.5.3. del Decreto 1082 de 2015, </w:t>
      </w:r>
      <w:r>
        <w:rPr>
          <w:rFonts w:ascii="Arial" w:eastAsia="Calibri" w:hAnsi="Arial" w:cs="Arial"/>
          <w:color w:val="000000"/>
          <w:szCs w:val="24"/>
          <w:lang w:val="es-ES_tradnl" w:eastAsia="es-ES_tradnl"/>
        </w:rPr>
        <w:t>el RUP contempla</w:t>
      </w:r>
      <w:r w:rsidR="00CA3CF7">
        <w:rPr>
          <w:rFonts w:ascii="Arial" w:eastAsia="Calibri" w:hAnsi="Arial" w:cs="Arial"/>
          <w:color w:val="000000"/>
          <w:szCs w:val="24"/>
          <w:lang w:val="es-ES_tradnl" w:eastAsia="es-ES_tradnl"/>
        </w:rPr>
        <w:t xml:space="preserve"> como</w:t>
      </w:r>
      <w:r w:rsidRPr="0099001C">
        <w:rPr>
          <w:rFonts w:ascii="Arial" w:eastAsia="Calibri" w:hAnsi="Arial" w:cs="Arial"/>
          <w:color w:val="000000"/>
          <w:szCs w:val="24"/>
          <w:lang w:val="es-ES_tradnl" w:eastAsia="es-ES_tradnl"/>
        </w:rPr>
        <w:t xml:space="preserve"> indicadores de capacidad financiera los siguientes: i) el </w:t>
      </w:r>
      <w:r w:rsidRPr="0099001C">
        <w:rPr>
          <w:rFonts w:ascii="Arial" w:eastAsia="Calibri" w:hAnsi="Arial" w:cs="Arial"/>
          <w:i/>
          <w:iCs/>
          <w:color w:val="000000"/>
          <w:szCs w:val="24"/>
          <w:lang w:val="es-ES_tradnl" w:eastAsia="es-ES_tradnl"/>
        </w:rPr>
        <w:t>índice de liquidez</w:t>
      </w:r>
      <w:r w:rsidRPr="0099001C">
        <w:rPr>
          <w:rFonts w:ascii="Arial" w:eastAsia="Calibri" w:hAnsi="Arial" w:cs="Arial"/>
          <w:color w:val="000000"/>
          <w:szCs w:val="24"/>
          <w:lang w:val="es-ES_tradnl" w:eastAsia="es-ES_tradnl"/>
        </w:rPr>
        <w:t xml:space="preserve">, que corresponde a la división entre el activo corriente y el pasivo corriente, y que determina la capacidad que tiene el proponente para cumplir con sus obligaciones de corto plazo; </w:t>
      </w:r>
      <w:proofErr w:type="spellStart"/>
      <w:r w:rsidRPr="0099001C">
        <w:rPr>
          <w:rFonts w:ascii="Arial" w:eastAsia="Calibri" w:hAnsi="Arial" w:cs="Arial"/>
          <w:color w:val="000000"/>
          <w:szCs w:val="24"/>
          <w:lang w:val="es-ES_tradnl" w:eastAsia="es-ES_tradnl"/>
        </w:rPr>
        <w:t>ii</w:t>
      </w:r>
      <w:proofErr w:type="spellEnd"/>
      <w:r w:rsidRPr="0099001C">
        <w:rPr>
          <w:rFonts w:ascii="Arial" w:eastAsia="Calibri" w:hAnsi="Arial" w:cs="Arial"/>
          <w:color w:val="000000"/>
          <w:szCs w:val="24"/>
          <w:lang w:val="es-ES_tradnl" w:eastAsia="es-ES_tradnl"/>
        </w:rPr>
        <w:t xml:space="preserve">) el </w:t>
      </w:r>
      <w:r w:rsidRPr="0099001C">
        <w:rPr>
          <w:rFonts w:ascii="Arial" w:eastAsia="Calibri" w:hAnsi="Arial" w:cs="Arial"/>
          <w:i/>
          <w:iCs/>
          <w:color w:val="000000"/>
          <w:szCs w:val="24"/>
          <w:lang w:val="es-ES_tradnl" w:eastAsia="es-ES_tradnl"/>
        </w:rPr>
        <w:t>índice de endeudamiento</w:t>
      </w:r>
      <w:r w:rsidRPr="0099001C">
        <w:rPr>
          <w:rFonts w:ascii="Arial" w:eastAsia="Calibri" w:hAnsi="Arial" w:cs="Arial"/>
          <w:color w:val="000000"/>
          <w:szCs w:val="24"/>
          <w:lang w:val="es-ES_tradnl" w:eastAsia="es-ES_tradnl"/>
        </w:rPr>
        <w:t xml:space="preserve">, que se calcula dividiendo el pasivo total por el activo total, el cual determina el grado de endeudamiento en la estructura de financiación del proponente; y </w:t>
      </w:r>
      <w:proofErr w:type="spellStart"/>
      <w:r w:rsidRPr="0099001C">
        <w:rPr>
          <w:rFonts w:ascii="Arial" w:eastAsia="Calibri" w:hAnsi="Arial" w:cs="Arial"/>
          <w:color w:val="000000"/>
          <w:szCs w:val="24"/>
          <w:lang w:val="es-ES_tradnl" w:eastAsia="es-ES_tradnl"/>
        </w:rPr>
        <w:t>iii</w:t>
      </w:r>
      <w:proofErr w:type="spellEnd"/>
      <w:r w:rsidRPr="0099001C">
        <w:rPr>
          <w:rFonts w:ascii="Arial" w:eastAsia="Calibri" w:hAnsi="Arial" w:cs="Arial"/>
          <w:color w:val="000000"/>
          <w:szCs w:val="24"/>
          <w:lang w:val="es-ES_tradnl" w:eastAsia="es-ES_tradnl"/>
        </w:rPr>
        <w:t xml:space="preserve">) la </w:t>
      </w:r>
      <w:r w:rsidRPr="0099001C">
        <w:rPr>
          <w:rFonts w:ascii="Arial" w:eastAsia="Calibri" w:hAnsi="Arial" w:cs="Arial"/>
          <w:i/>
          <w:iCs/>
          <w:color w:val="000000"/>
          <w:szCs w:val="24"/>
          <w:lang w:val="es-ES_tradnl" w:eastAsia="es-ES_tradnl"/>
        </w:rPr>
        <w:t>razón de cobertura de intereses</w:t>
      </w:r>
      <w:r w:rsidRPr="0099001C">
        <w:rPr>
          <w:rFonts w:ascii="Arial" w:eastAsia="Calibri" w:hAnsi="Arial" w:cs="Arial"/>
          <w:color w:val="000000"/>
          <w:szCs w:val="24"/>
          <w:lang w:val="es-ES_tradnl" w:eastAsia="es-ES_tradnl"/>
        </w:rPr>
        <w:t xml:space="preserve">, que es igual a la utilidad operacional, sobre los gastos de intereses, y que refleja la capacidad del proponente para cumplir con sus obligaciones financieras. Adicionalmente, la Agencia Nacional de Contratación Pública – Colombia Compra Eficiente recomienda valorar otro tipo de indicadores como el </w:t>
      </w:r>
      <w:r w:rsidRPr="0099001C">
        <w:rPr>
          <w:rFonts w:ascii="Arial" w:eastAsia="Calibri" w:hAnsi="Arial" w:cs="Arial"/>
          <w:i/>
          <w:iCs/>
          <w:color w:val="000000"/>
          <w:szCs w:val="24"/>
          <w:lang w:val="es-ES_tradnl" w:eastAsia="es-ES_tradnl"/>
        </w:rPr>
        <w:t>capital de trabajo</w:t>
      </w:r>
      <w:r w:rsidRPr="0099001C">
        <w:rPr>
          <w:rFonts w:ascii="Arial" w:eastAsia="Calibri" w:hAnsi="Arial" w:cs="Arial"/>
          <w:color w:val="000000"/>
          <w:szCs w:val="24"/>
          <w:lang w:val="es-ES_tradnl" w:eastAsia="es-ES_tradnl"/>
        </w:rPr>
        <w:t xml:space="preserve">, la </w:t>
      </w:r>
      <w:r w:rsidRPr="0099001C">
        <w:rPr>
          <w:rFonts w:ascii="Arial" w:eastAsia="Calibri" w:hAnsi="Arial" w:cs="Arial"/>
          <w:i/>
          <w:iCs/>
          <w:color w:val="000000"/>
          <w:szCs w:val="24"/>
          <w:lang w:val="es-ES_tradnl" w:eastAsia="es-ES_tradnl"/>
        </w:rPr>
        <w:t>razón de efectivo</w:t>
      </w:r>
      <w:r w:rsidRPr="0099001C">
        <w:rPr>
          <w:rFonts w:ascii="Arial" w:eastAsia="Calibri" w:hAnsi="Arial" w:cs="Arial"/>
          <w:color w:val="000000"/>
          <w:szCs w:val="24"/>
          <w:lang w:val="es-ES_tradnl" w:eastAsia="es-ES_tradnl"/>
        </w:rPr>
        <w:t xml:space="preserve">, la denominada </w:t>
      </w:r>
      <w:r w:rsidRPr="0099001C">
        <w:rPr>
          <w:rFonts w:ascii="Arial" w:eastAsia="Calibri" w:hAnsi="Arial" w:cs="Arial"/>
          <w:i/>
          <w:iCs/>
          <w:color w:val="000000"/>
          <w:szCs w:val="24"/>
          <w:lang w:val="es-ES_tradnl" w:eastAsia="es-ES_tradnl"/>
        </w:rPr>
        <w:t>prueba ácida</w:t>
      </w:r>
      <w:r w:rsidRPr="0099001C">
        <w:rPr>
          <w:rFonts w:ascii="Arial" w:eastAsia="Calibri" w:hAnsi="Arial" w:cs="Arial"/>
          <w:color w:val="000000"/>
          <w:szCs w:val="24"/>
          <w:vertAlign w:val="superscript"/>
          <w:lang w:val="es-ES_tradnl" w:eastAsia="es-ES_tradnl"/>
        </w:rPr>
        <w:footnoteReference w:id="8"/>
      </w:r>
      <w:r w:rsidRPr="0099001C">
        <w:rPr>
          <w:rFonts w:ascii="Arial" w:eastAsia="Calibri" w:hAnsi="Arial" w:cs="Arial"/>
          <w:color w:val="000000"/>
          <w:szCs w:val="24"/>
          <w:lang w:val="es-ES_tradnl" w:eastAsia="es-ES_tradnl"/>
        </w:rPr>
        <w:t xml:space="preserve">, la </w:t>
      </w:r>
      <w:r w:rsidRPr="0099001C">
        <w:rPr>
          <w:rFonts w:ascii="Arial" w:eastAsia="Calibri" w:hAnsi="Arial" w:cs="Arial"/>
          <w:i/>
          <w:iCs/>
          <w:color w:val="000000"/>
          <w:szCs w:val="24"/>
          <w:lang w:val="es-ES_tradnl" w:eastAsia="es-ES_tradnl"/>
        </w:rPr>
        <w:t xml:space="preserve">concentración de endeudamiento a corto </w:t>
      </w:r>
      <w:r w:rsidRPr="0099001C">
        <w:rPr>
          <w:rFonts w:ascii="Arial" w:eastAsia="Calibri" w:hAnsi="Arial" w:cs="Arial"/>
          <w:color w:val="000000"/>
          <w:szCs w:val="24"/>
          <w:lang w:val="es-ES_tradnl" w:eastAsia="es-ES_tradnl"/>
        </w:rPr>
        <w:t>y</w:t>
      </w:r>
      <w:r w:rsidRPr="0099001C">
        <w:rPr>
          <w:rFonts w:ascii="Arial" w:eastAsia="Calibri" w:hAnsi="Arial" w:cs="Arial"/>
          <w:i/>
          <w:iCs/>
          <w:color w:val="000000"/>
          <w:szCs w:val="24"/>
          <w:lang w:val="es-ES_tradnl" w:eastAsia="es-ES_tradnl"/>
        </w:rPr>
        <w:t xml:space="preserve"> a largo plazo</w:t>
      </w:r>
      <w:r w:rsidRPr="0099001C">
        <w:rPr>
          <w:rFonts w:ascii="Arial" w:eastAsia="Calibri" w:hAnsi="Arial" w:cs="Arial"/>
          <w:color w:val="000000"/>
          <w:szCs w:val="24"/>
          <w:lang w:val="es-ES_tradnl" w:eastAsia="es-ES_tradnl"/>
        </w:rPr>
        <w:t xml:space="preserve"> y el </w:t>
      </w:r>
      <w:r w:rsidRPr="0099001C">
        <w:rPr>
          <w:rFonts w:ascii="Arial" w:eastAsia="Calibri" w:hAnsi="Arial" w:cs="Arial"/>
          <w:i/>
          <w:iCs/>
          <w:color w:val="000000"/>
          <w:szCs w:val="24"/>
          <w:lang w:val="es-ES_tradnl" w:eastAsia="es-ES_tradnl"/>
        </w:rPr>
        <w:t>patrimonio</w:t>
      </w:r>
      <w:r w:rsidRPr="0099001C">
        <w:rPr>
          <w:rFonts w:ascii="Arial" w:eastAsia="Calibri" w:hAnsi="Arial" w:cs="Arial"/>
          <w:i/>
          <w:iCs/>
          <w:color w:val="000000"/>
          <w:szCs w:val="24"/>
          <w:vertAlign w:val="superscript"/>
          <w:lang w:val="es-ES_tradnl" w:eastAsia="es-ES_tradnl"/>
        </w:rPr>
        <w:footnoteReference w:id="9"/>
      </w:r>
      <w:r w:rsidRPr="0099001C">
        <w:rPr>
          <w:rFonts w:ascii="Arial" w:eastAsia="Calibri" w:hAnsi="Arial" w:cs="Arial"/>
          <w:color w:val="000000"/>
          <w:szCs w:val="24"/>
          <w:lang w:val="es-ES_tradnl" w:eastAsia="es-ES_tradnl"/>
        </w:rPr>
        <w:t>.</w:t>
      </w:r>
    </w:p>
    <w:p w14:paraId="164A09F1" w14:textId="77777777" w:rsidR="005C3B1C" w:rsidRDefault="005C3B1C" w:rsidP="005C3B1C">
      <w:pPr>
        <w:spacing w:before="120" w:after="120" w:line="276" w:lineRule="auto"/>
        <w:ind w:firstLine="709"/>
        <w:jc w:val="both"/>
        <w:rPr>
          <w:rFonts w:ascii="Arial" w:eastAsia="Calibri" w:hAnsi="Arial" w:cs="Arial"/>
          <w:color w:val="000000" w:themeColor="text1"/>
          <w:szCs w:val="24"/>
          <w:lang w:val="es-ES_tradnl" w:eastAsia="es-ES_tradnl"/>
        </w:rPr>
      </w:pPr>
      <w:r w:rsidRPr="0099001C">
        <w:rPr>
          <w:rFonts w:ascii="Arial" w:eastAsia="Calibri" w:hAnsi="Arial" w:cs="Arial"/>
          <w:color w:val="000000" w:themeColor="text1"/>
          <w:szCs w:val="24"/>
          <w:lang w:val="es-ES_tradnl" w:eastAsia="es-ES_tradnl"/>
        </w:rPr>
        <w:t>De igual forma, es importante tener en cuenta que el numeral 3 del artículo 2.2.1.1.1.5.3. del Decreto 1082 de 2015 se refiere a los aspectos de la capacidad financiera que deben verificar las cámaras de comercio al momento de la inscripción, renovación o actualización del Registro Único de Proponentes. Sin embargo, no dispone expresamente que el índice de liquidez, el índice de endeudamiento y la razón de cobertura de intereses sean aspectos que deban validarse obligatoriamente en cada proceso de selección. Una cosa son los requisitos de capacidad financiera que debe certificar el registro y otra, muy diferente, los aspectos de este requisito habilitante que la entidad verifica en cada procedimiento contractual. Mientras los primeros están regulados en el artículo 2.2.1.1.1.5.3. del Decreto 1082 de 2015, los segundos debe establecerlos la entidad contratante en el pliego de condiciones o la invitación, según corresponda.</w:t>
      </w:r>
    </w:p>
    <w:p w14:paraId="2A53A0A9" w14:textId="77777777" w:rsidR="00A41226" w:rsidRPr="0099001C" w:rsidRDefault="00A41226" w:rsidP="00A41226">
      <w:pPr>
        <w:spacing w:before="120" w:after="120" w:line="276" w:lineRule="auto"/>
        <w:ind w:firstLine="708"/>
        <w:jc w:val="both"/>
        <w:rPr>
          <w:rFonts w:ascii="Arial" w:eastAsia="Calibri" w:hAnsi="Arial" w:cs="Arial"/>
          <w:color w:val="000000"/>
          <w:szCs w:val="24"/>
          <w:lang w:val="es-ES_tradnl" w:eastAsia="es-ES_tradnl"/>
        </w:rPr>
      </w:pPr>
      <w:r w:rsidRPr="0099001C">
        <w:rPr>
          <w:rFonts w:ascii="Arial" w:eastAsia="Calibri" w:hAnsi="Arial" w:cs="Arial"/>
          <w:color w:val="000000"/>
          <w:szCs w:val="24"/>
          <w:lang w:val="es-ES_tradnl" w:eastAsia="es-ES_tradnl"/>
        </w:rPr>
        <w:t xml:space="preserve">Esta Agencia puso a disposición de los interesados el </w:t>
      </w:r>
      <w:r w:rsidRPr="0099001C">
        <w:rPr>
          <w:rFonts w:ascii="Arial" w:eastAsia="Calibri" w:hAnsi="Arial" w:cs="Arial"/>
          <w:i/>
          <w:iCs/>
          <w:color w:val="000000"/>
          <w:szCs w:val="24"/>
          <w:lang w:val="es-ES_tradnl" w:eastAsia="es-ES_tradnl"/>
        </w:rPr>
        <w:t>“Manual para determinar y verificar los requisitos habilitantes en los procesos de contratación”</w:t>
      </w:r>
      <w:r w:rsidRPr="0099001C">
        <w:rPr>
          <w:rFonts w:ascii="Arial" w:eastAsia="Calibri" w:hAnsi="Arial" w:cs="Arial"/>
          <w:i/>
          <w:iCs/>
          <w:color w:val="000000"/>
          <w:szCs w:val="24"/>
          <w:vertAlign w:val="superscript"/>
          <w:lang w:val="es-ES_tradnl" w:eastAsia="es-ES_tradnl"/>
        </w:rPr>
        <w:footnoteReference w:id="10"/>
      </w:r>
      <w:r w:rsidRPr="0099001C">
        <w:rPr>
          <w:rFonts w:ascii="Arial" w:eastAsia="Calibri" w:hAnsi="Arial" w:cs="Arial"/>
          <w:i/>
          <w:iCs/>
          <w:color w:val="000000"/>
          <w:szCs w:val="24"/>
          <w:lang w:val="es-ES_tradnl" w:eastAsia="es-ES_tradnl"/>
        </w:rPr>
        <w:t>.</w:t>
      </w:r>
      <w:r w:rsidRPr="0099001C">
        <w:rPr>
          <w:rFonts w:ascii="Arial" w:eastAsia="Calibri" w:hAnsi="Arial" w:cs="Arial"/>
          <w:color w:val="000000"/>
          <w:szCs w:val="24"/>
          <w:lang w:val="es-ES_tradnl" w:eastAsia="es-ES_tradnl"/>
        </w:rPr>
        <w:t xml:space="preserve"> En dicho Manual se plantean definiciones para cada requisito habilitante y se indican lineamientos orientadores que la Entidad Estatal puede considerar para establecerlos, pero en todo caso es ella quien los define, de forma proporcional a la naturaleza y al valor del contrato, por lo que para ello deberán observarse los resultados de los Estudios del Sector que se hayan realizado para el respectivo Proceso de Contratación.</w:t>
      </w:r>
    </w:p>
    <w:p w14:paraId="683A3BC7" w14:textId="77777777" w:rsidR="00A41226" w:rsidRDefault="00A41226" w:rsidP="00A41226">
      <w:pPr>
        <w:spacing w:before="120" w:after="120" w:line="276" w:lineRule="auto"/>
        <w:ind w:firstLine="709"/>
        <w:jc w:val="both"/>
        <w:rPr>
          <w:rFonts w:ascii="Arial" w:eastAsia="Calibri" w:hAnsi="Arial" w:cs="Arial"/>
          <w:color w:val="000000"/>
          <w:szCs w:val="24"/>
          <w:lang w:val="es-ES_tradnl" w:eastAsia="es-ES_tradnl"/>
        </w:rPr>
      </w:pPr>
      <w:r w:rsidRPr="0099001C">
        <w:rPr>
          <w:rFonts w:ascii="Arial" w:eastAsia="Calibri" w:hAnsi="Arial" w:cs="Arial"/>
          <w:color w:val="000000"/>
          <w:szCs w:val="24"/>
          <w:lang w:val="es-ES_tradnl" w:eastAsia="es-ES_tradnl"/>
        </w:rPr>
        <w:lastRenderedPageBreak/>
        <w:t>Al respecto, es importante señalar que para que la Entidad Estatal defina ciertos indicadores financieros como requisitos habilitantes, no es suficiente la aplicación mecánica de fórmulas financieras, pues deben conocer cada indicador, sus fórmulas de cálculo y su interpretación, para que así se garantice que en su aplicación se entiende el resultado y sus implicaciones para el procedimiento contractual</w:t>
      </w:r>
      <w:r w:rsidRPr="0099001C">
        <w:rPr>
          <w:rFonts w:ascii="Arial" w:eastAsia="Calibri" w:hAnsi="Arial" w:cs="Arial"/>
          <w:color w:val="000000"/>
          <w:szCs w:val="24"/>
          <w:vertAlign w:val="superscript"/>
          <w:lang w:val="es-ES_tradnl" w:eastAsia="es-ES_tradnl"/>
        </w:rPr>
        <w:footnoteReference w:id="11"/>
      </w:r>
      <w:r w:rsidRPr="0099001C">
        <w:rPr>
          <w:rFonts w:ascii="Arial" w:eastAsia="Calibri" w:hAnsi="Arial" w:cs="Arial"/>
          <w:color w:val="000000"/>
          <w:szCs w:val="24"/>
          <w:lang w:val="es-ES_tradnl" w:eastAsia="es-ES_tradnl"/>
        </w:rPr>
        <w:t>. Sus resultados deben interpretarse observando el riesgo que un indicador alto o bajo representa para el procedimiento. Por ende, la Entidad Estatal debe establecer unos límites dentro de los cuales se garantice que el proponente pueda cumplir el contrato en caso de celebrarlo</w:t>
      </w:r>
      <w:r w:rsidRPr="0099001C">
        <w:rPr>
          <w:rFonts w:ascii="Arial" w:eastAsia="Calibri" w:hAnsi="Arial" w:cs="Arial"/>
          <w:color w:val="000000"/>
          <w:szCs w:val="24"/>
          <w:vertAlign w:val="superscript"/>
          <w:lang w:val="es-ES_tradnl" w:eastAsia="es-ES_tradnl"/>
        </w:rPr>
        <w:footnoteReference w:id="12"/>
      </w:r>
      <w:r w:rsidRPr="0099001C">
        <w:rPr>
          <w:rFonts w:ascii="Arial" w:eastAsia="Calibri" w:hAnsi="Arial" w:cs="Arial"/>
          <w:color w:val="000000"/>
          <w:szCs w:val="24"/>
          <w:lang w:val="es-ES_tradnl" w:eastAsia="es-ES_tradnl"/>
        </w:rPr>
        <w:t xml:space="preserve">. </w:t>
      </w:r>
    </w:p>
    <w:p w14:paraId="06D1BF09" w14:textId="749A8DAE" w:rsidR="00A41226" w:rsidRDefault="00A41226" w:rsidP="00A41226">
      <w:pPr>
        <w:spacing w:before="120" w:after="120" w:line="276" w:lineRule="auto"/>
        <w:ind w:firstLine="709"/>
        <w:jc w:val="both"/>
        <w:rPr>
          <w:rFonts w:ascii="Arial" w:eastAsia="Calibri" w:hAnsi="Arial" w:cs="Arial"/>
          <w:color w:val="000000" w:themeColor="text1"/>
          <w:szCs w:val="24"/>
          <w:lang w:val="es-ES_tradnl" w:eastAsia="es-ES_tradnl"/>
        </w:rPr>
      </w:pPr>
      <w:r>
        <w:rPr>
          <w:rFonts w:ascii="Arial" w:eastAsia="Calibri" w:hAnsi="Arial" w:cs="Arial"/>
          <w:color w:val="000000" w:themeColor="text1"/>
          <w:szCs w:val="24"/>
          <w:lang w:val="es-ES_tradnl" w:eastAsia="es-ES_tradnl"/>
        </w:rPr>
        <w:t xml:space="preserve">Conforme a lo explicado, en atención a lo dispuesto en los artículos 5 y 6 de la Ley 1150 de 2007, así como los artículos </w:t>
      </w:r>
      <w:r w:rsidRPr="00654B56">
        <w:rPr>
          <w:rFonts w:ascii="Arial" w:eastAsia="Calibri" w:hAnsi="Arial" w:cs="Arial"/>
          <w:color w:val="000000" w:themeColor="text1"/>
          <w:szCs w:val="24"/>
          <w:lang w:val="es-ES_tradnl" w:eastAsia="es-ES_tradnl"/>
        </w:rPr>
        <w:t xml:space="preserve">2.2.1.1.1.5.2. </w:t>
      </w:r>
      <w:r>
        <w:rPr>
          <w:rFonts w:ascii="Arial" w:eastAsia="Calibri" w:hAnsi="Arial" w:cs="Arial"/>
          <w:color w:val="000000" w:themeColor="text1"/>
          <w:szCs w:val="24"/>
          <w:lang w:val="es-ES_tradnl" w:eastAsia="es-ES_tradnl"/>
        </w:rPr>
        <w:t xml:space="preserve">y </w:t>
      </w:r>
      <w:r w:rsidRPr="0099001C">
        <w:rPr>
          <w:rFonts w:ascii="Arial" w:eastAsia="Calibri" w:hAnsi="Arial" w:cs="Arial"/>
          <w:color w:val="000000" w:themeColor="text1"/>
          <w:szCs w:val="24"/>
          <w:lang w:val="es-ES_tradnl" w:eastAsia="es-ES_tradnl"/>
        </w:rPr>
        <w:t>2.2.1.1.1.5.3. del Decreto 1082 de 2015</w:t>
      </w:r>
      <w:r>
        <w:rPr>
          <w:rFonts w:ascii="Arial" w:eastAsia="Calibri" w:hAnsi="Arial" w:cs="Arial"/>
          <w:color w:val="000000" w:themeColor="text1"/>
          <w:szCs w:val="24"/>
          <w:lang w:val="es-ES_tradnl" w:eastAsia="es-ES_tradnl"/>
        </w:rPr>
        <w:t>,</w:t>
      </w:r>
      <w:r w:rsidRPr="0099001C">
        <w:rPr>
          <w:rFonts w:ascii="Arial" w:eastAsia="Calibri" w:hAnsi="Arial" w:cs="Arial"/>
          <w:color w:val="000000" w:themeColor="text1"/>
          <w:szCs w:val="24"/>
          <w:lang w:val="es-ES_tradnl" w:eastAsia="es-ES_tradnl"/>
        </w:rPr>
        <w:t xml:space="preserve"> </w:t>
      </w:r>
      <w:r>
        <w:rPr>
          <w:rFonts w:ascii="Arial" w:eastAsia="Calibri" w:hAnsi="Arial" w:cs="Arial"/>
          <w:color w:val="000000" w:themeColor="text1"/>
          <w:szCs w:val="24"/>
          <w:lang w:val="es-ES_tradnl" w:eastAsia="es-ES_tradnl"/>
        </w:rPr>
        <w:t>los proponentes nacionales y los proponentes extranjeros con sucursal en Colombia están en principio llamados a acreditar su capacidad financiera mediante el RUP, al estar por regla general obligados a cumplir con este requisito en los procesos de contratación regidos por el EGCAP. No obstante, en el marco de la discrecionalidad que les asiste a las entidades para establecer los requisitos habilitantes, bien podría una entidad demostrar la capacidad financiera con indicadores adicionales o diferentes de los contenidos en el RUP, caso en el que podría ser necesario que se acredite información adicional a al certificada en RUP, evento en el cual corresponde a la entidad estatal establecer en el pliego de condiciones cual sería la forma y medio para acreditar la capacidad financiera exigida.</w:t>
      </w:r>
    </w:p>
    <w:p w14:paraId="1DF8D28B" w14:textId="7483201F" w:rsidR="0027207A" w:rsidRDefault="00EE2496" w:rsidP="00F029C1">
      <w:pPr>
        <w:spacing w:before="120" w:after="120" w:line="276" w:lineRule="auto"/>
        <w:ind w:firstLine="709"/>
        <w:jc w:val="both"/>
        <w:rPr>
          <w:rFonts w:ascii="Arial" w:eastAsia="Calibri" w:hAnsi="Arial" w:cs="Arial"/>
          <w:color w:val="000000" w:themeColor="text1"/>
          <w:szCs w:val="24"/>
          <w:lang w:val="es-ES_tradnl" w:eastAsia="es-ES_tradnl"/>
        </w:rPr>
      </w:pPr>
      <w:r>
        <w:rPr>
          <w:rFonts w:ascii="Arial" w:eastAsia="Calibri" w:hAnsi="Arial" w:cs="Arial"/>
          <w:color w:val="000000" w:themeColor="text1"/>
          <w:szCs w:val="24"/>
          <w:lang w:val="es-ES_tradnl" w:eastAsia="es-ES_tradnl"/>
        </w:rPr>
        <w:t>Caso diferente es</w:t>
      </w:r>
      <w:r w:rsidR="003464CB">
        <w:rPr>
          <w:rFonts w:ascii="Arial" w:eastAsia="Calibri" w:hAnsi="Arial" w:cs="Arial"/>
          <w:color w:val="000000" w:themeColor="text1"/>
          <w:szCs w:val="24"/>
          <w:lang w:val="es-ES_tradnl" w:eastAsia="es-ES_tradnl"/>
        </w:rPr>
        <w:t xml:space="preserve"> el</w:t>
      </w:r>
      <w:r>
        <w:rPr>
          <w:rFonts w:ascii="Arial" w:eastAsia="Calibri" w:hAnsi="Arial" w:cs="Arial"/>
          <w:color w:val="000000" w:themeColor="text1"/>
          <w:szCs w:val="24"/>
          <w:lang w:val="es-ES_tradnl" w:eastAsia="es-ES_tradnl"/>
        </w:rPr>
        <w:t xml:space="preserve"> de l</w:t>
      </w:r>
      <w:r w:rsidR="00427BB4">
        <w:rPr>
          <w:rFonts w:ascii="Arial" w:eastAsia="Calibri" w:hAnsi="Arial" w:cs="Arial"/>
          <w:color w:val="000000" w:themeColor="text1"/>
          <w:szCs w:val="24"/>
          <w:lang w:val="es-ES_tradnl" w:eastAsia="es-ES_tradnl"/>
        </w:rPr>
        <w:t>a</w:t>
      </w:r>
      <w:r>
        <w:rPr>
          <w:rFonts w:ascii="Arial" w:eastAsia="Calibri" w:hAnsi="Arial" w:cs="Arial"/>
          <w:color w:val="000000" w:themeColor="text1"/>
          <w:szCs w:val="24"/>
          <w:lang w:val="es-ES_tradnl" w:eastAsia="es-ES_tradnl"/>
        </w:rPr>
        <w:t xml:space="preserve">s </w:t>
      </w:r>
      <w:r w:rsidR="00F029C1">
        <w:rPr>
          <w:rFonts w:ascii="Arial" w:eastAsia="Calibri" w:hAnsi="Arial" w:cs="Arial"/>
          <w:color w:val="000000" w:themeColor="text1"/>
          <w:szCs w:val="24"/>
          <w:lang w:val="es-ES_tradnl" w:eastAsia="es-ES_tradnl"/>
        </w:rPr>
        <w:t>sociedades extranjeras sin sucursal en Colombia</w:t>
      </w:r>
      <w:r w:rsidR="00512FBF">
        <w:rPr>
          <w:rFonts w:ascii="Arial" w:eastAsia="Calibri" w:hAnsi="Arial" w:cs="Arial"/>
          <w:color w:val="000000" w:themeColor="text1"/>
          <w:szCs w:val="24"/>
          <w:lang w:val="es-ES_tradnl" w:eastAsia="es-ES_tradnl"/>
        </w:rPr>
        <w:t>,</w:t>
      </w:r>
      <w:r w:rsidR="00F029C1">
        <w:rPr>
          <w:rFonts w:ascii="Arial" w:eastAsia="Calibri" w:hAnsi="Arial" w:cs="Arial"/>
          <w:color w:val="000000" w:themeColor="text1"/>
          <w:szCs w:val="24"/>
          <w:lang w:val="es-ES_tradnl" w:eastAsia="es-ES_tradnl"/>
        </w:rPr>
        <w:t xml:space="preserve"> quienes al no estar obligadas</w:t>
      </w:r>
      <w:r w:rsidR="003464CB">
        <w:rPr>
          <w:rFonts w:ascii="Arial" w:eastAsia="Calibri" w:hAnsi="Arial" w:cs="Arial"/>
          <w:color w:val="000000" w:themeColor="text1"/>
          <w:szCs w:val="24"/>
          <w:lang w:val="es-ES_tradnl" w:eastAsia="es-ES_tradnl"/>
        </w:rPr>
        <w:t xml:space="preserve"> a inscribirse en el RUP para </w:t>
      </w:r>
      <w:r w:rsidR="00A76487">
        <w:rPr>
          <w:rFonts w:ascii="Arial" w:eastAsia="Calibri" w:hAnsi="Arial" w:cs="Arial"/>
          <w:color w:val="000000" w:themeColor="text1"/>
          <w:szCs w:val="24"/>
          <w:lang w:val="es-ES_tradnl" w:eastAsia="es-ES_tradnl"/>
        </w:rPr>
        <w:t xml:space="preserve">para participar en Procesos de Contratación, </w:t>
      </w:r>
      <w:r w:rsidR="00512FBF">
        <w:rPr>
          <w:rFonts w:ascii="Arial" w:eastAsia="Calibri" w:hAnsi="Arial" w:cs="Arial"/>
          <w:color w:val="000000" w:themeColor="text1"/>
          <w:szCs w:val="24"/>
          <w:lang w:val="es-ES_tradnl" w:eastAsia="es-ES_tradnl"/>
        </w:rPr>
        <w:t>deben acreditar su capacidad financiera de manera directa. Para estos efectos, las Entidades Estatales deben establecer reglas clar</w:t>
      </w:r>
      <w:r w:rsidR="00B46236">
        <w:rPr>
          <w:rFonts w:ascii="Arial" w:eastAsia="Calibri" w:hAnsi="Arial" w:cs="Arial"/>
          <w:color w:val="000000" w:themeColor="text1"/>
          <w:szCs w:val="24"/>
          <w:lang w:val="es-ES_tradnl" w:eastAsia="es-ES_tradnl"/>
        </w:rPr>
        <w:t>a</w:t>
      </w:r>
      <w:r w:rsidR="00512FBF">
        <w:rPr>
          <w:rFonts w:ascii="Arial" w:eastAsia="Calibri" w:hAnsi="Arial" w:cs="Arial"/>
          <w:color w:val="000000" w:themeColor="text1"/>
          <w:szCs w:val="24"/>
          <w:lang w:val="es-ES_tradnl" w:eastAsia="es-ES_tradnl"/>
        </w:rPr>
        <w:t xml:space="preserve">s en los pliegos de condiciones </w:t>
      </w:r>
      <w:r w:rsidR="007016B2">
        <w:rPr>
          <w:rFonts w:ascii="Arial" w:eastAsia="Calibri" w:hAnsi="Arial" w:cs="Arial"/>
          <w:color w:val="000000" w:themeColor="text1"/>
          <w:szCs w:val="24"/>
          <w:lang w:val="es-ES_tradnl" w:eastAsia="es-ES_tradnl"/>
        </w:rPr>
        <w:t xml:space="preserve">en las que se establezcan la información a acreditarse, los medios que deben </w:t>
      </w:r>
      <w:r w:rsidR="00B46236">
        <w:rPr>
          <w:rFonts w:ascii="Arial" w:eastAsia="Calibri" w:hAnsi="Arial" w:cs="Arial"/>
          <w:color w:val="000000" w:themeColor="text1"/>
          <w:szCs w:val="24"/>
          <w:lang w:val="es-ES_tradnl" w:eastAsia="es-ES_tradnl"/>
        </w:rPr>
        <w:t xml:space="preserve">utilizarse para su demostración, así como los parámetros de </w:t>
      </w:r>
      <w:r w:rsidR="0071605C">
        <w:rPr>
          <w:rFonts w:ascii="Arial" w:eastAsia="Calibri" w:hAnsi="Arial" w:cs="Arial"/>
          <w:color w:val="000000" w:themeColor="text1"/>
          <w:szCs w:val="24"/>
          <w:lang w:val="es-ES_tradnl" w:eastAsia="es-ES_tradnl"/>
        </w:rPr>
        <w:t>conversión</w:t>
      </w:r>
      <w:r w:rsidR="0027207A">
        <w:rPr>
          <w:rFonts w:ascii="Arial" w:eastAsia="Calibri" w:hAnsi="Arial" w:cs="Arial"/>
          <w:color w:val="000000" w:themeColor="text1"/>
          <w:szCs w:val="24"/>
          <w:lang w:val="es-ES_tradnl" w:eastAsia="es-ES_tradnl"/>
        </w:rPr>
        <w:t>, traducción</w:t>
      </w:r>
      <w:r w:rsidR="0071605C">
        <w:rPr>
          <w:rFonts w:ascii="Arial" w:eastAsia="Calibri" w:hAnsi="Arial" w:cs="Arial"/>
          <w:color w:val="000000" w:themeColor="text1"/>
          <w:szCs w:val="24"/>
          <w:lang w:val="es-ES_tradnl" w:eastAsia="es-ES_tradnl"/>
        </w:rPr>
        <w:t xml:space="preserve"> y/o homologación que deban tenerse en cuenta para </w:t>
      </w:r>
      <w:r w:rsidR="00BE65AA">
        <w:rPr>
          <w:rFonts w:ascii="Arial" w:eastAsia="Calibri" w:hAnsi="Arial" w:cs="Arial"/>
          <w:color w:val="000000" w:themeColor="text1"/>
          <w:szCs w:val="24"/>
          <w:lang w:val="es-ES_tradnl" w:eastAsia="es-ES_tradnl"/>
        </w:rPr>
        <w:t>medir los indicadores en condiciones</w:t>
      </w:r>
      <w:r w:rsidR="0027207A">
        <w:rPr>
          <w:rFonts w:ascii="Arial" w:eastAsia="Calibri" w:hAnsi="Arial" w:cs="Arial"/>
          <w:color w:val="000000" w:themeColor="text1"/>
          <w:szCs w:val="24"/>
          <w:lang w:val="es-ES_tradnl" w:eastAsia="es-ES_tradnl"/>
        </w:rPr>
        <w:t xml:space="preserve"> </w:t>
      </w:r>
      <w:r w:rsidR="00617697">
        <w:rPr>
          <w:rFonts w:ascii="Arial" w:eastAsia="Calibri" w:hAnsi="Arial" w:cs="Arial"/>
          <w:color w:val="000000" w:themeColor="text1"/>
          <w:szCs w:val="24"/>
          <w:lang w:val="es-ES_tradnl" w:eastAsia="es-ES_tradnl"/>
        </w:rPr>
        <w:t>similares</w:t>
      </w:r>
      <w:r w:rsidR="0027207A">
        <w:rPr>
          <w:rFonts w:ascii="Arial" w:eastAsia="Calibri" w:hAnsi="Arial" w:cs="Arial"/>
          <w:color w:val="000000" w:themeColor="text1"/>
          <w:szCs w:val="24"/>
          <w:lang w:val="es-ES_tradnl" w:eastAsia="es-ES_tradnl"/>
        </w:rPr>
        <w:t xml:space="preserve"> a las de los demás proponentes. </w:t>
      </w:r>
    </w:p>
    <w:p w14:paraId="5C7C5C0A" w14:textId="1E14E6B1" w:rsidR="00C95BEB" w:rsidRPr="00803E08" w:rsidRDefault="00474390" w:rsidP="00341D4A">
      <w:pPr>
        <w:spacing w:after="0"/>
        <w:ind w:firstLine="708"/>
        <w:jc w:val="both"/>
      </w:pPr>
      <w:r w:rsidRPr="00341D4A">
        <w:rPr>
          <w:rFonts w:ascii="Arial" w:hAnsi="Arial" w:cs="Arial"/>
          <w:lang w:val="es-ES_tradnl" w:eastAsia="es-ES_tradnl"/>
        </w:rPr>
        <w:t xml:space="preserve">Ahora bien, conforme se explicaba </w:t>
      </w:r>
      <w:r w:rsidRPr="00341D4A">
        <w:rPr>
          <w:rFonts w:ascii="Arial" w:hAnsi="Arial" w:cs="Arial"/>
          <w:i/>
          <w:iCs/>
          <w:lang w:val="es-ES_tradnl" w:eastAsia="es-ES_tradnl"/>
        </w:rPr>
        <w:t>supra</w:t>
      </w:r>
      <w:r w:rsidRPr="00341D4A">
        <w:rPr>
          <w:rFonts w:ascii="Arial" w:hAnsi="Arial" w:cs="Arial"/>
          <w:lang w:val="es-ES_tradnl" w:eastAsia="es-ES_tradnl"/>
        </w:rPr>
        <w:t xml:space="preserve">, </w:t>
      </w:r>
      <w:r w:rsidR="00755BA1" w:rsidRPr="00341D4A">
        <w:rPr>
          <w:rFonts w:ascii="Arial" w:hAnsi="Arial" w:cs="Arial"/>
          <w:lang w:val="es-ES_tradnl" w:eastAsia="es-ES_tradnl"/>
        </w:rPr>
        <w:t>para la inscripción en el RUP</w:t>
      </w:r>
      <w:r w:rsidR="009B3FF7">
        <w:rPr>
          <w:rFonts w:ascii="Arial" w:hAnsi="Arial" w:cs="Arial"/>
          <w:lang w:val="es-ES_tradnl" w:eastAsia="es-ES_tradnl"/>
        </w:rPr>
        <w:t>,</w:t>
      </w:r>
      <w:r w:rsidR="00755BA1" w:rsidRPr="00341D4A">
        <w:rPr>
          <w:rFonts w:ascii="Arial" w:hAnsi="Arial" w:cs="Arial"/>
          <w:lang w:val="es-ES_tradnl" w:eastAsia="es-ES_tradnl"/>
        </w:rPr>
        <w:t xml:space="preserve"> los </w:t>
      </w:r>
      <w:r w:rsidR="00165E1B" w:rsidRPr="00341D4A">
        <w:rPr>
          <w:rFonts w:ascii="Arial" w:hAnsi="Arial" w:cs="Arial"/>
          <w:lang w:val="es-ES_tradnl" w:eastAsia="es-ES_tradnl"/>
        </w:rPr>
        <w:t xml:space="preserve">interesados deben presentar los </w:t>
      </w:r>
      <w:r w:rsidR="00046324" w:rsidRPr="00341D4A">
        <w:rPr>
          <w:rFonts w:ascii="Arial" w:hAnsi="Arial" w:cs="Arial"/>
          <w:lang w:val="es-ES_tradnl" w:eastAsia="es-ES_tradnl"/>
        </w:rPr>
        <w:t xml:space="preserve">estados financieros de la sociedad y los estados financieros consolidados del grupo empresarial, cuando la norma aplicable lo exige, </w:t>
      </w:r>
      <w:r w:rsidR="00046324" w:rsidRPr="00341D4A">
        <w:rPr>
          <w:rFonts w:ascii="Arial" w:hAnsi="Arial" w:cs="Arial"/>
          <w:lang w:val="es-ES_tradnl" w:eastAsia="es-ES_tradnl"/>
        </w:rPr>
        <w:lastRenderedPageBreak/>
        <w:t xml:space="preserve">auditados con sus notas, acompañados de </w:t>
      </w:r>
      <w:r w:rsidR="00595693" w:rsidRPr="00341D4A">
        <w:rPr>
          <w:rFonts w:ascii="Arial" w:hAnsi="Arial" w:cs="Arial"/>
          <w:lang w:val="es-ES_tradnl" w:eastAsia="es-ES_tradnl"/>
        </w:rPr>
        <w:t xml:space="preserve">los siguientes anexos, suscritos por el representante legal y el revisor fiscal, si la persona jurídica está obligada a tenerlo, o suscritos por el representante legal y el auditor o contador si la persona jurídica no está obligada a tener revisor fiscal: </w:t>
      </w:r>
      <w:r w:rsidR="00116C28" w:rsidRPr="00341D4A">
        <w:rPr>
          <w:rFonts w:ascii="Arial" w:hAnsi="Arial" w:cs="Arial"/>
          <w:lang w:eastAsia="es-ES_tradnl"/>
        </w:rPr>
        <w:t xml:space="preserve">i) principales cuentas detalladas del balance general; </w:t>
      </w:r>
      <w:proofErr w:type="spellStart"/>
      <w:r w:rsidR="00116C28" w:rsidRPr="00341D4A">
        <w:rPr>
          <w:rFonts w:ascii="Arial" w:hAnsi="Arial" w:cs="Arial"/>
          <w:lang w:eastAsia="es-ES_tradnl"/>
        </w:rPr>
        <w:t>ii</w:t>
      </w:r>
      <w:proofErr w:type="spellEnd"/>
      <w:r w:rsidR="00116C28" w:rsidRPr="00341D4A">
        <w:rPr>
          <w:rFonts w:ascii="Arial" w:hAnsi="Arial" w:cs="Arial"/>
          <w:lang w:eastAsia="es-ES_tradnl"/>
        </w:rPr>
        <w:t>) principales cuentas del estado de pérdidas y ganancias</w:t>
      </w:r>
      <w:r w:rsidR="00C95BEB" w:rsidRPr="00341D4A">
        <w:rPr>
          <w:rFonts w:ascii="Arial" w:hAnsi="Arial" w:cs="Arial"/>
          <w:lang w:eastAsia="es-ES_tradnl"/>
        </w:rPr>
        <w:t xml:space="preserve">; y </w:t>
      </w:r>
      <w:proofErr w:type="spellStart"/>
      <w:r w:rsidR="00C95BEB" w:rsidRPr="00341D4A">
        <w:rPr>
          <w:rFonts w:ascii="Arial" w:hAnsi="Arial" w:cs="Arial"/>
          <w:lang w:eastAsia="es-ES_tradnl"/>
        </w:rPr>
        <w:t>iii</w:t>
      </w:r>
      <w:proofErr w:type="spellEnd"/>
      <w:r w:rsidR="00C95BEB" w:rsidRPr="00341D4A">
        <w:rPr>
          <w:rFonts w:ascii="Arial" w:hAnsi="Arial" w:cs="Arial"/>
          <w:lang w:eastAsia="es-ES_tradnl"/>
        </w:rPr>
        <w:t>) Cuentas contingentes deudoras y acreedoras</w:t>
      </w:r>
      <w:r w:rsidR="00116C28" w:rsidRPr="00341D4A">
        <w:rPr>
          <w:rFonts w:ascii="Arial" w:hAnsi="Arial" w:cs="Arial"/>
          <w:lang w:eastAsia="es-ES_tradnl"/>
        </w:rPr>
        <w:t>. </w:t>
      </w:r>
      <w:r w:rsidR="00C95BEB" w:rsidRPr="00341D4A">
        <w:rPr>
          <w:rFonts w:ascii="Arial" w:hAnsi="Arial" w:cs="Arial"/>
          <w:lang w:eastAsia="es-ES_tradnl"/>
        </w:rPr>
        <w:t>Sobre el particular, la</w:t>
      </w:r>
      <w:r w:rsidR="00C95BEB" w:rsidRPr="00341D4A">
        <w:rPr>
          <w:rFonts w:ascii="Arial" w:hAnsi="Arial" w:cs="Arial"/>
        </w:rPr>
        <w:t xml:space="preserve"> Circular Externa Única de la Superintendencia de Industria y Comercio, en el capítulo VII, numeral 4.2.2.3 prevé lo siguiente:</w:t>
      </w:r>
    </w:p>
    <w:p w14:paraId="47230C18" w14:textId="77777777" w:rsidR="0032541E" w:rsidRPr="00F4473E" w:rsidRDefault="0032541E" w:rsidP="009B3FF7">
      <w:pPr>
        <w:pStyle w:val="Textoindependiente"/>
        <w:spacing w:before="3"/>
        <w:rPr>
          <w:sz w:val="25"/>
        </w:rPr>
      </w:pPr>
    </w:p>
    <w:p w14:paraId="250CA2BF" w14:textId="22E5A506" w:rsidR="00C95BEB" w:rsidRPr="00341D4A" w:rsidRDefault="00C95BEB" w:rsidP="009B3FF7">
      <w:pPr>
        <w:pStyle w:val="Textoindependiente"/>
        <w:ind w:left="1008" w:right="1154"/>
        <w:jc w:val="both"/>
        <w:rPr>
          <w:sz w:val="20"/>
          <w:szCs w:val="20"/>
        </w:rPr>
      </w:pPr>
      <w:r w:rsidRPr="00341D4A">
        <w:rPr>
          <w:sz w:val="20"/>
          <w:szCs w:val="20"/>
        </w:rPr>
        <w:t>“4.2.2.3. Capacidad financiera y Capacidad Organizacional Los proponentes deberán acreditar su capacidad financiera y organizacional de acuerdo con lo dispuesto en las normas que rijan la materia. Las Cámaras de Comercio verificarán que la información financiera sea coherente con la reportada por el proponente en el Registro Mercantil o Registro de Entidad sin Ánimo de Lucro o en los demás registros que llevan las Cámaras de Comercio, salvo cuando se trate de sociedades extranjeras, entidades no inscritas en la Cámara de Comercio o personas naturales no</w:t>
      </w:r>
      <w:r w:rsidRPr="00341D4A">
        <w:rPr>
          <w:spacing w:val="-8"/>
          <w:sz w:val="20"/>
          <w:szCs w:val="20"/>
        </w:rPr>
        <w:t xml:space="preserve"> </w:t>
      </w:r>
      <w:r w:rsidRPr="00341D4A">
        <w:rPr>
          <w:sz w:val="20"/>
          <w:szCs w:val="20"/>
        </w:rPr>
        <w:t>matriculadas.</w:t>
      </w:r>
    </w:p>
    <w:p w14:paraId="70CC4D3B" w14:textId="77777777" w:rsidR="00C95BEB" w:rsidRPr="00C95BEB" w:rsidRDefault="00C95BEB" w:rsidP="00341D4A">
      <w:pPr>
        <w:pStyle w:val="Textoindependiente"/>
        <w:rPr>
          <w:sz w:val="20"/>
          <w:szCs w:val="20"/>
        </w:rPr>
      </w:pPr>
    </w:p>
    <w:p w14:paraId="68BBB416" w14:textId="77777777" w:rsidR="00C95BEB" w:rsidRPr="00F81263" w:rsidRDefault="00C95BEB" w:rsidP="009B3FF7">
      <w:pPr>
        <w:pStyle w:val="Prrafodelista"/>
        <w:widowControl w:val="0"/>
        <w:numPr>
          <w:ilvl w:val="1"/>
          <w:numId w:val="7"/>
        </w:numPr>
        <w:tabs>
          <w:tab w:val="left" w:pos="1176"/>
        </w:tabs>
        <w:autoSpaceDE w:val="0"/>
        <w:autoSpaceDN w:val="0"/>
        <w:spacing w:after="0" w:line="240" w:lineRule="auto"/>
        <w:ind w:right="1162" w:firstLine="0"/>
        <w:contextualSpacing w:val="0"/>
        <w:jc w:val="both"/>
        <w:rPr>
          <w:rFonts w:ascii="Arial" w:hAnsi="Arial" w:cs="Arial"/>
          <w:sz w:val="20"/>
          <w:szCs w:val="20"/>
        </w:rPr>
      </w:pPr>
      <w:r w:rsidRPr="00F81263">
        <w:rPr>
          <w:rFonts w:ascii="Arial" w:hAnsi="Arial" w:cs="Arial"/>
          <w:sz w:val="20"/>
          <w:szCs w:val="20"/>
        </w:rPr>
        <w:t xml:space="preserve">Las personas naturales obligadas a llevar </w:t>
      </w:r>
      <w:proofErr w:type="gramStart"/>
      <w:r w:rsidRPr="00F81263">
        <w:rPr>
          <w:rFonts w:ascii="Arial" w:hAnsi="Arial" w:cs="Arial"/>
          <w:sz w:val="20"/>
          <w:szCs w:val="20"/>
        </w:rPr>
        <w:t>contabilidad,</w:t>
      </w:r>
      <w:proofErr w:type="gramEnd"/>
      <w:r w:rsidRPr="00F81263">
        <w:rPr>
          <w:rFonts w:ascii="Arial" w:hAnsi="Arial" w:cs="Arial"/>
          <w:sz w:val="20"/>
          <w:szCs w:val="20"/>
        </w:rPr>
        <w:t xml:space="preserve"> deberán presentar sus estados financieros debidamente</w:t>
      </w:r>
      <w:r w:rsidRPr="00F81263">
        <w:rPr>
          <w:rFonts w:ascii="Arial" w:hAnsi="Arial" w:cs="Arial"/>
          <w:spacing w:val="-6"/>
          <w:sz w:val="20"/>
          <w:szCs w:val="20"/>
        </w:rPr>
        <w:t xml:space="preserve"> </w:t>
      </w:r>
      <w:r w:rsidRPr="00F81263">
        <w:rPr>
          <w:rFonts w:ascii="Arial" w:hAnsi="Arial" w:cs="Arial"/>
          <w:sz w:val="20"/>
          <w:szCs w:val="20"/>
        </w:rPr>
        <w:t>certificados.</w:t>
      </w:r>
    </w:p>
    <w:p w14:paraId="03F8A050" w14:textId="77777777" w:rsidR="00C95BEB" w:rsidRPr="00F81263" w:rsidRDefault="00C95BEB" w:rsidP="009B3FF7">
      <w:pPr>
        <w:pStyle w:val="Textoindependiente"/>
        <w:rPr>
          <w:sz w:val="20"/>
          <w:szCs w:val="20"/>
        </w:rPr>
      </w:pPr>
    </w:p>
    <w:p w14:paraId="742ADB40" w14:textId="77777777" w:rsidR="00C95BEB" w:rsidRPr="00F81263" w:rsidRDefault="00C95BEB" w:rsidP="00780F41">
      <w:pPr>
        <w:pStyle w:val="Prrafodelista"/>
        <w:widowControl w:val="0"/>
        <w:numPr>
          <w:ilvl w:val="1"/>
          <w:numId w:val="7"/>
        </w:numPr>
        <w:tabs>
          <w:tab w:val="left" w:pos="1153"/>
        </w:tabs>
        <w:autoSpaceDE w:val="0"/>
        <w:autoSpaceDN w:val="0"/>
        <w:spacing w:after="0" w:line="240" w:lineRule="auto"/>
        <w:ind w:right="1157" w:firstLine="0"/>
        <w:contextualSpacing w:val="0"/>
        <w:jc w:val="both"/>
        <w:rPr>
          <w:rFonts w:ascii="Arial" w:hAnsi="Arial" w:cs="Arial"/>
          <w:sz w:val="20"/>
          <w:szCs w:val="20"/>
        </w:rPr>
      </w:pPr>
      <w:r w:rsidRPr="00F81263">
        <w:rPr>
          <w:rFonts w:ascii="Arial" w:hAnsi="Arial" w:cs="Arial"/>
          <w:sz w:val="20"/>
          <w:szCs w:val="20"/>
        </w:rPr>
        <w:t>Las personas naturales no obligadas a llevar contabilidad tales como los no comerciantes, los que no pertenecen al régimen común, los asalariados, los que ejercen profesiones liberales, los agricultores o ganaderos que enajenen los productos en su estado natural, y en general todas aquellas personas naturales que conforme las normas especiales no estén obligadas a llevar contabilidad, acreditarán los indicadores de capacidad financiera y organizacional aportando una certificación suscrita por el Contador o Auditor y el proponente, en la que se revelen de manera detallada cada uno de los rubros financieros que componen sus</w:t>
      </w:r>
      <w:r w:rsidRPr="00F81263">
        <w:rPr>
          <w:rFonts w:ascii="Arial" w:hAnsi="Arial" w:cs="Arial"/>
          <w:spacing w:val="-7"/>
          <w:sz w:val="20"/>
          <w:szCs w:val="20"/>
        </w:rPr>
        <w:t xml:space="preserve"> </w:t>
      </w:r>
      <w:r w:rsidRPr="00F81263">
        <w:rPr>
          <w:rFonts w:ascii="Arial" w:hAnsi="Arial" w:cs="Arial"/>
          <w:sz w:val="20"/>
          <w:szCs w:val="20"/>
        </w:rPr>
        <w:t>indicadores.</w:t>
      </w:r>
    </w:p>
    <w:p w14:paraId="2B2A1D50" w14:textId="77777777" w:rsidR="00C95BEB" w:rsidRPr="00F81263" w:rsidRDefault="00C95BEB" w:rsidP="009B3FF7">
      <w:pPr>
        <w:pStyle w:val="Textoindependiente"/>
        <w:rPr>
          <w:sz w:val="20"/>
          <w:szCs w:val="20"/>
        </w:rPr>
      </w:pPr>
    </w:p>
    <w:p w14:paraId="09B351AB" w14:textId="77777777" w:rsidR="00C95BEB" w:rsidRPr="00F81263" w:rsidRDefault="00C95BEB" w:rsidP="00780F41">
      <w:pPr>
        <w:pStyle w:val="Prrafodelista"/>
        <w:widowControl w:val="0"/>
        <w:numPr>
          <w:ilvl w:val="1"/>
          <w:numId w:val="7"/>
        </w:numPr>
        <w:tabs>
          <w:tab w:val="left" w:pos="1241"/>
        </w:tabs>
        <w:autoSpaceDE w:val="0"/>
        <w:autoSpaceDN w:val="0"/>
        <w:spacing w:after="0" w:line="240" w:lineRule="auto"/>
        <w:ind w:right="1159" w:firstLine="0"/>
        <w:contextualSpacing w:val="0"/>
        <w:jc w:val="both"/>
        <w:rPr>
          <w:rFonts w:ascii="Arial" w:hAnsi="Arial" w:cs="Arial"/>
          <w:sz w:val="20"/>
          <w:szCs w:val="20"/>
        </w:rPr>
      </w:pPr>
      <w:r w:rsidRPr="00F81263">
        <w:rPr>
          <w:rFonts w:ascii="Arial" w:hAnsi="Arial" w:cs="Arial"/>
          <w:sz w:val="20"/>
          <w:szCs w:val="20"/>
        </w:rPr>
        <w:t>Las personas jurídicas deben adjuntar copia simple de los estados financieros suscritos por el representante legal, sin</w:t>
      </w:r>
      <w:r w:rsidRPr="00F81263">
        <w:rPr>
          <w:rFonts w:ascii="Arial" w:hAnsi="Arial" w:cs="Arial"/>
          <w:spacing w:val="53"/>
          <w:sz w:val="20"/>
          <w:szCs w:val="20"/>
        </w:rPr>
        <w:t xml:space="preserve"> </w:t>
      </w:r>
      <w:r w:rsidRPr="00F81263">
        <w:rPr>
          <w:rFonts w:ascii="Arial" w:hAnsi="Arial" w:cs="Arial"/>
          <w:sz w:val="20"/>
          <w:szCs w:val="20"/>
        </w:rPr>
        <w:t>que se requiera autenticación alguna, debidamente auditados y certificados por el contador o auditor o revisor fiscal según el caso. Los estados financieros tendrán como fecha de corte el 31 de diciembre del año inmediatamente anterior, salvo que el interesado no tenga suficiente antigüedad para preparar estados financieros con corte al 31 de diciembre, evento en el cual deberá inscribirse con estados financieros de corte trimestral o con estados financieros de</w:t>
      </w:r>
      <w:r w:rsidRPr="00F81263">
        <w:rPr>
          <w:rFonts w:ascii="Arial" w:hAnsi="Arial" w:cs="Arial"/>
          <w:spacing w:val="-18"/>
          <w:sz w:val="20"/>
          <w:szCs w:val="20"/>
        </w:rPr>
        <w:t xml:space="preserve"> </w:t>
      </w:r>
      <w:r w:rsidRPr="00F81263">
        <w:rPr>
          <w:rFonts w:ascii="Arial" w:hAnsi="Arial" w:cs="Arial"/>
          <w:sz w:val="20"/>
          <w:szCs w:val="20"/>
        </w:rPr>
        <w:t>apertura.</w:t>
      </w:r>
    </w:p>
    <w:p w14:paraId="3F50CB29" w14:textId="77777777" w:rsidR="00C95BEB" w:rsidRPr="00F81263" w:rsidRDefault="00C95BEB" w:rsidP="00780F41">
      <w:pPr>
        <w:pStyle w:val="Textoindependiente"/>
        <w:rPr>
          <w:sz w:val="20"/>
          <w:szCs w:val="20"/>
        </w:rPr>
      </w:pPr>
    </w:p>
    <w:p w14:paraId="198ECD06" w14:textId="77777777" w:rsidR="00C95BEB" w:rsidRPr="00F81263" w:rsidRDefault="00C95BEB" w:rsidP="009B3FF7">
      <w:pPr>
        <w:pStyle w:val="Prrafodelista"/>
        <w:widowControl w:val="0"/>
        <w:numPr>
          <w:ilvl w:val="1"/>
          <w:numId w:val="7"/>
        </w:numPr>
        <w:tabs>
          <w:tab w:val="left" w:pos="1186"/>
        </w:tabs>
        <w:autoSpaceDE w:val="0"/>
        <w:autoSpaceDN w:val="0"/>
        <w:spacing w:after="0" w:line="240" w:lineRule="auto"/>
        <w:ind w:right="1159" w:firstLine="0"/>
        <w:contextualSpacing w:val="0"/>
        <w:jc w:val="both"/>
        <w:rPr>
          <w:rFonts w:ascii="Arial" w:hAnsi="Arial" w:cs="Arial"/>
          <w:sz w:val="20"/>
          <w:szCs w:val="20"/>
        </w:rPr>
      </w:pPr>
      <w:r w:rsidRPr="00F81263">
        <w:rPr>
          <w:rFonts w:ascii="Arial" w:hAnsi="Arial" w:cs="Arial"/>
          <w:sz w:val="20"/>
          <w:szCs w:val="20"/>
        </w:rPr>
        <w:t>Las personas jurídicas que estén sometidas a la inspección, vigilancia o control de la Superintendencia de Sociedades deben allegar también a las Cámaras de Comercio los documentos por ella</w:t>
      </w:r>
      <w:r w:rsidRPr="00F81263">
        <w:rPr>
          <w:rFonts w:ascii="Arial" w:hAnsi="Arial" w:cs="Arial"/>
          <w:spacing w:val="-13"/>
          <w:sz w:val="20"/>
          <w:szCs w:val="20"/>
        </w:rPr>
        <w:t xml:space="preserve"> </w:t>
      </w:r>
      <w:r w:rsidRPr="00F81263">
        <w:rPr>
          <w:rFonts w:ascii="Arial" w:hAnsi="Arial" w:cs="Arial"/>
          <w:sz w:val="20"/>
          <w:szCs w:val="20"/>
        </w:rPr>
        <w:t>exigidos.</w:t>
      </w:r>
    </w:p>
    <w:p w14:paraId="165C0C97" w14:textId="77777777" w:rsidR="00C95BEB" w:rsidRPr="00C95BEB" w:rsidRDefault="00C95BEB" w:rsidP="00F81263">
      <w:pPr>
        <w:pStyle w:val="Textoindependiente"/>
        <w:rPr>
          <w:sz w:val="20"/>
          <w:szCs w:val="20"/>
        </w:rPr>
      </w:pPr>
    </w:p>
    <w:p w14:paraId="645BB32D" w14:textId="77777777" w:rsidR="00C95BEB" w:rsidRPr="00F81263" w:rsidRDefault="00C95BEB" w:rsidP="009B3FF7">
      <w:pPr>
        <w:pStyle w:val="Prrafodelista"/>
        <w:widowControl w:val="0"/>
        <w:numPr>
          <w:ilvl w:val="1"/>
          <w:numId w:val="7"/>
        </w:numPr>
        <w:tabs>
          <w:tab w:val="left" w:pos="1228"/>
        </w:tabs>
        <w:autoSpaceDE w:val="0"/>
        <w:autoSpaceDN w:val="0"/>
        <w:spacing w:after="0" w:line="240" w:lineRule="auto"/>
        <w:ind w:right="1162" w:firstLine="0"/>
        <w:contextualSpacing w:val="0"/>
        <w:jc w:val="both"/>
        <w:rPr>
          <w:rFonts w:ascii="Arial" w:hAnsi="Arial" w:cs="Arial"/>
          <w:sz w:val="20"/>
          <w:szCs w:val="20"/>
        </w:rPr>
      </w:pPr>
      <w:r w:rsidRPr="00F81263">
        <w:rPr>
          <w:rFonts w:ascii="Arial" w:hAnsi="Arial" w:cs="Arial"/>
          <w:sz w:val="20"/>
          <w:szCs w:val="20"/>
        </w:rPr>
        <w:t xml:space="preserve">En el evento en que de los estados financieros presentados por el proponente no puedan determinarse los indicadores previstos en las normas que rijan la materia, deberán anexar junto con la información financiera, </w:t>
      </w:r>
      <w:r w:rsidRPr="00F81263">
        <w:rPr>
          <w:rFonts w:ascii="Arial" w:hAnsi="Arial" w:cs="Arial"/>
          <w:sz w:val="20"/>
          <w:szCs w:val="20"/>
        </w:rPr>
        <w:lastRenderedPageBreak/>
        <w:t>certificación suscrita por el contador o por el auditor o por el revisor fiscal según el caso, en la que establezca las distintas</w:t>
      </w:r>
      <w:r w:rsidRPr="00F81263">
        <w:rPr>
          <w:rFonts w:ascii="Arial" w:hAnsi="Arial" w:cs="Arial"/>
          <w:spacing w:val="-13"/>
          <w:sz w:val="20"/>
          <w:szCs w:val="20"/>
        </w:rPr>
        <w:t xml:space="preserve"> </w:t>
      </w:r>
      <w:r w:rsidRPr="00F81263">
        <w:rPr>
          <w:rFonts w:ascii="Arial" w:hAnsi="Arial" w:cs="Arial"/>
          <w:sz w:val="20"/>
          <w:szCs w:val="20"/>
        </w:rPr>
        <w:t>cuentas.</w:t>
      </w:r>
    </w:p>
    <w:p w14:paraId="2CF5B9A3" w14:textId="77777777" w:rsidR="00C95BEB" w:rsidRPr="00C95BEB" w:rsidRDefault="00C95BEB" w:rsidP="00F81263">
      <w:pPr>
        <w:pStyle w:val="Textoindependiente"/>
        <w:rPr>
          <w:sz w:val="20"/>
          <w:szCs w:val="20"/>
        </w:rPr>
      </w:pPr>
    </w:p>
    <w:p w14:paraId="69DF7875" w14:textId="77777777" w:rsidR="00C95BEB" w:rsidRPr="00F81263" w:rsidRDefault="00C95BEB" w:rsidP="009B3FF7">
      <w:pPr>
        <w:pStyle w:val="Prrafodelista"/>
        <w:widowControl w:val="0"/>
        <w:numPr>
          <w:ilvl w:val="1"/>
          <w:numId w:val="7"/>
        </w:numPr>
        <w:tabs>
          <w:tab w:val="left" w:pos="1196"/>
        </w:tabs>
        <w:autoSpaceDE w:val="0"/>
        <w:autoSpaceDN w:val="0"/>
        <w:spacing w:after="0" w:line="240" w:lineRule="auto"/>
        <w:ind w:right="1160" w:firstLine="0"/>
        <w:contextualSpacing w:val="0"/>
        <w:jc w:val="both"/>
        <w:rPr>
          <w:rFonts w:ascii="Arial" w:hAnsi="Arial" w:cs="Arial"/>
          <w:sz w:val="20"/>
          <w:szCs w:val="20"/>
        </w:rPr>
      </w:pPr>
      <w:r w:rsidRPr="00F81263">
        <w:rPr>
          <w:rFonts w:ascii="Arial" w:hAnsi="Arial" w:cs="Arial"/>
          <w:sz w:val="20"/>
          <w:szCs w:val="20"/>
        </w:rPr>
        <w:t xml:space="preserve">Las sociedades extranjeras con sucursal registrada en el </w:t>
      </w:r>
      <w:proofErr w:type="gramStart"/>
      <w:r w:rsidRPr="00F81263">
        <w:rPr>
          <w:rFonts w:ascii="Arial" w:hAnsi="Arial" w:cs="Arial"/>
          <w:sz w:val="20"/>
          <w:szCs w:val="20"/>
        </w:rPr>
        <w:t>país,</w:t>
      </w:r>
      <w:proofErr w:type="gramEnd"/>
      <w:r w:rsidRPr="00F81263">
        <w:rPr>
          <w:rFonts w:ascii="Arial" w:hAnsi="Arial" w:cs="Arial"/>
          <w:sz w:val="20"/>
          <w:szCs w:val="20"/>
        </w:rPr>
        <w:t xml:space="preserve"> deberán presentar copia simple de los estados financieros de la casa matriz, sin que se requiera autenticación alguna ni apostilla, con corte que corresponda al cierre fiscal del país de origen, con la conversión a moneda colombiana, y la traducción oficial al español, cuando a ello haya lugar. En ningún caso serán admisibles los estados financieros de la sucursal de la sociedad establecida en Colombia.</w:t>
      </w:r>
    </w:p>
    <w:p w14:paraId="3D1CFCF7" w14:textId="77777777" w:rsidR="00C95BEB" w:rsidRPr="00F81263" w:rsidRDefault="00C95BEB" w:rsidP="00780F41">
      <w:pPr>
        <w:pStyle w:val="Textoindependiente"/>
        <w:rPr>
          <w:sz w:val="20"/>
          <w:szCs w:val="20"/>
        </w:rPr>
      </w:pPr>
    </w:p>
    <w:p w14:paraId="1C216F1E" w14:textId="77777777" w:rsidR="00C95BEB" w:rsidRPr="00F81263" w:rsidRDefault="00C95BEB" w:rsidP="009B3FF7">
      <w:pPr>
        <w:pStyle w:val="Prrafodelista"/>
        <w:widowControl w:val="0"/>
        <w:numPr>
          <w:ilvl w:val="1"/>
          <w:numId w:val="7"/>
        </w:numPr>
        <w:tabs>
          <w:tab w:val="left" w:pos="1141"/>
        </w:tabs>
        <w:autoSpaceDE w:val="0"/>
        <w:autoSpaceDN w:val="0"/>
        <w:spacing w:after="0" w:line="240" w:lineRule="auto"/>
        <w:ind w:right="1156" w:firstLine="0"/>
        <w:contextualSpacing w:val="0"/>
        <w:jc w:val="both"/>
        <w:rPr>
          <w:rFonts w:ascii="Arial" w:hAnsi="Arial" w:cs="Arial"/>
          <w:sz w:val="20"/>
          <w:szCs w:val="20"/>
        </w:rPr>
      </w:pPr>
      <w:r w:rsidRPr="00F81263">
        <w:rPr>
          <w:rFonts w:ascii="Arial" w:hAnsi="Arial" w:cs="Arial"/>
          <w:sz w:val="20"/>
          <w:szCs w:val="20"/>
        </w:rPr>
        <w:t>Cuando la persona jurídica pertenezca a un grupo empresarial y por ley deba preparar y difundir estados financieros consolidados, también presentará copia simple de éstos como soporte para su inscripción en el RUP. Sin embargo, la capacidad financiera y organizacional del proponente, se determinará en atención a sus estados financieros</w:t>
      </w:r>
      <w:r w:rsidRPr="00F81263">
        <w:rPr>
          <w:rFonts w:ascii="Arial" w:hAnsi="Arial" w:cs="Arial"/>
          <w:spacing w:val="-7"/>
          <w:sz w:val="20"/>
          <w:szCs w:val="20"/>
        </w:rPr>
        <w:t xml:space="preserve"> </w:t>
      </w:r>
      <w:r w:rsidRPr="00F81263">
        <w:rPr>
          <w:rFonts w:ascii="Arial" w:hAnsi="Arial" w:cs="Arial"/>
          <w:sz w:val="20"/>
          <w:szCs w:val="20"/>
        </w:rPr>
        <w:t>individuales.</w:t>
      </w:r>
    </w:p>
    <w:p w14:paraId="49B08E24" w14:textId="77777777" w:rsidR="00C95BEB" w:rsidRPr="00F81263" w:rsidRDefault="00C95BEB" w:rsidP="00780F41">
      <w:pPr>
        <w:pStyle w:val="Textoindependiente"/>
        <w:rPr>
          <w:sz w:val="20"/>
          <w:szCs w:val="20"/>
        </w:rPr>
      </w:pPr>
    </w:p>
    <w:p w14:paraId="1549D66B" w14:textId="3864AF07" w:rsidR="00C95BEB" w:rsidRDefault="00C95BEB" w:rsidP="009B3FF7">
      <w:pPr>
        <w:pStyle w:val="Prrafodelista"/>
        <w:widowControl w:val="0"/>
        <w:numPr>
          <w:ilvl w:val="1"/>
          <w:numId w:val="7"/>
        </w:numPr>
        <w:tabs>
          <w:tab w:val="left" w:pos="1143"/>
        </w:tabs>
        <w:autoSpaceDE w:val="0"/>
        <w:autoSpaceDN w:val="0"/>
        <w:spacing w:after="0" w:line="240" w:lineRule="auto"/>
        <w:ind w:right="1163" w:firstLine="0"/>
        <w:contextualSpacing w:val="0"/>
        <w:jc w:val="both"/>
        <w:rPr>
          <w:rFonts w:ascii="Arial" w:hAnsi="Arial" w:cs="Arial"/>
          <w:sz w:val="20"/>
          <w:szCs w:val="20"/>
        </w:rPr>
      </w:pPr>
      <w:r w:rsidRPr="00F81263">
        <w:rPr>
          <w:rFonts w:ascii="Arial" w:hAnsi="Arial" w:cs="Arial"/>
          <w:sz w:val="20"/>
          <w:szCs w:val="20"/>
        </w:rPr>
        <w:t>Los estados financieros aportados al RUP deberán cumplir con los requisitos exigidos por las normas contables para su preparación y presentación. Igualmente, deberán adjuntarse en moneda</w:t>
      </w:r>
      <w:r w:rsidRPr="00F81263">
        <w:rPr>
          <w:rFonts w:ascii="Arial" w:hAnsi="Arial" w:cs="Arial"/>
          <w:spacing w:val="-7"/>
          <w:sz w:val="20"/>
          <w:szCs w:val="20"/>
        </w:rPr>
        <w:t xml:space="preserve"> </w:t>
      </w:r>
      <w:r w:rsidRPr="00F81263">
        <w:rPr>
          <w:rFonts w:ascii="Arial" w:hAnsi="Arial" w:cs="Arial"/>
          <w:sz w:val="20"/>
          <w:szCs w:val="20"/>
        </w:rPr>
        <w:t>colombiana”.</w:t>
      </w:r>
    </w:p>
    <w:p w14:paraId="16D37D2B" w14:textId="77777777" w:rsidR="00DF1B44" w:rsidRPr="008A083E" w:rsidRDefault="00DF1B44" w:rsidP="00780F41">
      <w:pPr>
        <w:pStyle w:val="Prrafodelista"/>
        <w:widowControl w:val="0"/>
        <w:tabs>
          <w:tab w:val="left" w:pos="1143"/>
        </w:tabs>
        <w:autoSpaceDE w:val="0"/>
        <w:autoSpaceDN w:val="0"/>
        <w:spacing w:after="0" w:line="240" w:lineRule="auto"/>
        <w:ind w:left="1008" w:right="1163"/>
        <w:contextualSpacing w:val="0"/>
        <w:rPr>
          <w:rFonts w:ascii="Arial" w:hAnsi="Arial" w:cs="Arial"/>
          <w:sz w:val="20"/>
          <w:szCs w:val="20"/>
        </w:rPr>
      </w:pPr>
    </w:p>
    <w:p w14:paraId="3F5368E7" w14:textId="7DD103AC" w:rsidR="00116C28" w:rsidRDefault="00B30CBF" w:rsidP="008A083E">
      <w:pPr>
        <w:spacing w:after="120" w:line="276" w:lineRule="auto"/>
        <w:ind w:firstLine="709"/>
        <w:jc w:val="both"/>
        <w:rPr>
          <w:rFonts w:ascii="Arial" w:eastAsia="Calibri" w:hAnsi="Arial" w:cs="Arial"/>
          <w:color w:val="000000" w:themeColor="text1"/>
          <w:szCs w:val="24"/>
          <w:lang w:eastAsia="es-ES_tradnl"/>
        </w:rPr>
      </w:pPr>
      <w:r>
        <w:rPr>
          <w:rFonts w:ascii="Arial" w:eastAsia="Calibri" w:hAnsi="Arial" w:cs="Arial"/>
          <w:color w:val="000000" w:themeColor="text1"/>
          <w:szCs w:val="24"/>
          <w:lang w:eastAsia="es-ES_tradnl"/>
        </w:rPr>
        <w:t>En cuanto a la normatividad que regula l</w:t>
      </w:r>
      <w:r w:rsidR="00364C5A">
        <w:rPr>
          <w:rFonts w:ascii="Arial" w:eastAsia="Calibri" w:hAnsi="Arial" w:cs="Arial"/>
          <w:color w:val="000000" w:themeColor="text1"/>
          <w:szCs w:val="24"/>
          <w:lang w:eastAsia="es-ES_tradnl"/>
        </w:rPr>
        <w:t>a expedición de</w:t>
      </w:r>
      <w:r>
        <w:rPr>
          <w:rFonts w:ascii="Arial" w:eastAsia="Calibri" w:hAnsi="Arial" w:cs="Arial"/>
          <w:color w:val="000000" w:themeColor="text1"/>
          <w:szCs w:val="24"/>
          <w:lang w:eastAsia="es-ES_tradnl"/>
        </w:rPr>
        <w:t xml:space="preserve"> estados financieros</w:t>
      </w:r>
      <w:r w:rsidR="00364C5A">
        <w:rPr>
          <w:rFonts w:ascii="Arial" w:eastAsia="Calibri" w:hAnsi="Arial" w:cs="Arial"/>
          <w:color w:val="000000" w:themeColor="text1"/>
          <w:szCs w:val="24"/>
          <w:lang w:eastAsia="es-ES_tradnl"/>
        </w:rPr>
        <w:t>, es necesario hacer referencia a la Ley 222 de 1995</w:t>
      </w:r>
      <w:r w:rsidR="00BF0C53">
        <w:rPr>
          <w:rFonts w:ascii="Arial" w:eastAsia="Calibri" w:hAnsi="Arial" w:cs="Arial"/>
          <w:color w:val="000000" w:themeColor="text1"/>
          <w:szCs w:val="24"/>
          <w:lang w:eastAsia="es-ES_tradnl"/>
        </w:rPr>
        <w:t>, que en su artículo</w:t>
      </w:r>
      <w:r w:rsidR="00F26011">
        <w:rPr>
          <w:rFonts w:ascii="Arial" w:eastAsia="Calibri" w:hAnsi="Arial" w:cs="Arial"/>
          <w:color w:val="000000" w:themeColor="text1"/>
          <w:szCs w:val="24"/>
          <w:lang w:eastAsia="es-ES_tradnl"/>
        </w:rPr>
        <w:t xml:space="preserve"> </w:t>
      </w:r>
      <w:r w:rsidR="00BF0C53">
        <w:rPr>
          <w:rFonts w:ascii="Arial" w:eastAsia="Calibri" w:hAnsi="Arial" w:cs="Arial"/>
          <w:color w:val="000000" w:themeColor="text1"/>
          <w:szCs w:val="24"/>
          <w:lang w:eastAsia="es-ES_tradnl"/>
        </w:rPr>
        <w:t xml:space="preserve">34 y ss. regula la obligación de preparar y difundir estados </w:t>
      </w:r>
      <w:r w:rsidR="00685159">
        <w:rPr>
          <w:rFonts w:ascii="Arial" w:eastAsia="Calibri" w:hAnsi="Arial" w:cs="Arial"/>
          <w:color w:val="000000" w:themeColor="text1"/>
          <w:szCs w:val="24"/>
          <w:lang w:eastAsia="es-ES_tradnl"/>
        </w:rPr>
        <w:t>financieros,</w:t>
      </w:r>
      <w:r w:rsidR="00BF0C53">
        <w:rPr>
          <w:rFonts w:ascii="Arial" w:eastAsia="Calibri" w:hAnsi="Arial" w:cs="Arial"/>
          <w:color w:val="000000" w:themeColor="text1"/>
          <w:szCs w:val="24"/>
          <w:lang w:eastAsia="es-ES_tradnl"/>
        </w:rPr>
        <w:t xml:space="preserve"> a</w:t>
      </w:r>
      <w:r w:rsidR="008A593D">
        <w:rPr>
          <w:rFonts w:ascii="Arial" w:eastAsia="Calibri" w:hAnsi="Arial" w:cs="Arial"/>
          <w:color w:val="000000" w:themeColor="text1"/>
          <w:szCs w:val="24"/>
          <w:lang w:eastAsia="es-ES_tradnl"/>
        </w:rPr>
        <w:t>sí como diferentes nociones asociadas</w:t>
      </w:r>
      <w:r w:rsidR="00DF1B44">
        <w:rPr>
          <w:rFonts w:ascii="Arial" w:eastAsia="Calibri" w:hAnsi="Arial" w:cs="Arial"/>
          <w:color w:val="000000" w:themeColor="text1"/>
          <w:szCs w:val="24"/>
          <w:lang w:eastAsia="es-ES_tradnl"/>
        </w:rPr>
        <w:t>, situaciones</w:t>
      </w:r>
      <w:r w:rsidR="00212C99">
        <w:rPr>
          <w:rFonts w:ascii="Arial" w:eastAsia="Calibri" w:hAnsi="Arial" w:cs="Arial"/>
          <w:color w:val="000000" w:themeColor="text1"/>
          <w:szCs w:val="24"/>
          <w:lang w:eastAsia="es-ES_tradnl"/>
        </w:rPr>
        <w:t>, parámetros y normas asociadas a los mismos</w:t>
      </w:r>
      <w:r w:rsidR="00685159">
        <w:rPr>
          <w:rStyle w:val="Refdenotaalpie"/>
          <w:rFonts w:ascii="Arial" w:eastAsia="Calibri" w:hAnsi="Arial" w:cs="Arial"/>
          <w:color w:val="000000" w:themeColor="text1"/>
          <w:szCs w:val="24"/>
          <w:lang w:eastAsia="es-ES_tradnl"/>
        </w:rPr>
        <w:footnoteReference w:id="13"/>
      </w:r>
      <w:r w:rsidR="008A593D">
        <w:rPr>
          <w:rFonts w:ascii="Arial" w:eastAsia="Calibri" w:hAnsi="Arial" w:cs="Arial"/>
          <w:color w:val="000000" w:themeColor="text1"/>
          <w:szCs w:val="24"/>
          <w:lang w:eastAsia="es-ES_tradnl"/>
        </w:rPr>
        <w:t xml:space="preserve">. </w:t>
      </w:r>
      <w:r w:rsidR="00575F1A">
        <w:rPr>
          <w:rFonts w:ascii="Arial" w:eastAsia="Calibri" w:hAnsi="Arial" w:cs="Arial"/>
          <w:color w:val="000000" w:themeColor="text1"/>
          <w:szCs w:val="24"/>
          <w:lang w:eastAsia="es-ES_tradnl"/>
        </w:rPr>
        <w:t xml:space="preserve">Dicha ley se </w:t>
      </w:r>
      <w:r w:rsidR="00575F1A">
        <w:rPr>
          <w:rFonts w:ascii="Arial" w:eastAsia="Calibri" w:hAnsi="Arial" w:cs="Arial"/>
          <w:color w:val="000000" w:themeColor="text1"/>
          <w:szCs w:val="24"/>
          <w:lang w:eastAsia="es-ES_tradnl"/>
        </w:rPr>
        <w:lastRenderedPageBreak/>
        <w:t xml:space="preserve">encuentra a su vez reglamentada por el Decreto 2420 de 2015 </w:t>
      </w:r>
      <w:r w:rsidR="008B1166">
        <w:rPr>
          <w:rFonts w:ascii="Arial" w:eastAsia="Calibri" w:hAnsi="Arial" w:cs="Arial"/>
          <w:color w:val="000000" w:themeColor="text1"/>
          <w:szCs w:val="24"/>
          <w:lang w:eastAsia="es-ES_tradnl"/>
        </w:rPr>
        <w:t>“</w:t>
      </w:r>
      <w:r w:rsidR="008B1166" w:rsidRPr="008A083E">
        <w:rPr>
          <w:rFonts w:ascii="Arial" w:eastAsia="Calibri" w:hAnsi="Arial" w:cs="Arial"/>
          <w:i/>
          <w:iCs/>
          <w:color w:val="000000" w:themeColor="text1"/>
          <w:szCs w:val="24"/>
          <w:lang w:eastAsia="es-ES_tradnl"/>
        </w:rPr>
        <w:t>Por medio del cual se expide el Decreto Único Reglamentario de las Normas de Contabilidad, de Información Financiera y de Aseguramiento de la Información y se dictan otras disposiciones</w:t>
      </w:r>
      <w:r w:rsidR="008B1166">
        <w:rPr>
          <w:rFonts w:ascii="Arial" w:eastAsia="Calibri" w:hAnsi="Arial" w:cs="Arial"/>
          <w:i/>
          <w:iCs/>
          <w:color w:val="000000" w:themeColor="text1"/>
          <w:szCs w:val="24"/>
          <w:lang w:eastAsia="es-ES_tradnl"/>
        </w:rPr>
        <w:t>”</w:t>
      </w:r>
      <w:r w:rsidR="000C335D">
        <w:rPr>
          <w:rFonts w:ascii="Arial" w:eastAsia="Calibri" w:hAnsi="Arial" w:cs="Arial"/>
          <w:i/>
          <w:iCs/>
          <w:color w:val="000000" w:themeColor="text1"/>
          <w:szCs w:val="24"/>
          <w:lang w:eastAsia="es-ES_tradnl"/>
        </w:rPr>
        <w:t xml:space="preserve">. </w:t>
      </w:r>
    </w:p>
    <w:p w14:paraId="33E45FB2" w14:textId="3BB838B7" w:rsidR="006F32F5" w:rsidRDefault="006F32F5" w:rsidP="008A083E">
      <w:pPr>
        <w:spacing w:after="120" w:line="276" w:lineRule="auto"/>
        <w:ind w:firstLine="709"/>
        <w:jc w:val="both"/>
        <w:rPr>
          <w:rFonts w:ascii="Arial" w:eastAsia="Calibri" w:hAnsi="Arial" w:cs="Arial"/>
          <w:color w:val="000000"/>
          <w:szCs w:val="24"/>
          <w:lang w:val="es-ES_tradnl" w:eastAsia="es-ES_tradnl"/>
        </w:rPr>
      </w:pPr>
      <w:r>
        <w:rPr>
          <w:rFonts w:ascii="Arial" w:eastAsia="Calibri" w:hAnsi="Arial" w:cs="Arial"/>
          <w:color w:val="000000" w:themeColor="text1"/>
          <w:szCs w:val="24"/>
          <w:lang w:eastAsia="es-ES_tradnl"/>
        </w:rPr>
        <w:t xml:space="preserve">De acuerdo con lo anterior, las </w:t>
      </w:r>
      <w:r w:rsidR="00F941B0">
        <w:rPr>
          <w:rFonts w:ascii="Arial" w:eastAsia="Calibri" w:hAnsi="Arial" w:cs="Arial"/>
          <w:color w:val="000000" w:themeColor="text1"/>
          <w:szCs w:val="24"/>
          <w:lang w:eastAsia="es-ES_tradnl"/>
        </w:rPr>
        <w:t xml:space="preserve">empresas colombianas y las extranjeras con sucursal en Colombia deben </w:t>
      </w:r>
      <w:r w:rsidR="00756291">
        <w:rPr>
          <w:rFonts w:ascii="Arial" w:eastAsia="Calibri" w:hAnsi="Arial" w:cs="Arial"/>
          <w:color w:val="000000" w:themeColor="text1"/>
          <w:szCs w:val="24"/>
          <w:lang w:eastAsia="es-ES_tradnl"/>
        </w:rPr>
        <w:t xml:space="preserve">elaborar sus estados financieros de conformidad con lo dispuesto en la Ley 222 de 1995 y el Decreto 2420 de 2015, o </w:t>
      </w:r>
      <w:r w:rsidR="00D670A0">
        <w:rPr>
          <w:rFonts w:ascii="Arial" w:eastAsia="Calibri" w:hAnsi="Arial" w:cs="Arial"/>
          <w:color w:val="000000" w:themeColor="text1"/>
          <w:szCs w:val="24"/>
          <w:lang w:eastAsia="es-ES_tradnl"/>
        </w:rPr>
        <w:t xml:space="preserve">las normas que los modifiquen, </w:t>
      </w:r>
      <w:r w:rsidR="008604A7">
        <w:rPr>
          <w:rFonts w:ascii="Arial" w:eastAsia="Calibri" w:hAnsi="Arial" w:cs="Arial"/>
          <w:color w:val="000000" w:themeColor="text1"/>
          <w:szCs w:val="24"/>
          <w:lang w:eastAsia="es-ES_tradnl"/>
        </w:rPr>
        <w:t>los cuales deben presentarse para la inscripción, renovación o actualización del RUP</w:t>
      </w:r>
      <w:r w:rsidR="00FD7F41">
        <w:rPr>
          <w:rFonts w:ascii="Arial" w:eastAsia="Calibri" w:hAnsi="Arial" w:cs="Arial"/>
          <w:color w:val="000000" w:themeColor="text1"/>
          <w:szCs w:val="24"/>
          <w:lang w:eastAsia="es-ES_tradnl"/>
        </w:rPr>
        <w:t xml:space="preserve">, según lo dispuesto en el artículo </w:t>
      </w:r>
      <w:r w:rsidR="00FD7F41">
        <w:rPr>
          <w:rFonts w:ascii="Arial" w:eastAsia="Calibri" w:hAnsi="Arial" w:cs="Arial"/>
          <w:color w:val="000000"/>
          <w:szCs w:val="24"/>
          <w:lang w:val="es-ES_tradnl" w:eastAsia="es-ES_tradnl"/>
        </w:rPr>
        <w:t xml:space="preserve">numeral 2.3 del artículo </w:t>
      </w:r>
      <w:r w:rsidR="00FD7F41" w:rsidRPr="00CE7465">
        <w:rPr>
          <w:rFonts w:ascii="Arial" w:eastAsia="Calibri" w:hAnsi="Arial" w:cs="Arial"/>
          <w:color w:val="000000"/>
          <w:szCs w:val="24"/>
          <w:lang w:val="es-ES_tradnl" w:eastAsia="es-ES_tradnl"/>
        </w:rPr>
        <w:t>2.2.1.1.1.5.2</w:t>
      </w:r>
      <w:r w:rsidR="00FD7F41">
        <w:rPr>
          <w:rFonts w:ascii="Arial" w:eastAsia="Calibri" w:hAnsi="Arial" w:cs="Arial"/>
          <w:color w:val="000000"/>
          <w:szCs w:val="24"/>
          <w:lang w:val="es-ES_tradnl" w:eastAsia="es-ES_tradnl"/>
        </w:rPr>
        <w:t xml:space="preserve"> del Decreto 1082 de 2015</w:t>
      </w:r>
      <w:r w:rsidR="00CC4902">
        <w:rPr>
          <w:rFonts w:ascii="Arial" w:eastAsia="Calibri" w:hAnsi="Arial" w:cs="Arial"/>
          <w:color w:val="000000"/>
          <w:szCs w:val="24"/>
          <w:lang w:val="es-ES_tradnl" w:eastAsia="es-ES_tradnl"/>
        </w:rPr>
        <w:t xml:space="preserve"> y en </w:t>
      </w:r>
      <w:r w:rsidR="00023653">
        <w:rPr>
          <w:rFonts w:ascii="Arial" w:eastAsia="Calibri" w:hAnsi="Arial" w:cs="Arial"/>
          <w:color w:val="000000"/>
          <w:szCs w:val="24"/>
          <w:lang w:val="es-ES_tradnl" w:eastAsia="es-ES_tradnl"/>
        </w:rPr>
        <w:t xml:space="preserve">el numeral </w:t>
      </w:r>
      <w:r w:rsidR="00023653" w:rsidRPr="002153B5">
        <w:rPr>
          <w:rFonts w:ascii="Arial" w:hAnsi="Arial" w:cs="Arial"/>
        </w:rPr>
        <w:t xml:space="preserve">4.2.2.3 </w:t>
      </w:r>
      <w:r w:rsidR="00CC4902">
        <w:rPr>
          <w:rFonts w:ascii="Arial" w:eastAsia="Calibri" w:hAnsi="Arial" w:cs="Arial"/>
          <w:color w:val="000000"/>
          <w:szCs w:val="24"/>
          <w:lang w:val="es-ES_tradnl" w:eastAsia="es-ES_tradnl"/>
        </w:rPr>
        <w:t xml:space="preserve">la Circular Externa Única expedida por la Superintendencia de </w:t>
      </w:r>
      <w:r w:rsidR="00023653">
        <w:rPr>
          <w:rFonts w:ascii="Arial" w:eastAsia="Calibri" w:hAnsi="Arial" w:cs="Arial"/>
          <w:color w:val="000000"/>
          <w:szCs w:val="24"/>
          <w:lang w:val="es-ES_tradnl" w:eastAsia="es-ES_tradnl"/>
        </w:rPr>
        <w:t xml:space="preserve">Industria y Comercio.  </w:t>
      </w:r>
      <w:r w:rsidR="00DE33A8">
        <w:rPr>
          <w:rFonts w:ascii="Arial" w:eastAsia="Calibri" w:hAnsi="Arial" w:cs="Arial"/>
          <w:color w:val="000000"/>
          <w:szCs w:val="24"/>
          <w:lang w:val="es-ES_tradnl" w:eastAsia="es-ES_tradnl"/>
        </w:rPr>
        <w:t xml:space="preserve">La presentación de esos estados financieros eventualmente podrá ser exigida por alguna entidad estatal </w:t>
      </w:r>
      <w:r w:rsidR="00FB35B5">
        <w:rPr>
          <w:rFonts w:ascii="Arial" w:eastAsia="Calibri" w:hAnsi="Arial" w:cs="Arial"/>
          <w:color w:val="000000"/>
          <w:szCs w:val="24"/>
          <w:lang w:val="es-ES_tradnl" w:eastAsia="es-ES_tradnl"/>
        </w:rPr>
        <w:t xml:space="preserve">en un proceso de selección, en el caso de que se requiera acreditar información adicional a la contenida en el RUP, evento en el cual </w:t>
      </w:r>
      <w:r w:rsidR="006B5A8A">
        <w:rPr>
          <w:rFonts w:ascii="Arial" w:eastAsia="Calibri" w:hAnsi="Arial" w:cs="Arial"/>
          <w:color w:val="000000"/>
          <w:szCs w:val="24"/>
          <w:lang w:val="es-ES_tradnl" w:eastAsia="es-ES_tradnl"/>
        </w:rPr>
        <w:t xml:space="preserve">además </w:t>
      </w:r>
      <w:r w:rsidR="006B5A8A">
        <w:rPr>
          <w:rFonts w:ascii="Arial" w:eastAsia="Calibri" w:hAnsi="Arial" w:cs="Arial"/>
          <w:color w:val="000000"/>
          <w:szCs w:val="24"/>
          <w:lang w:val="es-ES_tradnl" w:eastAsia="es-ES_tradnl"/>
        </w:rPr>
        <w:lastRenderedPageBreak/>
        <w:t xml:space="preserve">de lo señalado en la normatividad </w:t>
      </w:r>
      <w:r w:rsidR="00DC79F5">
        <w:rPr>
          <w:rFonts w:ascii="Arial" w:eastAsia="Calibri" w:hAnsi="Arial" w:cs="Arial"/>
          <w:color w:val="000000"/>
          <w:szCs w:val="24"/>
          <w:lang w:val="es-ES_tradnl" w:eastAsia="es-ES_tradnl"/>
        </w:rPr>
        <w:t xml:space="preserve">aplicable a la expedición de estados financieros deberá observarse lo indicado en el pliego de condiciones. </w:t>
      </w:r>
    </w:p>
    <w:p w14:paraId="55EB1DE1" w14:textId="7E36E724" w:rsidR="0099001C" w:rsidRPr="0099001C" w:rsidRDefault="00DC79F5" w:rsidP="00617E63">
      <w:pPr>
        <w:spacing w:before="120" w:after="0" w:line="276" w:lineRule="auto"/>
        <w:ind w:firstLine="709"/>
        <w:jc w:val="both"/>
        <w:rPr>
          <w:rFonts w:ascii="Arial" w:eastAsia="Calibri" w:hAnsi="Arial" w:cs="Arial"/>
          <w:color w:val="000000" w:themeColor="text1"/>
          <w:szCs w:val="24"/>
          <w:lang w:val="es-ES_tradnl" w:eastAsia="es-ES_tradnl"/>
        </w:rPr>
      </w:pPr>
      <w:r>
        <w:rPr>
          <w:rFonts w:ascii="Arial" w:eastAsia="Calibri" w:hAnsi="Arial" w:cs="Arial"/>
          <w:color w:val="000000"/>
          <w:szCs w:val="24"/>
          <w:lang w:val="es-ES_tradnl" w:eastAsia="es-ES_tradnl"/>
        </w:rPr>
        <w:t>De otro lado, los proponentes extranjeros sin sucursal en Colombia, al estar</w:t>
      </w:r>
      <w:r w:rsidR="008F21C0">
        <w:rPr>
          <w:rFonts w:ascii="Arial" w:eastAsia="Calibri" w:hAnsi="Arial" w:cs="Arial"/>
          <w:color w:val="000000"/>
          <w:szCs w:val="24"/>
          <w:lang w:val="es-ES_tradnl" w:eastAsia="es-ES_tradnl"/>
        </w:rPr>
        <w:t xml:space="preserve"> no estar obligados a inscribirse en el RUP y no estar en principio sometidos al derecho colombiano, deben presentar sus estados </w:t>
      </w:r>
      <w:r w:rsidR="00617697" w:rsidRPr="00617697">
        <w:rPr>
          <w:rFonts w:ascii="Arial" w:eastAsia="Calibri" w:hAnsi="Arial" w:cs="Arial"/>
          <w:color w:val="000000"/>
          <w:szCs w:val="24"/>
          <w:lang w:val="es-ES_tradnl" w:eastAsia="es-ES_tradnl"/>
        </w:rPr>
        <w:t xml:space="preserve">de acuerdo con la legislación de </w:t>
      </w:r>
      <w:r w:rsidR="00617697">
        <w:rPr>
          <w:rFonts w:ascii="Arial" w:eastAsia="Calibri" w:hAnsi="Arial" w:cs="Arial"/>
          <w:color w:val="000000"/>
          <w:szCs w:val="24"/>
          <w:lang w:val="es-ES_tradnl" w:eastAsia="es-ES_tradnl"/>
        </w:rPr>
        <w:t xml:space="preserve">su país de </w:t>
      </w:r>
      <w:r w:rsidR="00617697" w:rsidRPr="00617697">
        <w:rPr>
          <w:rFonts w:ascii="Arial" w:eastAsia="Calibri" w:hAnsi="Arial" w:cs="Arial"/>
          <w:color w:val="000000"/>
          <w:szCs w:val="24"/>
          <w:lang w:val="es-ES_tradnl" w:eastAsia="es-ES_tradnl"/>
        </w:rPr>
        <w:t>origen</w:t>
      </w:r>
      <w:r w:rsidR="00617697">
        <w:rPr>
          <w:rFonts w:ascii="Arial" w:eastAsia="Calibri" w:hAnsi="Arial" w:cs="Arial"/>
          <w:color w:val="000000"/>
          <w:szCs w:val="24"/>
          <w:lang w:val="es-ES_tradnl" w:eastAsia="es-ES_tradnl"/>
        </w:rPr>
        <w:t xml:space="preserve">, sin perjuicio de las </w:t>
      </w:r>
      <w:r w:rsidR="00617697">
        <w:rPr>
          <w:rFonts w:ascii="Arial" w:eastAsia="Calibri" w:hAnsi="Arial" w:cs="Arial"/>
          <w:color w:val="000000" w:themeColor="text1"/>
          <w:szCs w:val="24"/>
          <w:lang w:val="es-ES_tradnl" w:eastAsia="es-ES_tradnl"/>
        </w:rPr>
        <w:t>conversiones, traducciones y/o homologaciones a la que haya lugar</w:t>
      </w:r>
      <w:r w:rsidR="003A6309">
        <w:rPr>
          <w:rFonts w:ascii="Arial" w:eastAsia="Calibri" w:hAnsi="Arial" w:cs="Arial"/>
          <w:color w:val="000000" w:themeColor="text1"/>
          <w:szCs w:val="24"/>
          <w:lang w:val="es-ES_tradnl" w:eastAsia="es-ES_tradnl"/>
        </w:rPr>
        <w:t xml:space="preserve">. Al respecto, </w:t>
      </w:r>
      <w:r w:rsidR="0099001C" w:rsidRPr="0099001C">
        <w:rPr>
          <w:rFonts w:ascii="Arial" w:eastAsia="Calibri" w:hAnsi="Arial" w:cs="Arial"/>
          <w:color w:val="000000" w:themeColor="text1"/>
          <w:szCs w:val="24"/>
          <w:lang w:val="es-ES_tradnl" w:eastAsia="es-ES_tradnl"/>
        </w:rPr>
        <w:t xml:space="preserve">es </w:t>
      </w:r>
      <w:r w:rsidR="003A6309">
        <w:rPr>
          <w:rFonts w:ascii="Arial" w:eastAsia="Calibri" w:hAnsi="Arial" w:cs="Arial"/>
          <w:color w:val="000000" w:themeColor="text1"/>
          <w:szCs w:val="24"/>
          <w:lang w:val="es-ES_tradnl" w:eastAsia="es-ES_tradnl"/>
        </w:rPr>
        <w:t>conveniente resaltar que</w:t>
      </w:r>
      <w:r w:rsidR="0099001C" w:rsidRPr="0099001C">
        <w:rPr>
          <w:rFonts w:ascii="Arial" w:eastAsia="Calibri" w:hAnsi="Arial" w:cs="Arial"/>
          <w:color w:val="000000" w:themeColor="text1"/>
          <w:szCs w:val="24"/>
          <w:lang w:val="es-ES_tradnl" w:eastAsia="es-ES_tradnl"/>
        </w:rPr>
        <w:t xml:space="preserve"> las Normas Internacionales de Información Financiera –NIIF–, adoptadas en Colombia con la expedición de la Ley 1314 de 2009, que son reglas que permiten unificar el lenguaje de los estados financieros de las empresas, independientemente de su nacionalidad. De esta manera, la aplicación de estas normas en los procesos de contratación, particularmente, en el caso de proveedores extranjeros, facilita la evaluación de los requisitos de capacidad financiera, teniendo en cuenta que establecen una base común para la presentación de información financiera a nivel mundial</w:t>
      </w:r>
      <w:r w:rsidR="0099001C" w:rsidRPr="0099001C">
        <w:rPr>
          <w:rFonts w:ascii="Arial" w:eastAsia="Calibri" w:hAnsi="Arial" w:cs="Arial"/>
          <w:color w:val="000000" w:themeColor="text1"/>
          <w:szCs w:val="24"/>
          <w:vertAlign w:val="superscript"/>
          <w:lang w:val="es-ES_tradnl" w:eastAsia="es-ES_tradnl"/>
        </w:rPr>
        <w:footnoteReference w:id="14"/>
      </w:r>
      <w:r w:rsidR="003A6309">
        <w:rPr>
          <w:rFonts w:ascii="Arial" w:eastAsia="Calibri" w:hAnsi="Arial" w:cs="Arial"/>
          <w:color w:val="000000" w:themeColor="text1"/>
          <w:szCs w:val="24"/>
          <w:lang w:val="es-ES_tradnl" w:eastAsia="es-ES_tradnl"/>
        </w:rPr>
        <w:t>.</w:t>
      </w:r>
      <w:r w:rsidR="0099001C" w:rsidRPr="0099001C">
        <w:rPr>
          <w:rFonts w:ascii="Arial" w:eastAsia="Calibri" w:hAnsi="Arial" w:cs="Arial"/>
          <w:color w:val="000000" w:themeColor="text1"/>
          <w:szCs w:val="24"/>
          <w:lang w:val="es-ES_tradnl" w:eastAsia="es-ES_tradnl"/>
        </w:rPr>
        <w:t xml:space="preserve"> </w:t>
      </w:r>
    </w:p>
    <w:p w14:paraId="37E61868" w14:textId="77777777" w:rsidR="0099001C" w:rsidRPr="0099001C" w:rsidRDefault="0099001C" w:rsidP="0099001C">
      <w:pPr>
        <w:spacing w:after="0" w:line="276" w:lineRule="auto"/>
        <w:jc w:val="both"/>
        <w:rPr>
          <w:rFonts w:ascii="Arial" w:eastAsia="Calibri" w:hAnsi="Arial" w:cs="Arial"/>
          <w:color w:val="000000" w:themeColor="text1"/>
          <w:szCs w:val="24"/>
          <w:lang w:val="es-ES_tradnl" w:eastAsia="es-ES_tradnl"/>
        </w:rPr>
      </w:pPr>
    </w:p>
    <w:p w14:paraId="11431531" w14:textId="77777777" w:rsidR="0099001C" w:rsidRPr="0099001C" w:rsidRDefault="0099001C" w:rsidP="0099001C">
      <w:pPr>
        <w:spacing w:after="0" w:line="276" w:lineRule="auto"/>
        <w:jc w:val="both"/>
        <w:rPr>
          <w:rFonts w:ascii="Arial" w:eastAsia="Calibri" w:hAnsi="Arial" w:cs="Arial"/>
          <w:b/>
          <w:color w:val="000000"/>
          <w:lang w:val="es-ES_tradnl" w:eastAsia="es-ES_tradnl"/>
        </w:rPr>
      </w:pPr>
      <w:r w:rsidRPr="0099001C">
        <w:rPr>
          <w:rFonts w:ascii="Arial" w:eastAsia="Calibri" w:hAnsi="Arial" w:cs="Arial"/>
          <w:b/>
          <w:color w:val="000000"/>
          <w:lang w:val="es-ES_tradnl" w:eastAsia="es-ES_tradnl"/>
        </w:rPr>
        <w:t>3. Respuesta</w:t>
      </w:r>
    </w:p>
    <w:p w14:paraId="5590B03F" w14:textId="77777777" w:rsidR="0099001C" w:rsidRPr="0099001C" w:rsidRDefault="0099001C" w:rsidP="0099001C">
      <w:pPr>
        <w:spacing w:after="0" w:line="276" w:lineRule="auto"/>
        <w:jc w:val="both"/>
        <w:rPr>
          <w:rFonts w:ascii="Arial" w:eastAsia="Calibri" w:hAnsi="Arial" w:cs="Arial"/>
          <w:color w:val="000000" w:themeColor="text1"/>
          <w:szCs w:val="24"/>
          <w:lang w:val="es-ES_tradnl" w:eastAsia="es-ES_tradnl"/>
        </w:rPr>
      </w:pPr>
    </w:p>
    <w:p w14:paraId="2AC64A9D" w14:textId="77777777" w:rsidR="0099001C" w:rsidRPr="0099001C" w:rsidRDefault="0099001C" w:rsidP="0099001C">
      <w:pPr>
        <w:spacing w:after="0" w:line="240" w:lineRule="auto"/>
        <w:ind w:left="709" w:right="709"/>
        <w:jc w:val="both"/>
        <w:rPr>
          <w:rFonts w:ascii="Arial" w:eastAsia="Calibri" w:hAnsi="Arial" w:cs="Arial"/>
          <w:sz w:val="21"/>
          <w:szCs w:val="21"/>
          <w:lang w:val="es-MX" w:eastAsia="es-ES_tradnl"/>
        </w:rPr>
      </w:pPr>
      <w:r w:rsidRPr="0099001C">
        <w:rPr>
          <w:rFonts w:ascii="Arial" w:eastAsia="Calibri" w:hAnsi="Arial" w:cs="Arial"/>
          <w:color w:val="000000" w:themeColor="text1"/>
          <w:sz w:val="21"/>
          <w:szCs w:val="21"/>
          <w:lang w:val="es-ES_tradnl" w:eastAsia="es-ES_tradnl"/>
        </w:rPr>
        <w:t>“</w:t>
      </w:r>
      <w:r w:rsidRPr="0099001C">
        <w:rPr>
          <w:rFonts w:ascii="Arial" w:eastAsia="Calibri" w:hAnsi="Arial" w:cs="Arial"/>
          <w:sz w:val="21"/>
          <w:szCs w:val="21"/>
          <w:lang w:val="es-MX" w:eastAsia="es-ES_tradnl"/>
        </w:rPr>
        <w:t xml:space="preserve">1. </w:t>
      </w:r>
      <w:proofErr w:type="gramStart"/>
      <w:r w:rsidRPr="0099001C">
        <w:rPr>
          <w:rFonts w:ascii="Arial" w:eastAsia="Calibri" w:hAnsi="Arial" w:cs="Arial"/>
          <w:sz w:val="21"/>
          <w:szCs w:val="21"/>
          <w:lang w:val="es-MX" w:eastAsia="es-ES_tradnl"/>
        </w:rPr>
        <w:t>Cómo deben presentar los estados financieros las empresas extranjeras en los procesos contractuales realizados en Colombia y cuál es la normativa aplicable?</w:t>
      </w:r>
      <w:proofErr w:type="gramEnd"/>
      <w:r w:rsidRPr="0099001C">
        <w:rPr>
          <w:rFonts w:ascii="Arial" w:eastAsia="Calibri" w:hAnsi="Arial" w:cs="Arial"/>
          <w:sz w:val="21"/>
          <w:szCs w:val="21"/>
          <w:lang w:val="es-MX" w:eastAsia="es-ES_tradnl"/>
        </w:rPr>
        <w:t xml:space="preserve"> Específicamente, respecto de concursos de méritos.  </w:t>
      </w:r>
    </w:p>
    <w:p w14:paraId="142927D4" w14:textId="77777777" w:rsidR="0099001C" w:rsidRPr="0099001C" w:rsidRDefault="0099001C" w:rsidP="0099001C">
      <w:pPr>
        <w:spacing w:after="0" w:line="240" w:lineRule="auto"/>
        <w:ind w:left="709" w:right="709"/>
        <w:jc w:val="both"/>
        <w:rPr>
          <w:rFonts w:ascii="Arial" w:eastAsia="Calibri" w:hAnsi="Arial" w:cs="Arial"/>
          <w:sz w:val="21"/>
          <w:szCs w:val="21"/>
          <w:lang w:val="es-MX" w:eastAsia="es-ES_tradnl"/>
        </w:rPr>
      </w:pPr>
      <w:r w:rsidRPr="0099001C">
        <w:rPr>
          <w:rFonts w:ascii="Arial" w:eastAsia="Calibri" w:hAnsi="Arial" w:cs="Arial"/>
          <w:sz w:val="21"/>
          <w:szCs w:val="21"/>
          <w:lang w:val="es-MX" w:eastAsia="es-ES_tradnl"/>
        </w:rPr>
        <w:t xml:space="preserve"> </w:t>
      </w:r>
    </w:p>
    <w:p w14:paraId="09E9ABBD" w14:textId="77777777" w:rsidR="0099001C" w:rsidRPr="0099001C" w:rsidRDefault="0099001C" w:rsidP="0099001C">
      <w:pPr>
        <w:spacing w:after="0" w:line="240" w:lineRule="auto"/>
        <w:ind w:left="709" w:right="709"/>
        <w:jc w:val="both"/>
        <w:rPr>
          <w:rFonts w:ascii="Arial" w:eastAsia="Calibri" w:hAnsi="Arial" w:cs="Arial"/>
          <w:sz w:val="21"/>
          <w:szCs w:val="21"/>
          <w:lang w:val="es-MX" w:eastAsia="es-ES_tradnl"/>
        </w:rPr>
      </w:pPr>
      <w:r w:rsidRPr="0099001C">
        <w:rPr>
          <w:rFonts w:ascii="Arial" w:eastAsia="Calibri" w:hAnsi="Arial" w:cs="Arial"/>
          <w:sz w:val="21"/>
          <w:szCs w:val="21"/>
          <w:lang w:val="es-MX" w:eastAsia="es-ES_tradnl"/>
        </w:rPr>
        <w:t xml:space="preserve">2. </w:t>
      </w:r>
      <w:proofErr w:type="gramStart"/>
      <w:r w:rsidRPr="0099001C">
        <w:rPr>
          <w:rFonts w:ascii="Arial" w:eastAsia="Calibri" w:hAnsi="Arial" w:cs="Arial"/>
          <w:sz w:val="21"/>
          <w:szCs w:val="21"/>
          <w:lang w:val="es-MX" w:eastAsia="es-ES_tradnl"/>
        </w:rPr>
        <w:t>¿Cuál es la regla general para las empresas colombianas para la presentación de los estados financieros en los procesos contractuales que se tramiten en Colombia.</w:t>
      </w:r>
      <w:proofErr w:type="gramEnd"/>
      <w:r w:rsidRPr="0099001C">
        <w:rPr>
          <w:rFonts w:ascii="Arial" w:eastAsia="Calibri" w:hAnsi="Arial" w:cs="Arial"/>
          <w:sz w:val="21"/>
          <w:szCs w:val="21"/>
          <w:lang w:val="es-MX" w:eastAsia="es-ES_tradnl"/>
        </w:rPr>
        <w:t xml:space="preserve"> Específicamente, respecto de concursos de méritos.”</w:t>
      </w:r>
    </w:p>
    <w:p w14:paraId="646E1C38" w14:textId="77777777" w:rsidR="0099001C" w:rsidRPr="0099001C" w:rsidRDefault="0099001C" w:rsidP="0099001C">
      <w:pPr>
        <w:spacing w:after="0" w:line="240" w:lineRule="auto"/>
        <w:ind w:left="709" w:right="709"/>
        <w:jc w:val="both"/>
        <w:rPr>
          <w:rFonts w:ascii="Arial" w:eastAsia="Calibri" w:hAnsi="Arial" w:cs="Arial"/>
          <w:lang w:val="es-MX" w:eastAsia="es-ES_tradnl"/>
        </w:rPr>
      </w:pPr>
    </w:p>
    <w:p w14:paraId="0A31F4CB" w14:textId="0C8A261D" w:rsidR="003A6309" w:rsidRDefault="003A6309" w:rsidP="00736BEB">
      <w:pPr>
        <w:spacing w:after="120" w:line="276" w:lineRule="auto"/>
        <w:jc w:val="both"/>
        <w:rPr>
          <w:rFonts w:ascii="Arial" w:eastAsia="Calibri" w:hAnsi="Arial" w:cs="Arial"/>
          <w:color w:val="000000"/>
          <w:szCs w:val="24"/>
          <w:lang w:val="es-ES_tradnl" w:eastAsia="es-ES_tradnl"/>
        </w:rPr>
      </w:pPr>
      <w:r>
        <w:rPr>
          <w:rFonts w:ascii="Arial" w:eastAsia="Calibri" w:hAnsi="Arial" w:cs="Arial"/>
          <w:color w:val="000000" w:themeColor="text1"/>
          <w:szCs w:val="24"/>
          <w:lang w:eastAsia="es-ES_tradnl"/>
        </w:rPr>
        <w:t xml:space="preserve">De acuerdo con las consideraciones expuestas, las empresas colombianas y las extranjeras con sucursal en Colombia deben elaborar sus estados financieros de conformidad con lo dispuesto en la Ley 222 de 1995 y el Decreto 2420 de 2015, o las normas que los modifiquen, los cuales deben presentarse para la inscripción, renovación o actualización del RUP, según lo dispuesto en el artículo </w:t>
      </w:r>
      <w:r>
        <w:rPr>
          <w:rFonts w:ascii="Arial" w:eastAsia="Calibri" w:hAnsi="Arial" w:cs="Arial"/>
          <w:color w:val="000000"/>
          <w:szCs w:val="24"/>
          <w:lang w:val="es-ES_tradnl" w:eastAsia="es-ES_tradnl"/>
        </w:rPr>
        <w:t xml:space="preserve">numeral 2.3 del artículo </w:t>
      </w:r>
      <w:r w:rsidRPr="00CE7465">
        <w:rPr>
          <w:rFonts w:ascii="Arial" w:eastAsia="Calibri" w:hAnsi="Arial" w:cs="Arial"/>
          <w:color w:val="000000"/>
          <w:szCs w:val="24"/>
          <w:lang w:val="es-ES_tradnl" w:eastAsia="es-ES_tradnl"/>
        </w:rPr>
        <w:t>2.2.1.1.1.5.2</w:t>
      </w:r>
      <w:r>
        <w:rPr>
          <w:rFonts w:ascii="Arial" w:eastAsia="Calibri" w:hAnsi="Arial" w:cs="Arial"/>
          <w:color w:val="000000"/>
          <w:szCs w:val="24"/>
          <w:lang w:val="es-ES_tradnl" w:eastAsia="es-ES_tradnl"/>
        </w:rPr>
        <w:t xml:space="preserve"> del Decreto 1082 de 2015 y en el numeral </w:t>
      </w:r>
      <w:r w:rsidRPr="002153B5">
        <w:rPr>
          <w:rFonts w:ascii="Arial" w:hAnsi="Arial" w:cs="Arial"/>
        </w:rPr>
        <w:t xml:space="preserve">4.2.2.3 </w:t>
      </w:r>
      <w:r>
        <w:rPr>
          <w:rFonts w:ascii="Arial" w:eastAsia="Calibri" w:hAnsi="Arial" w:cs="Arial"/>
          <w:color w:val="000000"/>
          <w:szCs w:val="24"/>
          <w:lang w:val="es-ES_tradnl" w:eastAsia="es-ES_tradnl"/>
        </w:rPr>
        <w:t>la Circular Externa Única expedida por la Superintendencia de Industria y Comercio.  La presentación de esos estados financieros eventualmente podrá ser exigida por alguna entidad estatal en un proceso de selección, en el caso de que, para evaluar la capacidad financiera, se requiera información adicional a la contenida en el RUP, evento en el cual además</w:t>
      </w:r>
      <w:r w:rsidR="00635B27">
        <w:rPr>
          <w:rFonts w:ascii="Arial" w:eastAsia="Calibri" w:hAnsi="Arial" w:cs="Arial"/>
          <w:color w:val="000000"/>
          <w:szCs w:val="24"/>
          <w:lang w:val="es-ES_tradnl" w:eastAsia="es-ES_tradnl"/>
        </w:rPr>
        <w:t xml:space="preserve"> </w:t>
      </w:r>
      <w:r w:rsidR="00641FF4">
        <w:rPr>
          <w:rFonts w:ascii="Arial" w:eastAsia="Calibri" w:hAnsi="Arial" w:cs="Arial"/>
          <w:color w:val="000000"/>
          <w:szCs w:val="24"/>
          <w:lang w:val="es-ES_tradnl" w:eastAsia="es-ES_tradnl"/>
        </w:rPr>
        <w:t xml:space="preserve">las normas mencionas </w:t>
      </w:r>
      <w:r>
        <w:rPr>
          <w:rFonts w:ascii="Arial" w:eastAsia="Calibri" w:hAnsi="Arial" w:cs="Arial"/>
          <w:color w:val="000000"/>
          <w:szCs w:val="24"/>
          <w:lang w:val="es-ES_tradnl" w:eastAsia="es-ES_tradnl"/>
        </w:rPr>
        <w:t>deberá</w:t>
      </w:r>
      <w:r w:rsidR="00635B27">
        <w:rPr>
          <w:rFonts w:ascii="Arial" w:eastAsia="Calibri" w:hAnsi="Arial" w:cs="Arial"/>
          <w:color w:val="000000"/>
          <w:szCs w:val="24"/>
          <w:lang w:val="es-ES_tradnl" w:eastAsia="es-ES_tradnl"/>
        </w:rPr>
        <w:t>n</w:t>
      </w:r>
      <w:r>
        <w:rPr>
          <w:rFonts w:ascii="Arial" w:eastAsia="Calibri" w:hAnsi="Arial" w:cs="Arial"/>
          <w:color w:val="000000"/>
          <w:szCs w:val="24"/>
          <w:lang w:val="es-ES_tradnl" w:eastAsia="es-ES_tradnl"/>
        </w:rPr>
        <w:t xml:space="preserve"> </w:t>
      </w:r>
      <w:r w:rsidR="00635B27">
        <w:rPr>
          <w:rFonts w:ascii="Arial" w:eastAsia="Calibri" w:hAnsi="Arial" w:cs="Arial"/>
          <w:color w:val="000000"/>
          <w:szCs w:val="24"/>
          <w:lang w:val="es-ES_tradnl" w:eastAsia="es-ES_tradnl"/>
        </w:rPr>
        <w:t>aplicarse</w:t>
      </w:r>
      <w:r>
        <w:rPr>
          <w:rFonts w:ascii="Arial" w:eastAsia="Calibri" w:hAnsi="Arial" w:cs="Arial"/>
          <w:color w:val="000000"/>
          <w:szCs w:val="24"/>
          <w:lang w:val="es-ES_tradnl" w:eastAsia="es-ES_tradnl"/>
        </w:rPr>
        <w:t xml:space="preserve"> l</w:t>
      </w:r>
      <w:r w:rsidR="00635B27">
        <w:rPr>
          <w:rFonts w:ascii="Arial" w:eastAsia="Calibri" w:hAnsi="Arial" w:cs="Arial"/>
          <w:color w:val="000000"/>
          <w:szCs w:val="24"/>
          <w:lang w:val="es-ES_tradnl" w:eastAsia="es-ES_tradnl"/>
        </w:rPr>
        <w:t>as</w:t>
      </w:r>
      <w:r>
        <w:rPr>
          <w:rFonts w:ascii="Arial" w:eastAsia="Calibri" w:hAnsi="Arial" w:cs="Arial"/>
          <w:color w:val="000000"/>
          <w:szCs w:val="24"/>
          <w:lang w:val="es-ES_tradnl" w:eastAsia="es-ES_tradnl"/>
        </w:rPr>
        <w:t xml:space="preserve"> </w:t>
      </w:r>
      <w:r w:rsidR="00635B27">
        <w:rPr>
          <w:rFonts w:ascii="Arial" w:eastAsia="Calibri" w:hAnsi="Arial" w:cs="Arial"/>
          <w:color w:val="000000"/>
          <w:szCs w:val="24"/>
          <w:lang w:val="es-ES_tradnl" w:eastAsia="es-ES_tradnl"/>
        </w:rPr>
        <w:t xml:space="preserve">reglas incluidas en el </w:t>
      </w:r>
      <w:r>
        <w:rPr>
          <w:rFonts w:ascii="Arial" w:eastAsia="Calibri" w:hAnsi="Arial" w:cs="Arial"/>
          <w:color w:val="000000"/>
          <w:szCs w:val="24"/>
          <w:lang w:val="es-ES_tradnl" w:eastAsia="es-ES_tradnl"/>
        </w:rPr>
        <w:t xml:space="preserve">pliego de condiciones. </w:t>
      </w:r>
    </w:p>
    <w:p w14:paraId="3988BC8E" w14:textId="1B4E50A8" w:rsidR="003A6309" w:rsidRPr="0099001C" w:rsidRDefault="00635B27" w:rsidP="00736BEB">
      <w:pPr>
        <w:spacing w:before="120" w:after="0" w:line="276" w:lineRule="auto"/>
        <w:ind w:firstLine="709"/>
        <w:jc w:val="both"/>
        <w:rPr>
          <w:rFonts w:ascii="Arial" w:eastAsia="Calibri" w:hAnsi="Arial" w:cs="Arial"/>
          <w:color w:val="000000" w:themeColor="text1"/>
          <w:szCs w:val="24"/>
          <w:lang w:val="es-ES_tradnl" w:eastAsia="es-ES_tradnl"/>
        </w:rPr>
      </w:pPr>
      <w:r>
        <w:rPr>
          <w:rFonts w:ascii="Arial" w:eastAsia="Calibri" w:hAnsi="Arial" w:cs="Arial"/>
          <w:color w:val="000000"/>
          <w:szCs w:val="24"/>
          <w:lang w:val="es-ES_tradnl" w:eastAsia="es-ES_tradnl"/>
        </w:rPr>
        <w:lastRenderedPageBreak/>
        <w:t>Por su parte</w:t>
      </w:r>
      <w:r w:rsidR="003A6309">
        <w:rPr>
          <w:rFonts w:ascii="Arial" w:eastAsia="Calibri" w:hAnsi="Arial" w:cs="Arial"/>
          <w:color w:val="000000"/>
          <w:szCs w:val="24"/>
          <w:lang w:val="es-ES_tradnl" w:eastAsia="es-ES_tradnl"/>
        </w:rPr>
        <w:t xml:space="preserve">, los proponentes extranjeros sin sucursal en Colombia, al estar no estar obligados a inscribirse en el RUP y no estar sometidos al derecho colombiano, deben presentar sus estados </w:t>
      </w:r>
      <w:r w:rsidR="003A6309" w:rsidRPr="00617697">
        <w:rPr>
          <w:rFonts w:ascii="Arial" w:eastAsia="Calibri" w:hAnsi="Arial" w:cs="Arial"/>
          <w:color w:val="000000"/>
          <w:szCs w:val="24"/>
          <w:lang w:val="es-ES_tradnl" w:eastAsia="es-ES_tradnl"/>
        </w:rPr>
        <w:t xml:space="preserve">de acuerdo con la legislación de </w:t>
      </w:r>
      <w:r w:rsidR="003A6309">
        <w:rPr>
          <w:rFonts w:ascii="Arial" w:eastAsia="Calibri" w:hAnsi="Arial" w:cs="Arial"/>
          <w:color w:val="000000"/>
          <w:szCs w:val="24"/>
          <w:lang w:val="es-ES_tradnl" w:eastAsia="es-ES_tradnl"/>
        </w:rPr>
        <w:t xml:space="preserve">su país de </w:t>
      </w:r>
      <w:r w:rsidR="003A6309" w:rsidRPr="00617697">
        <w:rPr>
          <w:rFonts w:ascii="Arial" w:eastAsia="Calibri" w:hAnsi="Arial" w:cs="Arial"/>
          <w:color w:val="000000"/>
          <w:szCs w:val="24"/>
          <w:lang w:val="es-ES_tradnl" w:eastAsia="es-ES_tradnl"/>
        </w:rPr>
        <w:t>origen</w:t>
      </w:r>
      <w:r w:rsidR="003A6309">
        <w:rPr>
          <w:rFonts w:ascii="Arial" w:eastAsia="Calibri" w:hAnsi="Arial" w:cs="Arial"/>
          <w:color w:val="000000"/>
          <w:szCs w:val="24"/>
          <w:lang w:val="es-ES_tradnl" w:eastAsia="es-ES_tradnl"/>
        </w:rPr>
        <w:t xml:space="preserve">, sin perjuicio de las </w:t>
      </w:r>
      <w:r w:rsidR="003A6309">
        <w:rPr>
          <w:rFonts w:ascii="Arial" w:eastAsia="Calibri" w:hAnsi="Arial" w:cs="Arial"/>
          <w:color w:val="000000" w:themeColor="text1"/>
          <w:szCs w:val="24"/>
          <w:lang w:val="es-ES_tradnl" w:eastAsia="es-ES_tradnl"/>
        </w:rPr>
        <w:t>conversiones, traducciones y/o homologaciones a la que haya lugar</w:t>
      </w:r>
      <w:r w:rsidR="00C85F95">
        <w:rPr>
          <w:rFonts w:ascii="Arial" w:eastAsia="Calibri" w:hAnsi="Arial" w:cs="Arial"/>
          <w:color w:val="000000" w:themeColor="text1"/>
          <w:szCs w:val="24"/>
          <w:lang w:val="es-ES_tradnl" w:eastAsia="es-ES_tradnl"/>
        </w:rPr>
        <w:t>, de conformidad con la</w:t>
      </w:r>
      <w:r w:rsidR="00EE58F5">
        <w:rPr>
          <w:rFonts w:ascii="Arial" w:eastAsia="Calibri" w:hAnsi="Arial" w:cs="Arial"/>
          <w:color w:val="000000" w:themeColor="text1"/>
          <w:szCs w:val="24"/>
          <w:lang w:val="es-ES_tradnl" w:eastAsia="es-ES_tradnl"/>
        </w:rPr>
        <w:t>s</w:t>
      </w:r>
      <w:r w:rsidR="00C85F95">
        <w:rPr>
          <w:rFonts w:ascii="Arial" w:eastAsia="Calibri" w:hAnsi="Arial" w:cs="Arial"/>
          <w:color w:val="000000" w:themeColor="text1"/>
          <w:szCs w:val="24"/>
          <w:lang w:val="es-ES_tradnl" w:eastAsia="es-ES_tradnl"/>
        </w:rPr>
        <w:t xml:space="preserve"> reglas establecidas en pliego de condiciones</w:t>
      </w:r>
      <w:r w:rsidR="003A6309">
        <w:rPr>
          <w:rFonts w:ascii="Arial" w:eastAsia="Calibri" w:hAnsi="Arial" w:cs="Arial"/>
          <w:color w:val="000000" w:themeColor="text1"/>
          <w:szCs w:val="24"/>
          <w:lang w:val="es-ES_tradnl" w:eastAsia="es-ES_tradnl"/>
        </w:rPr>
        <w:t xml:space="preserve">. Al respecto </w:t>
      </w:r>
      <w:r w:rsidR="003A6309" w:rsidRPr="0099001C">
        <w:rPr>
          <w:rFonts w:ascii="Arial" w:eastAsia="Calibri" w:hAnsi="Arial" w:cs="Arial"/>
          <w:color w:val="000000" w:themeColor="text1"/>
          <w:szCs w:val="24"/>
          <w:lang w:val="es-ES_tradnl" w:eastAsia="es-ES_tradnl"/>
        </w:rPr>
        <w:t xml:space="preserve">es </w:t>
      </w:r>
      <w:r w:rsidR="003A6309">
        <w:rPr>
          <w:rFonts w:ascii="Arial" w:eastAsia="Calibri" w:hAnsi="Arial" w:cs="Arial"/>
          <w:color w:val="000000" w:themeColor="text1"/>
          <w:szCs w:val="24"/>
          <w:lang w:val="es-ES_tradnl" w:eastAsia="es-ES_tradnl"/>
        </w:rPr>
        <w:t xml:space="preserve">conveniente resaltar </w:t>
      </w:r>
      <w:r w:rsidR="00C85F95">
        <w:rPr>
          <w:rFonts w:ascii="Arial" w:eastAsia="Calibri" w:hAnsi="Arial" w:cs="Arial"/>
          <w:color w:val="000000" w:themeColor="text1"/>
          <w:szCs w:val="24"/>
          <w:lang w:val="es-ES_tradnl" w:eastAsia="es-ES_tradnl"/>
        </w:rPr>
        <w:t xml:space="preserve">que </w:t>
      </w:r>
      <w:r w:rsidR="00C85F95" w:rsidRPr="0099001C">
        <w:rPr>
          <w:rFonts w:ascii="Arial" w:eastAsia="Calibri" w:hAnsi="Arial" w:cs="Arial"/>
          <w:color w:val="000000" w:themeColor="text1"/>
          <w:szCs w:val="24"/>
          <w:lang w:val="es-ES_tradnl" w:eastAsia="es-ES_tradnl"/>
        </w:rPr>
        <w:t>las</w:t>
      </w:r>
      <w:r w:rsidR="003A6309" w:rsidRPr="0099001C">
        <w:rPr>
          <w:rFonts w:ascii="Arial" w:eastAsia="Calibri" w:hAnsi="Arial" w:cs="Arial"/>
          <w:color w:val="000000" w:themeColor="text1"/>
          <w:szCs w:val="24"/>
          <w:lang w:val="es-ES_tradnl" w:eastAsia="es-ES_tradnl"/>
        </w:rPr>
        <w:t xml:space="preserve"> Normas Internacionales de Información Financiera –NIIF–, adoptadas en Colombia con la expedición de la Ley 1314 de 2009, que son reglas que permiten unificar el lenguaje de los estados financieros de las empresas, independientemente de su nacionalidad. De esta manera, la aplicación de estas normas en los procesos de contratación, particularmente, en el caso de proveedores extranjeros, facilita la evaluación de los requisitos de capacidad financiera, teniendo en cuenta que establecen una base común para la presentación de información financiera a nivel mundial</w:t>
      </w:r>
      <w:r w:rsidR="003A6309">
        <w:rPr>
          <w:rFonts w:ascii="Arial" w:eastAsia="Calibri" w:hAnsi="Arial" w:cs="Arial"/>
          <w:color w:val="000000" w:themeColor="text1"/>
          <w:szCs w:val="24"/>
          <w:lang w:val="es-ES_tradnl" w:eastAsia="es-ES_tradnl"/>
        </w:rPr>
        <w:t>.</w:t>
      </w:r>
      <w:r w:rsidR="003A6309" w:rsidRPr="0099001C">
        <w:rPr>
          <w:rFonts w:ascii="Arial" w:eastAsia="Calibri" w:hAnsi="Arial" w:cs="Arial"/>
          <w:color w:val="000000" w:themeColor="text1"/>
          <w:szCs w:val="24"/>
          <w:lang w:val="es-ES_tradnl" w:eastAsia="es-ES_tradnl"/>
        </w:rPr>
        <w:t xml:space="preserve"> </w:t>
      </w:r>
    </w:p>
    <w:p w14:paraId="1067C453" w14:textId="77777777" w:rsidR="0099001C" w:rsidRPr="0099001C" w:rsidRDefault="0099001C" w:rsidP="0099001C">
      <w:pPr>
        <w:spacing w:after="0" w:line="276" w:lineRule="auto"/>
        <w:jc w:val="both"/>
        <w:rPr>
          <w:rFonts w:ascii="Arial" w:eastAsia="Calibri" w:hAnsi="Arial" w:cs="Arial"/>
          <w:color w:val="000000"/>
          <w:lang w:val="es-MX" w:eastAsia="es-ES_tradnl"/>
        </w:rPr>
      </w:pPr>
    </w:p>
    <w:p w14:paraId="77E366B0" w14:textId="77777777" w:rsidR="0099001C" w:rsidRPr="0099001C" w:rsidRDefault="0099001C" w:rsidP="0099001C">
      <w:pPr>
        <w:spacing w:after="0" w:line="276" w:lineRule="auto"/>
        <w:jc w:val="both"/>
        <w:rPr>
          <w:rFonts w:ascii="Arial" w:eastAsia="Calibri" w:hAnsi="Arial" w:cs="Arial"/>
          <w:bCs/>
          <w:color w:val="000000" w:themeColor="text1"/>
          <w:lang w:val="es-MX"/>
        </w:rPr>
      </w:pPr>
      <w:r w:rsidRPr="0099001C">
        <w:rPr>
          <w:rFonts w:ascii="Arial" w:eastAsia="Calibri" w:hAnsi="Arial" w:cs="Arial"/>
          <w:color w:val="000000" w:themeColor="text1"/>
          <w:lang w:val="es-ES_tradnl" w:eastAsia="es-ES_tradnl"/>
        </w:rPr>
        <w:t>Este concepto tiene el alcance previsto en el artículo 28 del</w:t>
      </w:r>
      <w:r w:rsidRPr="0099001C">
        <w:rPr>
          <w:rFonts w:ascii="Arial" w:eastAsia="Calibri" w:hAnsi="Arial" w:cs="Arial"/>
          <w:color w:val="000000" w:themeColor="text1"/>
          <w:szCs w:val="24"/>
          <w:lang w:val="es-ES_tradnl" w:eastAsia="es-ES_tradnl"/>
        </w:rPr>
        <w:t xml:space="preserve"> Código de Procedimiento Administrativo y de lo Contencioso Administrativo </w:t>
      </w:r>
      <w:r w:rsidRPr="0099001C">
        <w:rPr>
          <w:rFonts w:ascii="Arial" w:eastAsia="Calibri" w:hAnsi="Arial" w:cs="Arial"/>
          <w:bCs/>
          <w:color w:val="000000" w:themeColor="text1"/>
          <w:lang w:val="es-MX"/>
        </w:rPr>
        <w:t xml:space="preserve">y </w:t>
      </w:r>
      <w:r w:rsidRPr="0099001C">
        <w:rPr>
          <w:rFonts w:ascii="Arial" w:eastAsia="Calibri" w:hAnsi="Arial" w:cs="Arial"/>
          <w:lang w:val="es-MX"/>
        </w:rPr>
        <w:t>las expresiones aquí utilizadas con mayúscula inicial deben ser entendidas con el significado que les otorga el artículo 2.2.1.1.1.3.1. del Decreto 1082 de 2015</w:t>
      </w:r>
      <w:r w:rsidRPr="0099001C">
        <w:rPr>
          <w:rFonts w:ascii="Arial" w:eastAsia="Calibri" w:hAnsi="Arial" w:cs="Arial"/>
          <w:bCs/>
          <w:color w:val="000000" w:themeColor="text1"/>
          <w:lang w:val="es-MX"/>
        </w:rPr>
        <w:t>.</w:t>
      </w:r>
    </w:p>
    <w:p w14:paraId="69E7532A" w14:textId="77777777" w:rsidR="0099001C" w:rsidRPr="0099001C" w:rsidRDefault="0099001C" w:rsidP="0099001C">
      <w:pPr>
        <w:spacing w:after="0" w:line="276" w:lineRule="auto"/>
        <w:jc w:val="both"/>
        <w:rPr>
          <w:rFonts w:ascii="Arial" w:eastAsia="Times New Roman" w:hAnsi="Arial" w:cs="Arial"/>
          <w:color w:val="000000" w:themeColor="text1"/>
          <w:lang w:val="es-ES_tradnl" w:eastAsia="es-CO"/>
        </w:rPr>
      </w:pPr>
    </w:p>
    <w:p w14:paraId="6A6E5B61" w14:textId="77777777" w:rsidR="0099001C" w:rsidRPr="0099001C" w:rsidRDefault="0099001C" w:rsidP="0099001C">
      <w:pPr>
        <w:spacing w:after="200" w:line="276" w:lineRule="auto"/>
        <w:jc w:val="both"/>
        <w:rPr>
          <w:rFonts w:ascii="Arial" w:eastAsia="Calibri" w:hAnsi="Arial" w:cs="Arial"/>
          <w:sz w:val="24"/>
          <w:szCs w:val="24"/>
          <w:lang w:val="es-MX" w:eastAsia="es-ES_tradnl"/>
        </w:rPr>
      </w:pPr>
      <w:r w:rsidRPr="0099001C">
        <w:rPr>
          <w:rFonts w:ascii="Arial" w:eastAsia="Calibri" w:hAnsi="Arial" w:cs="Arial"/>
          <w:sz w:val="24"/>
          <w:szCs w:val="24"/>
          <w:lang w:val="es-MX" w:eastAsia="es-ES_tradnl"/>
        </w:rPr>
        <w:t>Atentamente,</w:t>
      </w:r>
    </w:p>
    <w:p w14:paraId="26B49260" w14:textId="0A8B058B" w:rsidR="0099001C" w:rsidRPr="0099001C" w:rsidRDefault="00FD22F9" w:rsidP="0099001C">
      <w:pPr>
        <w:spacing w:after="200" w:line="276" w:lineRule="auto"/>
        <w:jc w:val="center"/>
        <w:rPr>
          <w:rFonts w:ascii="Arial" w:eastAsia="Times New Roman" w:hAnsi="Arial" w:cs="Arial"/>
          <w:sz w:val="18"/>
          <w:szCs w:val="20"/>
          <w:lang w:val="es-ES_tradnl" w:eastAsia="es-CO"/>
        </w:rPr>
      </w:pPr>
      <w:r>
        <w:rPr>
          <w:rFonts w:ascii="Arial" w:hAnsi="Arial" w:cs="Arial"/>
          <w:noProof/>
          <w:sz w:val="18"/>
          <w:szCs w:val="20"/>
          <w:lang w:val="es-MX"/>
        </w:rPr>
        <w:drawing>
          <wp:inline distT="0" distB="0" distL="0" distR="0" wp14:anchorId="1260566D" wp14:editId="14E05E87">
            <wp:extent cx="2857500" cy="1096382"/>
            <wp:effectExtent l="0" t="0" r="0" b="8890"/>
            <wp:docPr id="676430471"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9582" cy="1101018"/>
                    </a:xfrm>
                    <a:prstGeom prst="rect">
                      <a:avLst/>
                    </a:prstGeom>
                    <a:noFill/>
                    <a:ln>
                      <a:noFill/>
                    </a:ln>
                  </pic:spPr>
                </pic:pic>
              </a:graphicData>
            </a:graphic>
          </wp:inline>
        </w:drawing>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9001C" w:rsidRPr="0099001C" w14:paraId="28D61511" w14:textId="77777777" w:rsidTr="00BE267F">
        <w:trPr>
          <w:trHeight w:val="315"/>
        </w:trPr>
        <w:tc>
          <w:tcPr>
            <w:tcW w:w="812" w:type="dxa"/>
            <w:vAlign w:val="center"/>
            <w:hideMark/>
          </w:tcPr>
          <w:p w14:paraId="78602332" w14:textId="77777777" w:rsidR="0099001C" w:rsidRPr="0099001C" w:rsidRDefault="0099001C" w:rsidP="0099001C">
            <w:pPr>
              <w:spacing w:line="276" w:lineRule="auto"/>
              <w:rPr>
                <w:rFonts w:ascii="Arial" w:eastAsia="Times New Roman" w:hAnsi="Arial" w:cs="Arial"/>
                <w:sz w:val="16"/>
                <w:szCs w:val="16"/>
                <w:lang w:val="es-ES_tradnl" w:eastAsia="es-ES"/>
              </w:rPr>
            </w:pPr>
            <w:r w:rsidRPr="0099001C">
              <w:rPr>
                <w:rFonts w:ascii="Arial" w:eastAsia="Times New Roman" w:hAnsi="Arial" w:cs="Arial"/>
                <w:sz w:val="16"/>
                <w:szCs w:val="16"/>
                <w:lang w:val="es-ES_tradnl" w:eastAsia="es-ES"/>
              </w:rPr>
              <w:t>Elaboró:</w:t>
            </w:r>
          </w:p>
        </w:tc>
        <w:tc>
          <w:tcPr>
            <w:tcW w:w="4413" w:type="dxa"/>
            <w:tcBorders>
              <w:top w:val="nil"/>
              <w:left w:val="nil"/>
              <w:bottom w:val="dotted" w:sz="4" w:space="0" w:color="7F7F7F"/>
              <w:right w:val="nil"/>
            </w:tcBorders>
            <w:vAlign w:val="center"/>
            <w:hideMark/>
          </w:tcPr>
          <w:p w14:paraId="1B332975" w14:textId="77777777" w:rsidR="0099001C" w:rsidRPr="0099001C" w:rsidRDefault="0099001C" w:rsidP="0099001C">
            <w:pPr>
              <w:rPr>
                <w:rFonts w:ascii="Arial" w:eastAsia="Calibri" w:hAnsi="Arial" w:cs="Arial"/>
                <w:sz w:val="16"/>
                <w:szCs w:val="16"/>
                <w:lang w:val="es-ES_tradnl" w:eastAsia="es-ES"/>
              </w:rPr>
            </w:pPr>
            <w:r w:rsidRPr="0099001C">
              <w:rPr>
                <w:rFonts w:ascii="Arial" w:eastAsia="Calibri" w:hAnsi="Arial" w:cs="Arial"/>
                <w:sz w:val="16"/>
                <w:szCs w:val="16"/>
                <w:lang w:val="es-ES_tradnl" w:eastAsia="es-ES"/>
              </w:rPr>
              <w:t>Kevin Arlid Herrera Santa</w:t>
            </w:r>
          </w:p>
          <w:p w14:paraId="14CA1D63" w14:textId="77777777" w:rsidR="0099001C" w:rsidRPr="0099001C" w:rsidRDefault="0099001C" w:rsidP="0099001C">
            <w:pPr>
              <w:spacing w:line="276" w:lineRule="auto"/>
              <w:rPr>
                <w:rFonts w:ascii="Arial" w:eastAsia="Times New Roman" w:hAnsi="Arial" w:cs="Arial"/>
                <w:sz w:val="16"/>
                <w:szCs w:val="16"/>
                <w:lang w:val="es-ES_tradnl" w:eastAsia="es-ES"/>
              </w:rPr>
            </w:pPr>
            <w:r w:rsidRPr="0099001C">
              <w:rPr>
                <w:rFonts w:ascii="Arial" w:eastAsia="Calibri" w:hAnsi="Arial" w:cs="Arial"/>
                <w:sz w:val="16"/>
                <w:szCs w:val="16"/>
                <w:lang w:val="es-ES_tradnl" w:eastAsia="es-ES"/>
              </w:rPr>
              <w:t>Contratista de la Subdirección de Gestión Contractual</w:t>
            </w:r>
          </w:p>
        </w:tc>
      </w:tr>
      <w:tr w:rsidR="0099001C" w:rsidRPr="0099001C" w14:paraId="1F2245F2" w14:textId="77777777" w:rsidTr="00BE267F">
        <w:trPr>
          <w:trHeight w:val="330"/>
        </w:trPr>
        <w:tc>
          <w:tcPr>
            <w:tcW w:w="812" w:type="dxa"/>
            <w:vAlign w:val="center"/>
            <w:hideMark/>
          </w:tcPr>
          <w:p w14:paraId="37F2E632" w14:textId="77777777" w:rsidR="0099001C" w:rsidRPr="0099001C" w:rsidRDefault="0099001C" w:rsidP="0099001C">
            <w:pPr>
              <w:spacing w:line="276" w:lineRule="auto"/>
              <w:rPr>
                <w:rFonts w:ascii="Arial" w:eastAsia="Times New Roman" w:hAnsi="Arial" w:cs="Arial"/>
                <w:sz w:val="16"/>
                <w:szCs w:val="16"/>
                <w:lang w:val="es-ES_tradnl" w:eastAsia="es-ES"/>
              </w:rPr>
            </w:pPr>
            <w:r w:rsidRPr="0099001C">
              <w:rPr>
                <w:rFonts w:ascii="Arial" w:eastAsia="Times New Roman" w:hAnsi="Arial" w:cs="Arial"/>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7C75EEC4" w14:textId="77777777" w:rsidR="0099001C" w:rsidRPr="0099001C" w:rsidRDefault="0099001C" w:rsidP="0099001C">
            <w:pPr>
              <w:rPr>
                <w:rFonts w:ascii="Arial" w:eastAsia="Times New Roman" w:hAnsi="Arial" w:cs="Arial"/>
                <w:color w:val="000000"/>
                <w:sz w:val="16"/>
                <w:szCs w:val="16"/>
                <w:lang w:val="es-ES_tradnl" w:eastAsia="es-ES"/>
              </w:rPr>
            </w:pPr>
            <w:r w:rsidRPr="0099001C">
              <w:rPr>
                <w:rFonts w:ascii="Arial" w:eastAsia="Times New Roman" w:hAnsi="Arial" w:cs="Arial"/>
                <w:color w:val="000000"/>
                <w:sz w:val="16"/>
                <w:szCs w:val="16"/>
                <w:lang w:val="es-ES_tradnl" w:eastAsia="es-ES"/>
              </w:rPr>
              <w:t>Alejandro Sarmiento Cantillo</w:t>
            </w:r>
          </w:p>
          <w:p w14:paraId="5355D6E7" w14:textId="77777777" w:rsidR="0099001C" w:rsidRPr="0099001C" w:rsidRDefault="0099001C" w:rsidP="0099001C">
            <w:pPr>
              <w:rPr>
                <w:rFonts w:ascii="Arial" w:eastAsia="Times New Roman" w:hAnsi="Arial" w:cs="Arial"/>
                <w:color w:val="000000"/>
                <w:sz w:val="16"/>
                <w:szCs w:val="16"/>
                <w:lang w:val="es-ES_tradnl" w:eastAsia="es-ES"/>
              </w:rPr>
            </w:pPr>
            <w:r w:rsidRPr="0099001C">
              <w:rPr>
                <w:rFonts w:ascii="Arial" w:eastAsia="Times New Roman" w:hAnsi="Arial" w:cs="Arial"/>
                <w:color w:val="000000"/>
                <w:sz w:val="16"/>
                <w:szCs w:val="16"/>
                <w:lang w:val="es-ES_tradnl" w:eastAsia="es-ES"/>
              </w:rPr>
              <w:t xml:space="preserve">Gestor T1-15 de la Subdirección de Gestión Contractual    </w:t>
            </w:r>
          </w:p>
        </w:tc>
      </w:tr>
      <w:tr w:rsidR="0099001C" w:rsidRPr="0099001C" w14:paraId="2FD90353" w14:textId="77777777" w:rsidTr="00BE267F">
        <w:trPr>
          <w:trHeight w:val="300"/>
        </w:trPr>
        <w:tc>
          <w:tcPr>
            <w:tcW w:w="812" w:type="dxa"/>
            <w:vAlign w:val="center"/>
            <w:hideMark/>
          </w:tcPr>
          <w:p w14:paraId="00E20938" w14:textId="77777777" w:rsidR="0099001C" w:rsidRPr="0099001C" w:rsidRDefault="0099001C" w:rsidP="0099001C">
            <w:pPr>
              <w:spacing w:line="276" w:lineRule="auto"/>
              <w:rPr>
                <w:rFonts w:ascii="Arial" w:eastAsia="Times New Roman" w:hAnsi="Arial" w:cs="Arial"/>
                <w:sz w:val="16"/>
                <w:szCs w:val="16"/>
                <w:lang w:val="es-ES_tradnl" w:eastAsia="es-ES"/>
              </w:rPr>
            </w:pPr>
            <w:r w:rsidRPr="0099001C">
              <w:rPr>
                <w:rFonts w:ascii="Arial" w:eastAsia="Times New Roman" w:hAnsi="Arial" w:cs="Arial"/>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7A885493" w14:textId="77777777" w:rsidR="0099001C" w:rsidRPr="0099001C" w:rsidRDefault="0099001C" w:rsidP="0099001C">
            <w:pPr>
              <w:spacing w:line="276" w:lineRule="auto"/>
              <w:rPr>
                <w:rFonts w:ascii="Arial" w:eastAsia="Calibri" w:hAnsi="Arial" w:cs="Arial"/>
                <w:sz w:val="16"/>
                <w:szCs w:val="16"/>
                <w:lang w:val="es-ES_tradnl" w:eastAsia="es-ES"/>
              </w:rPr>
            </w:pPr>
            <w:r w:rsidRPr="0099001C">
              <w:rPr>
                <w:rFonts w:ascii="Arial" w:eastAsia="Calibri" w:hAnsi="Arial" w:cs="Arial"/>
                <w:sz w:val="16"/>
                <w:szCs w:val="16"/>
                <w:lang w:val="es-ES_tradnl" w:eastAsia="es-ES"/>
              </w:rPr>
              <w:t xml:space="preserve">Nohelia del Carmen </w:t>
            </w:r>
            <w:proofErr w:type="spellStart"/>
            <w:r w:rsidRPr="0099001C">
              <w:rPr>
                <w:rFonts w:ascii="Arial" w:eastAsia="Calibri" w:hAnsi="Arial" w:cs="Arial"/>
                <w:sz w:val="16"/>
                <w:szCs w:val="16"/>
                <w:lang w:val="es-ES_tradnl" w:eastAsia="es-ES"/>
              </w:rPr>
              <w:t>Zawady</w:t>
            </w:r>
            <w:proofErr w:type="spellEnd"/>
            <w:r w:rsidRPr="0099001C">
              <w:rPr>
                <w:rFonts w:ascii="Arial" w:eastAsia="Calibri" w:hAnsi="Arial" w:cs="Arial"/>
                <w:sz w:val="16"/>
                <w:szCs w:val="16"/>
                <w:lang w:val="es-ES_tradnl" w:eastAsia="es-ES"/>
              </w:rPr>
              <w:t xml:space="preserve"> Palacio</w:t>
            </w:r>
          </w:p>
          <w:p w14:paraId="5B218430" w14:textId="77777777" w:rsidR="0099001C" w:rsidRPr="0099001C" w:rsidRDefault="0099001C" w:rsidP="0099001C">
            <w:pPr>
              <w:spacing w:line="276" w:lineRule="auto"/>
              <w:rPr>
                <w:rFonts w:ascii="Arial" w:eastAsia="Times New Roman" w:hAnsi="Arial" w:cs="Arial"/>
                <w:sz w:val="16"/>
                <w:szCs w:val="16"/>
                <w:lang w:val="es-ES_tradnl" w:eastAsia="es-ES"/>
              </w:rPr>
            </w:pPr>
            <w:r w:rsidRPr="0099001C">
              <w:rPr>
                <w:rFonts w:ascii="Arial" w:eastAsia="Calibri" w:hAnsi="Arial" w:cs="Arial"/>
                <w:sz w:val="16"/>
                <w:szCs w:val="16"/>
                <w:lang w:val="es-ES_tradnl" w:eastAsia="es-ES"/>
              </w:rPr>
              <w:t>Subdirectora de Gestión Contractual ANCP – CCE</w:t>
            </w:r>
          </w:p>
        </w:tc>
      </w:tr>
    </w:tbl>
    <w:p w14:paraId="3361517B" w14:textId="77777777" w:rsidR="0099001C" w:rsidRPr="0099001C" w:rsidRDefault="0099001C" w:rsidP="0099001C">
      <w:pPr>
        <w:spacing w:after="200" w:line="276" w:lineRule="auto"/>
        <w:jc w:val="both"/>
        <w:rPr>
          <w:rFonts w:ascii="Calibri" w:eastAsia="Calibri" w:hAnsi="Calibri" w:cs="Calibri"/>
          <w:sz w:val="24"/>
          <w:szCs w:val="24"/>
          <w:lang w:val="es-MX" w:eastAsia="es-ES_tradnl"/>
        </w:rPr>
      </w:pPr>
    </w:p>
    <w:p w14:paraId="0465BA6D" w14:textId="77777777" w:rsidR="00E245AB" w:rsidRPr="00C330EB" w:rsidRDefault="00E245AB" w:rsidP="00E245AB">
      <w:pPr>
        <w:spacing w:after="0"/>
        <w:rPr>
          <w:rFonts w:ascii="Century Gothic" w:hAnsi="Century Gothic"/>
        </w:rPr>
      </w:pPr>
    </w:p>
    <w:sectPr w:rsidR="00E245AB" w:rsidRPr="00C330EB" w:rsidSect="00923EEF">
      <w:headerReference w:type="default" r:id="rId13"/>
      <w:footerReference w:type="default" r:id="rId14"/>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9270A" w14:textId="77777777" w:rsidR="004B5A76" w:rsidRDefault="004B5A76" w:rsidP="004A1847">
      <w:pPr>
        <w:spacing w:after="0" w:line="240" w:lineRule="auto"/>
      </w:pPr>
      <w:r>
        <w:separator/>
      </w:r>
    </w:p>
  </w:endnote>
  <w:endnote w:type="continuationSeparator" w:id="0">
    <w:p w14:paraId="0896490E" w14:textId="77777777" w:rsidR="004B5A76" w:rsidRDefault="004B5A76" w:rsidP="004A1847">
      <w:pPr>
        <w:spacing w:after="0" w:line="240" w:lineRule="auto"/>
      </w:pPr>
      <w:r>
        <w:continuationSeparator/>
      </w:r>
    </w:p>
  </w:endnote>
  <w:endnote w:type="continuationNotice" w:id="1">
    <w:p w14:paraId="4BA8E7BC" w14:textId="77777777" w:rsidR="004B5A76" w:rsidRDefault="004B5A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manist Bold">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62368336"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3F78C75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E0DB946"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BBAF0" w14:textId="77777777" w:rsidR="004B5A76" w:rsidRDefault="004B5A76" w:rsidP="004A1847">
      <w:pPr>
        <w:spacing w:after="0" w:line="240" w:lineRule="auto"/>
      </w:pPr>
      <w:r>
        <w:separator/>
      </w:r>
    </w:p>
  </w:footnote>
  <w:footnote w:type="continuationSeparator" w:id="0">
    <w:p w14:paraId="771E103E" w14:textId="77777777" w:rsidR="004B5A76" w:rsidRDefault="004B5A76" w:rsidP="004A1847">
      <w:pPr>
        <w:spacing w:after="0" w:line="240" w:lineRule="auto"/>
      </w:pPr>
      <w:r>
        <w:continuationSeparator/>
      </w:r>
    </w:p>
  </w:footnote>
  <w:footnote w:type="continuationNotice" w:id="1">
    <w:p w14:paraId="666F285B" w14:textId="77777777" w:rsidR="004B5A76" w:rsidRDefault="004B5A76">
      <w:pPr>
        <w:spacing w:after="0" w:line="240" w:lineRule="auto"/>
      </w:pPr>
    </w:p>
  </w:footnote>
  <w:footnote w:id="2">
    <w:p w14:paraId="197FB697" w14:textId="77777777" w:rsidR="0099001C" w:rsidRPr="00736BEB" w:rsidRDefault="0099001C" w:rsidP="0099001C">
      <w:pPr>
        <w:pStyle w:val="Textonotapie"/>
        <w:ind w:firstLine="708"/>
        <w:jc w:val="both"/>
        <w:rPr>
          <w:rFonts w:ascii="Arial" w:hAnsi="Arial" w:cs="Arial"/>
          <w:sz w:val="16"/>
          <w:szCs w:val="16"/>
          <w:lang w:val="es-ES"/>
        </w:rPr>
      </w:pPr>
      <w:r w:rsidRPr="00736BEB">
        <w:rPr>
          <w:rStyle w:val="Refdenotaalpie"/>
          <w:rFonts w:ascii="Arial" w:hAnsi="Arial" w:cs="Arial"/>
          <w:sz w:val="16"/>
          <w:szCs w:val="16"/>
        </w:rPr>
        <w:footnoteRef/>
      </w:r>
      <w:r w:rsidRPr="00736BEB">
        <w:rPr>
          <w:rFonts w:ascii="Arial" w:hAnsi="Arial" w:cs="Arial"/>
          <w:sz w:val="16"/>
          <w:szCs w:val="16"/>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736BEB">
        <w:rPr>
          <w:rFonts w:ascii="Arial" w:hAnsi="Arial" w:cs="Arial"/>
          <w:i/>
          <w:sz w:val="16"/>
          <w:szCs w:val="16"/>
        </w:rPr>
        <w:t xml:space="preserve">ibidem </w:t>
      </w:r>
      <w:r w:rsidRPr="00736BEB">
        <w:rPr>
          <w:rFonts w:ascii="Arial" w:hAnsi="Arial" w:cs="Arial"/>
          <w:sz w:val="16"/>
          <w:szCs w:val="16"/>
        </w:rPr>
        <w:t>señala, de manera precisa, las funciones de Colombia Compra Eficiente. Concretamente, el numeral 5º de este artículo establece que le corresponde a esta entidad: “[a]</w:t>
      </w:r>
      <w:proofErr w:type="spellStart"/>
      <w:r w:rsidRPr="00736BEB">
        <w:rPr>
          <w:rFonts w:ascii="Arial" w:hAnsi="Arial" w:cs="Arial"/>
          <w:sz w:val="16"/>
          <w:szCs w:val="16"/>
        </w:rPr>
        <w:t>bsolver</w:t>
      </w:r>
      <w:proofErr w:type="spellEnd"/>
      <w:r w:rsidRPr="00736BEB">
        <w:rPr>
          <w:rFonts w:ascii="Arial" w:hAnsi="Arial" w:cs="Arial"/>
          <w:sz w:val="16"/>
          <w:szCs w:val="16"/>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736BEB">
        <w:rPr>
          <w:rFonts w:ascii="Arial" w:hAnsi="Arial" w:cs="Arial"/>
          <w:sz w:val="16"/>
          <w:szCs w:val="16"/>
        </w:rPr>
        <w:t>bsolver</w:t>
      </w:r>
      <w:proofErr w:type="spellEnd"/>
      <w:r w:rsidRPr="00736BEB">
        <w:rPr>
          <w:rFonts w:ascii="Arial" w:hAnsi="Arial" w:cs="Arial"/>
          <w:sz w:val="16"/>
          <w:szCs w:val="16"/>
        </w:rPr>
        <w:t xml:space="preserve"> consultas sobre la aplicación de normas de carácter general”.</w:t>
      </w:r>
    </w:p>
  </w:footnote>
  <w:footnote w:id="3">
    <w:p w14:paraId="538C8AAF" w14:textId="77777777" w:rsidR="0099001C" w:rsidRPr="00EE1C26" w:rsidRDefault="0099001C" w:rsidP="0099001C">
      <w:pPr>
        <w:pStyle w:val="NormalWeb"/>
        <w:spacing w:after="0"/>
        <w:ind w:firstLine="708"/>
        <w:jc w:val="both"/>
        <w:rPr>
          <w:rFonts w:ascii="Arial" w:hAnsi="Arial" w:cs="Arial"/>
          <w:color w:val="000000" w:themeColor="text1"/>
          <w:sz w:val="16"/>
          <w:szCs w:val="16"/>
        </w:rPr>
      </w:pPr>
      <w:r w:rsidRPr="00736BEB">
        <w:rPr>
          <w:rStyle w:val="Refdenotaalpie"/>
          <w:rFonts w:ascii="Arial" w:hAnsi="Arial" w:cs="Arial"/>
          <w:color w:val="000000" w:themeColor="text1"/>
          <w:sz w:val="16"/>
          <w:szCs w:val="16"/>
        </w:rPr>
        <w:footnoteRef/>
      </w:r>
      <w:r w:rsidRPr="00EE1C26">
        <w:rPr>
          <w:rFonts w:ascii="Arial" w:hAnsi="Arial" w:cs="Arial"/>
          <w:color w:val="000000" w:themeColor="text1"/>
          <w:sz w:val="16"/>
          <w:szCs w:val="16"/>
        </w:rPr>
        <w:t xml:space="preserve"> </w:t>
      </w:r>
      <w:r w:rsidRPr="00EE1C26">
        <w:rPr>
          <w:rFonts w:ascii="Arial" w:hAnsi="Arial" w:cs="Arial"/>
          <w:color w:val="000000" w:themeColor="text1"/>
          <w:sz w:val="16"/>
          <w:szCs w:val="16"/>
          <w:lang w:val="es-ES"/>
        </w:rPr>
        <w:t xml:space="preserve">Ley 1150 de 2007: “Artículo 6. </w:t>
      </w:r>
      <w:r w:rsidRPr="00EE1C26">
        <w:rPr>
          <w:rFonts w:ascii="Arial" w:hAnsi="Arial" w:cs="Arial"/>
          <w:color w:val="000000" w:themeColor="text1"/>
          <w:sz w:val="16"/>
          <w:szCs w:val="16"/>
        </w:rPr>
        <w:t>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51B12E85" w14:textId="77777777" w:rsidR="0099001C" w:rsidRPr="00EE1C26" w:rsidRDefault="0099001C" w:rsidP="0099001C">
      <w:pPr>
        <w:pStyle w:val="NormalWeb"/>
        <w:spacing w:after="0"/>
        <w:ind w:firstLine="708"/>
        <w:jc w:val="both"/>
        <w:rPr>
          <w:rFonts w:ascii="Arial" w:hAnsi="Arial" w:cs="Arial"/>
          <w:color w:val="000000" w:themeColor="text1"/>
          <w:sz w:val="16"/>
          <w:szCs w:val="16"/>
        </w:rPr>
      </w:pPr>
      <w:r w:rsidRPr="00EE1C26">
        <w:rPr>
          <w:rFonts w:ascii="Arial" w:hAnsi="Arial" w:cs="Arial"/>
          <w:color w:val="000000" w:themeColor="text1"/>
          <w:sz w:val="16"/>
          <w:szCs w:val="16"/>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192EB129" w14:textId="09209910" w:rsidR="0099001C" w:rsidRPr="00EE1C26" w:rsidRDefault="0099001C" w:rsidP="0099001C">
      <w:pPr>
        <w:pStyle w:val="NormalWeb"/>
        <w:spacing w:after="0"/>
        <w:ind w:firstLine="708"/>
        <w:jc w:val="both"/>
        <w:rPr>
          <w:rFonts w:ascii="Arial" w:hAnsi="Arial" w:cs="Arial"/>
          <w:color w:val="000000" w:themeColor="text1"/>
          <w:sz w:val="16"/>
          <w:szCs w:val="16"/>
        </w:rPr>
      </w:pPr>
      <w:r w:rsidRPr="00EE1C26">
        <w:rPr>
          <w:rFonts w:ascii="Arial" w:hAnsi="Arial" w:cs="Arial"/>
          <w:color w:val="000000" w:themeColor="text1"/>
          <w:sz w:val="16"/>
          <w:szCs w:val="16"/>
        </w:rPr>
        <w:t>En dicho registro constará la información relacionada con la experiencia, capacidad jurídica, financiera y de organización del proponente y su clasificación”.</w:t>
      </w:r>
    </w:p>
  </w:footnote>
  <w:footnote w:id="4">
    <w:p w14:paraId="1E245164" w14:textId="77777777" w:rsidR="0099001C" w:rsidRPr="00EE1C26" w:rsidRDefault="0099001C" w:rsidP="0099001C">
      <w:pPr>
        <w:pStyle w:val="Textonotapie"/>
        <w:ind w:firstLine="709"/>
        <w:jc w:val="both"/>
        <w:rPr>
          <w:rFonts w:ascii="Arial" w:hAnsi="Arial" w:cs="Arial"/>
          <w:sz w:val="16"/>
          <w:szCs w:val="16"/>
        </w:rPr>
      </w:pPr>
    </w:p>
    <w:p w14:paraId="7253202C" w14:textId="77777777" w:rsidR="0099001C" w:rsidRPr="00EE1C26" w:rsidRDefault="0099001C" w:rsidP="0099001C">
      <w:pPr>
        <w:pStyle w:val="Textonotapie"/>
        <w:ind w:firstLine="709"/>
        <w:jc w:val="both"/>
        <w:rPr>
          <w:rFonts w:ascii="Arial" w:hAnsi="Arial" w:cs="Arial"/>
          <w:sz w:val="16"/>
          <w:szCs w:val="16"/>
          <w:lang w:val="es-ES"/>
        </w:rPr>
      </w:pPr>
      <w:r w:rsidRPr="00EE1C26">
        <w:rPr>
          <w:rStyle w:val="Refdenotaalpie"/>
          <w:rFonts w:ascii="Arial" w:hAnsi="Arial" w:cs="Arial"/>
          <w:sz w:val="16"/>
          <w:szCs w:val="16"/>
        </w:rPr>
        <w:footnoteRef/>
      </w:r>
      <w:r w:rsidRPr="00EE1C26">
        <w:rPr>
          <w:rFonts w:ascii="Arial" w:hAnsi="Arial" w:cs="Arial"/>
          <w:sz w:val="16"/>
          <w:szCs w:val="16"/>
        </w:rPr>
        <w:t xml:space="preserve"> </w:t>
      </w:r>
      <w:proofErr w:type="spellStart"/>
      <w:r w:rsidRPr="00EE1C26">
        <w:rPr>
          <w:rFonts w:ascii="Arial" w:hAnsi="Arial" w:cs="Arial"/>
          <w:sz w:val="16"/>
          <w:szCs w:val="16"/>
          <w:lang w:val="es-ES"/>
        </w:rPr>
        <w:t>Ibídem</w:t>
      </w:r>
      <w:proofErr w:type="spellEnd"/>
      <w:r w:rsidRPr="00EE1C26">
        <w:rPr>
          <w:rFonts w:ascii="Arial" w:hAnsi="Arial" w:cs="Arial"/>
          <w:sz w:val="16"/>
          <w:szCs w:val="16"/>
          <w:lang w:val="es-ES"/>
        </w:rPr>
        <w:t>.</w:t>
      </w:r>
    </w:p>
    <w:p w14:paraId="7A0636AF" w14:textId="77777777" w:rsidR="0099001C" w:rsidRPr="00EE1C26" w:rsidRDefault="0099001C" w:rsidP="0099001C">
      <w:pPr>
        <w:pStyle w:val="Textonotapie"/>
        <w:ind w:firstLine="709"/>
        <w:jc w:val="both"/>
        <w:rPr>
          <w:rFonts w:ascii="Arial" w:hAnsi="Arial" w:cs="Arial"/>
          <w:sz w:val="16"/>
          <w:szCs w:val="16"/>
          <w:lang w:val="es-ES"/>
        </w:rPr>
      </w:pPr>
    </w:p>
  </w:footnote>
  <w:footnote w:id="5">
    <w:p w14:paraId="279C3981" w14:textId="77777777" w:rsidR="005A38A1" w:rsidRPr="00EE1C26" w:rsidRDefault="005A38A1" w:rsidP="005A38A1">
      <w:pPr>
        <w:pStyle w:val="Textonotapie"/>
        <w:ind w:firstLine="708"/>
        <w:jc w:val="both"/>
        <w:rPr>
          <w:rFonts w:ascii="Arial" w:eastAsia="Calibri" w:hAnsi="Arial" w:cs="Arial"/>
          <w:sz w:val="16"/>
          <w:szCs w:val="16"/>
        </w:rPr>
      </w:pPr>
      <w:r w:rsidRPr="00EE1C26">
        <w:rPr>
          <w:rStyle w:val="Refdenotaalpie"/>
          <w:rFonts w:ascii="Arial" w:hAnsi="Arial" w:cs="Arial"/>
          <w:sz w:val="16"/>
          <w:szCs w:val="16"/>
        </w:rPr>
        <w:footnoteRef/>
      </w:r>
      <w:r w:rsidRPr="00EE1C26">
        <w:rPr>
          <w:rFonts w:ascii="Arial" w:hAnsi="Arial" w:cs="Arial"/>
          <w:sz w:val="16"/>
          <w:szCs w:val="16"/>
        </w:rPr>
        <w:t xml:space="preserve"> Para la realización de los respectivos análisis del sector de los Procesos de Contratación, esta Agencia recomienda tener en cuenta la última modificación de la </w:t>
      </w:r>
      <w:r w:rsidRPr="00EE1C26">
        <w:rPr>
          <w:rFonts w:ascii="Arial" w:eastAsia="Calibri" w:hAnsi="Arial" w:cs="Arial"/>
          <w:sz w:val="16"/>
          <w:szCs w:val="16"/>
        </w:rPr>
        <w:t>“</w:t>
      </w:r>
      <w:r w:rsidRPr="00EE1C26">
        <w:rPr>
          <w:rFonts w:ascii="Arial" w:hAnsi="Arial" w:cs="Arial"/>
          <w:sz w:val="16"/>
          <w:szCs w:val="16"/>
        </w:rPr>
        <w:t>Guía de Elaboración de Estudios del Sector</w:t>
      </w:r>
      <w:r w:rsidRPr="00EE1C26">
        <w:rPr>
          <w:rFonts w:ascii="Arial" w:eastAsia="Calibri" w:hAnsi="Arial" w:cs="Arial"/>
          <w:sz w:val="16"/>
          <w:szCs w:val="16"/>
        </w:rPr>
        <w:t>”</w:t>
      </w:r>
      <w:r w:rsidRPr="00EE1C26">
        <w:rPr>
          <w:rFonts w:ascii="Arial" w:eastAsia="Calibri" w:hAnsi="Arial" w:cs="Arial"/>
          <w:i/>
          <w:iCs/>
          <w:sz w:val="16"/>
          <w:szCs w:val="16"/>
        </w:rPr>
        <w:t xml:space="preserve">, </w:t>
      </w:r>
      <w:r w:rsidRPr="00EE1C26">
        <w:rPr>
          <w:rFonts w:ascii="Arial" w:eastAsia="Calibri" w:hAnsi="Arial" w:cs="Arial"/>
          <w:sz w:val="16"/>
          <w:szCs w:val="16"/>
        </w:rPr>
        <w:t xml:space="preserve">que puede ser consultada en el siguiente </w:t>
      </w:r>
      <w:proofErr w:type="gramStart"/>
      <w:r w:rsidRPr="00EE1C26">
        <w:rPr>
          <w:rFonts w:ascii="Arial" w:eastAsia="Calibri" w:hAnsi="Arial" w:cs="Arial"/>
          <w:sz w:val="16"/>
          <w:szCs w:val="16"/>
        </w:rPr>
        <w:t>link</w:t>
      </w:r>
      <w:proofErr w:type="gramEnd"/>
      <w:r w:rsidRPr="00EE1C26">
        <w:rPr>
          <w:rFonts w:ascii="Arial" w:eastAsia="Calibri" w:hAnsi="Arial" w:cs="Arial"/>
          <w:sz w:val="16"/>
          <w:szCs w:val="16"/>
        </w:rPr>
        <w:t xml:space="preserve">: </w:t>
      </w:r>
      <w:hyperlink r:id="rId1" w:history="1">
        <w:r w:rsidRPr="00EE1C26">
          <w:rPr>
            <w:rStyle w:val="Hipervnculo"/>
            <w:rFonts w:ascii="Arial" w:eastAsia="Calibri" w:hAnsi="Arial" w:cs="Arial"/>
            <w:sz w:val="16"/>
            <w:szCs w:val="16"/>
          </w:rPr>
          <w:t>https://www.colombiacompra.gov.co/sites/cce_public/files/cce_documentos/cce-eicp-gi-18._gees_v.2_2.pdf</w:t>
        </w:r>
      </w:hyperlink>
      <w:r w:rsidRPr="00EE1C26">
        <w:rPr>
          <w:rFonts w:ascii="Arial" w:eastAsia="Calibri" w:hAnsi="Arial" w:cs="Arial"/>
          <w:sz w:val="16"/>
          <w:szCs w:val="16"/>
        </w:rPr>
        <w:t xml:space="preserve"> </w:t>
      </w:r>
    </w:p>
    <w:p w14:paraId="2F56D46B" w14:textId="77777777" w:rsidR="005A38A1" w:rsidRPr="00EE1C26" w:rsidRDefault="005A38A1" w:rsidP="005A38A1">
      <w:pPr>
        <w:pStyle w:val="Textonotapie"/>
        <w:ind w:firstLine="708"/>
        <w:jc w:val="both"/>
        <w:rPr>
          <w:rFonts w:ascii="Arial" w:hAnsi="Arial" w:cs="Arial"/>
          <w:sz w:val="16"/>
          <w:szCs w:val="16"/>
          <w:lang w:val="es-ES"/>
        </w:rPr>
      </w:pPr>
    </w:p>
  </w:footnote>
  <w:footnote w:id="6">
    <w:p w14:paraId="311FDC72" w14:textId="77777777" w:rsidR="005A38A1" w:rsidRPr="00EE1C26" w:rsidRDefault="005A38A1" w:rsidP="005A38A1">
      <w:pPr>
        <w:pStyle w:val="Textonotapie"/>
        <w:ind w:firstLine="708"/>
        <w:jc w:val="both"/>
        <w:rPr>
          <w:rFonts w:ascii="Arial" w:hAnsi="Arial" w:cs="Arial"/>
          <w:sz w:val="16"/>
          <w:szCs w:val="16"/>
          <w:lang w:val="es-ES"/>
        </w:rPr>
      </w:pPr>
      <w:r w:rsidRPr="00EE1C26">
        <w:rPr>
          <w:rStyle w:val="Refdenotaalpie"/>
          <w:rFonts w:ascii="Arial" w:hAnsi="Arial" w:cs="Arial"/>
          <w:sz w:val="16"/>
          <w:szCs w:val="16"/>
        </w:rPr>
        <w:footnoteRef/>
      </w:r>
      <w:r w:rsidRPr="00EE1C26">
        <w:rPr>
          <w:rFonts w:ascii="Arial" w:hAnsi="Arial" w:cs="Arial"/>
          <w:sz w:val="16"/>
          <w:szCs w:val="16"/>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footnote>
  <w:footnote w:id="7">
    <w:p w14:paraId="08CD07E7" w14:textId="77777777" w:rsidR="007A0511" w:rsidRPr="00EE1C26" w:rsidRDefault="007A0511" w:rsidP="007A0511">
      <w:pPr>
        <w:pStyle w:val="Textonotapie"/>
        <w:ind w:firstLine="708"/>
        <w:rPr>
          <w:rFonts w:ascii="Arial" w:hAnsi="Arial" w:cs="Arial"/>
          <w:sz w:val="16"/>
          <w:szCs w:val="16"/>
        </w:rPr>
      </w:pPr>
    </w:p>
    <w:p w14:paraId="2A73DC57" w14:textId="7E09F49C" w:rsidR="002600CF" w:rsidRPr="00EE1C26" w:rsidRDefault="007A0511" w:rsidP="00EE1C26">
      <w:pPr>
        <w:pStyle w:val="Textonotapie"/>
        <w:ind w:firstLine="708"/>
        <w:jc w:val="both"/>
        <w:rPr>
          <w:rFonts w:ascii="Arial" w:hAnsi="Arial" w:cs="Arial"/>
          <w:color w:val="000000"/>
          <w:sz w:val="16"/>
          <w:szCs w:val="16"/>
        </w:rPr>
      </w:pPr>
      <w:r w:rsidRPr="00EE1C26">
        <w:rPr>
          <w:rStyle w:val="Refdenotaalpie"/>
          <w:rFonts w:ascii="Arial" w:hAnsi="Arial" w:cs="Arial"/>
          <w:sz w:val="16"/>
          <w:szCs w:val="16"/>
        </w:rPr>
        <w:footnoteRef/>
      </w:r>
      <w:r w:rsidRPr="00EE1C26">
        <w:rPr>
          <w:rFonts w:ascii="Arial" w:hAnsi="Arial" w:cs="Arial"/>
          <w:sz w:val="16"/>
          <w:szCs w:val="16"/>
        </w:rPr>
        <w:t xml:space="preserve"> </w:t>
      </w:r>
      <w:r w:rsidR="005C4470" w:rsidRPr="00EE1C26">
        <w:rPr>
          <w:rFonts w:ascii="Arial" w:hAnsi="Arial" w:cs="Arial"/>
          <w:sz w:val="16"/>
          <w:szCs w:val="16"/>
        </w:rPr>
        <w:t>Decreto 1082 de 2015:</w:t>
      </w:r>
      <w:r w:rsidR="005C4470">
        <w:rPr>
          <w:rFonts w:ascii="Arial" w:hAnsi="Arial" w:cs="Arial"/>
          <w:sz w:val="16"/>
          <w:szCs w:val="16"/>
        </w:rPr>
        <w:t xml:space="preserve"> </w:t>
      </w:r>
      <w:r w:rsidR="005C4470" w:rsidRPr="00EE1C26">
        <w:rPr>
          <w:rFonts w:ascii="Arial" w:hAnsi="Arial" w:cs="Arial"/>
          <w:sz w:val="16"/>
          <w:szCs w:val="16"/>
        </w:rPr>
        <w:t>“</w:t>
      </w:r>
      <w:r w:rsidRPr="00EE1C26">
        <w:rPr>
          <w:rStyle w:val="Textoennegrita"/>
          <w:rFonts w:ascii="Arial" w:hAnsi="Arial" w:cs="Arial"/>
          <w:b w:val="0"/>
          <w:bCs w:val="0"/>
          <w:color w:val="000000"/>
          <w:sz w:val="16"/>
          <w:szCs w:val="16"/>
        </w:rPr>
        <w:t>Artículo 2.2.1.1.1.5.2. </w:t>
      </w:r>
      <w:r w:rsidRPr="00EE1C26">
        <w:rPr>
          <w:rStyle w:val="nfasis"/>
          <w:rFonts w:ascii="Arial" w:hAnsi="Arial" w:cs="Arial"/>
          <w:color w:val="000000"/>
          <w:sz w:val="16"/>
          <w:szCs w:val="16"/>
        </w:rPr>
        <w:t>Información para inscripción, renovación o actualización.</w:t>
      </w:r>
      <w:r w:rsidRPr="00EE1C26">
        <w:rPr>
          <w:rStyle w:val="nfasis"/>
          <w:rFonts w:ascii="Arial" w:hAnsi="Arial" w:cs="Arial"/>
          <w:b/>
          <w:bCs/>
          <w:color w:val="000000"/>
          <w:sz w:val="16"/>
          <w:szCs w:val="16"/>
        </w:rPr>
        <w:t> </w:t>
      </w:r>
      <w:r w:rsidRPr="00EE1C26">
        <w:rPr>
          <w:rFonts w:ascii="Arial" w:hAnsi="Arial" w:cs="Arial"/>
          <w:color w:val="000000"/>
          <w:sz w:val="16"/>
          <w:szCs w:val="16"/>
        </w:rPr>
        <w:t>El interesado debe presentar a cualquier cámara de comercio del país una solicitud de registro, acompañada de la siguiente información. La cámara de comercio del domicilio del solicitante es la responsable de la inscripción, renovación o actualización correspondiente: </w:t>
      </w:r>
    </w:p>
    <w:p w14:paraId="39EDCB17" w14:textId="77777777" w:rsidR="002600CF" w:rsidRPr="00EE1C26" w:rsidRDefault="002600CF" w:rsidP="00EE1C26">
      <w:pPr>
        <w:pStyle w:val="Textonotapie"/>
        <w:ind w:firstLine="708"/>
        <w:jc w:val="both"/>
        <w:rPr>
          <w:rFonts w:ascii="Arial" w:hAnsi="Arial" w:cs="Arial"/>
          <w:color w:val="000000"/>
          <w:sz w:val="16"/>
          <w:szCs w:val="16"/>
        </w:rPr>
      </w:pPr>
      <w:r w:rsidRPr="00EE1C26">
        <w:rPr>
          <w:rFonts w:ascii="Arial" w:hAnsi="Arial" w:cs="Arial"/>
          <w:color w:val="000000"/>
          <w:sz w:val="16"/>
          <w:szCs w:val="16"/>
        </w:rPr>
        <w:t>[…]</w:t>
      </w:r>
    </w:p>
    <w:p w14:paraId="0ABBBB90" w14:textId="77777777" w:rsidR="002600CF" w:rsidRPr="00EE1C26" w:rsidRDefault="002600CF" w:rsidP="00EE1C26">
      <w:pPr>
        <w:pStyle w:val="Textonotapie"/>
        <w:ind w:firstLine="708"/>
        <w:jc w:val="both"/>
        <w:rPr>
          <w:rFonts w:ascii="Arial" w:hAnsi="Arial" w:cs="Arial"/>
          <w:sz w:val="16"/>
          <w:szCs w:val="16"/>
        </w:rPr>
      </w:pPr>
      <w:r w:rsidRPr="00EE1C26">
        <w:rPr>
          <w:rFonts w:ascii="Arial" w:hAnsi="Arial" w:cs="Arial"/>
          <w:sz w:val="16"/>
          <w:szCs w:val="16"/>
        </w:rPr>
        <w:t xml:space="preserve">2.3. Estados financieros de la sociedad y los estados financieros consolidados del grupo empresarial, cuando la norma aplicable lo exige, auditados con sus notas y los siguientes anexos, suscritos por el representante legal y el revisor fiscal, si la persona jurídica está obligada a tenerlo, o suscritos por el representante legal y el auditor o contador si la persona jurídica no está obligada a tener revisor fiscal: </w:t>
      </w:r>
    </w:p>
    <w:p w14:paraId="14A7CFC3" w14:textId="77777777" w:rsidR="002600CF" w:rsidRPr="00EE1C26" w:rsidRDefault="002600CF" w:rsidP="00EE1C26">
      <w:pPr>
        <w:pStyle w:val="Textonotapie"/>
        <w:ind w:firstLine="708"/>
        <w:jc w:val="both"/>
        <w:rPr>
          <w:rFonts w:ascii="Arial" w:hAnsi="Arial" w:cs="Arial"/>
          <w:sz w:val="16"/>
          <w:szCs w:val="16"/>
        </w:rPr>
      </w:pPr>
      <w:r w:rsidRPr="00EE1C26">
        <w:rPr>
          <w:rFonts w:ascii="Arial" w:hAnsi="Arial" w:cs="Arial"/>
          <w:sz w:val="16"/>
          <w:szCs w:val="16"/>
        </w:rPr>
        <w:t xml:space="preserve">I. Principales cuentas detalladas del balance general. </w:t>
      </w:r>
    </w:p>
    <w:p w14:paraId="1F961335" w14:textId="77777777" w:rsidR="002600CF" w:rsidRPr="00EE1C26" w:rsidRDefault="002600CF" w:rsidP="00EE1C26">
      <w:pPr>
        <w:pStyle w:val="Textonotapie"/>
        <w:ind w:firstLine="708"/>
        <w:jc w:val="both"/>
        <w:rPr>
          <w:rFonts w:ascii="Arial" w:hAnsi="Arial" w:cs="Arial"/>
          <w:sz w:val="16"/>
          <w:szCs w:val="16"/>
        </w:rPr>
      </w:pPr>
      <w:r w:rsidRPr="00EE1C26">
        <w:rPr>
          <w:rFonts w:ascii="Arial" w:hAnsi="Arial" w:cs="Arial"/>
          <w:sz w:val="16"/>
          <w:szCs w:val="16"/>
        </w:rPr>
        <w:t xml:space="preserve">II. Principales cuentas del estado de pérdidas y ganancias. </w:t>
      </w:r>
    </w:p>
    <w:p w14:paraId="6D1382F8" w14:textId="77777777" w:rsidR="002600CF" w:rsidRPr="00EE1C26" w:rsidRDefault="002600CF" w:rsidP="00EE1C26">
      <w:pPr>
        <w:pStyle w:val="Textonotapie"/>
        <w:ind w:firstLine="708"/>
        <w:jc w:val="both"/>
        <w:rPr>
          <w:rFonts w:ascii="Arial" w:hAnsi="Arial" w:cs="Arial"/>
          <w:sz w:val="16"/>
          <w:szCs w:val="16"/>
        </w:rPr>
      </w:pPr>
      <w:r w:rsidRPr="00EE1C26">
        <w:rPr>
          <w:rFonts w:ascii="Arial" w:hAnsi="Arial" w:cs="Arial"/>
          <w:sz w:val="16"/>
          <w:szCs w:val="16"/>
        </w:rPr>
        <w:t xml:space="preserve">III. Cuentas contingentes deudoras y acreedoras. </w:t>
      </w:r>
    </w:p>
    <w:p w14:paraId="5F5BB6D8" w14:textId="4E0E1B76" w:rsidR="007A0511" w:rsidRPr="00EE1C26" w:rsidRDefault="002600CF" w:rsidP="00EE1C26">
      <w:pPr>
        <w:pStyle w:val="Textonotapie"/>
        <w:ind w:firstLine="708"/>
        <w:jc w:val="both"/>
        <w:rPr>
          <w:rFonts w:ascii="Arial" w:hAnsi="Arial" w:cs="Arial"/>
          <w:sz w:val="16"/>
          <w:szCs w:val="16"/>
        </w:rPr>
      </w:pPr>
      <w:r w:rsidRPr="00EE1C26">
        <w:rPr>
          <w:rFonts w:ascii="Arial" w:hAnsi="Arial" w:cs="Arial"/>
          <w:sz w:val="16"/>
          <w:szCs w:val="16"/>
        </w:rPr>
        <w:t xml:space="preserve">Si el interesado no tiene antigüedad suficiente para tener estados financieros auditados a 31 de diciembre, debe inscribirse con estados financieros de corte trimestral, suscritos por el representante legal y el auditor o contador o estados financieros de apertura[...]” </w:t>
      </w:r>
      <w:r w:rsidR="007A0511" w:rsidRPr="00EE1C26">
        <w:rPr>
          <w:rFonts w:ascii="Arial" w:hAnsi="Arial" w:cs="Arial"/>
          <w:sz w:val="16"/>
          <w:szCs w:val="16"/>
        </w:rPr>
        <w:t xml:space="preserve"> </w:t>
      </w:r>
    </w:p>
  </w:footnote>
  <w:footnote w:id="8">
    <w:p w14:paraId="316C2A1C" w14:textId="77777777" w:rsidR="005C3B1C" w:rsidRPr="002153B5" w:rsidRDefault="005C3B1C" w:rsidP="005C3B1C">
      <w:pPr>
        <w:pStyle w:val="Textonotapie"/>
        <w:ind w:firstLine="708"/>
        <w:jc w:val="both"/>
        <w:rPr>
          <w:rFonts w:ascii="Arial" w:hAnsi="Arial" w:cs="Arial"/>
          <w:sz w:val="16"/>
          <w:szCs w:val="16"/>
        </w:rPr>
      </w:pPr>
      <w:r w:rsidRPr="002153B5">
        <w:rPr>
          <w:rStyle w:val="Refdenotaalpie"/>
          <w:rFonts w:ascii="Arial" w:hAnsi="Arial" w:cs="Arial"/>
          <w:sz w:val="16"/>
          <w:szCs w:val="16"/>
        </w:rPr>
        <w:footnoteRef/>
      </w:r>
      <w:r w:rsidRPr="002153B5">
        <w:rPr>
          <w:rFonts w:ascii="Arial" w:hAnsi="Arial" w:cs="Arial"/>
          <w:sz w:val="16"/>
          <w:szCs w:val="16"/>
        </w:rPr>
        <w:t xml:space="preserve"> Mide la liquidez del proponente de manera más estricta que el índice de liquidez, pues no tiene en cuenta su inventario. El inventario es excluido, teniendo en cuenta que es la cuenta menos líquida del activo corriente y no debe ser usada para pagar las obligaciones de corto plazo.</w:t>
      </w:r>
    </w:p>
    <w:p w14:paraId="1D98398F" w14:textId="77777777" w:rsidR="005C3B1C" w:rsidRPr="002153B5" w:rsidRDefault="005C3B1C" w:rsidP="005C3B1C">
      <w:pPr>
        <w:pStyle w:val="Textonotapie"/>
        <w:ind w:firstLine="708"/>
        <w:jc w:val="both"/>
        <w:rPr>
          <w:rFonts w:ascii="Arial" w:hAnsi="Arial" w:cs="Arial"/>
          <w:sz w:val="16"/>
          <w:szCs w:val="16"/>
          <w:lang w:val="es-ES"/>
        </w:rPr>
      </w:pPr>
    </w:p>
  </w:footnote>
  <w:footnote w:id="9">
    <w:p w14:paraId="73E4DE11" w14:textId="77777777" w:rsidR="005C3B1C" w:rsidRPr="002153B5" w:rsidRDefault="005C3B1C" w:rsidP="005C3B1C">
      <w:pPr>
        <w:pStyle w:val="Textonotapie"/>
        <w:ind w:firstLine="708"/>
        <w:jc w:val="both"/>
        <w:rPr>
          <w:rFonts w:ascii="Arial" w:hAnsi="Arial" w:cs="Arial"/>
          <w:sz w:val="16"/>
          <w:szCs w:val="16"/>
          <w:lang w:val="es-ES"/>
        </w:rPr>
      </w:pPr>
      <w:r w:rsidRPr="002153B5">
        <w:rPr>
          <w:rStyle w:val="Refdenotaalpie"/>
          <w:rFonts w:ascii="Arial" w:hAnsi="Arial" w:cs="Arial"/>
          <w:sz w:val="16"/>
          <w:szCs w:val="16"/>
        </w:rPr>
        <w:footnoteRef/>
      </w:r>
      <w:r w:rsidRPr="002153B5">
        <w:rPr>
          <w:rFonts w:ascii="Arial" w:hAnsi="Arial" w:cs="Arial"/>
          <w:sz w:val="16"/>
          <w:szCs w:val="16"/>
        </w:rPr>
        <w:t xml:space="preserve"> </w:t>
      </w:r>
      <w:r w:rsidRPr="002153B5">
        <w:rPr>
          <w:rFonts w:ascii="Arial" w:hAnsi="Arial" w:cs="Arial"/>
          <w:sz w:val="16"/>
          <w:szCs w:val="16"/>
          <w:lang w:val="es-ES"/>
        </w:rPr>
        <w:t>Agencia Nacional de Contratación Pública – Colombia Compra Eficiente, “Manual para determinar y verificar los requisitos habilitantes en los Procesos de Contratación”.</w:t>
      </w:r>
    </w:p>
    <w:p w14:paraId="2E281814" w14:textId="77777777" w:rsidR="005C3B1C" w:rsidRPr="002153B5" w:rsidRDefault="005C3B1C" w:rsidP="005C3B1C">
      <w:pPr>
        <w:pStyle w:val="Textonotapie"/>
        <w:ind w:firstLine="567"/>
        <w:jc w:val="both"/>
        <w:rPr>
          <w:rFonts w:ascii="Arial" w:hAnsi="Arial" w:cs="Arial"/>
          <w:sz w:val="16"/>
          <w:szCs w:val="16"/>
          <w:lang w:val="es-ES"/>
        </w:rPr>
      </w:pPr>
    </w:p>
  </w:footnote>
  <w:footnote w:id="10">
    <w:p w14:paraId="7A2BB6D2" w14:textId="77777777" w:rsidR="00A41226" w:rsidRPr="002153B5" w:rsidRDefault="00A41226" w:rsidP="00A41226">
      <w:pPr>
        <w:pStyle w:val="Textonotapie"/>
        <w:ind w:firstLine="709"/>
        <w:jc w:val="both"/>
        <w:rPr>
          <w:rFonts w:ascii="Arial" w:hAnsi="Arial" w:cs="Arial"/>
          <w:sz w:val="16"/>
          <w:szCs w:val="16"/>
        </w:rPr>
      </w:pPr>
      <w:r w:rsidRPr="002153B5">
        <w:rPr>
          <w:rStyle w:val="Refdenotaalpie"/>
          <w:rFonts w:ascii="Arial" w:hAnsi="Arial" w:cs="Arial"/>
          <w:sz w:val="16"/>
          <w:szCs w:val="16"/>
        </w:rPr>
        <w:footnoteRef/>
      </w:r>
      <w:r w:rsidRPr="002153B5">
        <w:rPr>
          <w:rFonts w:ascii="Arial" w:hAnsi="Arial" w:cs="Arial"/>
          <w:sz w:val="16"/>
          <w:szCs w:val="16"/>
        </w:rPr>
        <w:t xml:space="preserve"> El “Manual para verificar y determinar los requisitos habilitantes en los Procesos de Contratación” puede ser consultado en el siguiente </w:t>
      </w:r>
      <w:proofErr w:type="gramStart"/>
      <w:r w:rsidRPr="002153B5">
        <w:rPr>
          <w:rFonts w:ascii="Arial" w:hAnsi="Arial" w:cs="Arial"/>
          <w:sz w:val="16"/>
          <w:szCs w:val="16"/>
        </w:rPr>
        <w:t>link</w:t>
      </w:r>
      <w:proofErr w:type="gramEnd"/>
      <w:r w:rsidRPr="002153B5">
        <w:rPr>
          <w:rFonts w:ascii="Arial" w:hAnsi="Arial" w:cs="Arial"/>
          <w:sz w:val="16"/>
          <w:szCs w:val="16"/>
        </w:rPr>
        <w:t xml:space="preserve">: </w:t>
      </w:r>
      <w:hyperlink r:id="rId2" w:history="1">
        <w:r w:rsidRPr="002153B5">
          <w:rPr>
            <w:rStyle w:val="Hipervnculo"/>
            <w:rFonts w:ascii="Arial" w:hAnsi="Arial" w:cs="Arial"/>
            <w:sz w:val="16"/>
            <w:szCs w:val="16"/>
          </w:rPr>
          <w:t>https://www.colombiacompra.gov.co/sites/cce_public/files/cce_documents/cce_manual_requisitos_habilitantes.pdf</w:t>
        </w:r>
      </w:hyperlink>
      <w:r w:rsidRPr="002153B5">
        <w:rPr>
          <w:rFonts w:ascii="Arial" w:hAnsi="Arial" w:cs="Arial"/>
          <w:sz w:val="16"/>
          <w:szCs w:val="16"/>
        </w:rPr>
        <w:t xml:space="preserve"> </w:t>
      </w:r>
    </w:p>
  </w:footnote>
  <w:footnote w:id="11">
    <w:p w14:paraId="0F45D76B" w14:textId="77777777" w:rsidR="00A41226" w:rsidRPr="002153B5" w:rsidRDefault="00A41226" w:rsidP="00A41226">
      <w:pPr>
        <w:pStyle w:val="Textonotapie"/>
        <w:ind w:firstLine="709"/>
        <w:jc w:val="both"/>
        <w:rPr>
          <w:rFonts w:ascii="Arial" w:hAnsi="Arial" w:cs="Arial"/>
          <w:sz w:val="16"/>
          <w:szCs w:val="16"/>
        </w:rPr>
      </w:pPr>
      <w:r w:rsidRPr="002153B5">
        <w:rPr>
          <w:rStyle w:val="Refdenotaalpie"/>
          <w:rFonts w:ascii="Arial" w:hAnsi="Arial" w:cs="Arial"/>
          <w:sz w:val="16"/>
          <w:szCs w:val="16"/>
        </w:rPr>
        <w:footnoteRef/>
      </w:r>
      <w:r w:rsidRPr="002153B5">
        <w:rPr>
          <w:rFonts w:ascii="Arial" w:hAnsi="Arial" w:cs="Arial"/>
          <w:sz w:val="16"/>
          <w:szCs w:val="16"/>
        </w:rPr>
        <w:t xml:space="preserve"> Dice el “Manual para verificar y determinar los requisitos habilitantes en los Procesos de Contratación” que: “[...] En atención a la naturaleza del contrato a suscribir y de su valor, plazo y forma de pago, la Entidad Estatal debe hacer uso de los indicadores que considere adecuados respecto al objeto del Proceso de Contratación.</w:t>
      </w:r>
    </w:p>
    <w:p w14:paraId="0565DE8B" w14:textId="77777777" w:rsidR="00A41226" w:rsidRPr="002153B5" w:rsidRDefault="00A41226" w:rsidP="00A41226">
      <w:pPr>
        <w:pStyle w:val="Textonotapie"/>
        <w:ind w:firstLine="709"/>
        <w:jc w:val="both"/>
        <w:rPr>
          <w:rFonts w:ascii="Arial" w:hAnsi="Arial" w:cs="Arial"/>
          <w:sz w:val="16"/>
          <w:szCs w:val="16"/>
        </w:rPr>
      </w:pPr>
      <w:r w:rsidRPr="002153B5">
        <w:rPr>
          <w:rFonts w:ascii="Arial" w:hAnsi="Arial" w:cs="Arial"/>
          <w:sz w:val="16"/>
          <w:szCs w:val="16"/>
        </w:rPr>
        <w:t>Las Entidades Estatales no deben limitarse a determinar y aplicar de forma mecánica fórmulas financieras para determinar los indicadores. Deben conocer cada indicador, sus fórmulas de cálculo y su interpretación”.</w:t>
      </w:r>
    </w:p>
  </w:footnote>
  <w:footnote w:id="12">
    <w:p w14:paraId="30173697" w14:textId="77777777" w:rsidR="00A41226" w:rsidRPr="002153B5" w:rsidRDefault="00A41226" w:rsidP="00A41226">
      <w:pPr>
        <w:pStyle w:val="Textonotapie"/>
        <w:jc w:val="both"/>
        <w:rPr>
          <w:rFonts w:ascii="Arial" w:hAnsi="Arial" w:cs="Arial"/>
          <w:sz w:val="16"/>
          <w:szCs w:val="16"/>
        </w:rPr>
      </w:pPr>
    </w:p>
    <w:p w14:paraId="68610BCD" w14:textId="5104E328" w:rsidR="00A41226" w:rsidRPr="002153B5" w:rsidRDefault="00A41226" w:rsidP="00A41226">
      <w:pPr>
        <w:pStyle w:val="Textonotapie"/>
        <w:ind w:firstLine="709"/>
        <w:jc w:val="both"/>
        <w:rPr>
          <w:rFonts w:ascii="Arial" w:hAnsi="Arial" w:cs="Arial"/>
          <w:sz w:val="16"/>
          <w:szCs w:val="16"/>
          <w:lang w:val="es-ES"/>
        </w:rPr>
      </w:pPr>
      <w:r w:rsidRPr="002153B5">
        <w:rPr>
          <w:rStyle w:val="Refdenotaalpie"/>
          <w:rFonts w:ascii="Arial" w:hAnsi="Arial" w:cs="Arial"/>
          <w:sz w:val="16"/>
          <w:szCs w:val="16"/>
        </w:rPr>
        <w:footnoteRef/>
      </w:r>
      <w:r w:rsidRPr="002153B5">
        <w:rPr>
          <w:rFonts w:ascii="Arial" w:hAnsi="Arial" w:cs="Arial"/>
          <w:sz w:val="16"/>
          <w:szCs w:val="16"/>
        </w:rPr>
        <w:t xml:space="preserve"> Al respecto, el “Manual para verificar y determinar los requisitos habilitantes en los Procesos de Contratación” indica: “La determinación de cada requisito habilitante debe estar enmarcada en el análisis y el concepto de lo que mide el indicador. Si el indicador representa una mayor probabilidad de Riesgo a medida que su valor es mayor, la Entidad Estatal debe fijar un valor máximo para el requisito habilitante. Si el indicador representa una menor probabilidad de Riesgo a medida que su valor es mayor, la Entidad Estatal debe fijar un mínimo”.</w:t>
      </w:r>
    </w:p>
  </w:footnote>
  <w:footnote w:id="13">
    <w:p w14:paraId="52B79841" w14:textId="724E3E2C" w:rsidR="00685159" w:rsidRPr="00EE1C26" w:rsidRDefault="00685159" w:rsidP="00EE1C26">
      <w:pPr>
        <w:pStyle w:val="NormalWeb"/>
        <w:spacing w:after="0" w:line="240" w:lineRule="auto"/>
        <w:ind w:firstLine="708"/>
        <w:jc w:val="both"/>
        <w:rPr>
          <w:rFonts w:ascii="Arial" w:hAnsi="Arial" w:cs="Arial"/>
          <w:color w:val="000000"/>
          <w:sz w:val="16"/>
          <w:szCs w:val="16"/>
        </w:rPr>
      </w:pPr>
      <w:r w:rsidRPr="00EE1C26">
        <w:rPr>
          <w:rStyle w:val="Refdenotaalpie"/>
          <w:rFonts w:ascii="Arial" w:hAnsi="Arial" w:cs="Arial"/>
          <w:sz w:val="16"/>
          <w:szCs w:val="16"/>
        </w:rPr>
        <w:footnoteRef/>
      </w:r>
      <w:r w:rsidR="00F12EEE" w:rsidRPr="00EE1C26">
        <w:rPr>
          <w:rFonts w:ascii="Arial" w:hAnsi="Arial" w:cs="Arial"/>
          <w:sz w:val="16"/>
          <w:szCs w:val="16"/>
        </w:rPr>
        <w:t xml:space="preserve"> </w:t>
      </w:r>
      <w:r w:rsidRPr="00EE1C26">
        <w:rPr>
          <w:rFonts w:ascii="Arial" w:hAnsi="Arial" w:cs="Arial"/>
          <w:sz w:val="16"/>
          <w:szCs w:val="16"/>
        </w:rPr>
        <w:t>Ley 222 de 1995:</w:t>
      </w:r>
      <w:r w:rsidR="00F12EEE" w:rsidRPr="00EE1C26">
        <w:rPr>
          <w:rFonts w:ascii="Arial" w:hAnsi="Arial" w:cs="Arial"/>
          <w:sz w:val="16"/>
          <w:szCs w:val="16"/>
        </w:rPr>
        <w:t xml:space="preserve"> </w:t>
      </w:r>
      <w:r w:rsidRPr="00EE1C26">
        <w:rPr>
          <w:rFonts w:ascii="Arial" w:hAnsi="Arial" w:cs="Arial"/>
          <w:sz w:val="16"/>
          <w:szCs w:val="16"/>
        </w:rPr>
        <w:t>“</w:t>
      </w:r>
      <w:r w:rsidRPr="00EE1C26">
        <w:rPr>
          <w:rStyle w:val="Textoennegrita"/>
          <w:rFonts w:ascii="Arial" w:hAnsi="Arial" w:cs="Arial"/>
          <w:b w:val="0"/>
          <w:bCs w:val="0"/>
          <w:color w:val="000000"/>
          <w:sz w:val="16"/>
          <w:szCs w:val="16"/>
        </w:rPr>
        <w:t>Artículo 34</w:t>
      </w:r>
      <w:r w:rsidRPr="00EE1C26">
        <w:rPr>
          <w:rStyle w:val="Textoennegrita"/>
          <w:rFonts w:ascii="Arial" w:hAnsi="Arial" w:cs="Arial"/>
          <w:color w:val="000000"/>
          <w:sz w:val="16"/>
          <w:szCs w:val="16"/>
        </w:rPr>
        <w:t>.</w:t>
      </w:r>
      <w:r w:rsidRPr="00EE1C26">
        <w:rPr>
          <w:rFonts w:ascii="Arial" w:hAnsi="Arial" w:cs="Arial"/>
          <w:color w:val="000000"/>
          <w:sz w:val="16"/>
          <w:szCs w:val="16"/>
        </w:rPr>
        <w:t> </w:t>
      </w:r>
      <w:r w:rsidR="00A244A3" w:rsidRPr="00EE1C26">
        <w:rPr>
          <w:rFonts w:ascii="Arial" w:hAnsi="Arial" w:cs="Arial"/>
          <w:color w:val="000000"/>
          <w:sz w:val="16"/>
          <w:szCs w:val="16"/>
        </w:rPr>
        <w:t xml:space="preserve"> </w:t>
      </w:r>
      <w:r w:rsidR="00F12EEE" w:rsidRPr="00EE1C26">
        <w:rPr>
          <w:rFonts w:ascii="Arial" w:hAnsi="Arial" w:cs="Arial"/>
          <w:color w:val="000000"/>
          <w:sz w:val="16"/>
          <w:szCs w:val="16"/>
        </w:rPr>
        <w:t>OBLIGACIÓN</w:t>
      </w:r>
      <w:r w:rsidRPr="00EE1C26">
        <w:rPr>
          <w:rFonts w:ascii="Arial" w:hAnsi="Arial" w:cs="Arial"/>
          <w:color w:val="000000"/>
          <w:sz w:val="16"/>
          <w:szCs w:val="16"/>
        </w:rPr>
        <w:t xml:space="preserve"> DE PREPARAR Y DIFUNDIR ESTADOS FINANCIEROS. A fin de cada ejercicio social y por lo menos una vez al año, el 31 de diciembre, las sociedades deberán cortar sus cuentas y preparar y difundir estados financieros de propósito general, debidamente certificados. Tales estados se difundirán junto con la opinión profesional correspondiente, si ésta existiere. </w:t>
      </w:r>
    </w:p>
    <w:p w14:paraId="31636F17" w14:textId="3E6C2C6C" w:rsidR="00685159" w:rsidRPr="00EE1C26" w:rsidRDefault="00685159" w:rsidP="00EE1C26">
      <w:pPr>
        <w:pStyle w:val="NormalWeb"/>
        <w:spacing w:after="0" w:line="240" w:lineRule="auto"/>
        <w:jc w:val="both"/>
        <w:rPr>
          <w:rFonts w:ascii="Arial" w:hAnsi="Arial" w:cs="Arial"/>
          <w:color w:val="000000"/>
          <w:sz w:val="16"/>
          <w:szCs w:val="16"/>
        </w:rPr>
      </w:pPr>
      <w:r w:rsidRPr="00EE1C26">
        <w:rPr>
          <w:rFonts w:ascii="Arial" w:hAnsi="Arial" w:cs="Arial"/>
          <w:color w:val="000000"/>
          <w:sz w:val="16"/>
          <w:szCs w:val="16"/>
        </w:rPr>
        <w:t>  </w:t>
      </w:r>
      <w:r w:rsidR="00A244A3" w:rsidRPr="00EE1C26">
        <w:rPr>
          <w:rFonts w:ascii="Arial" w:hAnsi="Arial" w:cs="Arial"/>
          <w:color w:val="000000"/>
          <w:sz w:val="16"/>
          <w:szCs w:val="16"/>
        </w:rPr>
        <w:tab/>
      </w:r>
      <w:r w:rsidRPr="00EE1C26">
        <w:rPr>
          <w:rFonts w:ascii="Arial" w:hAnsi="Arial" w:cs="Arial"/>
          <w:color w:val="000000"/>
          <w:sz w:val="16"/>
          <w:szCs w:val="16"/>
        </w:rPr>
        <w:t>El Gobie</w:t>
      </w:r>
      <w:r w:rsidR="00A244A3" w:rsidRPr="00EE1C26">
        <w:rPr>
          <w:rFonts w:ascii="Arial" w:hAnsi="Arial" w:cs="Arial"/>
          <w:color w:val="000000"/>
          <w:sz w:val="16"/>
          <w:szCs w:val="16"/>
        </w:rPr>
        <w:t>r</w:t>
      </w:r>
      <w:r w:rsidRPr="00EE1C26">
        <w:rPr>
          <w:rFonts w:ascii="Arial" w:hAnsi="Arial" w:cs="Arial"/>
          <w:color w:val="000000"/>
          <w:sz w:val="16"/>
          <w:szCs w:val="16"/>
        </w:rPr>
        <w:t>no Nacional podrá establecer casos en los cuales, en atención al volumen de los activos o de ingresos sea admisible la preparación y difusión de estados financieros de propósito general abreviados. </w:t>
      </w:r>
    </w:p>
    <w:p w14:paraId="5B83DBE3" w14:textId="255930C8" w:rsidR="00685159" w:rsidRPr="00EE1C26" w:rsidRDefault="00685159" w:rsidP="00EE1C26">
      <w:pPr>
        <w:pStyle w:val="NormalWeb"/>
        <w:spacing w:after="0" w:line="240" w:lineRule="auto"/>
        <w:jc w:val="both"/>
        <w:rPr>
          <w:rFonts w:ascii="Arial" w:hAnsi="Arial" w:cs="Arial"/>
          <w:color w:val="000000"/>
          <w:sz w:val="16"/>
          <w:szCs w:val="16"/>
        </w:rPr>
      </w:pPr>
      <w:r w:rsidRPr="00EE1C26">
        <w:rPr>
          <w:rFonts w:ascii="Arial" w:hAnsi="Arial" w:cs="Arial"/>
          <w:color w:val="000000"/>
          <w:sz w:val="16"/>
          <w:szCs w:val="16"/>
        </w:rPr>
        <w:t>  </w:t>
      </w:r>
      <w:r w:rsidR="00A244A3" w:rsidRPr="00EE1C26">
        <w:rPr>
          <w:rFonts w:ascii="Arial" w:hAnsi="Arial" w:cs="Arial"/>
          <w:color w:val="000000"/>
          <w:sz w:val="16"/>
          <w:szCs w:val="16"/>
        </w:rPr>
        <w:tab/>
      </w:r>
      <w:r w:rsidRPr="00EE1C26">
        <w:rPr>
          <w:rFonts w:ascii="Arial" w:hAnsi="Arial" w:cs="Arial"/>
          <w:color w:val="000000"/>
          <w:sz w:val="16"/>
          <w:szCs w:val="16"/>
        </w:rPr>
        <w:t>Las entidades gubernamentales que ejerzan inspección, vigilancia o control, podrán exigir la preparación y difusión de estados financieros de períodos intermedios. Estos estados serán idóneos para todos los efectos, salvo para la distribución de utilidades. </w:t>
      </w:r>
    </w:p>
    <w:p w14:paraId="6D967D3F" w14:textId="3ABA0F12" w:rsidR="00685159" w:rsidRPr="00EE1C26" w:rsidRDefault="00685159" w:rsidP="00EE1C26">
      <w:pPr>
        <w:pStyle w:val="NormalWeb"/>
        <w:spacing w:after="0" w:line="240" w:lineRule="auto"/>
        <w:jc w:val="both"/>
        <w:rPr>
          <w:rFonts w:ascii="Arial" w:hAnsi="Arial" w:cs="Arial"/>
          <w:color w:val="000000"/>
          <w:sz w:val="16"/>
          <w:szCs w:val="16"/>
        </w:rPr>
      </w:pPr>
      <w:r w:rsidRPr="00EE1C26">
        <w:rPr>
          <w:rFonts w:ascii="Arial" w:hAnsi="Arial" w:cs="Arial"/>
          <w:color w:val="000000"/>
          <w:sz w:val="16"/>
          <w:szCs w:val="16"/>
        </w:rPr>
        <w:t>  </w:t>
      </w:r>
      <w:bookmarkStart w:id="0" w:name="ver_1655803"/>
      <w:bookmarkEnd w:id="0"/>
      <w:r w:rsidR="00A244A3" w:rsidRPr="00EE1C26">
        <w:rPr>
          <w:rFonts w:ascii="Arial" w:hAnsi="Arial" w:cs="Arial"/>
          <w:color w:val="000000"/>
          <w:sz w:val="16"/>
          <w:szCs w:val="16"/>
        </w:rPr>
        <w:tab/>
      </w:r>
      <w:r w:rsidRPr="00EE1C26">
        <w:rPr>
          <w:rStyle w:val="Textoennegrita"/>
          <w:rFonts w:ascii="Arial" w:hAnsi="Arial" w:cs="Arial"/>
          <w:b w:val="0"/>
          <w:bCs w:val="0"/>
          <w:color w:val="000000"/>
          <w:sz w:val="16"/>
          <w:szCs w:val="16"/>
        </w:rPr>
        <w:t>Artículo 35.</w:t>
      </w:r>
      <w:r w:rsidRPr="00EE1C26">
        <w:rPr>
          <w:rFonts w:ascii="Arial" w:hAnsi="Arial" w:cs="Arial"/>
          <w:color w:val="000000"/>
          <w:sz w:val="16"/>
          <w:szCs w:val="16"/>
        </w:rPr>
        <w:t> ESTADOS FINANCIEROS CONSOLIDADOS.   La matriz o controlante, además de preparar y presentar estados financieros de propósito general individuales, deben preparar y difundir estados financieros de propósito general consolidados, que presenten la situación financiera, los resultados de las operaciones, los cambios en el patrimonio, así como los flujos de efectivo de la matriz o controlante y sus subordinados o dominados, como si fuesen los de un solo ente. </w:t>
      </w:r>
    </w:p>
    <w:p w14:paraId="2BD3BFB1" w14:textId="124CBEDC" w:rsidR="00685159" w:rsidRPr="00EE1C26" w:rsidRDefault="00685159" w:rsidP="00EE1C26">
      <w:pPr>
        <w:pStyle w:val="NormalWeb"/>
        <w:spacing w:after="0" w:line="240" w:lineRule="auto"/>
        <w:jc w:val="both"/>
        <w:rPr>
          <w:rFonts w:ascii="Arial" w:hAnsi="Arial" w:cs="Arial"/>
          <w:color w:val="000000"/>
          <w:sz w:val="16"/>
          <w:szCs w:val="16"/>
        </w:rPr>
      </w:pPr>
      <w:r w:rsidRPr="00EE1C26">
        <w:rPr>
          <w:rFonts w:ascii="Arial" w:hAnsi="Arial" w:cs="Arial"/>
          <w:color w:val="000000"/>
          <w:sz w:val="16"/>
          <w:szCs w:val="16"/>
        </w:rPr>
        <w:t>  </w:t>
      </w:r>
      <w:r w:rsidR="00A244A3" w:rsidRPr="00EE1C26">
        <w:rPr>
          <w:rFonts w:ascii="Arial" w:hAnsi="Arial" w:cs="Arial"/>
          <w:color w:val="000000"/>
          <w:sz w:val="16"/>
          <w:szCs w:val="16"/>
        </w:rPr>
        <w:tab/>
      </w:r>
      <w:r w:rsidRPr="00EE1C26">
        <w:rPr>
          <w:rFonts w:ascii="Arial" w:hAnsi="Arial" w:cs="Arial"/>
          <w:color w:val="000000"/>
          <w:sz w:val="16"/>
          <w:szCs w:val="16"/>
        </w:rPr>
        <w:t>Los estados financieros de propósito general consolidados deben ser sometidos a consideración de quien sea competente, para su aprobación o improbación. </w:t>
      </w:r>
    </w:p>
    <w:p w14:paraId="0DEFB8BF" w14:textId="35514C7C" w:rsidR="00685159" w:rsidRPr="00EE1C26" w:rsidRDefault="00685159" w:rsidP="00EE1C26">
      <w:pPr>
        <w:pStyle w:val="NormalWeb"/>
        <w:spacing w:after="0" w:line="240" w:lineRule="auto"/>
        <w:jc w:val="both"/>
        <w:rPr>
          <w:rFonts w:ascii="Arial" w:hAnsi="Arial" w:cs="Arial"/>
          <w:color w:val="000000"/>
          <w:sz w:val="16"/>
          <w:szCs w:val="16"/>
        </w:rPr>
      </w:pPr>
      <w:r w:rsidRPr="00EE1C26">
        <w:rPr>
          <w:rFonts w:ascii="Arial" w:hAnsi="Arial" w:cs="Arial"/>
          <w:color w:val="000000"/>
          <w:sz w:val="16"/>
          <w:szCs w:val="16"/>
        </w:rPr>
        <w:t>  </w:t>
      </w:r>
      <w:r w:rsidR="00A244A3" w:rsidRPr="00EE1C26">
        <w:rPr>
          <w:rFonts w:ascii="Arial" w:hAnsi="Arial" w:cs="Arial"/>
          <w:color w:val="000000"/>
          <w:sz w:val="16"/>
          <w:szCs w:val="16"/>
        </w:rPr>
        <w:tab/>
      </w:r>
      <w:r w:rsidRPr="00EE1C26">
        <w:rPr>
          <w:rFonts w:ascii="Arial" w:hAnsi="Arial" w:cs="Arial"/>
          <w:color w:val="000000"/>
          <w:sz w:val="16"/>
          <w:szCs w:val="16"/>
        </w:rPr>
        <w:t>Las inversiones en subordinadas deben contabilizarse en los libros de la matriz o controlante por el método de participación patrimonial. </w:t>
      </w:r>
    </w:p>
    <w:p w14:paraId="0C896101" w14:textId="504F7105" w:rsidR="00685159" w:rsidRPr="00EE1C26" w:rsidRDefault="00685159" w:rsidP="00EE1C26">
      <w:pPr>
        <w:pStyle w:val="NormalWeb"/>
        <w:spacing w:after="0" w:line="240" w:lineRule="auto"/>
        <w:jc w:val="both"/>
        <w:rPr>
          <w:rFonts w:ascii="Arial" w:hAnsi="Arial" w:cs="Arial"/>
          <w:color w:val="000000"/>
          <w:sz w:val="16"/>
          <w:szCs w:val="16"/>
        </w:rPr>
      </w:pPr>
      <w:r w:rsidRPr="00EE1C26">
        <w:rPr>
          <w:rFonts w:ascii="Arial" w:hAnsi="Arial" w:cs="Arial"/>
          <w:color w:val="000000"/>
          <w:sz w:val="16"/>
          <w:szCs w:val="16"/>
        </w:rPr>
        <w:t>  </w:t>
      </w:r>
      <w:bookmarkStart w:id="1" w:name="ver_1655804"/>
      <w:bookmarkEnd w:id="1"/>
      <w:r w:rsidR="00F12EEE" w:rsidRPr="00EE1C26">
        <w:rPr>
          <w:rFonts w:ascii="Arial" w:hAnsi="Arial" w:cs="Arial"/>
          <w:color w:val="000000"/>
          <w:sz w:val="16"/>
          <w:szCs w:val="16"/>
        </w:rPr>
        <w:tab/>
      </w:r>
      <w:r w:rsidRPr="00EE1C26">
        <w:rPr>
          <w:rStyle w:val="Textoennegrita"/>
          <w:rFonts w:ascii="Arial" w:hAnsi="Arial" w:cs="Arial"/>
          <w:b w:val="0"/>
          <w:bCs w:val="0"/>
          <w:color w:val="000000"/>
          <w:sz w:val="16"/>
          <w:szCs w:val="16"/>
        </w:rPr>
        <w:t>Artículo 36.</w:t>
      </w:r>
      <w:r w:rsidRPr="00EE1C26">
        <w:rPr>
          <w:rFonts w:ascii="Arial" w:hAnsi="Arial" w:cs="Arial"/>
          <w:color w:val="000000"/>
          <w:sz w:val="16"/>
          <w:szCs w:val="16"/>
        </w:rPr>
        <w:t xml:space="preserve"> NOTAS A LOS ESTADOS FINANCIEROS Y NORMAS DE </w:t>
      </w:r>
      <w:r w:rsidR="00F12EEE" w:rsidRPr="00EE1C26">
        <w:rPr>
          <w:rFonts w:ascii="Arial" w:hAnsi="Arial" w:cs="Arial"/>
          <w:color w:val="000000"/>
          <w:sz w:val="16"/>
          <w:szCs w:val="16"/>
        </w:rPr>
        <w:t>PREPARACIÓN</w:t>
      </w:r>
      <w:r w:rsidRPr="00EE1C26">
        <w:rPr>
          <w:rFonts w:ascii="Arial" w:hAnsi="Arial" w:cs="Arial"/>
          <w:color w:val="000000"/>
          <w:sz w:val="16"/>
          <w:szCs w:val="16"/>
        </w:rPr>
        <w:t>.</w:t>
      </w:r>
      <w:r w:rsidR="00F12EEE" w:rsidRPr="00EE1C26">
        <w:rPr>
          <w:rFonts w:ascii="Arial" w:hAnsi="Arial" w:cs="Arial"/>
          <w:color w:val="000000"/>
          <w:sz w:val="16"/>
          <w:szCs w:val="16"/>
        </w:rPr>
        <w:t xml:space="preserve"> </w:t>
      </w:r>
      <w:r w:rsidRPr="00EE1C26">
        <w:rPr>
          <w:rFonts w:ascii="Arial" w:hAnsi="Arial" w:cs="Arial"/>
          <w:color w:val="000000"/>
          <w:sz w:val="16"/>
          <w:szCs w:val="16"/>
        </w:rPr>
        <w:t>Los estados financieros estarán acompasados de sus notas, con las cuales conforman un todo indivisible. Los estados financieros y sus notas se prepararán y presentarán conforme a los principios de contabilidad generalmente aceptados. </w:t>
      </w:r>
    </w:p>
    <w:p w14:paraId="1D97B74E" w14:textId="5A12C6E6" w:rsidR="00685159" w:rsidRPr="00EE1C26" w:rsidRDefault="00685159" w:rsidP="00EE1C26">
      <w:pPr>
        <w:pStyle w:val="NormalWeb"/>
        <w:spacing w:after="0" w:line="240" w:lineRule="auto"/>
        <w:jc w:val="both"/>
        <w:rPr>
          <w:rFonts w:ascii="Arial" w:hAnsi="Arial" w:cs="Arial"/>
          <w:color w:val="000000"/>
          <w:sz w:val="16"/>
          <w:szCs w:val="16"/>
        </w:rPr>
      </w:pPr>
      <w:r w:rsidRPr="00EE1C26">
        <w:rPr>
          <w:rFonts w:ascii="Arial" w:hAnsi="Arial" w:cs="Arial"/>
          <w:color w:val="000000"/>
          <w:sz w:val="16"/>
          <w:szCs w:val="16"/>
        </w:rPr>
        <w:t>  </w:t>
      </w:r>
      <w:bookmarkStart w:id="2" w:name="ver_1655805"/>
      <w:bookmarkEnd w:id="2"/>
      <w:r w:rsidR="00A244A3" w:rsidRPr="00EE1C26">
        <w:rPr>
          <w:rFonts w:ascii="Arial" w:hAnsi="Arial" w:cs="Arial"/>
          <w:color w:val="000000"/>
          <w:sz w:val="16"/>
          <w:szCs w:val="16"/>
        </w:rPr>
        <w:tab/>
      </w:r>
      <w:r w:rsidRPr="00EE1C26">
        <w:rPr>
          <w:rStyle w:val="Textoennegrita"/>
          <w:rFonts w:ascii="Arial" w:hAnsi="Arial" w:cs="Arial"/>
          <w:b w:val="0"/>
          <w:bCs w:val="0"/>
          <w:color w:val="000000"/>
          <w:sz w:val="16"/>
          <w:szCs w:val="16"/>
        </w:rPr>
        <w:t>Artículo 37.</w:t>
      </w:r>
      <w:r w:rsidRPr="00EE1C26">
        <w:rPr>
          <w:rFonts w:ascii="Arial" w:hAnsi="Arial" w:cs="Arial"/>
          <w:color w:val="000000"/>
          <w:sz w:val="16"/>
          <w:szCs w:val="16"/>
        </w:rPr>
        <w:t> ESTADOS FINANCIEROS CERTIFICADOS.   El representante legal y el contador público bajo cuya responsabilidad se hubiesen preparado los estados financieros deberán certificar aquellos que se pongan a disposición de los asociados o de terceros. La certificación consiste en declarar que se han verificado previamente las afirmaciones contenidas en ellos, conforme al reglamento, y que las mismas se han tomado fielmente de los libros. </w:t>
      </w:r>
    </w:p>
    <w:p w14:paraId="7E51A9C0" w14:textId="1FCE91F8" w:rsidR="00685159" w:rsidRPr="00EE1C26" w:rsidRDefault="00685159" w:rsidP="00EE1C26">
      <w:pPr>
        <w:pStyle w:val="NormalWeb"/>
        <w:spacing w:after="0" w:line="240" w:lineRule="auto"/>
        <w:jc w:val="both"/>
        <w:rPr>
          <w:rFonts w:ascii="Arial" w:hAnsi="Arial" w:cs="Arial"/>
          <w:color w:val="000000"/>
          <w:sz w:val="16"/>
          <w:szCs w:val="16"/>
        </w:rPr>
      </w:pPr>
      <w:r w:rsidRPr="00EE1C26">
        <w:rPr>
          <w:rFonts w:ascii="Arial" w:hAnsi="Arial" w:cs="Arial"/>
          <w:color w:val="000000"/>
          <w:sz w:val="16"/>
          <w:szCs w:val="16"/>
        </w:rPr>
        <w:t>  </w:t>
      </w:r>
      <w:bookmarkStart w:id="3" w:name="ver_30147852"/>
      <w:bookmarkStart w:id="4" w:name="ver_1655806"/>
      <w:bookmarkEnd w:id="3"/>
      <w:r w:rsidR="00F12EEE" w:rsidRPr="00EE1C26">
        <w:rPr>
          <w:rFonts w:ascii="Arial" w:hAnsi="Arial" w:cs="Arial"/>
          <w:color w:val="000000"/>
          <w:sz w:val="16"/>
          <w:szCs w:val="16"/>
        </w:rPr>
        <w:tab/>
      </w:r>
      <w:r w:rsidRPr="00EE1C26">
        <w:rPr>
          <w:rStyle w:val="Textoennegrita"/>
          <w:rFonts w:ascii="Arial" w:hAnsi="Arial" w:cs="Arial"/>
          <w:b w:val="0"/>
          <w:bCs w:val="0"/>
          <w:color w:val="000000"/>
          <w:sz w:val="16"/>
          <w:szCs w:val="16"/>
        </w:rPr>
        <w:t>Artículo 38.</w:t>
      </w:r>
      <w:r w:rsidRPr="00EE1C26">
        <w:rPr>
          <w:rFonts w:ascii="Arial" w:hAnsi="Arial" w:cs="Arial"/>
          <w:color w:val="000000"/>
          <w:sz w:val="16"/>
          <w:szCs w:val="16"/>
        </w:rPr>
        <w:t> ESTADOS FINANCIEROS DICTAMINADOS. Son dictaminados aquellos estados financieros certificados que se acompañen de la opinión profesional del revisor fiscal o, a f alta de éste, del contador público independiente que los hubiere examinado de conformidad con las normas de auditoría generalmente aceptadas. </w:t>
      </w:r>
    </w:p>
    <w:p w14:paraId="1DEA2FB6" w14:textId="2B48960E" w:rsidR="00685159" w:rsidRPr="00EE1C26" w:rsidRDefault="00685159" w:rsidP="00EE1C26">
      <w:pPr>
        <w:pStyle w:val="NormalWeb"/>
        <w:spacing w:after="0" w:line="240" w:lineRule="auto"/>
        <w:ind w:firstLine="708"/>
        <w:jc w:val="both"/>
        <w:rPr>
          <w:rFonts w:ascii="Arial" w:hAnsi="Arial" w:cs="Arial"/>
          <w:color w:val="000000"/>
          <w:sz w:val="16"/>
          <w:szCs w:val="16"/>
        </w:rPr>
      </w:pPr>
      <w:r w:rsidRPr="00EE1C26">
        <w:rPr>
          <w:rFonts w:ascii="Arial" w:hAnsi="Arial" w:cs="Arial"/>
          <w:color w:val="000000"/>
          <w:sz w:val="16"/>
          <w:szCs w:val="16"/>
        </w:rPr>
        <w:t>Estos estados deben ser suscritos por dicho profesional, anteponiendo la expresión "ver la opinión adjunta" u otra similar. El sentido y alcance de su firma será el que se indique en el dictamen correspondiente</w:t>
      </w:r>
      <w:r w:rsidR="00F12EEE" w:rsidRPr="00EE1C26">
        <w:rPr>
          <w:rFonts w:ascii="Arial" w:hAnsi="Arial" w:cs="Arial"/>
          <w:color w:val="000000"/>
          <w:sz w:val="16"/>
          <w:szCs w:val="16"/>
        </w:rPr>
        <w:t>.</w:t>
      </w:r>
    </w:p>
    <w:p w14:paraId="5EEDFE50" w14:textId="53FDED5B" w:rsidR="00685159" w:rsidRPr="00EE1C26" w:rsidRDefault="00685159" w:rsidP="00EE1C26">
      <w:pPr>
        <w:pStyle w:val="NormalWeb"/>
        <w:spacing w:after="0" w:line="240" w:lineRule="auto"/>
        <w:jc w:val="both"/>
        <w:rPr>
          <w:rFonts w:ascii="Arial" w:hAnsi="Arial" w:cs="Arial"/>
          <w:color w:val="000000"/>
          <w:sz w:val="16"/>
          <w:szCs w:val="16"/>
        </w:rPr>
      </w:pPr>
      <w:r w:rsidRPr="00EE1C26">
        <w:rPr>
          <w:rFonts w:ascii="Arial" w:hAnsi="Arial" w:cs="Arial"/>
          <w:color w:val="000000"/>
          <w:sz w:val="16"/>
          <w:szCs w:val="16"/>
        </w:rPr>
        <w:t>  </w:t>
      </w:r>
      <w:r w:rsidR="00F12EEE" w:rsidRPr="00EE1C26">
        <w:rPr>
          <w:rFonts w:ascii="Arial" w:hAnsi="Arial" w:cs="Arial"/>
          <w:color w:val="000000"/>
          <w:sz w:val="16"/>
          <w:szCs w:val="16"/>
        </w:rPr>
        <w:tab/>
      </w:r>
      <w:r w:rsidRPr="00EE1C26">
        <w:rPr>
          <w:rFonts w:ascii="Arial" w:hAnsi="Arial" w:cs="Arial"/>
          <w:color w:val="000000"/>
          <w:sz w:val="16"/>
          <w:szCs w:val="16"/>
        </w:rPr>
        <w:t xml:space="preserve">Cuando los estados financieros se presenten </w:t>
      </w:r>
      <w:proofErr w:type="gramStart"/>
      <w:r w:rsidRPr="00EE1C26">
        <w:rPr>
          <w:rFonts w:ascii="Arial" w:hAnsi="Arial" w:cs="Arial"/>
          <w:color w:val="000000"/>
          <w:sz w:val="16"/>
          <w:szCs w:val="16"/>
        </w:rPr>
        <w:t>conjuntamente con</w:t>
      </w:r>
      <w:proofErr w:type="gramEnd"/>
      <w:r w:rsidRPr="00EE1C26">
        <w:rPr>
          <w:rFonts w:ascii="Arial" w:hAnsi="Arial" w:cs="Arial"/>
          <w:color w:val="000000"/>
          <w:sz w:val="16"/>
          <w:szCs w:val="16"/>
        </w:rPr>
        <w:t xml:space="preserve"> el informe de gestión de los administradores, el revisor fiscal o contador público independiente deberá incluir en su informe su opinión sobre si entre aquéllos y éstos existe la debida concordancia. </w:t>
      </w:r>
    </w:p>
    <w:p w14:paraId="4F58530D" w14:textId="7DAB142F" w:rsidR="00685159" w:rsidRPr="00EE1C26" w:rsidRDefault="00685159" w:rsidP="00EE1C26">
      <w:pPr>
        <w:pStyle w:val="NormalWeb"/>
        <w:spacing w:after="0" w:line="240" w:lineRule="auto"/>
        <w:jc w:val="both"/>
        <w:rPr>
          <w:rFonts w:ascii="Arial" w:hAnsi="Arial" w:cs="Arial"/>
          <w:color w:val="000000"/>
          <w:sz w:val="16"/>
          <w:szCs w:val="16"/>
        </w:rPr>
      </w:pPr>
      <w:r w:rsidRPr="00EE1C26">
        <w:rPr>
          <w:rFonts w:ascii="Arial" w:hAnsi="Arial" w:cs="Arial"/>
          <w:color w:val="000000"/>
          <w:sz w:val="16"/>
          <w:szCs w:val="16"/>
        </w:rPr>
        <w:t>  </w:t>
      </w:r>
      <w:bookmarkStart w:id="5" w:name="ver_1655807"/>
      <w:bookmarkEnd w:id="4"/>
      <w:bookmarkEnd w:id="5"/>
      <w:r w:rsidR="00F12EEE" w:rsidRPr="00EE1C26">
        <w:rPr>
          <w:rFonts w:ascii="Arial" w:hAnsi="Arial" w:cs="Arial"/>
          <w:color w:val="000000"/>
          <w:sz w:val="16"/>
          <w:szCs w:val="16"/>
        </w:rPr>
        <w:tab/>
      </w:r>
      <w:r w:rsidRPr="00EE1C26">
        <w:rPr>
          <w:rStyle w:val="Textoennegrita"/>
          <w:rFonts w:ascii="Arial" w:hAnsi="Arial" w:cs="Arial"/>
          <w:b w:val="0"/>
          <w:bCs w:val="0"/>
          <w:color w:val="000000"/>
          <w:sz w:val="16"/>
          <w:szCs w:val="16"/>
        </w:rPr>
        <w:t>Artículo 39.</w:t>
      </w:r>
      <w:r w:rsidRPr="00EE1C26">
        <w:rPr>
          <w:rFonts w:ascii="Arial" w:hAnsi="Arial" w:cs="Arial"/>
          <w:color w:val="000000"/>
          <w:sz w:val="16"/>
          <w:szCs w:val="16"/>
        </w:rPr>
        <w:t> AUTENTICIDAD DE LOS ESTADOS FINANCIEROS Y DE LOS DICTAMENES. Salvo prueba en contrario, los estados financieros certificados y los dictámenes correspondientes se presumen auténticos. </w:t>
      </w:r>
    </w:p>
    <w:p w14:paraId="06BEF561" w14:textId="462079BD" w:rsidR="00685159" w:rsidRPr="00780F41" w:rsidRDefault="00685159" w:rsidP="00EE1C26">
      <w:pPr>
        <w:pStyle w:val="NormalWeb"/>
        <w:spacing w:after="0" w:line="240" w:lineRule="auto"/>
        <w:ind w:firstLine="708"/>
        <w:jc w:val="both"/>
        <w:rPr>
          <w:rFonts w:ascii="Arial" w:hAnsi="Arial" w:cs="Arial"/>
          <w:color w:val="000000"/>
          <w:sz w:val="16"/>
          <w:szCs w:val="16"/>
        </w:rPr>
      </w:pPr>
      <w:bookmarkStart w:id="6" w:name="ver_1655808"/>
      <w:bookmarkEnd w:id="6"/>
      <w:r w:rsidRPr="00EE1C26">
        <w:rPr>
          <w:rStyle w:val="Textoennegrita"/>
          <w:rFonts w:ascii="Arial" w:hAnsi="Arial" w:cs="Arial"/>
          <w:b w:val="0"/>
          <w:bCs w:val="0"/>
          <w:color w:val="000000"/>
          <w:sz w:val="16"/>
          <w:szCs w:val="16"/>
        </w:rPr>
        <w:t>Artículo 40.</w:t>
      </w:r>
      <w:r w:rsidRPr="00780F41">
        <w:rPr>
          <w:rFonts w:ascii="Arial" w:hAnsi="Arial" w:cs="Arial"/>
          <w:color w:val="000000"/>
          <w:sz w:val="16"/>
          <w:szCs w:val="16"/>
        </w:rPr>
        <w:t> RECTIFICACION DE LOS ESTADOS FINANCIEROS. Las entidades gubernamentales que ejercen inspección, vigilancia o control, podrán ordenar rectificar los estados financieros o las notas que no se ajusten a las normas legales. </w:t>
      </w:r>
    </w:p>
    <w:p w14:paraId="1279537F" w14:textId="5E5EFB05" w:rsidR="00685159" w:rsidRPr="00780F41" w:rsidRDefault="00685159" w:rsidP="00780F41">
      <w:pPr>
        <w:pStyle w:val="NormalWeb"/>
        <w:spacing w:after="0" w:line="240" w:lineRule="auto"/>
        <w:jc w:val="both"/>
        <w:rPr>
          <w:rFonts w:ascii="Arial" w:hAnsi="Arial" w:cs="Arial"/>
          <w:color w:val="000000"/>
          <w:sz w:val="16"/>
          <w:szCs w:val="16"/>
        </w:rPr>
      </w:pPr>
      <w:r w:rsidRPr="00780F41">
        <w:rPr>
          <w:rFonts w:ascii="Arial" w:hAnsi="Arial" w:cs="Arial"/>
          <w:color w:val="000000"/>
          <w:sz w:val="16"/>
          <w:szCs w:val="16"/>
        </w:rPr>
        <w:t>  </w:t>
      </w:r>
      <w:r w:rsidR="00F12EEE" w:rsidRPr="00780F41">
        <w:rPr>
          <w:rFonts w:ascii="Arial" w:hAnsi="Arial" w:cs="Arial"/>
          <w:color w:val="000000"/>
          <w:sz w:val="16"/>
          <w:szCs w:val="16"/>
        </w:rPr>
        <w:tab/>
      </w:r>
      <w:r w:rsidRPr="00780F41">
        <w:rPr>
          <w:rFonts w:ascii="Arial" w:hAnsi="Arial" w:cs="Arial"/>
          <w:color w:val="000000"/>
          <w:sz w:val="16"/>
          <w:szCs w:val="16"/>
        </w:rPr>
        <w:t>Tratándose de estados financieros de fin de ejercicio, las rectificaciones afectarán el período objeto de revisión, siempre que se notifique dentro del mes siguiente a la fecha en la cual se hayan presentado en forma completa ante la respectiva autoridad. Pasado dicho lapso las rectificaciones se reconocerán en el ejercicio en curso. </w:t>
      </w:r>
    </w:p>
    <w:p w14:paraId="2FC206FF" w14:textId="2F7BF600" w:rsidR="00685159" w:rsidRPr="00780F41" w:rsidRDefault="00685159" w:rsidP="00780F41">
      <w:pPr>
        <w:pStyle w:val="NormalWeb"/>
        <w:spacing w:after="0" w:line="240" w:lineRule="auto"/>
        <w:jc w:val="both"/>
        <w:rPr>
          <w:rFonts w:ascii="Arial" w:hAnsi="Arial" w:cs="Arial"/>
          <w:color w:val="000000"/>
          <w:sz w:val="16"/>
          <w:szCs w:val="16"/>
        </w:rPr>
      </w:pPr>
      <w:r w:rsidRPr="00780F41">
        <w:rPr>
          <w:rFonts w:ascii="Arial" w:hAnsi="Arial" w:cs="Arial"/>
          <w:color w:val="000000"/>
          <w:sz w:val="16"/>
          <w:szCs w:val="16"/>
        </w:rPr>
        <w:t>  </w:t>
      </w:r>
      <w:r w:rsidR="00F12EEE" w:rsidRPr="00780F41">
        <w:rPr>
          <w:rFonts w:ascii="Arial" w:hAnsi="Arial" w:cs="Arial"/>
          <w:color w:val="000000"/>
          <w:sz w:val="16"/>
          <w:szCs w:val="16"/>
        </w:rPr>
        <w:tab/>
      </w:r>
      <w:r w:rsidRPr="00780F41">
        <w:rPr>
          <w:rFonts w:ascii="Arial" w:hAnsi="Arial" w:cs="Arial"/>
          <w:color w:val="000000"/>
          <w:sz w:val="16"/>
          <w:szCs w:val="16"/>
        </w:rPr>
        <w:t>Las rectificaciones se darán a conocer al difundir los estados financieros respectivos y, en todo caso, en la forma y plazo que determine la respectiva entidad gubernamental. </w:t>
      </w:r>
    </w:p>
    <w:p w14:paraId="46F93534" w14:textId="3DA81777" w:rsidR="00685159" w:rsidRPr="00780F41" w:rsidRDefault="00685159" w:rsidP="00780F41">
      <w:pPr>
        <w:pStyle w:val="NormalWeb"/>
        <w:spacing w:after="0" w:line="240" w:lineRule="auto"/>
        <w:jc w:val="both"/>
        <w:rPr>
          <w:rFonts w:ascii="Arial" w:hAnsi="Arial" w:cs="Arial"/>
          <w:color w:val="000000"/>
          <w:sz w:val="16"/>
          <w:szCs w:val="16"/>
        </w:rPr>
      </w:pPr>
      <w:r w:rsidRPr="00780F41">
        <w:rPr>
          <w:rFonts w:ascii="Arial" w:hAnsi="Arial" w:cs="Arial"/>
          <w:color w:val="000000"/>
          <w:sz w:val="16"/>
          <w:szCs w:val="16"/>
        </w:rPr>
        <w:t>  </w:t>
      </w:r>
      <w:r w:rsidR="00F12EEE" w:rsidRPr="00780F41">
        <w:rPr>
          <w:rFonts w:ascii="Arial" w:hAnsi="Arial" w:cs="Arial"/>
          <w:color w:val="000000"/>
          <w:sz w:val="16"/>
          <w:szCs w:val="16"/>
        </w:rPr>
        <w:tab/>
      </w:r>
      <w:r w:rsidRPr="00780F41">
        <w:rPr>
          <w:rFonts w:ascii="Arial" w:hAnsi="Arial" w:cs="Arial"/>
          <w:color w:val="000000"/>
          <w:sz w:val="16"/>
          <w:szCs w:val="16"/>
        </w:rPr>
        <w:t>La orden de rectificación solo tendrá efectos cuando la entidad gubernamental que ejerce inspección, vigilancia o control haya resuelto expresamente los recursos a que hubiere lugar, si es que éstos se interpusieron. </w:t>
      </w:r>
    </w:p>
    <w:p w14:paraId="0A0E28D5" w14:textId="1CAFB837" w:rsidR="00685159" w:rsidRPr="00780F41" w:rsidRDefault="00685159" w:rsidP="00780F41">
      <w:pPr>
        <w:pStyle w:val="NormalWeb"/>
        <w:spacing w:after="0" w:line="240" w:lineRule="auto"/>
        <w:jc w:val="both"/>
        <w:rPr>
          <w:rFonts w:ascii="Arial" w:hAnsi="Arial" w:cs="Arial"/>
          <w:color w:val="000000"/>
          <w:sz w:val="16"/>
          <w:szCs w:val="16"/>
        </w:rPr>
      </w:pPr>
      <w:r w:rsidRPr="00780F41">
        <w:rPr>
          <w:rFonts w:ascii="Arial" w:hAnsi="Arial" w:cs="Arial"/>
          <w:color w:val="000000"/>
          <w:sz w:val="16"/>
          <w:szCs w:val="16"/>
        </w:rPr>
        <w:t>  </w:t>
      </w:r>
      <w:bookmarkStart w:id="7" w:name="ver_30147868"/>
      <w:bookmarkStart w:id="8" w:name="ver_1655809"/>
      <w:bookmarkEnd w:id="7"/>
      <w:r w:rsidR="00F12EEE" w:rsidRPr="00780F41">
        <w:rPr>
          <w:rFonts w:ascii="Arial" w:hAnsi="Arial" w:cs="Arial"/>
          <w:color w:val="000000"/>
          <w:sz w:val="16"/>
          <w:szCs w:val="16"/>
        </w:rPr>
        <w:tab/>
      </w:r>
      <w:r w:rsidRPr="00780F41">
        <w:rPr>
          <w:rStyle w:val="Textoennegrita"/>
          <w:rFonts w:ascii="Arial" w:hAnsi="Arial" w:cs="Arial"/>
          <w:b w:val="0"/>
          <w:bCs w:val="0"/>
          <w:color w:val="000000"/>
          <w:sz w:val="16"/>
          <w:szCs w:val="16"/>
        </w:rPr>
        <w:t>Artículo 41.</w:t>
      </w:r>
      <w:r w:rsidRPr="00780F41">
        <w:rPr>
          <w:rFonts w:ascii="Arial" w:hAnsi="Arial" w:cs="Arial"/>
          <w:color w:val="000000"/>
          <w:sz w:val="16"/>
          <w:szCs w:val="16"/>
        </w:rPr>
        <w:t> PUBLICIDAD DE LOS ESTADOS FINANCIEROS. Dentro del mes siguiente a la fecha en la cual sean aprobados, se depositará copia de los estados financieros de propósito general, junto con sus notas y el dictamen correspondiente, si lo hubiere, en la Cámara de Comercio del domicilio social. Esta expedirá copia de tales documentos a quienes lo soliciten y paguen los costos correspondientes. </w:t>
      </w:r>
    </w:p>
    <w:p w14:paraId="4B42C84E" w14:textId="5EDC637E" w:rsidR="00685159" w:rsidRPr="00780F41" w:rsidRDefault="00685159" w:rsidP="00780F41">
      <w:pPr>
        <w:pStyle w:val="NormalWeb"/>
        <w:spacing w:after="0" w:line="240" w:lineRule="auto"/>
        <w:jc w:val="both"/>
        <w:rPr>
          <w:rFonts w:ascii="Arial" w:hAnsi="Arial" w:cs="Arial"/>
          <w:color w:val="000000"/>
          <w:sz w:val="16"/>
          <w:szCs w:val="16"/>
        </w:rPr>
      </w:pPr>
      <w:r w:rsidRPr="00780F41">
        <w:rPr>
          <w:rFonts w:ascii="Arial" w:hAnsi="Arial" w:cs="Arial"/>
          <w:color w:val="000000"/>
          <w:sz w:val="16"/>
          <w:szCs w:val="16"/>
        </w:rPr>
        <w:t>  </w:t>
      </w:r>
      <w:r w:rsidR="00F12EEE" w:rsidRPr="00780F41">
        <w:rPr>
          <w:rFonts w:ascii="Arial" w:hAnsi="Arial" w:cs="Arial"/>
          <w:color w:val="000000"/>
          <w:sz w:val="16"/>
          <w:szCs w:val="16"/>
        </w:rPr>
        <w:tab/>
      </w:r>
      <w:r w:rsidRPr="00780F41">
        <w:rPr>
          <w:rFonts w:ascii="Arial" w:hAnsi="Arial" w:cs="Arial"/>
          <w:color w:val="000000"/>
          <w:sz w:val="16"/>
          <w:szCs w:val="16"/>
        </w:rPr>
        <w:t>Sin embargo, las entidades gubernamentales que ejerzan la inspección, vigilancia o control podrán establecer casos en los cuales no se exija depósito o se requiera un medio de publicidad adicional. También podrán ordenar la publicidad de los estados financieros intermedios. </w:t>
      </w:r>
    </w:p>
    <w:p w14:paraId="37E0B3DF" w14:textId="7C22BCE4" w:rsidR="00685159" w:rsidRPr="00780F41" w:rsidRDefault="00685159" w:rsidP="00780F41">
      <w:pPr>
        <w:pStyle w:val="NormalWeb"/>
        <w:spacing w:after="0" w:line="240" w:lineRule="auto"/>
        <w:jc w:val="both"/>
        <w:rPr>
          <w:rFonts w:ascii="Arial" w:hAnsi="Arial" w:cs="Arial"/>
          <w:color w:val="000000"/>
          <w:sz w:val="16"/>
          <w:szCs w:val="16"/>
        </w:rPr>
      </w:pPr>
      <w:r w:rsidRPr="00780F41">
        <w:rPr>
          <w:rFonts w:ascii="Arial" w:hAnsi="Arial" w:cs="Arial"/>
          <w:color w:val="000000"/>
          <w:sz w:val="16"/>
          <w:szCs w:val="16"/>
        </w:rPr>
        <w:t>  </w:t>
      </w:r>
      <w:r w:rsidR="00DF1B44">
        <w:rPr>
          <w:rFonts w:ascii="Arial" w:hAnsi="Arial" w:cs="Arial"/>
          <w:color w:val="000000"/>
          <w:sz w:val="16"/>
          <w:szCs w:val="16"/>
        </w:rPr>
        <w:tab/>
      </w:r>
      <w:r w:rsidRPr="00780F41">
        <w:rPr>
          <w:rFonts w:ascii="Arial" w:hAnsi="Arial" w:cs="Arial"/>
          <w:color w:val="000000"/>
          <w:sz w:val="16"/>
          <w:szCs w:val="16"/>
        </w:rPr>
        <w:t>La Cámara de Comercio deberá conservar, por cualquier medio, los documentos mencionados en este artículo por el término de cinco a</w:t>
      </w:r>
      <w:r w:rsidR="00780F41">
        <w:rPr>
          <w:rFonts w:ascii="Arial" w:hAnsi="Arial" w:cs="Arial"/>
          <w:color w:val="000000"/>
          <w:sz w:val="16"/>
          <w:szCs w:val="16"/>
        </w:rPr>
        <w:t>ñ</w:t>
      </w:r>
      <w:r w:rsidRPr="00780F41">
        <w:rPr>
          <w:rFonts w:ascii="Arial" w:hAnsi="Arial" w:cs="Arial"/>
          <w:color w:val="000000"/>
          <w:sz w:val="16"/>
          <w:szCs w:val="16"/>
        </w:rPr>
        <w:t>os. </w:t>
      </w:r>
    </w:p>
    <w:p w14:paraId="259FCA4C" w14:textId="0770B2F9" w:rsidR="00685159" w:rsidRPr="00780F41" w:rsidRDefault="00685159" w:rsidP="00780F41">
      <w:pPr>
        <w:pStyle w:val="NormalWeb"/>
        <w:spacing w:after="0" w:line="240" w:lineRule="auto"/>
        <w:jc w:val="both"/>
        <w:rPr>
          <w:rFonts w:ascii="Arial" w:hAnsi="Arial" w:cs="Arial"/>
          <w:color w:val="000000"/>
          <w:sz w:val="16"/>
          <w:szCs w:val="16"/>
        </w:rPr>
      </w:pPr>
      <w:r w:rsidRPr="00780F41">
        <w:rPr>
          <w:rFonts w:ascii="Arial" w:hAnsi="Arial" w:cs="Arial"/>
          <w:color w:val="000000"/>
          <w:sz w:val="16"/>
          <w:szCs w:val="16"/>
        </w:rPr>
        <w:t>  </w:t>
      </w:r>
      <w:r w:rsidR="00F12EEE" w:rsidRPr="00780F41">
        <w:rPr>
          <w:rFonts w:ascii="Arial" w:hAnsi="Arial" w:cs="Arial"/>
          <w:color w:val="000000"/>
          <w:sz w:val="16"/>
          <w:szCs w:val="16"/>
        </w:rPr>
        <w:tab/>
      </w:r>
      <w:r w:rsidRPr="00780F41">
        <w:rPr>
          <w:rFonts w:ascii="Arial" w:hAnsi="Arial" w:cs="Arial"/>
          <w:color w:val="000000"/>
          <w:sz w:val="16"/>
          <w:szCs w:val="16"/>
        </w:rPr>
        <w:t>Cuando los estados financieros se depositen en la Superintendencia de Sociedades, no tendrán que ser depositados en las cámaras de comercio. La Superintendencia de Sociedades asegurará los mecanismos necesarios para garantizar el acceso a la información que no tenga carácter reservado. La Cámara de Comercio deberá conservar, por cualquier medio, los documentos mencionados en este artículo por el término de cinco años </w:t>
      </w:r>
    </w:p>
    <w:p w14:paraId="0BB2525C" w14:textId="7D65898A" w:rsidR="00685159" w:rsidRPr="00780F41" w:rsidRDefault="00685159" w:rsidP="00780F41">
      <w:pPr>
        <w:pStyle w:val="NormalWeb"/>
        <w:spacing w:after="0" w:line="240" w:lineRule="auto"/>
        <w:ind w:firstLine="708"/>
        <w:jc w:val="both"/>
        <w:rPr>
          <w:rFonts w:ascii="Arial" w:hAnsi="Arial" w:cs="Arial"/>
          <w:color w:val="000000"/>
          <w:sz w:val="16"/>
          <w:szCs w:val="16"/>
        </w:rPr>
      </w:pPr>
      <w:bookmarkStart w:id="9" w:name="ver_1655810"/>
      <w:bookmarkEnd w:id="8"/>
      <w:bookmarkEnd w:id="9"/>
      <w:r w:rsidRPr="00780F41">
        <w:rPr>
          <w:rStyle w:val="Textoennegrita"/>
          <w:rFonts w:ascii="Arial" w:hAnsi="Arial" w:cs="Arial"/>
          <w:color w:val="000000"/>
          <w:sz w:val="16"/>
          <w:szCs w:val="16"/>
        </w:rPr>
        <w:t>Artículo 42.</w:t>
      </w:r>
      <w:r w:rsidRPr="00780F41">
        <w:rPr>
          <w:rFonts w:ascii="Arial" w:hAnsi="Arial" w:cs="Arial"/>
          <w:color w:val="000000"/>
          <w:sz w:val="16"/>
          <w:szCs w:val="16"/>
        </w:rPr>
        <w:t> AUSENCIA DE ESTADOS FINANCIEROS.   Sin perjuicio de las sanciones a que haya lugar, cuando sin justa causa una sociedad se abstuviere de preparar o difundir estados financieros estando obligada a ello, los terceros podrán aducir cualquier otro medio de prueba aceptado por la ley. </w:t>
      </w:r>
    </w:p>
    <w:p w14:paraId="655B3BE1" w14:textId="65785A9D" w:rsidR="00685159" w:rsidRPr="00780F41" w:rsidRDefault="00685159" w:rsidP="00780F41">
      <w:pPr>
        <w:pStyle w:val="NormalWeb"/>
        <w:spacing w:after="0" w:line="240" w:lineRule="auto"/>
        <w:jc w:val="both"/>
        <w:rPr>
          <w:rFonts w:ascii="Arial" w:hAnsi="Arial" w:cs="Arial"/>
          <w:color w:val="000000"/>
          <w:sz w:val="16"/>
          <w:szCs w:val="16"/>
        </w:rPr>
      </w:pPr>
      <w:r w:rsidRPr="00780F41">
        <w:rPr>
          <w:rFonts w:ascii="Arial" w:hAnsi="Arial" w:cs="Arial"/>
          <w:color w:val="000000"/>
          <w:sz w:val="16"/>
          <w:szCs w:val="16"/>
        </w:rPr>
        <w:t>  </w:t>
      </w:r>
      <w:r w:rsidRPr="00780F41">
        <w:rPr>
          <w:rFonts w:ascii="Arial" w:hAnsi="Arial" w:cs="Arial"/>
          <w:color w:val="000000"/>
          <w:sz w:val="16"/>
          <w:szCs w:val="16"/>
        </w:rPr>
        <w:tab/>
        <w:t xml:space="preserve">Los administradores y el revisor </w:t>
      </w:r>
      <w:proofErr w:type="gramStart"/>
      <w:r w:rsidRPr="00780F41">
        <w:rPr>
          <w:rFonts w:ascii="Arial" w:hAnsi="Arial" w:cs="Arial"/>
          <w:color w:val="000000"/>
          <w:sz w:val="16"/>
          <w:szCs w:val="16"/>
        </w:rPr>
        <w:t>fiscal,</w:t>
      </w:r>
      <w:proofErr w:type="gramEnd"/>
      <w:r w:rsidRPr="00780F41">
        <w:rPr>
          <w:rFonts w:ascii="Arial" w:hAnsi="Arial" w:cs="Arial"/>
          <w:color w:val="000000"/>
          <w:sz w:val="16"/>
          <w:szCs w:val="16"/>
        </w:rPr>
        <w:t xml:space="preserve"> responderán por los perjuicios que causen a la sociedad, a los socios o a terceros por la no preparación o difusión de los estados financieros”. </w:t>
      </w:r>
    </w:p>
    <w:p w14:paraId="5626E418" w14:textId="78152165" w:rsidR="00685159" w:rsidRDefault="00685159" w:rsidP="00780F41">
      <w:pPr>
        <w:pStyle w:val="Textonotapie"/>
        <w:ind w:firstLine="708"/>
      </w:pPr>
      <w:r>
        <w:t xml:space="preserve"> </w:t>
      </w:r>
    </w:p>
  </w:footnote>
  <w:footnote w:id="14">
    <w:p w14:paraId="62594635" w14:textId="77777777" w:rsidR="0099001C" w:rsidRPr="00780F41" w:rsidRDefault="0099001C" w:rsidP="0099001C">
      <w:pPr>
        <w:pStyle w:val="Textonotapie"/>
        <w:ind w:firstLine="709"/>
        <w:jc w:val="both"/>
        <w:rPr>
          <w:rFonts w:ascii="Arial" w:hAnsi="Arial" w:cs="Arial"/>
          <w:sz w:val="16"/>
          <w:szCs w:val="16"/>
        </w:rPr>
      </w:pPr>
      <w:r w:rsidRPr="00780F41">
        <w:rPr>
          <w:rStyle w:val="Refdenotaalpie"/>
          <w:rFonts w:ascii="Arial" w:hAnsi="Arial" w:cs="Arial"/>
          <w:sz w:val="16"/>
          <w:szCs w:val="16"/>
        </w:rPr>
        <w:footnoteRef/>
      </w:r>
      <w:r w:rsidRPr="00780F41">
        <w:rPr>
          <w:rFonts w:ascii="Arial" w:hAnsi="Arial" w:cs="Arial"/>
          <w:sz w:val="16"/>
          <w:szCs w:val="16"/>
        </w:rPr>
        <w:t xml:space="preserve"> Por ejemplo, en los documentos tipo expedidos por la Agencia Nacional de Contratación Pública, se ha contemplado el uso de las normas NIIF en el caso de la presentación de la información financiera por parte de proponentes extranjeros sin domicilio o sucursal en Colombia.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7E5E717"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13</w:t>
    </w:r>
  </w:p>
  <w:p w14:paraId="5E18350A" w14:textId="3833E343"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CB6357">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sidR="00CB6357">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sidR="00961B09">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0AC56F5"/>
    <w:multiLevelType w:val="hybridMultilevel"/>
    <w:tmpl w:val="ECF404E6"/>
    <w:lvl w:ilvl="0" w:tplc="4612AA0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05A730D"/>
    <w:multiLevelType w:val="hybridMultilevel"/>
    <w:tmpl w:val="C150AD4A"/>
    <w:lvl w:ilvl="0" w:tplc="6E869674">
      <w:start w:val="1"/>
      <w:numFmt w:val="decimal"/>
      <w:lvlText w:val="%1."/>
      <w:lvlJc w:val="left"/>
      <w:pPr>
        <w:ind w:left="660" w:hanging="360"/>
        <w:jc w:val="left"/>
      </w:pPr>
      <w:rPr>
        <w:rFonts w:ascii="Arial" w:eastAsia="Arial" w:hAnsi="Arial" w:cs="Arial" w:hint="default"/>
        <w:b/>
        <w:bCs/>
        <w:color w:val="auto"/>
        <w:spacing w:val="-8"/>
        <w:w w:val="100"/>
        <w:sz w:val="22"/>
        <w:szCs w:val="22"/>
        <w:lang w:val="es-ES" w:eastAsia="en-US" w:bidi="ar-SA"/>
      </w:rPr>
    </w:lvl>
    <w:lvl w:ilvl="1" w:tplc="051414B8">
      <w:numFmt w:val="bullet"/>
      <w:lvlText w:val="-"/>
      <w:lvlJc w:val="left"/>
      <w:pPr>
        <w:ind w:left="1008" w:hanging="168"/>
      </w:pPr>
      <w:rPr>
        <w:rFonts w:ascii="Arial" w:eastAsia="Arial" w:hAnsi="Arial" w:cs="Arial" w:hint="default"/>
        <w:color w:val="4E4D4D"/>
        <w:spacing w:val="-22"/>
        <w:w w:val="100"/>
        <w:sz w:val="21"/>
        <w:szCs w:val="21"/>
        <w:lang w:val="es-ES" w:eastAsia="en-US" w:bidi="ar-SA"/>
      </w:rPr>
    </w:lvl>
    <w:lvl w:ilvl="2" w:tplc="2490FF40">
      <w:numFmt w:val="bullet"/>
      <w:lvlText w:val="•"/>
      <w:lvlJc w:val="left"/>
      <w:pPr>
        <w:ind w:left="1948" w:hanging="168"/>
      </w:pPr>
      <w:rPr>
        <w:rFonts w:hint="default"/>
        <w:lang w:val="es-ES" w:eastAsia="en-US" w:bidi="ar-SA"/>
      </w:rPr>
    </w:lvl>
    <w:lvl w:ilvl="3" w:tplc="028069F8">
      <w:numFmt w:val="bullet"/>
      <w:lvlText w:val="•"/>
      <w:lvlJc w:val="left"/>
      <w:pPr>
        <w:ind w:left="2897" w:hanging="168"/>
      </w:pPr>
      <w:rPr>
        <w:rFonts w:hint="default"/>
        <w:lang w:val="es-ES" w:eastAsia="en-US" w:bidi="ar-SA"/>
      </w:rPr>
    </w:lvl>
    <w:lvl w:ilvl="4" w:tplc="DE3A0E4C">
      <w:numFmt w:val="bullet"/>
      <w:lvlText w:val="•"/>
      <w:lvlJc w:val="left"/>
      <w:pPr>
        <w:ind w:left="3846" w:hanging="168"/>
      </w:pPr>
      <w:rPr>
        <w:rFonts w:hint="default"/>
        <w:lang w:val="es-ES" w:eastAsia="en-US" w:bidi="ar-SA"/>
      </w:rPr>
    </w:lvl>
    <w:lvl w:ilvl="5" w:tplc="E44A6D1E">
      <w:numFmt w:val="bullet"/>
      <w:lvlText w:val="•"/>
      <w:lvlJc w:val="left"/>
      <w:pPr>
        <w:ind w:left="4795" w:hanging="168"/>
      </w:pPr>
      <w:rPr>
        <w:rFonts w:hint="default"/>
        <w:lang w:val="es-ES" w:eastAsia="en-US" w:bidi="ar-SA"/>
      </w:rPr>
    </w:lvl>
    <w:lvl w:ilvl="6" w:tplc="70A61D72">
      <w:numFmt w:val="bullet"/>
      <w:lvlText w:val="•"/>
      <w:lvlJc w:val="left"/>
      <w:pPr>
        <w:ind w:left="5744" w:hanging="168"/>
      </w:pPr>
      <w:rPr>
        <w:rFonts w:hint="default"/>
        <w:lang w:val="es-ES" w:eastAsia="en-US" w:bidi="ar-SA"/>
      </w:rPr>
    </w:lvl>
    <w:lvl w:ilvl="7" w:tplc="16ECB2D4">
      <w:numFmt w:val="bullet"/>
      <w:lvlText w:val="•"/>
      <w:lvlJc w:val="left"/>
      <w:pPr>
        <w:ind w:left="6693" w:hanging="168"/>
      </w:pPr>
      <w:rPr>
        <w:rFonts w:hint="default"/>
        <w:lang w:val="es-ES" w:eastAsia="en-US" w:bidi="ar-SA"/>
      </w:rPr>
    </w:lvl>
    <w:lvl w:ilvl="8" w:tplc="24808B52">
      <w:numFmt w:val="bullet"/>
      <w:lvlText w:val="•"/>
      <w:lvlJc w:val="left"/>
      <w:pPr>
        <w:ind w:left="7642" w:hanging="168"/>
      </w:pPr>
      <w:rPr>
        <w:rFonts w:hint="default"/>
        <w:lang w:val="es-ES" w:eastAsia="en-US" w:bidi="ar-SA"/>
      </w:rPr>
    </w:lvl>
  </w:abstractNum>
  <w:num w:numId="1" w16cid:durableId="948779781">
    <w:abstractNumId w:val="3"/>
  </w:num>
  <w:num w:numId="2" w16cid:durableId="19822139">
    <w:abstractNumId w:val="0"/>
  </w:num>
  <w:num w:numId="3" w16cid:durableId="876742304">
    <w:abstractNumId w:val="2"/>
  </w:num>
  <w:num w:numId="4" w16cid:durableId="245186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0"/>
  </w:num>
  <w:num w:numId="6" w16cid:durableId="683752286">
    <w:abstractNumId w:val="1"/>
  </w:num>
  <w:num w:numId="7" w16cid:durableId="20159562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2002"/>
    <w:rsid w:val="00023653"/>
    <w:rsid w:val="00032CB0"/>
    <w:rsid w:val="00046324"/>
    <w:rsid w:val="000A683E"/>
    <w:rsid w:val="000B19B9"/>
    <w:rsid w:val="000C335D"/>
    <w:rsid w:val="000D0334"/>
    <w:rsid w:val="000E25C4"/>
    <w:rsid w:val="000F6486"/>
    <w:rsid w:val="00116C28"/>
    <w:rsid w:val="00124F4A"/>
    <w:rsid w:val="00125105"/>
    <w:rsid w:val="00127233"/>
    <w:rsid w:val="00156D2D"/>
    <w:rsid w:val="00165E1B"/>
    <w:rsid w:val="00176CEB"/>
    <w:rsid w:val="00182EB3"/>
    <w:rsid w:val="001B6E04"/>
    <w:rsid w:val="001C0F59"/>
    <w:rsid w:val="001E4177"/>
    <w:rsid w:val="00212C99"/>
    <w:rsid w:val="002600CF"/>
    <w:rsid w:val="0027207A"/>
    <w:rsid w:val="00280700"/>
    <w:rsid w:val="002951A0"/>
    <w:rsid w:val="002962BC"/>
    <w:rsid w:val="002A093D"/>
    <w:rsid w:val="002A49AC"/>
    <w:rsid w:val="002A64FD"/>
    <w:rsid w:val="002C7A84"/>
    <w:rsid w:val="002F5197"/>
    <w:rsid w:val="0032541E"/>
    <w:rsid w:val="00341D4A"/>
    <w:rsid w:val="00343B9C"/>
    <w:rsid w:val="003448F4"/>
    <w:rsid w:val="003464CB"/>
    <w:rsid w:val="00364C5A"/>
    <w:rsid w:val="00373D74"/>
    <w:rsid w:val="003A6309"/>
    <w:rsid w:val="003A779E"/>
    <w:rsid w:val="003D0F4D"/>
    <w:rsid w:val="003D35E4"/>
    <w:rsid w:val="003E0499"/>
    <w:rsid w:val="003F3941"/>
    <w:rsid w:val="00400548"/>
    <w:rsid w:val="00427BB4"/>
    <w:rsid w:val="004624A3"/>
    <w:rsid w:val="00474390"/>
    <w:rsid w:val="004A1847"/>
    <w:rsid w:val="004A305D"/>
    <w:rsid w:val="004B5A76"/>
    <w:rsid w:val="004C0BFB"/>
    <w:rsid w:val="004E4929"/>
    <w:rsid w:val="004F21C4"/>
    <w:rsid w:val="004F685F"/>
    <w:rsid w:val="00502019"/>
    <w:rsid w:val="00512FBF"/>
    <w:rsid w:val="00526152"/>
    <w:rsid w:val="005566E8"/>
    <w:rsid w:val="00574867"/>
    <w:rsid w:val="00575F1A"/>
    <w:rsid w:val="00595693"/>
    <w:rsid w:val="00596E1D"/>
    <w:rsid w:val="005A38A1"/>
    <w:rsid w:val="005B2D94"/>
    <w:rsid w:val="005C3B1C"/>
    <w:rsid w:val="005C4470"/>
    <w:rsid w:val="005C5CDC"/>
    <w:rsid w:val="005D0448"/>
    <w:rsid w:val="005D476C"/>
    <w:rsid w:val="00617697"/>
    <w:rsid w:val="00617E63"/>
    <w:rsid w:val="006219F8"/>
    <w:rsid w:val="006262C8"/>
    <w:rsid w:val="00632FF1"/>
    <w:rsid w:val="00635B27"/>
    <w:rsid w:val="00641FF4"/>
    <w:rsid w:val="00654B56"/>
    <w:rsid w:val="006571FC"/>
    <w:rsid w:val="00665D70"/>
    <w:rsid w:val="00685159"/>
    <w:rsid w:val="006B5A8A"/>
    <w:rsid w:val="006E1778"/>
    <w:rsid w:val="006F32F5"/>
    <w:rsid w:val="007016B2"/>
    <w:rsid w:val="00706C16"/>
    <w:rsid w:val="00713EA3"/>
    <w:rsid w:val="0071605C"/>
    <w:rsid w:val="00727E96"/>
    <w:rsid w:val="00736BEB"/>
    <w:rsid w:val="00755BA1"/>
    <w:rsid w:val="00756291"/>
    <w:rsid w:val="00756841"/>
    <w:rsid w:val="007649AB"/>
    <w:rsid w:val="00767F39"/>
    <w:rsid w:val="00780F41"/>
    <w:rsid w:val="007833AC"/>
    <w:rsid w:val="007A0511"/>
    <w:rsid w:val="007B5FB5"/>
    <w:rsid w:val="007B7171"/>
    <w:rsid w:val="007C3DC2"/>
    <w:rsid w:val="007E5497"/>
    <w:rsid w:val="00803E08"/>
    <w:rsid w:val="00806F5F"/>
    <w:rsid w:val="00820278"/>
    <w:rsid w:val="008604A7"/>
    <w:rsid w:val="008843B6"/>
    <w:rsid w:val="00886096"/>
    <w:rsid w:val="00887CAE"/>
    <w:rsid w:val="00891928"/>
    <w:rsid w:val="008A083E"/>
    <w:rsid w:val="008A446D"/>
    <w:rsid w:val="008A593D"/>
    <w:rsid w:val="008B1166"/>
    <w:rsid w:val="008F0EA7"/>
    <w:rsid w:val="008F14D3"/>
    <w:rsid w:val="008F21C0"/>
    <w:rsid w:val="00923EEF"/>
    <w:rsid w:val="009419F9"/>
    <w:rsid w:val="00947FDD"/>
    <w:rsid w:val="00961B09"/>
    <w:rsid w:val="00965334"/>
    <w:rsid w:val="0097093E"/>
    <w:rsid w:val="0099001C"/>
    <w:rsid w:val="009B3FF7"/>
    <w:rsid w:val="009C1E87"/>
    <w:rsid w:val="009C71FA"/>
    <w:rsid w:val="009C72E7"/>
    <w:rsid w:val="00A17F13"/>
    <w:rsid w:val="00A20739"/>
    <w:rsid w:val="00A244A3"/>
    <w:rsid w:val="00A33C78"/>
    <w:rsid w:val="00A41226"/>
    <w:rsid w:val="00A76487"/>
    <w:rsid w:val="00AB0ADB"/>
    <w:rsid w:val="00AE41B0"/>
    <w:rsid w:val="00B30CBF"/>
    <w:rsid w:val="00B35D16"/>
    <w:rsid w:val="00B46236"/>
    <w:rsid w:val="00B72CD3"/>
    <w:rsid w:val="00B72FFF"/>
    <w:rsid w:val="00BA5C06"/>
    <w:rsid w:val="00BB7DFF"/>
    <w:rsid w:val="00BC682E"/>
    <w:rsid w:val="00BD7F72"/>
    <w:rsid w:val="00BE3181"/>
    <w:rsid w:val="00BE4F1B"/>
    <w:rsid w:val="00BE65AA"/>
    <w:rsid w:val="00BF0C53"/>
    <w:rsid w:val="00BF4E4D"/>
    <w:rsid w:val="00C04FB3"/>
    <w:rsid w:val="00C16228"/>
    <w:rsid w:val="00C20D32"/>
    <w:rsid w:val="00C330EB"/>
    <w:rsid w:val="00C754BE"/>
    <w:rsid w:val="00C85F95"/>
    <w:rsid w:val="00C95BEB"/>
    <w:rsid w:val="00CA3CF7"/>
    <w:rsid w:val="00CB6357"/>
    <w:rsid w:val="00CC0B9B"/>
    <w:rsid w:val="00CC1B26"/>
    <w:rsid w:val="00CC4902"/>
    <w:rsid w:val="00CE7465"/>
    <w:rsid w:val="00CF2DCE"/>
    <w:rsid w:val="00D423A2"/>
    <w:rsid w:val="00D63AC2"/>
    <w:rsid w:val="00D670A0"/>
    <w:rsid w:val="00D7383B"/>
    <w:rsid w:val="00D86F73"/>
    <w:rsid w:val="00D9622C"/>
    <w:rsid w:val="00DA231B"/>
    <w:rsid w:val="00DA64FE"/>
    <w:rsid w:val="00DC79F5"/>
    <w:rsid w:val="00DE33A8"/>
    <w:rsid w:val="00DF1B44"/>
    <w:rsid w:val="00E16408"/>
    <w:rsid w:val="00E20894"/>
    <w:rsid w:val="00E245AB"/>
    <w:rsid w:val="00E50AFE"/>
    <w:rsid w:val="00E546F8"/>
    <w:rsid w:val="00E771DC"/>
    <w:rsid w:val="00E777BA"/>
    <w:rsid w:val="00E8772A"/>
    <w:rsid w:val="00E90F6B"/>
    <w:rsid w:val="00E92C27"/>
    <w:rsid w:val="00EA0E3D"/>
    <w:rsid w:val="00EB048C"/>
    <w:rsid w:val="00EB2705"/>
    <w:rsid w:val="00EB5605"/>
    <w:rsid w:val="00EE1AA8"/>
    <w:rsid w:val="00EE1C26"/>
    <w:rsid w:val="00EE2496"/>
    <w:rsid w:val="00EE3C50"/>
    <w:rsid w:val="00EE58F5"/>
    <w:rsid w:val="00F029C1"/>
    <w:rsid w:val="00F12EEE"/>
    <w:rsid w:val="00F204AB"/>
    <w:rsid w:val="00F26011"/>
    <w:rsid w:val="00F31EDC"/>
    <w:rsid w:val="00F44F31"/>
    <w:rsid w:val="00F458C0"/>
    <w:rsid w:val="00F5664F"/>
    <w:rsid w:val="00F676F6"/>
    <w:rsid w:val="00F76AFC"/>
    <w:rsid w:val="00F81263"/>
    <w:rsid w:val="00F91A42"/>
    <w:rsid w:val="00F941B0"/>
    <w:rsid w:val="00FB35B5"/>
    <w:rsid w:val="00FB5DD1"/>
    <w:rsid w:val="00FC2B5D"/>
    <w:rsid w:val="00FC65CA"/>
    <w:rsid w:val="00FD22F9"/>
    <w:rsid w:val="00FD7F41"/>
    <w:rsid w:val="00FE2950"/>
    <w:rsid w:val="00FE63DC"/>
    <w:rsid w:val="00FF1449"/>
    <w:rsid w:val="5411EC76"/>
    <w:rsid w:val="7BE23E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paragraph" w:styleId="Ttulo2">
    <w:name w:val="heading 2"/>
    <w:basedOn w:val="Normal"/>
    <w:link w:val="Ttulo2Car"/>
    <w:uiPriority w:val="1"/>
    <w:qFormat/>
    <w:rsid w:val="00803E08"/>
    <w:pPr>
      <w:widowControl w:val="0"/>
      <w:autoSpaceDE w:val="0"/>
      <w:autoSpaceDN w:val="0"/>
      <w:spacing w:after="0" w:line="240" w:lineRule="auto"/>
      <w:ind w:left="300"/>
      <w:jc w:val="both"/>
      <w:outlineLvl w:val="1"/>
    </w:pPr>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semiHidden/>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NormalWeb">
    <w:name w:val="Normal (Web)"/>
    <w:basedOn w:val="Normal"/>
    <w:uiPriority w:val="99"/>
    <w:unhideWhenUsed/>
    <w:rsid w:val="0099001C"/>
    <w:rPr>
      <w:rFonts w:ascii="Times New Roman" w:hAnsi="Times New Roman" w:cs="Times New Roman"/>
      <w:sz w:val="24"/>
      <w:szCs w:val="24"/>
    </w:rPr>
  </w:style>
  <w:style w:type="table" w:customStyle="1" w:styleId="Tablaconcuadrcula1">
    <w:name w:val="Tabla con cuadrícula1"/>
    <w:basedOn w:val="Tablanormal"/>
    <w:next w:val="Tablaconcuadrcula"/>
    <w:uiPriority w:val="39"/>
    <w:qFormat/>
    <w:rsid w:val="0099001C"/>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99001C"/>
    <w:pPr>
      <w:spacing w:line="240" w:lineRule="exact"/>
      <w:jc w:val="both"/>
    </w:pPr>
    <w:rPr>
      <w:vertAlign w:val="superscript"/>
    </w:rPr>
  </w:style>
  <w:style w:type="character" w:customStyle="1" w:styleId="Ttulo2Car">
    <w:name w:val="Título 2 Car"/>
    <w:basedOn w:val="Fuentedeprrafopredeter"/>
    <w:link w:val="Ttulo2"/>
    <w:uiPriority w:val="1"/>
    <w:rsid w:val="00803E08"/>
    <w:rPr>
      <w:rFonts w:ascii="Arial" w:eastAsia="Arial" w:hAnsi="Arial" w:cs="Arial"/>
      <w:lang w:val="es-ES"/>
    </w:rPr>
  </w:style>
  <w:style w:type="paragraph" w:styleId="Revisin">
    <w:name w:val="Revision"/>
    <w:hidden/>
    <w:uiPriority w:val="99"/>
    <w:semiHidden/>
    <w:rsid w:val="00803E08"/>
    <w:pPr>
      <w:spacing w:after="0" w:line="240" w:lineRule="auto"/>
    </w:pPr>
  </w:style>
  <w:style w:type="character" w:styleId="Textoennegrita">
    <w:name w:val="Strong"/>
    <w:basedOn w:val="Fuentedeprrafopredeter"/>
    <w:uiPriority w:val="22"/>
    <w:qFormat/>
    <w:rsid w:val="00803E08"/>
    <w:rPr>
      <w:b/>
      <w:bCs/>
    </w:rPr>
  </w:style>
  <w:style w:type="character" w:styleId="nfasis">
    <w:name w:val="Emphasis"/>
    <w:basedOn w:val="Fuentedeprrafopredeter"/>
    <w:uiPriority w:val="20"/>
    <w:qFormat/>
    <w:rsid w:val="00803E08"/>
    <w:rPr>
      <w:i/>
      <w:iCs/>
    </w:rPr>
  </w:style>
  <w:style w:type="paragraph" w:styleId="Textoindependiente">
    <w:name w:val="Body Text"/>
    <w:basedOn w:val="Normal"/>
    <w:link w:val="TextoindependienteCar"/>
    <w:uiPriority w:val="1"/>
    <w:qFormat/>
    <w:rsid w:val="00803E08"/>
    <w:pPr>
      <w:widowControl w:val="0"/>
      <w:autoSpaceDE w:val="0"/>
      <w:autoSpaceDN w:val="0"/>
      <w:spacing w:after="0" w:line="240" w:lineRule="auto"/>
    </w:pPr>
    <w:rPr>
      <w:rFonts w:ascii="Arial" w:eastAsia="Arial" w:hAnsi="Arial" w:cs="Arial"/>
      <w:sz w:val="21"/>
      <w:szCs w:val="21"/>
      <w:lang w:val="es-ES"/>
    </w:rPr>
  </w:style>
  <w:style w:type="character" w:customStyle="1" w:styleId="TextoindependienteCar">
    <w:name w:val="Texto independiente Car"/>
    <w:basedOn w:val="Fuentedeprrafopredeter"/>
    <w:link w:val="Textoindependiente"/>
    <w:uiPriority w:val="1"/>
    <w:rsid w:val="00803E08"/>
    <w:rPr>
      <w:rFonts w:ascii="Arial" w:eastAsia="Arial" w:hAnsi="Arial" w:cs="Arial"/>
      <w:sz w:val="21"/>
      <w:szCs w:val="21"/>
      <w:lang w:val="es-ES"/>
    </w:rPr>
  </w:style>
  <w:style w:type="character" w:customStyle="1" w:styleId="toctoggle">
    <w:name w:val="toctoggle"/>
    <w:basedOn w:val="Fuentedeprrafopredeter"/>
    <w:rsid w:val="00803E08"/>
  </w:style>
  <w:style w:type="character" w:styleId="Refdecomentario">
    <w:name w:val="annotation reference"/>
    <w:basedOn w:val="Fuentedeprrafopredeter"/>
    <w:uiPriority w:val="99"/>
    <w:semiHidden/>
    <w:unhideWhenUsed/>
    <w:rsid w:val="00803E08"/>
    <w:rPr>
      <w:sz w:val="16"/>
      <w:szCs w:val="16"/>
    </w:rPr>
  </w:style>
  <w:style w:type="paragraph" w:styleId="Textocomentario">
    <w:name w:val="annotation text"/>
    <w:basedOn w:val="Normal"/>
    <w:link w:val="TextocomentarioCar"/>
    <w:uiPriority w:val="99"/>
    <w:unhideWhenUsed/>
    <w:rsid w:val="00803E08"/>
    <w:pPr>
      <w:spacing w:line="240" w:lineRule="auto"/>
    </w:pPr>
    <w:rPr>
      <w:sz w:val="20"/>
      <w:szCs w:val="20"/>
    </w:rPr>
  </w:style>
  <w:style w:type="character" w:customStyle="1" w:styleId="TextocomentarioCar">
    <w:name w:val="Texto comentario Car"/>
    <w:basedOn w:val="Fuentedeprrafopredeter"/>
    <w:link w:val="Textocomentario"/>
    <w:uiPriority w:val="99"/>
    <w:rsid w:val="00803E08"/>
    <w:rPr>
      <w:sz w:val="20"/>
      <w:szCs w:val="20"/>
    </w:rPr>
  </w:style>
  <w:style w:type="paragraph" w:styleId="Asuntodelcomentario">
    <w:name w:val="annotation subject"/>
    <w:basedOn w:val="Textocomentario"/>
    <w:next w:val="Textocomentario"/>
    <w:link w:val="AsuntodelcomentarioCar"/>
    <w:uiPriority w:val="99"/>
    <w:semiHidden/>
    <w:unhideWhenUsed/>
    <w:rsid w:val="00803E08"/>
    <w:rPr>
      <w:b/>
      <w:bCs/>
    </w:rPr>
  </w:style>
  <w:style w:type="character" w:customStyle="1" w:styleId="AsuntodelcomentarioCar">
    <w:name w:val="Asunto del comentario Car"/>
    <w:basedOn w:val="TextocomentarioCar"/>
    <w:link w:val="Asuntodelcomentario"/>
    <w:uiPriority w:val="99"/>
    <w:semiHidden/>
    <w:rsid w:val="00803E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0108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354460966">
      <w:bodyDiv w:val="1"/>
      <w:marLeft w:val="0"/>
      <w:marRight w:val="0"/>
      <w:marTop w:val="0"/>
      <w:marBottom w:val="0"/>
      <w:divBdr>
        <w:top w:val="none" w:sz="0" w:space="0" w:color="auto"/>
        <w:left w:val="none" w:sz="0" w:space="0" w:color="auto"/>
        <w:bottom w:val="none" w:sz="0" w:space="0" w:color="auto"/>
        <w:right w:val="none" w:sz="0" w:space="0" w:color="auto"/>
      </w:divBdr>
    </w:div>
    <w:div w:id="1441678188">
      <w:bodyDiv w:val="1"/>
      <w:marLeft w:val="0"/>
      <w:marRight w:val="0"/>
      <w:marTop w:val="0"/>
      <w:marBottom w:val="0"/>
      <w:divBdr>
        <w:top w:val="none" w:sz="0" w:space="0" w:color="auto"/>
        <w:left w:val="none" w:sz="0" w:space="0" w:color="auto"/>
        <w:bottom w:val="none" w:sz="0" w:space="0" w:color="auto"/>
        <w:right w:val="none" w:sz="0" w:space="0" w:color="auto"/>
      </w:divBdr>
      <w:divsChild>
        <w:div w:id="5644853">
          <w:marLeft w:val="0"/>
          <w:marRight w:val="0"/>
          <w:marTop w:val="0"/>
          <w:marBottom w:val="0"/>
          <w:divBdr>
            <w:top w:val="none" w:sz="0" w:space="0" w:color="auto"/>
            <w:left w:val="none" w:sz="0" w:space="0" w:color="auto"/>
            <w:bottom w:val="none" w:sz="0" w:space="0" w:color="auto"/>
            <w:right w:val="none" w:sz="0" w:space="0" w:color="auto"/>
          </w:divBdr>
        </w:div>
        <w:div w:id="68307955">
          <w:marLeft w:val="0"/>
          <w:marRight w:val="0"/>
          <w:marTop w:val="0"/>
          <w:marBottom w:val="0"/>
          <w:divBdr>
            <w:top w:val="none" w:sz="0" w:space="0" w:color="auto"/>
            <w:left w:val="none" w:sz="0" w:space="0" w:color="auto"/>
            <w:bottom w:val="none" w:sz="0" w:space="0" w:color="auto"/>
            <w:right w:val="none" w:sz="0" w:space="0" w:color="auto"/>
          </w:divBdr>
        </w:div>
        <w:div w:id="216549478">
          <w:marLeft w:val="0"/>
          <w:marRight w:val="0"/>
          <w:marTop w:val="0"/>
          <w:marBottom w:val="0"/>
          <w:divBdr>
            <w:top w:val="none" w:sz="0" w:space="0" w:color="auto"/>
            <w:left w:val="none" w:sz="0" w:space="0" w:color="auto"/>
            <w:bottom w:val="none" w:sz="0" w:space="0" w:color="auto"/>
            <w:right w:val="none" w:sz="0" w:space="0" w:color="auto"/>
          </w:divBdr>
        </w:div>
        <w:div w:id="262034690">
          <w:marLeft w:val="0"/>
          <w:marRight w:val="0"/>
          <w:marTop w:val="0"/>
          <w:marBottom w:val="0"/>
          <w:divBdr>
            <w:top w:val="none" w:sz="0" w:space="0" w:color="auto"/>
            <w:left w:val="none" w:sz="0" w:space="0" w:color="auto"/>
            <w:bottom w:val="none" w:sz="0" w:space="0" w:color="auto"/>
            <w:right w:val="none" w:sz="0" w:space="0" w:color="auto"/>
          </w:divBdr>
        </w:div>
        <w:div w:id="850536017">
          <w:marLeft w:val="0"/>
          <w:marRight w:val="0"/>
          <w:marTop w:val="0"/>
          <w:marBottom w:val="0"/>
          <w:divBdr>
            <w:top w:val="none" w:sz="0" w:space="0" w:color="auto"/>
            <w:left w:val="none" w:sz="0" w:space="0" w:color="auto"/>
            <w:bottom w:val="none" w:sz="0" w:space="0" w:color="auto"/>
            <w:right w:val="none" w:sz="0" w:space="0" w:color="auto"/>
          </w:divBdr>
        </w:div>
        <w:div w:id="1078210669">
          <w:marLeft w:val="0"/>
          <w:marRight w:val="0"/>
          <w:marTop w:val="0"/>
          <w:marBottom w:val="0"/>
          <w:divBdr>
            <w:top w:val="none" w:sz="0" w:space="0" w:color="auto"/>
            <w:left w:val="none" w:sz="0" w:space="0" w:color="auto"/>
            <w:bottom w:val="none" w:sz="0" w:space="0" w:color="auto"/>
            <w:right w:val="none" w:sz="0" w:space="0" w:color="auto"/>
          </w:divBdr>
        </w:div>
        <w:div w:id="1340698650">
          <w:marLeft w:val="0"/>
          <w:marRight w:val="0"/>
          <w:marTop w:val="0"/>
          <w:marBottom w:val="0"/>
          <w:divBdr>
            <w:top w:val="none" w:sz="0" w:space="0" w:color="auto"/>
            <w:left w:val="none" w:sz="0" w:space="0" w:color="auto"/>
            <w:bottom w:val="none" w:sz="0" w:space="0" w:color="auto"/>
            <w:right w:val="none" w:sz="0" w:space="0" w:color="auto"/>
          </w:divBdr>
        </w:div>
        <w:div w:id="1700661455">
          <w:marLeft w:val="0"/>
          <w:marRight w:val="0"/>
          <w:marTop w:val="0"/>
          <w:marBottom w:val="0"/>
          <w:divBdr>
            <w:top w:val="none" w:sz="0" w:space="0" w:color="auto"/>
            <w:left w:val="none" w:sz="0" w:space="0" w:color="auto"/>
            <w:bottom w:val="none" w:sz="0" w:space="0" w:color="auto"/>
            <w:right w:val="none" w:sz="0" w:space="0" w:color="auto"/>
          </w:divBdr>
        </w:div>
        <w:div w:id="2123956444">
          <w:marLeft w:val="0"/>
          <w:marRight w:val="0"/>
          <w:marTop w:val="0"/>
          <w:marBottom w:val="0"/>
          <w:divBdr>
            <w:top w:val="none" w:sz="0" w:space="0" w:color="auto"/>
            <w:left w:val="none" w:sz="0" w:space="0" w:color="auto"/>
            <w:bottom w:val="none" w:sz="0" w:space="0" w:color="auto"/>
            <w:right w:val="none" w:sz="0" w:space="0" w:color="auto"/>
          </w:divBdr>
        </w:div>
      </w:divsChild>
    </w:div>
    <w:div w:id="178187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documents/cce_manual_requisitos_habilitantes.pdf" TargetMode="External"/><Relationship Id="rId1" Type="http://schemas.openxmlformats.org/officeDocument/2006/relationships/hyperlink" Target="https://www.colombiacompra.gov.co/sites/cce_public/files/cce_documentos/cce-eicp-gi-18._gees_v.2_2.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71219D-14E7-4F2E-AFD1-7DA582DFC91E}">
  <ds:schemaRefs>
    <ds:schemaRef ds:uri="http://schemas.openxmlformats.org/officeDocument/2006/bibliography"/>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4.xml><?xml version="1.0" encoding="utf-8"?>
<ds:datastoreItem xmlns:ds="http://schemas.openxmlformats.org/officeDocument/2006/customXml" ds:itemID="{7C230003-3A7D-40C3-9F0F-03B62C2A1D99}"/>
</file>

<file path=docProps/app.xml><?xml version="1.0" encoding="utf-8"?>
<Properties xmlns="http://schemas.openxmlformats.org/officeDocument/2006/extended-properties" xmlns:vt="http://schemas.openxmlformats.org/officeDocument/2006/docPropsVTypes">
  <Template>Normal</Template>
  <TotalTime>5</TotalTime>
  <Pages>15</Pages>
  <Words>5244</Words>
  <Characters>28848</Characters>
  <Application>Microsoft Office Word</Application>
  <DocSecurity>0</DocSecurity>
  <Lines>240</Lines>
  <Paragraphs>68</Paragraphs>
  <ScaleCrop>false</ScaleCrop>
  <Company/>
  <LinksUpToDate>false</LinksUpToDate>
  <CharactersWithSpaces>34024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Kevin Arlid Herrera Santa</cp:lastModifiedBy>
  <cp:revision>6</cp:revision>
  <cp:lastPrinted>2023-01-10T21:18:00Z</cp:lastPrinted>
  <dcterms:created xsi:type="dcterms:W3CDTF">2023-08-28T21:02:00Z</dcterms:created>
  <dcterms:modified xsi:type="dcterms:W3CDTF">2023-08-28T21:06:00Z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