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BC5BC5" w:rsidR="00B471FA" w:rsidP="00B471FA" w:rsidRDefault="00B471FA" w14:paraId="76FBB242" w14:textId="77777777">
      <w:pPr>
        <w:pStyle w:val="paragraph"/>
        <w:spacing w:before="0" w:beforeAutospacing="0" w:after="0" w:afterAutospacing="0"/>
        <w:jc w:val="both"/>
        <w:textAlignment w:val="baseline"/>
        <w:rPr>
          <w:rFonts w:ascii="Century Gothic" w:hAnsi="Century Gothic" w:cs="Segoe UI"/>
          <w:sz w:val="18"/>
          <w:szCs w:val="18"/>
        </w:rPr>
      </w:pPr>
      <w:bookmarkStart w:name="_Hlk96417464" w:id="0"/>
      <w:bookmarkStart w:name="_Hlk120036210" w:id="1"/>
      <w:bookmarkStart w:name="_Hlk98867631" w:id="2"/>
      <w:bookmarkStart w:name="_Hlk99546921" w:id="3"/>
      <w:bookmarkStart w:name="_Hlk34951122" w:id="4"/>
      <w:r w:rsidRPr="00BC5BC5">
        <w:rPr>
          <w:rStyle w:val="normaltextrun"/>
          <w:rFonts w:ascii="Century Gothic" w:hAnsi="Century Gothic" w:cs="Arial"/>
          <w:b/>
          <w:bCs/>
          <w:sz w:val="22"/>
          <w:szCs w:val="22"/>
          <w:lang w:val="es-ES"/>
        </w:rPr>
        <w:t>LEY DE GARANTÍAS ELECTORALES – Definición – Finalidad </w:t>
      </w:r>
      <w:r w:rsidRPr="00BC5BC5">
        <w:rPr>
          <w:rStyle w:val="eop"/>
          <w:rFonts w:ascii="Century Gothic" w:hAnsi="Century Gothic" w:cs="Arial"/>
          <w:sz w:val="22"/>
          <w:szCs w:val="22"/>
        </w:rPr>
        <w:t> </w:t>
      </w:r>
    </w:p>
    <w:p w:rsidRPr="00BC5BC5" w:rsidR="00B471FA" w:rsidP="00B471FA" w:rsidRDefault="00B471FA" w14:paraId="30F29393" w14:textId="77777777">
      <w:pPr>
        <w:pStyle w:val="paragraph"/>
        <w:spacing w:before="0" w:beforeAutospacing="0" w:after="0" w:afterAutospacing="0"/>
        <w:jc w:val="both"/>
        <w:textAlignment w:val="baseline"/>
        <w:rPr>
          <w:rFonts w:ascii="Century Gothic" w:hAnsi="Century Gothic" w:cs="Segoe UI"/>
          <w:sz w:val="18"/>
          <w:szCs w:val="18"/>
        </w:rPr>
      </w:pPr>
      <w:r w:rsidRPr="00BC5BC5">
        <w:rPr>
          <w:rStyle w:val="eop"/>
          <w:rFonts w:ascii="Century Gothic" w:hAnsi="Century Gothic" w:cs="Arial"/>
          <w:sz w:val="21"/>
          <w:szCs w:val="21"/>
        </w:rPr>
        <w:t> </w:t>
      </w:r>
    </w:p>
    <w:p w:rsidRPr="00AC653C" w:rsidR="00B471FA" w:rsidP="00B471FA" w:rsidRDefault="00B471FA" w14:paraId="65144325" w14:textId="77777777">
      <w:pPr>
        <w:pStyle w:val="paragraph"/>
        <w:spacing w:before="0" w:beforeAutospacing="0" w:after="0" w:afterAutospacing="0"/>
        <w:jc w:val="both"/>
        <w:textAlignment w:val="baseline"/>
        <w:rPr>
          <w:rFonts w:ascii="Arial" w:hAnsi="Arial" w:cs="Arial"/>
          <w:sz w:val="20"/>
          <w:szCs w:val="20"/>
        </w:rPr>
      </w:pPr>
      <w:r w:rsidRPr="00AC653C">
        <w:rPr>
          <w:rStyle w:val="normaltextrun"/>
          <w:rFonts w:ascii="Arial" w:hAnsi="Arial" w:cs="Arial"/>
          <w:sz w:val="20"/>
          <w:szCs w:val="20"/>
          <w:lang w:val="es-ES"/>
        </w:rPr>
        <w:t xml:space="preserve">[…] </w:t>
      </w:r>
      <w:r w:rsidRPr="00AC653C">
        <w:rPr>
          <w:rStyle w:val="normaltextrun"/>
          <w:rFonts w:ascii="Arial" w:hAnsi="Arial" w:cs="Arial"/>
          <w:sz w:val="20"/>
          <w:szCs w:val="20"/>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AC653C">
        <w:rPr>
          <w:rStyle w:val="normaltextrun"/>
          <w:rFonts w:ascii="Arial" w:hAnsi="Arial" w:cs="Arial"/>
          <w:sz w:val="20"/>
          <w:szCs w:val="20"/>
          <w:lang w:val="es-ES"/>
        </w:rPr>
        <w:t xml:space="preserve"> […]</w:t>
      </w:r>
      <w:r w:rsidRPr="00AC653C">
        <w:rPr>
          <w:rStyle w:val="eop"/>
          <w:rFonts w:ascii="Arial" w:hAnsi="Arial" w:cs="Arial"/>
          <w:sz w:val="20"/>
          <w:szCs w:val="20"/>
        </w:rPr>
        <w:t> </w:t>
      </w:r>
    </w:p>
    <w:p w:rsidRPr="00AC653C" w:rsidR="00B471FA" w:rsidP="00B471FA" w:rsidRDefault="00B471FA" w14:paraId="5560CCFD" w14:textId="77777777">
      <w:pPr>
        <w:pStyle w:val="paragraph"/>
        <w:spacing w:before="0" w:beforeAutospacing="0" w:after="0" w:afterAutospacing="0"/>
        <w:jc w:val="both"/>
        <w:textAlignment w:val="baseline"/>
        <w:rPr>
          <w:rFonts w:ascii="Arial" w:hAnsi="Arial" w:cs="Arial"/>
          <w:sz w:val="20"/>
          <w:szCs w:val="20"/>
        </w:rPr>
      </w:pPr>
      <w:r w:rsidRPr="00AC653C">
        <w:rPr>
          <w:rStyle w:val="eop"/>
          <w:rFonts w:ascii="Arial" w:hAnsi="Arial" w:cs="Arial"/>
          <w:sz w:val="20"/>
          <w:szCs w:val="20"/>
        </w:rPr>
        <w:t> </w:t>
      </w:r>
    </w:p>
    <w:p w:rsidRPr="00AC653C" w:rsidR="00B471FA" w:rsidP="00B471FA" w:rsidRDefault="00B471FA" w14:paraId="7DA4EAFC" w14:textId="77777777">
      <w:pPr>
        <w:pStyle w:val="paragraph"/>
        <w:spacing w:before="0" w:beforeAutospacing="0" w:after="0" w:afterAutospacing="0"/>
        <w:jc w:val="both"/>
        <w:textAlignment w:val="baseline"/>
        <w:rPr>
          <w:rFonts w:ascii="Arial" w:hAnsi="Arial" w:cs="Arial"/>
          <w:sz w:val="20"/>
          <w:szCs w:val="20"/>
        </w:rPr>
      </w:pPr>
      <w:r w:rsidRPr="00AC653C">
        <w:rPr>
          <w:rStyle w:val="normaltextrun"/>
          <w:rFonts w:ascii="Arial" w:hAnsi="Arial" w:cs="Arial"/>
          <w:sz w:val="20"/>
          <w:szCs w:val="20"/>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sidRPr="00AC653C">
        <w:rPr>
          <w:rStyle w:val="eop"/>
          <w:rFonts w:ascii="Arial" w:hAnsi="Arial" w:cs="Arial"/>
          <w:sz w:val="20"/>
          <w:szCs w:val="20"/>
        </w:rPr>
        <w:t> </w:t>
      </w:r>
    </w:p>
    <w:p w:rsidRPr="00BC5BC5" w:rsidR="00B471FA" w:rsidP="00B471FA" w:rsidRDefault="00B471FA" w14:paraId="3AD7C706" w14:textId="77777777">
      <w:pPr>
        <w:pStyle w:val="paragraph"/>
        <w:spacing w:before="0" w:beforeAutospacing="0" w:after="0" w:afterAutospacing="0"/>
        <w:jc w:val="both"/>
        <w:textAlignment w:val="baseline"/>
        <w:rPr>
          <w:rFonts w:ascii="Century Gothic" w:hAnsi="Century Gothic" w:cs="Segoe UI"/>
          <w:sz w:val="18"/>
          <w:szCs w:val="18"/>
        </w:rPr>
      </w:pPr>
      <w:r w:rsidRPr="00BC5BC5">
        <w:rPr>
          <w:rStyle w:val="eop"/>
          <w:rFonts w:ascii="Century Gothic" w:hAnsi="Century Gothic" w:cs="Arial"/>
          <w:sz w:val="21"/>
          <w:szCs w:val="21"/>
        </w:rPr>
        <w:t> </w:t>
      </w:r>
    </w:p>
    <w:p w:rsidRPr="00BC5BC5" w:rsidR="00B471FA" w:rsidP="00B471FA" w:rsidRDefault="00B471FA" w14:paraId="02FB063A" w14:textId="77777777">
      <w:pPr>
        <w:pStyle w:val="paragraph"/>
        <w:spacing w:before="0" w:beforeAutospacing="0" w:after="0" w:afterAutospacing="0"/>
        <w:jc w:val="both"/>
        <w:textAlignment w:val="baseline"/>
        <w:rPr>
          <w:rFonts w:ascii="Century Gothic" w:hAnsi="Century Gothic" w:cs="Segoe UI"/>
          <w:sz w:val="18"/>
          <w:szCs w:val="18"/>
        </w:rPr>
      </w:pPr>
      <w:r w:rsidRPr="00BC5BC5">
        <w:rPr>
          <w:rStyle w:val="normaltextrun"/>
          <w:rFonts w:ascii="Century Gothic" w:hAnsi="Century Gothic" w:cs="Arial"/>
          <w:b/>
          <w:bCs/>
          <w:sz w:val="22"/>
          <w:szCs w:val="22"/>
        </w:rPr>
        <w:t xml:space="preserve">LEY DE GARANTÍAS ELECTORALES </w:t>
      </w:r>
      <w:r w:rsidRPr="00BC5BC5">
        <w:rPr>
          <w:rStyle w:val="normaltextrun"/>
          <w:rFonts w:ascii="Arial" w:hAnsi="Arial" w:cs="Arial"/>
          <w:b/>
          <w:bCs/>
          <w:sz w:val="22"/>
          <w:szCs w:val="22"/>
        </w:rPr>
        <w:t>‒</w:t>
      </w:r>
      <w:r w:rsidRPr="00BC5BC5">
        <w:rPr>
          <w:rStyle w:val="normaltextrun"/>
          <w:rFonts w:ascii="Century Gothic" w:hAnsi="Century Gothic" w:cs="Arial"/>
          <w:b/>
          <w:bCs/>
          <w:sz w:val="22"/>
          <w:szCs w:val="22"/>
        </w:rPr>
        <w:t xml:space="preserve"> Instituciones Educativa – Convenios y contratos interadministrativos – Parágrafo del artículo 38</w:t>
      </w:r>
      <w:r w:rsidRPr="00BC5BC5">
        <w:rPr>
          <w:rStyle w:val="eop"/>
          <w:rFonts w:ascii="Century Gothic" w:hAnsi="Century Gothic" w:cs="Arial"/>
          <w:sz w:val="22"/>
          <w:szCs w:val="22"/>
        </w:rPr>
        <w:t xml:space="preserve"> - </w:t>
      </w:r>
    </w:p>
    <w:p w:rsidRPr="00BC5BC5" w:rsidR="00B471FA" w:rsidP="00B471FA" w:rsidRDefault="00B471FA" w14:paraId="732A98C3" w14:textId="77777777">
      <w:pPr>
        <w:pStyle w:val="paragraph"/>
        <w:spacing w:before="0" w:beforeAutospacing="0" w:after="0" w:afterAutospacing="0"/>
        <w:jc w:val="both"/>
        <w:textAlignment w:val="baseline"/>
        <w:rPr>
          <w:rFonts w:ascii="Century Gothic" w:hAnsi="Century Gothic" w:cs="Segoe UI"/>
          <w:sz w:val="18"/>
          <w:szCs w:val="18"/>
        </w:rPr>
      </w:pPr>
      <w:r w:rsidRPr="00BC5BC5">
        <w:rPr>
          <w:rStyle w:val="eop"/>
          <w:rFonts w:ascii="Century Gothic" w:hAnsi="Century Gothic" w:cs="Arial"/>
          <w:sz w:val="21"/>
          <w:szCs w:val="21"/>
        </w:rPr>
        <w:t> </w:t>
      </w:r>
    </w:p>
    <w:p w:rsidRPr="00BC5BC5" w:rsidR="00B471FA" w:rsidP="59521EFA" w:rsidRDefault="00B471FA" w14:paraId="03BB64BA" w14:textId="6CCD902F">
      <w:pPr>
        <w:spacing w:after="120" w:line="276" w:lineRule="auto"/>
        <w:ind/>
        <w:jc w:val="both"/>
        <w:rPr>
          <w:rFonts w:ascii="Arial" w:hAnsi="Arial" w:eastAsia="Times New Roman" w:cs="Arial"/>
          <w:sz w:val="20"/>
          <w:szCs w:val="20"/>
          <w:lang w:eastAsia="es-CO"/>
        </w:rPr>
      </w:pPr>
      <w:r w:rsidRPr="59521EFA" w:rsidR="00B471FA">
        <w:rPr>
          <w:rFonts w:ascii="Arial" w:hAnsi="Arial" w:eastAsia="Times New Roman" w:cs="Arial"/>
          <w:sz w:val="20"/>
          <w:szCs w:val="20"/>
          <w:lang w:eastAsia="es-CO"/>
        </w:rPr>
        <w:t xml:space="preserve">En este sentido, respecto a la restricción del artículo 38 de la Ley de Garantías se considera que los contratos celebrados con los administradores del fondo y </w:t>
      </w:r>
      <w:r w:rsidRPr="59521EFA" w:rsidR="00B471FA">
        <w:rPr>
          <w:rFonts w:ascii="Arial" w:hAnsi="Arial" w:eastAsia="Times New Roman" w:cs="Arial"/>
          <w:i w:val="1"/>
          <w:iCs w:val="1"/>
          <w:sz w:val="20"/>
          <w:szCs w:val="20"/>
          <w:lang w:eastAsia="es-CO"/>
        </w:rPr>
        <w:t>otras entidades públicas</w:t>
      </w:r>
      <w:r w:rsidRPr="59521EFA" w:rsidR="00B471FA">
        <w:rPr>
          <w:rFonts w:ascii="Arial" w:hAnsi="Arial" w:eastAsia="Times New Roman" w:cs="Arial"/>
          <w:sz w:val="20"/>
          <w:szCs w:val="20"/>
          <w:lang w:eastAsia="es-CO"/>
        </w:rPr>
        <w:t xml:space="preserve"> son contratos interadministrativos. En efecto, el citado artículo 2.2.1.2.1.4.4 del Decreto 1082 de 2015 califica a los convenios o contratos interadministrativos como aquella contratación entre entidades estatales. El concepto está definido en el artículo 2.2.1.1.1.3.1 </w:t>
      </w:r>
      <w:r w:rsidRPr="59521EFA" w:rsidR="00B471FA">
        <w:rPr>
          <w:rFonts w:ascii="Arial" w:hAnsi="Arial" w:eastAsia="Times New Roman" w:cs="Arial"/>
          <w:sz w:val="20"/>
          <w:szCs w:val="20"/>
          <w:lang w:eastAsia="es-CO"/>
        </w:rPr>
        <w:t>ibidem</w:t>
      </w:r>
      <w:r w:rsidRPr="59521EFA" w:rsidR="00B471FA">
        <w:rPr>
          <w:rFonts w:ascii="Arial" w:hAnsi="Arial" w:eastAsia="Times New Roman" w:cs="Arial"/>
          <w:sz w:val="20"/>
          <w:szCs w:val="20"/>
          <w:lang w:eastAsia="es-CO"/>
        </w:rPr>
        <w:t xml:space="preserve"> como: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 Aunque las instituciones educativas carecen de personería jurídica, tienen capacidad para contratar y se concreta en la competencia que le otorgó el legislador en la Ley 715 de 2001 para administrar los fondos de servicios educativos. Así, conforme al literal b) del artículo 2.1 de la Ley 80 de 1993, también se considera entidad estatal todos aquellos “[…] organismos o dependencias del Estado a los que la ley otorgue capacidad para celebrar contratos”. De modo que, le aplica la restricción establecida en el parágrafo del artículo 38 de la Ley de Garantías Electorales. </w:t>
      </w:r>
    </w:p>
    <w:p w:rsidR="59521EFA" w:rsidP="59521EFA" w:rsidRDefault="59521EFA" w14:paraId="38619C75" w14:textId="775C6A0C">
      <w:pPr>
        <w:pStyle w:val="Normal"/>
        <w:spacing w:after="120" w:line="276" w:lineRule="auto"/>
        <w:jc w:val="both"/>
        <w:rPr>
          <w:rFonts w:ascii="Arial" w:hAnsi="Arial" w:eastAsia="Times New Roman" w:cs="Arial"/>
          <w:sz w:val="20"/>
          <w:szCs w:val="20"/>
          <w:lang w:eastAsia="es-CO"/>
        </w:rPr>
      </w:pPr>
    </w:p>
    <w:p w:rsidRPr="00BC5BC5" w:rsidR="00B471FA" w:rsidP="59521EFA" w:rsidRDefault="00B471FA" w14:paraId="4713F176" w14:textId="77777777" w14:noSpellErr="1">
      <w:pPr>
        <w:tabs>
          <w:tab w:val="left" w:pos="426"/>
        </w:tabs>
        <w:jc w:val="both"/>
        <w:rPr>
          <w:rFonts w:ascii="Arial" w:hAnsi="Arial" w:eastAsia="Arial" w:cs="Arial"/>
          <w:b w:val="1"/>
          <w:bCs w:val="1"/>
          <w:color w:val="1A1A1A" w:themeColor="background1" w:themeShade="1A"/>
          <w:sz w:val="22"/>
          <w:szCs w:val="22"/>
          <w:lang w:val="es-ES"/>
        </w:rPr>
      </w:pPr>
      <w:r w:rsidRPr="59521EFA" w:rsidR="00B471FA">
        <w:rPr>
          <w:rFonts w:ascii="Arial" w:hAnsi="Arial" w:eastAsia="Arial" w:cs="Arial"/>
          <w:b w:val="1"/>
          <w:bCs w:val="1"/>
          <w:color w:val="1A1A1A"/>
          <w:sz w:val="22"/>
          <w:szCs w:val="22"/>
          <w:lang w:val="es-ES"/>
        </w:rPr>
        <w:t>INSTITUCIONES EDUCATIVAS OFICIAL</w:t>
      </w:r>
      <w:bookmarkStart w:name="_Hlk39676694" w:id="5"/>
      <w:r w:rsidRPr="59521EFA" w:rsidR="00B471FA">
        <w:rPr>
          <w:rFonts w:ascii="Arial" w:hAnsi="Arial" w:eastAsia="Arial" w:cs="Arial"/>
          <w:b w:val="1"/>
          <w:bCs w:val="1"/>
          <w:color w:val="1A1A1A"/>
          <w:sz w:val="22"/>
          <w:szCs w:val="22"/>
          <w:lang w:val="es-ES"/>
        </w:rPr>
        <w:t>ES –</w:t>
      </w:r>
      <w:bookmarkEnd w:id="5"/>
      <w:r w:rsidRPr="59521EFA" w:rsidR="00B471FA">
        <w:rPr>
          <w:rFonts w:ascii="Arial" w:hAnsi="Arial" w:eastAsia="Arial" w:cs="Arial"/>
          <w:b w:val="1"/>
          <w:bCs w:val="1"/>
          <w:color w:val="1A1A1A"/>
          <w:sz w:val="22"/>
          <w:szCs w:val="22"/>
          <w:lang w:val="es-ES"/>
        </w:rPr>
        <w:t xml:space="preserve"> Naturaleza jurídica – Capacidad para contratar – Compra pública</w:t>
      </w:r>
    </w:p>
    <w:p w:rsidRPr="00BC5BC5" w:rsidR="00B471FA" w:rsidP="00B471FA" w:rsidRDefault="00B471FA" w14:paraId="6323170E" w14:textId="77777777">
      <w:pPr>
        <w:tabs>
          <w:tab w:val="left" w:pos="426"/>
        </w:tabs>
        <w:jc w:val="both"/>
        <w:rPr>
          <w:rFonts w:ascii="Century Gothic" w:hAnsi="Century Gothic" w:eastAsia="Calibri" w:cs="Arial"/>
          <w:b/>
          <w:sz w:val="20"/>
          <w:szCs w:val="20"/>
        </w:rPr>
      </w:pPr>
    </w:p>
    <w:p w:rsidRPr="00BC5BC5" w:rsidR="00B471FA" w:rsidP="59521EFA" w:rsidRDefault="00B471FA" w14:paraId="54385019" w14:textId="77777777" w14:noSpellErr="1">
      <w:pPr>
        <w:spacing w:after="120"/>
        <w:jc w:val="both"/>
        <w:rPr>
          <w:rFonts w:ascii="Arial" w:hAnsi="Arial" w:eastAsia="Arial" w:cs="Arial"/>
          <w:sz w:val="20"/>
          <w:szCs w:val="20"/>
        </w:rPr>
      </w:pPr>
      <w:r w:rsidRPr="59521EFA" w:rsidR="00B471FA">
        <w:rPr>
          <w:rFonts w:ascii="Arial" w:hAnsi="Arial" w:eastAsia="Arial" w:cs="Arial"/>
          <w:sz w:val="20"/>
          <w:szCs w:val="20"/>
        </w:rPr>
        <w:t>Las Leyes 60 de 1993 y 715 de 2001 descentralizaron el sistema educativo en Colombia, asignándoles a los departamentos, distritos y municipios las competencias y los recursos económicos para dirigir las instituciones educativas. Así las cosas, el sistema educativo está descentralizado por las competencias propias otorgadas a las entidades territoriales para administrar las instituciones educativas en los diferentes niveles territoriales, sin que estas últimas sean entidades descentralizadas.</w:t>
      </w:r>
    </w:p>
    <w:p w:rsidRPr="00BC5BC5" w:rsidR="00B471FA" w:rsidP="59521EFA" w:rsidRDefault="00B471FA" w14:paraId="0F65AB06" w14:textId="77777777" w14:noSpellErr="1">
      <w:pPr>
        <w:pStyle w:val="Textoindependiente"/>
        <w:jc w:val="both"/>
        <w:rPr>
          <w:rFonts w:ascii="Arial" w:hAnsi="Arial" w:eastAsia="Arial" w:cs="Arial"/>
          <w:sz w:val="20"/>
          <w:szCs w:val="20"/>
        </w:rPr>
      </w:pPr>
      <w:r w:rsidRPr="59521EFA" w:rsidR="00B471FA">
        <w:rPr>
          <w:rFonts w:ascii="Arial" w:hAnsi="Arial" w:eastAsia="Arial" w:cs="Arial"/>
          <w:sz w:val="20"/>
          <w:szCs w:val="20"/>
        </w:rPr>
        <w:t>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Estas son cuentas contables que le permiten a las instituciones realizar la gestión y ejecución presupuestal de los recursos que reciben los establecimientos educativos.</w:t>
      </w:r>
    </w:p>
    <w:p w:rsidRPr="00BC5BC5" w:rsidR="00B471FA" w:rsidP="59521EFA" w:rsidRDefault="00B471FA" w14:paraId="4A5EB3C9" w14:textId="77777777" w14:noSpellErr="1">
      <w:pPr>
        <w:pStyle w:val="paragraph"/>
        <w:spacing w:before="0" w:beforeAutospacing="off" w:after="0" w:afterAutospacing="off"/>
        <w:jc w:val="both"/>
        <w:textAlignment w:val="baseline"/>
        <w:rPr>
          <w:rFonts w:ascii="Arial" w:hAnsi="Arial" w:eastAsia="Arial" w:cs="Arial"/>
          <w:sz w:val="18"/>
          <w:szCs w:val="18"/>
          <w:lang w:val="es-ES"/>
        </w:rPr>
      </w:pPr>
    </w:p>
    <w:p w:rsidRPr="00BC5BC5" w:rsidR="00B471FA" w:rsidP="59521EFA" w:rsidRDefault="00B471FA" w14:paraId="2E23FF1C" w14:textId="77777777" w14:noSpellErr="1">
      <w:pPr>
        <w:spacing/>
        <w:contextualSpacing/>
        <w:jc w:val="both"/>
        <w:rPr>
          <w:rFonts w:ascii="Arial" w:hAnsi="Arial" w:eastAsia="Arial" w:cs="Arial"/>
        </w:rPr>
      </w:pPr>
    </w:p>
    <w:p w:rsidRPr="00BC5BC5" w:rsidR="00B471FA" w:rsidP="59521EFA" w:rsidRDefault="00B471FA" w14:paraId="48558182" w14:noSpellErr="1" w14:textId="2D749840">
      <w:pPr>
        <w:pStyle w:val="Normal"/>
        <w:spacing/>
        <w:contextualSpacing/>
        <w:jc w:val="both"/>
        <w:rPr>
          <w:rFonts w:ascii="Arial" w:hAnsi="Arial" w:eastAsia="Arial" w:cs="Arial"/>
        </w:rPr>
      </w:pPr>
      <w:bookmarkStart w:name="_GoBack" w:id="6"/>
      <w:bookmarkEnd w:id="6"/>
    </w:p>
    <w:p w:rsidRPr="00BC5BC5" w:rsidR="00B471FA" w:rsidP="59521EFA" w:rsidRDefault="00B471FA" w14:paraId="13562CD3" w14:textId="77777777" w14:noSpellErr="1">
      <w:pPr>
        <w:rPr>
          <w:rFonts w:ascii="Arial" w:hAnsi="Arial" w:eastAsia="Arial" w:cs="Arial"/>
          <w:b w:val="1"/>
          <w:bCs w:val="1"/>
          <w:lang w:eastAsia="es-CO"/>
        </w:rPr>
      </w:pPr>
    </w:p>
    <w:p w:rsidR="00236F27" w:rsidP="59521EFA" w:rsidRDefault="00B471FA" w14:paraId="392EBF85" w14:textId="6565AD20">
      <w:pPr>
        <w:rPr>
          <w:rFonts w:ascii="Arial" w:hAnsi="Arial" w:eastAsia="Arial" w:cs="Arial"/>
          <w:color w:val="201F1E"/>
          <w:sz w:val="22"/>
          <w:szCs w:val="22"/>
        </w:rPr>
      </w:pPr>
      <w:r w:rsidRPr="59521EFA" w:rsidR="00B471FA">
        <w:rPr>
          <w:rFonts w:ascii="Arial" w:hAnsi="Arial" w:eastAsia="Arial" w:cs="Arial"/>
          <w:color w:val="000000" w:themeColor="text1" w:themeTint="FF" w:themeShade="FF"/>
          <w:sz w:val="22"/>
          <w:szCs w:val="22"/>
        </w:rPr>
        <w:t>Bogotá D.C.</w:t>
      </w:r>
      <w:r w:rsidRPr="59521EFA" w:rsidR="00B471FA">
        <w:rPr>
          <w:rFonts w:ascii="Arial" w:hAnsi="Arial" w:eastAsia="Arial" w:cs="Arial"/>
          <w:color w:val="000000" w:themeColor="text1" w:themeTint="FF" w:themeShade="FF"/>
          <w:sz w:val="22"/>
          <w:szCs w:val="22"/>
        </w:rPr>
        <w:t>, </w:t>
      </w:r>
      <w:r w:rsidRPr="59521EFA" w:rsidR="00236F27">
        <w:rPr>
          <w:rFonts w:ascii="Arial" w:hAnsi="Arial" w:eastAsia="Arial" w:cs="Arial"/>
          <w:color w:val="201F1E"/>
          <w:sz w:val="22"/>
          <w:szCs w:val="22"/>
        </w:rPr>
        <w:t xml:space="preserve"> </w:t>
      </w:r>
      <w:r w:rsidRPr="59521EFA" w:rsidR="22E876BB">
        <w:rPr>
          <w:rFonts w:ascii="Arial" w:hAnsi="Arial" w:eastAsia="Arial" w:cs="Arial"/>
          <w:color w:val="201F1E"/>
          <w:sz w:val="22"/>
          <w:szCs w:val="22"/>
        </w:rPr>
        <w:t>0</w:t>
      </w:r>
      <w:r w:rsidRPr="59521EFA" w:rsidR="00236F27">
        <w:rPr>
          <w:rFonts w:ascii="Arial" w:hAnsi="Arial" w:eastAsia="Arial" w:cs="Arial"/>
          <w:color w:val="201F1E"/>
          <w:sz w:val="22"/>
          <w:szCs w:val="22"/>
        </w:rPr>
        <w:t>4</w:t>
      </w:r>
      <w:r w:rsidRPr="59521EFA" w:rsidR="00236F27">
        <w:rPr>
          <w:rFonts w:ascii="Arial" w:hAnsi="Arial" w:eastAsia="Arial" w:cs="Arial"/>
          <w:color w:val="201F1E"/>
          <w:sz w:val="22"/>
          <w:szCs w:val="22"/>
        </w:rPr>
        <w:t xml:space="preserve"> de julio de 2023</w:t>
      </w:r>
    </w:p>
    <w:p w:rsidR="00236F27" w:rsidP="59521EFA" w:rsidRDefault="00236F27" w14:paraId="0EC47B2D" w14:textId="2E819FDF" w14:noSpellErr="1">
      <w:pPr>
        <w:rPr>
          <w:rFonts w:ascii="Arial" w:hAnsi="Arial" w:eastAsia="Arial" w:cs="Arial"/>
          <w:color w:val="201F1E"/>
          <w:sz w:val="22"/>
          <w:szCs w:val="22"/>
        </w:rPr>
      </w:pPr>
    </w:p>
    <w:p w:rsidR="00236F27" w:rsidP="59521EFA" w:rsidRDefault="00236F27" w14:paraId="3DDEF532" w14:textId="017241BC" w14:noSpellErr="1">
      <w:pPr>
        <w:rPr>
          <w:rFonts w:ascii="Arial" w:hAnsi="Arial" w:eastAsia="Arial" w:cs="Arial"/>
          <w:color w:val="201F1E"/>
        </w:rPr>
      </w:pPr>
    </w:p>
    <w:p w:rsidRPr="00BC5BC5" w:rsidR="00236F27" w:rsidP="59521EFA" w:rsidRDefault="00236F27" w14:paraId="17507AAD" w14:textId="2CCA18B1" w14:noSpellErr="1">
      <w:pPr>
        <w:jc w:val="right"/>
        <w:rPr>
          <w:rFonts w:ascii="Arial" w:hAnsi="Arial" w:eastAsia="Arial" w:cs="Arial"/>
          <w:color w:val="201F1E"/>
        </w:rPr>
      </w:pPr>
      <w:r w:rsidR="00236F27">
        <w:drawing>
          <wp:inline wp14:editId="6F8B5849" wp14:anchorId="60220256">
            <wp:extent cx="3019846" cy="752580"/>
            <wp:effectExtent l="0" t="0" r="9525" b="9525"/>
            <wp:docPr id="10" name="Imagen 10" title=""/>
            <wp:cNvGraphicFramePr>
              <a:graphicFrameLocks noChangeAspect="1"/>
            </wp:cNvGraphicFramePr>
            <a:graphic>
              <a:graphicData uri="http://schemas.openxmlformats.org/drawingml/2006/picture">
                <pic:pic>
                  <pic:nvPicPr>
                    <pic:cNvPr id="0" name="Imagen 10"/>
                    <pic:cNvPicPr/>
                  </pic:nvPicPr>
                  <pic:blipFill>
                    <a:blip r:embed="R5e43cc2ae0de4ec4">
                      <a:extLst>
                        <a:ext xmlns:a="http://schemas.openxmlformats.org/drawingml/2006/main" uri="{28A0092B-C50C-407E-A947-70E740481C1C}">
                          <a14:useLocalDpi val="0"/>
                        </a:ext>
                      </a:extLst>
                    </a:blip>
                    <a:stretch>
                      <a:fillRect/>
                    </a:stretch>
                  </pic:blipFill>
                  <pic:spPr>
                    <a:xfrm rot="0" flipH="0" flipV="0">
                      <a:off x="0" y="0"/>
                      <a:ext cx="3019846" cy="752580"/>
                    </a:xfrm>
                    <a:prstGeom prst="rect">
                      <a:avLst/>
                    </a:prstGeom>
                  </pic:spPr>
                </pic:pic>
              </a:graphicData>
            </a:graphic>
          </wp:inline>
        </w:drawing>
      </w:r>
    </w:p>
    <w:p w:rsidRPr="00BC5BC5" w:rsidR="00B471FA" w:rsidP="59521EFA" w:rsidRDefault="00B471FA" w14:paraId="2FE674E0" w14:textId="77777777" w14:noSpellErr="1">
      <w:pPr>
        <w:jc w:val="right"/>
        <w:textAlignment w:val="baseline"/>
        <w:rPr>
          <w:rFonts w:ascii="Arial" w:hAnsi="Arial" w:eastAsia="Arial" w:cs="Arial"/>
          <w:lang w:eastAsia="es-CO"/>
        </w:rPr>
      </w:pPr>
    </w:p>
    <w:p w:rsidRPr="00BC5BC5" w:rsidR="00B471FA" w:rsidP="59521EFA" w:rsidRDefault="00B471FA" w14:paraId="371E8FD0" w14:textId="77777777" w14:noSpellErr="1">
      <w:pPr>
        <w:spacing w:line="276" w:lineRule="auto"/>
        <w:contextualSpacing/>
        <w:jc w:val="both"/>
        <w:rPr>
          <w:rFonts w:ascii="Arial" w:hAnsi="Arial" w:eastAsia="Arial" w:cs="Arial"/>
          <w:sz w:val="22"/>
          <w:szCs w:val="22"/>
        </w:rPr>
      </w:pPr>
      <w:r w:rsidRPr="59521EFA" w:rsidR="00B471FA">
        <w:rPr>
          <w:rFonts w:ascii="Arial" w:hAnsi="Arial" w:eastAsia="Arial" w:cs="Arial"/>
          <w:sz w:val="22"/>
          <w:szCs w:val="22"/>
        </w:rPr>
        <w:t>Señora</w:t>
      </w:r>
    </w:p>
    <w:p w:rsidRPr="00BC5BC5" w:rsidR="00B471FA" w:rsidP="59521EFA" w:rsidRDefault="00B471FA" w14:paraId="2A80019F" w14:textId="77777777">
      <w:pPr>
        <w:spacing w:line="276" w:lineRule="auto"/>
        <w:contextualSpacing/>
        <w:jc w:val="both"/>
        <w:rPr>
          <w:rFonts w:ascii="Arial" w:hAnsi="Arial" w:eastAsia="Arial" w:cs="Arial"/>
          <w:b w:val="1"/>
          <w:bCs w:val="1"/>
          <w:sz w:val="22"/>
          <w:szCs w:val="22"/>
        </w:rPr>
      </w:pPr>
      <w:r w:rsidRPr="59521EFA" w:rsidR="00B471FA">
        <w:rPr>
          <w:rFonts w:ascii="Arial" w:hAnsi="Arial" w:eastAsia="Arial" w:cs="Arial"/>
          <w:b w:val="1"/>
          <w:bCs w:val="1"/>
          <w:sz w:val="22"/>
          <w:szCs w:val="22"/>
        </w:rPr>
        <w:t xml:space="preserve">Johana Marcela Cortés </w:t>
      </w:r>
      <w:r w:rsidRPr="59521EFA" w:rsidR="00B471FA">
        <w:rPr>
          <w:rFonts w:ascii="Arial" w:hAnsi="Arial" w:eastAsia="Arial" w:cs="Arial"/>
          <w:b w:val="1"/>
          <w:bCs w:val="1"/>
          <w:sz w:val="22"/>
          <w:szCs w:val="22"/>
        </w:rPr>
        <w:t>Roncancio</w:t>
      </w:r>
    </w:p>
    <w:p w:rsidRPr="00BC5BC5" w:rsidR="00B471FA" w:rsidP="59521EFA" w:rsidRDefault="00B471FA" w14:paraId="0BCAE930" w14:textId="77777777" w14:noSpellErr="1">
      <w:pPr>
        <w:spacing w:line="276" w:lineRule="auto"/>
        <w:contextualSpacing/>
        <w:jc w:val="both"/>
        <w:rPr>
          <w:rFonts w:ascii="Arial" w:hAnsi="Arial" w:eastAsia="Arial" w:cs="Arial"/>
          <w:b w:val="1"/>
          <w:bCs w:val="1"/>
          <w:sz w:val="22"/>
          <w:szCs w:val="22"/>
        </w:rPr>
      </w:pPr>
      <w:r w:rsidRPr="59521EFA" w:rsidR="00B471FA">
        <w:rPr>
          <w:rFonts w:ascii="Arial" w:hAnsi="Arial" w:eastAsia="Arial" w:cs="Arial"/>
          <w:b w:val="1"/>
          <w:bCs w:val="1"/>
          <w:sz w:val="22"/>
          <w:szCs w:val="22"/>
        </w:rPr>
        <w:t>Directora Administrativa y Financiera</w:t>
      </w:r>
    </w:p>
    <w:p w:rsidRPr="00BC5BC5" w:rsidR="00B471FA" w:rsidP="59521EFA" w:rsidRDefault="00B471FA" w14:paraId="0260814D" w14:textId="77777777" w14:noSpellErr="1">
      <w:pPr>
        <w:spacing w:line="276" w:lineRule="auto"/>
        <w:contextualSpacing/>
        <w:jc w:val="both"/>
        <w:rPr>
          <w:rFonts w:ascii="Arial" w:hAnsi="Arial" w:eastAsia="Arial" w:cs="Arial"/>
          <w:b w:val="1"/>
          <w:bCs w:val="1"/>
          <w:sz w:val="22"/>
          <w:szCs w:val="22"/>
        </w:rPr>
      </w:pPr>
      <w:r w:rsidRPr="59521EFA" w:rsidR="00B471FA">
        <w:rPr>
          <w:rFonts w:ascii="Arial" w:hAnsi="Arial" w:eastAsia="Arial" w:cs="Arial"/>
          <w:b w:val="1"/>
          <w:bCs w:val="1"/>
          <w:sz w:val="22"/>
          <w:szCs w:val="22"/>
        </w:rPr>
        <w:t>Secretaría de Educación del Municipio de Funza</w:t>
      </w:r>
    </w:p>
    <w:p w:rsidRPr="00BC5BC5" w:rsidR="00B471FA" w:rsidP="59521EFA" w:rsidRDefault="00B471FA" w14:paraId="4B4D168D" w14:textId="77777777" w14:noSpellErr="1">
      <w:pPr>
        <w:spacing w:line="276" w:lineRule="auto"/>
        <w:contextualSpacing/>
        <w:jc w:val="both"/>
        <w:rPr>
          <w:rFonts w:ascii="Arial" w:hAnsi="Arial" w:eastAsia="Arial" w:cs="Arial"/>
          <w:b w:val="1"/>
          <w:bCs w:val="1"/>
          <w:sz w:val="22"/>
          <w:szCs w:val="22"/>
        </w:rPr>
      </w:pPr>
      <w:r w:rsidRPr="59521EFA" w:rsidR="00B471FA">
        <w:rPr>
          <w:rFonts w:ascii="Arial" w:hAnsi="Arial" w:eastAsia="Arial" w:cs="Arial"/>
          <w:sz w:val="22"/>
          <w:szCs w:val="22"/>
        </w:rPr>
        <w:t xml:space="preserve">Correo: </w:t>
      </w:r>
      <w:hyperlink r:id="R614b32b8b0b5497e">
        <w:r w:rsidRPr="59521EFA" w:rsidR="00B471FA">
          <w:rPr>
            <w:rStyle w:val="Hipervnculo"/>
            <w:rFonts w:ascii="Arial" w:hAnsi="Arial" w:eastAsia="Arial" w:cs="Arial"/>
            <w:sz w:val="22"/>
            <w:szCs w:val="22"/>
          </w:rPr>
          <w:t>direccionadministrativayfinanciera@semfunza.gov.co</w:t>
        </w:r>
      </w:hyperlink>
      <w:r w:rsidRPr="59521EFA" w:rsidR="00B471FA">
        <w:rPr>
          <w:rFonts w:ascii="Arial" w:hAnsi="Arial" w:eastAsia="Arial" w:cs="Arial"/>
          <w:sz w:val="22"/>
          <w:szCs w:val="22"/>
        </w:rPr>
        <w:t xml:space="preserve"> </w:t>
      </w:r>
      <w:r w:rsidRPr="59521EFA" w:rsidR="00B471FA">
        <w:rPr>
          <w:rFonts w:ascii="Arial" w:hAnsi="Arial" w:eastAsia="Arial" w:cs="Arial"/>
          <w:b w:val="1"/>
          <w:bCs w:val="1"/>
          <w:sz w:val="22"/>
          <w:szCs w:val="22"/>
        </w:rPr>
        <w:t xml:space="preserve"> </w:t>
      </w:r>
    </w:p>
    <w:p w:rsidRPr="00BC5BC5" w:rsidR="00B471FA" w:rsidP="59521EFA" w:rsidRDefault="00B471FA" w14:paraId="6767062D" w14:textId="77777777" w14:noSpellErr="1">
      <w:pPr>
        <w:spacing w:line="276" w:lineRule="auto"/>
        <w:contextualSpacing/>
        <w:jc w:val="both"/>
        <w:rPr>
          <w:rFonts w:ascii="Arial" w:hAnsi="Arial" w:eastAsia="Arial" w:cs="Arial"/>
          <w:sz w:val="22"/>
          <w:szCs w:val="22"/>
        </w:rPr>
      </w:pPr>
      <w:r w:rsidRPr="59521EFA" w:rsidR="00B471FA">
        <w:rPr>
          <w:rFonts w:ascii="Arial" w:hAnsi="Arial" w:eastAsia="Arial" w:cs="Arial"/>
          <w:sz w:val="22"/>
          <w:szCs w:val="22"/>
        </w:rPr>
        <w:t>Funza, Cundinamarca</w:t>
      </w:r>
    </w:p>
    <w:p w:rsidRPr="00BC5BC5" w:rsidR="00B471FA" w:rsidP="59521EFA" w:rsidRDefault="00B471FA" w14:paraId="7664CCDA" w14:textId="77777777" w14:noSpellErr="1">
      <w:pPr>
        <w:spacing/>
        <w:contextualSpacing/>
        <w:jc w:val="both"/>
        <w:rPr>
          <w:rFonts w:ascii="Arial" w:hAnsi="Arial" w:eastAsia="Arial" w:cs="Arial"/>
        </w:rPr>
      </w:pPr>
    </w:p>
    <w:p w:rsidRPr="00BC5BC5" w:rsidR="00B471FA" w:rsidP="59521EFA" w:rsidRDefault="00B471FA" w14:paraId="1413C59A" w14:textId="77777777" w14:noSpellErr="1">
      <w:pPr>
        <w:spacing/>
        <w:contextualSpacing/>
        <w:jc w:val="both"/>
        <w:rPr>
          <w:rFonts w:ascii="Arial" w:hAnsi="Arial" w:eastAsia="Arial" w:cs="Arial"/>
        </w:rPr>
      </w:pPr>
      <w:r w:rsidRPr="59521EFA" w:rsidR="00B471FA">
        <w:rPr>
          <w:rFonts w:ascii="Arial" w:hAnsi="Arial" w:eastAsia="Arial" w:cs="Arial"/>
        </w:rPr>
        <w:t xml:space="preserve">                                            </w:t>
      </w:r>
      <w:r w:rsidRPr="59521EFA" w:rsidR="00B471FA">
        <w:rPr>
          <w:rFonts w:ascii="Arial" w:hAnsi="Arial" w:eastAsia="Arial" w:cs="Arial"/>
          <w:b w:val="1"/>
          <w:bCs w:val="1"/>
        </w:rPr>
        <w:t>Concepto C–255 de 2023</w:t>
      </w:r>
    </w:p>
    <w:p w:rsidRPr="00BC5BC5" w:rsidR="00B471FA" w:rsidP="59521EFA" w:rsidRDefault="00B471FA" w14:paraId="559068E7" w14:textId="77777777" w14:noSpellErr="1">
      <w:pPr>
        <w:spacing/>
        <w:contextualSpacing/>
        <w:jc w:val="both"/>
        <w:rPr>
          <w:rFonts w:ascii="Arial" w:hAnsi="Arial" w:eastAsia="Arial" w:cs="Arial"/>
          <w:b w:val="1"/>
          <w:bCs w:val="1"/>
        </w:rPr>
      </w:pPr>
    </w:p>
    <w:tbl>
      <w:tblPr>
        <w:tblStyle w:val="Tablaconcuadrcula1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BC5BC5" w:rsidR="00B471FA" w:rsidTr="59521EFA" w14:paraId="0DAC4252" w14:textId="77777777">
        <w:trPr>
          <w:trHeight w:val="485"/>
        </w:trPr>
        <w:tc>
          <w:tcPr>
            <w:tcW w:w="2689" w:type="dxa"/>
            <w:tcMar/>
            <w:hideMark/>
          </w:tcPr>
          <w:p w:rsidRPr="00BC5BC5" w:rsidR="00B471FA" w:rsidP="59521EFA" w:rsidRDefault="00B471FA" w14:paraId="20155C75" w14:textId="77777777" w14:noSpellErr="1">
            <w:pPr>
              <w:rPr>
                <w:rFonts w:ascii="Arial" w:hAnsi="Arial" w:eastAsia="Arial" w:cs="Arial"/>
                <w:noProof/>
                <w:sz w:val="22"/>
                <w:szCs w:val="22"/>
                <w:lang w:val="es-ES"/>
              </w:rPr>
            </w:pPr>
            <w:r w:rsidRPr="59521EFA" w:rsidR="00B471FA">
              <w:rPr>
                <w:rFonts w:ascii="Arial" w:hAnsi="Arial" w:eastAsia="Arial" w:cs="Arial"/>
                <w:b w:val="1"/>
                <w:bCs w:val="1"/>
                <w:noProof/>
                <w:sz w:val="22"/>
                <w:szCs w:val="22"/>
                <w:lang w:val="es-ES"/>
              </w:rPr>
              <w:t>Temas:</w:t>
            </w:r>
            <w:r w:rsidRPr="59521EFA" w:rsidR="00B471FA">
              <w:rPr>
                <w:rFonts w:ascii="Arial" w:hAnsi="Arial" w:eastAsia="Arial" w:cs="Arial"/>
                <w:noProof/>
                <w:sz w:val="22"/>
                <w:szCs w:val="22"/>
                <w:lang w:val="es-ES"/>
              </w:rPr>
              <w:t xml:space="preserve">        </w:t>
            </w:r>
          </w:p>
        </w:tc>
        <w:tc>
          <w:tcPr>
            <w:tcW w:w="6237" w:type="dxa"/>
            <w:tcMar/>
            <w:hideMark/>
          </w:tcPr>
          <w:p w:rsidRPr="00BC5BC5" w:rsidR="00B471FA" w:rsidP="59521EFA" w:rsidRDefault="00B471FA" w14:paraId="6E88B59D" w14:textId="3652A476" w14:noSpellErr="1">
            <w:pPr>
              <w:spacing w:line="276" w:lineRule="auto"/>
              <w:rPr>
                <w:rFonts w:ascii="Arial" w:hAnsi="Arial" w:eastAsia="Arial" w:cs="Arial"/>
                <w:sz w:val="22"/>
                <w:szCs w:val="22"/>
                <w:lang w:val="es-ES" w:eastAsia="es-ES"/>
              </w:rPr>
            </w:pPr>
            <w:r w:rsidRPr="59521EFA" w:rsidR="00B471FA">
              <w:rPr>
                <w:rFonts w:ascii="Arial" w:hAnsi="Arial" w:eastAsia="Arial" w:cs="Arial"/>
                <w:sz w:val="22"/>
                <w:szCs w:val="22"/>
                <w:lang w:val="es-ES" w:eastAsia="es-ES"/>
              </w:rPr>
              <w:t>LEY DE GARANTÍAS ELECTORALES – Definición – Finalidad / LEY DE GARANTÍAS ELECTORALES – Prohibición por elección de cargos populares – Convenios y contratos interadministrativ</w:t>
            </w:r>
            <w:r w:rsidRPr="59521EFA" w:rsidR="0856CA31">
              <w:rPr>
                <w:rFonts w:ascii="Arial" w:hAnsi="Arial" w:eastAsia="Arial" w:cs="Arial"/>
                <w:sz w:val="22"/>
                <w:szCs w:val="22"/>
                <w:lang w:val="es-ES" w:eastAsia="es-ES"/>
              </w:rPr>
              <w:t>os – Parágrafo del artículo 38 -</w:t>
            </w:r>
            <w:r w:rsidRPr="59521EFA" w:rsidR="00B471FA">
              <w:rPr>
                <w:rFonts w:ascii="Arial" w:hAnsi="Arial" w:eastAsia="Arial" w:cs="Arial"/>
                <w:sz w:val="22"/>
                <w:szCs w:val="22"/>
                <w:lang w:val="es-ES" w:eastAsia="es-ES"/>
              </w:rPr>
              <w:t xml:space="preserve"> Instituciones Educativas/ </w:t>
            </w:r>
            <w:r w:rsidRPr="59521EFA" w:rsidR="00B471FA">
              <w:rPr>
                <w:rFonts w:ascii="Arial" w:hAnsi="Arial" w:eastAsia="Arial" w:cs="Arial"/>
                <w:sz w:val="22"/>
                <w:szCs w:val="22"/>
              </w:rPr>
              <w:t>INSTITUCIONES EDUCATIVAS OFICIALES – Naturaleza jurídica – Capacidad para contratar – Compra pública</w:t>
            </w:r>
            <w:r w:rsidRPr="59521EFA" w:rsidR="00B471FA">
              <w:rPr>
                <w:rFonts w:ascii="Arial" w:hAnsi="Arial" w:eastAsia="Arial" w:cs="Arial"/>
                <w:b w:val="1"/>
                <w:bCs w:val="1"/>
                <w:sz w:val="22"/>
                <w:szCs w:val="22"/>
              </w:rPr>
              <w:t xml:space="preserve">/ </w:t>
            </w:r>
          </w:p>
        </w:tc>
      </w:tr>
      <w:tr w:rsidRPr="00BC5BC5" w:rsidR="00B471FA" w:rsidTr="59521EFA" w14:paraId="14B48CC7" w14:textId="77777777">
        <w:tc>
          <w:tcPr>
            <w:tcW w:w="2689" w:type="dxa"/>
            <w:tcMar/>
            <w:hideMark/>
          </w:tcPr>
          <w:p w:rsidRPr="00BC5BC5" w:rsidR="00B471FA" w:rsidP="59521EFA" w:rsidRDefault="00B471FA" w14:paraId="2479080D" w14:textId="77777777" w14:noSpellErr="1">
            <w:pPr>
              <w:rPr>
                <w:rFonts w:ascii="Arial" w:hAnsi="Arial" w:eastAsia="Arial" w:cs="Arial"/>
                <w:b w:val="1"/>
                <w:bCs w:val="1"/>
                <w:noProof/>
                <w:sz w:val="22"/>
                <w:szCs w:val="22"/>
                <w:lang w:val="es-ES"/>
              </w:rPr>
            </w:pPr>
            <w:r w:rsidRPr="59521EFA" w:rsidR="00B471FA">
              <w:rPr>
                <w:rFonts w:ascii="Arial" w:hAnsi="Arial" w:eastAsia="Arial" w:cs="Arial"/>
                <w:b w:val="1"/>
                <w:bCs w:val="1"/>
                <w:noProof/>
                <w:sz w:val="22"/>
                <w:szCs w:val="22"/>
                <w:lang w:val="es-ES"/>
              </w:rPr>
              <w:t>Radicación:</w:t>
            </w:r>
            <w:r w:rsidRPr="59521EFA" w:rsidR="00B471FA">
              <w:rPr>
                <w:rFonts w:ascii="Arial" w:hAnsi="Arial" w:eastAsia="Arial" w:cs="Arial"/>
                <w:noProof/>
                <w:sz w:val="22"/>
                <w:szCs w:val="22"/>
                <w:lang w:val="es-ES"/>
              </w:rPr>
              <w:t xml:space="preserve">                              </w:t>
            </w:r>
          </w:p>
        </w:tc>
        <w:tc>
          <w:tcPr>
            <w:tcW w:w="6237" w:type="dxa"/>
            <w:tcMar/>
            <w:hideMark/>
          </w:tcPr>
          <w:p w:rsidRPr="00BC5BC5" w:rsidR="00B471FA" w:rsidP="59521EFA" w:rsidRDefault="00B471FA" w14:paraId="5236A068" w14:textId="77777777" w14:noSpellErr="1">
            <w:pPr>
              <w:rPr>
                <w:rFonts w:ascii="Arial" w:hAnsi="Arial" w:eastAsia="Arial" w:cs="Arial"/>
                <w:noProof/>
                <w:sz w:val="22"/>
                <w:szCs w:val="22"/>
                <w:lang w:val="es-ES"/>
              </w:rPr>
            </w:pPr>
            <w:r w:rsidRPr="59521EFA" w:rsidR="00B471FA">
              <w:rPr>
                <w:rFonts w:ascii="Arial" w:hAnsi="Arial" w:eastAsia="Arial" w:cs="Arial"/>
                <w:noProof/>
                <w:sz w:val="22"/>
                <w:szCs w:val="22"/>
                <w:lang w:val="es-ES"/>
              </w:rPr>
              <w:t xml:space="preserve">Respuesta a consulta </w:t>
            </w:r>
            <w:r w:rsidRPr="59521EFA" w:rsidR="00B471FA">
              <w:rPr>
                <w:rFonts w:ascii="Arial" w:hAnsi="Arial" w:eastAsia="Arial" w:cs="Arial"/>
                <w:sz w:val="22"/>
                <w:szCs w:val="22"/>
                <w:lang w:val="es-ES"/>
              </w:rPr>
              <w:t>P20230525011631</w:t>
            </w:r>
            <w:r>
              <w:tab/>
            </w:r>
          </w:p>
        </w:tc>
      </w:tr>
    </w:tbl>
    <w:p w:rsidRPr="00BC5BC5" w:rsidR="00B471FA" w:rsidP="59521EFA" w:rsidRDefault="00B471FA" w14:paraId="6D895D58" w14:textId="77777777" w14:noSpellErr="1">
      <w:pPr>
        <w:spacing/>
        <w:contextualSpacing/>
        <w:jc w:val="both"/>
        <w:rPr>
          <w:rFonts w:ascii="Arial" w:hAnsi="Arial" w:eastAsia="Arial" w:cs="Arial"/>
        </w:rPr>
      </w:pPr>
    </w:p>
    <w:p w:rsidRPr="00BC5BC5" w:rsidR="00B471FA" w:rsidP="59521EFA" w:rsidRDefault="00B471FA" w14:paraId="49CEFBDE" w14:textId="77777777" w14:noSpellErr="1">
      <w:pPr>
        <w:spacing/>
        <w:contextualSpacing/>
        <w:jc w:val="both"/>
        <w:rPr>
          <w:rFonts w:ascii="Arial" w:hAnsi="Arial" w:eastAsia="Arial" w:cs="Arial"/>
        </w:rPr>
      </w:pPr>
    </w:p>
    <w:p w:rsidRPr="00BC5BC5" w:rsidR="00B471FA" w:rsidP="59521EFA" w:rsidRDefault="00B471FA" w14:paraId="24A15A14" w14:textId="77777777" w14:noSpellErr="1">
      <w:pPr>
        <w:spacing w:line="276" w:lineRule="auto"/>
        <w:contextualSpacing/>
        <w:jc w:val="both"/>
        <w:rPr>
          <w:rFonts w:ascii="Arial" w:hAnsi="Arial" w:eastAsia="Arial" w:cs="Arial"/>
          <w:sz w:val="22"/>
          <w:szCs w:val="22"/>
        </w:rPr>
      </w:pPr>
      <w:r w:rsidRPr="59521EFA" w:rsidR="00B471FA">
        <w:rPr>
          <w:rFonts w:ascii="Arial" w:hAnsi="Arial" w:eastAsia="Arial" w:cs="Arial"/>
          <w:sz w:val="22"/>
          <w:szCs w:val="22"/>
        </w:rPr>
        <w:t xml:space="preserve">Estimado señor Prieto: </w:t>
      </w:r>
    </w:p>
    <w:p w:rsidRPr="00BC5BC5" w:rsidR="00B471FA" w:rsidP="59521EFA" w:rsidRDefault="00B471FA" w14:paraId="5D09705B" w14:textId="77777777" w14:noSpellErr="1">
      <w:pPr>
        <w:spacing w:line="276" w:lineRule="auto"/>
        <w:ind w:firstLine="709"/>
        <w:contextualSpacing/>
        <w:jc w:val="both"/>
        <w:rPr>
          <w:rFonts w:ascii="Arial" w:hAnsi="Arial" w:eastAsia="Arial" w:cs="Arial"/>
          <w:sz w:val="22"/>
          <w:szCs w:val="22"/>
        </w:rPr>
      </w:pPr>
    </w:p>
    <w:p w:rsidRPr="00BC5BC5" w:rsidR="00B471FA" w:rsidP="59521EFA" w:rsidRDefault="00B471FA" w14:paraId="4E282AA6" w14:textId="77777777" w14:noSpellErr="1">
      <w:pPr>
        <w:spacing w:line="276" w:lineRule="auto"/>
        <w:contextualSpacing/>
        <w:jc w:val="both"/>
        <w:rPr>
          <w:rFonts w:ascii="Arial" w:hAnsi="Arial" w:eastAsia="Arial" w:cs="Arial"/>
          <w:sz w:val="22"/>
          <w:szCs w:val="22"/>
        </w:rPr>
      </w:pPr>
      <w:r w:rsidRPr="59521EFA" w:rsidR="00B471FA">
        <w:rPr>
          <w:rFonts w:ascii="Arial" w:hAnsi="Arial" w:eastAsia="Arial" w:cs="Arial"/>
          <w:sz w:val="22"/>
          <w:szCs w:val="22"/>
        </w:rPr>
        <w:t xml:space="preserve">En ejercicio de la competencia otorgada por el numeral 8 del artículo 11 y el numeral 5 del artículo 3 del Decreto Ley 4170 de 2011, la Agencia Nacional de Contratación Pública – Colombia Compra Eficiente responde su consulta recibida el 25 de mayo de 2023. </w:t>
      </w:r>
    </w:p>
    <w:p w:rsidRPr="00BC5BC5" w:rsidR="00B471FA" w:rsidP="59521EFA" w:rsidRDefault="00B471FA" w14:paraId="75F9091A" w14:textId="77777777" w14:noSpellErr="1">
      <w:pPr>
        <w:spacing w:line="276" w:lineRule="auto"/>
        <w:contextualSpacing/>
        <w:jc w:val="both"/>
        <w:rPr>
          <w:rFonts w:ascii="Arial" w:hAnsi="Arial" w:eastAsia="Arial" w:cs="Arial"/>
        </w:rPr>
      </w:pPr>
    </w:p>
    <w:p w:rsidRPr="00BC5BC5" w:rsidR="00B471FA" w:rsidP="59521EFA" w:rsidRDefault="00B471FA" w14:paraId="6DDF32BD" w14:textId="77777777" w14:noSpellErr="1">
      <w:pPr>
        <w:tabs>
          <w:tab w:val="left" w:pos="284"/>
        </w:tabs>
        <w:spacing w:line="276" w:lineRule="auto"/>
        <w:contextualSpacing/>
        <w:jc w:val="both"/>
        <w:rPr>
          <w:rFonts w:ascii="Arial" w:hAnsi="Arial" w:eastAsia="Arial" w:cs="Arial"/>
          <w:b w:val="1"/>
          <w:bCs w:val="1"/>
        </w:rPr>
      </w:pPr>
      <w:r w:rsidRPr="59521EFA" w:rsidR="00B471FA">
        <w:rPr>
          <w:rFonts w:ascii="Arial" w:hAnsi="Arial" w:eastAsia="Arial" w:cs="Arial"/>
          <w:b w:val="1"/>
          <w:bCs w:val="1"/>
        </w:rPr>
        <w:t xml:space="preserve">1. Problema planteado </w:t>
      </w:r>
    </w:p>
    <w:p w:rsidRPr="00BC5BC5" w:rsidR="00B471FA" w:rsidP="59521EFA" w:rsidRDefault="00B471FA" w14:paraId="26AA6616" w14:textId="77777777" w14:noSpellErr="1">
      <w:pPr>
        <w:tabs>
          <w:tab w:val="left" w:pos="284"/>
        </w:tabs>
        <w:spacing w:line="276" w:lineRule="auto"/>
        <w:ind w:firstLine="709"/>
        <w:contextualSpacing/>
        <w:jc w:val="both"/>
        <w:rPr>
          <w:rFonts w:ascii="Arial" w:hAnsi="Arial" w:eastAsia="Arial" w:cs="Arial"/>
          <w:b w:val="1"/>
          <w:bCs w:val="1"/>
          <w:sz w:val="22"/>
          <w:szCs w:val="22"/>
        </w:rPr>
      </w:pPr>
    </w:p>
    <w:p w:rsidRPr="00BC5BC5" w:rsidR="00B471FA" w:rsidP="59521EFA" w:rsidRDefault="00B471FA" w14:paraId="721B2358" w14:textId="77777777" w14:noSpellErr="1">
      <w:pPr>
        <w:spacing w:line="276" w:lineRule="auto"/>
        <w:contextualSpacing/>
        <w:jc w:val="both"/>
        <w:rPr>
          <w:rFonts w:ascii="Arial" w:hAnsi="Arial" w:eastAsia="Arial" w:cs="Arial"/>
          <w:sz w:val="22"/>
          <w:szCs w:val="22"/>
        </w:rPr>
      </w:pPr>
      <w:bookmarkStart w:name="_Hlk58917991" w:id="7"/>
      <w:bookmarkStart w:name="_Hlk56103000" w:id="8"/>
      <w:r w:rsidRPr="59521EFA" w:rsidR="00B471FA">
        <w:rPr>
          <w:rFonts w:ascii="Arial" w:hAnsi="Arial" w:eastAsia="Arial" w:cs="Arial"/>
          <w:sz w:val="22"/>
          <w:szCs w:val="22"/>
        </w:rPr>
        <w:t xml:space="preserve">Usted plantea la siguiente consulta: </w:t>
      </w:r>
      <w:bookmarkStart w:name="_Hlk116284008" w:id="9"/>
    </w:p>
    <w:p w:rsidRPr="00BC5BC5" w:rsidR="00B471FA" w:rsidP="59521EFA" w:rsidRDefault="00B471FA" w14:paraId="1627E081" w14:textId="77777777" w14:noSpellErr="1">
      <w:pPr>
        <w:spacing w:line="276" w:lineRule="auto"/>
        <w:contextualSpacing/>
        <w:jc w:val="both"/>
        <w:rPr>
          <w:rFonts w:ascii="Arial" w:hAnsi="Arial" w:eastAsia="Arial" w:cs="Arial"/>
        </w:rPr>
      </w:pPr>
    </w:p>
    <w:p w:rsidRPr="00BC5BC5" w:rsidR="00B471FA" w:rsidP="59521EFA" w:rsidRDefault="00B471FA" w14:paraId="12DC8052" w14:textId="77777777" w14:noSpellErr="1">
      <w:pPr>
        <w:spacing w:before="120"/>
        <w:ind w:left="709" w:right="709"/>
        <w:contextualSpacing/>
        <w:jc w:val="both"/>
        <w:rPr>
          <w:rFonts w:ascii="Arial" w:hAnsi="Arial" w:eastAsia="Arial" w:cs="Arial"/>
          <w:sz w:val="20"/>
          <w:szCs w:val="20"/>
        </w:rPr>
      </w:pPr>
      <w:bookmarkStart w:name="_Hlk133573383" w:id="10"/>
      <w:r w:rsidRPr="59521EFA" w:rsidR="00B471FA">
        <w:rPr>
          <w:rFonts w:ascii="Arial" w:hAnsi="Arial" w:eastAsia="Arial" w:cs="Arial"/>
          <w:sz w:val="20"/>
          <w:szCs w:val="20"/>
        </w:rPr>
        <w:t xml:space="preserve">“[…] </w:t>
      </w:r>
      <w:r w:rsidRPr="59521EFA" w:rsidR="00B471FA">
        <w:rPr>
          <w:rFonts w:ascii="Arial" w:hAnsi="Arial" w:eastAsia="Arial" w:cs="Arial"/>
          <w:color w:val="000000" w:themeColor="text1" w:themeTint="FF" w:themeShade="FF"/>
          <w:sz w:val="20"/>
          <w:szCs w:val="20"/>
        </w:rPr>
        <w:t>De acuerdo con el régimen especial de las instituciones educativas oficiales respecto a su contratación directa hasta 20 SMMLV, nos podrían confirmar si teniendo en cuenta la Ley de garantías que inicia el 29 de junio 2023, estas instituciones pueden seguir realizando contratación </w:t>
      </w:r>
      <w:r w:rsidRPr="59521EFA" w:rsidR="00B471FA">
        <w:rPr>
          <w:rFonts w:ascii="Arial" w:hAnsi="Arial" w:eastAsia="Arial" w:cs="Arial"/>
          <w:color w:val="000000" w:themeColor="text1" w:themeTint="FF" w:themeShade="FF"/>
          <w:sz w:val="20"/>
          <w:szCs w:val="20"/>
        </w:rPr>
        <w:t>directa  posteriormente</w:t>
      </w:r>
      <w:r w:rsidRPr="59521EFA" w:rsidR="00B471FA">
        <w:rPr>
          <w:rFonts w:ascii="Arial" w:hAnsi="Arial" w:eastAsia="Arial" w:cs="Arial"/>
          <w:color w:val="000000" w:themeColor="text1" w:themeTint="FF" w:themeShade="FF"/>
          <w:sz w:val="20"/>
          <w:szCs w:val="20"/>
        </w:rPr>
        <w:t xml:space="preserve"> </w:t>
      </w:r>
      <w:r w:rsidRPr="59521EFA" w:rsidR="00B471FA">
        <w:rPr>
          <w:rFonts w:ascii="Arial" w:hAnsi="Arial" w:eastAsia="Arial" w:cs="Arial"/>
          <w:color w:val="000000" w:themeColor="text1" w:themeTint="FF" w:themeShade="FF"/>
          <w:sz w:val="20"/>
          <w:szCs w:val="20"/>
        </w:rPr>
        <w:t>a esa fecha o nos pueden indicar qué procedimiento deben seguir para este tema de contratación”.</w:t>
      </w:r>
    </w:p>
    <w:p w:rsidRPr="00BC5BC5" w:rsidR="00B471FA" w:rsidP="59521EFA" w:rsidRDefault="00B471FA" w14:paraId="303379E5" w14:textId="77777777" w14:noSpellErr="1">
      <w:pPr>
        <w:spacing w:before="120" w:line="276" w:lineRule="auto"/>
        <w:ind w:left="709" w:right="709"/>
        <w:jc w:val="both"/>
        <w:rPr>
          <w:rFonts w:ascii="Arial" w:hAnsi="Arial" w:eastAsia="Arial" w:cs="Arial"/>
          <w:sz w:val="21"/>
          <w:szCs w:val="21"/>
        </w:rPr>
      </w:pPr>
    </w:p>
    <w:bookmarkEnd w:id="7"/>
    <w:bookmarkEnd w:id="8"/>
    <w:bookmarkEnd w:id="9"/>
    <w:bookmarkEnd w:id="10"/>
    <w:p w:rsidRPr="00BC5BC5" w:rsidR="00B471FA" w:rsidP="59521EFA" w:rsidRDefault="00B471FA" w14:paraId="41D81132" w14:textId="77777777" w14:noSpellErr="1">
      <w:pPr>
        <w:tabs>
          <w:tab w:val="left" w:pos="284"/>
        </w:tabs>
        <w:spacing w:line="276" w:lineRule="auto"/>
        <w:contextualSpacing/>
        <w:jc w:val="both"/>
        <w:rPr>
          <w:rFonts w:ascii="Arial" w:hAnsi="Arial" w:eastAsia="Arial" w:cs="Arial"/>
          <w:b w:val="1"/>
          <w:bCs w:val="1"/>
        </w:rPr>
      </w:pPr>
      <w:r w:rsidRPr="59521EFA" w:rsidR="00B471FA">
        <w:rPr>
          <w:rFonts w:ascii="Arial" w:hAnsi="Arial" w:eastAsia="Arial" w:cs="Arial"/>
          <w:b w:val="1"/>
          <w:bCs w:val="1"/>
        </w:rPr>
        <w:t>2. Consideraciones</w:t>
      </w:r>
    </w:p>
    <w:p w:rsidRPr="00BC5BC5" w:rsidR="00B471FA" w:rsidP="59521EFA" w:rsidRDefault="00B471FA" w14:paraId="19187E30" w14:textId="77777777" w14:noSpellErr="1">
      <w:pPr>
        <w:tabs>
          <w:tab w:val="left" w:pos="284"/>
        </w:tabs>
        <w:spacing w:line="276" w:lineRule="auto"/>
        <w:contextualSpacing/>
        <w:jc w:val="both"/>
        <w:rPr>
          <w:rFonts w:ascii="Arial" w:hAnsi="Arial" w:eastAsia="Arial" w:cs="Arial"/>
          <w:b w:val="1"/>
          <w:bCs w:val="1"/>
          <w:sz w:val="22"/>
          <w:szCs w:val="22"/>
        </w:rPr>
      </w:pPr>
    </w:p>
    <w:p w:rsidRPr="00BC5BC5" w:rsidR="00B471FA" w:rsidP="59521EFA" w:rsidRDefault="00B471FA" w14:paraId="5BADB4CD" w14:textId="77777777" w14:noSpellErr="1">
      <w:pPr>
        <w:spacing w:after="120" w:line="276" w:lineRule="auto"/>
        <w:jc w:val="both"/>
        <w:rPr>
          <w:rFonts w:ascii="Arial" w:hAnsi="Arial" w:eastAsia="Arial" w:cs="Arial"/>
          <w:sz w:val="22"/>
          <w:szCs w:val="22"/>
          <w:lang w:val="es-ES"/>
        </w:rPr>
      </w:pPr>
      <w:r w:rsidRPr="59521EFA" w:rsidR="00B471FA">
        <w:rPr>
          <w:rFonts w:ascii="Arial" w:hAnsi="Arial" w:eastAsia="Arial" w:cs="Arial"/>
          <w:sz w:val="22"/>
          <w:szCs w:val="22"/>
        </w:rPr>
        <w:t>En ejercicio de las competencias establecidas en los artículos 3, numeral 5° y 11, numeral 8° del Decreto 4170 de 2011, la Agencia Nacional de Contratación Pública – Colombia Compra Eficiente resuelve consultas sobre los asuntos de su competencia, esto es, sobre las temáticas de la contratación estatal relacionados en los artículos citados.</w:t>
      </w:r>
      <w:r w:rsidRPr="59521EFA" w:rsidR="00B471FA">
        <w:rPr>
          <w:rFonts w:ascii="Arial" w:hAnsi="Arial" w:eastAsia="Arial" w:cs="Arial"/>
          <w:sz w:val="22"/>
          <w:szCs w:val="22"/>
          <w:lang w:val="es-ES"/>
        </w:rPr>
        <w:t xml:space="preserve"> </w:t>
      </w:r>
      <w:bookmarkStart w:name="_Hlk61701014" w:id="11"/>
      <w:bookmarkStart w:name="_Hlk62136649" w:id="12"/>
      <w:r w:rsidRPr="59521EFA" w:rsidR="00B471FA">
        <w:rPr>
          <w:rFonts w:ascii="Arial" w:hAnsi="Arial" w:eastAsia="Arial" w:cs="Arial"/>
          <w:sz w:val="22"/>
          <w:szCs w:val="22"/>
          <w:lang w:val="es-ES"/>
        </w:rPr>
        <w:t xml:space="preserve">Es necesario tener en cuenta que </w:t>
      </w:r>
      <w:bookmarkStart w:name="_Hlk61026958" w:id="13"/>
      <w:r w:rsidRPr="59521EFA" w:rsidR="00B471FA">
        <w:rPr>
          <w:rFonts w:ascii="Arial" w:hAnsi="Arial" w:eastAsia="Arial" w:cs="Arial"/>
          <w:sz w:val="22"/>
          <w:szCs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59521EFA" w:rsidR="00B471FA">
        <w:rPr>
          <w:rFonts w:ascii="Arial" w:hAnsi="Arial" w:eastAsia="Arial" w:cs="Arial"/>
          <w:sz w:val="22"/>
          <w:szCs w:val="22"/>
        </w:rPr>
        <w:t xml:space="preserve"> de todos los partícipes de la contratación estatal.</w:t>
      </w:r>
    </w:p>
    <w:p w:rsidRPr="00BC5BC5" w:rsidR="00B471FA" w:rsidP="59521EFA" w:rsidRDefault="00B471FA" w14:paraId="31FE139C" w14:textId="77777777" w14:noSpellErr="1">
      <w:pPr>
        <w:spacing w:after="120" w:line="276" w:lineRule="auto"/>
        <w:ind w:firstLine="708"/>
        <w:jc w:val="both"/>
        <w:rPr>
          <w:rFonts w:ascii="Arial" w:hAnsi="Arial" w:eastAsia="Arial" w:cs="Arial"/>
          <w:sz w:val="22"/>
          <w:szCs w:val="22"/>
          <w:lang w:val="es-ES"/>
        </w:rPr>
      </w:pPr>
      <w:r w:rsidRPr="59521EFA" w:rsidR="00B471FA">
        <w:rPr>
          <w:rFonts w:ascii="Arial" w:hAnsi="Arial" w:eastAsia="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59521EFA">
        <w:rPr>
          <w:rFonts w:ascii="Arial" w:hAnsi="Arial" w:eastAsia="Arial" w:cs="Arial"/>
          <w:sz w:val="22"/>
          <w:szCs w:val="22"/>
          <w:vertAlign w:val="superscript"/>
        </w:rPr>
        <w:footnoteReference w:id="1"/>
      </w:r>
      <w:r w:rsidRPr="59521EFA" w:rsidR="00B471FA">
        <w:rPr>
          <w:rFonts w:ascii="Arial" w:hAnsi="Arial" w:eastAsia="Arial" w:cs="Arial"/>
          <w:sz w:val="22"/>
          <w:szCs w:val="22"/>
          <w:lang w:val="es-ES"/>
        </w:rPr>
        <w:t>. Esta competencia de interpretación de normas generales, por definición, no puede extenderse a la resolución de controversias, ni a brindar asesorías sobre casos puntuales.</w:t>
      </w:r>
      <w:bookmarkEnd w:id="11"/>
      <w:bookmarkEnd w:id="13"/>
    </w:p>
    <w:bookmarkEnd w:id="12"/>
    <w:p w:rsidRPr="00BC5BC5" w:rsidR="00B471FA" w:rsidP="59521EFA" w:rsidRDefault="00B471FA" w14:paraId="7B431A2A" w14:textId="77777777" w14:noSpellErr="1">
      <w:pPr>
        <w:spacing w:before="120" w:after="120" w:line="276" w:lineRule="auto"/>
        <w:ind w:firstLine="709"/>
        <w:jc w:val="both"/>
        <w:rPr>
          <w:rFonts w:ascii="Arial" w:hAnsi="Arial" w:eastAsia="Arial" w:cs="Arial"/>
          <w:sz w:val="22"/>
          <w:szCs w:val="22"/>
          <w:highlight w:val="yellow"/>
          <w:lang w:val="es-ES" w:eastAsia="es-MX"/>
        </w:rPr>
      </w:pPr>
      <w:r w:rsidRPr="59521EFA" w:rsidR="00B471FA">
        <w:rPr>
          <w:rFonts w:ascii="Arial" w:hAnsi="Arial" w:eastAsia="Arial" w:cs="Arial"/>
          <w:sz w:val="22"/>
          <w:szCs w:val="22"/>
        </w:rPr>
        <w:t xml:space="preserve">Sin perjuicio de lo anterior, </w:t>
      </w:r>
      <w:r w:rsidRPr="59521EFA" w:rsidR="00B471FA">
        <w:rPr>
          <w:rFonts w:ascii="Arial" w:hAnsi="Arial" w:eastAsia="Arial" w:cs="Arial"/>
          <w:sz w:val="22"/>
          <w:szCs w:val="22"/>
          <w:lang w:val="es-ES"/>
        </w:rPr>
        <w:t>la Subdirección de Gestión Contractual dentro de los límites de sus atribuciones, resolverá la consulta conforme a las normas generales en materia de contratación estatal</w:t>
      </w:r>
      <w:r w:rsidRPr="59521EFA" w:rsidR="00B471FA">
        <w:rPr>
          <w:rFonts w:ascii="Arial" w:hAnsi="Arial" w:eastAsia="Arial" w:cs="Arial"/>
          <w:sz w:val="22"/>
          <w:szCs w:val="22"/>
          <w:lang w:val="es-ES" w:eastAsia="es-MX"/>
        </w:rPr>
        <w:t xml:space="preserve">. Con este objetivo, se </w:t>
      </w:r>
      <w:r w:rsidRPr="59521EFA" w:rsidR="00B471FA">
        <w:rPr>
          <w:rFonts w:ascii="Arial" w:hAnsi="Arial" w:eastAsia="Arial" w:cs="Arial"/>
          <w:sz w:val="22"/>
          <w:szCs w:val="22"/>
          <w:lang w:val="es-ES" w:eastAsia="es-MX"/>
        </w:rPr>
        <w:t xml:space="preserve">analizarán los siguientes temas: i) definición y finalidad de la Ley de Garantías Electorales, </w:t>
      </w:r>
      <w:r w:rsidRPr="59521EFA" w:rsidR="00B471FA">
        <w:rPr>
          <w:rFonts w:ascii="Arial" w:hAnsi="Arial" w:eastAsia="Arial" w:cs="Arial"/>
          <w:sz w:val="22"/>
          <w:szCs w:val="22"/>
          <w:lang w:val="es-ES" w:eastAsia="es-MX"/>
        </w:rPr>
        <w:t>ii</w:t>
      </w:r>
      <w:r w:rsidRPr="59521EFA" w:rsidR="00B471FA">
        <w:rPr>
          <w:rFonts w:ascii="Arial" w:hAnsi="Arial" w:eastAsia="Arial" w:cs="Arial"/>
          <w:sz w:val="22"/>
          <w:szCs w:val="22"/>
          <w:lang w:val="es-ES" w:eastAsia="es-MX"/>
        </w:rPr>
        <w:t xml:space="preserve">) </w:t>
      </w:r>
      <w:r w:rsidRPr="59521EFA" w:rsidR="00B471FA">
        <w:rPr>
          <w:rFonts w:ascii="Arial" w:hAnsi="Arial" w:eastAsia="Arial" w:cs="Arial"/>
          <w:sz w:val="22"/>
          <w:szCs w:val="22"/>
        </w:rPr>
        <w:t>restricciones para elecciones presidenciales</w:t>
      </w:r>
      <w:r w:rsidRPr="59521EFA" w:rsidR="00B471FA">
        <w:rPr>
          <w:rFonts w:ascii="Arial" w:hAnsi="Arial" w:eastAsia="Arial" w:cs="Arial"/>
          <w:sz w:val="22"/>
          <w:szCs w:val="22"/>
          <w:lang w:eastAsia="es-MX"/>
        </w:rPr>
        <w:t>,</w:t>
      </w:r>
      <w:r w:rsidRPr="59521EFA" w:rsidR="00B471FA">
        <w:rPr>
          <w:rFonts w:ascii="Arial" w:hAnsi="Arial" w:eastAsia="Arial" w:cs="Arial"/>
          <w:sz w:val="22"/>
          <w:szCs w:val="22"/>
          <w:lang w:val="es-ES" w:eastAsia="es-MX"/>
        </w:rPr>
        <w:t xml:space="preserve"> </w:t>
      </w:r>
      <w:r w:rsidRPr="59521EFA" w:rsidR="00B471FA">
        <w:rPr>
          <w:rFonts w:ascii="Arial" w:hAnsi="Arial" w:eastAsia="Arial" w:cs="Arial"/>
          <w:sz w:val="22"/>
          <w:szCs w:val="22"/>
          <w:lang w:val="es-ES" w:eastAsia="es-MX"/>
        </w:rPr>
        <w:t>iii</w:t>
      </w:r>
      <w:r w:rsidRPr="59521EFA" w:rsidR="00B471FA">
        <w:rPr>
          <w:rFonts w:ascii="Arial" w:hAnsi="Arial" w:eastAsia="Arial" w:cs="Arial"/>
          <w:sz w:val="22"/>
          <w:szCs w:val="22"/>
          <w:lang w:val="es-ES" w:eastAsia="es-MX"/>
        </w:rPr>
        <w:t xml:space="preserve">) restricciones para la celebración de contratos y convenios interadministrativos en los comicios para cargos de elección popular </w:t>
      </w:r>
      <w:r w:rsidRPr="59521EFA" w:rsidR="00B471FA">
        <w:rPr>
          <w:rFonts w:ascii="Arial" w:hAnsi="Arial" w:eastAsia="Arial" w:cs="Arial"/>
          <w:sz w:val="22"/>
          <w:szCs w:val="22"/>
          <w:lang w:val="es-ES" w:eastAsia="es-MX"/>
        </w:rPr>
        <w:t xml:space="preserve">y,  </w:t>
      </w:r>
      <w:r w:rsidRPr="59521EFA" w:rsidR="00B471FA">
        <w:rPr>
          <w:rFonts w:ascii="Arial" w:hAnsi="Arial" w:eastAsia="Arial" w:cs="Arial"/>
          <w:sz w:val="22"/>
          <w:szCs w:val="22"/>
          <w:lang w:val="es-ES" w:eastAsia="es-MX"/>
        </w:rPr>
        <w:t>iii</w:t>
      </w:r>
      <w:r w:rsidRPr="59521EFA" w:rsidR="00B471FA">
        <w:rPr>
          <w:rFonts w:ascii="Arial" w:hAnsi="Arial" w:eastAsia="Arial" w:cs="Arial"/>
          <w:sz w:val="22"/>
          <w:szCs w:val="22"/>
          <w:lang w:val="es-ES" w:eastAsia="es-MX"/>
        </w:rPr>
        <w:t>) régimen contractual de los fondos de servicios educativos y aplicación de la Ley de Garantías.</w:t>
      </w:r>
    </w:p>
    <w:p w:rsidRPr="00BC5BC5" w:rsidR="00B471FA" w:rsidP="59521EFA" w:rsidRDefault="00B471FA" w14:paraId="584FBCEF" w14:textId="77777777" w14:noSpellErr="1">
      <w:pPr>
        <w:spacing w:line="276" w:lineRule="auto"/>
        <w:ind w:firstLine="709"/>
        <w:jc w:val="both"/>
        <w:rPr>
          <w:rFonts w:ascii="Arial" w:hAnsi="Arial" w:eastAsia="Arial" w:cs="Arial"/>
          <w:sz w:val="22"/>
          <w:szCs w:val="22"/>
          <w:lang w:eastAsia="es-ES"/>
        </w:rPr>
      </w:pPr>
      <w:r w:rsidRPr="59521EFA" w:rsidR="00B471FA">
        <w:rPr>
          <w:rFonts w:ascii="Arial" w:hAnsi="Arial" w:eastAsia="Arial" w:cs="Arial"/>
          <w:color w:val="000000" w:themeColor="text1"/>
          <w:sz w:val="22"/>
          <w:szCs w:val="22"/>
          <w:lang w:eastAsia="en-GB"/>
        </w:rPr>
        <w:t>Por su parte, s</w:t>
      </w:r>
      <w:r w:rsidRPr="59521EFA" w:rsidR="00B471FA">
        <w:rPr>
          <w:rFonts w:ascii="Arial" w:hAnsi="Arial" w:eastAsia="Arial" w:cs="Arial"/>
          <w:sz w:val="22"/>
          <w:szCs w:val="22"/>
          <w:lang w:val="es-ES"/>
        </w:rPr>
        <w:t xml:space="preserve">obre </w:t>
      </w:r>
      <w:r w:rsidRPr="59521EFA" w:rsidR="00B471FA">
        <w:rPr>
          <w:rFonts w:ascii="Arial" w:hAnsi="Arial" w:eastAsia="Arial" w:cs="Arial"/>
          <w:sz w:val="22"/>
          <w:szCs w:val="22"/>
          <w:lang w:val="es-ES"/>
        </w:rPr>
        <w:t xml:space="preserve">la aplicación de la Ley 996 de 2005 se ha pronunciado en los conceptos </w:t>
      </w:r>
      <w:r w:rsidRPr="59521EFA" w:rsidR="00B471FA">
        <w:rPr>
          <w:rFonts w:ascii="Arial" w:hAnsi="Arial" w:eastAsia="Arial" w:cs="Arial"/>
          <w:sz w:val="22"/>
          <w:szCs w:val="22"/>
        </w:rPr>
        <w:t xml:space="preserve">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 C-164 del 22 de marzo de 2022 y C-608 del 23 de septiembre de </w:t>
      </w:r>
      <w:r w:rsidRPr="59521EFA" w:rsidR="00B471FA">
        <w:rPr>
          <w:rFonts w:ascii="Arial" w:hAnsi="Arial" w:eastAsia="Arial" w:cs="Arial"/>
          <w:sz w:val="22"/>
          <w:szCs w:val="22"/>
        </w:rPr>
        <w:t>2022,C</w:t>
      </w:r>
      <w:r w:rsidRPr="59521EFA" w:rsidR="00B471FA">
        <w:rPr>
          <w:rFonts w:ascii="Arial" w:hAnsi="Arial" w:eastAsia="Arial" w:cs="Arial"/>
          <w:sz w:val="22"/>
          <w:szCs w:val="22"/>
        </w:rPr>
        <w:t>-027 de 22 de marzo de 2023, C-049 de 13 de abril de 2023, C-075 de 25 de abril de 2023, C- 076 de 25 de abril de 2023, C-098 de 4 de mayo de 2023, C-115 de 8 de mayo de 2023, C-116 de 8 de mayo de 2023, C-118 de 9 de mayo de 2023, C-145 de 18 de mayo de 2023, C-134 de 26 de mayo de 2023 y C-149 de primero de junio de 2023</w:t>
      </w:r>
      <w:r w:rsidRPr="59521EFA">
        <w:rPr>
          <w:rFonts w:ascii="Arial" w:hAnsi="Arial" w:eastAsia="Arial" w:cs="Arial"/>
          <w:sz w:val="22"/>
          <w:szCs w:val="22"/>
          <w:vertAlign w:val="superscript"/>
        </w:rPr>
        <w:footnoteReference w:id="2"/>
      </w:r>
      <w:r w:rsidRPr="59521EFA" w:rsidR="00B471FA">
        <w:rPr>
          <w:rFonts w:ascii="Arial" w:hAnsi="Arial" w:eastAsia="Arial" w:cs="Arial"/>
          <w:sz w:val="22"/>
          <w:szCs w:val="22"/>
          <w:lang w:val="es-ES"/>
        </w:rPr>
        <w:t>.</w:t>
      </w:r>
      <w:r w:rsidRPr="59521EFA" w:rsidR="00B471FA">
        <w:rPr>
          <w:rFonts w:ascii="Arial" w:hAnsi="Arial" w:eastAsia="Arial" w:cs="Arial"/>
          <w:sz w:val="22"/>
          <w:szCs w:val="22"/>
          <w:lang w:eastAsia="es-ES"/>
        </w:rPr>
        <w:t xml:space="preserve">   Asimismo, en relación con la aplicación de la Ley 996 de 2005 en los procesos de contratación surtidos por instituciones educativas, esta Agencia se pronunció en concepto C-309 de 16 de mayo de 2022. </w:t>
      </w:r>
      <w:r w:rsidRPr="59521EFA" w:rsidR="00B471FA">
        <w:rPr>
          <w:rFonts w:ascii="Arial" w:hAnsi="Arial" w:eastAsia="Arial" w:cs="Arial"/>
          <w:sz w:val="22"/>
          <w:szCs w:val="22"/>
          <w:lang w:val="es-ES" w:eastAsia="es-ES"/>
        </w:rPr>
        <w:t>Algunas de las consideraciones de estos conceptos se reiteran y se complementan en lo pertinente, teniendo en cuenta lo consultado.</w:t>
      </w:r>
    </w:p>
    <w:p w:rsidRPr="00BC5BC5" w:rsidR="00B471FA" w:rsidP="59521EFA" w:rsidRDefault="00B471FA" w14:paraId="06100A73" w14:textId="77777777" w14:noSpellErr="1">
      <w:pPr>
        <w:spacing w:line="276" w:lineRule="auto"/>
        <w:ind w:firstLine="709"/>
        <w:jc w:val="both"/>
        <w:rPr>
          <w:rFonts w:ascii="Arial" w:hAnsi="Arial" w:eastAsia="Arial" w:cs="Arial"/>
          <w:b w:val="1"/>
          <w:bCs w:val="1"/>
          <w:lang w:val="es-ES" w:eastAsia="es-ES"/>
        </w:rPr>
      </w:pPr>
    </w:p>
    <w:p w:rsidRPr="00BC5BC5" w:rsidR="00B471FA" w:rsidP="59521EFA" w:rsidRDefault="00B471FA" w14:paraId="306D874A" w14:textId="77777777" w14:noSpellErr="1">
      <w:pPr>
        <w:spacing w:line="276" w:lineRule="auto"/>
        <w:jc w:val="both"/>
        <w:rPr>
          <w:rFonts w:ascii="Arial" w:hAnsi="Arial" w:eastAsia="Arial" w:cs="Arial"/>
          <w:b w:val="1"/>
          <w:bCs w:val="1"/>
          <w:lang w:val="es-ES" w:eastAsia="es-ES"/>
        </w:rPr>
      </w:pPr>
      <w:r w:rsidRPr="59521EFA" w:rsidR="00B471FA">
        <w:rPr>
          <w:rFonts w:ascii="Arial" w:hAnsi="Arial" w:eastAsia="Arial" w:cs="Arial"/>
          <w:b w:val="1"/>
          <w:bCs w:val="1"/>
          <w:lang w:val="es-ES" w:eastAsia="es-ES"/>
        </w:rPr>
        <w:t>2.1. Definición y finalidad de la Ley de Garantías Electorales. Reiteración de línea.</w:t>
      </w:r>
    </w:p>
    <w:p w:rsidRPr="00BC5BC5" w:rsidR="00B471FA" w:rsidP="59521EFA" w:rsidRDefault="00B471FA" w14:paraId="74EBED7C" w14:textId="77777777" w14:noSpellErr="1">
      <w:pPr>
        <w:ind w:firstLine="709"/>
        <w:jc w:val="both"/>
        <w:rPr>
          <w:rFonts w:ascii="Arial" w:hAnsi="Arial" w:eastAsia="Arial" w:cs="Arial"/>
          <w:lang w:val="es-ES" w:eastAsia="es-ES"/>
        </w:rPr>
      </w:pPr>
    </w:p>
    <w:p w:rsidRPr="00BC5BC5" w:rsidR="00B471FA" w:rsidP="59521EFA" w:rsidRDefault="00B471FA" w14:paraId="1A029274" w14:textId="77777777" w14:noSpellErr="1">
      <w:pPr>
        <w:spacing w:line="276" w:lineRule="auto"/>
        <w:jc w:val="both"/>
        <w:rPr>
          <w:rFonts w:ascii="Arial" w:hAnsi="Arial" w:eastAsia="Arial" w:cs="Arial"/>
          <w:sz w:val="22"/>
          <w:szCs w:val="22"/>
          <w:lang w:val="es-ES" w:eastAsia="es-ES"/>
        </w:rPr>
      </w:pPr>
      <w:r w:rsidRPr="59521EFA" w:rsidR="00B471FA">
        <w:rPr>
          <w:rFonts w:ascii="Arial" w:hAnsi="Arial" w:eastAsia="Arial" w:cs="Arial"/>
          <w:sz w:val="22"/>
          <w:szCs w:val="22"/>
          <w:lang w:val="es-ES" w:eastAsia="es-ES"/>
        </w:rPr>
        <w:lastRenderedPageBreak/>
        <w:t>El ordenamiento jurídico colombiano contempla previsiones claras para evitar la obtención de beneficios personales en asuntos propios de la administración pública. Por ejemplo, el artículo 127 de la Constitución Política, establece una prohibición contractual a los servidores públicos y en cuento a aspectos políticos, consagra restricciones a ciertos empleados del Estado, incluso en época no electoral</w:t>
      </w:r>
      <w:r w:rsidRPr="59521EFA">
        <w:rPr>
          <w:rFonts w:ascii="Arial" w:hAnsi="Arial" w:eastAsia="Arial" w:cs="Arial"/>
          <w:sz w:val="22"/>
          <w:szCs w:val="22"/>
          <w:vertAlign w:val="superscript"/>
        </w:rPr>
        <w:footnoteReference w:id="3"/>
      </w:r>
      <w:r w:rsidRPr="59521EFA" w:rsidR="00B471FA">
        <w:rPr>
          <w:rFonts w:ascii="Arial" w:hAnsi="Arial" w:eastAsia="Arial" w:cs="Arial"/>
          <w:sz w:val="22"/>
          <w:szCs w:val="22"/>
        </w:rPr>
        <w:t>.</w:t>
      </w:r>
    </w:p>
    <w:p w:rsidRPr="00BC5BC5" w:rsidR="00B471FA" w:rsidP="59521EFA" w:rsidRDefault="00B471FA" w14:paraId="6FB92EE6" w14:textId="77777777" w14:noSpellErr="1">
      <w:pPr>
        <w:spacing w:before="120" w:line="276" w:lineRule="auto"/>
        <w:ind w:firstLine="709"/>
        <w:jc w:val="both"/>
        <w:rPr>
          <w:rFonts w:ascii="Arial" w:hAnsi="Arial" w:eastAsia="Arial" w:cs="Arial"/>
          <w:sz w:val="22"/>
          <w:szCs w:val="22"/>
          <w:lang w:val="es-ES" w:eastAsia="es-ES"/>
        </w:rPr>
      </w:pPr>
      <w:r w:rsidRPr="59521EFA" w:rsidR="00B471FA">
        <w:rPr>
          <w:rFonts w:ascii="Arial" w:hAnsi="Arial" w:eastAsia="Arial" w:cs="Arial"/>
          <w:sz w:val="22"/>
          <w:szCs w:val="22"/>
          <w:lang w:val="es-ES" w:eastAsia="es-ES"/>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59521EFA">
        <w:rPr>
          <w:rFonts w:ascii="Arial" w:hAnsi="Arial" w:eastAsia="Arial" w:cs="Arial"/>
          <w:sz w:val="22"/>
          <w:szCs w:val="22"/>
          <w:vertAlign w:val="superscript"/>
          <w:lang w:eastAsia="es-CO"/>
        </w:rPr>
        <w:footnoteReference w:id="4"/>
      </w:r>
      <w:r w:rsidRPr="59521EFA" w:rsidR="00B471FA">
        <w:rPr>
          <w:rFonts w:ascii="Arial" w:hAnsi="Arial" w:eastAsia="Arial" w:cs="Arial"/>
          <w:sz w:val="22"/>
          <w:szCs w:val="22"/>
          <w:lang w:eastAsia="es-CO"/>
        </w:rPr>
        <w:t>.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 De esta manera, explica que tiene como propósito:</w:t>
      </w:r>
    </w:p>
    <w:p w:rsidRPr="00BC5BC5" w:rsidR="00B471FA" w:rsidP="59521EFA" w:rsidRDefault="00B471FA" w14:paraId="2E4927B0" w14:textId="77777777" w14:noSpellErr="1">
      <w:pPr>
        <w:spacing/>
        <w:ind w:left="709" w:right="709"/>
        <w:contextualSpacing/>
        <w:jc w:val="both"/>
        <w:rPr>
          <w:rFonts w:ascii="Arial" w:hAnsi="Arial" w:eastAsia="Arial" w:cs="Arial"/>
          <w:sz w:val="22"/>
          <w:szCs w:val="22"/>
          <w:lang w:val="es-ES" w:eastAsia="es-CO"/>
        </w:rPr>
      </w:pPr>
    </w:p>
    <w:p w:rsidRPr="00BC5BC5" w:rsidR="00B471FA" w:rsidP="59521EFA" w:rsidRDefault="00B471FA" w14:paraId="478467C6" w14:textId="77777777" w14:noSpellErr="1">
      <w:pPr>
        <w:spacing/>
        <w:ind w:left="709" w:right="709"/>
        <w:contextualSpacing/>
        <w:jc w:val="both"/>
        <w:rPr>
          <w:rFonts w:ascii="Arial" w:hAnsi="Arial" w:eastAsia="Arial" w:cs="Arial"/>
          <w:sz w:val="21"/>
          <w:szCs w:val="21"/>
          <w:lang w:eastAsia="es-CO"/>
        </w:rPr>
      </w:pPr>
      <w:r w:rsidRPr="59521EFA" w:rsidR="00B471FA">
        <w:rPr>
          <w:rFonts w:ascii="Arial" w:hAnsi="Arial" w:eastAsia="Arial" w:cs="Arial"/>
          <w:sz w:val="21"/>
          <w:szCs w:val="21"/>
          <w:lang w:val="es-ES" w:eastAsia="es-CO"/>
        </w:rPr>
        <w:t xml:space="preserve">“[…] </w:t>
      </w:r>
      <w:r w:rsidRPr="59521EFA" w:rsidR="00B471FA">
        <w:rPr>
          <w:rFonts w:ascii="Arial" w:hAnsi="Arial" w:eastAsia="Arial" w:cs="Arial"/>
          <w:sz w:val="21"/>
          <w:szCs w:val="21"/>
          <w:lang w:eastAsia="es-CO"/>
        </w:rPr>
        <w:t>la definición de reglas claras que permitan acceder a los canales de expresión democrática de manera efectiva e igualitaria. El objetivo de una ley de garantías es definir esas reglas.</w:t>
      </w:r>
    </w:p>
    <w:p w:rsidRPr="00BC5BC5" w:rsidR="00B471FA" w:rsidP="59521EFA" w:rsidRDefault="00B471FA" w14:paraId="3D8DF2CB" w14:textId="77777777" w14:noSpellErr="1">
      <w:pPr>
        <w:spacing w:before="120" w:after="120" w:line="276" w:lineRule="auto"/>
        <w:ind w:left="709" w:right="709"/>
        <w:jc w:val="both"/>
        <w:rPr>
          <w:rFonts w:ascii="Arial" w:hAnsi="Arial" w:eastAsia="Arial" w:cs="Arial"/>
          <w:sz w:val="21"/>
          <w:szCs w:val="21"/>
          <w:lang w:eastAsia="es-CO"/>
        </w:rPr>
      </w:pPr>
      <w:r w:rsidRPr="59521EFA" w:rsidR="00B471FA">
        <w:rPr>
          <w:rFonts w:ascii="Arial" w:hAnsi="Arial" w:eastAsia="Arial" w:cs="Arial"/>
          <w:sz w:val="21"/>
          <w:szCs w:val="21"/>
          <w:lang w:eastAsia="es-CO"/>
        </w:rPr>
        <w:t xml:space="preserve">[…] </w:t>
      </w:r>
    </w:p>
    <w:p w:rsidRPr="00BC5BC5" w:rsidR="00B471FA" w:rsidP="59521EFA" w:rsidRDefault="00B471FA" w14:paraId="09A823C0" w14:textId="77777777" w14:noSpellErr="1">
      <w:pPr>
        <w:spacing/>
        <w:ind w:left="709" w:right="709"/>
        <w:contextualSpacing/>
        <w:jc w:val="both"/>
        <w:rPr>
          <w:rFonts w:ascii="Arial" w:hAnsi="Arial" w:eastAsia="Arial" w:cs="Arial"/>
          <w:sz w:val="21"/>
          <w:szCs w:val="21"/>
          <w:lang w:eastAsia="es-CO"/>
        </w:rPr>
      </w:pPr>
      <w:r w:rsidRPr="59521EFA" w:rsidR="00B471FA">
        <w:rPr>
          <w:rFonts w:ascii="Arial" w:hAnsi="Arial" w:eastAsia="Arial" w:cs="Arial"/>
          <w:sz w:val="21"/>
          <w:szCs w:val="21"/>
          <w:lang w:eastAsia="es-CO"/>
        </w:rPr>
        <w:t xml:space="preserve">Una ley de garantías electorales es una guía para el ejercicio equitativo y transparente de la democracia representativa. Un estatuto diseñado </w:t>
      </w:r>
      <w:r w:rsidRPr="59521EFA" w:rsidR="00B471FA">
        <w:rPr>
          <w:rFonts w:ascii="Arial" w:hAnsi="Arial" w:eastAsia="Arial" w:cs="Arial"/>
          <w:sz w:val="21"/>
          <w:szCs w:val="21"/>
          <w:lang w:eastAsia="es-CO"/>
        </w:rPr>
        <w:lastRenderedPageBreak/>
        <w:t>para asegurar que la contienda democrática se cumpla en condiciones igualitarias y transparentes para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59521EFA">
        <w:rPr>
          <w:rFonts w:ascii="Arial" w:hAnsi="Arial" w:eastAsia="Arial" w:cs="Arial"/>
          <w:sz w:val="21"/>
          <w:szCs w:val="21"/>
          <w:vertAlign w:val="superscript"/>
        </w:rPr>
        <w:footnoteReference w:id="5"/>
      </w:r>
      <w:r w:rsidRPr="59521EFA" w:rsidR="00B471FA">
        <w:rPr>
          <w:rFonts w:ascii="Arial" w:hAnsi="Arial" w:eastAsia="Arial" w:cs="Arial"/>
          <w:sz w:val="21"/>
          <w:szCs w:val="21"/>
          <w:lang w:eastAsia="es-CO"/>
        </w:rPr>
        <w:t>”.</w:t>
      </w:r>
    </w:p>
    <w:p w:rsidRPr="00BC5BC5" w:rsidR="00B471FA" w:rsidP="59521EFA" w:rsidRDefault="00B471FA" w14:paraId="1270339A" w14:textId="77777777" w14:noSpellErr="1">
      <w:pPr>
        <w:spacing w:line="276" w:lineRule="auto"/>
        <w:ind w:left="708" w:right="709"/>
        <w:contextualSpacing/>
        <w:jc w:val="both"/>
        <w:rPr>
          <w:rFonts w:ascii="Arial" w:hAnsi="Arial" w:eastAsia="Arial" w:cs="Arial"/>
          <w:lang w:eastAsia="es-CO"/>
        </w:rPr>
      </w:pPr>
    </w:p>
    <w:p w:rsidRPr="00BC5BC5" w:rsidR="00B471FA" w:rsidP="59521EFA" w:rsidRDefault="00B471FA" w14:paraId="75784CEB" w14:textId="77777777" w14:noSpellErr="1">
      <w:pPr>
        <w:spacing w:line="276" w:lineRule="auto"/>
        <w:ind w:firstLine="709"/>
        <w:contextualSpacing/>
        <w:jc w:val="both"/>
        <w:rPr>
          <w:rFonts w:ascii="Arial" w:hAnsi="Arial" w:eastAsia="Arial" w:cs="Arial"/>
          <w:sz w:val="22"/>
          <w:szCs w:val="22"/>
          <w:lang w:eastAsia="es-CO"/>
        </w:rPr>
      </w:pPr>
      <w:r w:rsidRPr="59521EFA" w:rsidR="00B471FA">
        <w:rPr>
          <w:rFonts w:ascii="Arial" w:hAnsi="Arial" w:eastAsia="Arial" w:cs="Arial"/>
          <w:sz w:val="22"/>
          <w:szCs w:val="22"/>
          <w:lang w:eastAsia="es-CO"/>
        </w:rPr>
        <w:t xml:space="preserve">En ese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electorales. Por ello, varias de las disposiciones de la Ley 996 de 2005, al contener normas prohibitivas, no admiten una interpretación amplia, sino que deben interpretarse restrictivamente. En efecto, la Sala de Consulta y Servicio del Consejo de Estado, precisó lo siguiente: </w:t>
      </w:r>
    </w:p>
    <w:p w:rsidRPr="00BC5BC5" w:rsidR="00B471FA" w:rsidP="59521EFA" w:rsidRDefault="00B471FA" w14:paraId="232BD97F" w14:textId="77777777" w14:noSpellErr="1">
      <w:pPr>
        <w:spacing/>
        <w:ind w:left="709" w:right="709"/>
        <w:contextualSpacing/>
        <w:jc w:val="both"/>
        <w:rPr>
          <w:rFonts w:ascii="Arial" w:hAnsi="Arial" w:eastAsia="Arial" w:cs="Arial"/>
          <w:sz w:val="21"/>
          <w:szCs w:val="21"/>
          <w:lang w:eastAsia="es-CO"/>
        </w:rPr>
      </w:pPr>
    </w:p>
    <w:p w:rsidRPr="00BC5BC5" w:rsidR="00B471FA" w:rsidP="59521EFA" w:rsidRDefault="00B471FA" w14:paraId="64439601" w14:textId="77777777">
      <w:pPr>
        <w:spacing/>
        <w:ind w:left="709" w:right="709"/>
        <w:contextualSpacing/>
        <w:jc w:val="both"/>
        <w:rPr>
          <w:rFonts w:ascii="Arial" w:hAnsi="Arial" w:eastAsia="Arial" w:cs="Arial"/>
          <w:sz w:val="21"/>
          <w:szCs w:val="21"/>
          <w:lang w:eastAsia="es-CO"/>
        </w:rPr>
      </w:pPr>
      <w:r w:rsidRPr="59521EFA" w:rsidR="00B471FA">
        <w:rPr>
          <w:rFonts w:ascii="Arial" w:hAnsi="Arial" w:eastAsia="Arial" w:cs="Arial"/>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r w:rsidRPr="59521EFA" w:rsidR="00B471FA">
        <w:rPr>
          <w:rFonts w:ascii="Arial" w:hAnsi="Arial" w:eastAsia="Arial" w:cs="Arial"/>
          <w:sz w:val="21"/>
          <w:szCs w:val="21"/>
          <w:lang w:eastAsia="es-CO"/>
        </w:rPr>
        <w:t>legis</w:t>
      </w:r>
      <w:r w:rsidRPr="59521EFA" w:rsidR="00B471FA">
        <w:rPr>
          <w:rFonts w:ascii="Arial" w:hAnsi="Arial" w:eastAsia="Arial" w:cs="Arial"/>
          <w:sz w:val="21"/>
          <w:szCs w:val="21"/>
          <w:lang w:eastAsia="es-CO"/>
        </w:rPr>
        <w:t xml:space="preserve"> o iuris y la interpretación extensiva. </w:t>
      </w:r>
      <w:r w:rsidRPr="59521EFA" w:rsidR="00B471FA">
        <w:rPr>
          <w:rFonts w:ascii="Arial" w:hAnsi="Arial" w:eastAsia="Arial" w:cs="Arial"/>
          <w:sz w:val="21"/>
          <w:szCs w:val="21"/>
          <w:lang w:eastAsia="es-CO"/>
        </w:rPr>
        <w:t>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rsidRPr="00BC5BC5" w:rsidR="00B471FA" w:rsidP="59521EFA" w:rsidRDefault="00B471FA" w14:paraId="0FDE9F66" w14:textId="77777777" w14:noSpellErr="1">
      <w:pPr>
        <w:spacing/>
        <w:ind w:left="709" w:right="709"/>
        <w:contextualSpacing/>
        <w:jc w:val="both"/>
        <w:rPr>
          <w:rFonts w:ascii="Arial" w:hAnsi="Arial" w:eastAsia="Arial" w:cs="Arial"/>
          <w:sz w:val="21"/>
          <w:szCs w:val="21"/>
          <w:lang w:eastAsia="es-CO"/>
        </w:rPr>
      </w:pPr>
    </w:p>
    <w:p w:rsidRPr="00BC5BC5" w:rsidR="00B471FA" w:rsidP="59521EFA" w:rsidRDefault="00B471FA" w14:paraId="6A95C945" w14:textId="77777777" w14:noSpellErr="1">
      <w:pPr>
        <w:spacing/>
        <w:ind w:left="709" w:right="709"/>
        <w:contextualSpacing/>
        <w:jc w:val="both"/>
        <w:rPr>
          <w:rFonts w:ascii="Arial" w:hAnsi="Arial" w:eastAsia="Arial" w:cs="Arial"/>
          <w:sz w:val="21"/>
          <w:szCs w:val="21"/>
          <w:lang w:eastAsia="es-CO"/>
        </w:rPr>
      </w:pPr>
      <w:r w:rsidRPr="59521EFA" w:rsidR="00B471FA">
        <w:rPr>
          <w:rFonts w:ascii="Arial" w:hAnsi="Arial" w:eastAsia="Arial" w:cs="Arial"/>
          <w:sz w:val="21"/>
          <w:szCs w:val="21"/>
          <w:lang w:eastAsia="es-CO"/>
        </w:rPr>
        <w:t>La jurisprudencia de la Corte Constitucional</w:t>
      </w:r>
      <w:r w:rsidRPr="59521EFA">
        <w:rPr>
          <w:rFonts w:ascii="Arial" w:hAnsi="Arial" w:eastAsia="Arial" w:cs="Arial"/>
          <w:sz w:val="21"/>
          <w:szCs w:val="21"/>
          <w:vertAlign w:val="superscript"/>
          <w:lang w:eastAsia="es-CO"/>
        </w:rPr>
        <w:footnoteReference w:id="6"/>
      </w:r>
      <w:r w:rsidRPr="59521EFA" w:rsidR="00B471FA">
        <w:rPr>
          <w:rFonts w:ascii="Arial" w:hAnsi="Arial" w:eastAsia="Arial" w:cs="Arial"/>
          <w:sz w:val="21"/>
          <w:szCs w:val="21"/>
          <w:lang w:eastAsia="es-CO"/>
        </w:rPr>
        <w:t> y del Consejo de Estado</w:t>
      </w:r>
      <w:r w:rsidRPr="59521EFA">
        <w:rPr>
          <w:rFonts w:ascii="Arial" w:hAnsi="Arial" w:eastAsia="Arial" w:cs="Arial"/>
          <w:sz w:val="21"/>
          <w:szCs w:val="21"/>
          <w:vertAlign w:val="superscript"/>
          <w:lang w:eastAsia="es-CO"/>
        </w:rPr>
        <w:footnoteReference w:id="7"/>
      </w:r>
      <w:r w:rsidRPr="59521EFA" w:rsidR="00B471FA">
        <w:rPr>
          <w:rFonts w:ascii="Arial" w:hAnsi="Arial" w:eastAsia="Arial" w:cs="Arial"/>
          <w:sz w:val="21"/>
          <w:szCs w:val="21"/>
          <w:lang w:eastAsia="es-CO"/>
        </w:rPr>
        <w:t xml:space="preserve">, coinciden en que las normas que establecen prohibiciones deben estar de manera explícita en la Constitución o en la ley y no podrán ser excesivas ni desproporcionadas. No pueden interpretarse </w:t>
      </w:r>
      <w:r w:rsidRPr="59521EFA" w:rsidR="00B471FA">
        <w:rPr>
          <w:rFonts w:ascii="Arial" w:hAnsi="Arial" w:eastAsia="Arial" w:cs="Arial"/>
          <w:sz w:val="21"/>
          <w:szCs w:val="21"/>
          <w:lang w:eastAsia="es-CO"/>
        </w:rPr>
        <w:lastRenderedPageBreak/>
        <w:t>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59521EFA">
        <w:rPr>
          <w:rFonts w:ascii="Arial" w:hAnsi="Arial" w:eastAsia="Arial" w:cs="Arial"/>
          <w:sz w:val="21"/>
          <w:szCs w:val="21"/>
          <w:vertAlign w:val="superscript"/>
          <w:lang w:eastAsia="es-CO"/>
        </w:rPr>
        <w:footnoteReference w:id="8"/>
      </w:r>
      <w:r w:rsidRPr="59521EFA" w:rsidR="00B471FA">
        <w:rPr>
          <w:rFonts w:ascii="Arial" w:hAnsi="Arial" w:eastAsia="Arial" w:cs="Arial"/>
          <w:sz w:val="21"/>
          <w:szCs w:val="21"/>
          <w:lang w:eastAsia="es-CO"/>
        </w:rPr>
        <w:t>”.</w:t>
      </w:r>
    </w:p>
    <w:p w:rsidRPr="00BC5BC5" w:rsidR="00B471FA" w:rsidP="59521EFA" w:rsidRDefault="00B471FA" w14:paraId="0F574545" w14:textId="77777777" w14:noSpellErr="1">
      <w:pPr>
        <w:spacing w:line="276" w:lineRule="auto"/>
        <w:ind w:right="709"/>
        <w:contextualSpacing/>
        <w:jc w:val="both"/>
        <w:rPr>
          <w:rFonts w:ascii="Arial" w:hAnsi="Arial" w:eastAsia="Arial" w:cs="Arial"/>
          <w:color w:val="FF0000"/>
          <w:sz w:val="22"/>
          <w:szCs w:val="22"/>
          <w:lang w:eastAsia="es-CO"/>
        </w:rPr>
      </w:pPr>
    </w:p>
    <w:p w:rsidRPr="00BC5BC5" w:rsidR="00B471FA" w:rsidP="59521EFA" w:rsidRDefault="00B471FA" w14:paraId="22091C72" w14:textId="77777777" w14:noSpellErr="1">
      <w:pPr>
        <w:spacing w:line="276" w:lineRule="auto"/>
        <w:ind w:firstLine="709"/>
        <w:contextualSpacing/>
        <w:jc w:val="both"/>
        <w:rPr>
          <w:rFonts w:ascii="Arial" w:hAnsi="Arial" w:eastAsia="Arial" w:cs="Arial"/>
          <w:sz w:val="22"/>
          <w:szCs w:val="22"/>
          <w:lang w:eastAsia="es-CO"/>
        </w:rPr>
      </w:pPr>
      <w:r w:rsidRPr="59521EFA" w:rsidR="00B471FA">
        <w:rPr>
          <w:rFonts w:ascii="Arial" w:hAnsi="Arial" w:eastAsia="Arial" w:cs="Arial"/>
          <w:sz w:val="22"/>
          <w:szCs w:val="22"/>
          <w:lang w:eastAsia="es-CO"/>
        </w:rPr>
        <w:t>De conformidad con lo anterior, la Ley de Garantías Electorales fijó una serie de regulaciones y prohibiciones dirigidas a los servidores públicos.</w:t>
      </w:r>
      <w:r w:rsidRPr="59521EFA" w:rsidR="00B471FA">
        <w:rPr>
          <w:rFonts w:ascii="Arial" w:hAnsi="Arial" w:eastAsia="Arial" w:cs="Arial"/>
          <w:sz w:val="22"/>
          <w:szCs w:val="22"/>
          <w:lang w:eastAsia="es-CO"/>
        </w:rPr>
        <w:t xml:space="preserve">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 </w:t>
      </w:r>
      <w:r w:rsidRPr="59521EFA" w:rsidR="00B471FA">
        <w:rPr>
          <w:rFonts w:ascii="Arial" w:hAnsi="Arial" w:eastAsia="Arial" w:cs="Arial"/>
          <w:sz w:val="22"/>
          <w:szCs w:val="22"/>
          <w:lang w:eastAsia="es-CO"/>
        </w:rPr>
        <w:t>Específicamente, las restricciones consagradas en la citada ley se dirigen a dos (2) tipo de campañas electorales claramente diferenciadas: las presidenciales y las demás que se adelanten para la elección de los demás cargos de elección popular, tanto a nivel nacional como territorial.</w:t>
      </w:r>
    </w:p>
    <w:p w:rsidRPr="00BC5BC5" w:rsidR="00B471FA" w:rsidP="59521EFA" w:rsidRDefault="00B471FA" w14:paraId="5294F39D" w14:textId="77777777" w14:noSpellErr="1">
      <w:pPr>
        <w:spacing w:before="120" w:line="276" w:lineRule="auto"/>
        <w:ind w:firstLine="709"/>
        <w:jc w:val="both"/>
        <w:rPr>
          <w:rFonts w:ascii="Arial" w:hAnsi="Arial" w:eastAsia="Arial" w:cs="Arial"/>
          <w:sz w:val="22"/>
          <w:szCs w:val="22"/>
          <w:lang w:val="es-ES" w:eastAsia="es-ES"/>
        </w:rPr>
      </w:pPr>
      <w:r w:rsidRPr="59521EFA" w:rsidR="00B471FA">
        <w:rPr>
          <w:rFonts w:ascii="Arial" w:hAnsi="Arial" w:eastAsia="Arial" w:cs="Arial"/>
          <w:sz w:val="22"/>
          <w:szCs w:val="22"/>
          <w:lang w:val="es-ES" w:eastAsia="es-ES"/>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59521EFA">
        <w:rPr>
          <w:rFonts w:ascii="Arial" w:hAnsi="Arial" w:eastAsia="Arial" w:cs="Arial"/>
          <w:sz w:val="22"/>
          <w:szCs w:val="22"/>
          <w:vertAlign w:val="superscript"/>
        </w:rPr>
        <w:footnoteReference w:id="9"/>
      </w:r>
      <w:r w:rsidRPr="59521EFA" w:rsidR="00B471FA">
        <w:rPr>
          <w:rFonts w:ascii="Arial" w:hAnsi="Arial" w:eastAsia="Arial" w:cs="Arial"/>
          <w:sz w:val="22"/>
          <w:szCs w:val="22"/>
          <w:lang w:val="es-ES" w:eastAsia="es-ES"/>
        </w:rPr>
        <w:t>”</w:t>
      </w:r>
      <w:r w:rsidRPr="59521EFA" w:rsidR="00B471FA">
        <w:rPr>
          <w:rFonts w:ascii="Arial" w:hAnsi="Arial" w:eastAsia="Arial" w:cs="Arial"/>
          <w:sz w:val="22"/>
          <w:szCs w:val="22"/>
        </w:rPr>
        <w:t>.</w:t>
      </w:r>
    </w:p>
    <w:p w:rsidRPr="00BC5BC5" w:rsidR="00B471FA" w:rsidP="59521EFA" w:rsidRDefault="00B471FA" w14:paraId="3752C2B3" w14:textId="77777777" w14:noSpellErr="1">
      <w:pPr>
        <w:spacing w:before="120" w:line="276" w:lineRule="auto"/>
        <w:ind w:firstLine="709"/>
        <w:jc w:val="both"/>
        <w:rPr>
          <w:rFonts w:ascii="Arial" w:hAnsi="Arial" w:eastAsia="Arial" w:cs="Arial"/>
          <w:sz w:val="22"/>
          <w:szCs w:val="22"/>
          <w:lang w:val="es-ES" w:eastAsia="es-ES"/>
        </w:rPr>
      </w:pPr>
      <w:r w:rsidRPr="59521EFA" w:rsidR="00B471FA">
        <w:rPr>
          <w:rFonts w:ascii="Arial" w:hAnsi="Arial" w:eastAsia="Arial" w:cs="Arial"/>
          <w:sz w:val="22"/>
          <w:szCs w:val="22"/>
          <w:lang w:val="es-ES" w:eastAsia="es-ES"/>
        </w:rPr>
        <w:lastRenderedPageBreak/>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59521EFA" w:rsidR="00B471FA">
        <w:rPr>
          <w:rFonts w:ascii="Arial" w:hAnsi="Arial" w:eastAsia="Arial" w:cs="Arial"/>
          <w:sz w:val="22"/>
          <w:szCs w:val="22"/>
          <w:vertAlign w:val="superscript"/>
          <w:lang w:val="es-ES"/>
        </w:rPr>
        <w:t xml:space="preserve"> </w:t>
      </w:r>
      <w:r w:rsidRPr="59521EFA">
        <w:rPr>
          <w:rFonts w:ascii="Arial" w:hAnsi="Arial" w:eastAsia="Arial" w:cs="Arial"/>
          <w:sz w:val="22"/>
          <w:szCs w:val="22"/>
          <w:vertAlign w:val="superscript"/>
        </w:rPr>
        <w:footnoteReference w:id="10"/>
      </w:r>
      <w:r w:rsidRPr="59521EFA" w:rsidR="00B471FA">
        <w:rPr>
          <w:rFonts w:ascii="Arial" w:hAnsi="Arial" w:eastAsia="Arial" w:cs="Arial"/>
          <w:sz w:val="22"/>
          <w:szCs w:val="22"/>
        </w:rPr>
        <w:t>”.</w:t>
      </w:r>
    </w:p>
    <w:p w:rsidRPr="00BC5BC5" w:rsidR="00B471FA" w:rsidP="59521EFA" w:rsidRDefault="00B471FA" w14:paraId="7D041FBF" w14:textId="77777777" w14:noSpellErr="1">
      <w:pPr>
        <w:spacing w:before="120" w:line="276" w:lineRule="auto"/>
        <w:ind w:firstLine="709"/>
        <w:jc w:val="both"/>
        <w:rPr>
          <w:rFonts w:ascii="Arial" w:hAnsi="Arial" w:eastAsia="Arial" w:cs="Arial"/>
          <w:sz w:val="22"/>
          <w:szCs w:val="22"/>
          <w:lang w:val="es-ES" w:eastAsia="es-ES"/>
        </w:rPr>
      </w:pPr>
      <w:r w:rsidRPr="59521EFA" w:rsidR="00B471FA">
        <w:rPr>
          <w:rFonts w:ascii="Arial" w:hAnsi="Arial" w:eastAsia="Arial" w:cs="Arial"/>
          <w:sz w:val="22"/>
          <w:szCs w:val="22"/>
          <w:lang w:val="es-ES" w:eastAsia="es-ES"/>
        </w:rPr>
        <w:t>La Sala de Consulta y Servicio Civil del Consejo de Estado ha aclarado la distinción en la aplicación de las prohibiciones de la Ley 996 de 2005, dependiendo del tipo de elección que se trate. Sobre el particular, consideró:</w:t>
      </w:r>
    </w:p>
    <w:p w:rsidRPr="00BC5BC5" w:rsidR="00B471FA" w:rsidP="59521EFA" w:rsidRDefault="00B471FA" w14:paraId="2242D09C" w14:textId="77777777" w14:noSpellErr="1">
      <w:pPr>
        <w:widowControl w:val="0"/>
        <w:autoSpaceDE w:val="0"/>
        <w:autoSpaceDN w:val="0"/>
        <w:spacing/>
        <w:ind w:left="709" w:right="709"/>
        <w:contextualSpacing/>
        <w:jc w:val="both"/>
        <w:rPr>
          <w:rFonts w:ascii="Arial" w:hAnsi="Arial" w:eastAsia="Arial" w:cs="Arial"/>
          <w:sz w:val="21"/>
          <w:szCs w:val="21"/>
          <w:lang w:val="es-ES" w:eastAsia="es-ES" w:bidi="es-ES"/>
        </w:rPr>
      </w:pPr>
    </w:p>
    <w:p w:rsidRPr="00BC5BC5" w:rsidR="00B471FA" w:rsidP="59521EFA" w:rsidRDefault="00B471FA" w14:paraId="7849ABA3" w14:textId="77777777" w14:noSpellErr="1">
      <w:pPr>
        <w:widowControl w:val="0"/>
        <w:autoSpaceDE w:val="0"/>
        <w:autoSpaceDN w:val="0"/>
        <w:spacing/>
        <w:ind w:left="709" w:right="709"/>
        <w:contextualSpacing/>
        <w:jc w:val="both"/>
        <w:rPr>
          <w:rFonts w:ascii="Arial" w:hAnsi="Arial" w:eastAsia="Arial" w:cs="Arial"/>
          <w:sz w:val="21"/>
          <w:szCs w:val="21"/>
          <w:lang w:val="es-ES" w:eastAsia="es-ES" w:bidi="es-ES"/>
        </w:rPr>
      </w:pPr>
      <w:r w:rsidRPr="59521EFA" w:rsidR="00B471FA">
        <w:rPr>
          <w:rFonts w:ascii="Arial" w:hAnsi="Arial" w:eastAsia="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name="_Hlk76109421" w:id="16"/>
      <w:r w:rsidRPr="59521EFA" w:rsidR="00B471FA">
        <w:rPr>
          <w:rFonts w:ascii="Arial" w:hAnsi="Arial" w:eastAsia="Arial" w:cs="Arial"/>
          <w:sz w:val="21"/>
          <w:szCs w:val="21"/>
          <w:lang w:val="es-ES" w:eastAsia="es-ES" w:bidi="es-ES"/>
        </w:rPr>
        <w:t>se integran parcialmente</w:t>
      </w:r>
      <w:bookmarkEnd w:id="16"/>
      <w:r w:rsidRPr="59521EFA" w:rsidR="00B471FA">
        <w:rPr>
          <w:rFonts w:ascii="Arial" w:hAnsi="Arial" w:eastAsia="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59521EFA" w:rsidR="00B471FA">
        <w:rPr>
          <w:rFonts w:ascii="Arial" w:hAnsi="Arial" w:eastAsia="Arial" w:cs="Arial"/>
          <w:i w:val="1"/>
          <w:iCs w:val="1"/>
          <w:sz w:val="21"/>
          <w:szCs w:val="21"/>
          <w:u w:val="single"/>
          <w:lang w:val="es-ES" w:eastAsia="es-ES" w:bidi="es-ES"/>
        </w:rPr>
        <w:t xml:space="preserve">En cambio, para elecciones en general, excluyendo las correspondientes a </w:t>
      </w:r>
      <w:r w:rsidRPr="59521EFA" w:rsidR="00B471FA">
        <w:rPr>
          <w:rFonts w:ascii="Arial" w:hAnsi="Arial" w:eastAsia="Arial" w:cs="Arial"/>
          <w:i w:val="1"/>
          <w:iCs w:val="1"/>
          <w:sz w:val="21"/>
          <w:szCs w:val="21"/>
          <w:u w:val="single"/>
          <w:lang w:val="es-ES" w:eastAsia="es-ES" w:bidi="es-ES"/>
        </w:rPr>
        <w:t xml:space="preserve">Presidente</w:t>
      </w:r>
      <w:r w:rsidRPr="59521EFA" w:rsidR="00B471FA">
        <w:rPr>
          <w:rFonts w:ascii="Arial" w:hAnsi="Arial" w:eastAsia="Arial" w:cs="Arial"/>
          <w:i w:val="1"/>
          <w:iCs w:val="1"/>
          <w:sz w:val="21"/>
          <w:szCs w:val="21"/>
          <w:u w:val="single"/>
          <w:lang w:val="es-ES" w:eastAsia="es-ES" w:bidi="es-ES"/>
        </w:rPr>
        <w:t xml:space="preserve"> de </w:t>
      </w:r>
      <w:r w:rsidRPr="59521EFA" w:rsidR="00B471FA">
        <w:rPr>
          <w:rFonts w:ascii="Arial" w:hAnsi="Arial" w:eastAsia="Arial" w:cs="Arial"/>
          <w:i w:val="1"/>
          <w:iCs w:val="1"/>
          <w:sz w:val="21"/>
          <w:szCs w:val="21"/>
          <w:u w:val="single"/>
          <w:lang w:val="es-ES" w:eastAsia="es-ES" w:bidi="es-ES"/>
        </w:rPr>
        <w:lastRenderedPageBreak/>
        <w:t>la República, a las autoridades territoriales allí mencionadas sólo se aplican las restricciones contenidas en el parágrafo del artículo 38</w:t>
      </w:r>
      <w:r w:rsidRPr="59521EFA">
        <w:rPr>
          <w:rFonts w:ascii="Arial" w:hAnsi="Arial" w:eastAsia="Arial" w:cs="Arial"/>
          <w:sz w:val="21"/>
          <w:szCs w:val="21"/>
          <w:vertAlign w:val="superscript"/>
          <w:lang w:val="es-ES" w:eastAsia="es-ES" w:bidi="es-ES"/>
        </w:rPr>
        <w:footnoteReference w:id="11"/>
      </w:r>
      <w:r w:rsidRPr="59521EFA" w:rsidR="00B471FA">
        <w:rPr>
          <w:rFonts w:ascii="Arial" w:hAnsi="Arial" w:eastAsia="Arial" w:cs="Arial"/>
          <w:sz w:val="21"/>
          <w:szCs w:val="21"/>
          <w:lang w:val="es-ES" w:eastAsia="es-ES" w:bidi="es-ES"/>
        </w:rPr>
        <w:t>”. [Énfasis fuera de texto]</w:t>
      </w:r>
    </w:p>
    <w:p w:rsidRPr="00BC5BC5" w:rsidR="00B471FA" w:rsidP="59521EFA" w:rsidRDefault="00B471FA" w14:paraId="3D4A8A8B" w14:textId="77777777" w14:noSpellErr="1">
      <w:pPr>
        <w:spacing w:line="276" w:lineRule="auto"/>
        <w:ind w:firstLine="709"/>
        <w:jc w:val="both"/>
        <w:rPr>
          <w:rFonts w:ascii="Arial" w:hAnsi="Arial" w:eastAsia="Arial" w:cs="Arial"/>
          <w:i w:val="1"/>
          <w:iCs w:val="1"/>
          <w:lang w:val="es-ES" w:eastAsia="es-ES"/>
        </w:rPr>
      </w:pPr>
    </w:p>
    <w:p w:rsidRPr="00BC5BC5" w:rsidR="00B471FA" w:rsidP="59521EFA" w:rsidRDefault="00B471FA" w14:paraId="6FB1D9EC" w14:textId="77777777" w14:noSpellErr="1">
      <w:pPr>
        <w:spacing w:line="276" w:lineRule="auto"/>
        <w:ind w:firstLine="709"/>
        <w:jc w:val="both"/>
        <w:rPr>
          <w:rFonts w:ascii="Arial" w:hAnsi="Arial" w:eastAsia="Arial" w:cs="Arial"/>
          <w:sz w:val="22"/>
          <w:szCs w:val="22"/>
        </w:rPr>
      </w:pPr>
      <w:r w:rsidRPr="59521EFA" w:rsidR="00B471FA">
        <w:rPr>
          <w:rFonts w:ascii="Arial" w:hAnsi="Arial" w:eastAsia="Arial" w:cs="Arial"/>
          <w:sz w:val="22"/>
          <w:szCs w:val="22"/>
          <w:lang w:val="es-ES" w:eastAsia="es-ES"/>
        </w:rPr>
        <w:t>De conformidad con lo anterior, la Ley 996 de 2005 establece dos (2) tipos de restricciones en materia de contratación, las cuales coinciden parcialmente.</w:t>
      </w:r>
      <w:r w:rsidRPr="59521EFA" w:rsidR="00B471FA">
        <w:rPr>
          <w:rFonts w:ascii="Arial" w:hAnsi="Arial" w:eastAsia="Arial" w:cs="Arial"/>
          <w:sz w:val="22"/>
          <w:szCs w:val="22"/>
          <w:lang w:val="es-ES" w:eastAsia="es-ES"/>
        </w:rPr>
        <w:t xml:space="preserve"> </w:t>
      </w:r>
      <w:r w:rsidRPr="59521EFA" w:rsidR="00B471FA">
        <w:rPr>
          <w:rFonts w:ascii="Arial" w:hAnsi="Arial" w:eastAsia="Arial" w:cs="Arial"/>
          <w:i w:val="1"/>
          <w:iCs w:val="1"/>
          <w:sz w:val="22"/>
          <w:szCs w:val="22"/>
          <w:lang w:val="es-ES" w:eastAsia="es-ES"/>
        </w:rPr>
        <w:t xml:space="preserve">En primer lugar, </w:t>
      </w:r>
      <w:r w:rsidRPr="59521EFA" w:rsidR="00B471FA">
        <w:rPr>
          <w:rFonts w:ascii="Arial" w:hAnsi="Arial" w:eastAsia="Arial" w:cs="Arial"/>
          <w:sz w:val="22"/>
          <w:szCs w:val="22"/>
          <w:lang w:val="es-ES" w:eastAsia="es-ES"/>
        </w:rPr>
        <w:t>la del artículo 33, que opera solo respecto de las elecciones presidenciales, en virtud de la cual queda proscrita la contratación directa dentro de las elecciones presidenciales, en virtud de la cual queda proscrita la contratación directa dentro de los cuatro (4) meses anteriores a la celebración de los comicios, salvo las citadas excepciones.</w:t>
      </w:r>
      <w:r w:rsidRPr="59521EFA" w:rsidR="00B471FA">
        <w:rPr>
          <w:rFonts w:ascii="Arial" w:hAnsi="Arial" w:eastAsia="Arial" w:cs="Arial"/>
          <w:sz w:val="22"/>
          <w:szCs w:val="22"/>
          <w:lang w:val="es-ES" w:eastAsia="es-ES"/>
        </w:rPr>
        <w:t xml:space="preserve"> </w:t>
      </w:r>
      <w:r w:rsidRPr="59521EFA" w:rsidR="00B471FA">
        <w:rPr>
          <w:rFonts w:ascii="Arial" w:hAnsi="Arial" w:eastAsia="Arial" w:cs="Arial"/>
          <w:sz w:val="22"/>
          <w:szCs w:val="22"/>
          <w:lang w:val="es-ES" w:eastAsia="es-ES"/>
        </w:rPr>
        <w:t>Sin embargo, si ningún candidato obtiene la mitad más uno de los votos que, de manera secreta y directa, depositen los ciudadanos, se celebrará una nueva votación que tendrá lugar a tres semanas más tarde, en la que sólo participarán los dos candidatos que hubieren obtenido las votaciones más altas, de conformidad con el artículo 190 de la Constitución Política.</w:t>
      </w:r>
      <w:r w:rsidRPr="59521EFA" w:rsidR="00B471FA">
        <w:rPr>
          <w:rFonts w:ascii="Arial" w:hAnsi="Arial" w:eastAsia="Arial" w:cs="Arial"/>
          <w:sz w:val="22"/>
          <w:szCs w:val="22"/>
          <w:lang w:val="es-ES" w:eastAsia="es-ES"/>
        </w:rPr>
        <w:t xml:space="preserve"> Para estos efectos, la restricción se extenderá hasta la fecha en la que se realice la segunda vuelta. </w:t>
      </w:r>
      <w:r w:rsidRPr="59521EFA" w:rsidR="00B471FA">
        <w:rPr>
          <w:rFonts w:ascii="Arial" w:hAnsi="Arial" w:eastAsia="Arial" w:cs="Arial"/>
          <w:sz w:val="22"/>
          <w:szCs w:val="22"/>
          <w:lang w:val="es-ES" w:eastAsia="es-ES"/>
        </w:rPr>
        <w:t>Y</w:t>
      </w:r>
      <w:r w:rsidRPr="59521EFA" w:rsidR="00B471FA">
        <w:rPr>
          <w:rFonts w:ascii="Arial" w:hAnsi="Arial" w:eastAsia="Arial" w:cs="Arial"/>
          <w:i w:val="1"/>
          <w:iCs w:val="1"/>
          <w:sz w:val="22"/>
          <w:szCs w:val="22"/>
        </w:rPr>
        <w:t xml:space="preserve"> en segundo lugar, </w:t>
      </w:r>
      <w:r w:rsidRPr="59521EFA" w:rsidR="00B471FA">
        <w:rPr>
          <w:rFonts w:ascii="Arial" w:hAnsi="Arial" w:eastAsia="Arial" w:cs="Arial"/>
          <w:sz w:val="22"/>
          <w:szCs w:val="22"/>
        </w:rPr>
        <w:t>también se encuentra la prohibición de contienda electoral, y que prohíbe la celebración de convenios interadministrativos que impliquen la ejecución de recursos públicos dentro de los cuatro (4) meses anteriores a la respectiva jornada de votaciones.</w:t>
      </w:r>
    </w:p>
    <w:p w:rsidRPr="00BC5BC5" w:rsidR="00B471FA" w:rsidP="59521EFA" w:rsidRDefault="00B471FA" w14:paraId="1502345D" w14:textId="77777777">
      <w:pPr>
        <w:spacing w:before="120" w:line="276" w:lineRule="auto"/>
        <w:ind w:firstLine="709"/>
        <w:jc w:val="both"/>
        <w:rPr>
          <w:rFonts w:ascii="Arial" w:hAnsi="Arial" w:eastAsia="Arial" w:cs="Arial"/>
          <w:i w:val="1"/>
          <w:iCs w:val="1"/>
          <w:sz w:val="22"/>
          <w:szCs w:val="22"/>
          <w:lang w:val="es-ES" w:eastAsia="es-ES"/>
        </w:rPr>
      </w:pPr>
      <w:r w:rsidRPr="59521EFA" w:rsidR="00B471FA">
        <w:rPr>
          <w:rFonts w:ascii="Arial" w:hAnsi="Arial" w:eastAsia="Arial" w:cs="Arial"/>
          <w:sz w:val="22"/>
          <w:szCs w:val="22"/>
          <w:lang w:val="es-ES" w:eastAsia="es-ES"/>
        </w:rPr>
        <w:t xml:space="preserve">Ambas restricciones no son excluyentes, lo que permite concluir </w:t>
      </w:r>
      <w:r w:rsidRPr="59521EFA" w:rsidR="00B471FA">
        <w:rPr>
          <w:rFonts w:ascii="Arial" w:hAnsi="Arial" w:eastAsia="Arial" w:cs="Arial"/>
          <w:sz w:val="22"/>
          <w:szCs w:val="22"/>
          <w:lang w:val="es-ES" w:eastAsia="es-ES"/>
        </w:rPr>
        <w:t>que</w:t>
      </w:r>
      <w:r w:rsidRPr="59521EFA" w:rsidR="00B471FA">
        <w:rPr>
          <w:rFonts w:ascii="Arial" w:hAnsi="Arial" w:eastAsia="Arial" w:cs="Arial"/>
          <w:sz w:val="22"/>
          <w:szCs w:val="22"/>
          <w:lang w:val="es-ES" w:eastAsia="es-ES"/>
        </w:rPr>
        <w:t xml:space="preserve"> en el período preelectoral para elección del </w:t>
      </w:r>
      <w:r w:rsidRPr="59521EFA" w:rsidR="00B471FA">
        <w:rPr>
          <w:rFonts w:ascii="Arial" w:hAnsi="Arial" w:eastAsia="Arial" w:cs="Arial"/>
          <w:sz w:val="22"/>
          <w:szCs w:val="22"/>
          <w:lang w:val="es-ES" w:eastAsia="es-ES"/>
        </w:rPr>
        <w:t>Presidente</w:t>
      </w:r>
      <w:r w:rsidRPr="59521EFA" w:rsidR="00B471FA">
        <w:rPr>
          <w:rFonts w:ascii="Arial" w:hAnsi="Arial" w:eastAsia="Arial" w:cs="Arial"/>
          <w:sz w:val="22"/>
          <w:szCs w:val="22"/>
          <w:lang w:val="es-ES" w:eastAsia="es-ES"/>
        </w:rPr>
        <w:t xml:space="preserve"> de la República, a todos los entes del Estado, incluidos los territoriales, aplican las restricciones del artículo 33 de la Ley 996 de 2005 con sus excepciones, así como las del parágrafo del artículo 38 </w:t>
      </w:r>
      <w:r w:rsidRPr="59521EFA" w:rsidR="00B471FA">
        <w:rPr>
          <w:rFonts w:ascii="Arial" w:hAnsi="Arial" w:eastAsia="Arial" w:cs="Arial"/>
          <w:i w:val="1"/>
          <w:iCs w:val="1"/>
          <w:sz w:val="22"/>
          <w:szCs w:val="22"/>
          <w:lang w:val="es-ES" w:eastAsia="es-ES"/>
        </w:rPr>
        <w:t>ibidem</w:t>
      </w:r>
      <w:r w:rsidRPr="59521EFA" w:rsidR="00B471FA">
        <w:rPr>
          <w:rFonts w:ascii="Arial" w:hAnsi="Arial" w:eastAsia="Arial" w:cs="Arial"/>
          <w:sz w:val="22"/>
          <w:szCs w:val="22"/>
          <w:lang w:val="es-ES" w:eastAsia="es-ES"/>
        </w:rPr>
        <w:t xml:space="preserve">. En cambio, tratándose de elecciones en general, excluyendo las correspondientes al </w:t>
      </w:r>
      <w:r w:rsidRPr="59521EFA" w:rsidR="00B471FA">
        <w:rPr>
          <w:rFonts w:ascii="Arial" w:hAnsi="Arial" w:eastAsia="Arial" w:cs="Arial"/>
          <w:sz w:val="22"/>
          <w:szCs w:val="22"/>
          <w:lang w:val="es-ES" w:eastAsia="es-ES"/>
        </w:rPr>
        <w:t>Presidente</w:t>
      </w:r>
      <w:r w:rsidRPr="59521EFA" w:rsidR="00B471FA">
        <w:rPr>
          <w:rFonts w:ascii="Arial" w:hAnsi="Arial" w:eastAsia="Arial" w:cs="Arial"/>
          <w:sz w:val="22"/>
          <w:szCs w:val="22"/>
          <w:lang w:val="es-ES" w:eastAsia="es-ES"/>
        </w:rPr>
        <w:t xml:space="preserve"> de la República, las autoridades allí mencionadas sólo deben aplicar las restricciones contenidas en el parágrafo del artículo 38 </w:t>
      </w:r>
      <w:r w:rsidRPr="59521EFA" w:rsidR="00B471FA">
        <w:rPr>
          <w:rFonts w:ascii="Arial" w:hAnsi="Arial" w:eastAsia="Arial" w:cs="Arial"/>
          <w:i w:val="1"/>
          <w:iCs w:val="1"/>
          <w:sz w:val="22"/>
          <w:szCs w:val="22"/>
          <w:lang w:val="es-ES" w:eastAsia="es-ES"/>
        </w:rPr>
        <w:t>ibidem</w:t>
      </w:r>
      <w:r w:rsidRPr="59521EFA" w:rsidR="00B471FA">
        <w:rPr>
          <w:rFonts w:ascii="Arial" w:hAnsi="Arial" w:eastAsia="Arial" w:cs="Arial"/>
          <w:sz w:val="22"/>
          <w:szCs w:val="22"/>
          <w:lang w:val="es-ES" w:eastAsia="es-ES"/>
        </w:rPr>
        <w:t>. Restricción en la que enfatizaremos, según el objeto bajo consulta.</w:t>
      </w:r>
    </w:p>
    <w:p w:rsidRPr="00BC5BC5" w:rsidR="00B471FA" w:rsidP="59521EFA" w:rsidRDefault="00B471FA" w14:paraId="109F908E" w14:textId="77777777" w14:noSpellErr="1">
      <w:pPr>
        <w:spacing w:line="276" w:lineRule="auto"/>
        <w:jc w:val="both"/>
        <w:rPr>
          <w:rFonts w:ascii="Arial" w:hAnsi="Arial" w:eastAsia="Arial" w:cs="Arial"/>
          <w:lang w:val="es-ES" w:eastAsia="es-ES"/>
        </w:rPr>
      </w:pPr>
    </w:p>
    <w:p w:rsidRPr="00BC5BC5" w:rsidR="00B471FA" w:rsidP="59521EFA" w:rsidRDefault="00B471FA" w14:paraId="547956F9" w14:textId="77777777" w14:noSpellErr="1">
      <w:pPr>
        <w:spacing w:line="276" w:lineRule="auto"/>
        <w:jc w:val="both"/>
        <w:rPr>
          <w:rFonts w:ascii="Arial" w:hAnsi="Arial" w:eastAsia="Arial" w:cs="Arial"/>
          <w:b w:val="1"/>
          <w:bCs w:val="1"/>
          <w:lang w:val="es-ES" w:eastAsia="es-CO"/>
        </w:rPr>
      </w:pPr>
      <w:r w:rsidRPr="59521EFA" w:rsidR="00B471FA">
        <w:rPr>
          <w:rFonts w:ascii="Arial" w:hAnsi="Arial" w:eastAsia="Arial" w:cs="Arial"/>
          <w:b w:val="1"/>
          <w:bCs w:val="1"/>
          <w:lang w:val="es-ES" w:eastAsia="es-ES"/>
        </w:rPr>
        <w:t xml:space="preserve">2.2. </w:t>
      </w:r>
      <w:r w:rsidRPr="59521EFA" w:rsidR="00B471FA">
        <w:rPr>
          <w:rFonts w:ascii="Arial" w:hAnsi="Arial" w:eastAsia="Arial" w:cs="Arial"/>
          <w:b w:val="1"/>
          <w:bCs w:val="1"/>
          <w:lang w:eastAsia="es-CO"/>
        </w:rPr>
        <w:t>Restricciones en elecciones presidenciales: prohibición del artículo 33 de la Ley 996 de 2005. Reiteración de línea.</w:t>
      </w:r>
    </w:p>
    <w:p w:rsidRPr="00BC5BC5" w:rsidR="00B471FA" w:rsidP="59521EFA" w:rsidRDefault="00B471FA" w14:paraId="4E0A81EC" w14:textId="77777777" w14:noSpellErr="1">
      <w:pPr>
        <w:spacing w:line="276" w:lineRule="auto"/>
        <w:contextualSpacing/>
        <w:jc w:val="both"/>
        <w:rPr>
          <w:rFonts w:ascii="Arial" w:hAnsi="Arial" w:eastAsia="Arial" w:cs="Arial"/>
          <w:lang w:eastAsia="x-none"/>
        </w:rPr>
      </w:pPr>
    </w:p>
    <w:p w:rsidRPr="00BC5BC5" w:rsidR="00B471FA" w:rsidP="59521EFA" w:rsidRDefault="00B471FA" w14:paraId="0427110E" w14:textId="77777777" w14:noSpellErr="1">
      <w:pPr>
        <w:spacing w:line="276" w:lineRule="auto"/>
        <w:contextualSpacing/>
        <w:jc w:val="both"/>
        <w:rPr>
          <w:rFonts w:ascii="Arial" w:hAnsi="Arial" w:eastAsia="Arial" w:cs="Arial"/>
          <w:sz w:val="22"/>
          <w:szCs w:val="22"/>
          <w:lang w:eastAsia="es-CO"/>
        </w:rPr>
      </w:pPr>
      <w:r w:rsidRPr="59521EFA" w:rsidR="00B471FA">
        <w:rPr>
          <w:rFonts w:ascii="Arial" w:hAnsi="Arial" w:eastAsia="Arial" w:cs="Arial"/>
          <w:sz w:val="22"/>
          <w:szCs w:val="22"/>
        </w:rPr>
        <w:t xml:space="preserve">El ámbito material de la prohibición contenida </w:t>
      </w:r>
      <w:bookmarkStart w:name="_Hlk75628761" w:id="17"/>
      <w:r w:rsidRPr="59521EFA" w:rsidR="00B471FA">
        <w:rPr>
          <w:rFonts w:ascii="Arial" w:hAnsi="Arial" w:eastAsia="Arial" w:cs="Arial"/>
          <w:sz w:val="22"/>
          <w:szCs w:val="22"/>
        </w:rPr>
        <w:t xml:space="preserve">en el artículo 33 de la Ley 996 de 2005 </w:t>
      </w:r>
      <w:bookmarkEnd w:id="17"/>
      <w:r w:rsidRPr="59521EFA" w:rsidR="00B471FA">
        <w:rPr>
          <w:rFonts w:ascii="Arial" w:hAnsi="Arial" w:eastAsia="Arial" w:cs="Arial"/>
          <w:sz w:val="22"/>
          <w:szCs w:val="22"/>
        </w:rPr>
        <w:t xml:space="preserve">está delimitado por la expresión </w:t>
      </w:r>
      <w:r w:rsidRPr="59521EFA" w:rsidR="00B471FA">
        <w:rPr>
          <w:rFonts w:ascii="Arial" w:hAnsi="Arial" w:eastAsia="Arial" w:cs="Arial"/>
          <w:sz w:val="22"/>
          <w:szCs w:val="22"/>
        </w:rPr>
        <w:t>“</w:t>
      </w:r>
      <w:r w:rsidRPr="59521EFA" w:rsidR="00B471FA">
        <w:rPr>
          <w:rFonts w:ascii="Arial" w:hAnsi="Arial" w:eastAsia="Arial" w:cs="Arial"/>
          <w:sz w:val="22"/>
          <w:szCs w:val="22"/>
        </w:rPr>
        <w:t>queda prohibida la contratación directa</w:t>
      </w:r>
      <w:r w:rsidRPr="59521EFA" w:rsidR="00B471FA">
        <w:rPr>
          <w:rFonts w:ascii="Arial" w:hAnsi="Arial" w:eastAsia="Arial" w:cs="Arial"/>
          <w:sz w:val="22"/>
          <w:szCs w:val="22"/>
        </w:rPr>
        <w:t>”</w:t>
      </w:r>
      <w:r w:rsidRPr="59521EFA" w:rsidR="00B471FA">
        <w:rPr>
          <w:rFonts w:ascii="Arial" w:hAnsi="Arial" w:eastAsia="Arial" w:cs="Arial"/>
          <w:sz w:val="22"/>
          <w:szCs w:val="22"/>
        </w:rPr>
        <w:t>.</w:t>
      </w:r>
      <w:r w:rsidRPr="59521EFA" w:rsidR="00B471FA">
        <w:rPr>
          <w:rFonts w:ascii="Arial" w:hAnsi="Arial" w:eastAsia="Arial" w:cs="Arial"/>
          <w:sz w:val="22"/>
          <w:szCs w:val="22"/>
          <w:lang w:eastAsia="es-CO"/>
        </w:rPr>
        <w:t xml:space="preserve"> A propósito de esta restricción de la Ley de Garantías Electorales, la Sala de Consulta y Servicio Civil del Consejo de Estado ha considerado que:</w:t>
      </w:r>
    </w:p>
    <w:p w:rsidRPr="00BC5BC5" w:rsidR="00B471FA" w:rsidP="59521EFA" w:rsidRDefault="00B471FA" w14:paraId="69C60326" w14:textId="77777777" w14:noSpellErr="1">
      <w:pPr>
        <w:spacing w:line="276" w:lineRule="auto"/>
        <w:ind w:left="708" w:right="709"/>
        <w:contextualSpacing/>
        <w:jc w:val="both"/>
        <w:rPr>
          <w:rFonts w:ascii="Arial" w:hAnsi="Arial" w:eastAsia="Arial" w:cs="Arial"/>
        </w:rPr>
      </w:pPr>
    </w:p>
    <w:p w:rsidRPr="00BC5BC5" w:rsidR="00B471FA" w:rsidP="59521EFA" w:rsidRDefault="00B471FA" w14:paraId="6C73CA6E" w14:textId="77777777" w14:noSpellErr="1">
      <w:pPr>
        <w:spacing/>
        <w:ind w:left="709" w:right="709"/>
        <w:contextualSpacing/>
        <w:jc w:val="both"/>
        <w:rPr>
          <w:rFonts w:ascii="Arial" w:hAnsi="Arial" w:eastAsia="Arial" w:cs="Arial"/>
          <w:sz w:val="21"/>
          <w:szCs w:val="21"/>
        </w:rPr>
      </w:pPr>
      <w:r w:rsidRPr="59521EFA" w:rsidR="00B471FA">
        <w:rPr>
          <w:rFonts w:ascii="Arial" w:hAnsi="Arial" w:eastAsia="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59521EFA">
        <w:rPr>
          <w:rFonts w:ascii="Arial" w:hAnsi="Arial" w:eastAsia="Arial" w:cs="Arial"/>
          <w:sz w:val="21"/>
          <w:szCs w:val="21"/>
          <w:vertAlign w:val="superscript"/>
          <w:lang w:eastAsia="es-CO"/>
        </w:rPr>
        <w:footnoteReference w:id="12"/>
      </w:r>
      <w:r w:rsidRPr="59521EFA" w:rsidR="00B471FA">
        <w:rPr>
          <w:rFonts w:ascii="Arial" w:hAnsi="Arial" w:eastAsia="Arial" w:cs="Arial"/>
          <w:sz w:val="21"/>
          <w:szCs w:val="21"/>
        </w:rPr>
        <w:t>.</w:t>
      </w:r>
    </w:p>
    <w:p w:rsidRPr="00BC5BC5" w:rsidR="00B471FA" w:rsidP="59521EFA" w:rsidRDefault="00B471FA" w14:paraId="3129C0F1" w14:textId="77777777" w14:noSpellErr="1">
      <w:pPr>
        <w:spacing/>
        <w:ind w:left="709" w:right="709"/>
        <w:contextualSpacing/>
        <w:jc w:val="both"/>
        <w:rPr>
          <w:rFonts w:ascii="Arial" w:hAnsi="Arial" w:eastAsia="Arial" w:cs="Arial"/>
          <w:sz w:val="21"/>
          <w:szCs w:val="21"/>
        </w:rPr>
      </w:pPr>
    </w:p>
    <w:p w:rsidRPr="00BC5BC5" w:rsidR="00B471FA" w:rsidP="59521EFA" w:rsidRDefault="00B471FA" w14:paraId="29DBB571" w14:textId="77777777" w14:noSpellErr="1">
      <w:pPr>
        <w:spacing/>
        <w:ind w:left="709" w:right="709"/>
        <w:contextualSpacing/>
        <w:jc w:val="both"/>
        <w:rPr>
          <w:rFonts w:ascii="Arial" w:hAnsi="Arial" w:eastAsia="Arial" w:cs="Arial"/>
          <w:sz w:val="21"/>
          <w:szCs w:val="21"/>
        </w:rPr>
      </w:pPr>
      <w:r w:rsidRPr="59521EFA" w:rsidR="00B471FA">
        <w:rPr>
          <w:rFonts w:ascii="Arial" w:hAnsi="Arial" w:eastAsia="Arial" w:cs="Arial"/>
          <w:sz w:val="21"/>
          <w:szCs w:val="21"/>
        </w:rPr>
        <w:t xml:space="preserve">Esta Sala ha entendido </w:t>
      </w:r>
      <w:r w:rsidRPr="59521EFA" w:rsidR="00B471FA">
        <w:rPr>
          <w:rFonts w:ascii="Arial" w:hAnsi="Arial" w:eastAsia="Arial" w:cs="Arial"/>
          <w:sz w:val="21"/>
          <w:szCs w:val="21"/>
        </w:rPr>
        <w:t xml:space="preserve">que</w:t>
      </w:r>
      <w:r w:rsidRPr="59521EFA" w:rsidR="00B471FA">
        <w:rPr>
          <w:rFonts w:ascii="Arial" w:hAnsi="Arial" w:eastAsia="Arial" w:cs="Arial"/>
          <w:sz w:val="21"/>
          <w:szCs w:val="21"/>
        </w:rPr>
        <w:t xml:space="preserve"> para los efectos de la ley de garantías, y dada su finalidad, el enunciado ´contratación directa´ es sinónimo </w:t>
      </w:r>
      <w:bookmarkStart w:name="_Hlk75741738" w:id="18"/>
      <w:r w:rsidRPr="59521EFA" w:rsidR="00B471FA">
        <w:rPr>
          <w:rFonts w:ascii="Arial" w:hAnsi="Arial" w:eastAsia="Arial" w:cs="Arial"/>
          <w:sz w:val="21"/>
          <w:szCs w:val="21"/>
        </w:rPr>
        <w:t xml:space="preserve">de cualquier sistema que no implique convocatoria pública y posibilidad de pluralidad de oferentes, </w:t>
      </w:r>
      <w:bookmarkEnd w:id="18"/>
      <w:r w:rsidRPr="59521EFA" w:rsidR="00B471FA">
        <w:rPr>
          <w:rFonts w:ascii="Arial" w:hAnsi="Arial" w:eastAsia="Arial" w:cs="Arial"/>
          <w:sz w:val="21"/>
          <w:szCs w:val="21"/>
        </w:rPr>
        <w:t>y que, además, no necesariamente hace referencia al procedimiento especial regulado por la ley de contratación estatal, sino a cualquier otro que prescinda de un proceso de licitación pública o concurso</w:t>
      </w:r>
      <w:r w:rsidRPr="59521EFA">
        <w:rPr>
          <w:rFonts w:ascii="Arial" w:hAnsi="Arial" w:eastAsia="Arial" w:cs="Arial"/>
          <w:sz w:val="21"/>
          <w:szCs w:val="21"/>
          <w:vertAlign w:val="superscript"/>
        </w:rPr>
        <w:footnoteReference w:id="13"/>
      </w:r>
      <w:r w:rsidRPr="59521EFA" w:rsidR="00B471FA">
        <w:rPr>
          <w:rFonts w:ascii="Arial" w:hAnsi="Arial" w:eastAsia="Arial" w:cs="Arial"/>
          <w:sz w:val="21"/>
          <w:szCs w:val="21"/>
          <w:vertAlign w:val="superscript"/>
        </w:rPr>
        <w:t>.</w:t>
      </w:r>
      <w:r w:rsidRPr="59521EFA" w:rsidR="00B471FA">
        <w:rPr>
          <w:rFonts w:ascii="Arial" w:hAnsi="Arial" w:eastAsia="Arial" w:cs="Arial"/>
          <w:sz w:val="21"/>
          <w:szCs w:val="21"/>
        </w:rPr>
        <w:t xml:space="preserve"> </w:t>
      </w:r>
      <w:r w:rsidRPr="59521EFA" w:rsidR="00B471FA">
        <w:rPr>
          <w:rFonts w:ascii="Arial" w:hAnsi="Arial" w:eastAsia="Arial" w:cs="Arial"/>
          <w:sz w:val="21"/>
          <w:szCs w:val="21"/>
        </w:rPr>
        <w:t xml:space="preserve">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w:t>
      </w:r>
      <w:r w:rsidRPr="59521EFA" w:rsidR="00B471FA">
        <w:rPr>
          <w:rFonts w:ascii="Arial" w:hAnsi="Arial" w:eastAsia="Arial" w:cs="Arial"/>
          <w:sz w:val="21"/>
          <w:szCs w:val="21"/>
        </w:rPr>
        <w:t xml:space="preserve"> [...]</w:t>
      </w:r>
      <w:r w:rsidRPr="59521EFA">
        <w:rPr>
          <w:rFonts w:ascii="Arial" w:hAnsi="Arial" w:eastAsia="Arial" w:cs="Arial"/>
          <w:sz w:val="21"/>
          <w:szCs w:val="21"/>
          <w:vertAlign w:val="superscript"/>
          <w:lang w:eastAsia="es-CO"/>
        </w:rPr>
        <w:footnoteReference w:id="14"/>
      </w:r>
      <w:r w:rsidRPr="59521EFA" w:rsidR="00B471FA">
        <w:rPr>
          <w:rFonts w:ascii="Arial" w:hAnsi="Arial" w:eastAsia="Arial" w:cs="Arial"/>
          <w:sz w:val="21"/>
          <w:szCs w:val="21"/>
        </w:rPr>
        <w:t>”.</w:t>
      </w:r>
    </w:p>
    <w:p w:rsidRPr="00BC5BC5" w:rsidR="00B471FA" w:rsidP="59521EFA" w:rsidRDefault="00B471FA" w14:paraId="6CCC8C5C" w14:textId="77777777" w14:noSpellErr="1">
      <w:pPr>
        <w:shd w:val="clear" w:color="auto" w:fill="FFFFFF" w:themeFill="background1"/>
        <w:spacing w:line="276" w:lineRule="auto"/>
        <w:ind w:firstLine="709"/>
        <w:contextualSpacing/>
        <w:jc w:val="both"/>
        <w:rPr>
          <w:rFonts w:ascii="Arial" w:hAnsi="Arial" w:eastAsia="Arial" w:cs="Arial"/>
          <w:sz w:val="22"/>
          <w:szCs w:val="22"/>
          <w:lang w:eastAsia="x-none"/>
        </w:rPr>
      </w:pPr>
    </w:p>
    <w:p w:rsidRPr="00BC5BC5" w:rsidR="00B471FA" w:rsidP="59521EFA" w:rsidRDefault="00B471FA" w14:paraId="7E319D3B" w14:textId="77777777" w14:noSpellErr="1">
      <w:pPr>
        <w:spacing w:after="120" w:line="276" w:lineRule="auto"/>
        <w:ind w:firstLine="709"/>
        <w:jc w:val="both"/>
        <w:rPr>
          <w:rFonts w:ascii="Arial" w:hAnsi="Arial" w:eastAsia="Arial" w:cs="Arial"/>
          <w:sz w:val="22"/>
          <w:szCs w:val="22"/>
          <w:lang w:eastAsia="x-none"/>
        </w:rPr>
      </w:pPr>
      <w:bookmarkStart w:name="_Hlk94521748" w:id="19"/>
      <w:r w:rsidRPr="59521EFA" w:rsidR="00B471FA">
        <w:rPr>
          <w:rFonts w:ascii="Arial" w:hAnsi="Arial" w:eastAsia="Arial" w:cs="Arial"/>
          <w:sz w:val="22"/>
          <w:szCs w:val="22"/>
          <w:lang w:eastAsia="x-none"/>
        </w:rPr>
        <w:t xml:space="preserve">De conformidad con el citado concepto, </w:t>
      </w:r>
      <w:bookmarkStart w:name="_Hlk78818702" w:id="20"/>
      <w:r w:rsidRPr="59521EFA" w:rsidR="00B471FA">
        <w:rPr>
          <w:rFonts w:ascii="Arial" w:hAnsi="Arial" w:eastAsia="Arial" w:cs="Arial"/>
          <w:sz w:val="22"/>
          <w:szCs w:val="22"/>
          <w:lang w:eastAsia="x-none"/>
        </w:rPr>
        <w:t xml:space="preserve">la prohibición del artículo 33 de la Ley de Garantías Electorales se refiere a </w:t>
      </w:r>
      <w:r w:rsidRPr="59521EFA" w:rsidR="00B471FA">
        <w:rPr>
          <w:rFonts w:ascii="Arial" w:hAnsi="Arial" w:eastAsia="Arial" w:cs="Arial"/>
          <w:sz w:val="22"/>
          <w:szCs w:val="22"/>
        </w:rPr>
        <w:t>“</w:t>
      </w:r>
      <w:r w:rsidRPr="59521EFA" w:rsidR="00B471FA">
        <w:rPr>
          <w:rFonts w:ascii="Arial" w:hAnsi="Arial" w:eastAsia="Arial" w:cs="Arial"/>
          <w:sz w:val="22"/>
          <w:szCs w:val="22"/>
          <w:lang w:eastAsia="x-none"/>
        </w:rPr>
        <w:t>cualquier sistema que no implique convocatoria pública y posibilidad de pluralidad de oferentes</w:t>
      </w:r>
      <w:r w:rsidRPr="59521EFA" w:rsidR="00B471FA">
        <w:rPr>
          <w:rFonts w:ascii="Arial" w:hAnsi="Arial" w:eastAsia="Arial" w:cs="Arial"/>
          <w:sz w:val="22"/>
          <w:szCs w:val="22"/>
        </w:rPr>
        <w:t>”</w:t>
      </w:r>
      <w:r w:rsidRPr="59521EFA" w:rsidR="00B471FA">
        <w:rPr>
          <w:rFonts w:ascii="Arial" w:hAnsi="Arial" w:eastAsia="Arial" w:cs="Arial"/>
          <w:sz w:val="22"/>
          <w:szCs w:val="22"/>
          <w:lang w:eastAsia="x-none"/>
        </w:rPr>
        <w:t xml:space="preserve">, por </w:t>
      </w:r>
      <w:r w:rsidRPr="59521EFA" w:rsidR="00B471FA">
        <w:rPr>
          <w:rFonts w:ascii="Arial" w:hAnsi="Arial" w:eastAsia="Arial" w:cs="Arial"/>
          <w:sz w:val="22"/>
          <w:szCs w:val="22"/>
          <w:lang w:eastAsia="x-none"/>
        </w:rPr>
        <w:lastRenderedPageBreak/>
        <w:t xml:space="preserve">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w:t>
      </w:r>
      <w:bookmarkEnd w:id="19"/>
      <w:bookmarkEnd w:id="20"/>
      <w:r w:rsidRPr="59521EFA" w:rsidR="00B471FA">
        <w:rPr>
          <w:rFonts w:ascii="Arial" w:hAnsi="Arial" w:eastAsia="Arial" w:cs="Arial"/>
          <w:sz w:val="22"/>
          <w:szCs w:val="22"/>
          <w:lang w:eastAsia="x-none"/>
        </w:rPr>
        <w:t>Esta posición es congruente con la expedición de la Ley 1150 de 2007 que, entre otras reformas, introdujo la selección abreviada, rediseñó el concurso de méritos</w:t>
      </w:r>
      <w:r w:rsidRPr="59521EFA">
        <w:rPr>
          <w:rFonts w:ascii="Arial" w:hAnsi="Arial" w:eastAsia="Arial" w:cs="Arial"/>
          <w:sz w:val="22"/>
          <w:szCs w:val="22"/>
          <w:vertAlign w:val="superscript"/>
          <w:lang w:val="en-GB"/>
        </w:rPr>
        <w:footnoteReference w:id="15"/>
      </w:r>
      <w:r w:rsidRPr="59521EFA" w:rsidR="00B471FA">
        <w:rPr>
          <w:rFonts w:ascii="Arial" w:hAnsi="Arial" w:eastAsia="Arial" w:cs="Arial"/>
          <w:sz w:val="22"/>
          <w:szCs w:val="22"/>
          <w:lang w:eastAsia="x-none"/>
        </w:rPr>
        <w:t xml:space="preserve"> y sistematizó las causales de contratación directa</w:t>
      </w:r>
      <w:r w:rsidRPr="59521EFA">
        <w:rPr>
          <w:rFonts w:ascii="Arial" w:hAnsi="Arial" w:eastAsia="Arial" w:cs="Arial"/>
          <w:sz w:val="22"/>
          <w:szCs w:val="22"/>
          <w:vertAlign w:val="superscript"/>
          <w:lang w:val="en-GB"/>
        </w:rPr>
        <w:footnoteReference w:id="16"/>
      </w:r>
      <w:r w:rsidRPr="59521EFA" w:rsidR="00B471FA">
        <w:rPr>
          <w:rFonts w:ascii="Arial" w:hAnsi="Arial" w:eastAsia="Arial" w:cs="Arial"/>
          <w:sz w:val="22"/>
          <w:szCs w:val="22"/>
          <w:lang w:eastAsia="x-none"/>
        </w:rPr>
        <w:t xml:space="preserve">, además lo es con la posterior creación de la modalidad de mínima cuantía establecida actualmente en el numeral 5, del artículo 2, de la Ley 1150 de 2007, de acuerdo con las modificaciones realizadas por las leyes posteriores.</w:t>
      </w:r>
      <w:r w:rsidRPr="59521EFA" w:rsidR="00B471FA">
        <w:rPr>
          <w:rFonts w:ascii="Arial" w:hAnsi="Arial" w:eastAsia="Arial" w:cs="Arial"/>
          <w:sz w:val="22"/>
          <w:szCs w:val="22"/>
          <w:lang w:eastAsia="x-none"/>
        </w:rPr>
        <w:t xml:space="preserve"> </w:t>
      </w:r>
    </w:p>
    <w:p w:rsidRPr="00BC5BC5" w:rsidR="00B471FA" w:rsidP="59521EFA" w:rsidRDefault="00B471FA" w14:paraId="5069CB5B" w14:textId="77777777" w14:noSpellErr="1">
      <w:pPr>
        <w:spacing w:after="120" w:line="276" w:lineRule="auto"/>
        <w:ind w:firstLine="709"/>
        <w:jc w:val="both"/>
        <w:rPr>
          <w:rFonts w:ascii="Arial" w:hAnsi="Arial" w:eastAsia="Arial" w:cs="Arial"/>
          <w:sz w:val="22"/>
          <w:szCs w:val="22"/>
          <w:lang w:eastAsia="x-none"/>
        </w:rPr>
      </w:pPr>
      <w:r w:rsidRPr="59521EFA" w:rsidR="00B471FA">
        <w:rPr>
          <w:rFonts w:ascii="Arial" w:hAnsi="Arial" w:eastAsia="Arial" w:cs="Arial"/>
          <w:sz w:val="22"/>
          <w:szCs w:val="22"/>
          <w:lang w:eastAsia="x-none"/>
        </w:rPr>
        <w:t xml:space="preserve">De esta forma, con fundamento en la evolución de la normativa sobre la contratación pública, se ha depurado la noción de </w:t>
      </w:r>
      <w:r w:rsidRPr="59521EFA" w:rsidR="00B471FA">
        <w:rPr>
          <w:rFonts w:ascii="Arial" w:hAnsi="Arial" w:eastAsia="Arial" w:cs="Arial"/>
          <w:sz w:val="22"/>
          <w:szCs w:val="22"/>
        </w:rPr>
        <w:t>“</w:t>
      </w:r>
      <w:r w:rsidRPr="59521EFA" w:rsidR="00B471FA">
        <w:rPr>
          <w:rFonts w:ascii="Arial" w:hAnsi="Arial" w:eastAsia="Arial" w:cs="Arial"/>
          <w:sz w:val="22"/>
          <w:szCs w:val="22"/>
          <w:lang w:eastAsia="x-none"/>
        </w:rPr>
        <w:t>contratación directa</w:t>
      </w:r>
      <w:r w:rsidRPr="59521EFA" w:rsidR="00B471FA">
        <w:rPr>
          <w:rFonts w:ascii="Arial" w:hAnsi="Arial" w:eastAsia="Arial" w:cs="Arial"/>
          <w:sz w:val="22"/>
          <w:szCs w:val="22"/>
        </w:rPr>
        <w:t>”</w:t>
      </w:r>
      <w:r w:rsidRPr="59521EFA" w:rsidR="00B471FA">
        <w:rPr>
          <w:rFonts w:ascii="Arial" w:hAnsi="Arial" w:eastAsia="Arial" w:cs="Arial"/>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59521EFA">
        <w:rPr>
          <w:rFonts w:ascii="Arial" w:hAnsi="Arial" w:eastAsia="Arial" w:cs="Arial"/>
          <w:sz w:val="22"/>
          <w:szCs w:val="22"/>
          <w:vertAlign w:val="superscript"/>
          <w:lang w:val="en-GB"/>
        </w:rPr>
        <w:footnoteReference w:id="17"/>
      </w:r>
      <w:r w:rsidRPr="59521EFA" w:rsidR="00B471FA">
        <w:rPr>
          <w:rFonts w:ascii="Arial" w:hAnsi="Arial" w:eastAsia="Arial" w:cs="Arial"/>
          <w:sz w:val="22"/>
          <w:szCs w:val="22"/>
          <w:lang w:eastAsia="x-none"/>
        </w:rPr>
        <w:t>, han establecido sistemas de contratación que implican convocatoria pública y participación de varios oferentes”.</w:t>
      </w:r>
    </w:p>
    <w:p w:rsidRPr="00BC5BC5" w:rsidR="00B471FA" w:rsidP="59521EFA" w:rsidRDefault="00B471FA" w14:paraId="05AB43B2" w14:textId="77777777" w14:noSpellErr="1">
      <w:pPr>
        <w:spacing w:after="120" w:line="276" w:lineRule="auto"/>
        <w:ind w:firstLine="709"/>
        <w:jc w:val="both"/>
        <w:rPr>
          <w:rFonts w:ascii="Arial" w:hAnsi="Arial" w:eastAsia="Arial" w:cs="Arial"/>
          <w:sz w:val="22"/>
          <w:szCs w:val="22"/>
          <w:lang w:eastAsia="es-CO"/>
        </w:rPr>
      </w:pPr>
      <w:r w:rsidRPr="59521EFA" w:rsidR="00B471FA">
        <w:rPr>
          <w:rFonts w:ascii="Arial" w:hAnsi="Arial" w:eastAsia="Arial" w:cs="Arial"/>
          <w:sz w:val="22"/>
          <w:szCs w:val="22"/>
          <w:lang w:eastAsia="x-none"/>
        </w:rPr>
        <w:t>E</w:t>
      </w:r>
      <w:r w:rsidRPr="59521EFA" w:rsidR="00B471FA">
        <w:rPr>
          <w:rFonts w:ascii="Arial" w:hAnsi="Arial" w:eastAsia="Arial" w:cs="Arial"/>
          <w:sz w:val="22"/>
          <w:szCs w:val="22"/>
          <w:lang w:eastAsia="x-none"/>
        </w:rPr>
        <w:t xml:space="preserve">n efecto, vale la pena mencionar que, </w:t>
      </w:r>
      <w:bookmarkStart w:name="_Hlk75636073" w:id="21"/>
      <w:r w:rsidRPr="59521EFA" w:rsidR="00B471FA">
        <w:rPr>
          <w:rFonts w:ascii="Arial" w:hAnsi="Arial" w:eastAsia="Arial" w:cs="Arial"/>
          <w:sz w:val="22"/>
          <w:szCs w:val="22"/>
          <w:lang w:eastAsia="x-none"/>
        </w:rPr>
        <w:t xml:space="preserve">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w:t>
      </w:r>
      <w:r w:rsidRPr="59521EFA" w:rsidR="00B471FA">
        <w:rPr>
          <w:rFonts w:ascii="Arial" w:hAnsi="Arial" w:eastAsia="Arial" w:cs="Arial"/>
          <w:sz w:val="22"/>
          <w:szCs w:val="22"/>
          <w:lang w:eastAsia="x-none"/>
        </w:rPr>
        <w:t>registro o banco de datos de proveedores.</w:t>
      </w:r>
      <w:r w:rsidRPr="59521EFA" w:rsidR="00B471FA">
        <w:rPr>
          <w:rFonts w:ascii="Arial" w:hAnsi="Arial" w:eastAsia="Arial" w:cs="Arial"/>
          <w:sz w:val="22"/>
          <w:szCs w:val="22"/>
          <w:lang w:eastAsia="x-none"/>
        </w:rPr>
        <w:lastRenderedPageBreak/>
        <w:t xml:space="preserve"> En estos casos, lo determinante para considerar que dicho sistema no constituye “contratación directa”, es que la convocatoria para inscribirse en forma previa se haga de manera pública, y que se permita la participación de una pluralidad de oferentes</w:t>
      </w:r>
      <w:bookmarkEnd w:id="21"/>
      <w:r w:rsidRPr="59521EFA">
        <w:rPr>
          <w:rFonts w:ascii="Arial" w:hAnsi="Arial" w:eastAsia="Arial" w:cs="Arial"/>
          <w:sz w:val="22"/>
          <w:szCs w:val="22"/>
          <w:vertAlign w:val="superscript"/>
          <w:lang w:eastAsia="x-none"/>
        </w:rPr>
        <w:footnoteReference w:id="18"/>
      </w:r>
      <w:r w:rsidRPr="59521EFA" w:rsidR="00B471FA">
        <w:rPr>
          <w:rFonts w:ascii="Arial" w:hAnsi="Arial" w:eastAsia="Arial" w:cs="Arial"/>
          <w:sz w:val="22"/>
          <w:szCs w:val="22"/>
          <w:lang w:eastAsia="x-none"/>
        </w:rPr>
        <w:t xml:space="preserve">. </w:t>
      </w:r>
    </w:p>
    <w:p w:rsidRPr="00BC5BC5" w:rsidR="00B471FA" w:rsidP="59521EFA" w:rsidRDefault="00B471FA" w14:paraId="1650AAC8" w14:textId="77777777" w14:noSpellErr="1">
      <w:pPr>
        <w:spacing w:after="120" w:line="276" w:lineRule="auto"/>
        <w:ind w:firstLine="709"/>
        <w:jc w:val="both"/>
        <w:rPr>
          <w:rFonts w:ascii="Arial" w:hAnsi="Arial" w:eastAsia="Arial" w:cs="Arial"/>
          <w:sz w:val="22"/>
          <w:szCs w:val="22"/>
          <w:lang w:eastAsia="es-CO"/>
        </w:rPr>
      </w:pPr>
      <w:r w:rsidRPr="59521EFA" w:rsidR="00B471FA">
        <w:rPr>
          <w:rFonts w:ascii="Arial" w:hAnsi="Arial" w:eastAsia="Arial" w:cs="Arial"/>
          <w:sz w:val="22"/>
          <w:szCs w:val="22"/>
          <w:lang w:eastAsia="es-CO"/>
        </w:rPr>
        <w:t>Como se advierte de lo anterior, el Consejo de Estado realiza una interpretación amplia de la contratación directa, para efectos de aplicar las restricciones establecidas en la Ley de Garantías Electorales, al señalar que no solo aplica frente a las entidades sometidas al Estatuto General de Contratación de la Administración Pública, sino también frente a las entidades que tengan un régimen especial de contratación.</w:t>
      </w:r>
      <w:r w:rsidRPr="59521EFA" w:rsidR="00B471FA">
        <w:rPr>
          <w:rFonts w:ascii="Arial" w:hAnsi="Arial" w:eastAsia="Arial" w:cs="Arial"/>
          <w:sz w:val="22"/>
          <w:szCs w:val="22"/>
          <w:lang w:eastAsia="es-CO"/>
        </w:rPr>
        <w:t xml:space="preserve"> No obstante, también se observa que luego de la expedición de Ley 1150 de 2007, el Consejo de Estado comenzó a delimitar con mayor precisión el término de “contratación directa”.</w:t>
      </w:r>
    </w:p>
    <w:p w:rsidRPr="00BC5BC5" w:rsidR="00B471FA" w:rsidP="59521EFA" w:rsidRDefault="00B471FA" w14:paraId="2FB46717" w14:textId="77777777" w14:noSpellErr="1">
      <w:pPr>
        <w:spacing w:after="120" w:line="276" w:lineRule="auto"/>
        <w:ind w:firstLine="709"/>
        <w:jc w:val="both"/>
        <w:rPr>
          <w:rFonts w:ascii="Arial" w:hAnsi="Arial" w:eastAsia="Arial" w:cs="Arial"/>
          <w:sz w:val="22"/>
          <w:szCs w:val="22"/>
          <w:lang w:eastAsia="x-none"/>
        </w:rPr>
      </w:pPr>
      <w:bookmarkStart w:name="_Hlk78818796" w:id="22"/>
      <w:r w:rsidRPr="59521EFA" w:rsidR="00B471FA">
        <w:rPr>
          <w:rFonts w:ascii="Arial" w:hAnsi="Arial" w:eastAsia="Arial" w:cs="Arial"/>
          <w:sz w:val="22"/>
          <w:szCs w:val="22"/>
          <w:lang w:eastAsia="x-none"/>
        </w:rPr>
        <w:t xml:space="preserve">Así las cosas, </w:t>
      </w:r>
      <w:bookmarkStart w:name="_Hlk99577798" w:id="23"/>
      <w:r w:rsidRPr="59521EFA" w:rsidR="00B471FA">
        <w:rPr>
          <w:rFonts w:ascii="Arial" w:hAnsi="Arial" w:eastAsia="Arial" w:cs="Arial"/>
          <w:sz w:val="22"/>
          <w:szCs w:val="22"/>
          <w:lang w:eastAsia="x-none"/>
        </w:rPr>
        <w:t>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59521EFA">
        <w:rPr>
          <w:rFonts w:ascii="Arial" w:hAnsi="Arial" w:eastAsia="Arial" w:cs="Arial"/>
          <w:sz w:val="22"/>
          <w:szCs w:val="22"/>
          <w:vertAlign w:val="superscript"/>
          <w:lang w:eastAsia="x-none"/>
        </w:rPr>
        <w:footnoteReference w:id="19"/>
      </w:r>
      <w:r w:rsidRPr="59521EFA" w:rsidR="00B471FA">
        <w:rPr>
          <w:rFonts w:ascii="Arial" w:hAnsi="Arial" w:eastAsia="Arial" w:cs="Arial"/>
          <w:sz w:val="22"/>
          <w:szCs w:val="22"/>
          <w:lang w:eastAsia="x-none"/>
        </w:rPr>
        <w:t>.</w:t>
      </w:r>
      <w:r w:rsidRPr="59521EFA" w:rsidR="00B471FA">
        <w:rPr>
          <w:rFonts w:ascii="Arial" w:hAnsi="Arial" w:eastAsia="Arial" w:cs="Arial"/>
          <w:sz w:val="22"/>
          <w:szCs w:val="22"/>
          <w:vertAlign w:val="superscript"/>
          <w:lang w:eastAsia="x-none"/>
        </w:rPr>
        <w:t xml:space="preserve"> </w:t>
      </w:r>
    </w:p>
    <w:bookmarkEnd w:id="22"/>
    <w:p w:rsidRPr="00BC5BC5" w:rsidR="00B471FA" w:rsidP="59521EFA" w:rsidRDefault="00B471FA" w14:paraId="36E3AC2E" w14:textId="77777777" w14:noSpellErr="1">
      <w:pPr>
        <w:spacing w:line="276" w:lineRule="auto"/>
        <w:ind w:firstLine="709"/>
        <w:jc w:val="both"/>
        <w:rPr>
          <w:rFonts w:ascii="Arial" w:hAnsi="Arial" w:eastAsia="Arial" w:cs="Arial"/>
          <w:sz w:val="22"/>
          <w:szCs w:val="22"/>
          <w:lang w:eastAsia="x-none"/>
        </w:rPr>
      </w:pPr>
      <w:r w:rsidRPr="59521EFA" w:rsidR="00B471FA">
        <w:rPr>
          <w:rFonts w:ascii="Arial" w:hAnsi="Arial" w:eastAsia="Arial" w:cs="Arial"/>
          <w:sz w:val="22"/>
          <w:szCs w:val="22"/>
        </w:rPr>
        <w:t>De lo anterior se desprende que la restricción aplica, sin perjuicio de las excepciones establecidas en la misma ley, para celebrar cualquier contrato de forma directa, esto es, sin que exista un proceso abierto y competitivo.</w:t>
      </w:r>
      <w:r w:rsidRPr="59521EFA" w:rsidR="00B471FA">
        <w:rPr>
          <w:rFonts w:ascii="Arial" w:hAnsi="Arial" w:eastAsia="Arial" w:cs="Arial"/>
          <w:sz w:val="22"/>
          <w:szCs w:val="22"/>
        </w:rPr>
        <w:t xml:space="preserve"> </w:t>
      </w:r>
      <w:r w:rsidRPr="59521EFA" w:rsidR="00B471FA">
        <w:rPr>
          <w:rFonts w:ascii="Arial" w:hAnsi="Arial" w:eastAsia="Arial" w:cs="Arial"/>
          <w:sz w:val="22"/>
          <w:szCs w:val="22"/>
        </w:rPr>
        <w:t>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sistemas.</w:t>
      </w:r>
    </w:p>
    <w:bookmarkEnd w:id="23"/>
    <w:p w:rsidRPr="00BC5BC5" w:rsidR="00B471FA" w:rsidP="59521EFA" w:rsidRDefault="00B471FA" w14:paraId="57513DD9" w14:textId="77777777" w14:noSpellErr="1">
      <w:pPr>
        <w:spacing w:line="276" w:lineRule="auto"/>
        <w:jc w:val="both"/>
        <w:rPr>
          <w:rFonts w:ascii="Arial" w:hAnsi="Arial" w:eastAsia="Arial" w:cs="Arial"/>
          <w:b w:val="1"/>
          <w:bCs w:val="1"/>
          <w:lang w:val="es-ES" w:eastAsia="es-ES"/>
        </w:rPr>
      </w:pPr>
    </w:p>
    <w:p w:rsidRPr="00BC5BC5" w:rsidR="00B471FA" w:rsidP="59521EFA" w:rsidRDefault="00B471FA" w14:paraId="62BE7F34" w14:textId="77777777" w14:noSpellErr="1">
      <w:pPr>
        <w:spacing w:line="276" w:lineRule="auto"/>
        <w:jc w:val="both"/>
        <w:rPr>
          <w:rFonts w:ascii="Arial" w:hAnsi="Arial" w:eastAsia="Arial" w:cs="Arial"/>
          <w:b w:val="1"/>
          <w:bCs w:val="1"/>
          <w:lang w:val="es-ES" w:eastAsia="es-ES"/>
        </w:rPr>
      </w:pPr>
      <w:r w:rsidRPr="59521EFA" w:rsidR="00B471FA">
        <w:rPr>
          <w:rFonts w:ascii="Arial" w:hAnsi="Arial" w:eastAsia="Arial" w:cs="Arial"/>
          <w:b w:val="1"/>
          <w:bCs w:val="1"/>
          <w:lang w:val="es-ES" w:eastAsia="es-ES"/>
        </w:rPr>
        <w:t xml:space="preserve">2.3. Restricciones para la celebración de contratos y convenios interadministrativos en los </w:t>
      </w:r>
      <w:bookmarkStart w:name="_Hlk133573167" w:id="24"/>
      <w:r w:rsidRPr="59521EFA" w:rsidR="00B471FA">
        <w:rPr>
          <w:rFonts w:ascii="Arial" w:hAnsi="Arial" w:eastAsia="Arial" w:cs="Arial"/>
          <w:b w:val="1"/>
          <w:bCs w:val="1"/>
          <w:lang w:val="es-ES" w:eastAsia="es-ES"/>
        </w:rPr>
        <w:t>comicios para cargos de elección popular</w:t>
      </w:r>
      <w:bookmarkEnd w:id="24"/>
      <w:r w:rsidRPr="59521EFA" w:rsidR="00B471FA">
        <w:rPr>
          <w:rFonts w:ascii="Arial" w:hAnsi="Arial" w:eastAsia="Arial" w:cs="Arial"/>
          <w:b w:val="1"/>
          <w:bCs w:val="1"/>
          <w:lang w:val="es-ES" w:eastAsia="es-ES"/>
        </w:rPr>
        <w:t>. Reiteración de línea.</w:t>
      </w:r>
    </w:p>
    <w:p w:rsidRPr="00BC5BC5" w:rsidR="00B471FA" w:rsidP="59521EFA" w:rsidRDefault="00B471FA" w14:paraId="4122D1C5" w14:textId="77777777" w14:noSpellErr="1">
      <w:pPr>
        <w:spacing w:line="276" w:lineRule="auto"/>
        <w:jc w:val="both"/>
        <w:rPr>
          <w:rFonts w:ascii="Arial" w:hAnsi="Arial" w:eastAsia="Arial" w:cs="Arial"/>
          <w:sz w:val="22"/>
          <w:szCs w:val="22"/>
          <w:lang w:val="es-ES" w:eastAsia="es-ES"/>
        </w:rPr>
      </w:pPr>
    </w:p>
    <w:p w:rsidRPr="00BC5BC5" w:rsidR="00B471FA" w:rsidP="59521EFA" w:rsidRDefault="00B471FA" w14:paraId="6FD65146" w14:textId="77777777" w14:noSpellErr="1">
      <w:pPr>
        <w:spacing w:line="276" w:lineRule="auto"/>
        <w:jc w:val="both"/>
        <w:rPr>
          <w:rFonts w:ascii="Arial" w:hAnsi="Arial" w:eastAsia="Arial" w:cs="Arial"/>
          <w:sz w:val="22"/>
          <w:szCs w:val="22"/>
          <w:lang w:val="es-ES" w:eastAsia="es-ES"/>
        </w:rPr>
      </w:pPr>
      <w:r w:rsidRPr="59521EFA" w:rsidR="00B471FA">
        <w:rPr>
          <w:rFonts w:ascii="Arial" w:hAnsi="Arial" w:eastAsia="Arial" w:cs="Arial"/>
          <w:sz w:val="22"/>
          <w:szCs w:val="22"/>
          <w:lang w:val="es-ES" w:eastAsia="es-ES"/>
        </w:rPr>
        <w:t xml:space="preserve">El parágrafo del artículo 38 de la Ley 996 de 2005 dispone que “[l]os Gobernadores, </w:t>
      </w:r>
      <w:r w:rsidRPr="59521EFA" w:rsidR="00B471FA">
        <w:rPr>
          <w:rFonts w:ascii="Arial" w:hAnsi="Arial" w:eastAsia="Arial" w:cs="Arial"/>
          <w:sz w:val="22"/>
          <w:szCs w:val="22"/>
          <w:lang w:val="es-ES" w:eastAsia="es-ES"/>
        </w:rPr>
        <w:t>Alcaldes</w:t>
      </w:r>
      <w:r w:rsidRPr="59521EFA" w:rsidR="00B471FA">
        <w:rPr>
          <w:rFonts w:ascii="Arial" w:hAnsi="Arial" w:eastAsia="Arial" w:cs="Arial"/>
          <w:sz w:val="22"/>
          <w:szCs w:val="22"/>
          <w:lang w:val="es-ES" w:eastAsia="es-ES"/>
        </w:rPr>
        <w:t xml:space="preserve"> Municipales y/o Distritales, </w:t>
      </w:r>
      <w:r w:rsidRPr="59521EFA" w:rsidR="00B471FA">
        <w:rPr>
          <w:rFonts w:ascii="Arial" w:hAnsi="Arial" w:eastAsia="Arial" w:cs="Arial"/>
          <w:sz w:val="22"/>
          <w:szCs w:val="22"/>
          <w:lang w:val="es-ES" w:eastAsia="es-ES"/>
        </w:rPr>
        <w:t>Secretarios</w:t>
      </w:r>
      <w:r w:rsidRPr="59521EFA" w:rsidR="00B471FA">
        <w:rPr>
          <w:rFonts w:ascii="Arial" w:hAnsi="Arial" w:eastAsia="Arial" w:cs="Arial"/>
          <w:sz w:val="22"/>
          <w:szCs w:val="22"/>
          <w:lang w:val="es-ES" w:eastAsia="es-ES"/>
        </w:rPr>
        <w:t>, Gerentes y directores de Entidades Descentralizadas del orden Municipal, Departamental o Distrital, dentro de los cuatro (4) meses anteriores a las elecciones, no podrán celebrar contratos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59521EFA">
        <w:rPr>
          <w:rFonts w:ascii="Arial" w:hAnsi="Arial" w:eastAsia="Arial" w:cs="Arial"/>
          <w:sz w:val="22"/>
          <w:szCs w:val="22"/>
          <w:vertAlign w:val="superscript"/>
          <w:lang w:eastAsia="x-none"/>
        </w:rPr>
        <w:footnoteReference w:id="20"/>
      </w:r>
      <w:r w:rsidRPr="59521EFA" w:rsidR="00B471FA">
        <w:rPr>
          <w:rFonts w:ascii="Arial" w:hAnsi="Arial" w:eastAsia="Arial" w:cs="Arial"/>
          <w:sz w:val="22"/>
          <w:szCs w:val="22"/>
          <w:lang w:eastAsia="x-none"/>
        </w:rPr>
        <w:t>.</w:t>
      </w:r>
    </w:p>
    <w:p w:rsidRPr="00BC5BC5" w:rsidR="00B471FA" w:rsidP="59521EFA" w:rsidRDefault="00B471FA" w14:paraId="0BF8DB0D" w14:textId="77777777" w14:noSpellErr="1">
      <w:pPr>
        <w:spacing w:before="120" w:line="276" w:lineRule="auto"/>
        <w:ind w:firstLine="709"/>
        <w:jc w:val="both"/>
        <w:rPr>
          <w:rFonts w:ascii="Arial" w:hAnsi="Arial" w:eastAsia="Arial" w:cs="Arial"/>
          <w:sz w:val="22"/>
          <w:szCs w:val="22"/>
          <w:lang w:val="es-ES" w:eastAsia="es-ES"/>
        </w:rPr>
      </w:pPr>
      <w:r w:rsidRPr="59521EFA" w:rsidR="00B471FA">
        <w:rPr>
          <w:rFonts w:ascii="Arial" w:hAnsi="Arial" w:eastAsia="Arial" w:cs="Arial"/>
          <w:sz w:val="22"/>
          <w:szCs w:val="22"/>
          <w:lang w:val="es-ES" w:eastAsia="es-ES"/>
        </w:rPr>
        <w:t>Ahora bien,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w:t>
      </w:r>
      <w:r w:rsidRPr="59521EFA">
        <w:rPr>
          <w:rFonts w:ascii="Arial" w:hAnsi="Arial" w:eastAsia="Arial" w:cs="Arial"/>
          <w:sz w:val="22"/>
          <w:szCs w:val="22"/>
          <w:vertAlign w:val="superscript"/>
          <w:lang w:val="es-ES" w:eastAsia="es-ES" w:bidi="es-ES"/>
        </w:rPr>
        <w:footnoteReference w:id="21"/>
      </w:r>
      <w:r w:rsidRPr="59521EFA" w:rsidR="00B471FA">
        <w:rPr>
          <w:rFonts w:ascii="Arial" w:hAnsi="Arial" w:eastAsia="Arial" w:cs="Arial"/>
          <w:sz w:val="22"/>
          <w:szCs w:val="22"/>
          <w:lang w:val="es-ES" w:eastAsia="es-ES" w:bidi="es-ES"/>
        </w:rPr>
        <w:t xml:space="preserve">. </w:t>
      </w:r>
      <w:r w:rsidRPr="59521EFA" w:rsidR="00B471FA">
        <w:rPr>
          <w:rFonts w:ascii="Arial" w:hAnsi="Arial" w:eastAsia="Arial" w:cs="Arial"/>
          <w:sz w:val="22"/>
          <w:szCs w:val="22"/>
          <w:lang w:val="es-ES" w:eastAsia="es-ES" w:bidi="es-ES"/>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w:t>
      </w:r>
      <w:r w:rsidRPr="59521EFA" w:rsidR="00B471FA">
        <w:rPr>
          <w:rFonts w:ascii="Arial" w:hAnsi="Arial" w:eastAsia="Arial" w:cs="Arial"/>
          <w:sz w:val="22"/>
          <w:szCs w:val="22"/>
          <w:lang w:val="es-ES" w:eastAsia="es-ES" w:bidi="es-ES"/>
        </w:rPr>
        <w:t xml:space="preserve"> </w:t>
      </w:r>
      <w:r w:rsidRPr="59521EFA" w:rsidR="00B471FA">
        <w:rPr>
          <w:rFonts w:ascii="Arial" w:hAnsi="Arial" w:eastAsia="Arial" w:cs="Arial"/>
          <w:sz w:val="22"/>
          <w:szCs w:val="22"/>
          <w:lang w:val="es-ES" w:eastAsia="es-ES" w:bidi="es-ES"/>
        </w:rPr>
        <w:t>Es decir, los contratos o convenios interadministrativos están determinados por un criterio orgánico, pues es necesario que los extremos de la relación contractual sean entidades estatales.</w:t>
      </w:r>
    </w:p>
    <w:p w:rsidRPr="00BC5BC5" w:rsidR="00B471FA" w:rsidP="59521EFA" w:rsidRDefault="00B471FA" w14:paraId="64F8357F" w14:textId="77777777" w14:noSpellErr="1">
      <w:pPr>
        <w:spacing w:before="120" w:line="276" w:lineRule="auto"/>
        <w:ind w:firstLine="709"/>
        <w:jc w:val="both"/>
        <w:rPr>
          <w:rFonts w:ascii="Arial" w:hAnsi="Arial" w:eastAsia="Arial" w:cs="Arial"/>
          <w:sz w:val="22"/>
          <w:szCs w:val="22"/>
          <w:lang w:val="es-ES" w:eastAsia="es-ES"/>
        </w:rPr>
      </w:pPr>
      <w:r w:rsidRPr="59521EFA" w:rsidR="00B471FA">
        <w:rPr>
          <w:rFonts w:ascii="Arial" w:hAnsi="Arial" w:eastAsia="Arial" w:cs="Arial"/>
          <w:sz w:val="22"/>
          <w:szCs w:val="22"/>
          <w:lang w:val="es-ES" w:eastAsia="es-ES"/>
        </w:rPr>
        <w:t xml:space="preserve">Si bien los contratos o convenios interadministrativos están previstos en la Ley 80 de 1993, en la Ley 1150 de 2007 y el Decreto 1082 de 2015, no quiere decir que solo pueden celebrarse entre entidades estatales que apliquen el régimen de contratación allí previsto, pues una entidad estatal sometida a la Ley 80 de 1993, puede celebrar esta clase de convenios y/o contratos con una entidad estatal de régimen especial y no por ello pierde su calidad de interadministrativo. </w:t>
      </w:r>
    </w:p>
    <w:p w:rsidRPr="00BC5BC5" w:rsidR="00B471FA" w:rsidP="59521EFA" w:rsidRDefault="00B471FA" w14:paraId="212936AF" w14:textId="77777777">
      <w:pPr>
        <w:spacing w:before="120" w:line="276" w:lineRule="auto"/>
        <w:ind w:firstLine="709"/>
        <w:jc w:val="both"/>
        <w:rPr>
          <w:rFonts w:ascii="Arial" w:hAnsi="Arial" w:eastAsia="Arial" w:cs="Arial"/>
          <w:lang w:val="es-ES" w:eastAsia="es-ES"/>
        </w:rPr>
      </w:pPr>
      <w:r w:rsidRPr="59521EFA" w:rsidR="00B471FA">
        <w:rPr>
          <w:rFonts w:ascii="Arial" w:hAnsi="Arial" w:eastAsia="Arial" w:cs="Arial"/>
          <w:sz w:val="22"/>
          <w:szCs w:val="22"/>
          <w:lang w:val="es-ES" w:eastAsia="es-ES"/>
        </w:rPr>
        <w:t xml:space="preserve">La Corte Constitucional expresó en la Sentencia C-671 de 2015 que “Lo que hace interadministrativo a un contrato o convenio no es el procedimiento de selección aplicable, sino la calidad de los sujetos contratantes, esto es que las dos partes de la redacción jurídica contractual formen parte de la administración pública”. Así las cosas, esta clase de acuerdos de voluntades se definen por un criterio orgánico, por lo que uno de sus elementos esenciales es que en los extremos de la relación jurídico </w:t>
      </w:r>
      <w:r w:rsidRPr="59521EFA" w:rsidR="00B471FA">
        <w:rPr>
          <w:rFonts w:ascii="Arial" w:hAnsi="Arial" w:eastAsia="Arial" w:cs="Arial"/>
          <w:sz w:val="22"/>
          <w:szCs w:val="22"/>
          <w:lang w:val="es-ES" w:eastAsia="es-ES"/>
        </w:rPr>
        <w:t>negocial</w:t>
      </w:r>
      <w:r w:rsidRPr="59521EFA" w:rsidR="00B471FA">
        <w:rPr>
          <w:rFonts w:ascii="Arial" w:hAnsi="Arial" w:eastAsia="Arial" w:cs="Arial"/>
          <w:sz w:val="22"/>
          <w:szCs w:val="22"/>
          <w:lang w:val="es-ES" w:eastAsia="es-ES"/>
        </w:rPr>
        <w:t xml:space="preserve"> concurran personas de derecho público. Adicionalmente, el Consejo de Estado ha indicado, frente al convenio interadministrativo y sus características, que</w:t>
      </w:r>
      <w:r w:rsidRPr="59521EFA" w:rsidR="00B471FA">
        <w:rPr>
          <w:rFonts w:ascii="Arial" w:hAnsi="Arial" w:eastAsia="Arial" w:cs="Arial"/>
          <w:lang w:val="es-ES" w:eastAsia="es-ES"/>
        </w:rPr>
        <w:t>:</w:t>
      </w:r>
    </w:p>
    <w:p w:rsidRPr="00BC5BC5" w:rsidR="00B471FA" w:rsidP="59521EFA" w:rsidRDefault="00B471FA" w14:paraId="4523A07B" w14:textId="77777777" w14:noSpellErr="1">
      <w:pPr>
        <w:widowControl w:val="0"/>
        <w:autoSpaceDE w:val="0"/>
        <w:autoSpaceDN w:val="0"/>
        <w:spacing w:line="276" w:lineRule="auto"/>
        <w:ind w:firstLine="707"/>
        <w:contextualSpacing/>
        <w:jc w:val="both"/>
        <w:rPr>
          <w:rFonts w:ascii="Arial" w:hAnsi="Arial" w:eastAsia="Arial" w:cs="Arial"/>
          <w:lang w:val="es-ES" w:eastAsia="es-ES" w:bidi="es-ES"/>
        </w:rPr>
      </w:pPr>
    </w:p>
    <w:p w:rsidRPr="00BC5BC5" w:rsidR="00B471FA" w:rsidP="59521EFA" w:rsidRDefault="00B471FA" w14:paraId="02D05E69" w14:textId="77777777" w14:noSpellErr="1">
      <w:pPr>
        <w:spacing/>
        <w:ind w:left="709" w:right="709"/>
        <w:contextualSpacing/>
        <w:jc w:val="both"/>
        <w:rPr>
          <w:rFonts w:ascii="Arial" w:hAnsi="Arial" w:eastAsia="Arial" w:cs="Arial"/>
          <w:sz w:val="21"/>
          <w:szCs w:val="21"/>
        </w:rPr>
      </w:pPr>
      <w:r w:rsidRPr="59521EFA" w:rsidR="00B471FA">
        <w:rPr>
          <w:rFonts w:ascii="Arial" w:hAnsi="Arial" w:eastAsia="Arial" w:cs="Arial"/>
          <w:sz w:val="21"/>
          <w:szCs w:val="21"/>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w:t>
      </w:r>
      <w:r w:rsidRPr="59521EFA" w:rsidR="00B471FA">
        <w:rPr>
          <w:rFonts w:ascii="Arial" w:hAnsi="Arial" w:eastAsia="Arial" w:cs="Arial"/>
          <w:sz w:val="21"/>
          <w:szCs w:val="21"/>
        </w:rPr>
        <w:t xml:space="preserve">ii</w:t>
      </w:r>
      <w:r w:rsidRPr="59521EFA" w:rsidR="00B471FA">
        <w:rPr>
          <w:rFonts w:ascii="Arial" w:hAnsi="Arial" w:eastAsia="Arial" w:cs="Arial"/>
          <w:sz w:val="21"/>
          <w:szCs w:val="21"/>
        </w:rPr>
        <w:t xml:space="preserve">) tienen como fuente la autonomía contractual; (</w:t>
      </w:r>
      <w:r w:rsidRPr="59521EFA" w:rsidR="00B471FA">
        <w:rPr>
          <w:rFonts w:ascii="Arial" w:hAnsi="Arial" w:eastAsia="Arial" w:cs="Arial"/>
          <w:sz w:val="21"/>
          <w:szCs w:val="21"/>
        </w:rPr>
        <w:t xml:space="preserve">iii</w:t>
      </w:r>
      <w:r w:rsidRPr="59521EFA" w:rsidR="00B471FA">
        <w:rPr>
          <w:rFonts w:ascii="Arial" w:hAnsi="Arial" w:eastAsia="Arial" w:cs="Arial"/>
          <w:sz w:val="21"/>
          <w:szCs w:val="21"/>
        </w:rPr>
        <w:t xml:space="preserve">) son contratos nominados puesto que están mencionados en la ley; (</w:t>
      </w:r>
      <w:r w:rsidRPr="59521EFA" w:rsidR="00B471FA">
        <w:rPr>
          <w:rFonts w:ascii="Arial" w:hAnsi="Arial" w:eastAsia="Arial" w:cs="Arial"/>
          <w:sz w:val="21"/>
          <w:szCs w:val="21"/>
        </w:rPr>
        <w:t xml:space="preserve">iv</w:t>
      </w:r>
      <w:r w:rsidRPr="59521EFA" w:rsidR="00B471FA">
        <w:rPr>
          <w:rFonts w:ascii="Arial" w:hAnsi="Arial" w:eastAsia="Arial" w:cs="Arial"/>
          <w:sz w:val="21"/>
          <w:szCs w:val="21"/>
        </w:rPr>
        <w:t xml:space="preserve">)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r w:rsidRPr="59521EFA" w:rsidR="00B471FA">
        <w:rPr>
          <w:rFonts w:ascii="Arial" w:hAnsi="Arial" w:eastAsia="Arial" w:cs="Arial"/>
          <w:sz w:val="21"/>
          <w:szCs w:val="21"/>
        </w:rPr>
        <w:t xml:space="preserve">vii</w:t>
      </w:r>
      <w:r w:rsidRPr="59521EFA" w:rsidR="00B471FA">
        <w:rPr>
          <w:rFonts w:ascii="Arial" w:hAnsi="Arial" w:eastAsia="Arial" w:cs="Arial"/>
          <w:sz w:val="21"/>
          <w:szCs w:val="21"/>
        </w:rPr>
        <w:t xml:space="preserve">) persiguen  una finalidad común a través de la realización de intereses compartidos entre las entidades vinculadas; (</w:t>
      </w:r>
      <w:r w:rsidRPr="59521EFA" w:rsidR="00B471FA">
        <w:rPr>
          <w:rFonts w:ascii="Arial" w:hAnsi="Arial" w:eastAsia="Arial" w:cs="Arial"/>
          <w:sz w:val="21"/>
          <w:szCs w:val="21"/>
        </w:rPr>
        <w:t xml:space="preserve">viii</w:t>
      </w:r>
      <w:r w:rsidRPr="59521EFA" w:rsidR="00B471FA">
        <w:rPr>
          <w:rFonts w:ascii="Arial" w:hAnsi="Arial" w:eastAsia="Arial" w:cs="Arial"/>
          <w:sz w:val="21"/>
          <w:szCs w:val="21"/>
        </w:rPr>
        <w:t xml:space="preserve">) la acción </w:t>
      </w:r>
      <w:r w:rsidRPr="59521EFA" w:rsidR="00B471FA">
        <w:rPr>
          <w:rFonts w:ascii="Arial" w:hAnsi="Arial" w:eastAsia="Arial" w:cs="Arial"/>
          <w:sz w:val="21"/>
          <w:szCs w:val="21"/>
        </w:rPr>
        <w:lastRenderedPageBreak/>
        <w:t>mediante la cual se deben ventilar las diferencias que sobre el particular surjan es la de controversias contractuales</w:t>
      </w:r>
      <w:r w:rsidRPr="59521EFA">
        <w:rPr>
          <w:rFonts w:ascii="Arial" w:hAnsi="Arial" w:eastAsia="Arial" w:cs="Arial"/>
          <w:sz w:val="21"/>
          <w:szCs w:val="21"/>
          <w:vertAlign w:val="superscript"/>
        </w:rPr>
        <w:footnoteReference w:id="22"/>
      </w:r>
      <w:r w:rsidRPr="59521EFA" w:rsidR="00B471FA">
        <w:rPr>
          <w:rFonts w:ascii="Arial" w:hAnsi="Arial" w:eastAsia="Arial" w:cs="Arial"/>
          <w:sz w:val="21"/>
          <w:szCs w:val="21"/>
        </w:rPr>
        <w:t>”.</w:t>
      </w:r>
    </w:p>
    <w:p w:rsidRPr="00BC5BC5" w:rsidR="00B471FA" w:rsidP="59521EFA" w:rsidRDefault="00B471FA" w14:paraId="0EC29FD0" w14:textId="77777777" w14:noSpellErr="1">
      <w:pPr>
        <w:spacing w:line="276" w:lineRule="auto"/>
        <w:ind w:firstLine="709"/>
        <w:jc w:val="both"/>
        <w:rPr>
          <w:rFonts w:ascii="Arial" w:hAnsi="Arial" w:eastAsia="Arial" w:cs="Arial"/>
          <w:lang w:val="es-ES" w:eastAsia="es-ES"/>
        </w:rPr>
      </w:pPr>
    </w:p>
    <w:p w:rsidRPr="00BC5BC5" w:rsidR="00B471FA" w:rsidP="59521EFA" w:rsidRDefault="00B471FA" w14:paraId="5B79B4D9" w14:textId="77777777" w14:noSpellErr="1">
      <w:pPr>
        <w:spacing w:line="276" w:lineRule="auto"/>
        <w:ind w:firstLine="709"/>
        <w:jc w:val="both"/>
        <w:rPr>
          <w:rFonts w:ascii="Arial" w:hAnsi="Arial" w:eastAsia="Arial" w:cs="Arial"/>
          <w:sz w:val="22"/>
          <w:szCs w:val="22"/>
          <w:lang w:val="es-ES" w:eastAsia="es-ES"/>
        </w:rPr>
      </w:pPr>
      <w:r w:rsidRPr="59521EFA" w:rsidR="00B471FA">
        <w:rPr>
          <w:rFonts w:ascii="Arial" w:hAnsi="Arial" w:eastAsia="Arial" w:cs="Arial"/>
          <w:sz w:val="22"/>
          <w:szCs w:val="22"/>
          <w:lang w:val="es-ES" w:eastAsia="es-ES"/>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w:t>
      </w:r>
      <w:r w:rsidRPr="59521EFA" w:rsidR="00B471FA">
        <w:rPr>
          <w:rFonts w:ascii="Arial" w:hAnsi="Arial" w:eastAsia="Arial" w:cs="Arial"/>
          <w:sz w:val="22"/>
          <w:szCs w:val="22"/>
          <w:lang w:val="es-ES" w:eastAsia="es-ES"/>
        </w:rPr>
        <w:t>El Estatuto General de Contratación de la Administración Pública establece la contratación directa como la modalidad de selección aplicable, por regla general, a la celebración de los contratos interadministrativos.</w:t>
      </w:r>
    </w:p>
    <w:p w:rsidRPr="00BC5BC5" w:rsidR="00B471FA" w:rsidP="59521EFA" w:rsidRDefault="00B471FA" w14:paraId="671BC1D8" w14:textId="77777777" w14:noSpellErr="1">
      <w:pPr>
        <w:spacing w:before="120" w:line="276" w:lineRule="auto"/>
        <w:ind w:firstLine="709"/>
        <w:jc w:val="both"/>
        <w:rPr>
          <w:rFonts w:ascii="Arial" w:hAnsi="Arial" w:eastAsia="Arial" w:cs="Arial"/>
          <w:sz w:val="22"/>
          <w:szCs w:val="22"/>
          <w:lang w:val="es-ES" w:eastAsia="es-ES"/>
        </w:rPr>
      </w:pPr>
      <w:r w:rsidRPr="59521EFA" w:rsidR="00B471FA">
        <w:rPr>
          <w:rFonts w:ascii="Arial" w:hAnsi="Arial" w:eastAsia="Arial" w:cs="Arial"/>
          <w:sz w:val="22"/>
          <w:szCs w:val="22"/>
          <w:lang w:val="es-ES" w:eastAsia="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celebren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contratación directa, pues, como se indicó, la existencia de un contrato interadministrativo no está determinada por la modalidad de selección, sino entre otras cosas, por la calidad de las partes que lo suscriben, es decir, debe tratarse de entidades estatales.</w:t>
      </w:r>
    </w:p>
    <w:p w:rsidRPr="00BC5BC5" w:rsidR="00B471FA" w:rsidP="59521EFA" w:rsidRDefault="00B471FA" w14:paraId="2EE87395" w14:textId="77777777" w14:noSpellErr="1">
      <w:pPr>
        <w:spacing w:before="120" w:line="276" w:lineRule="auto"/>
        <w:ind w:firstLine="709"/>
        <w:jc w:val="both"/>
        <w:rPr>
          <w:rFonts w:ascii="Arial" w:hAnsi="Arial" w:eastAsia="Arial" w:cs="Arial"/>
          <w:sz w:val="22"/>
          <w:szCs w:val="22"/>
          <w:lang w:val="es-ES" w:eastAsia="es-ES"/>
        </w:rPr>
      </w:pPr>
      <w:r w:rsidRPr="59521EFA" w:rsidR="00B471FA">
        <w:rPr>
          <w:rFonts w:ascii="Arial" w:hAnsi="Arial" w:eastAsia="Arial" w:cs="Arial"/>
          <w:sz w:val="22"/>
          <w:szCs w:val="22"/>
          <w:lang w:val="es-ES" w:eastAsia="es-ES"/>
        </w:rPr>
        <w:t xml:space="preserve">Además, es necesario tener en cuenta que para que un contrato o convenio interadministrativo exista, debe cumplir con los siguientes elementos: acuerdo sobre el objeto y la contraprestación, y que se eleve a escrito. </w:t>
      </w:r>
      <w:r w:rsidRPr="59521EFA" w:rsidR="00B471FA">
        <w:rPr>
          <w:rFonts w:ascii="Arial" w:hAnsi="Arial" w:eastAsia="Arial" w:cs="Arial"/>
          <w:sz w:val="22"/>
          <w:szCs w:val="22"/>
          <w:lang w:val="es-ES" w:eastAsia="es-ES"/>
        </w:rPr>
        <w:t xml:space="preserve">Por otra parte, si bien actualmente el Estatuto General de Contratación de la Administración Pública hace referencia de manera expresa al contrato interadministrativos y no al convenio, no por esto puede </w:t>
      </w:r>
      <w:r w:rsidRPr="59521EFA" w:rsidR="00B471FA">
        <w:rPr>
          <w:rFonts w:ascii="Arial" w:hAnsi="Arial" w:eastAsia="Arial" w:cs="Arial"/>
          <w:sz w:val="22"/>
          <w:szCs w:val="22"/>
          <w:lang w:val="es-ES" w:eastAsia="es-ES"/>
        </w:rPr>
        <w:t>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w:t>
      </w:r>
      <w:r w:rsidRPr="59521EFA" w:rsidR="00B471FA">
        <w:rPr>
          <w:rFonts w:ascii="Arial" w:hAnsi="Arial" w:eastAsia="Arial" w:cs="Arial"/>
          <w:sz w:val="22"/>
          <w:szCs w:val="22"/>
          <w:lang w:val="es-ES" w:eastAsia="es-ES"/>
        </w:rPr>
        <w:t xml:space="preserve">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 </w:t>
      </w:r>
    </w:p>
    <w:p w:rsidRPr="00BC5BC5" w:rsidR="00B471FA" w:rsidP="59521EFA" w:rsidRDefault="00B471FA" w14:paraId="26A6D520" w14:textId="77777777" w14:noSpellErr="1">
      <w:pPr>
        <w:spacing w:before="120" w:line="276" w:lineRule="auto"/>
        <w:ind w:firstLine="709"/>
        <w:jc w:val="both"/>
        <w:rPr>
          <w:rFonts w:ascii="Arial" w:hAnsi="Arial" w:eastAsia="Arial" w:cs="Arial"/>
          <w:sz w:val="22"/>
          <w:szCs w:val="22"/>
          <w:lang w:val="es-ES" w:eastAsia="es-ES"/>
        </w:rPr>
      </w:pPr>
      <w:r w:rsidRPr="59521EFA" w:rsidR="00B471FA">
        <w:rPr>
          <w:rFonts w:ascii="Arial" w:hAnsi="Arial" w:eastAsia="Arial" w:cs="Arial"/>
          <w:sz w:val="22"/>
          <w:szCs w:val="22"/>
          <w:lang w:val="es-ES" w:eastAsia="es-ES"/>
        </w:rPr>
        <w:t>Resulta a bien destacar que el Decreto 1082 de 2015 dispone que los convenios o contratos interadministrativos, así denominados en su artículo 2.2.1.2.1.4.4, se contratan directamente, por lo que no hay lugar a dudas que representan lo mismo en la medida que concurran entidades estatales en el acuerdo de voluntades.</w:t>
      </w:r>
      <w:r w:rsidRPr="59521EFA" w:rsidR="00B471FA">
        <w:rPr>
          <w:rFonts w:ascii="Arial" w:hAnsi="Arial" w:eastAsia="Arial" w:cs="Arial"/>
          <w:sz w:val="22"/>
          <w:szCs w:val="22"/>
          <w:lang w:val="es-ES" w:eastAsia="es-ES"/>
        </w:rPr>
        <w:t xml:space="preserve"> </w:t>
      </w:r>
      <w:r w:rsidRPr="59521EFA" w:rsidR="00B471FA">
        <w:rPr>
          <w:rFonts w:ascii="Arial" w:hAnsi="Arial" w:eastAsia="Arial" w:cs="Arial"/>
          <w:sz w:val="22"/>
          <w:szCs w:val="22"/>
          <w:lang w:val="es-ES" w:eastAsia="es-ES"/>
        </w:rPr>
        <w:t>De este modo, es posible concluir que en la contratación estatal no existen mayores diferencias entre el convenio y contrato y, dando aplicación al derecho privado y a la definición contenida en el Código Civil, puede afirmarse que se trata de figuras equivalentes.</w:t>
      </w:r>
    </w:p>
    <w:p w:rsidRPr="00BC5BC5" w:rsidR="00B471FA" w:rsidP="59521EFA" w:rsidRDefault="00B471FA" w14:paraId="694AF6BA" w14:textId="77777777" w14:noSpellErr="1">
      <w:pPr>
        <w:spacing w:before="120" w:line="276" w:lineRule="auto"/>
        <w:ind w:firstLine="709"/>
        <w:jc w:val="both"/>
        <w:rPr>
          <w:rFonts w:ascii="Arial" w:hAnsi="Arial" w:eastAsia="Arial" w:cs="Arial"/>
          <w:sz w:val="22"/>
          <w:szCs w:val="22"/>
          <w:lang w:val="es-ES" w:eastAsia="es-ES"/>
        </w:rPr>
      </w:pPr>
      <w:r w:rsidRPr="59521EFA" w:rsidR="00B471FA">
        <w:rPr>
          <w:rFonts w:ascii="Arial" w:hAnsi="Arial" w:eastAsia="Arial" w:cs="Arial"/>
          <w:sz w:val="22"/>
          <w:szCs w:val="22"/>
          <w:lang w:val="es-ES" w:eastAsia="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 […]</w:t>
      </w:r>
      <w:r w:rsidRPr="59521EFA">
        <w:rPr>
          <w:rFonts w:ascii="Arial" w:hAnsi="Arial" w:eastAsia="Arial" w:cs="Arial"/>
          <w:sz w:val="22"/>
          <w:szCs w:val="22"/>
          <w:vertAlign w:val="superscript"/>
        </w:rPr>
        <w:footnoteReference w:id="23"/>
      </w:r>
      <w:r w:rsidRPr="59521EFA" w:rsidR="00B471FA">
        <w:rPr>
          <w:rFonts w:ascii="Arial" w:hAnsi="Arial" w:eastAsia="Arial" w:cs="Arial"/>
          <w:sz w:val="22"/>
          <w:szCs w:val="22"/>
          <w:lang w:val="es-ES" w:eastAsia="es-ES" w:bidi="es-ES"/>
        </w:rPr>
        <w:t>”.</w:t>
      </w:r>
    </w:p>
    <w:p w:rsidRPr="00BC5BC5" w:rsidR="00B471FA" w:rsidP="59521EFA" w:rsidRDefault="00B471FA" w14:paraId="7BE8300F" w14:textId="77777777" w14:noSpellErr="1">
      <w:pPr>
        <w:spacing w:before="120" w:line="276" w:lineRule="auto"/>
        <w:ind w:firstLine="709"/>
        <w:jc w:val="both"/>
        <w:rPr>
          <w:rFonts w:ascii="Arial" w:hAnsi="Arial" w:eastAsia="Arial" w:cs="Arial"/>
          <w:sz w:val="22"/>
          <w:szCs w:val="22"/>
          <w:lang w:val="es-ES" w:eastAsia="es-ES"/>
        </w:rPr>
      </w:pPr>
      <w:r w:rsidRPr="59521EFA" w:rsidR="00B471FA">
        <w:rPr>
          <w:rFonts w:ascii="Arial" w:hAnsi="Arial" w:eastAsia="Arial" w:cs="Arial"/>
          <w:sz w:val="22"/>
          <w:szCs w:val="22"/>
          <w:lang w:val="es-ES" w:eastAsia="es-ES"/>
        </w:rPr>
        <w:t xml:space="preserve">Sin perjuicio de lo anterior, debe tenerse en cuenta que cierto sector de la doctrina y la jurisprudencia han establecido algunas diferencias o </w:t>
      </w:r>
      <w:r w:rsidRPr="59521EFA" w:rsidR="00B471FA">
        <w:rPr>
          <w:rFonts w:ascii="Arial" w:hAnsi="Arial" w:eastAsia="Arial" w:cs="Arial"/>
          <w:sz w:val="22"/>
          <w:szCs w:val="22"/>
          <w:lang w:val="es-ES" w:eastAsia="es-ES"/>
        </w:rPr>
        <w:t>caracterización de los contratos interadministrativos frente a los convenios interadministrativos de que trata el artículo 95 de la Ley 489 de 1998.</w:t>
      </w:r>
      <w:r w:rsidRPr="59521EFA" w:rsidR="00B471FA">
        <w:rPr>
          <w:rFonts w:ascii="Arial" w:hAnsi="Arial" w:eastAsia="Arial" w:cs="Arial"/>
          <w:sz w:val="22"/>
          <w:szCs w:val="22"/>
          <w:lang w:val="es-ES" w:eastAsia="es-ES"/>
        </w:rPr>
        <w:t xml:space="preserve"> Por ejemplo, en Sentencia del 14 de junio de 2019, el Consejo de Estado señaló:</w:t>
      </w:r>
    </w:p>
    <w:p w:rsidRPr="00BC5BC5" w:rsidR="00B471FA" w:rsidP="59521EFA" w:rsidRDefault="00B471FA" w14:paraId="15889E45" w14:textId="77777777" w14:noSpellErr="1">
      <w:pPr>
        <w:ind w:left="709" w:right="709"/>
        <w:jc w:val="both"/>
        <w:rPr>
          <w:rFonts w:ascii="Arial" w:hAnsi="Arial" w:eastAsia="Arial" w:cs="Arial"/>
          <w:sz w:val="21"/>
          <w:szCs w:val="21"/>
          <w:lang w:val="es-ES"/>
        </w:rPr>
      </w:pPr>
    </w:p>
    <w:p w:rsidRPr="00BC5BC5" w:rsidR="00B471FA" w:rsidP="59521EFA" w:rsidRDefault="00B471FA" w14:paraId="352C896B" w14:textId="77777777" w14:noSpellErr="1">
      <w:pPr>
        <w:ind w:left="709" w:right="709"/>
        <w:jc w:val="both"/>
        <w:rPr>
          <w:rFonts w:ascii="Arial" w:hAnsi="Arial" w:eastAsia="Arial" w:cs="Arial"/>
          <w:sz w:val="21"/>
          <w:szCs w:val="21"/>
          <w:lang w:val="es-ES"/>
        </w:rPr>
      </w:pPr>
      <w:r w:rsidRPr="59521EFA" w:rsidR="00B471FA">
        <w:rPr>
          <w:rFonts w:ascii="Arial" w:hAnsi="Arial" w:eastAsia="Arial" w:cs="Arial"/>
          <w:sz w:val="21"/>
          <w:szCs w:val="21"/>
          <w:lang w:val="es-ES"/>
        </w:rPr>
        <w:t>“La Sala de Consulta y Servicio Civil</w:t>
      </w:r>
      <w:r w:rsidRPr="59521EFA">
        <w:rPr>
          <w:rFonts w:ascii="Arial" w:hAnsi="Arial" w:eastAsia="Arial" w:cs="Arial"/>
          <w:sz w:val="21"/>
          <w:szCs w:val="21"/>
          <w:vertAlign w:val="superscript"/>
          <w:lang w:eastAsia="es-ES"/>
        </w:rPr>
        <w:footnoteReference w:id="24"/>
      </w:r>
      <w:r w:rsidRPr="59521EFA" w:rsidR="00B471FA">
        <w:rPr>
          <w:rFonts w:ascii="Arial" w:hAnsi="Arial" w:eastAsia="Arial" w:cs="Arial"/>
          <w:sz w:val="21"/>
          <w:szCs w:val="21"/>
          <w:lang w:val="es-ES"/>
        </w:rPr>
        <w:t xml:space="preserve"> de esta Corporación se ha referido a los </w:t>
      </w:r>
      <w:r w:rsidRPr="59521EFA" w:rsidR="00B471FA">
        <w:rPr>
          <w:rFonts w:ascii="Arial" w:hAnsi="Arial" w:eastAsia="Arial" w:cs="Arial"/>
          <w:i w:val="1"/>
          <w:iCs w:val="1"/>
          <w:sz w:val="21"/>
          <w:szCs w:val="21"/>
          <w:lang w:val="es-ES"/>
        </w:rPr>
        <w:t>“convenios interadministrativos”</w:t>
      </w:r>
      <w:r w:rsidRPr="59521EFA" w:rsidR="00B471FA">
        <w:rPr>
          <w:rFonts w:ascii="Arial" w:hAnsi="Arial" w:eastAsia="Arial" w:cs="Arial"/>
          <w:sz w:val="21"/>
          <w:szCs w:val="21"/>
          <w:lang w:val="es-ES"/>
        </w:rPr>
        <w:t xml:space="preserve"> a los cuales alude el artículo 95 de la Ley 489 de 1998, calificándolos de </w:t>
      </w:r>
      <w:r w:rsidRPr="59521EFA" w:rsidR="00B471FA">
        <w:rPr>
          <w:rFonts w:ascii="Arial" w:hAnsi="Arial" w:eastAsia="Arial" w:cs="Arial"/>
          <w:i w:val="1"/>
          <w:iCs w:val="1"/>
          <w:sz w:val="21"/>
          <w:szCs w:val="21"/>
          <w:lang w:val="es-ES"/>
        </w:rPr>
        <w:t xml:space="preserve">“puros” </w:t>
      </w:r>
      <w:r w:rsidRPr="59521EFA" w:rsidR="00B471FA">
        <w:rPr>
          <w:rFonts w:ascii="Arial" w:hAnsi="Arial" w:eastAsia="Arial" w:cs="Arial"/>
          <w:sz w:val="21"/>
          <w:szCs w:val="21"/>
          <w:lang w:val="es-ES"/>
        </w:rPr>
        <w:t xml:space="preserve">y entendiendo que estos, además de perseguir la finalidad de cooperación antes indicada, no implican intereses contrapuestos ni tampoco se circunscriben a un </w:t>
      </w:r>
      <w:r w:rsidRPr="59521EFA" w:rsidR="00B471FA">
        <w:rPr>
          <w:rFonts w:ascii="Arial" w:hAnsi="Arial" w:eastAsia="Arial" w:cs="Arial"/>
          <w:i w:val="1"/>
          <w:iCs w:val="1"/>
          <w:sz w:val="21"/>
          <w:szCs w:val="21"/>
          <w:lang w:val="es-ES"/>
        </w:rPr>
        <w:t>“intercambio patrimonial”</w:t>
      </w:r>
      <w:r w:rsidRPr="59521EFA" w:rsidR="00B471FA">
        <w:rPr>
          <w:rFonts w:ascii="Arial" w:hAnsi="Arial" w:eastAsia="Arial" w:cs="Arial"/>
          <w:sz w:val="21"/>
          <w:szCs w:val="21"/>
          <w:lang w:val="es-ES"/>
        </w:rPr>
        <w:t>. Sin perjuicio de lo anterior, en otra oportunidad, la misma Sala</w:t>
      </w:r>
      <w:r w:rsidRPr="59521EFA">
        <w:rPr>
          <w:rFonts w:ascii="Arial" w:hAnsi="Arial" w:eastAsia="Arial" w:cs="Arial"/>
          <w:sz w:val="21"/>
          <w:szCs w:val="21"/>
          <w:vertAlign w:val="superscript"/>
          <w:lang w:eastAsia="es-ES"/>
        </w:rPr>
        <w:footnoteReference w:id="25"/>
      </w:r>
      <w:r w:rsidRPr="59521EFA" w:rsidR="00B471FA">
        <w:rPr>
          <w:rFonts w:ascii="Arial" w:hAnsi="Arial" w:eastAsia="Arial" w:cs="Arial"/>
          <w:sz w:val="21"/>
          <w:szCs w:val="21"/>
          <w:lang w:val="es-ES"/>
        </w:rPr>
        <w:t xml:space="preserve"> había indicado que, si bien en dichos convenios no se daba un </w:t>
      </w:r>
      <w:r w:rsidRPr="59521EFA" w:rsidR="00B471FA">
        <w:rPr>
          <w:rFonts w:ascii="Arial" w:hAnsi="Arial" w:eastAsia="Arial" w:cs="Arial"/>
          <w:i w:val="1"/>
          <w:iCs w:val="1"/>
          <w:sz w:val="21"/>
          <w:szCs w:val="21"/>
          <w:lang w:val="es-ES"/>
        </w:rPr>
        <w:t>“verdadero intercambio de bienes o servicios (contrato conmutativo)”</w:t>
      </w:r>
      <w:r w:rsidRPr="59521EFA" w:rsidR="00B471FA">
        <w:rPr>
          <w:rFonts w:ascii="Arial" w:hAnsi="Arial" w:eastAsia="Arial" w:cs="Arial"/>
          <w:sz w:val="21"/>
          <w:szCs w:val="21"/>
          <w:lang w:val="es-ES"/>
        </w:rPr>
        <w:t>, ello no impedía que se conviniera una remuneración a cargo de alguna(s) entidad(es).</w:t>
      </w:r>
    </w:p>
    <w:p w:rsidRPr="00BC5BC5" w:rsidR="00B471FA" w:rsidP="59521EFA" w:rsidRDefault="00B471FA" w14:paraId="08A0AB3C" w14:textId="77777777" w14:noSpellErr="1">
      <w:pPr>
        <w:widowControl w:val="0"/>
        <w:autoSpaceDE w:val="0"/>
        <w:autoSpaceDN w:val="0"/>
        <w:spacing w:before="120"/>
        <w:ind w:left="709" w:right="709"/>
        <w:jc w:val="both"/>
        <w:rPr>
          <w:rFonts w:ascii="Arial" w:hAnsi="Arial" w:eastAsia="Arial" w:cs="Arial"/>
          <w:sz w:val="21"/>
          <w:szCs w:val="21"/>
          <w:lang w:val="es-ES" w:eastAsia="es-ES" w:bidi="es-ES"/>
        </w:rPr>
      </w:pPr>
      <w:r w:rsidRPr="59521EFA" w:rsidR="00B471FA">
        <w:rPr>
          <w:rFonts w:ascii="Arial" w:hAnsi="Arial" w:eastAsia="Arial" w:cs="Arial"/>
          <w:sz w:val="21"/>
          <w:szCs w:val="21"/>
          <w:lang w:val="es-ES" w:eastAsia="es-ES" w:bidi="es-ES"/>
        </w:rPr>
        <w:t xml:space="preserve">Lo expuesto evidencia que, en general, las interpretaciones en torno a los </w:t>
      </w:r>
      <w:r w:rsidRPr="59521EFA" w:rsidR="00B471FA">
        <w:rPr>
          <w:rFonts w:ascii="Arial" w:hAnsi="Arial" w:eastAsia="Arial" w:cs="Arial"/>
          <w:i w:val="1"/>
          <w:iCs w:val="1"/>
          <w:sz w:val="21"/>
          <w:szCs w:val="21"/>
          <w:lang w:val="es-ES" w:eastAsia="es-ES" w:bidi="es-ES"/>
        </w:rPr>
        <w:t>“convenios interadministrativos”</w:t>
      </w:r>
      <w:r w:rsidRPr="59521EFA" w:rsidR="00B471FA">
        <w:rPr>
          <w:rFonts w:ascii="Arial" w:hAnsi="Arial" w:eastAsia="Arial" w:cs="Arial"/>
          <w:sz w:val="21"/>
          <w:szCs w:val="21"/>
          <w:lang w:val="es-ES" w:eastAsia="es-ES" w:bidi="es-ES"/>
        </w:rPr>
        <w:t xml:space="preserve"> previstos en el artículo 95 de la Ley </w:t>
      </w:r>
      <w:r w:rsidRPr="59521EFA" w:rsidR="00B471FA">
        <w:rPr>
          <w:rFonts w:ascii="Arial" w:hAnsi="Arial" w:eastAsia="Arial" w:cs="Arial"/>
          <w:sz w:val="21"/>
          <w:szCs w:val="21"/>
          <w:lang w:val="es-ES" w:eastAsia="es-ES" w:bidi="es-ES"/>
        </w:rPr>
        <w:t xml:space="preserve">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59521EFA">
        <w:rPr>
          <w:rFonts w:ascii="Arial" w:hAnsi="Arial" w:eastAsia="Arial" w:cs="Arial"/>
          <w:sz w:val="21"/>
          <w:szCs w:val="21"/>
          <w:vertAlign w:val="superscript"/>
          <w:lang w:eastAsia="es-ES"/>
        </w:rPr>
        <w:footnoteReference w:id="26"/>
      </w:r>
      <w:r w:rsidRPr="59521EFA" w:rsidR="00B471FA">
        <w:rPr>
          <w:rFonts w:ascii="Arial" w:hAnsi="Arial" w:eastAsia="Arial" w:cs="Arial"/>
          <w:sz w:val="21"/>
          <w:szCs w:val="21"/>
          <w:lang w:val="es-ES" w:eastAsia="es-ES" w:bidi="es-ES"/>
        </w:rPr>
        <w:t xml:space="preserve"> </w:t>
      </w:r>
      <w:r w:rsidRPr="59521EFA">
        <w:rPr>
          <w:rFonts w:ascii="Arial" w:hAnsi="Arial" w:eastAsia="Arial" w:cs="Arial"/>
          <w:sz w:val="21"/>
          <w:szCs w:val="21"/>
          <w:vertAlign w:val="superscript"/>
          <w:lang w:eastAsia="es-ES"/>
        </w:rPr>
        <w:footnoteReference w:id="27"/>
      </w:r>
      <w:r w:rsidRPr="59521EFA" w:rsidR="00B471FA">
        <w:rPr>
          <w:rFonts w:ascii="Arial" w:hAnsi="Arial" w:eastAsia="Arial" w:cs="Arial"/>
          <w:sz w:val="21"/>
          <w:szCs w:val="21"/>
          <w:lang w:val="es-ES" w:eastAsia="es-ES" w:bidi="es-ES"/>
        </w:rPr>
        <w:t>”. [Énfasis propio]</w:t>
      </w:r>
    </w:p>
    <w:p w:rsidRPr="00BC5BC5" w:rsidR="00B471FA" w:rsidP="59521EFA" w:rsidRDefault="00B471FA" w14:paraId="16D5DCB7" w14:textId="77777777" w14:noSpellErr="1">
      <w:pPr>
        <w:spacing w:line="276" w:lineRule="auto"/>
        <w:ind w:firstLine="709"/>
        <w:jc w:val="both"/>
        <w:rPr>
          <w:rFonts w:ascii="Arial" w:hAnsi="Arial" w:eastAsia="Arial" w:cs="Arial"/>
          <w:sz w:val="22"/>
          <w:szCs w:val="22"/>
          <w:lang w:val="es-ES" w:eastAsia="es-ES"/>
        </w:rPr>
      </w:pPr>
    </w:p>
    <w:p w:rsidRPr="00BC5BC5" w:rsidR="00B471FA" w:rsidP="59521EFA" w:rsidRDefault="00B471FA" w14:paraId="258109A3" w14:textId="77777777" w14:noSpellErr="1">
      <w:pPr>
        <w:spacing w:line="276" w:lineRule="auto"/>
        <w:ind w:firstLine="709"/>
        <w:jc w:val="both"/>
        <w:rPr>
          <w:rFonts w:ascii="Arial" w:hAnsi="Arial" w:eastAsia="Arial" w:cs="Arial"/>
          <w:sz w:val="22"/>
          <w:szCs w:val="22"/>
          <w:lang w:val="es-ES" w:eastAsia="es-ES"/>
        </w:rPr>
      </w:pPr>
      <w:r w:rsidRPr="59521EFA" w:rsidR="00B471FA">
        <w:rPr>
          <w:rFonts w:ascii="Arial" w:hAnsi="Arial" w:eastAsia="Arial" w:cs="Arial"/>
          <w:sz w:val="22"/>
          <w:szCs w:val="22"/>
          <w:lang w:val="es-ES" w:eastAsia="es-ES"/>
        </w:rPr>
        <w:lastRenderedPageBreak/>
        <w:t>En ese orden, debe advertirse que el ordenamiento jurídico en distintas ocasiones utiliza de forma indistinta los conceptos de contrato o convenio para referirse a la misma institución jurídica</w:t>
      </w:r>
      <w:r w:rsidRPr="59521EFA">
        <w:rPr>
          <w:rFonts w:ascii="Arial" w:hAnsi="Arial" w:eastAsia="Arial" w:cs="Arial"/>
          <w:sz w:val="22"/>
          <w:szCs w:val="22"/>
          <w:vertAlign w:val="superscript"/>
        </w:rPr>
        <w:footnoteReference w:id="28"/>
      </w:r>
      <w:r w:rsidRPr="59521EFA" w:rsidR="00B471FA">
        <w:rPr>
          <w:rFonts w:ascii="Arial" w:hAnsi="Arial" w:eastAsia="Arial" w:cs="Arial"/>
          <w:sz w:val="22"/>
          <w:szCs w:val="22"/>
          <w:lang w:val="es-ES" w:eastAsia="es-ES" w:bidi="es-ES"/>
        </w:rPr>
        <w:t>. Incluso la Corte Constitucional explica la posibilidad de celebrar convenios interadministrativos de forma directa, con fundamento en la causal establecida en la Ley 1150 de 2007 respecto a los contratos interadministrativos</w:t>
      </w:r>
      <w:r w:rsidRPr="59521EFA">
        <w:rPr>
          <w:rFonts w:ascii="Arial" w:hAnsi="Arial" w:eastAsia="Arial" w:cs="Arial"/>
          <w:sz w:val="22"/>
          <w:szCs w:val="22"/>
          <w:vertAlign w:val="superscript"/>
        </w:rPr>
        <w:footnoteReference w:id="29"/>
      </w:r>
      <w:r w:rsidRPr="59521EFA" w:rsidR="00B471FA">
        <w:rPr>
          <w:rFonts w:ascii="Arial" w:hAnsi="Arial" w:eastAsia="Arial" w:cs="Arial"/>
          <w:sz w:val="22"/>
          <w:szCs w:val="22"/>
          <w:lang w:val="es-ES" w:eastAsia="es-ES" w:bidi="es-ES"/>
        </w:rPr>
        <w:t>.</w:t>
      </w:r>
    </w:p>
    <w:p w:rsidRPr="00BC5BC5" w:rsidR="00B471FA" w:rsidP="59521EFA" w:rsidRDefault="00B471FA" w14:paraId="625B6BAF" w14:textId="77777777" w14:noSpellErr="1">
      <w:pPr>
        <w:spacing w:before="120" w:line="276" w:lineRule="auto"/>
        <w:ind w:firstLine="709"/>
        <w:jc w:val="both"/>
        <w:rPr>
          <w:rFonts w:ascii="Arial" w:hAnsi="Arial" w:eastAsia="Arial" w:cs="Arial"/>
          <w:sz w:val="22"/>
          <w:szCs w:val="22"/>
          <w:lang w:val="es-ES" w:eastAsia="es-ES"/>
        </w:rPr>
      </w:pPr>
      <w:r w:rsidRPr="59521EFA" w:rsidR="00B471FA">
        <w:rPr>
          <w:rFonts w:ascii="Arial" w:hAnsi="Arial" w:eastAsia="Arial" w:cs="Arial"/>
          <w:sz w:val="22"/>
          <w:szCs w:val="22"/>
          <w:lang w:val="es-ES" w:eastAsia="es-ES"/>
        </w:rPr>
        <w:t>Corolario de lo anterior, se colige que lo que define los contratos o convenios interadministrativos es la naturaleza de las partes, de manera que están determinados por un criterio orgánico, en el sentido de que lo serán aquellos celebrados entre entidades estatales.</w:t>
      </w:r>
      <w:r w:rsidRPr="59521EFA" w:rsidR="00B471FA">
        <w:rPr>
          <w:rFonts w:ascii="Arial" w:hAnsi="Arial" w:eastAsia="Arial" w:cs="Arial"/>
          <w:sz w:val="22"/>
          <w:szCs w:val="22"/>
          <w:lang w:val="es-ES" w:eastAsia="es-ES"/>
        </w:rPr>
        <w:t xml:space="preserve"> Además, no existe una diferencia en los conceptos de contrato y convenio, por lo que se asimilaron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 </w:t>
      </w:r>
    </w:p>
    <w:p w:rsidRPr="00BC5BC5" w:rsidR="00B471FA" w:rsidP="59521EFA" w:rsidRDefault="00B471FA" w14:paraId="683EFEA0" w14:textId="09A95FD4">
      <w:pPr>
        <w:spacing w:before="120" w:line="276" w:lineRule="auto"/>
        <w:ind w:firstLine="709"/>
        <w:jc w:val="both"/>
        <w:rPr>
          <w:rFonts w:ascii="Arial" w:hAnsi="Arial" w:eastAsia="Arial" w:cs="Arial"/>
          <w:lang w:val="es-ES" w:eastAsia="es-ES"/>
        </w:rPr>
      </w:pPr>
      <w:r w:rsidRPr="59521EFA" w:rsidR="2A7B8486">
        <w:rPr>
          <w:rFonts w:ascii="Arial" w:hAnsi="Arial" w:eastAsia="Arial" w:cs="Arial"/>
          <w:sz w:val="22"/>
          <w:szCs w:val="22"/>
          <w:lang w:val="es-ES" w:eastAsia="es-ES"/>
        </w:rPr>
        <w:t>Finalmente,</w:t>
      </w:r>
      <w:r w:rsidRPr="59521EFA" w:rsidR="00B471FA">
        <w:rPr>
          <w:rFonts w:ascii="Arial" w:hAnsi="Arial" w:eastAsia="Arial" w:cs="Arial"/>
          <w:sz w:val="22"/>
          <w:szCs w:val="22"/>
          <w:lang w:val="es-ES" w:eastAsia="es-ES"/>
        </w:rPr>
        <w:t xml:space="preserve"> y conforme a todo lo expuesto, debe aclararse que para los comicios que se celebrarán este año, aplicarán las restricciones contractuales establecidas en el parágrafo del artículo 38 de la Ley 996 de 2005 que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de las entidades descritas en el parágrafo </w:t>
      </w:r>
      <w:r w:rsidRPr="59521EFA" w:rsidR="00B471FA">
        <w:rPr>
          <w:rFonts w:ascii="Arial" w:hAnsi="Arial" w:eastAsia="Arial" w:cs="Arial"/>
          <w:i w:val="1"/>
          <w:iCs w:val="1"/>
          <w:sz w:val="22"/>
          <w:szCs w:val="22"/>
          <w:lang w:val="es-ES" w:eastAsia="es-ES"/>
        </w:rPr>
        <w:t>ibidem</w:t>
      </w:r>
      <w:r w:rsidRPr="59521EFA" w:rsidR="00B471FA">
        <w:rPr>
          <w:rFonts w:ascii="Arial" w:hAnsi="Arial" w:eastAsia="Arial" w:cs="Arial"/>
          <w:i w:val="1"/>
          <w:iCs w:val="1"/>
          <w:sz w:val="22"/>
          <w:szCs w:val="22"/>
          <w:lang w:val="es-ES" w:eastAsia="es-ES"/>
        </w:rPr>
        <w:t xml:space="preserve">, </w:t>
      </w:r>
      <w:r w:rsidRPr="59521EFA" w:rsidR="00B471FA">
        <w:rPr>
          <w:rFonts w:ascii="Arial" w:hAnsi="Arial" w:eastAsia="Arial" w:cs="Arial"/>
          <w:sz w:val="22"/>
          <w:szCs w:val="22"/>
          <w:lang w:val="es-ES" w:eastAsia="es-ES"/>
        </w:rPr>
        <w:t xml:space="preserve">no podrá celebrar tales convenios o contratos durante la aplicación de la Ley de Garantías Electorales, toda vez que la citada disposición hace referencia </w:t>
      </w:r>
      <w:r w:rsidRPr="59521EFA" w:rsidR="00B471FA">
        <w:rPr>
          <w:rFonts w:ascii="Arial" w:hAnsi="Arial" w:eastAsia="Arial" w:cs="Arial"/>
          <w:sz w:val="22"/>
          <w:szCs w:val="22"/>
          <w:lang w:val="es-ES" w:eastAsia="es-ES"/>
        </w:rPr>
        <w:t>a dicha tipología contractual sin que el legislador hubiere contemplado excepción alguna frente a la modalidad de selección o naturaleza de su objeto.</w:t>
      </w:r>
    </w:p>
    <w:p w:rsidRPr="00BC5BC5" w:rsidR="00B471FA" w:rsidP="59521EFA" w:rsidRDefault="00B471FA" w14:paraId="53BB2919" w14:textId="77777777" w14:noSpellErr="1">
      <w:pPr>
        <w:spacing w:before="120" w:line="276" w:lineRule="auto"/>
        <w:ind w:firstLine="709"/>
        <w:jc w:val="both"/>
        <w:rPr>
          <w:rFonts w:ascii="Arial" w:hAnsi="Arial" w:eastAsia="Arial" w:cs="Arial"/>
          <w:lang w:val="es-ES" w:eastAsia="es-ES"/>
        </w:rPr>
      </w:pPr>
    </w:p>
    <w:p w:rsidRPr="00BC5BC5" w:rsidR="00B471FA" w:rsidP="59521EFA" w:rsidRDefault="00B471FA" w14:paraId="4E249047" w14:textId="77777777" w14:noSpellErr="1">
      <w:pPr>
        <w:spacing w:line="276" w:lineRule="auto"/>
        <w:jc w:val="both"/>
        <w:rPr>
          <w:rFonts w:ascii="Arial" w:hAnsi="Arial" w:eastAsia="Arial" w:cs="Arial"/>
          <w:b w:val="1"/>
          <w:bCs w:val="1"/>
          <w:lang w:eastAsia="es-CO"/>
        </w:rPr>
      </w:pPr>
      <w:r w:rsidRPr="59521EFA" w:rsidR="00B471FA">
        <w:rPr>
          <w:rFonts w:ascii="Arial" w:hAnsi="Arial" w:eastAsia="Arial" w:cs="Arial"/>
          <w:b w:val="1"/>
          <w:bCs w:val="1"/>
          <w:lang w:eastAsia="es-CO"/>
        </w:rPr>
        <w:t xml:space="preserve">2.4. </w:t>
      </w:r>
      <w:bookmarkStart w:name="_Hlk100219740" w:id="25"/>
      <w:r w:rsidRPr="59521EFA" w:rsidR="00B471FA">
        <w:rPr>
          <w:rFonts w:ascii="Arial" w:hAnsi="Arial" w:eastAsia="Arial" w:cs="Arial"/>
          <w:b w:val="1"/>
          <w:bCs w:val="1"/>
          <w:lang w:eastAsia="es-CO"/>
        </w:rPr>
        <w:t>Régimen contractual de los fondos de servicios educativos y aplicación de la Ley de Garantías</w:t>
      </w:r>
      <w:bookmarkEnd w:id="25"/>
    </w:p>
    <w:p w:rsidR="59521EFA" w:rsidP="59521EFA" w:rsidRDefault="59521EFA" w14:paraId="3A3B29AE" w14:textId="351ED22B">
      <w:pPr>
        <w:spacing w:after="120" w:line="276" w:lineRule="auto"/>
        <w:jc w:val="both"/>
        <w:rPr>
          <w:rFonts w:ascii="Arial" w:hAnsi="Arial" w:eastAsia="Arial" w:cs="Arial"/>
          <w:lang w:eastAsia="es-MX"/>
        </w:rPr>
      </w:pPr>
    </w:p>
    <w:p w:rsidRPr="00BC5BC5" w:rsidR="00B471FA" w:rsidP="59521EFA" w:rsidRDefault="00B471FA" w14:paraId="6BBFD8B8" w14:textId="77777777" w14:noSpellErr="1">
      <w:pPr>
        <w:spacing w:after="120" w:line="276" w:lineRule="auto"/>
        <w:jc w:val="both"/>
        <w:rPr>
          <w:rFonts w:ascii="Arial" w:hAnsi="Arial" w:eastAsia="Arial" w:cs="Arial"/>
          <w:sz w:val="22"/>
          <w:szCs w:val="22"/>
          <w:lang w:eastAsia="es-MX"/>
        </w:rPr>
      </w:pPr>
      <w:r w:rsidRPr="59521EFA" w:rsidR="00B471FA">
        <w:rPr>
          <w:rFonts w:ascii="Arial" w:hAnsi="Arial" w:eastAsia="Arial" w:cs="Arial"/>
          <w:sz w:val="22"/>
          <w:szCs w:val="22"/>
          <w:lang w:eastAsia="es-MX"/>
        </w:rPr>
        <w:t>Las Leyes 60 de 1993 y 715 de 2001 descentralizaron el sistema educativo en Colombia, asignándoles a los departamentos, distritos y municipios las competencias y los recursos para dirigir las instituciones educativas. Así las cosas, el sistema educativo está descentralizado por las competencias propias otorgadas a las entidades territoriales para administrar las instituciones educativas en los diferentes niveles territoriales, sin que estas últimas sean entidades descentralizadas</w:t>
      </w:r>
      <w:r w:rsidRPr="59521EFA">
        <w:rPr>
          <w:rFonts w:ascii="Arial" w:hAnsi="Arial" w:eastAsia="Arial" w:cs="Arial"/>
          <w:sz w:val="22"/>
          <w:szCs w:val="22"/>
          <w:vertAlign w:val="superscript"/>
          <w:lang w:eastAsia="es-MX"/>
        </w:rPr>
        <w:footnoteReference w:id="30"/>
      </w:r>
      <w:r w:rsidRPr="59521EFA" w:rsidR="00B471FA">
        <w:rPr>
          <w:rFonts w:ascii="Arial" w:hAnsi="Arial" w:eastAsia="Arial" w:cs="Arial"/>
          <w:sz w:val="22"/>
          <w:szCs w:val="22"/>
          <w:lang w:eastAsia="es-MX"/>
        </w:rPr>
        <w:t xml:space="preserve">. </w:t>
      </w:r>
    </w:p>
    <w:p w:rsidRPr="00BC5BC5" w:rsidR="00B471FA" w:rsidP="59521EFA" w:rsidRDefault="00B471FA" w14:paraId="39E9FE62" w14:textId="77777777" w14:noSpellErr="1">
      <w:pPr>
        <w:spacing w:before="120" w:after="120" w:line="276" w:lineRule="auto"/>
        <w:ind w:firstLine="709"/>
        <w:jc w:val="both"/>
        <w:rPr>
          <w:rFonts w:ascii="Arial" w:hAnsi="Arial" w:eastAsia="Arial" w:cs="Arial"/>
          <w:sz w:val="22"/>
          <w:szCs w:val="22"/>
          <w:lang w:eastAsia="es-MX"/>
        </w:rPr>
      </w:pPr>
      <w:r w:rsidRPr="59521EFA" w:rsidR="00B471FA">
        <w:rPr>
          <w:rFonts w:ascii="Arial" w:hAnsi="Arial" w:eastAsia="Arial" w:cs="Arial"/>
          <w:sz w:val="22"/>
          <w:szCs w:val="22"/>
          <w:lang w:eastAsia="es-MX"/>
        </w:rPr>
        <w:t xml:space="preserve">Conforme a lo anterior, </w:t>
      </w:r>
      <w:bookmarkStart w:name="_Hlk100224224" w:id="26"/>
      <w:r w:rsidRPr="59521EFA" w:rsidR="00B471FA">
        <w:rPr>
          <w:rFonts w:ascii="Arial" w:hAnsi="Arial" w:eastAsia="Arial" w:cs="Arial"/>
          <w:sz w:val="22"/>
          <w:szCs w:val="22"/>
          <w:lang w:eastAsia="es-MX"/>
        </w:rPr>
        <w:t xml:space="preserve">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Estas son cuentas contables que le permiten a las instituciones realizar la </w:t>
      </w:r>
      <w:r w:rsidRPr="59521EFA" w:rsidR="00B471FA">
        <w:rPr>
          <w:rFonts w:ascii="Arial" w:hAnsi="Arial" w:eastAsia="Arial" w:cs="Arial"/>
          <w:sz w:val="22"/>
          <w:szCs w:val="22"/>
          <w:lang w:eastAsia="es-MX"/>
        </w:rPr>
        <w:lastRenderedPageBreak/>
        <w:t>gestión y ejecución presupuestal de los recursos que reciben los establecimientos educativos</w:t>
      </w:r>
      <w:bookmarkEnd w:id="26"/>
      <w:r w:rsidRPr="59521EFA">
        <w:rPr>
          <w:rFonts w:ascii="Arial" w:hAnsi="Arial" w:eastAsia="Arial" w:cs="Arial"/>
          <w:sz w:val="22"/>
          <w:szCs w:val="22"/>
          <w:vertAlign w:val="superscript"/>
          <w:lang w:eastAsia="es-MX"/>
        </w:rPr>
        <w:footnoteReference w:id="31"/>
      </w:r>
      <w:r w:rsidRPr="59521EFA" w:rsidR="00B471FA">
        <w:rPr>
          <w:rFonts w:ascii="Arial" w:hAnsi="Arial" w:eastAsia="Arial" w:cs="Arial"/>
          <w:sz w:val="22"/>
          <w:szCs w:val="22"/>
          <w:lang w:eastAsia="es-MX"/>
        </w:rPr>
        <w:t xml:space="preserve"> </w:t>
      </w:r>
      <w:r w:rsidRPr="59521EFA">
        <w:rPr>
          <w:rFonts w:ascii="Arial" w:hAnsi="Arial" w:eastAsia="Arial" w:cs="Arial"/>
          <w:sz w:val="22"/>
          <w:szCs w:val="22"/>
          <w:vertAlign w:val="superscript"/>
          <w:lang w:eastAsia="es-MX"/>
        </w:rPr>
        <w:footnoteReference w:id="32"/>
      </w:r>
      <w:r w:rsidRPr="59521EFA" w:rsidR="00B471FA">
        <w:rPr>
          <w:rFonts w:ascii="Arial" w:hAnsi="Arial" w:eastAsia="Arial" w:cs="Arial"/>
          <w:sz w:val="22"/>
          <w:szCs w:val="22"/>
          <w:lang w:eastAsia="es-MX"/>
        </w:rPr>
        <w:t>.</w:t>
      </w:r>
    </w:p>
    <w:p w:rsidRPr="00BC5BC5" w:rsidR="00B471FA" w:rsidP="59521EFA" w:rsidRDefault="00B471FA" w14:paraId="60D0D309" w14:textId="77777777" w14:noSpellErr="1">
      <w:pPr>
        <w:spacing w:before="120" w:line="276" w:lineRule="auto"/>
        <w:ind w:firstLine="709"/>
        <w:jc w:val="both"/>
        <w:rPr>
          <w:rFonts w:ascii="Arial" w:hAnsi="Arial" w:eastAsia="Arial" w:cs="Arial"/>
          <w:sz w:val="22"/>
          <w:szCs w:val="22"/>
          <w:lang w:eastAsia="es-MX"/>
        </w:rPr>
      </w:pPr>
      <w:r w:rsidRPr="59521EFA" w:rsidR="00B471FA">
        <w:rPr>
          <w:rFonts w:ascii="Arial" w:hAnsi="Arial" w:eastAsia="Arial" w:cs="Arial"/>
          <w:sz w:val="22"/>
          <w:szCs w:val="22"/>
          <w:lang w:eastAsia="es-MX"/>
        </w:rPr>
        <w:t>Los fondos de servicios educativos tampoco cuentan con personería jurídica según lo previsto en el artículo 2.3.1.6.3.4 del Decreto 1075 de 2015, Decreto Único Reglamentario del Sector Educación:</w:t>
      </w:r>
    </w:p>
    <w:p w:rsidR="59521EFA" w:rsidP="59521EFA" w:rsidRDefault="59521EFA" w14:paraId="4EA1ADA7" w14:textId="217AFC83">
      <w:pPr>
        <w:pStyle w:val="Normal"/>
        <w:spacing w:before="120" w:line="276" w:lineRule="auto"/>
        <w:ind w:firstLine="709"/>
        <w:jc w:val="both"/>
        <w:rPr>
          <w:rFonts w:ascii="Arial" w:hAnsi="Arial" w:eastAsia="Arial" w:cs="Arial"/>
          <w:lang w:eastAsia="es-MX"/>
        </w:rPr>
      </w:pPr>
    </w:p>
    <w:p w:rsidRPr="00BC5BC5" w:rsidR="00B471FA" w:rsidP="59521EFA" w:rsidRDefault="00B471FA" w14:paraId="463CED84" w14:textId="77777777" w14:noSpellErr="1">
      <w:pPr>
        <w:ind w:left="709" w:right="709"/>
        <w:jc w:val="both"/>
        <w:rPr>
          <w:rFonts w:ascii="Arial" w:hAnsi="Arial" w:eastAsia="Arial" w:cs="Arial"/>
          <w:sz w:val="21"/>
          <w:szCs w:val="21"/>
          <w:lang w:eastAsia="es-MX"/>
        </w:rPr>
      </w:pPr>
      <w:r w:rsidRPr="59521EFA" w:rsidR="00B471FA">
        <w:rPr>
          <w:rFonts w:ascii="Arial" w:hAnsi="Arial" w:eastAsia="Arial" w:cs="Arial"/>
          <w:sz w:val="21"/>
          <w:szCs w:val="21"/>
          <w:lang w:eastAsia="es-MX"/>
        </w:rPr>
        <w:t>“Artículo 2.3.1.6.3.4. Ordenación del gasto. Los fondos de servicios educativos carecen de personería jurídica. El rector o director rural es el ordenador del gasto del Fondo de Servicios Educativos y su ejercicio no implica representación legal".</w:t>
      </w:r>
    </w:p>
    <w:p w:rsidR="59521EFA" w:rsidP="59521EFA" w:rsidRDefault="59521EFA" w14:paraId="4C1C4EA7" w14:textId="75CD393A">
      <w:pPr>
        <w:spacing w:after="120" w:line="276" w:lineRule="auto"/>
        <w:ind w:firstLine="709"/>
        <w:jc w:val="both"/>
        <w:rPr>
          <w:rFonts w:ascii="Arial" w:hAnsi="Arial" w:eastAsia="Arial" w:cs="Arial"/>
          <w:sz w:val="22"/>
          <w:szCs w:val="22"/>
          <w:lang w:eastAsia="es-MX"/>
        </w:rPr>
      </w:pPr>
    </w:p>
    <w:p w:rsidRPr="00BC5BC5" w:rsidR="00B471FA" w:rsidP="59521EFA" w:rsidRDefault="00B471FA" w14:paraId="2A70B45A" w14:textId="77777777" w14:noSpellErr="1">
      <w:pPr>
        <w:spacing w:after="120" w:line="276" w:lineRule="auto"/>
        <w:ind w:firstLine="709"/>
        <w:jc w:val="both"/>
        <w:rPr>
          <w:rFonts w:ascii="Arial" w:hAnsi="Arial" w:eastAsia="Arial" w:cs="Arial"/>
          <w:sz w:val="22"/>
          <w:szCs w:val="22"/>
          <w:lang w:eastAsia="es-MX"/>
        </w:rPr>
      </w:pPr>
      <w:r w:rsidRPr="59521EFA" w:rsidR="00B471FA">
        <w:rPr>
          <w:rFonts w:ascii="Arial" w:hAnsi="Arial" w:eastAsia="Arial" w:cs="Arial"/>
          <w:sz w:val="22"/>
          <w:szCs w:val="22"/>
          <w:lang w:eastAsia="es-MX"/>
        </w:rPr>
        <w:t>En relación con la capacidad para contratar con la que cuentan las instituciones educativas por medio de los fondos de servicios educativos, es necesario precisar que cuando se trate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w:t>
      </w:r>
      <w:r w:rsidRPr="59521EFA">
        <w:rPr>
          <w:rFonts w:ascii="Arial" w:hAnsi="Arial" w:eastAsia="Arial" w:cs="Arial"/>
          <w:sz w:val="22"/>
          <w:szCs w:val="22"/>
          <w:vertAlign w:val="superscript"/>
          <w:lang w:eastAsia="es-MX"/>
        </w:rPr>
        <w:footnoteReference w:id="33"/>
      </w:r>
      <w:r w:rsidRPr="59521EFA" w:rsidR="00B471FA">
        <w:rPr>
          <w:rFonts w:ascii="Arial" w:hAnsi="Arial" w:eastAsia="Arial" w:cs="Arial"/>
          <w:sz w:val="22"/>
          <w:szCs w:val="22"/>
          <w:lang w:eastAsia="es-MX"/>
        </w:rPr>
        <w:t>. Para estos efectos, el artículo 2.3.1.6.3.17. del Decreto 1075 de 2015 dispone lo siguiente:</w:t>
      </w:r>
    </w:p>
    <w:p w:rsidRPr="00BC5BC5" w:rsidR="00B471FA" w:rsidP="59521EFA" w:rsidRDefault="00B471FA" w14:paraId="40C39A8A" w14:textId="77777777" w14:noSpellErr="1">
      <w:pPr>
        <w:spacing w:after="120"/>
        <w:ind w:left="709" w:right="709"/>
        <w:jc w:val="both"/>
        <w:textAlignment w:val="baseline"/>
        <w:rPr>
          <w:rFonts w:ascii="Arial" w:hAnsi="Arial" w:eastAsia="Arial" w:cs="Arial"/>
          <w:sz w:val="18"/>
          <w:szCs w:val="18"/>
          <w:lang w:val="es-ES" w:eastAsia="es-ES"/>
        </w:rPr>
      </w:pPr>
      <w:r w:rsidRPr="59521EFA" w:rsidR="00B471FA">
        <w:rPr>
          <w:rFonts w:ascii="Arial" w:hAnsi="Arial" w:eastAsia="Arial" w:cs="Arial"/>
          <w:color w:val="000000" w:themeColor="text1" w:themeTint="FF" w:themeShade="FF"/>
          <w:sz w:val="21"/>
          <w:szCs w:val="21"/>
          <w:lang w:val="es-ES" w:eastAsia="es-ES"/>
        </w:rPr>
        <w:t>“La celebración de contratos a que haya lugar con recursos del Fondo de Servicios Educativos, debe realizarse con estricta sujeción a lo dispuesto en el estatuto contractual de la administración pública, cuando supere la cuantía de veinte (20) salarios mínimos legales mensuales vigentes.</w:t>
      </w:r>
      <w:r w:rsidRPr="59521EFA" w:rsidR="00B471FA">
        <w:rPr>
          <w:rFonts w:ascii="Arial" w:hAnsi="Arial" w:eastAsia="Arial" w:cs="Arial"/>
          <w:color w:val="000000" w:themeColor="text1" w:themeTint="FF" w:themeShade="FF"/>
          <w:sz w:val="21"/>
          <w:szCs w:val="21"/>
          <w:lang w:val="es-ES" w:eastAsia="es-ES"/>
        </w:rPr>
        <w:t> </w:t>
      </w:r>
      <w:r w:rsidRPr="59521EFA" w:rsidR="00B471FA">
        <w:rPr>
          <w:rFonts w:ascii="Arial" w:hAnsi="Arial" w:eastAsia="Arial" w:cs="Arial"/>
          <w:color w:val="000000" w:themeColor="text1" w:themeTint="FF" w:themeShade="FF"/>
          <w:sz w:val="21"/>
          <w:szCs w:val="21"/>
          <w:lang w:val="es-ES" w:eastAsia="es-ES"/>
        </w:rPr>
        <w:t> </w:t>
      </w:r>
    </w:p>
    <w:p w:rsidRPr="00BC5BC5" w:rsidR="00B471FA" w:rsidP="59521EFA" w:rsidRDefault="00B471FA" w14:paraId="2B0C82AA" w14:textId="77777777" w14:noSpellErr="1">
      <w:pPr>
        <w:ind w:left="705" w:right="705"/>
        <w:jc w:val="both"/>
        <w:textAlignment w:val="baseline"/>
        <w:rPr>
          <w:rFonts w:ascii="Arial" w:hAnsi="Arial" w:eastAsia="Arial" w:cs="Arial"/>
          <w:sz w:val="18"/>
          <w:szCs w:val="18"/>
          <w:lang w:val="es-ES" w:eastAsia="es-ES"/>
        </w:rPr>
      </w:pPr>
      <w:r w:rsidRPr="59521EFA" w:rsidR="00B471FA">
        <w:rPr>
          <w:rFonts w:ascii="Arial" w:hAnsi="Arial" w:eastAsia="Arial" w:cs="Arial"/>
          <w:color w:val="000000" w:themeColor="text1" w:themeTint="FF" w:themeShade="FF"/>
          <w:sz w:val="21"/>
          <w:szCs w:val="21"/>
          <w:lang w:val="es-ES" w:eastAsia="es-ES"/>
        </w:rPr>
        <w:t>Si la cuantía es inferior a los veinte (20) salarios mínimos legales mensuales vigentes se deben seguir los procedimientos establecidos en el reglamento expedido por el consejo directivo, de conformidad con lo dispuesto en el artículo 13 de la Ley 715 de 2001, y en todo caso siguiendo los principios de transparencia, economía, publicidad, y responsabilidad, de conformidad con los postulados de la función administrativa”.</w:t>
      </w:r>
      <w:r w:rsidRPr="59521EFA" w:rsidR="00B471FA">
        <w:rPr>
          <w:rFonts w:ascii="Arial" w:hAnsi="Arial" w:eastAsia="Arial" w:cs="Arial"/>
          <w:color w:val="000000" w:themeColor="text1" w:themeTint="FF" w:themeShade="FF"/>
          <w:sz w:val="21"/>
          <w:szCs w:val="21"/>
          <w:lang w:val="es-ES" w:eastAsia="es-ES"/>
        </w:rPr>
        <w:t> </w:t>
      </w:r>
      <w:r w:rsidRPr="59521EFA" w:rsidR="00B471FA">
        <w:rPr>
          <w:rFonts w:ascii="Arial" w:hAnsi="Arial" w:eastAsia="Arial" w:cs="Arial"/>
          <w:color w:val="000000" w:themeColor="text1" w:themeTint="FF" w:themeShade="FF"/>
          <w:sz w:val="21"/>
          <w:szCs w:val="21"/>
          <w:lang w:val="es-ES" w:eastAsia="es-ES"/>
        </w:rPr>
        <w:t> </w:t>
      </w:r>
    </w:p>
    <w:p w:rsidR="59521EFA" w:rsidP="59521EFA" w:rsidRDefault="59521EFA" w14:paraId="6AD44E91" w14:textId="4279702F">
      <w:pPr>
        <w:spacing w:after="120" w:line="276" w:lineRule="auto"/>
        <w:ind w:firstLine="709"/>
        <w:jc w:val="both"/>
        <w:rPr>
          <w:rFonts w:ascii="Arial" w:hAnsi="Arial" w:eastAsia="Arial" w:cs="Arial"/>
          <w:sz w:val="22"/>
          <w:szCs w:val="22"/>
          <w:lang w:eastAsia="es-MX"/>
        </w:rPr>
      </w:pPr>
    </w:p>
    <w:p w:rsidRPr="00BC5BC5" w:rsidR="00B471FA" w:rsidP="59521EFA" w:rsidRDefault="00B471FA" w14:paraId="19FD8821" w14:textId="77777777" w14:noSpellErr="1">
      <w:pPr>
        <w:spacing w:after="120" w:line="276" w:lineRule="auto"/>
        <w:ind w:firstLine="709"/>
        <w:jc w:val="both"/>
        <w:rPr>
          <w:rFonts w:ascii="Arial" w:hAnsi="Arial" w:eastAsia="Arial" w:cs="Arial"/>
          <w:sz w:val="22"/>
          <w:szCs w:val="22"/>
          <w:lang w:eastAsia="es-MX"/>
        </w:rPr>
      </w:pPr>
      <w:r w:rsidRPr="59521EFA" w:rsidR="00B471FA">
        <w:rPr>
          <w:rFonts w:ascii="Arial" w:hAnsi="Arial" w:eastAsia="Arial" w:cs="Arial"/>
          <w:sz w:val="22"/>
          <w:szCs w:val="22"/>
          <w:lang w:eastAsia="es-MX"/>
        </w:rPr>
        <w:t xml:space="preserve">Esto significa que la contratación que realicen las instituciones educativas, siempre que se ubique por debajo del referido umbral, no deberá ceñirse a las reglas del Estatuto General de Contratación de la Administración Pública, sino a las determinadas por el reglamento expedido por el consejo directivo de la institución educativa conforme al </w:t>
      </w:r>
      <w:bookmarkStart w:name="_Hlk61284209" w:id="28"/>
      <w:r w:rsidRPr="59521EFA" w:rsidR="00B471FA">
        <w:rPr>
          <w:rFonts w:ascii="Arial" w:hAnsi="Arial" w:eastAsia="Arial" w:cs="Arial"/>
          <w:sz w:val="22"/>
          <w:szCs w:val="22"/>
          <w:lang w:eastAsia="es-MX"/>
        </w:rPr>
        <w:t>artículo 13 de la Ley 715 de 2001</w:t>
      </w:r>
      <w:bookmarkEnd w:id="28"/>
      <w:r w:rsidRPr="59521EFA" w:rsidR="00B471FA">
        <w:rPr>
          <w:rFonts w:ascii="Arial" w:hAnsi="Arial" w:eastAsia="Arial" w:cs="Arial"/>
          <w:sz w:val="22"/>
          <w:szCs w:val="22"/>
          <w:lang w:eastAsia="es-MX"/>
        </w:rPr>
        <w:t>.</w:t>
      </w:r>
      <w:r w:rsidRPr="59521EFA" w:rsidR="00B471FA">
        <w:rPr>
          <w:rFonts w:ascii="Arial" w:hAnsi="Arial" w:eastAsia="Arial" w:cs="Arial"/>
          <w:sz w:val="22"/>
          <w:szCs w:val="22"/>
          <w:lang w:eastAsia="es-MX"/>
        </w:rPr>
        <w:t xml:space="preserve"> </w:t>
      </w:r>
      <w:r w:rsidRPr="59521EFA" w:rsidR="00B471FA">
        <w:rPr>
          <w:rFonts w:ascii="Arial" w:hAnsi="Arial" w:eastAsia="Arial" w:cs="Arial"/>
          <w:sz w:val="22"/>
          <w:szCs w:val="22"/>
          <w:lang w:eastAsia="es-MX"/>
        </w:rPr>
        <w:t>Los reglamentos que se expidan de conformidad con los principios de igualdad, moralidad, imparcialidad y publicidad, así como de acuerdo con la experiencia y el análisis concreto de las necesidades del establecimiento, deben definir los trámites, garantías y constancias que deben cumplirse para que el rector o director celebre cualquier acto o contrato que cree, extinga o modifique obligaciones con cargo al respectivo fondo de servicios educativos.</w:t>
      </w:r>
      <w:r w:rsidRPr="59521EFA" w:rsidR="00B471FA">
        <w:rPr>
          <w:rFonts w:ascii="Arial" w:hAnsi="Arial" w:eastAsia="Arial" w:cs="Arial"/>
          <w:sz w:val="22"/>
          <w:szCs w:val="22"/>
          <w:lang w:eastAsia="es-MX"/>
        </w:rPr>
        <w:t xml:space="preserve"> </w:t>
      </w:r>
    </w:p>
    <w:p w:rsidRPr="00BC5BC5" w:rsidR="00B471FA" w:rsidP="59521EFA" w:rsidRDefault="00B471FA" w14:paraId="2E5C21B2" w14:textId="77777777" w14:noSpellErr="1">
      <w:pPr>
        <w:spacing w:before="120" w:after="120" w:line="276" w:lineRule="auto"/>
        <w:ind w:firstLine="709"/>
        <w:jc w:val="both"/>
        <w:rPr>
          <w:rFonts w:ascii="Arial" w:hAnsi="Arial" w:eastAsia="Arial" w:cs="Arial"/>
          <w:sz w:val="22"/>
          <w:szCs w:val="22"/>
          <w:lang w:eastAsia="es-MX"/>
        </w:rPr>
      </w:pPr>
      <w:r w:rsidRPr="59521EFA" w:rsidR="00B471FA">
        <w:rPr>
          <w:rFonts w:ascii="Arial" w:hAnsi="Arial" w:eastAsia="Arial" w:cs="Arial"/>
          <w:sz w:val="22"/>
          <w:szCs w:val="22"/>
          <w:lang w:eastAsia="es-MX"/>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rsidRPr="00BC5BC5" w:rsidR="00B471FA" w:rsidP="59521EFA" w:rsidRDefault="00B471FA" w14:paraId="1F857CFD" w14:textId="77777777" w14:noSpellErr="1">
      <w:pPr>
        <w:spacing w:before="120" w:line="276" w:lineRule="auto"/>
        <w:ind w:firstLine="709"/>
        <w:jc w:val="both"/>
        <w:rPr>
          <w:rFonts w:ascii="Arial" w:hAnsi="Arial" w:eastAsia="Arial" w:cs="Arial"/>
          <w:sz w:val="22"/>
          <w:szCs w:val="22"/>
          <w:lang w:eastAsia="es-MX"/>
        </w:rPr>
      </w:pPr>
      <w:r w:rsidRPr="59521EFA" w:rsidR="00B471FA">
        <w:rPr>
          <w:rFonts w:ascii="Arial" w:hAnsi="Arial" w:eastAsia="Arial" w:cs="Arial"/>
          <w:sz w:val="22"/>
          <w:szCs w:val="22"/>
          <w:lang w:eastAsia="es-MX"/>
        </w:rPr>
        <w:t xml:space="preserve">Por el contrario, cuando la celebración de contratos a que haya lugar con recursos del fondo de servicios educativos supere la cuantía de los veinte (20) salarios mínimos legales mensuales vigentes, debe hacerse con </w:t>
      </w:r>
      <w:r w:rsidRPr="59521EFA" w:rsidR="00B471FA">
        <w:rPr>
          <w:rFonts w:ascii="Arial" w:hAnsi="Arial" w:eastAsia="Arial" w:cs="Arial"/>
          <w:sz w:val="22"/>
          <w:szCs w:val="22"/>
          <w:lang w:eastAsia="es-MX"/>
        </w:rPr>
        <w:t>estricta sujeción a lo dispuesto en la Ley 80 de 1993.</w:t>
      </w:r>
      <w:r w:rsidRPr="59521EFA" w:rsidR="00B471FA">
        <w:rPr>
          <w:rFonts w:ascii="Arial" w:hAnsi="Arial" w:eastAsia="Arial" w:cs="Arial"/>
          <w:sz w:val="22"/>
          <w:szCs w:val="22"/>
          <w:lang w:eastAsia="es-MX"/>
        </w:rPr>
        <w:t xml:space="preserve"> Es decir, las reglas a las que deben sujetarse los procedimientos dentro de los que se enmarque esta contratación son las del Estatuto General de Contratación, procediendo la aplicación de las modalidades de selección definidas en la Ley 1150 de 2007, así como los requisitos y formalidades establecidos en el Decreto 1082 del 2015 y demás normas aplicables.</w:t>
      </w:r>
    </w:p>
    <w:p w:rsidRPr="00BC5BC5" w:rsidR="00B471FA" w:rsidP="59521EFA" w:rsidRDefault="00B471FA" w14:paraId="5F18A8C9" w14:textId="77777777" w14:noSpellErr="1">
      <w:pPr>
        <w:spacing w:before="120" w:line="276" w:lineRule="auto"/>
        <w:ind w:firstLine="709"/>
        <w:jc w:val="both"/>
        <w:rPr>
          <w:rFonts w:ascii="Arial" w:hAnsi="Arial" w:eastAsia="Arial" w:cs="Arial"/>
          <w:sz w:val="22"/>
          <w:szCs w:val="22"/>
          <w:lang w:eastAsia="es-MX"/>
        </w:rPr>
      </w:pPr>
      <w:r w:rsidRPr="59521EFA" w:rsidR="00B471FA">
        <w:rPr>
          <w:rFonts w:ascii="Arial" w:hAnsi="Arial" w:eastAsia="Arial" w:cs="Arial"/>
          <w:sz w:val="22"/>
          <w:szCs w:val="22"/>
          <w:lang w:eastAsia="es-MX"/>
        </w:rPr>
        <w:t xml:space="preserve">En lo que respecta al régimen sustantivo de los contratos estatales sometidos a la Ley 80 de 1993, el inciso primero del artículo 13 dispone que “Los contratos que celebren las entidades a que se refiere el artículo 2o. del presente estatuto se regirán por las disposiciones comerciales y civiles pertinentes, salvo en las materias particularmente reguladas en esta ley”. En concordancia con los artículos 32 y 40 </w:t>
      </w:r>
      <w:r w:rsidRPr="59521EFA" w:rsidR="00B471FA">
        <w:rPr>
          <w:rFonts w:ascii="Arial" w:hAnsi="Arial" w:eastAsia="Arial" w:cs="Arial"/>
          <w:i w:val="1"/>
          <w:iCs w:val="1"/>
          <w:sz w:val="22"/>
          <w:szCs w:val="22"/>
          <w:lang w:eastAsia="es-MX"/>
        </w:rPr>
        <w:t>ibídem</w:t>
      </w:r>
      <w:r w:rsidRPr="59521EFA">
        <w:rPr>
          <w:rFonts w:ascii="Arial" w:hAnsi="Arial" w:eastAsia="Arial" w:cs="Arial"/>
          <w:sz w:val="22"/>
          <w:szCs w:val="22"/>
          <w:vertAlign w:val="superscript"/>
          <w:lang w:eastAsia="es-MX"/>
        </w:rPr>
        <w:footnoteReference w:id="34"/>
      </w:r>
      <w:r w:rsidRPr="59521EFA" w:rsidR="00B471FA">
        <w:rPr>
          <w:rFonts w:ascii="Arial" w:hAnsi="Arial" w:eastAsia="Arial" w:cs="Arial"/>
          <w:sz w:val="22"/>
          <w:szCs w:val="22"/>
          <w:lang w:eastAsia="es-MX"/>
        </w:rPr>
        <w:t>, esto significa que los contratos de las entidades sometidas al Estatuto General de Contratación se rigen generalmente por el derecho privado y excepcionalmente por el derecho público, pues las normas civiles y comerciales son el derecho común de los contratos estatales</w:t>
      </w:r>
      <w:r w:rsidRPr="59521EFA">
        <w:rPr>
          <w:rFonts w:ascii="Arial" w:hAnsi="Arial" w:eastAsia="Arial" w:cs="Arial"/>
          <w:sz w:val="22"/>
          <w:szCs w:val="22"/>
          <w:vertAlign w:val="superscript"/>
          <w:lang w:eastAsia="es-MX"/>
        </w:rPr>
        <w:footnoteReference w:id="35"/>
      </w:r>
      <w:r w:rsidRPr="59521EFA" w:rsidR="00B471FA">
        <w:rPr>
          <w:rFonts w:ascii="Arial" w:hAnsi="Arial" w:eastAsia="Arial" w:cs="Arial"/>
          <w:sz w:val="22"/>
          <w:szCs w:val="22"/>
          <w:lang w:eastAsia="es-MX"/>
        </w:rPr>
        <w:t>. Así lo ha entendido la doctrina:</w:t>
      </w:r>
    </w:p>
    <w:p w:rsidRPr="00BC5BC5" w:rsidR="00B471FA" w:rsidP="59521EFA" w:rsidRDefault="00B471FA" w14:paraId="50100DAC" w14:textId="77777777" w14:noSpellErr="1">
      <w:pPr>
        <w:ind w:left="709" w:right="709"/>
        <w:jc w:val="both"/>
        <w:rPr>
          <w:rFonts w:ascii="Arial" w:hAnsi="Arial" w:eastAsia="Arial" w:cs="Arial"/>
          <w:sz w:val="21"/>
          <w:szCs w:val="21"/>
          <w:lang w:eastAsia="es-MX"/>
        </w:rPr>
      </w:pPr>
      <w:r w:rsidRPr="59521EFA" w:rsidR="00B471FA">
        <w:rPr>
          <w:rFonts w:ascii="Arial" w:hAnsi="Arial" w:eastAsia="Arial" w:cs="Arial"/>
          <w:sz w:val="21"/>
          <w:szCs w:val="21"/>
          <w:lang w:eastAsia="es-MX"/>
        </w:rPr>
        <w:t xml:space="preserve">“[…] no hace otra cosa que aprovechar ciertos principios rectores de las contratación general </w:t>
      </w:r>
      <w:r w:rsidRPr="59521EFA" w:rsidR="00B471FA">
        <w:rPr>
          <w:rFonts w:ascii="Arial" w:hAnsi="Arial" w:eastAsia="Arial" w:cs="Arial"/>
          <w:sz w:val="21"/>
          <w:szCs w:val="21"/>
          <w:lang w:eastAsia="es-MX"/>
        </w:rPr>
        <w:t>que</w:t>
      </w:r>
      <w:r w:rsidRPr="59521EFA" w:rsidR="00B471FA">
        <w:rPr>
          <w:rFonts w:ascii="Arial" w:hAnsi="Arial" w:eastAsia="Arial" w:cs="Arial"/>
          <w:sz w:val="21"/>
          <w:szCs w:val="21"/>
          <w:lang w:eastAsia="es-MX"/>
        </w:rPr>
        <w:t xml:space="preserve"> aunque tengan su consagración en códigos de derecho privado como el civil y comercial, no son propios y exclusivos de este derecho. Baste pensar en los requisitos de consentimiento válido, objeto y causa lícitos, capacidad, elementos esenciales según la naturaleza de cada contrato, responsabilidad, naturaleza de las obligaciones emanadas de los mismos, etc. Extremos éstos que de derecho privado no tienen sino […] el nombre y que la tradición, desde su origen romano se acostumbró a calificarlos así y a no preocuparse por su cuestionamiento. En otras palabras, extremos como los indicados […] son […] de derecho propio, aplicables a toda relación contractual, con prescindencia de los sujetos involucrados en la </w:t>
      </w:r>
      <w:r w:rsidRPr="59521EFA" w:rsidR="00B471FA">
        <w:rPr>
          <w:rFonts w:ascii="Arial" w:hAnsi="Arial" w:eastAsia="Arial" w:cs="Arial"/>
          <w:sz w:val="21"/>
          <w:szCs w:val="21"/>
          <w:lang w:eastAsia="es-MX"/>
        </w:rPr>
        <w:t xml:space="preserve">misma”</w:t>
      </w:r>
      <w:r w:rsidRPr="59521EFA">
        <w:rPr>
          <w:rFonts w:ascii="Arial" w:hAnsi="Arial" w:eastAsia="Arial" w:cs="Arial"/>
          <w:sz w:val="21"/>
          <w:szCs w:val="21"/>
          <w:vertAlign w:val="superscript"/>
          <w:lang w:eastAsia="es-MX"/>
        </w:rPr>
        <w:footnoteReference w:id="36"/>
      </w:r>
      <w:r w:rsidRPr="59521EFA" w:rsidR="00B471FA">
        <w:rPr>
          <w:rFonts w:ascii="Arial" w:hAnsi="Arial" w:eastAsia="Arial" w:cs="Arial"/>
          <w:sz w:val="21"/>
          <w:szCs w:val="21"/>
          <w:lang w:eastAsia="es-MX"/>
        </w:rPr>
        <w:t xml:space="preserve">. </w:t>
      </w:r>
    </w:p>
    <w:p w:rsidR="59521EFA" w:rsidP="59521EFA" w:rsidRDefault="59521EFA" w14:paraId="145137C0" w14:textId="09023D98">
      <w:pPr>
        <w:spacing w:after="120" w:line="276" w:lineRule="auto"/>
        <w:ind w:firstLine="709"/>
        <w:jc w:val="both"/>
        <w:rPr>
          <w:rFonts w:ascii="Arial" w:hAnsi="Arial" w:eastAsia="Arial" w:cs="Arial"/>
          <w:sz w:val="22"/>
          <w:szCs w:val="22"/>
          <w:lang w:eastAsia="es-MX"/>
        </w:rPr>
      </w:pPr>
    </w:p>
    <w:p w:rsidRPr="00BC5BC5" w:rsidR="00B471FA" w:rsidP="59521EFA" w:rsidRDefault="00B471FA" w14:paraId="12E9537B" w14:textId="77777777" w14:noSpellErr="1">
      <w:pPr>
        <w:spacing w:after="120" w:line="276" w:lineRule="auto"/>
        <w:ind w:firstLine="709"/>
        <w:jc w:val="both"/>
        <w:rPr>
          <w:rFonts w:ascii="Arial" w:hAnsi="Arial" w:eastAsia="Arial" w:cs="Arial"/>
          <w:sz w:val="22"/>
          <w:szCs w:val="22"/>
          <w:lang w:eastAsia="es-MX"/>
        </w:rPr>
      </w:pPr>
      <w:r w:rsidRPr="59521EFA" w:rsidR="00B471FA">
        <w:rPr>
          <w:rFonts w:ascii="Arial" w:hAnsi="Arial" w:eastAsia="Arial" w:cs="Arial"/>
          <w:sz w:val="22"/>
          <w:szCs w:val="22"/>
          <w:lang w:eastAsia="es-MX"/>
        </w:rPr>
        <w:t xml:space="preserve">Ello no implica una privatización fuerte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w:t>
      </w:r>
      <w:r w:rsidRPr="59521EFA" w:rsidR="00B471FA">
        <w:rPr>
          <w:rFonts w:ascii="Arial" w:hAnsi="Arial" w:eastAsia="Arial" w:cs="Arial"/>
          <w:sz w:val="22"/>
          <w:szCs w:val="22"/>
          <w:lang w:eastAsia="es-MX"/>
        </w:rPr>
        <w:t>Por ello, con excepción de las materias expresamente reguladas en el Estatuto de Contratación, es posible la aplicación de normas civiles y comerciales.</w:t>
      </w:r>
    </w:p>
    <w:p w:rsidRPr="00BC5BC5" w:rsidR="00B471FA" w:rsidP="59521EFA" w:rsidRDefault="00B471FA" w14:paraId="1C3460EA" w14:textId="77777777" w14:noSpellErr="1">
      <w:pPr>
        <w:spacing w:after="120" w:line="276" w:lineRule="auto"/>
        <w:ind w:firstLine="709"/>
        <w:jc w:val="both"/>
        <w:rPr>
          <w:rFonts w:ascii="Arial" w:hAnsi="Arial" w:eastAsia="Arial" w:cs="Arial"/>
          <w:sz w:val="22"/>
          <w:szCs w:val="22"/>
          <w:lang w:eastAsia="es-MX"/>
        </w:rPr>
      </w:pPr>
      <w:r w:rsidRPr="59521EFA" w:rsidR="00B471FA">
        <w:rPr>
          <w:rFonts w:ascii="Arial" w:hAnsi="Arial" w:eastAsia="Arial" w:cs="Arial"/>
          <w:sz w:val="22"/>
          <w:szCs w:val="22"/>
          <w:lang w:eastAsia="es-MX"/>
        </w:rPr>
        <w:t>En lo que respecta a los contratos exceptuados de la Ley 80 de 1993, si bien el régimen sustantivo no se rige por los citados artículos 13, 32 y 40 del Estatuto de Contratación, es necesario aplicar las normas generales de las obligaciones y de los contratos dispuestas en el Código Civil y de Comercio.</w:t>
      </w:r>
      <w:r w:rsidRPr="59521EFA" w:rsidR="00B471FA">
        <w:rPr>
          <w:rFonts w:ascii="Arial" w:hAnsi="Arial" w:eastAsia="Arial" w:cs="Arial"/>
          <w:sz w:val="22"/>
          <w:szCs w:val="22"/>
          <w:lang w:eastAsia="es-MX"/>
        </w:rPr>
        <w:t xml:space="preserve"> Esto en la medida que, como se explicó, el derecho privado es aplicable a todo contrato con independencia de los sujetos, especialmente, en lo relacionado con los requisitos de consentimiento válido, objeto y causa lícitos, capacidad, elementos esenciales según la naturaleza de cada contrato, responsabilidad, naturaleza de las obligaciones emanadas de los mismos, etc., pues contiene las reglas comunes de la materia. </w:t>
      </w:r>
    </w:p>
    <w:p w:rsidRPr="00BC5BC5" w:rsidR="00B471FA" w:rsidP="59521EFA" w:rsidRDefault="00B471FA" w14:paraId="2076B293" w14:textId="77777777" w14:noSpellErr="1">
      <w:pPr>
        <w:spacing w:after="120" w:line="276" w:lineRule="auto"/>
        <w:ind w:firstLine="709"/>
        <w:jc w:val="both"/>
        <w:rPr>
          <w:rFonts w:ascii="Arial" w:hAnsi="Arial" w:eastAsia="Arial" w:cs="Arial"/>
          <w:sz w:val="22"/>
          <w:szCs w:val="22"/>
          <w:lang w:eastAsia="es-MX"/>
        </w:rPr>
      </w:pPr>
      <w:r w:rsidRPr="59521EFA" w:rsidR="00B471FA">
        <w:rPr>
          <w:rFonts w:ascii="Arial" w:hAnsi="Arial" w:eastAsia="Arial" w:cs="Arial"/>
          <w:sz w:val="22"/>
          <w:szCs w:val="22"/>
          <w:lang w:eastAsia="es-MX"/>
        </w:rPr>
        <w:t xml:space="preserve">En consecuencia, cuando no superen los veinte (20) salarios mínimos legales mensuales vigentes, el régimen sustantivo de los contratos celebrados con recursos del fondo de servicios educativos también se rige por el derecho privado. </w:t>
      </w:r>
      <w:r w:rsidRPr="59521EFA" w:rsidR="00B471FA">
        <w:rPr>
          <w:rFonts w:ascii="Arial" w:hAnsi="Arial" w:eastAsia="Arial" w:cs="Arial"/>
          <w:sz w:val="22"/>
          <w:szCs w:val="22"/>
          <w:lang w:eastAsia="es-MX"/>
        </w:rPr>
        <w:t>Dado que el artículo 13 de la Ley 715 de 2001, en concordancia con el artículo 2.3.1.6.3.17.</w:t>
      </w:r>
      <w:r w:rsidRPr="59521EFA" w:rsidR="00B471FA">
        <w:rPr>
          <w:rFonts w:ascii="Arial" w:hAnsi="Arial" w:eastAsia="Arial" w:cs="Arial"/>
          <w:sz w:val="22"/>
          <w:szCs w:val="22"/>
          <w:lang w:eastAsia="es-MX"/>
        </w:rPr>
        <w:t> </w:t>
      </w:r>
      <w:r w:rsidRPr="59521EFA" w:rsidR="00B471FA">
        <w:rPr>
          <w:rFonts w:ascii="Arial" w:hAnsi="Arial" w:eastAsia="Arial" w:cs="Arial"/>
          <w:sz w:val="22"/>
          <w:szCs w:val="22"/>
          <w:lang w:eastAsia="es-MX"/>
        </w:rPr>
        <w:t xml:space="preserve">del Decreto 1075 de 2015, permite que el consejo directivo regule “[…] los trámites, garantías y constancias que deben cumplirse para que el rector o director celebre cualquier acto o contrato que cree, extinga o modifique obligaciones que deban registrarse en el Fondo […]”, el reglamento que defina los procedimientos aplicables complementa las normas civiles y comerciales, sin que este acto administrativo pueda modificar o derogar estas últimas por tratarse de aspectos regulados en la ley. </w:t>
      </w:r>
    </w:p>
    <w:p w:rsidRPr="00BC5BC5" w:rsidR="00B471FA" w:rsidP="59521EFA" w:rsidRDefault="00B471FA" w14:paraId="04AD6269" w14:textId="77777777" w14:noSpellErr="1">
      <w:pPr>
        <w:spacing w:after="120" w:line="276" w:lineRule="auto"/>
        <w:ind w:firstLine="708"/>
        <w:jc w:val="both"/>
        <w:rPr>
          <w:rFonts w:ascii="Arial" w:hAnsi="Arial" w:eastAsia="Arial" w:cs="Arial"/>
          <w:sz w:val="22"/>
          <w:szCs w:val="22"/>
          <w:lang w:eastAsia="es-MX"/>
        </w:rPr>
      </w:pPr>
      <w:r w:rsidRPr="59521EFA" w:rsidR="00B471FA">
        <w:rPr>
          <w:rFonts w:ascii="Arial" w:hAnsi="Arial" w:eastAsia="Arial" w:cs="Arial"/>
          <w:sz w:val="22"/>
          <w:szCs w:val="22"/>
          <w:lang w:eastAsia="es-MX"/>
        </w:rPr>
        <w:lastRenderedPageBreak/>
        <w:t>Naturalmente, los contratos mencionados en el párrafo precedente no se rigen exclusivamente por las normas civiles y comerciales, pues además del reglamento del consejo directivo, el artículo 13 de la Ley 1150 de 2007 dispone que la contratación exceptuada del Estatuto General también se rige por los principios de la función administrativa, los principios de la gestión fiscal y el régimen de inhabilidades e incompatibilidades previsto para la contratación estatal</w:t>
      </w:r>
      <w:r w:rsidRPr="59521EFA">
        <w:rPr>
          <w:rFonts w:ascii="Arial" w:hAnsi="Arial" w:eastAsia="Arial" w:cs="Arial"/>
          <w:sz w:val="22"/>
          <w:szCs w:val="22"/>
          <w:vertAlign w:val="superscript"/>
          <w:lang w:eastAsia="es-MX"/>
        </w:rPr>
        <w:footnoteReference w:id="37"/>
      </w:r>
      <w:r w:rsidRPr="59521EFA" w:rsidR="00B471FA">
        <w:rPr>
          <w:rFonts w:ascii="Arial" w:hAnsi="Arial" w:eastAsia="Arial" w:cs="Arial"/>
          <w:sz w:val="22"/>
          <w:szCs w:val="22"/>
          <w:lang w:eastAsia="es-MX"/>
        </w:rPr>
        <w:t>.</w:t>
      </w:r>
    </w:p>
    <w:p w:rsidRPr="00BC5BC5" w:rsidR="00B471FA" w:rsidP="59521EFA" w:rsidRDefault="00B471FA" w14:paraId="0AA501AE" w14:textId="77777777" w14:noSpellErr="1">
      <w:pPr>
        <w:spacing w:line="276" w:lineRule="auto"/>
        <w:ind w:firstLine="709"/>
        <w:jc w:val="both"/>
        <w:rPr>
          <w:rFonts w:ascii="Arial" w:hAnsi="Arial" w:eastAsia="Arial" w:cs="Arial"/>
          <w:color w:val="000000"/>
          <w:sz w:val="22"/>
          <w:szCs w:val="22"/>
          <w:lang w:eastAsia="es-CO"/>
        </w:rPr>
      </w:pPr>
      <w:r w:rsidRPr="59521EFA" w:rsidR="00B471FA">
        <w:rPr>
          <w:rFonts w:ascii="Arial" w:hAnsi="Arial" w:eastAsia="Arial" w:cs="Arial"/>
          <w:color w:val="000000" w:themeColor="text1" w:themeTint="FF" w:themeShade="FF"/>
          <w:sz w:val="22"/>
          <w:szCs w:val="22"/>
          <w:lang w:eastAsia="es-MX"/>
        </w:rPr>
        <w:t xml:space="preserve">En este contexto, para la restricción del artículo 33 de la </w:t>
      </w:r>
      <w:r w:rsidRPr="59521EFA" w:rsidR="00B471FA">
        <w:rPr>
          <w:rFonts w:ascii="Arial" w:hAnsi="Arial" w:eastAsia="Arial" w:cs="Arial"/>
          <w:color w:val="000000" w:themeColor="text1" w:themeTint="FF" w:themeShade="FF"/>
          <w:sz w:val="22"/>
          <w:szCs w:val="22"/>
          <w:lang w:eastAsia="es-CO"/>
        </w:rPr>
        <w:t xml:space="preserve">Ley 996 de 2005 es necesario considerar que </w:t>
      </w:r>
      <w:r w:rsidRPr="59521EFA" w:rsidR="00B471FA">
        <w:rPr>
          <w:rFonts w:ascii="Arial" w:hAnsi="Arial" w:eastAsia="Arial" w:cs="Arial"/>
          <w:sz w:val="22"/>
          <w:szCs w:val="22"/>
          <w:lang w:val="es-ES" w:eastAsia="es-MX"/>
        </w:rPr>
        <w:t xml:space="preserve">el artículo </w:t>
      </w:r>
      <w:r w:rsidRPr="59521EFA" w:rsidR="00B471FA">
        <w:rPr>
          <w:rFonts w:ascii="Arial" w:hAnsi="Arial" w:eastAsia="Arial" w:cs="Arial"/>
          <w:sz w:val="22"/>
          <w:szCs w:val="22"/>
          <w:lang w:eastAsia="es-MX"/>
        </w:rPr>
        <w:t>13 de la Ley 715 de 2001</w:t>
      </w:r>
      <w:r w:rsidRPr="59521EFA" w:rsidR="00B471FA">
        <w:rPr>
          <w:rFonts w:ascii="Arial" w:hAnsi="Arial" w:eastAsia="Arial" w:cs="Arial"/>
          <w:color w:val="000000" w:themeColor="text1" w:themeTint="FF" w:themeShade="FF"/>
          <w:sz w:val="22"/>
          <w:szCs w:val="22"/>
          <w:lang w:eastAsia="es-CO"/>
        </w:rPr>
        <w:t xml:space="preserve"> consagra un régimen jurídico que exceptúa la aplicación del Estatuto General de Contratación de la Administración Pública en los contratos de los fondos de servicios educativos inferiores a veinte (20) SMLMV con el objetivo de flexibilizar el régimen contractual aplicable. Pese a lo anterior, la prohibición de contratación directa de la Ley de Garantías es independiente del régimen contractual, por lo que se extiende a los contratos celebrados con cargo a los fondos de servicios educativos.</w:t>
      </w:r>
    </w:p>
    <w:p w:rsidRPr="00BC5BC5" w:rsidR="00B471FA" w:rsidP="59521EFA" w:rsidRDefault="00B471FA" w14:paraId="773E3824" w14:textId="77777777" w14:noSpellErr="1">
      <w:pPr>
        <w:spacing w:line="276" w:lineRule="auto"/>
        <w:ind w:firstLine="709"/>
        <w:jc w:val="both"/>
        <w:rPr>
          <w:rFonts w:ascii="Arial" w:hAnsi="Arial" w:eastAsia="Arial" w:cs="Arial"/>
          <w:color w:val="000000"/>
          <w:sz w:val="22"/>
          <w:szCs w:val="22"/>
          <w:lang w:eastAsia="es-CO"/>
        </w:rPr>
      </w:pPr>
      <w:r w:rsidRPr="59521EFA" w:rsidR="00B471FA">
        <w:rPr>
          <w:rFonts w:ascii="Arial" w:hAnsi="Arial" w:eastAsia="Arial" w:cs="Arial"/>
          <w:color w:val="000000"/>
          <w:sz w:val="22"/>
          <w:szCs w:val="22"/>
          <w:lang w:eastAsia="es-CO"/>
        </w:rPr>
        <w:t xml:space="preserve">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59521EFA" w:rsidR="00B471FA">
        <w:rPr>
          <w:rFonts w:ascii="Arial" w:hAnsi="Arial" w:eastAsia="Arial" w:cs="Arial"/>
          <w:i w:val="1"/>
          <w:iCs w:val="1"/>
          <w:color w:val="000000"/>
          <w:sz w:val="22"/>
          <w:szCs w:val="22"/>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59521EFA" w:rsidR="00B471FA">
        <w:rPr>
          <w:rFonts w:ascii="Arial" w:hAnsi="Arial" w:eastAsia="Arial" w:cs="Arial"/>
          <w:color w:val="000000"/>
          <w:sz w:val="22"/>
          <w:szCs w:val="22"/>
          <w:lang w:eastAsia="es-CO"/>
        </w:rPr>
        <w:t>”</w:t>
      </w:r>
      <w:r w:rsidRPr="59521EFA">
        <w:rPr>
          <w:rFonts w:ascii="Arial" w:hAnsi="Arial" w:eastAsia="Arial" w:cs="Arial"/>
          <w:color w:val="000000"/>
          <w:sz w:val="22"/>
          <w:szCs w:val="22"/>
          <w:vertAlign w:val="superscript"/>
          <w:lang w:eastAsia="es-CO"/>
        </w:rPr>
        <w:footnoteReference w:id="38"/>
      </w:r>
      <w:r w:rsidRPr="59521EFA" w:rsidR="00B471FA">
        <w:rPr>
          <w:rFonts w:ascii="Arial" w:hAnsi="Arial" w:eastAsia="Arial" w:cs="Arial"/>
          <w:color w:val="000000"/>
          <w:sz w:val="22"/>
          <w:szCs w:val="22"/>
          <w:lang w:eastAsia="es-CO"/>
        </w:rPr>
        <w:t xml:space="preserve"> (Énfasis fuera de texto). </w:t>
      </w:r>
      <w:r w:rsidRPr="59521EFA" w:rsidR="00B471FA">
        <w:rPr>
          <w:rFonts w:ascii="Arial" w:hAnsi="Arial" w:eastAsia="Arial" w:cs="Arial"/>
          <w:color w:val="000000"/>
          <w:sz w:val="22"/>
          <w:szCs w:val="22"/>
          <w:lang w:eastAsia="es-CO"/>
        </w:rPr>
        <w:t xml:space="preserve">Por tanto, durante la vigencia de la prohibición del artículo 33 de la Ley 996 de 2005 está restringida </w:t>
      </w:r>
      <w:r w:rsidRPr="59521EFA" w:rsidR="00B471FA">
        <w:rPr>
          <w:rFonts w:ascii="Arial" w:hAnsi="Arial" w:eastAsia="Arial" w:cs="Arial"/>
          <w:i w:val="1"/>
          <w:iCs w:val="1"/>
          <w:color w:val="000000"/>
          <w:sz w:val="22"/>
          <w:szCs w:val="22"/>
          <w:lang w:eastAsia="es-CO"/>
        </w:rPr>
        <w:t>cualquier modalidad de selección que excluya la pluralidad de oferentes</w:t>
      </w:r>
      <w:r w:rsidRPr="59521EFA" w:rsidR="00B471FA">
        <w:rPr>
          <w:rFonts w:ascii="Arial" w:hAnsi="Arial" w:eastAsia="Arial" w:cs="Arial"/>
          <w:color w:val="000000"/>
          <w:sz w:val="22"/>
          <w:szCs w:val="22"/>
          <w:lang w:eastAsia="es-CO"/>
        </w:rPr>
        <w:t xml:space="preserve">, incluso aunque se realice </w:t>
      </w:r>
      <w:r w:rsidRPr="59521EFA" w:rsidR="00B471FA">
        <w:rPr>
          <w:rFonts w:ascii="Arial" w:hAnsi="Arial" w:eastAsia="Arial" w:cs="Arial"/>
          <w:color w:val="000000"/>
          <w:sz w:val="22"/>
          <w:szCs w:val="22"/>
          <w:lang w:eastAsia="es-CO"/>
        </w:rPr>
        <w:t xml:space="preserve">con fundamento en el régimen especial de contratación realizado con recursos de los fondos de servicios educativos por valor inferior a veinte (20) SMLMV, por implicar una forma de contratación directa.</w:t>
      </w:r>
      <w:r w:rsidRPr="59521EFA" w:rsidR="00B471FA">
        <w:rPr>
          <w:rFonts w:ascii="Arial" w:hAnsi="Arial" w:eastAsia="Arial" w:cs="Arial"/>
          <w:color w:val="000000"/>
          <w:sz w:val="22"/>
          <w:szCs w:val="22"/>
          <w:lang w:eastAsia="es-CO"/>
        </w:rPr>
        <w:t xml:space="preserve"> </w:t>
      </w:r>
      <w:r w:rsidRPr="59521EFA" w:rsidR="00B471FA">
        <w:rPr>
          <w:rFonts w:ascii="Arial" w:hAnsi="Arial" w:eastAsia="Arial" w:cs="Arial"/>
          <w:color w:val="000000"/>
          <w:sz w:val="22"/>
          <w:szCs w:val="22"/>
          <w:lang w:eastAsia="es-CO"/>
        </w:rPr>
        <w:lastRenderedPageBreak/>
        <w:t xml:space="preserve">En tal sentido, será posible realizar procesos contractuales, siempre que estos incluyan la posibilidad de participación de una pluralidad de oferentes, ya que estos no implicarían una contratación </w:t>
      </w:r>
      <w:r w:rsidRPr="59521EFA" w:rsidR="00B471FA">
        <w:rPr>
          <w:rFonts w:ascii="Arial" w:hAnsi="Arial" w:eastAsia="Arial" w:cs="Arial"/>
          <w:i w:val="1"/>
          <w:iCs w:val="1"/>
          <w:color w:val="000000"/>
          <w:sz w:val="22"/>
          <w:szCs w:val="22"/>
          <w:lang w:eastAsia="es-CO"/>
        </w:rPr>
        <w:t>directa.</w:t>
      </w:r>
      <w:r w:rsidRPr="59521EFA" w:rsidR="00B471FA">
        <w:rPr>
          <w:rFonts w:ascii="Arial" w:hAnsi="Arial" w:eastAsia="Arial" w:cs="Arial"/>
          <w:color w:val="000000"/>
          <w:sz w:val="22"/>
          <w:szCs w:val="22"/>
          <w:lang w:eastAsia="es-CO"/>
        </w:rPr>
        <w:t xml:space="preserve"> </w:t>
      </w:r>
      <w:r w:rsidRPr="59521EFA" w:rsidR="00B471FA">
        <w:rPr>
          <w:rFonts w:ascii="Arial" w:hAnsi="Arial" w:eastAsia="Arial" w:cs="Arial"/>
          <w:color w:val="000000"/>
          <w:sz w:val="22"/>
          <w:szCs w:val="22"/>
          <w:lang w:eastAsia="es-CO"/>
        </w:rPr>
        <w:t xml:space="preserve">En conclusión, la prohibición del artículo 33 de la Ley 996 de 2005 se extiende a cualquier contrato realizado con recursos de fondos de servicios educativos, sean inferiores o superiores a 20 SMLMV siempre que el contrato se celebre sin que esté antecedido de un procedimiento que admita la posible participación de una pluralidad de oferentes, toda vez que la prohibición recae sobre la </w:t>
      </w:r>
      <w:r w:rsidRPr="59521EFA" w:rsidR="00B471FA">
        <w:rPr>
          <w:rFonts w:ascii="Arial" w:hAnsi="Arial" w:eastAsia="Arial" w:cs="Arial"/>
          <w:i w:val="1"/>
          <w:iCs w:val="1"/>
          <w:color w:val="000000"/>
          <w:sz w:val="22"/>
          <w:szCs w:val="22"/>
          <w:lang w:eastAsia="es-CO"/>
        </w:rPr>
        <w:t>contratación directa</w:t>
      </w:r>
      <w:r w:rsidRPr="59521EFA" w:rsidR="00B471FA">
        <w:rPr>
          <w:rFonts w:ascii="Arial" w:hAnsi="Arial" w:eastAsia="Arial" w:cs="Arial"/>
          <w:color w:val="000000"/>
          <w:sz w:val="22"/>
          <w:szCs w:val="22"/>
          <w:lang w:eastAsia="es-CO"/>
        </w:rPr>
        <w:t xml:space="preserve">.</w:t>
      </w:r>
      <w:r w:rsidRPr="59521EFA" w:rsidR="00B471FA">
        <w:rPr>
          <w:rFonts w:ascii="Arial" w:hAnsi="Arial" w:eastAsia="Arial" w:cs="Arial"/>
          <w:color w:val="000000"/>
          <w:sz w:val="22"/>
          <w:szCs w:val="22"/>
          <w:lang w:eastAsia="es-CO"/>
        </w:rPr>
        <w:t xml:space="preserve">  </w:t>
      </w:r>
    </w:p>
    <w:p w:rsidRPr="00BC5BC5" w:rsidR="00B471FA" w:rsidP="59521EFA" w:rsidRDefault="00B471FA" w14:paraId="28FCA54E" w14:textId="77777777">
      <w:pPr>
        <w:spacing w:line="276" w:lineRule="auto"/>
        <w:ind w:firstLine="708"/>
        <w:jc w:val="both"/>
        <w:rPr>
          <w:rFonts w:ascii="Arial" w:hAnsi="Arial" w:eastAsia="Arial" w:cs="Arial"/>
          <w:sz w:val="22"/>
          <w:szCs w:val="22"/>
          <w:lang w:eastAsia="es-MX"/>
        </w:rPr>
      </w:pPr>
      <w:r w:rsidRPr="59521EFA" w:rsidR="00B471FA">
        <w:rPr>
          <w:rFonts w:ascii="Arial" w:hAnsi="Arial" w:eastAsia="Arial" w:cs="Arial"/>
          <w:color w:val="000000" w:themeColor="text1" w:themeTint="FF" w:themeShade="FF"/>
          <w:sz w:val="22"/>
          <w:szCs w:val="22"/>
          <w:lang w:eastAsia="es-CO"/>
        </w:rPr>
        <w:t xml:space="preserve">Por otra parte, respecto de </w:t>
      </w:r>
      <w:r w:rsidRPr="59521EFA" w:rsidR="00B471FA">
        <w:rPr>
          <w:rFonts w:ascii="Arial" w:hAnsi="Arial" w:eastAsia="Arial" w:cs="Arial"/>
          <w:color w:val="000000" w:themeColor="text1" w:themeTint="FF" w:themeShade="FF"/>
          <w:sz w:val="22"/>
          <w:szCs w:val="22"/>
          <w:lang w:eastAsia="es-MX"/>
        </w:rPr>
        <w:t xml:space="preserve">la restricción del artículo 38 de la </w:t>
      </w:r>
      <w:r w:rsidRPr="59521EFA" w:rsidR="00B471FA">
        <w:rPr>
          <w:rFonts w:ascii="Arial" w:hAnsi="Arial" w:eastAsia="Arial" w:cs="Arial"/>
          <w:color w:val="000000" w:themeColor="text1" w:themeTint="FF" w:themeShade="FF"/>
          <w:sz w:val="22"/>
          <w:szCs w:val="22"/>
          <w:lang w:eastAsia="es-CO"/>
        </w:rPr>
        <w:t>Ley de Garantías, se considera que los contratos celebrados entre los administradores del fondo y otras entidades públicas son contratos interadministrativos. En efecto, el citado artículo 2.2.1.2.1.4.4 d</w:t>
      </w:r>
      <w:r w:rsidRPr="59521EFA" w:rsidR="00B471FA">
        <w:rPr>
          <w:rFonts w:ascii="Arial" w:hAnsi="Arial" w:eastAsia="Arial" w:cs="Arial"/>
          <w:color w:val="000000" w:themeColor="text1" w:themeTint="FF" w:themeShade="FF"/>
          <w:sz w:val="22"/>
          <w:szCs w:val="22"/>
          <w:lang w:val="es-ES" w:eastAsia="es-MX"/>
        </w:rPr>
        <w:t xml:space="preserve">el Decreto 1082 de 2015 califica a los convenios o contratos interadministrativos como aquella contratación entre entidades estatales. El concepto está definido en el artículo 2.2.1.1.1.3.1 </w:t>
      </w:r>
      <w:r w:rsidRPr="59521EFA" w:rsidR="00B471FA">
        <w:rPr>
          <w:rFonts w:ascii="Arial" w:hAnsi="Arial" w:eastAsia="Arial" w:cs="Arial"/>
          <w:i w:val="1"/>
          <w:iCs w:val="1"/>
          <w:color w:val="000000" w:themeColor="text1" w:themeTint="FF" w:themeShade="FF"/>
          <w:sz w:val="22"/>
          <w:szCs w:val="22"/>
          <w:lang w:val="es-ES" w:eastAsia="es-MX"/>
        </w:rPr>
        <w:t>ibidem</w:t>
      </w:r>
      <w:r w:rsidRPr="59521EFA" w:rsidR="00B471FA">
        <w:rPr>
          <w:rFonts w:ascii="Arial" w:hAnsi="Arial" w:eastAsia="Arial" w:cs="Arial"/>
          <w:color w:val="000000" w:themeColor="text1" w:themeTint="FF" w:themeShade="FF"/>
          <w:sz w:val="22"/>
          <w:szCs w:val="22"/>
          <w:lang w:val="es-ES" w:eastAsia="es-MX"/>
        </w:rPr>
        <w:t xml:space="preserve"> como “Cada una de las entidades: (a) a las que se refiere el artículo 2 de la Ley 80 de 1993; (b) a las que se refieren los artículos 10, 14 y 24 de la Ley 1150 de 2007 y (c) aquellas entidades que por disposición de la ley deban aplicar la Ley 80 de 1993</w:t>
      </w:r>
      <w:r w:rsidRPr="59521EFA" w:rsidR="00B471FA">
        <w:rPr>
          <w:rFonts w:ascii="Arial" w:hAnsi="Arial" w:eastAsia="Arial" w:cs="Arial"/>
          <w:color w:val="000000" w:themeColor="text1" w:themeTint="FF" w:themeShade="FF"/>
          <w:sz w:val="22"/>
          <w:szCs w:val="22"/>
          <w:lang w:val="es-ES" w:eastAsia="es-MX"/>
        </w:rPr>
        <w:t>​</w:t>
      </w:r>
      <w:r w:rsidRPr="59521EFA" w:rsidR="00B471FA">
        <w:rPr>
          <w:rFonts w:ascii="Arial" w:hAnsi="Arial" w:eastAsia="Arial" w:cs="Arial"/>
          <w:color w:val="000000" w:themeColor="text1" w:themeTint="FF" w:themeShade="FF"/>
          <w:sz w:val="22"/>
          <w:szCs w:val="22"/>
          <w:lang w:val="es-ES" w:eastAsia="es-MX"/>
        </w:rPr>
        <w:t xml:space="preserve"> y la Ley 1150 de 2007, o las normas que las modifiquen, aclaren, adicionen o sustituyan”. Aunque </w:t>
      </w:r>
      <w:r w:rsidRPr="59521EFA" w:rsidR="00B471FA">
        <w:rPr>
          <w:rFonts w:ascii="Arial" w:hAnsi="Arial" w:eastAsia="Arial" w:cs="Arial"/>
          <w:sz w:val="22"/>
          <w:szCs w:val="22"/>
          <w:lang w:eastAsia="es-MX"/>
        </w:rPr>
        <w:t xml:space="preserve">las instituciones educativas carecen de personería jurídica, tienen capacidad para contratar y se concreta en la competencia que le otorgó el legislador en la Ley 715 de 2001 para administrar los fondos de servicios educativos. Así, conforme al literal b) del artículo 2.1 de la Ley 80 de 1993, también se considera entidad estatal todos aquellos “[…] organismos o dependencias del Estado a los que la ley otorgue capacidad para celebrar contratos”. En consecuencia, también le aplica la restricción del parágrafo del artículo 38 de la Ley de Garantías Electorales. </w:t>
      </w:r>
    </w:p>
    <w:p w:rsidRPr="00BC5BC5" w:rsidR="00B471FA" w:rsidP="59521EFA" w:rsidRDefault="00B471FA" w14:paraId="7F5E6E49" w14:textId="77777777" w14:noSpellErr="1">
      <w:pPr>
        <w:spacing w:line="276" w:lineRule="auto"/>
        <w:jc w:val="both"/>
        <w:rPr>
          <w:rFonts w:ascii="Arial" w:hAnsi="Arial" w:eastAsia="Arial" w:cs="Arial"/>
          <w:lang w:val="es-ES" w:eastAsia="es-ES"/>
        </w:rPr>
      </w:pPr>
    </w:p>
    <w:p w:rsidRPr="00BC5BC5" w:rsidR="00B471FA" w:rsidP="59521EFA" w:rsidRDefault="00B471FA" w14:paraId="64B9D543" w14:textId="77777777" w14:noSpellErr="1">
      <w:pPr>
        <w:spacing w:line="276" w:lineRule="auto"/>
        <w:contextualSpacing/>
        <w:jc w:val="both"/>
        <w:rPr>
          <w:rFonts w:ascii="Arial" w:hAnsi="Arial" w:eastAsia="Arial" w:cs="Arial"/>
          <w:b w:val="1"/>
          <w:bCs w:val="1"/>
        </w:rPr>
      </w:pPr>
      <w:r w:rsidRPr="59521EFA" w:rsidR="00B471FA">
        <w:rPr>
          <w:rFonts w:ascii="Arial" w:hAnsi="Arial" w:eastAsia="Arial" w:cs="Arial"/>
          <w:b w:val="1"/>
          <w:bCs w:val="1"/>
        </w:rPr>
        <w:t>3. Respuesta</w:t>
      </w:r>
    </w:p>
    <w:p w:rsidRPr="00BC5BC5" w:rsidR="00B471FA" w:rsidP="59521EFA" w:rsidRDefault="00B471FA" w14:paraId="48375729" w14:textId="77777777" w14:noSpellErr="1">
      <w:pPr>
        <w:spacing w:before="120"/>
        <w:ind w:left="709" w:right="709"/>
        <w:contextualSpacing/>
        <w:jc w:val="both"/>
        <w:rPr>
          <w:rFonts w:ascii="Arial" w:hAnsi="Arial" w:eastAsia="Arial" w:cs="Arial"/>
          <w:sz w:val="21"/>
          <w:szCs w:val="21"/>
        </w:rPr>
      </w:pPr>
      <w:bookmarkStart w:name="_Hlk57650395" w:id="29"/>
    </w:p>
    <w:p w:rsidRPr="00BC5BC5" w:rsidR="00B471FA" w:rsidP="59521EFA" w:rsidRDefault="00B471FA" w14:paraId="0E17A859" w14:textId="77777777" w14:noSpellErr="1">
      <w:pPr>
        <w:ind w:left="709" w:right="709"/>
        <w:jc w:val="both"/>
        <w:rPr>
          <w:rFonts w:ascii="Arial" w:hAnsi="Arial" w:eastAsia="Arial" w:cs="Arial"/>
          <w:sz w:val="21"/>
          <w:szCs w:val="21"/>
        </w:rPr>
      </w:pPr>
      <w:r w:rsidRPr="59521EFA" w:rsidR="00B471FA">
        <w:rPr>
          <w:rFonts w:ascii="Arial" w:hAnsi="Arial" w:eastAsia="Arial" w:cs="Arial"/>
          <w:sz w:val="21"/>
          <w:szCs w:val="21"/>
        </w:rPr>
        <w:t xml:space="preserve">“[…] </w:t>
      </w:r>
      <w:r w:rsidRPr="59521EFA" w:rsidR="00B471FA">
        <w:rPr>
          <w:rFonts w:ascii="Arial" w:hAnsi="Arial" w:eastAsia="Arial" w:cs="Arial"/>
          <w:color w:val="000000" w:themeColor="text1" w:themeTint="FF" w:themeShade="FF"/>
          <w:sz w:val="21"/>
          <w:szCs w:val="21"/>
        </w:rPr>
        <w:t>De acuerdo con el régimen especial de las instituciones educativas oficiales respecto a su contratación directa hasta 20 SMMLV, nos podrían confirmar si teniendo en cuenta la Ley de garantías que inicia el 29 de junio 2023, estas instituciones pueden seguir realizando contratación </w:t>
      </w:r>
      <w:r w:rsidRPr="59521EFA" w:rsidR="00B471FA">
        <w:rPr>
          <w:rFonts w:ascii="Arial" w:hAnsi="Arial" w:eastAsia="Arial" w:cs="Arial"/>
          <w:color w:val="000000" w:themeColor="text1" w:themeTint="FF" w:themeShade="FF"/>
          <w:sz w:val="21"/>
          <w:szCs w:val="21"/>
        </w:rPr>
        <w:t>directa  posteriormente</w:t>
      </w:r>
      <w:r w:rsidRPr="59521EFA" w:rsidR="00B471FA">
        <w:rPr>
          <w:rFonts w:ascii="Arial" w:hAnsi="Arial" w:eastAsia="Arial" w:cs="Arial"/>
          <w:color w:val="000000" w:themeColor="text1" w:themeTint="FF" w:themeShade="FF"/>
          <w:sz w:val="21"/>
          <w:szCs w:val="21"/>
        </w:rPr>
        <w:t xml:space="preserve"> a esa fecha o nos pueden indicar qué procedimiento deben seguir para este tema de contratación”.</w:t>
      </w:r>
      <w:r w:rsidRPr="59521EFA" w:rsidR="00B471FA">
        <w:rPr>
          <w:rFonts w:ascii="Arial" w:hAnsi="Arial" w:eastAsia="Arial" w:cs="Arial"/>
          <w:sz w:val="21"/>
          <w:szCs w:val="21"/>
        </w:rPr>
        <w:t xml:space="preserve"> </w:t>
      </w:r>
    </w:p>
    <w:p w:rsidRPr="00BC5BC5" w:rsidR="00B471FA" w:rsidP="59521EFA" w:rsidRDefault="00B471FA" w14:paraId="3CA219C0" w14:textId="77777777" w14:noSpellErr="1">
      <w:pPr>
        <w:ind w:left="709" w:right="709"/>
        <w:jc w:val="both"/>
        <w:rPr>
          <w:rFonts w:ascii="Arial" w:hAnsi="Arial" w:eastAsia="Arial" w:cs="Arial"/>
          <w:sz w:val="22"/>
          <w:szCs w:val="22"/>
          <w:lang w:val="es-ES"/>
        </w:rPr>
      </w:pPr>
    </w:p>
    <w:p w:rsidRPr="00BC5BC5" w:rsidR="00B471FA" w:rsidP="59521EFA" w:rsidRDefault="00B471FA" w14:paraId="31C2B62A" w14:textId="77777777" w14:noSpellErr="1">
      <w:pPr>
        <w:spacing w:after="120" w:line="276" w:lineRule="auto"/>
        <w:jc w:val="both"/>
        <w:rPr>
          <w:rFonts w:ascii="Arial" w:hAnsi="Arial" w:eastAsia="Arial" w:cs="Arial"/>
          <w:sz w:val="22"/>
          <w:szCs w:val="22"/>
          <w:lang w:val="es-ES" w:eastAsia="es-ES" w:bidi="es-ES"/>
        </w:rPr>
      </w:pPr>
      <w:r w:rsidRPr="59521EFA" w:rsidR="00B471FA">
        <w:rPr>
          <w:rFonts w:ascii="Arial" w:hAnsi="Arial" w:eastAsia="Arial" w:cs="Arial"/>
          <w:sz w:val="22"/>
          <w:szCs w:val="22"/>
        </w:rPr>
        <w:t xml:space="preserve">De acuerdo con la interpretación de las normas generales del sistema de compras y contratación pública, </w:t>
      </w:r>
      <w:r w:rsidRPr="59521EFA" w:rsidR="00B471FA">
        <w:rPr>
          <w:rFonts w:ascii="Arial" w:hAnsi="Arial" w:eastAsia="Arial" w:cs="Arial"/>
          <w:sz w:val="22"/>
          <w:szCs w:val="22"/>
          <w:lang w:val="es-ES" w:eastAsia="es-ES" w:bidi="es-ES"/>
        </w:rPr>
        <w:t>la Ley de Garantías Electorales consagra una serie de restricciones que se dirigen a dos (2) tipos de campañas electorales claramente diferenciadas: las presidenciales y las demás que se adelanten para la elección de los demás cargos de elección popular, tanto a nivel nacional como territorial.</w:t>
      </w:r>
    </w:p>
    <w:p w:rsidRPr="00BC5BC5" w:rsidR="00B471FA" w:rsidP="59521EFA" w:rsidRDefault="00B471FA" w14:paraId="15D333D0" w14:textId="77777777" w14:noSpellErr="1">
      <w:pPr>
        <w:spacing w:after="120" w:line="276" w:lineRule="auto"/>
        <w:ind w:firstLine="567"/>
        <w:jc w:val="both"/>
        <w:rPr>
          <w:rFonts w:ascii="Arial" w:hAnsi="Arial" w:eastAsia="Arial" w:cs="Arial"/>
          <w:sz w:val="22"/>
          <w:szCs w:val="22"/>
          <w:lang w:eastAsia="es-CO"/>
        </w:rPr>
      </w:pPr>
      <w:r w:rsidRPr="59521EFA" w:rsidR="00B471FA">
        <w:rPr>
          <w:rFonts w:ascii="Arial" w:hAnsi="Arial" w:eastAsia="Arial" w:cs="Arial"/>
          <w:i w:val="1"/>
          <w:iCs w:val="1"/>
          <w:sz w:val="22"/>
          <w:szCs w:val="22"/>
          <w:lang w:eastAsia="es-CO"/>
        </w:rPr>
        <w:t>En primer lugar</w:t>
      </w:r>
      <w:r w:rsidRPr="59521EFA" w:rsidR="00B471FA">
        <w:rPr>
          <w:rFonts w:ascii="Arial" w:hAnsi="Arial" w:eastAsia="Arial" w:cs="Arial"/>
          <w:sz w:val="22"/>
          <w:szCs w:val="22"/>
          <w:lang w:eastAsia="es-CO"/>
        </w:rPr>
        <w:t>, la restricción del artículo 33 prohíbe la contratación directa por parte de todos los entes del Estado, durante los cuatro (4) meses anteriores a la elección presidencial y hasta la realización de la elección en la segunda vuelta, en caso de que se presente.</w:t>
      </w:r>
      <w:r w:rsidRPr="59521EFA" w:rsidR="00B471FA">
        <w:rPr>
          <w:rFonts w:ascii="Arial" w:hAnsi="Arial" w:eastAsia="Arial" w:cs="Arial"/>
          <w:sz w:val="22"/>
          <w:szCs w:val="22"/>
          <w:lang w:eastAsia="es-CO"/>
        </w:rPr>
        <w:t xml:space="preserve"> </w:t>
      </w:r>
      <w:r w:rsidRPr="59521EFA" w:rsidR="00B471FA">
        <w:rPr>
          <w:rFonts w:ascii="Arial" w:hAnsi="Arial" w:eastAsia="Arial" w:cs="Arial"/>
          <w:sz w:val="22"/>
          <w:szCs w:val="22"/>
          <w:lang w:eastAsia="es-CO"/>
        </w:rPr>
        <w:t>En consecuencia, es necesario considerar que el artículo 13 de la Ley 715 de 2001 consagra un régimen jurídico que exceptúa la aplicación del Estatuto General de Contratación de la Administración Pública para los contratos de los fondos de servicios educativos inferiores a veinte (20) SMLMV, con el objetivo de flexibilizar el régimen contractual aplicable.</w:t>
      </w:r>
      <w:r w:rsidRPr="59521EFA" w:rsidR="00B471FA">
        <w:rPr>
          <w:rFonts w:ascii="Arial" w:hAnsi="Arial" w:eastAsia="Arial" w:cs="Arial"/>
          <w:sz w:val="22"/>
          <w:szCs w:val="22"/>
          <w:lang w:eastAsia="es-CO"/>
        </w:rPr>
        <w:t xml:space="preserve"> Pese a lo anterior, la prohibición de contratación directa de la Ley de Garantías es independiente del régimen contractual, por lo que se extiende a los contratos celebrados con cargo a los fondos de servicios educativos.</w:t>
      </w:r>
    </w:p>
    <w:p w:rsidRPr="00BC5BC5" w:rsidR="00B471FA" w:rsidP="59521EFA" w:rsidRDefault="00B471FA" w14:paraId="62778222" w14:textId="77777777" w14:noSpellErr="1">
      <w:pPr>
        <w:spacing w:after="120" w:line="276" w:lineRule="auto"/>
        <w:ind w:firstLine="567"/>
        <w:jc w:val="both"/>
        <w:rPr>
          <w:rFonts w:ascii="Arial" w:hAnsi="Arial" w:eastAsia="Arial" w:cs="Arial"/>
          <w:sz w:val="22"/>
          <w:szCs w:val="22"/>
          <w:lang w:eastAsia="es-CO"/>
        </w:rPr>
      </w:pPr>
      <w:r w:rsidRPr="59521EFA" w:rsidR="00B471FA">
        <w:rPr>
          <w:rFonts w:ascii="Arial" w:hAnsi="Arial" w:eastAsia="Arial" w:cs="Arial"/>
          <w:sz w:val="22"/>
          <w:szCs w:val="22"/>
          <w:lang w:eastAsia="es-CO"/>
        </w:rPr>
        <w:t xml:space="preserve">En armonía con lo anterior, la prohibición del artículo 33 de la Ley de Garantías Electorales se refiere a “cualquier sistema que no implique convocatoria pública y posibilidad de pluralidad de </w:t>
      </w:r>
      <w:r w:rsidRPr="59521EFA" w:rsidR="00B471FA">
        <w:rPr>
          <w:rFonts w:ascii="Arial" w:hAnsi="Arial" w:eastAsia="Arial" w:cs="Arial"/>
          <w:sz w:val="22"/>
          <w:szCs w:val="22"/>
          <w:lang w:eastAsia="es-CO"/>
        </w:rPr>
        <w:t>oferentes”</w:t>
      </w:r>
      <w:r w:rsidRPr="59521EFA">
        <w:rPr>
          <w:rFonts w:ascii="Arial" w:hAnsi="Arial" w:eastAsia="Arial" w:cs="Arial"/>
          <w:sz w:val="22"/>
          <w:szCs w:val="22"/>
          <w:vertAlign w:val="superscript"/>
        </w:rPr>
        <w:footnoteReference w:id="39"/>
      </w:r>
      <w:r w:rsidRPr="59521EFA" w:rsidR="00B471FA">
        <w:rPr>
          <w:rFonts w:ascii="Arial" w:hAnsi="Arial" w:eastAsia="Arial" w:cs="Arial"/>
          <w:sz w:val="22"/>
          <w:szCs w:val="22"/>
          <w:lang w:eastAsia="es-CO"/>
        </w:rPr>
        <w:t xml:space="preserve">, esto es, la contratación directa por lo que excluye de la prohibición a las demás modalidades de contratación previstas en la Ley 1150 de 2007. Esto significa que, procedimientos como el de licitación pública, selección abreviada, concurso de méritos, mínima cuantía y demás procesos susceptibles de </w:t>
      </w:r>
      <w:r w:rsidRPr="59521EFA" w:rsidR="00B471FA">
        <w:rPr>
          <w:rFonts w:ascii="Arial" w:hAnsi="Arial" w:eastAsia="Arial" w:cs="Arial"/>
          <w:sz w:val="22"/>
          <w:szCs w:val="22"/>
          <w:lang w:eastAsia="es-CO"/>
        </w:rPr>
        <w:lastRenderedPageBreak/>
        <w:t xml:space="preserve">pluralidad de oferentes previstos en normas especiales, pueden adelantarse en vigencia de la restricción del artículo 33, sin que ello suponga una contravención a la misma. En tal sentido, se reitera que la prohibición del artículo 33 de la Ley de Garantías Electorales recae sobre cualquier forma de contratación directa, salvo que en el caso concreto se presente alguna de las excepciones establecidas en el inciso segundo del artículo 33, esto es, </w:t>
      </w:r>
      <w:r w:rsidRPr="59521EFA" w:rsidR="00B471FA">
        <w:rPr>
          <w:rFonts w:ascii="Arial" w:hAnsi="Arial" w:eastAsia="Arial" w:cs="Arial"/>
          <w:sz w:val="22"/>
          <w:szCs w:val="22"/>
          <w:lang w:eastAsia="x-none"/>
        </w:rPr>
        <w:t xml:space="preserve">lo referente a: i) la defensa y seguridad del Estado; </w:t>
      </w:r>
      <w:r w:rsidRPr="59521EFA" w:rsidR="00B471FA">
        <w:rPr>
          <w:rFonts w:ascii="Arial" w:hAnsi="Arial" w:eastAsia="Arial" w:cs="Arial"/>
          <w:sz w:val="22"/>
          <w:szCs w:val="22"/>
          <w:lang w:eastAsia="x-none"/>
        </w:rPr>
        <w:t>ii</w:t>
      </w:r>
      <w:r w:rsidRPr="59521EFA" w:rsidR="00B471FA">
        <w:rPr>
          <w:rFonts w:ascii="Arial" w:hAnsi="Arial" w:eastAsia="Arial" w:cs="Arial"/>
          <w:sz w:val="22"/>
          <w:szCs w:val="22"/>
          <w:lang w:eastAsia="x-none"/>
        </w:rPr>
        <w:t xml:space="preserve">) los contratos de crédito público; </w:t>
      </w:r>
      <w:r w:rsidRPr="59521EFA" w:rsidR="00B471FA">
        <w:rPr>
          <w:rFonts w:ascii="Arial" w:hAnsi="Arial" w:eastAsia="Arial" w:cs="Arial"/>
          <w:sz w:val="22"/>
          <w:szCs w:val="22"/>
          <w:lang w:eastAsia="x-none"/>
        </w:rPr>
        <w:t>iii</w:t>
      </w:r>
      <w:r w:rsidRPr="59521EFA" w:rsidR="00B471FA">
        <w:rPr>
          <w:rFonts w:ascii="Arial" w:hAnsi="Arial" w:eastAsia="Arial" w:cs="Arial"/>
          <w:sz w:val="22"/>
          <w:szCs w:val="22"/>
          <w:lang w:eastAsia="x-none"/>
        </w:rPr>
        <w:t xml:space="preserve">) los requeridos para cubrir las emergencias educativas, sanitarias y desastres; </w:t>
      </w:r>
      <w:r w:rsidRPr="59521EFA" w:rsidR="00B471FA">
        <w:rPr>
          <w:rFonts w:ascii="Arial" w:hAnsi="Arial" w:eastAsia="Arial" w:cs="Arial"/>
          <w:sz w:val="22"/>
          <w:szCs w:val="22"/>
          <w:lang w:eastAsia="x-none"/>
        </w:rPr>
        <w:t>iv</w:t>
      </w:r>
      <w:r w:rsidRPr="59521EFA" w:rsidR="00B471FA">
        <w:rPr>
          <w:rFonts w:ascii="Arial" w:hAnsi="Arial" w:eastAsia="Arial" w:cs="Arial"/>
          <w:sz w:val="22"/>
          <w:szCs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59521EFA" w:rsidR="00B471FA">
        <w:rPr>
          <w:rFonts w:ascii="Arial" w:hAnsi="Arial" w:eastAsia="Arial" w:cs="Arial"/>
          <w:sz w:val="22"/>
          <w:szCs w:val="22"/>
          <w:lang w:eastAsia="es-CO"/>
        </w:rPr>
        <w:t xml:space="preserve"> </w:t>
      </w:r>
      <w:r w:rsidRPr="59521EFA" w:rsidR="00B471FA">
        <w:rPr>
          <w:rFonts w:ascii="Arial" w:hAnsi="Arial" w:eastAsia="Arial" w:cs="Arial"/>
          <w:sz w:val="22"/>
          <w:szCs w:val="22"/>
          <w:lang w:eastAsia="es-CO"/>
        </w:rPr>
        <w:t xml:space="preserve">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rsidRPr="00BC5BC5" w:rsidR="00B471FA" w:rsidP="59521EFA" w:rsidRDefault="00B471FA" w14:paraId="1DC84ECF" w14:textId="77777777" w14:noSpellErr="1">
      <w:pPr>
        <w:spacing w:after="120" w:line="276" w:lineRule="auto"/>
        <w:ind w:firstLine="567"/>
        <w:jc w:val="both"/>
        <w:rPr>
          <w:rFonts w:ascii="Arial" w:hAnsi="Arial" w:eastAsia="Arial" w:cs="Arial"/>
          <w:sz w:val="22"/>
          <w:szCs w:val="22"/>
          <w:lang w:eastAsia="es-CO"/>
        </w:rPr>
      </w:pPr>
      <w:r w:rsidRPr="59521EFA" w:rsidR="00B471FA">
        <w:rPr>
          <w:rFonts w:ascii="Arial" w:hAnsi="Arial" w:eastAsia="Arial" w:cs="Arial"/>
          <w:i w:val="1"/>
          <w:iCs w:val="1"/>
          <w:sz w:val="22"/>
          <w:szCs w:val="22"/>
          <w:lang w:eastAsia="es-CO"/>
        </w:rPr>
        <w:t>En segundo lugar</w:t>
      </w:r>
      <w:r w:rsidRPr="59521EFA" w:rsidR="00B471FA">
        <w:rPr>
          <w:rFonts w:ascii="Arial" w:hAnsi="Arial" w:eastAsia="Arial" w:cs="Arial"/>
          <w:sz w:val="22"/>
          <w:szCs w:val="22"/>
          <w:lang w:eastAsia="es-CO"/>
        </w:rPr>
        <w:t xml:space="preserve">, el parágrafo del artículo 38 de la Ley 996 de 2005 prohíbe a los gobernadores, alcaldes, secretarios, gerentes y directores de Entidades Estatales del orden Municipal, Departamental o Distrital celebrar convenios o contratos interadministrativos para ejecutar recursos públicos durante los cuatro (4) meses anteriores a cualquier elección de cargos de elección popular. </w:t>
      </w:r>
    </w:p>
    <w:p w:rsidRPr="00BC5BC5" w:rsidR="00B471FA" w:rsidP="59521EFA" w:rsidRDefault="00B471FA" w14:paraId="288429BA" w14:textId="77777777">
      <w:pPr>
        <w:spacing w:after="120" w:line="276" w:lineRule="auto"/>
        <w:ind w:firstLine="567"/>
        <w:jc w:val="both"/>
        <w:rPr>
          <w:rFonts w:ascii="Arial" w:hAnsi="Arial" w:eastAsia="Arial" w:cs="Arial"/>
          <w:sz w:val="22"/>
          <w:szCs w:val="22"/>
          <w:lang w:eastAsia="es-CO"/>
        </w:rPr>
      </w:pPr>
      <w:r w:rsidRPr="59521EFA" w:rsidR="00B471FA">
        <w:rPr>
          <w:rFonts w:ascii="Arial" w:hAnsi="Arial" w:eastAsia="Arial" w:cs="Arial"/>
          <w:sz w:val="22"/>
          <w:szCs w:val="22"/>
          <w:lang w:eastAsia="es-CO"/>
        </w:rPr>
        <w:t xml:space="preserve">En este sentido, respecto a la restricción del artículo 38 de la Ley de Garantías se considera que los contratos celebrados con los administradores del fondo y </w:t>
      </w:r>
      <w:r w:rsidRPr="59521EFA" w:rsidR="00B471FA">
        <w:rPr>
          <w:rFonts w:ascii="Arial" w:hAnsi="Arial" w:eastAsia="Arial" w:cs="Arial"/>
          <w:i w:val="1"/>
          <w:iCs w:val="1"/>
          <w:sz w:val="22"/>
          <w:szCs w:val="22"/>
          <w:lang w:eastAsia="es-CO"/>
        </w:rPr>
        <w:t>otras entidades públicas</w:t>
      </w:r>
      <w:r w:rsidRPr="59521EFA" w:rsidR="00B471FA">
        <w:rPr>
          <w:rFonts w:ascii="Arial" w:hAnsi="Arial" w:eastAsia="Arial" w:cs="Arial"/>
          <w:sz w:val="22"/>
          <w:szCs w:val="22"/>
          <w:lang w:eastAsia="es-CO"/>
        </w:rPr>
        <w:t xml:space="preserve"> son contratos interadministrativos. En efecto, el citado artículo 2.2.1.2.1.4.4 del Decreto 1082 de 2015 califica a los convenios o contratos interadministrativos como aquella contratación entre entidades estatales. El concepto está definido en el artículo 2.2.1.1.1.3.1 </w:t>
      </w:r>
      <w:r w:rsidRPr="59521EFA" w:rsidR="00B471FA">
        <w:rPr>
          <w:rFonts w:ascii="Arial" w:hAnsi="Arial" w:eastAsia="Arial" w:cs="Arial"/>
          <w:sz w:val="22"/>
          <w:szCs w:val="22"/>
          <w:lang w:eastAsia="es-CO"/>
        </w:rPr>
        <w:t>ibidem</w:t>
      </w:r>
      <w:r w:rsidRPr="59521EFA" w:rsidR="00B471FA">
        <w:rPr>
          <w:rFonts w:ascii="Arial" w:hAnsi="Arial" w:eastAsia="Arial" w:cs="Arial"/>
          <w:sz w:val="22"/>
          <w:szCs w:val="22"/>
          <w:lang w:eastAsia="es-CO"/>
        </w:rPr>
        <w:t xml:space="preserve"> como: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w:t>
      </w:r>
      <w:r w:rsidRPr="59521EFA" w:rsidR="00B471FA">
        <w:rPr>
          <w:rFonts w:ascii="Arial" w:hAnsi="Arial" w:eastAsia="Arial" w:cs="Arial"/>
          <w:sz w:val="22"/>
          <w:szCs w:val="22"/>
          <w:lang w:eastAsia="es-CO"/>
        </w:rPr>
        <w:t xml:space="preserve">modifiquen, aclaren, adicionen o sustituyan”. Aunque las instituciones educativas carecen de personería jurídica, tienen capacidad para contratar y se concreta en la competencia que le otorgó el legislador en la Ley 715 de 2001 para administrar los fondos de servicios educativos. Así, conforme al literal b) del artículo 2.1 de la Ley 80 de 1993, también se considera entidad estatal todos aquellos “[…] organismos o dependencias del Estado a los que la ley otorgue capacidad para celebrar contratos”. De modo que, le aplica la restricción establecida en el parágrafo del artículo 38 de la Ley de Garantías Electorales. </w:t>
      </w:r>
    </w:p>
    <w:p w:rsidRPr="00BC5BC5" w:rsidR="00B471FA" w:rsidP="59521EFA" w:rsidRDefault="00B471FA" w14:paraId="714185D5" w14:textId="77777777" w14:noSpellErr="1">
      <w:pPr>
        <w:spacing w:line="276" w:lineRule="auto"/>
        <w:ind w:firstLine="567"/>
        <w:jc w:val="both"/>
        <w:rPr>
          <w:rFonts w:ascii="Arial" w:hAnsi="Arial" w:eastAsia="Arial" w:cs="Arial"/>
          <w:sz w:val="22"/>
          <w:szCs w:val="22"/>
          <w:lang w:val="es-ES"/>
        </w:rPr>
      </w:pPr>
      <w:r w:rsidRPr="59521EFA" w:rsidR="00B471FA">
        <w:rPr>
          <w:rFonts w:ascii="Arial" w:hAnsi="Arial" w:eastAsia="Arial" w:cs="Arial"/>
          <w:sz w:val="22"/>
          <w:szCs w:val="22"/>
          <w:lang w:eastAsia="es-MX"/>
        </w:rPr>
        <w:t xml:space="preserve">En los términos anteriormente explicados, ambas restricciones aplican a los contratos celebrados con cargo a los fondos de servicios educativos, de acuerdo con el alcance precisado frente a los artículos 33 y el parágrafo del artículo 38 de la Ley de Garantías Electorales. Por lo que, dentro de este marco general, </w:t>
      </w:r>
      <w:r w:rsidRPr="59521EFA" w:rsidR="00B471FA">
        <w:rPr>
          <w:rFonts w:ascii="Arial" w:hAnsi="Arial" w:eastAsia="Arial" w:cs="Arial"/>
          <w:sz w:val="22"/>
          <w:szCs w:val="22"/>
          <w:lang w:val="es-ES"/>
        </w:rPr>
        <w:t>le corresponderá a cada entidad, previo concepto de sus órganos asesores, definir la viabilidad técnica, jurídica y financiera de celebrar determinado contrato estatal en específico.</w:t>
      </w:r>
    </w:p>
    <w:p w:rsidRPr="00BC5BC5" w:rsidR="00B471FA" w:rsidP="59521EFA" w:rsidRDefault="00B471FA" w14:paraId="79B81E3B" w14:textId="77777777" w14:noSpellErr="1">
      <w:pPr>
        <w:spacing w:line="276" w:lineRule="auto"/>
        <w:ind w:firstLine="709"/>
        <w:jc w:val="both"/>
        <w:rPr>
          <w:rFonts w:ascii="Arial" w:hAnsi="Arial" w:eastAsia="Arial" w:cs="Arial"/>
          <w:sz w:val="22"/>
          <w:szCs w:val="22"/>
        </w:rPr>
      </w:pPr>
      <w:r w:rsidRPr="59521EFA" w:rsidR="00B471FA">
        <w:rPr>
          <w:rFonts w:ascii="Arial" w:hAnsi="Arial" w:eastAsia="Arial" w:cs="Arial"/>
          <w:sz w:val="22"/>
          <w:szCs w:val="22"/>
          <w:lang w:eastAsia="es-CO"/>
        </w:rPr>
        <w:t xml:space="preserve">Bajo estas consideraciones, corresponde a cada entidad pública, en ejercicio de su competencia y previa valoración de los elementos fácticos y jurídicos, determinar si es procedente o no la celebración de un determinado contrato durante la vigencia de la Ley de Garantías Electorales. </w:t>
      </w:r>
      <w:r w:rsidRPr="59521EFA" w:rsidR="00B471FA">
        <w:rPr>
          <w:rFonts w:ascii="Arial" w:hAnsi="Arial" w:eastAsia="Arial" w:cs="Arial"/>
          <w:sz w:val="22"/>
          <w:szCs w:val="22"/>
          <w:lang w:eastAsia="es-CO"/>
        </w:rPr>
        <w:t>Lo anterior en razón a que,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59521EFA" w:rsidR="00B471FA">
        <w:rPr>
          <w:rFonts w:ascii="Arial" w:hAnsi="Arial" w:eastAsia="Arial" w:cs="Arial"/>
          <w:sz w:val="22"/>
          <w:szCs w:val="22"/>
          <w:lang w:val="es-ES"/>
        </w:rPr>
        <w:t xml:space="preserve"> </w:t>
      </w:r>
    </w:p>
    <w:p w:rsidRPr="00BC5BC5" w:rsidR="00B471FA" w:rsidP="59521EFA" w:rsidRDefault="00B471FA" w14:paraId="276CC654" w14:textId="77777777" w14:noSpellErr="1">
      <w:pPr>
        <w:shd w:val="clear" w:color="auto" w:fill="FFFFFF" w:themeFill="background1"/>
        <w:spacing w:line="276" w:lineRule="auto"/>
        <w:jc w:val="both"/>
        <w:rPr>
          <w:rFonts w:ascii="Arial" w:hAnsi="Arial" w:eastAsia="Arial" w:cs="Arial"/>
          <w:sz w:val="22"/>
          <w:szCs w:val="22"/>
        </w:rPr>
      </w:pPr>
    </w:p>
    <w:p w:rsidRPr="00BC5BC5" w:rsidR="00B471FA" w:rsidP="59521EFA" w:rsidRDefault="00B471FA" w14:paraId="130158F6" w14:textId="77777777" w14:noSpellErr="1">
      <w:pPr>
        <w:widowControl w:val="0"/>
        <w:autoSpaceDE w:val="0"/>
        <w:autoSpaceDN w:val="0"/>
        <w:spacing w:line="276" w:lineRule="auto"/>
        <w:contextualSpacing/>
        <w:jc w:val="both"/>
        <w:rPr>
          <w:rFonts w:ascii="Arial" w:hAnsi="Arial" w:eastAsia="Arial" w:cs="Arial"/>
          <w:sz w:val="22"/>
          <w:szCs w:val="22"/>
          <w:lang w:eastAsia="es-ES"/>
        </w:rPr>
      </w:pPr>
      <w:r w:rsidRPr="59521EFA" w:rsidR="00B471FA">
        <w:rPr>
          <w:rFonts w:ascii="Arial" w:hAnsi="Arial" w:eastAsia="Arial" w:cs="Arial"/>
          <w:sz w:val="22"/>
          <w:szCs w:val="22"/>
        </w:rPr>
        <w:t>Este concepto tiene el alcance previsto en el artículo 28 del Código de Procedimiento Administrativo y de lo Contencioso Administrativo</w:t>
      </w:r>
      <w:r w:rsidRPr="00BC5BC5">
        <w:rPr>
          <w:rFonts w:ascii="Century Gothic" w:hAnsi="Century Gothic" w:cs="Arial"/>
          <w:noProof/>
          <w:lang w:val="en-US"/>
        </w:rPr>
        <mc:AlternateContent>
          <mc:Choice Requires="wps">
            <w:drawing>
              <wp:anchor distT="0" distB="0" distL="114300" distR="114300" simplePos="0" relativeHeight="251659264" behindDoc="0" locked="0" layoutInCell="1" allowOverlap="1" wp14:anchorId="03331E1F" wp14:editId="5B174D7F">
                <wp:simplePos x="0" y="0"/>
                <wp:positionH relativeFrom="page">
                  <wp:posOffset>1514475</wp:posOffset>
                </wp:positionH>
                <wp:positionV relativeFrom="paragraph">
                  <wp:posOffset>10160</wp:posOffset>
                </wp:positionV>
                <wp:extent cx="46863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6BCE4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r w:rsidRPr="59521EFA" w:rsidR="00B471FA">
        <w:rPr>
          <w:rFonts w:ascii="Arial" w:hAnsi="Arial" w:eastAsia="Arial" w:cs="Arial"/>
          <w:sz w:val="22"/>
          <w:szCs w:val="22"/>
        </w:rPr>
        <w:t xml:space="preserve"> y las expresiones utilizadas con mayúscula inicial deben ser entendidas con el significado que les otorga el artículo 2.2.1.1.1.3.1 del Decreto 1082 de 2015.</w:t>
      </w:r>
    </w:p>
    <w:p w:rsidRPr="00BC5BC5" w:rsidR="00B471FA" w:rsidP="59521EFA" w:rsidRDefault="00B471FA" w14:paraId="35BEA40B" w14:textId="77777777" w14:noSpellErr="1">
      <w:pPr>
        <w:spacing w:after="120" w:line="276" w:lineRule="auto"/>
        <w:jc w:val="both"/>
        <w:rPr>
          <w:rFonts w:ascii="Arial" w:hAnsi="Arial" w:eastAsia="Arial" w:cs="Arial"/>
          <w:sz w:val="22"/>
          <w:szCs w:val="22"/>
          <w:lang w:eastAsia="es-ES"/>
        </w:rPr>
      </w:pPr>
    </w:p>
    <w:p w:rsidRPr="00BC5BC5" w:rsidR="00B471FA" w:rsidP="59521EFA" w:rsidRDefault="00B471FA" w14:paraId="6DA80931" w14:textId="77777777" w14:noSpellErr="1">
      <w:pPr>
        <w:spacing w:after="200" w:line="276" w:lineRule="auto"/>
        <w:jc w:val="both"/>
        <w:rPr>
          <w:rFonts w:ascii="Arial" w:hAnsi="Arial" w:eastAsia="Arial" w:cs="Arial"/>
          <w:sz w:val="22"/>
          <w:szCs w:val="22"/>
          <w:lang w:eastAsia="es-CO"/>
        </w:rPr>
      </w:pPr>
      <w:r w:rsidRPr="59521EFA" w:rsidR="00B471FA">
        <w:rPr>
          <w:rFonts w:ascii="Arial" w:hAnsi="Arial" w:eastAsia="Arial" w:cs="Arial"/>
          <w:sz w:val="22"/>
          <w:szCs w:val="22"/>
          <w:lang w:eastAsia="es-CO"/>
        </w:rPr>
        <w:t>Atentamente,</w:t>
      </w:r>
    </w:p>
    <w:p w:rsidRPr="00BC5BC5" w:rsidR="00B471FA" w:rsidP="59521EFA" w:rsidRDefault="00236F27" w14:paraId="62759CC7" w14:textId="572B0622" w14:noSpellErr="1">
      <w:pPr>
        <w:spacing w:after="200" w:line="276" w:lineRule="auto"/>
        <w:jc w:val="center"/>
        <w:rPr>
          <w:rFonts w:ascii="Arial" w:hAnsi="Arial" w:eastAsia="Arial" w:cs="Arial"/>
          <w:b w:val="1"/>
          <w:bCs w:val="1"/>
          <w:sz w:val="20"/>
          <w:szCs w:val="20"/>
        </w:rPr>
      </w:pPr>
      <w:bookmarkStart w:name="_Hlk130981267" w:id="30"/>
      <w:bookmarkEnd w:id="29"/>
      <w:r w:rsidR="00236F27">
        <w:drawing>
          <wp:inline wp14:editId="2D0487B5" wp14:anchorId="28973313">
            <wp:extent cx="3153215" cy="1209844"/>
            <wp:effectExtent l="0" t="0" r="9525" b="9525"/>
            <wp:docPr id="11" name="Imagen 11" title=""/>
            <wp:cNvGraphicFramePr>
              <a:graphicFrameLocks noChangeAspect="1"/>
            </wp:cNvGraphicFramePr>
            <a:graphic>
              <a:graphicData uri="http://schemas.openxmlformats.org/drawingml/2006/picture">
                <pic:pic>
                  <pic:nvPicPr>
                    <pic:cNvPr id="0" name="Imagen 11"/>
                    <pic:cNvPicPr/>
                  </pic:nvPicPr>
                  <pic:blipFill>
                    <a:blip r:embed="R2e45f5c0d64c44d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153215" cy="1209844"/>
                    </a:xfrm>
                    <a:prstGeom prst="rect">
                      <a:avLst/>
                    </a:prstGeom>
                  </pic:spPr>
                </pic:pic>
              </a:graphicData>
            </a:graphic>
          </wp:inline>
        </w:drawing>
      </w:r>
    </w:p>
    <w:tbl>
      <w:tblPr>
        <w:tblStyle w:val="Tablaconcuadrcula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5"/>
        <w:gridCol w:w="4291"/>
      </w:tblGrid>
      <w:tr w:rsidRPr="00BC5BC5" w:rsidR="00B471FA" w:rsidTr="59521EFA" w14:paraId="79425D67" w14:textId="77777777">
        <w:trPr>
          <w:trHeight w:val="315"/>
        </w:trPr>
        <w:tc>
          <w:tcPr>
            <w:tcW w:w="812" w:type="dxa"/>
            <w:tcMar/>
            <w:vAlign w:val="center"/>
            <w:hideMark/>
          </w:tcPr>
          <w:p w:rsidRPr="00BC5BC5" w:rsidR="00B471FA" w:rsidP="59521EFA" w:rsidRDefault="00B471FA" w14:paraId="550C616C" w14:textId="77777777" w14:noSpellErr="1">
            <w:pPr>
              <w:rPr>
                <w:rFonts w:ascii="Arial" w:hAnsi="Arial" w:eastAsia="Arial" w:cs="Arial"/>
                <w:sz w:val="16"/>
                <w:szCs w:val="16"/>
                <w:lang w:eastAsia="es-ES"/>
              </w:rPr>
            </w:pPr>
            <w:r w:rsidRPr="59521EFA" w:rsidR="00B471FA">
              <w:rPr>
                <w:rFonts w:ascii="Arial" w:hAnsi="Arial" w:eastAsia="Arial" w:cs="Arial"/>
                <w:sz w:val="16"/>
                <w:szCs w:val="16"/>
                <w:lang w:eastAsia="es-ES"/>
              </w:rPr>
              <w:t>Elaboró:</w:t>
            </w:r>
          </w:p>
        </w:tc>
        <w:tc>
          <w:tcPr>
            <w:tcW w:w="4291" w:type="dxa"/>
            <w:tcBorders>
              <w:top w:val="nil"/>
              <w:left w:val="nil"/>
              <w:bottom w:val="dotted" w:color="7F7F7F" w:themeColor="text1" w:themeTint="80" w:sz="4" w:space="0"/>
              <w:right w:val="nil"/>
            </w:tcBorders>
            <w:tcMar/>
            <w:vAlign w:val="center"/>
            <w:hideMark/>
          </w:tcPr>
          <w:p w:rsidRPr="00BC5BC5" w:rsidR="00B471FA" w:rsidP="59521EFA" w:rsidRDefault="00B471FA" w14:paraId="570251FC" w14:textId="77777777" w14:noSpellErr="1">
            <w:pPr>
              <w:rPr>
                <w:rFonts w:ascii="Arial" w:hAnsi="Arial" w:eastAsia="Arial" w:cs="Arial"/>
                <w:sz w:val="16"/>
                <w:szCs w:val="16"/>
                <w:lang w:eastAsia="es-ES"/>
              </w:rPr>
            </w:pPr>
            <w:r w:rsidRPr="59521EFA" w:rsidR="00B471FA">
              <w:rPr>
                <w:rFonts w:ascii="Arial" w:hAnsi="Arial" w:eastAsia="Arial" w:cs="Arial"/>
                <w:sz w:val="16"/>
                <w:szCs w:val="16"/>
                <w:lang w:eastAsia="es-ES"/>
              </w:rPr>
              <w:t>Nina María Padrón Ballestas</w:t>
            </w:r>
          </w:p>
          <w:p w:rsidRPr="00BC5BC5" w:rsidR="00B471FA" w:rsidP="59521EFA" w:rsidRDefault="00B471FA" w14:paraId="0F102404" w14:textId="77777777" w14:noSpellErr="1">
            <w:pPr>
              <w:rPr>
                <w:rFonts w:ascii="Arial" w:hAnsi="Arial" w:eastAsia="Arial" w:cs="Arial"/>
                <w:sz w:val="16"/>
                <w:szCs w:val="16"/>
                <w:lang w:eastAsia="es-ES"/>
              </w:rPr>
            </w:pPr>
            <w:r w:rsidRPr="59521EFA" w:rsidR="00B471FA">
              <w:rPr>
                <w:rFonts w:ascii="Arial" w:hAnsi="Arial" w:eastAsia="Arial" w:cs="Arial"/>
                <w:sz w:val="16"/>
                <w:szCs w:val="16"/>
                <w:lang w:eastAsia="es-ES"/>
              </w:rPr>
              <w:t>Contratista de la Subdirección de Gestión Contractual</w:t>
            </w:r>
          </w:p>
        </w:tc>
      </w:tr>
      <w:tr w:rsidRPr="00BC5BC5" w:rsidR="00B471FA" w:rsidTr="59521EFA" w14:paraId="21F877A6" w14:textId="77777777">
        <w:trPr>
          <w:trHeight w:val="330"/>
        </w:trPr>
        <w:tc>
          <w:tcPr>
            <w:tcW w:w="812" w:type="dxa"/>
            <w:tcMar/>
            <w:vAlign w:val="center"/>
            <w:hideMark/>
          </w:tcPr>
          <w:p w:rsidRPr="00BC5BC5" w:rsidR="00B471FA" w:rsidP="59521EFA" w:rsidRDefault="00B471FA" w14:paraId="02064237" w14:textId="77777777" w14:noSpellErr="1">
            <w:pPr>
              <w:rPr>
                <w:rFonts w:ascii="Arial" w:hAnsi="Arial" w:eastAsia="Arial" w:cs="Arial"/>
                <w:sz w:val="16"/>
                <w:szCs w:val="16"/>
                <w:lang w:eastAsia="es-ES"/>
              </w:rPr>
            </w:pPr>
            <w:r w:rsidRPr="59521EFA" w:rsidR="00B471FA">
              <w:rPr>
                <w:rFonts w:ascii="Arial" w:hAnsi="Arial" w:eastAsia="Arial" w:cs="Arial"/>
                <w:sz w:val="16"/>
                <w:szCs w:val="16"/>
                <w:lang w:eastAsia="es-ES"/>
              </w:rPr>
              <w:t>Revisó:</w:t>
            </w:r>
          </w:p>
        </w:tc>
        <w:tc>
          <w:tcPr>
            <w:tcW w:w="4291" w:type="dxa"/>
            <w:tcBorders>
              <w:top w:val="dotted" w:color="7F7F7F" w:themeColor="text1" w:themeTint="80" w:sz="4" w:space="0"/>
              <w:left w:val="nil"/>
              <w:bottom w:val="dotted" w:color="7F7F7F" w:themeColor="text1" w:themeTint="80" w:sz="4" w:space="0"/>
              <w:right w:val="nil"/>
            </w:tcBorders>
            <w:tcMar/>
            <w:vAlign w:val="center"/>
            <w:hideMark/>
          </w:tcPr>
          <w:p w:rsidRPr="00BC5BC5" w:rsidR="00B471FA" w:rsidP="59521EFA" w:rsidRDefault="00B471FA" w14:paraId="4526ECF4" w14:textId="77777777" w14:noSpellErr="1">
            <w:pPr>
              <w:rPr>
                <w:rFonts w:ascii="Arial" w:hAnsi="Arial" w:eastAsia="Arial" w:cs="Arial"/>
                <w:sz w:val="16"/>
                <w:szCs w:val="16"/>
                <w:lang w:eastAsia="es-ES"/>
              </w:rPr>
            </w:pPr>
            <w:r w:rsidRPr="59521EFA" w:rsidR="00B471FA">
              <w:rPr>
                <w:rFonts w:ascii="Arial" w:hAnsi="Arial" w:eastAsia="Arial" w:cs="Arial"/>
                <w:sz w:val="16"/>
                <w:szCs w:val="16"/>
                <w:lang w:eastAsia="es-ES"/>
              </w:rPr>
              <w:t>Alejandro Sarmiento Cantillo</w:t>
            </w:r>
          </w:p>
          <w:p w:rsidRPr="00BC5BC5" w:rsidR="00B471FA" w:rsidP="59521EFA" w:rsidRDefault="00B471FA" w14:paraId="015D3699" w14:textId="77777777" w14:noSpellErr="1">
            <w:pPr>
              <w:rPr>
                <w:rFonts w:ascii="Arial" w:hAnsi="Arial" w:eastAsia="Arial" w:cs="Arial"/>
                <w:sz w:val="16"/>
                <w:szCs w:val="16"/>
                <w:lang w:eastAsia="es-ES"/>
              </w:rPr>
            </w:pPr>
            <w:r w:rsidRPr="59521EFA" w:rsidR="00B471FA">
              <w:rPr>
                <w:rFonts w:ascii="Arial" w:hAnsi="Arial" w:eastAsia="Arial" w:cs="Arial"/>
                <w:sz w:val="16"/>
                <w:szCs w:val="16"/>
                <w:lang w:eastAsia="es-ES"/>
              </w:rPr>
              <w:t>Gestor T1–15 de la Subdirección de Gestión Contractual</w:t>
            </w:r>
          </w:p>
          <w:p w:rsidRPr="00BC5BC5" w:rsidR="00B471FA" w:rsidP="59521EFA" w:rsidRDefault="00B471FA" w14:paraId="7004298D" w14:textId="77777777" w14:noSpellErr="1">
            <w:pPr>
              <w:rPr>
                <w:rFonts w:ascii="Arial" w:hAnsi="Arial" w:eastAsia="Arial" w:cs="Arial"/>
                <w:sz w:val="16"/>
                <w:szCs w:val="16"/>
                <w:lang w:eastAsia="es-ES"/>
              </w:rPr>
            </w:pPr>
            <w:r w:rsidRPr="59521EFA" w:rsidR="00B471FA">
              <w:rPr>
                <w:rFonts w:ascii="Arial" w:hAnsi="Arial" w:eastAsia="Arial" w:cs="Arial"/>
                <w:sz w:val="16"/>
                <w:szCs w:val="16"/>
                <w:lang w:eastAsia="es-ES"/>
              </w:rPr>
              <w:t>Gabriel Mendoza</w:t>
            </w:r>
          </w:p>
          <w:p w:rsidRPr="00BC5BC5" w:rsidR="00B471FA" w:rsidP="59521EFA" w:rsidRDefault="00B471FA" w14:paraId="6ABAF93D" w14:textId="77777777" w14:noSpellErr="1">
            <w:pPr>
              <w:rPr>
                <w:rFonts w:ascii="Arial" w:hAnsi="Arial" w:eastAsia="Arial" w:cs="Arial"/>
                <w:sz w:val="16"/>
                <w:szCs w:val="16"/>
                <w:lang w:eastAsia="es-ES"/>
              </w:rPr>
            </w:pPr>
            <w:r w:rsidRPr="59521EFA" w:rsidR="00B471FA">
              <w:rPr>
                <w:rFonts w:ascii="Arial" w:hAnsi="Arial" w:eastAsia="Arial" w:cs="Arial"/>
                <w:sz w:val="16"/>
                <w:szCs w:val="16"/>
                <w:lang w:eastAsia="es-ES"/>
              </w:rPr>
              <w:t>Contratista de la Subdirección Gestión Contratación</w:t>
            </w:r>
          </w:p>
        </w:tc>
      </w:tr>
      <w:tr w:rsidRPr="00BC5BC5" w:rsidR="00B471FA" w:rsidTr="59521EFA" w14:paraId="4D635ABA" w14:textId="77777777">
        <w:trPr>
          <w:trHeight w:val="300"/>
        </w:trPr>
        <w:tc>
          <w:tcPr>
            <w:tcW w:w="812" w:type="dxa"/>
            <w:tcMar/>
            <w:vAlign w:val="center"/>
            <w:hideMark/>
          </w:tcPr>
          <w:p w:rsidRPr="00BC5BC5" w:rsidR="00B471FA" w:rsidP="59521EFA" w:rsidRDefault="00B471FA" w14:paraId="5412D0A7" w14:textId="77777777" w14:noSpellErr="1">
            <w:pPr>
              <w:rPr>
                <w:rFonts w:ascii="Arial" w:hAnsi="Arial" w:eastAsia="Arial" w:cs="Arial"/>
                <w:sz w:val="16"/>
                <w:szCs w:val="16"/>
                <w:lang w:eastAsia="es-ES"/>
              </w:rPr>
            </w:pPr>
            <w:r w:rsidRPr="59521EFA" w:rsidR="00B471FA">
              <w:rPr>
                <w:rFonts w:ascii="Arial" w:hAnsi="Arial" w:eastAsia="Arial" w:cs="Arial"/>
                <w:sz w:val="16"/>
                <w:szCs w:val="16"/>
                <w:lang w:eastAsia="es-ES"/>
              </w:rPr>
              <w:t>Aprobó:</w:t>
            </w:r>
          </w:p>
        </w:tc>
        <w:tc>
          <w:tcPr>
            <w:tcW w:w="4291" w:type="dxa"/>
            <w:tcBorders>
              <w:top w:val="dotted" w:color="7F7F7F" w:themeColor="text1" w:themeTint="80" w:sz="4" w:space="0"/>
              <w:left w:val="nil"/>
              <w:bottom w:val="dotted" w:color="7F7F7F" w:themeColor="text1" w:themeTint="80" w:sz="4" w:space="0"/>
              <w:right w:val="nil"/>
            </w:tcBorders>
            <w:tcMar/>
            <w:vAlign w:val="center"/>
            <w:hideMark/>
          </w:tcPr>
          <w:p w:rsidRPr="00BC5BC5" w:rsidR="00B471FA" w:rsidP="59521EFA" w:rsidRDefault="00B471FA" w14:paraId="70DB7D18" w14:textId="77777777">
            <w:pPr>
              <w:rPr>
                <w:rFonts w:ascii="Arial" w:hAnsi="Arial" w:eastAsia="Arial" w:cs="Arial"/>
                <w:sz w:val="16"/>
                <w:szCs w:val="16"/>
                <w:lang w:eastAsia="es-ES"/>
              </w:rPr>
            </w:pPr>
            <w:r w:rsidRPr="59521EFA" w:rsidR="00B471FA">
              <w:rPr>
                <w:rFonts w:ascii="Arial" w:hAnsi="Arial" w:eastAsia="Arial" w:cs="Arial"/>
                <w:sz w:val="16"/>
                <w:szCs w:val="16"/>
                <w:lang w:eastAsia="es-ES"/>
              </w:rPr>
              <w:t>Nohelia</w:t>
            </w:r>
            <w:r w:rsidRPr="59521EFA" w:rsidR="00B471FA">
              <w:rPr>
                <w:rFonts w:ascii="Arial" w:hAnsi="Arial" w:eastAsia="Arial" w:cs="Arial"/>
                <w:sz w:val="16"/>
                <w:szCs w:val="16"/>
                <w:lang w:eastAsia="es-ES"/>
              </w:rPr>
              <w:t xml:space="preserve"> del Carmen </w:t>
            </w:r>
            <w:r w:rsidRPr="59521EFA" w:rsidR="00B471FA">
              <w:rPr>
                <w:rFonts w:ascii="Arial" w:hAnsi="Arial" w:eastAsia="Arial" w:cs="Arial"/>
                <w:sz w:val="16"/>
                <w:szCs w:val="16"/>
                <w:lang w:eastAsia="es-ES"/>
              </w:rPr>
              <w:t>Zawady</w:t>
            </w:r>
            <w:r w:rsidRPr="59521EFA" w:rsidR="00B471FA">
              <w:rPr>
                <w:rFonts w:ascii="Arial" w:hAnsi="Arial" w:eastAsia="Arial" w:cs="Arial"/>
                <w:sz w:val="16"/>
                <w:szCs w:val="16"/>
                <w:lang w:eastAsia="es-ES"/>
              </w:rPr>
              <w:t xml:space="preserve"> Palacio</w:t>
            </w:r>
          </w:p>
          <w:p w:rsidRPr="00BC5BC5" w:rsidR="00B471FA" w:rsidP="59521EFA" w:rsidRDefault="00B471FA" w14:paraId="2F5AE72C" w14:textId="77777777" w14:noSpellErr="1">
            <w:pPr>
              <w:rPr>
                <w:rFonts w:ascii="Arial" w:hAnsi="Arial" w:eastAsia="Arial" w:cs="Arial"/>
                <w:sz w:val="16"/>
                <w:szCs w:val="16"/>
                <w:lang w:eastAsia="es-ES"/>
              </w:rPr>
            </w:pPr>
            <w:r w:rsidRPr="59521EFA" w:rsidR="00B471FA">
              <w:rPr>
                <w:rFonts w:ascii="Arial" w:hAnsi="Arial" w:eastAsia="Arial" w:cs="Arial"/>
                <w:sz w:val="16"/>
                <w:szCs w:val="16"/>
                <w:lang w:eastAsia="es-ES"/>
              </w:rPr>
              <w:t>Subdirectora de Gestión Contractual ANCP – CCE</w:t>
            </w:r>
          </w:p>
        </w:tc>
        <w:bookmarkEnd w:id="30"/>
      </w:tr>
    </w:tbl>
    <w:p w:rsidRPr="00BC5BC5" w:rsidR="00B471FA" w:rsidP="59521EFA" w:rsidRDefault="00B471FA" w14:paraId="779C5FF1" w14:textId="77777777" w14:noSpellErr="1">
      <w:pPr>
        <w:rPr>
          <w:rFonts w:ascii="Arial" w:hAnsi="Arial" w:eastAsia="Arial" w:cs="Arial"/>
        </w:rPr>
      </w:pPr>
    </w:p>
    <w:bookmarkEnd w:id="0"/>
    <w:bookmarkEnd w:id="1"/>
    <w:bookmarkEnd w:id="2"/>
    <w:bookmarkEnd w:id="3"/>
    <w:bookmarkEnd w:id="4"/>
    <w:p w:rsidRPr="00BC5BC5" w:rsidR="00B471FA" w:rsidP="59521EFA" w:rsidRDefault="00B471FA" w14:paraId="4519A09A" w14:textId="77777777" w14:noSpellErr="1">
      <w:pPr>
        <w:rPr>
          <w:rFonts w:ascii="Arial" w:hAnsi="Arial" w:eastAsia="Arial" w:cs="Arial"/>
          <w:color w:val="000000" w:themeColor="text1"/>
        </w:rPr>
      </w:pPr>
    </w:p>
    <w:p w:rsidRPr="00B471FA" w:rsidR="00E804AA" w:rsidP="59521EFA" w:rsidRDefault="00E804AA" w14:paraId="62E00FB1" w14:textId="77777777" w14:noSpellErr="1">
      <w:pPr>
        <w:rPr>
          <w:rFonts w:ascii="Arial" w:hAnsi="Arial" w:eastAsia="Arial" w:cs="Arial"/>
        </w:rPr>
      </w:pPr>
    </w:p>
    <w:sectPr w:rsidRPr="00B471FA" w:rsidR="00E804AA" w:rsidSect="00923EEF">
      <w:headerReference w:type="default" r:id="rId11"/>
      <w:footerReference w:type="default" r:id="rId12"/>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E60" w:rsidP="00DD4F22" w:rsidRDefault="00614E60" w14:paraId="02DB7548" w14:textId="77777777">
      <w:r>
        <w:separator/>
      </w:r>
    </w:p>
  </w:endnote>
  <w:endnote w:type="continuationSeparator" w:id="0">
    <w:p w:rsidR="00614E60" w:rsidP="00DD4F22" w:rsidRDefault="00614E60" w14:paraId="7AE621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orbel"/>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A1847" w:rsidRDefault="001F4135" w14:paraId="39C541C1" w14:textId="77777777">
    <w:pPr>
      <w:pStyle w:val="Piedepgina"/>
    </w:pPr>
    <w:r>
      <w:rPr>
        <w:noProof/>
        <w:lang w:val="en-US"/>
      </w:rPr>
      <w:drawing>
        <wp:inline distT="0" distB="0" distL="0" distR="0" wp14:anchorId="5D6C3AF2" wp14:editId="1C1E4170">
          <wp:extent cx="5612130" cy="650240"/>
          <wp:effectExtent l="0" t="0" r="7620" b="0"/>
          <wp:docPr id="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lang w:val="en-US"/>
      </w:rPr>
      <w:drawing>
        <wp:anchor distT="0" distB="0" distL="114300" distR="114300" simplePos="0" relativeHeight="251662336" behindDoc="0" locked="0" layoutInCell="1" allowOverlap="1" wp14:anchorId="4FC13243" wp14:editId="41B2269B">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43CC8C72"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1F4135" w14:paraId="5F78577D" w14:textId="77777777">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1F4135" w14:paraId="26C1301A" w14:textId="77777777">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1F4135" w14:paraId="5C5F192E" w14:textId="77777777">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1F4135" w14:paraId="4755DB58" w14:textId="12515CBA">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00AC653C">
            <w:rPr>
              <w:rFonts w:ascii="Century Gothic" w:hAnsi="Century Gothic"/>
              <w:b/>
              <w:bCs/>
              <w:noProof/>
              <w:sz w:val="16"/>
              <w:szCs w:val="16"/>
            </w:rPr>
            <w:t>3</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00AC653C">
            <w:rPr>
              <w:rFonts w:ascii="Century Gothic" w:hAnsi="Century Gothic"/>
              <w:b/>
              <w:bCs/>
              <w:noProof/>
              <w:sz w:val="16"/>
              <w:szCs w:val="16"/>
            </w:rPr>
            <w:t>30</w:t>
          </w:r>
          <w:r w:rsidRPr="003F3941">
            <w:rPr>
              <w:rFonts w:ascii="Century Gothic" w:hAnsi="Century Gothic"/>
              <w:b/>
              <w:bCs/>
              <w:sz w:val="16"/>
              <w:szCs w:val="16"/>
            </w:rPr>
            <w:fldChar w:fldCharType="end"/>
          </w:r>
        </w:p>
      </w:tc>
    </w:tr>
  </w:tbl>
  <w:p w:rsidR="006219F8" w:rsidP="003E0499" w:rsidRDefault="00614E60" w14:paraId="1934C43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E60" w:rsidP="00DD4F22" w:rsidRDefault="00614E60" w14:paraId="0CA4AB03" w14:textId="77777777">
      <w:r>
        <w:separator/>
      </w:r>
    </w:p>
  </w:footnote>
  <w:footnote w:type="continuationSeparator" w:id="0">
    <w:p w:rsidR="00614E60" w:rsidP="00DD4F22" w:rsidRDefault="00614E60" w14:paraId="75A3CE07" w14:textId="77777777">
      <w:r>
        <w:continuationSeparator/>
      </w:r>
    </w:p>
  </w:footnote>
  <w:footnote w:id="1">
    <w:p w:rsidRPr="005064D0" w:rsidR="00B471FA" w:rsidP="00B471FA" w:rsidRDefault="00B471FA" w14:paraId="65984D88" w14:textId="77777777">
      <w:pPr>
        <w:pStyle w:val="Textonotapie"/>
        <w:ind w:firstLine="708"/>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La Agencia Nacional de Contratación Pública </w:t>
      </w:r>
      <w:r w:rsidRPr="005064D0">
        <w:rPr>
          <w:rFonts w:ascii="Arial" w:hAnsi="Arial" w:cs="Arial"/>
          <w:sz w:val="16"/>
          <w:szCs w:val="16"/>
        </w:rPr>
        <w:t>‒</w:t>
      </w:r>
      <w:r w:rsidRPr="005064D0">
        <w:rPr>
          <w:rFonts w:ascii="Century Gothic" w:hAnsi="Century Gothic" w:cs="Arial"/>
          <w:sz w:val="16"/>
          <w:szCs w:val="16"/>
        </w:rPr>
        <w:t xml:space="preserve"> Colombia Compra Eficiente fue creada por el Decreto Ley 4170 de 2011. Su objetivo es servir como ente rector de la pol</w:t>
      </w:r>
      <w:r w:rsidRPr="005064D0">
        <w:rPr>
          <w:rFonts w:ascii="Century Gothic" w:hAnsi="Century Gothic" w:cs="Century Gothic"/>
          <w:sz w:val="16"/>
          <w:szCs w:val="16"/>
        </w:rPr>
        <w:t>í</w:t>
      </w:r>
      <w:r w:rsidRPr="005064D0">
        <w:rPr>
          <w:rFonts w:ascii="Century Gothic" w:hAnsi="Century Gothic" w:cs="Arial"/>
          <w:sz w:val="16"/>
          <w:szCs w:val="16"/>
        </w:rPr>
        <w:t>tica de compras y contrataci</w:t>
      </w:r>
      <w:r w:rsidRPr="005064D0">
        <w:rPr>
          <w:rFonts w:ascii="Century Gothic" w:hAnsi="Century Gothic" w:cs="Century Gothic"/>
          <w:sz w:val="16"/>
          <w:szCs w:val="16"/>
        </w:rPr>
        <w:t>ó</w:t>
      </w:r>
      <w:r w:rsidRPr="005064D0">
        <w:rPr>
          <w:rFonts w:ascii="Century Gothic" w:hAnsi="Century Gothic" w:cs="Arial"/>
          <w:sz w:val="16"/>
          <w:szCs w:val="16"/>
        </w:rPr>
        <w:t xml:space="preserve">n del Estado. Para tales fines, como </w:t>
      </w:r>
      <w:r w:rsidRPr="005064D0">
        <w:rPr>
          <w:rFonts w:ascii="Century Gothic" w:hAnsi="Century Gothic" w:cs="Century Gothic"/>
          <w:sz w:val="16"/>
          <w:szCs w:val="16"/>
        </w:rPr>
        <w:t>ó</w:t>
      </w:r>
      <w:r w:rsidRPr="005064D0">
        <w:rPr>
          <w:rFonts w:ascii="Century Gothic" w:hAnsi="Century Gothic" w:cs="Arial"/>
          <w:sz w:val="16"/>
          <w:szCs w:val="16"/>
        </w:rPr>
        <w:t>rgano t</w:t>
      </w:r>
      <w:r w:rsidRPr="005064D0">
        <w:rPr>
          <w:rFonts w:ascii="Century Gothic" w:hAnsi="Century Gothic" w:cs="Century Gothic"/>
          <w:sz w:val="16"/>
          <w:szCs w:val="16"/>
        </w:rPr>
        <w:t>é</w:t>
      </w:r>
      <w:r w:rsidRPr="005064D0">
        <w:rPr>
          <w:rFonts w:ascii="Century Gothic" w:hAnsi="Century Gothic" w:cs="Arial"/>
          <w:sz w:val="16"/>
          <w:szCs w:val="16"/>
        </w:rPr>
        <w:t xml:space="preserve">cnico especializado, le corresponde formular políticas públicas y normas y unificar los procesos de contratación estatal, con el fin de lograr una mayor eficiencia, transparencia y optimización de los recursos del Estado. El artículo 3 </w:t>
      </w:r>
      <w:proofErr w:type="spellStart"/>
      <w:r w:rsidRPr="005064D0">
        <w:rPr>
          <w:rFonts w:ascii="Century Gothic" w:hAnsi="Century Gothic" w:cs="Arial"/>
          <w:i/>
          <w:iCs/>
          <w:sz w:val="16"/>
          <w:szCs w:val="16"/>
        </w:rPr>
        <w:t>ibidem</w:t>
      </w:r>
      <w:proofErr w:type="spellEnd"/>
      <w:r w:rsidRPr="005064D0">
        <w:rPr>
          <w:rFonts w:ascii="Century Gothic" w:hAnsi="Century Gothic" w:cs="Arial"/>
          <w:i/>
          <w:iCs/>
          <w:sz w:val="16"/>
          <w:szCs w:val="16"/>
        </w:rPr>
        <w:t xml:space="preserve"> </w:t>
      </w:r>
      <w:r w:rsidRPr="005064D0">
        <w:rPr>
          <w:rFonts w:ascii="Century Gothic" w:hAnsi="Century Gothic" w:cs="Arial"/>
          <w:sz w:val="16"/>
          <w:szCs w:val="16"/>
        </w:rPr>
        <w:t>señala, de manera precisa, las funciones de Colombia Compra Eficiente. Concretamente, el numeral 5º de este artículo establece que le corresponde a esta entidad: “[a]</w:t>
      </w:r>
      <w:proofErr w:type="spellStart"/>
      <w:r w:rsidRPr="005064D0">
        <w:rPr>
          <w:rFonts w:ascii="Century Gothic" w:hAnsi="Century Gothic" w:cs="Arial"/>
          <w:sz w:val="16"/>
          <w:szCs w:val="16"/>
        </w:rPr>
        <w:t>bsolver</w:t>
      </w:r>
      <w:proofErr w:type="spellEnd"/>
      <w:r w:rsidRPr="005064D0">
        <w:rPr>
          <w:rFonts w:ascii="Century Gothic" w:hAnsi="Century Gothic" w:cs="Arial"/>
          <w:sz w:val="16"/>
          <w:szCs w:val="16"/>
        </w:rPr>
        <w:t xml:space="preserve"> consultas sobre la aplicación de normas de carácter general y expedir circulares externas en materia de compras y contratación pública”. Seguidamente, el numeral 8º del artículo 11 </w:t>
      </w:r>
      <w:proofErr w:type="spellStart"/>
      <w:r w:rsidRPr="005064D0">
        <w:rPr>
          <w:rFonts w:ascii="Century Gothic" w:hAnsi="Century Gothic" w:cs="Arial"/>
          <w:sz w:val="16"/>
          <w:szCs w:val="16"/>
        </w:rPr>
        <w:t>ibidem</w:t>
      </w:r>
      <w:proofErr w:type="spellEnd"/>
      <w:r w:rsidRPr="005064D0">
        <w:rPr>
          <w:rFonts w:ascii="Century Gothic" w:hAnsi="Century Gothic" w:cs="Arial"/>
          <w:sz w:val="16"/>
          <w:szCs w:val="16"/>
        </w:rPr>
        <w:t xml:space="preserve"> señala que es función de la Subdirección de Gestión Contractual: “[a]</w:t>
      </w:r>
      <w:proofErr w:type="spellStart"/>
      <w:r w:rsidRPr="005064D0">
        <w:rPr>
          <w:rFonts w:ascii="Century Gothic" w:hAnsi="Century Gothic" w:cs="Arial"/>
          <w:sz w:val="16"/>
          <w:szCs w:val="16"/>
        </w:rPr>
        <w:t>bsolver</w:t>
      </w:r>
      <w:proofErr w:type="spellEnd"/>
      <w:r w:rsidRPr="005064D0">
        <w:rPr>
          <w:rFonts w:ascii="Century Gothic" w:hAnsi="Century Gothic" w:cs="Arial"/>
          <w:sz w:val="16"/>
          <w:szCs w:val="16"/>
        </w:rPr>
        <w:t xml:space="preserve"> consultas sobre la aplicación de normas de carácter general”.</w:t>
      </w:r>
    </w:p>
    <w:p w:rsidRPr="005064D0" w:rsidR="00B471FA" w:rsidP="00B471FA" w:rsidRDefault="00B471FA" w14:paraId="1EE34A20" w14:textId="77777777">
      <w:pPr>
        <w:pStyle w:val="Textonotapie"/>
        <w:ind w:firstLine="708"/>
        <w:jc w:val="both"/>
        <w:rPr>
          <w:rFonts w:ascii="Century Gothic" w:hAnsi="Century Gothic" w:cs="Arial"/>
          <w:sz w:val="16"/>
          <w:szCs w:val="16"/>
          <w:lang w:val="es-ES"/>
        </w:rPr>
      </w:pPr>
    </w:p>
  </w:footnote>
  <w:footnote w:id="2">
    <w:p w:rsidRPr="005064D0" w:rsidR="00B471FA" w:rsidP="00B471FA" w:rsidRDefault="00B471FA" w14:paraId="109F80CC" w14:textId="77777777">
      <w:pPr>
        <w:pStyle w:val="Textonotapie"/>
        <w:ind w:firstLine="708"/>
        <w:jc w:val="both"/>
        <w:rPr>
          <w:rFonts w:ascii="Century Gothic" w:hAnsi="Century Gothic" w:cs="Arial"/>
          <w:sz w:val="16"/>
          <w:szCs w:val="16"/>
          <w:lang w:val="es-CO"/>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Colombia Compra Eficiente, también se pronunció sobre la Ley 996 de 2005 en los Conceptos C-074 del 17 de marzo de 2021, C-075 del 16 de marzo de 2021, C-227 de 2021 del 5 de mayo de 2021, C-259 del 2 de junio de 2021, C-296 del 22 de junio de 2021,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y C-098 del 9 de marzo de 2022.</w:t>
      </w:r>
    </w:p>
  </w:footnote>
  <w:footnote w:id="3">
    <w:p w:rsidRPr="005064D0" w:rsidR="00B471FA" w:rsidP="00B471FA" w:rsidRDefault="00B471FA" w14:paraId="521CDD69" w14:textId="77777777">
      <w:pPr>
        <w:pStyle w:val="Textonotapie"/>
        <w:ind w:firstLine="709"/>
        <w:jc w:val="both"/>
        <w:rPr>
          <w:rFonts w:ascii="Century Gothic" w:hAnsi="Century Gothic" w:cs="Arial"/>
          <w:sz w:val="16"/>
          <w:szCs w:val="16"/>
        </w:rPr>
      </w:pPr>
    </w:p>
    <w:p w:rsidRPr="005064D0" w:rsidR="00B471FA" w:rsidP="00B471FA" w:rsidRDefault="00B471FA" w14:paraId="3866F40A" w14:textId="77777777">
      <w:pPr>
        <w:pStyle w:val="Textonotapie"/>
        <w:ind w:firstLine="709"/>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rsidRPr="005064D0" w:rsidR="00B471FA" w:rsidP="00B471FA" w:rsidRDefault="00B471FA" w14:paraId="60ACF6E0" w14:textId="77777777">
      <w:pPr>
        <w:pStyle w:val="Textonotapie"/>
        <w:ind w:firstLine="709"/>
        <w:jc w:val="both"/>
        <w:rPr>
          <w:rFonts w:ascii="Century Gothic" w:hAnsi="Century Gothic" w:cs="Arial"/>
          <w:sz w:val="16"/>
          <w:szCs w:val="16"/>
        </w:rPr>
      </w:pPr>
    </w:p>
    <w:p w:rsidRPr="005064D0" w:rsidR="00B471FA" w:rsidP="00B471FA" w:rsidRDefault="00B471FA" w14:paraId="6687E802" w14:textId="77777777">
      <w:pPr>
        <w:pStyle w:val="Textonotapie"/>
        <w:ind w:firstLine="709"/>
        <w:jc w:val="both"/>
        <w:rPr>
          <w:rFonts w:ascii="Century Gothic" w:hAnsi="Century Gothic" w:cs="Arial"/>
          <w:sz w:val="16"/>
          <w:szCs w:val="16"/>
        </w:rPr>
      </w:pPr>
      <w:r w:rsidRPr="005064D0">
        <w:rPr>
          <w:rFonts w:ascii="Century Gothic" w:hAnsi="Century Gothic" w:cs="Arial"/>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rsidRPr="005064D0" w:rsidR="00B471FA" w:rsidP="00B471FA" w:rsidRDefault="00B471FA" w14:paraId="06DC7F81" w14:textId="77777777">
      <w:pPr>
        <w:pStyle w:val="Textonotapie"/>
        <w:ind w:firstLine="709"/>
        <w:jc w:val="both"/>
        <w:rPr>
          <w:rFonts w:ascii="Century Gothic" w:hAnsi="Century Gothic" w:cs="Arial"/>
          <w:sz w:val="16"/>
          <w:szCs w:val="16"/>
        </w:rPr>
      </w:pPr>
    </w:p>
  </w:footnote>
  <w:footnote w:id="4">
    <w:p w:rsidRPr="005064D0" w:rsidR="00B471FA" w:rsidP="00B471FA" w:rsidRDefault="00B471FA" w14:paraId="5414251E" w14:textId="77777777">
      <w:pPr>
        <w:pStyle w:val="Textonotapie"/>
        <w:ind w:firstLine="709"/>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Gaceta del Congreso de la República No. 71 del 2005.</w:t>
      </w:r>
    </w:p>
    <w:p w:rsidRPr="005064D0" w:rsidR="00B471FA" w:rsidP="00B471FA" w:rsidRDefault="00B471FA" w14:paraId="23E0E503" w14:textId="77777777">
      <w:pPr>
        <w:pStyle w:val="Textonotapie"/>
        <w:ind w:firstLine="709"/>
        <w:jc w:val="both"/>
        <w:rPr>
          <w:rFonts w:ascii="Century Gothic" w:hAnsi="Century Gothic" w:cs="Arial"/>
          <w:sz w:val="16"/>
          <w:szCs w:val="16"/>
        </w:rPr>
      </w:pPr>
    </w:p>
  </w:footnote>
  <w:footnote w:id="5">
    <w:p w:rsidRPr="005064D0" w:rsidR="00B471FA" w:rsidP="00B471FA" w:rsidRDefault="00B471FA" w14:paraId="05BE7A43" w14:textId="77777777">
      <w:pPr>
        <w:pStyle w:val="Textonotapie"/>
        <w:ind w:firstLine="709"/>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Corte Constitucional, Sentencia C- 1153 de 2005, M.P. Marco Gerardo Monroy Cabra.</w:t>
      </w:r>
    </w:p>
    <w:p w:rsidRPr="005064D0" w:rsidR="00B471FA" w:rsidP="00B471FA" w:rsidRDefault="00B471FA" w14:paraId="77650B77" w14:textId="77777777">
      <w:pPr>
        <w:pStyle w:val="Textonotapie"/>
        <w:ind w:firstLine="709"/>
        <w:jc w:val="both"/>
        <w:rPr>
          <w:rFonts w:ascii="Century Gothic" w:hAnsi="Century Gothic" w:cs="Arial"/>
          <w:sz w:val="16"/>
          <w:szCs w:val="16"/>
        </w:rPr>
      </w:pPr>
    </w:p>
  </w:footnote>
  <w:footnote w:id="6">
    <w:p w:rsidRPr="005064D0" w:rsidR="00B471FA" w:rsidP="00B471FA" w:rsidRDefault="00B471FA" w14:paraId="7A75DE18" w14:textId="77777777">
      <w:pPr>
        <w:pStyle w:val="Textonotapie"/>
        <w:ind w:firstLine="709"/>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rsidRPr="005064D0" w:rsidR="00B471FA" w:rsidP="00B471FA" w:rsidRDefault="00B471FA" w14:paraId="16D64751" w14:textId="77777777">
      <w:pPr>
        <w:pStyle w:val="Textonotapie"/>
        <w:ind w:firstLine="709"/>
        <w:jc w:val="both"/>
        <w:rPr>
          <w:rFonts w:ascii="Century Gothic" w:hAnsi="Century Gothic" w:cs="Arial"/>
          <w:sz w:val="16"/>
          <w:szCs w:val="16"/>
        </w:rPr>
      </w:pPr>
    </w:p>
  </w:footnote>
  <w:footnote w:id="7">
    <w:p w:rsidRPr="005064D0" w:rsidR="00B471FA" w:rsidP="00B471FA" w:rsidRDefault="00B471FA" w14:paraId="357AA6FF" w14:textId="77777777">
      <w:pPr>
        <w:pStyle w:val="Textonotapie"/>
        <w:ind w:firstLine="709"/>
        <w:jc w:val="both"/>
        <w:rPr>
          <w:rFonts w:ascii="Century Gothic" w:hAnsi="Century Gothic" w:cs="Arial"/>
          <w:sz w:val="16"/>
          <w:szCs w:val="16"/>
          <w:lang w:val="es-CO"/>
        </w:rPr>
      </w:pPr>
      <w:r w:rsidRPr="005064D0">
        <w:rPr>
          <w:rStyle w:val="Refdenotaalpie"/>
          <w:rFonts w:ascii="Century Gothic" w:hAnsi="Century Gothic" w:cs="Arial"/>
          <w:sz w:val="16"/>
          <w:szCs w:val="16"/>
        </w:rPr>
        <w:footnoteRef/>
      </w:r>
      <w:r w:rsidRPr="005064D0">
        <w:rPr>
          <w:rFonts w:ascii="Century Gothic" w:hAnsi="Century Gothic"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rsidRPr="005064D0" w:rsidR="00B471FA" w:rsidP="00B471FA" w:rsidRDefault="00B471FA" w14:paraId="3D6563CC" w14:textId="77777777">
      <w:pPr>
        <w:pStyle w:val="Textonotapie"/>
        <w:ind w:firstLine="709"/>
        <w:jc w:val="both"/>
        <w:rPr>
          <w:rFonts w:ascii="Century Gothic" w:hAnsi="Century Gothic" w:cs="Arial"/>
          <w:sz w:val="16"/>
          <w:szCs w:val="16"/>
          <w:lang w:val="es-CO"/>
        </w:rPr>
      </w:pPr>
    </w:p>
  </w:footnote>
  <w:footnote w:id="8">
    <w:p w:rsidRPr="005064D0" w:rsidR="00B471FA" w:rsidP="00B471FA" w:rsidRDefault="00B471FA" w14:paraId="75B256CF" w14:textId="77777777">
      <w:pPr>
        <w:pStyle w:val="Textonotapie"/>
        <w:ind w:firstLine="709"/>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Consejo de Estado, Sala de Consulta y Servicio Civil de fecha 24 de julio de 2013, radicado 2166, Consejero Ponente: Álvaro </w:t>
      </w:r>
      <w:proofErr w:type="spellStart"/>
      <w:r w:rsidRPr="005064D0">
        <w:rPr>
          <w:rFonts w:ascii="Century Gothic" w:hAnsi="Century Gothic" w:cs="Arial"/>
          <w:sz w:val="16"/>
          <w:szCs w:val="16"/>
        </w:rPr>
        <w:t>Namén</w:t>
      </w:r>
      <w:proofErr w:type="spellEnd"/>
      <w:r w:rsidRPr="005064D0">
        <w:rPr>
          <w:rFonts w:ascii="Century Gothic" w:hAnsi="Century Gothic" w:cs="Arial"/>
          <w:sz w:val="16"/>
          <w:szCs w:val="16"/>
        </w:rPr>
        <w:t xml:space="preserve"> Vargas. </w:t>
      </w:r>
    </w:p>
    <w:p w:rsidRPr="005064D0" w:rsidR="00B471FA" w:rsidP="00B471FA" w:rsidRDefault="00B471FA" w14:paraId="55B92AE6" w14:textId="77777777">
      <w:pPr>
        <w:pStyle w:val="Textonotapie"/>
        <w:ind w:firstLine="709"/>
        <w:jc w:val="both"/>
        <w:rPr>
          <w:rFonts w:ascii="Century Gothic" w:hAnsi="Century Gothic" w:cs="Arial"/>
          <w:sz w:val="16"/>
          <w:szCs w:val="16"/>
        </w:rPr>
      </w:pPr>
      <w:r w:rsidRPr="005064D0">
        <w:rPr>
          <w:rFonts w:ascii="Century Gothic" w:hAnsi="Century Gothic" w:cs="Arial"/>
          <w:sz w:val="16"/>
          <w:szCs w:val="16"/>
        </w:rPr>
        <w:t xml:space="preserve"> </w:t>
      </w:r>
    </w:p>
  </w:footnote>
  <w:footnote w:id="9">
    <w:p w:rsidRPr="005064D0" w:rsidR="00B471FA" w:rsidP="00B471FA" w:rsidRDefault="00B471FA" w14:paraId="3BAFA261" w14:textId="77777777">
      <w:pPr>
        <w:ind w:firstLine="709"/>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w:t>
      </w:r>
      <w:r w:rsidRPr="005064D0">
        <w:rPr>
          <w:rFonts w:ascii="Century Gothic" w:hAnsi="Century Gothic" w:eastAsia="Calibri" w:cs="Arial"/>
          <w:color w:val="000000"/>
          <w:sz w:val="16"/>
          <w:szCs w:val="16"/>
        </w:rPr>
        <w:t>“</w:t>
      </w:r>
      <w:bookmarkStart w:name="33" w:id="14"/>
      <w:r w:rsidRPr="005064D0">
        <w:rPr>
          <w:rFonts w:ascii="Century Gothic" w:hAnsi="Century Gothic" w:cs="Arial"/>
          <w:sz w:val="16"/>
          <w:szCs w:val="16"/>
        </w:rPr>
        <w:t>Artículo 33. Restricciones a la contratación pública.</w:t>
      </w:r>
      <w:bookmarkEnd w:id="14"/>
      <w:r w:rsidRPr="005064D0">
        <w:rPr>
          <w:rFonts w:ascii="Century Gothic" w:hAnsi="Century Gothic" w:cs="Arial"/>
          <w:sz w:val="16"/>
          <w:szCs w:val="16"/>
        </w:rPr>
        <w:t> Durante los cuatro (4) meses anteriores a la elección presidencial y hasta la realización de la elección en la segunda vuelta, si fuere el caso, queda prohibida la contratación directa por parte de todos los entes del Estado.</w:t>
      </w:r>
    </w:p>
    <w:p w:rsidRPr="005064D0" w:rsidR="00B471FA" w:rsidP="00B471FA" w:rsidRDefault="00B471FA" w14:paraId="5BF5417F" w14:textId="77777777">
      <w:pPr>
        <w:ind w:firstLine="709"/>
        <w:contextualSpacing/>
        <w:jc w:val="both"/>
        <w:rPr>
          <w:rFonts w:ascii="Century Gothic" w:hAnsi="Century Gothic" w:cs="Arial"/>
          <w:sz w:val="16"/>
          <w:szCs w:val="16"/>
        </w:rPr>
      </w:pPr>
      <w:r w:rsidRPr="005064D0">
        <w:rPr>
          <w:rFonts w:ascii="Century Gothic" w:hAnsi="Century Gothic" w:cs="Arial"/>
          <w:sz w:val="16"/>
          <w:szCs w:val="16"/>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w:t>
      </w:r>
    </w:p>
  </w:footnote>
  <w:footnote w:id="10">
    <w:p w:rsidRPr="005064D0" w:rsidR="00B471FA" w:rsidP="00B471FA" w:rsidRDefault="00B471FA" w14:paraId="6ADE924E" w14:textId="77777777">
      <w:pPr>
        <w:pStyle w:val="NormalWeb"/>
        <w:spacing w:after="0"/>
        <w:ind w:firstLine="709"/>
        <w:contextualSpacing/>
        <w:rPr>
          <w:rFonts w:ascii="Century Gothic" w:hAnsi="Century Gothic" w:cs="Arial"/>
          <w:sz w:val="16"/>
          <w:szCs w:val="16"/>
        </w:rPr>
      </w:pPr>
    </w:p>
    <w:p w:rsidRPr="005064D0" w:rsidR="00B471FA" w:rsidP="00B471FA" w:rsidRDefault="00B471FA" w14:paraId="779FAD1F" w14:textId="77777777">
      <w:pPr>
        <w:pStyle w:val="NormalWeb"/>
        <w:spacing w:after="0"/>
        <w:ind w:firstLine="709"/>
        <w:contextualSpacing/>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w:t>
      </w:r>
      <w:r w:rsidRPr="005064D0">
        <w:rPr>
          <w:rFonts w:ascii="Century Gothic" w:hAnsi="Century Gothic" w:eastAsia="Calibri" w:cs="Arial"/>
          <w:color w:val="000000"/>
          <w:sz w:val="16"/>
          <w:szCs w:val="16"/>
        </w:rPr>
        <w:t>“</w:t>
      </w:r>
      <w:bookmarkStart w:name="38" w:id="15"/>
      <w:r w:rsidRPr="005064D0">
        <w:rPr>
          <w:rFonts w:ascii="Century Gothic" w:hAnsi="Century Gothic" w:cs="Arial"/>
          <w:sz w:val="16"/>
          <w:szCs w:val="16"/>
        </w:rPr>
        <w:t>Artículo 38. Prohibiciones para los servidores públicos. A los empleados del Estado les está prohibido:</w:t>
      </w:r>
      <w:bookmarkEnd w:id="15"/>
    </w:p>
    <w:p w:rsidRPr="005064D0" w:rsidR="00B471FA" w:rsidP="00B471FA" w:rsidRDefault="00B471FA" w14:paraId="43C188F4" w14:textId="77777777">
      <w:pPr>
        <w:pStyle w:val="NormalWeb"/>
        <w:spacing w:after="0"/>
        <w:ind w:firstLine="709"/>
        <w:contextualSpacing/>
        <w:rPr>
          <w:rFonts w:ascii="Century Gothic" w:hAnsi="Century Gothic" w:cs="Arial"/>
          <w:sz w:val="16"/>
          <w:szCs w:val="16"/>
        </w:rPr>
      </w:pPr>
      <w:r w:rsidRPr="005064D0">
        <w:rPr>
          <w:rFonts w:ascii="Century Gothic" w:hAnsi="Century Gothic" w:cs="Arial"/>
          <w:sz w:val="16"/>
          <w:szCs w:val="16"/>
        </w:rPr>
        <w:t>[…]</w:t>
      </w:r>
    </w:p>
    <w:p w:rsidRPr="005064D0" w:rsidR="00B471FA" w:rsidP="00B471FA" w:rsidRDefault="00B471FA" w14:paraId="72AFDADE" w14:textId="77777777">
      <w:pPr>
        <w:pStyle w:val="NormalWeb"/>
        <w:spacing w:after="0"/>
        <w:ind w:firstLine="709"/>
        <w:contextualSpacing/>
        <w:rPr>
          <w:rFonts w:ascii="Century Gothic" w:hAnsi="Century Gothic" w:eastAsia="Calibri" w:cs="Arial"/>
          <w:color w:val="000000"/>
          <w:sz w:val="16"/>
          <w:szCs w:val="16"/>
        </w:rPr>
      </w:pPr>
      <w:r w:rsidRPr="005064D0">
        <w:rPr>
          <w:rStyle w:val="baj"/>
          <w:rFonts w:ascii="Century Gothic" w:hAnsi="Century Gothic" w:cs="Arial"/>
          <w:sz w:val="16"/>
          <w:szCs w:val="16"/>
        </w:rPr>
        <w:t>Parágrafo.</w:t>
      </w:r>
      <w:r w:rsidRPr="005064D0">
        <w:rPr>
          <w:rFonts w:ascii="Century Gothic" w:hAnsi="Century Gothic" w:cs="Arial"/>
          <w:sz w:val="16"/>
          <w:szCs w:val="16"/>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064D0">
        <w:rPr>
          <w:rFonts w:ascii="Century Gothic" w:hAnsi="Century Gothic" w:eastAsia="Calibri" w:cs="Arial"/>
          <w:color w:val="000000"/>
          <w:sz w:val="16"/>
          <w:szCs w:val="16"/>
        </w:rPr>
        <w:t>”.</w:t>
      </w:r>
    </w:p>
    <w:p w:rsidRPr="005064D0" w:rsidR="00B471FA" w:rsidP="00B471FA" w:rsidRDefault="00B471FA" w14:paraId="5F6C7BDF" w14:textId="77777777">
      <w:pPr>
        <w:pStyle w:val="NormalWeb"/>
        <w:spacing w:after="0"/>
        <w:ind w:firstLine="709"/>
        <w:contextualSpacing/>
        <w:rPr>
          <w:rFonts w:ascii="Century Gothic" w:hAnsi="Century Gothic" w:cs="Arial"/>
          <w:sz w:val="16"/>
          <w:szCs w:val="16"/>
        </w:rPr>
      </w:pPr>
    </w:p>
  </w:footnote>
  <w:footnote w:id="11">
    <w:p w:rsidRPr="005064D0" w:rsidR="00B471FA" w:rsidP="00B471FA" w:rsidRDefault="00B471FA" w14:paraId="5FD8F25A" w14:textId="77777777">
      <w:pPr>
        <w:ind w:left="100" w:right="244" w:firstLine="709"/>
        <w:contextualSpacing/>
        <w:jc w:val="both"/>
        <w:rPr>
          <w:rFonts w:ascii="Century Gothic" w:hAnsi="Century Gothic" w:cs="Arial"/>
          <w:sz w:val="16"/>
          <w:szCs w:val="16"/>
          <w:lang w:val="es-ES"/>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Consejo de Estado. Sala de Consulta y Servicio Civil. Concepto del 17 de febrero de 2015. C.P. William Zambrano Cetina. Radicación No. 11001-03-06-000-2015-00164-00(2269).</w:t>
      </w:r>
    </w:p>
  </w:footnote>
  <w:footnote w:id="12">
    <w:p w:rsidRPr="005064D0" w:rsidR="00B471FA" w:rsidP="00B471FA" w:rsidRDefault="00B471FA" w14:paraId="20D64675" w14:textId="77777777">
      <w:pPr>
        <w:pStyle w:val="Textonotapie"/>
        <w:ind w:right="51" w:firstLine="709"/>
        <w:contextualSpacing/>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w:t>
      </w:r>
      <w:r w:rsidRPr="005064D0">
        <w:rPr>
          <w:rFonts w:ascii="Century Gothic" w:hAnsi="Century Gothic" w:cs="Arial"/>
          <w:sz w:val="16"/>
          <w:szCs w:val="16"/>
          <w:lang w:val="es-ES"/>
        </w:rPr>
        <w:t xml:space="preserve"> </w:t>
      </w:r>
      <w:r w:rsidRPr="005064D0">
        <w:rPr>
          <w:rFonts w:ascii="Century Gothic" w:hAnsi="Century Gothic" w:cs="Arial"/>
          <w:sz w:val="16"/>
          <w:szCs w:val="16"/>
        </w:rPr>
        <w:t>Cfr. Consejo de Estado. Sección Tercera. Sentencia de 3 de diciembre de 2007. Radicados: 24.715, 25.206, 25.409, 24.524, 27.834, 25.410, 26.105, 28.244, 31.447 -acumulados-.</w:t>
      </w:r>
    </w:p>
  </w:footnote>
  <w:footnote w:id="13">
    <w:p w:rsidRPr="005064D0" w:rsidR="00B471FA" w:rsidP="00B471FA" w:rsidRDefault="00B471FA" w14:paraId="5759AF39" w14:textId="77777777">
      <w:pPr>
        <w:pStyle w:val="Textonotapie"/>
        <w:ind w:right="51" w:firstLine="709"/>
        <w:contextualSpacing/>
        <w:jc w:val="both"/>
        <w:rPr>
          <w:rFonts w:ascii="Century Gothic" w:hAnsi="Century Gothic" w:cs="Arial"/>
          <w:sz w:val="16"/>
          <w:szCs w:val="16"/>
        </w:rPr>
      </w:pPr>
    </w:p>
    <w:p w:rsidRPr="005064D0" w:rsidR="00B471FA" w:rsidP="00B471FA" w:rsidRDefault="00B471FA" w14:paraId="26A40ACE" w14:textId="77777777">
      <w:pPr>
        <w:pStyle w:val="Textonotapie"/>
        <w:ind w:right="51" w:firstLine="709"/>
        <w:contextualSpacing/>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Al respecto ver el concepto 1712 de 2 de febrero de 2006. Consejo de Estado Sala de Consulta y Servicio Civil.</w:t>
      </w:r>
    </w:p>
    <w:p w:rsidRPr="005064D0" w:rsidR="00B471FA" w:rsidP="00B471FA" w:rsidRDefault="00B471FA" w14:paraId="7E3F464A" w14:textId="77777777">
      <w:pPr>
        <w:pStyle w:val="Textonotapie"/>
        <w:ind w:right="51" w:firstLine="709"/>
        <w:contextualSpacing/>
        <w:jc w:val="both"/>
        <w:rPr>
          <w:rFonts w:ascii="Century Gothic" w:hAnsi="Century Gothic" w:cs="Arial"/>
          <w:sz w:val="16"/>
          <w:szCs w:val="16"/>
        </w:rPr>
      </w:pPr>
    </w:p>
  </w:footnote>
  <w:footnote w:id="14">
    <w:p w:rsidRPr="005064D0" w:rsidR="00B471FA" w:rsidP="00B471FA" w:rsidRDefault="00B471FA" w14:paraId="5C7893B2" w14:textId="77777777">
      <w:pPr>
        <w:pStyle w:val="Textonotapie"/>
        <w:ind w:firstLine="709"/>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Consejo de Estado. Sala de Consulta y Servicio Civil. Concepto del 2 de septiembre de 2013. Radicación número: 11001-03-06-000-2013-00412-00 (2168). Consejero Ponente: Álvaro </w:t>
      </w:r>
      <w:proofErr w:type="spellStart"/>
      <w:r w:rsidRPr="005064D0">
        <w:rPr>
          <w:rFonts w:ascii="Century Gothic" w:hAnsi="Century Gothic" w:cs="Arial"/>
          <w:sz w:val="16"/>
          <w:szCs w:val="16"/>
        </w:rPr>
        <w:t>Namén</w:t>
      </w:r>
      <w:proofErr w:type="spellEnd"/>
      <w:r w:rsidRPr="005064D0">
        <w:rPr>
          <w:rFonts w:ascii="Century Gothic" w:hAnsi="Century Gothic" w:cs="Arial"/>
          <w:sz w:val="16"/>
          <w:szCs w:val="16"/>
        </w:rPr>
        <w:t xml:space="preserve"> Vargas.</w:t>
      </w:r>
    </w:p>
  </w:footnote>
  <w:footnote w:id="15">
    <w:p w:rsidRPr="005064D0" w:rsidR="00B471FA" w:rsidP="00B471FA" w:rsidRDefault="00B471FA" w14:paraId="18C6F599" w14:textId="77777777">
      <w:pPr>
        <w:pStyle w:val="Textonotapie"/>
        <w:ind w:firstLine="709"/>
        <w:jc w:val="both"/>
        <w:rPr>
          <w:rFonts w:ascii="Century Gothic" w:hAnsi="Century Gothic" w:cs="Arial"/>
          <w:sz w:val="16"/>
          <w:szCs w:val="16"/>
          <w:lang w:val="es-ES"/>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w:t>
      </w:r>
      <w:r w:rsidRPr="005064D0">
        <w:rPr>
          <w:rFonts w:ascii="Century Gothic" w:hAnsi="Century Gothic" w:cs="Arial"/>
          <w:sz w:val="16"/>
          <w:szCs w:val="16"/>
          <w:lang w:val="es-ES"/>
        </w:rPr>
        <w:t>Artículo 2.</w:t>
      </w:r>
    </w:p>
    <w:p w:rsidRPr="005064D0" w:rsidR="00B471FA" w:rsidP="00B471FA" w:rsidRDefault="00B471FA" w14:paraId="23C8B192" w14:textId="77777777">
      <w:pPr>
        <w:pStyle w:val="Textonotapie"/>
        <w:ind w:firstLine="709"/>
        <w:jc w:val="both"/>
        <w:rPr>
          <w:rFonts w:ascii="Century Gothic" w:hAnsi="Century Gothic" w:cs="Arial"/>
          <w:sz w:val="16"/>
          <w:szCs w:val="16"/>
          <w:lang w:val="es-ES"/>
        </w:rPr>
      </w:pPr>
      <w:r w:rsidRPr="005064D0">
        <w:rPr>
          <w:rFonts w:ascii="Century Gothic" w:hAnsi="Century Gothic" w:cs="Arial"/>
          <w:sz w:val="16"/>
          <w:szCs w:val="16"/>
          <w:lang w:val="es-ES"/>
        </w:rPr>
        <w:t xml:space="preserve"> </w:t>
      </w:r>
    </w:p>
  </w:footnote>
  <w:footnote w:id="16">
    <w:p w:rsidRPr="005064D0" w:rsidR="00B471FA" w:rsidP="00B471FA" w:rsidRDefault="00B471FA" w14:paraId="6550F059" w14:textId="77777777">
      <w:pPr>
        <w:pStyle w:val="Textonotapie"/>
        <w:ind w:firstLine="709"/>
        <w:jc w:val="both"/>
        <w:rPr>
          <w:rFonts w:ascii="Century Gothic" w:hAnsi="Century Gothic" w:cs="Arial"/>
          <w:sz w:val="16"/>
          <w:szCs w:val="16"/>
          <w:lang w:val="es-ES"/>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w:t>
      </w:r>
      <w:r w:rsidRPr="005064D0">
        <w:rPr>
          <w:rFonts w:ascii="Century Gothic" w:hAnsi="Century Gothic" w:cs="Arial"/>
          <w:i/>
          <w:sz w:val="16"/>
          <w:szCs w:val="16"/>
          <w:lang w:val="es-ES"/>
        </w:rPr>
        <w:t>Ídem</w:t>
      </w:r>
      <w:r w:rsidRPr="005064D0">
        <w:rPr>
          <w:rFonts w:ascii="Century Gothic" w:hAnsi="Century Gothic" w:cs="Arial"/>
          <w:sz w:val="16"/>
          <w:szCs w:val="16"/>
          <w:lang w:val="es-ES"/>
        </w:rPr>
        <w:t>.</w:t>
      </w:r>
    </w:p>
    <w:p w:rsidRPr="005064D0" w:rsidR="00B471FA" w:rsidP="00B471FA" w:rsidRDefault="00B471FA" w14:paraId="6D217D04" w14:textId="77777777">
      <w:pPr>
        <w:pStyle w:val="Textonotapie"/>
        <w:ind w:firstLine="709"/>
        <w:jc w:val="both"/>
        <w:rPr>
          <w:rFonts w:ascii="Century Gothic" w:hAnsi="Century Gothic" w:cs="Arial"/>
          <w:sz w:val="16"/>
          <w:szCs w:val="16"/>
          <w:lang w:val="es-ES"/>
        </w:rPr>
      </w:pPr>
    </w:p>
  </w:footnote>
  <w:footnote w:id="17">
    <w:p w:rsidRPr="005064D0" w:rsidR="00B471FA" w:rsidP="00B471FA" w:rsidRDefault="00B471FA" w14:paraId="38C5F7DE" w14:textId="77777777">
      <w:pPr>
        <w:pStyle w:val="Textonotapie"/>
        <w:ind w:firstLine="709"/>
        <w:jc w:val="both"/>
        <w:rPr>
          <w:rFonts w:ascii="Century Gothic" w:hAnsi="Century Gothic" w:cs="Arial"/>
          <w:sz w:val="16"/>
          <w:szCs w:val="16"/>
          <w:lang w:val="es-ES"/>
        </w:rPr>
      </w:pPr>
      <w:r w:rsidRPr="005064D0">
        <w:rPr>
          <w:rStyle w:val="Refdenotaalpie"/>
          <w:rFonts w:ascii="Century Gothic" w:hAnsi="Century Gothic" w:cs="Arial"/>
          <w:sz w:val="16"/>
          <w:szCs w:val="16"/>
        </w:rPr>
        <w:footnoteRef/>
      </w:r>
      <w:r w:rsidRPr="005064D0">
        <w:rPr>
          <w:rStyle w:val="Refdenotaalpie"/>
          <w:rFonts w:ascii="Century Gothic" w:hAnsi="Century Gothic" w:cs="Arial"/>
          <w:sz w:val="16"/>
          <w:szCs w:val="16"/>
        </w:rPr>
        <w:t xml:space="preserve"> </w:t>
      </w:r>
      <w:r w:rsidRPr="005064D0">
        <w:rPr>
          <w:rFonts w:ascii="Century Gothic" w:hAnsi="Century Gothic" w:cs="Arial"/>
          <w:sz w:val="16"/>
          <w:szCs w:val="16"/>
          <w:lang w:val="es-ES"/>
        </w:rPr>
        <w:t>“[…] A este respecto, cabe recordar que el artículo 860 del Código de Comercio regula la licitación en el derecho privado”.</w:t>
      </w:r>
    </w:p>
    <w:p w:rsidRPr="005064D0" w:rsidR="00B471FA" w:rsidP="00B471FA" w:rsidRDefault="00B471FA" w14:paraId="1DC2CB67" w14:textId="77777777">
      <w:pPr>
        <w:pStyle w:val="Textonotapie"/>
        <w:ind w:firstLine="709"/>
        <w:jc w:val="both"/>
        <w:rPr>
          <w:rFonts w:ascii="Century Gothic" w:hAnsi="Century Gothic" w:cs="Arial"/>
          <w:sz w:val="16"/>
          <w:szCs w:val="16"/>
          <w:lang w:val="es-ES"/>
        </w:rPr>
      </w:pPr>
      <w:r w:rsidRPr="005064D0">
        <w:rPr>
          <w:rFonts w:ascii="Century Gothic" w:hAnsi="Century Gothic" w:cs="Arial"/>
          <w:sz w:val="16"/>
          <w:szCs w:val="16"/>
          <w:lang w:val="es-ES"/>
        </w:rPr>
        <w:t xml:space="preserve"> </w:t>
      </w:r>
    </w:p>
  </w:footnote>
  <w:footnote w:id="18">
    <w:p w:rsidRPr="005064D0" w:rsidR="00B471FA" w:rsidP="00B471FA" w:rsidRDefault="00B471FA" w14:paraId="5501FA65" w14:textId="77777777">
      <w:pPr>
        <w:shd w:val="clear" w:color="auto" w:fill="FFFFFF"/>
        <w:ind w:firstLine="709"/>
        <w:jc w:val="both"/>
        <w:rPr>
          <w:rFonts w:ascii="Century Gothic" w:hAnsi="Century Gothic" w:cs="Arial"/>
          <w:sz w:val="16"/>
          <w:szCs w:val="16"/>
          <w:lang w:val="es-ES"/>
        </w:rPr>
      </w:pPr>
      <w:r w:rsidRPr="005064D0">
        <w:rPr>
          <w:rStyle w:val="Refdenotaalpie"/>
          <w:rFonts w:ascii="Century Gothic" w:hAnsi="Century Gothic" w:cs="Arial"/>
          <w:sz w:val="16"/>
          <w:szCs w:val="16"/>
        </w:rPr>
        <w:footnoteRef/>
      </w:r>
      <w:r w:rsidRPr="005064D0">
        <w:rPr>
          <w:rStyle w:val="Refdenotaalpie"/>
          <w:rFonts w:ascii="Century Gothic" w:hAnsi="Century Gothic" w:cs="Arial"/>
          <w:sz w:val="16"/>
          <w:szCs w:val="16"/>
        </w:rPr>
        <w:t xml:space="preserve"> </w:t>
      </w:r>
      <w:r w:rsidRPr="005064D0">
        <w:rPr>
          <w:rFonts w:ascii="Century Gothic" w:hAnsi="Century Gothic" w:cs="Arial"/>
          <w:sz w:val="16"/>
          <w:szCs w:val="16"/>
          <w:lang w:val="es-ES"/>
        </w:rPr>
        <w:t xml:space="preserve">Consejo de Estado. Sala de Consulta y Servicio Civil, Concepto de 8 de mayo de 2018. Radicación Número: 11001-03-06-000-2018-00095-00(2382). Consejero Ponente: Álvaro </w:t>
      </w:r>
      <w:proofErr w:type="spellStart"/>
      <w:r w:rsidRPr="005064D0">
        <w:rPr>
          <w:rFonts w:ascii="Century Gothic" w:hAnsi="Century Gothic" w:cs="Arial"/>
          <w:sz w:val="16"/>
          <w:szCs w:val="16"/>
          <w:lang w:val="es-ES"/>
        </w:rPr>
        <w:t>Namén</w:t>
      </w:r>
      <w:proofErr w:type="spellEnd"/>
      <w:r w:rsidRPr="005064D0">
        <w:rPr>
          <w:rFonts w:ascii="Century Gothic" w:hAnsi="Century Gothic" w:cs="Arial"/>
          <w:sz w:val="16"/>
          <w:szCs w:val="16"/>
          <w:lang w:val="es-ES"/>
        </w:rPr>
        <w:t xml:space="preserve"> Vargas.</w:t>
      </w:r>
    </w:p>
  </w:footnote>
  <w:footnote w:id="19">
    <w:p w:rsidRPr="005064D0" w:rsidR="00B471FA" w:rsidP="00B471FA" w:rsidRDefault="00B471FA" w14:paraId="47EFD593" w14:textId="77777777">
      <w:pPr>
        <w:pStyle w:val="Textonotapie"/>
        <w:ind w:firstLine="709"/>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Consejo de Estado. Sala de Consulta y Servicio Civil. Concepto del 08 de mayo de 2018. </w:t>
      </w:r>
      <w:proofErr w:type="spellStart"/>
      <w:r w:rsidRPr="005064D0">
        <w:rPr>
          <w:rFonts w:ascii="Century Gothic" w:hAnsi="Century Gothic" w:cs="Arial"/>
          <w:sz w:val="16"/>
          <w:szCs w:val="16"/>
        </w:rPr>
        <w:t>Exp</w:t>
      </w:r>
      <w:proofErr w:type="spellEnd"/>
      <w:r w:rsidRPr="005064D0">
        <w:rPr>
          <w:rFonts w:ascii="Century Gothic" w:hAnsi="Century Gothic" w:cs="Arial"/>
          <w:sz w:val="16"/>
          <w:szCs w:val="16"/>
        </w:rPr>
        <w:t xml:space="preserve">. 2.382. C.P. Álvaro </w:t>
      </w:r>
      <w:proofErr w:type="spellStart"/>
      <w:r w:rsidRPr="005064D0">
        <w:rPr>
          <w:rFonts w:ascii="Century Gothic" w:hAnsi="Century Gothic" w:cs="Arial"/>
          <w:sz w:val="16"/>
          <w:szCs w:val="16"/>
        </w:rPr>
        <w:t>Namén</w:t>
      </w:r>
      <w:proofErr w:type="spellEnd"/>
      <w:r w:rsidRPr="005064D0">
        <w:rPr>
          <w:rFonts w:ascii="Century Gothic" w:hAnsi="Century Gothic" w:cs="Arial"/>
          <w:sz w:val="16"/>
          <w:szCs w:val="16"/>
        </w:rPr>
        <w:t xml:space="preserve"> Vargas.</w:t>
      </w:r>
    </w:p>
    <w:p w:rsidRPr="005064D0" w:rsidR="00B471FA" w:rsidP="00B471FA" w:rsidRDefault="00B471FA" w14:paraId="56E13CEC" w14:textId="77777777">
      <w:pPr>
        <w:pStyle w:val="Textonotapie"/>
        <w:ind w:firstLine="709"/>
        <w:jc w:val="both"/>
        <w:rPr>
          <w:rFonts w:ascii="Century Gothic" w:hAnsi="Century Gothic" w:cs="Arial"/>
          <w:sz w:val="16"/>
          <w:szCs w:val="16"/>
        </w:rPr>
      </w:pPr>
    </w:p>
  </w:footnote>
  <w:footnote w:id="20">
    <w:p w:rsidRPr="005064D0" w:rsidR="00B471FA" w:rsidP="00B471FA" w:rsidRDefault="00B471FA" w14:paraId="19EAFF61" w14:textId="77777777">
      <w:pPr>
        <w:pStyle w:val="Textonotapie"/>
        <w:ind w:firstLine="709"/>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Consejo de Estado. Sala de Consulta y Servicio Civil. Concepto de 20 de febrero de2006. Radicación 11001-03-06-000-2006-00023-00(1724). Consejero Ponente: Flavio Augusto Rodríguez Arce.</w:t>
      </w:r>
    </w:p>
    <w:p w:rsidRPr="005064D0" w:rsidR="00B471FA" w:rsidP="00B471FA" w:rsidRDefault="00B471FA" w14:paraId="6753F750" w14:textId="77777777">
      <w:pPr>
        <w:pStyle w:val="Textonotapie"/>
        <w:ind w:firstLine="709"/>
        <w:jc w:val="both"/>
        <w:rPr>
          <w:rFonts w:ascii="Century Gothic" w:hAnsi="Century Gothic" w:cs="Arial"/>
          <w:sz w:val="16"/>
          <w:szCs w:val="16"/>
        </w:rPr>
      </w:pPr>
    </w:p>
  </w:footnote>
  <w:footnote w:id="21">
    <w:p w:rsidRPr="005064D0" w:rsidR="00B471FA" w:rsidP="00B471FA" w:rsidRDefault="00B471FA" w14:paraId="1B43B86B" w14:textId="77777777">
      <w:pPr>
        <w:ind w:firstLine="709"/>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Decreto 1082 de 2015: “Artículo 2.2.1.2.1.4.4. Convenios o contratos interadministrativos. La modalidad de selección para la contratación entre Entidades Estatales es la contratación directa; </w:t>
      </w:r>
      <w:proofErr w:type="gramStart"/>
      <w:r w:rsidRPr="005064D0">
        <w:rPr>
          <w:rFonts w:ascii="Century Gothic" w:hAnsi="Century Gothic" w:cs="Arial"/>
          <w:sz w:val="16"/>
          <w:szCs w:val="16"/>
        </w:rPr>
        <w:t>y</w:t>
      </w:r>
      <w:proofErr w:type="gramEnd"/>
      <w:r w:rsidRPr="005064D0">
        <w:rPr>
          <w:rFonts w:ascii="Century Gothic" w:hAnsi="Century Gothic" w:cs="Arial"/>
          <w:sz w:val="16"/>
          <w:szCs w:val="16"/>
        </w:rPr>
        <w:t xml:space="preserve"> en consecuencia, le es aplicable lo establecido en el artículo 2.2.1.2.1.4.1 del presente decreto.</w:t>
      </w:r>
    </w:p>
    <w:p w:rsidRPr="005064D0" w:rsidR="00B471FA" w:rsidP="00B471FA" w:rsidRDefault="00B471FA" w14:paraId="10069A1F" w14:textId="77777777">
      <w:pPr>
        <w:ind w:firstLine="709"/>
        <w:jc w:val="both"/>
        <w:rPr>
          <w:rFonts w:ascii="Century Gothic" w:hAnsi="Century Gothic" w:cs="Arial"/>
          <w:sz w:val="16"/>
          <w:szCs w:val="16"/>
        </w:rPr>
      </w:pPr>
      <w:r w:rsidRPr="005064D0">
        <w:rPr>
          <w:rFonts w:ascii="Century Gothic" w:hAnsi="Century Gothic"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5064D0">
        <w:rPr>
          <w:rFonts w:ascii="Century Gothic" w:hAnsi="Century Gothic" w:cs="Arial"/>
          <w:spacing w:val="-1"/>
          <w:sz w:val="16"/>
          <w:szCs w:val="16"/>
        </w:rPr>
        <w:t xml:space="preserve"> </w:t>
      </w:r>
      <w:r w:rsidRPr="005064D0">
        <w:rPr>
          <w:rFonts w:ascii="Century Gothic" w:hAnsi="Century Gothic" w:cs="Arial"/>
          <w:sz w:val="16"/>
          <w:szCs w:val="16"/>
        </w:rPr>
        <w:t>Estatales”.</w:t>
      </w:r>
    </w:p>
    <w:p w:rsidRPr="005064D0" w:rsidR="00B471FA" w:rsidP="00B471FA" w:rsidRDefault="00B471FA" w14:paraId="6853420B" w14:textId="77777777">
      <w:pPr>
        <w:ind w:firstLine="709"/>
        <w:jc w:val="both"/>
        <w:rPr>
          <w:rFonts w:ascii="Century Gothic" w:hAnsi="Century Gothic" w:cs="Arial"/>
          <w:sz w:val="16"/>
          <w:szCs w:val="16"/>
        </w:rPr>
      </w:pPr>
    </w:p>
  </w:footnote>
  <w:footnote w:id="22">
    <w:p w:rsidRPr="005064D0" w:rsidR="00B471FA" w:rsidP="00B471FA" w:rsidRDefault="00B471FA" w14:paraId="5D199555" w14:textId="77777777">
      <w:pPr>
        <w:ind w:right="454" w:firstLine="709"/>
        <w:contextualSpacing/>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position w:val="7"/>
          <w:sz w:val="16"/>
          <w:szCs w:val="16"/>
        </w:rPr>
        <w:t xml:space="preserve"> </w:t>
      </w:r>
      <w:r w:rsidRPr="005064D0">
        <w:rPr>
          <w:rFonts w:ascii="Century Gothic" w:hAnsi="Century Gothic" w:cs="Arial"/>
          <w:sz w:val="16"/>
          <w:szCs w:val="16"/>
        </w:rPr>
        <w:t>Consejo de Estado. Sección Tercera. Sentencia del 23 de junio de 2010. Radicación No. 66001-23-31-000-1998-00261-01(17.860). Consejero Ponente: Mauricio Fajardo Gómez.</w:t>
      </w:r>
    </w:p>
  </w:footnote>
  <w:footnote w:id="23">
    <w:p w:rsidRPr="005064D0" w:rsidR="00B471FA" w:rsidP="00B471FA" w:rsidRDefault="00B471FA" w14:paraId="3982C8F4" w14:textId="77777777">
      <w:pPr>
        <w:ind w:firstLine="709"/>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Consejo de Estado. Sección Tercera. Subsección C. Sentencia del 11 de diciembre de 2019. </w:t>
      </w:r>
      <w:proofErr w:type="spellStart"/>
      <w:r w:rsidRPr="005064D0">
        <w:rPr>
          <w:rFonts w:ascii="Century Gothic" w:hAnsi="Century Gothic" w:cs="Arial"/>
          <w:sz w:val="16"/>
          <w:szCs w:val="16"/>
        </w:rPr>
        <w:t>Exp</w:t>
      </w:r>
      <w:proofErr w:type="spellEnd"/>
      <w:r w:rsidRPr="005064D0">
        <w:rPr>
          <w:rFonts w:ascii="Century Gothic" w:hAnsi="Century Gothic" w:cs="Arial"/>
          <w:sz w:val="16"/>
          <w:szCs w:val="16"/>
        </w:rPr>
        <w:t>. 46.986. C.P. Jaime Enrique Rodríguez Navas.</w:t>
      </w:r>
    </w:p>
    <w:p w:rsidRPr="005064D0" w:rsidR="00B471FA" w:rsidP="00B471FA" w:rsidRDefault="00B471FA" w14:paraId="696401C5" w14:textId="77777777">
      <w:pPr>
        <w:ind w:firstLine="709"/>
        <w:jc w:val="both"/>
        <w:rPr>
          <w:rFonts w:ascii="Century Gothic" w:hAnsi="Century Gothic" w:cs="Arial"/>
          <w:sz w:val="16"/>
          <w:szCs w:val="16"/>
        </w:rPr>
      </w:pPr>
    </w:p>
  </w:footnote>
  <w:footnote w:id="24">
    <w:p w:rsidRPr="005064D0" w:rsidR="00B471FA" w:rsidP="00B471FA" w:rsidRDefault="00B471FA" w14:paraId="3CA4C732" w14:textId="77777777">
      <w:pPr>
        <w:pStyle w:val="Textonotapie"/>
        <w:ind w:firstLine="709"/>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[Referencia propia de la cita] “CE. SCSC. Concepto de 1 de noviembre de 2016 [Rad. 11001-03-06-000-2016-00125-00(2305)]. MP. Germán Alberto Bula Escobar”.</w:t>
      </w:r>
    </w:p>
    <w:p w:rsidRPr="005064D0" w:rsidR="00B471FA" w:rsidP="00B471FA" w:rsidRDefault="00B471FA" w14:paraId="187AA0D5" w14:textId="77777777">
      <w:pPr>
        <w:pStyle w:val="Textonotapie"/>
        <w:ind w:firstLine="709"/>
        <w:jc w:val="both"/>
        <w:rPr>
          <w:rFonts w:ascii="Century Gothic" w:hAnsi="Century Gothic" w:cs="Arial"/>
          <w:sz w:val="16"/>
          <w:szCs w:val="16"/>
        </w:rPr>
      </w:pPr>
    </w:p>
  </w:footnote>
  <w:footnote w:id="25">
    <w:p w:rsidRPr="005064D0" w:rsidR="00B471FA" w:rsidP="00B471FA" w:rsidRDefault="00B471FA" w14:paraId="3378D2C9" w14:textId="77777777">
      <w:pPr>
        <w:pStyle w:val="Textonotapie"/>
        <w:ind w:firstLine="709"/>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[Referencia propia de la cita] “CE. SCSC. Concepto de 30 de abril de 2008 [Rad. 11001-03-06-000-2008-00013-00(1881)]. MP. Enrique José Arboleda Perdomo. En esta oportunidad, la Sala indicó que el contenido </w:t>
      </w:r>
      <w:r w:rsidRPr="005064D0">
        <w:rPr>
          <w:rFonts w:ascii="Century Gothic" w:hAnsi="Century Gothic" w:cs="Arial"/>
          <w:i/>
          <w:sz w:val="16"/>
          <w:szCs w:val="16"/>
        </w:rPr>
        <w:t>“obligacional”</w:t>
      </w:r>
      <w:r w:rsidRPr="005064D0">
        <w:rPr>
          <w:rFonts w:ascii="Century Gothic" w:hAnsi="Century Gothic" w:cs="Arial"/>
          <w:sz w:val="16"/>
          <w:szCs w:val="16"/>
        </w:rPr>
        <w:t xml:space="preserve"> de los convenios se estructura definiendo el resultado querido por las partes y los medios que cada entidad despliega para la obtención del respectivo objeto”.</w:t>
      </w:r>
    </w:p>
  </w:footnote>
  <w:footnote w:id="26">
    <w:p w:rsidRPr="005064D0" w:rsidR="00B471FA" w:rsidP="00B471FA" w:rsidRDefault="00B471FA" w14:paraId="3D3B46D5" w14:textId="77777777">
      <w:pPr>
        <w:pStyle w:val="Textonotapie"/>
        <w:ind w:firstLine="709"/>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[Referencia propia de la cita] “La normativa vigente del EGCAP </w:t>
      </w:r>
      <w:r w:rsidRPr="005064D0">
        <w:rPr>
          <w:rFonts w:ascii="Century Gothic" w:hAnsi="Century Gothic" w:cs="Arial"/>
          <w:i/>
          <w:sz w:val="16"/>
          <w:szCs w:val="16"/>
        </w:rPr>
        <w:t>[literal c) del numeral 4. del artículo 2 de la Ley 1150/07]</w:t>
      </w:r>
      <w:r w:rsidRPr="005064D0">
        <w:rPr>
          <w:rFonts w:ascii="Century Gothic" w:hAnsi="Century Gothic" w:cs="Arial"/>
          <w:sz w:val="16"/>
          <w:szCs w:val="16"/>
        </w:rPr>
        <w:t xml:space="preserve"> se refiere a </w:t>
      </w:r>
      <w:r w:rsidRPr="005064D0">
        <w:rPr>
          <w:rFonts w:ascii="Century Gothic" w:hAnsi="Century Gothic" w:cs="Arial"/>
          <w:i/>
          <w:sz w:val="16"/>
          <w:szCs w:val="16"/>
        </w:rPr>
        <w:t>“contratos interadministrativos”</w:t>
      </w:r>
      <w:r w:rsidRPr="005064D0">
        <w:rPr>
          <w:rFonts w:ascii="Century Gothic" w:hAnsi="Century Gothic" w:cs="Arial"/>
          <w:sz w:val="16"/>
          <w:szCs w:val="16"/>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rsidRPr="005064D0" w:rsidR="00B471FA" w:rsidP="00B471FA" w:rsidRDefault="00B471FA" w14:paraId="26191CBE" w14:textId="77777777">
      <w:pPr>
        <w:pStyle w:val="Textonotapie"/>
        <w:ind w:firstLine="709"/>
        <w:jc w:val="both"/>
        <w:rPr>
          <w:rFonts w:ascii="Century Gothic" w:hAnsi="Century Gothic" w:cs="Arial"/>
          <w:sz w:val="16"/>
          <w:szCs w:val="16"/>
        </w:rPr>
      </w:pPr>
    </w:p>
  </w:footnote>
  <w:footnote w:id="27">
    <w:p w:rsidRPr="005064D0" w:rsidR="00B471FA" w:rsidP="00B471FA" w:rsidRDefault="00B471FA" w14:paraId="2C7063D1" w14:textId="77777777">
      <w:pPr>
        <w:pStyle w:val="Textonotapie"/>
        <w:ind w:firstLine="709"/>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5064D0">
        <w:rPr>
          <w:rFonts w:ascii="Century Gothic" w:hAnsi="Century Gothic" w:cs="Arial"/>
          <w:sz w:val="16"/>
          <w:szCs w:val="16"/>
        </w:rPr>
        <w:t>Exp</w:t>
      </w:r>
      <w:proofErr w:type="spellEnd"/>
      <w:r w:rsidRPr="005064D0">
        <w:rPr>
          <w:rFonts w:ascii="Century Gothic" w:hAnsi="Century Gothic" w:cs="Arial"/>
          <w:sz w:val="16"/>
          <w:szCs w:val="16"/>
        </w:rPr>
        <w:t xml:space="preserve">. 2.257. M.P. Álvaro </w:t>
      </w:r>
      <w:proofErr w:type="spellStart"/>
      <w:r w:rsidRPr="005064D0">
        <w:rPr>
          <w:rFonts w:ascii="Century Gothic" w:hAnsi="Century Gothic" w:cs="Arial"/>
          <w:sz w:val="16"/>
          <w:szCs w:val="16"/>
        </w:rPr>
        <w:t>Namén</w:t>
      </w:r>
      <w:proofErr w:type="spellEnd"/>
      <w:r w:rsidRPr="005064D0">
        <w:rPr>
          <w:rFonts w:ascii="Century Gothic" w:hAnsi="Century Gothic" w:cs="Arial"/>
          <w:sz w:val="16"/>
          <w:szCs w:val="16"/>
        </w:rPr>
        <w:t xml:space="preserve"> Vargas).</w:t>
      </w:r>
    </w:p>
    <w:p w:rsidRPr="005064D0" w:rsidR="00B471FA" w:rsidP="00B471FA" w:rsidRDefault="00B471FA" w14:paraId="6EB204A4" w14:textId="77777777">
      <w:pPr>
        <w:pStyle w:val="Textonotapie"/>
        <w:ind w:firstLine="709"/>
        <w:jc w:val="both"/>
        <w:rPr>
          <w:rFonts w:ascii="Century Gothic" w:hAnsi="Century Gothic" w:cs="Arial"/>
          <w:sz w:val="16"/>
          <w:szCs w:val="16"/>
        </w:rPr>
      </w:pPr>
    </w:p>
  </w:footnote>
  <w:footnote w:id="28">
    <w:p w:rsidRPr="005064D0" w:rsidR="00B471FA" w:rsidP="00B471FA" w:rsidRDefault="00B471FA" w14:paraId="3E68FEDD" w14:textId="77777777">
      <w:pPr>
        <w:pStyle w:val="Textonotapie"/>
        <w:ind w:firstLine="709"/>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Es lo que sucede, por ejemplo, con el Decreto 092 de 2017, que en su desarrollo hace referencia tanto a los “contratos” como a los “convenios”. </w:t>
      </w:r>
    </w:p>
    <w:p w:rsidRPr="005064D0" w:rsidR="00B471FA" w:rsidP="00B471FA" w:rsidRDefault="00B471FA" w14:paraId="5D0644B7" w14:textId="77777777">
      <w:pPr>
        <w:pStyle w:val="Textonotapie"/>
        <w:ind w:firstLine="709"/>
        <w:jc w:val="both"/>
        <w:rPr>
          <w:rFonts w:ascii="Century Gothic" w:hAnsi="Century Gothic" w:cs="Arial"/>
          <w:sz w:val="16"/>
          <w:szCs w:val="16"/>
          <w:lang w:val="es-CO"/>
        </w:rPr>
      </w:pPr>
    </w:p>
  </w:footnote>
  <w:footnote w:id="29">
    <w:p w:rsidRPr="005064D0" w:rsidR="00B471FA" w:rsidP="00B471FA" w:rsidRDefault="00B471FA" w14:paraId="548717EA" w14:textId="77777777">
      <w:pPr>
        <w:pStyle w:val="Textonotapie"/>
        <w:ind w:firstLine="709"/>
        <w:jc w:val="both"/>
        <w:rPr>
          <w:rFonts w:ascii="Century Gothic" w:hAnsi="Century Gothic" w:cs="Arial"/>
          <w:sz w:val="16"/>
          <w:szCs w:val="16"/>
          <w:lang w:val="es-CO"/>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0">
    <w:p w:rsidRPr="005064D0" w:rsidR="00B471FA" w:rsidP="00B471FA" w:rsidRDefault="00B471FA" w14:paraId="5DAD5A60" w14:textId="77777777">
      <w:pPr>
        <w:pStyle w:val="Textonotapie"/>
        <w:ind w:firstLine="708"/>
        <w:jc w:val="both"/>
        <w:rPr>
          <w:rFonts w:ascii="Century Gothic" w:hAnsi="Century Gothic" w:cs="Arial"/>
          <w:color w:val="000000" w:themeColor="text1"/>
          <w:sz w:val="16"/>
          <w:szCs w:val="16"/>
        </w:rPr>
      </w:pPr>
      <w:r w:rsidRPr="005064D0">
        <w:rPr>
          <w:rStyle w:val="Refdenotaalpie"/>
          <w:rFonts w:ascii="Century Gothic" w:hAnsi="Century Gothic" w:cs="Arial"/>
          <w:color w:val="000000" w:themeColor="text1"/>
          <w:sz w:val="16"/>
          <w:szCs w:val="16"/>
        </w:rPr>
        <w:footnoteRef/>
      </w:r>
      <w:r w:rsidRPr="005064D0">
        <w:rPr>
          <w:rFonts w:ascii="Century Gothic" w:hAnsi="Century Gothic" w:cs="Arial"/>
          <w:color w:val="000000" w:themeColor="text1"/>
          <w:sz w:val="16"/>
          <w:szCs w:val="16"/>
        </w:rPr>
        <w:t xml:space="preserve"> Ley 60 de 1993: “Artículo 2. Competencias de los Municipios. Corresponde a los Municipios, a través de las dependencias de su organización central o de las entidades descentralizadas municipales competentes, en su carácter de entidades ejecutoras principales de las acciones en materia social, dirigir, prestar o participar en la prestación de los servicios directamente, conforme a la ley, a las normas técnicas de carácter nacional, a las ordenanzas y a los respectivos acuerdos municipales. </w:t>
      </w:r>
    </w:p>
    <w:p w:rsidRPr="005064D0" w:rsidR="00B471FA" w:rsidP="00B471FA" w:rsidRDefault="00B471FA" w14:paraId="5E710411" w14:textId="77777777">
      <w:pPr>
        <w:pStyle w:val="Textonotapie"/>
        <w:ind w:firstLine="708"/>
        <w:jc w:val="both"/>
        <w:rPr>
          <w:rFonts w:ascii="Century Gothic" w:hAnsi="Century Gothic" w:cs="Arial"/>
          <w:color w:val="000000" w:themeColor="text1"/>
          <w:sz w:val="16"/>
          <w:szCs w:val="16"/>
        </w:rPr>
      </w:pPr>
      <w:r w:rsidRPr="005064D0">
        <w:rPr>
          <w:rFonts w:ascii="Century Gothic" w:hAnsi="Century Gothic" w:cs="Arial"/>
          <w:color w:val="000000" w:themeColor="text1"/>
          <w:sz w:val="16"/>
          <w:szCs w:val="16"/>
        </w:rPr>
        <w:t>[…]</w:t>
      </w:r>
    </w:p>
    <w:p w:rsidRPr="005064D0" w:rsidR="00B471FA" w:rsidP="00B471FA" w:rsidRDefault="00B471FA" w14:paraId="30B5EF4C" w14:textId="77777777">
      <w:pPr>
        <w:pStyle w:val="Textonotapie"/>
        <w:ind w:firstLine="708"/>
        <w:jc w:val="both"/>
        <w:rPr>
          <w:rFonts w:ascii="Century Gothic" w:hAnsi="Century Gothic" w:cs="Arial"/>
          <w:color w:val="000000" w:themeColor="text1"/>
          <w:sz w:val="16"/>
          <w:szCs w:val="16"/>
        </w:rPr>
      </w:pPr>
      <w:r w:rsidRPr="005064D0">
        <w:rPr>
          <w:rFonts w:ascii="Century Gothic" w:hAnsi="Century Gothic" w:cs="Arial"/>
          <w:color w:val="000000" w:themeColor="text1"/>
          <w:sz w:val="16"/>
          <w:szCs w:val="16"/>
        </w:rPr>
        <w:t xml:space="preserve">“Artículo 3. Competencias de los departamentos. Corresponde a los departamentos, a través de las dependencias de su organización central o de las entidades descentralizadas departamentales competentes, conforme a la Constitución Política, la ley, a las normas técnicas nacionales y a las respectivas ordenanzas. </w:t>
      </w:r>
    </w:p>
    <w:p w:rsidRPr="005064D0" w:rsidR="00B471FA" w:rsidP="00B471FA" w:rsidRDefault="00B471FA" w14:paraId="4EA9F865" w14:textId="77777777">
      <w:pPr>
        <w:pStyle w:val="Textonotapie"/>
        <w:ind w:firstLine="708"/>
        <w:jc w:val="both"/>
        <w:rPr>
          <w:rFonts w:ascii="Century Gothic" w:hAnsi="Century Gothic" w:cs="Arial"/>
          <w:color w:val="000000" w:themeColor="text1"/>
          <w:sz w:val="16"/>
          <w:szCs w:val="16"/>
        </w:rPr>
      </w:pPr>
      <w:r w:rsidRPr="005064D0">
        <w:rPr>
          <w:rFonts w:ascii="Century Gothic" w:hAnsi="Century Gothic" w:cs="Arial"/>
          <w:color w:val="000000" w:themeColor="text1"/>
          <w:sz w:val="16"/>
          <w:szCs w:val="16"/>
        </w:rPr>
        <w:t>[…]</w:t>
      </w:r>
    </w:p>
    <w:p w:rsidRPr="005064D0" w:rsidR="00B471FA" w:rsidP="00B471FA" w:rsidRDefault="00B471FA" w14:paraId="69AB26F6" w14:textId="77777777">
      <w:pPr>
        <w:pStyle w:val="Textonotapie"/>
        <w:ind w:firstLine="708"/>
        <w:jc w:val="both"/>
        <w:rPr>
          <w:rFonts w:ascii="Century Gothic" w:hAnsi="Century Gothic" w:cs="Arial"/>
          <w:color w:val="000000" w:themeColor="text1"/>
          <w:sz w:val="16"/>
          <w:szCs w:val="16"/>
        </w:rPr>
      </w:pPr>
      <w:r w:rsidRPr="005064D0">
        <w:rPr>
          <w:rFonts w:ascii="Century Gothic" w:hAnsi="Century Gothic" w:cs="Arial"/>
          <w:color w:val="000000" w:themeColor="text1"/>
          <w:sz w:val="16"/>
          <w:szCs w:val="16"/>
        </w:rPr>
        <w:t xml:space="preserve">“Artículo 4. Competencias de los distritos. Corresponde a los distritos, a través de las dependencias de su organización central o de las entidades descentralizadas competentes, conforme a la Ley, a las normas técnicas nacionales y a los respectivos acuerdos”. </w:t>
      </w:r>
    </w:p>
    <w:p w:rsidRPr="005064D0" w:rsidR="00B471FA" w:rsidP="00B471FA" w:rsidRDefault="00B471FA" w14:paraId="66029743" w14:textId="77777777">
      <w:pPr>
        <w:pStyle w:val="Textonotapie"/>
        <w:ind w:firstLine="708"/>
        <w:jc w:val="both"/>
        <w:rPr>
          <w:rFonts w:ascii="Century Gothic" w:hAnsi="Century Gothic" w:cs="Arial"/>
          <w:color w:val="000000" w:themeColor="text1"/>
          <w:sz w:val="16"/>
          <w:szCs w:val="16"/>
        </w:rPr>
      </w:pPr>
      <w:r w:rsidRPr="005064D0">
        <w:rPr>
          <w:rFonts w:ascii="Century Gothic" w:hAnsi="Century Gothic" w:cs="Arial"/>
          <w:color w:val="000000" w:themeColor="text1"/>
          <w:sz w:val="16"/>
          <w:szCs w:val="16"/>
        </w:rPr>
        <w:t xml:space="preserve">Ley 715 de 2005: “Artículo 9. (…) Las instituciones educativas estatales son departamentales, distritales o municipales”. </w:t>
      </w:r>
    </w:p>
    <w:p w:rsidRPr="005064D0" w:rsidR="00B471FA" w:rsidP="00B471FA" w:rsidRDefault="00B471FA" w14:paraId="0C71D4C3" w14:textId="77777777">
      <w:pPr>
        <w:pStyle w:val="Textonotapie"/>
        <w:ind w:firstLine="708"/>
        <w:jc w:val="both"/>
        <w:rPr>
          <w:rFonts w:ascii="Century Gothic" w:hAnsi="Century Gothic" w:cs="Arial"/>
          <w:color w:val="000000" w:themeColor="text1"/>
          <w:sz w:val="16"/>
          <w:szCs w:val="16"/>
        </w:rPr>
      </w:pPr>
    </w:p>
  </w:footnote>
  <w:footnote w:id="31">
    <w:p w:rsidRPr="005064D0" w:rsidR="00B471FA" w:rsidP="00B471FA" w:rsidRDefault="00B471FA" w14:paraId="05FBF424" w14:textId="77777777">
      <w:pPr>
        <w:pStyle w:val="Textonotapie"/>
        <w:ind w:firstLine="708"/>
        <w:jc w:val="both"/>
        <w:rPr>
          <w:rFonts w:ascii="Century Gothic" w:hAnsi="Century Gothic" w:cs="Arial"/>
          <w:color w:val="000000" w:themeColor="text1"/>
          <w:sz w:val="16"/>
          <w:szCs w:val="16"/>
        </w:rPr>
      </w:pPr>
      <w:r w:rsidRPr="005064D0">
        <w:rPr>
          <w:rStyle w:val="Refdenotaalpie"/>
          <w:rFonts w:ascii="Century Gothic" w:hAnsi="Century Gothic" w:cs="Arial"/>
          <w:color w:val="000000" w:themeColor="text1"/>
          <w:sz w:val="16"/>
          <w:szCs w:val="16"/>
        </w:rPr>
        <w:footnoteRef/>
      </w:r>
      <w:r w:rsidRPr="005064D0">
        <w:rPr>
          <w:rFonts w:ascii="Century Gothic" w:hAnsi="Century Gothic" w:cs="Arial"/>
          <w:color w:val="000000" w:themeColor="text1"/>
          <w:sz w:val="16"/>
          <w:szCs w:val="16"/>
        </w:rPr>
        <w:t xml:space="preserve"> “Artículo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p>
  </w:footnote>
  <w:footnote w:id="32">
    <w:p w:rsidRPr="005064D0" w:rsidR="00B471FA" w:rsidP="00B471FA" w:rsidRDefault="00B471FA" w14:paraId="2DD1BE81" w14:textId="77777777">
      <w:pPr>
        <w:pStyle w:val="Textonotapie"/>
        <w:ind w:firstLine="708"/>
        <w:jc w:val="both"/>
        <w:rPr>
          <w:rFonts w:ascii="Century Gothic" w:hAnsi="Century Gothic" w:cs="Arial"/>
          <w:color w:val="000000" w:themeColor="text1"/>
          <w:sz w:val="16"/>
          <w:szCs w:val="16"/>
        </w:rPr>
      </w:pPr>
    </w:p>
    <w:p w:rsidRPr="005064D0" w:rsidR="00B471FA" w:rsidP="00B471FA" w:rsidRDefault="00B471FA" w14:paraId="628621E5" w14:textId="77777777">
      <w:pPr>
        <w:pStyle w:val="Textonotapie"/>
        <w:ind w:firstLine="708"/>
        <w:jc w:val="both"/>
        <w:rPr>
          <w:rFonts w:ascii="Century Gothic" w:hAnsi="Century Gothic" w:cs="Arial"/>
          <w:color w:val="000000" w:themeColor="text1"/>
          <w:sz w:val="16"/>
          <w:szCs w:val="16"/>
        </w:rPr>
      </w:pPr>
      <w:r w:rsidRPr="005064D0">
        <w:rPr>
          <w:rStyle w:val="Refdenotaalpie"/>
          <w:rFonts w:ascii="Century Gothic" w:hAnsi="Century Gothic" w:cs="Arial"/>
          <w:color w:val="000000" w:themeColor="text1"/>
          <w:sz w:val="16"/>
          <w:szCs w:val="16"/>
        </w:rPr>
        <w:footnoteRef/>
      </w:r>
      <w:r w:rsidRPr="005064D0">
        <w:rPr>
          <w:rStyle w:val="Refdenotaalpie"/>
          <w:rFonts w:ascii="Century Gothic" w:hAnsi="Century Gothic" w:cs="Arial"/>
          <w:color w:val="000000" w:themeColor="text1"/>
          <w:sz w:val="16"/>
          <w:szCs w:val="16"/>
        </w:rPr>
        <w:t xml:space="preserve"> </w:t>
      </w:r>
      <w:r w:rsidRPr="005064D0">
        <w:rPr>
          <w:rFonts w:ascii="Century Gothic" w:hAnsi="Century Gothic" w:cs="Arial"/>
          <w:color w:val="000000" w:themeColor="text1"/>
          <w:sz w:val="16"/>
          <w:szCs w:val="16"/>
        </w:rPr>
        <w:t>Consejo de Estado. Sección Tercera Subsección A. Sentencia del 12 de octubre de 2017. Consejera Ponente: Marta Nubia Velásquez Rico. Radicación número: 68001-23-31-000-2005-03845-01(51.634).</w:t>
      </w:r>
    </w:p>
  </w:footnote>
  <w:footnote w:id="33">
    <w:p w:rsidRPr="005064D0" w:rsidR="00B471FA" w:rsidP="00B471FA" w:rsidRDefault="00B471FA" w14:paraId="4ECF2F86" w14:textId="77777777">
      <w:pPr>
        <w:pStyle w:val="NormalWeb"/>
        <w:spacing w:after="0"/>
        <w:ind w:firstLine="708"/>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Style w:val="Refdenotaalpie"/>
          <w:rFonts w:ascii="Century Gothic" w:hAnsi="Century Gothic" w:cs="Arial"/>
          <w:sz w:val="16"/>
          <w:szCs w:val="16"/>
        </w:rPr>
        <w:t xml:space="preserve"> </w:t>
      </w:r>
      <w:r w:rsidRPr="005064D0">
        <w:rPr>
          <w:rFonts w:ascii="Century Gothic" w:hAnsi="Century Gothic" w:cs="Arial"/>
          <w:sz w:val="16"/>
          <w:szCs w:val="16"/>
        </w:rPr>
        <w:t>“Artículo 13. Procedimientos de contratación de los fondos de servicios educativos. 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rsidRPr="005064D0" w:rsidR="00B471FA" w:rsidP="00B471FA" w:rsidRDefault="00B471FA" w14:paraId="7D5EFFA4" w14:textId="77777777">
      <w:pPr>
        <w:ind w:firstLine="708"/>
        <w:jc w:val="both"/>
        <w:rPr>
          <w:rFonts w:ascii="Century Gothic" w:hAnsi="Century Gothic" w:cs="Arial"/>
          <w:sz w:val="16"/>
          <w:szCs w:val="16"/>
          <w:lang w:eastAsia="es-CO"/>
        </w:rPr>
      </w:pPr>
      <w:r w:rsidRPr="005064D0">
        <w:rPr>
          <w:rFonts w:ascii="Century Gothic" w:hAnsi="Century Gothic" w:cs="Arial"/>
          <w:sz w:val="16"/>
          <w:szCs w:val="16"/>
          <w:lang w:eastAsia="es-CO"/>
        </w:rPr>
        <w:t xml:space="preserve">“Los actos y contratos de cuantía superior a veinte (20) salarios mínimos mensuales se regirán por las reglas de la contratación estatal, teniendo en cuenta su valor y naturaleza, y las circunstancias en las que se celebren. El Gobierno Nacional podrá indicar los casos en los cuales la cuantía señalada en el presente inciso será menor. </w:t>
      </w:r>
    </w:p>
    <w:p w:rsidRPr="005064D0" w:rsidR="00B471FA" w:rsidP="00B471FA" w:rsidRDefault="00B471FA" w14:paraId="40824039" w14:textId="77777777">
      <w:pPr>
        <w:ind w:firstLine="708"/>
        <w:jc w:val="both"/>
        <w:rPr>
          <w:rFonts w:ascii="Century Gothic" w:hAnsi="Century Gothic" w:cs="Arial"/>
          <w:sz w:val="16"/>
          <w:szCs w:val="16"/>
          <w:lang w:eastAsia="es-CO"/>
        </w:rPr>
      </w:pPr>
      <w:r w:rsidRPr="005064D0">
        <w:rPr>
          <w:rFonts w:ascii="Century Gothic" w:hAnsi="Century Gothic" w:cs="Arial"/>
          <w:sz w:val="16"/>
          <w:szCs w:val="16"/>
          <w:lang w:eastAsia="es-CO"/>
        </w:rPr>
        <w:t>“El rector o director celebrará los contratos que hayan de pagarse con cargo a los recursos vinculados a los Fondos, en las condiciones y dentro de los límites que fijen los reglamentos.</w:t>
      </w:r>
    </w:p>
    <w:p w:rsidRPr="005064D0" w:rsidR="00B471FA" w:rsidP="00B471FA" w:rsidRDefault="00B471FA" w14:paraId="5FE6981B" w14:textId="77777777">
      <w:pPr>
        <w:ind w:firstLine="708"/>
        <w:jc w:val="both"/>
        <w:rPr>
          <w:rFonts w:ascii="Century Gothic" w:hAnsi="Century Gothic" w:cs="Arial"/>
          <w:sz w:val="16"/>
          <w:szCs w:val="16"/>
          <w:lang w:eastAsia="es-CO"/>
        </w:rPr>
      </w:pPr>
      <w:r w:rsidRPr="005064D0">
        <w:rPr>
          <w:rFonts w:ascii="Century Gothic" w:hAnsi="Century Gothic" w:cs="Arial"/>
          <w:sz w:val="16"/>
          <w:szCs w:val="16"/>
          <w:lang w:eastAsia="es-CO"/>
        </w:rPr>
        <w:t>“</w:t>
      </w:r>
      <w:r w:rsidRPr="005064D0">
        <w:rPr>
          <w:rFonts w:ascii="Century Gothic" w:hAnsi="Century Gothic" w:cs="Arial"/>
          <w:i/>
          <w:iCs/>
          <w:sz w:val="16"/>
          <w:szCs w:val="16"/>
          <w:lang w:eastAsia="es-CO"/>
        </w:rPr>
        <w:t xml:space="preserve">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w:t>
      </w:r>
      <w:bookmarkStart w:name="_Hlk61284561" w:id="27"/>
      <w:r w:rsidRPr="005064D0">
        <w:rPr>
          <w:rFonts w:ascii="Century Gothic" w:hAnsi="Century Gothic" w:cs="Arial"/>
          <w:i/>
          <w:iCs/>
          <w:sz w:val="16"/>
          <w:szCs w:val="16"/>
          <w:lang w:eastAsia="es-CO"/>
        </w:rPr>
        <w:t>los trámites, garantías y constancias que deben cumplirse para que el rector o director celebre cualquier acto o contrato que cree, extinga o modifique obligaciones que deban registrarse en el Fondo</w:t>
      </w:r>
      <w:bookmarkEnd w:id="27"/>
      <w:r w:rsidRPr="005064D0">
        <w:rPr>
          <w:rFonts w:ascii="Century Gothic" w:hAnsi="Century Gothic" w:cs="Arial"/>
          <w:i/>
          <w:iCs/>
          <w:sz w:val="16"/>
          <w:szCs w:val="16"/>
          <w:lang w:eastAsia="es-CO"/>
        </w:rPr>
        <w:t>, y cuya cuantía sea inferior a veinte (20) salarios mínimos mensuales. El Consejo puede exigir, además, que ciertos actos o contratos requieran una autorización suya específica</w:t>
      </w:r>
      <w:r w:rsidRPr="005064D0">
        <w:rPr>
          <w:rFonts w:ascii="Century Gothic" w:hAnsi="Century Gothic" w:cs="Arial"/>
          <w:sz w:val="16"/>
          <w:szCs w:val="16"/>
          <w:lang w:eastAsia="es-CO"/>
        </w:rPr>
        <w:t>.</w:t>
      </w:r>
    </w:p>
    <w:p w:rsidRPr="005064D0" w:rsidR="00B471FA" w:rsidP="00B471FA" w:rsidRDefault="00B471FA" w14:paraId="2C663600" w14:textId="77777777">
      <w:pPr>
        <w:ind w:firstLine="708"/>
        <w:jc w:val="both"/>
        <w:rPr>
          <w:rFonts w:ascii="Century Gothic" w:hAnsi="Century Gothic" w:cs="Arial"/>
          <w:sz w:val="16"/>
          <w:szCs w:val="16"/>
          <w:lang w:eastAsia="es-CO"/>
        </w:rPr>
      </w:pPr>
      <w:r w:rsidRPr="005064D0">
        <w:rPr>
          <w:rFonts w:ascii="Century Gothic" w:hAnsi="Century Gothic" w:cs="Arial"/>
          <w:sz w:val="16"/>
          <w:szCs w:val="16"/>
          <w:lang w:eastAsia="es-CO"/>
        </w:rPr>
        <w:t>[…]” (Énfasis fuera de texto).</w:t>
      </w:r>
    </w:p>
    <w:p w:rsidRPr="005064D0" w:rsidR="00B471FA" w:rsidP="00B471FA" w:rsidRDefault="00B471FA" w14:paraId="683270F2" w14:textId="77777777">
      <w:pPr>
        <w:pStyle w:val="Textonotapie"/>
        <w:ind w:firstLine="708"/>
        <w:jc w:val="both"/>
        <w:rPr>
          <w:rFonts w:ascii="Century Gothic" w:hAnsi="Century Gothic" w:cs="Arial"/>
          <w:color w:val="000000" w:themeColor="text1"/>
          <w:sz w:val="16"/>
          <w:szCs w:val="16"/>
        </w:rPr>
      </w:pPr>
      <w:r w:rsidRPr="005064D0">
        <w:rPr>
          <w:rFonts w:ascii="Century Gothic" w:hAnsi="Century Gothic" w:cs="Arial"/>
          <w:color w:val="000000" w:themeColor="text1"/>
          <w:sz w:val="16"/>
          <w:szCs w:val="16"/>
        </w:rPr>
        <w:t>Decreto 1075 de 2015: “Artículo 2.3.1.6.3.5. Funciones del Consejo Directivo. (…) 6. Reglamentar mediante acuerdo los procedimientos, formalidades y garantías para toda contratación que no supere los veinte (20) salarios mínimos legales mensuales vigentes (SMLMV)”.</w:t>
      </w:r>
    </w:p>
  </w:footnote>
  <w:footnote w:id="34">
    <w:p w:rsidRPr="005064D0" w:rsidR="00B471FA" w:rsidP="00B471FA" w:rsidRDefault="00B471FA" w14:paraId="7223D0AC" w14:textId="77777777">
      <w:pPr>
        <w:pStyle w:val="Textonotapie"/>
        <w:ind w:firstLine="708"/>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El artículo 32 de la Ley 80, en lo pertinente, dispone que “Son contratos estatales todos los actos jurídicos generadores de obligaciones que celebren las entidades a que se refiere el presente estatuto, previstos en el derecho privado o en disposiciones especiales, o derivados del ejercicio de la autonomía de la voluntad […]. Por su parte, el inciso primero del artículo 40 del Estatuto General prescribe los siguiente: “Las estipulaciones de los contratos serán las </w:t>
      </w:r>
      <w:proofErr w:type="gramStart"/>
      <w:r w:rsidRPr="005064D0">
        <w:rPr>
          <w:rFonts w:ascii="Century Gothic" w:hAnsi="Century Gothic" w:cs="Arial"/>
          <w:sz w:val="16"/>
          <w:szCs w:val="16"/>
        </w:rPr>
        <w:t>que</w:t>
      </w:r>
      <w:proofErr w:type="gramEnd"/>
      <w:r w:rsidRPr="005064D0">
        <w:rPr>
          <w:rFonts w:ascii="Century Gothic" w:hAnsi="Century Gothic" w:cs="Arial"/>
          <w:sz w:val="16"/>
          <w:szCs w:val="16"/>
        </w:rPr>
        <w:t xml:space="preserve"> de acuerdo con las normas civiles, comerciales y las previstas en esta ley, correspondan a su esencia y naturaleza”.</w:t>
      </w:r>
    </w:p>
  </w:footnote>
  <w:footnote w:id="35">
    <w:p w:rsidRPr="005064D0" w:rsidR="00B471FA" w:rsidP="00B471FA" w:rsidRDefault="00B471FA" w14:paraId="630951BD" w14:textId="77777777">
      <w:pPr>
        <w:pStyle w:val="Textonotapie"/>
        <w:ind w:firstLine="708"/>
        <w:jc w:val="both"/>
        <w:rPr>
          <w:rFonts w:ascii="Century Gothic" w:hAnsi="Century Gothic" w:cs="Arial"/>
          <w:sz w:val="16"/>
          <w:szCs w:val="16"/>
          <w:lang w:val="es-ES"/>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Cfr. BENAVIDES, José Luis. El contrato estatal: entre el derecho público y el derecho privado. Segunda edición. Bogotá: Universidad Externado de Colombia, 2009. pp. 78-79.      </w:t>
      </w:r>
    </w:p>
  </w:footnote>
  <w:footnote w:id="36">
    <w:p w:rsidRPr="005064D0" w:rsidR="00B471FA" w:rsidP="00B471FA" w:rsidRDefault="00B471FA" w14:paraId="7791B837" w14:textId="77777777">
      <w:pPr>
        <w:pStyle w:val="Textonotapie"/>
        <w:ind w:firstLine="708"/>
        <w:jc w:val="both"/>
        <w:rPr>
          <w:rFonts w:ascii="Century Gothic" w:hAnsi="Century Gothic" w:cs="Arial"/>
          <w:sz w:val="16"/>
          <w:szCs w:val="16"/>
          <w:lang w:val="es-ES"/>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BETANCUR JARAMILLO, Carlos. Derecho procesal administrativo. Cuarta edición. Medellín: Señal Editora, 1994. pp. 522-523. </w:t>
      </w:r>
    </w:p>
  </w:footnote>
  <w:footnote w:id="37">
    <w:p w:rsidR="00B471FA" w:rsidP="00B471FA" w:rsidRDefault="00B471FA" w14:paraId="2C552026" w14:textId="77777777">
      <w:pPr>
        <w:pStyle w:val="Textonotapie"/>
        <w:ind w:firstLine="708"/>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La norma citada dispone que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rsidRPr="005064D0" w:rsidR="00B471FA" w:rsidP="00B471FA" w:rsidRDefault="00B471FA" w14:paraId="58BF298B" w14:textId="77777777">
      <w:pPr>
        <w:pStyle w:val="Textonotapie"/>
        <w:ind w:firstLine="708"/>
        <w:jc w:val="both"/>
        <w:rPr>
          <w:rFonts w:ascii="Century Gothic" w:hAnsi="Century Gothic" w:cs="Arial"/>
          <w:sz w:val="16"/>
          <w:szCs w:val="16"/>
          <w:lang w:val="es-ES"/>
        </w:rPr>
      </w:pPr>
    </w:p>
  </w:footnote>
  <w:footnote w:id="38">
    <w:p w:rsidRPr="005064D0" w:rsidR="00B471FA" w:rsidP="00B471FA" w:rsidRDefault="00B471FA" w14:paraId="38A9AE3C" w14:textId="77777777">
      <w:pPr>
        <w:pStyle w:val="Textonotapie"/>
        <w:ind w:firstLine="708"/>
        <w:jc w:val="both"/>
        <w:rPr>
          <w:rFonts w:ascii="Century Gothic" w:hAnsi="Century Gothic" w:cs="Arial"/>
          <w:sz w:val="16"/>
          <w:szCs w:val="16"/>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CONSEJO DE ESTADO. Sala de Consulta y Servicio Civil. Concepto del 27 de abril de 2006. Rad:1712. C.P. Enrique José Arboleda Perdomo.</w:t>
      </w:r>
    </w:p>
  </w:footnote>
  <w:footnote w:id="39">
    <w:p w:rsidRPr="005064D0" w:rsidR="00B471FA" w:rsidP="00B471FA" w:rsidRDefault="00B471FA" w14:paraId="608E0D7C" w14:textId="77777777">
      <w:pPr>
        <w:pStyle w:val="Textonotapie"/>
        <w:ind w:firstLine="708"/>
        <w:jc w:val="both"/>
        <w:rPr>
          <w:rFonts w:ascii="Century Gothic" w:hAnsi="Century Gothic" w:cs="Arial"/>
          <w:sz w:val="16"/>
          <w:szCs w:val="16"/>
          <w:lang w:val="es-CO"/>
        </w:rPr>
      </w:pPr>
      <w:r w:rsidRPr="005064D0">
        <w:rPr>
          <w:rStyle w:val="Refdenotaalpie"/>
          <w:rFonts w:ascii="Century Gothic" w:hAnsi="Century Gothic" w:cs="Arial"/>
          <w:sz w:val="16"/>
          <w:szCs w:val="16"/>
        </w:rPr>
        <w:footnoteRef/>
      </w:r>
      <w:r w:rsidRPr="005064D0">
        <w:rPr>
          <w:rFonts w:ascii="Century Gothic" w:hAnsi="Century Gothic" w:cs="Arial"/>
          <w:sz w:val="16"/>
          <w:szCs w:val="16"/>
        </w:rPr>
        <w:t xml:space="preserve"> Consejo de Estado. Sala de Consulta y Servicio Civil. Concepto del 2 de septiembre de 2013. Radicación número: 11001-03-06-000-2013-00412-00 (2168). Consejero Ponente: Álvaro </w:t>
      </w:r>
      <w:proofErr w:type="spellStart"/>
      <w:r w:rsidRPr="005064D0">
        <w:rPr>
          <w:rFonts w:ascii="Century Gothic" w:hAnsi="Century Gothic" w:cs="Arial"/>
          <w:sz w:val="16"/>
          <w:szCs w:val="16"/>
        </w:rPr>
        <w:t>Namén</w:t>
      </w:r>
      <w:proofErr w:type="spellEnd"/>
      <w:r w:rsidRPr="005064D0">
        <w:rPr>
          <w:rFonts w:ascii="Century Gothic" w:hAnsi="Century Gothic" w:cs="Arial"/>
          <w:sz w:val="16"/>
          <w:szCs w:val="16"/>
        </w:rPr>
        <w:t xml:space="preserve">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756841" w:rsidRDefault="001F4135" w14:paraId="1DB3219E" w14:textId="77777777">
    <w:pPr>
      <w:pStyle w:val="Encabezado"/>
    </w:pPr>
    <w:r>
      <w:rPr>
        <w:noProof/>
        <w:lang w:val="en-US"/>
      </w:rPr>
      <w:drawing>
        <wp:anchor distT="0" distB="0" distL="114300" distR="114300" simplePos="0" relativeHeight="251659264" behindDoc="1" locked="0" layoutInCell="1" allowOverlap="1" wp14:anchorId="6F8D88CF" wp14:editId="23C65115">
          <wp:simplePos x="0" y="0"/>
          <wp:positionH relativeFrom="margin">
            <wp:align>right</wp:align>
          </wp:positionH>
          <wp:positionV relativeFrom="margin">
            <wp:posOffset>-1135380</wp:posOffset>
          </wp:positionV>
          <wp:extent cx="1757045" cy="628650"/>
          <wp:effectExtent l="0" t="0" r="0" b="0"/>
          <wp:wrapNone/>
          <wp:docPr id="2"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Cs w:val="24"/>
        <w:lang w:val="en-US"/>
      </w:rPr>
      <w:drawing>
        <wp:anchor distT="0" distB="0" distL="114300" distR="114300" simplePos="0" relativeHeight="251663360" behindDoc="0" locked="0" layoutInCell="1" allowOverlap="1" wp14:anchorId="0A214B0E" wp14:editId="3A4902F2">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4"/>
        <w:lang w:val="en-US"/>
      </w:rPr>
      <w:drawing>
        <wp:anchor distT="0" distB="0" distL="114300" distR="114300" simplePos="0" relativeHeight="251661312" behindDoc="0" locked="0" layoutInCell="1" allowOverlap="1" wp14:anchorId="1E02D3DC" wp14:editId="6D865F82">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570AEE18" wp14:editId="595CEFE6">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614E60" w14:paraId="7C1D7240" w14:textId="77777777">
    <w:pPr>
      <w:pStyle w:val="Encabezado"/>
    </w:pPr>
  </w:p>
  <w:p w:rsidR="00756841" w:rsidRDefault="00614E60" w14:paraId="10B508E0" w14:textId="77777777">
    <w:pPr>
      <w:pStyle w:val="Encabezado"/>
    </w:pPr>
  </w:p>
  <w:p w:rsidRPr="004A305D" w:rsidR="004A305D" w:rsidP="004A305D" w:rsidRDefault="001F4135" w14:paraId="0C22242A" w14:textId="77777777">
    <w:pPr>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1F4135" w14:paraId="14D207DF" w14:textId="77777777">
    <w:pPr>
      <w:pBdr>
        <w:top w:val="nil"/>
        <w:left w:val="nil"/>
        <w:bottom w:val="nil"/>
        <w:right w:val="nil"/>
        <w:between w:val="nil"/>
      </w:pBdr>
      <w:tabs>
        <w:tab w:val="center" w:pos="4419"/>
        <w:tab w:val="right" w:pos="8838"/>
        <w:tab w:val="center" w:pos="5400"/>
      </w:tabs>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Pr>
        <w:rFonts w:ascii="Century Gothic" w:hAnsi="Century Gothic" w:eastAsia="Geo" w:cs="Geo"/>
        <w:bCs/>
        <w:color w:val="000000"/>
        <w:sz w:val="16"/>
        <w:szCs w:val="16"/>
        <w:lang w:eastAsia="es-CO"/>
      </w:rPr>
      <w:t>13</w:t>
    </w:r>
  </w:p>
  <w:p w:rsidRPr="004A305D" w:rsidR="004A305D" w:rsidP="004A305D" w:rsidRDefault="001F4135" w14:paraId="5884BAB8" w14:textId="77777777">
    <w:pPr>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Pr>
        <w:rFonts w:ascii="Century Gothic" w:hAnsi="Century Gothic" w:eastAsia="Geo" w:cs="Geo"/>
        <w:sz w:val="16"/>
        <w:szCs w:val="16"/>
        <w:lang w:eastAsia="es-CO"/>
      </w:rPr>
      <w:t>3</w:t>
    </w:r>
  </w:p>
  <w:p w:rsidR="008A446D" w:rsidRDefault="00614E60" w14:paraId="76FC1456"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1"/>
      <w:numFmt w:val="decimal"/>
      <w:lvlText w:val="%1."/>
      <w:lvlJc w:val="left"/>
      <w:pPr>
        <w:ind w:left="402" w:hanging="284"/>
      </w:pPr>
      <w:rPr>
        <w:rFonts w:ascii="Arial" w:hAnsi="Arial" w:cs="Arial"/>
        <w:b/>
        <w:bCs/>
        <w:i w:val="0"/>
        <w:iCs w:val="0"/>
        <w:spacing w:val="-1"/>
        <w:w w:val="100"/>
        <w:sz w:val="22"/>
        <w:szCs w:val="22"/>
      </w:rPr>
    </w:lvl>
    <w:lvl w:ilvl="1">
      <w:start w:val="1"/>
      <w:numFmt w:val="decimal"/>
      <w:lvlText w:val="%1.%2."/>
      <w:lvlJc w:val="left"/>
      <w:pPr>
        <w:ind w:left="118" w:hanging="421"/>
      </w:pPr>
      <w:rPr>
        <w:rFonts w:ascii="Arial" w:hAnsi="Arial" w:cs="Arial"/>
        <w:b/>
        <w:bCs/>
        <w:i w:val="0"/>
        <w:iCs w:val="0"/>
        <w:spacing w:val="-1"/>
        <w:w w:val="100"/>
        <w:sz w:val="22"/>
        <w:szCs w:val="22"/>
      </w:rPr>
    </w:lvl>
    <w:lvl w:ilvl="2">
      <w:numFmt w:val="bullet"/>
      <w:lvlText w:val="•"/>
      <w:lvlJc w:val="left"/>
      <w:pPr>
        <w:ind w:left="1433" w:hanging="421"/>
      </w:pPr>
    </w:lvl>
    <w:lvl w:ilvl="3">
      <w:numFmt w:val="bullet"/>
      <w:lvlText w:val="•"/>
      <w:lvlJc w:val="left"/>
      <w:pPr>
        <w:ind w:left="2466" w:hanging="421"/>
      </w:pPr>
    </w:lvl>
    <w:lvl w:ilvl="4">
      <w:numFmt w:val="bullet"/>
      <w:lvlText w:val="•"/>
      <w:lvlJc w:val="left"/>
      <w:pPr>
        <w:ind w:left="3500" w:hanging="421"/>
      </w:pPr>
    </w:lvl>
    <w:lvl w:ilvl="5">
      <w:numFmt w:val="bullet"/>
      <w:lvlText w:val="•"/>
      <w:lvlJc w:val="left"/>
      <w:pPr>
        <w:ind w:left="4533" w:hanging="421"/>
      </w:pPr>
    </w:lvl>
    <w:lvl w:ilvl="6">
      <w:numFmt w:val="bullet"/>
      <w:lvlText w:val="•"/>
      <w:lvlJc w:val="left"/>
      <w:pPr>
        <w:ind w:left="5566" w:hanging="421"/>
      </w:pPr>
    </w:lvl>
    <w:lvl w:ilvl="7">
      <w:numFmt w:val="bullet"/>
      <w:lvlText w:val="•"/>
      <w:lvlJc w:val="left"/>
      <w:pPr>
        <w:ind w:left="6600" w:hanging="421"/>
      </w:pPr>
    </w:lvl>
    <w:lvl w:ilvl="8">
      <w:numFmt w:val="bullet"/>
      <w:lvlText w:val="•"/>
      <w:lvlJc w:val="left"/>
      <w:pPr>
        <w:ind w:left="7633" w:hanging="421"/>
      </w:pPr>
    </w:lvl>
  </w:abstractNum>
  <w:abstractNum w:abstractNumId="1" w15:restartNumberingAfterBreak="0">
    <w:nsid w:val="00000403"/>
    <w:multiLevelType w:val="multilevel"/>
    <w:tmpl w:val="FFFFFFFF"/>
    <w:lvl w:ilvl="0">
      <w:start w:val="2"/>
      <w:numFmt w:val="decimal"/>
      <w:lvlText w:val="%1"/>
      <w:lvlJc w:val="left"/>
      <w:pPr>
        <w:ind w:left="546" w:hanging="429"/>
      </w:pPr>
      <w:rPr>
        <w:rFonts w:cs="Times New Roman"/>
      </w:rPr>
    </w:lvl>
    <w:lvl w:ilvl="1">
      <w:start w:val="1"/>
      <w:numFmt w:val="decimal"/>
      <w:lvlText w:val="%1.%2."/>
      <w:lvlJc w:val="left"/>
      <w:pPr>
        <w:ind w:left="546" w:hanging="429"/>
      </w:pPr>
      <w:rPr>
        <w:rFonts w:ascii="Arial" w:hAnsi="Arial" w:cs="Arial"/>
        <w:b/>
        <w:bCs/>
        <w:i w:val="0"/>
        <w:iCs w:val="0"/>
        <w:spacing w:val="-1"/>
        <w:w w:val="100"/>
        <w:sz w:val="22"/>
        <w:szCs w:val="22"/>
      </w:rPr>
    </w:lvl>
    <w:lvl w:ilvl="2">
      <w:numFmt w:val="bullet"/>
      <w:lvlText w:val="•"/>
      <w:lvlJc w:val="left"/>
      <w:pPr>
        <w:ind w:left="2372" w:hanging="429"/>
      </w:pPr>
    </w:lvl>
    <w:lvl w:ilvl="3">
      <w:numFmt w:val="bullet"/>
      <w:lvlText w:val="•"/>
      <w:lvlJc w:val="left"/>
      <w:pPr>
        <w:ind w:left="3288" w:hanging="429"/>
      </w:pPr>
    </w:lvl>
    <w:lvl w:ilvl="4">
      <w:numFmt w:val="bullet"/>
      <w:lvlText w:val="•"/>
      <w:lvlJc w:val="left"/>
      <w:pPr>
        <w:ind w:left="4204" w:hanging="429"/>
      </w:pPr>
    </w:lvl>
    <w:lvl w:ilvl="5">
      <w:numFmt w:val="bullet"/>
      <w:lvlText w:val="•"/>
      <w:lvlJc w:val="left"/>
      <w:pPr>
        <w:ind w:left="5120" w:hanging="429"/>
      </w:pPr>
    </w:lvl>
    <w:lvl w:ilvl="6">
      <w:numFmt w:val="bullet"/>
      <w:lvlText w:val="•"/>
      <w:lvlJc w:val="left"/>
      <w:pPr>
        <w:ind w:left="6036" w:hanging="429"/>
      </w:pPr>
    </w:lvl>
    <w:lvl w:ilvl="7">
      <w:numFmt w:val="bullet"/>
      <w:lvlText w:val="•"/>
      <w:lvlJc w:val="left"/>
      <w:pPr>
        <w:ind w:left="6952" w:hanging="429"/>
      </w:pPr>
    </w:lvl>
    <w:lvl w:ilvl="8">
      <w:numFmt w:val="bullet"/>
      <w:lvlText w:val="•"/>
      <w:lvlJc w:val="left"/>
      <w:pPr>
        <w:ind w:left="7868" w:hanging="429"/>
      </w:pPr>
    </w:lvl>
  </w:abstractNum>
  <w:abstractNum w:abstractNumId="2" w15:restartNumberingAfterBreak="0">
    <w:nsid w:val="01C06310"/>
    <w:multiLevelType w:val="multilevel"/>
    <w:tmpl w:val="0466215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4" w15:restartNumberingAfterBreak="0">
    <w:nsid w:val="0AB034EF"/>
    <w:multiLevelType w:val="multilevel"/>
    <w:tmpl w:val="D34488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91187"/>
    <w:multiLevelType w:val="hybridMultilevel"/>
    <w:tmpl w:val="C5B680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6642366"/>
    <w:multiLevelType w:val="multilevel"/>
    <w:tmpl w:val="785CF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D24E90"/>
    <w:multiLevelType w:val="multilevel"/>
    <w:tmpl w:val="45902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661AD"/>
    <w:multiLevelType w:val="hybridMultilevel"/>
    <w:tmpl w:val="DEA2B0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2D396F"/>
    <w:multiLevelType w:val="hybridMultilevel"/>
    <w:tmpl w:val="8764B258"/>
    <w:lvl w:ilvl="0" w:tplc="491E5E12">
      <w:start w:val="1"/>
      <w:numFmt w:val="lowerRoman"/>
      <w:lvlText w:val="(%1)"/>
      <w:lvlJc w:val="left"/>
      <w:pPr>
        <w:ind w:left="1546" w:hanging="720"/>
      </w:pPr>
      <w:rPr>
        <w:rFonts w:hint="default"/>
      </w:rPr>
    </w:lvl>
    <w:lvl w:ilvl="1" w:tplc="240A0019" w:tentative="1">
      <w:start w:val="1"/>
      <w:numFmt w:val="lowerLetter"/>
      <w:lvlText w:val="%2."/>
      <w:lvlJc w:val="left"/>
      <w:pPr>
        <w:ind w:left="1906" w:hanging="360"/>
      </w:pPr>
    </w:lvl>
    <w:lvl w:ilvl="2" w:tplc="240A001B" w:tentative="1">
      <w:start w:val="1"/>
      <w:numFmt w:val="lowerRoman"/>
      <w:lvlText w:val="%3."/>
      <w:lvlJc w:val="right"/>
      <w:pPr>
        <w:ind w:left="2626" w:hanging="180"/>
      </w:pPr>
    </w:lvl>
    <w:lvl w:ilvl="3" w:tplc="240A000F" w:tentative="1">
      <w:start w:val="1"/>
      <w:numFmt w:val="decimal"/>
      <w:lvlText w:val="%4."/>
      <w:lvlJc w:val="left"/>
      <w:pPr>
        <w:ind w:left="3346" w:hanging="360"/>
      </w:pPr>
    </w:lvl>
    <w:lvl w:ilvl="4" w:tplc="240A0019" w:tentative="1">
      <w:start w:val="1"/>
      <w:numFmt w:val="lowerLetter"/>
      <w:lvlText w:val="%5."/>
      <w:lvlJc w:val="left"/>
      <w:pPr>
        <w:ind w:left="4066" w:hanging="360"/>
      </w:pPr>
    </w:lvl>
    <w:lvl w:ilvl="5" w:tplc="240A001B" w:tentative="1">
      <w:start w:val="1"/>
      <w:numFmt w:val="lowerRoman"/>
      <w:lvlText w:val="%6."/>
      <w:lvlJc w:val="right"/>
      <w:pPr>
        <w:ind w:left="4786" w:hanging="180"/>
      </w:pPr>
    </w:lvl>
    <w:lvl w:ilvl="6" w:tplc="240A000F" w:tentative="1">
      <w:start w:val="1"/>
      <w:numFmt w:val="decimal"/>
      <w:lvlText w:val="%7."/>
      <w:lvlJc w:val="left"/>
      <w:pPr>
        <w:ind w:left="5506" w:hanging="360"/>
      </w:pPr>
    </w:lvl>
    <w:lvl w:ilvl="7" w:tplc="240A0019" w:tentative="1">
      <w:start w:val="1"/>
      <w:numFmt w:val="lowerLetter"/>
      <w:lvlText w:val="%8."/>
      <w:lvlJc w:val="left"/>
      <w:pPr>
        <w:ind w:left="6226" w:hanging="360"/>
      </w:pPr>
    </w:lvl>
    <w:lvl w:ilvl="8" w:tplc="240A001B" w:tentative="1">
      <w:start w:val="1"/>
      <w:numFmt w:val="lowerRoman"/>
      <w:lvlText w:val="%9."/>
      <w:lvlJc w:val="right"/>
      <w:pPr>
        <w:ind w:left="6946" w:hanging="180"/>
      </w:pPr>
    </w:lvl>
  </w:abstractNum>
  <w:abstractNum w:abstractNumId="10"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F4D3E07"/>
    <w:multiLevelType w:val="multilevel"/>
    <w:tmpl w:val="9B348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A0030B"/>
    <w:multiLevelType w:val="multilevel"/>
    <w:tmpl w:val="1C567DE4"/>
    <w:lvl w:ilvl="0">
      <w:start w:val="1"/>
      <w:numFmt w:val="decimal"/>
      <w:lvlText w:val="%1."/>
      <w:lvlJc w:val="left"/>
      <w:pPr>
        <w:ind w:left="4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525" w:hanging="425"/>
      </w:pPr>
      <w:rPr>
        <w:rFonts w:hint="default" w:ascii="Arial" w:hAnsi="Arial" w:eastAsia="Arial" w:cs="Arial"/>
        <w:b/>
        <w:bCs/>
        <w:color w:val="000000" w:themeColor="text1"/>
        <w:spacing w:val="-1"/>
        <w:w w:val="100"/>
        <w:sz w:val="22"/>
        <w:szCs w:val="22"/>
        <w:lang w:val="es-ES" w:eastAsia="en-US" w:bidi="ar-SA"/>
      </w:rPr>
    </w:lvl>
    <w:lvl w:ilvl="2">
      <w:start w:val="1"/>
      <w:numFmt w:val="lowerLetter"/>
      <w:lvlText w:val="%3)"/>
      <w:lvlJc w:val="left"/>
      <w:pPr>
        <w:ind w:left="805" w:hanging="273"/>
      </w:pPr>
      <w:rPr>
        <w:rFonts w:hint="default" w:ascii="Arial" w:hAnsi="Arial" w:eastAsia="Arial" w:cs="Arial"/>
        <w:color w:val="auto"/>
        <w:spacing w:val="-1"/>
        <w:w w:val="100"/>
        <w:sz w:val="22"/>
        <w:szCs w:val="22"/>
        <w:lang w:val="es-ES" w:eastAsia="en-US" w:bidi="ar-SA"/>
      </w:rPr>
    </w:lvl>
    <w:lvl w:ilvl="3">
      <w:numFmt w:val="bullet"/>
      <w:lvlText w:val="•"/>
      <w:lvlJc w:val="left"/>
      <w:pPr>
        <w:ind w:left="800" w:hanging="273"/>
      </w:pPr>
      <w:rPr>
        <w:lang w:val="es-ES" w:eastAsia="en-US" w:bidi="ar-SA"/>
      </w:rPr>
    </w:lvl>
    <w:lvl w:ilvl="4">
      <w:numFmt w:val="bullet"/>
      <w:lvlText w:val="•"/>
      <w:lvlJc w:val="left"/>
      <w:pPr>
        <w:ind w:left="1991" w:hanging="273"/>
      </w:pPr>
      <w:rPr>
        <w:lang w:val="es-ES" w:eastAsia="en-US" w:bidi="ar-SA"/>
      </w:rPr>
    </w:lvl>
    <w:lvl w:ilvl="5">
      <w:numFmt w:val="bullet"/>
      <w:lvlText w:val="•"/>
      <w:lvlJc w:val="left"/>
      <w:pPr>
        <w:ind w:left="3182" w:hanging="273"/>
      </w:pPr>
      <w:rPr>
        <w:lang w:val="es-ES" w:eastAsia="en-US" w:bidi="ar-SA"/>
      </w:rPr>
    </w:lvl>
    <w:lvl w:ilvl="6">
      <w:numFmt w:val="bullet"/>
      <w:lvlText w:val="•"/>
      <w:lvlJc w:val="left"/>
      <w:pPr>
        <w:ind w:left="4374" w:hanging="273"/>
      </w:pPr>
      <w:rPr>
        <w:lang w:val="es-ES" w:eastAsia="en-US" w:bidi="ar-SA"/>
      </w:rPr>
    </w:lvl>
    <w:lvl w:ilvl="7">
      <w:numFmt w:val="bullet"/>
      <w:lvlText w:val="•"/>
      <w:lvlJc w:val="left"/>
      <w:pPr>
        <w:ind w:left="5565" w:hanging="273"/>
      </w:pPr>
      <w:rPr>
        <w:lang w:val="es-ES" w:eastAsia="en-US" w:bidi="ar-SA"/>
      </w:rPr>
    </w:lvl>
    <w:lvl w:ilvl="8">
      <w:numFmt w:val="bullet"/>
      <w:lvlText w:val="•"/>
      <w:lvlJc w:val="left"/>
      <w:pPr>
        <w:ind w:left="6757" w:hanging="273"/>
      </w:pPr>
      <w:rPr>
        <w:lang w:val="es-ES" w:eastAsia="en-US" w:bidi="ar-SA"/>
      </w:rPr>
    </w:lvl>
  </w:abstractNum>
  <w:abstractNum w:abstractNumId="14" w15:restartNumberingAfterBreak="0">
    <w:nsid w:val="5F063043"/>
    <w:multiLevelType w:val="hybridMultilevel"/>
    <w:tmpl w:val="CD8CEEF4"/>
    <w:lvl w:ilvl="0" w:tplc="94F86670">
      <w:start w:val="1"/>
      <w:numFmt w:val="lowerLetter"/>
      <w:lvlText w:val="%1)"/>
      <w:lvlJc w:val="left"/>
      <w:pPr>
        <w:ind w:left="805" w:hanging="273"/>
      </w:pPr>
      <w:rPr>
        <w:rFonts w:hint="default" w:ascii="Arial" w:hAnsi="Arial" w:eastAsia="Arial" w:cs="Arial"/>
        <w:color w:val="auto"/>
        <w:spacing w:val="-1"/>
        <w:w w:val="100"/>
        <w:sz w:val="22"/>
        <w:szCs w:val="22"/>
        <w:lang w:val="es-ES" w:eastAsia="en-US" w:bidi="ar-SA"/>
      </w:rPr>
    </w:lvl>
    <w:lvl w:ilvl="1" w:tplc="BE704DAA">
      <w:numFmt w:val="bullet"/>
      <w:lvlText w:val="•"/>
      <w:lvlJc w:val="left"/>
      <w:pPr>
        <w:ind w:left="1634" w:hanging="273"/>
      </w:pPr>
      <w:rPr>
        <w:lang w:val="es-ES" w:eastAsia="en-US" w:bidi="ar-SA"/>
      </w:rPr>
    </w:lvl>
    <w:lvl w:ilvl="2" w:tplc="FC8AC826">
      <w:numFmt w:val="bullet"/>
      <w:lvlText w:val="•"/>
      <w:lvlJc w:val="left"/>
      <w:pPr>
        <w:ind w:left="2468" w:hanging="273"/>
      </w:pPr>
      <w:rPr>
        <w:lang w:val="es-ES" w:eastAsia="en-US" w:bidi="ar-SA"/>
      </w:rPr>
    </w:lvl>
    <w:lvl w:ilvl="3" w:tplc="0C847B66">
      <w:numFmt w:val="bullet"/>
      <w:lvlText w:val="•"/>
      <w:lvlJc w:val="left"/>
      <w:pPr>
        <w:ind w:left="3302" w:hanging="273"/>
      </w:pPr>
      <w:rPr>
        <w:lang w:val="es-ES" w:eastAsia="en-US" w:bidi="ar-SA"/>
      </w:rPr>
    </w:lvl>
    <w:lvl w:ilvl="4" w:tplc="79E827D4">
      <w:numFmt w:val="bullet"/>
      <w:lvlText w:val="•"/>
      <w:lvlJc w:val="left"/>
      <w:pPr>
        <w:ind w:left="4136" w:hanging="273"/>
      </w:pPr>
      <w:rPr>
        <w:lang w:val="es-ES" w:eastAsia="en-US" w:bidi="ar-SA"/>
      </w:rPr>
    </w:lvl>
    <w:lvl w:ilvl="5" w:tplc="53925CC2">
      <w:numFmt w:val="bullet"/>
      <w:lvlText w:val="•"/>
      <w:lvlJc w:val="left"/>
      <w:pPr>
        <w:ind w:left="4970" w:hanging="273"/>
      </w:pPr>
      <w:rPr>
        <w:lang w:val="es-ES" w:eastAsia="en-US" w:bidi="ar-SA"/>
      </w:rPr>
    </w:lvl>
    <w:lvl w:ilvl="6" w:tplc="1ADCED9A">
      <w:numFmt w:val="bullet"/>
      <w:lvlText w:val="•"/>
      <w:lvlJc w:val="left"/>
      <w:pPr>
        <w:ind w:left="5804" w:hanging="273"/>
      </w:pPr>
      <w:rPr>
        <w:lang w:val="es-ES" w:eastAsia="en-US" w:bidi="ar-SA"/>
      </w:rPr>
    </w:lvl>
    <w:lvl w:ilvl="7" w:tplc="BA445070">
      <w:numFmt w:val="bullet"/>
      <w:lvlText w:val="•"/>
      <w:lvlJc w:val="left"/>
      <w:pPr>
        <w:ind w:left="6638" w:hanging="273"/>
      </w:pPr>
      <w:rPr>
        <w:lang w:val="es-ES" w:eastAsia="en-US" w:bidi="ar-SA"/>
      </w:rPr>
    </w:lvl>
    <w:lvl w:ilvl="8" w:tplc="2BF2500E">
      <w:numFmt w:val="bullet"/>
      <w:lvlText w:val="•"/>
      <w:lvlJc w:val="left"/>
      <w:pPr>
        <w:ind w:left="7472" w:hanging="273"/>
      </w:pPr>
      <w:rPr>
        <w:lang w:val="es-ES" w:eastAsia="en-US" w:bidi="ar-SA"/>
      </w:rPr>
    </w:lvl>
  </w:abstractNum>
  <w:abstractNum w:abstractNumId="15" w15:restartNumberingAfterBreak="0">
    <w:nsid w:val="7795733C"/>
    <w:multiLevelType w:val="multilevel"/>
    <w:tmpl w:val="34CE1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num>
  <w:num w:numId="7">
    <w:abstractNumId w:val="12"/>
  </w:num>
  <w:num w:numId="8">
    <w:abstractNumId w:val="6"/>
  </w:num>
  <w:num w:numId="9">
    <w:abstractNumId w:val="7"/>
  </w:num>
  <w:num w:numId="10">
    <w:abstractNumId w:val="4"/>
  </w:num>
  <w:num w:numId="11">
    <w:abstractNumId w:val="0"/>
  </w:num>
  <w:num w:numId="12">
    <w:abstractNumId w:val="1"/>
  </w:num>
  <w:num w:numId="13">
    <w:abstractNumId w:val="9"/>
  </w:num>
  <w:num w:numId="14">
    <w:abstractNumId w:val="8"/>
  </w:num>
  <w:num w:numId="15">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22"/>
    <w:rsid w:val="00004D21"/>
    <w:rsid w:val="00067431"/>
    <w:rsid w:val="000A7EA1"/>
    <w:rsid w:val="000B58CB"/>
    <w:rsid w:val="00130E32"/>
    <w:rsid w:val="001A04B3"/>
    <w:rsid w:val="001E662A"/>
    <w:rsid w:val="001F4135"/>
    <w:rsid w:val="00210AB4"/>
    <w:rsid w:val="00236F27"/>
    <w:rsid w:val="002440CE"/>
    <w:rsid w:val="002E3F56"/>
    <w:rsid w:val="0037143C"/>
    <w:rsid w:val="00381034"/>
    <w:rsid w:val="0039193E"/>
    <w:rsid w:val="00456B75"/>
    <w:rsid w:val="0048146C"/>
    <w:rsid w:val="0049730B"/>
    <w:rsid w:val="004F0626"/>
    <w:rsid w:val="00572576"/>
    <w:rsid w:val="00576BBE"/>
    <w:rsid w:val="005B7740"/>
    <w:rsid w:val="00614E60"/>
    <w:rsid w:val="00745B1C"/>
    <w:rsid w:val="0085504A"/>
    <w:rsid w:val="00857080"/>
    <w:rsid w:val="00862150"/>
    <w:rsid w:val="00870F64"/>
    <w:rsid w:val="00883768"/>
    <w:rsid w:val="00965553"/>
    <w:rsid w:val="00A17A93"/>
    <w:rsid w:val="00A81A3E"/>
    <w:rsid w:val="00AB5D9E"/>
    <w:rsid w:val="00AC653C"/>
    <w:rsid w:val="00AF3095"/>
    <w:rsid w:val="00B17B01"/>
    <w:rsid w:val="00B203A9"/>
    <w:rsid w:val="00B471FA"/>
    <w:rsid w:val="00BB7D32"/>
    <w:rsid w:val="00BE5AEE"/>
    <w:rsid w:val="00C94851"/>
    <w:rsid w:val="00C958D3"/>
    <w:rsid w:val="00D85650"/>
    <w:rsid w:val="00DD4F22"/>
    <w:rsid w:val="00E0145C"/>
    <w:rsid w:val="00E2686F"/>
    <w:rsid w:val="00E61381"/>
    <w:rsid w:val="00E804AA"/>
    <w:rsid w:val="00F51644"/>
    <w:rsid w:val="00F846FC"/>
    <w:rsid w:val="00F96691"/>
    <w:rsid w:val="0856CA31"/>
    <w:rsid w:val="11B933DA"/>
    <w:rsid w:val="1355043B"/>
    <w:rsid w:val="173C9FF1"/>
    <w:rsid w:val="1F89B36D"/>
    <w:rsid w:val="22E876BB"/>
    <w:rsid w:val="2A7B8486"/>
    <w:rsid w:val="40568186"/>
    <w:rsid w:val="42DE2754"/>
    <w:rsid w:val="4D1BDC31"/>
    <w:rsid w:val="4EB7AC92"/>
    <w:rsid w:val="59521EFA"/>
    <w:rsid w:val="7D90D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B3BD"/>
  <w15:chartTrackingRefBased/>
  <w15:docId w15:val="{817542E0-B457-4882-8BCF-7B8E4BE6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57080"/>
    <w:pPr>
      <w:spacing w:after="0" w:line="240" w:lineRule="auto"/>
    </w:pPr>
    <w:rPr>
      <w:sz w:val="24"/>
      <w:lang w:val="es-MX"/>
    </w:rPr>
  </w:style>
  <w:style w:type="paragraph" w:styleId="Ttulo1">
    <w:name w:val="heading 1"/>
    <w:basedOn w:val="Normal"/>
    <w:link w:val="Ttulo1Car"/>
    <w:uiPriority w:val="9"/>
    <w:qFormat/>
    <w:rsid w:val="00DD4F22"/>
    <w:pPr>
      <w:widowControl w:val="0"/>
      <w:autoSpaceDE w:val="0"/>
      <w:autoSpaceDN w:val="0"/>
      <w:spacing w:before="1"/>
      <w:ind w:left="1181" w:hanging="360"/>
      <w:outlineLvl w:val="0"/>
    </w:pPr>
    <w:rPr>
      <w:rFonts w:ascii="Arial" w:hAnsi="Arial" w:eastAsia="Arial" w:cs="Arial"/>
      <w:b/>
      <w:bCs/>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DD4F22"/>
    <w:rPr>
      <w:rFonts w:ascii="Arial" w:hAnsi="Arial" w:eastAsia="Arial" w:cs="Arial"/>
      <w:b/>
      <w:bCs/>
      <w:lang w:val="es-ES"/>
    </w:rPr>
  </w:style>
  <w:style w:type="paragraph" w:styleId="Encabezado">
    <w:name w:val="header"/>
    <w:basedOn w:val="Normal"/>
    <w:link w:val="EncabezadoCar"/>
    <w:uiPriority w:val="99"/>
    <w:unhideWhenUsed/>
    <w:rsid w:val="00DD4F22"/>
    <w:pPr>
      <w:tabs>
        <w:tab w:val="center" w:pos="4419"/>
        <w:tab w:val="right" w:pos="8838"/>
      </w:tabs>
    </w:pPr>
  </w:style>
  <w:style w:type="character" w:styleId="EncabezadoCar" w:customStyle="1">
    <w:name w:val="Encabezado Car"/>
    <w:basedOn w:val="Fuentedeprrafopredeter"/>
    <w:link w:val="Encabezado"/>
    <w:uiPriority w:val="99"/>
    <w:rsid w:val="00DD4F22"/>
    <w:rPr>
      <w:lang w:val="es-CO"/>
    </w:rPr>
  </w:style>
  <w:style w:type="paragraph" w:styleId="Piedepgina">
    <w:name w:val="footer"/>
    <w:basedOn w:val="Normal"/>
    <w:link w:val="PiedepginaCar"/>
    <w:uiPriority w:val="99"/>
    <w:unhideWhenUsed/>
    <w:rsid w:val="00DD4F22"/>
    <w:pPr>
      <w:tabs>
        <w:tab w:val="center" w:pos="4419"/>
        <w:tab w:val="right" w:pos="8838"/>
      </w:tabs>
    </w:pPr>
  </w:style>
  <w:style w:type="character" w:styleId="PiedepginaCar" w:customStyle="1">
    <w:name w:val="Pie de página Car"/>
    <w:basedOn w:val="Fuentedeprrafopredeter"/>
    <w:link w:val="Piedepgina"/>
    <w:uiPriority w:val="99"/>
    <w:rsid w:val="00DD4F22"/>
    <w:rPr>
      <w:lang w:val="es-CO"/>
    </w:rPr>
  </w:style>
  <w:style w:type="paragraph" w:styleId="Default" w:customStyle="1">
    <w:name w:val="Default"/>
    <w:rsid w:val="00DD4F22"/>
    <w:pPr>
      <w:autoSpaceDE w:val="0"/>
      <w:autoSpaceDN w:val="0"/>
      <w:adjustRightInd w:val="0"/>
      <w:spacing w:after="0" w:line="240" w:lineRule="auto"/>
    </w:pPr>
    <w:rPr>
      <w:rFonts w:ascii="Arial" w:hAnsi="Arial" w:cs="Arial"/>
      <w:color w:val="000000"/>
      <w:sz w:val="24"/>
      <w:szCs w:val="24"/>
      <w:lang w:val="es-CO"/>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D4F2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DD4F22"/>
    <w:rPr>
      <w:sz w:val="20"/>
      <w:szCs w:val="20"/>
    </w:rPr>
  </w:style>
  <w:style w:type="character" w:styleId="TextonotapieCar1" w:customStyle="1">
    <w:name w:val="Texto nota pie Car1"/>
    <w:basedOn w:val="Fuentedeprrafopredeter"/>
    <w:uiPriority w:val="99"/>
    <w:semiHidden/>
    <w:rsid w:val="00DD4F22"/>
    <w:rPr>
      <w:sz w:val="20"/>
      <w:szCs w:val="20"/>
      <w:lang w:val="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D4F22"/>
    <w:rPr>
      <w:vertAlign w:val="superscript"/>
    </w:rPr>
  </w:style>
  <w:style w:type="character" w:styleId="normaltextrun" w:customStyle="1">
    <w:name w:val="normaltextrun"/>
    <w:basedOn w:val="Fuentedeprrafopredeter"/>
    <w:rsid w:val="00DD4F22"/>
  </w:style>
  <w:style w:type="table" w:styleId="Tablaconcuadrcula">
    <w:name w:val="Table Grid"/>
    <w:basedOn w:val="Tablanormal"/>
    <w:uiPriority w:val="59"/>
    <w:rsid w:val="00DD4F22"/>
    <w:pPr>
      <w:spacing w:after="0" w:line="240" w:lineRule="auto"/>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DD4F22"/>
    <w:pPr>
      <w:ind w:left="720"/>
      <w:contextualSpacing/>
    </w:pPr>
    <w:rPr>
      <w:rFonts w:ascii="Geomanist Light" w:hAnsi="Geomanist Light"/>
      <w:lang w:val="es-ES"/>
    </w:rPr>
  </w:style>
  <w:style w:type="paragraph" w:styleId="Ttulo">
    <w:name w:val="Title"/>
    <w:basedOn w:val="Normal"/>
    <w:next w:val="Normal"/>
    <w:link w:val="TtuloCar"/>
    <w:uiPriority w:val="10"/>
    <w:qFormat/>
    <w:rsid w:val="00DD4F22"/>
    <w:pPr>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DD4F22"/>
    <w:rPr>
      <w:rFonts w:ascii="Geomanist" w:hAnsi="Geomanist" w:eastAsiaTheme="majorEastAsia" w:cstheme="majorBidi"/>
      <w:spacing w:val="-10"/>
      <w:kern w:val="28"/>
      <w:szCs w:val="56"/>
      <w:lang w:val="es-ES"/>
    </w:rPr>
  </w:style>
  <w:style w:type="character" w:styleId="Refdecomentario">
    <w:name w:val="annotation reference"/>
    <w:basedOn w:val="Fuentedeprrafopredeter"/>
    <w:uiPriority w:val="99"/>
    <w:semiHidden/>
    <w:unhideWhenUsed/>
    <w:rsid w:val="00DD4F22"/>
    <w:rPr>
      <w:sz w:val="16"/>
      <w:szCs w:val="16"/>
    </w:rPr>
  </w:style>
  <w:style w:type="paragraph" w:styleId="Textocomentario">
    <w:name w:val="annotation text"/>
    <w:basedOn w:val="Normal"/>
    <w:link w:val="TextocomentarioCar"/>
    <w:uiPriority w:val="99"/>
    <w:unhideWhenUsed/>
    <w:rsid w:val="00DD4F22"/>
    <w:rPr>
      <w:sz w:val="20"/>
      <w:szCs w:val="20"/>
    </w:rPr>
  </w:style>
  <w:style w:type="character" w:styleId="TextocomentarioCar" w:customStyle="1">
    <w:name w:val="Texto comentario Car"/>
    <w:basedOn w:val="Fuentedeprrafopredeter"/>
    <w:link w:val="Textocomentario"/>
    <w:uiPriority w:val="99"/>
    <w:rsid w:val="00DD4F22"/>
    <w:rPr>
      <w:sz w:val="20"/>
      <w:szCs w:val="20"/>
      <w:lang w:val="es-CO"/>
    </w:rPr>
  </w:style>
  <w:style w:type="paragraph" w:styleId="Revisin">
    <w:name w:val="Revision"/>
    <w:hidden/>
    <w:uiPriority w:val="99"/>
    <w:semiHidden/>
    <w:rsid w:val="00DD4F22"/>
    <w:pPr>
      <w:spacing w:after="0" w:line="240" w:lineRule="auto"/>
    </w:pPr>
    <w:rPr>
      <w:lang w:val="es-CO"/>
    </w:rPr>
  </w:style>
  <w:style w:type="paragraph" w:styleId="Asuntodelcomentario">
    <w:name w:val="annotation subject"/>
    <w:basedOn w:val="Textocomentario"/>
    <w:next w:val="Textocomentario"/>
    <w:link w:val="AsuntodelcomentarioCar"/>
    <w:uiPriority w:val="99"/>
    <w:semiHidden/>
    <w:unhideWhenUsed/>
    <w:rsid w:val="00DD4F22"/>
    <w:rPr>
      <w:b/>
      <w:bCs/>
    </w:rPr>
  </w:style>
  <w:style w:type="character" w:styleId="AsuntodelcomentarioCar" w:customStyle="1">
    <w:name w:val="Asunto del comentario Car"/>
    <w:basedOn w:val="TextocomentarioCar"/>
    <w:link w:val="Asuntodelcomentario"/>
    <w:uiPriority w:val="99"/>
    <w:semiHidden/>
    <w:rsid w:val="00DD4F22"/>
    <w:rPr>
      <w:b/>
      <w:bCs/>
      <w:sz w:val="20"/>
      <w:szCs w:val="20"/>
      <w:lang w:val="es-CO"/>
    </w:rPr>
  </w:style>
  <w:style w:type="paragraph" w:styleId="Appelnotedebasde" w:customStyle="1">
    <w:name w:val="Appel note de bas de..."/>
    <w:basedOn w:val="Normal"/>
    <w:link w:val="Refdenotaalpie"/>
    <w:uiPriority w:val="99"/>
    <w:rsid w:val="00DD4F22"/>
    <w:pPr>
      <w:spacing w:line="240" w:lineRule="exact"/>
    </w:pPr>
    <w:rPr>
      <w:vertAlign w:val="superscript"/>
      <w:lang w:val="en-US"/>
    </w:rPr>
  </w:style>
  <w:style w:type="character" w:styleId="Hipervnculo">
    <w:name w:val="Hyperlink"/>
    <w:basedOn w:val="Fuentedeprrafopredeter"/>
    <w:uiPriority w:val="99"/>
    <w:unhideWhenUsed/>
    <w:rsid w:val="00DD4F22"/>
    <w:rPr>
      <w:color w:val="0000FF"/>
      <w:u w:val="single"/>
    </w:rPr>
  </w:style>
  <w:style w:type="table" w:styleId="Tablaconcuadrcula1" w:customStyle="1">
    <w:name w:val="Tabla con cuadrícula1"/>
    <w:basedOn w:val="Tablanormal"/>
    <w:next w:val="Tablaconcuadrcula"/>
    <w:uiPriority w:val="39"/>
    <w:qFormat/>
    <w:rsid w:val="00DD4F22"/>
    <w:pPr>
      <w:spacing w:after="0" w:line="240" w:lineRule="auto"/>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DD4F22"/>
    <w:pPr>
      <w:spacing w:before="100" w:beforeAutospacing="1" w:after="100" w:afterAutospacing="1"/>
    </w:pPr>
    <w:rPr>
      <w:rFonts w:ascii="Times New Roman" w:hAnsi="Times New Roman" w:eastAsia="Times New Roman" w:cs="Times New Roman"/>
      <w:szCs w:val="24"/>
      <w:lang w:eastAsia="es-CO"/>
    </w:rPr>
  </w:style>
  <w:style w:type="character" w:styleId="eop" w:customStyle="1">
    <w:name w:val="eop"/>
    <w:basedOn w:val="Fuentedeprrafopredeter"/>
    <w:rsid w:val="00DD4F22"/>
  </w:style>
  <w:style w:type="paragraph" w:styleId="NormalWeb">
    <w:name w:val="Normal (Web)"/>
    <w:basedOn w:val="Normal"/>
    <w:link w:val="NormalWebCar"/>
    <w:uiPriority w:val="99"/>
    <w:unhideWhenUsed/>
    <w:rsid w:val="00DD4F22"/>
    <w:pPr>
      <w:spacing w:before="100" w:beforeAutospacing="1" w:after="100" w:afterAutospacing="1"/>
    </w:pPr>
    <w:rPr>
      <w:rFonts w:ascii="Times New Roman" w:hAnsi="Times New Roman" w:eastAsia="Times New Roman" w:cs="Times New Roman"/>
      <w:szCs w:val="24"/>
      <w:lang w:eastAsia="es-CO"/>
    </w:rPr>
  </w:style>
  <w:style w:type="paragraph" w:styleId="Textoindependiente">
    <w:name w:val="Body Text"/>
    <w:basedOn w:val="Normal"/>
    <w:link w:val="TextoindependienteCar"/>
    <w:uiPriority w:val="1"/>
    <w:qFormat/>
    <w:rsid w:val="00DD4F22"/>
    <w:pPr>
      <w:widowControl w:val="0"/>
      <w:autoSpaceDE w:val="0"/>
      <w:autoSpaceDN w:val="0"/>
      <w:adjustRightInd w:val="0"/>
    </w:pPr>
    <w:rPr>
      <w:rFonts w:ascii="Arial" w:hAnsi="Arial" w:cs="Arial" w:eastAsiaTheme="minorEastAsia"/>
      <w:lang w:eastAsia="es-CO"/>
    </w:rPr>
  </w:style>
  <w:style w:type="character" w:styleId="TextoindependienteCar" w:customStyle="1">
    <w:name w:val="Texto independiente Car"/>
    <w:basedOn w:val="Fuentedeprrafopredeter"/>
    <w:link w:val="Textoindependiente"/>
    <w:uiPriority w:val="1"/>
    <w:rsid w:val="00DD4F22"/>
    <w:rPr>
      <w:rFonts w:ascii="Arial" w:hAnsi="Arial" w:cs="Arial" w:eastAsiaTheme="minorEastAsia"/>
      <w:lang w:val="es-CO" w:eastAsia="es-CO"/>
    </w:rPr>
  </w:style>
  <w:style w:type="table" w:styleId="Tablaconcuadrcula2" w:customStyle="1">
    <w:name w:val="Tabla con cuadrícula2"/>
    <w:basedOn w:val="Tablanormal"/>
    <w:next w:val="Tablaconcuadrcula"/>
    <w:uiPriority w:val="59"/>
    <w:qFormat/>
    <w:rsid w:val="00DD4F22"/>
    <w:pPr>
      <w:spacing w:after="0" w:line="240" w:lineRule="auto"/>
      <w:jc w:val="both"/>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aliases w:val="No Indent"/>
    <w:uiPriority w:val="1"/>
    <w:qFormat/>
    <w:rsid w:val="00DD4F22"/>
    <w:pPr>
      <w:spacing w:after="0" w:line="240" w:lineRule="auto"/>
    </w:pPr>
    <w:rPr>
      <w:lang w:val="es-CO"/>
    </w:rPr>
  </w:style>
  <w:style w:type="character" w:styleId="Hipervnculo1" w:customStyle="1">
    <w:name w:val="Hipervínculo1"/>
    <w:basedOn w:val="Fuentedeprrafopredeter"/>
    <w:uiPriority w:val="99"/>
    <w:unhideWhenUsed/>
    <w:rsid w:val="00E0145C"/>
    <w:rPr>
      <w:color w:val="F2F2F2"/>
      <w:u w:val="single"/>
    </w:rPr>
  </w:style>
  <w:style w:type="character" w:styleId="baj" w:customStyle="1">
    <w:name w:val="b_aj"/>
    <w:basedOn w:val="Fuentedeprrafopredeter"/>
    <w:rsid w:val="00870F64"/>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57080"/>
    <w:rPr>
      <w:rFonts w:ascii="Geomanist Light" w:hAnsi="Geomanist Light"/>
      <w:lang w:val="es-ES"/>
    </w:rPr>
  </w:style>
  <w:style w:type="table" w:styleId="Tablaconcuadrcula11" w:customStyle="1">
    <w:name w:val="Tabla con cuadrícula11"/>
    <w:basedOn w:val="Tablanormal"/>
    <w:next w:val="Tablaconcuadrcula"/>
    <w:uiPriority w:val="39"/>
    <w:rsid w:val="00857080"/>
    <w:pPr>
      <w:spacing w:after="0" w:line="240" w:lineRule="auto"/>
      <w:jc w:val="both"/>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ennegrita">
    <w:name w:val="Strong"/>
    <w:basedOn w:val="Fuentedeprrafopredeter"/>
    <w:uiPriority w:val="22"/>
    <w:qFormat/>
    <w:rsid w:val="00857080"/>
    <w:rPr>
      <w:b/>
      <w:bCs/>
    </w:rPr>
  </w:style>
  <w:style w:type="character" w:styleId="nfasis">
    <w:name w:val="Emphasis"/>
    <w:basedOn w:val="Fuentedeprrafopredeter"/>
    <w:uiPriority w:val="20"/>
    <w:qFormat/>
    <w:rsid w:val="00857080"/>
    <w:rPr>
      <w:i/>
      <w:iCs/>
    </w:rPr>
  </w:style>
  <w:style w:type="paragraph" w:styleId="Textodeglobo">
    <w:name w:val="Balloon Text"/>
    <w:basedOn w:val="Normal"/>
    <w:link w:val="TextodegloboCar"/>
    <w:uiPriority w:val="99"/>
    <w:semiHidden/>
    <w:unhideWhenUsed/>
    <w:rsid w:val="0085708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857080"/>
    <w:rPr>
      <w:rFonts w:ascii="Segoe UI" w:hAnsi="Segoe UI" w:cs="Segoe UI"/>
      <w:sz w:val="18"/>
      <w:szCs w:val="18"/>
      <w:lang w:val="es-MX"/>
    </w:rPr>
  </w:style>
  <w:style w:type="character" w:styleId="NormalWebCar" w:customStyle="1">
    <w:name w:val="Normal (Web) Car"/>
    <w:link w:val="NormalWeb"/>
    <w:uiPriority w:val="99"/>
    <w:rsid w:val="00B471FA"/>
    <w:rPr>
      <w:rFonts w:ascii="Times New Roman" w:hAnsi="Times New Roman" w:eastAsia="Times New Roman" w:cs="Times New Roman"/>
      <w:sz w:val="24"/>
      <w:szCs w:val="24"/>
      <w:lang w:val="es-MX"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642458">
      <w:bodyDiv w:val="1"/>
      <w:marLeft w:val="0"/>
      <w:marRight w:val="0"/>
      <w:marTop w:val="0"/>
      <w:marBottom w:val="0"/>
      <w:divBdr>
        <w:top w:val="none" w:sz="0" w:space="0" w:color="auto"/>
        <w:left w:val="none" w:sz="0" w:space="0" w:color="auto"/>
        <w:bottom w:val="none" w:sz="0" w:space="0" w:color="auto"/>
        <w:right w:val="none" w:sz="0" w:space="0" w:color="auto"/>
      </w:divBdr>
    </w:div>
    <w:div w:id="15290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settings" Target="settings.xml" Id="rId4" /><Relationship Type="http://schemas.openxmlformats.org/officeDocument/2006/relationships/theme" Target="theme/theme1.xml" Id="rId14" /><Relationship Type="http://schemas.openxmlformats.org/officeDocument/2006/relationships/image" Target="/media/image7.png" Id="R5e43cc2ae0de4ec4" /><Relationship Type="http://schemas.openxmlformats.org/officeDocument/2006/relationships/hyperlink" Target="mailto:direccionadministrativayfinanciera@semfunza.gov.co" TargetMode="External" Id="R614b32b8b0b5497e" /><Relationship Type="http://schemas.openxmlformats.org/officeDocument/2006/relationships/image" Target="/media/image8.png" Id="R2e45f5c0d64c44d6"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D4D43A-82B0-4D20-B9C9-E9992AC1EAF6}">
  <ds:schemaRefs>
    <ds:schemaRef ds:uri="http://schemas.openxmlformats.org/officeDocument/2006/bibliography"/>
  </ds:schemaRefs>
</ds:datastoreItem>
</file>

<file path=customXml/itemProps2.xml><?xml version="1.0" encoding="utf-8"?>
<ds:datastoreItem xmlns:ds="http://schemas.openxmlformats.org/officeDocument/2006/customXml" ds:itemID="{9286395C-ACA9-42E5-8D5B-6577A07C8143}"/>
</file>

<file path=customXml/itemProps3.xml><?xml version="1.0" encoding="utf-8"?>
<ds:datastoreItem xmlns:ds="http://schemas.openxmlformats.org/officeDocument/2006/customXml" ds:itemID="{BDD5FEE0-36D6-49B7-B0E6-65703E1083BB}"/>
</file>

<file path=customXml/itemProps4.xml><?xml version="1.0" encoding="utf-8"?>
<ds:datastoreItem xmlns:ds="http://schemas.openxmlformats.org/officeDocument/2006/customXml" ds:itemID="{3408B118-7EC0-4A1B-9ABD-F6A9196AF1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Padron</dc:creator>
  <cp:keywords/>
  <dc:description/>
  <cp:lastModifiedBy>Johanna Ovalle Clavijo</cp:lastModifiedBy>
  <cp:revision>6</cp:revision>
  <dcterms:created xsi:type="dcterms:W3CDTF">2023-08-30T20:40:00Z</dcterms:created>
  <dcterms:modified xsi:type="dcterms:W3CDTF">2023-08-31T14:00:24Z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