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04D9B" w14:textId="77777777" w:rsidR="00677258" w:rsidRPr="00677258" w:rsidRDefault="00677258" w:rsidP="00677258">
      <w:pPr>
        <w:spacing w:after="0" w:line="240" w:lineRule="auto"/>
        <w:jc w:val="both"/>
        <w:rPr>
          <w:rFonts w:ascii="Arial" w:eastAsia="Calibri" w:hAnsi="Arial" w:cs="Arial"/>
          <w:b/>
          <w:bCs/>
          <w:color w:val="000000" w:themeColor="text1"/>
          <w:lang w:val="es-MX"/>
        </w:rPr>
      </w:pPr>
      <w:bookmarkStart w:id="0" w:name="_Hlk94281581"/>
      <w:bookmarkStart w:id="1" w:name="_Hlk102489058"/>
      <w:bookmarkStart w:id="2" w:name="_Hlk34951122"/>
      <w:r w:rsidRPr="00677258">
        <w:rPr>
          <w:rFonts w:ascii="Arial" w:eastAsia="Calibri" w:hAnsi="Arial" w:cs="Arial"/>
          <w:b/>
          <w:bCs/>
          <w:color w:val="000000" w:themeColor="text1"/>
          <w:lang w:val="es-MX"/>
        </w:rPr>
        <w:t>INHABILIDADES – Definición – Finalidad – Limitación capacidad contractual</w:t>
      </w:r>
      <w:r w:rsidRPr="00677258">
        <w:rPr>
          <w:rFonts w:ascii="Arial" w:eastAsia="Calibri" w:hAnsi="Arial" w:cs="Arial"/>
          <w:b/>
          <w:bCs/>
          <w:color w:val="000000" w:themeColor="text1"/>
          <w:lang w:val="es-ES"/>
        </w:rPr>
        <w:t xml:space="preserve"> </w:t>
      </w:r>
    </w:p>
    <w:p w14:paraId="48ADE523" w14:textId="77777777" w:rsidR="00677258" w:rsidRPr="00FC5688" w:rsidRDefault="00677258" w:rsidP="00677258">
      <w:pPr>
        <w:spacing w:after="0" w:line="240" w:lineRule="auto"/>
        <w:jc w:val="both"/>
        <w:rPr>
          <w:rFonts w:ascii="Arial" w:eastAsia="Calibri" w:hAnsi="Arial" w:cs="Arial"/>
          <w:b/>
          <w:bCs/>
          <w:color w:val="000000" w:themeColor="text1"/>
          <w:lang w:val="es-MX"/>
        </w:rPr>
      </w:pPr>
    </w:p>
    <w:p w14:paraId="443C31EA" w14:textId="77777777" w:rsidR="00344458" w:rsidRDefault="00344458" w:rsidP="00344458">
      <w:pPr>
        <w:spacing w:after="0" w:line="240" w:lineRule="auto"/>
        <w:jc w:val="both"/>
        <w:rPr>
          <w:rFonts w:ascii="Arial" w:eastAsia="Calibri" w:hAnsi="Arial" w:cs="Arial"/>
          <w:bCs/>
          <w:color w:val="000000" w:themeColor="text1"/>
          <w:sz w:val="20"/>
          <w:szCs w:val="20"/>
          <w:lang w:val="es-MX"/>
        </w:rPr>
      </w:pPr>
      <w:r w:rsidRPr="00344458">
        <w:rPr>
          <w:rFonts w:ascii="Arial" w:eastAsia="Calibri" w:hAnsi="Arial" w:cs="Arial"/>
          <w:bCs/>
          <w:color w:val="000000" w:themeColor="text1"/>
          <w:sz w:val="20"/>
          <w:szCs w:val="20"/>
          <w:lang w:val="es-MX"/>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5CC386DC" w14:textId="67C9CFF7" w:rsidR="00344458" w:rsidRPr="00344458" w:rsidRDefault="00344458" w:rsidP="00344458">
      <w:pPr>
        <w:spacing w:after="0" w:line="240" w:lineRule="auto"/>
        <w:jc w:val="both"/>
        <w:rPr>
          <w:rFonts w:ascii="Arial" w:eastAsia="Calibri" w:hAnsi="Arial" w:cs="Arial"/>
          <w:bCs/>
          <w:color w:val="000000" w:themeColor="text1"/>
          <w:sz w:val="20"/>
          <w:szCs w:val="20"/>
          <w:lang w:val="es-MX"/>
        </w:rPr>
      </w:pPr>
      <w:r w:rsidRPr="00344458">
        <w:rPr>
          <w:rFonts w:ascii="Arial" w:eastAsia="Calibri" w:hAnsi="Arial" w:cs="Arial"/>
          <w:bCs/>
          <w:color w:val="000000" w:themeColor="text1"/>
          <w:sz w:val="20"/>
          <w:szCs w:val="20"/>
          <w:lang w:val="es-MX"/>
        </w:rPr>
        <w:t xml:space="preserve"> </w:t>
      </w:r>
    </w:p>
    <w:p w14:paraId="78FBE110" w14:textId="5453A929" w:rsidR="00677258" w:rsidRPr="00677258" w:rsidRDefault="00344458" w:rsidP="00344458">
      <w:pPr>
        <w:spacing w:after="0" w:line="240" w:lineRule="auto"/>
        <w:jc w:val="both"/>
        <w:rPr>
          <w:rFonts w:ascii="Arial" w:eastAsia="Calibri" w:hAnsi="Arial" w:cs="Arial"/>
          <w:bCs/>
          <w:color w:val="000000" w:themeColor="text1"/>
          <w:sz w:val="20"/>
          <w:szCs w:val="20"/>
          <w:lang w:val="es-MX"/>
        </w:rPr>
      </w:pPr>
      <w:r w:rsidRPr="00344458">
        <w:rPr>
          <w:rFonts w:ascii="Arial" w:eastAsia="Calibri" w:hAnsi="Arial" w:cs="Arial"/>
          <w:bCs/>
          <w:color w:val="000000" w:themeColor="text1"/>
          <w:sz w:val="20"/>
          <w:szCs w:val="20"/>
          <w:lang w:val="es-MX"/>
        </w:rPr>
        <w:t>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p>
    <w:p w14:paraId="71F615D3" w14:textId="77777777" w:rsidR="00677258" w:rsidRPr="00FC5688" w:rsidRDefault="00677258" w:rsidP="00677258">
      <w:pPr>
        <w:spacing w:after="0" w:line="240" w:lineRule="auto"/>
        <w:jc w:val="both"/>
        <w:rPr>
          <w:rFonts w:ascii="Arial" w:eastAsia="Calibri" w:hAnsi="Arial" w:cs="Arial"/>
          <w:bCs/>
          <w:color w:val="FF0000"/>
          <w:lang w:val="es-ES"/>
        </w:rPr>
      </w:pPr>
    </w:p>
    <w:p w14:paraId="08B038F7" w14:textId="77777777" w:rsidR="00677258" w:rsidRPr="00677258" w:rsidRDefault="00677258" w:rsidP="00677258">
      <w:pPr>
        <w:spacing w:after="0" w:line="240" w:lineRule="auto"/>
        <w:jc w:val="both"/>
        <w:rPr>
          <w:rFonts w:ascii="Arial" w:eastAsia="Calibri" w:hAnsi="Arial" w:cs="Arial"/>
          <w:b/>
          <w:bCs/>
          <w:color w:val="000000" w:themeColor="text1"/>
          <w:lang w:val="es-ES"/>
        </w:rPr>
      </w:pPr>
      <w:r w:rsidRPr="00677258">
        <w:rPr>
          <w:rFonts w:ascii="Arial" w:eastAsia="Calibri" w:hAnsi="Arial" w:cs="Arial"/>
          <w:b/>
          <w:bCs/>
          <w:lang w:val="es-ES"/>
        </w:rPr>
        <w:t xml:space="preserve">CONTRATACIÓN ESTATAL – </w:t>
      </w:r>
      <w:r w:rsidRPr="00677258">
        <w:rPr>
          <w:rFonts w:ascii="Arial" w:eastAsia="Calibri" w:hAnsi="Arial" w:cs="Arial"/>
          <w:b/>
          <w:bCs/>
          <w:color w:val="000000" w:themeColor="text1"/>
          <w:lang w:val="es-ES"/>
        </w:rPr>
        <w:t xml:space="preserve">Capacidad – Validez contratos – Régimen de contratación – Inscripción – Limitación de la capacidad </w:t>
      </w:r>
    </w:p>
    <w:p w14:paraId="6B861233" w14:textId="77777777" w:rsidR="00677258" w:rsidRPr="00FC5688" w:rsidRDefault="00677258" w:rsidP="00677258">
      <w:pPr>
        <w:spacing w:after="0" w:line="240" w:lineRule="auto"/>
        <w:jc w:val="both"/>
        <w:rPr>
          <w:rFonts w:ascii="Arial" w:eastAsia="Calibri" w:hAnsi="Arial" w:cs="Arial"/>
          <w:b/>
          <w:bCs/>
          <w:color w:val="000000" w:themeColor="text1"/>
          <w:lang w:val="es-ES"/>
        </w:rPr>
      </w:pPr>
    </w:p>
    <w:p w14:paraId="2694FF58" w14:textId="5EBD76EB" w:rsidR="009E6178" w:rsidRDefault="009E6178" w:rsidP="009E6178">
      <w:pPr>
        <w:spacing w:after="0" w:line="240" w:lineRule="auto"/>
        <w:jc w:val="both"/>
        <w:rPr>
          <w:rFonts w:ascii="Arial" w:eastAsia="Calibri" w:hAnsi="Arial" w:cs="Arial"/>
          <w:bCs/>
          <w:color w:val="000000" w:themeColor="text1"/>
          <w:sz w:val="20"/>
          <w:szCs w:val="20"/>
          <w:lang w:val="es-ES_tradnl"/>
        </w:rPr>
      </w:pPr>
      <w:r w:rsidRPr="009E6178">
        <w:rPr>
          <w:rFonts w:ascii="Arial" w:eastAsia="Calibri" w:hAnsi="Arial" w:cs="Arial"/>
          <w:bCs/>
          <w:color w:val="000000" w:themeColor="text1"/>
          <w:sz w:val="20"/>
          <w:szCs w:val="20"/>
          <w:lang w:val="es-ES_tradnl"/>
        </w:rPr>
        <w:t xml:space="preserve">En la contratación estatal, la </w:t>
      </w:r>
      <w:r w:rsidRPr="009E6178">
        <w:rPr>
          <w:rFonts w:ascii="Arial" w:eastAsia="Calibri" w:hAnsi="Arial" w:cs="Arial"/>
          <w:bCs/>
          <w:i/>
          <w:iCs/>
          <w:color w:val="000000" w:themeColor="text1"/>
          <w:sz w:val="20"/>
          <w:szCs w:val="20"/>
          <w:lang w:val="es-ES_tradnl"/>
        </w:rPr>
        <w:t>capacidad</w:t>
      </w:r>
      <w:r w:rsidRPr="009E6178">
        <w:rPr>
          <w:rFonts w:ascii="Arial" w:eastAsia="Calibri" w:hAnsi="Arial" w:cs="Arial"/>
          <w:bCs/>
          <w:color w:val="000000" w:themeColor="text1"/>
          <w:sz w:val="20"/>
          <w:szCs w:val="20"/>
          <w:lang w:val="es-ES_tradnl"/>
        </w:rPr>
        <w:t xml:space="preserve"> también es un requisito de validez de los contratos, tanto en el régimen de las entidades sujetas al Estatuto General de Contratación de la Administración Pública como en el de las entidades exceptuadas de aquel.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 –, se destaca el régimen de inhabilidades e incompatibilidades como un conjunto de normas que imponen restricciones para los sujetos que, eventualmente, pretendan participar en los procedimientos de selección o celebrar contratos con las entidades estatales.</w:t>
      </w:r>
    </w:p>
    <w:p w14:paraId="7009C193" w14:textId="77777777" w:rsidR="009E6178" w:rsidRPr="009E6178" w:rsidRDefault="009E6178" w:rsidP="009E6178">
      <w:pPr>
        <w:spacing w:after="0" w:line="240" w:lineRule="auto"/>
        <w:jc w:val="both"/>
        <w:rPr>
          <w:rFonts w:ascii="Arial" w:eastAsia="Calibri" w:hAnsi="Arial" w:cs="Arial"/>
          <w:bCs/>
          <w:color w:val="000000" w:themeColor="text1"/>
          <w:sz w:val="20"/>
          <w:szCs w:val="20"/>
          <w:lang w:val="es-ES_tradnl"/>
        </w:rPr>
      </w:pPr>
    </w:p>
    <w:p w14:paraId="344E377D" w14:textId="619C5AD8" w:rsidR="00677258" w:rsidRPr="00677258" w:rsidRDefault="009E6178" w:rsidP="009E6178">
      <w:pPr>
        <w:spacing w:after="0" w:line="240" w:lineRule="auto"/>
        <w:jc w:val="both"/>
        <w:rPr>
          <w:rFonts w:ascii="Arial" w:eastAsia="Calibri" w:hAnsi="Arial" w:cs="Arial"/>
          <w:bCs/>
          <w:color w:val="000000" w:themeColor="text1"/>
          <w:sz w:val="20"/>
          <w:szCs w:val="20"/>
          <w:lang w:val="es-ES_tradnl"/>
        </w:rPr>
      </w:pPr>
      <w:r w:rsidRPr="009E6178">
        <w:rPr>
          <w:rFonts w:ascii="Arial" w:eastAsia="Calibri" w:hAnsi="Arial" w:cs="Arial"/>
          <w:bCs/>
          <w:color w:val="000000" w:themeColor="text1"/>
          <w:sz w:val="20"/>
          <w:szCs w:val="20"/>
          <w:lang w:val="es-ES_tradnl"/>
        </w:rPr>
        <w:t xml:space="preserve">Las inhabilidades son prohibiciones para concurrir a los procedimientos de selección y para contratar con el Estado, que se derivan: i) de la existencia de comportamientos reprochables o de sanciones anteriormente impuestas, </w:t>
      </w:r>
      <w:proofErr w:type="spellStart"/>
      <w:r w:rsidRPr="009E6178">
        <w:rPr>
          <w:rFonts w:ascii="Arial" w:eastAsia="Calibri" w:hAnsi="Arial" w:cs="Arial"/>
          <w:bCs/>
          <w:color w:val="000000" w:themeColor="text1"/>
          <w:sz w:val="20"/>
          <w:szCs w:val="20"/>
          <w:lang w:val="es-ES_tradnl"/>
        </w:rPr>
        <w:t>ii</w:t>
      </w:r>
      <w:proofErr w:type="spellEnd"/>
      <w:r w:rsidRPr="009E6178">
        <w:rPr>
          <w:rFonts w:ascii="Arial" w:eastAsia="Calibri" w:hAnsi="Arial" w:cs="Arial"/>
          <w:bCs/>
          <w:color w:val="000000" w:themeColor="text1"/>
          <w:sz w:val="20"/>
          <w:szCs w:val="20"/>
          <w:lang w:val="es-ES_tradnl"/>
        </w:rPr>
        <w:t xml:space="preserve">) de vínculos personales relativos al parentesco o al estado civil o </w:t>
      </w:r>
      <w:proofErr w:type="spellStart"/>
      <w:r w:rsidRPr="009E6178">
        <w:rPr>
          <w:rFonts w:ascii="Arial" w:eastAsia="Calibri" w:hAnsi="Arial" w:cs="Arial"/>
          <w:bCs/>
          <w:color w:val="000000" w:themeColor="text1"/>
          <w:sz w:val="20"/>
          <w:szCs w:val="20"/>
          <w:lang w:val="es-ES_tradnl"/>
        </w:rPr>
        <w:t>iii</w:t>
      </w:r>
      <w:proofErr w:type="spellEnd"/>
      <w:r w:rsidRPr="009E6178">
        <w:rPr>
          <w:rFonts w:ascii="Arial" w:eastAsia="Calibri" w:hAnsi="Arial" w:cs="Arial"/>
          <w:bCs/>
          <w:color w:val="000000" w:themeColor="text1"/>
          <w:sz w:val="20"/>
          <w:szCs w:val="20"/>
          <w:lang w:val="es-ES_tradnl"/>
        </w:rPr>
        <w:t>) de una actividad u oficio que se desempeñó en el pasado. De otro lado, las incompatibilidades, según un sector de la doctrina,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En todo caso, a pesar de la existencia de distintos criterios para diferenciar las inhabilidades de las incompatibilidades, de la presencia de ellas se derivan las mismas consecuencias jurídicas, esto es, la limitación de la capacidad contractual, como se desarrolló en el numeral 2.1. de este concepto. De manera que la presencia de ellas impide que se puedan celebrar contratos con el Estado o participar en procedimientos de selección de las entidades estatales, por lo que de cualquiera de ellas se derivan los mismos efectos jurídicos.</w:t>
      </w:r>
    </w:p>
    <w:p w14:paraId="37B38682" w14:textId="77777777" w:rsidR="00677258" w:rsidRPr="00FC5688" w:rsidRDefault="00677258" w:rsidP="00677258">
      <w:pPr>
        <w:spacing w:after="0" w:line="240" w:lineRule="auto"/>
        <w:jc w:val="both"/>
        <w:rPr>
          <w:rFonts w:ascii="Arial" w:eastAsia="Calibri" w:hAnsi="Arial" w:cs="Arial"/>
          <w:bCs/>
          <w:color w:val="000000" w:themeColor="text1"/>
          <w:lang w:val="es-ES"/>
        </w:rPr>
      </w:pPr>
    </w:p>
    <w:p w14:paraId="7D3C09BB" w14:textId="77777777" w:rsidR="00677258" w:rsidRPr="00677258" w:rsidRDefault="00677258" w:rsidP="00677258">
      <w:pPr>
        <w:spacing w:after="0" w:line="240" w:lineRule="auto"/>
        <w:jc w:val="both"/>
        <w:rPr>
          <w:rFonts w:ascii="Arial" w:eastAsia="Calibri" w:hAnsi="Arial" w:cs="Arial"/>
          <w:b/>
          <w:bCs/>
          <w:color w:val="000000" w:themeColor="text1"/>
          <w:sz w:val="20"/>
          <w:szCs w:val="20"/>
          <w:lang w:val="es-ES"/>
        </w:rPr>
      </w:pPr>
      <w:r w:rsidRPr="00677258">
        <w:rPr>
          <w:rFonts w:ascii="Arial" w:eastAsia="Calibri" w:hAnsi="Arial" w:cs="Arial"/>
          <w:b/>
          <w:bCs/>
          <w:color w:val="000000" w:themeColor="text1"/>
          <w:lang w:val="es-ES"/>
        </w:rPr>
        <w:t>INHABILIDADES – Taxatividad – Principio de legalidad – Interpretación restrictiva</w:t>
      </w:r>
    </w:p>
    <w:p w14:paraId="034E4957" w14:textId="77777777" w:rsidR="00677258" w:rsidRPr="00FC5688" w:rsidRDefault="00677258" w:rsidP="00677258">
      <w:pPr>
        <w:spacing w:after="0" w:line="240" w:lineRule="auto"/>
        <w:jc w:val="both"/>
        <w:rPr>
          <w:rFonts w:ascii="Arial" w:eastAsia="Calibri" w:hAnsi="Arial" w:cs="Arial"/>
          <w:color w:val="000000" w:themeColor="text1"/>
          <w:lang w:val="es-ES"/>
        </w:rPr>
      </w:pPr>
    </w:p>
    <w:p w14:paraId="6D605290" w14:textId="5E0E39D3" w:rsidR="00677258" w:rsidRPr="00677258" w:rsidRDefault="0077046C" w:rsidP="00677258">
      <w:pPr>
        <w:spacing w:after="0" w:line="240" w:lineRule="auto"/>
        <w:jc w:val="both"/>
        <w:rPr>
          <w:rFonts w:ascii="Arial" w:eastAsia="Calibri" w:hAnsi="Arial" w:cs="Arial"/>
          <w:color w:val="000000" w:themeColor="text1"/>
          <w:sz w:val="20"/>
          <w:szCs w:val="20"/>
          <w:lang w:val="es-ES_tradnl"/>
        </w:rPr>
      </w:pPr>
      <w:r w:rsidRPr="0077046C">
        <w:rPr>
          <w:rFonts w:ascii="Arial" w:eastAsia="Calibri" w:hAnsi="Arial" w:cs="Arial"/>
          <w:color w:val="000000" w:themeColor="text1"/>
          <w:sz w:val="20"/>
          <w:szCs w:val="20"/>
          <w:lang w:val="es-ES_tradnl"/>
        </w:rPr>
        <w:t xml:space="preserve">Ahora bien, las inhabilidades e incompatibilidades al ser restricciones o límites especiales a la capacidad para presentar ofertas y celebrar contratos estatales, solo pueden tipificarse en la ley o la Constitución –o sea, deben satisfacer el principio de legalidad– y su interpretación debe ser </w:t>
      </w:r>
      <w:r w:rsidRPr="0077046C">
        <w:rPr>
          <w:rFonts w:ascii="Arial" w:eastAsia="Calibri" w:hAnsi="Arial" w:cs="Arial"/>
          <w:i/>
          <w:iCs/>
          <w:color w:val="000000" w:themeColor="text1"/>
          <w:sz w:val="20"/>
          <w:szCs w:val="20"/>
          <w:lang w:val="es-ES_tradnl"/>
        </w:rPr>
        <w:t>restrictiva</w:t>
      </w:r>
      <w:r w:rsidRPr="0077046C">
        <w:rPr>
          <w:rFonts w:ascii="Arial" w:eastAsia="Calibri" w:hAnsi="Arial" w:cs="Arial"/>
          <w:color w:val="000000" w:themeColor="text1"/>
          <w:sz w:val="20"/>
          <w:szCs w:val="20"/>
          <w:lang w:val="es-ES_tradnl"/>
        </w:rPr>
        <w:t xml:space="preserve">, pues si se admitiera una interpretación amplia, extensiva o finalista de las mismas, tales </w:t>
      </w:r>
      <w:r w:rsidRPr="0077046C">
        <w:rPr>
          <w:rFonts w:ascii="Arial" w:eastAsia="Calibri" w:hAnsi="Arial" w:cs="Arial"/>
          <w:color w:val="000000" w:themeColor="text1"/>
          <w:sz w:val="20"/>
          <w:szCs w:val="20"/>
          <w:lang w:val="es-ES_tradnl"/>
        </w:rPr>
        <w:lastRenderedPageBreak/>
        <w:t>enunciados normativos contemplarían múltiples supuestos indeterminados, según el parecer o el sentido común de los operadores jurídicos, poniendo en riesgo principios como la igualdad, el debido proceso, la seguridad jurídica, la libre concurrencia y el ejercicio de la profesión u oficio. Tal ha sido la postura al interior de la jurisprudencia, tanto de la Corte Constitucional como de la Sección Tercera del Consejo de Estado.</w:t>
      </w:r>
    </w:p>
    <w:p w14:paraId="234C54DA" w14:textId="77777777" w:rsidR="00677258" w:rsidRPr="00FC5688" w:rsidRDefault="00677258" w:rsidP="00677258">
      <w:pPr>
        <w:spacing w:after="0" w:line="240" w:lineRule="auto"/>
        <w:jc w:val="both"/>
        <w:rPr>
          <w:rFonts w:ascii="Arial" w:eastAsia="Calibri" w:hAnsi="Arial" w:cs="Arial"/>
          <w:b/>
          <w:bCs/>
          <w:color w:val="000000" w:themeColor="text1"/>
          <w:lang w:val="es-ES"/>
        </w:rPr>
      </w:pPr>
    </w:p>
    <w:p w14:paraId="42600763" w14:textId="77777777" w:rsidR="00677258" w:rsidRPr="00677258" w:rsidRDefault="00677258" w:rsidP="00677258">
      <w:pPr>
        <w:spacing w:after="0" w:line="240" w:lineRule="auto"/>
        <w:jc w:val="both"/>
        <w:rPr>
          <w:rFonts w:ascii="Arial" w:eastAsia="Calibri" w:hAnsi="Arial" w:cs="Arial"/>
          <w:b/>
          <w:bCs/>
          <w:color w:val="000000" w:themeColor="text1"/>
        </w:rPr>
      </w:pPr>
      <w:r w:rsidRPr="00677258">
        <w:rPr>
          <w:rFonts w:ascii="Arial" w:eastAsia="Calibri" w:hAnsi="Arial" w:cs="Arial"/>
          <w:b/>
          <w:bCs/>
          <w:color w:val="000000" w:themeColor="text1"/>
          <w:lang w:val="es-ES"/>
        </w:rPr>
        <w:t xml:space="preserve">LEY 2097 DE 2021 </w:t>
      </w:r>
      <w:r w:rsidRPr="00677258">
        <w:rPr>
          <w:rFonts w:ascii="Arial" w:eastAsia="Calibri" w:hAnsi="Arial" w:cs="Arial"/>
          <w:b/>
          <w:bCs/>
          <w:color w:val="000000" w:themeColor="text1"/>
        </w:rPr>
        <w:t>– REDAM</w:t>
      </w:r>
      <w:r w:rsidRPr="00677258">
        <w:rPr>
          <w:rFonts w:ascii="Arial" w:eastAsia="Calibri" w:hAnsi="Arial" w:cs="Arial"/>
          <w:b/>
          <w:bCs/>
          <w:color w:val="000000" w:themeColor="text1"/>
          <w:lang w:val="es-ES"/>
        </w:rPr>
        <w:t xml:space="preserve"> </w:t>
      </w:r>
      <w:r w:rsidRPr="00677258">
        <w:rPr>
          <w:rFonts w:ascii="Arial" w:eastAsia="Calibri" w:hAnsi="Arial" w:cs="Arial"/>
          <w:b/>
          <w:bCs/>
          <w:color w:val="000000" w:themeColor="text1"/>
        </w:rPr>
        <w:t xml:space="preserve">– Objeto </w:t>
      </w:r>
    </w:p>
    <w:p w14:paraId="790832C9" w14:textId="77777777" w:rsidR="00677258" w:rsidRPr="00FC5688" w:rsidRDefault="00677258" w:rsidP="00677258">
      <w:pPr>
        <w:spacing w:after="0" w:line="240" w:lineRule="auto"/>
        <w:jc w:val="both"/>
        <w:rPr>
          <w:rFonts w:ascii="Arial" w:eastAsia="Calibri" w:hAnsi="Arial" w:cs="Arial"/>
          <w:b/>
          <w:bCs/>
          <w:color w:val="000000" w:themeColor="text1"/>
        </w:rPr>
      </w:pPr>
    </w:p>
    <w:p w14:paraId="4A913058" w14:textId="5A5B61C1" w:rsidR="00677258" w:rsidRPr="00677258" w:rsidRDefault="00FC5688" w:rsidP="00677258">
      <w:pPr>
        <w:spacing w:after="0" w:line="240" w:lineRule="auto"/>
        <w:jc w:val="both"/>
        <w:rPr>
          <w:rFonts w:ascii="Arial" w:eastAsia="Calibri" w:hAnsi="Arial" w:cs="Arial"/>
          <w:bCs/>
          <w:color w:val="000000" w:themeColor="text1"/>
          <w:sz w:val="20"/>
          <w:szCs w:val="20"/>
        </w:rPr>
      </w:pPr>
      <w:r w:rsidRPr="00FC5688">
        <w:rPr>
          <w:rFonts w:ascii="Arial" w:eastAsia="Calibri" w:hAnsi="Arial" w:cs="Arial"/>
          <w:bCs/>
          <w:color w:val="000000" w:themeColor="text1"/>
          <w:sz w:val="20"/>
          <w:szCs w:val="20"/>
        </w:rPr>
        <w:t>El 2 de julio de 2021, el Gobierno Nacional sancionó la Ley Estatutaria 2097 de 2021, cuyo objeto –de acuerdo con el artículo 1– consiste en “[…] establecer medidas para garantizar el cumplimiento de las obligaciones alimentarias y crear el Registro de Deudores Alimentarios Morosos (REDAM), como mecanismo de control al incumplimiento de las obligaciones alimentarias”. Conforme a la exposición de motivos del proyecto ley, existe una vulneración de derechos al interior de la institución familiar, cuyo despliegue en materia de política pública ha sido limitado y resulta insuficiente para atender la problemática asociada al incumplimiento de la obligación legal prevista en el Título XXI del Libro Primero del Código Civil, especialmente, en el caso de los menores de edad, con las repercusiones que esta tiene tanto para ellos como para quien tiene la responsabilidad del cuidado y manutención. Por ello, tomado como referencia legislaciones foráneas como Estados Unidos, Perú, Uruguay, así como normatividades análogas en provincias y estados como Buenos Aires y Córdoba, en la Argentina, y la Ciudad de México, en México, los ponentes de la iniciativa concluyeron que “Estas experiencias de implementación del Registro de Deudores Alimentarios Morosos se pueden considerar el punto de partida para obtener una herramienta importante en la lucha contra el incumplimiento del pago de alimentos. Así, la finalidad que se persigue con este tipo de normas sancionatorias es que ante el incumplimiento alimentario se coaccione a los deudores para que cumplan con su obligación”.</w:t>
      </w:r>
    </w:p>
    <w:p w14:paraId="3EF88C64" w14:textId="77777777" w:rsidR="00677258" w:rsidRPr="00FC5688" w:rsidRDefault="00677258" w:rsidP="00677258">
      <w:pPr>
        <w:spacing w:after="0" w:line="240" w:lineRule="auto"/>
        <w:jc w:val="both"/>
        <w:rPr>
          <w:rFonts w:ascii="Arial" w:eastAsia="Calibri" w:hAnsi="Arial" w:cs="Arial"/>
          <w:bCs/>
          <w:color w:val="000000" w:themeColor="text1"/>
        </w:rPr>
      </w:pPr>
    </w:p>
    <w:p w14:paraId="602EABCC" w14:textId="77777777" w:rsidR="00677258" w:rsidRPr="00677258" w:rsidRDefault="00677258" w:rsidP="00677258">
      <w:pPr>
        <w:spacing w:after="0" w:line="240" w:lineRule="auto"/>
        <w:jc w:val="both"/>
        <w:rPr>
          <w:rFonts w:ascii="Arial" w:eastAsia="Calibri" w:hAnsi="Arial" w:cs="Arial"/>
          <w:b/>
          <w:bCs/>
          <w:color w:val="000000" w:themeColor="text1"/>
        </w:rPr>
      </w:pPr>
      <w:r w:rsidRPr="00677258">
        <w:rPr>
          <w:rFonts w:ascii="Arial" w:eastAsia="Calibri" w:hAnsi="Arial" w:cs="Arial"/>
          <w:b/>
          <w:bCs/>
          <w:color w:val="000000" w:themeColor="text1"/>
        </w:rPr>
        <w:t>REDAM – Vigencia – Condicionamiento – Tesis de la Reglamentación – Documentos tipo</w:t>
      </w:r>
    </w:p>
    <w:p w14:paraId="79819848" w14:textId="77777777" w:rsidR="00677258" w:rsidRPr="00CD215A" w:rsidRDefault="00677258" w:rsidP="00677258">
      <w:pPr>
        <w:spacing w:after="0" w:line="240" w:lineRule="auto"/>
        <w:jc w:val="both"/>
        <w:rPr>
          <w:rFonts w:ascii="Arial" w:eastAsia="Calibri" w:hAnsi="Arial" w:cs="Arial"/>
          <w:bCs/>
          <w:color w:val="000000" w:themeColor="text1"/>
          <w:lang w:val="es-ES"/>
        </w:rPr>
      </w:pPr>
    </w:p>
    <w:p w14:paraId="69056063" w14:textId="0F397623" w:rsidR="00CD215A" w:rsidRPr="00CD215A" w:rsidRDefault="00CD215A" w:rsidP="00CD215A">
      <w:pPr>
        <w:tabs>
          <w:tab w:val="left" w:pos="0"/>
        </w:tabs>
        <w:spacing w:after="0" w:line="240" w:lineRule="auto"/>
        <w:jc w:val="both"/>
        <w:rPr>
          <w:rFonts w:ascii="Arial" w:eastAsia="Calibri" w:hAnsi="Arial" w:cs="Arial"/>
          <w:bCs/>
          <w:color w:val="000000" w:themeColor="text1"/>
          <w:sz w:val="20"/>
          <w:szCs w:val="20"/>
        </w:rPr>
      </w:pPr>
      <w:r w:rsidRPr="00CD215A">
        <w:rPr>
          <w:rFonts w:ascii="Arial" w:eastAsia="Calibri" w:hAnsi="Arial" w:cs="Arial"/>
          <w:bCs/>
          <w:color w:val="000000" w:themeColor="text1"/>
          <w:sz w:val="20"/>
          <w:szCs w:val="20"/>
        </w:rPr>
        <w:t xml:space="preserve">De acuerdo con la </w:t>
      </w:r>
      <w:r w:rsidRPr="00CD215A">
        <w:rPr>
          <w:rFonts w:ascii="Arial" w:eastAsia="Calibri" w:hAnsi="Arial" w:cs="Arial"/>
          <w:bCs/>
          <w:i/>
          <w:iCs/>
          <w:color w:val="000000" w:themeColor="text1"/>
          <w:sz w:val="20"/>
          <w:szCs w:val="20"/>
        </w:rPr>
        <w:t>tesis de la reglamentación</w:t>
      </w:r>
      <w:r w:rsidRPr="00CD215A">
        <w:rPr>
          <w:rFonts w:ascii="Arial" w:eastAsia="Calibri" w:hAnsi="Arial" w:cs="Arial"/>
          <w:bCs/>
          <w:color w:val="000000" w:themeColor="text1"/>
          <w:sz w:val="20"/>
          <w:szCs w:val="20"/>
        </w:rPr>
        <w:t>, pese a que son funciones del REDAM llevar un registro de los deudores alimentarios morosos y expedir gratuitamente los certificados a través de página web, la obligación de consultarlo para validar la ausencia de la restricción comentada no surgió automáticamente con la expedición de la Ley 2097 del 2 de julio de 2021, pues las medidas adoptadas quedaron condicionadas por la designación de la autoridad responsable de operar el registro, su reglamentación correspondiente, así como la puesta en funcionamiento de la aplicación.</w:t>
      </w:r>
    </w:p>
    <w:p w14:paraId="77BAA6C4" w14:textId="77777777" w:rsidR="00CD215A" w:rsidRDefault="00CD215A" w:rsidP="00CD215A">
      <w:pPr>
        <w:tabs>
          <w:tab w:val="left" w:pos="709"/>
        </w:tabs>
        <w:spacing w:after="0" w:line="240" w:lineRule="auto"/>
        <w:jc w:val="both"/>
        <w:rPr>
          <w:rFonts w:ascii="Arial" w:eastAsia="Calibri" w:hAnsi="Arial" w:cs="Arial"/>
          <w:bCs/>
          <w:color w:val="000000" w:themeColor="text1"/>
          <w:sz w:val="20"/>
          <w:szCs w:val="20"/>
          <w:lang w:val="es-ES_tradnl"/>
        </w:rPr>
      </w:pPr>
    </w:p>
    <w:p w14:paraId="0E4FA204" w14:textId="7C5F8693" w:rsidR="00CD215A" w:rsidRPr="00CD215A" w:rsidRDefault="00CD215A" w:rsidP="00CD215A">
      <w:pPr>
        <w:tabs>
          <w:tab w:val="left" w:pos="709"/>
        </w:tabs>
        <w:spacing w:after="0" w:line="240" w:lineRule="auto"/>
        <w:jc w:val="both"/>
        <w:rPr>
          <w:rFonts w:ascii="Arial" w:eastAsia="Calibri" w:hAnsi="Arial" w:cs="Arial"/>
          <w:bCs/>
          <w:color w:val="000000" w:themeColor="text1"/>
          <w:sz w:val="20"/>
          <w:szCs w:val="20"/>
        </w:rPr>
      </w:pPr>
      <w:r w:rsidRPr="00CD215A">
        <w:rPr>
          <w:rFonts w:ascii="Arial" w:eastAsia="Calibri" w:hAnsi="Arial" w:cs="Arial"/>
          <w:bCs/>
          <w:color w:val="000000" w:themeColor="text1"/>
          <w:sz w:val="20"/>
          <w:szCs w:val="20"/>
          <w:lang w:val="es-ES_tradnl"/>
        </w:rPr>
        <w:t>Para estos efectos, el gobierno nacional expidió el Decreto 1310 del 26 de julio de 2022, “</w:t>
      </w:r>
      <w:r w:rsidRPr="00CD215A">
        <w:rPr>
          <w:rFonts w:ascii="Arial" w:eastAsia="Calibri" w:hAnsi="Arial" w:cs="Arial"/>
          <w:bCs/>
          <w:color w:val="000000" w:themeColor="text1"/>
          <w:sz w:val="20"/>
          <w:szCs w:val="20"/>
        </w:rPr>
        <w:t xml:space="preserve">por el cual se adiciona el Título 23 a la Parte 2 del Libro 2 del Decreto Único Reglamentario del Sector de las Tecnologías de la Información y las Comunicaciones, Decreto número 1078 de 2015, para reglamentar la Ley 2097 de 2021 que creó el Registro de Deudores Alimentarios Morosos (REDAM)”. El artículo 1 adicionó el artículo 2.2.23.5 al Decreto 1078 de 2015, indicando en el inciso primero que “[…] se designa como Operador de la Información del Registro de Deudores Alimentarios Morosos (REDAM) al Ministerio de Tecnologías de la Información y las Comunicaciones, o quien haga sus veces”. Sin embargo, el reglamento también condicionó la vigencia del registro, pues –conforme al parágrafo del artículo 2.2.23.4 </w:t>
      </w:r>
      <w:r w:rsidRPr="00CD215A">
        <w:rPr>
          <w:rFonts w:ascii="Arial" w:eastAsia="Calibri" w:hAnsi="Arial" w:cs="Arial"/>
          <w:bCs/>
          <w:i/>
          <w:iCs/>
          <w:color w:val="000000" w:themeColor="text1"/>
          <w:sz w:val="20"/>
          <w:szCs w:val="20"/>
        </w:rPr>
        <w:t>ibidem</w:t>
      </w:r>
      <w:r w:rsidRPr="00CD215A">
        <w:rPr>
          <w:rFonts w:ascii="Arial" w:eastAsia="Calibri" w:hAnsi="Arial" w:cs="Arial"/>
          <w:bCs/>
          <w:color w:val="000000" w:themeColor="text1"/>
          <w:sz w:val="20"/>
          <w:szCs w:val="20"/>
        </w:rPr>
        <w:t xml:space="preserve">– “La información suministrada por el REDAM será utilizada en forma exclusiva por quienes estén vinculadas a la aplicación de las consecuencias de la inscripción en el REDAM de que trata el artículo 6° de la Ley 2097 de 2021, a partir de la entrada en producción de la solución tecnológica”. Esto también congruente con el artículo 2.2.23.8 </w:t>
      </w:r>
      <w:r w:rsidRPr="00CD215A">
        <w:rPr>
          <w:rFonts w:ascii="Arial" w:eastAsia="Calibri" w:hAnsi="Arial" w:cs="Arial"/>
          <w:bCs/>
          <w:i/>
          <w:iCs/>
          <w:color w:val="000000" w:themeColor="text1"/>
          <w:sz w:val="20"/>
          <w:szCs w:val="20"/>
        </w:rPr>
        <w:t>ibidem</w:t>
      </w:r>
      <w:r w:rsidRPr="00CD215A">
        <w:rPr>
          <w:rFonts w:ascii="Arial" w:eastAsia="Calibri" w:hAnsi="Arial" w:cs="Arial"/>
          <w:bCs/>
          <w:color w:val="000000" w:themeColor="text1"/>
          <w:sz w:val="20"/>
          <w:szCs w:val="20"/>
        </w:rPr>
        <w:t xml:space="preserve">, en la medida que “El acceso al Registro de Deudores Alimentarios Morosos (REDAM) se realizará a través del </w:t>
      </w:r>
      <w:r w:rsidRPr="00CD215A">
        <w:rPr>
          <w:rFonts w:ascii="Arial" w:eastAsia="Calibri" w:hAnsi="Arial" w:cs="Arial"/>
          <w:bCs/>
          <w:color w:val="000000" w:themeColor="text1"/>
          <w:sz w:val="20"/>
          <w:szCs w:val="20"/>
        </w:rPr>
        <w:lastRenderedPageBreak/>
        <w:t xml:space="preserve">Modelo de Servicios Ciudadanos Digitales de la Política de Gobierno Digital expedida por el Ministerio de Tecnologías de la Información y las Comunicaciones, sin perjuicio del acceso a la información directamente ante las Fuentes de la Información señaladas en el presente decreto, una vez entre en producción la solución tecnológica”. </w:t>
      </w:r>
    </w:p>
    <w:p w14:paraId="6AC4F439" w14:textId="20072415" w:rsidR="00677258" w:rsidRPr="00677258" w:rsidRDefault="00677258" w:rsidP="00CD215A">
      <w:pPr>
        <w:spacing w:after="0" w:line="240" w:lineRule="auto"/>
        <w:jc w:val="both"/>
        <w:rPr>
          <w:rFonts w:ascii="Arial" w:eastAsia="Calibri" w:hAnsi="Arial" w:cs="Arial"/>
          <w:bCs/>
          <w:color w:val="000000" w:themeColor="text1"/>
          <w:sz w:val="20"/>
          <w:szCs w:val="20"/>
        </w:rPr>
      </w:pPr>
    </w:p>
    <w:p w14:paraId="20DA118A" w14:textId="77777777" w:rsidR="00677258" w:rsidRPr="00677258" w:rsidRDefault="00677258" w:rsidP="00677258">
      <w:pPr>
        <w:spacing w:after="0"/>
        <w:rPr>
          <w:rFonts w:ascii="Arial" w:eastAsia="Geomanist Light" w:hAnsi="Arial" w:cs="Arial"/>
          <w:color w:val="000000" w:themeColor="text1"/>
          <w:lang w:val="es-MX"/>
        </w:rPr>
      </w:pPr>
    </w:p>
    <w:p w14:paraId="68DFA516" w14:textId="77777777" w:rsidR="00677258" w:rsidRPr="00677258" w:rsidRDefault="00677258" w:rsidP="00677258">
      <w:pPr>
        <w:spacing w:after="0"/>
        <w:rPr>
          <w:rFonts w:ascii="Arial" w:eastAsia="Geomanist Light" w:hAnsi="Arial" w:cs="Arial"/>
          <w:color w:val="000000" w:themeColor="text1"/>
          <w:lang w:val="es-MX"/>
        </w:rPr>
      </w:pPr>
    </w:p>
    <w:p w14:paraId="66CD218B" w14:textId="77777777" w:rsidR="00677258" w:rsidRPr="00677258" w:rsidRDefault="00677258" w:rsidP="00677258">
      <w:pPr>
        <w:spacing w:after="0"/>
        <w:rPr>
          <w:rFonts w:ascii="Arial" w:eastAsia="Geomanist Light" w:hAnsi="Arial" w:cs="Arial"/>
          <w:color w:val="000000" w:themeColor="text1"/>
          <w:lang w:val="es-MX"/>
        </w:rPr>
      </w:pPr>
    </w:p>
    <w:p w14:paraId="668CC88E" w14:textId="77777777" w:rsidR="00677258" w:rsidRPr="00677258" w:rsidRDefault="00677258" w:rsidP="00677258">
      <w:pPr>
        <w:spacing w:after="0"/>
        <w:rPr>
          <w:rFonts w:ascii="Arial" w:eastAsia="Geomanist Light" w:hAnsi="Arial" w:cs="Arial"/>
          <w:color w:val="000000" w:themeColor="text1"/>
          <w:lang w:val="es-MX"/>
        </w:rPr>
      </w:pPr>
    </w:p>
    <w:p w14:paraId="41F6E17A" w14:textId="77777777" w:rsidR="00677258" w:rsidRPr="00677258" w:rsidRDefault="00677258" w:rsidP="00677258">
      <w:pPr>
        <w:spacing w:after="0"/>
        <w:rPr>
          <w:rFonts w:ascii="Arial" w:eastAsia="Geomanist Light" w:hAnsi="Arial" w:cs="Arial"/>
          <w:color w:val="000000" w:themeColor="text1"/>
          <w:lang w:val="es-MX"/>
        </w:rPr>
      </w:pPr>
    </w:p>
    <w:p w14:paraId="3734E2C2" w14:textId="77777777" w:rsidR="00677258" w:rsidRPr="00677258" w:rsidRDefault="00677258" w:rsidP="00677258">
      <w:pPr>
        <w:spacing w:after="0"/>
        <w:rPr>
          <w:rFonts w:ascii="Arial" w:eastAsia="Geomanist Light" w:hAnsi="Arial" w:cs="Arial"/>
          <w:color w:val="000000" w:themeColor="text1"/>
          <w:lang w:val="es-MX"/>
        </w:rPr>
      </w:pPr>
    </w:p>
    <w:p w14:paraId="02EBF35D" w14:textId="77777777" w:rsidR="00677258" w:rsidRPr="00677258" w:rsidRDefault="00677258" w:rsidP="00677258">
      <w:pPr>
        <w:spacing w:after="0"/>
        <w:rPr>
          <w:rFonts w:ascii="Arial" w:eastAsia="Geomanist Light" w:hAnsi="Arial" w:cs="Arial"/>
          <w:color w:val="000000" w:themeColor="text1"/>
          <w:lang w:val="es-MX"/>
        </w:rPr>
      </w:pPr>
    </w:p>
    <w:p w14:paraId="30E3E3D1" w14:textId="77777777" w:rsidR="00677258" w:rsidRPr="00677258" w:rsidRDefault="00677258" w:rsidP="00677258">
      <w:pPr>
        <w:spacing w:after="0"/>
        <w:rPr>
          <w:rFonts w:ascii="Arial" w:eastAsia="Geomanist Light" w:hAnsi="Arial" w:cs="Arial"/>
          <w:color w:val="000000" w:themeColor="text1"/>
          <w:lang w:val="es-MX"/>
        </w:rPr>
      </w:pPr>
    </w:p>
    <w:p w14:paraId="31A7A923" w14:textId="77777777" w:rsidR="00677258" w:rsidRPr="00677258" w:rsidRDefault="00677258" w:rsidP="00677258">
      <w:pPr>
        <w:spacing w:after="0"/>
        <w:rPr>
          <w:rFonts w:ascii="Arial" w:eastAsia="Geomanist Light" w:hAnsi="Arial" w:cs="Arial"/>
          <w:color w:val="000000" w:themeColor="text1"/>
          <w:lang w:val="es-MX"/>
        </w:rPr>
      </w:pPr>
    </w:p>
    <w:p w14:paraId="081076E4" w14:textId="77777777" w:rsidR="00677258" w:rsidRPr="00677258" w:rsidRDefault="00677258" w:rsidP="00677258">
      <w:pPr>
        <w:spacing w:after="0"/>
        <w:rPr>
          <w:rFonts w:ascii="Arial" w:eastAsia="Geomanist Light" w:hAnsi="Arial" w:cs="Arial"/>
          <w:color w:val="000000" w:themeColor="text1"/>
          <w:lang w:val="es-MX"/>
        </w:rPr>
      </w:pPr>
    </w:p>
    <w:p w14:paraId="7AADADC4" w14:textId="77777777" w:rsidR="00677258" w:rsidRPr="00677258" w:rsidRDefault="00677258" w:rsidP="00677258">
      <w:pPr>
        <w:spacing w:after="0"/>
        <w:rPr>
          <w:rFonts w:ascii="Arial" w:eastAsia="Geomanist Light" w:hAnsi="Arial" w:cs="Arial"/>
          <w:color w:val="000000" w:themeColor="text1"/>
          <w:lang w:val="es-MX"/>
        </w:rPr>
      </w:pPr>
    </w:p>
    <w:p w14:paraId="73F02718" w14:textId="77777777" w:rsidR="00677258" w:rsidRPr="00677258" w:rsidRDefault="00677258" w:rsidP="00677258">
      <w:pPr>
        <w:spacing w:after="0"/>
        <w:rPr>
          <w:rFonts w:ascii="Arial" w:eastAsia="Geomanist Light" w:hAnsi="Arial" w:cs="Arial"/>
          <w:color w:val="000000" w:themeColor="text1"/>
          <w:lang w:val="es-MX"/>
        </w:rPr>
      </w:pPr>
    </w:p>
    <w:p w14:paraId="5F18BD53" w14:textId="77777777" w:rsidR="00677258" w:rsidRPr="00677258" w:rsidRDefault="00677258" w:rsidP="00677258">
      <w:pPr>
        <w:spacing w:after="0"/>
        <w:rPr>
          <w:rFonts w:ascii="Arial" w:eastAsia="Geomanist Light" w:hAnsi="Arial" w:cs="Arial"/>
          <w:color w:val="000000" w:themeColor="text1"/>
          <w:lang w:val="es-MX"/>
        </w:rPr>
      </w:pPr>
    </w:p>
    <w:p w14:paraId="532411DC" w14:textId="77777777" w:rsidR="00677258" w:rsidRPr="00677258" w:rsidRDefault="00677258" w:rsidP="00677258">
      <w:pPr>
        <w:spacing w:after="0"/>
        <w:rPr>
          <w:rFonts w:ascii="Arial" w:eastAsia="Geomanist Light" w:hAnsi="Arial" w:cs="Arial"/>
          <w:color w:val="000000" w:themeColor="text1"/>
          <w:lang w:val="es-MX"/>
        </w:rPr>
      </w:pPr>
    </w:p>
    <w:p w14:paraId="29CE16AA" w14:textId="77777777" w:rsidR="00677258" w:rsidRPr="00677258" w:rsidRDefault="00677258" w:rsidP="00677258">
      <w:pPr>
        <w:spacing w:after="0"/>
        <w:rPr>
          <w:rFonts w:ascii="Arial" w:eastAsia="Geomanist Light" w:hAnsi="Arial" w:cs="Arial"/>
          <w:color w:val="000000" w:themeColor="text1"/>
          <w:lang w:val="es-MX"/>
        </w:rPr>
      </w:pPr>
    </w:p>
    <w:p w14:paraId="62484741" w14:textId="77777777" w:rsidR="00677258" w:rsidRPr="00677258" w:rsidRDefault="00677258" w:rsidP="00677258">
      <w:pPr>
        <w:spacing w:after="0"/>
        <w:rPr>
          <w:rFonts w:ascii="Arial" w:eastAsia="Geomanist Light" w:hAnsi="Arial" w:cs="Arial"/>
          <w:color w:val="000000" w:themeColor="text1"/>
          <w:lang w:val="es-MX"/>
        </w:rPr>
      </w:pPr>
    </w:p>
    <w:p w14:paraId="09E27E1B" w14:textId="77777777" w:rsidR="00677258" w:rsidRPr="00677258" w:rsidRDefault="00677258" w:rsidP="00677258">
      <w:pPr>
        <w:spacing w:after="0"/>
        <w:rPr>
          <w:rFonts w:ascii="Arial" w:eastAsia="Geomanist Light" w:hAnsi="Arial" w:cs="Arial"/>
          <w:color w:val="000000" w:themeColor="text1"/>
          <w:lang w:val="es-MX"/>
        </w:rPr>
      </w:pPr>
    </w:p>
    <w:p w14:paraId="510C7E17" w14:textId="77777777" w:rsidR="00677258" w:rsidRPr="00677258" w:rsidRDefault="00677258" w:rsidP="00677258">
      <w:pPr>
        <w:spacing w:after="0"/>
        <w:rPr>
          <w:rFonts w:ascii="Arial" w:eastAsia="Geomanist Light" w:hAnsi="Arial" w:cs="Arial"/>
          <w:color w:val="000000" w:themeColor="text1"/>
          <w:lang w:val="es-MX"/>
        </w:rPr>
      </w:pPr>
    </w:p>
    <w:p w14:paraId="674E1F9B" w14:textId="77777777" w:rsidR="00677258" w:rsidRPr="00677258" w:rsidRDefault="00677258" w:rsidP="00677258">
      <w:pPr>
        <w:spacing w:after="0"/>
        <w:rPr>
          <w:rFonts w:ascii="Arial" w:eastAsia="Geomanist Light" w:hAnsi="Arial" w:cs="Arial"/>
          <w:color w:val="000000" w:themeColor="text1"/>
          <w:lang w:val="es-MX"/>
        </w:rPr>
      </w:pPr>
    </w:p>
    <w:p w14:paraId="3B1F62B0" w14:textId="77777777" w:rsidR="00677258" w:rsidRPr="00677258" w:rsidRDefault="00677258" w:rsidP="00677258">
      <w:pPr>
        <w:spacing w:after="0"/>
        <w:rPr>
          <w:rFonts w:ascii="Arial" w:eastAsia="Geomanist Light" w:hAnsi="Arial" w:cs="Arial"/>
          <w:color w:val="000000" w:themeColor="text1"/>
          <w:lang w:val="es-MX"/>
        </w:rPr>
      </w:pPr>
    </w:p>
    <w:p w14:paraId="3E19CA90" w14:textId="77777777" w:rsidR="00677258" w:rsidRPr="00677258" w:rsidRDefault="00677258" w:rsidP="00677258">
      <w:pPr>
        <w:spacing w:after="0"/>
        <w:rPr>
          <w:rFonts w:ascii="Arial" w:eastAsia="Geomanist Light" w:hAnsi="Arial" w:cs="Arial"/>
          <w:color w:val="000000" w:themeColor="text1"/>
          <w:lang w:val="es-MX"/>
        </w:rPr>
      </w:pPr>
    </w:p>
    <w:p w14:paraId="7E7CBADE" w14:textId="77777777" w:rsidR="00677258" w:rsidRPr="00677258" w:rsidRDefault="00677258" w:rsidP="00677258">
      <w:pPr>
        <w:spacing w:after="0"/>
        <w:rPr>
          <w:rFonts w:ascii="Arial" w:eastAsia="Geomanist Light" w:hAnsi="Arial" w:cs="Arial"/>
          <w:color w:val="000000" w:themeColor="text1"/>
          <w:lang w:val="es-MX"/>
        </w:rPr>
      </w:pPr>
    </w:p>
    <w:p w14:paraId="55DB988C" w14:textId="30864E73" w:rsidR="00677258" w:rsidRPr="00AD4127" w:rsidRDefault="2DC48882" w:rsidP="00AD4127">
      <w:r>
        <w:br w:type="page"/>
      </w:r>
    </w:p>
    <w:p w14:paraId="647825A6" w14:textId="71992D2D" w:rsidR="00677258" w:rsidRPr="00677258" w:rsidRDefault="006B127A" w:rsidP="006B127A">
      <w:pPr>
        <w:spacing w:after="0"/>
        <w:jc w:val="right"/>
        <w:rPr>
          <w:rFonts w:ascii="Arial" w:eastAsia="Times New Roman" w:hAnsi="Arial" w:cs="Arial"/>
          <w:bCs/>
          <w:lang w:val="es-MX" w:eastAsia="es-ES"/>
        </w:rPr>
      </w:pPr>
      <w:r>
        <w:rPr>
          <w:rFonts w:ascii="Arial" w:eastAsia="Times New Roman" w:hAnsi="Arial" w:cs="Arial"/>
          <w:bCs/>
          <w:noProof/>
          <w:lang w:val="es-MX" w:eastAsia="es-ES"/>
        </w:rPr>
        <w:lastRenderedPageBreak/>
        <w:drawing>
          <wp:inline distT="0" distB="0" distL="0" distR="0" wp14:anchorId="24588FBF" wp14:editId="0A357387">
            <wp:extent cx="3133723" cy="865898"/>
            <wp:effectExtent l="0" t="0" r="0" b="0"/>
            <wp:docPr id="110352081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520819"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170835" cy="876153"/>
                    </a:xfrm>
                    <a:prstGeom prst="rect">
                      <a:avLst/>
                    </a:prstGeom>
                  </pic:spPr>
                </pic:pic>
              </a:graphicData>
            </a:graphic>
          </wp:inline>
        </w:drawing>
      </w:r>
    </w:p>
    <w:p w14:paraId="3C3EA6C5" w14:textId="77777777" w:rsidR="00677258" w:rsidRPr="00677258" w:rsidRDefault="00677258" w:rsidP="00677258">
      <w:pPr>
        <w:spacing w:after="0"/>
        <w:contextualSpacing/>
        <w:jc w:val="both"/>
        <w:rPr>
          <w:rFonts w:ascii="Arial" w:eastAsia="Calibri" w:hAnsi="Arial" w:cs="Arial"/>
          <w:lang w:val="es-ES_tradnl" w:eastAsia="es-ES_tradnl"/>
        </w:rPr>
      </w:pPr>
    </w:p>
    <w:p w14:paraId="4A909773" w14:textId="77777777" w:rsidR="00677258" w:rsidRPr="00677258" w:rsidRDefault="00677258" w:rsidP="00677258">
      <w:pPr>
        <w:contextualSpacing/>
        <w:jc w:val="both"/>
        <w:rPr>
          <w:rFonts w:ascii="Arial" w:eastAsia="Calibri" w:hAnsi="Arial" w:cs="Arial"/>
          <w:lang w:eastAsia="es-ES_tradnl"/>
        </w:rPr>
      </w:pPr>
      <w:r w:rsidRPr="00677258">
        <w:rPr>
          <w:rFonts w:ascii="Arial" w:eastAsia="Calibri" w:hAnsi="Arial" w:cs="Arial"/>
          <w:lang w:eastAsia="es-ES_tradnl"/>
        </w:rPr>
        <w:t>Señor</w:t>
      </w:r>
    </w:p>
    <w:p w14:paraId="280F0659" w14:textId="77777777" w:rsidR="00677258" w:rsidRPr="00677258" w:rsidRDefault="00677258" w:rsidP="00677258">
      <w:pPr>
        <w:contextualSpacing/>
        <w:jc w:val="both"/>
        <w:rPr>
          <w:rFonts w:ascii="Arial" w:eastAsia="Calibri" w:hAnsi="Arial" w:cs="Arial"/>
          <w:b/>
          <w:lang w:eastAsia="es-ES_tradnl"/>
        </w:rPr>
      </w:pPr>
      <w:r w:rsidRPr="00677258">
        <w:rPr>
          <w:rFonts w:ascii="Arial" w:eastAsia="Calibri" w:hAnsi="Arial" w:cs="Arial"/>
          <w:b/>
          <w:lang w:eastAsia="es-ES_tradnl"/>
        </w:rPr>
        <w:t>Gerson Caballero Lizarazo</w:t>
      </w:r>
    </w:p>
    <w:p w14:paraId="63734990" w14:textId="77777777" w:rsidR="00677258" w:rsidRPr="00677258" w:rsidRDefault="00677258" w:rsidP="00677258">
      <w:pPr>
        <w:contextualSpacing/>
        <w:jc w:val="both"/>
        <w:rPr>
          <w:rFonts w:ascii="Arial" w:eastAsia="Calibri" w:hAnsi="Arial" w:cs="Arial"/>
          <w:bCs/>
          <w:lang w:eastAsia="es-ES_tradnl"/>
        </w:rPr>
      </w:pPr>
      <w:r w:rsidRPr="00677258">
        <w:rPr>
          <w:rFonts w:ascii="Arial" w:eastAsia="Geomanist Light" w:hAnsi="Arial" w:cs="Arial"/>
          <w:color w:val="000000" w:themeColor="text1"/>
          <w:lang w:val="es-MX"/>
        </w:rPr>
        <w:t>Aratoca, Santander</w:t>
      </w:r>
    </w:p>
    <w:p w14:paraId="58DA1338" w14:textId="77777777" w:rsidR="00677258" w:rsidRPr="00677258" w:rsidRDefault="00677258" w:rsidP="00677258">
      <w:pPr>
        <w:contextualSpacing/>
        <w:jc w:val="both"/>
        <w:rPr>
          <w:rFonts w:ascii="Arial" w:eastAsia="Calibri" w:hAnsi="Arial" w:cs="Arial"/>
          <w:lang w:val="es-ES_tradnl" w:eastAsia="es-ES_tradnl"/>
        </w:rPr>
      </w:pPr>
    </w:p>
    <w:p w14:paraId="4120397D" w14:textId="77777777" w:rsidR="00677258" w:rsidRPr="00677258" w:rsidRDefault="00677258" w:rsidP="00677258">
      <w:pPr>
        <w:contextualSpacing/>
        <w:rPr>
          <w:rFonts w:ascii="Arial" w:eastAsia="Calibri" w:hAnsi="Arial" w:cs="Arial"/>
          <w:b/>
          <w:bCs/>
          <w:lang w:val="es-ES_tradnl" w:eastAsia="es-ES_tradnl"/>
        </w:rPr>
      </w:pPr>
    </w:p>
    <w:p w14:paraId="0C4A4AB4" w14:textId="77777777" w:rsidR="00677258" w:rsidRPr="00677258" w:rsidRDefault="00677258" w:rsidP="00677258">
      <w:pPr>
        <w:ind w:left="2124" w:firstLine="570"/>
        <w:contextualSpacing/>
        <w:rPr>
          <w:rFonts w:ascii="Arial" w:eastAsia="Calibri" w:hAnsi="Arial" w:cs="Arial"/>
          <w:b/>
          <w:bCs/>
          <w:lang w:val="es-ES_tradnl" w:eastAsia="es-ES_tradnl"/>
        </w:rPr>
      </w:pPr>
      <w:r w:rsidRPr="00677258">
        <w:rPr>
          <w:rFonts w:ascii="Arial" w:eastAsia="Calibri" w:hAnsi="Arial" w:cs="Arial"/>
          <w:b/>
          <w:bCs/>
          <w:lang w:val="es-ES_tradnl" w:eastAsia="es-ES_tradnl"/>
        </w:rPr>
        <w:t>Concepto C – 324 de 2023</w:t>
      </w:r>
    </w:p>
    <w:p w14:paraId="19208A26" w14:textId="77777777" w:rsidR="00677258" w:rsidRPr="00677258" w:rsidRDefault="00677258" w:rsidP="00677258">
      <w:pPr>
        <w:contextualSpacing/>
        <w:jc w:val="both"/>
        <w:rPr>
          <w:rFonts w:ascii="Arial" w:eastAsia="Calibri" w:hAnsi="Arial"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77258" w:rsidRPr="00677258" w14:paraId="3124C96C" w14:textId="77777777" w:rsidTr="00960BBD">
        <w:tc>
          <w:tcPr>
            <w:tcW w:w="2689" w:type="dxa"/>
          </w:tcPr>
          <w:p w14:paraId="10609479" w14:textId="77777777" w:rsidR="00677258" w:rsidRPr="00677258" w:rsidRDefault="00677258" w:rsidP="00677258">
            <w:pPr>
              <w:contextualSpacing/>
              <w:jc w:val="both"/>
              <w:rPr>
                <w:rFonts w:ascii="Arial" w:eastAsia="Calibri" w:hAnsi="Arial" w:cs="Arial"/>
                <w:lang w:val="es-ES_tradnl" w:eastAsia="es-ES_tradnl"/>
              </w:rPr>
            </w:pPr>
            <w:r w:rsidRPr="00677258">
              <w:rPr>
                <w:rFonts w:ascii="Arial" w:eastAsia="Calibri" w:hAnsi="Arial" w:cs="Arial"/>
                <w:b/>
                <w:lang w:val="es-ES_tradnl" w:eastAsia="es-ES_tradnl"/>
              </w:rPr>
              <w:t>Temas:</w:t>
            </w:r>
            <w:r w:rsidRPr="00677258">
              <w:rPr>
                <w:rFonts w:ascii="Arial" w:eastAsia="Calibri" w:hAnsi="Arial" w:cs="Arial"/>
                <w:lang w:val="es-ES_tradnl" w:eastAsia="es-ES_tradnl"/>
              </w:rPr>
              <w:t xml:space="preserve">                                      </w:t>
            </w:r>
          </w:p>
        </w:tc>
        <w:tc>
          <w:tcPr>
            <w:tcW w:w="6237" w:type="dxa"/>
          </w:tcPr>
          <w:p w14:paraId="642C9011" w14:textId="77777777" w:rsidR="00677258" w:rsidRPr="00677258" w:rsidRDefault="00677258" w:rsidP="00677258">
            <w:pPr>
              <w:spacing w:after="120"/>
              <w:contextualSpacing/>
              <w:jc w:val="both"/>
              <w:rPr>
                <w:rFonts w:ascii="Arial" w:eastAsia="Calibri" w:hAnsi="Arial" w:cs="Arial"/>
                <w:bCs/>
                <w:lang w:val="es-MX" w:eastAsia="es-ES_tradnl"/>
              </w:rPr>
            </w:pPr>
            <w:r w:rsidRPr="00677258">
              <w:rPr>
                <w:rFonts w:ascii="Arial" w:eastAsia="Calibri" w:hAnsi="Arial" w:cs="Arial"/>
                <w:bCs/>
                <w:lang w:val="es-MX" w:eastAsia="es-ES_tradnl"/>
              </w:rPr>
              <w:t>INHABILIDADES – Definición – Finalidad – Limitación capacidad contractual / CONTRATACIÓN ESTATAL – Capacidad – Validez contratos – Régimen de contratación – Inscripción – Limitación de la capacidad / INHABILIDADES – Taxatividad – Principio de legalidad – Interpretación restrictiva / LEY 2097 DE 2021 – REDAM – Objeto / REDAM – Vigencia – Condicionamiento – Tesis de la Reglamentación – Documentos tipo</w:t>
            </w:r>
          </w:p>
          <w:p w14:paraId="1C9FB92A" w14:textId="77777777" w:rsidR="00677258" w:rsidRPr="00677258" w:rsidRDefault="00677258" w:rsidP="00677258">
            <w:pPr>
              <w:spacing w:after="120"/>
              <w:contextualSpacing/>
              <w:jc w:val="both"/>
              <w:rPr>
                <w:rFonts w:ascii="Arial" w:eastAsia="Calibri" w:hAnsi="Arial" w:cs="Arial"/>
                <w:bCs/>
                <w:sz w:val="12"/>
                <w:szCs w:val="12"/>
                <w:highlight w:val="yellow"/>
                <w:lang w:val="es-MX" w:eastAsia="es-ES_tradnl"/>
              </w:rPr>
            </w:pPr>
          </w:p>
          <w:p w14:paraId="368F43B2" w14:textId="77777777" w:rsidR="00677258" w:rsidRPr="00677258" w:rsidRDefault="00677258" w:rsidP="00677258">
            <w:pPr>
              <w:spacing w:after="120"/>
              <w:contextualSpacing/>
              <w:jc w:val="both"/>
              <w:rPr>
                <w:rFonts w:ascii="Arial" w:eastAsia="Calibri" w:hAnsi="Arial" w:cs="Arial"/>
                <w:bCs/>
                <w:sz w:val="12"/>
                <w:szCs w:val="12"/>
                <w:highlight w:val="yellow"/>
                <w:lang w:val="es-ES_tradnl" w:eastAsia="es-ES_tradnl"/>
              </w:rPr>
            </w:pPr>
          </w:p>
        </w:tc>
      </w:tr>
      <w:tr w:rsidR="00677258" w:rsidRPr="00677258" w14:paraId="426160DA" w14:textId="77777777" w:rsidTr="00960BBD">
        <w:trPr>
          <w:trHeight w:val="227"/>
        </w:trPr>
        <w:tc>
          <w:tcPr>
            <w:tcW w:w="2689" w:type="dxa"/>
          </w:tcPr>
          <w:p w14:paraId="6B501231" w14:textId="77777777" w:rsidR="00677258" w:rsidRPr="00677258" w:rsidRDefault="00677258" w:rsidP="00677258">
            <w:pPr>
              <w:contextualSpacing/>
              <w:jc w:val="both"/>
              <w:rPr>
                <w:rFonts w:ascii="Arial" w:eastAsia="Calibri" w:hAnsi="Arial" w:cs="Arial"/>
                <w:b/>
                <w:lang w:val="es-ES_tradnl" w:eastAsia="es-ES_tradnl"/>
              </w:rPr>
            </w:pPr>
            <w:r w:rsidRPr="00677258">
              <w:rPr>
                <w:rFonts w:ascii="Arial" w:eastAsia="Calibri" w:hAnsi="Arial" w:cs="Arial"/>
                <w:b/>
                <w:lang w:val="es-ES_tradnl" w:eastAsia="es-ES_tradnl"/>
              </w:rPr>
              <w:t>Radicación:</w:t>
            </w:r>
            <w:r w:rsidRPr="00677258">
              <w:rPr>
                <w:rFonts w:ascii="Arial" w:eastAsia="Calibri" w:hAnsi="Arial" w:cs="Arial"/>
                <w:lang w:val="es-ES_tradnl" w:eastAsia="es-ES_tradnl"/>
              </w:rPr>
              <w:t xml:space="preserve">                             </w:t>
            </w:r>
          </w:p>
        </w:tc>
        <w:tc>
          <w:tcPr>
            <w:tcW w:w="6237" w:type="dxa"/>
          </w:tcPr>
          <w:p w14:paraId="79D6D975" w14:textId="77777777" w:rsidR="00677258" w:rsidRPr="00677258" w:rsidRDefault="00677258" w:rsidP="00677258">
            <w:pPr>
              <w:contextualSpacing/>
              <w:jc w:val="both"/>
              <w:rPr>
                <w:rFonts w:ascii="Arial" w:eastAsia="Calibri" w:hAnsi="Arial" w:cs="Arial"/>
                <w:lang w:val="es-ES_tradnl" w:eastAsia="es-ES_tradnl"/>
              </w:rPr>
            </w:pPr>
            <w:r w:rsidRPr="00677258">
              <w:rPr>
                <w:rFonts w:ascii="Arial" w:eastAsia="Calibri" w:hAnsi="Arial" w:cs="Arial"/>
                <w:lang w:val="es-ES_tradnl" w:eastAsia="es-ES_tradnl"/>
              </w:rPr>
              <w:t>Respuesta a consulta P20230627012712</w:t>
            </w:r>
          </w:p>
        </w:tc>
      </w:tr>
    </w:tbl>
    <w:p w14:paraId="2CCD7512" w14:textId="77777777" w:rsidR="00677258" w:rsidRPr="00677258" w:rsidRDefault="00677258" w:rsidP="00677258">
      <w:pPr>
        <w:contextualSpacing/>
        <w:jc w:val="both"/>
        <w:rPr>
          <w:rFonts w:ascii="Arial" w:eastAsia="Calibri" w:hAnsi="Arial" w:cs="Arial"/>
          <w:lang w:val="es-ES_tradnl" w:eastAsia="es-ES_tradnl"/>
        </w:rPr>
      </w:pPr>
    </w:p>
    <w:p w14:paraId="61110044" w14:textId="77777777" w:rsidR="00677258" w:rsidRPr="00677258" w:rsidRDefault="00677258" w:rsidP="00677258">
      <w:pPr>
        <w:contextualSpacing/>
        <w:jc w:val="both"/>
        <w:rPr>
          <w:rFonts w:ascii="Arial" w:eastAsia="Calibri" w:hAnsi="Arial" w:cs="Arial"/>
          <w:lang w:val="es-ES_tradnl" w:eastAsia="es-ES_tradnl"/>
        </w:rPr>
      </w:pPr>
    </w:p>
    <w:p w14:paraId="64440A8A" w14:textId="77777777" w:rsidR="00677258" w:rsidRPr="00677258" w:rsidRDefault="00677258" w:rsidP="00677258">
      <w:pPr>
        <w:contextualSpacing/>
        <w:jc w:val="both"/>
        <w:rPr>
          <w:rFonts w:ascii="Arial" w:eastAsia="Calibri" w:hAnsi="Arial" w:cs="Arial"/>
          <w:lang w:val="es-ES" w:eastAsia="es-ES"/>
        </w:rPr>
      </w:pPr>
      <w:r w:rsidRPr="00677258">
        <w:rPr>
          <w:rFonts w:ascii="Arial" w:eastAsia="Calibri" w:hAnsi="Arial" w:cs="Arial"/>
          <w:lang w:val="es-ES" w:eastAsia="es-ES"/>
        </w:rPr>
        <w:t>Respetado señor Caballero Lizarazo:</w:t>
      </w:r>
    </w:p>
    <w:p w14:paraId="2155482C" w14:textId="77777777" w:rsidR="00677258" w:rsidRPr="00677258" w:rsidRDefault="00677258" w:rsidP="00677258">
      <w:pPr>
        <w:spacing w:line="276" w:lineRule="auto"/>
        <w:contextualSpacing/>
        <w:jc w:val="both"/>
        <w:rPr>
          <w:rFonts w:ascii="Arial" w:eastAsia="Calibri" w:hAnsi="Arial" w:cs="Arial"/>
          <w:szCs w:val="24"/>
          <w:lang w:val="es-ES_tradnl" w:eastAsia="es-ES_tradnl"/>
        </w:rPr>
      </w:pPr>
    </w:p>
    <w:bookmarkEnd w:id="0"/>
    <w:bookmarkEnd w:id="1"/>
    <w:p w14:paraId="5FBE7302" w14:textId="77777777" w:rsidR="00677258" w:rsidRPr="00677258" w:rsidRDefault="00677258" w:rsidP="00677258">
      <w:pPr>
        <w:spacing w:after="0" w:line="276" w:lineRule="auto"/>
        <w:jc w:val="both"/>
        <w:rPr>
          <w:rFonts w:ascii="Arial" w:eastAsia="Calibri" w:hAnsi="Arial" w:cs="Arial"/>
          <w:color w:val="000000" w:themeColor="text1"/>
          <w:lang w:val="es-ES_tradnl"/>
        </w:rPr>
      </w:pPr>
      <w:r w:rsidRPr="00677258">
        <w:rPr>
          <w:rFonts w:ascii="Arial" w:eastAsia="Calibri" w:hAnsi="Arial" w:cs="Arial"/>
          <w:color w:val="000000" w:themeColor="text1"/>
          <w:lang w:val="es-ES_tradnl"/>
        </w:rPr>
        <w:t>En ejercicio de la competencia otorgada por el numeral 8 del artículo 11 y el numeral 5 del artículo 3 del Decreto Ley 4170 de 2011</w:t>
      </w:r>
      <w:bookmarkStart w:id="3" w:name="_Hlk99120496"/>
      <w:r w:rsidRPr="00677258">
        <w:rPr>
          <w:rFonts w:ascii="Arial MT" w:eastAsia="Arial MT" w:hAnsi="Arial MT" w:cs="Arial MT"/>
          <w:lang w:val="es-ES"/>
        </w:rPr>
        <w:t xml:space="preserve">, </w:t>
      </w:r>
      <w:bookmarkEnd w:id="3"/>
      <w:r w:rsidRPr="00677258">
        <w:rPr>
          <w:rFonts w:ascii="Arial" w:eastAsia="Calibri" w:hAnsi="Arial" w:cs="Arial"/>
          <w:color w:val="000000" w:themeColor="text1"/>
          <w:lang w:val="es-ES_tradnl"/>
        </w:rPr>
        <w:t>la Agencia Nacional de Contratación Pública – Colombia Compra Eficiente responde la consulta radicada el 27 de junio de 2023.</w:t>
      </w:r>
    </w:p>
    <w:p w14:paraId="284F0851" w14:textId="77777777" w:rsidR="00677258" w:rsidRPr="00677258" w:rsidRDefault="00677258" w:rsidP="00677258">
      <w:pPr>
        <w:spacing w:after="0" w:line="276" w:lineRule="auto"/>
        <w:jc w:val="both"/>
        <w:rPr>
          <w:rFonts w:ascii="Arial" w:eastAsia="Calibri" w:hAnsi="Arial" w:cs="Arial"/>
          <w:b/>
          <w:color w:val="000000" w:themeColor="text1"/>
          <w:lang w:val="es-ES_tradnl"/>
        </w:rPr>
      </w:pPr>
    </w:p>
    <w:p w14:paraId="7AFED72D" w14:textId="77777777" w:rsidR="00677258" w:rsidRPr="00677258" w:rsidRDefault="00677258" w:rsidP="00677258">
      <w:pPr>
        <w:numPr>
          <w:ilvl w:val="0"/>
          <w:numId w:val="6"/>
        </w:numPr>
        <w:tabs>
          <w:tab w:val="left" w:pos="0"/>
          <w:tab w:val="left" w:pos="142"/>
          <w:tab w:val="left" w:pos="284"/>
        </w:tabs>
        <w:spacing w:after="0" w:line="276" w:lineRule="auto"/>
        <w:ind w:left="0" w:firstLine="0"/>
        <w:contextualSpacing/>
        <w:jc w:val="both"/>
        <w:rPr>
          <w:rFonts w:ascii="Arial" w:eastAsia="Calibri" w:hAnsi="Arial" w:cs="Arial"/>
          <w:b/>
          <w:color w:val="000000" w:themeColor="text1"/>
          <w:lang w:val="es-ES_tradnl"/>
        </w:rPr>
      </w:pPr>
      <w:r w:rsidRPr="00677258">
        <w:rPr>
          <w:rFonts w:ascii="Arial" w:eastAsia="Calibri" w:hAnsi="Arial" w:cs="Arial"/>
          <w:b/>
          <w:color w:val="000000" w:themeColor="text1"/>
          <w:lang w:val="es-ES_tradnl"/>
        </w:rPr>
        <w:t xml:space="preserve">Problemas planteados </w:t>
      </w:r>
    </w:p>
    <w:p w14:paraId="1D91CBB1" w14:textId="77777777" w:rsidR="00677258" w:rsidRPr="00677258" w:rsidRDefault="00677258" w:rsidP="00677258">
      <w:pPr>
        <w:tabs>
          <w:tab w:val="left" w:pos="426"/>
        </w:tabs>
        <w:spacing w:after="0" w:line="276" w:lineRule="auto"/>
        <w:jc w:val="both"/>
        <w:rPr>
          <w:rFonts w:ascii="Arial" w:eastAsia="Calibri" w:hAnsi="Arial" w:cs="Arial"/>
          <w:b/>
          <w:color w:val="000000" w:themeColor="text1"/>
          <w:lang w:val="es-ES_tradnl"/>
        </w:rPr>
      </w:pPr>
    </w:p>
    <w:p w14:paraId="7D3FFFF7" w14:textId="77777777" w:rsidR="00677258" w:rsidRPr="00677258" w:rsidRDefault="00677258" w:rsidP="00677258">
      <w:pPr>
        <w:spacing w:after="0" w:line="276" w:lineRule="auto"/>
        <w:jc w:val="both"/>
        <w:rPr>
          <w:rFonts w:ascii="Arial" w:hAnsi="Arial" w:cs="Arial"/>
          <w:color w:val="000000" w:themeColor="text1"/>
          <w:lang w:val="es-ES_tradnl"/>
        </w:rPr>
      </w:pPr>
      <w:bookmarkStart w:id="4" w:name="_Hlk132033606"/>
      <w:r w:rsidRPr="00677258">
        <w:rPr>
          <w:rFonts w:ascii="Arial" w:hAnsi="Arial" w:cs="Arial"/>
          <w:color w:val="000000" w:themeColor="text1"/>
          <w:lang w:val="es-ES_tradnl"/>
        </w:rPr>
        <w:t>Respecto al Registro de Deudores Alimentarios Morosos regulado en la Ley 2097 de 2021 y el Decreto 1310 de 2022,</w:t>
      </w:r>
      <w:bookmarkEnd w:id="4"/>
      <w:r w:rsidRPr="00677258">
        <w:rPr>
          <w:rFonts w:ascii="Arial" w:hAnsi="Arial" w:cs="Arial"/>
          <w:color w:val="000000" w:themeColor="text1"/>
          <w:lang w:val="es-ES_tradnl"/>
        </w:rPr>
        <w:t xml:space="preserve"> usted realiza las siguientes preguntas:</w:t>
      </w:r>
    </w:p>
    <w:p w14:paraId="1B4BAF8D" w14:textId="77777777" w:rsidR="00677258" w:rsidRPr="00677258" w:rsidRDefault="00677258" w:rsidP="00677258">
      <w:pPr>
        <w:spacing w:after="0" w:line="276" w:lineRule="auto"/>
        <w:jc w:val="both"/>
        <w:rPr>
          <w:rFonts w:ascii="Arial" w:hAnsi="Arial" w:cs="Arial"/>
          <w:color w:val="000000" w:themeColor="text1"/>
          <w:lang w:val="es-ES_tradnl"/>
        </w:rPr>
      </w:pPr>
    </w:p>
    <w:p w14:paraId="419A81C6" w14:textId="1DF96D13" w:rsidR="00677258" w:rsidRPr="00677258" w:rsidRDefault="00727B64" w:rsidP="00677258">
      <w:pPr>
        <w:spacing w:after="0" w:line="240" w:lineRule="auto"/>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677258" w:rsidRPr="00677258">
        <w:rPr>
          <w:rFonts w:ascii="Arial" w:hAnsi="Arial" w:cs="Arial"/>
          <w:color w:val="000000" w:themeColor="text1"/>
          <w:sz w:val="21"/>
          <w:szCs w:val="21"/>
          <w:lang w:val="es-ES_tradnl"/>
        </w:rPr>
        <w:t>¿Cómo las entidades públicas pueden o deben exigir el certificado del REDAM a los proponentes si los documentos tipo no describen y/o exigen específicamente el certificado del REDAM?</w:t>
      </w:r>
    </w:p>
    <w:p w14:paraId="5F7162B1" w14:textId="77777777" w:rsidR="00677258" w:rsidRPr="00677258" w:rsidRDefault="00677258" w:rsidP="00677258">
      <w:pPr>
        <w:spacing w:after="0" w:line="240" w:lineRule="auto"/>
        <w:ind w:left="709" w:right="709"/>
        <w:jc w:val="both"/>
        <w:rPr>
          <w:rFonts w:ascii="Arial" w:hAnsi="Arial" w:cs="Arial"/>
          <w:color w:val="000000" w:themeColor="text1"/>
          <w:sz w:val="21"/>
          <w:szCs w:val="21"/>
          <w:lang w:val="es-ES_tradnl"/>
        </w:rPr>
      </w:pPr>
    </w:p>
    <w:p w14:paraId="1BE4115F" w14:textId="77777777" w:rsidR="00677258" w:rsidRPr="00677258" w:rsidRDefault="00677258" w:rsidP="00677258">
      <w:pPr>
        <w:spacing w:after="0" w:line="240" w:lineRule="auto"/>
        <w:ind w:left="709" w:right="709"/>
        <w:jc w:val="both"/>
        <w:rPr>
          <w:rFonts w:ascii="Arial" w:hAnsi="Arial" w:cs="Arial"/>
          <w:color w:val="000000" w:themeColor="text1"/>
          <w:sz w:val="21"/>
          <w:szCs w:val="21"/>
          <w:lang w:val="es-ES_tradnl"/>
        </w:rPr>
      </w:pPr>
      <w:r w:rsidRPr="00677258">
        <w:rPr>
          <w:rFonts w:ascii="Arial" w:hAnsi="Arial" w:cs="Arial"/>
          <w:color w:val="000000" w:themeColor="text1"/>
          <w:sz w:val="21"/>
          <w:szCs w:val="21"/>
          <w:lang w:val="es-ES_tradnl"/>
        </w:rPr>
        <w:t>¿Se necesita una nueva versión de pliegos tipo donde se incluya el requisito habilitante del REDAM, o por el contrario las inhabilidades e incompatibilidades son de ley y no requieren habilitación de documentos tipo, tal como ocurre con las consagradas en la Ley 80 de 1993 y otras leyes?</w:t>
      </w:r>
    </w:p>
    <w:p w14:paraId="177B20A9" w14:textId="77777777" w:rsidR="00677258" w:rsidRPr="00677258" w:rsidRDefault="00677258" w:rsidP="00677258">
      <w:pPr>
        <w:spacing w:after="0" w:line="240" w:lineRule="auto"/>
        <w:ind w:left="709" w:right="709"/>
        <w:jc w:val="both"/>
        <w:rPr>
          <w:rFonts w:ascii="Arial" w:hAnsi="Arial" w:cs="Arial"/>
          <w:color w:val="000000" w:themeColor="text1"/>
          <w:sz w:val="21"/>
          <w:szCs w:val="21"/>
          <w:lang w:val="es-ES_tradnl"/>
        </w:rPr>
      </w:pPr>
    </w:p>
    <w:p w14:paraId="69A0C13E" w14:textId="77777777" w:rsidR="00677258" w:rsidRPr="00677258" w:rsidRDefault="00677258" w:rsidP="00677258">
      <w:pPr>
        <w:spacing w:after="0" w:line="240" w:lineRule="auto"/>
        <w:ind w:left="709" w:right="709"/>
        <w:jc w:val="both"/>
        <w:rPr>
          <w:rFonts w:ascii="Arial" w:hAnsi="Arial" w:cs="Arial"/>
          <w:color w:val="000000" w:themeColor="text1"/>
          <w:sz w:val="21"/>
          <w:szCs w:val="21"/>
          <w:lang w:val="es-ES_tradnl"/>
        </w:rPr>
      </w:pPr>
      <w:r w:rsidRPr="00677258">
        <w:rPr>
          <w:rFonts w:ascii="Arial" w:hAnsi="Arial" w:cs="Arial"/>
          <w:color w:val="000000" w:themeColor="text1"/>
          <w:sz w:val="21"/>
          <w:szCs w:val="21"/>
          <w:lang w:val="es-ES_tradnl"/>
        </w:rPr>
        <w:t xml:space="preserve">Como no es posible la consulta por parte de las entidades </w:t>
      </w:r>
      <w:proofErr w:type="spellStart"/>
      <w:r w:rsidRPr="00677258">
        <w:rPr>
          <w:rFonts w:ascii="Arial" w:hAnsi="Arial" w:cs="Arial"/>
          <w:color w:val="000000" w:themeColor="text1"/>
          <w:sz w:val="21"/>
          <w:szCs w:val="21"/>
          <w:lang w:val="es-ES_tradnl"/>
        </w:rPr>
        <w:t>publicas</w:t>
      </w:r>
      <w:proofErr w:type="spellEnd"/>
      <w:r w:rsidRPr="00677258">
        <w:rPr>
          <w:rFonts w:ascii="Arial" w:hAnsi="Arial" w:cs="Arial"/>
          <w:color w:val="000000" w:themeColor="text1"/>
          <w:sz w:val="21"/>
          <w:szCs w:val="21"/>
          <w:lang w:val="es-ES_tradnl"/>
        </w:rPr>
        <w:t xml:space="preserve"> [sic] el certificado del REDAM de los oferentes y/o proponente en los procesos de contratación estatal ¿es deber de los proponentes incluir tal certificado (REDAM) en la propuesta? ¿si no lo hacen es deber de la entidad requerir tal certificado?”</w:t>
      </w:r>
    </w:p>
    <w:p w14:paraId="57225D29" w14:textId="77777777" w:rsidR="00677258" w:rsidRPr="00677258" w:rsidRDefault="00677258" w:rsidP="00677258">
      <w:pPr>
        <w:spacing w:after="0" w:line="276" w:lineRule="auto"/>
        <w:jc w:val="both"/>
        <w:rPr>
          <w:rFonts w:ascii="Arial" w:hAnsi="Arial" w:cs="Arial"/>
          <w:color w:val="000000" w:themeColor="text1"/>
        </w:rPr>
      </w:pPr>
    </w:p>
    <w:p w14:paraId="5C5CCE7A" w14:textId="77777777" w:rsidR="00677258" w:rsidRPr="00677258" w:rsidRDefault="00677258" w:rsidP="00677258">
      <w:pPr>
        <w:numPr>
          <w:ilvl w:val="0"/>
          <w:numId w:val="6"/>
        </w:numPr>
        <w:tabs>
          <w:tab w:val="left" w:pos="0"/>
          <w:tab w:val="left" w:pos="284"/>
        </w:tabs>
        <w:spacing w:after="0" w:line="240" w:lineRule="auto"/>
        <w:ind w:left="0" w:firstLine="0"/>
        <w:contextualSpacing/>
        <w:jc w:val="both"/>
        <w:rPr>
          <w:rFonts w:ascii="Arial" w:eastAsia="Calibri" w:hAnsi="Arial" w:cs="Arial"/>
          <w:b/>
          <w:color w:val="000000" w:themeColor="text1"/>
          <w:lang w:val="es-ES_tradnl"/>
        </w:rPr>
      </w:pPr>
      <w:r w:rsidRPr="00677258">
        <w:rPr>
          <w:rFonts w:ascii="Arial" w:eastAsia="Calibri" w:hAnsi="Arial" w:cs="Arial"/>
          <w:b/>
          <w:color w:val="000000" w:themeColor="text1"/>
          <w:lang w:val="es-ES_tradnl"/>
        </w:rPr>
        <w:t>Consideraciones</w:t>
      </w:r>
    </w:p>
    <w:p w14:paraId="6F69FD54" w14:textId="77777777" w:rsidR="00677258" w:rsidRPr="00677258" w:rsidRDefault="00677258" w:rsidP="00677258">
      <w:pPr>
        <w:spacing w:after="0" w:line="276" w:lineRule="auto"/>
        <w:jc w:val="both"/>
        <w:rPr>
          <w:rFonts w:ascii="Arial" w:eastAsia="Calibri" w:hAnsi="Arial" w:cs="Arial"/>
          <w:color w:val="000000" w:themeColor="text1"/>
          <w:lang w:val="es-ES"/>
        </w:rPr>
      </w:pPr>
    </w:p>
    <w:p w14:paraId="502865A4" w14:textId="77777777" w:rsidR="00677258" w:rsidRPr="00677258" w:rsidRDefault="00677258" w:rsidP="00677258">
      <w:pPr>
        <w:spacing w:line="276" w:lineRule="auto"/>
        <w:jc w:val="both"/>
        <w:rPr>
          <w:rFonts w:ascii="Arial" w:hAnsi="Arial" w:cs="Arial"/>
          <w:color w:val="000000" w:themeColor="text1"/>
          <w:lang w:val="es-ES"/>
        </w:rPr>
      </w:pPr>
      <w:r w:rsidRPr="00677258">
        <w:rPr>
          <w:rFonts w:ascii="Arial" w:eastAsia="Calibri" w:hAnsi="Arial" w:cs="Arial"/>
          <w:color w:val="000000" w:themeColor="text1"/>
        </w:rPr>
        <w:t xml:space="preserve">Para responder los problemas planteados, </w:t>
      </w:r>
      <w:r w:rsidRPr="00677258">
        <w:rPr>
          <w:rFonts w:ascii="Arial" w:eastAsia="Calibri" w:hAnsi="Arial" w:cs="Arial"/>
          <w:color w:val="000000" w:themeColor="text1"/>
          <w:lang w:val="es-ES"/>
        </w:rPr>
        <w:t>se abordarán los siguientes temas</w:t>
      </w:r>
      <w:r w:rsidRPr="00677258">
        <w:rPr>
          <w:rFonts w:ascii="Arial" w:hAnsi="Arial" w:cs="Arial"/>
          <w:color w:val="000000" w:themeColor="text1"/>
          <w:lang w:val="es-ES"/>
        </w:rPr>
        <w:t xml:space="preserve">: i) régimen de inhabilidades e incompatibilidades para contratar con el Estado, </w:t>
      </w:r>
      <w:proofErr w:type="spellStart"/>
      <w:r w:rsidRPr="00677258">
        <w:rPr>
          <w:rFonts w:ascii="Arial" w:hAnsi="Arial" w:cs="Arial"/>
          <w:color w:val="000000" w:themeColor="text1"/>
          <w:lang w:val="es-ES"/>
        </w:rPr>
        <w:t>ii</w:t>
      </w:r>
      <w:proofErr w:type="spellEnd"/>
      <w:r w:rsidRPr="00677258">
        <w:rPr>
          <w:rFonts w:ascii="Arial" w:hAnsi="Arial" w:cs="Arial"/>
          <w:color w:val="000000" w:themeColor="text1"/>
          <w:lang w:val="es-ES"/>
        </w:rPr>
        <w:t xml:space="preserve">) límites de la capacidad contractual en relación con la reserva de ley y la interpretación restrictiva de estas disposiciones, y </w:t>
      </w:r>
      <w:proofErr w:type="spellStart"/>
      <w:r w:rsidRPr="00677258">
        <w:rPr>
          <w:rFonts w:ascii="Arial" w:hAnsi="Arial" w:cs="Arial"/>
          <w:color w:val="000000" w:themeColor="text1"/>
          <w:lang w:val="es-ES"/>
        </w:rPr>
        <w:t>iii</w:t>
      </w:r>
      <w:proofErr w:type="spellEnd"/>
      <w:r w:rsidRPr="00677258">
        <w:rPr>
          <w:rFonts w:ascii="Arial" w:hAnsi="Arial" w:cs="Arial"/>
          <w:color w:val="000000" w:themeColor="text1"/>
          <w:lang w:val="es-ES"/>
        </w:rPr>
        <w:t xml:space="preserve">) </w:t>
      </w:r>
      <w:bookmarkStart w:id="5" w:name="_Hlk73971018"/>
      <w:bookmarkStart w:id="6" w:name="_Hlk132011841"/>
      <w:r w:rsidRPr="00677258">
        <w:rPr>
          <w:rFonts w:ascii="Arial" w:hAnsi="Arial" w:cs="Arial"/>
          <w:color w:val="000000" w:themeColor="text1"/>
          <w:lang w:val="es-ES"/>
        </w:rPr>
        <w:t xml:space="preserve">alcance </w:t>
      </w:r>
      <w:bookmarkEnd w:id="5"/>
      <w:r w:rsidRPr="00677258">
        <w:rPr>
          <w:rFonts w:ascii="Arial" w:hAnsi="Arial" w:cs="Arial"/>
          <w:color w:val="000000" w:themeColor="text1"/>
          <w:lang w:val="es-ES"/>
        </w:rPr>
        <w:t>de la restricción prevista en el artículo 6.1 de la Ley 2097 de 2021, reglamentada por el Decreto 1310 de 2022</w:t>
      </w:r>
      <w:bookmarkEnd w:id="6"/>
      <w:r w:rsidRPr="00677258">
        <w:rPr>
          <w:rFonts w:ascii="Arial" w:hAnsi="Arial" w:cs="Arial"/>
          <w:color w:val="000000" w:themeColor="text1"/>
          <w:lang w:val="es-MX"/>
        </w:rPr>
        <w:t>.</w:t>
      </w:r>
      <w:r w:rsidRPr="00677258">
        <w:rPr>
          <w:rFonts w:ascii="Arial" w:hAnsi="Arial" w:cs="Arial"/>
          <w:color w:val="000000" w:themeColor="text1"/>
          <w:lang w:val="es-ES"/>
        </w:rPr>
        <w:t xml:space="preserve"> </w:t>
      </w:r>
    </w:p>
    <w:p w14:paraId="38D03499" w14:textId="77777777" w:rsidR="00677258" w:rsidRPr="00677258" w:rsidRDefault="00677258" w:rsidP="00677258">
      <w:pPr>
        <w:spacing w:before="120" w:after="0" w:line="276" w:lineRule="auto"/>
        <w:ind w:firstLine="709"/>
        <w:jc w:val="both"/>
        <w:rPr>
          <w:rFonts w:ascii="Arial" w:eastAsia="Calibri" w:hAnsi="Arial" w:cs="Arial"/>
          <w:color w:val="000000" w:themeColor="text1"/>
          <w:lang w:val="es-ES_tradnl"/>
        </w:rPr>
      </w:pPr>
      <w:r w:rsidRPr="00677258">
        <w:rPr>
          <w:rFonts w:ascii="Arial" w:eastAsia="Calibri" w:hAnsi="Arial" w:cs="Arial"/>
          <w:color w:val="000000" w:themeColor="text1"/>
          <w:lang w:val="es-ES"/>
        </w:rPr>
        <w:t xml:space="preserve">La Agencia Nacional de Contratación Pública – Colombia Compra Eficiente, en los Conceptos </w:t>
      </w:r>
      <w:r w:rsidRPr="00677258">
        <w:rPr>
          <w:rFonts w:ascii="Arial" w:eastAsia="Calibri" w:hAnsi="Arial" w:cs="Arial"/>
          <w:color w:val="000000" w:themeColor="text1"/>
          <w:lang w:val="es-MX"/>
        </w:rPr>
        <w:t xml:space="preserve">4201912000004765 de 29 de agosto de 2019, 4201913000005694 del 3 de octubre de 2019, 4201912000006288 del 7 de septiembre de 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 del 16  diciembre de 2019, 4201912000008460 del 14 de febrero de 2020, </w:t>
      </w:r>
      <w:r w:rsidRPr="00677258">
        <w:rPr>
          <w:rFonts w:ascii="Arial" w:eastAsia="Calibri" w:hAnsi="Arial" w:cs="Arial"/>
          <w:color w:val="000000" w:themeColor="text1"/>
          <w:lang w:val="es-ES_tradnl"/>
        </w:rPr>
        <w:t xml:space="preserve">C-032 del 19 de febrero de 2020, C-090 del 24 de febrero de 2020, C-125 del 3 de marzo de 2020, C-157 del 17 de marzo de 2020, C-273 del 21 de mayo de 2020, C-386 del 24 de julio de 2020, C-580 del 21 de septiembre de 2020, C-639 del 27 de octubre del 2020, C-650 del 10 de noviembre de 2020, C-684 del 24 de noviembre de 2020 C-004 del 12 de febrero de 2021, C-815 del 18 de febrero de 2021, C-210 del 12 de mayo de 2021, C-275 del 11 de junio de 2021, C-321 del 2 de julio de 2021, C-410 del 7 de julio del 2021, C-491 del 14 de septiembre de 2021, </w:t>
      </w:r>
      <w:r w:rsidRPr="00677258">
        <w:rPr>
          <w:rFonts w:ascii="Arial" w:eastAsia="Calibri" w:hAnsi="Arial" w:cs="Arial"/>
          <w:color w:val="000000" w:themeColor="text1"/>
          <w:lang w:val="es-ES"/>
        </w:rPr>
        <w:t>C-028 del 28 de febrero de 2022, C-318 del 18 de mayo de 2022, C-252 del 30 de mayo de 2022, C-175 del 4 de mayo de 2023 y C-300 de 2023, analizó las generalidades del régimen de inhabilidades e incompatibilidades en la contratación estatal</w:t>
      </w:r>
      <w:r w:rsidRPr="00677258">
        <w:rPr>
          <w:rFonts w:ascii="Arial" w:eastAsia="Calibri" w:hAnsi="Arial" w:cs="Arial"/>
          <w:vertAlign w:val="superscript"/>
        </w:rPr>
        <w:footnoteReference w:id="2"/>
      </w:r>
      <w:r w:rsidRPr="00677258">
        <w:rPr>
          <w:rFonts w:ascii="Arial" w:eastAsia="Calibri" w:hAnsi="Arial" w:cs="Arial"/>
          <w:color w:val="000000" w:themeColor="text1"/>
          <w:lang w:val="es-ES"/>
        </w:rPr>
        <w:t xml:space="preserve">. </w:t>
      </w:r>
      <w:r w:rsidRPr="00677258">
        <w:rPr>
          <w:rFonts w:ascii="Arial" w:eastAsia="Calibri" w:hAnsi="Arial" w:cs="Arial"/>
          <w:color w:val="000000" w:themeColor="text1"/>
          <w:lang w:val="es-ES_tradnl"/>
        </w:rPr>
        <w:t xml:space="preserve">La tesis propuesta en estos conceptos se reitera a continuación y se complementa en lo pertinente de acuerdo con las preguntas realizadas. </w:t>
      </w:r>
    </w:p>
    <w:p w14:paraId="267E9A44" w14:textId="77777777" w:rsidR="00677258" w:rsidRPr="00677258" w:rsidRDefault="00677258" w:rsidP="00677258">
      <w:pPr>
        <w:widowControl w:val="0"/>
        <w:autoSpaceDE w:val="0"/>
        <w:autoSpaceDN w:val="0"/>
        <w:spacing w:after="0" w:line="276" w:lineRule="auto"/>
        <w:jc w:val="both"/>
        <w:rPr>
          <w:rFonts w:ascii="Arial" w:hAnsi="Arial" w:cs="Arial"/>
          <w:b/>
          <w:lang w:val="es-MX"/>
        </w:rPr>
      </w:pPr>
    </w:p>
    <w:p w14:paraId="61F0DD85" w14:textId="77777777" w:rsidR="00677258" w:rsidRPr="00677258" w:rsidRDefault="00677258" w:rsidP="00677258">
      <w:pPr>
        <w:widowControl w:val="0"/>
        <w:autoSpaceDE w:val="0"/>
        <w:autoSpaceDN w:val="0"/>
        <w:spacing w:after="0" w:line="276" w:lineRule="auto"/>
        <w:jc w:val="both"/>
        <w:rPr>
          <w:rFonts w:ascii="Arial" w:hAnsi="Arial" w:cs="Arial"/>
          <w:b/>
          <w:lang w:val="es-MX"/>
        </w:rPr>
      </w:pPr>
      <w:r w:rsidRPr="00677258">
        <w:rPr>
          <w:rFonts w:ascii="Arial" w:hAnsi="Arial" w:cs="Arial"/>
          <w:b/>
          <w:lang w:val="es-MX"/>
        </w:rPr>
        <w:t xml:space="preserve">2.1. </w:t>
      </w:r>
      <w:bookmarkStart w:id="7" w:name="_Hlk73970609"/>
      <w:r w:rsidRPr="00677258">
        <w:rPr>
          <w:rFonts w:ascii="Arial" w:hAnsi="Arial" w:cs="Arial"/>
          <w:b/>
          <w:lang w:val="es-MX"/>
        </w:rPr>
        <w:t xml:space="preserve">Régimen de inhabilidades e incompatibilidades para contratar con el Estado </w:t>
      </w:r>
      <w:bookmarkEnd w:id="7"/>
    </w:p>
    <w:p w14:paraId="706F27B5" w14:textId="77777777" w:rsidR="00677258" w:rsidRPr="00677258" w:rsidRDefault="00677258" w:rsidP="00677258">
      <w:pPr>
        <w:spacing w:after="0" w:line="276" w:lineRule="auto"/>
        <w:jc w:val="both"/>
        <w:rPr>
          <w:rFonts w:ascii="Arial" w:hAnsi="Arial" w:cs="Arial"/>
          <w:lang w:val="es-MX"/>
        </w:rPr>
      </w:pPr>
    </w:p>
    <w:p w14:paraId="73533646" w14:textId="77777777" w:rsidR="00677258" w:rsidRPr="00677258" w:rsidRDefault="00677258" w:rsidP="00677258">
      <w:pPr>
        <w:spacing w:after="120" w:line="276" w:lineRule="auto"/>
        <w:jc w:val="both"/>
        <w:rPr>
          <w:rFonts w:ascii="Arial" w:hAnsi="Arial" w:cs="Arial"/>
          <w:lang w:val="es-MX"/>
        </w:rPr>
      </w:pPr>
      <w:r w:rsidRPr="00677258">
        <w:rPr>
          <w:rFonts w:ascii="Arial" w:hAnsi="Arial" w:cs="Arial"/>
          <w:lang w:val="es-MX"/>
        </w:rPr>
        <w:t xml:space="preserve">Las inhabilidades son circunstancias establecidas por la Constitución o la ley que impiden que personas naturales o jurídicas sean elegidas o designadas en un cargo público o </w:t>
      </w:r>
      <w:r w:rsidRPr="00677258">
        <w:rPr>
          <w:rFonts w:ascii="Arial" w:hAnsi="Arial" w:cs="Arial"/>
          <w:lang w:val="es-MX"/>
        </w:rPr>
        <w:lastRenderedPageBreak/>
        <w:t xml:space="preserve">celebren contratos con el Estado, con el objetivo de garantizar la idoneidad, imparcialidad, probidad, transparencia y moralidad de la función pública, garantizando el interés general.  </w:t>
      </w:r>
    </w:p>
    <w:p w14:paraId="5A560E71" w14:textId="77777777" w:rsidR="00677258" w:rsidRPr="00677258" w:rsidRDefault="00677258" w:rsidP="00677258">
      <w:pPr>
        <w:ind w:firstLine="709"/>
        <w:jc w:val="both"/>
        <w:rPr>
          <w:rFonts w:ascii="Arial" w:hAnsi="Arial" w:cs="Arial"/>
        </w:rPr>
      </w:pPr>
      <w:r w:rsidRPr="00677258">
        <w:rPr>
          <w:rFonts w:ascii="Arial" w:hAnsi="Arial" w:cs="Arial"/>
        </w:rPr>
        <w:t>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677258">
        <w:rPr>
          <w:rFonts w:ascii="Arial" w:hAnsi="Arial" w:cs="Arial"/>
          <w:vertAlign w:val="superscript"/>
        </w:rPr>
        <w:footnoteReference w:id="3"/>
      </w:r>
      <w:r w:rsidRPr="00677258">
        <w:rPr>
          <w:rFonts w:ascii="Arial" w:hAnsi="Arial" w:cs="Arial"/>
        </w:rPr>
        <w:t>.</w:t>
      </w:r>
    </w:p>
    <w:p w14:paraId="3274FE5C" w14:textId="77777777" w:rsidR="00677258" w:rsidRPr="00677258" w:rsidRDefault="00677258" w:rsidP="00677258">
      <w:pPr>
        <w:spacing w:before="120" w:after="0" w:line="276" w:lineRule="auto"/>
        <w:ind w:firstLine="709"/>
        <w:jc w:val="both"/>
        <w:rPr>
          <w:rFonts w:ascii="Arial" w:hAnsi="Arial" w:cs="Arial"/>
          <w:lang w:val="es-MX"/>
        </w:rPr>
      </w:pPr>
      <w:r w:rsidRPr="00677258">
        <w:rPr>
          <w:rFonts w:ascii="Arial" w:hAnsi="Arial" w:cs="Arial"/>
          <w:lang w:val="es-MX"/>
        </w:rPr>
        <w:t xml:space="preserve">La consagración de limitaciones que afectan la capacidad jurídica para contratar desarrolla los principios de la función administrativa consagrados en el artículo 209 de la Constitución Política, con especial énfasis en el de moralidad. Así lo entiende el Consejo de Estado: </w:t>
      </w:r>
    </w:p>
    <w:p w14:paraId="4D4EEC2F" w14:textId="77777777" w:rsidR="00677258" w:rsidRPr="00677258" w:rsidRDefault="00677258" w:rsidP="00677258">
      <w:pPr>
        <w:spacing w:after="0" w:line="276" w:lineRule="auto"/>
        <w:jc w:val="both"/>
        <w:rPr>
          <w:rFonts w:ascii="Arial" w:hAnsi="Arial" w:cs="Arial"/>
          <w:lang w:val="es-MX"/>
        </w:rPr>
      </w:pPr>
    </w:p>
    <w:p w14:paraId="67C79BF7" w14:textId="15982AB9" w:rsidR="00677258" w:rsidRPr="00677258" w:rsidRDefault="00EB4547" w:rsidP="00677258">
      <w:pPr>
        <w:shd w:val="clear" w:color="auto" w:fill="FFFFFF"/>
        <w:spacing w:after="120" w:line="240" w:lineRule="auto"/>
        <w:ind w:left="709" w:right="709"/>
        <w:jc w:val="both"/>
        <w:rPr>
          <w:rFonts w:ascii="Arial" w:hAnsi="Arial" w:cs="Arial"/>
          <w:sz w:val="21"/>
          <w:szCs w:val="21"/>
          <w:lang w:val="es-ES"/>
        </w:rPr>
      </w:pPr>
      <w:r>
        <w:rPr>
          <w:rFonts w:ascii="Arial" w:hAnsi="Arial" w:cs="Arial"/>
          <w:sz w:val="21"/>
          <w:szCs w:val="21"/>
          <w:lang w:val="es-ES"/>
        </w:rPr>
        <w:t>“</w:t>
      </w:r>
      <w:r w:rsidR="00677258" w:rsidRPr="00677258">
        <w:rPr>
          <w:rFonts w:ascii="Arial" w:hAnsi="Arial" w:cs="Arial"/>
          <w:sz w:val="21"/>
          <w:szCs w:val="21"/>
          <w:lang w:val="es-E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6FB74B36" w14:textId="7912BE47" w:rsidR="00677258" w:rsidRPr="00677258" w:rsidRDefault="00677258" w:rsidP="00677258">
      <w:pPr>
        <w:shd w:val="clear" w:color="auto" w:fill="FFFFFF"/>
        <w:spacing w:after="0" w:line="240" w:lineRule="auto"/>
        <w:ind w:left="709" w:right="709"/>
        <w:jc w:val="both"/>
        <w:rPr>
          <w:rFonts w:ascii="Arial" w:hAnsi="Arial" w:cs="Arial"/>
          <w:sz w:val="21"/>
          <w:szCs w:val="21"/>
          <w:lang w:val="es-ES"/>
        </w:rPr>
      </w:pPr>
      <w:r w:rsidRPr="00677258">
        <w:rPr>
          <w:rFonts w:ascii="Arial" w:hAnsi="Arial" w:cs="Arial"/>
          <w:sz w:val="21"/>
          <w:szCs w:val="21"/>
          <w:lang w:val="es-ES"/>
        </w:rPr>
        <w:t>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sidR="00EB4547">
        <w:rPr>
          <w:rFonts w:ascii="Arial" w:hAnsi="Arial" w:cs="Arial"/>
          <w:sz w:val="21"/>
          <w:szCs w:val="21"/>
          <w:lang w:val="es-ES"/>
        </w:rPr>
        <w:t>.”</w:t>
      </w:r>
      <w:r w:rsidRPr="00677258">
        <w:rPr>
          <w:rFonts w:ascii="Arial" w:hAnsi="Arial" w:cs="Arial"/>
          <w:sz w:val="21"/>
          <w:szCs w:val="21"/>
          <w:vertAlign w:val="superscript"/>
          <w:lang w:val="es-ES"/>
        </w:rPr>
        <w:footnoteReference w:id="4"/>
      </w:r>
    </w:p>
    <w:p w14:paraId="65CD59D1" w14:textId="77777777" w:rsidR="00677258" w:rsidRPr="00677258" w:rsidRDefault="00677258" w:rsidP="00677258">
      <w:pPr>
        <w:shd w:val="clear" w:color="auto" w:fill="FFFFFF"/>
        <w:spacing w:after="0" w:line="276" w:lineRule="auto"/>
        <w:ind w:left="709" w:right="709"/>
        <w:jc w:val="both"/>
        <w:rPr>
          <w:rFonts w:ascii="Arial" w:hAnsi="Arial" w:cs="Arial"/>
          <w:lang w:val="es-ES"/>
        </w:rPr>
      </w:pPr>
    </w:p>
    <w:p w14:paraId="11FB82DE" w14:textId="77777777" w:rsidR="00677258" w:rsidRPr="00677258" w:rsidRDefault="00677258" w:rsidP="00677258">
      <w:pPr>
        <w:spacing w:after="0" w:line="276" w:lineRule="auto"/>
        <w:ind w:firstLine="709"/>
        <w:jc w:val="both"/>
        <w:rPr>
          <w:rFonts w:ascii="Arial" w:hAnsi="Arial" w:cs="Arial"/>
          <w:lang w:val="es-MX"/>
        </w:rPr>
      </w:pPr>
      <w:r w:rsidRPr="00677258">
        <w:rPr>
          <w:rFonts w:ascii="Arial" w:hAnsi="Arial" w:cs="Arial"/>
          <w:lang w:val="es-MX"/>
        </w:rPr>
        <w:lastRenderedPageBreak/>
        <w:t xml:space="preserve">Así las cosas,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 </w:t>
      </w:r>
    </w:p>
    <w:p w14:paraId="78D82D40" w14:textId="77777777" w:rsidR="00677258" w:rsidRPr="00677258" w:rsidRDefault="00677258" w:rsidP="00677258">
      <w:pPr>
        <w:spacing w:after="0" w:line="276" w:lineRule="auto"/>
        <w:ind w:firstLine="709"/>
        <w:jc w:val="both"/>
        <w:rPr>
          <w:rFonts w:ascii="Arial" w:hAnsi="Arial" w:cs="Arial"/>
          <w:lang w:val="es-MX"/>
        </w:rPr>
      </w:pPr>
    </w:p>
    <w:p w14:paraId="184CEFB5" w14:textId="480C3C4D" w:rsidR="00677258" w:rsidRPr="00677258" w:rsidRDefault="00EB4547" w:rsidP="00677258">
      <w:pPr>
        <w:spacing w:line="240" w:lineRule="auto"/>
        <w:ind w:left="709" w:right="709"/>
        <w:jc w:val="both"/>
        <w:rPr>
          <w:rFonts w:ascii="Arial" w:hAnsi="Arial" w:cs="Arial"/>
          <w:sz w:val="21"/>
          <w:szCs w:val="21"/>
        </w:rPr>
      </w:pPr>
      <w:r>
        <w:rPr>
          <w:rFonts w:ascii="Arial" w:hAnsi="Arial" w:cs="Arial"/>
          <w:sz w:val="21"/>
          <w:szCs w:val="21"/>
        </w:rPr>
        <w:t>“</w:t>
      </w:r>
      <w:r w:rsidR="00677258" w:rsidRPr="00677258">
        <w:rPr>
          <w:rFonts w:ascii="Arial" w:hAnsi="Arial" w:cs="Arial"/>
          <w:sz w:val="21"/>
          <w:szCs w:val="21"/>
        </w:rPr>
        <w:t xml:space="preserve">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w:t>
      </w:r>
      <w:proofErr w:type="gramStart"/>
      <w:r w:rsidR="00677258" w:rsidRPr="00677258">
        <w:rPr>
          <w:rFonts w:ascii="Arial" w:hAnsi="Arial" w:cs="Arial"/>
          <w:sz w:val="21"/>
          <w:szCs w:val="21"/>
        </w:rPr>
        <w:t>incompatibilidades,</w:t>
      </w:r>
      <w:proofErr w:type="gramEnd"/>
      <w:r w:rsidR="00677258" w:rsidRPr="00677258">
        <w:rPr>
          <w:rFonts w:ascii="Arial" w:hAnsi="Arial" w:cs="Arial"/>
          <w:sz w:val="21"/>
          <w:szCs w:val="21"/>
        </w:rPr>
        <w:t xml:space="preserve"> se erige en causal de nulidad del contrato celebrado en esas condiciones (ley 80 de 1993, art. 44).</w:t>
      </w:r>
    </w:p>
    <w:p w14:paraId="5A94A52E" w14:textId="18250B51" w:rsidR="00677258" w:rsidRPr="00677258" w:rsidRDefault="00677258" w:rsidP="00677258">
      <w:pPr>
        <w:spacing w:after="0" w:line="240" w:lineRule="auto"/>
        <w:ind w:left="709" w:right="709"/>
        <w:jc w:val="both"/>
        <w:rPr>
          <w:rFonts w:ascii="Arial" w:hAnsi="Arial" w:cs="Arial"/>
          <w:sz w:val="21"/>
          <w:szCs w:val="21"/>
        </w:rPr>
      </w:pPr>
      <w:r w:rsidRPr="00677258">
        <w:rPr>
          <w:rFonts w:ascii="Arial" w:hAnsi="Arial" w:cs="Arial"/>
          <w:sz w:val="21"/>
          <w:szCs w:val="21"/>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sidR="00EB4547">
        <w:rPr>
          <w:rFonts w:ascii="Arial" w:hAnsi="Arial" w:cs="Arial"/>
          <w:sz w:val="21"/>
          <w:szCs w:val="21"/>
        </w:rPr>
        <w:t>.”</w:t>
      </w:r>
      <w:r w:rsidRPr="00677258">
        <w:rPr>
          <w:rFonts w:ascii="Arial" w:hAnsi="Arial" w:cs="Arial"/>
          <w:sz w:val="21"/>
          <w:szCs w:val="21"/>
          <w:vertAlign w:val="superscript"/>
        </w:rPr>
        <w:footnoteReference w:id="5"/>
      </w:r>
    </w:p>
    <w:p w14:paraId="1391B8EB" w14:textId="77777777" w:rsidR="00677258" w:rsidRPr="00677258" w:rsidRDefault="00677258" w:rsidP="00677258">
      <w:pPr>
        <w:spacing w:after="0" w:line="276" w:lineRule="auto"/>
        <w:ind w:right="709"/>
        <w:jc w:val="both"/>
        <w:rPr>
          <w:rFonts w:ascii="Arial" w:hAnsi="Arial" w:cs="Arial"/>
        </w:rPr>
      </w:pPr>
    </w:p>
    <w:p w14:paraId="586FD5BA" w14:textId="77777777" w:rsidR="00677258" w:rsidRPr="00677258" w:rsidRDefault="00677258" w:rsidP="00677258">
      <w:pPr>
        <w:spacing w:after="0"/>
        <w:ind w:firstLine="709"/>
        <w:jc w:val="both"/>
        <w:rPr>
          <w:rFonts w:ascii="Arial" w:hAnsi="Arial" w:cs="Arial"/>
        </w:rPr>
      </w:pPr>
      <w:r w:rsidRPr="00677258">
        <w:rPr>
          <w:rFonts w:ascii="Arial" w:hAnsi="Arial" w:cs="Arial"/>
        </w:rPr>
        <w:t>Además, la Corte Constitucional explica que el legislador tiene la competencia para determinar qué hechos o situaciones generan inhabilidad para contratar, pues este régimen es un aspecto propio del Estatuto General de Contratación de la Administración Pública, cuya expedición compete al Congreso de la República a la luz del artículo 150 de la Constitución Política, y que en esta materia rige el principio de legalidad:</w:t>
      </w:r>
    </w:p>
    <w:p w14:paraId="55672FEA" w14:textId="77777777" w:rsidR="00677258" w:rsidRPr="00677258" w:rsidRDefault="00677258" w:rsidP="00677258">
      <w:pPr>
        <w:tabs>
          <w:tab w:val="left" w:pos="1532"/>
        </w:tabs>
        <w:spacing w:after="0" w:line="276" w:lineRule="auto"/>
        <w:jc w:val="both"/>
        <w:rPr>
          <w:rFonts w:ascii="Arial" w:hAnsi="Arial" w:cs="Arial"/>
          <w:lang w:val="es-MX"/>
        </w:rPr>
      </w:pPr>
    </w:p>
    <w:p w14:paraId="72A5FAB2" w14:textId="3E30C9F4" w:rsidR="00677258" w:rsidRPr="00677258" w:rsidRDefault="008C63CE" w:rsidP="00677258">
      <w:pPr>
        <w:spacing w:after="0" w:line="240" w:lineRule="auto"/>
        <w:ind w:left="709" w:right="709"/>
        <w:jc w:val="both"/>
        <w:rPr>
          <w:rFonts w:ascii="Arial" w:hAnsi="Arial" w:cs="Arial"/>
          <w:sz w:val="21"/>
          <w:szCs w:val="21"/>
        </w:rPr>
      </w:pPr>
      <w:r>
        <w:rPr>
          <w:rFonts w:ascii="Arial" w:hAnsi="Arial" w:cs="Arial"/>
          <w:sz w:val="21"/>
          <w:szCs w:val="21"/>
        </w:rPr>
        <w:t>“</w:t>
      </w:r>
      <w:r w:rsidR="00677258" w:rsidRPr="00677258">
        <w:rPr>
          <w:rFonts w:ascii="Arial" w:hAnsi="Arial" w:cs="Arial"/>
          <w:sz w:val="21"/>
          <w:szCs w:val="21"/>
        </w:rPr>
        <w:t>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w:t>
      </w:r>
      <w:r w:rsidR="00677258" w:rsidRPr="00677258">
        <w:rPr>
          <w:rFonts w:ascii="Arial" w:hAnsi="Arial" w:cs="Arial"/>
          <w:i/>
          <w:iCs/>
          <w:sz w:val="21"/>
          <w:szCs w:val="21"/>
        </w:rPr>
        <w:t xml:space="preserve">pro </w:t>
      </w:r>
      <w:proofErr w:type="spellStart"/>
      <w:r w:rsidR="00677258" w:rsidRPr="00677258">
        <w:rPr>
          <w:rFonts w:ascii="Arial" w:hAnsi="Arial" w:cs="Arial"/>
          <w:i/>
          <w:iCs/>
          <w:sz w:val="21"/>
          <w:szCs w:val="21"/>
        </w:rPr>
        <w:t>libertate</w:t>
      </w:r>
      <w:proofErr w:type="spellEnd"/>
      <w:r w:rsidR="00677258" w:rsidRPr="00677258">
        <w:rPr>
          <w:rFonts w:ascii="Arial" w:hAnsi="Arial" w:cs="Arial"/>
          <w:sz w:val="21"/>
          <w:szCs w:val="21"/>
        </w:rPr>
        <w:t xml:space="preserve">, sino el de legalidad, el que ordena que la función </w:t>
      </w:r>
      <w:r w:rsidR="00677258" w:rsidRPr="00677258">
        <w:rPr>
          <w:rFonts w:ascii="Arial" w:hAnsi="Arial" w:cs="Arial"/>
          <w:sz w:val="21"/>
          <w:szCs w:val="21"/>
        </w:rPr>
        <w:lastRenderedPageBreak/>
        <w:t xml:space="preserve">pública debe someterse estrictamente a lo que disponga la Constitución y la ley (CP art. 6). </w:t>
      </w:r>
    </w:p>
    <w:p w14:paraId="648F84EF" w14:textId="77777777" w:rsidR="00677258" w:rsidRPr="00677258" w:rsidRDefault="00677258" w:rsidP="00677258">
      <w:pPr>
        <w:spacing w:after="120" w:line="240" w:lineRule="auto"/>
        <w:ind w:left="709" w:right="709"/>
        <w:jc w:val="both"/>
        <w:rPr>
          <w:rFonts w:ascii="Arial" w:hAnsi="Arial" w:cs="Arial"/>
          <w:sz w:val="21"/>
          <w:szCs w:val="21"/>
        </w:rPr>
      </w:pPr>
      <w:r w:rsidRPr="00677258">
        <w:rPr>
          <w:rFonts w:ascii="Arial" w:hAnsi="Arial" w:cs="Arial"/>
          <w:sz w:val="21"/>
          <w:szCs w:val="21"/>
        </w:rPr>
        <w:t xml:space="preserve">[…] </w:t>
      </w:r>
    </w:p>
    <w:p w14:paraId="70EBB1D8" w14:textId="1CE2B1AD" w:rsidR="00677258" w:rsidRPr="00677258" w:rsidRDefault="00677258" w:rsidP="00677258">
      <w:pPr>
        <w:spacing w:after="0" w:line="240" w:lineRule="auto"/>
        <w:ind w:left="709" w:right="709"/>
        <w:jc w:val="both"/>
        <w:rPr>
          <w:rFonts w:ascii="Arial" w:hAnsi="Arial" w:cs="Arial"/>
          <w:sz w:val="21"/>
          <w:szCs w:val="21"/>
        </w:rPr>
      </w:pPr>
      <w:r w:rsidRPr="00677258">
        <w:rPr>
          <w:rFonts w:ascii="Arial" w:hAnsi="Arial" w:cs="Arial"/>
          <w:sz w:val="21"/>
          <w:szCs w:val="21"/>
        </w:rPr>
        <w:t xml:space="preserve">Se comprende con facilidad que el régimen de inhabilidades e </w:t>
      </w:r>
      <w:proofErr w:type="gramStart"/>
      <w:r w:rsidRPr="00677258">
        <w:rPr>
          <w:rFonts w:ascii="Arial" w:hAnsi="Arial" w:cs="Arial"/>
          <w:sz w:val="21"/>
          <w:szCs w:val="21"/>
        </w:rPr>
        <w:t>incompatibilidades,</w:t>
      </w:r>
      <w:proofErr w:type="gramEnd"/>
      <w:r w:rsidRPr="00677258">
        <w:rPr>
          <w:rFonts w:ascii="Arial" w:hAnsi="Arial" w:cs="Arial"/>
          <w:sz w:val="21"/>
          <w:szCs w:val="21"/>
        </w:rPr>
        <w:t xml:space="preserve"> corresponde a una materia de normal y obligada inclusión en un estatuto contractual. El legislador, a quien se ha confiado expedir el indicado estatuto, tiene, pues, competencia para establecerlo</w:t>
      </w:r>
      <w:r w:rsidR="008C63CE">
        <w:rPr>
          <w:rFonts w:ascii="Arial" w:hAnsi="Arial" w:cs="Arial"/>
          <w:sz w:val="21"/>
          <w:szCs w:val="21"/>
        </w:rPr>
        <w:t>.”</w:t>
      </w:r>
      <w:r w:rsidRPr="00677258">
        <w:rPr>
          <w:rFonts w:ascii="Arial" w:hAnsi="Arial" w:cs="Arial"/>
          <w:sz w:val="21"/>
          <w:szCs w:val="21"/>
        </w:rPr>
        <w:t xml:space="preserve"> (CP art. 150)</w:t>
      </w:r>
      <w:r w:rsidRPr="00677258">
        <w:rPr>
          <w:rFonts w:ascii="Arial" w:hAnsi="Arial" w:cs="Arial"/>
          <w:sz w:val="21"/>
          <w:szCs w:val="21"/>
          <w:vertAlign w:val="superscript"/>
        </w:rPr>
        <w:footnoteReference w:id="6"/>
      </w:r>
    </w:p>
    <w:p w14:paraId="1D129053" w14:textId="77777777" w:rsidR="00677258" w:rsidRPr="00677258" w:rsidRDefault="00677258" w:rsidP="00677258">
      <w:pPr>
        <w:spacing w:after="0" w:line="276" w:lineRule="auto"/>
        <w:ind w:left="709" w:right="709"/>
        <w:jc w:val="both"/>
        <w:rPr>
          <w:rFonts w:ascii="Arial" w:hAnsi="Arial" w:cs="Arial"/>
        </w:rPr>
      </w:pPr>
    </w:p>
    <w:p w14:paraId="6C378682" w14:textId="77777777" w:rsidR="00677258" w:rsidRPr="00677258" w:rsidRDefault="00677258" w:rsidP="00677258">
      <w:pPr>
        <w:spacing w:after="0"/>
        <w:ind w:firstLine="709"/>
        <w:jc w:val="both"/>
        <w:rPr>
          <w:rFonts w:ascii="Arial" w:hAnsi="Arial" w:cs="Arial"/>
        </w:rPr>
      </w:pPr>
      <w:r w:rsidRPr="00677258">
        <w:rPr>
          <w:rFonts w:ascii="Arial" w:hAnsi="Arial" w:cs="Arial"/>
        </w:rPr>
        <w:t xml:space="preserve">Conviene también distinguir las fuentes de las inhabilidades, las cuales han sido clasificadas en dos (2) grupos: i) inhabilidades-sanción y </w:t>
      </w:r>
      <w:proofErr w:type="spellStart"/>
      <w:r w:rsidRPr="00677258">
        <w:rPr>
          <w:rFonts w:ascii="Arial" w:hAnsi="Arial" w:cs="Arial"/>
        </w:rPr>
        <w:t>ii</w:t>
      </w:r>
      <w:proofErr w:type="spellEnd"/>
      <w:r w:rsidRPr="00677258">
        <w:rPr>
          <w:rFonts w:ascii="Arial" w:hAnsi="Arial" w:cs="Arial"/>
        </w:rPr>
        <w:t>)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w:t>
      </w:r>
      <w:r w:rsidRPr="00677258">
        <w:rPr>
          <w:rFonts w:ascii="Arial" w:hAnsi="Arial" w:cs="Arial"/>
          <w:vertAlign w:val="superscript"/>
        </w:rPr>
        <w:footnoteReference w:id="7"/>
      </w:r>
      <w:r w:rsidRPr="00677258">
        <w:rPr>
          <w:rFonts w:ascii="Arial" w:hAnsi="Arial" w:cs="Arial"/>
        </w:rPr>
        <w:t>.</w:t>
      </w:r>
    </w:p>
    <w:p w14:paraId="29301892" w14:textId="77777777" w:rsidR="00677258" w:rsidRPr="00677258" w:rsidRDefault="00677258" w:rsidP="00677258">
      <w:pPr>
        <w:spacing w:before="120" w:after="0"/>
        <w:ind w:firstLine="708"/>
        <w:jc w:val="both"/>
        <w:rPr>
          <w:rFonts w:ascii="Arial" w:hAnsi="Arial" w:cs="Arial"/>
        </w:rPr>
      </w:pPr>
      <w:r w:rsidRPr="00677258">
        <w:rPr>
          <w:rFonts w:ascii="Arial" w:hAnsi="Arial" w:cs="Arial"/>
        </w:rPr>
        <w:t>A manera de ejemplo, en materia contractual, los literales c), d) y j) del numeral 1 del artículo 8 de la Ley 80 de 1993</w:t>
      </w:r>
      <w:r w:rsidRPr="00677258">
        <w:rPr>
          <w:rFonts w:ascii="Arial" w:hAnsi="Arial" w:cs="Arial"/>
          <w:vertAlign w:val="superscript"/>
        </w:rPr>
        <w:footnoteReference w:id="8"/>
      </w:r>
      <w:r w:rsidRPr="00677258">
        <w:rPr>
          <w:rFonts w:ascii="Arial" w:hAnsi="Arial" w:cs="Arial"/>
        </w:rPr>
        <w:t xml:space="preserve"> establecen inhabilidades-sanción, porque la prohibición </w:t>
      </w:r>
      <w:r w:rsidRPr="00677258">
        <w:rPr>
          <w:rFonts w:ascii="Arial" w:hAnsi="Arial" w:cs="Arial"/>
        </w:rPr>
        <w:lastRenderedPageBreak/>
        <w:t xml:space="preserve">para contratar con el Estado en esos eventos es una consecuencia de una declaratoria de responsabilidad que surge luego de un proceso sancionatorio –administrativo, disciplinario o penal–; mientras que las inhabilidades de los literales f), g) y h) del literal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w:t>
      </w:r>
      <w:bookmarkStart w:id="8" w:name="_Hlk40976328"/>
      <w:r w:rsidRPr="00677258">
        <w:rPr>
          <w:rFonts w:ascii="Arial" w:hAnsi="Arial" w:cs="Arial"/>
        </w:rPr>
        <w:t xml:space="preserve">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 </w:t>
      </w:r>
      <w:bookmarkEnd w:id="8"/>
    </w:p>
    <w:p w14:paraId="352B6FE2" w14:textId="77777777" w:rsidR="00677258" w:rsidRPr="00677258" w:rsidRDefault="00677258" w:rsidP="00677258">
      <w:pPr>
        <w:spacing w:after="0"/>
        <w:ind w:firstLine="709"/>
        <w:jc w:val="both"/>
        <w:rPr>
          <w:rFonts w:ascii="Arial" w:hAnsi="Arial" w:cs="Arial"/>
        </w:rPr>
      </w:pPr>
    </w:p>
    <w:p w14:paraId="5E6FF895" w14:textId="77777777" w:rsidR="00677258" w:rsidRPr="00677258" w:rsidRDefault="00677258" w:rsidP="00677258">
      <w:pPr>
        <w:tabs>
          <w:tab w:val="left" w:pos="426"/>
        </w:tabs>
        <w:spacing w:after="0"/>
        <w:jc w:val="both"/>
        <w:rPr>
          <w:rFonts w:ascii="Arial" w:eastAsia="Calibri" w:hAnsi="Arial" w:cs="Arial"/>
          <w:b/>
          <w:lang w:val="es-ES_tradnl"/>
        </w:rPr>
      </w:pPr>
      <w:r w:rsidRPr="00677258">
        <w:rPr>
          <w:rFonts w:ascii="Arial" w:eastAsia="Calibri" w:hAnsi="Arial" w:cs="Arial"/>
          <w:b/>
          <w:lang w:val="es-ES_tradnl"/>
        </w:rPr>
        <w:t>2.2. Régimen de inhabilidades e incompatibilidades en la contratación estatal: un límite a la capacidad contractual. La interpretación restrictiva como criterio hermenéutico de los enunciados normativos gravosos y la reserva de ley</w:t>
      </w:r>
    </w:p>
    <w:p w14:paraId="08A050E9" w14:textId="77777777" w:rsidR="00677258" w:rsidRPr="00677258" w:rsidRDefault="00677258" w:rsidP="00677258">
      <w:pPr>
        <w:spacing w:after="0"/>
        <w:ind w:right="709"/>
        <w:jc w:val="both"/>
        <w:rPr>
          <w:rFonts w:ascii="Arial" w:eastAsia="Calibri" w:hAnsi="Arial" w:cs="Arial"/>
          <w:lang w:val="es-ES_tradnl"/>
        </w:rPr>
      </w:pPr>
    </w:p>
    <w:p w14:paraId="094CB9E3" w14:textId="77777777" w:rsidR="00677258" w:rsidRPr="00677258" w:rsidRDefault="00677258" w:rsidP="00677258">
      <w:pPr>
        <w:spacing w:after="120"/>
        <w:jc w:val="both"/>
        <w:rPr>
          <w:rFonts w:ascii="Arial" w:eastAsia="Calibri" w:hAnsi="Arial" w:cs="Arial"/>
          <w:lang w:val="es-ES_tradnl"/>
        </w:rPr>
      </w:pPr>
      <w:r w:rsidRPr="00677258">
        <w:rPr>
          <w:rFonts w:ascii="Arial" w:eastAsia="Calibri" w:hAnsi="Arial" w:cs="Arial"/>
          <w:lang w:val="es-ES_tradnl"/>
        </w:rPr>
        <w:t xml:space="preserve">En la contratación estatal, la </w:t>
      </w:r>
      <w:r w:rsidRPr="00677258">
        <w:rPr>
          <w:rFonts w:ascii="Arial" w:eastAsia="Calibri" w:hAnsi="Arial" w:cs="Arial"/>
          <w:i/>
          <w:iCs/>
          <w:lang w:val="es-ES_tradnl"/>
        </w:rPr>
        <w:t>capacidad</w:t>
      </w:r>
      <w:r w:rsidRPr="00677258">
        <w:rPr>
          <w:rFonts w:ascii="Arial" w:eastAsia="Calibri" w:hAnsi="Arial" w:cs="Arial"/>
          <w:lang w:val="es-ES_tradnl"/>
        </w:rPr>
        <w:t xml:space="preserve"> también es un requisito de validez de los contratos, tanto en el régimen de las entidades sujetas al Estatuto General de Contratación de la Administración Pública</w:t>
      </w:r>
      <w:r w:rsidRPr="00677258">
        <w:rPr>
          <w:rFonts w:ascii="Arial" w:eastAsia="Calibri" w:hAnsi="Arial" w:cs="Arial"/>
          <w:vertAlign w:val="superscript"/>
          <w:lang w:val="es-ES_tradnl"/>
        </w:rPr>
        <w:footnoteReference w:id="9"/>
      </w:r>
      <w:r w:rsidRPr="00677258">
        <w:rPr>
          <w:rFonts w:ascii="Arial" w:eastAsia="Calibri" w:hAnsi="Arial" w:cs="Arial"/>
          <w:lang w:val="es-ES_tradnl"/>
        </w:rPr>
        <w:t xml:space="preserve"> como en el de las entidades exceptuadas de aquel</w:t>
      </w:r>
      <w:r w:rsidRPr="00677258">
        <w:rPr>
          <w:rFonts w:ascii="Arial" w:eastAsia="Calibri" w:hAnsi="Arial" w:cs="Arial"/>
          <w:vertAlign w:val="superscript"/>
          <w:lang w:val="es-ES_tradnl"/>
        </w:rPr>
        <w:footnoteReference w:id="10"/>
      </w:r>
      <w:r w:rsidRPr="00677258">
        <w:rPr>
          <w:rFonts w:ascii="Arial" w:eastAsia="Calibri" w:hAnsi="Arial" w:cs="Arial"/>
          <w:lang w:val="es-ES_tradnl"/>
        </w:rPr>
        <w:t>.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w:t>
      </w:r>
      <w:r w:rsidRPr="00677258">
        <w:rPr>
          <w:rFonts w:ascii="Arial" w:eastAsia="Calibri" w:hAnsi="Arial" w:cs="Arial"/>
          <w:vertAlign w:val="superscript"/>
          <w:lang w:val="es-ES_tradnl"/>
        </w:rPr>
        <w:footnoteReference w:id="11"/>
      </w:r>
      <w:r w:rsidRPr="00677258">
        <w:rPr>
          <w:rFonts w:ascii="Arial" w:eastAsia="Calibri" w:hAnsi="Arial" w:cs="Arial"/>
          <w:lang w:val="es-ES_tradnl"/>
        </w:rPr>
        <w:t xml:space="preserve">–, se destaca el régimen de inhabilidades e incompatibilidades </w:t>
      </w:r>
      <w:r w:rsidRPr="00677258">
        <w:rPr>
          <w:rFonts w:ascii="Arial" w:eastAsia="Calibri" w:hAnsi="Arial" w:cs="Arial"/>
          <w:lang w:val="es-ES_tradnl"/>
        </w:rPr>
        <w:lastRenderedPageBreak/>
        <w:t>como un conjunto de normas que imponen restricciones para los sujetos que, eventualmente, pretendan participar en los procedimientos de selección o celebrar contratos con las entidades estatales</w:t>
      </w:r>
      <w:r w:rsidRPr="00677258">
        <w:rPr>
          <w:rFonts w:ascii="Arial" w:eastAsia="Calibri" w:hAnsi="Arial" w:cs="Arial"/>
          <w:vertAlign w:val="superscript"/>
          <w:lang w:val="es-ES_tradnl"/>
        </w:rPr>
        <w:footnoteReference w:id="12"/>
      </w:r>
      <w:r w:rsidRPr="00677258">
        <w:rPr>
          <w:rFonts w:ascii="Arial" w:eastAsia="Calibri" w:hAnsi="Arial" w:cs="Arial"/>
          <w:lang w:val="es-ES_tradnl"/>
        </w:rPr>
        <w:t>.</w:t>
      </w:r>
    </w:p>
    <w:p w14:paraId="5F83F8A1" w14:textId="77777777" w:rsidR="00677258" w:rsidRPr="00677258" w:rsidRDefault="00677258" w:rsidP="00677258">
      <w:pPr>
        <w:spacing w:after="120"/>
        <w:ind w:firstLine="709"/>
        <w:jc w:val="both"/>
        <w:rPr>
          <w:rFonts w:ascii="Arial" w:eastAsia="Calibri" w:hAnsi="Arial" w:cs="Arial"/>
          <w:lang w:val="es-ES_tradnl"/>
        </w:rPr>
      </w:pPr>
      <w:r w:rsidRPr="00677258">
        <w:rPr>
          <w:rFonts w:ascii="Arial" w:eastAsia="Calibri" w:hAnsi="Arial" w:cs="Arial"/>
          <w:lang w:val="es-ES_tradnl"/>
        </w:rPr>
        <w:t>Las inhabilidades son prohibiciones para concurrir a los procedimientos de selección y para contratar con el Estado, que se derivan: i) de la existencia de comportamientos reprochables o de sanciones anteriormente impuestas</w:t>
      </w:r>
      <w:r w:rsidRPr="00677258">
        <w:rPr>
          <w:rFonts w:ascii="Arial" w:eastAsia="Calibri" w:hAnsi="Arial" w:cs="Arial"/>
          <w:vertAlign w:val="superscript"/>
          <w:lang w:val="es-ES_tradnl"/>
        </w:rPr>
        <w:footnoteReference w:id="13"/>
      </w:r>
      <w:r w:rsidRPr="00677258">
        <w:rPr>
          <w:rFonts w:ascii="Arial" w:eastAsia="Calibri" w:hAnsi="Arial" w:cs="Arial"/>
          <w:lang w:val="es-ES_tradnl"/>
        </w:rPr>
        <w:t xml:space="preserve">, </w:t>
      </w:r>
      <w:proofErr w:type="spellStart"/>
      <w:r w:rsidRPr="00677258">
        <w:rPr>
          <w:rFonts w:ascii="Arial" w:eastAsia="Calibri" w:hAnsi="Arial" w:cs="Arial"/>
          <w:lang w:val="es-ES_tradnl"/>
        </w:rPr>
        <w:t>ii</w:t>
      </w:r>
      <w:proofErr w:type="spellEnd"/>
      <w:r w:rsidRPr="00677258">
        <w:rPr>
          <w:rFonts w:ascii="Arial" w:eastAsia="Calibri" w:hAnsi="Arial" w:cs="Arial"/>
          <w:lang w:val="es-ES_tradnl"/>
        </w:rPr>
        <w:t xml:space="preserve">) de vínculos personales relativos </w:t>
      </w:r>
      <w:r w:rsidRPr="00677258">
        <w:rPr>
          <w:rFonts w:ascii="Arial" w:eastAsia="Calibri" w:hAnsi="Arial" w:cs="Arial"/>
          <w:lang w:val="es-ES_tradnl"/>
        </w:rPr>
        <w:lastRenderedPageBreak/>
        <w:t>al parentesco o al estado civil</w:t>
      </w:r>
      <w:r w:rsidRPr="00677258">
        <w:rPr>
          <w:rFonts w:ascii="Arial" w:eastAsia="Calibri" w:hAnsi="Arial" w:cs="Arial"/>
          <w:vertAlign w:val="superscript"/>
          <w:lang w:val="es-ES_tradnl"/>
        </w:rPr>
        <w:footnoteReference w:id="14"/>
      </w:r>
      <w:r w:rsidRPr="00677258">
        <w:rPr>
          <w:rFonts w:ascii="Arial" w:eastAsia="Calibri" w:hAnsi="Arial" w:cs="Arial"/>
          <w:lang w:val="es-ES_tradnl"/>
        </w:rPr>
        <w:t xml:space="preserve"> o </w:t>
      </w:r>
      <w:proofErr w:type="spellStart"/>
      <w:r w:rsidRPr="00677258">
        <w:rPr>
          <w:rFonts w:ascii="Arial" w:eastAsia="Calibri" w:hAnsi="Arial" w:cs="Arial"/>
          <w:lang w:val="es-ES_tradnl"/>
        </w:rPr>
        <w:t>iii</w:t>
      </w:r>
      <w:proofErr w:type="spellEnd"/>
      <w:r w:rsidRPr="00677258">
        <w:rPr>
          <w:rFonts w:ascii="Arial" w:eastAsia="Calibri" w:hAnsi="Arial" w:cs="Arial"/>
          <w:lang w:val="es-ES_tradnl"/>
        </w:rPr>
        <w:t>) de una actividad u oficio que se desempeñó en el pasado</w:t>
      </w:r>
      <w:r w:rsidRPr="00677258">
        <w:rPr>
          <w:rFonts w:ascii="Arial" w:eastAsia="Calibri" w:hAnsi="Arial" w:cs="Arial"/>
          <w:vertAlign w:val="superscript"/>
          <w:lang w:val="es-ES_tradnl"/>
        </w:rPr>
        <w:footnoteReference w:id="15"/>
      </w:r>
      <w:r w:rsidRPr="00677258">
        <w:rPr>
          <w:rFonts w:ascii="Arial" w:eastAsia="Calibri" w:hAnsi="Arial" w:cs="Arial"/>
          <w:lang w:val="es-ES_tradnl"/>
        </w:rPr>
        <w:t>. De otro lado, las incompatibilidades, según un sector de la doctrina,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w:t>
      </w:r>
      <w:r w:rsidRPr="00677258">
        <w:rPr>
          <w:rFonts w:ascii="Arial" w:eastAsia="Calibri" w:hAnsi="Arial" w:cs="Arial"/>
          <w:vertAlign w:val="superscript"/>
          <w:lang w:val="es-ES_tradnl"/>
        </w:rPr>
        <w:footnoteReference w:id="16"/>
      </w:r>
      <w:r w:rsidRPr="00677258">
        <w:rPr>
          <w:rFonts w:ascii="Arial" w:eastAsia="Calibri" w:hAnsi="Arial" w:cs="Arial"/>
          <w:lang w:val="es-ES_tradnl"/>
        </w:rPr>
        <w:t xml:space="preserve">. En todo caso, a pesar de la existencia de distintos criterios para </w:t>
      </w:r>
      <w:r w:rsidRPr="00677258">
        <w:rPr>
          <w:rFonts w:ascii="Arial" w:eastAsia="Calibri" w:hAnsi="Arial" w:cs="Arial"/>
          <w:lang w:val="es-ES_tradnl"/>
        </w:rPr>
        <w:lastRenderedPageBreak/>
        <w:t>diferenciar las inhabilidades de las incompatibilidades, de la presencia de ellas se derivan las mismas consecuencias jurídicas, esto es, la limitación de la capacidad contractual, como se desarrolló en el numeral 2.1. de este concepto. De manera que la presencia de ellas impide que se puedan celebrar contratos con el Estado o participar en procedimientos de selección de las entidades estatales, por lo que de cualquiera de ellas se derivan los mismos efectos jurídicos</w:t>
      </w:r>
      <w:r w:rsidRPr="00677258">
        <w:rPr>
          <w:rFonts w:ascii="Arial" w:eastAsia="Calibri" w:hAnsi="Arial" w:cs="Arial"/>
          <w:vertAlign w:val="superscript"/>
          <w:lang w:val="es-ES_tradnl"/>
        </w:rPr>
        <w:footnoteReference w:id="17"/>
      </w:r>
      <w:r w:rsidRPr="00677258">
        <w:rPr>
          <w:rFonts w:ascii="Arial" w:eastAsia="Calibri" w:hAnsi="Arial" w:cs="Arial"/>
          <w:lang w:val="es-ES_tradnl"/>
        </w:rPr>
        <w:t>.</w:t>
      </w:r>
    </w:p>
    <w:p w14:paraId="64E6170C" w14:textId="77777777" w:rsidR="00677258" w:rsidRPr="00677258" w:rsidRDefault="00677258" w:rsidP="00677258">
      <w:pPr>
        <w:spacing w:before="120" w:after="120"/>
        <w:ind w:firstLine="709"/>
        <w:jc w:val="both"/>
        <w:rPr>
          <w:rFonts w:ascii="Arial" w:eastAsia="Calibri" w:hAnsi="Arial" w:cs="Arial"/>
          <w:lang w:val="es-ES_tradnl"/>
        </w:rPr>
      </w:pPr>
      <w:r w:rsidRPr="00677258">
        <w:rPr>
          <w:rFonts w:ascii="Arial" w:eastAsia="Calibri" w:hAnsi="Arial" w:cs="Arial"/>
          <w:lang w:val="es-ES_tradnl"/>
        </w:rPr>
        <w:t>De otro lado, el régimen de inhabilidades e incompatibilidades en la contratación pública responde a la tendencia, vigente desde hace varias décadas en nuestro país, pero que se ha reforzado en los últimos años, de asegurar que la actividad de provisión de los bienes, obras y servicios por parte de las entidades estatales se efectúe cumpliendo con los principios de la función administrativa y de la gestión fiscal, especialmente con probidad y transparencia. Por ello, como destaca la doctrina, las inhabilidades e incompatibilidades son herramientas en la lucha contra la corrupción, adoptando paulatinamente una naturaleza sancionatoria o “</w:t>
      </w:r>
      <w:proofErr w:type="spellStart"/>
      <w:r w:rsidRPr="00677258">
        <w:rPr>
          <w:rFonts w:ascii="Arial" w:eastAsia="Calibri" w:hAnsi="Arial" w:cs="Arial"/>
          <w:lang w:val="es-ES_tradnl"/>
        </w:rPr>
        <w:t>neopunitiva</w:t>
      </w:r>
      <w:proofErr w:type="spellEnd"/>
      <w:r w:rsidRPr="00677258">
        <w:rPr>
          <w:rFonts w:ascii="Arial" w:eastAsia="Calibri" w:hAnsi="Arial" w:cs="Arial"/>
          <w:lang w:val="es-ES_tradnl"/>
        </w:rPr>
        <w:t>”</w:t>
      </w:r>
      <w:r w:rsidRPr="00677258">
        <w:rPr>
          <w:rFonts w:ascii="Arial" w:eastAsia="Calibri" w:hAnsi="Arial" w:cs="Arial"/>
          <w:vertAlign w:val="superscript"/>
          <w:lang w:val="es-ES_tradnl"/>
        </w:rPr>
        <w:footnoteReference w:id="18"/>
      </w:r>
      <w:r w:rsidRPr="00677258">
        <w:rPr>
          <w:rFonts w:ascii="Arial" w:eastAsia="Calibri" w:hAnsi="Arial" w:cs="Arial"/>
          <w:lang w:val="es-ES_tradnl"/>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6A0F0A0A" w14:textId="77777777" w:rsidR="00677258" w:rsidRPr="00677258" w:rsidRDefault="00677258" w:rsidP="00677258">
      <w:pPr>
        <w:spacing w:before="120" w:after="120"/>
        <w:ind w:firstLine="709"/>
        <w:jc w:val="both"/>
        <w:rPr>
          <w:rFonts w:ascii="Arial" w:eastAsia="Calibri" w:hAnsi="Arial" w:cs="Arial"/>
          <w:lang w:val="es-ES_tradnl"/>
        </w:rPr>
      </w:pPr>
      <w:r w:rsidRPr="00677258">
        <w:rPr>
          <w:rFonts w:ascii="Arial" w:eastAsia="Calibri" w:hAnsi="Arial" w:cs="Arial"/>
          <w:lang w:val="es-ES_tradnl"/>
        </w:rPr>
        <w:t xml:space="preserve">Ahora bien, las inhabilidades e incompatibilidades al ser restricciones o límites especiales a la capacidad para presentar ofertas y celebrar contratos estatales, solo pueden tipificarse en la ley o la Constitución –o sea, deben satisfacer el principio de legalidad– y su interpretación debe ser </w:t>
      </w:r>
      <w:r w:rsidRPr="00677258">
        <w:rPr>
          <w:rFonts w:ascii="Arial" w:eastAsia="Calibri" w:hAnsi="Arial" w:cs="Arial"/>
          <w:i/>
          <w:iCs/>
          <w:lang w:val="es-ES_tradnl"/>
        </w:rPr>
        <w:t>restrictiva</w:t>
      </w:r>
      <w:r w:rsidRPr="00677258">
        <w:rPr>
          <w:rFonts w:ascii="Arial" w:eastAsia="Calibri" w:hAnsi="Arial" w:cs="Arial"/>
          <w:i/>
          <w:iCs/>
          <w:vertAlign w:val="superscript"/>
          <w:lang w:val="es-ES_tradnl"/>
        </w:rPr>
        <w:footnoteReference w:id="19"/>
      </w:r>
      <w:r w:rsidRPr="00677258">
        <w:rPr>
          <w:rFonts w:ascii="Arial" w:eastAsia="Calibri" w:hAnsi="Arial" w:cs="Arial"/>
          <w:i/>
          <w:iCs/>
          <w:lang w:val="es-ES_tradnl"/>
        </w:rPr>
        <w:t xml:space="preserve">, </w:t>
      </w:r>
      <w:r w:rsidRPr="00677258">
        <w:rPr>
          <w:rFonts w:ascii="Arial" w:eastAsia="Calibri" w:hAnsi="Arial" w:cs="Arial"/>
          <w:lang w:val="es-ES_tradnl"/>
        </w:rPr>
        <w:t xml:space="preserve">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seguridad jurídica, la </w:t>
      </w:r>
      <w:r w:rsidRPr="00677258">
        <w:rPr>
          <w:rFonts w:ascii="Arial" w:eastAsia="Calibri" w:hAnsi="Arial" w:cs="Arial"/>
          <w:lang w:val="es-ES_tradnl"/>
        </w:rPr>
        <w:lastRenderedPageBreak/>
        <w:t xml:space="preserve">libre concurrencia y el ejercicio de la profesión u oficio. Tal ha sido la postura al interior de la jurisprudencia, tanto de la Corte Constitucional como de la Sección Tercera del Consejo de Estado. </w:t>
      </w:r>
    </w:p>
    <w:p w14:paraId="5E0103F0" w14:textId="77777777" w:rsidR="00677258" w:rsidRPr="00677258" w:rsidRDefault="00677258" w:rsidP="00677258">
      <w:pPr>
        <w:spacing w:after="0"/>
        <w:ind w:firstLine="709"/>
        <w:jc w:val="both"/>
        <w:rPr>
          <w:rFonts w:ascii="Arial" w:eastAsia="Calibri" w:hAnsi="Arial" w:cs="Arial"/>
          <w:lang w:val="es-ES_tradnl"/>
        </w:rPr>
      </w:pPr>
      <w:r w:rsidRPr="00677258">
        <w:rPr>
          <w:rFonts w:ascii="Arial" w:eastAsia="Calibri" w:hAnsi="Arial" w:cs="Arial"/>
          <w:lang w:val="es-ES_tradnl"/>
        </w:rPr>
        <w:t>En efecto, el máximo tribunal constitucional ha indicado, al tratar de precisar el sentido de este tipo de normas, que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677258">
        <w:rPr>
          <w:rFonts w:ascii="Arial" w:eastAsia="Calibri" w:hAnsi="Arial" w:cs="Arial"/>
          <w:vertAlign w:val="superscript"/>
          <w:lang w:val="es-ES_tradnl"/>
        </w:rPr>
        <w:footnoteReference w:id="20"/>
      </w:r>
      <w:r w:rsidRPr="00677258">
        <w:rPr>
          <w:rFonts w:ascii="Arial" w:eastAsia="Calibri" w:hAnsi="Arial" w:cs="Arial"/>
          <w:lang w:val="es-ES_tradnl"/>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677258">
        <w:rPr>
          <w:rFonts w:ascii="Arial" w:eastAsia="Calibri" w:hAnsi="Arial" w:cs="Arial"/>
          <w:vertAlign w:val="superscript"/>
          <w:lang w:val="es-ES_tradnl"/>
        </w:rPr>
        <w:footnoteReference w:id="21"/>
      </w:r>
      <w:r w:rsidRPr="00677258">
        <w:rPr>
          <w:rFonts w:ascii="Arial" w:eastAsia="Calibri" w:hAnsi="Arial" w:cs="Arial"/>
          <w:lang w:val="es-ES_tradnl"/>
        </w:rPr>
        <w:t>. En tal sentido, la Sección Tercera ha señalado que:</w:t>
      </w:r>
    </w:p>
    <w:p w14:paraId="6800F403" w14:textId="77777777" w:rsidR="00677258" w:rsidRPr="00677258" w:rsidRDefault="00677258" w:rsidP="00677258">
      <w:pPr>
        <w:spacing w:after="0"/>
        <w:ind w:firstLine="709"/>
        <w:jc w:val="both"/>
        <w:rPr>
          <w:rFonts w:ascii="Arial" w:eastAsia="Calibri" w:hAnsi="Arial" w:cs="Arial"/>
          <w:lang w:val="es-ES_tradnl"/>
        </w:rPr>
      </w:pPr>
    </w:p>
    <w:p w14:paraId="079E1187" w14:textId="1CD0FD2F" w:rsidR="00677258" w:rsidRPr="00677258" w:rsidRDefault="0064323C" w:rsidP="00677258">
      <w:pPr>
        <w:spacing w:after="0" w:line="240" w:lineRule="auto"/>
        <w:ind w:left="709" w:right="709"/>
        <w:jc w:val="both"/>
        <w:rPr>
          <w:rFonts w:ascii="Arial" w:eastAsia="Calibri" w:hAnsi="Arial" w:cs="Arial"/>
          <w:lang w:val="es-ES_tradnl"/>
        </w:rPr>
      </w:pPr>
      <w:r>
        <w:rPr>
          <w:rFonts w:ascii="Arial" w:hAnsi="Arial" w:cs="Arial"/>
          <w:sz w:val="21"/>
          <w:szCs w:val="21"/>
          <w:lang w:val="es-ES_tradnl"/>
        </w:rPr>
        <w:t>“</w:t>
      </w:r>
      <w:r w:rsidR="00677258" w:rsidRPr="00677258">
        <w:rPr>
          <w:rFonts w:ascii="Arial" w:hAnsi="Arial" w:cs="Arial"/>
          <w:sz w:val="21"/>
          <w:szCs w:val="21"/>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00677258" w:rsidRPr="00677258">
        <w:rPr>
          <w:rFonts w:ascii="Arial" w:hAnsi="Arial" w:cs="Arial"/>
          <w:sz w:val="21"/>
          <w:szCs w:val="21"/>
          <w:vertAlign w:val="superscript"/>
          <w:lang w:val="es-ES_tradnl"/>
        </w:rPr>
        <w:footnoteReference w:id="22"/>
      </w:r>
      <w:r w:rsidR="00677258" w:rsidRPr="00677258">
        <w:rPr>
          <w:rFonts w:ascii="Arial" w:hAnsi="Arial" w:cs="Arial"/>
          <w:sz w:val="21"/>
          <w:szCs w:val="21"/>
          <w:lang w:val="es-ES_tradnl"/>
        </w:rPr>
        <w:t>.</w:t>
      </w:r>
    </w:p>
    <w:p w14:paraId="561313E0" w14:textId="77777777" w:rsidR="00677258" w:rsidRPr="00677258" w:rsidRDefault="00677258" w:rsidP="00677258">
      <w:pPr>
        <w:spacing w:after="0" w:line="276" w:lineRule="auto"/>
        <w:ind w:firstLine="709"/>
        <w:jc w:val="both"/>
        <w:rPr>
          <w:rFonts w:ascii="Arial" w:eastAsia="Calibri" w:hAnsi="Arial" w:cs="Arial"/>
          <w:lang w:val="es-ES_tradnl"/>
        </w:rPr>
      </w:pPr>
    </w:p>
    <w:p w14:paraId="34EE5C2E" w14:textId="77777777" w:rsidR="00677258" w:rsidRPr="00677258" w:rsidRDefault="00677258" w:rsidP="00677258">
      <w:pPr>
        <w:ind w:firstLine="709"/>
        <w:jc w:val="both"/>
        <w:rPr>
          <w:rFonts w:ascii="Arial" w:eastAsia="Calibri" w:hAnsi="Arial" w:cs="Arial"/>
          <w:lang w:val="es-ES_tradnl"/>
        </w:rPr>
      </w:pPr>
      <w:r w:rsidRPr="00677258">
        <w:rPr>
          <w:rFonts w:ascii="Arial" w:eastAsia="Calibri" w:hAnsi="Arial" w:cs="Arial"/>
          <w:lang w:val="es-ES_tradnl"/>
        </w:rPr>
        <w:t>También ha dicho que:</w:t>
      </w:r>
    </w:p>
    <w:p w14:paraId="37532874" w14:textId="7A6C4A7B" w:rsidR="00677258" w:rsidRPr="00677258" w:rsidRDefault="00677258" w:rsidP="00677258">
      <w:pPr>
        <w:spacing w:after="0" w:line="240" w:lineRule="auto"/>
        <w:ind w:left="709" w:right="616"/>
        <w:jc w:val="both"/>
        <w:rPr>
          <w:rFonts w:ascii="Arial" w:hAnsi="Arial" w:cs="Arial"/>
          <w:sz w:val="21"/>
          <w:szCs w:val="21"/>
          <w:lang w:val="es-ES_tradnl"/>
        </w:rPr>
      </w:pPr>
      <w:r w:rsidRPr="00677258">
        <w:rPr>
          <w:rFonts w:ascii="Arial" w:hAnsi="Arial" w:cs="Arial"/>
          <w:sz w:val="21"/>
          <w:szCs w:val="21"/>
          <w:lang w:val="es-ES_tradnl"/>
        </w:rPr>
        <w:t xml:space="preserve">[…] la aplicación de estos preceptos exige una interpretación restrictiva, dado que según el principio hermenéutico </w:t>
      </w:r>
      <w:r w:rsidRPr="00677258">
        <w:rPr>
          <w:rFonts w:ascii="Arial" w:hAnsi="Arial" w:cs="Arial"/>
          <w:i/>
          <w:iCs/>
          <w:sz w:val="21"/>
          <w:szCs w:val="21"/>
          <w:lang w:val="es-ES_tradnl"/>
        </w:rPr>
        <w:t xml:space="preserve">pro </w:t>
      </w:r>
      <w:proofErr w:type="spellStart"/>
      <w:r w:rsidRPr="00677258">
        <w:rPr>
          <w:rFonts w:ascii="Arial" w:hAnsi="Arial" w:cs="Arial"/>
          <w:i/>
          <w:iCs/>
          <w:sz w:val="21"/>
          <w:szCs w:val="21"/>
          <w:lang w:val="es-ES_tradnl"/>
        </w:rPr>
        <w:t>libertate</w:t>
      </w:r>
      <w:proofErr w:type="spellEnd"/>
      <w:r w:rsidRPr="00677258">
        <w:rPr>
          <w:rFonts w:ascii="Arial" w:hAnsi="Arial" w:cs="Arial"/>
          <w:sz w:val="21"/>
          <w:szCs w:val="21"/>
          <w:lang w:val="es-ES_tradnl"/>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0064323C">
        <w:rPr>
          <w:rFonts w:ascii="Arial" w:hAnsi="Arial" w:cs="Arial"/>
          <w:sz w:val="21"/>
          <w:szCs w:val="21"/>
          <w:lang w:val="es-ES_tradnl"/>
        </w:rPr>
        <w:t>”</w:t>
      </w:r>
      <w:r w:rsidRPr="00677258">
        <w:rPr>
          <w:rFonts w:ascii="Arial" w:hAnsi="Arial" w:cs="Arial"/>
          <w:sz w:val="21"/>
          <w:szCs w:val="21"/>
          <w:vertAlign w:val="superscript"/>
          <w:lang w:val="es-ES_tradnl"/>
        </w:rPr>
        <w:footnoteReference w:id="23"/>
      </w:r>
      <w:r w:rsidRPr="00677258">
        <w:rPr>
          <w:rFonts w:ascii="Arial" w:hAnsi="Arial" w:cs="Arial"/>
          <w:sz w:val="21"/>
          <w:szCs w:val="21"/>
          <w:lang w:val="es-ES_tradnl"/>
        </w:rPr>
        <w:t>.</w:t>
      </w:r>
    </w:p>
    <w:p w14:paraId="0C43B885" w14:textId="77777777" w:rsidR="00677258" w:rsidRPr="00677258" w:rsidRDefault="00677258" w:rsidP="00677258">
      <w:pPr>
        <w:spacing w:after="0"/>
        <w:ind w:firstLine="708"/>
        <w:jc w:val="both"/>
        <w:rPr>
          <w:rFonts w:ascii="Arial" w:eastAsia="Arial" w:hAnsi="Arial" w:cs="Arial"/>
          <w:color w:val="000000"/>
          <w:lang w:val="es-ES_tradnl"/>
        </w:rPr>
      </w:pPr>
    </w:p>
    <w:p w14:paraId="1D0A79A5" w14:textId="77777777" w:rsidR="00677258" w:rsidRPr="00677258" w:rsidRDefault="00677258" w:rsidP="00677258">
      <w:pPr>
        <w:spacing w:after="120"/>
        <w:ind w:firstLine="708"/>
        <w:jc w:val="both"/>
        <w:rPr>
          <w:rFonts w:ascii="Arial" w:hAnsi="Arial" w:cs="Arial"/>
          <w:color w:val="000000" w:themeColor="text1"/>
        </w:rPr>
      </w:pPr>
      <w:r w:rsidRPr="00677258">
        <w:rPr>
          <w:rFonts w:ascii="Arial" w:eastAsia="Arial" w:hAnsi="Arial" w:cs="Arial"/>
          <w:color w:val="000000"/>
          <w:lang w:val="es-ES_tradnl"/>
        </w:rPr>
        <w:lastRenderedPageBreak/>
        <w:t xml:space="preserve">Como se aprecia, el principio </w:t>
      </w:r>
      <w:r w:rsidRPr="00677258">
        <w:rPr>
          <w:rFonts w:ascii="Arial" w:eastAsia="Arial" w:hAnsi="Arial" w:cs="Arial"/>
          <w:i/>
          <w:iCs/>
          <w:color w:val="000000"/>
          <w:lang w:val="es-ES_tradnl"/>
        </w:rPr>
        <w:t xml:space="preserve">pro </w:t>
      </w:r>
      <w:proofErr w:type="spellStart"/>
      <w:r w:rsidRPr="00677258">
        <w:rPr>
          <w:rFonts w:ascii="Arial" w:eastAsia="Arial" w:hAnsi="Arial" w:cs="Arial"/>
          <w:i/>
          <w:iCs/>
          <w:color w:val="000000"/>
          <w:lang w:val="es-ES_tradnl"/>
        </w:rPr>
        <w:t>libertate</w:t>
      </w:r>
      <w:proofErr w:type="spellEnd"/>
      <w:r w:rsidRPr="00677258">
        <w:rPr>
          <w:rFonts w:ascii="Arial" w:eastAsia="Arial" w:hAnsi="Arial" w:cs="Arial"/>
          <w:color w:val="000000"/>
          <w:lang w:val="es-ES_tradnl"/>
        </w:rPr>
        <w:t xml:space="preserve"> es el que debe dirigir la interpretación de las disposiciones normativas que consagran restricciones de derechos, como sucede con las causales de inhabilidad e incompatibilidad en la contratación estatal. Además, en relación con la determinación de las causales de inhabilidad e incompatibilidad, la</w:t>
      </w:r>
      <w:r w:rsidRPr="00677258">
        <w:rPr>
          <w:rFonts w:ascii="Arial" w:hAnsi="Arial" w:cs="Arial"/>
          <w:color w:val="000000" w:themeColor="text1"/>
        </w:rPr>
        <w:t xml:space="preserve"> Corte Constitucional ha resaltado que la competencia para determinar qué hechos o situaciones generan inhabilidades o incompatibilidades para contratar con el Estado la tiene el legislador, pues este régimen es un aspecto propio del Estatuto General de la Contratación de la Administración Pública, cuya expedición compete al Congreso de la República, conforme al artículo 150 de la Constitución Política, y que en esta materia rige el principio de legalidad</w:t>
      </w:r>
      <w:r w:rsidRPr="00677258">
        <w:rPr>
          <w:rFonts w:ascii="Arial" w:hAnsi="Arial" w:cs="Arial"/>
          <w:color w:val="000000" w:themeColor="text1"/>
          <w:vertAlign w:val="superscript"/>
        </w:rPr>
        <w:footnoteReference w:id="24"/>
      </w:r>
    </w:p>
    <w:p w14:paraId="35E972AD" w14:textId="77777777" w:rsidR="00677258" w:rsidRPr="00677258" w:rsidRDefault="00677258" w:rsidP="00677258">
      <w:pPr>
        <w:spacing w:after="0"/>
        <w:ind w:firstLine="709"/>
        <w:jc w:val="both"/>
        <w:rPr>
          <w:rFonts w:ascii="Arial" w:hAnsi="Arial" w:cs="Arial"/>
          <w:color w:val="000000"/>
          <w:shd w:val="clear" w:color="auto" w:fill="FFFFFF"/>
        </w:rPr>
      </w:pPr>
      <w:r w:rsidRPr="00677258">
        <w:rPr>
          <w:rFonts w:ascii="Arial" w:hAnsi="Arial" w:cs="Arial"/>
          <w:shd w:val="clear" w:color="auto" w:fill="FFFFFF"/>
        </w:rPr>
        <w:t>En este sentido, retomando una idea esbozada con anterioridad, la doctrina y la jurisprudencia son pacíficas en considerar que la creación de inhabilidades e incompatibilidades es un asunto con reserva de ley, en tanto, “[…] su previsión y desarrollo es materia exclusiva del legislador (reserva de ley), quien en virtud del principio democrático debe definir y tipificar expresamente sus causas, vigencia, naturaleza y efectos”</w:t>
      </w:r>
      <w:r w:rsidRPr="00677258">
        <w:rPr>
          <w:rFonts w:ascii="Arial" w:hAnsi="Arial" w:cs="Arial"/>
          <w:shd w:val="clear" w:color="auto" w:fill="FFFFFF"/>
          <w:vertAlign w:val="superscript"/>
        </w:rPr>
        <w:footnoteReference w:id="25"/>
      </w:r>
      <w:r w:rsidRPr="00677258">
        <w:rPr>
          <w:rFonts w:ascii="Arial" w:hAnsi="Arial" w:cs="Arial"/>
          <w:shd w:val="clear" w:color="auto" w:fill="FFFFFF"/>
        </w:rPr>
        <w:t xml:space="preserve"> En similar sentido, la Sala de Consulta y Servicio Civil del Consejo de Estado expresó </w:t>
      </w:r>
      <w:r w:rsidRPr="00677258">
        <w:rPr>
          <w:rFonts w:ascii="Arial" w:hAnsi="Arial" w:cs="Arial"/>
          <w:color w:val="000000"/>
          <w:shd w:val="clear" w:color="auto" w:fill="FFFFFF"/>
        </w:rPr>
        <w:t>que “[…] las causales de inhabilidad e incompatibilidad deben estar expresa y taxativamente establecidas en la Constitución o en la ley y son de aplicación e interpretación restrictivas […]”</w:t>
      </w:r>
      <w:r w:rsidRPr="00677258">
        <w:rPr>
          <w:rFonts w:ascii="Arial" w:hAnsi="Arial" w:cs="Arial"/>
          <w:color w:val="000000"/>
          <w:shd w:val="clear" w:color="auto" w:fill="FFFFFF"/>
          <w:vertAlign w:val="superscript"/>
        </w:rPr>
        <w:footnoteReference w:id="26"/>
      </w:r>
      <w:r w:rsidRPr="00677258">
        <w:rPr>
          <w:rFonts w:ascii="Arial" w:hAnsi="Arial" w:cs="Arial"/>
          <w:color w:val="000000"/>
          <w:shd w:val="clear" w:color="auto" w:fill="FFFFFF"/>
        </w:rPr>
        <w:t xml:space="preserve">. En este sentido, como se observa, existe consenso, incluso como lo ha expresado esta Agencia en ocasiones anteriores, que la creación de inhabilidades o incompatibilidades está reservada al constituyente o al legislador. </w:t>
      </w:r>
    </w:p>
    <w:p w14:paraId="57E1387A" w14:textId="77777777" w:rsidR="00677258" w:rsidRPr="00677258" w:rsidRDefault="00677258" w:rsidP="00677258">
      <w:pPr>
        <w:spacing w:after="0"/>
        <w:jc w:val="both"/>
        <w:rPr>
          <w:rFonts w:ascii="Arial" w:eastAsia="Calibri" w:hAnsi="Arial" w:cs="Arial"/>
          <w:lang w:val="es-ES_tradnl"/>
        </w:rPr>
      </w:pPr>
    </w:p>
    <w:p w14:paraId="76409428" w14:textId="77777777" w:rsidR="00677258" w:rsidRPr="00677258" w:rsidRDefault="00677258" w:rsidP="00677258">
      <w:pPr>
        <w:spacing w:after="0" w:line="276" w:lineRule="auto"/>
        <w:jc w:val="both"/>
        <w:rPr>
          <w:rFonts w:ascii="Arial" w:eastAsia="Calibri" w:hAnsi="Arial" w:cs="Arial"/>
          <w:color w:val="000000" w:themeColor="text1"/>
          <w:lang w:val="es-ES"/>
        </w:rPr>
      </w:pPr>
      <w:r w:rsidRPr="00677258">
        <w:rPr>
          <w:rFonts w:ascii="Arial" w:eastAsia="Calibri" w:hAnsi="Arial" w:cs="Arial"/>
          <w:b/>
          <w:bCs/>
          <w:lang w:val="es-ES_tradnl"/>
        </w:rPr>
        <w:t xml:space="preserve">2.3. Registro de Deudores Alimentarios Morosos. </w:t>
      </w:r>
      <w:r w:rsidRPr="00677258">
        <w:rPr>
          <w:rFonts w:ascii="Arial" w:eastAsia="Calibri" w:hAnsi="Arial" w:cs="Arial"/>
          <w:b/>
          <w:bCs/>
          <w:lang w:val="es-ES"/>
        </w:rPr>
        <w:t>Alcance de la restricción prevista en el artículo 6.1 de la Ley 2097 de 2021, reglamentada por el Decreto 1310 de 2022</w:t>
      </w:r>
    </w:p>
    <w:p w14:paraId="2680BBB1" w14:textId="77777777" w:rsidR="00677258" w:rsidRPr="00677258" w:rsidRDefault="00677258" w:rsidP="00677258">
      <w:pPr>
        <w:tabs>
          <w:tab w:val="left" w:pos="0"/>
        </w:tabs>
        <w:spacing w:after="0" w:line="276" w:lineRule="auto"/>
        <w:jc w:val="both"/>
        <w:rPr>
          <w:rFonts w:ascii="Arial" w:eastAsia="Calibri" w:hAnsi="Arial" w:cs="Arial"/>
          <w:b/>
          <w:color w:val="000000" w:themeColor="text1"/>
        </w:rPr>
      </w:pPr>
    </w:p>
    <w:p w14:paraId="33AD4434" w14:textId="7BDA996C" w:rsidR="00677258" w:rsidRPr="00677258" w:rsidRDefault="00677258" w:rsidP="00677258">
      <w:pPr>
        <w:tabs>
          <w:tab w:val="left" w:pos="0"/>
        </w:tabs>
        <w:spacing w:after="120" w:line="276" w:lineRule="auto"/>
        <w:jc w:val="both"/>
        <w:rPr>
          <w:rFonts w:ascii="Arial" w:eastAsia="Calibri" w:hAnsi="Arial" w:cs="Arial"/>
          <w:bCs/>
          <w:color w:val="000000" w:themeColor="text1"/>
        </w:rPr>
      </w:pPr>
      <w:r w:rsidRPr="00677258">
        <w:rPr>
          <w:rFonts w:ascii="Arial" w:eastAsia="Calibri" w:hAnsi="Arial" w:cs="Arial"/>
          <w:bCs/>
          <w:color w:val="000000" w:themeColor="text1"/>
        </w:rPr>
        <w:t>El 2 de julio de 2021, el Gobierno Nacional sancionó la Ley Estatutaria 2097 de 2021, cuyo objeto –de acuerdo con el artículo 1– consiste en “[…] establecer medidas para garantizar el cumplimiento de las obligaciones alimentarias y crear el Registro de Deudores Alimentarios Morosos (</w:t>
      </w:r>
      <w:r w:rsidR="00A254E8" w:rsidRPr="00677258">
        <w:rPr>
          <w:rFonts w:ascii="Arial" w:eastAsia="Calibri" w:hAnsi="Arial" w:cs="Arial"/>
          <w:bCs/>
          <w:color w:val="000000" w:themeColor="text1"/>
        </w:rPr>
        <w:t>R</w:t>
      </w:r>
      <w:r w:rsidR="00A254E8">
        <w:rPr>
          <w:rFonts w:ascii="Arial" w:eastAsia="Calibri" w:hAnsi="Arial" w:cs="Arial"/>
          <w:bCs/>
          <w:color w:val="000000" w:themeColor="text1"/>
        </w:rPr>
        <w:t>EDAM</w:t>
      </w:r>
      <w:r w:rsidRPr="00677258">
        <w:rPr>
          <w:rFonts w:ascii="Arial" w:eastAsia="Calibri" w:hAnsi="Arial" w:cs="Arial"/>
          <w:bCs/>
          <w:color w:val="000000" w:themeColor="text1"/>
        </w:rPr>
        <w:t xml:space="preserve">), como mecanismo de control al incumplimiento de las obligaciones alimentarias”. Conforme a la exposición de motivos del proyecto ley, existe una vulneración de derechos al interior de la institución familiar, cuyo despliegue en materia de política pública ha sido limitado y resulta insuficiente para atender la problemática </w:t>
      </w:r>
      <w:r w:rsidRPr="00677258">
        <w:rPr>
          <w:rFonts w:ascii="Arial" w:eastAsia="Calibri" w:hAnsi="Arial" w:cs="Arial"/>
          <w:bCs/>
          <w:color w:val="000000" w:themeColor="text1"/>
        </w:rPr>
        <w:lastRenderedPageBreak/>
        <w:t>asociada al incumplimiento de la obligación legal prevista en el Título XXI del Libro Primero del Código Civil, especialmente, en el caso de los menores de edad, con las repercusiones que esta tiene tanto para ellos como para quien tiene la responsabilidad del cuidado y manutención. Por ello, tomado como referencia legislaciones foráneas como Estados Unidos, Perú, Uruguay, así como normatividades análogas en provincias y estados como Buenos Aires y Córdoba, en la Argentina, y la Ciudad de México, en México, los ponentes de la iniciativa concluyeron que “Estas experiencias de implementación del Registro de Deudores Alimentarios Morosos se pueden considerar el punto de partida para obtener una herramienta importante en la lucha contra el incumplimiento del pago de alimentos. Así, la finalidad que se persigue con este tipo de normas sancionatorias es que ante el incumplimiento alimentario se coaccione a los deudores para que cumplan con su obligación”</w:t>
      </w:r>
      <w:r w:rsidRPr="00677258">
        <w:rPr>
          <w:rFonts w:ascii="Arial" w:eastAsia="Calibri" w:hAnsi="Arial" w:cs="Arial"/>
          <w:bCs/>
          <w:color w:val="000000" w:themeColor="text1"/>
          <w:vertAlign w:val="superscript"/>
        </w:rPr>
        <w:footnoteReference w:id="27"/>
      </w:r>
      <w:r w:rsidRPr="00677258">
        <w:rPr>
          <w:rFonts w:ascii="Arial" w:eastAsia="Calibri" w:hAnsi="Arial" w:cs="Arial"/>
          <w:bCs/>
          <w:color w:val="000000" w:themeColor="text1"/>
        </w:rPr>
        <w:t>.</w:t>
      </w:r>
    </w:p>
    <w:p w14:paraId="191E3CA2" w14:textId="77777777" w:rsidR="00677258" w:rsidRPr="00677258" w:rsidRDefault="00677258" w:rsidP="00677258">
      <w:pPr>
        <w:tabs>
          <w:tab w:val="left" w:pos="0"/>
        </w:tabs>
        <w:spacing w:after="0" w:line="276" w:lineRule="auto"/>
        <w:jc w:val="both"/>
        <w:rPr>
          <w:rFonts w:ascii="Arial" w:eastAsia="Calibri" w:hAnsi="Arial" w:cs="Arial"/>
          <w:bCs/>
          <w:color w:val="000000" w:themeColor="text1"/>
        </w:rPr>
      </w:pPr>
      <w:r w:rsidRPr="00677258">
        <w:rPr>
          <w:rFonts w:ascii="Arial" w:eastAsia="Calibri" w:hAnsi="Arial" w:cs="Arial"/>
          <w:bCs/>
          <w:color w:val="000000" w:themeColor="text1"/>
        </w:rPr>
        <w:tab/>
      </w:r>
      <w:bookmarkStart w:id="9" w:name="_Hlk132035301"/>
      <w:r w:rsidRPr="00677258">
        <w:rPr>
          <w:rFonts w:ascii="Arial" w:eastAsia="Calibri" w:hAnsi="Arial" w:cs="Arial"/>
          <w:bCs/>
          <w:color w:val="000000" w:themeColor="text1"/>
        </w:rPr>
        <w:t xml:space="preserve">Etimológicamente, la palabra “alimentos” deriva de la expresión latina </w:t>
      </w:r>
      <w:proofErr w:type="spellStart"/>
      <w:r w:rsidRPr="00677258">
        <w:rPr>
          <w:rFonts w:ascii="Arial" w:eastAsia="Calibri" w:hAnsi="Arial" w:cs="Arial"/>
          <w:bCs/>
          <w:i/>
          <w:iCs/>
          <w:color w:val="000000" w:themeColor="text1"/>
        </w:rPr>
        <w:t>alimentum</w:t>
      </w:r>
      <w:proofErr w:type="spellEnd"/>
      <w:r w:rsidRPr="00677258">
        <w:rPr>
          <w:rFonts w:ascii="Arial" w:eastAsia="Calibri" w:hAnsi="Arial" w:cs="Arial"/>
          <w:bCs/>
          <w:color w:val="000000" w:themeColor="text1"/>
        </w:rPr>
        <w:t xml:space="preserve">, la cual se compone del verbo </w:t>
      </w:r>
      <w:r w:rsidRPr="00677258">
        <w:rPr>
          <w:rFonts w:ascii="Arial" w:eastAsia="Calibri" w:hAnsi="Arial" w:cs="Arial"/>
          <w:bCs/>
          <w:i/>
          <w:iCs/>
          <w:color w:val="000000" w:themeColor="text1"/>
        </w:rPr>
        <w:t>alere</w:t>
      </w:r>
      <w:r w:rsidRPr="00677258">
        <w:rPr>
          <w:rFonts w:ascii="Arial" w:eastAsia="Calibri" w:hAnsi="Arial" w:cs="Arial"/>
          <w:bCs/>
          <w:color w:val="000000" w:themeColor="text1"/>
        </w:rPr>
        <w:t xml:space="preserve"> –que significa criar, nutrir o hacer crecer– y el sufijo </w:t>
      </w:r>
      <w:proofErr w:type="spellStart"/>
      <w:r w:rsidRPr="00677258">
        <w:rPr>
          <w:rFonts w:ascii="Arial" w:eastAsia="Calibri" w:hAnsi="Arial" w:cs="Arial"/>
          <w:bCs/>
          <w:i/>
          <w:iCs/>
          <w:color w:val="000000" w:themeColor="text1"/>
        </w:rPr>
        <w:t>mento</w:t>
      </w:r>
      <w:proofErr w:type="spellEnd"/>
      <w:r w:rsidRPr="00677258">
        <w:rPr>
          <w:rFonts w:ascii="Arial" w:eastAsia="Calibri" w:hAnsi="Arial" w:cs="Arial"/>
          <w:bCs/>
          <w:color w:val="000000" w:themeColor="text1"/>
        </w:rPr>
        <w:t xml:space="preserve"> –que indica medio, instrumento o modo–</w:t>
      </w:r>
      <w:r w:rsidRPr="00677258">
        <w:rPr>
          <w:rFonts w:ascii="Arial" w:eastAsia="Calibri" w:hAnsi="Arial" w:cs="Arial"/>
          <w:bCs/>
          <w:color w:val="000000" w:themeColor="text1"/>
          <w:vertAlign w:val="superscript"/>
        </w:rPr>
        <w:footnoteReference w:id="28"/>
      </w:r>
      <w:r w:rsidRPr="00677258">
        <w:rPr>
          <w:rFonts w:ascii="Arial" w:eastAsia="Calibri" w:hAnsi="Arial" w:cs="Arial"/>
          <w:bCs/>
          <w:color w:val="000000" w:themeColor="text1"/>
        </w:rPr>
        <w:t>. Aunque en el uso coloquial, con fundamento en el Diccionario de la RAE, los alimentos se refieren al “Conjunto de sustancias que los seres vivos comen o beben para subsistir”, en el ámbito jurídico hace referencia a una de las fuentes de las obligaciones previstas en el artículo 1494 del Código Civil</w:t>
      </w:r>
      <w:r w:rsidRPr="00677258">
        <w:rPr>
          <w:rFonts w:ascii="Arial" w:eastAsia="Calibri" w:hAnsi="Arial" w:cs="Arial"/>
          <w:bCs/>
          <w:color w:val="000000" w:themeColor="text1"/>
          <w:vertAlign w:val="superscript"/>
        </w:rPr>
        <w:footnoteReference w:id="29"/>
      </w:r>
      <w:r w:rsidRPr="00677258">
        <w:rPr>
          <w:rFonts w:ascii="Arial" w:eastAsia="Calibri" w:hAnsi="Arial" w:cs="Arial"/>
          <w:bCs/>
          <w:color w:val="000000" w:themeColor="text1"/>
        </w:rPr>
        <w:t>. Dicha obligación va más allá del simple deber moral, por lo que la ley positiva la dota de coercibilidad como una obligación civil, la cual se fundamenta en la solidaridad de la familia, es decir, en las estrechas relaciones que deben unir a los miembros de un mismo grupo familiar, lo que impone a estos la obligación estricta de suministrar su subsistencia a aquellos que no alcanzan a asegurarla por su trabajo personal</w:t>
      </w:r>
      <w:r w:rsidRPr="00677258">
        <w:rPr>
          <w:rFonts w:ascii="Arial" w:eastAsia="Calibri" w:hAnsi="Arial" w:cs="Arial"/>
          <w:bCs/>
          <w:color w:val="000000" w:themeColor="text1"/>
          <w:vertAlign w:val="superscript"/>
        </w:rPr>
        <w:footnoteReference w:id="30"/>
      </w:r>
      <w:r w:rsidRPr="00677258">
        <w:rPr>
          <w:rFonts w:ascii="Arial" w:eastAsia="Calibri" w:hAnsi="Arial" w:cs="Arial"/>
          <w:bCs/>
          <w:color w:val="000000" w:themeColor="text1"/>
        </w:rPr>
        <w:t>. Por ello, la doctrina define la obligación alimentaria como “[…] la prestación que pesa sobre determinadas personas económicamente posibilitadas, para que en algunos de sus parientes pobres u otras personas que la ley señala puedan subvenir a las necesidades de su existencia”</w:t>
      </w:r>
      <w:r w:rsidRPr="00677258">
        <w:rPr>
          <w:rFonts w:ascii="Arial" w:eastAsia="Calibri" w:hAnsi="Arial" w:cs="Arial"/>
          <w:bCs/>
          <w:color w:val="000000" w:themeColor="text1"/>
          <w:vertAlign w:val="superscript"/>
        </w:rPr>
        <w:footnoteReference w:id="31"/>
      </w:r>
      <w:r w:rsidRPr="00677258">
        <w:rPr>
          <w:rFonts w:ascii="Arial" w:eastAsia="Calibri" w:hAnsi="Arial" w:cs="Arial"/>
          <w:bCs/>
          <w:color w:val="000000" w:themeColor="text1"/>
        </w:rPr>
        <w:t xml:space="preserve">, la cual depende de tres (3) presupuestos básicos: i) el estado de necesidad </w:t>
      </w:r>
      <w:r w:rsidRPr="00677258">
        <w:rPr>
          <w:rFonts w:ascii="Arial" w:eastAsia="Calibri" w:hAnsi="Arial" w:cs="Arial"/>
          <w:bCs/>
          <w:color w:val="000000" w:themeColor="text1"/>
        </w:rPr>
        <w:lastRenderedPageBreak/>
        <w:t xml:space="preserve">del alimentario, </w:t>
      </w:r>
      <w:proofErr w:type="spellStart"/>
      <w:r w:rsidRPr="00677258">
        <w:rPr>
          <w:rFonts w:ascii="Arial" w:eastAsia="Calibri" w:hAnsi="Arial" w:cs="Arial"/>
          <w:bCs/>
          <w:color w:val="000000" w:themeColor="text1"/>
        </w:rPr>
        <w:t>ii</w:t>
      </w:r>
      <w:proofErr w:type="spellEnd"/>
      <w:r w:rsidRPr="00677258">
        <w:rPr>
          <w:rFonts w:ascii="Arial" w:eastAsia="Calibri" w:hAnsi="Arial" w:cs="Arial"/>
          <w:bCs/>
          <w:color w:val="000000" w:themeColor="text1"/>
        </w:rPr>
        <w:t xml:space="preserve">) la capacidad económica del alimentante y </w:t>
      </w:r>
      <w:proofErr w:type="spellStart"/>
      <w:r w:rsidRPr="00677258">
        <w:rPr>
          <w:rFonts w:ascii="Arial" w:eastAsia="Calibri" w:hAnsi="Arial" w:cs="Arial"/>
          <w:bCs/>
          <w:color w:val="000000" w:themeColor="text1"/>
        </w:rPr>
        <w:t>iii</w:t>
      </w:r>
      <w:proofErr w:type="spellEnd"/>
      <w:r w:rsidRPr="00677258">
        <w:rPr>
          <w:rFonts w:ascii="Arial" w:eastAsia="Calibri" w:hAnsi="Arial" w:cs="Arial"/>
          <w:bCs/>
          <w:color w:val="000000" w:themeColor="text1"/>
        </w:rPr>
        <w:t>) la existencia de un vínculo jurídico entre ambos.</w:t>
      </w:r>
      <w:bookmarkEnd w:id="9"/>
      <w:r w:rsidRPr="00677258">
        <w:rPr>
          <w:rFonts w:ascii="Arial" w:eastAsia="Calibri" w:hAnsi="Arial" w:cs="Arial"/>
          <w:bCs/>
          <w:color w:val="000000" w:themeColor="text1"/>
        </w:rPr>
        <w:t xml:space="preserve"> Respecto a este último punto, de acuerdo con el artículo 411 del Código Civil, es necesario tener en cuenta que se beben alimentos:</w:t>
      </w:r>
    </w:p>
    <w:p w14:paraId="3808E01A" w14:textId="77777777" w:rsidR="00677258" w:rsidRPr="00677258" w:rsidRDefault="00677258" w:rsidP="00677258">
      <w:pPr>
        <w:tabs>
          <w:tab w:val="left" w:pos="0"/>
        </w:tabs>
        <w:spacing w:after="0" w:line="276" w:lineRule="auto"/>
        <w:jc w:val="both"/>
        <w:rPr>
          <w:rFonts w:ascii="Arial" w:eastAsia="Calibri" w:hAnsi="Arial" w:cs="Arial"/>
          <w:bCs/>
          <w:color w:val="000000" w:themeColor="text1"/>
          <w:lang w:val="es-MX"/>
        </w:rPr>
      </w:pPr>
    </w:p>
    <w:p w14:paraId="478A29B3" w14:textId="5B3A5C4E" w:rsidR="00677258" w:rsidRPr="00677258" w:rsidRDefault="00A254E8" w:rsidP="00677258">
      <w:pPr>
        <w:tabs>
          <w:tab w:val="left" w:pos="0"/>
        </w:tabs>
        <w:spacing w:after="120" w:line="240" w:lineRule="auto"/>
        <w:ind w:left="709" w:right="709"/>
        <w:jc w:val="both"/>
        <w:rPr>
          <w:rFonts w:ascii="Arial" w:eastAsia="Calibri" w:hAnsi="Arial" w:cs="Arial"/>
          <w:bCs/>
          <w:color w:val="000000" w:themeColor="text1"/>
          <w:sz w:val="21"/>
          <w:szCs w:val="21"/>
          <w:lang w:val="es-MX"/>
        </w:rPr>
      </w:pPr>
      <w:r>
        <w:rPr>
          <w:rFonts w:ascii="Arial" w:eastAsia="Calibri" w:hAnsi="Arial" w:cs="Arial"/>
          <w:bCs/>
          <w:color w:val="000000" w:themeColor="text1"/>
          <w:sz w:val="21"/>
          <w:szCs w:val="21"/>
          <w:lang w:val="es-ES"/>
        </w:rPr>
        <w:t>“</w:t>
      </w:r>
      <w:r w:rsidR="00677258" w:rsidRPr="00677258">
        <w:rPr>
          <w:rFonts w:ascii="Arial" w:eastAsia="Calibri" w:hAnsi="Arial" w:cs="Arial"/>
          <w:bCs/>
          <w:color w:val="000000" w:themeColor="text1"/>
          <w:sz w:val="21"/>
          <w:szCs w:val="21"/>
          <w:lang w:val="es-ES"/>
        </w:rPr>
        <w:t>1. Al cónyuge. </w:t>
      </w:r>
    </w:p>
    <w:p w14:paraId="1A6E9338" w14:textId="77777777" w:rsidR="00677258" w:rsidRPr="00677258" w:rsidRDefault="00677258" w:rsidP="00677258">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677258">
        <w:rPr>
          <w:rFonts w:ascii="Arial" w:eastAsia="Calibri" w:hAnsi="Arial" w:cs="Arial"/>
          <w:bCs/>
          <w:color w:val="000000" w:themeColor="text1"/>
          <w:sz w:val="21"/>
          <w:szCs w:val="21"/>
          <w:lang w:val="es-ES"/>
        </w:rPr>
        <w:t>2. A los descendientes</w:t>
      </w:r>
    </w:p>
    <w:p w14:paraId="1F1280FF" w14:textId="77777777" w:rsidR="00677258" w:rsidRPr="00677258" w:rsidRDefault="00677258" w:rsidP="00677258">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677258">
        <w:rPr>
          <w:rFonts w:ascii="Arial" w:eastAsia="Calibri" w:hAnsi="Arial" w:cs="Arial"/>
          <w:bCs/>
          <w:color w:val="000000" w:themeColor="text1"/>
          <w:sz w:val="21"/>
          <w:szCs w:val="21"/>
          <w:lang w:val="es-ES"/>
        </w:rPr>
        <w:t>3. A los ascendientes</w:t>
      </w:r>
    </w:p>
    <w:p w14:paraId="23EB6C36" w14:textId="77777777" w:rsidR="00677258" w:rsidRPr="00677258" w:rsidRDefault="00677258" w:rsidP="00677258">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677258">
        <w:rPr>
          <w:rFonts w:ascii="Arial" w:eastAsia="Calibri" w:hAnsi="Arial" w:cs="Arial"/>
          <w:bCs/>
          <w:color w:val="000000" w:themeColor="text1"/>
          <w:sz w:val="21"/>
          <w:szCs w:val="21"/>
          <w:lang w:val="es-ES"/>
        </w:rPr>
        <w:t>4. A cargo del cónyuge culpable, al cónyuge divorciado o separado de cuerpos sin su culpa. </w:t>
      </w:r>
    </w:p>
    <w:p w14:paraId="19A32897" w14:textId="77777777" w:rsidR="00677258" w:rsidRPr="00677258" w:rsidRDefault="00677258" w:rsidP="00677258">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677258">
        <w:rPr>
          <w:rFonts w:ascii="Arial" w:eastAsia="Calibri" w:hAnsi="Arial" w:cs="Arial"/>
          <w:bCs/>
          <w:color w:val="000000" w:themeColor="text1"/>
          <w:sz w:val="21"/>
          <w:szCs w:val="21"/>
          <w:lang w:val="es-ES"/>
        </w:rPr>
        <w:t>5. A los hijos naturales, su posteridad y a los nietos naturales.</w:t>
      </w:r>
    </w:p>
    <w:p w14:paraId="2358DB96" w14:textId="77777777" w:rsidR="00677258" w:rsidRPr="00677258" w:rsidRDefault="00677258" w:rsidP="00677258">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677258">
        <w:rPr>
          <w:rFonts w:ascii="Arial" w:eastAsia="Calibri" w:hAnsi="Arial" w:cs="Arial"/>
          <w:bCs/>
          <w:color w:val="000000" w:themeColor="text1"/>
          <w:sz w:val="21"/>
          <w:szCs w:val="21"/>
          <w:lang w:val="es-ES"/>
        </w:rPr>
        <w:t>6. A los ascendientes naturales.</w:t>
      </w:r>
    </w:p>
    <w:p w14:paraId="22ECBBD9" w14:textId="77777777" w:rsidR="00677258" w:rsidRPr="00677258" w:rsidRDefault="00677258" w:rsidP="00677258">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677258">
        <w:rPr>
          <w:rFonts w:ascii="Arial" w:eastAsia="Calibri" w:hAnsi="Arial" w:cs="Arial"/>
          <w:bCs/>
          <w:color w:val="000000" w:themeColor="text1"/>
          <w:sz w:val="21"/>
          <w:szCs w:val="21"/>
          <w:lang w:val="es-MX"/>
        </w:rPr>
        <w:t>7. A los hijos adoptivos.</w:t>
      </w:r>
    </w:p>
    <w:p w14:paraId="6EEF29B4" w14:textId="77777777" w:rsidR="00677258" w:rsidRPr="00677258" w:rsidRDefault="00677258" w:rsidP="00677258">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677258">
        <w:rPr>
          <w:rFonts w:ascii="Arial" w:eastAsia="Calibri" w:hAnsi="Arial" w:cs="Arial"/>
          <w:bCs/>
          <w:color w:val="000000" w:themeColor="text1"/>
          <w:sz w:val="21"/>
          <w:szCs w:val="21"/>
          <w:lang w:val="es-ES"/>
        </w:rPr>
        <w:t>8. A los padres adoptantes.</w:t>
      </w:r>
    </w:p>
    <w:p w14:paraId="681FCF3B" w14:textId="77777777" w:rsidR="00677258" w:rsidRPr="00677258" w:rsidRDefault="00677258" w:rsidP="00677258">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677258">
        <w:rPr>
          <w:rFonts w:ascii="Arial" w:eastAsia="Calibri" w:hAnsi="Arial" w:cs="Arial"/>
          <w:bCs/>
          <w:color w:val="000000" w:themeColor="text1"/>
          <w:sz w:val="21"/>
          <w:szCs w:val="21"/>
          <w:lang w:val="es-ES"/>
        </w:rPr>
        <w:t>9. A los hermanos legítimos. </w:t>
      </w:r>
    </w:p>
    <w:p w14:paraId="275DF98E" w14:textId="77777777" w:rsidR="00677258" w:rsidRPr="00677258" w:rsidRDefault="00677258" w:rsidP="00677258">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677258">
        <w:rPr>
          <w:rFonts w:ascii="Arial" w:eastAsia="Calibri" w:hAnsi="Arial" w:cs="Arial"/>
          <w:bCs/>
          <w:color w:val="000000" w:themeColor="text1"/>
          <w:sz w:val="21"/>
          <w:szCs w:val="21"/>
          <w:lang w:val="es-ES"/>
        </w:rPr>
        <w:t>10. Al que hizo una donación cuantiosa si no hubiere sido rescindida o revocada.</w:t>
      </w:r>
    </w:p>
    <w:p w14:paraId="5B3B7E5F" w14:textId="77777777" w:rsidR="00677258" w:rsidRPr="00677258" w:rsidRDefault="00677258" w:rsidP="00677258">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677258">
        <w:rPr>
          <w:rFonts w:ascii="Arial" w:eastAsia="Calibri" w:hAnsi="Arial" w:cs="Arial"/>
          <w:bCs/>
          <w:color w:val="000000" w:themeColor="text1"/>
          <w:sz w:val="21"/>
          <w:szCs w:val="21"/>
          <w:lang w:val="es-ES"/>
        </w:rPr>
        <w:t>La acción del donante se dirigirá contra el donatario.</w:t>
      </w:r>
    </w:p>
    <w:p w14:paraId="146BEEC9" w14:textId="02103302" w:rsidR="00677258" w:rsidRPr="00677258" w:rsidRDefault="00677258" w:rsidP="00677258">
      <w:pPr>
        <w:tabs>
          <w:tab w:val="left" w:pos="0"/>
        </w:tabs>
        <w:spacing w:after="0" w:line="240" w:lineRule="auto"/>
        <w:ind w:left="709" w:right="709"/>
        <w:jc w:val="both"/>
        <w:rPr>
          <w:rFonts w:ascii="Arial" w:eastAsia="Calibri" w:hAnsi="Arial" w:cs="Arial"/>
          <w:bCs/>
          <w:color w:val="000000" w:themeColor="text1"/>
          <w:sz w:val="21"/>
          <w:szCs w:val="21"/>
          <w:lang w:val="es-MX"/>
        </w:rPr>
      </w:pPr>
      <w:r w:rsidRPr="00677258">
        <w:rPr>
          <w:rFonts w:ascii="Arial" w:eastAsia="Calibri" w:hAnsi="Arial" w:cs="Arial"/>
          <w:bCs/>
          <w:color w:val="000000" w:themeColor="text1"/>
          <w:sz w:val="21"/>
          <w:szCs w:val="21"/>
          <w:lang w:val="es-ES"/>
        </w:rPr>
        <w:t>No se deben alimentos a las personas aquí designadas en los casos en que una ley se los niegue</w:t>
      </w:r>
      <w:r w:rsidR="00A254E8">
        <w:rPr>
          <w:rFonts w:ascii="Arial" w:eastAsia="Calibri" w:hAnsi="Arial" w:cs="Arial"/>
          <w:bCs/>
          <w:color w:val="000000" w:themeColor="text1"/>
          <w:sz w:val="21"/>
          <w:szCs w:val="21"/>
          <w:lang w:val="es-ES"/>
        </w:rPr>
        <w:t>.”</w:t>
      </w:r>
    </w:p>
    <w:p w14:paraId="0BB45A8E" w14:textId="77777777" w:rsidR="00677258" w:rsidRPr="00677258" w:rsidRDefault="00677258" w:rsidP="00677258">
      <w:pPr>
        <w:tabs>
          <w:tab w:val="left" w:pos="0"/>
        </w:tabs>
        <w:spacing w:after="0" w:line="276" w:lineRule="auto"/>
        <w:jc w:val="both"/>
        <w:rPr>
          <w:rFonts w:ascii="Arial" w:eastAsia="Calibri" w:hAnsi="Arial" w:cs="Arial"/>
          <w:bCs/>
          <w:color w:val="000000" w:themeColor="text1"/>
          <w:lang w:val="es-MX"/>
        </w:rPr>
      </w:pPr>
    </w:p>
    <w:p w14:paraId="2102C2A5" w14:textId="77777777" w:rsidR="00677258" w:rsidRPr="00677258" w:rsidRDefault="00677258" w:rsidP="00677258">
      <w:pPr>
        <w:tabs>
          <w:tab w:val="left" w:pos="0"/>
        </w:tabs>
        <w:spacing w:after="0" w:line="276" w:lineRule="auto"/>
        <w:jc w:val="both"/>
        <w:rPr>
          <w:rFonts w:ascii="Arial" w:eastAsia="Calibri" w:hAnsi="Arial" w:cs="Arial"/>
          <w:bCs/>
          <w:color w:val="000000" w:themeColor="text1"/>
        </w:rPr>
      </w:pPr>
      <w:r w:rsidRPr="00677258">
        <w:rPr>
          <w:rFonts w:ascii="Arial" w:eastAsia="Calibri" w:hAnsi="Arial" w:cs="Arial"/>
          <w:bCs/>
          <w:color w:val="000000" w:themeColor="text1"/>
        </w:rPr>
        <w:tab/>
        <w:t>En este contexto, el REDAM es una medida adicional que el legislador establece para el cumplimiento de las obligaciones alimentarias. Dicho registro se suma a la posibilidad de iniciar un proceso declarativo para fijar o aumentar la cuota de alimentos, así como ejecutar la providencia judicial que los decrete, competencia que corresponde a los jueces de familia por el proceso verbal sumario –artículos 21 y 390 del Código General del Proceso, respectivamente–. Lo anterior, sin perjuicio de las medidas especiales previstas en la Ley 1098 de 2006 para la atención de los niños y adolescentes, así como la aplicación de las sanciones previstas en el artículo 233 de la Ley 599 de 2000, “por la cual se expide el Código Penal”, el cual tipifica el delito de inasistencia alimentaria</w:t>
      </w:r>
      <w:r w:rsidRPr="00677258">
        <w:rPr>
          <w:rFonts w:ascii="Arial" w:eastAsia="Calibri" w:hAnsi="Arial" w:cs="Arial"/>
          <w:bCs/>
          <w:color w:val="000000" w:themeColor="text1"/>
          <w:vertAlign w:val="superscript"/>
        </w:rPr>
        <w:footnoteReference w:id="32"/>
      </w:r>
      <w:r w:rsidRPr="00677258">
        <w:rPr>
          <w:rFonts w:ascii="Arial" w:eastAsia="Calibri" w:hAnsi="Arial" w:cs="Arial"/>
          <w:bCs/>
          <w:color w:val="000000" w:themeColor="text1"/>
        </w:rPr>
        <w:t xml:space="preserve">. Por ello, en el control </w:t>
      </w:r>
      <w:r w:rsidRPr="00677258">
        <w:rPr>
          <w:rFonts w:ascii="Arial" w:eastAsia="Calibri" w:hAnsi="Arial" w:cs="Arial"/>
          <w:bCs/>
          <w:color w:val="000000" w:themeColor="text1"/>
        </w:rPr>
        <w:lastRenderedPageBreak/>
        <w:t xml:space="preserve">previo realizado a través de la Sentencia C-032 de 2021, con ponencia de la Magistrada Gloria Stella Ortiz Delgado, la Corte Constitucional estima que: </w:t>
      </w:r>
    </w:p>
    <w:p w14:paraId="01F1EB3E" w14:textId="77777777" w:rsidR="00677258" w:rsidRPr="00677258" w:rsidRDefault="00677258" w:rsidP="00677258">
      <w:pPr>
        <w:tabs>
          <w:tab w:val="left" w:pos="0"/>
        </w:tabs>
        <w:spacing w:after="0" w:line="276" w:lineRule="auto"/>
        <w:jc w:val="both"/>
        <w:rPr>
          <w:rFonts w:ascii="Arial" w:eastAsia="Calibri" w:hAnsi="Arial" w:cs="Arial"/>
          <w:bCs/>
          <w:color w:val="000000" w:themeColor="text1"/>
        </w:rPr>
      </w:pPr>
    </w:p>
    <w:p w14:paraId="38DA5EF3" w14:textId="70E3D7B5" w:rsidR="00677258" w:rsidRPr="00677258" w:rsidRDefault="00BB3050" w:rsidP="00677258">
      <w:pPr>
        <w:tabs>
          <w:tab w:val="left" w:pos="851"/>
        </w:tabs>
        <w:spacing w:after="120" w:line="240" w:lineRule="auto"/>
        <w:ind w:left="709" w:right="709"/>
        <w:jc w:val="both"/>
        <w:rPr>
          <w:rFonts w:ascii="Arial" w:eastAsia="Calibri" w:hAnsi="Arial" w:cs="Arial"/>
          <w:bCs/>
          <w:color w:val="000000" w:themeColor="text1"/>
          <w:sz w:val="21"/>
          <w:szCs w:val="21"/>
        </w:rPr>
      </w:pPr>
      <w:r>
        <w:rPr>
          <w:rFonts w:ascii="Arial" w:eastAsia="Calibri" w:hAnsi="Arial" w:cs="Arial"/>
          <w:bCs/>
          <w:color w:val="000000" w:themeColor="text1"/>
          <w:sz w:val="21"/>
          <w:szCs w:val="21"/>
        </w:rPr>
        <w:t>“</w:t>
      </w:r>
      <w:r w:rsidR="00677258" w:rsidRPr="00677258">
        <w:rPr>
          <w:rFonts w:ascii="Arial" w:eastAsia="Calibri" w:hAnsi="Arial" w:cs="Arial"/>
          <w:bCs/>
          <w:color w:val="000000" w:themeColor="text1"/>
          <w:sz w:val="21"/>
          <w:szCs w:val="21"/>
        </w:rPr>
        <w:t xml:space="preserve">[…] el debido cumplimiento de las obligaciones alimentarias cumple con fines constitucionales no solo importantes sino imperiosos, al estar vinculados con la satisfacción del derecho al mínimo vital de sus acreedores. Estos son por lo general sujetos de especial protección constitucional, por lo que el incumplimiento mencionado afecta aspectos esenciales para el Estado constitucional, lo que valida las acciones dirigidas a promover el pago oportuno. De otro lado, también se ha demostrado que el incumplimiento en las obligaciones alimentarias es una problemática que afecta con mucha mayor intensidad a las mujeres, </w:t>
      </w:r>
      <w:proofErr w:type="gramStart"/>
      <w:r w:rsidR="00677258" w:rsidRPr="00677258">
        <w:rPr>
          <w:rFonts w:ascii="Arial" w:eastAsia="Calibri" w:hAnsi="Arial" w:cs="Arial"/>
          <w:bCs/>
          <w:color w:val="000000" w:themeColor="text1"/>
          <w:sz w:val="21"/>
          <w:szCs w:val="21"/>
        </w:rPr>
        <w:t>puesto que</w:t>
      </w:r>
      <w:proofErr w:type="gramEnd"/>
      <w:r w:rsidR="00677258" w:rsidRPr="00677258">
        <w:rPr>
          <w:rFonts w:ascii="Arial" w:eastAsia="Calibri" w:hAnsi="Arial" w:cs="Arial"/>
          <w:bCs/>
          <w:color w:val="000000" w:themeColor="text1"/>
          <w:sz w:val="21"/>
          <w:szCs w:val="21"/>
        </w:rPr>
        <w:t xml:space="preserve"> salvo casos excepcionales, los deudores morosos son hombres. Ello necesariamente impone cargas desproporcionadas a las mujeres que son madres o cuidadoras, pues les obliga a asumir de forma exclusiva los costos de manutención propia y de los acreedores alimentarios.</w:t>
      </w:r>
    </w:p>
    <w:p w14:paraId="2C795750" w14:textId="2DEB0A6F" w:rsidR="00677258" w:rsidRPr="00677258" w:rsidRDefault="00677258" w:rsidP="00677258">
      <w:pPr>
        <w:tabs>
          <w:tab w:val="left" w:pos="851"/>
        </w:tabs>
        <w:spacing w:after="0" w:line="240" w:lineRule="auto"/>
        <w:ind w:left="709" w:right="709"/>
        <w:jc w:val="both"/>
        <w:rPr>
          <w:rFonts w:ascii="Arial" w:eastAsia="Calibri" w:hAnsi="Arial" w:cs="Arial"/>
          <w:bCs/>
          <w:color w:val="000000" w:themeColor="text1"/>
        </w:rPr>
      </w:pPr>
      <w:r w:rsidRPr="00677258">
        <w:rPr>
          <w:rFonts w:ascii="Arial" w:eastAsia="Calibri" w:hAnsi="Arial" w:cs="Arial"/>
          <w:bCs/>
          <w:color w:val="000000" w:themeColor="text1"/>
          <w:sz w:val="21"/>
          <w:szCs w:val="21"/>
        </w:rPr>
        <w:t>Ante esas circunstancias, resulta plenamente justificado desde la perspectiva constitucional la instauración del REDAM y la fijación de la finalidad descrita en el artículo analizado. Ello no solo porque apunta a la satisfacción de bienes constitucionales de primer orden, sino también porque opera como un factor favorable para la reducción de la violencia económica contra las mujeres derivada del incumplimiento en el pago de las obligaciones alimentarias</w:t>
      </w:r>
      <w:r w:rsidR="007E15D2">
        <w:rPr>
          <w:rFonts w:ascii="Arial" w:eastAsia="Calibri" w:hAnsi="Arial" w:cs="Arial"/>
          <w:bCs/>
          <w:color w:val="000000" w:themeColor="text1"/>
          <w:sz w:val="21"/>
          <w:szCs w:val="21"/>
        </w:rPr>
        <w:t>”</w:t>
      </w:r>
      <w:r w:rsidRPr="00677258">
        <w:rPr>
          <w:rFonts w:ascii="Arial" w:eastAsia="Calibri" w:hAnsi="Arial" w:cs="Arial"/>
          <w:bCs/>
          <w:color w:val="000000" w:themeColor="text1"/>
          <w:sz w:val="21"/>
          <w:szCs w:val="21"/>
        </w:rPr>
        <w:t xml:space="preserve">. </w:t>
      </w:r>
    </w:p>
    <w:p w14:paraId="46176A09" w14:textId="77777777" w:rsidR="00677258" w:rsidRPr="00677258" w:rsidRDefault="00677258" w:rsidP="00677258">
      <w:pPr>
        <w:tabs>
          <w:tab w:val="left" w:pos="851"/>
        </w:tabs>
        <w:spacing w:after="0" w:line="276" w:lineRule="auto"/>
        <w:ind w:left="709" w:right="709"/>
        <w:jc w:val="both"/>
        <w:rPr>
          <w:rFonts w:ascii="Arial" w:eastAsia="Calibri" w:hAnsi="Arial" w:cs="Arial"/>
          <w:bCs/>
          <w:color w:val="000000" w:themeColor="text1"/>
        </w:rPr>
      </w:pPr>
    </w:p>
    <w:p w14:paraId="0B4BAA2C" w14:textId="77777777" w:rsidR="00677258" w:rsidRPr="00677258" w:rsidRDefault="00677258" w:rsidP="00677258">
      <w:pPr>
        <w:tabs>
          <w:tab w:val="left" w:pos="0"/>
        </w:tabs>
        <w:spacing w:after="0" w:line="276" w:lineRule="auto"/>
        <w:jc w:val="both"/>
        <w:rPr>
          <w:rFonts w:ascii="Arial" w:eastAsia="Calibri" w:hAnsi="Arial" w:cs="Arial"/>
          <w:bCs/>
          <w:color w:val="000000" w:themeColor="text1"/>
        </w:rPr>
      </w:pPr>
      <w:r w:rsidRPr="00677258">
        <w:rPr>
          <w:rFonts w:ascii="Arial" w:eastAsia="Calibri" w:hAnsi="Arial" w:cs="Arial"/>
          <w:bCs/>
          <w:color w:val="000000" w:themeColor="text1"/>
        </w:rPr>
        <w:tab/>
        <w:t>En esta perspectiva, el artículo 2 de la Ley 2097 de 2021 dispone que –sin importar que se trate de alimentos congruos o necesarios, definitivos o provisionales– las medidas previstas rigen para “[…] todas las personas que se encuentren en mora a partir de tres (3) cuotas alimentarias, sucesivas o no, establecidas en sentencias ejecutoriadas, acuerdos de conciliación, o cualquier título ejecutivo que contenga obligaciones de carácter alimentario”. Adicionalmente, agrega que “Esta norma aplica para los deudores alimentarios morosos de las personas titulares de derechos de alimentos estipulados en el artículo 411 del Código Civil colombiano, que incurran en las condiciones consagradas en el presente artículo”. Asimismo, el artículo 3 regula el procedimiento de inscripción en los siguientes términos:</w:t>
      </w:r>
    </w:p>
    <w:p w14:paraId="70CC17B9" w14:textId="77777777" w:rsidR="00677258" w:rsidRPr="00677258" w:rsidRDefault="00677258" w:rsidP="00677258">
      <w:pPr>
        <w:tabs>
          <w:tab w:val="left" w:pos="0"/>
        </w:tabs>
        <w:spacing w:after="0" w:line="276" w:lineRule="auto"/>
        <w:jc w:val="both"/>
        <w:rPr>
          <w:rFonts w:ascii="Arial" w:eastAsia="Calibri" w:hAnsi="Arial" w:cs="Arial"/>
          <w:bCs/>
          <w:color w:val="000000" w:themeColor="text1"/>
        </w:rPr>
      </w:pPr>
    </w:p>
    <w:p w14:paraId="60B707D2" w14:textId="03500FE0" w:rsidR="00677258" w:rsidRPr="00677258" w:rsidRDefault="007E15D2" w:rsidP="00677258">
      <w:pPr>
        <w:tabs>
          <w:tab w:val="left" w:pos="993"/>
        </w:tabs>
        <w:spacing w:after="120" w:line="240" w:lineRule="auto"/>
        <w:ind w:left="709" w:right="709"/>
        <w:jc w:val="both"/>
        <w:rPr>
          <w:rFonts w:ascii="Arial" w:eastAsia="Calibri" w:hAnsi="Arial" w:cs="Arial"/>
          <w:bCs/>
          <w:color w:val="000000" w:themeColor="text1"/>
          <w:sz w:val="21"/>
          <w:szCs w:val="21"/>
        </w:rPr>
      </w:pPr>
      <w:r>
        <w:rPr>
          <w:rFonts w:ascii="Arial" w:eastAsia="Calibri" w:hAnsi="Arial" w:cs="Arial"/>
          <w:bCs/>
          <w:color w:val="000000" w:themeColor="text1"/>
          <w:sz w:val="21"/>
          <w:szCs w:val="21"/>
        </w:rPr>
        <w:t>“</w:t>
      </w:r>
      <w:r w:rsidR="00677258" w:rsidRPr="00677258">
        <w:rPr>
          <w:rFonts w:ascii="Arial" w:eastAsia="Calibri" w:hAnsi="Arial" w:cs="Arial"/>
          <w:bCs/>
          <w:color w:val="000000" w:themeColor="text1"/>
          <w:sz w:val="21"/>
          <w:szCs w:val="21"/>
        </w:rPr>
        <w:t>El acreedor de alimentos deberá solicitar el registro ante el juez y/o funcionario que conoce o conoció del proceso y/o de alimentos quien, previo a ordenar la inscripción en el Registro de Deudores Alimentarios Morosos, deberá correr traslado de la solicitud al deudor alimentario que se reputa en mora por cinco (5) días hábiles, al término de los cuales resolverá sobre la procedencia o no de la misma, con fundamento en la existencia o no de una justa causa. La decisión del juez y/o funcionario podrá ser objeto del recurso de reposición quien dispondrá de cinco (5) días hábiles para resolverlo.</w:t>
      </w:r>
    </w:p>
    <w:p w14:paraId="68B3E79E" w14:textId="77777777" w:rsidR="00677258" w:rsidRPr="00677258" w:rsidRDefault="00677258" w:rsidP="00677258">
      <w:pPr>
        <w:tabs>
          <w:tab w:val="left" w:pos="993"/>
        </w:tabs>
        <w:spacing w:after="120" w:line="240" w:lineRule="auto"/>
        <w:ind w:left="709" w:right="709"/>
        <w:jc w:val="both"/>
        <w:rPr>
          <w:rFonts w:ascii="Arial" w:eastAsia="Calibri" w:hAnsi="Arial" w:cs="Arial"/>
          <w:bCs/>
          <w:color w:val="000000" w:themeColor="text1"/>
          <w:sz w:val="21"/>
          <w:szCs w:val="21"/>
        </w:rPr>
      </w:pPr>
      <w:r w:rsidRPr="00677258">
        <w:rPr>
          <w:rFonts w:ascii="Arial" w:eastAsia="Calibri" w:hAnsi="Arial" w:cs="Arial"/>
          <w:bCs/>
          <w:color w:val="000000" w:themeColor="text1"/>
          <w:sz w:val="21"/>
          <w:szCs w:val="21"/>
        </w:rPr>
        <w:t xml:space="preserve">Parágrafo 1º. Una vez en firme la decisión que ordena la inscripción en el Registro de Deudores Alimentarios Morosos, el juez o la autoridad oficiará en un </w:t>
      </w:r>
      <w:r w:rsidRPr="00677258">
        <w:rPr>
          <w:rFonts w:ascii="Arial" w:eastAsia="Calibri" w:hAnsi="Arial" w:cs="Arial"/>
          <w:bCs/>
          <w:color w:val="000000" w:themeColor="text1"/>
          <w:sz w:val="21"/>
          <w:szCs w:val="21"/>
        </w:rPr>
        <w:lastRenderedPageBreak/>
        <w:t>plazo no mayor a cinco (5) días hábiles a la entidad encargada de su operación con el propósito de hacer efectiva la misma.</w:t>
      </w:r>
    </w:p>
    <w:p w14:paraId="58C97A8E" w14:textId="77777777" w:rsidR="00677258" w:rsidRPr="00677258" w:rsidRDefault="00677258" w:rsidP="00677258">
      <w:pPr>
        <w:tabs>
          <w:tab w:val="left" w:pos="993"/>
        </w:tabs>
        <w:spacing w:after="120" w:line="240" w:lineRule="auto"/>
        <w:ind w:left="709" w:right="709"/>
        <w:jc w:val="both"/>
        <w:rPr>
          <w:rFonts w:ascii="Arial" w:eastAsia="Calibri" w:hAnsi="Arial" w:cs="Arial"/>
          <w:bCs/>
          <w:color w:val="000000" w:themeColor="text1"/>
          <w:sz w:val="21"/>
          <w:szCs w:val="21"/>
        </w:rPr>
      </w:pPr>
      <w:r w:rsidRPr="00677258">
        <w:rPr>
          <w:rFonts w:ascii="Arial" w:eastAsia="Calibri" w:hAnsi="Arial" w:cs="Arial"/>
          <w:bCs/>
          <w:color w:val="000000" w:themeColor="text1"/>
          <w:sz w:val="21"/>
          <w:szCs w:val="21"/>
        </w:rPr>
        <w:t xml:space="preserve">Parágrafo 2º. Solo podrá proponerse como excepción a la solicitud de registro en el Registro de Deudores Alimentarios Morosos el pago de las obligaciones alimentarias que se encuentran en mora, siempre y cuando sea la primera inscripción, en el evento de recurrencia en el incumplimiento de las cuotas alimentarias y el pago de </w:t>
      </w:r>
      <w:proofErr w:type="gramStart"/>
      <w:r w:rsidRPr="00677258">
        <w:rPr>
          <w:rFonts w:ascii="Arial" w:eastAsia="Calibri" w:hAnsi="Arial" w:cs="Arial"/>
          <w:bCs/>
          <w:color w:val="000000" w:themeColor="text1"/>
          <w:sz w:val="21"/>
          <w:szCs w:val="21"/>
        </w:rPr>
        <w:t>las mismas</w:t>
      </w:r>
      <w:proofErr w:type="gramEnd"/>
      <w:r w:rsidRPr="00677258">
        <w:rPr>
          <w:rFonts w:ascii="Arial" w:eastAsia="Calibri" w:hAnsi="Arial" w:cs="Arial"/>
          <w:bCs/>
          <w:color w:val="000000" w:themeColor="text1"/>
          <w:sz w:val="21"/>
          <w:szCs w:val="21"/>
        </w:rPr>
        <w:t xml:space="preserve"> antes del registro, este se llevará a cabo por tres meses en la segunda oportunidad y por 6 meses en las ocasiones siguientes. </w:t>
      </w:r>
    </w:p>
    <w:p w14:paraId="446F717A" w14:textId="77777777" w:rsidR="00677258" w:rsidRPr="00677258" w:rsidRDefault="00677258" w:rsidP="00677258">
      <w:pPr>
        <w:tabs>
          <w:tab w:val="left" w:pos="993"/>
        </w:tabs>
        <w:spacing w:after="120" w:line="240" w:lineRule="auto"/>
        <w:ind w:left="709" w:right="709"/>
        <w:jc w:val="both"/>
        <w:rPr>
          <w:rFonts w:ascii="Arial" w:eastAsia="Calibri" w:hAnsi="Arial" w:cs="Arial"/>
          <w:bCs/>
          <w:color w:val="000000" w:themeColor="text1"/>
          <w:sz w:val="21"/>
          <w:szCs w:val="21"/>
        </w:rPr>
      </w:pPr>
      <w:r w:rsidRPr="00677258">
        <w:rPr>
          <w:rFonts w:ascii="Arial" w:eastAsia="Calibri" w:hAnsi="Arial" w:cs="Arial"/>
          <w:bCs/>
          <w:color w:val="000000" w:themeColor="text1"/>
          <w:sz w:val="21"/>
          <w:szCs w:val="21"/>
        </w:rPr>
        <w:t>Parágrafo 3º. Cuando se acredite la cancelación total de las cuotas alimentarias en mora, el juez oficiará en un plazo no mayor a cinco (5) días hábiles a la entidad encargada de su operación con el propósito de cancelar la inscripción en el Registro de Deudores Alimentarios Morosos. En el mismo oficio el juez ordenará el retiro inmediato de la información negativa del deudor de alimentos del Registro.</w:t>
      </w:r>
    </w:p>
    <w:p w14:paraId="026131A3" w14:textId="56732AA8" w:rsidR="00677258" w:rsidRPr="00677258" w:rsidRDefault="00677258" w:rsidP="00677258">
      <w:pPr>
        <w:tabs>
          <w:tab w:val="left" w:pos="993"/>
        </w:tabs>
        <w:spacing w:after="0" w:line="240" w:lineRule="auto"/>
        <w:ind w:left="709" w:right="709"/>
        <w:jc w:val="both"/>
        <w:rPr>
          <w:rFonts w:ascii="Arial" w:eastAsia="Calibri" w:hAnsi="Arial" w:cs="Arial"/>
          <w:bCs/>
          <w:color w:val="000000" w:themeColor="text1"/>
          <w:sz w:val="21"/>
          <w:szCs w:val="21"/>
        </w:rPr>
      </w:pPr>
      <w:r w:rsidRPr="00677258">
        <w:rPr>
          <w:rFonts w:ascii="Arial" w:eastAsia="Calibri" w:hAnsi="Arial" w:cs="Arial"/>
          <w:bCs/>
          <w:color w:val="000000" w:themeColor="text1"/>
          <w:sz w:val="21"/>
          <w:szCs w:val="21"/>
        </w:rPr>
        <w:t>Parágrafo 4º. Cuando la obligación alimentaria conste en título ejecutivo diferente a sentencia judicial, el acreedor alimentario podrá acudir, a prevención, a una Comisaría de Familia o al Instituto Colombiano de Bienestar Familiar para poner en conocimiento el incumplimiento en las obligaciones alimentarias que dan lugar a la inscripción en el Registro de Deudores Alimentarios Morosos. La Comisaría de Familia o el Instituto Colombiano de Bienestar Familiar, estará obligada a dar inicio al trámite contemplado en el presente artículo, garantizando en todo caso, el derecho de contradicción y de defensa del presunto deudor alimentario moroso</w:t>
      </w:r>
      <w:r w:rsidR="007E15D2">
        <w:rPr>
          <w:rFonts w:ascii="Arial" w:eastAsia="Calibri" w:hAnsi="Arial" w:cs="Arial"/>
          <w:bCs/>
          <w:color w:val="000000" w:themeColor="text1"/>
          <w:sz w:val="21"/>
          <w:szCs w:val="21"/>
        </w:rPr>
        <w:t>.”</w:t>
      </w:r>
      <w:r w:rsidRPr="00677258">
        <w:rPr>
          <w:rFonts w:ascii="Arial" w:eastAsia="Calibri" w:hAnsi="Arial" w:cs="Arial"/>
          <w:bCs/>
          <w:color w:val="000000" w:themeColor="text1"/>
          <w:sz w:val="21"/>
          <w:szCs w:val="21"/>
        </w:rPr>
        <w:t>.</w:t>
      </w:r>
    </w:p>
    <w:p w14:paraId="65B9E54C" w14:textId="77777777" w:rsidR="00677258" w:rsidRPr="00677258" w:rsidRDefault="00677258" w:rsidP="00677258">
      <w:pPr>
        <w:tabs>
          <w:tab w:val="left" w:pos="0"/>
        </w:tabs>
        <w:spacing w:after="0" w:line="276" w:lineRule="auto"/>
        <w:jc w:val="both"/>
        <w:rPr>
          <w:rFonts w:ascii="Arial" w:eastAsia="Calibri" w:hAnsi="Arial" w:cs="Arial"/>
          <w:bCs/>
          <w:color w:val="000000" w:themeColor="text1"/>
        </w:rPr>
      </w:pPr>
    </w:p>
    <w:p w14:paraId="279E7F76" w14:textId="77777777" w:rsidR="00677258" w:rsidRPr="00677258" w:rsidRDefault="00677258" w:rsidP="00677258">
      <w:pPr>
        <w:tabs>
          <w:tab w:val="left" w:pos="0"/>
        </w:tabs>
        <w:spacing w:after="120" w:line="276" w:lineRule="auto"/>
        <w:jc w:val="both"/>
        <w:rPr>
          <w:rFonts w:ascii="Arial" w:eastAsia="Calibri" w:hAnsi="Arial" w:cs="Arial"/>
          <w:bCs/>
          <w:color w:val="000000" w:themeColor="text1"/>
        </w:rPr>
      </w:pPr>
      <w:r w:rsidRPr="00677258">
        <w:rPr>
          <w:rFonts w:ascii="Arial" w:eastAsia="Calibri" w:hAnsi="Arial" w:cs="Arial"/>
          <w:bCs/>
          <w:color w:val="000000" w:themeColor="text1"/>
        </w:rPr>
        <w:tab/>
        <w:t xml:space="preserve">Para efectos del tema sometido a consulta, una de las consecuencias más importantes de la inclusión en el REDAM es la aparición de una inhabilidad para celebrar contratos con el Estado. Al respecto, conforme al artículo 6.1 </w:t>
      </w:r>
      <w:r w:rsidRPr="00677258">
        <w:rPr>
          <w:rFonts w:ascii="Arial" w:eastAsia="Calibri" w:hAnsi="Arial" w:cs="Arial"/>
          <w:bCs/>
          <w:i/>
          <w:iCs/>
          <w:color w:val="000000" w:themeColor="text1"/>
        </w:rPr>
        <w:t>ibidem</w:t>
      </w:r>
      <w:r w:rsidRPr="00677258">
        <w:rPr>
          <w:rFonts w:ascii="Arial" w:eastAsia="Calibri" w:hAnsi="Arial" w:cs="Arial"/>
          <w:bCs/>
          <w:color w:val="000000" w:themeColor="text1"/>
        </w:rPr>
        <w:t xml:space="preserve">, “El deudor alimentario moroso solo podrá contratar con el Estado una vez se ponga a paz y salvo con sus obligaciones alimentarias. Esta inhabilidad también se predica del deudor alimentario moroso que actúe como representante legal de la persona jurídica que aspira a contratar con el Estado”. Dicha restricción se suma al catálogo del artículo 8 y siguientes de la Ley 80 de 1993, especialmente, cuando –conforme al literal a) del numeral 1– “Son inhábiles para participar en licitaciones y para celebrar contratos con las entidades estatales […] Las personas que se hallen inhabilitadas para contratar por la Constitución y las leyes”, el cual se extiende también a las entidades de régimen exceptuado en virtud del inciso primero del </w:t>
      </w:r>
      <w:r w:rsidRPr="00677258">
        <w:rPr>
          <w:rFonts w:ascii="Arial" w:eastAsia="Calibri" w:hAnsi="Arial" w:cs="Arial"/>
          <w:bCs/>
          <w:color w:val="000000" w:themeColor="text1"/>
        </w:rPr>
        <w:lastRenderedPageBreak/>
        <w:t>artículo 13 de la Ley 1150 de 2007</w:t>
      </w:r>
      <w:r w:rsidRPr="00677258">
        <w:rPr>
          <w:rFonts w:ascii="Arial" w:eastAsia="Calibri" w:hAnsi="Arial" w:cs="Arial"/>
          <w:bCs/>
          <w:color w:val="000000" w:themeColor="text1"/>
          <w:vertAlign w:val="superscript"/>
        </w:rPr>
        <w:footnoteReference w:id="33"/>
      </w:r>
      <w:r w:rsidRPr="00677258">
        <w:rPr>
          <w:rFonts w:ascii="Arial" w:eastAsia="Calibri" w:hAnsi="Arial" w:cs="Arial"/>
          <w:bCs/>
          <w:color w:val="000000" w:themeColor="text1"/>
        </w:rPr>
        <w:t xml:space="preserve"> y al régimen de las ESAL de acuerdo al artículo 6 del Decreto 092 de 2017</w:t>
      </w:r>
      <w:r w:rsidRPr="00677258">
        <w:rPr>
          <w:rFonts w:ascii="Arial" w:eastAsia="Calibri" w:hAnsi="Arial" w:cs="Arial"/>
          <w:bCs/>
          <w:color w:val="000000" w:themeColor="text1"/>
          <w:vertAlign w:val="superscript"/>
        </w:rPr>
        <w:footnoteReference w:id="34"/>
      </w:r>
      <w:r w:rsidRPr="00677258">
        <w:rPr>
          <w:rFonts w:ascii="Arial" w:eastAsia="Calibri" w:hAnsi="Arial" w:cs="Arial"/>
          <w:bCs/>
          <w:color w:val="000000" w:themeColor="text1"/>
        </w:rPr>
        <w:t xml:space="preserve">. </w:t>
      </w:r>
    </w:p>
    <w:p w14:paraId="068C9D19" w14:textId="77777777" w:rsidR="00677258" w:rsidRPr="00677258" w:rsidRDefault="00677258" w:rsidP="00677258">
      <w:pPr>
        <w:tabs>
          <w:tab w:val="left" w:pos="0"/>
        </w:tabs>
        <w:spacing w:after="120" w:line="276" w:lineRule="auto"/>
        <w:jc w:val="both"/>
        <w:rPr>
          <w:rFonts w:ascii="Arial" w:eastAsia="Calibri" w:hAnsi="Arial" w:cs="Arial"/>
          <w:bCs/>
          <w:color w:val="000000" w:themeColor="text1"/>
        </w:rPr>
      </w:pPr>
      <w:r w:rsidRPr="00677258">
        <w:rPr>
          <w:rFonts w:ascii="Arial" w:eastAsia="Calibri" w:hAnsi="Arial" w:cs="Arial"/>
          <w:bCs/>
          <w:color w:val="000000" w:themeColor="text1"/>
        </w:rPr>
        <w:tab/>
        <w:t xml:space="preserve">De acuerdo con el análisis de la precitada Sentencia C-032 de 2021, para la Corte Constitucional dicha norma es exequible, pues “[…] si se reconoce la validez constitucional de medidas altamente invasivas de la autonomía individual, como son las que se derivan del uso de la tipificación penal, resultaría un contrasentido cuestionar instrumentos de menor intensidad, como es la imposición de este requisito para […] contratar con el Estado. Adicionalmente, no puede perderse de vista el hecho de que uno de los motivos que fundamentan la imposición de inhabilidades es la conservación de la transparencia y la moralidad administrativa. El incumplimiento de las obligaciones alimentaria afecta valores constitucionales esenciales y, en modo alguno puede desconocerse a la hora de analizar las calidades de los futuros […] contratistas del Estado”. Lo anterior, agregando que la medida cumple con una finalidad importante e imperiosa, la cual consistente en proteger los derechos fundamentales de personas que se ven afectados en su mínimo vital por el hecho del incumplimiento de las obligaciones alimentarias, quienes usualmente son sujetos de especial protección constitucional. La Corte Constitucional considera que la medida es necesaria, porque opera un incentivo para el pago cumplido de esas obligaciones, supeditando la suscripción del contrato respectivo al pago de esa obligación. </w:t>
      </w:r>
    </w:p>
    <w:p w14:paraId="5B7389A5" w14:textId="77777777" w:rsidR="00677258" w:rsidRPr="00677258" w:rsidRDefault="00677258" w:rsidP="00677258">
      <w:pPr>
        <w:tabs>
          <w:tab w:val="left" w:pos="0"/>
        </w:tabs>
        <w:spacing w:after="120" w:line="276" w:lineRule="auto"/>
        <w:jc w:val="both"/>
        <w:rPr>
          <w:rFonts w:ascii="Arial" w:eastAsia="Calibri" w:hAnsi="Arial" w:cs="Arial"/>
          <w:bCs/>
          <w:color w:val="000000" w:themeColor="text1"/>
        </w:rPr>
      </w:pPr>
      <w:r w:rsidRPr="00677258">
        <w:rPr>
          <w:rFonts w:ascii="Arial" w:eastAsia="Calibri" w:hAnsi="Arial" w:cs="Arial"/>
          <w:bCs/>
          <w:color w:val="000000" w:themeColor="text1"/>
        </w:rPr>
        <w:tab/>
        <w:t xml:space="preserve">Adicionalmente, la Corte Constitucional también estima que ante la contingencia de que el representante legal sea registrado en el REDAM, la persona jurídica puede proceder con su pronta remoción –y con ello permitir el normal desarrollo del objeto social frente a los contratos con el Estado– o exigir a aquel que se ponga de inmediato al día en el pago de sus obligaciones, a fin de que sea excluido de dicho registro. Por ello, agrega que “[…] esta extensión también implica la obligación del juez y/o funcionario que ordena la inscripción que comunique de esta, en los términos del inciso primero del artículo 3º del PLE, no únicamente a la persona natural sino también a la persona jurídica cuando aquella es su representante legal. Esto con el fin de que puedan ejercer las posibilidades de remoción o de exigencia del pago de la obligación, anteriormente mencionadas. De esta manera, en caso de que no ejerza esas opciones, la persona jurídica terminará siendo cobijada por los efectos del reporte, no por el simple hecho de un tercero sino ante su propia </w:t>
      </w:r>
      <w:r w:rsidRPr="00677258">
        <w:rPr>
          <w:rFonts w:ascii="Arial" w:eastAsia="Calibri" w:hAnsi="Arial" w:cs="Arial"/>
          <w:bCs/>
          <w:color w:val="000000" w:themeColor="text1"/>
        </w:rPr>
        <w:lastRenderedPageBreak/>
        <w:t xml:space="preserve">inacción y negligencia en acudir a los remedios legales para evitar tales consecuencias jurídicas”.  </w:t>
      </w:r>
    </w:p>
    <w:p w14:paraId="7A74564E" w14:textId="77777777" w:rsidR="00677258" w:rsidRPr="00677258" w:rsidRDefault="00677258" w:rsidP="00677258">
      <w:pPr>
        <w:tabs>
          <w:tab w:val="left" w:pos="0"/>
        </w:tabs>
        <w:spacing w:after="120" w:line="276" w:lineRule="auto"/>
        <w:jc w:val="both"/>
        <w:rPr>
          <w:rFonts w:ascii="Arial" w:eastAsia="Calibri" w:hAnsi="Arial" w:cs="Arial"/>
          <w:bCs/>
          <w:color w:val="000000" w:themeColor="text1"/>
        </w:rPr>
      </w:pPr>
      <w:r w:rsidRPr="00677258">
        <w:rPr>
          <w:rFonts w:ascii="Arial" w:eastAsia="Calibri" w:hAnsi="Arial" w:cs="Arial"/>
          <w:bCs/>
          <w:color w:val="000000" w:themeColor="text1"/>
        </w:rPr>
        <w:tab/>
        <w:t xml:space="preserve">No obstante, pese a que son funciones del REDAM llevar un registro de los deudores alimentarios morosos y expedir gratuitamente los certificados a través de página web, es necesario preguntarse si la obligación de consultarlo para validar la ausencia de la restricción comentada surgió automáticamente con la expedición de la Ley 2097 del 2 de julio de 2021 o, por el contrario, si las medidas adoptadas quedaron condicionadas por la designación de la autoridad responsable de operar el registro, su reglamentación correspondiente, así como la puesta en funcionamiento de la aplicación. La respuesta a esta inquietud depende de tomar partido por la </w:t>
      </w:r>
      <w:r w:rsidRPr="00677258">
        <w:rPr>
          <w:rFonts w:ascii="Arial" w:eastAsia="Calibri" w:hAnsi="Arial" w:cs="Arial"/>
          <w:bCs/>
          <w:i/>
          <w:iCs/>
          <w:color w:val="000000" w:themeColor="text1"/>
        </w:rPr>
        <w:t>tesis de la aplicación directa</w:t>
      </w:r>
      <w:r w:rsidRPr="00677258">
        <w:rPr>
          <w:rFonts w:ascii="Arial" w:eastAsia="Calibri" w:hAnsi="Arial" w:cs="Arial"/>
          <w:bCs/>
          <w:color w:val="000000" w:themeColor="text1"/>
        </w:rPr>
        <w:t xml:space="preserve"> o por la </w:t>
      </w:r>
      <w:r w:rsidRPr="00677258">
        <w:rPr>
          <w:rFonts w:ascii="Arial" w:eastAsia="Calibri" w:hAnsi="Arial" w:cs="Arial"/>
          <w:bCs/>
          <w:i/>
          <w:iCs/>
          <w:color w:val="000000" w:themeColor="text1"/>
        </w:rPr>
        <w:t>tesis de la reglamentación</w:t>
      </w:r>
      <w:r w:rsidRPr="00677258">
        <w:rPr>
          <w:rFonts w:ascii="Arial" w:eastAsia="Calibri" w:hAnsi="Arial" w:cs="Arial"/>
          <w:bCs/>
          <w:color w:val="000000" w:themeColor="text1"/>
        </w:rPr>
        <w:t xml:space="preserve">. </w:t>
      </w:r>
    </w:p>
    <w:p w14:paraId="5C1FE698" w14:textId="77777777" w:rsidR="00677258" w:rsidRPr="00677258" w:rsidRDefault="00677258" w:rsidP="00677258">
      <w:pPr>
        <w:tabs>
          <w:tab w:val="left" w:pos="709"/>
        </w:tabs>
        <w:spacing w:after="120" w:line="276" w:lineRule="auto"/>
        <w:jc w:val="both"/>
        <w:rPr>
          <w:rFonts w:ascii="Arial" w:eastAsia="Calibri" w:hAnsi="Arial" w:cs="Arial"/>
          <w:bCs/>
          <w:color w:val="000000" w:themeColor="text1"/>
          <w:lang w:val="es-ES_tradnl"/>
        </w:rPr>
      </w:pPr>
      <w:r w:rsidRPr="00677258">
        <w:rPr>
          <w:rFonts w:ascii="Arial" w:eastAsia="Calibri" w:hAnsi="Arial" w:cs="Arial"/>
          <w:bCs/>
          <w:color w:val="000000" w:themeColor="text1"/>
          <w:lang w:val="es-ES_tradnl"/>
        </w:rPr>
        <w:tab/>
        <w:t xml:space="preserve">Por un lado, quien opte por la </w:t>
      </w:r>
      <w:r w:rsidRPr="00677258">
        <w:rPr>
          <w:rFonts w:ascii="Arial" w:eastAsia="Calibri" w:hAnsi="Arial" w:cs="Arial"/>
          <w:bCs/>
          <w:i/>
          <w:iCs/>
          <w:color w:val="000000" w:themeColor="text1"/>
          <w:lang w:val="es-ES_tradnl"/>
        </w:rPr>
        <w:t>tesis de la aplicación directa</w:t>
      </w:r>
      <w:r w:rsidRPr="00677258">
        <w:rPr>
          <w:rFonts w:ascii="Arial" w:eastAsia="Calibri" w:hAnsi="Arial" w:cs="Arial"/>
          <w:bCs/>
          <w:color w:val="000000" w:themeColor="text1"/>
          <w:lang w:val="es-ES_tradnl"/>
        </w:rPr>
        <w:t xml:space="preserve"> debe sostener que la intervención del reglamento es accesoria, no necesaria: el Congreso de la República ejerce su competencia para la expedición de las 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 De esta manera, a menor precisión de la ley, mayor es el campo de acción del reglamento: en este el funcionario competente tiene libertad para expedir o no las normas correspondientes. Por ello, la jurisprudencia explica que la competencia reglamentaria prevista en el artículo 189.11 superior también corresponde a un poder discrecional</w:t>
      </w:r>
      <w:r w:rsidRPr="00677258">
        <w:rPr>
          <w:rFonts w:ascii="Arial" w:eastAsia="Calibri" w:hAnsi="Arial" w:cs="Arial"/>
          <w:bCs/>
          <w:color w:val="000000" w:themeColor="text1"/>
          <w:vertAlign w:val="superscript"/>
          <w:lang w:val="es-ES_tradnl"/>
        </w:rPr>
        <w:footnoteReference w:id="35"/>
      </w:r>
      <w:r w:rsidRPr="00677258">
        <w:rPr>
          <w:rFonts w:ascii="Arial" w:eastAsia="Calibri" w:hAnsi="Arial" w:cs="Arial"/>
          <w:bCs/>
          <w:color w:val="000000" w:themeColor="text1"/>
          <w:lang w:val="es-ES_tradnl"/>
        </w:rPr>
        <w:t>. En este contexto, si la expedición de reglamentos no es obligatoria, la ausencia de estos no excusa la inaplicación de la ley, pues contiene unos elementos mínimos que vinculan directamente a los destinatarios.</w:t>
      </w:r>
    </w:p>
    <w:p w14:paraId="4EDE4396" w14:textId="77777777" w:rsidR="00677258" w:rsidRPr="00677258" w:rsidRDefault="00677258" w:rsidP="00677258">
      <w:pPr>
        <w:tabs>
          <w:tab w:val="left" w:pos="709"/>
        </w:tabs>
        <w:spacing w:after="120" w:line="276" w:lineRule="auto"/>
        <w:jc w:val="both"/>
        <w:rPr>
          <w:rFonts w:ascii="Arial" w:eastAsia="Calibri" w:hAnsi="Arial" w:cs="Arial"/>
          <w:bCs/>
          <w:color w:val="000000" w:themeColor="text1"/>
          <w:lang w:val="es-ES_tradnl"/>
        </w:rPr>
      </w:pPr>
      <w:r w:rsidRPr="00677258">
        <w:rPr>
          <w:rFonts w:ascii="Arial" w:eastAsia="Calibri" w:hAnsi="Arial" w:cs="Arial"/>
          <w:bCs/>
          <w:color w:val="000000" w:themeColor="text1"/>
          <w:lang w:val="es-ES_tradnl"/>
        </w:rPr>
        <w:tab/>
        <w:t xml:space="preserve">Ahora bien, la relación entre estas dos (2) fuentes del derecho es totalmente diferente en la </w:t>
      </w:r>
      <w:r w:rsidRPr="00677258">
        <w:rPr>
          <w:rFonts w:ascii="Arial" w:eastAsia="Calibri" w:hAnsi="Arial" w:cs="Arial"/>
          <w:bCs/>
          <w:i/>
          <w:iCs/>
          <w:color w:val="000000" w:themeColor="text1"/>
          <w:lang w:val="es-ES_tradnl"/>
        </w:rPr>
        <w:t>tesis de la reglamentación</w:t>
      </w:r>
      <w:r w:rsidRPr="00677258">
        <w:rPr>
          <w:rFonts w:ascii="Arial" w:eastAsia="Calibri" w:hAnsi="Arial" w:cs="Arial"/>
          <w:bCs/>
          <w:color w:val="000000" w:themeColor="text1"/>
          <w:lang w:val="es-ES_tradnl"/>
        </w:rPr>
        <w:t xml:space="preserve">. Para estos efectos, si bien el Congreso de la República conserva la cláusula general de competencia normativa para la expedición de las leyes, sujeta su aplicación a una norma de menor jerarquía que regule aspectos de detalle, por lo que exige la expedición del decreto reglamentario correspondiente. Este el caso de la </w:t>
      </w:r>
      <w:r w:rsidRPr="00677258">
        <w:rPr>
          <w:rFonts w:ascii="Arial" w:eastAsia="Calibri" w:hAnsi="Arial" w:cs="Arial"/>
          <w:bCs/>
          <w:color w:val="000000" w:themeColor="text1"/>
        </w:rPr>
        <w:t>Ley 2097 de 2021</w:t>
      </w:r>
      <w:r w:rsidRPr="00677258">
        <w:rPr>
          <w:rFonts w:ascii="Arial" w:eastAsia="Calibri" w:hAnsi="Arial" w:cs="Arial"/>
          <w:bCs/>
          <w:color w:val="000000" w:themeColor="text1"/>
          <w:lang w:val="es-ES_tradnl"/>
        </w:rPr>
        <w:t xml:space="preserve">, </w:t>
      </w:r>
      <w:r w:rsidRPr="00677258">
        <w:rPr>
          <w:rFonts w:ascii="Arial" w:eastAsia="Calibri" w:hAnsi="Arial" w:cs="Arial"/>
          <w:bCs/>
          <w:color w:val="000000" w:themeColor="text1"/>
        </w:rPr>
        <w:t xml:space="preserve">pues –conforme al artículo 7 </w:t>
      </w:r>
      <w:r w:rsidRPr="00677258">
        <w:rPr>
          <w:rFonts w:ascii="Arial" w:eastAsia="Calibri" w:hAnsi="Arial" w:cs="Arial"/>
          <w:bCs/>
          <w:i/>
          <w:iCs/>
          <w:color w:val="000000" w:themeColor="text1"/>
        </w:rPr>
        <w:t>ibidem</w:t>
      </w:r>
      <w:r w:rsidRPr="00677258">
        <w:rPr>
          <w:rFonts w:ascii="Arial" w:eastAsia="Calibri" w:hAnsi="Arial" w:cs="Arial"/>
          <w:bCs/>
          <w:color w:val="000000" w:themeColor="text1"/>
        </w:rPr>
        <w:t xml:space="preserve">– “El Gobierno nacional, designará a una entidad del orden nacional para que implemente, administre y mantenga actualizado el Registro Nacional de Deudores de Cuotas Alimentarias”. Por lo demás, de acuerdo con el parágrafo de la norma precitada, “La implementación del Registro Nacional </w:t>
      </w:r>
      <w:r w:rsidRPr="00677258">
        <w:rPr>
          <w:rFonts w:ascii="Arial" w:eastAsia="Calibri" w:hAnsi="Arial" w:cs="Arial"/>
          <w:bCs/>
          <w:color w:val="000000" w:themeColor="text1"/>
        </w:rPr>
        <w:lastRenderedPageBreak/>
        <w:t>de Deudores de Cuotas Alimentarias deberá llevarse a cabo en el término de seis (6) meses contados a partir de la fecha de promulgación de la presente ley”.</w:t>
      </w:r>
    </w:p>
    <w:p w14:paraId="3FD3C0B0" w14:textId="77777777" w:rsidR="00677258" w:rsidRPr="00677258" w:rsidRDefault="00677258" w:rsidP="00677258">
      <w:pPr>
        <w:tabs>
          <w:tab w:val="left" w:pos="709"/>
        </w:tabs>
        <w:spacing w:after="120" w:line="276" w:lineRule="auto"/>
        <w:jc w:val="both"/>
        <w:rPr>
          <w:rFonts w:ascii="Arial" w:eastAsia="Calibri" w:hAnsi="Arial" w:cs="Arial"/>
          <w:bCs/>
          <w:color w:val="000000" w:themeColor="text1"/>
          <w:lang w:val="es-ES_tradnl"/>
        </w:rPr>
      </w:pPr>
      <w:r w:rsidRPr="00677258">
        <w:rPr>
          <w:rFonts w:ascii="Arial" w:eastAsia="Calibri" w:hAnsi="Arial" w:cs="Arial"/>
          <w:bCs/>
          <w:color w:val="000000" w:themeColor="text1"/>
          <w:lang w:val="es-ES_tradnl"/>
        </w:rPr>
        <w:tab/>
        <w:t>En efecto, el artículo 7 de la Ley 2097 de 2020 contiene un mandato de reglamentación que debe acatar el Gobierno Nacional</w:t>
      </w:r>
      <w:r w:rsidRPr="00677258">
        <w:rPr>
          <w:rFonts w:ascii="Arial" w:eastAsia="Calibri" w:hAnsi="Arial" w:cs="Arial"/>
          <w:bCs/>
          <w:color w:val="000000" w:themeColor="text1"/>
          <w:vertAlign w:val="superscript"/>
          <w:lang w:val="es-ES_tradnl"/>
        </w:rPr>
        <w:footnoteReference w:id="36"/>
      </w:r>
      <w:r w:rsidRPr="00677258">
        <w:rPr>
          <w:rFonts w:ascii="Arial" w:eastAsia="Calibri" w:hAnsi="Arial" w:cs="Arial"/>
          <w:bCs/>
          <w:color w:val="000000" w:themeColor="text1"/>
          <w:lang w:val="es-ES_tradnl"/>
        </w:rPr>
        <w:t xml:space="preserve">. Sin el decreto la ley es inaplicable, porque delega en una fuente de inferior jerarquía la definición de los aspectos relevantes para efectividad de los mandatos contenidos en la misma. En estos casos, la omisión reglamentaria genera una </w:t>
      </w:r>
      <w:r w:rsidRPr="00677258">
        <w:rPr>
          <w:rFonts w:ascii="Arial" w:eastAsia="Calibri" w:hAnsi="Arial" w:cs="Arial"/>
          <w:bCs/>
          <w:i/>
          <w:iCs/>
          <w:color w:val="000000" w:themeColor="text1"/>
          <w:lang w:val="es-ES_tradnl"/>
        </w:rPr>
        <w:t>laguna técnica</w:t>
      </w:r>
      <w:r w:rsidRPr="00677258">
        <w:rPr>
          <w:rFonts w:ascii="Arial" w:eastAsia="Calibri" w:hAnsi="Arial" w:cs="Arial"/>
          <w:bCs/>
          <w:color w:val="000000" w:themeColor="text1"/>
          <w:lang w:val="es-ES_tradnl"/>
        </w:rPr>
        <w:t>, la cual se produce “[…] cuando falta en [el ordenamiento] una norma cuya existencia es condición necesaria para la eficacia (y/o para la efectividad) de otra norma. Sucede por tanto que una norma no puede producir efectos jurídicos (y/o no puede ser obedecida o aplicada) en ausencia de otras normas que […] la concreten” (Corchetes fuera de texto)</w:t>
      </w:r>
      <w:r w:rsidRPr="00677258">
        <w:rPr>
          <w:rFonts w:ascii="Arial" w:eastAsia="Calibri" w:hAnsi="Arial" w:cs="Arial"/>
          <w:bCs/>
          <w:color w:val="000000" w:themeColor="text1"/>
          <w:vertAlign w:val="superscript"/>
          <w:lang w:val="es-ES_tradnl"/>
        </w:rPr>
        <w:footnoteReference w:id="37"/>
      </w:r>
      <w:r w:rsidRPr="00677258">
        <w:rPr>
          <w:rFonts w:ascii="Arial" w:eastAsia="Calibri" w:hAnsi="Arial" w:cs="Arial"/>
          <w:bCs/>
          <w:color w:val="000000" w:themeColor="text1"/>
          <w:lang w:val="es-ES_tradnl"/>
        </w:rPr>
        <w:t>.</w:t>
      </w:r>
    </w:p>
    <w:p w14:paraId="3993E8B2" w14:textId="77777777" w:rsidR="00677258" w:rsidRPr="00677258" w:rsidRDefault="00677258" w:rsidP="00677258">
      <w:pPr>
        <w:tabs>
          <w:tab w:val="left" w:pos="709"/>
        </w:tabs>
        <w:spacing w:after="120" w:line="276" w:lineRule="auto"/>
        <w:jc w:val="both"/>
        <w:rPr>
          <w:rFonts w:ascii="Arial" w:eastAsia="Calibri" w:hAnsi="Arial" w:cs="Arial"/>
          <w:bCs/>
          <w:color w:val="000000" w:themeColor="text1"/>
          <w:lang w:val="es-ES_tradnl"/>
        </w:rPr>
      </w:pPr>
      <w:r w:rsidRPr="00677258">
        <w:rPr>
          <w:rFonts w:ascii="Arial" w:eastAsia="Calibri" w:hAnsi="Arial" w:cs="Arial"/>
          <w:bCs/>
          <w:color w:val="000000" w:themeColor="text1"/>
          <w:lang w:val="es-ES_tradnl"/>
        </w:rPr>
        <w:tab/>
        <w:t xml:space="preserve">Este tipo de lagunas no son ajenas a la contratación estatal, ya que el procedimiento para la cesión unilateral del contrato del artículo 9 de la Ley 2014 de 2019 también estaba condicionado por su reglamentación previa en los términos del parágrafo 2 </w:t>
      </w:r>
      <w:r w:rsidRPr="00677258">
        <w:rPr>
          <w:rFonts w:ascii="Arial" w:eastAsia="Calibri" w:hAnsi="Arial" w:cs="Arial"/>
          <w:bCs/>
          <w:i/>
          <w:iCs/>
          <w:color w:val="000000" w:themeColor="text1"/>
          <w:lang w:val="es-ES_tradnl"/>
        </w:rPr>
        <w:t>ibidem</w:t>
      </w:r>
      <w:r w:rsidRPr="00677258">
        <w:rPr>
          <w:rFonts w:ascii="Arial" w:eastAsia="Calibri" w:hAnsi="Arial" w:cs="Arial"/>
          <w:bCs/>
          <w:color w:val="000000" w:themeColor="text1"/>
          <w:lang w:val="es-ES_tradnl"/>
        </w:rPr>
        <w:t xml:space="preserve"> antes de su declaratoria de inconstitucionalidad</w:t>
      </w:r>
      <w:r w:rsidRPr="00677258">
        <w:rPr>
          <w:rFonts w:ascii="Arial" w:eastAsia="Calibri" w:hAnsi="Arial" w:cs="Arial"/>
          <w:bCs/>
          <w:color w:val="000000" w:themeColor="text1"/>
          <w:vertAlign w:val="superscript"/>
          <w:lang w:val="es-ES_tradnl"/>
        </w:rPr>
        <w:footnoteReference w:id="38"/>
      </w:r>
      <w:r w:rsidRPr="00677258">
        <w:rPr>
          <w:rFonts w:ascii="Arial" w:eastAsia="Calibri" w:hAnsi="Arial" w:cs="Arial"/>
          <w:bCs/>
          <w:color w:val="000000" w:themeColor="text1"/>
          <w:lang w:val="es-ES_tradnl"/>
        </w:rPr>
        <w:t xml:space="preserve">. Para llegar a esta conclusión, es necesario tener en cuenta que las normas jurídicas, por regla general, producen efectos a partir de su promulgación o publicación. De allí se derivan principios tales como la irretroactividad de la </w:t>
      </w:r>
      <w:r w:rsidRPr="00677258">
        <w:rPr>
          <w:rFonts w:ascii="Arial" w:eastAsia="Calibri" w:hAnsi="Arial" w:cs="Arial"/>
          <w:bCs/>
          <w:color w:val="000000" w:themeColor="text1"/>
          <w:lang w:val="es-ES_tradnl"/>
        </w:rPr>
        <w:lastRenderedPageBreak/>
        <w:t>ley y su efecto general inmediato</w:t>
      </w:r>
      <w:r w:rsidRPr="00677258">
        <w:rPr>
          <w:rFonts w:ascii="Arial" w:eastAsia="Calibri" w:hAnsi="Arial" w:cs="Arial"/>
          <w:bCs/>
          <w:color w:val="000000" w:themeColor="text1"/>
          <w:vertAlign w:val="superscript"/>
          <w:lang w:val="es-ES_tradnl"/>
        </w:rPr>
        <w:footnoteReference w:id="39"/>
      </w:r>
      <w:r w:rsidRPr="00677258">
        <w:rPr>
          <w:rFonts w:ascii="Arial" w:eastAsia="Calibri" w:hAnsi="Arial" w:cs="Arial"/>
          <w:bCs/>
          <w:color w:val="000000" w:themeColor="text1"/>
          <w:lang w:val="es-ES_tradnl"/>
        </w:rPr>
        <w:t xml:space="preserve">. </w:t>
      </w:r>
      <w:r w:rsidRPr="00677258">
        <w:rPr>
          <w:rFonts w:ascii="Arial" w:eastAsia="Calibri" w:hAnsi="Arial" w:cs="Arial"/>
          <w:color w:val="000000" w:themeColor="text1"/>
          <w:lang w:val="es-ES_tradnl"/>
        </w:rPr>
        <w:t xml:space="preserve">Sin embargo, las leyes pueden modular sus efectos en el tiempo y establecer para el inicio de su entrada en vigor un plazo o una condición. Ejemplo de una norma que establece un plazo es la Ley 1952 de 2019, por medio de la cual se expide el Código Disciplinario Único, cuyo artículo 265 disponía “la presente ley entrará a regir cuatro meses después de su sanción y publicación”. El artículo 140 de la Ley 1955 de 2019 prorrogó este plazo hasta el 1 de julio de 2021. </w:t>
      </w:r>
    </w:p>
    <w:p w14:paraId="7A52B673" w14:textId="77777777" w:rsidR="00677258" w:rsidRPr="00677258" w:rsidRDefault="00677258" w:rsidP="00677258">
      <w:pPr>
        <w:spacing w:after="0" w:line="276" w:lineRule="auto"/>
        <w:ind w:firstLine="709"/>
        <w:jc w:val="both"/>
        <w:rPr>
          <w:rFonts w:ascii="Arial" w:eastAsia="Calibri" w:hAnsi="Arial" w:cs="Arial"/>
          <w:color w:val="000000" w:themeColor="text1"/>
          <w:lang w:val="es-ES_tradnl"/>
        </w:rPr>
      </w:pPr>
      <w:r w:rsidRPr="00677258">
        <w:rPr>
          <w:rFonts w:ascii="Arial" w:eastAsia="Calibri" w:hAnsi="Arial" w:cs="Arial"/>
          <w:color w:val="000000" w:themeColor="text1"/>
          <w:lang w:val="es-ES_tradnl"/>
        </w:rPr>
        <w:t xml:space="preserve">Pero las leyes pueden establecer no un plazo sino una condición para modular sus efectos en el tiempo. La condición más usual es someter la vigencia a la expedición de un reglamento. En este sentido, el parágrafo transitorio del artículo 2 de la Ley 1150 de 2007 estableció “Hasta tanto el Gobierno Nacional no expidiere el reglamento respectivo, no se podrá hacer uso de la selección abreviada como modalidad de selección”. La ley creó una modalidad de selección, la selección abreviada; pero esas normas no podían aplicarse hasta que no se cumpliera la condición: la expedición del reglamento. Al respecto, el Consejo de Estado considera que: </w:t>
      </w:r>
    </w:p>
    <w:p w14:paraId="522E460C" w14:textId="77777777" w:rsidR="00677258" w:rsidRPr="00677258" w:rsidRDefault="00677258" w:rsidP="00677258">
      <w:pPr>
        <w:shd w:val="clear" w:color="auto" w:fill="FFFFFF"/>
        <w:spacing w:after="0" w:line="276" w:lineRule="auto"/>
        <w:ind w:left="709" w:right="760"/>
        <w:jc w:val="both"/>
        <w:rPr>
          <w:rFonts w:ascii="Arial" w:eastAsia="Calibri" w:hAnsi="Arial" w:cs="Arial"/>
          <w:color w:val="000000" w:themeColor="text1"/>
          <w:lang w:val="es-ES_tradnl"/>
        </w:rPr>
      </w:pPr>
    </w:p>
    <w:p w14:paraId="54422655" w14:textId="6BEC8017" w:rsidR="00677258" w:rsidRPr="00677258" w:rsidRDefault="00A254E8" w:rsidP="00677258">
      <w:pPr>
        <w:shd w:val="clear" w:color="auto" w:fill="FFFFFF"/>
        <w:spacing w:after="0" w:line="240" w:lineRule="auto"/>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r w:rsidR="00677258" w:rsidRPr="00677258">
        <w:rPr>
          <w:rFonts w:ascii="Arial" w:eastAsia="Calibri" w:hAnsi="Arial" w:cs="Arial"/>
          <w:color w:val="000000" w:themeColor="text1"/>
          <w:sz w:val="21"/>
          <w:szCs w:val="21"/>
          <w:lang w:val="es-ES_tradnl"/>
        </w:rPr>
        <w:t>[…]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w:t>
      </w:r>
      <w:r>
        <w:rPr>
          <w:rFonts w:ascii="Arial" w:eastAsia="Calibri" w:hAnsi="Arial" w:cs="Arial"/>
          <w:color w:val="000000" w:themeColor="text1"/>
          <w:sz w:val="21"/>
          <w:szCs w:val="21"/>
          <w:lang w:val="es-ES_tradnl"/>
        </w:rPr>
        <w:t>”</w:t>
      </w:r>
      <w:r w:rsidR="00677258" w:rsidRPr="00677258">
        <w:rPr>
          <w:rFonts w:ascii="Arial" w:eastAsia="Calibri" w:hAnsi="Arial" w:cs="Arial"/>
          <w:color w:val="000000" w:themeColor="text1"/>
          <w:sz w:val="21"/>
          <w:szCs w:val="21"/>
          <w:lang w:val="es-ES_tradnl"/>
        </w:rPr>
        <w:t xml:space="preserve"> (inciso 2 del artículo 113 C.P)</w:t>
      </w:r>
      <w:r w:rsidR="00677258" w:rsidRPr="00677258">
        <w:rPr>
          <w:rFonts w:ascii="Arial" w:eastAsia="Calibri" w:hAnsi="Arial" w:cs="Arial"/>
          <w:color w:val="000000" w:themeColor="text1"/>
          <w:sz w:val="21"/>
          <w:szCs w:val="21"/>
          <w:vertAlign w:val="superscript"/>
          <w:lang w:val="es-ES_tradnl"/>
        </w:rPr>
        <w:footnoteReference w:id="40"/>
      </w:r>
      <w:r w:rsidR="00677258" w:rsidRPr="00677258">
        <w:rPr>
          <w:rFonts w:ascii="Arial" w:eastAsia="Calibri" w:hAnsi="Arial" w:cs="Arial"/>
          <w:color w:val="000000" w:themeColor="text1"/>
          <w:sz w:val="21"/>
          <w:szCs w:val="21"/>
          <w:lang w:val="es-ES_tradnl"/>
        </w:rPr>
        <w:t>.</w:t>
      </w:r>
    </w:p>
    <w:p w14:paraId="08C55AE8" w14:textId="77777777" w:rsidR="00677258" w:rsidRPr="00677258" w:rsidRDefault="00677258" w:rsidP="00677258">
      <w:pPr>
        <w:shd w:val="clear" w:color="auto" w:fill="FFFFFF"/>
        <w:spacing w:after="0" w:line="276" w:lineRule="auto"/>
        <w:ind w:left="709" w:right="760"/>
        <w:jc w:val="both"/>
        <w:rPr>
          <w:rFonts w:ascii="Arial" w:eastAsia="Calibri" w:hAnsi="Arial" w:cs="Arial"/>
          <w:color w:val="000000" w:themeColor="text1"/>
          <w:lang w:val="es-ES_tradnl"/>
        </w:rPr>
      </w:pPr>
    </w:p>
    <w:p w14:paraId="163D2976" w14:textId="77777777" w:rsidR="00677258" w:rsidRPr="00677258" w:rsidRDefault="00677258" w:rsidP="00677258">
      <w:pPr>
        <w:shd w:val="clear" w:color="auto" w:fill="FFFFFF"/>
        <w:spacing w:after="120" w:line="276" w:lineRule="auto"/>
        <w:ind w:right="51" w:firstLine="709"/>
        <w:jc w:val="both"/>
        <w:rPr>
          <w:rFonts w:ascii="Arial" w:eastAsia="Calibri" w:hAnsi="Arial" w:cs="Arial"/>
          <w:color w:val="000000" w:themeColor="text1"/>
          <w:lang w:val="es-ES_tradnl"/>
        </w:rPr>
      </w:pPr>
      <w:r w:rsidRPr="00677258">
        <w:rPr>
          <w:rFonts w:ascii="Arial" w:eastAsia="Calibri" w:hAnsi="Arial" w:cs="Arial"/>
          <w:color w:val="000000" w:themeColor="text1"/>
          <w:lang w:val="es-ES_tradnl"/>
        </w:rPr>
        <w:t xml:space="preserve">La referencia hecha en una ley a que el gobierno nacional reglamentará la materia indica que el reglamento es indispensable para el cumplimiento de </w:t>
      </w:r>
      <w:proofErr w:type="gramStart"/>
      <w:r w:rsidRPr="00677258">
        <w:rPr>
          <w:rFonts w:ascii="Arial" w:eastAsia="Calibri" w:hAnsi="Arial" w:cs="Arial"/>
          <w:color w:val="000000" w:themeColor="text1"/>
          <w:lang w:val="es-ES_tradnl"/>
        </w:rPr>
        <w:t>la misma</w:t>
      </w:r>
      <w:proofErr w:type="gramEnd"/>
      <w:r w:rsidRPr="00677258">
        <w:rPr>
          <w:rFonts w:ascii="Arial" w:eastAsia="Calibri" w:hAnsi="Arial" w:cs="Arial"/>
          <w:color w:val="000000" w:themeColor="text1"/>
          <w:lang w:val="es-ES_tradnl"/>
        </w:rPr>
        <w:t xml:space="preserve">. Naturalmente, este reconocimiento no siempre implica que la ley está sometida a condición para entrar en vigor; pero cuando ello se analiza con otros elementos que obran en este sentido, como los antecedentes legislativos, es posible utilizar la referencia al reglamento como una prueba de que la ley moduló sus efectos en el tiempo y se encuentra sometida a condición. En efecto, si bien en la propuesta inicial y en el curso del primer debate en el Senado y en la Cámara de Representantes la operación del REDAM correspondía al </w:t>
      </w:r>
      <w:r w:rsidRPr="00677258">
        <w:rPr>
          <w:rFonts w:ascii="Arial" w:eastAsia="Calibri" w:hAnsi="Arial" w:cs="Arial"/>
          <w:color w:val="000000" w:themeColor="text1"/>
        </w:rPr>
        <w:t>del Ministerio de Justicia y del Derecho, a partir del segundo debate en el Senado se definió que el Gobierno nacional designara a una entidad del orden nacional para que implemente, administre y mantenga actualizado el Registro Nacional de Deudores de Cuotas Alimentarias</w:t>
      </w:r>
      <w:r w:rsidRPr="00677258">
        <w:rPr>
          <w:rFonts w:ascii="Arial" w:eastAsia="Calibri" w:hAnsi="Arial" w:cs="Arial"/>
          <w:color w:val="000000" w:themeColor="text1"/>
          <w:vertAlign w:val="superscript"/>
        </w:rPr>
        <w:footnoteReference w:id="41"/>
      </w:r>
      <w:r w:rsidRPr="00677258">
        <w:rPr>
          <w:rFonts w:ascii="Arial" w:eastAsia="Calibri" w:hAnsi="Arial" w:cs="Arial"/>
          <w:color w:val="000000" w:themeColor="text1"/>
        </w:rPr>
        <w:t xml:space="preserve">. Aunque la tendencia se invirtió nuevamente en el segundo debate de la Cámara de Representantes </w:t>
      </w:r>
      <w:r w:rsidRPr="00677258">
        <w:rPr>
          <w:rFonts w:ascii="Arial" w:eastAsia="Calibri" w:hAnsi="Arial" w:cs="Arial"/>
          <w:color w:val="000000" w:themeColor="text1"/>
        </w:rPr>
        <w:lastRenderedPageBreak/>
        <w:t>y en la plenarias correspondientes, el texto conciliado ratificó la designación previa del gobierno nacional e incorporó la reglamentación previa del registro</w:t>
      </w:r>
      <w:r w:rsidRPr="00677258">
        <w:rPr>
          <w:rFonts w:ascii="Arial" w:eastAsia="Calibri" w:hAnsi="Arial" w:cs="Arial"/>
          <w:color w:val="000000" w:themeColor="text1"/>
          <w:vertAlign w:val="superscript"/>
        </w:rPr>
        <w:footnoteReference w:id="42"/>
      </w:r>
      <w:r w:rsidRPr="00677258">
        <w:rPr>
          <w:rFonts w:ascii="Arial" w:eastAsia="Calibri" w:hAnsi="Arial" w:cs="Arial"/>
          <w:color w:val="000000" w:themeColor="text1"/>
        </w:rPr>
        <w:t xml:space="preserve">.  </w:t>
      </w:r>
    </w:p>
    <w:p w14:paraId="436C49AA" w14:textId="77777777" w:rsidR="00677258" w:rsidRPr="00677258" w:rsidRDefault="00677258" w:rsidP="00677258">
      <w:pPr>
        <w:shd w:val="clear" w:color="auto" w:fill="FFFFFF"/>
        <w:spacing w:after="120" w:line="276" w:lineRule="auto"/>
        <w:ind w:right="51" w:firstLine="709"/>
        <w:jc w:val="both"/>
        <w:rPr>
          <w:rFonts w:ascii="Arial" w:eastAsia="Calibri" w:hAnsi="Arial" w:cs="Arial"/>
          <w:bCs/>
          <w:color w:val="000000" w:themeColor="text1"/>
          <w:lang w:val="es-ES_tradnl"/>
        </w:rPr>
      </w:pPr>
      <w:r w:rsidRPr="00677258">
        <w:rPr>
          <w:rFonts w:ascii="Arial" w:eastAsia="Calibri" w:hAnsi="Arial" w:cs="Arial"/>
          <w:bCs/>
          <w:color w:val="000000" w:themeColor="text1"/>
          <w:lang w:val="es-ES_tradnl"/>
        </w:rPr>
        <w:t>Por tanto, si bien en principio el ejercicio de la potestad reglamentaria es discrecional, esta puede ser excepcionalmente obligatoria para efectividad de la ley. Por ejemplo, para la doctrina esto último sucede cuando “[…] la necesidad del reglamento es inminente, y así nace desde la norma que confiere la potestad reglamentaria […]”</w:t>
      </w:r>
      <w:r w:rsidRPr="00677258">
        <w:rPr>
          <w:rFonts w:ascii="Arial" w:eastAsia="Calibri" w:hAnsi="Arial" w:cs="Arial"/>
          <w:bCs/>
          <w:color w:val="000000" w:themeColor="text1"/>
          <w:vertAlign w:val="superscript"/>
          <w:lang w:val="es-ES_tradnl"/>
        </w:rPr>
        <w:footnoteReference w:id="43"/>
      </w:r>
      <w:r w:rsidRPr="00677258">
        <w:rPr>
          <w:rFonts w:ascii="Arial" w:eastAsia="Calibri" w:hAnsi="Arial" w:cs="Arial"/>
          <w:bCs/>
          <w:color w:val="000000" w:themeColor="text1"/>
          <w:lang w:val="es-ES_tradnl"/>
        </w:rPr>
        <w:t>. En este tipo de situaciones, “[…] las autoridades no tienen -ni tuvieron- la posibilidad de escoger entre expedir el acto o dejar de hacerlo. Es decir, se trata de una potestad reglada, desde el punto de vista de la necesidad de la actuación”</w:t>
      </w:r>
      <w:r w:rsidRPr="00677258">
        <w:rPr>
          <w:rFonts w:ascii="Arial" w:eastAsia="Calibri" w:hAnsi="Arial" w:cs="Arial"/>
          <w:bCs/>
          <w:color w:val="000000" w:themeColor="text1"/>
          <w:vertAlign w:val="superscript"/>
          <w:lang w:val="es-ES_tradnl"/>
        </w:rPr>
        <w:footnoteReference w:id="44"/>
      </w:r>
      <w:r w:rsidRPr="00677258">
        <w:rPr>
          <w:rFonts w:ascii="Arial" w:eastAsia="Calibri" w:hAnsi="Arial" w:cs="Arial"/>
          <w:bCs/>
          <w:color w:val="000000" w:themeColor="text1"/>
          <w:lang w:val="es-ES_tradnl"/>
        </w:rPr>
        <w:t>. Así las cosas, es posible afirmar que la Ley 2097 de 2021 reconoce la necesidad de un reglamento para el efectivo cumplimiento de las medidas adoptadas respecto a la inclusión en el REDAM.</w:t>
      </w:r>
    </w:p>
    <w:p w14:paraId="2C52E8A2" w14:textId="77777777" w:rsidR="00677258" w:rsidRPr="00677258" w:rsidRDefault="00677258" w:rsidP="00677258">
      <w:pPr>
        <w:tabs>
          <w:tab w:val="left" w:pos="709"/>
        </w:tabs>
        <w:spacing w:after="120" w:line="276" w:lineRule="auto"/>
        <w:jc w:val="both"/>
        <w:rPr>
          <w:rFonts w:ascii="Arial" w:eastAsia="Calibri" w:hAnsi="Arial" w:cs="Arial"/>
          <w:bCs/>
          <w:color w:val="000000" w:themeColor="text1"/>
        </w:rPr>
      </w:pPr>
      <w:r w:rsidRPr="00677258">
        <w:rPr>
          <w:rFonts w:ascii="Arial" w:eastAsia="Calibri" w:hAnsi="Arial" w:cs="Arial"/>
          <w:bCs/>
          <w:color w:val="000000" w:themeColor="text1"/>
          <w:lang w:val="es-ES_tradnl"/>
        </w:rPr>
        <w:tab/>
        <w:t>Para estos efectos, el gobierno nacional expidió el Decreto 1310 del 26 de julio de 2022, “</w:t>
      </w:r>
      <w:r w:rsidRPr="00677258">
        <w:rPr>
          <w:rFonts w:ascii="Arial" w:eastAsia="Calibri" w:hAnsi="Arial" w:cs="Arial"/>
          <w:bCs/>
          <w:color w:val="000000" w:themeColor="text1"/>
        </w:rPr>
        <w:t xml:space="preserve">por el cual se adiciona el Título 23 a la Parte 2 del Libro 2 del Decreto Único Reglamentario del Sector de las Tecnologías de la Información y las Comunicaciones, Decreto número 1078 de 2015, para reglamentar la Ley 2097 de 2021 que creó el Registro de Deudores Alimentarios Morosos (REDAM)”. El artículo 1 adicionó el artículo 2.2.23.5 al Decreto 1078 de 2015, indicando en el inciso primero que “[…] se designa como Operador de la Información del Registro de Deudores Alimentarios Morosos (REDAM) al Ministerio de Tecnologías de la Información y las Comunicaciones, o quien haga sus veces”. Sin embargo, el reglamento también condicionó la vigencia del registro, pues –conforme al parágrafo del artículo 2.2.23.4 </w:t>
      </w:r>
      <w:r w:rsidRPr="00677258">
        <w:rPr>
          <w:rFonts w:ascii="Arial" w:eastAsia="Calibri" w:hAnsi="Arial" w:cs="Arial"/>
          <w:bCs/>
          <w:i/>
          <w:iCs/>
          <w:color w:val="000000" w:themeColor="text1"/>
        </w:rPr>
        <w:t>ibidem</w:t>
      </w:r>
      <w:r w:rsidRPr="00677258">
        <w:rPr>
          <w:rFonts w:ascii="Arial" w:eastAsia="Calibri" w:hAnsi="Arial" w:cs="Arial"/>
          <w:bCs/>
          <w:color w:val="000000" w:themeColor="text1"/>
        </w:rPr>
        <w:t xml:space="preserve">– “La información suministrada por el REDAM será utilizada en forma exclusiva por quienes estén vinculadas a la aplicación de las consecuencias de la inscripción en el REDAM de que trata el artículo 6° de la Ley 2097 de 2021, a partir de la entrada en producción de la solución tecnológica”. Esto también congruente con el artículo 2.2.23.8 </w:t>
      </w:r>
      <w:r w:rsidRPr="00677258">
        <w:rPr>
          <w:rFonts w:ascii="Arial" w:eastAsia="Calibri" w:hAnsi="Arial" w:cs="Arial"/>
          <w:bCs/>
          <w:i/>
          <w:iCs/>
          <w:color w:val="000000" w:themeColor="text1"/>
        </w:rPr>
        <w:t>ibidem</w:t>
      </w:r>
      <w:r w:rsidRPr="00677258">
        <w:rPr>
          <w:rFonts w:ascii="Arial" w:eastAsia="Calibri" w:hAnsi="Arial" w:cs="Arial"/>
          <w:bCs/>
          <w:color w:val="000000" w:themeColor="text1"/>
        </w:rPr>
        <w:t xml:space="preserve">, en la medida que “El acceso al Registro de Deudores Alimentarios Morosos (REDAM) se realizará a través del Modelo de Servicios Ciudadanos Digitales de la Política de Gobierno Digital expedida por el Ministerio de Tecnologías de la Información y las Comunicaciones, sin perjuicio del acceso a la información directamente ante las Fuentes de la Información señaladas en el presente decreto, una vez entre en producción la solución tecnológica”. </w:t>
      </w:r>
    </w:p>
    <w:p w14:paraId="03B35B95" w14:textId="77777777" w:rsidR="00677258" w:rsidRPr="00677258" w:rsidRDefault="00677258" w:rsidP="00677258">
      <w:pPr>
        <w:tabs>
          <w:tab w:val="left" w:pos="709"/>
        </w:tabs>
        <w:spacing w:after="120" w:line="276" w:lineRule="auto"/>
        <w:jc w:val="both"/>
        <w:rPr>
          <w:rFonts w:ascii="Arial" w:eastAsia="Calibri" w:hAnsi="Arial" w:cs="Arial"/>
          <w:bCs/>
          <w:color w:val="000000" w:themeColor="text1"/>
        </w:rPr>
      </w:pPr>
      <w:r w:rsidRPr="00677258">
        <w:rPr>
          <w:rFonts w:ascii="Arial" w:eastAsia="Calibri" w:hAnsi="Arial" w:cs="Arial"/>
          <w:bCs/>
          <w:color w:val="000000" w:themeColor="text1"/>
        </w:rPr>
        <w:tab/>
        <w:t xml:space="preserve">De lo anterior se deduce que la obligación de consultar el registro para validar la ausencia de la restricción del artículo 6.1 de la Ley 2097 de 2021 no surgió automáticamente con la expedición de la norma, pues la efectividad de las medidas estaba condicionada por la designación del operador, la reglamentación del registro y por implementación de la </w:t>
      </w:r>
      <w:r w:rsidRPr="00677258">
        <w:rPr>
          <w:rFonts w:ascii="Arial" w:eastAsia="Calibri" w:hAnsi="Arial" w:cs="Arial"/>
          <w:bCs/>
          <w:color w:val="000000" w:themeColor="text1"/>
        </w:rPr>
        <w:lastRenderedPageBreak/>
        <w:t xml:space="preserve">plataforma tecnológica. Sobre este último punto, la página web </w:t>
      </w:r>
      <w:hyperlink r:id="rId11" w:history="1">
        <w:r w:rsidRPr="00677258">
          <w:rPr>
            <w:rFonts w:ascii="Arial" w:eastAsia="Calibri" w:hAnsi="Arial" w:cs="Arial"/>
            <w:bCs/>
            <w:color w:val="0563C1" w:themeColor="hyperlink"/>
            <w:u w:val="single"/>
          </w:rPr>
          <w:t>https://redam.gov.co/information-page</w:t>
        </w:r>
      </w:hyperlink>
      <w:r w:rsidRPr="00677258">
        <w:rPr>
          <w:rFonts w:ascii="Arial" w:eastAsia="Calibri" w:hAnsi="Arial" w:cs="Arial"/>
          <w:bCs/>
          <w:color w:val="000000" w:themeColor="text1"/>
        </w:rPr>
        <w:t xml:space="preserve"> brinda información sobre la forma de consultar y descargar el registro correspondiente. Cualquier inquietud adicional sobre el funcionamiento operativo del REDAM podrá plantarse ante el Ministerio de Tecnologías de la Información y las Comunicaciones, pues –conforme al numeral 7 del artículo 2.2.23.14 del Decreto 1078 de 2015, adicionado por el artículo 1 del Decreto </w:t>
      </w:r>
      <w:r w:rsidRPr="00677258">
        <w:rPr>
          <w:rFonts w:ascii="Arial" w:eastAsia="Calibri" w:hAnsi="Arial" w:cs="Arial"/>
          <w:bCs/>
          <w:color w:val="000000" w:themeColor="text1"/>
          <w:lang w:val="es-ES_tradnl"/>
        </w:rPr>
        <w:t>1310 de 2022</w:t>
      </w:r>
      <w:r w:rsidRPr="00677258">
        <w:rPr>
          <w:rFonts w:ascii="Arial" w:eastAsia="Calibri" w:hAnsi="Arial" w:cs="Arial"/>
          <w:bCs/>
          <w:color w:val="000000" w:themeColor="text1"/>
        </w:rPr>
        <w:t>– debe “Tramitar oportunamente las peticiones, consultas, quejas o reclamos que formulen los actores e intervinientes en el proceso de reporte de información en el Registro de Deudores Alimentarios Morosos (REDAM) y que sean de su competencia”.</w:t>
      </w:r>
    </w:p>
    <w:p w14:paraId="12CD169C" w14:textId="77777777" w:rsidR="00677258" w:rsidRPr="00677258" w:rsidRDefault="00677258" w:rsidP="00677258">
      <w:pPr>
        <w:tabs>
          <w:tab w:val="left" w:pos="709"/>
        </w:tabs>
        <w:spacing w:after="0" w:line="276" w:lineRule="auto"/>
        <w:ind w:firstLine="709"/>
        <w:jc w:val="both"/>
        <w:rPr>
          <w:rFonts w:ascii="Arial" w:eastAsia="Calibri" w:hAnsi="Arial" w:cs="Arial"/>
          <w:bCs/>
          <w:color w:val="000000" w:themeColor="text1"/>
        </w:rPr>
      </w:pPr>
      <w:r w:rsidRPr="00677258">
        <w:rPr>
          <w:rFonts w:ascii="Arial" w:eastAsia="Calibri" w:hAnsi="Arial" w:cs="Arial"/>
          <w:bCs/>
          <w:color w:val="000000" w:themeColor="text1"/>
        </w:rPr>
        <w:t>Finalmente, teniendo en cuenta el objeto de su consulta, es importante señalar que, si bien los documentos tipo no contemplan, de forma expresa, todas las inhabilidades, incompatibilidades y prohibiciones en las que pueden incurrir los proponentes, esto no significa que dicho régimen de inhabilidades no sea aplicable en los procesos de contratación adelantados con documentos tipo. Esto, por cuanto como se explicó, la creación de inhabilidades e incompatibilidades está reservada al legislador, y, además, los documentos tipo sí prevén la ausencia de inhabilidades e incompatibilidades como requisito para suscribir contratos estatales. Por ejemplo, los documentos tipo de licitación de obra pública de infraestructura de transporte establecen, en el numeral “3.2. CAPACIDAD JURÍDICA” del documento base, que los proponentes deben:</w:t>
      </w:r>
    </w:p>
    <w:p w14:paraId="60E909FB" w14:textId="77777777" w:rsidR="00677258" w:rsidRPr="00677258" w:rsidRDefault="00677258" w:rsidP="00677258">
      <w:pPr>
        <w:tabs>
          <w:tab w:val="left" w:pos="709"/>
        </w:tabs>
        <w:spacing w:after="0" w:line="276" w:lineRule="auto"/>
        <w:jc w:val="both"/>
        <w:rPr>
          <w:rFonts w:ascii="Arial" w:eastAsia="Calibri" w:hAnsi="Arial" w:cs="Arial"/>
          <w:bCs/>
          <w:color w:val="000000" w:themeColor="text1"/>
        </w:rPr>
      </w:pPr>
    </w:p>
    <w:p w14:paraId="6730BB92" w14:textId="580E01F8" w:rsidR="00677258" w:rsidRPr="00677258" w:rsidRDefault="00B90D7D" w:rsidP="00677258">
      <w:pPr>
        <w:tabs>
          <w:tab w:val="left" w:pos="709"/>
        </w:tabs>
        <w:spacing w:after="0" w:line="240" w:lineRule="auto"/>
        <w:ind w:left="709" w:right="709"/>
        <w:jc w:val="both"/>
        <w:rPr>
          <w:rFonts w:ascii="Arial" w:eastAsia="Calibri" w:hAnsi="Arial" w:cs="Arial"/>
          <w:bCs/>
          <w:color w:val="000000" w:themeColor="text1"/>
          <w:sz w:val="21"/>
          <w:szCs w:val="21"/>
        </w:rPr>
      </w:pPr>
      <w:r>
        <w:rPr>
          <w:rFonts w:ascii="Arial" w:eastAsia="Calibri" w:hAnsi="Arial" w:cs="Arial"/>
          <w:bCs/>
          <w:color w:val="000000" w:themeColor="text1"/>
          <w:sz w:val="21"/>
          <w:szCs w:val="21"/>
        </w:rPr>
        <w:t>“</w:t>
      </w:r>
      <w:r w:rsidR="00677258" w:rsidRPr="00677258">
        <w:rPr>
          <w:rFonts w:ascii="Arial" w:eastAsia="Calibri" w:hAnsi="Arial" w:cs="Arial"/>
          <w:bCs/>
          <w:color w:val="000000" w:themeColor="text1"/>
          <w:sz w:val="21"/>
          <w:szCs w:val="21"/>
        </w:rPr>
        <w:t>A.</w:t>
      </w:r>
      <w:r w:rsidR="00677258" w:rsidRPr="00677258">
        <w:rPr>
          <w:rFonts w:ascii="Arial" w:eastAsia="Calibri" w:hAnsi="Arial" w:cs="Arial"/>
          <w:bCs/>
          <w:color w:val="000000" w:themeColor="text1"/>
          <w:sz w:val="21"/>
          <w:szCs w:val="21"/>
        </w:rPr>
        <w:tab/>
        <w:t>Tener capacidad jurídica para la presentación de la oferta.</w:t>
      </w:r>
    </w:p>
    <w:p w14:paraId="5398C4A0" w14:textId="77777777" w:rsidR="00677258" w:rsidRPr="00677258" w:rsidRDefault="00677258" w:rsidP="00677258">
      <w:pPr>
        <w:tabs>
          <w:tab w:val="left" w:pos="709"/>
        </w:tabs>
        <w:spacing w:after="0" w:line="240" w:lineRule="auto"/>
        <w:ind w:left="709" w:right="709"/>
        <w:jc w:val="both"/>
        <w:rPr>
          <w:rFonts w:ascii="Arial" w:eastAsia="Calibri" w:hAnsi="Arial" w:cs="Arial"/>
          <w:bCs/>
          <w:color w:val="000000" w:themeColor="text1"/>
          <w:sz w:val="21"/>
          <w:szCs w:val="21"/>
        </w:rPr>
      </w:pPr>
      <w:r w:rsidRPr="00677258">
        <w:rPr>
          <w:rFonts w:ascii="Arial" w:eastAsia="Calibri" w:hAnsi="Arial" w:cs="Arial"/>
          <w:bCs/>
          <w:color w:val="000000" w:themeColor="text1"/>
          <w:sz w:val="21"/>
          <w:szCs w:val="21"/>
        </w:rPr>
        <w:t>B.</w:t>
      </w:r>
      <w:r w:rsidRPr="00677258">
        <w:rPr>
          <w:rFonts w:ascii="Arial" w:eastAsia="Calibri" w:hAnsi="Arial" w:cs="Arial"/>
          <w:bCs/>
          <w:color w:val="000000" w:themeColor="text1"/>
          <w:sz w:val="21"/>
          <w:szCs w:val="21"/>
        </w:rPr>
        <w:tab/>
        <w:t>Tener capacidad jurídica para la celebración y ejecución del contrato.</w:t>
      </w:r>
    </w:p>
    <w:p w14:paraId="26BC203E" w14:textId="77777777" w:rsidR="00677258" w:rsidRPr="00677258" w:rsidRDefault="00677258" w:rsidP="00677258">
      <w:pPr>
        <w:tabs>
          <w:tab w:val="left" w:pos="709"/>
        </w:tabs>
        <w:spacing w:after="0" w:line="240" w:lineRule="auto"/>
        <w:ind w:left="709" w:right="709"/>
        <w:jc w:val="both"/>
        <w:rPr>
          <w:rFonts w:ascii="Arial" w:eastAsia="Calibri" w:hAnsi="Arial" w:cs="Arial"/>
          <w:bCs/>
          <w:color w:val="000000" w:themeColor="text1"/>
          <w:sz w:val="21"/>
          <w:szCs w:val="21"/>
        </w:rPr>
      </w:pPr>
      <w:r w:rsidRPr="00677258">
        <w:rPr>
          <w:rFonts w:ascii="Arial" w:eastAsia="Calibri" w:hAnsi="Arial" w:cs="Arial"/>
          <w:bCs/>
          <w:color w:val="000000" w:themeColor="text1"/>
          <w:sz w:val="21"/>
          <w:szCs w:val="21"/>
        </w:rPr>
        <w:t>C.</w:t>
      </w:r>
      <w:r w:rsidRPr="00677258">
        <w:rPr>
          <w:rFonts w:ascii="Arial" w:eastAsia="Calibri" w:hAnsi="Arial" w:cs="Arial"/>
          <w:bCs/>
          <w:color w:val="000000" w:themeColor="text1"/>
          <w:sz w:val="21"/>
          <w:szCs w:val="21"/>
        </w:rPr>
        <w:tab/>
        <w:t>No estar incursos en ninguna de las circunstancias de inhabilidad, incompatibilidad, conflicto de interés o prohibición para contratar previstas en la Constitución y en la Ley.</w:t>
      </w:r>
    </w:p>
    <w:p w14:paraId="1A2DB681" w14:textId="71F48B6A" w:rsidR="00677258" w:rsidRPr="00677258" w:rsidRDefault="00677258" w:rsidP="00677258">
      <w:pPr>
        <w:tabs>
          <w:tab w:val="left" w:pos="709"/>
        </w:tabs>
        <w:spacing w:after="0" w:line="240" w:lineRule="auto"/>
        <w:ind w:left="709" w:right="709"/>
        <w:jc w:val="both"/>
        <w:rPr>
          <w:rFonts w:ascii="Arial" w:eastAsia="Calibri" w:hAnsi="Arial" w:cs="Arial"/>
          <w:bCs/>
          <w:color w:val="000000" w:themeColor="text1"/>
          <w:sz w:val="21"/>
          <w:szCs w:val="21"/>
        </w:rPr>
      </w:pPr>
      <w:r w:rsidRPr="00677258">
        <w:rPr>
          <w:rFonts w:ascii="Arial" w:eastAsia="Calibri" w:hAnsi="Arial" w:cs="Arial"/>
          <w:bCs/>
          <w:color w:val="000000" w:themeColor="text1"/>
          <w:sz w:val="21"/>
          <w:szCs w:val="21"/>
        </w:rPr>
        <w:t>[…]</w:t>
      </w:r>
      <w:r w:rsidR="00B90D7D">
        <w:rPr>
          <w:rFonts w:ascii="Arial" w:eastAsia="Calibri" w:hAnsi="Arial" w:cs="Arial"/>
          <w:bCs/>
          <w:color w:val="000000" w:themeColor="text1"/>
          <w:sz w:val="21"/>
          <w:szCs w:val="21"/>
        </w:rPr>
        <w:t>”</w:t>
      </w:r>
    </w:p>
    <w:p w14:paraId="66BF2D61" w14:textId="77777777" w:rsidR="00677258" w:rsidRPr="00677258" w:rsidRDefault="00677258" w:rsidP="00677258">
      <w:pPr>
        <w:tabs>
          <w:tab w:val="left" w:pos="709"/>
        </w:tabs>
        <w:spacing w:after="0" w:line="276" w:lineRule="auto"/>
        <w:jc w:val="both"/>
        <w:rPr>
          <w:rFonts w:ascii="Arial" w:eastAsia="Calibri" w:hAnsi="Arial" w:cs="Arial"/>
          <w:bCs/>
          <w:color w:val="000000" w:themeColor="text1"/>
        </w:rPr>
      </w:pPr>
    </w:p>
    <w:p w14:paraId="4F3CDD1F" w14:textId="77777777" w:rsidR="00677258" w:rsidRPr="00677258" w:rsidRDefault="00677258" w:rsidP="00677258">
      <w:pPr>
        <w:tabs>
          <w:tab w:val="left" w:pos="709"/>
        </w:tabs>
        <w:spacing w:after="120" w:line="276" w:lineRule="auto"/>
        <w:ind w:firstLine="709"/>
        <w:jc w:val="both"/>
        <w:rPr>
          <w:rFonts w:ascii="Arial" w:eastAsia="Calibri" w:hAnsi="Arial" w:cs="Arial"/>
          <w:bCs/>
          <w:color w:val="000000" w:themeColor="text1"/>
        </w:rPr>
      </w:pPr>
      <w:r w:rsidRPr="00677258">
        <w:rPr>
          <w:rFonts w:ascii="Arial" w:eastAsia="Calibri" w:hAnsi="Arial" w:cs="Arial"/>
          <w:bCs/>
          <w:color w:val="000000" w:themeColor="text1"/>
        </w:rPr>
        <w:t>De esta manera, los documentos tipo contemplan que los proponentes no pueden estar incursos en ninguna inhabilidad, incompatibilidad o prohibición prevista en la Constitución o en la Ley, so pena de no contar con capacidad jurídica para celebrar y ejecutar contratos estatales.</w:t>
      </w:r>
    </w:p>
    <w:p w14:paraId="6CFBC3E7" w14:textId="77777777" w:rsidR="00677258" w:rsidRPr="00677258" w:rsidRDefault="00677258" w:rsidP="00677258">
      <w:pPr>
        <w:tabs>
          <w:tab w:val="left" w:pos="709"/>
        </w:tabs>
        <w:spacing w:after="0" w:line="276" w:lineRule="auto"/>
        <w:ind w:firstLine="709"/>
        <w:jc w:val="both"/>
        <w:rPr>
          <w:rFonts w:ascii="Arial" w:eastAsia="Calibri" w:hAnsi="Arial" w:cs="Arial"/>
          <w:bCs/>
          <w:color w:val="000000" w:themeColor="text1"/>
        </w:rPr>
      </w:pPr>
      <w:r w:rsidRPr="00677258">
        <w:rPr>
          <w:rFonts w:ascii="Arial" w:eastAsia="Calibri" w:hAnsi="Arial" w:cs="Arial"/>
          <w:bCs/>
          <w:color w:val="000000" w:themeColor="text1"/>
        </w:rPr>
        <w:t>Lo anterior implica que, para efectos de suscribir contratos estatales, deberá realizarse una revisión integral del régimen de inhabilidades, incompatibilidad y prohibiciones, con el fin de determinar si un proponente cuenta con capacidad para contratar con el Estado, aun cuando se trate de procesos de contratación adelantados con documentos tipo. Ello incluye, por supuesto, la observancia del Registro de Deudores Alimentarios Morosos [REDAM], de acuerdo con lo expuesto en este concepto, así como las demás inhabilidades e incompatibilidades que establezca la Constitución o la Ley.</w:t>
      </w:r>
    </w:p>
    <w:p w14:paraId="1197665D" w14:textId="77777777" w:rsidR="00677258" w:rsidRPr="00677258" w:rsidRDefault="00677258" w:rsidP="00677258">
      <w:pPr>
        <w:tabs>
          <w:tab w:val="left" w:pos="709"/>
        </w:tabs>
        <w:spacing w:after="0" w:line="276" w:lineRule="auto"/>
        <w:ind w:firstLine="709"/>
        <w:jc w:val="both"/>
        <w:rPr>
          <w:rFonts w:ascii="Arial" w:eastAsia="Calibri" w:hAnsi="Arial" w:cs="Arial"/>
          <w:bCs/>
          <w:color w:val="000000" w:themeColor="text1"/>
        </w:rPr>
      </w:pPr>
    </w:p>
    <w:p w14:paraId="783EB18F" w14:textId="77777777" w:rsidR="00677258" w:rsidRPr="00677258" w:rsidRDefault="00677258" w:rsidP="00677258">
      <w:pPr>
        <w:tabs>
          <w:tab w:val="left" w:pos="0"/>
        </w:tabs>
        <w:spacing w:after="0"/>
        <w:jc w:val="both"/>
        <w:rPr>
          <w:rFonts w:ascii="Arial" w:eastAsia="Calibri" w:hAnsi="Arial" w:cs="Arial"/>
          <w:b/>
          <w:color w:val="000000" w:themeColor="text1"/>
          <w:lang w:val="es-ES_tradnl"/>
        </w:rPr>
      </w:pPr>
      <w:r w:rsidRPr="00677258">
        <w:rPr>
          <w:rFonts w:ascii="Arial" w:eastAsia="Calibri" w:hAnsi="Arial" w:cs="Arial"/>
          <w:b/>
          <w:color w:val="000000" w:themeColor="text1"/>
          <w:lang w:val="es-ES_tradnl"/>
        </w:rPr>
        <w:lastRenderedPageBreak/>
        <w:t>3. Respuestas</w:t>
      </w:r>
    </w:p>
    <w:p w14:paraId="182EA87F" w14:textId="77777777" w:rsidR="00677258" w:rsidRPr="00677258" w:rsidRDefault="00677258" w:rsidP="00677258">
      <w:pPr>
        <w:spacing w:after="0" w:line="276" w:lineRule="auto"/>
        <w:jc w:val="both"/>
        <w:rPr>
          <w:rFonts w:ascii="Arial" w:hAnsi="Arial" w:cs="Arial"/>
          <w:color w:val="000000" w:themeColor="text1"/>
          <w:lang w:val="es-ES_tradnl"/>
        </w:rPr>
      </w:pPr>
    </w:p>
    <w:p w14:paraId="5102D931" w14:textId="29680D0B" w:rsidR="00677258" w:rsidRPr="00677258" w:rsidRDefault="00D25179" w:rsidP="00677258">
      <w:pPr>
        <w:spacing w:after="0" w:line="240" w:lineRule="auto"/>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677258" w:rsidRPr="00677258">
        <w:rPr>
          <w:rFonts w:ascii="Arial" w:hAnsi="Arial" w:cs="Arial"/>
          <w:color w:val="000000" w:themeColor="text1"/>
          <w:sz w:val="21"/>
          <w:szCs w:val="21"/>
          <w:lang w:val="es-ES_tradnl"/>
        </w:rPr>
        <w:t>¿Cómo las entidades públicas pueden o deben exigir el certificado del REDAM a los proponentes si los documentos tipo no describen y/o exigen específicamente el certificado del REDAM?</w:t>
      </w:r>
    </w:p>
    <w:p w14:paraId="75530A75" w14:textId="77777777" w:rsidR="00677258" w:rsidRPr="00677258" w:rsidRDefault="00677258" w:rsidP="00677258">
      <w:pPr>
        <w:spacing w:after="0" w:line="240" w:lineRule="auto"/>
        <w:ind w:left="709" w:right="709"/>
        <w:jc w:val="both"/>
        <w:rPr>
          <w:rFonts w:ascii="Arial" w:hAnsi="Arial" w:cs="Arial"/>
          <w:color w:val="000000" w:themeColor="text1"/>
          <w:sz w:val="21"/>
          <w:szCs w:val="21"/>
          <w:lang w:val="es-ES_tradnl"/>
        </w:rPr>
      </w:pPr>
    </w:p>
    <w:p w14:paraId="0DC52CA8" w14:textId="77777777" w:rsidR="00677258" w:rsidRPr="00677258" w:rsidRDefault="00677258" w:rsidP="00677258">
      <w:pPr>
        <w:spacing w:after="0" w:line="240" w:lineRule="auto"/>
        <w:ind w:left="709" w:right="709"/>
        <w:jc w:val="both"/>
        <w:rPr>
          <w:rFonts w:ascii="Arial" w:hAnsi="Arial" w:cs="Arial"/>
          <w:color w:val="000000" w:themeColor="text1"/>
          <w:sz w:val="21"/>
          <w:szCs w:val="21"/>
          <w:lang w:val="es-ES_tradnl"/>
        </w:rPr>
      </w:pPr>
      <w:r w:rsidRPr="00677258">
        <w:rPr>
          <w:rFonts w:ascii="Arial" w:hAnsi="Arial" w:cs="Arial"/>
          <w:color w:val="000000" w:themeColor="text1"/>
          <w:sz w:val="21"/>
          <w:szCs w:val="21"/>
          <w:lang w:val="es-ES_tradnl"/>
        </w:rPr>
        <w:t>¿Se necesita una nueva versión de pliegos tipo donde se incluya el requisito habilitante del REDAM, o por el contrario las inhabilidades e incompatibilidades son de ley y no requieren habilitación de documentos tipo, tal como ocurre con las consagradas en la Ley 80 de 1993 y otras leyes?</w:t>
      </w:r>
    </w:p>
    <w:p w14:paraId="604EF023" w14:textId="77777777" w:rsidR="00677258" w:rsidRPr="00677258" w:rsidRDefault="00677258" w:rsidP="00677258">
      <w:pPr>
        <w:spacing w:after="0" w:line="240" w:lineRule="auto"/>
        <w:ind w:left="709" w:right="709"/>
        <w:jc w:val="both"/>
        <w:rPr>
          <w:rFonts w:ascii="Arial" w:hAnsi="Arial" w:cs="Arial"/>
          <w:color w:val="000000" w:themeColor="text1"/>
          <w:sz w:val="21"/>
          <w:szCs w:val="21"/>
          <w:lang w:val="es-ES_tradnl"/>
        </w:rPr>
      </w:pPr>
    </w:p>
    <w:p w14:paraId="4F5F5704" w14:textId="77777777" w:rsidR="00677258" w:rsidRPr="00677258" w:rsidRDefault="00677258" w:rsidP="00677258">
      <w:pPr>
        <w:spacing w:after="0" w:line="240" w:lineRule="auto"/>
        <w:ind w:left="709" w:right="709"/>
        <w:jc w:val="both"/>
        <w:rPr>
          <w:rFonts w:ascii="Arial" w:hAnsi="Arial" w:cs="Arial"/>
          <w:color w:val="000000" w:themeColor="text1"/>
          <w:sz w:val="21"/>
          <w:szCs w:val="21"/>
          <w:lang w:val="es-ES_tradnl"/>
        </w:rPr>
      </w:pPr>
      <w:r w:rsidRPr="00677258">
        <w:rPr>
          <w:rFonts w:ascii="Arial" w:hAnsi="Arial" w:cs="Arial"/>
          <w:color w:val="000000" w:themeColor="text1"/>
          <w:sz w:val="21"/>
          <w:szCs w:val="21"/>
          <w:lang w:val="es-ES_tradnl"/>
        </w:rPr>
        <w:t xml:space="preserve">Como no es posible la consulta por parte de las entidades </w:t>
      </w:r>
      <w:proofErr w:type="spellStart"/>
      <w:r w:rsidRPr="00677258">
        <w:rPr>
          <w:rFonts w:ascii="Arial" w:hAnsi="Arial" w:cs="Arial"/>
          <w:color w:val="000000" w:themeColor="text1"/>
          <w:sz w:val="21"/>
          <w:szCs w:val="21"/>
          <w:lang w:val="es-ES_tradnl"/>
        </w:rPr>
        <w:t>publicas</w:t>
      </w:r>
      <w:proofErr w:type="spellEnd"/>
      <w:r w:rsidRPr="00677258">
        <w:rPr>
          <w:rFonts w:ascii="Arial" w:hAnsi="Arial" w:cs="Arial"/>
          <w:color w:val="000000" w:themeColor="text1"/>
          <w:sz w:val="21"/>
          <w:szCs w:val="21"/>
          <w:lang w:val="es-ES_tradnl"/>
        </w:rPr>
        <w:t xml:space="preserve"> [sic] el certificado del REDAM de los oferentes y/o proponente en los procesos de contratación estatal ¿es deber de los proponentes incluir tal certificado (REDAM) en la propuesta? ¿si no lo hacen es deber de la entidad requerir tal certificado?”</w:t>
      </w:r>
    </w:p>
    <w:p w14:paraId="179A084D" w14:textId="77777777" w:rsidR="00677258" w:rsidRPr="00677258" w:rsidRDefault="00677258" w:rsidP="00677258">
      <w:pPr>
        <w:spacing w:after="0" w:line="276" w:lineRule="auto"/>
        <w:jc w:val="both"/>
        <w:rPr>
          <w:rFonts w:ascii="Arial" w:hAnsi="Arial" w:cs="Arial"/>
          <w:color w:val="000000" w:themeColor="text1"/>
        </w:rPr>
      </w:pPr>
    </w:p>
    <w:p w14:paraId="0B3D2F44" w14:textId="77777777" w:rsidR="00677258" w:rsidRPr="00677258" w:rsidRDefault="00677258" w:rsidP="00677258">
      <w:pPr>
        <w:tabs>
          <w:tab w:val="left" w:pos="0"/>
        </w:tabs>
        <w:spacing w:after="120" w:line="276" w:lineRule="auto"/>
        <w:jc w:val="both"/>
        <w:rPr>
          <w:rFonts w:ascii="Arial" w:eastAsia="Calibri" w:hAnsi="Arial" w:cs="Arial"/>
          <w:bCs/>
          <w:color w:val="000000" w:themeColor="text1"/>
        </w:rPr>
      </w:pPr>
      <w:r w:rsidRPr="00677258">
        <w:rPr>
          <w:rFonts w:ascii="Arial" w:eastAsia="Calibri" w:hAnsi="Arial" w:cs="Arial"/>
          <w:color w:val="000000" w:themeColor="text1"/>
          <w:lang w:val="es-ES"/>
        </w:rPr>
        <w:t xml:space="preserve">De acuerdo con la interpretación general de las normas del sistema de compras públicas, </w:t>
      </w:r>
      <w:r w:rsidRPr="00677258">
        <w:rPr>
          <w:rFonts w:ascii="Arial" w:eastAsia="Calibri" w:hAnsi="Arial" w:cs="Arial"/>
          <w:bCs/>
          <w:color w:val="000000" w:themeColor="text1"/>
        </w:rPr>
        <w:t xml:space="preserve">una de las consecuencias más importantes de la inclusión en el REDAM es la aparición de una inhabilidad para celebrar contratos con el Estado. Al respecto, conforme al artículo 6.1 de la Ley 2097 de 2021, “El deudor alimentario moroso solo podrá contratar con el Estado una vez se ponga a paz y salvo con sus obligaciones alimentarias. Esta inhabilidad también se predica del deudor alimentario moroso que actúe como representante legal de la persona jurídica que aspira a contratar con el Estado”. Dicha restricción se suma al catálogo del artículo 8 y siguientes de la Ley 80 de 1993, especialmente, cuando –conforme al literal a) del numeral 1– “Son inhábiles para participar en licitaciones y para celebrar contratos con las entidades estatales […] Las personas que se hallen inhabilitadas para contratar por la Constitución y las leyes”, el cual se extiende también a las entidades de régimen exceptuado en virtud del inciso primero del artículo 13 de la Ley 1150 de 2007 y al régimen de las ESAL de acuerdo al artículo 6 del Decreto 092 de 2017. </w:t>
      </w:r>
    </w:p>
    <w:p w14:paraId="454B0D82" w14:textId="77777777" w:rsidR="00677258" w:rsidRPr="00677258" w:rsidRDefault="00677258" w:rsidP="00677258">
      <w:pPr>
        <w:tabs>
          <w:tab w:val="left" w:pos="0"/>
        </w:tabs>
        <w:spacing w:after="120" w:line="276" w:lineRule="auto"/>
        <w:jc w:val="both"/>
        <w:rPr>
          <w:rFonts w:ascii="Arial" w:eastAsia="Calibri" w:hAnsi="Arial" w:cs="Arial"/>
          <w:bCs/>
          <w:color w:val="000000" w:themeColor="text1"/>
        </w:rPr>
      </w:pPr>
      <w:r w:rsidRPr="00677258">
        <w:rPr>
          <w:rFonts w:ascii="Arial" w:eastAsia="Calibri" w:hAnsi="Arial" w:cs="Arial"/>
          <w:bCs/>
          <w:color w:val="000000" w:themeColor="text1"/>
        </w:rPr>
        <w:tab/>
        <w:t xml:space="preserve">De acuerdo con la </w:t>
      </w:r>
      <w:r w:rsidRPr="00677258">
        <w:rPr>
          <w:rFonts w:ascii="Arial" w:eastAsia="Calibri" w:hAnsi="Arial" w:cs="Arial"/>
          <w:bCs/>
          <w:i/>
          <w:iCs/>
          <w:color w:val="000000" w:themeColor="text1"/>
        </w:rPr>
        <w:t>tesis de la reglamentación</w:t>
      </w:r>
      <w:r w:rsidRPr="00677258">
        <w:rPr>
          <w:rFonts w:ascii="Arial" w:eastAsia="Calibri" w:hAnsi="Arial" w:cs="Arial"/>
          <w:bCs/>
          <w:color w:val="000000" w:themeColor="text1"/>
        </w:rPr>
        <w:t>, pese a que son funciones del REDAM llevar un registro de los deudores alimentarios morosos y expedir gratuitamente los certificados a través de página web, la obligación de consultarlo para validar la ausencia de la restricción comentada no surgió automáticamente con la expedición de la Ley 2097 del 2 de julio de 2021, pues las medidas adoptadas quedaron condicionadas por la designación de la autoridad responsable de operar el registro, su reglamentación correspondiente, así como la puesta en funcionamiento de la aplicación.</w:t>
      </w:r>
    </w:p>
    <w:p w14:paraId="6B520AD7" w14:textId="77777777" w:rsidR="00677258" w:rsidRPr="00677258" w:rsidRDefault="00677258" w:rsidP="00677258">
      <w:pPr>
        <w:tabs>
          <w:tab w:val="left" w:pos="709"/>
        </w:tabs>
        <w:spacing w:after="120" w:line="276" w:lineRule="auto"/>
        <w:jc w:val="both"/>
        <w:rPr>
          <w:rFonts w:ascii="Arial" w:eastAsia="Calibri" w:hAnsi="Arial" w:cs="Arial"/>
          <w:bCs/>
          <w:color w:val="000000" w:themeColor="text1"/>
        </w:rPr>
      </w:pPr>
      <w:r w:rsidRPr="00677258">
        <w:rPr>
          <w:rFonts w:ascii="Arial" w:eastAsia="Calibri" w:hAnsi="Arial" w:cs="Arial"/>
          <w:bCs/>
          <w:color w:val="000000" w:themeColor="text1"/>
          <w:lang w:val="es-ES_tradnl"/>
        </w:rPr>
        <w:tab/>
        <w:t>Para estos efectos, el gobierno nacional expidió el Decreto 1310 del 26 de julio de 2022, “</w:t>
      </w:r>
      <w:r w:rsidRPr="00677258">
        <w:rPr>
          <w:rFonts w:ascii="Arial" w:eastAsia="Calibri" w:hAnsi="Arial" w:cs="Arial"/>
          <w:bCs/>
          <w:color w:val="000000" w:themeColor="text1"/>
        </w:rPr>
        <w:t xml:space="preserve">por el cual se adiciona el Título 23 a la Parte 2 del Libro 2 del Decreto Único Reglamentario del Sector de las Tecnologías de la Información y las Comunicaciones, Decreto número 1078 de 2015, para reglamentar la Ley 2097 de 2021 que creó el Registro de Deudores Alimentarios Morosos (REDAM)”. El artículo 1 </w:t>
      </w:r>
      <w:r w:rsidRPr="00677258">
        <w:rPr>
          <w:rFonts w:ascii="Arial" w:eastAsia="Calibri" w:hAnsi="Arial" w:cs="Arial"/>
          <w:bCs/>
          <w:color w:val="000000" w:themeColor="text1"/>
        </w:rPr>
        <w:lastRenderedPageBreak/>
        <w:t xml:space="preserve">adicionó el artículo 2.2.23.5 al Decreto 1078 de 2015, indicando en el inciso primero que “[…] se designa como Operador de la Información del Registro de Deudores Alimentarios Morosos (REDAM) al Ministerio de Tecnologías de la Información y las Comunicaciones, o quien haga sus veces”. Sin embargo, el reglamento también condicionó la vigencia del registro, pues –conforme al parágrafo del artículo 2.2.23.4 </w:t>
      </w:r>
      <w:r w:rsidRPr="00677258">
        <w:rPr>
          <w:rFonts w:ascii="Arial" w:eastAsia="Calibri" w:hAnsi="Arial" w:cs="Arial"/>
          <w:bCs/>
          <w:i/>
          <w:iCs/>
          <w:color w:val="000000" w:themeColor="text1"/>
        </w:rPr>
        <w:t>ibidem</w:t>
      </w:r>
      <w:r w:rsidRPr="00677258">
        <w:rPr>
          <w:rFonts w:ascii="Arial" w:eastAsia="Calibri" w:hAnsi="Arial" w:cs="Arial"/>
          <w:bCs/>
          <w:color w:val="000000" w:themeColor="text1"/>
        </w:rPr>
        <w:t xml:space="preserve">– “La información suministrada por el REDAM será utilizada en forma exclusiva por quienes estén vinculadas a la aplicación de las consecuencias de la inscripción en el REDAM de que trata el artículo 6° de la Ley 2097 de 2021, a partir de la entrada en producción de la solución tecnológica”. Esto también congruente con el artículo 2.2.23.8 </w:t>
      </w:r>
      <w:r w:rsidRPr="00677258">
        <w:rPr>
          <w:rFonts w:ascii="Arial" w:eastAsia="Calibri" w:hAnsi="Arial" w:cs="Arial"/>
          <w:bCs/>
          <w:i/>
          <w:iCs/>
          <w:color w:val="000000" w:themeColor="text1"/>
        </w:rPr>
        <w:t>ibidem</w:t>
      </w:r>
      <w:r w:rsidRPr="00677258">
        <w:rPr>
          <w:rFonts w:ascii="Arial" w:eastAsia="Calibri" w:hAnsi="Arial" w:cs="Arial"/>
          <w:bCs/>
          <w:color w:val="000000" w:themeColor="text1"/>
        </w:rPr>
        <w:t xml:space="preserve">, en la medida que “El acceso al Registro de Deudores Alimentarios Morosos (REDAM) se realizará a través del Modelo de Servicios Ciudadanos Digitales de la Política de Gobierno Digital expedida por el Ministerio de Tecnologías de la Información y las Comunicaciones, sin perjuicio del acceso a la información directamente ante las Fuentes de la Información señaladas en el presente decreto, una vez entre en producción la solución tecnológica”. </w:t>
      </w:r>
    </w:p>
    <w:p w14:paraId="4576D969" w14:textId="77777777" w:rsidR="00677258" w:rsidRPr="00677258" w:rsidRDefault="00677258" w:rsidP="00677258">
      <w:pPr>
        <w:tabs>
          <w:tab w:val="left" w:pos="709"/>
        </w:tabs>
        <w:spacing w:after="120" w:line="276" w:lineRule="auto"/>
        <w:jc w:val="both"/>
        <w:rPr>
          <w:rFonts w:ascii="Arial" w:eastAsia="Calibri" w:hAnsi="Arial" w:cs="Arial"/>
          <w:bCs/>
          <w:color w:val="000000" w:themeColor="text1"/>
        </w:rPr>
      </w:pPr>
      <w:r w:rsidRPr="00677258">
        <w:rPr>
          <w:rFonts w:ascii="Arial" w:eastAsia="Calibri" w:hAnsi="Arial" w:cs="Arial"/>
          <w:bCs/>
          <w:color w:val="000000" w:themeColor="text1"/>
        </w:rPr>
        <w:tab/>
        <w:t xml:space="preserve">De lo anterior se deduce que la obligación de consultar el registro para validar la ausencia de la restricción del artículo 6.1 de la Ley 2097 de 2021 no surgió automáticamente con la expedición de la norma, pues la efectividad de las medidas estaba condicionada por la designación del operador, la reglamentación del registro y por implementación de la plataforma tecnológica. Sobre este último punto, la página web </w:t>
      </w:r>
      <w:hyperlink r:id="rId12" w:history="1">
        <w:r w:rsidRPr="00677258">
          <w:rPr>
            <w:rFonts w:ascii="Arial" w:eastAsia="Calibri" w:hAnsi="Arial" w:cs="Arial"/>
            <w:bCs/>
            <w:color w:val="0563C1" w:themeColor="hyperlink"/>
            <w:u w:val="single"/>
          </w:rPr>
          <w:t>https://redam.gov.co/information-page</w:t>
        </w:r>
      </w:hyperlink>
      <w:r w:rsidRPr="00677258">
        <w:rPr>
          <w:rFonts w:ascii="Arial" w:eastAsia="Calibri" w:hAnsi="Arial" w:cs="Arial"/>
          <w:bCs/>
          <w:color w:val="000000" w:themeColor="text1"/>
        </w:rPr>
        <w:t xml:space="preserve"> brinda información sobre la forma de consultar y descargar el registro correspondiente. Cualquier inquietud adicional sobre el funcionamiento operativo del REDAM podrá plantarse ante el Ministerio de Tecnologías de la Información y las Comunicaciones, pues –conforme al numeral 7 del artículo 2.2.23.14 del Decreto 1078 de 2015, adicionado por el artículo 1 del Decreto </w:t>
      </w:r>
      <w:r w:rsidRPr="00677258">
        <w:rPr>
          <w:rFonts w:ascii="Arial" w:eastAsia="Calibri" w:hAnsi="Arial" w:cs="Arial"/>
          <w:bCs/>
          <w:color w:val="000000" w:themeColor="text1"/>
          <w:lang w:val="es-ES_tradnl"/>
        </w:rPr>
        <w:t>1310 de 2022</w:t>
      </w:r>
      <w:r w:rsidRPr="00677258">
        <w:rPr>
          <w:rFonts w:ascii="Arial" w:eastAsia="Calibri" w:hAnsi="Arial" w:cs="Arial"/>
          <w:bCs/>
          <w:color w:val="000000" w:themeColor="text1"/>
        </w:rPr>
        <w:t>– debe “Tramitar oportunamente las peticiones, consultas, quejas o reclamos que formulen los actores e intervinientes en el proceso de reporte de información en el Registro de Deudores Alimentarios Morosos (REDAM) y que sean de su competencia”.</w:t>
      </w:r>
    </w:p>
    <w:p w14:paraId="7B7F5BFF" w14:textId="062EDC5D" w:rsidR="00677258" w:rsidRPr="00677258" w:rsidRDefault="00677258" w:rsidP="00677258">
      <w:pPr>
        <w:tabs>
          <w:tab w:val="left" w:pos="709"/>
        </w:tabs>
        <w:spacing w:after="120" w:line="276" w:lineRule="auto"/>
        <w:ind w:firstLine="709"/>
        <w:jc w:val="both"/>
        <w:rPr>
          <w:rFonts w:ascii="Arial" w:eastAsia="Calibri" w:hAnsi="Arial" w:cs="Arial"/>
          <w:bCs/>
          <w:color w:val="000000" w:themeColor="text1"/>
        </w:rPr>
      </w:pPr>
      <w:r w:rsidRPr="00677258">
        <w:rPr>
          <w:rFonts w:ascii="Arial" w:eastAsia="Calibri" w:hAnsi="Arial" w:cs="Arial"/>
          <w:bCs/>
          <w:color w:val="000000" w:themeColor="text1"/>
        </w:rPr>
        <w:t xml:space="preserve">Finalmente, teniendo en cuenta el objeto de su consulta, es importante señalar que, si bien los documentos tipo no contemplan, de forma expresa, todas las inhabilidades, incompatibilidades y prohibiciones en las que pueden incurrir los proponentes, esto no significa que dicho régimen de inhabilidades no sea aplicable en los </w:t>
      </w:r>
      <w:r w:rsidR="001F1917">
        <w:rPr>
          <w:rFonts w:ascii="Arial" w:eastAsia="Calibri" w:hAnsi="Arial" w:cs="Arial"/>
          <w:bCs/>
          <w:color w:val="000000" w:themeColor="text1"/>
        </w:rPr>
        <w:t>P</w:t>
      </w:r>
      <w:r w:rsidRPr="00677258">
        <w:rPr>
          <w:rFonts w:ascii="Arial" w:eastAsia="Calibri" w:hAnsi="Arial" w:cs="Arial"/>
          <w:bCs/>
          <w:color w:val="000000" w:themeColor="text1"/>
        </w:rPr>
        <w:t xml:space="preserve">rocesos de </w:t>
      </w:r>
      <w:r w:rsidR="001F1917">
        <w:rPr>
          <w:rFonts w:ascii="Arial" w:eastAsia="Calibri" w:hAnsi="Arial" w:cs="Arial"/>
          <w:bCs/>
          <w:color w:val="000000" w:themeColor="text1"/>
        </w:rPr>
        <w:t>C</w:t>
      </w:r>
      <w:r w:rsidRPr="00677258">
        <w:rPr>
          <w:rFonts w:ascii="Arial" w:eastAsia="Calibri" w:hAnsi="Arial" w:cs="Arial"/>
          <w:bCs/>
          <w:color w:val="000000" w:themeColor="text1"/>
        </w:rPr>
        <w:t xml:space="preserve">ontratación adelantados con documentos tipo. Esto, por cuanto como se explicó, la creación de inhabilidades e incompatibilidades está reservada al legislador, y, además, los documentos tipo sí prevén la ausencia de inhabilidades e incompatibilidades como requisito para suscribir contratos estatales, al establecer que los proponentes no pueden estar incursos en ninguna inhabilidad, incompatibilidad o prohibición prevista en la Constitución o en la Ley, so pena de no contar con capacidad jurídica para celebrar y ejecutar contratos </w:t>
      </w:r>
      <w:r w:rsidRPr="00677258">
        <w:rPr>
          <w:rFonts w:ascii="Arial" w:eastAsia="Calibri" w:hAnsi="Arial" w:cs="Arial"/>
          <w:bCs/>
          <w:color w:val="000000" w:themeColor="text1"/>
        </w:rPr>
        <w:lastRenderedPageBreak/>
        <w:t xml:space="preserve">estatales. Lo anterior puede ser verificado en los documentos base de los documentos tipo, particularmente, en las condiciones de capacidad que deben acreditar los proponentes. </w:t>
      </w:r>
    </w:p>
    <w:p w14:paraId="5FF93115" w14:textId="50424C2E" w:rsidR="00677258" w:rsidRPr="00677258" w:rsidRDefault="00677258" w:rsidP="00677258">
      <w:pPr>
        <w:tabs>
          <w:tab w:val="left" w:pos="709"/>
        </w:tabs>
        <w:spacing w:after="0" w:line="276" w:lineRule="auto"/>
        <w:ind w:firstLine="709"/>
        <w:jc w:val="both"/>
        <w:rPr>
          <w:rFonts w:ascii="Arial" w:eastAsia="Calibri" w:hAnsi="Arial" w:cs="Arial"/>
          <w:bCs/>
          <w:color w:val="000000" w:themeColor="text1"/>
        </w:rPr>
      </w:pPr>
      <w:r w:rsidRPr="00677258">
        <w:rPr>
          <w:rFonts w:ascii="Arial" w:eastAsia="Calibri" w:hAnsi="Arial" w:cs="Arial"/>
          <w:bCs/>
          <w:color w:val="000000" w:themeColor="text1"/>
        </w:rPr>
        <w:t>En consecuencia, para efectos de suscribir contratos estatales, deberá realizarse una revisión integral del régimen de inhabilidades, incompatibilidad y prohibiciones, con el fin de determinar si un proponente cuenta con capacidad para contratar con el Estado, aun cuando se trate de procesos de contratación adelantados con documentos tipo. Ello incluye, por supuesto, la observancia del REDAM, de acuerdo con lo expuesto en este concepto, así como las demás inhabilidades e incompatibilidades que establezca la Constitución o la Ley.</w:t>
      </w:r>
    </w:p>
    <w:p w14:paraId="75DCDEBF" w14:textId="77777777" w:rsidR="00677258" w:rsidRPr="00677258" w:rsidRDefault="00677258" w:rsidP="00677258">
      <w:pPr>
        <w:tabs>
          <w:tab w:val="left" w:pos="709"/>
        </w:tabs>
        <w:spacing w:after="0" w:line="276" w:lineRule="auto"/>
        <w:ind w:firstLine="709"/>
        <w:jc w:val="both"/>
        <w:rPr>
          <w:rFonts w:ascii="Arial" w:eastAsia="Calibri" w:hAnsi="Arial" w:cs="Arial"/>
          <w:bCs/>
          <w:color w:val="000000" w:themeColor="text1"/>
        </w:rPr>
      </w:pPr>
    </w:p>
    <w:p w14:paraId="355A49B6" w14:textId="77777777" w:rsidR="00677258" w:rsidRPr="00677258" w:rsidRDefault="00677258" w:rsidP="00677258">
      <w:pPr>
        <w:widowControl w:val="0"/>
        <w:autoSpaceDE w:val="0"/>
        <w:autoSpaceDN w:val="0"/>
        <w:spacing w:after="0" w:line="276" w:lineRule="auto"/>
        <w:jc w:val="both"/>
        <w:rPr>
          <w:rFonts w:ascii="Arial" w:hAnsi="Arial" w:cs="Arial"/>
          <w:color w:val="000000" w:themeColor="text1"/>
          <w:lang w:val="es-ES_tradnl" w:bidi="es-ES"/>
        </w:rPr>
      </w:pPr>
      <w:r w:rsidRPr="00677258">
        <w:rPr>
          <w:rFonts w:ascii="Arial" w:hAnsi="Arial" w:cs="Arial"/>
          <w:color w:val="000000" w:themeColor="text1"/>
          <w:lang w:val="es-ES_tradnl"/>
        </w:rPr>
        <w:t>Este concepto tiene el alcance previsto en el artículo 28 del Código de Procedimiento Administrativo y de lo Contencioso Administrativo.</w:t>
      </w:r>
    </w:p>
    <w:p w14:paraId="63CA9C90" w14:textId="77777777" w:rsidR="00677258" w:rsidRPr="00677258" w:rsidRDefault="00677258" w:rsidP="00677258">
      <w:pPr>
        <w:widowControl w:val="0"/>
        <w:autoSpaceDE w:val="0"/>
        <w:autoSpaceDN w:val="0"/>
        <w:spacing w:after="0" w:line="276" w:lineRule="auto"/>
        <w:jc w:val="both"/>
        <w:rPr>
          <w:rFonts w:ascii="Arial" w:hAnsi="Arial" w:cs="Arial"/>
          <w:color w:val="000000" w:themeColor="text1"/>
          <w:lang w:val="es-ES_tradnl" w:bidi="es-ES"/>
        </w:rPr>
      </w:pPr>
    </w:p>
    <w:p w14:paraId="6EE52B28" w14:textId="77777777" w:rsidR="00677258" w:rsidRPr="00677258" w:rsidRDefault="00677258" w:rsidP="00677258">
      <w:pPr>
        <w:tabs>
          <w:tab w:val="left" w:pos="426"/>
        </w:tabs>
        <w:spacing w:line="276" w:lineRule="auto"/>
        <w:jc w:val="both"/>
        <w:rPr>
          <w:rFonts w:ascii="Arial" w:eastAsia="Times New Roman" w:hAnsi="Arial" w:cs="Arial"/>
          <w:color w:val="000000" w:themeColor="text1"/>
        </w:rPr>
      </w:pPr>
      <w:r w:rsidRPr="00677258">
        <w:rPr>
          <w:rFonts w:ascii="Arial" w:eastAsia="Times New Roman" w:hAnsi="Arial" w:cs="Arial"/>
          <w:color w:val="000000" w:themeColor="text1"/>
        </w:rPr>
        <w:t>Atentamente,</w:t>
      </w:r>
    </w:p>
    <w:p w14:paraId="68B59E7B" w14:textId="673526E7" w:rsidR="00677258" w:rsidRPr="00677258" w:rsidRDefault="00123EE9" w:rsidP="00677258">
      <w:pPr>
        <w:jc w:val="center"/>
        <w:rPr>
          <w:rFonts w:ascii="Arial" w:eastAsia="Times New Roman" w:hAnsi="Arial" w:cs="Arial"/>
          <w:lang w:eastAsia="es-CO"/>
        </w:rPr>
      </w:pPr>
      <w:r>
        <w:rPr>
          <w:rFonts w:ascii="Arial" w:hAnsi="Arial" w:cs="Arial"/>
          <w:noProof/>
          <w:sz w:val="18"/>
          <w:szCs w:val="20"/>
          <w:lang w:val="es-MX"/>
        </w:rPr>
        <w:drawing>
          <wp:inline distT="0" distB="0" distL="0" distR="0" wp14:anchorId="7D2256C3" wp14:editId="296777CB">
            <wp:extent cx="2857500" cy="1096382"/>
            <wp:effectExtent l="0" t="0" r="0" b="8890"/>
            <wp:docPr id="676430471"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9582" cy="1101018"/>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677258" w:rsidRPr="00677258" w14:paraId="2A257314" w14:textId="77777777" w:rsidTr="00960BBD">
        <w:trPr>
          <w:trHeight w:val="409"/>
        </w:trPr>
        <w:tc>
          <w:tcPr>
            <w:tcW w:w="817" w:type="dxa"/>
            <w:tcBorders>
              <w:top w:val="nil"/>
              <w:left w:val="nil"/>
              <w:bottom w:val="nil"/>
              <w:right w:val="nil"/>
            </w:tcBorders>
            <w:vAlign w:val="center"/>
            <w:hideMark/>
          </w:tcPr>
          <w:p w14:paraId="1A8DC5C1" w14:textId="77777777" w:rsidR="00677258" w:rsidRPr="00677258" w:rsidRDefault="00677258" w:rsidP="00677258">
            <w:pPr>
              <w:spacing w:after="0" w:line="240" w:lineRule="auto"/>
              <w:jc w:val="both"/>
              <w:rPr>
                <w:rFonts w:ascii="Arial" w:hAnsi="Arial" w:cs="Arial"/>
                <w:sz w:val="16"/>
                <w:szCs w:val="16"/>
              </w:rPr>
            </w:pPr>
            <w:r w:rsidRPr="00677258">
              <w:rPr>
                <w:rFonts w:ascii="Arial" w:hAnsi="Arial"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4BE83443" w14:textId="77777777" w:rsidR="00677258" w:rsidRPr="00677258" w:rsidRDefault="00677258" w:rsidP="00677258">
            <w:pPr>
              <w:spacing w:after="0" w:line="240" w:lineRule="auto"/>
              <w:jc w:val="both"/>
              <w:rPr>
                <w:rFonts w:ascii="Arial" w:hAnsi="Arial" w:cs="Arial"/>
                <w:sz w:val="16"/>
                <w:szCs w:val="16"/>
              </w:rPr>
            </w:pPr>
            <w:r w:rsidRPr="00677258">
              <w:rPr>
                <w:rFonts w:ascii="Arial" w:hAnsi="Arial" w:cs="Arial"/>
                <w:sz w:val="16"/>
                <w:szCs w:val="16"/>
              </w:rPr>
              <w:t>Kevin Arlid Herrera Santa</w:t>
            </w:r>
          </w:p>
          <w:p w14:paraId="2629BC31" w14:textId="77777777" w:rsidR="00677258" w:rsidRPr="00677258" w:rsidRDefault="00677258" w:rsidP="00677258">
            <w:pPr>
              <w:spacing w:after="0" w:line="240" w:lineRule="auto"/>
              <w:jc w:val="both"/>
              <w:rPr>
                <w:rFonts w:ascii="Arial" w:hAnsi="Arial" w:cs="Arial"/>
                <w:sz w:val="16"/>
                <w:szCs w:val="16"/>
              </w:rPr>
            </w:pPr>
            <w:r w:rsidRPr="00677258">
              <w:rPr>
                <w:rFonts w:ascii="Arial" w:hAnsi="Arial" w:cs="Arial"/>
                <w:sz w:val="16"/>
                <w:szCs w:val="16"/>
              </w:rPr>
              <w:t>Contratista de la Subdirección de Gestión Contractual</w:t>
            </w:r>
          </w:p>
        </w:tc>
      </w:tr>
      <w:tr w:rsidR="00677258" w:rsidRPr="00677258" w14:paraId="5E663E8F" w14:textId="77777777" w:rsidTr="00960BBD">
        <w:trPr>
          <w:trHeight w:val="409"/>
        </w:trPr>
        <w:tc>
          <w:tcPr>
            <w:tcW w:w="817" w:type="dxa"/>
            <w:tcBorders>
              <w:top w:val="nil"/>
              <w:left w:val="nil"/>
              <w:right w:val="nil"/>
            </w:tcBorders>
            <w:vAlign w:val="center"/>
          </w:tcPr>
          <w:p w14:paraId="79BC807B" w14:textId="77777777" w:rsidR="00677258" w:rsidRPr="00677258" w:rsidRDefault="00677258" w:rsidP="00677258">
            <w:pPr>
              <w:jc w:val="both"/>
              <w:rPr>
                <w:rFonts w:ascii="Arial" w:hAnsi="Arial" w:cs="Arial"/>
                <w:sz w:val="16"/>
                <w:szCs w:val="16"/>
              </w:rPr>
            </w:pPr>
            <w:r w:rsidRPr="00677258">
              <w:rPr>
                <w:rFonts w:ascii="Arial" w:hAnsi="Arial"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4F99F40E" w14:textId="77777777" w:rsidR="00677258" w:rsidRPr="00677258" w:rsidRDefault="00677258" w:rsidP="00677258">
            <w:pPr>
              <w:spacing w:after="0" w:line="240" w:lineRule="auto"/>
              <w:jc w:val="both"/>
              <w:rPr>
                <w:rFonts w:ascii="Arial" w:hAnsi="Arial" w:cs="Arial"/>
                <w:sz w:val="16"/>
                <w:szCs w:val="16"/>
              </w:rPr>
            </w:pPr>
            <w:r w:rsidRPr="00677258">
              <w:rPr>
                <w:rFonts w:ascii="Arial" w:hAnsi="Arial" w:cs="Arial"/>
                <w:sz w:val="16"/>
                <w:szCs w:val="16"/>
              </w:rPr>
              <w:t>Martha Alicia Romero Vargas</w:t>
            </w:r>
          </w:p>
          <w:p w14:paraId="6034A336" w14:textId="77777777" w:rsidR="00677258" w:rsidRPr="00677258" w:rsidRDefault="00677258" w:rsidP="00677258">
            <w:pPr>
              <w:spacing w:after="0" w:line="240" w:lineRule="auto"/>
              <w:jc w:val="both"/>
              <w:rPr>
                <w:rFonts w:ascii="Arial" w:hAnsi="Arial" w:cs="Arial"/>
                <w:sz w:val="16"/>
                <w:szCs w:val="16"/>
              </w:rPr>
            </w:pPr>
            <w:r w:rsidRPr="00677258">
              <w:rPr>
                <w:rFonts w:ascii="Arial" w:hAnsi="Arial" w:cs="Arial"/>
                <w:sz w:val="16"/>
                <w:szCs w:val="16"/>
              </w:rPr>
              <w:t>Gestor T1-15 de la Subdirección de Gestión Contractual</w:t>
            </w:r>
          </w:p>
        </w:tc>
      </w:tr>
      <w:tr w:rsidR="00677258" w:rsidRPr="00677258" w14:paraId="307A9726" w14:textId="77777777" w:rsidTr="00960BBD">
        <w:trPr>
          <w:trHeight w:val="389"/>
        </w:trPr>
        <w:tc>
          <w:tcPr>
            <w:tcW w:w="817" w:type="dxa"/>
            <w:tcBorders>
              <w:top w:val="nil"/>
              <w:left w:val="nil"/>
              <w:bottom w:val="nil"/>
              <w:right w:val="nil"/>
            </w:tcBorders>
            <w:vAlign w:val="center"/>
            <w:hideMark/>
          </w:tcPr>
          <w:p w14:paraId="137ADC07" w14:textId="77777777" w:rsidR="00677258" w:rsidRPr="00677258" w:rsidRDefault="00677258" w:rsidP="00677258">
            <w:pPr>
              <w:spacing w:after="0" w:line="240" w:lineRule="auto"/>
              <w:jc w:val="both"/>
              <w:rPr>
                <w:rFonts w:ascii="Arial" w:hAnsi="Arial" w:cs="Arial"/>
                <w:sz w:val="16"/>
                <w:szCs w:val="16"/>
              </w:rPr>
            </w:pPr>
            <w:r w:rsidRPr="00677258">
              <w:rPr>
                <w:rFonts w:ascii="Arial" w:hAnsi="Arial"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6B57B77B" w14:textId="77777777" w:rsidR="00677258" w:rsidRPr="00677258" w:rsidRDefault="00677258" w:rsidP="00677258">
            <w:pPr>
              <w:spacing w:after="0" w:line="240" w:lineRule="auto"/>
              <w:jc w:val="both"/>
              <w:rPr>
                <w:rFonts w:ascii="Arial" w:hAnsi="Arial" w:cs="Arial"/>
                <w:sz w:val="16"/>
                <w:szCs w:val="16"/>
              </w:rPr>
            </w:pPr>
            <w:r w:rsidRPr="00677258">
              <w:rPr>
                <w:rFonts w:ascii="Arial" w:hAnsi="Arial" w:cs="Arial"/>
                <w:sz w:val="16"/>
                <w:szCs w:val="16"/>
              </w:rPr>
              <w:t xml:space="preserve">Nohelia del Carmen </w:t>
            </w:r>
            <w:proofErr w:type="spellStart"/>
            <w:r w:rsidRPr="00677258">
              <w:rPr>
                <w:rFonts w:ascii="Arial" w:hAnsi="Arial" w:cs="Arial"/>
                <w:sz w:val="16"/>
                <w:szCs w:val="16"/>
              </w:rPr>
              <w:t>Zawady</w:t>
            </w:r>
            <w:proofErr w:type="spellEnd"/>
            <w:r w:rsidRPr="00677258">
              <w:rPr>
                <w:rFonts w:ascii="Arial" w:hAnsi="Arial" w:cs="Arial"/>
                <w:sz w:val="16"/>
                <w:szCs w:val="16"/>
              </w:rPr>
              <w:t xml:space="preserve"> Palacio</w:t>
            </w:r>
          </w:p>
          <w:p w14:paraId="1F26D9B4" w14:textId="77777777" w:rsidR="00677258" w:rsidRPr="00677258" w:rsidRDefault="00677258" w:rsidP="00677258">
            <w:pPr>
              <w:spacing w:after="0" w:line="240" w:lineRule="auto"/>
              <w:jc w:val="both"/>
              <w:rPr>
                <w:rFonts w:ascii="Arial" w:hAnsi="Arial" w:cs="Arial"/>
                <w:sz w:val="16"/>
                <w:szCs w:val="16"/>
              </w:rPr>
            </w:pPr>
            <w:r w:rsidRPr="00677258">
              <w:rPr>
                <w:rFonts w:ascii="Arial" w:hAnsi="Arial" w:cs="Arial"/>
                <w:sz w:val="16"/>
                <w:szCs w:val="16"/>
              </w:rPr>
              <w:t>Subdirectora de Gestión Contractual ANCP - CCE</w:t>
            </w:r>
          </w:p>
        </w:tc>
      </w:tr>
      <w:bookmarkEnd w:id="2"/>
    </w:tbl>
    <w:p w14:paraId="6A054E97" w14:textId="77777777" w:rsidR="00677258" w:rsidRPr="00677258" w:rsidRDefault="00677258" w:rsidP="00677258">
      <w:pPr>
        <w:tabs>
          <w:tab w:val="left" w:pos="0"/>
        </w:tabs>
        <w:spacing w:line="276" w:lineRule="auto"/>
        <w:contextualSpacing/>
        <w:jc w:val="both"/>
        <w:rPr>
          <w:lang w:val="es-MX"/>
        </w:rPr>
      </w:pPr>
    </w:p>
    <w:p w14:paraId="68A4E320" w14:textId="77777777" w:rsidR="00677258" w:rsidRPr="00677258" w:rsidRDefault="00677258" w:rsidP="00677258"/>
    <w:p w14:paraId="0465BA6D" w14:textId="77777777" w:rsidR="00E245AB" w:rsidRPr="00C330EB" w:rsidRDefault="00E245AB" w:rsidP="00E245AB">
      <w:pPr>
        <w:spacing w:after="0"/>
        <w:rPr>
          <w:rFonts w:ascii="Century Gothic" w:hAnsi="Century Gothic"/>
        </w:rPr>
      </w:pPr>
    </w:p>
    <w:sectPr w:rsidR="00E245AB" w:rsidRPr="00C330EB" w:rsidSect="00923EEF">
      <w:headerReference w:type="default" r:id="rId14"/>
      <w:footerReference w:type="default" r:id="rId15"/>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DA6C8" w14:textId="77777777" w:rsidR="003F7C13" w:rsidRDefault="003F7C13" w:rsidP="004A1847">
      <w:pPr>
        <w:spacing w:after="0" w:line="240" w:lineRule="auto"/>
      </w:pPr>
      <w:r>
        <w:separator/>
      </w:r>
    </w:p>
  </w:endnote>
  <w:endnote w:type="continuationSeparator" w:id="0">
    <w:p w14:paraId="195BCCB1" w14:textId="77777777" w:rsidR="003F7C13" w:rsidRDefault="003F7C13" w:rsidP="004A1847">
      <w:pPr>
        <w:spacing w:after="0" w:line="240" w:lineRule="auto"/>
      </w:pPr>
      <w:r>
        <w:continuationSeparator/>
      </w:r>
    </w:p>
  </w:endnote>
  <w:endnote w:type="continuationNotice" w:id="1">
    <w:p w14:paraId="316C587A" w14:textId="77777777" w:rsidR="003F7C13" w:rsidRDefault="003F7C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11569" w14:textId="77777777" w:rsidR="003F7C13" w:rsidRDefault="003F7C13" w:rsidP="004A1847">
      <w:pPr>
        <w:spacing w:after="0" w:line="240" w:lineRule="auto"/>
      </w:pPr>
      <w:r>
        <w:separator/>
      </w:r>
    </w:p>
  </w:footnote>
  <w:footnote w:type="continuationSeparator" w:id="0">
    <w:p w14:paraId="150B41B5" w14:textId="77777777" w:rsidR="003F7C13" w:rsidRDefault="003F7C13" w:rsidP="004A1847">
      <w:pPr>
        <w:spacing w:after="0" w:line="240" w:lineRule="auto"/>
      </w:pPr>
      <w:r>
        <w:continuationSeparator/>
      </w:r>
    </w:p>
  </w:footnote>
  <w:footnote w:type="continuationNotice" w:id="1">
    <w:p w14:paraId="35CF17D0" w14:textId="77777777" w:rsidR="003F7C13" w:rsidRDefault="003F7C13">
      <w:pPr>
        <w:spacing w:after="0" w:line="240" w:lineRule="auto"/>
      </w:pPr>
    </w:p>
  </w:footnote>
  <w:footnote w:id="2">
    <w:p w14:paraId="2A7B70F5" w14:textId="77777777" w:rsidR="00677258" w:rsidRPr="00982700" w:rsidRDefault="00677258" w:rsidP="00677258">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982700">
          <w:rPr>
            <w:rStyle w:val="Hipervnculo"/>
            <w:rFonts w:ascii="Arial" w:hAnsi="Arial" w:cs="Arial"/>
            <w:sz w:val="19"/>
            <w:szCs w:val="19"/>
          </w:rPr>
          <w:t>https://relatoria.colombiacompra.gov.co/busqueda/conceptos</w:t>
        </w:r>
      </w:hyperlink>
      <w:r w:rsidRPr="00982700">
        <w:rPr>
          <w:rStyle w:val="Hipervnculo"/>
          <w:rFonts w:ascii="Arial" w:hAnsi="Arial" w:cs="Arial"/>
          <w:sz w:val="19"/>
          <w:szCs w:val="19"/>
        </w:rPr>
        <w:t xml:space="preserve">. </w:t>
      </w:r>
      <w:r w:rsidRPr="00982700">
        <w:rPr>
          <w:rFonts w:ascii="Arial" w:hAnsi="Arial" w:cs="Arial"/>
          <w:sz w:val="19"/>
          <w:szCs w:val="19"/>
          <w:shd w:val="clear" w:color="auto" w:fill="E6E6E6"/>
        </w:rPr>
        <w:t xml:space="preserve"> </w:t>
      </w:r>
    </w:p>
  </w:footnote>
  <w:footnote w:id="3">
    <w:p w14:paraId="5CA942CA" w14:textId="77777777" w:rsidR="00677258" w:rsidRPr="00982700" w:rsidRDefault="00677258" w:rsidP="00677258">
      <w:pPr>
        <w:pStyle w:val="Textonotapie"/>
        <w:ind w:firstLine="709"/>
        <w:jc w:val="both"/>
        <w:rPr>
          <w:rFonts w:ascii="Arial" w:hAnsi="Arial" w:cs="Arial"/>
          <w:sz w:val="19"/>
          <w:szCs w:val="19"/>
          <w:lang w:val="es-ES_tradnl"/>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pt-BR"/>
        </w:rPr>
        <w:t>CORTE CONSTITUCIONAL. Sentencia C-1016 de 2012. M.P. Jorge Iván Palacio.</w:t>
      </w:r>
    </w:p>
  </w:footnote>
  <w:footnote w:id="4">
    <w:p w14:paraId="64742CC7" w14:textId="77777777" w:rsidR="00677258" w:rsidRPr="00982700" w:rsidRDefault="00677258" w:rsidP="00677258">
      <w:pPr>
        <w:pStyle w:val="Textonotapie"/>
        <w:ind w:firstLine="709"/>
        <w:jc w:val="both"/>
        <w:rPr>
          <w:rFonts w:ascii="Arial" w:hAnsi="Arial" w:cs="Arial"/>
          <w:sz w:val="19"/>
          <w:szCs w:val="19"/>
          <w:lang w:val="pt-BR"/>
        </w:rPr>
      </w:pPr>
      <w:r w:rsidRPr="00982700">
        <w:rPr>
          <w:rStyle w:val="Refdenotaalpie"/>
          <w:rFonts w:ascii="Arial" w:hAnsi="Arial" w:cs="Arial"/>
          <w:sz w:val="19"/>
          <w:szCs w:val="19"/>
        </w:rPr>
        <w:footnoteRef/>
      </w:r>
      <w:r w:rsidRPr="00982700">
        <w:rPr>
          <w:rFonts w:ascii="Arial" w:hAnsi="Arial" w:cs="Arial"/>
          <w:sz w:val="19"/>
          <w:szCs w:val="19"/>
        </w:rPr>
        <w:t xml:space="preserve"> CONSEJO DE ESTADO. Sección Tercera. Subsección A. Sentencia del 13 de noviembre de 2013. </w:t>
      </w:r>
      <w:r w:rsidRPr="00982700">
        <w:rPr>
          <w:rFonts w:ascii="Arial" w:hAnsi="Arial" w:cs="Arial"/>
          <w:sz w:val="19"/>
          <w:szCs w:val="19"/>
          <w:lang w:val="pt-BR"/>
        </w:rPr>
        <w:t xml:space="preserve">Rad. 25.646. C.P. Mauricio Fajardo Gómez.  </w:t>
      </w:r>
    </w:p>
    <w:p w14:paraId="57E6AFA0" w14:textId="77777777" w:rsidR="00677258" w:rsidRPr="00982700" w:rsidRDefault="00677258" w:rsidP="00677258">
      <w:pPr>
        <w:pStyle w:val="Textonotapie"/>
        <w:ind w:firstLine="709"/>
        <w:jc w:val="both"/>
        <w:rPr>
          <w:rFonts w:ascii="Arial" w:hAnsi="Arial" w:cs="Arial"/>
          <w:sz w:val="19"/>
          <w:szCs w:val="19"/>
          <w:lang w:val="es-ES_tradnl"/>
        </w:rPr>
      </w:pPr>
    </w:p>
  </w:footnote>
  <w:footnote w:id="5">
    <w:p w14:paraId="47EC6517" w14:textId="77777777" w:rsidR="00677258" w:rsidRPr="00982700" w:rsidRDefault="00677258" w:rsidP="00677258">
      <w:pPr>
        <w:pStyle w:val="Textonotapie"/>
        <w:ind w:firstLine="709"/>
        <w:jc w:val="both"/>
        <w:rPr>
          <w:rFonts w:ascii="Arial" w:hAnsi="Arial" w:cs="Arial"/>
          <w:sz w:val="19"/>
          <w:szCs w:val="19"/>
          <w:lang w:val="es-ES_tradnl"/>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pt-BR"/>
        </w:rPr>
        <w:t xml:space="preserve">CORTE CONSTITUCIONAL. Sentencia C-415 de 1994. M.P. Eduardo </w:t>
      </w:r>
      <w:proofErr w:type="spellStart"/>
      <w:r w:rsidRPr="00982700">
        <w:rPr>
          <w:rFonts w:ascii="Arial" w:hAnsi="Arial" w:cs="Arial"/>
          <w:sz w:val="19"/>
          <w:szCs w:val="19"/>
          <w:lang w:val="pt-BR"/>
        </w:rPr>
        <w:t>Cifuentes</w:t>
      </w:r>
      <w:proofErr w:type="spellEnd"/>
      <w:r w:rsidRPr="00982700">
        <w:rPr>
          <w:rFonts w:ascii="Arial" w:hAnsi="Arial" w:cs="Arial"/>
          <w:sz w:val="19"/>
          <w:szCs w:val="19"/>
          <w:lang w:val="pt-BR"/>
        </w:rPr>
        <w:t xml:space="preserve"> </w:t>
      </w:r>
      <w:proofErr w:type="spellStart"/>
      <w:r w:rsidRPr="00982700">
        <w:rPr>
          <w:rFonts w:ascii="Arial" w:hAnsi="Arial" w:cs="Arial"/>
          <w:sz w:val="19"/>
          <w:szCs w:val="19"/>
          <w:lang w:val="pt-BR"/>
        </w:rPr>
        <w:t>Muñoz</w:t>
      </w:r>
      <w:proofErr w:type="spellEnd"/>
      <w:r w:rsidRPr="00982700">
        <w:rPr>
          <w:rFonts w:ascii="Arial" w:hAnsi="Arial" w:cs="Arial"/>
          <w:sz w:val="19"/>
          <w:szCs w:val="19"/>
          <w:lang w:val="pt-BR"/>
        </w:rPr>
        <w:t>.</w:t>
      </w:r>
    </w:p>
  </w:footnote>
  <w:footnote w:id="6">
    <w:p w14:paraId="52EF06A2" w14:textId="77777777" w:rsidR="00677258" w:rsidRPr="00982700" w:rsidRDefault="00677258" w:rsidP="00677258">
      <w:pPr>
        <w:pStyle w:val="Textonotapie"/>
        <w:ind w:firstLine="709"/>
        <w:jc w:val="both"/>
        <w:rPr>
          <w:rFonts w:ascii="Arial" w:hAnsi="Arial" w:cs="Arial"/>
          <w:sz w:val="19"/>
          <w:szCs w:val="19"/>
          <w:lang w:val="pt-BR"/>
        </w:rPr>
      </w:pPr>
      <w:r w:rsidRPr="00982700">
        <w:rPr>
          <w:rStyle w:val="Refdenotaalpie"/>
          <w:rFonts w:ascii="Arial" w:hAnsi="Arial" w:cs="Arial"/>
          <w:sz w:val="19"/>
          <w:szCs w:val="19"/>
        </w:rPr>
        <w:footnoteRef/>
      </w:r>
      <w:r w:rsidRPr="00982700">
        <w:rPr>
          <w:rFonts w:ascii="Arial" w:hAnsi="Arial" w:cs="Arial"/>
          <w:sz w:val="19"/>
          <w:szCs w:val="19"/>
        </w:rPr>
        <w:t xml:space="preserve"> </w:t>
      </w:r>
      <w:proofErr w:type="spellStart"/>
      <w:r w:rsidRPr="00982700">
        <w:rPr>
          <w:rFonts w:ascii="Arial" w:hAnsi="Arial" w:cs="Arial"/>
          <w:sz w:val="19"/>
          <w:szCs w:val="19"/>
          <w:lang w:val="pt-BR"/>
        </w:rPr>
        <w:t>Ibídem</w:t>
      </w:r>
      <w:proofErr w:type="spellEnd"/>
      <w:r w:rsidRPr="00982700">
        <w:rPr>
          <w:rFonts w:ascii="Arial" w:hAnsi="Arial" w:cs="Arial"/>
          <w:sz w:val="19"/>
          <w:szCs w:val="19"/>
          <w:lang w:val="pt-BR"/>
        </w:rPr>
        <w:t>.</w:t>
      </w:r>
    </w:p>
  </w:footnote>
  <w:footnote w:id="7">
    <w:p w14:paraId="36DE688B" w14:textId="77777777" w:rsidR="00677258" w:rsidRPr="005F541D" w:rsidRDefault="00677258" w:rsidP="00677258">
      <w:pPr>
        <w:pStyle w:val="Textonotapie"/>
        <w:ind w:firstLine="709"/>
        <w:jc w:val="both"/>
        <w:rPr>
          <w:rFonts w:ascii="Arial" w:hAnsi="Arial" w:cs="Arial"/>
          <w:sz w:val="19"/>
          <w:szCs w:val="19"/>
          <w:lang w:val="es-CO"/>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pt-BR"/>
        </w:rPr>
        <w:t xml:space="preserve">CORTE CONSTITUCIONAL. </w:t>
      </w:r>
      <w:r w:rsidRPr="00982700">
        <w:rPr>
          <w:rFonts w:ascii="Arial" w:hAnsi="Arial" w:cs="Arial"/>
          <w:sz w:val="19"/>
          <w:szCs w:val="19"/>
        </w:rPr>
        <w:t xml:space="preserve">Sentencia C-780 de 2001. </w:t>
      </w:r>
      <w:r w:rsidRPr="005F541D">
        <w:rPr>
          <w:rFonts w:ascii="Arial" w:hAnsi="Arial" w:cs="Arial"/>
          <w:sz w:val="19"/>
          <w:szCs w:val="19"/>
          <w:lang w:val="es-CO"/>
        </w:rPr>
        <w:t xml:space="preserve">M.P. Jaime Córdoba Triviño. </w:t>
      </w:r>
    </w:p>
  </w:footnote>
  <w:footnote w:id="8">
    <w:p w14:paraId="0D5D615C" w14:textId="77777777" w:rsidR="00677258" w:rsidRPr="00982700" w:rsidRDefault="00677258" w:rsidP="00677258">
      <w:pPr>
        <w:pStyle w:val="NormalWeb"/>
        <w:spacing w:after="0"/>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es-ES"/>
        </w:rPr>
        <w:t>Ley 80 de 1993: “Artículo 8: 1o. Son inhábiles para participar en licitaciones o concursos y para celebrar contratos con las entidades estatales: </w:t>
      </w:r>
    </w:p>
    <w:p w14:paraId="526CB720" w14:textId="77777777" w:rsidR="00677258" w:rsidRPr="00982700" w:rsidRDefault="00677258" w:rsidP="00677258">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a) Las personas que se hallen inhabilitadas para contratar por la Constitución y las leyes. </w:t>
      </w:r>
    </w:p>
    <w:p w14:paraId="2FBA2303" w14:textId="77777777" w:rsidR="00677258" w:rsidRPr="00982700" w:rsidRDefault="00677258" w:rsidP="00677258">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b) Quienes participaron en las licitaciones o concursos o celebraron los contratos de que trata el literal anterior estando inhabilitados. </w:t>
      </w:r>
    </w:p>
    <w:p w14:paraId="12DE0282" w14:textId="77777777" w:rsidR="00677258" w:rsidRPr="00982700" w:rsidRDefault="00677258" w:rsidP="00677258">
      <w:pPr>
        <w:pStyle w:val="NormalWeb"/>
        <w:spacing w:after="0"/>
        <w:ind w:firstLine="709"/>
        <w:jc w:val="both"/>
        <w:rPr>
          <w:rFonts w:ascii="Arial" w:hAnsi="Arial" w:cs="Arial"/>
          <w:sz w:val="19"/>
          <w:szCs w:val="19"/>
          <w:lang w:val="es-ES"/>
        </w:rPr>
      </w:pPr>
      <w:r w:rsidRPr="00982700">
        <w:rPr>
          <w:rFonts w:ascii="Arial" w:hAnsi="Arial" w:cs="Arial"/>
          <w:sz w:val="19"/>
          <w:szCs w:val="19"/>
          <w:lang w:val="es-ES"/>
        </w:rPr>
        <w:t>c) Quienes dieron lugar a la declaratoria de caducidad. </w:t>
      </w:r>
    </w:p>
    <w:p w14:paraId="6A12F596" w14:textId="77777777" w:rsidR="00677258" w:rsidRPr="00982700" w:rsidRDefault="00677258" w:rsidP="00677258">
      <w:pPr>
        <w:pStyle w:val="NormalWeb"/>
        <w:spacing w:after="0"/>
        <w:ind w:firstLine="709"/>
        <w:jc w:val="both"/>
        <w:rPr>
          <w:rFonts w:ascii="Arial" w:hAnsi="Arial" w:cs="Arial"/>
          <w:sz w:val="19"/>
          <w:szCs w:val="19"/>
          <w:lang w:val="es-ES"/>
        </w:rPr>
      </w:pPr>
      <w:r w:rsidRPr="00982700">
        <w:rPr>
          <w:rFonts w:ascii="Arial" w:hAnsi="Arial" w:cs="Arial"/>
          <w:sz w:val="19"/>
          <w:szCs w:val="19"/>
          <w:lang w:val="es-ES"/>
        </w:rPr>
        <w:t>d) Quienes en sentencia judicial hayan sido condenados a la pena accesoria de interdicción de derechos y funciones públicas y quienes hayan sido sancionados disciplinariamente con destitución. </w:t>
      </w:r>
    </w:p>
    <w:p w14:paraId="74647CD1" w14:textId="77777777" w:rsidR="00677258" w:rsidRPr="00982700" w:rsidRDefault="00677258" w:rsidP="00677258">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e) Quienes sin justa causa se abstengan de suscribir el contrato estatal adjudicado. </w:t>
      </w:r>
    </w:p>
    <w:p w14:paraId="4E154B65" w14:textId="77777777" w:rsidR="00677258" w:rsidRPr="00982700" w:rsidRDefault="00677258" w:rsidP="00677258">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f) Los servidores públicos. </w:t>
      </w:r>
    </w:p>
    <w:p w14:paraId="21FA4A12" w14:textId="77777777" w:rsidR="00677258" w:rsidRPr="00982700" w:rsidRDefault="00677258" w:rsidP="00677258">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g) Quienes sean cónyuges o compañeros permanentes y quienes se encuentren dentro del segundo grado de consanguinidad o segundo de afinidad con cualquier otra persona que formalmente haya presentado propuesta para una misma licitación o concurso. </w:t>
      </w:r>
    </w:p>
    <w:p w14:paraId="19F848FE" w14:textId="77777777" w:rsidR="00677258" w:rsidRPr="00982700" w:rsidRDefault="00677258" w:rsidP="00677258">
      <w:pPr>
        <w:pStyle w:val="NormalWeb"/>
        <w:spacing w:after="0"/>
        <w:ind w:firstLine="709"/>
        <w:jc w:val="both"/>
        <w:rPr>
          <w:rFonts w:ascii="Arial" w:hAnsi="Arial" w:cs="Arial"/>
          <w:sz w:val="19"/>
          <w:szCs w:val="19"/>
          <w:lang w:val="es-ES"/>
        </w:rPr>
      </w:pPr>
      <w:r w:rsidRPr="00982700">
        <w:rPr>
          <w:rFonts w:ascii="Arial" w:hAnsi="Arial" w:cs="Arial"/>
          <w:sz w:val="19"/>
          <w:szCs w:val="19"/>
          <w:lang w:val="es-ES"/>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o concurso. </w:t>
      </w:r>
    </w:p>
    <w:p w14:paraId="6514F171" w14:textId="77777777" w:rsidR="00677258" w:rsidRPr="00982700" w:rsidRDefault="00677258" w:rsidP="00677258">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i) Los socios de sociedades de personas a las cuales se haya declarado la caducidad, así como las sociedades de personas de las que aquellos formen parte con posterioridad a dicha declaratoria. </w:t>
      </w:r>
    </w:p>
    <w:p w14:paraId="6F7F6C97" w14:textId="77777777" w:rsidR="00677258" w:rsidRPr="00982700" w:rsidRDefault="00677258" w:rsidP="00677258">
      <w:pPr>
        <w:pStyle w:val="NormalWeb"/>
        <w:spacing w:after="0"/>
        <w:ind w:firstLine="709"/>
        <w:jc w:val="both"/>
        <w:rPr>
          <w:rFonts w:ascii="Arial" w:hAnsi="Arial" w:cs="Arial"/>
          <w:sz w:val="19"/>
          <w:szCs w:val="19"/>
          <w:lang w:val="es-ES"/>
        </w:rPr>
      </w:pPr>
      <w:r w:rsidRPr="00982700">
        <w:rPr>
          <w:rFonts w:ascii="Arial" w:hAnsi="Arial" w:cs="Arial"/>
          <w:sz w:val="19"/>
          <w:szCs w:val="19"/>
          <w:lang w:val="es-ES"/>
        </w:rPr>
        <w:t>  Las inhabilidades a que se refieren los literales c), d) e i) se extenderán por un término de cinco (5) años contado a partir de la fecha de ejecutoria del acto que declaró la caducidad, o de la sentencia que impuso la pena, o del acto que dispuso la destitución; las previstas en los literales b) y e), se extenderán por un término de cinco (5) años contado a partir de la fecha de ocurrencia del hecho de la participación en la licitación o concurso, o de la de celebración del contrato, o de la de expiración del plazo para su firma. </w:t>
      </w:r>
    </w:p>
    <w:p w14:paraId="0675D651" w14:textId="77777777" w:rsidR="00677258" w:rsidRPr="00982700" w:rsidRDefault="00677258" w:rsidP="00677258">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14:paraId="71ABA5D5" w14:textId="77777777" w:rsidR="00677258" w:rsidRPr="00982700" w:rsidRDefault="00677258" w:rsidP="00677258">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Esta inhabilidad procederá preventivamente aún en los casos en los que esté pendiente la decisión sobre la impugnación de la sentencia condenatoria. Asimismo, la inhabilidad se extenderá a las sociedades de las que hagan parte dichas personas en calidad de administradores, represen</w:t>
      </w:r>
      <w:r w:rsidRPr="00982700">
        <w:rPr>
          <w:rFonts w:ascii="Arial" w:hAnsi="Arial" w:cs="Arial"/>
          <w:sz w:val="19"/>
          <w:szCs w:val="19"/>
          <w:lang w:val="es-ES"/>
        </w:rPr>
        <w:softHyphen/>
        <w:t>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w:t>
      </w:r>
      <w:r w:rsidRPr="00982700">
        <w:rPr>
          <w:rFonts w:ascii="Arial" w:hAnsi="Arial" w:cs="Arial"/>
          <w:sz w:val="19"/>
          <w:szCs w:val="19"/>
          <w:lang w:val="es-ES"/>
        </w:rPr>
        <w:softHyphen/>
        <w:t>cepción de las sociedades anónimas abiertas. También se considerarán inhabilitadas para contratar, las personas jurídicas sobre las cuales se haya ordenado la suspensión de la perso</w:t>
      </w:r>
      <w:r w:rsidRPr="00982700">
        <w:rPr>
          <w:rFonts w:ascii="Arial" w:hAnsi="Arial" w:cs="Arial"/>
          <w:sz w:val="19"/>
          <w:szCs w:val="19"/>
          <w:lang w:val="es-ES"/>
        </w:rPr>
        <w:softHyphen/>
        <w:t>nería jurídica en los términos de ley, o cuyos representantes legales, ad</w:t>
      </w:r>
      <w:r w:rsidRPr="00982700">
        <w:rPr>
          <w:rFonts w:ascii="Arial" w:hAnsi="Arial" w:cs="Arial"/>
          <w:sz w:val="19"/>
          <w:szCs w:val="19"/>
          <w:lang w:val="es-ES"/>
        </w:rPr>
        <w:softHyphen/>
        <w:t>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  La inhabilidad prevista en este literal se extenderá de forma perma</w:t>
      </w:r>
      <w:r w:rsidRPr="00982700">
        <w:rPr>
          <w:rFonts w:ascii="Arial" w:hAnsi="Arial" w:cs="Arial"/>
          <w:sz w:val="19"/>
          <w:szCs w:val="19"/>
          <w:lang w:val="es-ES"/>
        </w:rPr>
        <w:softHyphen/>
        <w:t>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 </w:t>
      </w:r>
    </w:p>
    <w:p w14:paraId="6105D65C" w14:textId="77777777" w:rsidR="00677258" w:rsidRPr="00982700" w:rsidRDefault="00677258" w:rsidP="00677258">
      <w:pPr>
        <w:pStyle w:val="NormalWeb"/>
        <w:spacing w:after="0"/>
        <w:ind w:firstLine="709"/>
        <w:jc w:val="both"/>
        <w:rPr>
          <w:rFonts w:ascii="Arial" w:hAnsi="Arial" w:cs="Arial"/>
          <w:sz w:val="19"/>
          <w:szCs w:val="19"/>
          <w:lang w:val="es-ES"/>
        </w:rPr>
      </w:pPr>
      <w:r w:rsidRPr="00982700">
        <w:rPr>
          <w:rFonts w:ascii="Arial" w:hAnsi="Arial" w:cs="Arial"/>
          <w:sz w:val="19"/>
          <w:szCs w:val="19"/>
          <w:lang w:val="es-ES"/>
        </w:rPr>
        <w:t>[…]</w:t>
      </w:r>
    </w:p>
    <w:p w14:paraId="37FD7C89" w14:textId="77777777" w:rsidR="00677258" w:rsidRPr="00982700" w:rsidRDefault="00677258" w:rsidP="00677258">
      <w:pPr>
        <w:pStyle w:val="NormalWeb"/>
        <w:spacing w:after="0"/>
        <w:ind w:firstLine="709"/>
        <w:jc w:val="both"/>
        <w:rPr>
          <w:rFonts w:ascii="Arial" w:hAnsi="Arial" w:cs="Arial"/>
          <w:sz w:val="19"/>
          <w:szCs w:val="19"/>
          <w:lang w:val="es-ES"/>
        </w:rPr>
      </w:pPr>
      <w:r w:rsidRPr="00982700">
        <w:rPr>
          <w:rFonts w:ascii="Arial" w:hAnsi="Arial" w:cs="Arial"/>
          <w:sz w:val="19"/>
          <w:szCs w:val="19"/>
          <w:lang w:val="es-ES"/>
        </w:rPr>
        <w:t>2o. Tampoco podrán participar en licitaciones o concursos ni celebrar contratos estatales con la entidad respectiva: </w:t>
      </w:r>
    </w:p>
    <w:p w14:paraId="129F69F1" w14:textId="77777777" w:rsidR="00677258" w:rsidRPr="00982700" w:rsidRDefault="00677258" w:rsidP="00677258">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a) Quienes fueron miembros de la junta o consejo directivo o servidores públicos de la entidad contratante. Esta incompatibilidad solo comprende a quienes desempeñaron funciones en los niveles directivo, asesor o ejecutivo y se extiende por el término de un (1) año, contado a partir de la fecha del retiro. </w:t>
      </w:r>
    </w:p>
    <w:p w14:paraId="08AFF1AF" w14:textId="77777777" w:rsidR="00677258" w:rsidRPr="00982700" w:rsidRDefault="00677258" w:rsidP="00677258">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b)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w:t>
      </w:r>
    </w:p>
    <w:p w14:paraId="60D783B7" w14:textId="77777777" w:rsidR="00677258" w:rsidRPr="00982700" w:rsidRDefault="00677258" w:rsidP="00677258">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c) El cónyuge, compañero o compañera permanente del servidor público en los niveles directivo, asesor, ejecutivo, o de un miembro de la junta o consejo directivo, o de quien ejerza funciones de control interno o de control fiscal. </w:t>
      </w:r>
    </w:p>
    <w:p w14:paraId="46E4E5B6" w14:textId="77777777" w:rsidR="00677258" w:rsidRPr="00982700" w:rsidRDefault="00677258" w:rsidP="00677258">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w:t>
      </w:r>
    </w:p>
    <w:p w14:paraId="564D55FA" w14:textId="77777777" w:rsidR="00677258" w:rsidRPr="00982700" w:rsidRDefault="00677258" w:rsidP="00677258">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e) Los miembros de las juntas o consejos directivos. Esta incompatibilidad sólo se predica respecto de la entidad a la cual prestan sus servicios y de las del sector administrativo al que la misma esté adscrita o vinculada. </w:t>
      </w:r>
    </w:p>
    <w:p w14:paraId="6FE83002" w14:textId="77777777" w:rsidR="00677258" w:rsidRPr="00982700" w:rsidRDefault="00677258" w:rsidP="00677258">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 xml:space="preserve">f)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Esta incompatibilidad también operará para las personas que se encuentren dentro del primer grado de consanguinidad, primero de afinidad, o primero civil del </w:t>
      </w:r>
      <w:proofErr w:type="gramStart"/>
      <w:r w:rsidRPr="00982700">
        <w:rPr>
          <w:rFonts w:ascii="Arial" w:hAnsi="Arial" w:cs="Arial"/>
          <w:sz w:val="19"/>
          <w:szCs w:val="19"/>
          <w:lang w:val="es-ES"/>
        </w:rPr>
        <w:t>ex empleado</w:t>
      </w:r>
      <w:proofErr w:type="gramEnd"/>
      <w:r w:rsidRPr="00982700">
        <w:rPr>
          <w:rFonts w:ascii="Arial" w:hAnsi="Arial" w:cs="Arial"/>
          <w:sz w:val="19"/>
          <w:szCs w:val="19"/>
          <w:lang w:val="es-ES"/>
        </w:rPr>
        <w:t xml:space="preserve"> público”. (…). </w:t>
      </w:r>
    </w:p>
  </w:footnote>
  <w:footnote w:id="9">
    <w:p w14:paraId="3986B4EA" w14:textId="77777777" w:rsidR="00677258" w:rsidRPr="00982700" w:rsidRDefault="00677258" w:rsidP="00677258">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7FD735F8" w14:textId="77777777" w:rsidR="00677258" w:rsidRPr="00982700" w:rsidRDefault="00677258" w:rsidP="00677258">
      <w:pPr>
        <w:pStyle w:val="Textonotapie"/>
        <w:ind w:firstLine="709"/>
        <w:jc w:val="both"/>
        <w:rPr>
          <w:rFonts w:ascii="Arial" w:hAnsi="Arial" w:cs="Arial"/>
          <w:sz w:val="19"/>
          <w:szCs w:val="19"/>
        </w:rPr>
      </w:pPr>
      <w:r w:rsidRPr="00982700">
        <w:rPr>
          <w:rFonts w:ascii="Arial" w:hAnsi="Arial" w:cs="Arial"/>
          <w:sz w:val="19"/>
          <w:szCs w:val="19"/>
        </w:rPr>
        <w:t>Las personas jurídicas nacionales y extranjeras deberán acreditar que su duración no será inferior a la del plazo del contrato y un año más”.</w:t>
      </w:r>
    </w:p>
  </w:footnote>
  <w:footnote w:id="10">
    <w:p w14:paraId="7E3E5770" w14:textId="77777777" w:rsidR="00677258" w:rsidRPr="00982700" w:rsidRDefault="00677258" w:rsidP="00677258">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Código Civil: “Artículo 1502. Requisitos para obligarse. Para que una persona se obligue a otra por un acto o declaración de voluntad, es necesario:</w:t>
      </w:r>
    </w:p>
    <w:p w14:paraId="38AD56B4" w14:textId="77777777" w:rsidR="00677258" w:rsidRPr="00982700" w:rsidRDefault="00677258" w:rsidP="00677258">
      <w:pPr>
        <w:pStyle w:val="Textonotapie"/>
        <w:ind w:firstLine="709"/>
        <w:jc w:val="both"/>
        <w:rPr>
          <w:rFonts w:ascii="Arial" w:hAnsi="Arial" w:cs="Arial"/>
          <w:sz w:val="19"/>
          <w:szCs w:val="19"/>
        </w:rPr>
      </w:pPr>
      <w:r w:rsidRPr="00982700">
        <w:rPr>
          <w:rFonts w:ascii="Arial" w:hAnsi="Arial" w:cs="Arial"/>
          <w:sz w:val="19"/>
          <w:szCs w:val="19"/>
        </w:rPr>
        <w:t>1o.) que sea legalmente capaz.</w:t>
      </w:r>
    </w:p>
    <w:p w14:paraId="6CE40A55" w14:textId="77777777" w:rsidR="00677258" w:rsidRPr="00982700" w:rsidRDefault="00677258" w:rsidP="00677258">
      <w:pPr>
        <w:pStyle w:val="Textonotapie"/>
        <w:ind w:firstLine="709"/>
        <w:jc w:val="both"/>
        <w:rPr>
          <w:rFonts w:ascii="Arial" w:hAnsi="Arial" w:cs="Arial"/>
          <w:sz w:val="19"/>
          <w:szCs w:val="19"/>
        </w:rPr>
      </w:pPr>
      <w:r w:rsidRPr="00982700">
        <w:rPr>
          <w:rFonts w:ascii="Arial" w:hAnsi="Arial" w:cs="Arial"/>
          <w:sz w:val="19"/>
          <w:szCs w:val="19"/>
        </w:rPr>
        <w:t>[…]</w:t>
      </w:r>
    </w:p>
    <w:p w14:paraId="036D6202" w14:textId="77777777" w:rsidR="00677258" w:rsidRPr="00982700" w:rsidRDefault="00677258" w:rsidP="00677258">
      <w:pPr>
        <w:pStyle w:val="Textonotapie"/>
        <w:ind w:firstLine="709"/>
        <w:jc w:val="both"/>
        <w:rPr>
          <w:rFonts w:ascii="Arial" w:hAnsi="Arial" w:cs="Arial"/>
          <w:sz w:val="19"/>
          <w:szCs w:val="19"/>
        </w:rPr>
      </w:pPr>
      <w:r w:rsidRPr="00982700">
        <w:rPr>
          <w:rFonts w:ascii="Arial" w:hAnsi="Arial" w:cs="Arial"/>
          <w:sz w:val="19"/>
          <w:szCs w:val="19"/>
        </w:rPr>
        <w:t>La capacidad legal de una persona consiste en poderse obligar por sí misma, sin el ministerio o la autorización de otra”.</w:t>
      </w:r>
    </w:p>
  </w:footnote>
  <w:footnote w:id="11">
    <w:p w14:paraId="16559569" w14:textId="77777777" w:rsidR="00677258" w:rsidRPr="00982700" w:rsidRDefault="00677258" w:rsidP="00677258">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Decreto Ley 19 de 2012: “Artículo 221. El artículo 6 de la Ley 1150 de 2007, quedará así:</w:t>
      </w:r>
    </w:p>
    <w:p w14:paraId="6C5196D6" w14:textId="77777777" w:rsidR="00677258" w:rsidRPr="00982700" w:rsidRDefault="00677258" w:rsidP="00677258">
      <w:pPr>
        <w:pStyle w:val="Textonotapie"/>
        <w:ind w:firstLine="709"/>
        <w:jc w:val="both"/>
        <w:rPr>
          <w:rFonts w:ascii="Arial" w:hAnsi="Arial" w:cs="Arial"/>
          <w:sz w:val="19"/>
          <w:szCs w:val="19"/>
          <w:lang w:val="es-ES"/>
        </w:rPr>
      </w:pPr>
      <w:r w:rsidRPr="00982700">
        <w:rPr>
          <w:rFonts w:ascii="Arial" w:hAnsi="Arial" w:cs="Arial"/>
          <w:sz w:val="19"/>
          <w:szCs w:val="19"/>
        </w:rPr>
        <w:t>Artículo 6. De la verificación de las condiciones de los proponentes. T</w:t>
      </w:r>
      <w:proofErr w:type="spellStart"/>
      <w:r w:rsidRPr="00982700">
        <w:rPr>
          <w:rFonts w:ascii="Arial" w:hAnsi="Arial" w:cs="Arial"/>
          <w:sz w:val="19"/>
          <w:szCs w:val="19"/>
          <w:lang w:val="es-ES"/>
        </w:rPr>
        <w:t>odas</w:t>
      </w:r>
      <w:proofErr w:type="spellEnd"/>
      <w:r w:rsidRPr="00982700">
        <w:rPr>
          <w:rFonts w:ascii="Arial" w:hAnsi="Arial" w:cs="Arial"/>
          <w:sz w:val="19"/>
          <w:szCs w:val="19"/>
          <w:lang w:val="es-ES"/>
        </w:rPr>
        <w:t xml:space="preserve">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1148AB4" w14:textId="77777777" w:rsidR="00677258" w:rsidRPr="00982700" w:rsidRDefault="00677258" w:rsidP="00677258">
      <w:pPr>
        <w:pStyle w:val="Textonotapie"/>
        <w:ind w:firstLine="709"/>
        <w:jc w:val="both"/>
        <w:rPr>
          <w:rFonts w:ascii="Arial" w:hAnsi="Arial" w:cs="Arial"/>
          <w:sz w:val="19"/>
          <w:szCs w:val="19"/>
          <w:lang w:val="es-ES"/>
        </w:rPr>
      </w:pPr>
      <w:r w:rsidRPr="00982700">
        <w:rPr>
          <w:rFonts w:ascii="Arial" w:hAnsi="Arial" w:cs="Arial"/>
          <w:sz w:val="19"/>
          <w:szCs w:val="19"/>
          <w:lang w:val="es-ES"/>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footnote>
  <w:footnote w:id="12">
    <w:p w14:paraId="5C19D1B6" w14:textId="77777777" w:rsidR="00677258" w:rsidRPr="00982700" w:rsidRDefault="00677258" w:rsidP="00677258">
      <w:pPr>
        <w:pStyle w:val="Textonotapie"/>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982700">
        <w:rPr>
          <w:rFonts w:ascii="Arial" w:hAnsi="Arial" w:cs="Arial"/>
          <w:i/>
          <w:iCs/>
          <w:sz w:val="19"/>
          <w:szCs w:val="19"/>
          <w:lang w:val="es-ES"/>
        </w:rPr>
        <w:t>el régimen de inhabilidades e incompatibilidades</w:t>
      </w:r>
      <w:r w:rsidRPr="00982700">
        <w:rPr>
          <w:rFonts w:ascii="Arial" w:hAnsi="Arial" w:cs="Arial"/>
          <w:sz w:val="19"/>
          <w:szCs w:val="19"/>
          <w:lang w:val="es-ES"/>
        </w:rPr>
        <w:t xml:space="preserve"> (1) y la obligación de ciertos proponentes de inscribirse en el </w:t>
      </w:r>
      <w:r w:rsidRPr="00982700">
        <w:rPr>
          <w:rFonts w:ascii="Arial" w:hAnsi="Arial" w:cs="Arial"/>
          <w:i/>
          <w:iCs/>
          <w:sz w:val="19"/>
          <w:szCs w:val="19"/>
          <w:lang w:val="es-ES"/>
        </w:rPr>
        <w:t>registro único</w:t>
      </w:r>
      <w:r w:rsidRPr="00982700">
        <w:rPr>
          <w:rFonts w:ascii="Arial" w:hAnsi="Arial" w:cs="Arial"/>
          <w:sz w:val="19"/>
          <w:szCs w:val="19"/>
          <w:lang w:val="es-ES"/>
        </w:rPr>
        <w:t xml:space="preserve"> (2)” (BENAVIDES, José Luis. El contrato estatal. Entre el Derecho público y el Derecho privado. 2ª ed. Bogotá: Universidad Externado de Colombia, 2004. p. 278). </w:t>
      </w:r>
    </w:p>
  </w:footnote>
  <w:footnote w:id="13">
    <w:p w14:paraId="658F2767" w14:textId="77777777" w:rsidR="00677258" w:rsidRPr="00982700" w:rsidRDefault="00677258" w:rsidP="00677258">
      <w:pPr>
        <w:spacing w:after="0" w:line="240" w:lineRule="auto"/>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es-ES"/>
        </w:rPr>
        <w:t xml:space="preserve">Son inhabilidades que responden a esta circunstancia, entre otras, las siguientes: “Quienes participaron en las licitaciones o celebraron los contratos de que trata el literal anterior estando inhabilitados” (art. 8, </w:t>
      </w:r>
      <w:proofErr w:type="spellStart"/>
      <w:r w:rsidRPr="00982700">
        <w:rPr>
          <w:rFonts w:ascii="Arial" w:hAnsi="Arial" w:cs="Arial"/>
          <w:sz w:val="19"/>
          <w:szCs w:val="19"/>
          <w:lang w:val="es-ES"/>
        </w:rPr>
        <w:t>num</w:t>
      </w:r>
      <w:proofErr w:type="spellEnd"/>
      <w:r w:rsidRPr="00982700">
        <w:rPr>
          <w:rFonts w:ascii="Arial" w:hAnsi="Arial" w:cs="Arial"/>
          <w:sz w:val="19"/>
          <w:szCs w:val="19"/>
          <w:lang w:val="es-ES"/>
        </w:rPr>
        <w:t xml:space="preserve">. 1º,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b, Ley 80/93); “Quienes dieron lugar a la declaratoria de caducidad” (art. 8, </w:t>
      </w:r>
      <w:proofErr w:type="spellStart"/>
      <w:r w:rsidRPr="00982700">
        <w:rPr>
          <w:rFonts w:ascii="Arial" w:hAnsi="Arial" w:cs="Arial"/>
          <w:sz w:val="19"/>
          <w:szCs w:val="19"/>
          <w:lang w:val="es-ES"/>
        </w:rPr>
        <w:t>num</w:t>
      </w:r>
      <w:proofErr w:type="spellEnd"/>
      <w:r w:rsidRPr="00982700">
        <w:rPr>
          <w:rFonts w:ascii="Arial" w:hAnsi="Arial" w:cs="Arial"/>
          <w:sz w:val="19"/>
          <w:szCs w:val="19"/>
          <w:lang w:val="es-ES"/>
        </w:rPr>
        <w:t xml:space="preserve">. 1º,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c), Ley 80/93); “Quienes en sentencia judicial hayan sido condenados a la pena accesoria de interdicción de derechos y funciones públicas y quienes hayan sido sancionados disciplinariamente con destitución” (art. 8, </w:t>
      </w:r>
      <w:proofErr w:type="spellStart"/>
      <w:r w:rsidRPr="00982700">
        <w:rPr>
          <w:rFonts w:ascii="Arial" w:hAnsi="Arial" w:cs="Arial"/>
          <w:sz w:val="19"/>
          <w:szCs w:val="19"/>
          <w:lang w:val="es-ES"/>
        </w:rPr>
        <w:t>num</w:t>
      </w:r>
      <w:proofErr w:type="spellEnd"/>
      <w:r w:rsidRPr="00982700">
        <w:rPr>
          <w:rFonts w:ascii="Arial" w:hAnsi="Arial" w:cs="Arial"/>
          <w:sz w:val="19"/>
          <w:szCs w:val="19"/>
          <w:lang w:val="es-ES"/>
        </w:rPr>
        <w:t xml:space="preserve">. 1º,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d), Ley 80/93); “Quienes sin justa causa se abstengan de suscribir el contrato estatal adjudicado” (art. 8, </w:t>
      </w:r>
      <w:proofErr w:type="spellStart"/>
      <w:r w:rsidRPr="00982700">
        <w:rPr>
          <w:rFonts w:ascii="Arial" w:hAnsi="Arial" w:cs="Arial"/>
          <w:sz w:val="19"/>
          <w:szCs w:val="19"/>
          <w:lang w:val="es-ES"/>
        </w:rPr>
        <w:t>num</w:t>
      </w:r>
      <w:proofErr w:type="spellEnd"/>
      <w:r w:rsidRPr="00982700">
        <w:rPr>
          <w:rFonts w:ascii="Arial" w:hAnsi="Arial" w:cs="Arial"/>
          <w:sz w:val="19"/>
          <w:szCs w:val="19"/>
          <w:lang w:val="es-ES"/>
        </w:rPr>
        <w:t xml:space="preserve">. 1º,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e), Ley 80/93); “i) Los socios de sociedades de personas a las cuales se haya declarado la caducidad, así como las sociedades de personas de las que aquellos formen parte con posterioridad a dicha declaratoria” (art. 8, </w:t>
      </w:r>
      <w:proofErr w:type="spellStart"/>
      <w:r w:rsidRPr="00982700">
        <w:rPr>
          <w:rFonts w:ascii="Arial" w:hAnsi="Arial" w:cs="Arial"/>
          <w:sz w:val="19"/>
          <w:szCs w:val="19"/>
          <w:lang w:val="es-ES"/>
        </w:rPr>
        <w:t>num</w:t>
      </w:r>
      <w:proofErr w:type="spellEnd"/>
      <w:r w:rsidRPr="00982700">
        <w:rPr>
          <w:rFonts w:ascii="Arial" w:hAnsi="Arial" w:cs="Arial"/>
          <w:sz w:val="19"/>
          <w:szCs w:val="19"/>
          <w:lang w:val="es-ES"/>
        </w:rPr>
        <w:t xml:space="preserve">. 1º,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i), Ley 80/93);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(art. 8, </w:t>
      </w:r>
      <w:proofErr w:type="spellStart"/>
      <w:r w:rsidRPr="00982700">
        <w:rPr>
          <w:rFonts w:ascii="Arial" w:hAnsi="Arial" w:cs="Arial"/>
          <w:sz w:val="19"/>
          <w:szCs w:val="19"/>
          <w:lang w:val="es-ES"/>
        </w:rPr>
        <w:t>num</w:t>
      </w:r>
      <w:proofErr w:type="spellEnd"/>
      <w:r w:rsidRPr="00982700">
        <w:rPr>
          <w:rFonts w:ascii="Arial" w:hAnsi="Arial" w:cs="Arial"/>
          <w:sz w:val="19"/>
          <w:szCs w:val="19"/>
          <w:lang w:val="es-ES"/>
        </w:rPr>
        <w:t xml:space="preserve">. 1º,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j), Ley 80/93);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(art. 8, </w:t>
      </w:r>
      <w:proofErr w:type="spellStart"/>
      <w:r w:rsidRPr="00982700">
        <w:rPr>
          <w:rFonts w:ascii="Arial" w:hAnsi="Arial" w:cs="Arial"/>
          <w:sz w:val="19"/>
          <w:szCs w:val="19"/>
          <w:lang w:val="es-ES"/>
        </w:rPr>
        <w:t>num</w:t>
      </w:r>
      <w:proofErr w:type="spellEnd"/>
      <w:r w:rsidRPr="00982700">
        <w:rPr>
          <w:rFonts w:ascii="Arial" w:hAnsi="Arial" w:cs="Arial"/>
          <w:sz w:val="19"/>
          <w:szCs w:val="19"/>
          <w:lang w:val="es-ES"/>
        </w:rPr>
        <w:t xml:space="preserve">. 1º,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k), Ley 80/93); “Haber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 (art. 90,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a), b) y c), Ley 1474/11, modificado por el art. 43, Ley 1955/19.</w:t>
      </w:r>
    </w:p>
  </w:footnote>
  <w:footnote w:id="14">
    <w:p w14:paraId="3FE79706" w14:textId="77777777" w:rsidR="00677258" w:rsidRPr="00982700" w:rsidRDefault="00677258" w:rsidP="00677258">
      <w:pPr>
        <w:pStyle w:val="Textonotapie"/>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es-ES"/>
        </w:rPr>
        <w:t xml:space="preserve">Por ejemplo, a título enunciativo, las siguientes: “Quienes sean cónyuges o compañeros permanentes y quienes se encuentren dentro del segundo grado de consanguinidad o segundo de afinidad con cualquier otra persona que formalmente haya presentado propuesta para una misma licitación” (art. 8, </w:t>
      </w:r>
      <w:proofErr w:type="spellStart"/>
      <w:r w:rsidRPr="00982700">
        <w:rPr>
          <w:rFonts w:ascii="Arial" w:hAnsi="Arial" w:cs="Arial"/>
          <w:sz w:val="19"/>
          <w:szCs w:val="19"/>
          <w:lang w:val="es-ES"/>
        </w:rPr>
        <w:t>num</w:t>
      </w:r>
      <w:proofErr w:type="spellEnd"/>
      <w:r w:rsidRPr="00982700">
        <w:rPr>
          <w:rFonts w:ascii="Arial" w:hAnsi="Arial" w:cs="Arial"/>
          <w:sz w:val="19"/>
          <w:szCs w:val="19"/>
          <w:lang w:val="es-ES"/>
        </w:rPr>
        <w:t xml:space="preserve">. 1º,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g), Ley 80/93);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(art. 8, </w:t>
      </w:r>
      <w:proofErr w:type="spellStart"/>
      <w:r w:rsidRPr="00982700">
        <w:rPr>
          <w:rFonts w:ascii="Arial" w:hAnsi="Arial" w:cs="Arial"/>
          <w:sz w:val="19"/>
          <w:szCs w:val="19"/>
          <w:lang w:val="es-ES"/>
        </w:rPr>
        <w:t>num</w:t>
      </w:r>
      <w:proofErr w:type="spellEnd"/>
      <w:r w:rsidRPr="00982700">
        <w:rPr>
          <w:rFonts w:ascii="Arial" w:hAnsi="Arial" w:cs="Arial"/>
          <w:sz w:val="19"/>
          <w:szCs w:val="19"/>
          <w:lang w:val="es-ES"/>
        </w:rPr>
        <w:t xml:space="preserve">. 1º,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h), Ley 80/93);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(art. 8, </w:t>
      </w:r>
      <w:proofErr w:type="spellStart"/>
      <w:r w:rsidRPr="00982700">
        <w:rPr>
          <w:rFonts w:ascii="Arial" w:hAnsi="Arial" w:cs="Arial"/>
          <w:sz w:val="19"/>
          <w:szCs w:val="19"/>
          <w:lang w:val="es-ES"/>
        </w:rPr>
        <w:t>num</w:t>
      </w:r>
      <w:proofErr w:type="spellEnd"/>
      <w:r w:rsidRPr="00982700">
        <w:rPr>
          <w:rFonts w:ascii="Arial" w:hAnsi="Arial" w:cs="Arial"/>
          <w:sz w:val="19"/>
          <w:szCs w:val="19"/>
          <w:lang w:val="es-ES"/>
        </w:rPr>
        <w:t xml:space="preserve">. 2º,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b), Ley 80/93); “El cónyuge, compañero o compañera permanente del servidor público en los niveles directivo, asesor, ejecutivo, o de un miembro de la junta o consejo directivo, o de quien ejerza funciones de control interno o de control fiscal” (art. 8, </w:t>
      </w:r>
      <w:proofErr w:type="spellStart"/>
      <w:r w:rsidRPr="00982700">
        <w:rPr>
          <w:rFonts w:ascii="Arial" w:hAnsi="Arial" w:cs="Arial"/>
          <w:sz w:val="19"/>
          <w:szCs w:val="19"/>
          <w:lang w:val="es-ES"/>
        </w:rPr>
        <w:t>num</w:t>
      </w:r>
      <w:proofErr w:type="spellEnd"/>
      <w:r w:rsidRPr="00982700">
        <w:rPr>
          <w:rFonts w:ascii="Arial" w:hAnsi="Arial" w:cs="Arial"/>
          <w:sz w:val="19"/>
          <w:szCs w:val="19"/>
          <w:lang w:val="es-ES"/>
        </w:rPr>
        <w:t xml:space="preserve">. 2º,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c),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w:t>
      </w:r>
      <w:proofErr w:type="spellStart"/>
      <w:r w:rsidRPr="00982700">
        <w:rPr>
          <w:rFonts w:ascii="Arial" w:hAnsi="Arial" w:cs="Arial"/>
          <w:sz w:val="19"/>
          <w:szCs w:val="19"/>
          <w:lang w:val="es-ES"/>
        </w:rPr>
        <w:t>num</w:t>
      </w:r>
      <w:proofErr w:type="spellEnd"/>
      <w:r w:rsidRPr="00982700">
        <w:rPr>
          <w:rFonts w:ascii="Arial" w:hAnsi="Arial" w:cs="Arial"/>
          <w:sz w:val="19"/>
          <w:szCs w:val="19"/>
          <w:lang w:val="es-ES"/>
        </w:rPr>
        <w:t xml:space="preserve">. 2º,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d), Ley 80/93).</w:t>
      </w:r>
    </w:p>
  </w:footnote>
  <w:footnote w:id="15">
    <w:p w14:paraId="32999DA4" w14:textId="77777777" w:rsidR="00677258" w:rsidRPr="00982700" w:rsidRDefault="00677258" w:rsidP="00677258">
      <w:pPr>
        <w:pStyle w:val="Textonotapie"/>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es-ES"/>
        </w:rPr>
        <w:t xml:space="preserve">Verbigracia, entre otras, las que se indican a continuación: “Las personas naturales o jurídicas que hayan financiado campañas políticas a la Presidencia de la República, a las gobernaciones, a las alcaldías o al Congreso de la República, con aportes superiores al dos por ciento (2.0%)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 (art. 8, </w:t>
      </w:r>
      <w:proofErr w:type="spellStart"/>
      <w:r w:rsidRPr="00982700">
        <w:rPr>
          <w:rFonts w:ascii="Arial" w:hAnsi="Arial" w:cs="Arial"/>
          <w:sz w:val="19"/>
          <w:szCs w:val="19"/>
          <w:lang w:val="es-ES"/>
        </w:rPr>
        <w:t>num</w:t>
      </w:r>
      <w:proofErr w:type="spellEnd"/>
      <w:r w:rsidRPr="00982700">
        <w:rPr>
          <w:rFonts w:ascii="Arial" w:hAnsi="Arial" w:cs="Arial"/>
          <w:sz w:val="19"/>
          <w:szCs w:val="19"/>
          <w:lang w:val="es-ES"/>
        </w:rPr>
        <w:t xml:space="preserve">. 1º,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k), Ley 80/93, modificado por el art. 33, Ley 1778/16); “Quienes fueron miembros de la junta o consejo directivo o servidores públicos de la entidad contratante” (art. 8, </w:t>
      </w:r>
      <w:proofErr w:type="spellStart"/>
      <w:r w:rsidRPr="00982700">
        <w:rPr>
          <w:rFonts w:ascii="Arial" w:hAnsi="Arial" w:cs="Arial"/>
          <w:sz w:val="19"/>
          <w:szCs w:val="19"/>
          <w:lang w:val="es-ES"/>
        </w:rPr>
        <w:t>num</w:t>
      </w:r>
      <w:proofErr w:type="spellEnd"/>
      <w:r w:rsidRPr="00982700">
        <w:rPr>
          <w:rFonts w:ascii="Arial" w:hAnsi="Arial" w:cs="Arial"/>
          <w:sz w:val="19"/>
          <w:szCs w:val="19"/>
          <w:lang w:val="es-ES"/>
        </w:rPr>
        <w:t xml:space="preserve">. 2º,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a), Ley 80/93);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w:t>
      </w:r>
      <w:proofErr w:type="spellStart"/>
      <w:r w:rsidRPr="00982700">
        <w:rPr>
          <w:rFonts w:ascii="Arial" w:hAnsi="Arial" w:cs="Arial"/>
          <w:sz w:val="19"/>
          <w:szCs w:val="19"/>
          <w:lang w:val="es-ES"/>
        </w:rPr>
        <w:t>num</w:t>
      </w:r>
      <w:proofErr w:type="spellEnd"/>
      <w:r w:rsidRPr="00982700">
        <w:rPr>
          <w:rFonts w:ascii="Arial" w:hAnsi="Arial" w:cs="Arial"/>
          <w:sz w:val="19"/>
          <w:szCs w:val="19"/>
          <w:lang w:val="es-ES"/>
        </w:rPr>
        <w:t xml:space="preserve">. 2º,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f), Ley 80/93, adicionado por el art. 4º, Ley 1474/2011).</w:t>
      </w:r>
    </w:p>
  </w:footnote>
  <w:footnote w:id="16">
    <w:p w14:paraId="4A417BF6" w14:textId="1D8B6FCD" w:rsidR="00677258" w:rsidRPr="00982700" w:rsidRDefault="00677258" w:rsidP="00677258">
      <w:pPr>
        <w:spacing w:after="0" w:line="240" w:lineRule="auto"/>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es-ES"/>
        </w:rPr>
        <w:t xml:space="preserve">Como las señaladas a continuación: “Los servidores públicos” (art. 8, </w:t>
      </w:r>
      <w:proofErr w:type="spellStart"/>
      <w:r w:rsidRPr="00982700">
        <w:rPr>
          <w:rFonts w:ascii="Arial" w:hAnsi="Arial" w:cs="Arial"/>
          <w:sz w:val="19"/>
          <w:szCs w:val="19"/>
          <w:lang w:val="es-ES"/>
        </w:rPr>
        <w:t>num</w:t>
      </w:r>
      <w:proofErr w:type="spellEnd"/>
      <w:r w:rsidRPr="00982700">
        <w:rPr>
          <w:rFonts w:ascii="Arial" w:hAnsi="Arial" w:cs="Arial"/>
          <w:sz w:val="19"/>
          <w:szCs w:val="19"/>
          <w:lang w:val="es-ES"/>
        </w:rPr>
        <w:t xml:space="preserve">. 1º,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f),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w:t>
      </w:r>
      <w:proofErr w:type="spellStart"/>
      <w:r w:rsidRPr="00982700">
        <w:rPr>
          <w:rFonts w:ascii="Arial" w:hAnsi="Arial" w:cs="Arial"/>
          <w:sz w:val="19"/>
          <w:szCs w:val="19"/>
          <w:lang w:val="es-ES"/>
        </w:rPr>
        <w:t>num</w:t>
      </w:r>
      <w:proofErr w:type="spellEnd"/>
      <w:r w:rsidRPr="00982700">
        <w:rPr>
          <w:rFonts w:ascii="Arial" w:hAnsi="Arial" w:cs="Arial"/>
          <w:sz w:val="19"/>
          <w:szCs w:val="19"/>
          <w:lang w:val="es-ES"/>
        </w:rPr>
        <w:t xml:space="preserve">. 2º,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d), Ley 80/93); “Los miembros de las juntas o consejos directivos. Esta incompatibilidad sólo se predica respecto de la entidad a la cual prestan sus servicios y de las del sector administrativo al que la misma esté adscrita o vinculada” (art. 8, </w:t>
      </w:r>
      <w:proofErr w:type="spellStart"/>
      <w:r w:rsidRPr="00982700">
        <w:rPr>
          <w:rFonts w:ascii="Arial" w:hAnsi="Arial" w:cs="Arial"/>
          <w:sz w:val="19"/>
          <w:szCs w:val="19"/>
          <w:lang w:val="es-ES"/>
        </w:rPr>
        <w:t>num</w:t>
      </w:r>
      <w:proofErr w:type="spellEnd"/>
      <w:r w:rsidRPr="00982700">
        <w:rPr>
          <w:rFonts w:ascii="Arial" w:hAnsi="Arial" w:cs="Arial"/>
          <w:sz w:val="19"/>
          <w:szCs w:val="19"/>
          <w:lang w:val="es-ES"/>
        </w:rPr>
        <w:t xml:space="preserve">. 2º,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e), Ley 80/93); “Quien haya celebrado un contrato estatal de obra pública, de concesión, suministro de medicamentos y de alimentos o su cónyuge, compañero o compañera permanente, pariente hasta el segundo grado de consa</w:t>
      </w:r>
      <w:r w:rsidR="007D1F6C">
        <w:rPr>
          <w:rFonts w:ascii="Arial" w:hAnsi="Arial" w:cs="Arial"/>
          <w:sz w:val="19"/>
          <w:szCs w:val="19"/>
          <w:lang w:val="es-ES"/>
        </w:rPr>
        <w:t>n</w:t>
      </w:r>
      <w:r w:rsidRPr="00982700">
        <w:rPr>
          <w:rFonts w:ascii="Arial" w:hAnsi="Arial" w:cs="Arial"/>
          <w:sz w:val="19"/>
          <w:szCs w:val="19"/>
          <w:lang w:val="es-ES"/>
        </w:rPr>
        <w:t xml:space="preserve">guinidad,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 (art. 5, Ley 1474/11). </w:t>
      </w:r>
    </w:p>
  </w:footnote>
  <w:footnote w:id="17">
    <w:p w14:paraId="4D3D6EF9" w14:textId="77777777" w:rsidR="00677258" w:rsidRPr="00982700" w:rsidRDefault="00677258" w:rsidP="00677258">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En esta línea Dávila Vinueza Expresa: “El legislador para calificar estas prohibiciones emplea dos vocablos: Inhabilidades o incompatibilidades, los cuales en un examen desprevenido podrían sugerir ideas diferentes </w:t>
      </w:r>
      <w:proofErr w:type="gramStart"/>
      <w:r w:rsidRPr="00982700">
        <w:rPr>
          <w:rFonts w:ascii="Arial" w:hAnsi="Arial" w:cs="Arial"/>
          <w:sz w:val="19"/>
          <w:szCs w:val="19"/>
        </w:rPr>
        <w:t>y</w:t>
      </w:r>
      <w:proofErr w:type="gramEnd"/>
      <w:r w:rsidRPr="00982700">
        <w:rPr>
          <w:rFonts w:ascii="Arial" w:hAnsi="Arial" w:cs="Arial"/>
          <w:sz w:val="19"/>
          <w:szCs w:val="19"/>
        </w:rPr>
        <w:t xml:space="preserve"> en consecuencia, efectos también distintos. Sin embargo, se trata de conceptos que no producen distinciones más allá de las puramente semánticas. En nada afecta el calificar una causal con denominación diferente a la empleada en el texto legal, cuando mucho se criticará la falta de precisión. Ello es así por cuanto los efectos jurídicos que se general para una y otra son exactamente los mismos. Incluso se podría afirmar </w:t>
      </w:r>
      <w:proofErr w:type="gramStart"/>
      <w:r w:rsidRPr="00982700">
        <w:rPr>
          <w:rFonts w:ascii="Arial" w:hAnsi="Arial" w:cs="Arial"/>
          <w:sz w:val="19"/>
          <w:szCs w:val="19"/>
        </w:rPr>
        <w:t>que</w:t>
      </w:r>
      <w:proofErr w:type="gramEnd"/>
      <w:r w:rsidRPr="00982700">
        <w:rPr>
          <w:rFonts w:ascii="Arial" w:hAnsi="Arial" w:cs="Arial"/>
          <w:sz w:val="19"/>
          <w:szCs w:val="19"/>
        </w:rPr>
        <w:t xml:space="preserve"> ante la semejanza de las figuras, conviene emplear un único vocablo, con lo cual serían innecesarias los intentos y las elucubraciones y explicaciones, algunas novedosas que podrían ensayarse”. (DÁVILA VINUEZA, Luis Guillermo. Régimen jurídico de la contratación estatal. 3ª ed. Bogotá: Legis, 2016. p. 148).</w:t>
      </w:r>
    </w:p>
  </w:footnote>
  <w:footnote w:id="18">
    <w:p w14:paraId="48D721CB" w14:textId="77777777" w:rsidR="00677258" w:rsidRPr="00982700" w:rsidRDefault="00677258" w:rsidP="00677258">
      <w:pPr>
        <w:pStyle w:val="Textonotapie"/>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es-ES"/>
        </w:rPr>
        <w:t xml:space="preserve">BARRETO ROZO, Antonio Alejandro. Inhabilidades de la contratación estatal, efectos y </w:t>
      </w:r>
      <w:proofErr w:type="spellStart"/>
      <w:r w:rsidRPr="00982700">
        <w:rPr>
          <w:rFonts w:ascii="Arial" w:hAnsi="Arial" w:cs="Arial"/>
          <w:sz w:val="19"/>
          <w:szCs w:val="19"/>
          <w:lang w:val="es-ES"/>
        </w:rPr>
        <w:t>neopunitivismo</w:t>
      </w:r>
      <w:proofErr w:type="spellEnd"/>
      <w:r w:rsidRPr="00982700">
        <w:rPr>
          <w:rFonts w:ascii="Arial" w:hAnsi="Arial" w:cs="Arial"/>
          <w:sz w:val="19"/>
          <w:szCs w:val="19"/>
          <w:lang w:val="es-ES"/>
        </w:rPr>
        <w:t xml:space="preserve"> en el Estatuto Anticorrupción. En: ALVIAR GARCÍA, Helena (Coordinadora). Nuevas tendencias del Derecho administrativo. Bogotá: Universidad de los Andes; Temis, 2016. pp. 63-99.</w:t>
      </w:r>
    </w:p>
  </w:footnote>
  <w:footnote w:id="19">
    <w:p w14:paraId="003852B3" w14:textId="77777777" w:rsidR="00677258" w:rsidRPr="00982700" w:rsidRDefault="00677258" w:rsidP="00677258">
      <w:pPr>
        <w:pStyle w:val="Textonotapie"/>
        <w:ind w:firstLine="709"/>
        <w:jc w:val="both"/>
        <w:rPr>
          <w:rFonts w:ascii="Arial" w:hAnsi="Arial" w:cs="Arial"/>
          <w:sz w:val="19"/>
          <w:szCs w:val="19"/>
          <w:lang w:val="es-ES_tradnl"/>
        </w:rPr>
      </w:pPr>
      <w:r w:rsidRPr="00982700">
        <w:rPr>
          <w:rStyle w:val="Refdenotaalpie"/>
          <w:rFonts w:ascii="Arial" w:hAnsi="Arial" w:cs="Arial"/>
          <w:sz w:val="19"/>
          <w:szCs w:val="19"/>
        </w:rPr>
        <w:footnoteRef/>
      </w:r>
      <w:r w:rsidRPr="00982700">
        <w:rPr>
          <w:rFonts w:ascii="Arial" w:hAnsi="Arial" w:cs="Arial"/>
          <w:sz w:val="19"/>
          <w:szCs w:val="19"/>
        </w:rPr>
        <w:t xml:space="preserve"> </w:t>
      </w:r>
      <w:proofErr w:type="spellStart"/>
      <w:r w:rsidRPr="00982700">
        <w:rPr>
          <w:rFonts w:ascii="Arial" w:hAnsi="Arial" w:cs="Arial"/>
          <w:sz w:val="19"/>
          <w:szCs w:val="19"/>
          <w:lang w:val="es-ES"/>
        </w:rPr>
        <w:t>Ibídem</w:t>
      </w:r>
      <w:proofErr w:type="spellEnd"/>
      <w:r w:rsidRPr="00982700">
        <w:rPr>
          <w:rFonts w:ascii="Arial" w:hAnsi="Arial" w:cs="Arial"/>
          <w:sz w:val="19"/>
          <w:szCs w:val="19"/>
          <w:lang w:val="es-ES"/>
        </w:rPr>
        <w:t>. p. 69.</w:t>
      </w:r>
    </w:p>
  </w:footnote>
  <w:footnote w:id="20">
    <w:p w14:paraId="0BC94A5D" w14:textId="77777777" w:rsidR="00677258" w:rsidRPr="00982700" w:rsidRDefault="00677258" w:rsidP="00677258">
      <w:pPr>
        <w:pStyle w:val="Textonotapie"/>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es-ES"/>
        </w:rPr>
        <w:t xml:space="preserve">CORTE CONSTITUCIONAL. Sentencia T-1039 de 2006. M.P. Humberto Sierra Porto. La Corte Constitucional ha mantenido este criterio en las sentencias: C-903 de 2008. M.P. Jaime Araujo Rentería; C-101 de 2018. M.P. Gloria Stella Ortiz Delgado; entre otras. </w:t>
      </w:r>
    </w:p>
  </w:footnote>
  <w:footnote w:id="21">
    <w:p w14:paraId="44368124" w14:textId="77777777" w:rsidR="00677258" w:rsidRPr="00982700" w:rsidRDefault="00677258" w:rsidP="00677258">
      <w:pPr>
        <w:pStyle w:val="Textonotapie"/>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es-ES"/>
        </w:rPr>
        <w:t xml:space="preserve">CONSEJO DE ESTADO. Sala de Consulta y Servicio Civil. Concepto del 30 de abril de 2015. </w:t>
      </w:r>
      <w:proofErr w:type="spellStart"/>
      <w:r w:rsidRPr="00982700">
        <w:rPr>
          <w:rFonts w:ascii="Arial" w:hAnsi="Arial" w:cs="Arial"/>
          <w:sz w:val="19"/>
          <w:szCs w:val="19"/>
          <w:lang w:val="es-ES"/>
        </w:rPr>
        <w:t>Exp</w:t>
      </w:r>
      <w:proofErr w:type="spellEnd"/>
      <w:r w:rsidRPr="00982700">
        <w:rPr>
          <w:rFonts w:ascii="Arial" w:hAnsi="Arial" w:cs="Arial"/>
          <w:sz w:val="19"/>
          <w:szCs w:val="19"/>
          <w:lang w:val="es-ES"/>
        </w:rPr>
        <w:t xml:space="preserve">. 2251. C.P. Álvaro </w:t>
      </w:r>
      <w:proofErr w:type="spellStart"/>
      <w:r w:rsidRPr="00982700">
        <w:rPr>
          <w:rFonts w:ascii="Arial" w:hAnsi="Arial" w:cs="Arial"/>
          <w:sz w:val="19"/>
          <w:szCs w:val="19"/>
          <w:lang w:val="es-ES"/>
        </w:rPr>
        <w:t>Namén</w:t>
      </w:r>
      <w:proofErr w:type="spellEnd"/>
      <w:r w:rsidRPr="00982700">
        <w:rPr>
          <w:rFonts w:ascii="Arial" w:hAnsi="Arial" w:cs="Arial"/>
          <w:sz w:val="19"/>
          <w:szCs w:val="19"/>
          <w:lang w:val="es-ES"/>
        </w:rPr>
        <w:t xml:space="preserve"> Vargas.</w:t>
      </w:r>
    </w:p>
  </w:footnote>
  <w:footnote w:id="22">
    <w:p w14:paraId="7A052280" w14:textId="77777777" w:rsidR="00677258" w:rsidRPr="00982700" w:rsidRDefault="00677258" w:rsidP="00677258">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CONSEJO DE ESTADO. Sección Tercera. Subsección A. Sentencia del 24 de junio de 2015. </w:t>
      </w:r>
      <w:proofErr w:type="spellStart"/>
      <w:r w:rsidRPr="00982700">
        <w:rPr>
          <w:rFonts w:ascii="Arial" w:hAnsi="Arial" w:cs="Arial"/>
          <w:sz w:val="19"/>
          <w:szCs w:val="19"/>
        </w:rPr>
        <w:t>Exp</w:t>
      </w:r>
      <w:proofErr w:type="spellEnd"/>
      <w:r w:rsidRPr="00982700">
        <w:rPr>
          <w:rFonts w:ascii="Arial" w:hAnsi="Arial" w:cs="Arial"/>
          <w:sz w:val="19"/>
          <w:szCs w:val="19"/>
        </w:rPr>
        <w:t>. 40.635. C.P. Hernán Andrade Rincón (E).</w:t>
      </w:r>
    </w:p>
  </w:footnote>
  <w:footnote w:id="23">
    <w:p w14:paraId="320970A7" w14:textId="77777777" w:rsidR="00677258" w:rsidRPr="00982700" w:rsidRDefault="00677258" w:rsidP="00677258">
      <w:pPr>
        <w:pStyle w:val="Textonotapie"/>
        <w:ind w:firstLine="709"/>
        <w:jc w:val="both"/>
        <w:rPr>
          <w:rFonts w:ascii="Arial" w:hAnsi="Arial" w:cs="Arial"/>
          <w:sz w:val="19"/>
          <w:szCs w:val="19"/>
          <w:lang w:val="es-ES_tradnl"/>
        </w:rPr>
      </w:pPr>
      <w:r w:rsidRPr="00982700">
        <w:rPr>
          <w:rStyle w:val="Refdenotaalpie"/>
          <w:rFonts w:ascii="Arial" w:hAnsi="Arial" w:cs="Arial"/>
          <w:sz w:val="19"/>
          <w:szCs w:val="19"/>
        </w:rPr>
        <w:footnoteRef/>
      </w:r>
      <w:r w:rsidRPr="00982700">
        <w:rPr>
          <w:rFonts w:ascii="Arial" w:hAnsi="Arial" w:cs="Arial"/>
          <w:sz w:val="19"/>
          <w:szCs w:val="19"/>
        </w:rPr>
        <w:t xml:space="preserve"> CONSEJO DE ESTADO. Sección Tercera. Subsección C. Sentencia del 22 de mayo de 2013. Rad. 24.057. C.P. Olga Mélida Valle De </w:t>
      </w:r>
      <w:proofErr w:type="spellStart"/>
      <w:r w:rsidRPr="00982700">
        <w:rPr>
          <w:rFonts w:ascii="Arial" w:hAnsi="Arial" w:cs="Arial"/>
          <w:sz w:val="19"/>
          <w:szCs w:val="19"/>
        </w:rPr>
        <w:t>De</w:t>
      </w:r>
      <w:proofErr w:type="spellEnd"/>
      <w:r w:rsidRPr="00982700">
        <w:rPr>
          <w:rFonts w:ascii="Arial" w:hAnsi="Arial" w:cs="Arial"/>
          <w:sz w:val="19"/>
          <w:szCs w:val="19"/>
        </w:rPr>
        <w:t xml:space="preserve"> La Hoz. </w:t>
      </w:r>
    </w:p>
  </w:footnote>
  <w:footnote w:id="24">
    <w:p w14:paraId="2F337CBA" w14:textId="77777777" w:rsidR="00677258" w:rsidRPr="00982700" w:rsidRDefault="00677258" w:rsidP="00677258">
      <w:pPr>
        <w:pStyle w:val="Textonotapie"/>
        <w:ind w:firstLine="709"/>
        <w:jc w:val="both"/>
        <w:rPr>
          <w:rFonts w:ascii="Arial" w:hAnsi="Arial" w:cs="Arial"/>
          <w:sz w:val="19"/>
          <w:szCs w:val="19"/>
          <w:lang w:val="pt-BR"/>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pt-BR"/>
        </w:rPr>
        <w:t xml:space="preserve">Corte Constitucional. Sentencia C-415 de 1994. M.P. Eduardo </w:t>
      </w:r>
      <w:proofErr w:type="spellStart"/>
      <w:r w:rsidRPr="00982700">
        <w:rPr>
          <w:rFonts w:ascii="Arial" w:hAnsi="Arial" w:cs="Arial"/>
          <w:sz w:val="19"/>
          <w:szCs w:val="19"/>
          <w:lang w:val="pt-BR"/>
        </w:rPr>
        <w:t>Cifuentes</w:t>
      </w:r>
      <w:proofErr w:type="spellEnd"/>
      <w:r w:rsidRPr="00982700">
        <w:rPr>
          <w:rFonts w:ascii="Arial" w:hAnsi="Arial" w:cs="Arial"/>
          <w:sz w:val="19"/>
          <w:szCs w:val="19"/>
          <w:lang w:val="pt-BR"/>
        </w:rPr>
        <w:t xml:space="preserve"> </w:t>
      </w:r>
      <w:proofErr w:type="spellStart"/>
      <w:r w:rsidRPr="00982700">
        <w:rPr>
          <w:rFonts w:ascii="Arial" w:hAnsi="Arial" w:cs="Arial"/>
          <w:sz w:val="19"/>
          <w:szCs w:val="19"/>
          <w:lang w:val="pt-BR"/>
        </w:rPr>
        <w:t>Muñoz</w:t>
      </w:r>
      <w:proofErr w:type="spellEnd"/>
      <w:r w:rsidRPr="00982700">
        <w:rPr>
          <w:rFonts w:ascii="Arial" w:hAnsi="Arial" w:cs="Arial"/>
          <w:sz w:val="19"/>
          <w:szCs w:val="19"/>
          <w:lang w:val="pt-BR"/>
        </w:rPr>
        <w:t>.</w:t>
      </w:r>
    </w:p>
  </w:footnote>
  <w:footnote w:id="25">
    <w:p w14:paraId="6544BF0A" w14:textId="77777777" w:rsidR="00677258" w:rsidRPr="00982700" w:rsidRDefault="00677258" w:rsidP="00677258">
      <w:pPr>
        <w:pStyle w:val="Textonotapie"/>
        <w:ind w:firstLine="709"/>
        <w:jc w:val="both"/>
        <w:rPr>
          <w:rFonts w:ascii="Arial" w:hAnsi="Arial" w:cs="Arial"/>
          <w:color w:val="000000" w:themeColor="text1"/>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color w:val="000000" w:themeColor="text1"/>
          <w:sz w:val="19"/>
          <w:szCs w:val="19"/>
          <w:lang w:val="pt-BR"/>
        </w:rPr>
        <w:t xml:space="preserve">CONSEJO DE ESTADO. Sala de </w:t>
      </w:r>
      <w:proofErr w:type="spellStart"/>
      <w:r w:rsidRPr="00982700">
        <w:rPr>
          <w:rFonts w:ascii="Arial" w:hAnsi="Arial" w:cs="Arial"/>
          <w:color w:val="000000" w:themeColor="text1"/>
          <w:sz w:val="19"/>
          <w:szCs w:val="19"/>
          <w:lang w:val="pt-BR"/>
        </w:rPr>
        <w:t>lo</w:t>
      </w:r>
      <w:proofErr w:type="spellEnd"/>
      <w:r w:rsidRPr="00982700">
        <w:rPr>
          <w:rFonts w:ascii="Arial" w:hAnsi="Arial" w:cs="Arial"/>
          <w:color w:val="000000" w:themeColor="text1"/>
          <w:sz w:val="19"/>
          <w:szCs w:val="19"/>
          <w:lang w:val="pt-BR"/>
        </w:rPr>
        <w:t xml:space="preserve"> contencioso administrativo. Sentencia </w:t>
      </w:r>
      <w:proofErr w:type="spellStart"/>
      <w:r w:rsidRPr="00982700">
        <w:rPr>
          <w:rFonts w:ascii="Arial" w:hAnsi="Arial" w:cs="Arial"/>
          <w:color w:val="000000" w:themeColor="text1"/>
          <w:sz w:val="19"/>
          <w:szCs w:val="19"/>
          <w:lang w:val="pt-BR"/>
        </w:rPr>
        <w:t>del</w:t>
      </w:r>
      <w:proofErr w:type="spellEnd"/>
      <w:r w:rsidRPr="00982700">
        <w:rPr>
          <w:rFonts w:ascii="Arial" w:hAnsi="Arial" w:cs="Arial"/>
          <w:color w:val="000000" w:themeColor="text1"/>
          <w:sz w:val="19"/>
          <w:szCs w:val="19"/>
          <w:lang w:val="pt-BR"/>
        </w:rPr>
        <w:t xml:space="preserve"> 12 de </w:t>
      </w:r>
      <w:proofErr w:type="spellStart"/>
      <w:r w:rsidRPr="00982700">
        <w:rPr>
          <w:rFonts w:ascii="Arial" w:hAnsi="Arial" w:cs="Arial"/>
          <w:color w:val="000000" w:themeColor="text1"/>
          <w:sz w:val="19"/>
          <w:szCs w:val="19"/>
          <w:lang w:val="pt-BR"/>
        </w:rPr>
        <w:t>diciembre</w:t>
      </w:r>
      <w:proofErr w:type="spellEnd"/>
      <w:r w:rsidRPr="00982700">
        <w:rPr>
          <w:rFonts w:ascii="Arial" w:hAnsi="Arial" w:cs="Arial"/>
          <w:color w:val="000000" w:themeColor="text1"/>
          <w:sz w:val="19"/>
          <w:szCs w:val="19"/>
          <w:lang w:val="pt-BR"/>
        </w:rPr>
        <w:t xml:space="preserve"> de 2014. Exp. 26496. C.P. Ramiro Pazos Guerrero. </w:t>
      </w:r>
      <w:r w:rsidRPr="00982700">
        <w:rPr>
          <w:rFonts w:ascii="Arial" w:hAnsi="Arial" w:cs="Arial"/>
          <w:color w:val="000000" w:themeColor="text1"/>
          <w:sz w:val="19"/>
          <w:szCs w:val="19"/>
        </w:rPr>
        <w:t>En similar sentido, la doctrina expresa que: “[…] las causales de inhabilidad e incompatibilidad resultan ser las que la ley de manera expresa señala, no siendo factible para las entidades estatales, crearlas en los pliegos de condiciones que elaboran” (DAVILA VINUEZA, Luis Guillermo Régimen jurídico de la contratación estatal: aproximación crítica a Ley 80 de 1993. 3ª ed. Bogotá: Legis, 2016. p. 149.</w:t>
      </w:r>
    </w:p>
  </w:footnote>
  <w:footnote w:id="26">
    <w:p w14:paraId="1961C9D0" w14:textId="77777777" w:rsidR="00677258" w:rsidRPr="00982700" w:rsidRDefault="00677258" w:rsidP="00677258">
      <w:pPr>
        <w:pStyle w:val="Textonotapie"/>
        <w:ind w:firstLine="709"/>
        <w:jc w:val="both"/>
        <w:rPr>
          <w:rFonts w:ascii="Arial" w:hAnsi="Arial" w:cs="Arial"/>
          <w:sz w:val="19"/>
          <w:szCs w:val="19"/>
          <w:lang w:val="es-ES_tradnl"/>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color w:val="000000" w:themeColor="text1"/>
          <w:sz w:val="19"/>
          <w:szCs w:val="19"/>
        </w:rPr>
        <w:t>CONSEJO DE ESTADO. Sala de Consulta y Servicio Civil. Concepto del 29 de abril de 1998. Rad. 1097. C.P. Augusto Trejos Jaramillo.</w:t>
      </w:r>
    </w:p>
  </w:footnote>
  <w:footnote w:id="27">
    <w:p w14:paraId="5787E89C" w14:textId="77777777" w:rsidR="00677258" w:rsidRPr="00982700" w:rsidRDefault="00677258" w:rsidP="00677258">
      <w:pPr>
        <w:pStyle w:val="Textonotapie"/>
        <w:ind w:firstLine="708"/>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CONGRESO DE LA REPÚBLICA. Gaceta XXVII, No. 672, del 13 de se</w:t>
      </w:r>
      <w:r>
        <w:rPr>
          <w:rFonts w:ascii="Arial" w:hAnsi="Arial" w:cs="Arial"/>
          <w:sz w:val="19"/>
          <w:szCs w:val="19"/>
        </w:rPr>
        <w:t>p</w:t>
      </w:r>
      <w:r w:rsidRPr="00982700">
        <w:rPr>
          <w:rFonts w:ascii="Arial" w:hAnsi="Arial" w:cs="Arial"/>
          <w:sz w:val="19"/>
          <w:szCs w:val="19"/>
        </w:rPr>
        <w:t>tiembre de 2018. pp. 9-10.</w:t>
      </w:r>
    </w:p>
  </w:footnote>
  <w:footnote w:id="28">
    <w:p w14:paraId="13F37D6B" w14:textId="77777777" w:rsidR="00677258" w:rsidRPr="00982700" w:rsidRDefault="00677258" w:rsidP="00677258">
      <w:pPr>
        <w:pStyle w:val="Textonotapie"/>
        <w:ind w:firstLine="708"/>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Cfr. </w:t>
      </w:r>
      <w:hyperlink r:id="rId2" w:anchor=":~:text=La%20palabra%20alimento%20(producto%20o,%2C%20adulto%2C%20alto%20y%20proletario" w:history="1">
        <w:r w:rsidRPr="00982700">
          <w:rPr>
            <w:rStyle w:val="Hipervnculo"/>
            <w:rFonts w:ascii="Arial" w:hAnsi="Arial" w:cs="Arial"/>
            <w:sz w:val="19"/>
            <w:szCs w:val="19"/>
          </w:rPr>
          <w:t>https://etimologias.dechile.net/?alimento#:~:text=La%20palabra%20alimento%20(producto%20o,%2C%20adulto%2C%20alto%20y%20proletario</w:t>
        </w:r>
      </w:hyperlink>
      <w:r w:rsidRPr="00982700">
        <w:rPr>
          <w:rFonts w:ascii="Arial" w:hAnsi="Arial" w:cs="Arial"/>
          <w:sz w:val="19"/>
          <w:szCs w:val="19"/>
        </w:rPr>
        <w:t>, consultado el 10 de abril de 2023.</w:t>
      </w:r>
    </w:p>
  </w:footnote>
  <w:footnote w:id="29">
    <w:p w14:paraId="7F1F360D" w14:textId="77777777" w:rsidR="00677258" w:rsidRPr="00982700" w:rsidRDefault="00677258" w:rsidP="00677258">
      <w:pPr>
        <w:pStyle w:val="Textonotapie"/>
        <w:ind w:firstLine="708"/>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Código Civil, “</w:t>
      </w:r>
      <w:r w:rsidRPr="00982700">
        <w:rPr>
          <w:rFonts w:ascii="Arial" w:hAnsi="Arial" w:cs="Arial"/>
          <w:sz w:val="19"/>
          <w:szCs w:val="19"/>
          <w:lang w:val="es-CO"/>
        </w:rPr>
        <w:t>Artículo 1494. Las obligaciones nacen, ya del concurso real de las voluntades de dos o más personas, como en los contratos o convenciones; ya de un hecho voluntario de la persona que se obliga, como en la aceptación de una herencia o legado y en todos los cuasicontratos; ya a consecuencia de un hecho que ha inferido injuria o daño a otra persona, como en los delitos; ya por disposición de la ley, como entre los padres y los hijos de familia”.</w:t>
      </w:r>
    </w:p>
  </w:footnote>
  <w:footnote w:id="30">
    <w:p w14:paraId="6B699C29" w14:textId="77777777" w:rsidR="00677258" w:rsidRPr="00982700" w:rsidRDefault="00677258" w:rsidP="00677258">
      <w:pPr>
        <w:pStyle w:val="Textonotapie"/>
        <w:ind w:firstLine="708"/>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Cfr. CLARO SOLAR, Luis. Explicaciones de derecho civil chileno y comparado. Volumen II. Tomo III. Santiago de Chile: Editorial Jurídica de Chile, 2013. pp. 375-376.</w:t>
      </w:r>
    </w:p>
  </w:footnote>
  <w:footnote w:id="31">
    <w:p w14:paraId="4D98D272" w14:textId="77777777" w:rsidR="00677258" w:rsidRPr="00982700" w:rsidRDefault="00677258" w:rsidP="00677258">
      <w:pPr>
        <w:pStyle w:val="Textonotapie"/>
        <w:ind w:firstLine="708"/>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FUEYO LANERI, Fernando. Derecho civil. Tomo VI. Volumen III. Valparaíso: Imprenta litográfica Universo, 1959. p. 554.   </w:t>
      </w:r>
    </w:p>
  </w:footnote>
  <w:footnote w:id="32">
    <w:p w14:paraId="7ACE3B7F" w14:textId="77777777" w:rsidR="00677258" w:rsidRPr="0082101F" w:rsidRDefault="00677258" w:rsidP="00677258">
      <w:pPr>
        <w:pStyle w:val="Textonotapie"/>
        <w:ind w:firstLine="708"/>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Código Penal. “Artículo 233. </w:t>
      </w:r>
      <w:r w:rsidRPr="00982700">
        <w:rPr>
          <w:rFonts w:ascii="Arial" w:hAnsi="Arial" w:cs="Arial"/>
          <w:sz w:val="19"/>
          <w:szCs w:val="19"/>
          <w:lang w:val="es-ES"/>
        </w:rPr>
        <w:t xml:space="preserve">El que se sustraiga sin justa causa a la prestación de alimentos legalmente debidos a sus ascendientes, descendientes, adoptante, adoptivo, cónyuge o compañero o compañera permanente, incurrirá en prisión de dieciséis (16) a cincuenta y cuatro (54) meses y multa de </w:t>
      </w:r>
      <w:proofErr w:type="gramStart"/>
      <w:r w:rsidRPr="00982700">
        <w:rPr>
          <w:rFonts w:ascii="Arial" w:hAnsi="Arial" w:cs="Arial"/>
          <w:sz w:val="19"/>
          <w:szCs w:val="19"/>
          <w:lang w:val="es-ES"/>
        </w:rPr>
        <w:t>trece punto</w:t>
      </w:r>
      <w:proofErr w:type="gramEnd"/>
      <w:r w:rsidRPr="00982700">
        <w:rPr>
          <w:rFonts w:ascii="Arial" w:hAnsi="Arial" w:cs="Arial"/>
          <w:sz w:val="19"/>
          <w:szCs w:val="19"/>
          <w:lang w:val="es-ES"/>
        </w:rPr>
        <w:t xml:space="preserve"> treinta y tres (13.33) a treinta (30) salarios mínimos legales mensuales vigentes. </w:t>
      </w:r>
    </w:p>
    <w:p w14:paraId="54CD8068" w14:textId="77777777" w:rsidR="00677258" w:rsidRPr="0082101F" w:rsidRDefault="00677258" w:rsidP="00677258">
      <w:pPr>
        <w:pStyle w:val="Textonotapie"/>
        <w:ind w:firstLine="708"/>
        <w:jc w:val="both"/>
        <w:rPr>
          <w:rFonts w:ascii="Arial" w:hAnsi="Arial" w:cs="Arial"/>
          <w:sz w:val="19"/>
          <w:szCs w:val="19"/>
        </w:rPr>
      </w:pPr>
      <w:r w:rsidRPr="0082101F">
        <w:rPr>
          <w:rFonts w:ascii="Arial" w:hAnsi="Arial" w:cs="Arial"/>
          <w:sz w:val="19"/>
          <w:szCs w:val="19"/>
          <w:lang w:val="es-ES"/>
        </w:rPr>
        <w:t xml:space="preserve">La pena será de prisión de treinta y dos (32) a setenta y dos (72) meses y multa de veinte (20) a treinta y </w:t>
      </w:r>
      <w:proofErr w:type="gramStart"/>
      <w:r w:rsidRPr="0082101F">
        <w:rPr>
          <w:rFonts w:ascii="Arial" w:hAnsi="Arial" w:cs="Arial"/>
          <w:sz w:val="19"/>
          <w:szCs w:val="19"/>
          <w:lang w:val="es-ES"/>
        </w:rPr>
        <w:t>siete punto</w:t>
      </w:r>
      <w:proofErr w:type="gramEnd"/>
      <w:r w:rsidRPr="0082101F">
        <w:rPr>
          <w:rFonts w:ascii="Arial" w:hAnsi="Arial" w:cs="Arial"/>
          <w:sz w:val="19"/>
          <w:szCs w:val="19"/>
          <w:lang w:val="es-ES"/>
        </w:rPr>
        <w:t xml:space="preserve"> cinco (37.5) salarios mínimos legales mensuales vigentes cuando la inasistencia alimentaria se cometa contra un menor.</w:t>
      </w:r>
      <w:r w:rsidRPr="0082101F">
        <w:rPr>
          <w:rFonts w:ascii="Arial" w:hAnsi="Arial" w:cs="Arial"/>
          <w:sz w:val="19"/>
          <w:szCs w:val="19"/>
        </w:rPr>
        <w:t> </w:t>
      </w:r>
    </w:p>
    <w:p w14:paraId="6AC3E6A0" w14:textId="77777777" w:rsidR="00677258" w:rsidRPr="00982700" w:rsidRDefault="00677258" w:rsidP="00677258">
      <w:pPr>
        <w:pStyle w:val="Textonotapie"/>
        <w:ind w:firstLine="708"/>
        <w:jc w:val="both"/>
        <w:rPr>
          <w:rFonts w:ascii="Arial" w:hAnsi="Arial" w:cs="Arial"/>
          <w:sz w:val="19"/>
          <w:szCs w:val="19"/>
        </w:rPr>
      </w:pPr>
      <w:r w:rsidRPr="0082101F">
        <w:rPr>
          <w:rFonts w:ascii="Arial" w:hAnsi="Arial" w:cs="Arial"/>
          <w:sz w:val="19"/>
          <w:szCs w:val="19"/>
          <w:lang w:val="es-ES"/>
        </w:rPr>
        <w:t>Parágrafo 1°. Para efectos del presente artículo, se tendrá por compañero y compañera permanente al hombre y la mujer que forman parte de la Unión Marital de Hecho durante un lapso no inferior a dos años en los términos de la Ley 54 de 1990</w:t>
      </w:r>
      <w:r w:rsidRPr="00982700">
        <w:rPr>
          <w:rFonts w:ascii="Arial" w:hAnsi="Arial" w:cs="Arial"/>
          <w:sz w:val="19"/>
          <w:szCs w:val="19"/>
          <w:lang w:val="es-ES"/>
        </w:rPr>
        <w:t>”.</w:t>
      </w:r>
    </w:p>
  </w:footnote>
  <w:footnote w:id="33">
    <w:p w14:paraId="787387F3" w14:textId="77777777" w:rsidR="00677258" w:rsidRPr="00982700" w:rsidRDefault="00677258" w:rsidP="00677258">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En lo pertinente, el artículo 13 de la Ley 1150 de 2007 dispone que “</w:t>
      </w:r>
      <w:r w:rsidRPr="00982700">
        <w:rPr>
          <w:rFonts w:ascii="Arial" w:hAnsi="Arial" w:cs="Arial"/>
          <w:sz w:val="19"/>
          <w:szCs w:val="19"/>
          <w:lang w:val="es-CO"/>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r w:rsidRPr="00982700">
        <w:rPr>
          <w:rFonts w:ascii="Arial" w:hAnsi="Arial" w:cs="Arial"/>
          <w:sz w:val="19"/>
          <w:szCs w:val="19"/>
        </w:rPr>
        <w:t xml:space="preserve"> </w:t>
      </w:r>
    </w:p>
  </w:footnote>
  <w:footnote w:id="34">
    <w:p w14:paraId="033370D7" w14:textId="77777777" w:rsidR="00677258" w:rsidRPr="00982700" w:rsidRDefault="00677258" w:rsidP="00677258">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Decreto 092 de 2017, “</w:t>
      </w:r>
      <w:bookmarkStart w:id="10" w:name="6"/>
      <w:r w:rsidRPr="00982700">
        <w:rPr>
          <w:rFonts w:ascii="Arial" w:hAnsi="Arial" w:cs="Arial"/>
          <w:sz w:val="19"/>
          <w:szCs w:val="19"/>
          <w:lang w:val="es-CO"/>
        </w:rPr>
        <w:t>Artículo 6.</w:t>
      </w:r>
      <w:bookmarkEnd w:id="10"/>
      <w:r w:rsidRPr="00982700">
        <w:rPr>
          <w:rFonts w:ascii="Arial" w:hAnsi="Arial" w:cs="Arial"/>
          <w:sz w:val="19"/>
          <w:szCs w:val="19"/>
          <w:lang w:val="es-CO"/>
        </w:rPr>
        <w:t> Las prohibiciones, inhabilidades e incompatibilidades establecidas en la Constitución y en las Leyes 80 de 1993, 1150 de 2007 y 1474 de 2011, y en las normas que las modifiquen, aclaren, adicionen o sustituyan, o en cualquier otra norma especial, son aplicables a la contratación a la que hace referencia el presente decreto”.</w:t>
      </w:r>
    </w:p>
  </w:footnote>
  <w:footnote w:id="35">
    <w:p w14:paraId="677C8972" w14:textId="77777777" w:rsidR="00677258" w:rsidRPr="00982700" w:rsidRDefault="00677258" w:rsidP="00677258">
      <w:pPr>
        <w:pStyle w:val="Textonotapie"/>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El artículo 189.11 de la Constitución Política de 1991 dispone que corresponde al </w:t>
      </w:r>
      <w:proofErr w:type="gramStart"/>
      <w:r w:rsidRPr="00982700">
        <w:rPr>
          <w:rFonts w:ascii="Arial" w:hAnsi="Arial" w:cs="Arial"/>
          <w:sz w:val="19"/>
          <w:szCs w:val="19"/>
        </w:rPr>
        <w:t>Presidente</w:t>
      </w:r>
      <w:proofErr w:type="gramEnd"/>
      <w:r w:rsidRPr="00982700">
        <w:rPr>
          <w:rFonts w:ascii="Arial" w:hAnsi="Arial" w:cs="Arial"/>
          <w:sz w:val="19"/>
          <w:szCs w:val="19"/>
        </w:rPr>
        <w:t xml:space="preserve"> de la República “Ejercer la potestad reglamentaria, mediante la expedición de los decretos, resoluciones y órdenes necesarios para la cumplida ejecución de las leyes”.  </w:t>
      </w:r>
    </w:p>
  </w:footnote>
  <w:footnote w:id="36">
    <w:p w14:paraId="2FB1D41A" w14:textId="77777777" w:rsidR="00677258" w:rsidRPr="00982700" w:rsidRDefault="00677258" w:rsidP="00677258">
      <w:pPr>
        <w:pStyle w:val="Textonotapie"/>
        <w:ind w:firstLine="708"/>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No en vano, la Corte Constitucional explica que estos casos la potestad reglamentaria “[…] puede ejercerse por [el Gobierno Nacional] en cualquier tiempo, sin que sea posible que por ley se introduzca en esta materia limitación temporal alguna. Ello no quiere decir, sin embargo, que el legislador no pueda, para lograr la efectividad de una ley, disponer que el Gobierno deba reglamentarla dentro de un tiempo determinado. Tal mandato del legislador no impide que el </w:t>
      </w:r>
      <w:proofErr w:type="gramStart"/>
      <w:r w:rsidRPr="00982700">
        <w:rPr>
          <w:rFonts w:ascii="Arial" w:hAnsi="Arial" w:cs="Arial"/>
          <w:sz w:val="19"/>
          <w:szCs w:val="19"/>
        </w:rPr>
        <w:t>Presidente</w:t>
      </w:r>
      <w:proofErr w:type="gramEnd"/>
      <w:r w:rsidRPr="00982700">
        <w:rPr>
          <w:rFonts w:ascii="Arial" w:hAnsi="Arial" w:cs="Arial"/>
          <w:sz w:val="19"/>
          <w:szCs w:val="19"/>
        </w:rPr>
        <w:t xml:space="preserve"> expida la reglamentación antes del término previsto, ni lo inhabilita para el ejercicio de la potestad reglamentaria vencido ese plazo. Tampoco implica que expedida una reglamentación dentro del plazo fijado por el legislador el </w:t>
      </w:r>
      <w:proofErr w:type="gramStart"/>
      <w:r w:rsidRPr="00982700">
        <w:rPr>
          <w:rFonts w:ascii="Arial" w:hAnsi="Arial" w:cs="Arial"/>
          <w:sz w:val="19"/>
          <w:szCs w:val="19"/>
        </w:rPr>
        <w:t>Presidente</w:t>
      </w:r>
      <w:proofErr w:type="gramEnd"/>
      <w:r w:rsidRPr="00982700">
        <w:rPr>
          <w:rFonts w:ascii="Arial" w:hAnsi="Arial" w:cs="Arial"/>
          <w:sz w:val="19"/>
          <w:szCs w:val="19"/>
        </w:rPr>
        <w:t xml:space="preserve"> pierda competencia para expedir nuevos reglamentos o para modificar, adicionar o derogar sus propios reglamentos. </w:t>
      </w:r>
      <w:r w:rsidRPr="00982700">
        <w:rPr>
          <w:rFonts w:ascii="Arial" w:hAnsi="Arial" w:cs="Arial"/>
          <w:i/>
          <w:iCs/>
          <w:sz w:val="19"/>
          <w:szCs w:val="19"/>
        </w:rPr>
        <w:t xml:space="preserve">La única consecuencia normativa del término establecido por el legislador es la de imponerle al </w:t>
      </w:r>
      <w:proofErr w:type="gramStart"/>
      <w:r w:rsidRPr="00982700">
        <w:rPr>
          <w:rFonts w:ascii="Arial" w:hAnsi="Arial" w:cs="Arial"/>
          <w:i/>
          <w:iCs/>
          <w:sz w:val="19"/>
          <w:szCs w:val="19"/>
        </w:rPr>
        <w:t>Presidente</w:t>
      </w:r>
      <w:proofErr w:type="gramEnd"/>
      <w:r w:rsidRPr="00982700">
        <w:rPr>
          <w:rFonts w:ascii="Arial" w:hAnsi="Arial" w:cs="Arial"/>
          <w:i/>
          <w:iCs/>
          <w:sz w:val="19"/>
          <w:szCs w:val="19"/>
        </w:rPr>
        <w:t xml:space="preserve"> de la República el deber de reglamentar la ley dentro de dicho plazo</w:t>
      </w:r>
      <w:r w:rsidRPr="00982700">
        <w:rPr>
          <w:rFonts w:ascii="Arial" w:hAnsi="Arial" w:cs="Arial"/>
          <w:sz w:val="19"/>
          <w:szCs w:val="19"/>
        </w:rPr>
        <w:t xml:space="preserve">” (CORTE CONSTITUCIONAL. Sentencia C-805 de 2001. M.P. Rodrigo Escobar Gil. Corchetes y énfasis fuera de texto).  </w:t>
      </w:r>
    </w:p>
  </w:footnote>
  <w:footnote w:id="37">
    <w:p w14:paraId="5422B353" w14:textId="77777777" w:rsidR="00677258" w:rsidRPr="00982700" w:rsidRDefault="00677258" w:rsidP="00677258">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GUASTINI, </w:t>
      </w:r>
      <w:proofErr w:type="spellStart"/>
      <w:r w:rsidRPr="00982700">
        <w:rPr>
          <w:rFonts w:ascii="Arial" w:hAnsi="Arial" w:cs="Arial"/>
          <w:sz w:val="19"/>
          <w:szCs w:val="19"/>
        </w:rPr>
        <w:t>Riccardo</w:t>
      </w:r>
      <w:proofErr w:type="spellEnd"/>
      <w:r w:rsidRPr="00982700">
        <w:rPr>
          <w:rFonts w:ascii="Arial" w:hAnsi="Arial" w:cs="Arial"/>
          <w:sz w:val="19"/>
          <w:szCs w:val="19"/>
        </w:rPr>
        <w:t xml:space="preserve">. Interpretar y argumentar. Madrid: Centro de Estudios Políticos y Constitucionales, 2014. p. 145. El autor también propone los siguientes ejemplos de </w:t>
      </w:r>
      <w:r w:rsidRPr="00982700">
        <w:rPr>
          <w:rFonts w:ascii="Arial" w:hAnsi="Arial" w:cs="Arial"/>
          <w:i/>
          <w:iCs/>
          <w:sz w:val="19"/>
          <w:szCs w:val="19"/>
        </w:rPr>
        <w:t>lagunas técnicas</w:t>
      </w:r>
      <w:r w:rsidRPr="00982700">
        <w:rPr>
          <w:rFonts w:ascii="Arial" w:hAnsi="Arial" w:cs="Arial"/>
          <w:sz w:val="19"/>
          <w:szCs w:val="19"/>
        </w:rPr>
        <w:t>: “[…] una norma prescribe la periódica convocatoria de un órgano; pero ninguna norma determina qué sujeto es el competente para convocarlo; una norma instituye cierto órgano electivo, pero ninguna norma establece qué sistema electoral debe adoptarse; una norma recomienda perseguir cierto fin, pero ninguna norma establece qué medios deben utilizarse; etc.”. (</w:t>
      </w:r>
      <w:r w:rsidRPr="00982700">
        <w:rPr>
          <w:rFonts w:ascii="Arial" w:hAnsi="Arial" w:cs="Arial"/>
          <w:i/>
          <w:iCs/>
          <w:sz w:val="19"/>
          <w:szCs w:val="19"/>
        </w:rPr>
        <w:t>Ibidem</w:t>
      </w:r>
      <w:r w:rsidRPr="00982700">
        <w:rPr>
          <w:rFonts w:ascii="Arial" w:hAnsi="Arial" w:cs="Arial"/>
          <w:sz w:val="19"/>
          <w:szCs w:val="19"/>
        </w:rPr>
        <w:t xml:space="preserve">).  </w:t>
      </w:r>
    </w:p>
  </w:footnote>
  <w:footnote w:id="38">
    <w:p w14:paraId="524654BD" w14:textId="5B64BF57" w:rsidR="00677258" w:rsidRPr="00982700" w:rsidRDefault="00677258" w:rsidP="00677258">
      <w:pPr>
        <w:spacing w:after="0" w:line="240" w:lineRule="auto"/>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El parágrafo 2 de la norma citada disponía que </w:t>
      </w:r>
      <w:r w:rsidR="00054577">
        <w:rPr>
          <w:rFonts w:ascii="Arial" w:hAnsi="Arial" w:cs="Arial"/>
          <w:sz w:val="19"/>
          <w:szCs w:val="19"/>
        </w:rPr>
        <w:t>“</w:t>
      </w:r>
      <w:r w:rsidRPr="00982700">
        <w:rPr>
          <w:rFonts w:ascii="Arial" w:hAnsi="Arial" w:cs="Arial"/>
          <w:sz w:val="19"/>
          <w:szCs w:val="19"/>
        </w:rPr>
        <w:t>El Gobierno nacional reglamentará el procedimiento de la cesión del contrato de que trata este artículo, en término no mayor a seis (6) meses</w:t>
      </w:r>
      <w:r w:rsidR="00054577">
        <w:rPr>
          <w:rFonts w:ascii="Arial" w:hAnsi="Arial" w:cs="Arial"/>
          <w:sz w:val="19"/>
          <w:szCs w:val="19"/>
        </w:rPr>
        <w:t>”</w:t>
      </w:r>
      <w:r w:rsidRPr="00982700">
        <w:rPr>
          <w:rFonts w:ascii="Arial" w:hAnsi="Arial" w:cs="Arial"/>
          <w:sz w:val="19"/>
          <w:szCs w:val="19"/>
        </w:rPr>
        <w:t xml:space="preserve">. No obstante, conforme al comunicado de prensa del 25 de febrero de 2021, la norma fue declarada inexequible por la Corte Constitucional. Para estos efectos, </w:t>
      </w:r>
      <w:r w:rsidR="00054577">
        <w:rPr>
          <w:rFonts w:ascii="Arial" w:hAnsi="Arial" w:cs="Arial"/>
          <w:sz w:val="19"/>
          <w:szCs w:val="19"/>
        </w:rPr>
        <w:t>“</w:t>
      </w:r>
      <w:r w:rsidRPr="00982700">
        <w:rPr>
          <w:rFonts w:ascii="Arial" w:hAnsi="Arial" w:cs="Arial"/>
          <w:sz w:val="19"/>
          <w:szCs w:val="19"/>
        </w:rPr>
        <w:t>[…] la Corte consideró inexequible la atribución de facultades reglamentarias para el propósito de señalar cómo y a quién se va a ceder el contrato, pues tales asuntos deben ser definidos directamente por la ley […]</w:t>
      </w:r>
      <w:r w:rsidR="00054577">
        <w:rPr>
          <w:rFonts w:ascii="Arial" w:hAnsi="Arial" w:cs="Arial"/>
          <w:sz w:val="19"/>
          <w:szCs w:val="19"/>
        </w:rPr>
        <w:t>”</w:t>
      </w:r>
      <w:r w:rsidRPr="00982700">
        <w:rPr>
          <w:rFonts w:ascii="Arial" w:hAnsi="Arial" w:cs="Arial"/>
          <w:sz w:val="19"/>
          <w:szCs w:val="19"/>
        </w:rPr>
        <w:t xml:space="preserve">. Por lo demás, </w:t>
      </w:r>
      <w:r w:rsidR="00054577">
        <w:rPr>
          <w:rFonts w:ascii="Arial" w:hAnsi="Arial" w:cs="Arial"/>
          <w:sz w:val="19"/>
          <w:szCs w:val="19"/>
        </w:rPr>
        <w:t>“</w:t>
      </w:r>
      <w:r w:rsidRPr="00982700">
        <w:rPr>
          <w:rFonts w:ascii="Arial" w:hAnsi="Arial" w:cs="Arial"/>
          <w:sz w:val="19"/>
          <w:szCs w:val="19"/>
        </w:rPr>
        <w:t>[…] Aclaró que la potestad reglamentaria opera solamente después de esta determinación legislativa</w:t>
      </w:r>
      <w:r w:rsidR="00054577">
        <w:rPr>
          <w:rFonts w:ascii="Arial" w:hAnsi="Arial" w:cs="Arial"/>
          <w:sz w:val="19"/>
          <w:szCs w:val="19"/>
        </w:rPr>
        <w:t>”</w:t>
      </w:r>
      <w:r w:rsidRPr="00982700">
        <w:rPr>
          <w:rFonts w:ascii="Arial" w:hAnsi="Arial" w:cs="Arial"/>
          <w:sz w:val="19"/>
          <w:szCs w:val="19"/>
        </w:rPr>
        <w:t xml:space="preserve"> (Cfr. </w:t>
      </w:r>
      <w:hyperlink r:id="rId3" w:history="1">
        <w:r w:rsidRPr="00982700">
          <w:rPr>
            <w:rStyle w:val="Hipervnculo"/>
            <w:rFonts w:ascii="Arial" w:hAnsi="Arial" w:cs="Arial"/>
            <w:sz w:val="19"/>
            <w:szCs w:val="19"/>
          </w:rPr>
          <w:t>https://www.beltranpardo.com/wp-content/uploads/2021/02/CorteConstitucional_Inexequibilidadpar%C3%A1grafo2Art6L2014.pdf</w:t>
        </w:r>
      </w:hyperlink>
      <w:r w:rsidRPr="00982700">
        <w:rPr>
          <w:rFonts w:ascii="Arial" w:hAnsi="Arial" w:cs="Arial"/>
          <w:sz w:val="19"/>
          <w:szCs w:val="19"/>
        </w:rPr>
        <w:t xml:space="preserve">).  </w:t>
      </w:r>
    </w:p>
  </w:footnote>
  <w:footnote w:id="39">
    <w:p w14:paraId="6F2DAB7A" w14:textId="77777777" w:rsidR="00677258" w:rsidRPr="00982700" w:rsidRDefault="00677258" w:rsidP="00677258">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Cfr. CORTE CONSTITUCIONAL. Sentencia C-619 del 14 de junio de 2001. M.P. Marco Gerardo Monroy Cabra. </w:t>
      </w:r>
    </w:p>
  </w:footnote>
  <w:footnote w:id="40">
    <w:p w14:paraId="461858D6" w14:textId="77777777" w:rsidR="00677258" w:rsidRPr="00982700" w:rsidRDefault="00677258" w:rsidP="00677258">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CONSEJO DE ESTADO. Sección Tercera. Auto de 1 de abril de 2009. </w:t>
      </w:r>
      <w:proofErr w:type="spellStart"/>
      <w:r w:rsidRPr="00982700">
        <w:rPr>
          <w:rFonts w:ascii="Arial" w:hAnsi="Arial" w:cs="Arial"/>
          <w:sz w:val="19"/>
          <w:szCs w:val="19"/>
        </w:rPr>
        <w:t>Exp</w:t>
      </w:r>
      <w:proofErr w:type="spellEnd"/>
      <w:r w:rsidRPr="00982700">
        <w:rPr>
          <w:rFonts w:ascii="Arial" w:hAnsi="Arial" w:cs="Arial"/>
          <w:sz w:val="19"/>
          <w:szCs w:val="19"/>
        </w:rPr>
        <w:t xml:space="preserve">. 36476. M.P. Ruth Stella Correa Palacio.  </w:t>
      </w:r>
    </w:p>
  </w:footnote>
  <w:footnote w:id="41">
    <w:p w14:paraId="2F14EAC7" w14:textId="77777777" w:rsidR="00677258" w:rsidRPr="000331AC" w:rsidRDefault="00677258" w:rsidP="00677258">
      <w:pPr>
        <w:pStyle w:val="Textonotapie"/>
        <w:ind w:firstLine="708"/>
        <w:jc w:val="both"/>
        <w:rPr>
          <w:rFonts w:ascii="Arial" w:hAnsi="Arial" w:cs="Arial"/>
          <w:sz w:val="19"/>
          <w:szCs w:val="19"/>
        </w:rPr>
      </w:pPr>
      <w:r w:rsidRPr="000331AC">
        <w:rPr>
          <w:rStyle w:val="Refdenotaalpie"/>
          <w:rFonts w:ascii="Arial" w:hAnsi="Arial" w:cs="Arial"/>
          <w:sz w:val="19"/>
          <w:szCs w:val="19"/>
        </w:rPr>
        <w:footnoteRef/>
      </w:r>
      <w:r w:rsidRPr="000331AC">
        <w:rPr>
          <w:rFonts w:ascii="Arial" w:hAnsi="Arial" w:cs="Arial"/>
          <w:sz w:val="19"/>
          <w:szCs w:val="19"/>
        </w:rPr>
        <w:t xml:space="preserve"> </w:t>
      </w:r>
      <w:r w:rsidRPr="00982700">
        <w:rPr>
          <w:rFonts w:ascii="Arial" w:hAnsi="Arial" w:cs="Arial"/>
          <w:sz w:val="19"/>
          <w:szCs w:val="19"/>
        </w:rPr>
        <w:t xml:space="preserve">CONGRESO DE LA REPÚBLICA. Gaceta </w:t>
      </w:r>
      <w:r w:rsidRPr="000331AC">
        <w:rPr>
          <w:rFonts w:ascii="Arial" w:hAnsi="Arial" w:cs="Arial"/>
          <w:sz w:val="19"/>
          <w:szCs w:val="19"/>
        </w:rPr>
        <w:t>XXVIII</w:t>
      </w:r>
      <w:r w:rsidRPr="00982700">
        <w:rPr>
          <w:rFonts w:ascii="Arial" w:hAnsi="Arial" w:cs="Arial"/>
          <w:sz w:val="19"/>
          <w:szCs w:val="19"/>
        </w:rPr>
        <w:t xml:space="preserve">, No. </w:t>
      </w:r>
      <w:r>
        <w:rPr>
          <w:rFonts w:ascii="Arial" w:hAnsi="Arial" w:cs="Arial"/>
          <w:sz w:val="19"/>
          <w:szCs w:val="19"/>
        </w:rPr>
        <w:t>506</w:t>
      </w:r>
      <w:r w:rsidRPr="00982700">
        <w:rPr>
          <w:rFonts w:ascii="Arial" w:hAnsi="Arial" w:cs="Arial"/>
          <w:sz w:val="19"/>
          <w:szCs w:val="19"/>
        </w:rPr>
        <w:t xml:space="preserve">, del </w:t>
      </w:r>
      <w:r>
        <w:rPr>
          <w:rFonts w:ascii="Arial" w:hAnsi="Arial" w:cs="Arial"/>
          <w:sz w:val="19"/>
          <w:szCs w:val="19"/>
        </w:rPr>
        <w:t>10 de junio de 2019</w:t>
      </w:r>
      <w:r w:rsidRPr="00982700">
        <w:rPr>
          <w:rFonts w:ascii="Arial" w:hAnsi="Arial" w:cs="Arial"/>
          <w:sz w:val="19"/>
          <w:szCs w:val="19"/>
        </w:rPr>
        <w:t>. p</w:t>
      </w:r>
      <w:r>
        <w:rPr>
          <w:rFonts w:ascii="Arial" w:hAnsi="Arial" w:cs="Arial"/>
          <w:sz w:val="19"/>
          <w:szCs w:val="19"/>
        </w:rPr>
        <w:t>. 21</w:t>
      </w:r>
      <w:r w:rsidRPr="00982700">
        <w:rPr>
          <w:rFonts w:ascii="Arial" w:hAnsi="Arial" w:cs="Arial"/>
          <w:sz w:val="19"/>
          <w:szCs w:val="19"/>
        </w:rPr>
        <w:t>.</w:t>
      </w:r>
    </w:p>
  </w:footnote>
  <w:footnote w:id="42">
    <w:p w14:paraId="507F9063" w14:textId="77777777" w:rsidR="00677258" w:rsidRPr="008357BC" w:rsidRDefault="00677258" w:rsidP="00677258">
      <w:pPr>
        <w:pStyle w:val="Textonotapie"/>
        <w:ind w:firstLine="708"/>
        <w:jc w:val="both"/>
        <w:rPr>
          <w:rFonts w:ascii="Arial" w:hAnsi="Arial" w:cs="Arial"/>
          <w:sz w:val="19"/>
          <w:szCs w:val="19"/>
        </w:rPr>
      </w:pPr>
      <w:r w:rsidRPr="008357BC">
        <w:rPr>
          <w:rStyle w:val="Refdenotaalpie"/>
          <w:rFonts w:ascii="Arial" w:hAnsi="Arial" w:cs="Arial"/>
          <w:sz w:val="19"/>
          <w:szCs w:val="19"/>
        </w:rPr>
        <w:footnoteRef/>
      </w:r>
      <w:r w:rsidRPr="008357BC">
        <w:rPr>
          <w:rFonts w:ascii="Arial" w:hAnsi="Arial" w:cs="Arial"/>
          <w:sz w:val="19"/>
          <w:szCs w:val="19"/>
        </w:rPr>
        <w:t xml:space="preserve"> </w:t>
      </w:r>
      <w:r w:rsidRPr="00982700">
        <w:rPr>
          <w:rFonts w:ascii="Arial" w:hAnsi="Arial" w:cs="Arial"/>
          <w:sz w:val="19"/>
          <w:szCs w:val="19"/>
        </w:rPr>
        <w:t xml:space="preserve">CONGRESO DE LA REPÚBLICA. Gaceta </w:t>
      </w:r>
      <w:r w:rsidRPr="008357BC">
        <w:rPr>
          <w:rFonts w:ascii="Arial" w:hAnsi="Arial" w:cs="Arial"/>
          <w:sz w:val="19"/>
          <w:szCs w:val="19"/>
        </w:rPr>
        <w:t>XXVIII</w:t>
      </w:r>
      <w:r w:rsidRPr="00982700">
        <w:rPr>
          <w:rFonts w:ascii="Arial" w:hAnsi="Arial" w:cs="Arial"/>
          <w:sz w:val="19"/>
          <w:szCs w:val="19"/>
        </w:rPr>
        <w:t xml:space="preserve">, No. </w:t>
      </w:r>
      <w:r>
        <w:rPr>
          <w:rFonts w:ascii="Arial" w:hAnsi="Arial" w:cs="Arial"/>
          <w:sz w:val="19"/>
          <w:szCs w:val="19"/>
        </w:rPr>
        <w:t>563</w:t>
      </w:r>
      <w:r w:rsidRPr="00982700">
        <w:rPr>
          <w:rFonts w:ascii="Arial" w:hAnsi="Arial" w:cs="Arial"/>
          <w:sz w:val="19"/>
          <w:szCs w:val="19"/>
        </w:rPr>
        <w:t xml:space="preserve">, del </w:t>
      </w:r>
      <w:r>
        <w:rPr>
          <w:rFonts w:ascii="Arial" w:hAnsi="Arial" w:cs="Arial"/>
          <w:sz w:val="19"/>
          <w:szCs w:val="19"/>
        </w:rPr>
        <w:t>18 de junio de 2019</w:t>
      </w:r>
      <w:r w:rsidRPr="00982700">
        <w:rPr>
          <w:rFonts w:ascii="Arial" w:hAnsi="Arial" w:cs="Arial"/>
          <w:sz w:val="19"/>
          <w:szCs w:val="19"/>
        </w:rPr>
        <w:t>. p</w:t>
      </w:r>
      <w:r>
        <w:rPr>
          <w:rFonts w:ascii="Arial" w:hAnsi="Arial" w:cs="Arial"/>
          <w:sz w:val="19"/>
          <w:szCs w:val="19"/>
        </w:rPr>
        <w:t>. 4</w:t>
      </w:r>
      <w:r w:rsidRPr="00982700">
        <w:rPr>
          <w:rFonts w:ascii="Arial" w:hAnsi="Arial" w:cs="Arial"/>
          <w:sz w:val="19"/>
          <w:szCs w:val="19"/>
        </w:rPr>
        <w:t>.</w:t>
      </w:r>
    </w:p>
  </w:footnote>
  <w:footnote w:id="43">
    <w:p w14:paraId="48D2F35E" w14:textId="77777777" w:rsidR="00677258" w:rsidRPr="00E8731D" w:rsidRDefault="00677258" w:rsidP="00677258">
      <w:pPr>
        <w:pStyle w:val="Textonotapie"/>
        <w:ind w:firstLine="709"/>
        <w:rPr>
          <w:rFonts w:ascii="Arial" w:hAnsi="Arial" w:cs="Arial"/>
          <w:sz w:val="19"/>
          <w:szCs w:val="19"/>
        </w:rPr>
      </w:pPr>
      <w:r w:rsidRPr="00E8731D">
        <w:rPr>
          <w:rStyle w:val="Refdenotaalpie"/>
          <w:rFonts w:ascii="Arial" w:hAnsi="Arial" w:cs="Arial"/>
          <w:sz w:val="19"/>
          <w:szCs w:val="19"/>
        </w:rPr>
        <w:footnoteRef/>
      </w:r>
      <w:r w:rsidRPr="00E8731D">
        <w:rPr>
          <w:rFonts w:ascii="Arial" w:hAnsi="Arial" w:cs="Arial"/>
          <w:sz w:val="19"/>
          <w:szCs w:val="19"/>
        </w:rPr>
        <w:t xml:space="preserve"> MARÍN CORTÉS, Fabián Gonzalo. El reglamento, como fuente del derecho administrativo. En: las fuentes del derecho administrativo. Texto inédito. p. 203.</w:t>
      </w:r>
    </w:p>
  </w:footnote>
  <w:footnote w:id="44">
    <w:p w14:paraId="5FCF28F9" w14:textId="77777777" w:rsidR="00677258" w:rsidRPr="00E8731D" w:rsidRDefault="00677258" w:rsidP="00677258">
      <w:pPr>
        <w:pStyle w:val="Textonotapie"/>
        <w:ind w:firstLine="709"/>
        <w:rPr>
          <w:rFonts w:ascii="Arial" w:hAnsi="Arial" w:cs="Arial"/>
          <w:sz w:val="19"/>
          <w:szCs w:val="19"/>
          <w:lang w:val="es-ES"/>
        </w:rPr>
      </w:pPr>
      <w:r w:rsidRPr="00E8731D">
        <w:rPr>
          <w:rStyle w:val="Refdenotaalpie"/>
          <w:rFonts w:ascii="Arial" w:hAnsi="Arial" w:cs="Arial"/>
          <w:sz w:val="19"/>
          <w:szCs w:val="19"/>
        </w:rPr>
        <w:footnoteRef/>
      </w:r>
      <w:r w:rsidRPr="00E8731D">
        <w:rPr>
          <w:rFonts w:ascii="Arial" w:hAnsi="Arial" w:cs="Arial"/>
          <w:sz w:val="19"/>
          <w:szCs w:val="19"/>
        </w:rPr>
        <w:t xml:space="preserve"> </w:t>
      </w:r>
      <w:r w:rsidRPr="00E8731D">
        <w:rPr>
          <w:rFonts w:ascii="Arial" w:hAnsi="Arial" w:cs="Arial"/>
          <w:i/>
          <w:iCs/>
          <w:sz w:val="19"/>
          <w:szCs w:val="19"/>
        </w:rPr>
        <w:t>Ibidem</w:t>
      </w:r>
      <w:r w:rsidRPr="00E8731D">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8779781">
    <w:abstractNumId w:val="3"/>
  </w:num>
  <w:num w:numId="2" w16cid:durableId="19822139">
    <w:abstractNumId w:val="1"/>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1791778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54577"/>
    <w:rsid w:val="000A683E"/>
    <w:rsid w:val="000B19B9"/>
    <w:rsid w:val="000D0334"/>
    <w:rsid w:val="000F6486"/>
    <w:rsid w:val="00123EE9"/>
    <w:rsid w:val="00125105"/>
    <w:rsid w:val="00127233"/>
    <w:rsid w:val="001E4177"/>
    <w:rsid w:val="001F1917"/>
    <w:rsid w:val="002951A0"/>
    <w:rsid w:val="002962BC"/>
    <w:rsid w:val="002A093D"/>
    <w:rsid w:val="002A49AC"/>
    <w:rsid w:val="002A64FD"/>
    <w:rsid w:val="002C7A84"/>
    <w:rsid w:val="00315B8A"/>
    <w:rsid w:val="00344458"/>
    <w:rsid w:val="003448F4"/>
    <w:rsid w:val="00350ECA"/>
    <w:rsid w:val="003A779E"/>
    <w:rsid w:val="003D0F4D"/>
    <w:rsid w:val="003E0499"/>
    <w:rsid w:val="003F3941"/>
    <w:rsid w:val="003F7BC4"/>
    <w:rsid w:val="003F7C13"/>
    <w:rsid w:val="00400548"/>
    <w:rsid w:val="004A1847"/>
    <w:rsid w:val="004A305D"/>
    <w:rsid w:val="004F21C4"/>
    <w:rsid w:val="004F685F"/>
    <w:rsid w:val="005566E8"/>
    <w:rsid w:val="00574867"/>
    <w:rsid w:val="005A52FD"/>
    <w:rsid w:val="005C5CDC"/>
    <w:rsid w:val="005D476C"/>
    <w:rsid w:val="006219F8"/>
    <w:rsid w:val="0064323C"/>
    <w:rsid w:val="00665D70"/>
    <w:rsid w:val="00677258"/>
    <w:rsid w:val="006B127A"/>
    <w:rsid w:val="00706C16"/>
    <w:rsid w:val="00727B64"/>
    <w:rsid w:val="00756841"/>
    <w:rsid w:val="007649AB"/>
    <w:rsid w:val="0077046C"/>
    <w:rsid w:val="007833AC"/>
    <w:rsid w:val="007B7171"/>
    <w:rsid w:val="007C3DC2"/>
    <w:rsid w:val="007D1F6C"/>
    <w:rsid w:val="007E15D2"/>
    <w:rsid w:val="007E5497"/>
    <w:rsid w:val="00806F5F"/>
    <w:rsid w:val="00820278"/>
    <w:rsid w:val="008843B6"/>
    <w:rsid w:val="00891928"/>
    <w:rsid w:val="008A446D"/>
    <w:rsid w:val="008C63CE"/>
    <w:rsid w:val="008F0EA7"/>
    <w:rsid w:val="00923EEF"/>
    <w:rsid w:val="009419F9"/>
    <w:rsid w:val="00961B09"/>
    <w:rsid w:val="00965334"/>
    <w:rsid w:val="0097093E"/>
    <w:rsid w:val="009A19F2"/>
    <w:rsid w:val="009C71FA"/>
    <w:rsid w:val="009C72E7"/>
    <w:rsid w:val="009E6178"/>
    <w:rsid w:val="00A17F13"/>
    <w:rsid w:val="00A20739"/>
    <w:rsid w:val="00A254E8"/>
    <w:rsid w:val="00A33C78"/>
    <w:rsid w:val="00AB0ADB"/>
    <w:rsid w:val="00AD4127"/>
    <w:rsid w:val="00B3780E"/>
    <w:rsid w:val="00B5664C"/>
    <w:rsid w:val="00B72CD3"/>
    <w:rsid w:val="00B72FFF"/>
    <w:rsid w:val="00B90D7D"/>
    <w:rsid w:val="00BB3050"/>
    <w:rsid w:val="00BD7F72"/>
    <w:rsid w:val="00C04FB3"/>
    <w:rsid w:val="00C330EB"/>
    <w:rsid w:val="00C754BE"/>
    <w:rsid w:val="00CB6357"/>
    <w:rsid w:val="00CC1B26"/>
    <w:rsid w:val="00CD215A"/>
    <w:rsid w:val="00D25179"/>
    <w:rsid w:val="00D423A2"/>
    <w:rsid w:val="00D63AC2"/>
    <w:rsid w:val="00D7383B"/>
    <w:rsid w:val="00DA231B"/>
    <w:rsid w:val="00E16408"/>
    <w:rsid w:val="00E20894"/>
    <w:rsid w:val="00E245AB"/>
    <w:rsid w:val="00E50AFE"/>
    <w:rsid w:val="00E771DC"/>
    <w:rsid w:val="00E8772A"/>
    <w:rsid w:val="00E90F6B"/>
    <w:rsid w:val="00E92C27"/>
    <w:rsid w:val="00EA0E3D"/>
    <w:rsid w:val="00EB4547"/>
    <w:rsid w:val="00EE1AA8"/>
    <w:rsid w:val="00F204AB"/>
    <w:rsid w:val="00F31EDC"/>
    <w:rsid w:val="00F5664F"/>
    <w:rsid w:val="00F76AFC"/>
    <w:rsid w:val="00FB5DD1"/>
    <w:rsid w:val="00FC2B5D"/>
    <w:rsid w:val="00FC5688"/>
    <w:rsid w:val="00FE02A0"/>
    <w:rsid w:val="00FF1449"/>
    <w:rsid w:val="2DC48882"/>
    <w:rsid w:val="5411EC76"/>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NormalWeb">
    <w:name w:val="Normal (Web)"/>
    <w:basedOn w:val="Normal"/>
    <w:uiPriority w:val="99"/>
    <w:semiHidden/>
    <w:unhideWhenUsed/>
    <w:rsid w:val="00677258"/>
    <w:rPr>
      <w:rFonts w:ascii="Times New Roman" w:hAnsi="Times New Roman" w:cs="Times New Roman"/>
      <w:sz w:val="24"/>
      <w:szCs w:val="24"/>
    </w:rPr>
  </w:style>
  <w:style w:type="paragraph" w:customStyle="1" w:styleId="Appelnotedebasde">
    <w:name w:val="Appel note de bas de..."/>
    <w:basedOn w:val="Normal"/>
    <w:link w:val="Refdenotaalpie"/>
    <w:uiPriority w:val="99"/>
    <w:rsid w:val="00677258"/>
    <w:pPr>
      <w:spacing w:line="240" w:lineRule="exact"/>
    </w:pPr>
    <w:rPr>
      <w:vertAlign w:val="superscript"/>
    </w:rPr>
  </w:style>
  <w:style w:type="paragraph" w:styleId="Revisin">
    <w:name w:val="Revision"/>
    <w:hidden/>
    <w:uiPriority w:val="99"/>
    <w:semiHidden/>
    <w:rsid w:val="005A52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dam.gov.co/information-pa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dam.gov.co/information-pag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beltranpardo.com/wp-content/uploads/2021/02/CorteConstitucional_Inexequibilidadpar%C3%A1grafo2Art6L2014.pdf" TargetMode="External"/><Relationship Id="rId2" Type="http://schemas.openxmlformats.org/officeDocument/2006/relationships/hyperlink" Target="https://etimologias.dechile.net/?alimento" TargetMode="External"/><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3.xml><?xml version="1.0" encoding="utf-8"?>
<ds:datastoreItem xmlns:ds="http://schemas.openxmlformats.org/officeDocument/2006/customXml" ds:itemID="{D9A0B765-4151-4C2C-AB1A-4CDF2228D0FC}"/>
</file>

<file path=docProps/app.xml><?xml version="1.0" encoding="utf-8"?>
<Properties xmlns="http://schemas.openxmlformats.org/officeDocument/2006/extended-properties" xmlns:vt="http://schemas.openxmlformats.org/officeDocument/2006/docPropsVTypes">
  <Template>Normal</Template>
  <TotalTime>14</TotalTime>
  <Pages>28</Pages>
  <Words>9379</Words>
  <Characters>51587</Characters>
  <Application>Microsoft Office Word</Application>
  <DocSecurity>0</DocSecurity>
  <Lines>429</Lines>
  <Paragraphs>121</Paragraphs>
  <ScaleCrop>false</ScaleCrop>
  <Company/>
  <LinksUpToDate>false</LinksUpToDate>
  <CharactersWithSpaces>60845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Kevin Arlid Herrera Santa</cp:lastModifiedBy>
  <cp:revision>6</cp:revision>
  <cp:lastPrinted>2023-01-10T21:18:00Z</cp:lastPrinted>
  <dcterms:created xsi:type="dcterms:W3CDTF">2023-08-28T22:05:00Z</dcterms:created>
  <dcterms:modified xsi:type="dcterms:W3CDTF">2023-08-28T22:19:00Z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