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D5E39" w:rsidR="008923A8" w:rsidP="008923A8" w:rsidRDefault="008923A8" w14:paraId="370C734F" w14:textId="77777777">
      <w:pPr>
        <w:jc w:val="right"/>
        <w:rPr>
          <w:rFonts w:ascii="Arial" w:hAnsi="Arial" w:eastAsia="Geomanist Light" w:cs="Arial"/>
          <w:lang w:val="es-MX"/>
        </w:rPr>
      </w:pPr>
      <w:bookmarkStart w:name="_Hlk96417464" w:id="0"/>
      <w:bookmarkStart w:name="_Hlk120036210" w:id="1"/>
      <w:bookmarkStart w:name="_Hlk98867631" w:id="2"/>
      <w:bookmarkStart w:name="_Hlk99546921" w:id="3"/>
      <w:bookmarkStart w:name="_Hlk34951122" w:id="4"/>
    </w:p>
    <w:p w:rsidRPr="003D5E39" w:rsidR="008923A8" w:rsidP="008923A8" w:rsidRDefault="008923A8" w14:paraId="73B078CF" w14:textId="77777777">
      <w:pPr>
        <w:spacing w:after="0" w:line="240" w:lineRule="auto"/>
        <w:jc w:val="both"/>
        <w:rPr>
          <w:rFonts w:ascii="Arial" w:hAnsi="Arial" w:eastAsia="Arial" w:cs="Arial"/>
        </w:rPr>
      </w:pPr>
      <w:r w:rsidRPr="003D5E39">
        <w:rPr>
          <w:rFonts w:ascii="Arial" w:hAnsi="Arial" w:eastAsia="Arial" w:cs="Arial"/>
          <w:b/>
        </w:rPr>
        <w:t xml:space="preserve">PRINCIPIO DE SELECCIÓN OBJETIVA </w:t>
      </w:r>
      <w:r w:rsidRPr="003D5E39">
        <w:rPr>
          <w:rFonts w:ascii="Arial" w:hAnsi="Arial" w:eastAsia="Arial" w:cs="Arial"/>
          <w:b/>
          <w:sz w:val="20"/>
          <w:szCs w:val="20"/>
        </w:rPr>
        <w:t>–</w:t>
      </w:r>
      <w:r w:rsidRPr="003D5E39">
        <w:rPr>
          <w:rFonts w:ascii="Arial" w:hAnsi="Arial" w:eastAsia="Arial" w:cs="Arial"/>
          <w:b/>
        </w:rPr>
        <w:t xml:space="preserve"> Fundamento </w:t>
      </w:r>
      <w:r w:rsidRPr="003D5E39">
        <w:rPr>
          <w:rFonts w:ascii="Arial" w:hAnsi="Arial" w:eastAsia="Arial" w:cs="Arial"/>
          <w:b/>
          <w:sz w:val="20"/>
          <w:szCs w:val="20"/>
        </w:rPr>
        <w:t>–</w:t>
      </w:r>
      <w:r w:rsidRPr="003D5E39">
        <w:rPr>
          <w:rFonts w:ascii="Arial" w:hAnsi="Arial" w:eastAsia="Arial" w:cs="Arial"/>
          <w:b/>
        </w:rPr>
        <w:t xml:space="preserve"> Alcance</w:t>
      </w:r>
    </w:p>
    <w:p w:rsidRPr="003D5E39" w:rsidR="008923A8" w:rsidP="008923A8" w:rsidRDefault="008923A8" w14:paraId="5417989B" w14:textId="77777777">
      <w:pPr>
        <w:spacing w:after="0" w:line="240" w:lineRule="auto"/>
        <w:jc w:val="both"/>
        <w:rPr>
          <w:rFonts w:ascii="Arial" w:hAnsi="Arial" w:eastAsia="Arial" w:cs="Arial"/>
        </w:rPr>
      </w:pPr>
    </w:p>
    <w:p w:rsidRPr="003D5E39" w:rsidR="008923A8" w:rsidP="008923A8" w:rsidRDefault="008923A8" w14:paraId="28465272" w14:textId="77777777">
      <w:pPr>
        <w:spacing w:after="0" w:line="240" w:lineRule="auto"/>
        <w:jc w:val="both"/>
        <w:rPr>
          <w:rFonts w:ascii="Arial" w:hAnsi="Arial" w:eastAsia="Arial" w:cs="Arial"/>
          <w:sz w:val="20"/>
          <w:szCs w:val="20"/>
        </w:rPr>
      </w:pPr>
      <w:r w:rsidRPr="003D5E39">
        <w:rPr>
          <w:rFonts w:ascii="Arial" w:hAnsi="Arial" w:eastAsia="Arial" w:cs="Arial"/>
          <w:sz w:val="20"/>
          <w:szCs w:val="20"/>
        </w:rPr>
        <w:t>El principio de selección objetiva es un postulado que debe orientar la escogencia del futuro contratista del Estado en los procedimientos de selección adelantados por las entidades públicas, que se traduce en la exigencia de que la elección no esté basada en apreciaciones o factores subjetivos, sino en criterios objetivos, de carácter técnico, jurídico y financiero. En tal sentido, se trata de un principio que se deriva, en el ordenamiento jurídico colombiano, de principios como la igualdad (art. 13, C.P.) y la buena fe –manifestada en la confianza legítima– (art. 83 C.P.), así como de los principios de la función administrativa y de la gestión fiscal (arts. 209 y 267 C.P.). Dicho principio rector de los procedimientos de selección, además, encuentra fundamentación legal expresa en disposiciones como el artículo 24, numeral 5º, literal a) de la Ley 80 de 1993, que exige incorporar requisitos objetivos en los pliegos de condiciones; el artículo 24, numeral 5º, literal b) de la misma Ley, que manda que en el pliego se definan “reglas objetivas, justas, claras y completas que permitan la confección de ofrecimientos de la misma índole, aseguren una escogencia objetiva y eviten la declaratoria de desierta de la licitación”; y, de forma más clara profunda y clara, el artículo 5º de la Ley 1150 de 2007, cuyo primer inciso dispone que “Es objetiva la selección en la cual la escogencia se haga al ofrecimiento más favorable a la entidad y a los fines que ella busca, sin tener en consideración factores de afecto o de interés y, en general, cualquier clase de motivación subjetiva”. La subsanabilidad de las ofertas fortalece la garantía del principio de selección objetiva, porque permite que se le otorgue prevalencia, como criterio de selección, a la favorabilidad del ofrecimiento, por sus ventajas objetivas para la entidad estatal, sobre los errores formales que se adviertan en los requisitos habilitantes.</w:t>
      </w:r>
      <w:r w:rsidRPr="003D5E39">
        <w:rPr>
          <w:rFonts w:ascii="Arial" w:hAnsi="Arial" w:eastAsia="Arial" w:cs="Arial"/>
          <w:sz w:val="20"/>
          <w:szCs w:val="20"/>
        </w:rPr>
        <w:tab/>
      </w:r>
    </w:p>
    <w:p w:rsidRPr="003D5E39" w:rsidR="008923A8" w:rsidP="008923A8" w:rsidRDefault="008923A8" w14:paraId="2CD5949D" w14:textId="77777777">
      <w:pPr>
        <w:spacing w:after="0" w:line="240" w:lineRule="auto"/>
        <w:jc w:val="both"/>
        <w:rPr>
          <w:rFonts w:ascii="Arial" w:hAnsi="Arial" w:eastAsia="Arial" w:cs="Arial"/>
        </w:rPr>
      </w:pPr>
    </w:p>
    <w:p w:rsidRPr="003D5E39" w:rsidR="008923A8" w:rsidP="008923A8" w:rsidRDefault="008923A8" w14:paraId="18B32387" w14:textId="77777777">
      <w:pPr>
        <w:spacing w:after="0" w:line="240" w:lineRule="auto"/>
        <w:jc w:val="both"/>
        <w:rPr>
          <w:rFonts w:ascii="Arial" w:hAnsi="Arial" w:eastAsia="Arial" w:cs="Arial"/>
          <w:b/>
        </w:rPr>
      </w:pPr>
      <w:r w:rsidRPr="003D5E39">
        <w:rPr>
          <w:rFonts w:ascii="Arial" w:hAnsi="Arial" w:eastAsia="Arial" w:cs="Arial"/>
          <w:b/>
        </w:rPr>
        <w:t xml:space="preserve">SUBSANABILIDAD </w:t>
      </w:r>
      <w:r w:rsidRPr="003D5E39">
        <w:rPr>
          <w:rFonts w:ascii="Arial" w:hAnsi="Arial" w:eastAsia="Arial" w:cs="Arial"/>
          <w:b/>
          <w:sz w:val="20"/>
          <w:szCs w:val="20"/>
        </w:rPr>
        <w:t>–</w:t>
      </w:r>
      <w:r w:rsidRPr="003D5E39">
        <w:rPr>
          <w:rFonts w:ascii="Arial" w:hAnsi="Arial" w:eastAsia="Arial" w:cs="Arial"/>
          <w:b/>
        </w:rPr>
        <w:t xml:space="preserve"> Concepto de unificación </w:t>
      </w:r>
      <w:r w:rsidRPr="003D5E39">
        <w:rPr>
          <w:rFonts w:ascii="Arial" w:hAnsi="Arial" w:eastAsia="Arial" w:cs="Arial"/>
          <w:b/>
          <w:sz w:val="20"/>
          <w:szCs w:val="20"/>
        </w:rPr>
        <w:t>–</w:t>
      </w:r>
      <w:r w:rsidRPr="003D5E39">
        <w:rPr>
          <w:rFonts w:ascii="Arial" w:hAnsi="Arial" w:eastAsia="Arial" w:cs="Arial"/>
          <w:b/>
        </w:rPr>
        <w:t xml:space="preserve"> Aplicación </w:t>
      </w:r>
      <w:r w:rsidRPr="003D5E39">
        <w:rPr>
          <w:rFonts w:ascii="Arial" w:hAnsi="Arial" w:eastAsia="Arial" w:cs="Arial"/>
          <w:b/>
          <w:sz w:val="20"/>
          <w:szCs w:val="20"/>
        </w:rPr>
        <w:t>–</w:t>
      </w:r>
      <w:r w:rsidRPr="003D5E39">
        <w:rPr>
          <w:rFonts w:ascii="Arial" w:hAnsi="Arial" w:eastAsia="Arial" w:cs="Arial"/>
          <w:b/>
        </w:rPr>
        <w:t xml:space="preserve"> Improcedencia </w:t>
      </w:r>
      <w:r w:rsidRPr="003D5E39">
        <w:rPr>
          <w:rFonts w:ascii="Arial" w:hAnsi="Arial" w:eastAsia="Arial" w:cs="Arial"/>
          <w:b/>
          <w:sz w:val="20"/>
          <w:szCs w:val="20"/>
        </w:rPr>
        <w:t>–</w:t>
      </w:r>
      <w:r w:rsidRPr="003D5E39">
        <w:rPr>
          <w:rFonts w:ascii="Arial" w:hAnsi="Arial" w:eastAsia="Arial" w:cs="Arial"/>
          <w:b/>
        </w:rPr>
        <w:t xml:space="preserve"> Circunstancias posteriores </w:t>
      </w:r>
      <w:r w:rsidRPr="003D5E39">
        <w:rPr>
          <w:rFonts w:ascii="Arial" w:hAnsi="Arial" w:eastAsia="Arial" w:cs="Arial"/>
          <w:b/>
          <w:sz w:val="20"/>
          <w:szCs w:val="20"/>
        </w:rPr>
        <w:t>–</w:t>
      </w:r>
      <w:r w:rsidRPr="003D5E39">
        <w:rPr>
          <w:rFonts w:ascii="Arial" w:hAnsi="Arial" w:eastAsia="Arial" w:cs="Arial"/>
          <w:b/>
        </w:rPr>
        <w:t xml:space="preserve"> Cierre del proceso</w:t>
      </w:r>
    </w:p>
    <w:p w:rsidRPr="003D5E39" w:rsidR="008923A8" w:rsidP="008923A8" w:rsidRDefault="008923A8" w14:paraId="2B66B960" w14:textId="77777777">
      <w:pPr>
        <w:spacing w:after="0" w:line="240" w:lineRule="auto"/>
        <w:jc w:val="both"/>
        <w:rPr>
          <w:rFonts w:ascii="Arial" w:hAnsi="Arial" w:eastAsia="Arial" w:cs="Arial"/>
        </w:rPr>
      </w:pPr>
    </w:p>
    <w:p w:rsidRPr="003D5E39" w:rsidR="008923A8" w:rsidP="008923A8" w:rsidRDefault="008923A8" w14:paraId="1EE26EB8" w14:textId="77777777">
      <w:pPr>
        <w:spacing w:after="0" w:line="240" w:lineRule="auto"/>
        <w:jc w:val="both"/>
        <w:rPr>
          <w:rFonts w:ascii="Arial" w:hAnsi="Arial" w:eastAsia="Arial" w:cs="Arial"/>
          <w:sz w:val="20"/>
          <w:szCs w:val="20"/>
        </w:rPr>
      </w:pPr>
      <w:r w:rsidRPr="003D5E39">
        <w:rPr>
          <w:rFonts w:ascii="Arial" w:hAnsi="Arial" w:eastAsia="Arial" w:cs="Arial"/>
          <w:sz w:val="20"/>
          <w:szCs w:val="20"/>
        </w:rPr>
        <w:t>La regla de la subsanabilidad de las ofertas en los procedimientos de selección, prevista actualmente en los parágrafos 1o. y 4o. del artículo 5 de la Ley 1150 de 2007, modificado por el artículo 5 de la Ley 1882 de 2018, es el mandato normativo que ordena que las entidades estatales, al verificar la acreditación de los requisitos habilitantes por parte de los proponentes, permitan, por regla general, que los oferentes aporten o corrijan aquella información relacionada con tales requisitos de participación, de manera que no opere un rechazo de plano de las ofertas. En tal sentido, el primero de los parágrafos mencionados señala que “La ausencia de requisitos o la falta de documentos referentes a la futura contratación o al proponente, no necesarios para la comparación de las propuestas no servirán de título suficiente para el rechazo de los ofrecimientos hechos” y que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Si bien esta regla encuentra algunos límites, como por ejemplo, el previsto en el segundo inciso del mismo parágrafo, que establece que “Durante el término otorgado para subsanar las ofertas, los proponentes no podrán acreditar circunstancias ocurridas con posterioridad al cierre del proceso” o el consagrado en el parágrafo 3o., adicionado por el artículo 5 de la Ley 1882 de 2018, según el cual “La no entrega de la garantía de seriedad junto con la propuesta no será subsanable y será causal de rechazo de la misma”, lo cierto es que la subsanabilidad de las ofertas debe interpretarse como una regla general en relación con la falta de entrega o con los defectos de los requisitos habilitantes.</w:t>
      </w:r>
    </w:p>
    <w:p w:rsidRPr="003D5E39" w:rsidR="008923A8" w:rsidP="008923A8" w:rsidRDefault="008923A8" w14:paraId="6FBE5053" w14:textId="77777777">
      <w:pPr>
        <w:spacing w:after="0" w:line="240" w:lineRule="auto"/>
        <w:jc w:val="both"/>
        <w:rPr>
          <w:rFonts w:ascii="Arial" w:hAnsi="Arial" w:eastAsia="Arial" w:cs="Arial"/>
          <w:sz w:val="20"/>
          <w:szCs w:val="20"/>
        </w:rPr>
      </w:pPr>
    </w:p>
    <w:p w:rsidRPr="003D5E39" w:rsidR="008923A8" w:rsidP="008923A8" w:rsidRDefault="008923A8" w14:paraId="731C64EE" w14:textId="77777777">
      <w:pPr>
        <w:spacing w:after="0" w:line="240" w:lineRule="auto"/>
        <w:jc w:val="both"/>
        <w:rPr>
          <w:rFonts w:ascii="Arial" w:hAnsi="Arial" w:eastAsia="Arial" w:cs="Arial"/>
        </w:rPr>
      </w:pPr>
      <w:r w:rsidRPr="003D5E39">
        <w:rPr>
          <w:rFonts w:ascii="Arial" w:hAnsi="Arial" w:eastAsia="Arial" w:cs="Arial"/>
          <w:b/>
        </w:rPr>
        <w:t xml:space="preserve">SUBSANABILIDAD </w:t>
      </w:r>
      <w:r w:rsidRPr="003D5E39">
        <w:rPr>
          <w:rFonts w:ascii="Arial" w:hAnsi="Arial" w:eastAsia="Arial" w:cs="Arial"/>
          <w:b/>
          <w:sz w:val="20"/>
          <w:szCs w:val="20"/>
        </w:rPr>
        <w:t>–</w:t>
      </w:r>
      <w:r w:rsidRPr="003D5E39">
        <w:rPr>
          <w:rFonts w:ascii="Arial" w:hAnsi="Arial" w:eastAsia="Arial" w:cs="Arial"/>
          <w:b/>
        </w:rPr>
        <w:t xml:space="preserve"> Oportunidad </w:t>
      </w:r>
      <w:r w:rsidRPr="003D5E39">
        <w:rPr>
          <w:rFonts w:ascii="Arial" w:hAnsi="Arial" w:eastAsia="Arial" w:cs="Arial"/>
          <w:b/>
          <w:sz w:val="20"/>
          <w:szCs w:val="20"/>
        </w:rPr>
        <w:t>–</w:t>
      </w:r>
      <w:r w:rsidRPr="003D5E39">
        <w:rPr>
          <w:rFonts w:ascii="Arial" w:hAnsi="Arial" w:eastAsia="Arial" w:cs="Arial"/>
          <w:b/>
        </w:rPr>
        <w:t xml:space="preserve"> Traslado </w:t>
      </w:r>
      <w:r w:rsidRPr="003D5E39">
        <w:rPr>
          <w:rFonts w:ascii="Arial" w:hAnsi="Arial" w:eastAsia="Arial" w:cs="Arial"/>
          <w:b/>
          <w:sz w:val="20"/>
          <w:szCs w:val="20"/>
        </w:rPr>
        <w:t>–</w:t>
      </w:r>
      <w:r w:rsidRPr="003D5E39">
        <w:rPr>
          <w:rFonts w:ascii="Arial" w:hAnsi="Arial" w:eastAsia="Arial" w:cs="Arial"/>
          <w:b/>
        </w:rPr>
        <w:t xml:space="preserve"> Informe de evaluación </w:t>
      </w:r>
    </w:p>
    <w:p w:rsidRPr="003D5E39" w:rsidR="008923A8" w:rsidP="008923A8" w:rsidRDefault="008923A8" w14:paraId="2358E424" w14:textId="77777777">
      <w:pPr>
        <w:spacing w:after="0" w:line="240" w:lineRule="auto"/>
        <w:jc w:val="both"/>
        <w:rPr>
          <w:rFonts w:ascii="Arial" w:hAnsi="Arial" w:eastAsia="Arial" w:cs="Arial"/>
          <w:sz w:val="20"/>
          <w:szCs w:val="20"/>
        </w:rPr>
      </w:pPr>
    </w:p>
    <w:p w:rsidRPr="003D5E39" w:rsidR="008923A8" w:rsidP="008923A8" w:rsidRDefault="008923A8" w14:paraId="2434FF4A" w14:textId="77777777">
      <w:pPr>
        <w:spacing w:after="0" w:line="240" w:lineRule="auto"/>
        <w:jc w:val="both"/>
        <w:rPr>
          <w:rFonts w:ascii="Arial" w:hAnsi="Arial" w:eastAsia="Arial" w:cs="Arial"/>
          <w:sz w:val="20"/>
          <w:szCs w:val="20"/>
        </w:rPr>
      </w:pPr>
      <w:r w:rsidRPr="003D5E39">
        <w:rPr>
          <w:rFonts w:ascii="Arial" w:hAnsi="Arial" w:eastAsia="Arial" w:cs="Arial"/>
          <w:sz w:val="20"/>
          <w:szCs w:val="20"/>
        </w:rPr>
        <w:t>No obstante, de la lectura de este aparte podrían, en la práctica, darse dos interpretaciones que dan lugar a dos formas de proceder en los procesos de selección, en lo que se refiere a la subsanabilidad de las ofertas. Primera, que la posibilidad de los oferentes para subsanar es el término del traslado del informe de evaluación, ya que en este documento es donde la Administración establece los requisitos o documentos omitidos que los oferentes deben subsanar, so pena de rechazo; segunda, que el término del traslado del informe de evaluación es el límite para la subsanación de ofertas, pero no el único momento para hacerlo. De acuerdo con la primera interpretación, el informe de evaluación se convierte en la oportunidad que adopta la Administración para comunicarles a los oferentes qué documentos o requisitos omitieron y deben subsanar y, consecuentemente, el término del traslado es la oportunidad del proponente para cumplir con lo solicitado. La segunda interpretación permitiría que la Administración requiera al oferente durante el proceso de evaluación de las propuestas, tan pronto advierta que hace falta un documento o requisito que se puede subsanar. En este caso, la subsanación se lleva a cabo con anterioridad a la publicación del informe de evaluación, de manera que una vez se publique el informe ya se encuentren subsanadas las propuestas, sin perjuicio del término límite que concedió la ley. En criterio de esta Subdirección, la segunda interpretación es la que más se ajusta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w:t>
      </w:r>
    </w:p>
    <w:p w:rsidRPr="003D5E39" w:rsidR="008923A8" w:rsidP="008923A8" w:rsidRDefault="008923A8" w14:paraId="203274EE" w14:textId="77777777">
      <w:pPr>
        <w:rPr>
          <w:rFonts w:ascii="Arial" w:hAnsi="Arial" w:eastAsia="Geomanist Light" w:cs="Arial"/>
          <w:lang w:val="es-MX"/>
        </w:rPr>
      </w:pPr>
    </w:p>
    <w:p w:rsidRPr="003D5E39" w:rsidR="008923A8" w:rsidP="008923A8" w:rsidRDefault="008923A8" w14:paraId="4ABC8708" w14:textId="77777777">
      <w:pPr>
        <w:rPr>
          <w:rFonts w:ascii="Arial" w:hAnsi="Arial" w:eastAsia="Geomanist Light" w:cs="Arial"/>
          <w:lang w:val="es-MX"/>
        </w:rPr>
      </w:pPr>
    </w:p>
    <w:p w:rsidRPr="003D5E39" w:rsidR="008923A8" w:rsidP="008923A8" w:rsidRDefault="008923A8" w14:paraId="3D951D11" w14:textId="77777777">
      <w:pPr>
        <w:rPr>
          <w:rFonts w:ascii="Arial" w:hAnsi="Arial" w:eastAsia="Geomanist Light" w:cs="Arial"/>
          <w:lang w:val="es-MX"/>
        </w:rPr>
      </w:pPr>
    </w:p>
    <w:p w:rsidRPr="003D5E39" w:rsidR="008923A8" w:rsidP="008923A8" w:rsidRDefault="008923A8" w14:paraId="1C88E2E1" w14:textId="77777777">
      <w:pPr>
        <w:rPr>
          <w:rFonts w:ascii="Arial" w:hAnsi="Arial" w:eastAsia="Geomanist Light" w:cs="Arial"/>
          <w:lang w:val="es-MX"/>
        </w:rPr>
      </w:pPr>
    </w:p>
    <w:p w:rsidRPr="003D5E39" w:rsidR="008923A8" w:rsidP="008923A8" w:rsidRDefault="008923A8" w14:paraId="4A749313" w14:textId="77777777">
      <w:pPr>
        <w:rPr>
          <w:rFonts w:ascii="Arial" w:hAnsi="Arial" w:eastAsia="Geomanist Light" w:cs="Arial"/>
          <w:lang w:val="es-MX"/>
        </w:rPr>
      </w:pPr>
    </w:p>
    <w:p w:rsidRPr="003D5E39" w:rsidR="008923A8" w:rsidP="008923A8" w:rsidRDefault="008923A8" w14:paraId="753B28B9" w14:textId="77777777">
      <w:pPr>
        <w:rPr>
          <w:rFonts w:ascii="Arial" w:hAnsi="Arial" w:eastAsia="Geomanist Light" w:cs="Arial"/>
          <w:lang w:val="es-MX"/>
        </w:rPr>
      </w:pPr>
    </w:p>
    <w:p w:rsidRPr="003D5E39" w:rsidR="008923A8" w:rsidP="008923A8" w:rsidRDefault="008923A8" w14:paraId="799645D4" w14:textId="77777777">
      <w:pPr>
        <w:rPr>
          <w:rFonts w:ascii="Arial" w:hAnsi="Arial" w:eastAsia="Geomanist Light" w:cs="Arial"/>
          <w:lang w:val="es-MX"/>
        </w:rPr>
      </w:pPr>
    </w:p>
    <w:p w:rsidRPr="003D5E39" w:rsidR="008923A8" w:rsidP="008923A8" w:rsidRDefault="008923A8" w14:paraId="1501C357" w14:textId="77777777">
      <w:pPr>
        <w:rPr>
          <w:rFonts w:ascii="Arial" w:hAnsi="Arial" w:eastAsia="Geomanist Light" w:cs="Arial"/>
          <w:lang w:val="es-MX"/>
        </w:rPr>
      </w:pPr>
    </w:p>
    <w:p w:rsidRPr="003D5E39" w:rsidR="008923A8" w:rsidP="008923A8" w:rsidRDefault="008923A8" w14:paraId="7FAF94AD" w14:textId="77777777">
      <w:pPr>
        <w:rPr>
          <w:rFonts w:ascii="Arial" w:hAnsi="Arial" w:eastAsia="Geomanist Light" w:cs="Arial"/>
          <w:lang w:val="es-MX"/>
        </w:rPr>
      </w:pPr>
    </w:p>
    <w:p w:rsidRPr="003D5E39" w:rsidR="008923A8" w:rsidP="008923A8" w:rsidRDefault="008923A8" w14:paraId="0DE7BA45" w14:textId="77777777">
      <w:pPr>
        <w:rPr>
          <w:rFonts w:ascii="Arial" w:hAnsi="Arial" w:eastAsia="Geomanist Light" w:cs="Arial"/>
          <w:lang w:val="es-MX"/>
        </w:rPr>
      </w:pPr>
    </w:p>
    <w:p w:rsidRPr="003D5E39" w:rsidR="008923A8" w:rsidP="008923A8" w:rsidRDefault="008923A8" w14:paraId="0DE1A1A4" w14:textId="77777777">
      <w:pPr>
        <w:rPr>
          <w:rFonts w:ascii="Arial" w:hAnsi="Arial" w:eastAsia="Geomanist Light" w:cs="Arial"/>
          <w:lang w:val="es-MX"/>
        </w:rPr>
      </w:pPr>
    </w:p>
    <w:p w:rsidRPr="003D5E39" w:rsidR="008923A8" w:rsidP="008923A8" w:rsidRDefault="008923A8" w14:paraId="2402C960" w14:textId="77777777" w14:noSpellErr="1">
      <w:pPr>
        <w:rPr>
          <w:rFonts w:ascii="Arial" w:hAnsi="Arial" w:eastAsia="Geomanist Light" w:cs="Arial"/>
          <w:lang w:val="es-MX"/>
        </w:rPr>
      </w:pPr>
    </w:p>
    <w:p w:rsidR="049817C3" w:rsidP="049817C3" w:rsidRDefault="049817C3" w14:paraId="38C177DB" w14:textId="7B9DB722">
      <w:pPr>
        <w:pStyle w:val="Normal"/>
        <w:rPr>
          <w:rFonts w:ascii="Arial" w:hAnsi="Arial" w:eastAsia="Geomanist Light" w:cs="Arial"/>
          <w:lang w:val="es-MX"/>
        </w:rPr>
      </w:pPr>
    </w:p>
    <w:p w:rsidR="049817C3" w:rsidP="049817C3" w:rsidRDefault="049817C3" w14:paraId="1E439C4C" w14:textId="7560A1BC">
      <w:pPr>
        <w:pStyle w:val="Normal"/>
        <w:rPr>
          <w:rFonts w:ascii="Arial" w:hAnsi="Arial" w:eastAsia="Geomanist Light" w:cs="Arial"/>
          <w:lang w:val="es-MX"/>
        </w:rPr>
      </w:pPr>
    </w:p>
    <w:p w:rsidR="049817C3" w:rsidP="049817C3" w:rsidRDefault="049817C3" w14:paraId="575629F8" w14:textId="7305EA50">
      <w:pPr>
        <w:pStyle w:val="Normal"/>
        <w:rPr>
          <w:rFonts w:ascii="Arial" w:hAnsi="Arial" w:eastAsia="Geomanist Light" w:cs="Arial"/>
          <w:lang w:val="es-MX"/>
        </w:rPr>
      </w:pPr>
    </w:p>
    <w:p w:rsidR="049817C3" w:rsidP="049817C3" w:rsidRDefault="049817C3" w14:paraId="1F109877" w14:textId="28A8006B">
      <w:pPr>
        <w:pStyle w:val="Normal"/>
        <w:rPr>
          <w:rFonts w:ascii="Arial" w:hAnsi="Arial" w:eastAsia="Geomanist Light" w:cs="Arial"/>
          <w:lang w:val="es-MX"/>
        </w:rPr>
      </w:pPr>
    </w:p>
    <w:p w:rsidR="049817C3" w:rsidP="049817C3" w:rsidRDefault="049817C3" w14:paraId="44A66631" w14:textId="3688906E">
      <w:pPr>
        <w:pStyle w:val="Normal"/>
        <w:rPr>
          <w:rFonts w:ascii="Arial" w:hAnsi="Arial" w:eastAsia="Geomanist Light" w:cs="Arial"/>
          <w:lang w:val="es-MX"/>
        </w:rPr>
      </w:pPr>
    </w:p>
    <w:p w:rsidR="049817C3" w:rsidP="049817C3" w:rsidRDefault="049817C3" w14:paraId="03F71F89" w14:textId="0A60A698">
      <w:pPr>
        <w:pStyle w:val="Normal"/>
        <w:rPr>
          <w:rFonts w:ascii="Arial" w:hAnsi="Arial" w:eastAsia="Geomanist Light" w:cs="Arial"/>
          <w:lang w:val="es-MX"/>
        </w:rPr>
      </w:pPr>
    </w:p>
    <w:p w:rsidR="049817C3" w:rsidP="049817C3" w:rsidRDefault="049817C3" w14:paraId="56B1063B" w14:textId="0B898049">
      <w:pPr>
        <w:pStyle w:val="Normal"/>
        <w:rPr>
          <w:rFonts w:ascii="Arial" w:hAnsi="Arial" w:eastAsia="Geomanist Light" w:cs="Arial"/>
          <w:lang w:val="es-MX"/>
        </w:rPr>
      </w:pPr>
    </w:p>
    <w:p w:rsidR="049817C3" w:rsidP="049817C3" w:rsidRDefault="049817C3" w14:paraId="0783A580" w14:textId="047A5C02">
      <w:pPr>
        <w:pStyle w:val="Normal"/>
        <w:rPr>
          <w:rFonts w:ascii="Arial" w:hAnsi="Arial" w:eastAsia="Geomanist Light" w:cs="Arial"/>
          <w:lang w:val="es-MX"/>
        </w:rPr>
      </w:pPr>
    </w:p>
    <w:p w:rsidR="049817C3" w:rsidP="049817C3" w:rsidRDefault="049817C3" w14:paraId="21A85348" w14:textId="657A17C4">
      <w:pPr>
        <w:pStyle w:val="Normal"/>
        <w:rPr>
          <w:rFonts w:ascii="Arial" w:hAnsi="Arial" w:eastAsia="Geomanist Light" w:cs="Arial"/>
          <w:lang w:val="es-MX"/>
        </w:rPr>
      </w:pPr>
    </w:p>
    <w:p w:rsidRPr="003D5E39" w:rsidR="008923A8" w:rsidP="008923A8" w:rsidRDefault="008923A8" w14:paraId="19F43594" w14:textId="77777777">
      <w:pPr>
        <w:rPr>
          <w:rFonts w:ascii="Arial" w:hAnsi="Arial" w:eastAsia="Geomanist Light" w:cs="Arial"/>
          <w:lang w:val="es-MX"/>
        </w:rPr>
      </w:pPr>
    </w:p>
    <w:p w:rsidRPr="003D5E39" w:rsidR="008923A8" w:rsidP="008923A8" w:rsidRDefault="008923A8" w14:paraId="48B8301A" w14:textId="7ADDE8D9">
      <w:pPr>
        <w:rPr>
          <w:rFonts w:ascii="Arial" w:hAnsi="Arial" w:eastAsia="Geomanist Light" w:cs="Arial"/>
          <w:lang w:val="es-MX"/>
        </w:rPr>
      </w:pPr>
      <w:r w:rsidRPr="049817C3" w:rsidR="008923A8">
        <w:rPr>
          <w:rFonts w:ascii="Arial" w:hAnsi="Arial" w:eastAsia="Geomanist Light" w:cs="Arial"/>
          <w:lang w:val="es-MX"/>
        </w:rPr>
        <w:t>Bogotá D.C.,</w:t>
      </w:r>
      <w:r w:rsidRPr="049817C3" w:rsidR="07CABB83">
        <w:rPr>
          <w:rFonts w:ascii="Arial" w:hAnsi="Arial" w:eastAsia="Geomanist Light" w:cs="Arial"/>
          <w:lang w:val="es-MX"/>
        </w:rPr>
        <w:t xml:space="preserve"> 18 de </w:t>
      </w:r>
      <w:r w:rsidRPr="049817C3" w:rsidR="3DCFD677">
        <w:rPr>
          <w:rFonts w:ascii="Arial" w:hAnsi="Arial" w:eastAsia="Geomanist Light" w:cs="Arial"/>
          <w:lang w:val="es-MX"/>
        </w:rPr>
        <w:t>Agosto</w:t>
      </w:r>
      <w:r w:rsidRPr="049817C3" w:rsidR="008923A8">
        <w:rPr>
          <w:rFonts w:ascii="Arial" w:hAnsi="Arial" w:eastAsia="Geomanist Light" w:cs="Arial"/>
          <w:lang w:val="es-MX"/>
        </w:rPr>
        <w:t xml:space="preserve"> de </w:t>
      </w:r>
      <w:r w:rsidRPr="049817C3" w:rsidR="17449196">
        <w:rPr>
          <w:rFonts w:ascii="Arial" w:hAnsi="Arial" w:eastAsia="Geomanist Light" w:cs="Arial"/>
          <w:lang w:val="es-MX"/>
        </w:rPr>
        <w:t>2023</w:t>
      </w:r>
    </w:p>
    <w:p w:rsidRPr="003D5E39" w:rsidR="008923A8" w:rsidP="008923A8" w:rsidRDefault="008923A8" w14:paraId="5D1A3E45" w14:textId="77777777">
      <w:pPr>
        <w:spacing w:after="0" w:line="240" w:lineRule="auto"/>
        <w:contextualSpacing/>
        <w:jc w:val="both"/>
        <w:rPr>
          <w:rFonts w:ascii="Arial" w:hAnsi="Arial" w:eastAsia="Calibri" w:cs="Arial"/>
        </w:rPr>
      </w:pPr>
    </w:p>
    <w:p w:rsidRPr="003D5E39" w:rsidR="008923A8" w:rsidP="008923A8" w:rsidRDefault="008923A8" w14:paraId="52D3BB53" w14:textId="77777777">
      <w:pPr>
        <w:spacing w:after="0" w:line="276" w:lineRule="auto"/>
        <w:contextualSpacing/>
        <w:jc w:val="both"/>
        <w:rPr>
          <w:rFonts w:ascii="Arial" w:hAnsi="Arial" w:eastAsia="Calibri" w:cs="Arial"/>
        </w:rPr>
      </w:pPr>
      <w:r w:rsidRPr="003D5E39">
        <w:rPr>
          <w:rFonts w:ascii="Arial" w:hAnsi="Arial" w:eastAsia="Calibri" w:cs="Arial"/>
        </w:rPr>
        <w:t>Señor</w:t>
      </w:r>
    </w:p>
    <w:p w:rsidRPr="003D5E39" w:rsidR="008923A8" w:rsidP="008923A8" w:rsidRDefault="008923A8" w14:paraId="1FC64C53" w14:textId="77777777">
      <w:pPr>
        <w:spacing w:after="0" w:line="276" w:lineRule="auto"/>
        <w:contextualSpacing/>
        <w:jc w:val="both"/>
        <w:rPr>
          <w:rFonts w:ascii="Arial" w:hAnsi="Arial" w:eastAsia="Calibri" w:cs="Arial"/>
          <w:b/>
          <w:bCs/>
        </w:rPr>
      </w:pPr>
      <w:proofErr w:type="spellStart"/>
      <w:r w:rsidRPr="003D5E39">
        <w:rPr>
          <w:rFonts w:ascii="Arial" w:hAnsi="Arial" w:eastAsia="Calibri" w:cs="Arial"/>
          <w:b/>
          <w:bCs/>
        </w:rPr>
        <w:t>Jose</w:t>
      </w:r>
      <w:proofErr w:type="spellEnd"/>
      <w:r w:rsidRPr="003D5E39">
        <w:rPr>
          <w:rFonts w:ascii="Arial" w:hAnsi="Arial" w:eastAsia="Calibri" w:cs="Arial"/>
          <w:b/>
          <w:bCs/>
        </w:rPr>
        <w:t xml:space="preserve"> Leonardo Álvarez Fonseca</w:t>
      </w:r>
    </w:p>
    <w:p w:rsidRPr="003D5E39" w:rsidR="008923A8" w:rsidP="008923A8" w:rsidRDefault="00447CDB" w14:paraId="156AD895" w14:textId="77777777">
      <w:pPr>
        <w:spacing w:after="0" w:line="276" w:lineRule="auto"/>
        <w:contextualSpacing/>
        <w:jc w:val="both"/>
      </w:pPr>
      <w:hyperlink w:history="1" r:id="rId9">
        <w:r w:rsidRPr="003D5E39" w:rsidR="008923A8">
          <w:rPr>
            <w:u w:val="single"/>
          </w:rPr>
          <w:t>licitacionesappcontroljp@gmail.com</w:t>
        </w:r>
      </w:hyperlink>
      <w:r w:rsidRPr="003D5E39" w:rsidR="008923A8">
        <w:t xml:space="preserve"> </w:t>
      </w:r>
    </w:p>
    <w:p w:rsidRPr="003D5E39" w:rsidR="008923A8" w:rsidP="008923A8" w:rsidRDefault="008923A8" w14:paraId="3F038A18" w14:textId="77777777">
      <w:pPr>
        <w:spacing w:after="0" w:line="276" w:lineRule="auto"/>
        <w:contextualSpacing/>
        <w:jc w:val="both"/>
        <w:rPr>
          <w:rFonts w:ascii="Arial" w:hAnsi="Arial" w:eastAsia="Calibri" w:cs="Arial"/>
        </w:rPr>
      </w:pPr>
      <w:r w:rsidRPr="003D5E39">
        <w:rPr>
          <w:rFonts w:ascii="Arial" w:hAnsi="Arial" w:eastAsia="Calibri" w:cs="Arial"/>
        </w:rPr>
        <w:t>Ciudad</w:t>
      </w:r>
    </w:p>
    <w:p w:rsidRPr="003D5E39" w:rsidR="003D5E39" w:rsidP="008923A8" w:rsidRDefault="003D5E39" w14:paraId="40A7C056" w14:textId="77777777">
      <w:pPr>
        <w:spacing w:after="0" w:line="276" w:lineRule="auto"/>
        <w:contextualSpacing/>
        <w:jc w:val="both"/>
        <w:rPr>
          <w:rFonts w:ascii="Arial" w:hAnsi="Arial" w:eastAsia="Calibri" w:cs="Arial"/>
        </w:rPr>
      </w:pPr>
    </w:p>
    <w:p w:rsidRPr="003D5E39" w:rsidR="008923A8" w:rsidP="003D5E39" w:rsidRDefault="003D5E39" w14:paraId="05D59CE1" w14:textId="24755BFE">
      <w:pPr>
        <w:spacing w:after="0" w:line="276" w:lineRule="auto"/>
        <w:contextualSpacing/>
        <w:jc w:val="right"/>
        <w:rPr>
          <w:rFonts w:ascii="Arial" w:hAnsi="Arial" w:eastAsia="Calibri" w:cs="Arial"/>
        </w:rPr>
      </w:pPr>
      <w:r w:rsidRPr="003D5E39">
        <w:rPr>
          <w:rFonts w:ascii="Arial" w:hAnsi="Arial" w:eastAsia="Calibri" w:cs="Arial"/>
        </w:rPr>
        <w:drawing>
          <wp:inline distT="0" distB="0" distL="0" distR="0" wp14:anchorId="4556F2E5" wp14:editId="33B109F1">
            <wp:extent cx="2448267" cy="695422"/>
            <wp:effectExtent l="0" t="0" r="9525" b="9525"/>
            <wp:docPr id="173248055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480551" name="Imagen 1" descr="Texto&#10;&#10;Descripción generada automáticamente"/>
                    <pic:cNvPicPr/>
                  </pic:nvPicPr>
                  <pic:blipFill>
                    <a:blip r:embed="rId10"/>
                    <a:stretch>
                      <a:fillRect/>
                    </a:stretch>
                  </pic:blipFill>
                  <pic:spPr>
                    <a:xfrm>
                      <a:off x="0" y="0"/>
                      <a:ext cx="2448267" cy="695422"/>
                    </a:xfrm>
                    <a:prstGeom prst="rect">
                      <a:avLst/>
                    </a:prstGeom>
                  </pic:spPr>
                </pic:pic>
              </a:graphicData>
            </a:graphic>
          </wp:inline>
        </w:drawing>
      </w:r>
    </w:p>
    <w:p w:rsidRPr="003D5E39" w:rsidR="008923A8" w:rsidP="008923A8" w:rsidRDefault="008923A8" w14:paraId="6EF01543" w14:textId="77777777">
      <w:pPr>
        <w:spacing w:after="0" w:line="276" w:lineRule="auto"/>
        <w:contextualSpacing/>
        <w:jc w:val="both"/>
        <w:rPr>
          <w:rFonts w:ascii="Arial" w:hAnsi="Arial" w:eastAsia="Calibri" w:cs="Arial"/>
        </w:rPr>
      </w:pPr>
    </w:p>
    <w:p w:rsidRPr="003D5E39" w:rsidR="008923A8" w:rsidP="008923A8" w:rsidRDefault="008923A8" w14:paraId="0B6CAE05" w14:textId="77777777">
      <w:pPr>
        <w:spacing w:after="0" w:line="240" w:lineRule="auto"/>
        <w:contextualSpacing/>
        <w:jc w:val="both"/>
        <w:rPr>
          <w:rFonts w:ascii="Arial" w:hAnsi="Arial" w:eastAsia="Calibri" w:cs="Arial"/>
        </w:rPr>
      </w:pPr>
      <w:r w:rsidRPr="003D5E39">
        <w:rPr>
          <w:rFonts w:ascii="Arial" w:hAnsi="Arial" w:eastAsia="Calibri" w:cs="Arial"/>
        </w:rPr>
        <w:t xml:space="preserve">                                            </w:t>
      </w:r>
      <w:r w:rsidRPr="003D5E39">
        <w:rPr>
          <w:rFonts w:ascii="Arial" w:hAnsi="Arial" w:eastAsia="Calibri" w:cs="Arial"/>
          <w:b/>
        </w:rPr>
        <w:t>Concepto C–283 de 2023</w:t>
      </w:r>
    </w:p>
    <w:p w:rsidRPr="003D5E39" w:rsidR="008923A8" w:rsidP="008923A8" w:rsidRDefault="008923A8" w14:paraId="635CA0E6" w14:textId="77777777">
      <w:pPr>
        <w:spacing w:after="0" w:line="240" w:lineRule="auto"/>
        <w:contextualSpacing/>
        <w:jc w:val="both"/>
        <w:rPr>
          <w:rFonts w:ascii="Arial" w:hAnsi="Arial" w:eastAsia="Calibri" w:cs="Arial"/>
          <w:b/>
        </w:rPr>
      </w:pPr>
    </w:p>
    <w:p w:rsidRPr="003D5E39" w:rsidR="008923A8" w:rsidP="008923A8" w:rsidRDefault="008923A8" w14:paraId="73958266" w14:textId="77777777">
      <w:pPr>
        <w:spacing w:after="0" w:line="240" w:lineRule="auto"/>
        <w:contextualSpacing/>
        <w:jc w:val="both"/>
        <w:rPr>
          <w:rFonts w:ascii="Arial" w:hAnsi="Arial" w:eastAsia="Calibri" w:cs="Arial"/>
          <w:b/>
        </w:rPr>
      </w:pPr>
    </w:p>
    <w:tbl>
      <w:tblPr>
        <w:tblStyle w:val="Tablaconcuadrcula11"/>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3D5E39" w:rsidR="003D5E39" w:rsidTr="00AF04F7" w14:paraId="0B9BBF8D" w14:textId="77777777">
        <w:trPr>
          <w:trHeight w:val="485"/>
        </w:trPr>
        <w:tc>
          <w:tcPr>
            <w:tcW w:w="2689" w:type="dxa"/>
            <w:hideMark/>
          </w:tcPr>
          <w:p w:rsidRPr="003D5E39" w:rsidR="008923A8" w:rsidP="00AF04F7" w:rsidRDefault="008923A8" w14:paraId="49B88402" w14:textId="77777777">
            <w:pPr>
              <w:rPr>
                <w:rFonts w:ascii="Arial" w:hAnsi="Arial" w:eastAsia="Calibri" w:cs="Arial"/>
                <w:noProof/>
                <w:highlight w:val="yellow"/>
                <w:lang w:val="es-ES_tradnl"/>
              </w:rPr>
            </w:pPr>
            <w:r w:rsidRPr="003D5E39">
              <w:rPr>
                <w:rFonts w:ascii="Arial" w:hAnsi="Arial" w:eastAsia="Calibri" w:cs="Arial"/>
                <w:b/>
                <w:lang w:val="es-ES_tradnl" w:eastAsia="es-ES_tradnl"/>
              </w:rPr>
              <w:t>Temas:</w:t>
            </w:r>
            <w:r w:rsidRPr="003D5E39">
              <w:rPr>
                <w:rFonts w:ascii="Arial" w:hAnsi="Arial" w:eastAsia="Calibri" w:cs="Arial"/>
                <w:lang w:val="es-ES_tradnl" w:eastAsia="es-ES_tradnl"/>
              </w:rPr>
              <w:t xml:space="preserve">                                      </w:t>
            </w:r>
          </w:p>
        </w:tc>
        <w:tc>
          <w:tcPr>
            <w:tcW w:w="6237" w:type="dxa"/>
            <w:hideMark/>
          </w:tcPr>
          <w:p w:rsidRPr="003D5E39" w:rsidR="008923A8" w:rsidP="00AF04F7" w:rsidRDefault="008923A8" w14:paraId="46AD0B6E" w14:textId="77777777">
            <w:pPr>
              <w:spacing w:after="120"/>
              <w:jc w:val="both"/>
              <w:rPr>
                <w:rFonts w:ascii="Arial" w:hAnsi="Arial" w:eastAsia="Calibri" w:cs="Arial"/>
                <w:bCs/>
                <w:lang w:val="es-ES_tradnl" w:eastAsia="es-ES_tradnl"/>
              </w:rPr>
            </w:pPr>
            <w:r w:rsidRPr="003D5E39">
              <w:rPr>
                <w:rFonts w:ascii="Arial" w:hAnsi="Arial" w:eastAsia="Calibri" w:cs="Arial"/>
                <w:bCs/>
                <w:lang w:val="es-ES_tradnl" w:eastAsia="es-ES_tradnl"/>
              </w:rPr>
              <w:t>PRINCIPIO DE SELECCIÓN OBJETIVA – Fundamento – Alcance / SUBSANABILIDAD – Concepto de unificación – Aplicación – Improcedencia – Circunstancias posteriores – Cierre del proceso / SUBSANABILIDAD – Oportunidad – Traslado – Informe de evaluación</w:t>
            </w:r>
          </w:p>
          <w:p w:rsidRPr="003D5E39" w:rsidR="008923A8" w:rsidP="00AF04F7" w:rsidRDefault="008923A8" w14:paraId="779C5878" w14:textId="77777777">
            <w:pPr>
              <w:spacing w:after="120"/>
              <w:jc w:val="both"/>
              <w:rPr>
                <w:rFonts w:ascii="Arial" w:hAnsi="Arial" w:eastAsia="Calibri" w:cs="Arial"/>
                <w:bCs/>
                <w:sz w:val="12"/>
                <w:szCs w:val="12"/>
                <w:lang w:val="es-MX" w:eastAsia="es-ES_tradnl"/>
              </w:rPr>
            </w:pPr>
          </w:p>
          <w:p w:rsidRPr="003D5E39" w:rsidR="008923A8" w:rsidP="00AF04F7" w:rsidRDefault="008923A8" w14:paraId="43FAE7CF" w14:textId="77777777">
            <w:pPr>
              <w:ind w:right="703"/>
              <w:jc w:val="both"/>
              <w:rPr>
                <w:rFonts w:ascii="Arial" w:hAnsi="Arial" w:eastAsia="Calibri" w:cs="Arial"/>
                <w:bCs/>
                <w:highlight w:val="yellow"/>
                <w:lang w:val="es-MX"/>
              </w:rPr>
            </w:pPr>
          </w:p>
        </w:tc>
      </w:tr>
      <w:tr w:rsidRPr="003D5E39" w:rsidR="008923A8" w:rsidTr="00AF04F7" w14:paraId="7692217B" w14:textId="77777777">
        <w:tc>
          <w:tcPr>
            <w:tcW w:w="2689" w:type="dxa"/>
          </w:tcPr>
          <w:p w:rsidRPr="003D5E39" w:rsidR="008923A8" w:rsidP="00AF04F7" w:rsidRDefault="008923A8" w14:paraId="71104568" w14:textId="77777777">
            <w:pPr>
              <w:rPr>
                <w:rFonts w:ascii="Arial" w:hAnsi="Arial" w:eastAsia="Calibri" w:cs="Arial"/>
                <w:b/>
                <w:noProof/>
                <w:lang w:val="es-ES_tradnl"/>
              </w:rPr>
            </w:pPr>
            <w:r w:rsidRPr="003D5E39">
              <w:rPr>
                <w:rFonts w:ascii="Arial" w:hAnsi="Arial" w:eastAsia="Calibri" w:cs="Arial"/>
                <w:b/>
                <w:noProof/>
                <w:lang w:val="es-ES_tradnl"/>
              </w:rPr>
              <w:t>Radicación:</w:t>
            </w:r>
            <w:r w:rsidRPr="003D5E39">
              <w:rPr>
                <w:rFonts w:ascii="Arial" w:hAnsi="Arial" w:eastAsia="Calibri" w:cs="Arial"/>
                <w:noProof/>
                <w:lang w:val="es-ES_tradnl"/>
              </w:rPr>
              <w:t xml:space="preserve">                              </w:t>
            </w:r>
          </w:p>
        </w:tc>
        <w:tc>
          <w:tcPr>
            <w:tcW w:w="6237" w:type="dxa"/>
          </w:tcPr>
          <w:p w:rsidRPr="003D5E39" w:rsidR="008923A8" w:rsidP="00AF04F7" w:rsidRDefault="008923A8" w14:paraId="1843A809" w14:textId="77777777">
            <w:pPr>
              <w:jc w:val="both"/>
              <w:rPr>
                <w:rFonts w:ascii="Arial" w:hAnsi="Arial" w:eastAsia="Calibri" w:cs="Arial"/>
                <w:noProof/>
                <w:lang w:val="es-ES_tradnl"/>
              </w:rPr>
            </w:pPr>
            <w:r w:rsidRPr="003D5E39">
              <w:rPr>
                <w:rFonts w:ascii="Arial" w:hAnsi="Arial" w:eastAsia="Calibri" w:cs="Arial"/>
                <w:noProof/>
                <w:lang w:val="es-ES_tradnl"/>
              </w:rPr>
              <w:t>Respuesta a consulta P20230710013096</w:t>
            </w:r>
            <w:r w:rsidRPr="003D5E39">
              <w:rPr>
                <w:rFonts w:ascii="Arial" w:hAnsi="Arial" w:eastAsia="Calibri" w:cs="Arial"/>
                <w:noProof/>
                <w:lang w:val="es-ES_tradnl"/>
              </w:rPr>
              <w:tab/>
            </w:r>
            <w:r w:rsidRPr="003D5E39">
              <w:rPr>
                <w:rFonts w:ascii="Arial" w:hAnsi="Arial" w:eastAsia="Calibri" w:cs="Arial"/>
                <w:noProof/>
                <w:lang w:val="es-ES_tradnl"/>
              </w:rPr>
              <w:tab/>
            </w:r>
            <w:r w:rsidRPr="003D5E39">
              <w:rPr>
                <w:rFonts w:ascii="Arial" w:hAnsi="Arial" w:eastAsia="Calibri" w:cs="Arial"/>
                <w:noProof/>
                <w:lang w:val="es-ES_tradnl"/>
              </w:rPr>
              <w:tab/>
            </w:r>
            <w:r w:rsidRPr="003D5E39">
              <w:rPr>
                <w:rFonts w:ascii="Arial" w:hAnsi="Arial" w:eastAsia="Calibri" w:cs="Arial"/>
                <w:noProof/>
                <w:lang w:val="es-ES_tradnl"/>
              </w:rPr>
              <w:tab/>
            </w:r>
            <w:r w:rsidRPr="003D5E39">
              <w:rPr>
                <w:rFonts w:ascii="Arial" w:hAnsi="Arial" w:eastAsia="Calibri" w:cs="Arial"/>
                <w:noProof/>
                <w:lang w:val="es-ES_tradnl"/>
              </w:rPr>
              <w:tab/>
            </w:r>
          </w:p>
        </w:tc>
      </w:tr>
    </w:tbl>
    <w:p w:rsidRPr="003D5E39" w:rsidR="008923A8" w:rsidP="008923A8" w:rsidRDefault="008923A8" w14:paraId="5F1B5F12" w14:textId="77777777">
      <w:pPr>
        <w:spacing w:after="0" w:line="240" w:lineRule="auto"/>
        <w:contextualSpacing/>
        <w:jc w:val="both"/>
        <w:rPr>
          <w:rFonts w:ascii="Arial" w:hAnsi="Arial" w:eastAsia="Calibri" w:cs="Arial"/>
        </w:rPr>
      </w:pPr>
    </w:p>
    <w:p w:rsidRPr="003D5E39" w:rsidR="008923A8" w:rsidP="008923A8" w:rsidRDefault="008923A8" w14:paraId="381B2B41" w14:textId="77777777">
      <w:pPr>
        <w:spacing w:after="0" w:line="240" w:lineRule="auto"/>
        <w:contextualSpacing/>
        <w:jc w:val="both"/>
        <w:rPr>
          <w:rFonts w:ascii="Arial" w:hAnsi="Arial" w:eastAsia="Calibri" w:cs="Arial"/>
        </w:rPr>
      </w:pPr>
    </w:p>
    <w:p w:rsidRPr="003D5E39" w:rsidR="008923A8" w:rsidP="008923A8" w:rsidRDefault="008923A8" w14:paraId="05571DCE" w14:textId="77777777">
      <w:pPr>
        <w:spacing w:after="0" w:line="276" w:lineRule="auto"/>
        <w:contextualSpacing/>
        <w:jc w:val="both"/>
        <w:rPr>
          <w:rFonts w:ascii="Arial" w:hAnsi="Arial" w:eastAsia="Calibri" w:cs="Arial"/>
        </w:rPr>
      </w:pPr>
      <w:r w:rsidRPr="003D5E39">
        <w:rPr>
          <w:rFonts w:ascii="Arial" w:hAnsi="Arial" w:eastAsia="Calibri" w:cs="Arial"/>
        </w:rPr>
        <w:t>Estimado señor Álvarez:</w:t>
      </w:r>
    </w:p>
    <w:p w:rsidRPr="003D5E39" w:rsidR="008923A8" w:rsidP="008923A8" w:rsidRDefault="008923A8" w14:paraId="7A1F1C5C" w14:textId="77777777">
      <w:pPr>
        <w:spacing w:after="0" w:line="276" w:lineRule="auto"/>
        <w:ind w:firstLine="709"/>
        <w:contextualSpacing/>
        <w:jc w:val="both"/>
        <w:rPr>
          <w:rFonts w:ascii="Arial" w:hAnsi="Arial" w:eastAsia="Calibri" w:cs="Arial"/>
        </w:rPr>
      </w:pPr>
    </w:p>
    <w:p w:rsidRPr="003D5E39" w:rsidR="008923A8" w:rsidP="008923A8" w:rsidRDefault="008923A8" w14:paraId="168FDBED" w14:textId="77777777">
      <w:pPr>
        <w:spacing w:after="0" w:line="276" w:lineRule="auto"/>
        <w:contextualSpacing/>
        <w:jc w:val="both"/>
        <w:rPr>
          <w:rFonts w:ascii="Arial" w:hAnsi="Arial" w:eastAsia="Calibri" w:cs="Arial"/>
        </w:rPr>
      </w:pPr>
      <w:r w:rsidRPr="003D5E39">
        <w:rPr>
          <w:rFonts w:ascii="Arial" w:hAnsi="Arial" w:eastAsia="Calibri" w:cs="Arial"/>
        </w:rPr>
        <w:t xml:space="preserve">En ejercicio de la competencia otorgada por el numeral 8 del artículo 11 y el numeral 5 del artículo 3 del Decreto Ley 4170 de 2011, la Agencia Nacional de Contratación Pública – Colombia Compra Eficiente responde su consulta recibida el 07 de julio de 2023. </w:t>
      </w:r>
    </w:p>
    <w:p w:rsidRPr="003D5E39" w:rsidR="008923A8" w:rsidP="008923A8" w:rsidRDefault="008923A8" w14:paraId="27F4D928" w14:textId="77777777">
      <w:pPr>
        <w:spacing w:after="0" w:line="276" w:lineRule="auto"/>
        <w:contextualSpacing/>
        <w:jc w:val="both"/>
        <w:rPr>
          <w:rFonts w:ascii="Arial" w:hAnsi="Arial" w:eastAsia="Calibri" w:cs="Arial"/>
        </w:rPr>
      </w:pPr>
    </w:p>
    <w:p w:rsidRPr="003D5E39" w:rsidR="008923A8" w:rsidP="008923A8" w:rsidRDefault="008923A8" w14:paraId="773BA700" w14:textId="77777777">
      <w:pPr>
        <w:tabs>
          <w:tab w:val="left" w:pos="284"/>
        </w:tabs>
        <w:spacing w:after="0" w:line="276" w:lineRule="auto"/>
        <w:contextualSpacing/>
        <w:jc w:val="both"/>
        <w:rPr>
          <w:rFonts w:ascii="Arial" w:hAnsi="Arial" w:eastAsia="Calibri" w:cs="Arial"/>
          <w:b/>
        </w:rPr>
      </w:pPr>
      <w:r w:rsidRPr="003D5E39">
        <w:rPr>
          <w:rFonts w:ascii="Arial" w:hAnsi="Arial" w:eastAsia="Calibri" w:cs="Arial"/>
          <w:b/>
        </w:rPr>
        <w:t xml:space="preserve">1. Problema planteado </w:t>
      </w:r>
    </w:p>
    <w:p w:rsidRPr="003D5E39" w:rsidR="008923A8" w:rsidP="008923A8" w:rsidRDefault="008923A8" w14:paraId="4682922D" w14:textId="77777777">
      <w:pPr>
        <w:tabs>
          <w:tab w:val="left" w:pos="284"/>
        </w:tabs>
        <w:spacing w:after="0" w:line="276" w:lineRule="auto"/>
        <w:ind w:firstLine="709"/>
        <w:contextualSpacing/>
        <w:jc w:val="both"/>
        <w:rPr>
          <w:rFonts w:ascii="Arial" w:hAnsi="Arial" w:eastAsia="Calibri" w:cs="Arial"/>
          <w:b/>
        </w:rPr>
      </w:pPr>
    </w:p>
    <w:p w:rsidRPr="003D5E39" w:rsidR="008923A8" w:rsidP="008923A8" w:rsidRDefault="008923A8" w14:paraId="1A2EA6D6" w14:textId="77777777">
      <w:pPr>
        <w:spacing w:after="0" w:line="276" w:lineRule="auto"/>
        <w:contextualSpacing/>
        <w:jc w:val="both"/>
        <w:rPr>
          <w:rFonts w:ascii="Arial" w:hAnsi="Arial" w:eastAsia="Calibri" w:cs="Arial"/>
        </w:rPr>
      </w:pPr>
      <w:bookmarkStart w:name="_Hlk58917991" w:id="5"/>
      <w:bookmarkStart w:name="_Hlk56103000" w:id="6"/>
      <w:r w:rsidRPr="003D5E39">
        <w:rPr>
          <w:rFonts w:ascii="Arial" w:hAnsi="Arial" w:eastAsia="Calibri" w:cs="Arial"/>
        </w:rPr>
        <w:t xml:space="preserve">Usted realiza la siguiente consulta: </w:t>
      </w:r>
      <w:bookmarkStart w:name="_Hlk116284008" w:id="7"/>
      <w:bookmarkStart w:name="_Hlk133573383" w:id="8"/>
    </w:p>
    <w:p w:rsidRPr="003D5E39" w:rsidR="008923A8" w:rsidP="008923A8" w:rsidRDefault="008923A8" w14:paraId="0AC31518" w14:textId="77777777">
      <w:pPr>
        <w:spacing w:after="0" w:line="276" w:lineRule="auto"/>
        <w:contextualSpacing/>
        <w:jc w:val="both"/>
        <w:rPr>
          <w:rFonts w:ascii="Arial" w:hAnsi="Arial" w:eastAsia="Calibri" w:cs="Arial"/>
        </w:rPr>
      </w:pPr>
    </w:p>
    <w:p w:rsidRPr="003D5E39" w:rsidR="008923A8" w:rsidP="008923A8" w:rsidRDefault="008923A8" w14:paraId="790CF9C7" w14:textId="77777777">
      <w:pPr>
        <w:spacing w:after="0" w:line="240" w:lineRule="auto"/>
        <w:ind w:left="709" w:right="709"/>
        <w:contextualSpacing/>
        <w:jc w:val="both"/>
        <w:rPr>
          <w:rFonts w:ascii="Arial" w:hAnsi="Arial" w:eastAsia="Calibri" w:cs="Arial"/>
          <w:sz w:val="21"/>
          <w:szCs w:val="21"/>
        </w:rPr>
      </w:pPr>
      <w:r w:rsidRPr="003D5E39">
        <w:rPr>
          <w:rFonts w:ascii="Arial" w:hAnsi="Arial" w:eastAsia="Calibri" w:cs="Arial"/>
          <w:sz w:val="21"/>
          <w:szCs w:val="21"/>
        </w:rPr>
        <w:t xml:space="preserve">“[…] si un proponente debió subsanar el certificado de vigencia de los contadores y presenta una vigencia expedida después de la fecha del cierre del proceso ¿es válido?, ejemplo, la fecha de cierre del proceso se estableció para el día 24 de mayo de 2023, el proponente debió subsanar la vigencia y presenta una </w:t>
      </w:r>
      <w:r w:rsidRPr="003D5E39">
        <w:rPr>
          <w:rFonts w:ascii="Arial" w:hAnsi="Arial" w:eastAsia="Calibri" w:cs="Arial"/>
          <w:sz w:val="21"/>
          <w:szCs w:val="21"/>
        </w:rPr>
        <w:t>expedida el día 25 mayo de 2023, en estas circunstancias ¿la subsanación es válida?, ¿por qué si, o por qué no? [sic]</w:t>
      </w:r>
    </w:p>
    <w:p w:rsidRPr="003D5E39" w:rsidR="008923A8" w:rsidP="008923A8" w:rsidRDefault="008923A8" w14:paraId="01D7531D" w14:textId="77777777">
      <w:pPr>
        <w:spacing w:after="0" w:line="240" w:lineRule="auto"/>
        <w:ind w:left="709" w:right="709"/>
        <w:contextualSpacing/>
        <w:jc w:val="both"/>
        <w:rPr>
          <w:rFonts w:ascii="Arial" w:hAnsi="Arial" w:eastAsia="Calibri" w:cs="Arial"/>
          <w:sz w:val="21"/>
          <w:szCs w:val="21"/>
        </w:rPr>
      </w:pPr>
    </w:p>
    <w:p w:rsidRPr="003D5E39" w:rsidR="008923A8" w:rsidP="008923A8" w:rsidRDefault="008923A8" w14:paraId="3C9C30EA" w14:textId="77777777">
      <w:pPr>
        <w:spacing w:after="0" w:line="240" w:lineRule="auto"/>
        <w:ind w:left="709" w:right="709"/>
        <w:contextualSpacing/>
        <w:jc w:val="both"/>
        <w:rPr>
          <w:rFonts w:ascii="Arial" w:hAnsi="Arial" w:eastAsia="Calibri" w:cs="Arial"/>
          <w:sz w:val="21"/>
          <w:szCs w:val="21"/>
        </w:rPr>
      </w:pPr>
      <w:r w:rsidRPr="003D5E39">
        <w:rPr>
          <w:rFonts w:ascii="Arial" w:hAnsi="Arial" w:eastAsia="Calibri" w:cs="Arial"/>
          <w:sz w:val="21"/>
          <w:szCs w:val="21"/>
        </w:rPr>
        <w:t xml:space="preserve">Se solicita la aclaración debido a que se presenta en un proceso en el cual la entidad manifiesta que las vigencias de los contadores expedidas después del cierre del proceso son válidas, puesto que en ellas se evidencia que antes de la fecha del cierre del proceso los contadores no presentaban alguna sanción o inhabilidad basándose en que en las vigencias contempla; </w:t>
      </w:r>
      <w:r w:rsidRPr="003D5E39">
        <w:rPr>
          <w:rFonts w:ascii="Arial" w:hAnsi="Arial" w:eastAsia="Calibri" w:cs="Arial"/>
          <w:b/>
          <w:bCs/>
          <w:i/>
          <w:iCs/>
          <w:sz w:val="21"/>
          <w:szCs w:val="21"/>
        </w:rPr>
        <w:t xml:space="preserve">“este certificado contendrá las providencias ejecutoriadas que se hayan expedido dentro de los cinco años anteriores a su expedición y, por tanto, se verificará si para la época en la cual el contador suscribió el estado de resultados integral tenía alguna sanción o inhabilidad” </w:t>
      </w:r>
      <w:r w:rsidRPr="003D5E39">
        <w:rPr>
          <w:rFonts w:ascii="Arial" w:hAnsi="Arial" w:eastAsia="Calibri" w:cs="Arial"/>
          <w:sz w:val="21"/>
          <w:szCs w:val="21"/>
        </w:rPr>
        <w:t>[Énfasis propio]</w:t>
      </w:r>
    </w:p>
    <w:p w:rsidRPr="003D5E39" w:rsidR="008923A8" w:rsidP="008923A8" w:rsidRDefault="008923A8" w14:paraId="4F0D4F62" w14:textId="77777777">
      <w:pPr>
        <w:spacing w:after="0" w:line="276" w:lineRule="auto"/>
        <w:contextualSpacing/>
        <w:jc w:val="both"/>
        <w:rPr>
          <w:rFonts w:ascii="Arial" w:hAnsi="Arial" w:eastAsia="Calibri" w:cs="Arial"/>
        </w:rPr>
      </w:pPr>
    </w:p>
    <w:bookmarkEnd w:id="5"/>
    <w:bookmarkEnd w:id="6"/>
    <w:bookmarkEnd w:id="7"/>
    <w:bookmarkEnd w:id="8"/>
    <w:p w:rsidRPr="003D5E39" w:rsidR="008923A8" w:rsidP="008923A8" w:rsidRDefault="008923A8" w14:paraId="4CAB534B" w14:textId="77777777">
      <w:pPr>
        <w:tabs>
          <w:tab w:val="left" w:pos="284"/>
        </w:tabs>
        <w:spacing w:after="0" w:line="276" w:lineRule="auto"/>
        <w:contextualSpacing/>
        <w:jc w:val="both"/>
        <w:rPr>
          <w:rFonts w:ascii="Arial" w:hAnsi="Arial" w:eastAsia="Calibri" w:cs="Arial"/>
          <w:b/>
        </w:rPr>
      </w:pPr>
      <w:r w:rsidRPr="003D5E39">
        <w:rPr>
          <w:rFonts w:ascii="Arial" w:hAnsi="Arial" w:eastAsia="Calibri" w:cs="Arial"/>
          <w:b/>
        </w:rPr>
        <w:t>2. Consideraciones</w:t>
      </w:r>
    </w:p>
    <w:p w:rsidRPr="003D5E39" w:rsidR="008923A8" w:rsidP="008923A8" w:rsidRDefault="008923A8" w14:paraId="63A74547" w14:textId="77777777">
      <w:pPr>
        <w:tabs>
          <w:tab w:val="left" w:pos="284"/>
        </w:tabs>
        <w:spacing w:after="0" w:line="276" w:lineRule="auto"/>
        <w:contextualSpacing/>
        <w:jc w:val="both"/>
        <w:rPr>
          <w:rFonts w:ascii="Arial" w:hAnsi="Arial" w:eastAsia="Calibri" w:cs="Arial"/>
          <w:b/>
        </w:rPr>
      </w:pPr>
    </w:p>
    <w:p w:rsidRPr="003D5E39" w:rsidR="008923A8" w:rsidP="008923A8" w:rsidRDefault="008923A8" w14:paraId="23199740" w14:textId="77777777">
      <w:pPr>
        <w:spacing w:after="120" w:line="276" w:lineRule="auto"/>
        <w:jc w:val="both"/>
        <w:rPr>
          <w:rFonts w:ascii="Arial" w:hAnsi="Arial" w:cs="Arial"/>
          <w:lang w:val="es-ES"/>
        </w:rPr>
      </w:pPr>
      <w:r w:rsidRPr="003D5E39">
        <w:rPr>
          <w:rFonts w:ascii="Arial" w:hAnsi="Arial" w:cs="Arial"/>
          <w:bCs/>
        </w:rPr>
        <w:t xml:space="preserve">En ejercicio de las competencias establecidas en los artículos 3.5 y 11.8 del Decreto 4170 de 2011, la Agencia Nacional de Contratación Pública – Colombia Compra Eficiente resuelve consultas sobre </w:t>
      </w:r>
      <w:r w:rsidRPr="003D5E39">
        <w:rPr>
          <w:rFonts w:ascii="Arial" w:hAnsi="Arial" w:cs="Arial"/>
          <w:lang w:val="es-ES"/>
        </w:rPr>
        <w:t>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w:t>
      </w:r>
      <w:r w:rsidRPr="003D5E39">
        <w:rPr>
          <w:rFonts w:ascii="Arial" w:hAnsi="Arial" w:cs="Arial"/>
          <w:bCs/>
        </w:rPr>
        <w:t xml:space="preserve"> de todos los partícipes de la contratación estatal.</w:t>
      </w:r>
    </w:p>
    <w:p w:rsidRPr="003D5E39" w:rsidR="008923A8" w:rsidP="008923A8" w:rsidRDefault="008923A8" w14:paraId="27CC3FA7" w14:textId="77777777">
      <w:pPr>
        <w:spacing w:after="120" w:line="276" w:lineRule="auto"/>
        <w:ind w:firstLine="708"/>
        <w:jc w:val="both"/>
        <w:rPr>
          <w:rFonts w:ascii="Arial" w:hAnsi="Arial" w:cs="Arial"/>
          <w:lang w:val="es-ES"/>
        </w:rPr>
      </w:pPr>
      <w:r w:rsidRPr="003D5E39">
        <w:rPr>
          <w:rFonts w:ascii="Arial"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3D5E39">
        <w:rPr>
          <w:rFonts w:ascii="Arial" w:hAnsi="Arial" w:cs="Arial"/>
          <w:vertAlign w:val="superscript"/>
          <w:lang w:val="es-ES"/>
        </w:rPr>
        <w:footnoteReference w:id="1"/>
      </w:r>
      <w:r w:rsidRPr="003D5E39">
        <w:rPr>
          <w:rFonts w:ascii="Arial" w:hAnsi="Arial" w:cs="Arial"/>
          <w:lang w:val="es-ES"/>
        </w:rPr>
        <w:t>. Esta competencia de interpretación de normas generales, por definición, no puede extenderse a la resolución de controversias ni brindar asesorías sobre casos puntuales. Por lo anterior, previo concepto de sus órganos asesores, la solución de estos temas corresponde a la entidad de adoptar la decisión correspondiente y, en caso de conflicto, a las autoridades judiciales, fiscales y disciplinarias. De esta manera, le corresponderá a cada entidad definir la viabilidad técnica, jurídica y financiera de adelantar alguna gestión en específico.</w:t>
      </w:r>
    </w:p>
    <w:p w:rsidRPr="003D5E39" w:rsidR="008923A8" w:rsidP="008923A8" w:rsidRDefault="008923A8" w14:paraId="61B2B57E" w14:textId="77777777">
      <w:pPr>
        <w:spacing w:line="276" w:lineRule="auto"/>
        <w:ind w:firstLine="708"/>
        <w:jc w:val="both"/>
        <w:rPr>
          <w:rFonts w:ascii="Arial" w:hAnsi="Arial" w:cs="Arial"/>
          <w:lang w:val="es-ES"/>
        </w:rPr>
      </w:pPr>
      <w:r w:rsidRPr="003D5E39">
        <w:rPr>
          <w:rFonts w:ascii="Arial" w:hAnsi="Arial" w:eastAsia="Calibri" w:cs="Arial"/>
        </w:rPr>
        <w:t xml:space="preserve">Sin perjuicio de lo anterior, </w:t>
      </w:r>
      <w:r w:rsidRPr="003D5E39">
        <w:rPr>
          <w:rFonts w:ascii="Arial" w:hAnsi="Arial" w:eastAsia="Calibri" w:cs="Arial"/>
          <w:lang w:val="es-ES"/>
        </w:rPr>
        <w:t xml:space="preserve">la Agencia –dentro de los límites de sus atribuciones– resolverá la consulta conforme a las normas generales del sistema de compras públicas. </w:t>
      </w:r>
      <w:r w:rsidRPr="003D5E39">
        <w:rPr>
          <w:rFonts w:ascii="Arial" w:hAnsi="Arial" w:eastAsia="Calibri" w:cs="Arial"/>
          <w:lang w:val="es-ES"/>
        </w:rPr>
        <w:t>Con este objetivo</w:t>
      </w:r>
      <w:r w:rsidRPr="003D5E39">
        <w:rPr>
          <w:rFonts w:ascii="Arial" w:hAnsi="Arial" w:eastAsia="Calibri" w:cs="Arial"/>
        </w:rPr>
        <w:t xml:space="preserve"> </w:t>
      </w:r>
      <w:r w:rsidRPr="003D5E39">
        <w:rPr>
          <w:rFonts w:ascii="Arial" w:hAnsi="Arial" w:eastAsia="Calibri" w:cs="Arial"/>
          <w:lang w:val="es-ES"/>
        </w:rPr>
        <w:t>se abordarán los siguientes temas</w:t>
      </w:r>
      <w:r w:rsidRPr="003D5E39">
        <w:rPr>
          <w:rFonts w:ascii="Arial" w:hAnsi="Arial" w:cs="Arial"/>
          <w:lang w:val="es-ES"/>
        </w:rPr>
        <w:t xml:space="preserve">: i) principio de selección objetiva en la contratación estatal y </w:t>
      </w:r>
      <w:proofErr w:type="spellStart"/>
      <w:r w:rsidRPr="003D5E39">
        <w:rPr>
          <w:rFonts w:ascii="Arial" w:hAnsi="Arial" w:cs="Arial"/>
          <w:lang w:val="es-ES"/>
        </w:rPr>
        <w:t>ii</w:t>
      </w:r>
      <w:proofErr w:type="spellEnd"/>
      <w:r w:rsidRPr="003D5E39">
        <w:rPr>
          <w:rFonts w:ascii="Arial" w:hAnsi="Arial" w:cs="Arial"/>
          <w:lang w:val="es-ES"/>
        </w:rPr>
        <w:t>) alcance de la regla de la subsanabilidad de las ofertas en los procedimientos de selección.</w:t>
      </w:r>
    </w:p>
    <w:p w:rsidRPr="003D5E39" w:rsidR="008923A8" w:rsidP="008923A8" w:rsidRDefault="008923A8" w14:paraId="1FE99C16" w14:textId="77777777">
      <w:pPr>
        <w:spacing w:before="120" w:after="0" w:line="276" w:lineRule="auto"/>
        <w:ind w:firstLine="709"/>
        <w:jc w:val="both"/>
        <w:rPr>
          <w:rFonts w:ascii="Arial" w:hAnsi="Arial" w:eastAsia="Calibri" w:cs="Arial"/>
          <w:lang w:val="es-ES"/>
        </w:rPr>
      </w:pPr>
      <w:r w:rsidRPr="003D5E39">
        <w:rPr>
          <w:rFonts w:ascii="Arial" w:hAnsi="Arial" w:eastAsia="Calibri" w:cs="Arial"/>
          <w:lang w:val="es-ES"/>
        </w:rPr>
        <w:t>La Agencia Nacional de Contratación Pública – Colombia Compra Eficiente, en el Concepto</w:t>
      </w:r>
      <w:r w:rsidRPr="003D5E39">
        <w:rPr>
          <w:rFonts w:ascii="Arial" w:hAnsi="Arial" w:eastAsia="Calibri" w:cs="Arial"/>
          <w:lang w:eastAsia="en-GB"/>
        </w:rPr>
        <w:t xml:space="preserve"> CU-060 del 24 de febrero de 2020, unificó su postura sobre el alcance de la regla de subsanabilidad prevista en el artículo 5 de la Ley 1150 de 2007</w:t>
      </w:r>
      <w:r w:rsidRPr="003D5E39">
        <w:rPr>
          <w:rFonts w:ascii="Arial" w:hAnsi="Arial" w:eastAsia="Calibri" w:cs="Arial"/>
          <w:lang w:val="es-ES"/>
        </w:rPr>
        <w:t xml:space="preserve">. </w:t>
      </w:r>
      <w:r w:rsidRPr="003D5E39">
        <w:rPr>
          <w:rFonts w:ascii="Arial" w:hAnsi="Arial" w:eastAsia="Calibri" w:cs="Arial"/>
          <w:lang w:val="es-ES_tradnl"/>
        </w:rPr>
        <w:t>La tesis propuesta se ha reiterado en los Conceptos C-218 del 2 de abril de 2020, C-229 del 16 de abril de 2020, C-307 del 21 de mayo de 2020, C-396 del 16 de julio de 2020, C-410 del 26 de junio de 2020, C-429 del 24 de julio de 2020, C-481 del 27 de julio de 2020, C-548 del 21 de agosto de 2020, C-633 del 2 de octubre de 2020, C-634 del 21 de octubre de 2020, C-675 del 25 de noviembre de 2020, C-802 del 1° de febrero de 2021, C-010 del 16 de febrero de 2021, C-083 del 18 de marzo de 2021, C-090 del 23 de marzo de 2021, C-152 del 12 de abril de 2021, C-207 del 10 de mayo de 2021, C-217 del 14 de mayo de 2021, C-250 del 2 de junio de 2021, C-311 del 10 de junio de 2021, C-409 del 13 de agosto de 2021, C-424 del 27 de septiembre de 2021, C-477 del 6 de septiembre de 2021, C-485 del 13 de octubre de 2021, C-498 del 14 de septiembre de 2021, C-501 del 16 de agosto de 2021, C-521 del 24 de septiembre de 2021, C-565 del 11 de octubre de 2021, C-691 del 28 de diciembre de 2021, C-716 del 23 de enero de 2022, C-728 del 26 de enero de 2022, C-753 del 6 de febrero de 2022, C-114 del 22 de marzo de 2022, C-140 del 28 de marzo de 2022, C-162 del 5 de abril de 2022, C-285 del 20 de mayo de 2022, C-343 del 31 de mayo de 2022, C-381 del 15 de julio de 2022, C-416 del 30 de junio de 2022, C-431 del 7 de julio de 2022, C-434 del 8 de julio de 2022, C-542 del 23 de agosto de 2022, C-595 del 9 de septiembre de 2022, C-772 del 28 de noviembre de 2022, C-793 del 21 de noviembre de 2022, C-923 del 27 de diciembre de 2022, C-965 del 27 de enero de 2023, C-058 del 10 de mayo de 2023, C-082 del 19 de abril de 2023 y C-216 del 6 de junio de 2023</w:t>
      </w:r>
      <w:r w:rsidRPr="003D5E39">
        <w:rPr>
          <w:rFonts w:ascii="Arial" w:hAnsi="Arial" w:eastAsia="Calibri" w:cs="Arial"/>
          <w:vertAlign w:val="superscript"/>
        </w:rPr>
        <w:footnoteReference w:id="2"/>
      </w:r>
      <w:r w:rsidRPr="003D5E39">
        <w:rPr>
          <w:rFonts w:ascii="Arial" w:hAnsi="Arial" w:eastAsia="Calibri" w:cs="Arial"/>
          <w:lang w:val="es-ES_tradnl"/>
        </w:rPr>
        <w:t xml:space="preserve">. </w:t>
      </w:r>
      <w:proofErr w:type="gramStart"/>
      <w:r w:rsidRPr="003D5E39">
        <w:rPr>
          <w:rFonts w:ascii="Arial" w:hAnsi="Arial" w:eastAsia="Calibri" w:cs="Arial"/>
          <w:lang w:val="es-ES_tradnl"/>
        </w:rPr>
        <w:t>La tesis de estos conceptos se reiteran a continuación</w:t>
      </w:r>
      <w:proofErr w:type="gramEnd"/>
      <w:r w:rsidRPr="003D5E39">
        <w:rPr>
          <w:rFonts w:ascii="Arial" w:hAnsi="Arial" w:eastAsia="Calibri" w:cs="Arial"/>
          <w:lang w:val="es-ES_tradnl"/>
        </w:rPr>
        <w:t>.</w:t>
      </w:r>
    </w:p>
    <w:p w:rsidRPr="003D5E39" w:rsidR="008923A8" w:rsidP="008923A8" w:rsidRDefault="008923A8" w14:paraId="6015AE63" w14:textId="77777777">
      <w:pPr>
        <w:spacing w:after="0" w:line="276" w:lineRule="auto"/>
        <w:ind w:firstLine="709"/>
        <w:jc w:val="both"/>
        <w:rPr>
          <w:rFonts w:ascii="Arial" w:hAnsi="Arial" w:eastAsia="Times New Roman" w:cs="Arial"/>
          <w:b/>
          <w:bCs/>
          <w:iCs/>
          <w:szCs w:val="24"/>
          <w:lang w:val="es-ES_tradnl" w:eastAsia="es-ES_tradnl"/>
        </w:rPr>
      </w:pPr>
    </w:p>
    <w:p w:rsidRPr="003D5E39" w:rsidR="008923A8" w:rsidP="008923A8" w:rsidRDefault="008923A8" w14:paraId="3AD00739" w14:textId="77777777">
      <w:pPr>
        <w:spacing w:after="0" w:line="276" w:lineRule="auto"/>
        <w:contextualSpacing/>
        <w:jc w:val="both"/>
        <w:rPr>
          <w:rFonts w:ascii="Arial" w:hAnsi="Arial" w:eastAsia="Arial" w:cs="Arial"/>
          <w:b/>
          <w:bCs/>
          <w:lang w:val="es-ES_tradnl" w:eastAsia="es-ES_tradnl"/>
        </w:rPr>
      </w:pPr>
      <w:r w:rsidRPr="003D5E39">
        <w:rPr>
          <w:rFonts w:ascii="Arial" w:hAnsi="Arial" w:eastAsia="Arial" w:cs="Arial"/>
          <w:b/>
          <w:bCs/>
          <w:lang w:val="es-ES_tradnl" w:eastAsia="es-ES_tradnl"/>
        </w:rPr>
        <w:t xml:space="preserve">2.1. Principio de selección objetiva en la contratación estatal. Reiteración de línea  </w:t>
      </w:r>
    </w:p>
    <w:p w:rsidRPr="003D5E39" w:rsidR="008923A8" w:rsidP="008923A8" w:rsidRDefault="008923A8" w14:paraId="59B1E7D4" w14:textId="77777777">
      <w:pPr>
        <w:spacing w:after="0" w:line="276" w:lineRule="auto"/>
        <w:contextualSpacing/>
        <w:jc w:val="both"/>
        <w:rPr>
          <w:rFonts w:ascii="Arial" w:hAnsi="Arial" w:eastAsia="Arial" w:cs="Arial"/>
          <w:b/>
          <w:bCs/>
          <w:lang w:val="es-ES_tradnl" w:eastAsia="es-ES_tradnl"/>
        </w:rPr>
      </w:pPr>
    </w:p>
    <w:p w:rsidRPr="003D5E39" w:rsidR="008923A8" w:rsidP="008923A8" w:rsidRDefault="008923A8" w14:paraId="19178CDB" w14:textId="77777777">
      <w:pPr>
        <w:spacing w:after="0" w:line="276" w:lineRule="auto"/>
        <w:jc w:val="both"/>
        <w:rPr>
          <w:rFonts w:ascii="Arial" w:hAnsi="Arial" w:eastAsia="Arial" w:cs="Arial"/>
        </w:rPr>
      </w:pPr>
      <w:r w:rsidRPr="003D5E39">
        <w:rPr>
          <w:rFonts w:ascii="Arial" w:hAnsi="Arial" w:eastAsia="Arial" w:cs="Arial"/>
        </w:rPr>
        <w:t xml:space="preserve">Uno de los principios transversales de los procedimientos de selección es el de </w:t>
      </w:r>
      <w:r w:rsidRPr="003D5E39">
        <w:rPr>
          <w:rFonts w:ascii="Arial" w:hAnsi="Arial" w:eastAsia="Arial" w:cs="Arial"/>
          <w:i/>
        </w:rPr>
        <w:t>selección objetiva</w:t>
      </w:r>
      <w:r w:rsidRPr="003D5E39">
        <w:rPr>
          <w:rFonts w:ascii="Arial" w:hAnsi="Arial" w:eastAsia="Arial" w:cs="Arial"/>
        </w:rPr>
        <w:t xml:space="preserve">. Se trata del postulado que exige que la escogencia de la oferta ganadora deba fundamentarse en factores objetivos, de carácter técnico, jurídico y financiero, y no en criterios subjetivos, como el afecto, la amistad, el ánimo de ayuda, el interés personal, etc. Si bien dentro de la historia de la contratación pública en Colombia se vislumbran </w:t>
      </w:r>
      <w:r w:rsidRPr="003D5E39">
        <w:rPr>
          <w:rFonts w:ascii="Arial" w:hAnsi="Arial" w:eastAsia="Arial" w:cs="Arial"/>
        </w:rPr>
        <w:t>antecedentes normativos que consagraban dicho principio</w:t>
      </w:r>
      <w:r w:rsidRPr="003D5E39">
        <w:rPr>
          <w:rFonts w:ascii="Arial" w:hAnsi="Arial" w:eastAsia="Arial" w:cs="Arial"/>
          <w:vertAlign w:val="superscript"/>
        </w:rPr>
        <w:footnoteReference w:id="3"/>
      </w:r>
      <w:r w:rsidRPr="003D5E39">
        <w:rPr>
          <w:rFonts w:ascii="Arial" w:hAnsi="Arial" w:eastAsia="Arial" w:cs="Arial"/>
        </w:rPr>
        <w:t xml:space="preserve">, en la actualidad la disposición legal que lo prevé de manera más clara y contundente es el artículo 5 de la Ley 1150 de 2007, modificado por el artículo 88 de la Ley 1474 de 2011 y por el artículo 5 de la Ley 1882 de 2018. Esta norma prescribe lo siguiente: </w:t>
      </w:r>
    </w:p>
    <w:p w:rsidRPr="003D5E39" w:rsidR="008923A8" w:rsidP="008923A8" w:rsidRDefault="008923A8" w14:paraId="3783630F" w14:textId="77777777">
      <w:pPr>
        <w:spacing w:after="0" w:line="276" w:lineRule="auto"/>
        <w:jc w:val="both"/>
        <w:rPr>
          <w:rFonts w:ascii="Arial" w:hAnsi="Arial" w:eastAsia="Arial" w:cs="Arial"/>
        </w:rPr>
      </w:pPr>
    </w:p>
    <w:p w:rsidRPr="003D5E39" w:rsidR="008923A8" w:rsidP="008923A8" w:rsidRDefault="008923A8" w14:paraId="467C0473" w14:textId="77777777">
      <w:pPr>
        <w:spacing w:after="120" w:line="240" w:lineRule="auto"/>
        <w:ind w:left="709" w:right="709"/>
        <w:jc w:val="both"/>
        <w:rPr>
          <w:rFonts w:ascii="Arial" w:hAnsi="Arial" w:eastAsia="Arial" w:cs="Arial"/>
          <w:sz w:val="21"/>
          <w:szCs w:val="21"/>
        </w:rPr>
      </w:pPr>
      <w:r w:rsidRPr="003D5E39">
        <w:rPr>
          <w:rFonts w:ascii="Arial" w:hAnsi="Arial" w:eastAsia="Arial" w:cs="Arial"/>
          <w:sz w:val="21"/>
          <w:szCs w:val="21"/>
        </w:rPr>
        <w:t>“ARTÍCULO 5o.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rsidRPr="003D5E39" w:rsidR="008923A8" w:rsidP="008923A8" w:rsidRDefault="008923A8" w14:paraId="1EC38CFE" w14:textId="77777777">
      <w:pPr>
        <w:spacing w:after="120" w:line="240" w:lineRule="auto"/>
        <w:ind w:left="709" w:right="709"/>
        <w:jc w:val="both"/>
        <w:rPr>
          <w:rFonts w:ascii="Arial" w:hAnsi="Arial" w:eastAsia="Arial" w:cs="Arial"/>
          <w:sz w:val="21"/>
          <w:szCs w:val="21"/>
        </w:rPr>
      </w:pPr>
      <w:r w:rsidRPr="003D5E39">
        <w:rPr>
          <w:rFonts w:ascii="Arial" w:hAnsi="Arial" w:eastAsia="Arial" w:cs="Arial"/>
          <w:sz w:val="21"/>
          <w:szCs w:val="21"/>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rsidRPr="003D5E39" w:rsidR="008923A8" w:rsidP="008923A8" w:rsidRDefault="008923A8" w14:paraId="4F049E40" w14:textId="77777777">
      <w:pPr>
        <w:spacing w:after="120" w:line="240" w:lineRule="auto"/>
        <w:ind w:left="709" w:right="709"/>
        <w:jc w:val="both"/>
        <w:rPr>
          <w:rFonts w:ascii="Arial" w:hAnsi="Arial" w:eastAsia="Arial" w:cs="Arial"/>
          <w:sz w:val="21"/>
          <w:szCs w:val="21"/>
        </w:rPr>
      </w:pPr>
      <w:r w:rsidRPr="003D5E39">
        <w:rPr>
          <w:rFonts w:ascii="Arial" w:hAnsi="Arial" w:eastAsia="Arial" w:cs="Arial"/>
          <w:sz w:val="21"/>
          <w:szCs w:val="21"/>
        </w:rPr>
        <w:t xml:space="preserve">2. &lt;Numeral modificado por el artículo 88 de la Ley 1474 de 2011. El nuevo texto es el siguiente:&gt;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w:t>
      </w:r>
      <w:r w:rsidRPr="003D5E39">
        <w:rPr>
          <w:rFonts w:ascii="Arial" w:hAnsi="Arial" w:eastAsia="Arial" w:cs="Arial"/>
          <w:sz w:val="21"/>
          <w:szCs w:val="21"/>
        </w:rPr>
        <w:t>del mercado y los estudios y deducciones de la entidad o de los organismos consultores o asesores designados para ello.</w:t>
      </w:r>
    </w:p>
    <w:p w:rsidRPr="003D5E39" w:rsidR="008923A8" w:rsidP="008923A8" w:rsidRDefault="008923A8" w14:paraId="7F37DD01" w14:textId="77777777">
      <w:pPr>
        <w:spacing w:after="120" w:line="240" w:lineRule="auto"/>
        <w:ind w:left="709" w:right="709"/>
        <w:jc w:val="both"/>
        <w:rPr>
          <w:rFonts w:ascii="Arial" w:hAnsi="Arial" w:eastAsia="Arial" w:cs="Arial"/>
          <w:sz w:val="21"/>
          <w:szCs w:val="21"/>
        </w:rPr>
      </w:pPr>
      <w:r w:rsidRPr="003D5E39">
        <w:rPr>
          <w:rFonts w:ascii="Arial" w:hAnsi="Arial" w:eastAsia="Arial" w:cs="Arial"/>
          <w:sz w:val="21"/>
          <w:szCs w:val="21"/>
        </w:rPr>
        <w:t>En los procesos de selección en los que se tenga en cuenta los factores técnicos y económicos, la oferta más ventajosa será la que resulte de aplicar alguna de las siguientes alternativas:</w:t>
      </w:r>
    </w:p>
    <w:p w:rsidRPr="003D5E39" w:rsidR="008923A8" w:rsidP="008923A8" w:rsidRDefault="008923A8" w14:paraId="1D2674D0" w14:textId="77777777">
      <w:pPr>
        <w:spacing w:after="120" w:line="240" w:lineRule="auto"/>
        <w:ind w:left="709" w:right="709"/>
        <w:jc w:val="both"/>
        <w:rPr>
          <w:rFonts w:ascii="Arial" w:hAnsi="Arial" w:eastAsia="Arial" w:cs="Arial"/>
          <w:sz w:val="21"/>
          <w:szCs w:val="21"/>
        </w:rPr>
      </w:pPr>
      <w:r w:rsidRPr="003D5E39">
        <w:rPr>
          <w:rFonts w:ascii="Arial" w:hAnsi="Arial" w:eastAsia="Arial" w:cs="Arial"/>
          <w:sz w:val="21"/>
          <w:szCs w:val="21"/>
        </w:rPr>
        <w:t>a) La ponderación de los elementos de calidad y precio soportados en puntajes o fórmulas señaladas en el pliego de condiciones; o</w:t>
      </w:r>
    </w:p>
    <w:p w:rsidRPr="003D5E39" w:rsidR="008923A8" w:rsidP="008923A8" w:rsidRDefault="008923A8" w14:paraId="675C165E" w14:textId="77777777">
      <w:pPr>
        <w:spacing w:after="120" w:line="240" w:lineRule="auto"/>
        <w:ind w:left="709" w:right="709"/>
        <w:jc w:val="both"/>
        <w:rPr>
          <w:rFonts w:ascii="Arial" w:hAnsi="Arial" w:eastAsia="Arial" w:cs="Arial"/>
          <w:sz w:val="21"/>
          <w:szCs w:val="21"/>
        </w:rPr>
      </w:pPr>
      <w:r w:rsidRPr="003D5E39">
        <w:rPr>
          <w:rFonts w:ascii="Arial" w:hAnsi="Arial" w:eastAsia="Arial" w:cs="Arial"/>
          <w:sz w:val="21"/>
          <w:szCs w:val="21"/>
        </w:rPr>
        <w:t>b) La ponderación de los elementos de calidad y precio que representen la mejor relación de costo-beneficio para la entidad.</w:t>
      </w:r>
    </w:p>
    <w:p w:rsidRPr="003D5E39" w:rsidR="008923A8" w:rsidP="008923A8" w:rsidRDefault="008923A8" w14:paraId="52D306F0" w14:textId="77777777">
      <w:pPr>
        <w:spacing w:after="120" w:line="240" w:lineRule="auto"/>
        <w:ind w:left="709" w:right="709"/>
        <w:jc w:val="both"/>
        <w:rPr>
          <w:rFonts w:ascii="Arial" w:hAnsi="Arial" w:eastAsia="Arial" w:cs="Arial"/>
          <w:sz w:val="21"/>
          <w:szCs w:val="21"/>
        </w:rPr>
      </w:pPr>
      <w:r w:rsidRPr="003D5E39">
        <w:rPr>
          <w:rFonts w:ascii="Arial" w:hAnsi="Arial" w:eastAsia="Arial" w:cs="Arial"/>
          <w:sz w:val="21"/>
          <w:szCs w:val="21"/>
        </w:rPr>
        <w:t>3. 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 ofrecido.</w:t>
      </w:r>
    </w:p>
    <w:p w:rsidRPr="003D5E39" w:rsidR="008923A8" w:rsidP="008923A8" w:rsidRDefault="008923A8" w14:paraId="04BE0985" w14:textId="77777777">
      <w:pPr>
        <w:spacing w:after="120" w:line="240" w:lineRule="auto"/>
        <w:ind w:left="709" w:right="709"/>
        <w:jc w:val="both"/>
        <w:rPr>
          <w:rFonts w:ascii="Arial" w:hAnsi="Arial" w:eastAsia="Arial" w:cs="Arial"/>
          <w:sz w:val="21"/>
          <w:szCs w:val="21"/>
        </w:rPr>
      </w:pPr>
      <w:r w:rsidRPr="003D5E39">
        <w:rPr>
          <w:rFonts w:ascii="Arial" w:hAnsi="Arial" w:eastAsia="Arial" w:cs="Arial"/>
          <w:sz w:val="21"/>
          <w:szCs w:val="21"/>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w:t>
      </w:r>
    </w:p>
    <w:p w:rsidRPr="003D5E39" w:rsidR="008923A8" w:rsidP="008923A8" w:rsidRDefault="008923A8" w14:paraId="097FEF1D" w14:textId="77777777">
      <w:pPr>
        <w:spacing w:after="120" w:line="240" w:lineRule="auto"/>
        <w:ind w:left="709" w:right="709"/>
        <w:jc w:val="both"/>
        <w:rPr>
          <w:rFonts w:ascii="Arial" w:hAnsi="Arial" w:eastAsia="Arial" w:cs="Arial"/>
          <w:sz w:val="21"/>
          <w:szCs w:val="21"/>
        </w:rPr>
      </w:pPr>
      <w:r w:rsidRPr="003D5E39">
        <w:rPr>
          <w:rFonts w:ascii="Arial" w:hAnsi="Arial" w:eastAsia="Arial" w:cs="Arial"/>
          <w:sz w:val="21"/>
          <w:szCs w:val="21"/>
        </w:rPr>
        <w:t>En ningún caso se podrá incluir el precio, como factor de escogencia para la selección de consultores.</w:t>
      </w:r>
    </w:p>
    <w:p w:rsidRPr="003D5E39" w:rsidR="008923A8" w:rsidP="008923A8" w:rsidRDefault="008923A8" w14:paraId="0C04DD11" w14:textId="77777777">
      <w:pPr>
        <w:spacing w:after="120" w:line="240" w:lineRule="auto"/>
        <w:ind w:left="709" w:right="709"/>
        <w:jc w:val="both"/>
        <w:rPr>
          <w:rFonts w:ascii="Arial" w:hAnsi="Arial" w:eastAsia="Arial" w:cs="Arial"/>
          <w:sz w:val="21"/>
          <w:szCs w:val="21"/>
        </w:rPr>
      </w:pPr>
      <w:r w:rsidRPr="003D5E39">
        <w:rPr>
          <w:rFonts w:ascii="Arial" w:hAnsi="Arial" w:eastAsia="Arial" w:cs="Arial"/>
          <w:sz w:val="21"/>
          <w:szCs w:val="21"/>
        </w:rPr>
        <w:t>PARÁGRAFO 1o. &lt;Parágrafo modificado por el artículo 5 de la Ley 1882 de 2018. El nuevo texto es el siguiente:&gt;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p>
    <w:p w:rsidRPr="003D5E39" w:rsidR="008923A8" w:rsidP="008923A8" w:rsidRDefault="008923A8" w14:paraId="31A18B20" w14:textId="77777777">
      <w:pPr>
        <w:spacing w:after="120" w:line="240" w:lineRule="auto"/>
        <w:ind w:left="709" w:right="709"/>
        <w:jc w:val="both"/>
        <w:rPr>
          <w:rFonts w:ascii="Arial" w:hAnsi="Arial" w:eastAsia="Arial" w:cs="Arial"/>
          <w:sz w:val="21"/>
          <w:szCs w:val="21"/>
        </w:rPr>
      </w:pPr>
      <w:r w:rsidRPr="003D5E39">
        <w:rPr>
          <w:rFonts w:ascii="Arial" w:hAnsi="Arial" w:eastAsia="Arial" w:cs="Arial"/>
          <w:sz w:val="21"/>
          <w:szCs w:val="21"/>
        </w:rPr>
        <w:t>Durante el término otorgado para subsanar las ofertas, los proponentes no podrán acreditar circunstancias ocurridas con posterioridad al cierre del proceso.</w:t>
      </w:r>
    </w:p>
    <w:p w:rsidRPr="003D5E39" w:rsidR="008923A8" w:rsidP="008923A8" w:rsidRDefault="008923A8" w14:paraId="1D631C13" w14:textId="77777777">
      <w:pPr>
        <w:spacing w:after="120" w:line="240" w:lineRule="auto"/>
        <w:ind w:left="709" w:right="709"/>
        <w:jc w:val="both"/>
        <w:rPr>
          <w:rFonts w:ascii="Arial" w:hAnsi="Arial" w:eastAsia="Arial" w:cs="Arial"/>
          <w:sz w:val="21"/>
          <w:szCs w:val="21"/>
        </w:rPr>
      </w:pPr>
      <w:r w:rsidRPr="003D5E39">
        <w:rPr>
          <w:rFonts w:ascii="Arial" w:hAnsi="Arial" w:eastAsia="Arial" w:cs="Arial"/>
          <w:sz w:val="21"/>
          <w:szCs w:val="21"/>
        </w:rPr>
        <w:t>PARÁGRAFO 2o. Las certificaciones de sistemas de gestión de calidad no serán objeto de calificación, ni podrán establecerse como documento habilitante para participar en licitaciones o concursos.</w:t>
      </w:r>
    </w:p>
    <w:p w:rsidRPr="003D5E39" w:rsidR="008923A8" w:rsidP="008923A8" w:rsidRDefault="008923A8" w14:paraId="7E38C962" w14:textId="77777777">
      <w:pPr>
        <w:spacing w:after="120" w:line="240" w:lineRule="auto"/>
        <w:ind w:left="709" w:right="709"/>
        <w:jc w:val="both"/>
        <w:rPr>
          <w:rFonts w:ascii="Arial" w:hAnsi="Arial" w:eastAsia="Arial" w:cs="Arial"/>
          <w:sz w:val="21"/>
          <w:szCs w:val="21"/>
        </w:rPr>
      </w:pPr>
      <w:r w:rsidRPr="003D5E39">
        <w:rPr>
          <w:rFonts w:ascii="Arial" w:hAnsi="Arial" w:eastAsia="Arial" w:cs="Arial"/>
          <w:sz w:val="21"/>
          <w:szCs w:val="21"/>
        </w:rPr>
        <w:t>PARÁGRAFO 3o. &lt;Parágrafo adicionado por el artículo 5 de la Ley 1882 de 2018. El nuevo texto es el siguiente:&gt; La no entrega de la garantía de seriedad junto con la propuesta no será subsanable y será causal de rechazo de la misma.</w:t>
      </w:r>
    </w:p>
    <w:p w:rsidRPr="003D5E39" w:rsidR="008923A8" w:rsidP="008923A8" w:rsidRDefault="008923A8" w14:paraId="6392B58D" w14:textId="77777777">
      <w:pPr>
        <w:spacing w:after="120" w:line="240" w:lineRule="auto"/>
        <w:ind w:left="709" w:right="709"/>
        <w:jc w:val="both"/>
        <w:rPr>
          <w:rFonts w:ascii="Arial" w:hAnsi="Arial" w:eastAsia="Arial" w:cs="Arial"/>
          <w:sz w:val="21"/>
          <w:szCs w:val="21"/>
        </w:rPr>
      </w:pPr>
      <w:r w:rsidRPr="003D5E39">
        <w:rPr>
          <w:rFonts w:ascii="Arial" w:hAnsi="Arial" w:eastAsia="Arial" w:cs="Arial"/>
          <w:sz w:val="21"/>
          <w:szCs w:val="21"/>
        </w:rPr>
        <w:t>PARÁGRAFO 4o. &lt;Parágrafo adicionado por el artículo 5 de la Ley 1882 de 2018. El nuevo texto es el siguiente:&gt; En aquellos procesos de selección en los que se utilice el mecanismo de subasta, los documentos referentes a la futura contratación o al proponente, no necesarios para la comparación de las propuestas, deberán ser solicitados hasta el momento previo a su realización.</w:t>
      </w:r>
    </w:p>
    <w:p w:rsidRPr="003D5E39" w:rsidR="008923A8" w:rsidP="008923A8" w:rsidRDefault="008923A8" w14:paraId="0E4BD34B" w14:textId="77777777">
      <w:pPr>
        <w:spacing w:after="0" w:line="240" w:lineRule="auto"/>
        <w:ind w:left="709" w:right="709"/>
        <w:jc w:val="both"/>
        <w:rPr>
          <w:rFonts w:ascii="Arial" w:hAnsi="Arial" w:eastAsia="Arial" w:cs="Arial"/>
        </w:rPr>
      </w:pPr>
      <w:r w:rsidRPr="003D5E39">
        <w:rPr>
          <w:rFonts w:ascii="Arial" w:hAnsi="Arial" w:eastAsia="Arial" w:cs="Arial"/>
          <w:sz w:val="21"/>
          <w:szCs w:val="21"/>
        </w:rPr>
        <w:t>PARÁGRAFO 5o. &lt;Parágrafo adicionado por el artículo 5 de la Ley 1882 de 2018. El nuevo texto es el siguiente:&gt; En los procesos de contratación, las entidades estatales deberán aceptar la experiencia adquirida por los proponentes a través de la ejecución de contratos con particulares”.</w:t>
      </w:r>
      <w:r w:rsidRPr="003D5E39">
        <w:rPr>
          <w:rFonts w:ascii="Arial" w:hAnsi="Arial" w:eastAsia="Arial" w:cs="Arial"/>
        </w:rPr>
        <w:t xml:space="preserve"> </w:t>
      </w:r>
    </w:p>
    <w:p w:rsidRPr="003D5E39" w:rsidR="008923A8" w:rsidP="008923A8" w:rsidRDefault="008923A8" w14:paraId="0DF59B66" w14:textId="77777777">
      <w:pPr>
        <w:spacing w:after="0" w:line="276" w:lineRule="auto"/>
        <w:jc w:val="both"/>
        <w:rPr>
          <w:rFonts w:ascii="Arial" w:hAnsi="Arial" w:eastAsia="Arial" w:cs="Arial"/>
        </w:rPr>
      </w:pPr>
    </w:p>
    <w:p w:rsidRPr="003D5E39" w:rsidR="008923A8" w:rsidP="008923A8" w:rsidRDefault="008923A8" w14:paraId="22573F8B" w14:textId="77777777">
      <w:pPr>
        <w:tabs>
          <w:tab w:val="left" w:pos="0"/>
        </w:tabs>
        <w:spacing w:after="120" w:line="276" w:lineRule="auto"/>
        <w:jc w:val="both"/>
        <w:rPr>
          <w:rFonts w:ascii="Arial" w:hAnsi="Arial" w:eastAsia="Arial" w:cs="Arial"/>
        </w:rPr>
      </w:pPr>
      <w:r w:rsidRPr="003D5E39">
        <w:rPr>
          <w:rFonts w:ascii="Arial" w:hAnsi="Arial" w:eastAsia="Arial" w:cs="Arial"/>
        </w:rPr>
        <w:tab/>
      </w:r>
      <w:r w:rsidRPr="003D5E39">
        <w:rPr>
          <w:rFonts w:ascii="Arial" w:hAnsi="Arial" w:eastAsia="Arial" w:cs="Arial"/>
        </w:rPr>
        <w:t xml:space="preserve">De acuerdo con el artículo 5 de la Ley 1150 de 2007, conforme con lo expresado en el Concepto C-166 del 23 de abril de 2021, el deber de selección objetiva supone que las entidades escojan en los procesos de selección el “[…] ofrecimiento más favorable a la entidad y a los fines que ella busca […]”. Tal favorabilidad debe determinarse a partir de criterios que pueden variar de acuerdo con el objeto contractual o la modalidad de selección aplicable, los cuales, en todo caso, para que la selección sea objetiva, deben señalarse en el pliego de condiciones o documento equivalente. </w:t>
      </w:r>
    </w:p>
    <w:p w:rsidRPr="003D5E39" w:rsidR="008923A8" w:rsidP="008923A8" w:rsidRDefault="008923A8" w14:paraId="082D86C6" w14:textId="77777777">
      <w:pPr>
        <w:tabs>
          <w:tab w:val="left" w:pos="0"/>
        </w:tabs>
        <w:spacing w:after="120" w:line="276" w:lineRule="auto"/>
        <w:jc w:val="both"/>
        <w:rPr>
          <w:rFonts w:ascii="Arial" w:hAnsi="Arial" w:eastAsia="Arial" w:cs="Arial"/>
        </w:rPr>
      </w:pPr>
      <w:bookmarkStart w:name="_1fob9te" w:colFirst="0" w:colLast="0" w:id="9"/>
      <w:bookmarkEnd w:id="9"/>
      <w:r w:rsidRPr="003D5E39">
        <w:rPr>
          <w:rFonts w:ascii="Arial" w:hAnsi="Arial" w:eastAsia="Arial" w:cs="Arial"/>
        </w:rPr>
        <w:tab/>
      </w:r>
      <w:r w:rsidRPr="003D5E39">
        <w:rPr>
          <w:rFonts w:ascii="Arial" w:hAnsi="Arial" w:eastAsia="Arial" w:cs="Arial"/>
        </w:rPr>
        <w:t>Al respecto, el numeral 1 del artículo 5 de la Ley 1150 de 2007 se refiere a algunos requisitos exigibles en la generalidad de procesos de selección adelantados conforme al EGCAP, tales como la capacidad jurídica, las condiciones de experiencia, la capacidad financiera y de organización, denominados requisitos habilitantes, los cuales –en principio, salvo expresa disposición legal– no otorgan puntaje. Lo anterior comoquiera que estos no se refieren a la oferta misma sino a la idoneidad del oferente para asumir adecuadamente la ejecución del contrato</w:t>
      </w:r>
      <w:r w:rsidRPr="003D5E39">
        <w:rPr>
          <w:rFonts w:ascii="Arial" w:hAnsi="Arial" w:eastAsia="Arial" w:cs="Arial"/>
          <w:vertAlign w:val="superscript"/>
        </w:rPr>
        <w:footnoteReference w:id="4"/>
      </w:r>
      <w:r w:rsidRPr="003D5E39">
        <w:rPr>
          <w:rFonts w:ascii="Arial" w:hAnsi="Arial" w:eastAsia="Arial" w:cs="Arial"/>
        </w:rPr>
        <w:t xml:space="preserve">. Los oferentes que cumplan estos requisitos habilitantes son considerados idóneos para ejecutar el objeto contractual, de manera que sus ofertas pueden ser consideradas en la evaluación dirigida a determinar cuál es la más favorable para la entidad y los fines de la contratación. En este sentido, los requisitos </w:t>
      </w:r>
      <w:r w:rsidRPr="003D5E39">
        <w:rPr>
          <w:rFonts w:ascii="Arial" w:hAnsi="Arial" w:eastAsia="Arial" w:cs="Arial"/>
          <w:i/>
        </w:rPr>
        <w:t xml:space="preserve">habilitantes </w:t>
      </w:r>
      <w:r w:rsidRPr="003D5E39">
        <w:rPr>
          <w:rFonts w:ascii="Arial" w:hAnsi="Arial" w:eastAsia="Arial" w:cs="Arial"/>
        </w:rPr>
        <w:t>son aquellos que deben cumplir en igualdad de condiciones los proponentes y cumplido el mínimo establecido en el pliego de condiciones o documento equivalente hacen que los proponentes se habiliten en el procedimiento de selección y sean susceptibles de ser seleccionados como futuros contratistas.</w:t>
      </w:r>
    </w:p>
    <w:p w:rsidRPr="003D5E39" w:rsidR="008923A8" w:rsidP="008923A8" w:rsidRDefault="008923A8" w14:paraId="55981426" w14:textId="77777777">
      <w:pPr>
        <w:tabs>
          <w:tab w:val="left" w:pos="0"/>
        </w:tabs>
        <w:spacing w:after="120" w:line="276" w:lineRule="auto"/>
        <w:jc w:val="both"/>
        <w:rPr>
          <w:rFonts w:ascii="Arial" w:hAnsi="Arial" w:eastAsia="Arial" w:cs="Arial"/>
        </w:rPr>
      </w:pPr>
      <w:r w:rsidRPr="003D5E39">
        <w:rPr>
          <w:rFonts w:ascii="Arial" w:hAnsi="Arial" w:eastAsia="Arial" w:cs="Arial"/>
        </w:rPr>
        <w:tab/>
      </w:r>
      <w:r w:rsidRPr="003D5E39">
        <w:rPr>
          <w:rFonts w:ascii="Arial" w:hAnsi="Arial" w:eastAsia="Arial" w:cs="Arial"/>
        </w:rPr>
        <w:t xml:space="preserve">En contraposición a los requisitos habilitantes, el artículo 5 de la Ley 1150 de 2007 regula los factores dirigidos a determinar cuál es la propuesta comparativamente más favorable. En ese sentido, el inciso primero dispone los factores de escogencia y calificación que deben indicarse en los pliegos de condiciones. El numeral 2 de esta norma establece que la oferta más favorable es aquella que resulte ser la más ventajosa para la entidad, una vez se realice la ponderación precisa y detallada de los factores técnicos y económicos de </w:t>
      </w:r>
      <w:r w:rsidRPr="003D5E39">
        <w:rPr>
          <w:rFonts w:ascii="Arial" w:hAnsi="Arial" w:eastAsia="Arial" w:cs="Arial"/>
        </w:rPr>
        <w:t xml:space="preserve">escogencia, de acuerdo con los parámetros establecidos en los pliegos de condiciones o equivalentes que permiten la comparación de ofertas. Este numeral 2 se divide en dos literales, cada uno de los cuales hace referencia a los mecanismos por los que pueden optar las entidades para ponderar los elementos de calidad y precio de las ofertas. El literal a) alude a la ponderación de los referidos elementos mediante puntajes o fórmulas, mientras que el literal b) se refiere la elección de la oferta que represente la mejor relación costo – beneficio para la entidad. </w:t>
      </w:r>
    </w:p>
    <w:p w:rsidRPr="003D5E39" w:rsidR="008923A8" w:rsidP="008923A8" w:rsidRDefault="008923A8" w14:paraId="4649D4D0" w14:textId="77777777">
      <w:pPr>
        <w:tabs>
          <w:tab w:val="left" w:pos="0"/>
        </w:tabs>
        <w:spacing w:after="120" w:line="276" w:lineRule="auto"/>
        <w:jc w:val="both"/>
        <w:rPr>
          <w:rFonts w:ascii="Arial" w:hAnsi="Arial" w:eastAsia="Arial" w:cs="Arial"/>
        </w:rPr>
      </w:pPr>
      <w:r w:rsidRPr="003D5E39">
        <w:rPr>
          <w:rFonts w:ascii="Arial" w:hAnsi="Arial" w:eastAsia="Arial" w:cs="Arial"/>
        </w:rPr>
        <w:tab/>
      </w:r>
      <w:r w:rsidRPr="003D5E39">
        <w:rPr>
          <w:rFonts w:ascii="Arial" w:hAnsi="Arial" w:eastAsia="Arial" w:cs="Arial"/>
        </w:rPr>
        <w:t>Por su parte, el numeral 3 establece que en los procesos de selección de bienes y servicios de características técnicas uniformes y de común utilización el único factor de evaluación consiste en el menor precio. Por último, el numeral 4, referente a procedimientos para selección de consultores, señala que debe hacerse uso de factores de calificación, para valorar los aspectos técnicos de la oferta, permitiendo que entre ellos se pondere la experiencia.</w:t>
      </w:r>
    </w:p>
    <w:p w:rsidRPr="003D5E39" w:rsidR="008923A8" w:rsidP="008923A8" w:rsidRDefault="008923A8" w14:paraId="197615B1" w14:textId="77777777">
      <w:pPr>
        <w:tabs>
          <w:tab w:val="left" w:pos="0"/>
        </w:tabs>
        <w:spacing w:after="0" w:line="276" w:lineRule="auto"/>
        <w:jc w:val="both"/>
        <w:rPr>
          <w:rFonts w:ascii="Arial" w:hAnsi="Arial" w:eastAsia="Arial" w:cs="Arial"/>
        </w:rPr>
      </w:pPr>
      <w:r w:rsidRPr="003D5E39">
        <w:rPr>
          <w:rFonts w:ascii="Arial" w:hAnsi="Arial" w:eastAsia="Arial" w:cs="Arial"/>
        </w:rPr>
        <w:tab/>
      </w:r>
      <w:r w:rsidRPr="003D5E39">
        <w:rPr>
          <w:rFonts w:ascii="Arial" w:hAnsi="Arial" w:eastAsia="Arial" w:cs="Arial"/>
        </w:rPr>
        <w:t xml:space="preserve">Conforme a lo anterior, el artículo 5 de la Ley 1150 de 2007, alude a diferentes conceptos como factores de escogencia, de calificación, técnicos y económicos de escogencia, de evaluación y calificación. Además, el artículo alude a unos factores que no otorgan puntaje y de otros que inciden en la comparación de ofertas. Por ello, la doctrina define los requisitos o factores ponderables como “[…] aquellas condiciones de la oferta y no de quien la presenta, que sí entrarán a ser evaluadas por la Administración y </w:t>
      </w:r>
      <w:proofErr w:type="gramStart"/>
      <w:r w:rsidRPr="003D5E39">
        <w:rPr>
          <w:rFonts w:ascii="Arial" w:hAnsi="Arial" w:eastAsia="Arial" w:cs="Arial"/>
        </w:rPr>
        <w:t>que</w:t>
      </w:r>
      <w:proofErr w:type="gramEnd"/>
      <w:r w:rsidRPr="003D5E39">
        <w:rPr>
          <w:rFonts w:ascii="Arial" w:hAnsi="Arial" w:eastAsia="Arial" w:cs="Arial"/>
        </w:rPr>
        <w:t xml:space="preserve"> en consecuencia, darán lugar a la escogencia objetiva de la mejor propuesta para la entidad”</w:t>
      </w:r>
      <w:r w:rsidRPr="003D5E39">
        <w:rPr>
          <w:rFonts w:ascii="Arial" w:hAnsi="Arial" w:eastAsia="Arial" w:cs="Arial"/>
          <w:vertAlign w:val="superscript"/>
        </w:rPr>
        <w:footnoteReference w:id="5"/>
      </w:r>
      <w:r w:rsidRPr="003D5E39">
        <w:rPr>
          <w:rFonts w:ascii="Arial" w:hAnsi="Arial" w:eastAsia="Arial" w:cs="Arial"/>
        </w:rPr>
        <w:t>. Todas estas categorías designan los “[…] factores a los cuales cabe otorgarles puntajes o que pueden ser ponderados, precisamente, pues estos son los factores que en últimas permiten una comparación de ofertas y una diferenciación entre ellas”</w:t>
      </w:r>
      <w:r w:rsidRPr="003D5E39">
        <w:rPr>
          <w:rFonts w:ascii="Arial" w:hAnsi="Arial" w:eastAsia="Arial" w:cs="Arial"/>
          <w:vertAlign w:val="superscript"/>
        </w:rPr>
        <w:footnoteReference w:id="6"/>
      </w:r>
      <w:r w:rsidRPr="003D5E39">
        <w:rPr>
          <w:rFonts w:ascii="Arial" w:hAnsi="Arial" w:eastAsia="Arial" w:cs="Arial"/>
        </w:rPr>
        <w:t>. Conforme a esto, la doctrina explica que:</w:t>
      </w:r>
    </w:p>
    <w:p w:rsidRPr="003D5E39" w:rsidR="008923A8" w:rsidP="008923A8" w:rsidRDefault="008923A8" w14:paraId="622AF0E1" w14:textId="77777777">
      <w:pPr>
        <w:tabs>
          <w:tab w:val="left" w:pos="0"/>
        </w:tabs>
        <w:spacing w:after="0" w:line="276" w:lineRule="auto"/>
        <w:ind w:left="709" w:right="709"/>
        <w:jc w:val="both"/>
        <w:rPr>
          <w:rFonts w:ascii="Arial" w:hAnsi="Arial" w:eastAsia="Arial" w:cs="Arial"/>
          <w:sz w:val="21"/>
          <w:szCs w:val="21"/>
        </w:rPr>
      </w:pPr>
    </w:p>
    <w:p w:rsidRPr="003D5E39" w:rsidR="008923A8" w:rsidP="008923A8" w:rsidRDefault="008923A8" w14:paraId="2467CFD1" w14:textId="77777777">
      <w:pPr>
        <w:tabs>
          <w:tab w:val="left" w:pos="0"/>
        </w:tabs>
        <w:spacing w:after="120" w:line="240" w:lineRule="auto"/>
        <w:ind w:left="709" w:right="709"/>
        <w:jc w:val="both"/>
        <w:rPr>
          <w:rFonts w:ascii="Arial" w:hAnsi="Arial" w:eastAsia="Arial" w:cs="Arial"/>
          <w:sz w:val="21"/>
          <w:szCs w:val="21"/>
        </w:rPr>
      </w:pPr>
      <w:r w:rsidRPr="003D5E39">
        <w:rPr>
          <w:rFonts w:ascii="Arial" w:hAnsi="Arial" w:eastAsia="Arial" w:cs="Arial"/>
          <w:sz w:val="21"/>
          <w:szCs w:val="21"/>
        </w:rPr>
        <w:t xml:space="preserve">2De acuerdo con ese entendimiento, el numeral 2 del artículo 5.° de la Ley  1150 de 2007, modificado por el artículo 88 de la Ley 1474 de 2011, comienza por señalar que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Es decir que los factores de ponderación o de evaluación son los que en realidad determinan la propuesta que mejor satisface las necesidades de la Administración y no simplemente cuál de los proponentes es el más idóneo en la ejecución del contrato, pues, se insiste, todo oferente que supere los </w:t>
      </w:r>
      <w:r w:rsidRPr="003D5E39">
        <w:rPr>
          <w:rFonts w:ascii="Arial" w:hAnsi="Arial" w:eastAsia="Arial" w:cs="Arial"/>
          <w:sz w:val="21"/>
          <w:szCs w:val="21"/>
        </w:rPr>
        <w:t xml:space="preserve">requisitos mínimos habilitantes se entiende que es suficientemente idóneo para la ejecución del objeto contractual.  </w:t>
      </w:r>
    </w:p>
    <w:p w:rsidRPr="003D5E39" w:rsidR="008923A8" w:rsidP="008923A8" w:rsidRDefault="008923A8" w14:paraId="3D9C43DE" w14:textId="77777777">
      <w:pPr>
        <w:tabs>
          <w:tab w:val="left" w:pos="0"/>
        </w:tabs>
        <w:spacing w:after="0" w:line="240" w:lineRule="auto"/>
        <w:ind w:left="709" w:right="709"/>
        <w:jc w:val="both"/>
        <w:rPr>
          <w:rFonts w:ascii="Arial" w:hAnsi="Arial" w:eastAsia="Arial" w:cs="Arial"/>
          <w:sz w:val="21"/>
          <w:szCs w:val="21"/>
        </w:rPr>
      </w:pPr>
      <w:r w:rsidRPr="003D5E39">
        <w:rPr>
          <w:rFonts w:ascii="Arial" w:hAnsi="Arial" w:eastAsia="Arial" w:cs="Arial"/>
          <w:sz w:val="21"/>
          <w:szCs w:val="21"/>
        </w:rPr>
        <w:t xml:space="preserve">De nuevo, aquí es preciso señalar que es el pliego de condiciones el que debe determinar cuáles son esos factores que en cada caso concreto permiten hacer una comparación entre las ofertas presentadas y, con base en ello, determinar cuál es la más favorable para la Administración Pública. </w:t>
      </w:r>
    </w:p>
    <w:p w:rsidRPr="003D5E39" w:rsidR="008923A8" w:rsidP="008923A8" w:rsidRDefault="008923A8" w14:paraId="2EE4654E" w14:textId="77777777">
      <w:pPr>
        <w:tabs>
          <w:tab w:val="left" w:pos="0"/>
        </w:tabs>
        <w:spacing w:after="120" w:line="240" w:lineRule="auto"/>
        <w:ind w:left="709" w:right="709"/>
        <w:jc w:val="both"/>
        <w:rPr>
          <w:rFonts w:ascii="Arial" w:hAnsi="Arial" w:eastAsia="Arial" w:cs="Arial"/>
          <w:sz w:val="21"/>
          <w:szCs w:val="21"/>
        </w:rPr>
      </w:pPr>
      <w:r w:rsidRPr="003D5E39">
        <w:rPr>
          <w:rFonts w:ascii="Arial" w:hAnsi="Arial" w:eastAsia="Arial" w:cs="Arial"/>
          <w:sz w:val="21"/>
          <w:szCs w:val="21"/>
        </w:rPr>
        <w:t>[…]</w:t>
      </w:r>
    </w:p>
    <w:p w:rsidRPr="003D5E39" w:rsidR="008923A8" w:rsidP="008923A8" w:rsidRDefault="008923A8" w14:paraId="0B0F2A05" w14:textId="77777777">
      <w:pPr>
        <w:tabs>
          <w:tab w:val="left" w:pos="0"/>
        </w:tabs>
        <w:spacing w:after="0" w:line="240" w:lineRule="auto"/>
        <w:ind w:left="709" w:right="709"/>
        <w:jc w:val="both"/>
        <w:rPr>
          <w:rFonts w:ascii="Arial" w:hAnsi="Arial" w:eastAsia="Arial" w:cs="Arial"/>
          <w:sz w:val="21"/>
          <w:szCs w:val="21"/>
        </w:rPr>
      </w:pPr>
      <w:r w:rsidRPr="003D5E39">
        <w:rPr>
          <w:rFonts w:ascii="Arial" w:hAnsi="Arial" w:eastAsia="Arial" w:cs="Arial"/>
          <w:sz w:val="21"/>
          <w:szCs w:val="21"/>
        </w:rPr>
        <w:t>Una siguiente conclusión que se deriva de la norma parcialmente transcrita consiste en que los pliegos de condiciones deben determinar dos situaciones por separado: 1. cuáles serán los factores o requisitos que serán evaluados por la Administración y 2. cuáles son los criterios para asignar puntaje a cada uno de los factores de evaluación y, con base en ello, poder hacer la comparación entre las ofertas y concluir cuál de ellas es la más ventajosa para la entidad estatal”</w:t>
      </w:r>
      <w:r w:rsidRPr="003D5E39">
        <w:rPr>
          <w:rFonts w:ascii="Arial" w:hAnsi="Arial" w:eastAsia="Arial" w:cs="Arial"/>
          <w:sz w:val="21"/>
          <w:szCs w:val="21"/>
          <w:vertAlign w:val="superscript"/>
        </w:rPr>
        <w:footnoteReference w:id="7"/>
      </w:r>
      <w:r w:rsidRPr="003D5E39">
        <w:rPr>
          <w:rFonts w:ascii="Arial" w:hAnsi="Arial" w:eastAsia="Arial" w:cs="Arial"/>
          <w:sz w:val="21"/>
          <w:szCs w:val="21"/>
        </w:rPr>
        <w:t>.</w:t>
      </w:r>
    </w:p>
    <w:p w:rsidRPr="003D5E39" w:rsidR="008923A8" w:rsidP="008923A8" w:rsidRDefault="008923A8" w14:paraId="5FCBBCA2" w14:textId="77777777">
      <w:pPr>
        <w:tabs>
          <w:tab w:val="left" w:pos="0"/>
        </w:tabs>
        <w:spacing w:after="0" w:line="276" w:lineRule="auto"/>
        <w:ind w:left="709" w:right="709"/>
        <w:jc w:val="both"/>
        <w:rPr>
          <w:rFonts w:ascii="Arial" w:hAnsi="Arial" w:eastAsia="Arial" w:cs="Arial"/>
          <w:sz w:val="21"/>
          <w:szCs w:val="21"/>
        </w:rPr>
      </w:pPr>
    </w:p>
    <w:p w:rsidRPr="003D5E39" w:rsidR="008923A8" w:rsidP="008923A8" w:rsidRDefault="008923A8" w14:paraId="2610833F" w14:textId="77777777">
      <w:pPr>
        <w:tabs>
          <w:tab w:val="left" w:pos="0"/>
        </w:tabs>
        <w:spacing w:after="120" w:line="276" w:lineRule="auto"/>
        <w:jc w:val="both"/>
        <w:rPr>
          <w:rFonts w:ascii="Arial" w:hAnsi="Arial" w:eastAsia="Arial" w:cs="Arial"/>
        </w:rPr>
      </w:pPr>
      <w:r w:rsidRPr="003D5E39">
        <w:rPr>
          <w:rFonts w:ascii="Arial" w:hAnsi="Arial" w:eastAsia="Arial" w:cs="Arial"/>
        </w:rPr>
        <w:tab/>
      </w:r>
      <w:r w:rsidRPr="003D5E39">
        <w:rPr>
          <w:rFonts w:ascii="Arial" w:hAnsi="Arial" w:eastAsia="Arial" w:cs="Arial"/>
        </w:rPr>
        <w:t xml:space="preserve">De acuerdo con lo anterior, es posible asimilar las diferentes categorías a las que hace referencia el artículo 5 de la Ley 1150 de 2007, cuando alude a los factores que, a diferencia de los requisitos habilitantes, determinan la oferta más favorable para la entidad, y que, por lo tanto, hacen que una oferta sea mejor que otra, pese a tener que cumplir todas ellas los requisitos habilitantes. Es frente a aquellos factores que determinan comparativamente que una oferta sea mejor que otra, que la entidad concibe el otorgamiento de puntajes, como mecanismos para ponderar y comparar los ofrecimientos, con el fin de determinar objetivamente la oferta más favorable, aplicando para ello las reglas establecidas en el pliego o documento equivalente para la ponderación de las ofertas. </w:t>
      </w:r>
    </w:p>
    <w:p w:rsidRPr="003D5E39" w:rsidR="008923A8" w:rsidP="008923A8" w:rsidRDefault="008923A8" w14:paraId="6287CD0B" w14:textId="77777777">
      <w:pPr>
        <w:tabs>
          <w:tab w:val="left" w:pos="0"/>
        </w:tabs>
        <w:spacing w:after="120" w:line="276" w:lineRule="auto"/>
        <w:jc w:val="both"/>
        <w:rPr>
          <w:rFonts w:ascii="Arial" w:hAnsi="Arial" w:eastAsia="Arial" w:cs="Arial"/>
        </w:rPr>
      </w:pPr>
      <w:r w:rsidRPr="003D5E39">
        <w:rPr>
          <w:rFonts w:ascii="Arial" w:hAnsi="Arial" w:eastAsia="Arial" w:cs="Arial"/>
        </w:rPr>
        <w:tab/>
      </w:r>
      <w:r w:rsidRPr="003D5E39">
        <w:rPr>
          <w:rFonts w:ascii="Arial" w:hAnsi="Arial" w:eastAsia="Arial" w:cs="Arial"/>
        </w:rPr>
        <w:t xml:space="preserve">En ese sentido, la asignación de puntaje es un mecanismo mediante el cual las entidades ponderan los factores de calificación </w:t>
      </w:r>
      <w:r w:rsidRPr="003D5E39">
        <w:rPr>
          <w:rFonts w:ascii="Arial" w:hAnsi="Arial" w:eastAsia="Tahoma" w:cs="Arial"/>
        </w:rPr>
        <w:t>ꟷ</w:t>
      </w:r>
      <w:r w:rsidRPr="003D5E39">
        <w:rPr>
          <w:rFonts w:ascii="Arial" w:hAnsi="Arial" w:eastAsia="Arial" w:cs="Arial"/>
          <w:i/>
        </w:rPr>
        <w:t>v.g.</w:t>
      </w:r>
      <w:r w:rsidRPr="003D5E39">
        <w:rPr>
          <w:rFonts w:ascii="Arial" w:hAnsi="Arial" w:eastAsia="Arial" w:cs="Arial"/>
        </w:rPr>
        <w:t xml:space="preserve"> técnicos y económicos, de calidad y precio, etc.</w:t>
      </w:r>
      <w:r w:rsidRPr="003D5E39">
        <w:rPr>
          <w:rFonts w:ascii="Arial" w:hAnsi="Arial" w:eastAsia="Tahoma" w:cs="Arial"/>
        </w:rPr>
        <w:t>ꟷ</w:t>
      </w:r>
      <w:r w:rsidRPr="003D5E39">
        <w:rPr>
          <w:rFonts w:ascii="Arial" w:hAnsi="Arial" w:eastAsia="Arial" w:cs="Arial"/>
        </w:rPr>
        <w:t xml:space="preserve"> en un determinado proceso de selección, como se desprende del literal a) del numeral 2 del artículo 5 de la Ley 1150 de 2007, en el que expresamente se alude al puntaje. Sin embargo, no es este el único mecanismo de ponderación que tienen a su alcance las entidades estatales para determinar el ofrecimiento más favorable, pues el propio literal b) del artículo 5.2 posibilita que el ofrecimiento más favorable se determine con un análisis de la relación costo-beneficio, evento en el no habría necesidad de acudir obligatoriamente a sistemas de asignación de puntaje. A estos se suman, los procesos de selección de bienes y servicios de características técnicas uniformes y de común utilización, así como los de mínima cuantía, en los que –según los artículos 5.3 y 2.5 de la Ley 1150 de 2007– el único factor de selección es el menor precio ofertado, por lo que no hay lugar a ponderación mediante puntajes o relaciones </w:t>
      </w:r>
      <w:proofErr w:type="gramStart"/>
      <w:r w:rsidRPr="003D5E39">
        <w:rPr>
          <w:rFonts w:ascii="Arial" w:hAnsi="Arial" w:eastAsia="Arial" w:cs="Arial"/>
        </w:rPr>
        <w:t>de  costo</w:t>
      </w:r>
      <w:proofErr w:type="gramEnd"/>
      <w:r w:rsidRPr="003D5E39">
        <w:rPr>
          <w:rFonts w:ascii="Arial" w:hAnsi="Arial" w:eastAsia="Arial" w:cs="Arial"/>
        </w:rPr>
        <w:t xml:space="preserve"> beneficio.</w:t>
      </w:r>
    </w:p>
    <w:p w:rsidRPr="003D5E39" w:rsidR="008923A8" w:rsidP="008923A8" w:rsidRDefault="008923A8" w14:paraId="0ED211F0" w14:textId="77777777">
      <w:pPr>
        <w:spacing w:after="120" w:line="276" w:lineRule="auto"/>
        <w:jc w:val="both"/>
        <w:rPr>
          <w:rFonts w:ascii="Arial" w:hAnsi="Arial" w:eastAsia="Arial" w:cs="Arial"/>
        </w:rPr>
      </w:pPr>
      <w:r w:rsidRPr="003D5E39">
        <w:rPr>
          <w:rFonts w:ascii="Arial" w:hAnsi="Arial" w:eastAsia="Arial" w:cs="Arial"/>
        </w:rPr>
        <w:tab/>
      </w:r>
      <w:r w:rsidRPr="003D5E39">
        <w:rPr>
          <w:rFonts w:ascii="Arial" w:hAnsi="Arial" w:eastAsia="Arial" w:cs="Arial"/>
        </w:rPr>
        <w:t xml:space="preserve">Es necesario destacar que las reglas para establecer la oferta más favorable conforme al artículo 5 de la Ley 1150 de 2007, se encuentran reglamentadas en el artículo 2.2.1.1.2.2.2 del Decreto 1082 de 2015, modificado recientemente por el Decreto 142 de 2023. Este artículo desarrolla los mecanismos de ponderación previstos en los literales a) y b) del artículo 5.2 de la Ley 1150 de 2007, disponiendo unas pautas para la ponderación de los elementos de calidad y precio que representen la mejor relación de costo-beneficio. Conforme a este artículo, la oferta más favorable en estos casos debe determinarse ponderando en las ofertas: i) las condiciones técnicas y económicas mínimas; </w:t>
      </w:r>
      <w:proofErr w:type="spellStart"/>
      <w:r w:rsidRPr="003D5E39">
        <w:rPr>
          <w:rFonts w:ascii="Arial" w:hAnsi="Arial" w:eastAsia="Arial" w:cs="Arial"/>
        </w:rPr>
        <w:t>ii</w:t>
      </w:r>
      <w:proofErr w:type="spellEnd"/>
      <w:r w:rsidRPr="003D5E39">
        <w:rPr>
          <w:rFonts w:ascii="Arial" w:hAnsi="Arial" w:eastAsia="Arial" w:cs="Arial"/>
        </w:rPr>
        <w:t xml:space="preserve">) las condiciones técnicas adicionales que representan ventajas de calidad o de funcionamiento; </w:t>
      </w:r>
      <w:proofErr w:type="spellStart"/>
      <w:r w:rsidRPr="003D5E39">
        <w:rPr>
          <w:rFonts w:ascii="Arial" w:hAnsi="Arial" w:eastAsia="Arial" w:cs="Arial"/>
        </w:rPr>
        <w:t>iii</w:t>
      </w:r>
      <w:proofErr w:type="spellEnd"/>
      <w:r w:rsidRPr="003D5E39">
        <w:rPr>
          <w:rFonts w:ascii="Arial" w:hAnsi="Arial" w:eastAsia="Arial" w:cs="Arial"/>
        </w:rPr>
        <w:t xml:space="preserve">) las condiciones económicas adicionales que representen ventajas en términos de economía, eficiencia y eficacia; y </w:t>
      </w:r>
      <w:proofErr w:type="spellStart"/>
      <w:r w:rsidRPr="003D5E39">
        <w:rPr>
          <w:rFonts w:ascii="Arial" w:hAnsi="Arial" w:eastAsia="Arial" w:cs="Arial"/>
        </w:rPr>
        <w:t>iv</w:t>
      </w:r>
      <w:proofErr w:type="spellEnd"/>
      <w:r w:rsidRPr="003D5E39">
        <w:rPr>
          <w:rFonts w:ascii="Arial" w:hAnsi="Arial" w:eastAsia="Arial" w:cs="Arial"/>
        </w:rPr>
        <w:t>) el valor en dinero que la entidad estatal asigna a cada ofrecimiento técnico o económico adicional. Teniendo en cuenta estos elementos, la entidad estatal debe calcular la relación costo-beneficio de cada oferta “[…] 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 […]”</w:t>
      </w:r>
      <w:r w:rsidRPr="003D5E39">
        <w:rPr>
          <w:rFonts w:ascii="Arial" w:hAnsi="Arial" w:eastAsia="Arial" w:cs="Arial"/>
          <w:vertAlign w:val="superscript"/>
        </w:rPr>
        <w:footnoteReference w:id="8"/>
      </w:r>
      <w:r w:rsidRPr="003D5E39">
        <w:rPr>
          <w:rFonts w:ascii="Arial" w:hAnsi="Arial" w:eastAsia="Arial" w:cs="Arial"/>
        </w:rPr>
        <w:t>.</w:t>
      </w:r>
    </w:p>
    <w:p w:rsidRPr="003D5E39" w:rsidR="008923A8" w:rsidP="008923A8" w:rsidRDefault="008923A8" w14:paraId="2C06F017" w14:textId="77777777">
      <w:pPr>
        <w:spacing w:after="120" w:line="276" w:lineRule="auto"/>
        <w:ind w:firstLine="709"/>
        <w:jc w:val="both"/>
        <w:rPr>
          <w:rFonts w:ascii="Arial" w:hAnsi="Arial" w:eastAsia="Arial" w:cs="Arial"/>
        </w:rPr>
      </w:pPr>
      <w:r w:rsidRPr="003D5E39">
        <w:rPr>
          <w:rFonts w:ascii="Arial" w:hAnsi="Arial" w:eastAsia="Arial" w:cs="Arial"/>
        </w:rPr>
        <w:t>Conforme a lo anterior, el deber de selección objetiva está ligado a la determinación del ofrecimiento más favorable, cuyo contenido debe ser precisado a partir de las diferentes alternativas del artículo 5 de la Ley 1150 de 2007, reglamentado por el artículo 2.2.1.1.2.2.2 del Decreto 1082 de 2015, que en todo caso deben reflejarse en el pliego de condiciones o documento equivalente para el respectivo proceso de selección. Estas disposiciones establecen que en los procesos de selección deben evaluarse, fuera de los requisitos habilitantes, los factores de calificación, valoración o evaluación. Estos pueden ponderarse mediante la asignación de puntaje, por lo que la norma se refiere a factores que no otorgan puntaje para diferenciar los requisitos habilitantes de los mencionados factores de calificación. Lo anterior, bajo el entendido que son estos últimos los que determinan la oferta más favorable para la entidad y la que en consecuencia debe elegirse.</w:t>
      </w:r>
    </w:p>
    <w:p w:rsidRPr="003D5E39" w:rsidR="008923A8" w:rsidP="008923A8" w:rsidRDefault="008923A8" w14:paraId="21357C46" w14:textId="77777777">
      <w:pPr>
        <w:spacing w:after="120" w:line="276" w:lineRule="auto"/>
        <w:ind w:firstLine="709"/>
        <w:jc w:val="both"/>
        <w:rPr>
          <w:rFonts w:ascii="Arial" w:hAnsi="Arial" w:eastAsia="Arial" w:cs="Arial"/>
        </w:rPr>
      </w:pPr>
      <w:r w:rsidRPr="003D5E39">
        <w:rPr>
          <w:rFonts w:ascii="Arial" w:hAnsi="Arial" w:eastAsia="Arial" w:cs="Arial"/>
        </w:rPr>
        <w:t xml:space="preserve">Retomando otros fundamentos jurídicos del deber de “selección objetiva” distintos al artículo 5 de la Ley 1150 de 2007, la Ley 80 de 1993 se refiere a ella en varios apartados, como: i) el primer inciso del artículo 21, que obliga a las entidades estatales a tener en cuenta la selección objetiva, al garantizar la participación de los oferentes de bienes y servicios de origen nacional, </w:t>
      </w:r>
      <w:proofErr w:type="spellStart"/>
      <w:r w:rsidRPr="003D5E39">
        <w:rPr>
          <w:rFonts w:ascii="Arial" w:hAnsi="Arial" w:eastAsia="Arial" w:cs="Arial"/>
        </w:rPr>
        <w:t>ii</w:t>
      </w:r>
      <w:proofErr w:type="spellEnd"/>
      <w:r w:rsidRPr="003D5E39">
        <w:rPr>
          <w:rFonts w:ascii="Arial" w:hAnsi="Arial" w:eastAsia="Arial" w:cs="Arial"/>
        </w:rPr>
        <w:t xml:space="preserve">) el artículo 24, numeral 5º, literal a), que manda que en los pliegos de condiciones se indiquen “[…] los requisitos objetivos necesarios para participar en el correspondiente proceso de selección”, </w:t>
      </w:r>
      <w:proofErr w:type="spellStart"/>
      <w:r w:rsidRPr="003D5E39">
        <w:rPr>
          <w:rFonts w:ascii="Arial" w:hAnsi="Arial" w:eastAsia="Arial" w:cs="Arial"/>
        </w:rPr>
        <w:t>iii</w:t>
      </w:r>
      <w:proofErr w:type="spellEnd"/>
      <w:r w:rsidRPr="003D5E39">
        <w:rPr>
          <w:rFonts w:ascii="Arial" w:hAnsi="Arial" w:eastAsia="Arial" w:cs="Arial"/>
        </w:rPr>
        <w:t xml:space="preserve">) el artículo 24, numeral 5º, literal b), que establece que en los pliegos de condiciones se deben definir “[…] reglas objetivas, justas, claras y completas que permitan la confección de ofrecimientos de la misma índole, aseguren una escogencia objetiva y eviten la declaratoria de desierta de la licitación”, </w:t>
      </w:r>
      <w:proofErr w:type="spellStart"/>
      <w:r w:rsidRPr="003D5E39">
        <w:rPr>
          <w:rFonts w:ascii="Arial" w:hAnsi="Arial" w:eastAsia="Arial" w:cs="Arial"/>
        </w:rPr>
        <w:t>iv</w:t>
      </w:r>
      <w:proofErr w:type="spellEnd"/>
      <w:r w:rsidRPr="003D5E39">
        <w:rPr>
          <w:rFonts w:ascii="Arial" w:hAnsi="Arial" w:eastAsia="Arial" w:cs="Arial"/>
        </w:rPr>
        <w:t xml:space="preserve">) el artículo 24, numeral 8º, según el cual “Las autoridades no actuarán con desviación o abuso de poder y ejercerán sus competencias exclusivamente para los fines previstos en la ley. Igualmente, les será prohibido eludir los procedimientos de selección objetiva y los demás requisitos previstos en el presente estatuto”, v) el segundo inciso del parágrafo 3º del artículo 24, que exige tener en cuenta la selección objetiva de la entidad veedora para el procedimiento de venta de bienes de las entidades estatales por el sistema de martillo; vi) el numeral 18 del artículo 25, el cual señala que “La declaratoria de desierta de la licitación únicamente procederá por motivos o causas que impidan la escogencia objetiva”, </w:t>
      </w:r>
      <w:proofErr w:type="spellStart"/>
      <w:r w:rsidRPr="003D5E39">
        <w:rPr>
          <w:rFonts w:ascii="Arial" w:hAnsi="Arial" w:eastAsia="Arial" w:cs="Arial"/>
        </w:rPr>
        <w:t>vii</w:t>
      </w:r>
      <w:proofErr w:type="spellEnd"/>
      <w:r w:rsidRPr="003D5E39">
        <w:rPr>
          <w:rFonts w:ascii="Arial" w:hAnsi="Arial" w:eastAsia="Arial" w:cs="Arial"/>
        </w:rPr>
        <w:t xml:space="preserve">) el numeral 2 del artículo 30, que dispone que “La entidad interesada elaborará los correspondientes pliegos de condiciones […] en los cuales se detallarán especialmente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 </w:t>
      </w:r>
      <w:proofErr w:type="spellStart"/>
      <w:r w:rsidRPr="003D5E39">
        <w:rPr>
          <w:rFonts w:ascii="Arial" w:hAnsi="Arial" w:eastAsia="Arial" w:cs="Arial"/>
        </w:rPr>
        <w:t>viii</w:t>
      </w:r>
      <w:proofErr w:type="spellEnd"/>
      <w:r w:rsidRPr="003D5E39">
        <w:rPr>
          <w:rFonts w:ascii="Arial" w:hAnsi="Arial" w:eastAsia="Arial" w:cs="Arial"/>
        </w:rPr>
        <w:t xml:space="preserve">) el inciso final del artículo 38, que obliga </w:t>
      </w:r>
      <w:r w:rsidRPr="003D5E39">
        <w:rPr>
          <w:rFonts w:ascii="Arial" w:hAnsi="Arial" w:eastAsia="Arial" w:cs="Arial"/>
        </w:rPr>
        <w:t xml:space="preserve">a las entidades estatales que tengan como objeto la prestación de servicios y actividades de telecomunicaciones a respetar el principio de selección objetiva, y </w:t>
      </w:r>
      <w:proofErr w:type="spellStart"/>
      <w:r w:rsidRPr="003D5E39">
        <w:rPr>
          <w:rFonts w:ascii="Arial" w:hAnsi="Arial" w:eastAsia="Arial" w:cs="Arial"/>
        </w:rPr>
        <w:t>ix</w:t>
      </w:r>
      <w:proofErr w:type="spellEnd"/>
      <w:r w:rsidRPr="003D5E39">
        <w:rPr>
          <w:rFonts w:ascii="Arial" w:hAnsi="Arial" w:eastAsia="Arial" w:cs="Arial"/>
        </w:rPr>
        <w:t xml:space="preserve">) el segundo inciso del artículo 76, que ordena cumplir también con dicho principio a las entidades que tengan por objeto la exploración, explotación y comercialización de recursos naturales renovables y no renovables. </w:t>
      </w:r>
    </w:p>
    <w:p w:rsidRPr="003D5E39" w:rsidR="008923A8" w:rsidP="008923A8" w:rsidRDefault="008923A8" w14:paraId="1BED3BB6" w14:textId="77777777">
      <w:pPr>
        <w:spacing w:after="120" w:line="276" w:lineRule="auto"/>
        <w:ind w:firstLine="709"/>
        <w:jc w:val="both"/>
        <w:rPr>
          <w:rFonts w:ascii="Arial" w:hAnsi="Arial" w:eastAsia="Arial" w:cs="Arial"/>
        </w:rPr>
      </w:pPr>
      <w:r w:rsidRPr="003D5E39">
        <w:rPr>
          <w:rFonts w:ascii="Arial" w:hAnsi="Arial" w:eastAsia="Arial" w:cs="Arial"/>
        </w:rPr>
        <w:t xml:space="preserve">Por su parte, a nivel reglamentario, el Decreto 1082 de 2015 también hace referencia a la selección objetiva como postulado esencial al interior de los procedimientos de selección. Así se infiere de enunciados como: i) el numeral 4º del artículo 2.2.1.1.2.1.3, que indica que dentro de la información del pliego de condiciones se deben definir “Las condiciones de costo y/o calidad que la Entidad Estatal debe tener en cuenta para la selección objetiva, de acuerdo con la modalidad de selección del contratista”; o </w:t>
      </w:r>
      <w:proofErr w:type="spellStart"/>
      <w:r w:rsidRPr="003D5E39">
        <w:rPr>
          <w:rFonts w:ascii="Arial" w:hAnsi="Arial" w:eastAsia="Arial" w:cs="Arial"/>
        </w:rPr>
        <w:t>ii</w:t>
      </w:r>
      <w:proofErr w:type="spellEnd"/>
      <w:r w:rsidRPr="003D5E39">
        <w:rPr>
          <w:rFonts w:ascii="Arial" w:hAnsi="Arial" w:eastAsia="Arial" w:cs="Arial"/>
        </w:rPr>
        <w:t>) el numeral 8º del artículo 2.2.1.2.1.3.13, que establece como obligación del jurado calificador en los concursos de méritos para la selección de consultores de diseño, planos, anteproyectos y proyectos arquitectónicos, “Manifestar a la Entidad Estatal promotora la declaratoria de desierto el concurso de arquitectura, en caso que se presente el impedimento de la escogencia objetiva de que trata el numeral 18 del artículo 25 de la Ley 80 de 1993”.</w:t>
      </w:r>
    </w:p>
    <w:p w:rsidRPr="003D5E39" w:rsidR="008923A8" w:rsidP="008923A8" w:rsidRDefault="008923A8" w14:paraId="77186405" w14:textId="77777777">
      <w:pPr>
        <w:spacing w:after="120" w:line="276" w:lineRule="auto"/>
        <w:ind w:firstLine="709"/>
        <w:jc w:val="both"/>
        <w:rPr>
          <w:rFonts w:ascii="Arial" w:hAnsi="Arial" w:eastAsia="Arial" w:cs="Arial"/>
        </w:rPr>
      </w:pPr>
      <w:r w:rsidRPr="003D5E39">
        <w:rPr>
          <w:rFonts w:ascii="Arial" w:hAnsi="Arial" w:eastAsia="Arial" w:cs="Arial"/>
        </w:rPr>
        <w:t>La jurisprudencia también ha reconocido la preponderancia de este deber en la etapa precontractual, indicando que su garantía es imprescindible para satisfacer adecuadamente las necesidades de la sociedad a través del contrato. A este respecto, la Sección Tercera del Consejo de Estado ha dicho que “la selección de contratistas, para cumplir con el requisito de objetividad, debe caracterizarse por: 1. Ausencia total de subjetividad; 2. Estar determinada por la comparación de distintos factores, establecidos con anterioridad por la Administración en el pliego de condiciones; 3. Estar determinada la forma como los factores de selección serán evaluados y el valor que corresponde a cada uno de ellos en el pliego de condiciones y 4. Estar determinada la adjudicación y celebración del negocio jurídico por un análisis, comparación y evaluación objetiva de las propuestas presentadas”</w:t>
      </w:r>
      <w:r w:rsidRPr="003D5E39">
        <w:rPr>
          <w:rFonts w:ascii="Arial" w:hAnsi="Arial" w:eastAsia="Arial" w:cs="Arial"/>
          <w:vertAlign w:val="superscript"/>
        </w:rPr>
        <w:footnoteReference w:id="9"/>
      </w:r>
      <w:r w:rsidRPr="003D5E39">
        <w:rPr>
          <w:rFonts w:ascii="Arial" w:hAnsi="Arial" w:eastAsia="Arial" w:cs="Arial"/>
        </w:rPr>
        <w:t>. Igualmente, ha señalado que “el principio de escogencia o selección objetiva de los contratistas fundamenta uno de los principales deberes de todos los responsables de la contratación estatal en el derecho colombiano, cual es el de mantener intacta la institucionalidad por encima de los intereses personales, individuales o subjetivos cuando se trate de escoger al contratista, al margen del procedimiento utilizado, con miras a evitar el actuar arbitrario, abusivo o violatorio de norma superior (numeral 8, art. 24, ley 80) por parte de los servidores públicos”</w:t>
      </w:r>
      <w:r w:rsidRPr="003D5E39">
        <w:rPr>
          <w:rFonts w:ascii="Arial" w:hAnsi="Arial" w:eastAsia="Arial" w:cs="Arial"/>
          <w:vertAlign w:val="superscript"/>
        </w:rPr>
        <w:footnoteReference w:id="10"/>
      </w:r>
      <w:r w:rsidRPr="003D5E39">
        <w:rPr>
          <w:rFonts w:ascii="Arial" w:hAnsi="Arial" w:eastAsia="Arial" w:cs="Arial"/>
        </w:rPr>
        <w:t>.</w:t>
      </w:r>
    </w:p>
    <w:p w:rsidRPr="003D5E39" w:rsidR="008923A8" w:rsidP="008923A8" w:rsidRDefault="008923A8" w14:paraId="7DC208C7" w14:textId="77777777">
      <w:pPr>
        <w:spacing w:after="0" w:line="276" w:lineRule="auto"/>
        <w:ind w:firstLine="709"/>
        <w:jc w:val="both"/>
        <w:rPr>
          <w:rFonts w:ascii="Arial" w:hAnsi="Arial" w:eastAsia="Arial" w:cs="Arial"/>
        </w:rPr>
      </w:pPr>
      <w:r w:rsidRPr="003D5E39">
        <w:rPr>
          <w:rFonts w:ascii="Arial" w:hAnsi="Arial" w:eastAsia="Arial" w:cs="Arial"/>
        </w:rPr>
        <w:t>Ahora bien, para garantizar el principio de selección objetiva, también es necesario que las entidades estatales se abstengan de rechazar las ofertas, por el incumplimiento de requisitos meramente formales, sacrificando la favorabilidad que podría representar la oferta que adolezca de estos defectos, si se permitiese su corrección. En otras palabras, es consustancial a la selección objetiva la obligación que tienen las entidades estatales de permitir la subsanación de los requisitos de participación, bajo las condiciones indicadas en la ley, antes de tomar la decisión de rechazar las propuestas que hayan omitido la observancia de los requisitos habilitantes. Esta decisión, por regla general –salvo en los casos específicos previstos en la ley, como el de la imposibilidad de subsanar la no entrega de la garantía de seriedad de la oferta o de acreditar circunstancias ocurridas con posterioridad al cierre del procedimiento de selección –art. 5, par. 1º y 3º, Ley 1150 de 2007– solo puede tomarse si, previamente, se ha permitido que los proponentes completen o corrijan la información relacionada con los requisitos que no asignan puntaje, como mecanismo para hacer prevalecer el derecho sustancial sobre las formalidades. Esta regla se explica a continuación.</w:t>
      </w:r>
    </w:p>
    <w:p w:rsidRPr="003D5E39" w:rsidR="008923A8" w:rsidP="008923A8" w:rsidRDefault="008923A8" w14:paraId="17D7A8F7" w14:textId="77777777">
      <w:pPr>
        <w:spacing w:after="0" w:line="276" w:lineRule="auto"/>
        <w:ind w:firstLine="709"/>
        <w:jc w:val="both"/>
        <w:rPr>
          <w:rFonts w:ascii="Arial" w:hAnsi="Arial" w:eastAsia="Arial" w:cs="Arial"/>
        </w:rPr>
      </w:pPr>
    </w:p>
    <w:p w:rsidRPr="003D5E39" w:rsidR="008923A8" w:rsidP="008923A8" w:rsidRDefault="008923A8" w14:paraId="4779CA25" w14:textId="77777777">
      <w:pPr>
        <w:widowControl w:val="0"/>
        <w:autoSpaceDE w:val="0"/>
        <w:autoSpaceDN w:val="0"/>
        <w:spacing w:after="0" w:line="276" w:lineRule="auto"/>
        <w:jc w:val="both"/>
        <w:rPr>
          <w:rFonts w:ascii="Arial" w:hAnsi="Arial" w:cs="Arial"/>
          <w:b/>
          <w:lang w:val="es-MX"/>
        </w:rPr>
      </w:pPr>
      <w:r w:rsidRPr="003D5E39">
        <w:rPr>
          <w:rFonts w:ascii="Arial" w:hAnsi="Arial" w:cs="Arial"/>
          <w:b/>
          <w:lang w:val="es-MX"/>
        </w:rPr>
        <w:t>2.2. Alcance de la regla de la subsanabilidad de las ofertas en los procedimientos de selección. Reiteración de línea</w:t>
      </w:r>
    </w:p>
    <w:p w:rsidRPr="003D5E39" w:rsidR="008923A8" w:rsidP="008923A8" w:rsidRDefault="008923A8" w14:paraId="264CD30C" w14:textId="77777777">
      <w:pPr>
        <w:spacing w:after="0" w:line="276" w:lineRule="auto"/>
        <w:jc w:val="both"/>
        <w:rPr>
          <w:rFonts w:ascii="Century Gothic" w:hAnsi="Century Gothic" w:cs="Arial"/>
          <w:lang w:val="es-MX"/>
        </w:rPr>
      </w:pPr>
    </w:p>
    <w:p w:rsidRPr="003D5E39" w:rsidR="008923A8" w:rsidP="008923A8" w:rsidRDefault="008923A8" w14:paraId="6C493286" w14:textId="77777777">
      <w:pPr>
        <w:pBdr>
          <w:top w:val="nil"/>
          <w:left w:val="nil"/>
          <w:bottom w:val="nil"/>
          <w:right w:val="nil"/>
          <w:between w:val="nil"/>
        </w:pBdr>
        <w:spacing w:after="120" w:line="276" w:lineRule="auto"/>
        <w:jc w:val="both"/>
        <w:rPr>
          <w:rFonts w:ascii="Arial" w:hAnsi="Arial" w:eastAsia="Quattrocento Sans" w:cs="Arial"/>
          <w:sz w:val="18"/>
          <w:szCs w:val="18"/>
        </w:rPr>
      </w:pPr>
      <w:r w:rsidRPr="003D5E39">
        <w:rPr>
          <w:rFonts w:ascii="Arial" w:hAnsi="Arial" w:eastAsia="Arial" w:cs="Arial"/>
        </w:rPr>
        <w:t xml:space="preserve">Esta Subdirección se ha pronunciado en diversas oportunidades acerca del alcance de la regla de la subsanabilidad, contenida actualmente en el artículo 5 de la Ley 1150 de 2007. Al respecto, la postura que se reitera en el presente concepto es la siguiente: por regla general, son subsanables i) la falta de entrega o </w:t>
      </w:r>
      <w:proofErr w:type="spellStart"/>
      <w:r w:rsidRPr="003D5E39">
        <w:rPr>
          <w:rFonts w:ascii="Arial" w:hAnsi="Arial" w:eastAsia="Arial" w:cs="Arial"/>
        </w:rPr>
        <w:t>ii</w:t>
      </w:r>
      <w:proofErr w:type="spellEnd"/>
      <w:r w:rsidRPr="003D5E39">
        <w:rPr>
          <w:rFonts w:ascii="Arial" w:hAnsi="Arial" w:eastAsia="Arial" w:cs="Arial"/>
        </w:rPr>
        <w:t>) los defectos de los requisitos habilitantes. La excepción se encuentra en los casos, previstos en la ley, que limitan la subsanabilidad, es decir, en la prohibición de permitir la entrega de la garantía de seriedad de la oferta que no fue aportada con la propuesta y de valer la acreditación de circunstancias ocurridas con posterioridad al cierre del proceso.  </w:t>
      </w:r>
    </w:p>
    <w:p w:rsidRPr="003D5E39" w:rsidR="008923A8" w:rsidP="008923A8" w:rsidRDefault="008923A8" w14:paraId="4F241D3D" w14:textId="77777777">
      <w:pPr>
        <w:spacing w:before="120" w:line="276" w:lineRule="auto"/>
        <w:ind w:firstLine="709"/>
        <w:jc w:val="both"/>
        <w:rPr>
          <w:rFonts w:ascii="Arial" w:hAnsi="Arial" w:cs="Arial"/>
          <w:lang w:val="es-ES_tradnl"/>
        </w:rPr>
      </w:pPr>
      <w:r w:rsidRPr="003D5E39">
        <w:rPr>
          <w:rFonts w:ascii="Arial" w:hAnsi="Arial" w:cs="Arial"/>
          <w:lang w:val="es-ES_tradnl"/>
        </w:rPr>
        <w:t>Sobre este aspecto, debe resaltarse que la posibilidad de enmendar, corregir o subsanar los errores en los que se incurre en los documentos contentivos de la oferta es un tema que ha tenido diferentes momentos o etapas en el ordenamiento jurídico colombiano</w:t>
      </w:r>
      <w:r w:rsidRPr="003D5E39">
        <w:rPr>
          <w:rFonts w:ascii="Arial" w:hAnsi="Arial" w:eastAsia="Arial" w:cs="Arial"/>
        </w:rPr>
        <w:t xml:space="preserve">. En un </w:t>
      </w:r>
      <w:r w:rsidRPr="003D5E39">
        <w:rPr>
          <w:rFonts w:ascii="Arial" w:hAnsi="Arial" w:eastAsia="Arial" w:cs="Arial"/>
          <w:i/>
        </w:rPr>
        <w:t>primer momento</w:t>
      </w:r>
      <w:r w:rsidRPr="003D5E39">
        <w:rPr>
          <w:rFonts w:ascii="Arial" w:hAnsi="Arial" w:eastAsia="Arial" w:cs="Arial"/>
        </w:rPr>
        <w:t xml:space="preserve">, antes de expedirse la Constitución Política de 1991, el régimen jurídico de la subsanabilidad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rsidRPr="003D5E39" w:rsidR="008923A8" w:rsidP="008923A8" w:rsidRDefault="008923A8" w14:paraId="37828FFE" w14:textId="77777777">
      <w:pPr>
        <w:spacing w:before="120" w:after="0" w:line="276" w:lineRule="auto"/>
        <w:ind w:firstLine="709"/>
        <w:jc w:val="both"/>
        <w:rPr>
          <w:rFonts w:ascii="Arial" w:hAnsi="Arial" w:cs="Arial"/>
        </w:rPr>
      </w:pPr>
      <w:r w:rsidRPr="003D5E39">
        <w:rPr>
          <w:rFonts w:ascii="Arial" w:hAnsi="Arial" w:eastAsia="Arial" w:cs="Arial"/>
        </w:rPr>
        <w:t xml:space="preserve">En un </w:t>
      </w:r>
      <w:r w:rsidRPr="003D5E39">
        <w:rPr>
          <w:rFonts w:ascii="Arial" w:hAnsi="Arial" w:eastAsia="Arial" w:cs="Arial"/>
          <w:i/>
        </w:rPr>
        <w:t>segundo momento</w:t>
      </w:r>
      <w:r w:rsidRPr="003D5E39">
        <w:rPr>
          <w:rFonts w:ascii="Arial" w:hAnsi="Arial" w:eastAsia="Arial" w:cs="Arial"/>
        </w:rPr>
        <w:t xml:space="preserve"> se expidió la Ley 80 de 1993, bajo el paradigma que supuso la Constitución de 1991, particularmente en la forma como se relaciona lo formal y </w:t>
      </w:r>
      <w:r w:rsidRPr="003D5E39">
        <w:rPr>
          <w:rFonts w:ascii="Arial" w:hAnsi="Arial" w:eastAsia="Arial" w:cs="Arial"/>
        </w:rPr>
        <w:t xml:space="preserve">lo sustancial en las actuaciones judiciales y administrativas. Este cambio ideológico quedó consignado en el artículo 228, que introdujo el principio de supremacía o prevalencia del derecho sustancial sobre el procedimental. En este nuevo escenario constitucional, el numeral 15 del artículo 25 de la Ley 80 de 1993 dispuso lo siguiente: </w:t>
      </w:r>
    </w:p>
    <w:p w:rsidRPr="003D5E39" w:rsidR="008923A8" w:rsidP="008923A8" w:rsidRDefault="008923A8" w14:paraId="26DACD28" w14:textId="77777777">
      <w:pPr>
        <w:spacing w:after="0" w:line="276" w:lineRule="auto"/>
        <w:jc w:val="both"/>
        <w:rPr>
          <w:rFonts w:ascii="Arial" w:hAnsi="Arial" w:eastAsia="Arial" w:cs="Arial"/>
        </w:rPr>
      </w:pPr>
    </w:p>
    <w:p w:rsidRPr="003D5E39" w:rsidR="008923A8" w:rsidP="008923A8" w:rsidRDefault="008923A8" w14:paraId="32FD2EC1" w14:textId="77777777">
      <w:pPr>
        <w:spacing w:after="120" w:line="240" w:lineRule="auto"/>
        <w:ind w:left="709" w:right="709"/>
        <w:jc w:val="both"/>
        <w:rPr>
          <w:rFonts w:ascii="Arial" w:hAnsi="Arial" w:eastAsia="Arial" w:cs="Arial"/>
          <w:sz w:val="21"/>
          <w:szCs w:val="21"/>
        </w:rPr>
      </w:pPr>
      <w:r w:rsidRPr="003D5E39">
        <w:rPr>
          <w:rFonts w:ascii="Arial" w:hAnsi="Arial" w:eastAsia="Arial" w:cs="Arial"/>
          <w:sz w:val="21"/>
          <w:szCs w:val="21"/>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rsidRPr="003D5E39" w:rsidR="008923A8" w:rsidP="008923A8" w:rsidRDefault="008923A8" w14:paraId="35F776EF" w14:textId="77777777">
      <w:pPr>
        <w:spacing w:after="0" w:line="240" w:lineRule="auto"/>
        <w:ind w:left="709" w:right="709"/>
        <w:jc w:val="both"/>
        <w:rPr>
          <w:rFonts w:ascii="Arial" w:hAnsi="Arial" w:eastAsia="Arial" w:cs="Arial"/>
          <w:sz w:val="21"/>
          <w:szCs w:val="21"/>
        </w:rPr>
      </w:pPr>
      <w:r w:rsidRPr="003D5E39">
        <w:rPr>
          <w:rFonts w:ascii="Arial" w:hAnsi="Arial" w:eastAsia="Arial" w:cs="Arial"/>
          <w:sz w:val="21"/>
          <w:szCs w:val="21"/>
        </w:rPr>
        <w:t xml:space="preserve">La ausencia de requisitos o la falta de documentos referentes a la futura contratación o al proponente, no necesarios para la comparación de propuestas, no servirá de título suficiente para el rechazo de los ofrecimientos hechos. </w:t>
      </w:r>
    </w:p>
    <w:p w:rsidRPr="003D5E39" w:rsidR="008923A8" w:rsidP="008923A8" w:rsidRDefault="008923A8" w14:paraId="719A79F9" w14:textId="77777777">
      <w:pPr>
        <w:spacing w:after="0" w:line="276" w:lineRule="auto"/>
        <w:jc w:val="both"/>
        <w:rPr>
          <w:rFonts w:ascii="Arial" w:hAnsi="Arial" w:eastAsia="Arial" w:cs="Arial"/>
          <w:b/>
        </w:rPr>
      </w:pPr>
    </w:p>
    <w:p w:rsidRPr="003D5E39" w:rsidR="008923A8" w:rsidP="008923A8" w:rsidRDefault="008923A8" w14:paraId="4E464CC7" w14:textId="77777777">
      <w:pPr>
        <w:spacing w:line="276" w:lineRule="auto"/>
        <w:ind w:firstLine="709"/>
        <w:jc w:val="both"/>
        <w:rPr>
          <w:rFonts w:ascii="Arial" w:hAnsi="Arial" w:eastAsia="Arial" w:cs="Arial"/>
        </w:rPr>
      </w:pPr>
      <w:r w:rsidRPr="003D5E39">
        <w:rPr>
          <w:rFonts w:ascii="Arial" w:hAnsi="Arial" w:eastAsia="Arial" w:cs="Arial"/>
        </w:rPr>
        <w:t>Bajo el amparo de esta norma, el régimen jurídico de subsanabilidad de las ofertas sufre un cambio fundamental, pues ya no era posible rechazar las ofertas por falta de requisitos o documentos que no fueran “</w:t>
      </w:r>
      <w:r w:rsidRPr="003D5E39">
        <w:rPr>
          <w:rFonts w:ascii="Arial" w:hAnsi="Arial" w:eastAsia="Arial" w:cs="Arial"/>
          <w:i/>
        </w:rPr>
        <w:t>necesarios para la comparación de propuestas</w:t>
      </w:r>
      <w:r w:rsidRPr="003D5E39">
        <w:rPr>
          <w:rFonts w:ascii="Arial" w:hAnsi="Arial" w:eastAsia="Arial" w:cs="Arial"/>
        </w:rPr>
        <w:t xml:space="preserve">”.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rsidRPr="003D5E39" w:rsidR="008923A8" w:rsidP="008923A8" w:rsidRDefault="008923A8" w14:paraId="79FC49ED" w14:textId="77777777">
      <w:pPr>
        <w:spacing w:before="120" w:after="120" w:line="276" w:lineRule="auto"/>
        <w:ind w:firstLine="709"/>
        <w:jc w:val="both"/>
        <w:rPr>
          <w:rFonts w:ascii="Arial" w:hAnsi="Arial" w:eastAsia="Arial" w:cs="Arial"/>
        </w:rPr>
      </w:pPr>
      <w:r w:rsidRPr="003D5E39">
        <w:rPr>
          <w:rFonts w:ascii="Arial" w:hAnsi="Arial" w:eastAsia="Arial" w:cs="Arial"/>
        </w:rPr>
        <w:t>El artículo 25.15 debía leerse en conjunto con otras de la Ley 80 de 1993, particularmente con el artículo 30.7</w:t>
      </w:r>
      <w:r w:rsidRPr="003D5E39">
        <w:rPr>
          <w:rFonts w:ascii="Arial" w:hAnsi="Arial" w:eastAsia="Arial" w:cs="Arial"/>
          <w:vertAlign w:val="superscript"/>
        </w:rPr>
        <w:footnoteReference w:id="11"/>
      </w:r>
      <w:r w:rsidRPr="003D5E39">
        <w:rPr>
          <w:rFonts w:ascii="Arial" w:hAnsi="Arial" w:eastAsia="Arial" w:cs="Arial"/>
        </w:rPr>
        <w:t>, que ordena a la entidad señalar un plazo razonable para evaluar las propuestas y pedir a los proponentes, de ser necesario, que aclaren o expliquen aspectos que ofrezcan dudas y resulten indispensables para hacer la evaluación; y con el artículo 30.8</w:t>
      </w:r>
      <w:r w:rsidRPr="003D5E39">
        <w:rPr>
          <w:rFonts w:ascii="Arial" w:hAnsi="Arial" w:eastAsia="Arial" w:cs="Arial"/>
          <w:vertAlign w:val="superscript"/>
        </w:rPr>
        <w:footnoteReference w:id="12"/>
      </w:r>
      <w:r w:rsidRPr="003D5E39">
        <w:rPr>
          <w:rFonts w:ascii="Arial" w:hAnsi="Arial" w:eastAsia="Arial" w:cs="Arial"/>
        </w:rPr>
        <w:t xml:space="preserve">, que consagró el término de 5 días hábiles para que los oferentes presenten observaciones al informe de evaluación de las propuestas, sin que sea posible completar, adicionar, modificar o mejorar la oferta.  A partir de la lectura integrada de estas tres normas debía concluirse que con la Ley 80 de 1993 era posible subsanar las propuestas, y la omisión o el error en algún aspecto de la misma no podía llevar a su rechazo, sin antes verificar que lo omitido fuera un aspecto necesario para la comparación. </w:t>
      </w:r>
    </w:p>
    <w:p w:rsidRPr="003D5E39" w:rsidR="008923A8" w:rsidP="008923A8" w:rsidRDefault="008923A8" w14:paraId="5EAD0EEB" w14:textId="77777777">
      <w:pPr>
        <w:spacing w:line="276" w:lineRule="auto"/>
        <w:ind w:firstLine="709"/>
        <w:jc w:val="both"/>
        <w:rPr>
          <w:rFonts w:ascii="Arial" w:hAnsi="Arial" w:eastAsia="Arial" w:cs="Arial"/>
        </w:rPr>
      </w:pPr>
      <w:r w:rsidRPr="003D5E39">
        <w:rPr>
          <w:rFonts w:ascii="Arial" w:hAnsi="Arial" w:eastAsia="Arial" w:cs="Arial"/>
        </w:rPr>
        <w:t xml:space="preserve">En un </w:t>
      </w:r>
      <w:r w:rsidRPr="003D5E39">
        <w:rPr>
          <w:rFonts w:ascii="Arial" w:hAnsi="Arial" w:eastAsia="Arial" w:cs="Arial"/>
          <w:i/>
        </w:rPr>
        <w:t>tercer momento</w:t>
      </w:r>
      <w:r w:rsidRPr="003D5E39">
        <w:rPr>
          <w:rFonts w:ascii="Arial" w:hAnsi="Arial" w:eastAsia="Arial" w:cs="Arial"/>
        </w:rPr>
        <w:t>, y siguiendo la línea trazada por la Ley 80 de 1993, el legislador expidió la Ley 1150 de 2007, que, en el parágrafo 1º del artículo 5, determinó lo siguiente: “La ausencia de requisitos o la falta de documentos referentes a la futura contratación o al proponente, no necesarios para la comparación de las propuestas no servirán de título suficiente para el rechazo de los ofrecimientos hechos. En consecuencia</w:t>
      </w:r>
      <w:r w:rsidRPr="003D5E39">
        <w:rPr>
          <w:rFonts w:ascii="Arial" w:hAnsi="Arial" w:eastAsia="Arial" w:cs="Arial"/>
          <w:b/>
        </w:rPr>
        <w:t xml:space="preserve">, </w:t>
      </w:r>
      <w:r w:rsidRPr="003D5E39">
        <w:rPr>
          <w:rFonts w:ascii="Arial" w:hAnsi="Arial" w:eastAsia="Arial" w:cs="Arial"/>
        </w:rPr>
        <w:t xml:space="preserve">todos aquellos requisitos de la propuesta que no afecten la asignación de puntaje, podrán ser solicitados por las entidades en cualquier momento, hasta la adjudicación. No </w:t>
      </w:r>
      <w:proofErr w:type="gramStart"/>
      <w:r w:rsidRPr="003D5E39">
        <w:rPr>
          <w:rFonts w:ascii="Arial" w:hAnsi="Arial" w:eastAsia="Arial" w:cs="Arial"/>
        </w:rPr>
        <w:t>obstante</w:t>
      </w:r>
      <w:proofErr w:type="gramEnd"/>
      <w:r w:rsidRPr="003D5E39">
        <w:rPr>
          <w:rFonts w:ascii="Arial" w:hAnsi="Arial" w:eastAsia="Arial" w:cs="Arial"/>
        </w:rPr>
        <w:t xml:space="preserve"> lo anterior, en aquellos procesos de selección en los que se utilice el mecanismo de subasta, deberán ser solicitados hasta el momento previo a su realización”. </w:t>
      </w:r>
    </w:p>
    <w:p w:rsidRPr="003D5E39" w:rsidR="008923A8" w:rsidP="008923A8" w:rsidRDefault="008923A8" w14:paraId="30223719" w14:textId="77777777">
      <w:pPr>
        <w:spacing w:after="120" w:line="276" w:lineRule="auto"/>
        <w:ind w:firstLine="709"/>
        <w:jc w:val="both"/>
        <w:rPr>
          <w:rFonts w:ascii="Arial" w:hAnsi="Arial" w:cs="Arial"/>
        </w:rPr>
      </w:pPr>
      <w:r w:rsidRPr="003D5E39">
        <w:rPr>
          <w:rFonts w:ascii="Arial" w:hAnsi="Arial" w:eastAsia="Arial" w:cs="Arial"/>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Si al verificar la Administración encuentra que lo omitido por el proponente es un aspecto que otorga puntaje, no es posible subsanarlo; pero, si no otorga puntaje, la Administración debe requerir al proponente para que lo subsane.  </w:t>
      </w:r>
    </w:p>
    <w:p w:rsidRPr="003D5E39" w:rsidR="008923A8" w:rsidP="008923A8" w:rsidRDefault="008923A8" w14:paraId="2BA878E0" w14:textId="77777777">
      <w:pPr>
        <w:spacing w:after="0" w:line="276" w:lineRule="auto"/>
        <w:ind w:firstLine="709"/>
        <w:jc w:val="both"/>
        <w:rPr>
          <w:rFonts w:ascii="Arial" w:hAnsi="Arial" w:eastAsia="Arial" w:cs="Arial"/>
        </w:rPr>
      </w:pPr>
      <w:r w:rsidRPr="003D5E39">
        <w:rPr>
          <w:rFonts w:ascii="Arial" w:hAnsi="Arial" w:eastAsia="Arial" w:cs="Arial"/>
        </w:rPr>
        <w:t>El artículo 5 de la Ley 1150 de 2007, además de consagrar un criterio más claro, y, de paso, reducir la discrecionalidad de la Administración, fijó un ámbito temporal para la subsanación de las ofertas: “</w:t>
      </w:r>
      <w:r w:rsidRPr="003D5E39">
        <w:rPr>
          <w:rFonts w:ascii="Arial" w:hAnsi="Arial" w:eastAsia="Arial" w:cs="Arial"/>
          <w:i/>
        </w:rPr>
        <w:t>en cualquier momento, hasta la adjudicación</w:t>
      </w:r>
      <w:r w:rsidRPr="003D5E39">
        <w:rPr>
          <w:rFonts w:ascii="Arial" w:hAnsi="Arial" w:eastAsia="Arial" w:cs="Arial"/>
        </w:rPr>
        <w:t xml:space="preserve">”. El Consejo de Estado, con particular sindéresis, concluyó que a partir del parágrafo 1º del artículo 5 de la Ley 1150, la definición de lo que es subsanable y lo que no lo es surge a partir del planteamiento de la pregunta sobre si el defecto asigna puntaje o no, en estos términos: </w:t>
      </w:r>
    </w:p>
    <w:p w:rsidRPr="003D5E39" w:rsidR="008923A8" w:rsidP="008923A8" w:rsidRDefault="008923A8" w14:paraId="7931E517" w14:textId="77777777">
      <w:pPr>
        <w:spacing w:after="0" w:line="276" w:lineRule="auto"/>
        <w:jc w:val="both"/>
        <w:rPr>
          <w:rFonts w:ascii="Arial" w:hAnsi="Arial" w:eastAsia="Arial" w:cs="Arial"/>
        </w:rPr>
      </w:pPr>
    </w:p>
    <w:p w:rsidRPr="003D5E39" w:rsidR="008923A8" w:rsidP="008923A8" w:rsidRDefault="008923A8" w14:paraId="0A2E9AA5" w14:textId="77777777">
      <w:pPr>
        <w:spacing w:after="0" w:line="240" w:lineRule="auto"/>
        <w:ind w:left="709" w:right="709"/>
        <w:jc w:val="both"/>
        <w:rPr>
          <w:rFonts w:ascii="Arial" w:hAnsi="Arial" w:eastAsia="Arial" w:cs="Arial"/>
          <w:sz w:val="21"/>
          <w:szCs w:val="21"/>
        </w:rPr>
      </w:pPr>
      <w:r w:rsidRPr="003D5E39">
        <w:rPr>
          <w:rFonts w:ascii="Arial" w:hAnsi="Arial" w:eastAsia="Arial" w:cs="Arial"/>
          <w:sz w:val="21"/>
          <w:szCs w:val="21"/>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3D5E39">
        <w:rPr>
          <w:rFonts w:ascii="Arial" w:hAnsi="Arial" w:eastAsia="Arial" w:cs="Arial"/>
          <w:sz w:val="21"/>
          <w:szCs w:val="21"/>
          <w:vertAlign w:val="superscript"/>
        </w:rPr>
        <w:footnoteReference w:id="13"/>
      </w:r>
      <w:r w:rsidRPr="003D5E39">
        <w:rPr>
          <w:rFonts w:ascii="Arial" w:hAnsi="Arial" w:eastAsia="Arial" w:cs="Arial"/>
          <w:sz w:val="21"/>
          <w:szCs w:val="21"/>
        </w:rPr>
        <w:t>.</w:t>
      </w:r>
    </w:p>
    <w:p w:rsidRPr="003D5E39" w:rsidR="008923A8" w:rsidP="008923A8" w:rsidRDefault="008923A8" w14:paraId="38EF6603" w14:textId="77777777">
      <w:pPr>
        <w:spacing w:after="0" w:line="276" w:lineRule="auto"/>
        <w:jc w:val="both"/>
        <w:rPr>
          <w:rFonts w:ascii="Arial" w:hAnsi="Arial" w:eastAsia="Arial" w:cs="Arial"/>
          <w:b/>
        </w:rPr>
      </w:pPr>
    </w:p>
    <w:p w:rsidRPr="003D5E39" w:rsidR="008923A8" w:rsidP="008923A8" w:rsidRDefault="008923A8" w14:paraId="53295229" w14:textId="77777777">
      <w:pPr>
        <w:pBdr>
          <w:top w:val="nil"/>
          <w:left w:val="nil"/>
          <w:bottom w:val="nil"/>
          <w:right w:val="nil"/>
          <w:between w:val="nil"/>
        </w:pBdr>
        <w:tabs>
          <w:tab w:val="left" w:pos="284"/>
        </w:tabs>
        <w:spacing w:line="276" w:lineRule="auto"/>
        <w:ind w:firstLine="709"/>
        <w:jc w:val="both"/>
        <w:rPr>
          <w:rFonts w:ascii="Arial" w:hAnsi="Arial" w:eastAsia="Arial" w:cs="Arial"/>
        </w:rPr>
      </w:pPr>
      <w:r w:rsidRPr="003D5E39">
        <w:rPr>
          <w:rFonts w:ascii="Arial" w:hAnsi="Arial" w:eastAsia="Arial" w:cs="Arial"/>
        </w:rPr>
        <w:t xml:space="preserve">Esa interpretación fue compartida por la Agencia Nacional de Contratación Pública – Colombia Compra Eficiente, pues en la Circular Externa Única se había precisado </w:t>
      </w:r>
      <w:proofErr w:type="gramStart"/>
      <w:r w:rsidRPr="003D5E39">
        <w:rPr>
          <w:rFonts w:ascii="Arial" w:hAnsi="Arial" w:eastAsia="Arial" w:cs="Arial"/>
        </w:rPr>
        <w:t>que</w:t>
      </w:r>
      <w:proofErr w:type="gramEnd"/>
      <w:r w:rsidRPr="003D5E39">
        <w:rPr>
          <w:rFonts w:ascii="Arial" w:hAnsi="Arial" w:eastAsia="Arial" w:cs="Arial"/>
        </w:rPr>
        <w:t xml:space="preserve"> si durante un proceso de contratación hay proponentes que no acreditaron en sus ofertas requisitos que no afectan la asignación de puntaje o la comparación de las mismas, la entidad estatal deberá indicarlo en el informe de evaluación y advertir que la correspondiente oferta no será evaluada hasta que se subsane.</w:t>
      </w:r>
    </w:p>
    <w:p w:rsidRPr="003D5E39" w:rsidR="008923A8" w:rsidP="008923A8" w:rsidRDefault="008923A8" w14:paraId="7341DD43" w14:textId="77777777">
      <w:pPr>
        <w:pBdr>
          <w:top w:val="nil"/>
          <w:left w:val="nil"/>
          <w:bottom w:val="nil"/>
          <w:right w:val="nil"/>
          <w:between w:val="nil"/>
        </w:pBdr>
        <w:tabs>
          <w:tab w:val="left" w:pos="284"/>
        </w:tabs>
        <w:spacing w:before="120" w:line="276" w:lineRule="auto"/>
        <w:ind w:firstLine="709"/>
        <w:jc w:val="both"/>
        <w:rPr>
          <w:rFonts w:ascii="Arial" w:hAnsi="Arial" w:eastAsia="Arial" w:cs="Arial"/>
        </w:rPr>
      </w:pPr>
      <w:r w:rsidRPr="003D5E39">
        <w:rPr>
          <w:rFonts w:ascii="Arial" w:hAnsi="Arial" w:eastAsia="Arial" w:cs="Arial"/>
        </w:rPr>
        <w:t xml:space="preserve">En un </w:t>
      </w:r>
      <w:r w:rsidRPr="003D5E39">
        <w:rPr>
          <w:rFonts w:ascii="Arial" w:hAnsi="Arial" w:eastAsia="Arial" w:cs="Arial"/>
          <w:i/>
        </w:rPr>
        <w:t>cuarto momento</w:t>
      </w:r>
      <w:r w:rsidRPr="003D5E39">
        <w:rPr>
          <w:rFonts w:ascii="Arial" w:hAnsi="Arial" w:eastAsia="Arial" w:cs="Arial"/>
        </w:rPr>
        <w:t xml:space="preserve">, el legislador expidió la Ley 1882 de 2018, con la finalidad de introducir cambios y ajustes para fortalecer la contratación pública. El artículo 5 modificó el parágrafo 1º del artículo 5 de la Ley 1150 de 2007 en los siguientes términos: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rsidRPr="003D5E39" w:rsidR="008923A8" w:rsidP="008923A8" w:rsidRDefault="008923A8" w14:paraId="40D24289" w14:textId="77777777">
      <w:pPr>
        <w:spacing w:line="276" w:lineRule="auto"/>
        <w:ind w:firstLine="709"/>
        <w:jc w:val="both"/>
        <w:rPr>
          <w:rFonts w:ascii="Arial" w:hAnsi="Arial" w:eastAsia="Arial" w:cs="Arial"/>
        </w:rPr>
      </w:pPr>
      <w:r w:rsidRPr="003D5E39">
        <w:rPr>
          <w:rFonts w:ascii="Arial" w:hAnsi="Arial" w:eastAsia="Arial" w:cs="Arial"/>
        </w:rPr>
        <w:t xml:space="preserve">Como puede observarse, esta norma: i) mantiene el criterio de la Ley 80 de 1993, relativo a que todo lo que no sea necesario para la comparación de propuestas no es título suficiente para su rechazo; </w:t>
      </w:r>
      <w:proofErr w:type="spellStart"/>
      <w:r w:rsidRPr="003D5E39">
        <w:rPr>
          <w:rFonts w:ascii="Arial" w:hAnsi="Arial" w:eastAsia="Arial" w:cs="Arial"/>
        </w:rPr>
        <w:t>ii</w:t>
      </w:r>
      <w:proofErr w:type="spellEnd"/>
      <w:r w:rsidRPr="003D5E39">
        <w:rPr>
          <w:rFonts w:ascii="Arial" w:hAnsi="Arial" w:eastAsia="Arial" w:cs="Arial"/>
        </w:rPr>
        <w:t xml:space="preserve">) mantiene el criterio aclaratorio de la Ley 1150 de 2007, según el cual todo lo que no afecte la asignación de puntaje puede subsanarse e </w:t>
      </w:r>
      <w:proofErr w:type="spellStart"/>
      <w:r w:rsidRPr="003D5E39">
        <w:rPr>
          <w:rFonts w:ascii="Arial" w:hAnsi="Arial" w:eastAsia="Arial" w:cs="Arial"/>
        </w:rPr>
        <w:t>iii</w:t>
      </w:r>
      <w:proofErr w:type="spellEnd"/>
      <w:r w:rsidRPr="003D5E39">
        <w:rPr>
          <w:rFonts w:ascii="Arial" w:hAnsi="Arial" w:eastAsia="Arial" w:cs="Arial"/>
        </w:rPr>
        <w:t xml:space="preserve">) introduce modificaciones en relación con algunos aspectos que se analizarán a continuación. </w:t>
      </w:r>
    </w:p>
    <w:p w:rsidRPr="003D5E39" w:rsidR="008923A8" w:rsidP="008923A8" w:rsidRDefault="008923A8" w14:paraId="5D4F4A86" w14:textId="77777777">
      <w:pPr>
        <w:spacing w:before="120" w:after="120" w:line="276" w:lineRule="auto"/>
        <w:ind w:firstLine="709"/>
        <w:jc w:val="both"/>
        <w:rPr>
          <w:rFonts w:ascii="Arial" w:hAnsi="Arial" w:eastAsia="Arial" w:cs="Arial"/>
        </w:rPr>
      </w:pPr>
      <w:r w:rsidRPr="003D5E39">
        <w:rPr>
          <w:rFonts w:ascii="Arial" w:hAnsi="Arial" w:eastAsia="Arial" w:cs="Arial"/>
        </w:rPr>
        <w:t>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w:t>
      </w:r>
      <w:r w:rsidRPr="003D5E39">
        <w:rPr>
          <w:rFonts w:ascii="Arial" w:hAnsi="Arial" w:eastAsia="Arial" w:cs="Arial"/>
          <w:vertAlign w:val="superscript"/>
        </w:rPr>
        <w:footnoteReference w:id="14"/>
      </w:r>
      <w:r w:rsidRPr="003D5E39">
        <w:rPr>
          <w:rFonts w:ascii="Arial" w:hAnsi="Arial" w:eastAsia="Arial" w:cs="Arial"/>
        </w:rPr>
        <w:t xml:space="preserve">; en el último los documentos o requisitos subsanables pueden y deben solicitarse hasta el momento previo a su realización.  </w:t>
      </w:r>
    </w:p>
    <w:p w:rsidRPr="003D5E39" w:rsidR="008923A8" w:rsidP="008923A8" w:rsidRDefault="008923A8" w14:paraId="45EADED4" w14:textId="77777777">
      <w:pPr>
        <w:spacing w:before="120" w:after="120" w:line="276" w:lineRule="auto"/>
        <w:ind w:firstLine="709"/>
        <w:jc w:val="both"/>
        <w:rPr>
          <w:rFonts w:ascii="Arial" w:hAnsi="Arial" w:eastAsia="Arial" w:cs="Arial"/>
        </w:rPr>
      </w:pPr>
      <w:r w:rsidRPr="003D5E39">
        <w:rPr>
          <w:rFonts w:ascii="Arial" w:hAnsi="Arial" w:eastAsia="Arial" w:cs="Arial"/>
        </w:rPr>
        <w:t xml:space="preserve">Frente a la regla general, la norma fijó un límite final para que la Administración y los oferentes subsanen los requisitos o documentos que puedan y deban ser subsanados, pero nada impide, y la norma no lo hace, que la Administración requiera al proponente antes de publicar el informe de evaluación. En efecto, la redacción de la norma permite que la Administración solicite a los oferentes subsanar y que estos lo hagan hasta antes del término del traslado del informe de evaluación: “deberán ser solicitados por las entidades estatales y deberán ser entregados por los proponentes hasta el término de traslado del informe de evaluación que corresponda a cada modalidad de selección”. </w:t>
      </w:r>
    </w:p>
    <w:p w:rsidRPr="003D5E39" w:rsidR="008923A8" w:rsidP="008923A8" w:rsidRDefault="008923A8" w14:paraId="5E735749" w14:textId="77777777">
      <w:pPr>
        <w:spacing w:before="120" w:after="120" w:line="276" w:lineRule="auto"/>
        <w:ind w:firstLine="709"/>
        <w:jc w:val="both"/>
        <w:rPr>
          <w:rFonts w:ascii="Arial" w:hAnsi="Arial" w:eastAsia="Arial" w:cs="Arial"/>
        </w:rPr>
      </w:pPr>
      <w:r w:rsidRPr="003D5E39">
        <w:rPr>
          <w:rFonts w:ascii="Arial" w:hAnsi="Arial" w:eastAsia="Arial" w:cs="Arial"/>
        </w:rPr>
        <w:t xml:space="preserve">No obstante, de la lectura de este aparte podrían, en la práctica, darse dos interpretaciones que dan lugar a dos formas de proceder en los procesos de selección, en lo que se refiere a la subsanabilidad de las ofertas. </w:t>
      </w:r>
      <w:r w:rsidRPr="003D5E39">
        <w:rPr>
          <w:rFonts w:ascii="Arial" w:hAnsi="Arial" w:eastAsia="Arial" w:cs="Arial"/>
          <w:i/>
        </w:rPr>
        <w:t>Primera</w:t>
      </w:r>
      <w:r w:rsidRPr="003D5E39">
        <w:rPr>
          <w:rFonts w:ascii="Arial" w:hAnsi="Arial" w:eastAsia="Arial" w:cs="Arial"/>
        </w:rPr>
        <w:t xml:space="preserve">, que la posibilidad de los oferentes para subsanar es el término del traslado del informe de evaluación, ya que en este documento es donde la Administración establece los requisitos o documentos omitidos que los oferentes deben subsanar, so pena de rechazo; </w:t>
      </w:r>
      <w:r w:rsidRPr="003D5E39">
        <w:rPr>
          <w:rFonts w:ascii="Arial" w:hAnsi="Arial" w:eastAsia="Arial" w:cs="Arial"/>
          <w:i/>
        </w:rPr>
        <w:t>segunda</w:t>
      </w:r>
      <w:r w:rsidRPr="003D5E39">
        <w:rPr>
          <w:rFonts w:ascii="Arial" w:hAnsi="Arial" w:eastAsia="Arial" w:cs="Arial"/>
        </w:rPr>
        <w:t xml:space="preserve">, que el término del traslado del informe de evaluación es el límite para la subsanación de ofertas, pero no el único momento para hacerlo. </w:t>
      </w:r>
    </w:p>
    <w:p w:rsidRPr="003D5E39" w:rsidR="008923A8" w:rsidP="008923A8" w:rsidRDefault="008923A8" w14:paraId="09E8776B" w14:textId="77777777">
      <w:pPr>
        <w:spacing w:before="120" w:after="120" w:line="276" w:lineRule="auto"/>
        <w:ind w:firstLine="709"/>
        <w:jc w:val="both"/>
        <w:rPr>
          <w:rFonts w:ascii="Arial" w:hAnsi="Arial" w:eastAsia="Arial" w:cs="Arial"/>
        </w:rPr>
      </w:pPr>
      <w:r w:rsidRPr="003D5E39">
        <w:rPr>
          <w:rFonts w:ascii="Arial" w:hAnsi="Arial" w:eastAsia="Arial" w:cs="Arial"/>
        </w:rPr>
        <w:t>De acuerdo con la primera interpretación, el informe de evaluación se convierte en la oportunidad que adopta la Administración para comunicarles a los oferentes qué documentos o requisitos omitieron y deben subsanar y, consecuentemente, el término del traslado es la oportunidad del proponente para cumplir con lo solicitado. La segunda interpretación permitiría que la Administración requiera al oferente durante el proceso de evaluación de las propuestas, tan pronto advierta que hace falta un documento o requisito que se puede subsanar. En este caso, la subsanación se lleva a cabo con anterioridad a la publicación del informe de evaluación, de manera que una vez se publique el informe ya se encuentren subsanadas las propuestas, sin perjuicio del término límite que concedió la ley.</w:t>
      </w:r>
    </w:p>
    <w:p w:rsidRPr="003D5E39" w:rsidR="008923A8" w:rsidP="008923A8" w:rsidRDefault="008923A8" w14:paraId="363A0CED" w14:textId="77777777">
      <w:pPr>
        <w:spacing w:before="120" w:after="120" w:line="276" w:lineRule="auto"/>
        <w:ind w:firstLine="709"/>
        <w:jc w:val="both"/>
        <w:rPr>
          <w:rFonts w:ascii="Arial" w:hAnsi="Arial" w:eastAsia="Arial" w:cs="Arial"/>
        </w:rPr>
      </w:pPr>
      <w:r w:rsidRPr="003D5E39">
        <w:rPr>
          <w:rFonts w:ascii="Arial" w:hAnsi="Arial" w:eastAsia="Arial" w:cs="Arial"/>
        </w:rPr>
        <w:t xml:space="preserve">En criterio de esta Subdirección, la segunda interpretación es la que más se ajusta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 </w:t>
      </w:r>
    </w:p>
    <w:p w:rsidRPr="003D5E39" w:rsidR="008923A8" w:rsidP="008923A8" w:rsidRDefault="008923A8" w14:paraId="6C0EBDC1" w14:textId="77777777">
      <w:pPr>
        <w:spacing w:before="120" w:after="120" w:line="276" w:lineRule="auto"/>
        <w:ind w:firstLine="709"/>
        <w:jc w:val="both"/>
        <w:rPr>
          <w:rFonts w:ascii="Arial" w:hAnsi="Arial" w:eastAsia="Arial" w:cs="Arial"/>
        </w:rPr>
      </w:pPr>
      <w:r w:rsidRPr="003D5E39">
        <w:rPr>
          <w:rFonts w:ascii="Arial" w:hAnsi="Arial" w:eastAsia="Arial" w:cs="Arial"/>
        </w:rPr>
        <w:t xml:space="preserve">Así pues, 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 inclusive, es más adecuado y </w:t>
      </w:r>
      <w:r w:rsidRPr="003D5E39">
        <w:rPr>
          <w:rFonts w:ascii="Arial" w:hAnsi="Arial" w:eastAsia="Arial" w:cs="Arial"/>
        </w:rPr>
        <w:t xml:space="preserve">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 </w:t>
      </w:r>
    </w:p>
    <w:p w:rsidRPr="003D5E39" w:rsidR="008923A8" w:rsidP="008923A8" w:rsidRDefault="008923A8" w14:paraId="0C929744" w14:textId="77777777">
      <w:pPr>
        <w:spacing w:before="120" w:after="120" w:line="276" w:lineRule="auto"/>
        <w:ind w:firstLine="709"/>
        <w:jc w:val="both"/>
        <w:rPr>
          <w:rFonts w:ascii="Arial" w:hAnsi="Arial" w:eastAsia="Arial" w:cs="Arial"/>
        </w:rPr>
      </w:pPr>
      <w:r w:rsidRPr="003D5E39">
        <w:rPr>
          <w:rFonts w:ascii="Arial" w:hAnsi="Arial" w:eastAsia="Arial" w:cs="Arial"/>
        </w:rPr>
        <w:t>De otro lado, el segundo cambio importante de la Ley 1882 de 2018 fue la introducción de un criterio material, directamente relacionado con los aspectos subsanables: “los proponentes no podrán acreditar circunstancias ocurridas con posterioridad al cierre del proceso”</w:t>
      </w:r>
      <w:r w:rsidRPr="003D5E39">
        <w:rPr>
          <w:rFonts w:ascii="Arial" w:hAnsi="Arial" w:eastAsia="Arial" w:cs="Arial"/>
          <w:b/>
          <w:i/>
        </w:rPr>
        <w:t>.</w:t>
      </w:r>
      <w:r w:rsidRPr="003D5E39">
        <w:rPr>
          <w:rFonts w:ascii="Arial" w:hAnsi="Arial" w:eastAsia="Arial" w:cs="Arial"/>
          <w:b/>
        </w:rPr>
        <w:t xml:space="preserve"> </w:t>
      </w:r>
      <w:r w:rsidRPr="003D5E39">
        <w:rPr>
          <w:rFonts w:ascii="Arial" w:hAnsi="Arial" w:eastAsia="Arial" w:cs="Arial"/>
        </w:rPr>
        <w:t xml:space="preserve">Lo anterior ofrece dos aspectos que merecen clarificación: </w:t>
      </w:r>
      <w:r w:rsidRPr="003D5E39">
        <w:rPr>
          <w:rFonts w:ascii="Arial" w:hAnsi="Arial" w:eastAsia="Arial" w:cs="Arial"/>
          <w:i/>
        </w:rPr>
        <w:t>primero</w:t>
      </w:r>
      <w:r w:rsidRPr="003D5E39">
        <w:rPr>
          <w:rFonts w:ascii="Arial" w:hAnsi="Arial" w:eastAsia="Arial" w:cs="Arial"/>
        </w:rPr>
        <w:t xml:space="preserve">, qué debe entenderse por circunstancias ocurridas con posterioridad; y </w:t>
      </w:r>
      <w:r w:rsidRPr="003D5E39">
        <w:rPr>
          <w:rFonts w:ascii="Arial" w:hAnsi="Arial" w:eastAsia="Arial" w:cs="Arial"/>
          <w:i/>
        </w:rPr>
        <w:t>segundo</w:t>
      </w:r>
      <w:r w:rsidRPr="003D5E39">
        <w:rPr>
          <w:rFonts w:ascii="Arial" w:hAnsi="Arial" w:eastAsia="Arial" w:cs="Arial"/>
        </w:rPr>
        <w:t>, qué es el cierre del proceso.</w:t>
      </w:r>
    </w:p>
    <w:p w:rsidRPr="003D5E39" w:rsidR="008923A8" w:rsidP="008923A8" w:rsidRDefault="008923A8" w14:paraId="6EC1D2CF" w14:textId="77777777">
      <w:pPr>
        <w:spacing w:after="0" w:line="276" w:lineRule="auto"/>
        <w:ind w:firstLine="709"/>
        <w:jc w:val="both"/>
        <w:rPr>
          <w:rFonts w:ascii="Arial" w:hAnsi="Arial" w:eastAsia="Arial" w:cs="Arial"/>
        </w:rPr>
      </w:pPr>
      <w:r w:rsidRPr="003D5E39">
        <w:rPr>
          <w:rFonts w:ascii="Arial" w:hAnsi="Arial" w:eastAsia="Arial" w:cs="Arial"/>
        </w:rPr>
        <w:t>La Sala de Consulta y Servicio Civil del Consejo de Estado ya había tenido la oportunidad de precisar estas expresiones, a propósito de un concepto en el que se refirió al artículo 10 del derogado Decreto 2474 de 2008</w:t>
      </w:r>
      <w:r w:rsidRPr="003D5E39">
        <w:rPr>
          <w:rFonts w:ascii="Arial" w:hAnsi="Arial" w:eastAsia="Arial" w:cs="Arial"/>
          <w:vertAlign w:val="superscript"/>
        </w:rPr>
        <w:footnoteReference w:id="15"/>
      </w:r>
      <w:r w:rsidRPr="003D5E39">
        <w:rPr>
          <w:rFonts w:ascii="Arial" w:hAnsi="Arial" w:eastAsia="Arial" w:cs="Arial"/>
        </w:rPr>
        <w:t xml:space="preserve">, que había determinado que en ningún 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 </w:t>
      </w:r>
    </w:p>
    <w:p w:rsidRPr="003D5E39" w:rsidR="008923A8" w:rsidP="008923A8" w:rsidRDefault="008923A8" w14:paraId="1CC13780" w14:textId="77777777">
      <w:pPr>
        <w:spacing w:after="0"/>
        <w:ind w:left="709" w:right="709"/>
        <w:jc w:val="both"/>
        <w:rPr>
          <w:rFonts w:ascii="Arial" w:hAnsi="Arial" w:eastAsia="Arial" w:cs="Arial"/>
          <w:sz w:val="21"/>
          <w:szCs w:val="21"/>
        </w:rPr>
      </w:pPr>
    </w:p>
    <w:p w:rsidRPr="003D5E39" w:rsidR="008923A8" w:rsidP="008923A8" w:rsidRDefault="008923A8" w14:paraId="3B7AFD58" w14:textId="77777777">
      <w:pPr>
        <w:spacing w:after="120" w:line="240" w:lineRule="auto"/>
        <w:ind w:left="709" w:right="709"/>
        <w:jc w:val="both"/>
        <w:rPr>
          <w:rFonts w:ascii="Arial" w:hAnsi="Arial" w:eastAsia="Arial" w:cs="Arial"/>
          <w:sz w:val="21"/>
          <w:szCs w:val="21"/>
        </w:rPr>
      </w:pPr>
      <w:r w:rsidRPr="003D5E39">
        <w:rPr>
          <w:rFonts w:ascii="Arial" w:hAnsi="Arial" w:eastAsia="Arial" w:cs="Arial"/>
          <w:sz w:val="21"/>
          <w:szCs w:val="21"/>
        </w:rPr>
        <w:t>Sin embargo, debe tenerse en cuenta que la última norma en cita -Decreto 2474 de 2008, aparte subrayado-, establece un límite a la subsanabilidad, puesto que en cualquier caso debe referirse o recaer sobre circunstancias ocurridas antes del cierre del respectivo proceso, esto es, del vencimiento del plazo para presentar ofertas.</w:t>
      </w:r>
    </w:p>
    <w:p w:rsidRPr="003D5E39" w:rsidR="008923A8" w:rsidP="008923A8" w:rsidRDefault="008923A8" w14:paraId="7855FC9F" w14:textId="77777777">
      <w:pPr>
        <w:spacing w:after="0" w:line="240" w:lineRule="auto"/>
        <w:ind w:left="709" w:right="709"/>
        <w:jc w:val="both"/>
        <w:rPr>
          <w:rFonts w:ascii="Arial" w:hAnsi="Arial" w:eastAsia="Arial" w:cs="Arial"/>
          <w:sz w:val="21"/>
          <w:szCs w:val="21"/>
        </w:rPr>
      </w:pPr>
      <w:r w:rsidRPr="003D5E39">
        <w:rPr>
          <w:rFonts w:ascii="Arial" w:hAnsi="Arial" w:eastAsia="Arial" w:cs="Arial"/>
          <w:sz w:val="21"/>
          <w:szCs w:val="21"/>
        </w:rPr>
        <w:t xml:space="preserve">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w:t>
      </w:r>
      <w:r w:rsidRPr="003D5E39">
        <w:rPr>
          <w:rFonts w:ascii="Arial" w:hAnsi="Arial" w:eastAsia="Arial" w:cs="Arial"/>
          <w:sz w:val="21"/>
          <w:szCs w:val="21"/>
        </w:rPr>
        <w:t>Así, por ejemplo, si se requiere una experiencia x, la misma se debe tener al presentar la oferta y la Administración puede requerir al oferente para que especifique aspectos relacionados con ella (complementar certificaciones, aclarar fechas, acreditación de la misma,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pero no para que se constituya la sociedad con posterioridad al cierre del proceso, pues si ello no se había hecho, significa simplemente que el oferente no tenía la condición para participar</w:t>
      </w:r>
      <w:r w:rsidRPr="003D5E39">
        <w:rPr>
          <w:rFonts w:ascii="Arial" w:hAnsi="Arial" w:eastAsia="Arial" w:cs="Arial"/>
          <w:sz w:val="21"/>
          <w:szCs w:val="21"/>
          <w:vertAlign w:val="superscript"/>
        </w:rPr>
        <w:footnoteReference w:id="16"/>
      </w:r>
      <w:r w:rsidRPr="003D5E39">
        <w:rPr>
          <w:rFonts w:ascii="Arial" w:hAnsi="Arial" w:eastAsia="Arial" w:cs="Arial"/>
          <w:sz w:val="21"/>
          <w:szCs w:val="21"/>
        </w:rPr>
        <w:t>.</w:t>
      </w:r>
    </w:p>
    <w:p w:rsidRPr="003D5E39" w:rsidR="008923A8" w:rsidP="008923A8" w:rsidRDefault="008923A8" w14:paraId="15C94FEF" w14:textId="77777777">
      <w:pPr>
        <w:spacing w:after="0" w:line="276" w:lineRule="auto"/>
        <w:jc w:val="both"/>
        <w:rPr>
          <w:rFonts w:ascii="Century Gothic" w:hAnsi="Century Gothic" w:eastAsia="Arial" w:cs="Arial"/>
        </w:rPr>
      </w:pPr>
    </w:p>
    <w:p w:rsidRPr="003D5E39" w:rsidR="008923A8" w:rsidP="008923A8" w:rsidRDefault="008923A8" w14:paraId="670C3427" w14:textId="77777777">
      <w:pPr>
        <w:spacing w:line="276" w:lineRule="auto"/>
        <w:ind w:firstLine="709"/>
        <w:jc w:val="both"/>
        <w:rPr>
          <w:rFonts w:ascii="Arial" w:hAnsi="Arial" w:eastAsia="Arial" w:cs="Arial"/>
        </w:rPr>
      </w:pPr>
      <w:r w:rsidRPr="003D5E39">
        <w:rPr>
          <w:rFonts w:ascii="Arial" w:hAnsi="Arial" w:eastAsia="Arial" w:cs="Arial"/>
        </w:rPr>
        <w:t xml:space="preserve">De conformidad con el artículo 5 de la Ley 1882 de 2018, lo subsanable es la prueba de todas las circunstancias ocurridas antes del vencimiento del término para presentar las ofertas; eso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rsidRPr="003D5E39" w:rsidR="008923A8" w:rsidP="008923A8" w:rsidRDefault="008923A8" w14:paraId="5A399C13" w14:textId="77777777">
      <w:pPr>
        <w:spacing w:before="120" w:after="120" w:line="276" w:lineRule="auto"/>
        <w:ind w:firstLine="709"/>
        <w:jc w:val="both"/>
        <w:rPr>
          <w:rFonts w:ascii="Arial" w:hAnsi="Arial" w:eastAsia="Arial" w:cs="Arial"/>
        </w:rPr>
      </w:pPr>
      <w:r w:rsidRPr="003D5E39">
        <w:rPr>
          <w:rFonts w:ascii="Arial" w:hAnsi="Arial" w:eastAsia="Arial" w:cs="Arial"/>
        </w:rPr>
        <w:t xml:space="preserve">Un mejor entendimiento del significado de la expresión “circunstancias ocurridas con posterioridad al cierre del proceso” lleva necesariamente a distinguir entre la prueba de un hecho y el hecho mismo. En el caso de la subsanabilidad de las ofertas, una cosa es el requisito habilitante o el elemento de la propuesta y otra su prueba. Lo que prohíbe la norma es que se subsanen requisitos que no estaban cumplidos al momento de presentar la oferta, o en palabras de la ley, que se acrediten hechos que ocurrieron después del cierre del proceso. </w:t>
      </w:r>
    </w:p>
    <w:p w:rsidRPr="003D5E39" w:rsidR="008923A8" w:rsidP="008923A8" w:rsidRDefault="008923A8" w14:paraId="6F2571EC" w14:textId="77777777">
      <w:pPr>
        <w:spacing w:before="120" w:after="120" w:line="276" w:lineRule="auto"/>
        <w:ind w:firstLine="709"/>
        <w:jc w:val="both"/>
        <w:rPr>
          <w:rFonts w:ascii="Arial" w:hAnsi="Arial" w:eastAsia="Arial" w:cs="Arial"/>
        </w:rPr>
      </w:pPr>
      <w:r w:rsidRPr="003D5E39">
        <w:rPr>
          <w:rFonts w:ascii="Arial" w:hAnsi="Arial" w:eastAsia="Arial" w:cs="Arial"/>
        </w:rPr>
        <w:t xml:space="preserve">Por ejemplo: 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w:t>
      </w:r>
      <w:proofErr w:type="spellStart"/>
      <w:r w:rsidRPr="003D5E39">
        <w:rPr>
          <w:rFonts w:ascii="Arial" w:hAnsi="Arial" w:eastAsia="Arial" w:cs="Arial"/>
        </w:rPr>
        <w:t>ii</w:t>
      </w:r>
      <w:proofErr w:type="spellEnd"/>
      <w:r w:rsidRPr="003D5E39">
        <w:rPr>
          <w:rFonts w:ascii="Arial" w:hAnsi="Arial" w:eastAsia="Arial" w:cs="Arial"/>
        </w:rPr>
        <w:t>) si un oferente presentó la propuesta sin aportar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3D5E39">
        <w:rPr>
          <w:rFonts w:ascii="Arial" w:hAnsi="Arial" w:eastAsia="Arial" w:cs="Arial"/>
          <w:vertAlign w:val="superscript"/>
        </w:rPr>
        <w:footnoteReference w:id="17"/>
      </w:r>
      <w:r w:rsidRPr="003D5E39">
        <w:rPr>
          <w:rFonts w:ascii="Arial" w:hAnsi="Arial" w:eastAsia="Arial" w:cs="Arial"/>
        </w:rPr>
        <w:t xml:space="preserve">; </w:t>
      </w:r>
      <w:proofErr w:type="spellStart"/>
      <w:r w:rsidRPr="003D5E39">
        <w:rPr>
          <w:rFonts w:ascii="Arial" w:hAnsi="Arial" w:eastAsia="Arial" w:cs="Arial"/>
        </w:rPr>
        <w:t>iii</w:t>
      </w:r>
      <w:proofErr w:type="spellEnd"/>
      <w:r w:rsidRPr="003D5E39">
        <w:rPr>
          <w:rFonts w:ascii="Arial" w:hAnsi="Arial" w:eastAsia="Arial" w:cs="Arial"/>
        </w:rPr>
        <w:t xml:space="preserve">) si un oferente no anexó el certificado de existencia y representación legal, el documento aportado con posterioridad debe dar cuenta de que la sociedad existe desde antes del cierre </w:t>
      </w:r>
      <w:r w:rsidRPr="003D5E39">
        <w:rPr>
          <w:rFonts w:ascii="Arial" w:hAnsi="Arial" w:eastAsia="Arial" w:cs="Arial"/>
        </w:rPr>
        <w:t>del proceso</w:t>
      </w:r>
      <w:r w:rsidRPr="003D5E39">
        <w:rPr>
          <w:rFonts w:ascii="Arial" w:hAnsi="Arial" w:eastAsia="Arial" w:cs="Arial"/>
          <w:vertAlign w:val="superscript"/>
        </w:rPr>
        <w:footnoteReference w:id="18"/>
      </w:r>
      <w:r w:rsidRPr="003D5E39">
        <w:rPr>
          <w:rFonts w:ascii="Arial" w:hAnsi="Arial" w:eastAsia="Arial" w:cs="Arial"/>
        </w:rPr>
        <w:t xml:space="preserve">; </w:t>
      </w:r>
      <w:proofErr w:type="spellStart"/>
      <w:r w:rsidRPr="003D5E39">
        <w:rPr>
          <w:rFonts w:ascii="Arial" w:hAnsi="Arial" w:eastAsia="Arial" w:cs="Arial"/>
        </w:rPr>
        <w:t>iv</w:t>
      </w:r>
      <w:proofErr w:type="spellEnd"/>
      <w:r w:rsidRPr="003D5E39">
        <w:rPr>
          <w:rFonts w:ascii="Arial" w:hAnsi="Arial" w:eastAsia="Arial" w:cs="Arial"/>
        </w:rPr>
        <w:t xml:space="preserve">) si un oferente olvidó adjuntar un certificado que demuestra un título universitario, el documento, aunque tenga fecha posterior al cierre del proceso, debe acreditar que el título académico se obtuvo con anterioridad al cierre del proceso; v) si un oferente no aportó un certificado de experiencia, el documento que subsana –sin importar que tenga fecha posterior– debe demostrar que la experiencia que se pretende hacer valer se obtuvo antes de vencerse el término para presentar ofertas, y vi) si el oferente olvidó firmar la propuesta o presentar una copia de ella, puede subsanar sin que se entienda que acreditó una circunstancia ocurrida con posterioridad al cierre del proceso. </w:t>
      </w:r>
    </w:p>
    <w:p w:rsidRPr="003D5E39" w:rsidR="008923A8" w:rsidP="008923A8" w:rsidRDefault="008923A8" w14:paraId="0A904F97" w14:textId="77777777">
      <w:pPr>
        <w:spacing w:before="120" w:after="120" w:line="276" w:lineRule="auto"/>
        <w:ind w:firstLine="709"/>
        <w:jc w:val="both"/>
        <w:rPr>
          <w:rFonts w:ascii="Arial" w:hAnsi="Arial" w:eastAsia="Arial" w:cs="Arial"/>
        </w:rPr>
      </w:pPr>
      <w:r w:rsidRPr="003D5E39">
        <w:rPr>
          <w:rFonts w:ascii="Arial" w:hAnsi="Arial" w:eastAsia="Arial" w:cs="Arial"/>
        </w:rPr>
        <w:t xml:space="preserve">Lo anterior quiere decir que no es la prueba –usualmente un documento– lo que debe ser anterior al cierre del proceso, sino el hecho que ella acredita, es decir, ante la solicitud de la Administración de subsanar un requisito, el documento podría estar fechado con posterioridad al vencimiento del término para recibir propuestas, siempre y cuando el hecho que acredite haya ocurrido antes, esto es, que no sea una circunstancia ocurrida con posterioridad al cierre del proceso. Es por ello </w:t>
      </w:r>
      <w:proofErr w:type="gramStart"/>
      <w:r w:rsidRPr="003D5E39">
        <w:rPr>
          <w:rFonts w:ascii="Arial" w:hAnsi="Arial" w:eastAsia="Arial" w:cs="Arial"/>
        </w:rPr>
        <w:t>que</w:t>
      </w:r>
      <w:proofErr w:type="gramEnd"/>
      <w:r w:rsidRPr="003D5E39">
        <w:rPr>
          <w:rFonts w:ascii="Arial" w:hAnsi="Arial" w:eastAsia="Arial" w:cs="Arial"/>
        </w:rPr>
        <w:t xml:space="preserve">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3D5E39">
        <w:rPr>
          <w:rFonts w:ascii="Arial" w:hAnsi="Arial" w:eastAsia="Arial" w:cs="Arial"/>
          <w:vertAlign w:val="superscript"/>
        </w:rPr>
        <w:footnoteReference w:id="19"/>
      </w:r>
      <w:r w:rsidRPr="003D5E39">
        <w:rPr>
          <w:rFonts w:ascii="Arial" w:hAnsi="Arial" w:eastAsia="Arial" w:cs="Arial"/>
        </w:rPr>
        <w:t xml:space="preserve">. </w:t>
      </w:r>
    </w:p>
    <w:p w:rsidRPr="003D5E39" w:rsidR="008923A8" w:rsidP="008923A8" w:rsidRDefault="008923A8" w14:paraId="5D4A1A36" w14:textId="77777777">
      <w:pPr>
        <w:spacing w:before="120" w:after="120" w:line="276" w:lineRule="auto"/>
        <w:ind w:firstLine="709"/>
        <w:jc w:val="both"/>
        <w:rPr>
          <w:rFonts w:ascii="Arial" w:hAnsi="Arial" w:eastAsia="Arial" w:cs="Arial"/>
        </w:rPr>
      </w:pPr>
      <w:r w:rsidRPr="003D5E39">
        <w:rPr>
          <w:rFonts w:ascii="Arial" w:hAnsi="Arial" w:eastAsia="Arial" w:cs="Arial"/>
        </w:rPr>
        <w:t>En tal sentido, esta Subdirección, en concepto emitido en respuesta a la Consulta 4201912000007418 del 30 de octubre de 2019, analizó si era o no posible subsanar el RUP vencido, para lo cual precisó el alcance de la prohibición de permitir subsanar circunstancias ocurridas con posterioridad al cierre del procedimiento de selección. Asimismo, indicó que no es relevante que, al subsanar dichos documentos, su fecha de actualización sea posterior a la del cierre, sino que las circunstancias que acrediten hayan ocurrido antes.</w:t>
      </w:r>
    </w:p>
    <w:p w:rsidRPr="003D5E39" w:rsidR="008923A8" w:rsidP="008923A8" w:rsidRDefault="008923A8" w14:paraId="7EDC78F5" w14:textId="77777777">
      <w:pPr>
        <w:spacing w:before="120" w:after="120" w:line="276" w:lineRule="auto"/>
        <w:ind w:firstLine="709"/>
        <w:jc w:val="both"/>
        <w:rPr>
          <w:rFonts w:ascii="Arial" w:hAnsi="Arial" w:eastAsia="Arial" w:cs="Arial"/>
        </w:rPr>
      </w:pPr>
      <w:r w:rsidRPr="003D5E39">
        <w:rPr>
          <w:rFonts w:ascii="Arial" w:hAnsi="Arial" w:eastAsia="Arial" w:cs="Arial"/>
        </w:rPr>
        <w:t xml:space="preserve">Esta tesis fue reiterada por la Agencia Nacional de Contratación Pública – Colombia Compra Eficiente en el concepto con radicado 4201912000008198, en el que indicó que las certificaciones de experiencia que no otorgaran puntaje podían aportarse corregidos o incluso, en reemplazo de las que no cumplieran el requisito habilitante, siempre que en los documentos aportados en la etapa de subsanabilidad no se acreditara experiencia adquirida con posterioridad al cierre del procedimiento de selección. Por tanto, señaló que “[…] el oferente podrá acreditar su experiencia con certificaciones de contratos diferentes a los inicialmente aportados, siempre que acrediten la experiencia adquirida antes del cierre del proceso”, pero que “Si las certificaciones prueban que la experiencia del proponente se </w:t>
      </w:r>
      <w:r w:rsidRPr="003D5E39">
        <w:rPr>
          <w:rFonts w:ascii="Arial" w:hAnsi="Arial" w:eastAsia="Arial" w:cs="Arial"/>
        </w:rPr>
        <w:t xml:space="preserve">adquirió con posterioridad al cierre del proceso no se podrá aportar, porque esto implicaría una mejora, adición o complemento de la oferta”. </w:t>
      </w:r>
    </w:p>
    <w:p w:rsidRPr="003D5E39" w:rsidR="008923A8" w:rsidP="008923A8" w:rsidRDefault="008923A8" w14:paraId="6B194C0F" w14:textId="77777777">
      <w:pPr>
        <w:spacing w:before="120" w:after="120" w:line="276" w:lineRule="auto"/>
        <w:ind w:firstLine="709"/>
        <w:jc w:val="both"/>
        <w:rPr>
          <w:rFonts w:ascii="Arial" w:hAnsi="Arial" w:eastAsia="Arial" w:cs="Arial"/>
        </w:rPr>
      </w:pPr>
      <w:r w:rsidRPr="003D5E39">
        <w:rPr>
          <w:rFonts w:ascii="Arial" w:hAnsi="Arial" w:eastAsia="Arial" w:cs="Arial"/>
        </w:rPr>
        <w:t xml:space="preserve">Una reiteración de la postura de esta Subdirección, según la cual la subsanabilidad procede sobre todos aquellos requisitos que no otorguen puntaje, siempre que no se trate de entregar la garantía de seriedad de la oferta no aportada antes del cierre del procedimiento de selección, y bajo la condición de que no se acrediten hechos ocurridos con posterioridad a dicho momento, se encuentra en los conceptos: 2201913000008048 del 28 de octubre de 2019 –que indicó que no era posible, so pretexto de subsanar, modificar el porcentaje de participación en un consorcio o unión temporal, porque esto comportaba cambiar la oferta, acreditando circunstancias posteriores al cierre–; 2201913000008850 del 29 de noviembre de 2019 –en el que sostuvo que un proponente podría subsanar la experiencia, en tanto requisito habilitante, o sea, que no otorgara puntaje, aportando nuevas certificaciones, siempre que con ellas no se probara una experiencia que no se tenía antes del cierre–; 2201913000009373 del 17 de diciembre de 2019 –en el cual se expresó que la carta de conformación de un consorcio es un documento subsanable, bajo la condición de que el documento aportado permita constatar que el consorcio se conformó antes del vencimiento del término para la presentación de las propuestas–; 2201913000008049 del 28 de octubre de 2019 –en el que se reiteró que no es posible variar el porcentaje de participación en una unión temporal, porque implicaría una modificación de la oferta y la acreditación de un aspecto que es posterior al cierre del procedimiento de selección–. </w:t>
      </w:r>
    </w:p>
    <w:p w:rsidRPr="003D5E39" w:rsidR="008923A8" w:rsidP="008923A8" w:rsidRDefault="008923A8" w14:paraId="4487BB6F" w14:textId="77777777">
      <w:pPr>
        <w:spacing w:before="120" w:after="120" w:line="276" w:lineRule="auto"/>
        <w:ind w:firstLine="709"/>
        <w:jc w:val="both"/>
        <w:rPr>
          <w:rFonts w:ascii="Arial" w:hAnsi="Arial" w:eastAsia="Arial" w:cs="Arial"/>
        </w:rPr>
      </w:pPr>
      <w:r w:rsidRPr="003D5E39">
        <w:rPr>
          <w:rFonts w:ascii="Arial" w:hAnsi="Arial" w:eastAsia="Arial" w:cs="Arial"/>
        </w:rPr>
        <w:t xml:space="preserve">Visto lo anterior, una vez verificada la ausencia de requisitos y/o documentos de la oferta, para saber si se puede subsanar, la Administración se debe preguntar, en primer lugar, si lo que hace falta es un documento o información 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con anterioridad al cierre del proceso. </w:t>
      </w:r>
    </w:p>
    <w:p w:rsidRPr="003D5E39" w:rsidR="008923A8" w:rsidP="008923A8" w:rsidRDefault="008923A8" w14:paraId="262E5F07" w14:textId="77777777">
      <w:pPr>
        <w:spacing w:after="0" w:line="276" w:lineRule="auto"/>
        <w:ind w:firstLine="708"/>
        <w:jc w:val="both"/>
        <w:rPr>
          <w:rFonts w:ascii="Arial" w:hAnsi="Arial" w:eastAsia="Arial" w:cs="Arial"/>
        </w:rPr>
      </w:pPr>
      <w:r w:rsidRPr="003D5E39">
        <w:rPr>
          <w:rFonts w:ascii="Arial" w:hAnsi="Arial" w:eastAsia="Arial" w:cs="Arial"/>
        </w:rPr>
        <w:t>Finalmente, el parágrafo 3 del artículo 5 de la Ley 1882 de 2018 determinó, de manera expresa, que “la no entrega de la garantía de seriedad junto con la propuesta no será subsanable y será causal de rechazo de la misma”, dejando claro que se trata de un documento de obligatoria presentación junto con la propuesta y que materializa los principios de seriedad e irrevocabilidad de la oferta.</w:t>
      </w:r>
    </w:p>
    <w:p w:rsidRPr="003D5E39" w:rsidR="008923A8" w:rsidP="008923A8" w:rsidRDefault="008923A8" w14:paraId="5C0050E1" w14:textId="77777777">
      <w:pPr>
        <w:spacing w:after="0" w:line="276" w:lineRule="auto"/>
        <w:jc w:val="both"/>
        <w:rPr>
          <w:rFonts w:ascii="Arial" w:hAnsi="Arial" w:eastAsia="Cambria" w:cs="Arial"/>
          <w:b/>
          <w:szCs w:val="20"/>
          <w:lang w:val="es-ES"/>
        </w:rPr>
      </w:pPr>
    </w:p>
    <w:p w:rsidRPr="003D5E39" w:rsidR="008923A8" w:rsidP="008923A8" w:rsidRDefault="008923A8" w14:paraId="132BB091" w14:textId="77777777">
      <w:pPr>
        <w:spacing w:after="0" w:line="276" w:lineRule="auto"/>
        <w:contextualSpacing/>
        <w:jc w:val="both"/>
        <w:rPr>
          <w:rFonts w:ascii="Arial" w:hAnsi="Arial" w:eastAsia="Calibri" w:cs="Arial"/>
          <w:b/>
        </w:rPr>
      </w:pPr>
      <w:r w:rsidRPr="003D5E39">
        <w:rPr>
          <w:rFonts w:ascii="Arial" w:hAnsi="Arial" w:eastAsia="Calibri" w:cs="Arial"/>
          <w:b/>
        </w:rPr>
        <w:t>3. Respuesta</w:t>
      </w:r>
    </w:p>
    <w:p w:rsidRPr="003D5E39" w:rsidR="008923A8" w:rsidP="008923A8" w:rsidRDefault="008923A8" w14:paraId="0E216293" w14:textId="77777777">
      <w:pPr>
        <w:spacing w:after="0" w:line="276" w:lineRule="auto"/>
        <w:contextualSpacing/>
        <w:jc w:val="both"/>
        <w:rPr>
          <w:rFonts w:ascii="Arial" w:hAnsi="Arial" w:eastAsia="Calibri" w:cs="Arial"/>
        </w:rPr>
      </w:pPr>
      <w:bookmarkStart w:name="_Hlk57650395" w:id="11"/>
    </w:p>
    <w:p w:rsidRPr="003D5E39" w:rsidR="008923A8" w:rsidP="008923A8" w:rsidRDefault="008923A8" w14:paraId="31CF6836" w14:textId="77777777">
      <w:pPr>
        <w:spacing w:after="0" w:line="240" w:lineRule="auto"/>
        <w:ind w:left="709" w:right="709"/>
        <w:contextualSpacing/>
        <w:jc w:val="both"/>
        <w:rPr>
          <w:rFonts w:ascii="Arial" w:hAnsi="Arial" w:eastAsia="Calibri" w:cs="Arial"/>
          <w:sz w:val="21"/>
          <w:szCs w:val="21"/>
        </w:rPr>
      </w:pPr>
      <w:r w:rsidRPr="003D5E39">
        <w:rPr>
          <w:rFonts w:ascii="Arial" w:hAnsi="Arial" w:eastAsia="Calibri" w:cs="Arial"/>
          <w:sz w:val="21"/>
          <w:szCs w:val="21"/>
        </w:rPr>
        <w:t>“[…] si un proponente debió subsanar el certificado de vigencia de los contadores y presenta una vigencia expedida después de la fecha del cierre del proceso ¿es válido?, ejemplo, la fecha de cierre del proceso se estableció para el día 24 de mayo de 2023, el proponente debió subsanar la vigencia y presenta una expedida el día 25 mayo de 2023, en estas circunstancias ¿la subsanación es válida?, ¿por qué si, o por qué no? [sic]</w:t>
      </w:r>
    </w:p>
    <w:p w:rsidRPr="003D5E39" w:rsidR="008923A8" w:rsidP="008923A8" w:rsidRDefault="008923A8" w14:paraId="7CDDAC0A" w14:textId="77777777">
      <w:pPr>
        <w:spacing w:after="0" w:line="240" w:lineRule="auto"/>
        <w:ind w:left="709" w:right="709"/>
        <w:contextualSpacing/>
        <w:jc w:val="both"/>
        <w:rPr>
          <w:rFonts w:ascii="Arial" w:hAnsi="Arial" w:eastAsia="Calibri" w:cs="Arial"/>
          <w:sz w:val="21"/>
          <w:szCs w:val="21"/>
        </w:rPr>
      </w:pPr>
    </w:p>
    <w:p w:rsidRPr="003D5E39" w:rsidR="008923A8" w:rsidP="008923A8" w:rsidRDefault="008923A8" w14:paraId="5F1E0653" w14:textId="77777777">
      <w:pPr>
        <w:spacing w:after="0" w:line="240" w:lineRule="auto"/>
        <w:ind w:left="709" w:right="709"/>
        <w:contextualSpacing/>
        <w:jc w:val="both"/>
        <w:rPr>
          <w:rFonts w:ascii="Arial" w:hAnsi="Arial" w:eastAsia="Calibri" w:cs="Arial"/>
          <w:sz w:val="21"/>
          <w:szCs w:val="21"/>
        </w:rPr>
      </w:pPr>
      <w:r w:rsidRPr="003D5E39">
        <w:rPr>
          <w:rFonts w:ascii="Arial" w:hAnsi="Arial" w:eastAsia="Calibri" w:cs="Arial"/>
          <w:sz w:val="21"/>
          <w:szCs w:val="21"/>
        </w:rPr>
        <w:t xml:space="preserve">Se solicita la aclaración debido a que se presenta en un proceso en el cual la entidad manifiesta que las vigencias de los contadores expedidas después del cierre del proceso son válidas, puesto que en ellas se evidencia que antes de la fecha del cierre del proceso los contadores no presentaban alguna sanción o inhabilidad basándose en que en las vigencias contempla; </w:t>
      </w:r>
      <w:r w:rsidRPr="003D5E39">
        <w:rPr>
          <w:rFonts w:ascii="Arial" w:hAnsi="Arial" w:eastAsia="Calibri" w:cs="Arial"/>
          <w:b/>
          <w:bCs/>
          <w:i/>
          <w:iCs/>
          <w:sz w:val="21"/>
          <w:szCs w:val="21"/>
        </w:rPr>
        <w:t xml:space="preserve">“este certificado contendrá las providencias ejecutoriadas que se hayan expedido dentro de los cinco años anteriores a su expedición y, por tanto, se verificará si para la época en la cual el contador suscribió el estado de resultados integral tenía alguna sanción o inhabilidad” </w:t>
      </w:r>
      <w:r w:rsidRPr="003D5E39">
        <w:rPr>
          <w:rFonts w:ascii="Arial" w:hAnsi="Arial" w:eastAsia="Calibri" w:cs="Arial"/>
          <w:sz w:val="21"/>
          <w:szCs w:val="21"/>
        </w:rPr>
        <w:t>[Énfasis propio]</w:t>
      </w:r>
    </w:p>
    <w:p w:rsidRPr="003D5E39" w:rsidR="008923A8" w:rsidP="008923A8" w:rsidRDefault="008923A8" w14:paraId="1DE58063" w14:textId="77777777">
      <w:pPr>
        <w:shd w:val="clear" w:color="auto" w:fill="FFFFFF"/>
        <w:spacing w:after="0" w:line="276" w:lineRule="auto"/>
        <w:jc w:val="both"/>
        <w:rPr>
          <w:rFonts w:ascii="Arial" w:hAnsi="Arial" w:cs="Arial"/>
        </w:rPr>
      </w:pPr>
    </w:p>
    <w:p w:rsidRPr="003D5E39" w:rsidR="008923A8" w:rsidP="008923A8" w:rsidRDefault="008923A8" w14:paraId="087B0E77" w14:textId="77777777">
      <w:pPr>
        <w:shd w:val="clear" w:color="auto" w:fill="FFFFFF"/>
        <w:spacing w:after="0" w:line="276" w:lineRule="auto"/>
        <w:jc w:val="both"/>
        <w:rPr>
          <w:rFonts w:ascii="Arial" w:hAnsi="Arial" w:cs="Arial"/>
          <w:shd w:val="clear" w:color="auto" w:fill="FFFFFF"/>
        </w:rPr>
      </w:pPr>
      <w:r w:rsidRPr="003D5E39">
        <w:rPr>
          <w:rFonts w:ascii="Arial" w:hAnsi="Arial" w:cs="Arial"/>
          <w:shd w:val="clear" w:color="auto" w:fill="FFFFFF"/>
          <w:lang w:val="es-ES"/>
        </w:rPr>
        <w:t>De manera preliminar es pertinente aclarar, que la Agencia Nacional de Contratación Pública – Colombia Compra Eficiente resuelve consultas sobre asuntos de su competencia, esto es, sobre las temáticas de la contratación y compras públicas relacionadas con la aplicación de normas de carácter general. Por ello, esta competencia no puede extenderse a la resolución de casos particulares, brindar asesorías o validar las actuaciones de las Entidades Estatales, toda vez que ello desborda las atribuciones asignadas a esta entidad por el legislador extraordinario.</w:t>
      </w:r>
      <w:r w:rsidRPr="003D5E39">
        <w:rPr>
          <w:rFonts w:ascii="Arial" w:hAnsi="Arial" w:cs="Arial"/>
          <w:shd w:val="clear" w:color="auto" w:fill="FFFFFF"/>
        </w:rPr>
        <w:t> </w:t>
      </w:r>
    </w:p>
    <w:p w:rsidRPr="003D5E39" w:rsidR="008923A8" w:rsidP="008923A8" w:rsidRDefault="008923A8" w14:paraId="73E69D0E" w14:textId="77777777">
      <w:pPr>
        <w:spacing w:before="120" w:after="0" w:line="276" w:lineRule="auto"/>
        <w:jc w:val="both"/>
        <w:rPr>
          <w:rFonts w:ascii="Arial" w:hAnsi="Arial" w:eastAsia="Calibri" w:cs="Arial"/>
          <w:lang w:val="es-ES" w:eastAsia="es-MX"/>
        </w:rPr>
      </w:pPr>
      <w:r w:rsidRPr="003D5E39">
        <w:rPr>
          <w:rFonts w:ascii="Arial" w:hAnsi="Arial" w:eastAsia="Calibri" w:cs="Arial"/>
          <w:lang w:val="es-ES" w:eastAsia="es-MX"/>
        </w:rPr>
        <w:tab/>
      </w:r>
      <w:r w:rsidRPr="003D5E39">
        <w:rPr>
          <w:rFonts w:ascii="Arial" w:hAnsi="Arial" w:eastAsia="Calibri" w:cs="Arial"/>
          <w:lang w:val="es-ES" w:eastAsia="es-MX"/>
        </w:rPr>
        <w:t xml:space="preserve">Sin perjuicio de lo anterior, 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rsidRPr="003D5E39" w:rsidR="008923A8" w:rsidP="008923A8" w:rsidRDefault="008923A8" w14:paraId="71241A45" w14:textId="77777777">
      <w:pPr>
        <w:spacing w:before="120" w:after="0" w:line="276" w:lineRule="auto"/>
        <w:jc w:val="both"/>
        <w:rPr>
          <w:rFonts w:ascii="Arial" w:hAnsi="Arial" w:eastAsia="Calibri" w:cs="Arial"/>
          <w:lang w:val="es-ES" w:eastAsia="es-MX"/>
        </w:rPr>
      </w:pPr>
      <w:r w:rsidRPr="003D5E39">
        <w:rPr>
          <w:rFonts w:ascii="Arial" w:hAnsi="Arial" w:eastAsia="Calibri" w:cs="Arial"/>
          <w:lang w:val="es-ES" w:eastAsia="es-MX"/>
        </w:rPr>
        <w:t>Un mejor entendimiento del significado de la expresión “circunstancias ocurridas con posterioridad al cierre del proceso” implica distinguir entre la prueba de un hecho y el hecho mismo. En el caso de la subsanabilidad de las ofertas, una cosa es el requisito habilitante o el elemento de la propuesta y otra su prueba. Lo que prohíbe la norma es que se subsanen requisitos que no estaban materialmente cumplidos al momento de presentación de la oferta o, en palabras de la ley, que se acrediten hechos que ocurrieron después del cierre del proceso.</w:t>
      </w:r>
    </w:p>
    <w:p w:rsidRPr="003D5E39" w:rsidR="008923A8" w:rsidP="008923A8" w:rsidRDefault="008923A8" w14:paraId="1110B065" w14:textId="77777777">
      <w:pPr>
        <w:spacing w:before="120" w:after="0" w:line="276" w:lineRule="auto"/>
        <w:ind w:firstLine="708"/>
        <w:jc w:val="both"/>
        <w:rPr>
          <w:rFonts w:ascii="Arial" w:hAnsi="Arial" w:eastAsia="Calibri" w:cs="Arial"/>
          <w:lang w:val="es-ES" w:eastAsia="es-MX"/>
        </w:rPr>
      </w:pPr>
      <w:r w:rsidRPr="003D5E39">
        <w:rPr>
          <w:rFonts w:ascii="Arial" w:hAnsi="Arial" w:eastAsia="Calibri" w:cs="Arial"/>
          <w:lang w:val="es-ES" w:eastAsia="es-MX"/>
        </w:rPr>
        <w:t xml:space="preserve">Lo anterior quiere decir que no es la prueba –usualmente un documento– lo que debe ser anterior al cierre del proceso, sino el hecho que ella acredita, es decir, ante la solicitud de la Administración de subsanar determinado requisito, el documento podría estar </w:t>
      </w:r>
      <w:r w:rsidRPr="003D5E39">
        <w:rPr>
          <w:rFonts w:ascii="Arial" w:hAnsi="Arial" w:eastAsia="Calibri" w:cs="Arial"/>
          <w:lang w:val="es-ES" w:eastAsia="es-MX"/>
        </w:rPr>
        <w:t xml:space="preserve">fechado con posterioridad al vencimiento del término para recibir propuestas, siempre y cuando el hecho que acredite haya ocurrido antes, esto es, que no sea una circunstancia ocurrida con posterioridad al cierre del proceso. Es por ello </w:t>
      </w:r>
      <w:proofErr w:type="gramStart"/>
      <w:r w:rsidRPr="003D5E39">
        <w:rPr>
          <w:rFonts w:ascii="Arial" w:hAnsi="Arial" w:eastAsia="Calibri" w:cs="Arial"/>
          <w:lang w:val="es-ES" w:eastAsia="es-MX"/>
        </w:rPr>
        <w:t>que</w:t>
      </w:r>
      <w:proofErr w:type="gramEnd"/>
      <w:r w:rsidRPr="003D5E39">
        <w:rPr>
          <w:rFonts w:ascii="Arial" w:hAnsi="Arial" w:eastAsia="Calibri" w:cs="Arial"/>
          <w:lang w:val="es-ES" w:eastAsia="es-MX"/>
        </w:rPr>
        <w:t xml:space="preserve">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p>
    <w:p w:rsidRPr="003D5E39" w:rsidR="008923A8" w:rsidP="008923A8" w:rsidRDefault="008923A8" w14:paraId="484BD8C0" w14:textId="77777777">
      <w:pPr>
        <w:spacing w:after="0" w:line="276" w:lineRule="auto"/>
        <w:ind w:firstLine="709"/>
        <w:jc w:val="both"/>
        <w:rPr>
          <w:rFonts w:ascii="Arial" w:hAnsi="Arial" w:eastAsia="Calibri" w:cs="Arial"/>
          <w:lang w:val="es-ES" w:eastAsia="es-MX"/>
        </w:rPr>
      </w:pPr>
    </w:p>
    <w:p w:rsidRPr="003D5E39" w:rsidR="008923A8" w:rsidP="008923A8" w:rsidRDefault="008923A8" w14:paraId="20C71139" w14:textId="77777777">
      <w:pPr>
        <w:jc w:val="both"/>
        <w:rPr>
          <w:rFonts w:ascii="Arial" w:hAnsi="Arial" w:eastAsia="Calibri" w:cs="Arial"/>
          <w:lang w:val="es-ES" w:eastAsia="es-MX"/>
        </w:rPr>
      </w:pPr>
      <w:r w:rsidRPr="003D5E39">
        <w:rPr>
          <w:rFonts w:ascii="Arial" w:hAnsi="Arial" w:eastAsia="Calibri" w:cs="Arial"/>
          <w:lang w:val="es-ES" w:eastAsia="es-MX"/>
        </w:rPr>
        <w:tab/>
      </w:r>
      <w:r w:rsidRPr="003D5E39">
        <w:rPr>
          <w:rFonts w:ascii="Arial" w:hAnsi="Arial" w:eastAsia="Calibri" w:cs="Arial"/>
          <w:lang w:val="es-ES" w:eastAsia="es-MX"/>
        </w:rPr>
        <w:t xml:space="preserve">Finalmente, para los efectos se aclara </w:t>
      </w:r>
      <w:proofErr w:type="gramStart"/>
      <w:r w:rsidRPr="003D5E39">
        <w:rPr>
          <w:rFonts w:ascii="Arial" w:hAnsi="Arial" w:eastAsia="Calibri" w:cs="Arial"/>
          <w:lang w:val="es-ES" w:eastAsia="es-MX"/>
        </w:rPr>
        <w:t>que</w:t>
      </w:r>
      <w:proofErr w:type="gramEnd"/>
      <w:r w:rsidRPr="003D5E39">
        <w:rPr>
          <w:rFonts w:ascii="Arial" w:hAnsi="Arial" w:eastAsia="Calibri" w:cs="Arial"/>
          <w:lang w:val="es-ES" w:eastAsia="es-MX"/>
        </w:rPr>
        <w:t xml:space="preserve"> dentro del marco general trazado en el presente oficio, corresponde a cada entidad pública, en ejercicio de su competencia, determinar si es procedente o no la subsanación de un documento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   </w:t>
      </w:r>
    </w:p>
    <w:p w:rsidRPr="003D5E39" w:rsidR="008923A8" w:rsidP="008923A8" w:rsidRDefault="008923A8" w14:paraId="0FEC7886" w14:textId="77777777">
      <w:pPr>
        <w:spacing w:before="120" w:after="0" w:line="276" w:lineRule="auto"/>
        <w:jc w:val="both"/>
        <w:rPr>
          <w:rFonts w:ascii="Arial" w:hAnsi="Arial" w:eastAsia="Calibri" w:cs="Arial"/>
          <w:lang w:val="es-ES" w:eastAsia="es-MX"/>
        </w:rPr>
      </w:pPr>
    </w:p>
    <w:p w:rsidRPr="003D5E39" w:rsidR="008923A8" w:rsidP="008923A8" w:rsidRDefault="008923A8" w14:paraId="7DD864B9" w14:textId="77777777">
      <w:pPr>
        <w:spacing w:before="120" w:after="0" w:line="276" w:lineRule="auto"/>
        <w:jc w:val="both"/>
        <w:rPr>
          <w:rFonts w:ascii="Arial" w:hAnsi="Arial" w:eastAsia="Times New Roman" w:cs="Arial"/>
          <w:lang w:eastAsia="es-ES_tradnl"/>
        </w:rPr>
      </w:pPr>
      <w:r w:rsidRPr="003D5E39">
        <w:rPr>
          <w:rFonts w:ascii="Arial" w:hAnsi="Arial" w:eastAsia="Calibri" w:cs="Arial"/>
        </w:rPr>
        <w:t>Este concepto tiene el alcance previsto en el artículo 28 del Código de Procedimiento Administrativo y de lo Contencioso Administrativo.</w:t>
      </w:r>
    </w:p>
    <w:p w:rsidRPr="003D5E39" w:rsidR="008923A8" w:rsidP="008923A8" w:rsidRDefault="008923A8" w14:paraId="719D0850" w14:textId="77777777">
      <w:pPr>
        <w:spacing w:after="200" w:line="276" w:lineRule="auto"/>
        <w:jc w:val="both"/>
        <w:rPr>
          <w:rFonts w:ascii="Arial" w:hAnsi="Arial" w:eastAsia="Times New Roman" w:cs="Arial"/>
          <w:lang w:eastAsia="es-CO"/>
        </w:rPr>
      </w:pPr>
      <w:r w:rsidRPr="003D5E39">
        <w:rPr>
          <w:rFonts w:ascii="Arial" w:hAnsi="Arial" w:eastAsia="Times New Roman" w:cs="Arial"/>
          <w:lang w:eastAsia="es-CO"/>
        </w:rPr>
        <w:t>Atentamente,</w:t>
      </w:r>
    </w:p>
    <w:p w:rsidRPr="003D5E39" w:rsidR="008923A8" w:rsidP="008923A8" w:rsidRDefault="006951BA" w14:paraId="3054CFB0" w14:textId="7652238E">
      <w:pPr>
        <w:spacing w:after="200" w:line="276" w:lineRule="auto"/>
        <w:jc w:val="center"/>
        <w:rPr>
          <w:rFonts w:ascii="Arial" w:hAnsi="Arial" w:eastAsia="Calibri" w:cs="Arial"/>
          <w:b/>
          <w:bCs/>
          <w:sz w:val="20"/>
          <w:szCs w:val="20"/>
          <w:lang w:val="es-MX"/>
        </w:rPr>
      </w:pPr>
      <w:bookmarkStart w:name="_Hlk130981267" w:id="12"/>
      <w:bookmarkEnd w:id="0"/>
      <w:bookmarkEnd w:id="11"/>
      <w:r>
        <w:rPr>
          <w:rFonts w:ascii="Calibri" w:hAnsi="Calibri" w:cs="Calibri"/>
          <w:noProof/>
          <w:shd w:val="clear" w:color="auto" w:fill="FFFFFF"/>
        </w:rPr>
        <w:drawing>
          <wp:inline distT="0" distB="0" distL="0" distR="0" wp14:anchorId="698ADBAA" wp14:editId="252ACEF4">
            <wp:extent cx="3157855" cy="1212215"/>
            <wp:effectExtent l="0" t="0" r="4445" b="6985"/>
            <wp:docPr id="214334662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7855" cy="1212215"/>
                    </a:xfrm>
                    <a:prstGeom prst="rect">
                      <a:avLst/>
                    </a:prstGeom>
                    <a:noFill/>
                    <a:ln>
                      <a:noFill/>
                    </a:ln>
                  </pic:spPr>
                </pic:pic>
              </a:graphicData>
            </a:graphic>
          </wp:inline>
        </w:drawing>
      </w:r>
      <w:r>
        <w:rPr>
          <w:rFonts w:ascii="Calibri" w:hAnsi="Calibri" w:cs="Calibri"/>
          <w:color w:val="000000"/>
          <w:shd w:val="clear" w:color="auto" w:fill="FFFFFF"/>
          <w:lang w:val="es-MX"/>
        </w:rPr>
        <w:br/>
      </w:r>
      <w:r w:rsidRPr="003D5E39" w:rsidR="008923A8">
        <w:rPr>
          <w:rFonts w:ascii="Calibri" w:hAnsi="Calibri" w:cs="Calibri"/>
          <w:shd w:val="clear" w:color="auto" w:fill="FFFFFF"/>
        </w:rPr>
        <w:br/>
      </w:r>
    </w:p>
    <w:tbl>
      <w:tblPr>
        <w:tblStyle w:val="Tablaconcuadrcula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55"/>
        <w:gridCol w:w="4957"/>
      </w:tblGrid>
      <w:tr w:rsidRPr="003D5E39" w:rsidR="003D5E39" w:rsidTr="00AF04F7" w14:paraId="76BBDD24" w14:textId="77777777">
        <w:trPr>
          <w:trHeight w:val="315"/>
        </w:trPr>
        <w:tc>
          <w:tcPr>
            <w:tcW w:w="855" w:type="dxa"/>
            <w:vAlign w:val="center"/>
            <w:hideMark/>
          </w:tcPr>
          <w:p w:rsidRPr="003D5E39" w:rsidR="008923A8" w:rsidP="00AF04F7" w:rsidRDefault="008923A8" w14:paraId="40B058B2" w14:textId="77777777">
            <w:pPr>
              <w:rPr>
                <w:rFonts w:ascii="Arial" w:hAnsi="Arial" w:eastAsia="Times New Roman" w:cs="Arial"/>
                <w:sz w:val="16"/>
                <w:szCs w:val="16"/>
                <w:lang w:eastAsia="es-ES"/>
              </w:rPr>
            </w:pPr>
            <w:r w:rsidRPr="003D5E39">
              <w:rPr>
                <w:rFonts w:ascii="Arial" w:hAnsi="Arial" w:eastAsia="Times New Roman" w:cs="Arial"/>
                <w:sz w:val="16"/>
                <w:szCs w:val="16"/>
                <w:lang w:eastAsia="es-ES"/>
              </w:rPr>
              <w:t>Elaboró:</w:t>
            </w:r>
          </w:p>
        </w:tc>
        <w:tc>
          <w:tcPr>
            <w:tcW w:w="4957" w:type="dxa"/>
            <w:tcBorders>
              <w:top w:val="nil"/>
              <w:left w:val="nil"/>
              <w:bottom w:val="dotted" w:color="7F7F7F" w:sz="4" w:space="0"/>
              <w:right w:val="nil"/>
            </w:tcBorders>
            <w:vAlign w:val="center"/>
            <w:hideMark/>
          </w:tcPr>
          <w:p w:rsidRPr="003D5E39" w:rsidR="008923A8" w:rsidP="00AF04F7" w:rsidRDefault="008923A8" w14:paraId="484782A0" w14:textId="77777777">
            <w:pPr>
              <w:rPr>
                <w:rFonts w:ascii="Arial" w:hAnsi="Arial" w:eastAsia="Times New Roman" w:cs="Arial"/>
                <w:sz w:val="16"/>
                <w:szCs w:val="16"/>
                <w:lang w:eastAsia="es-ES"/>
              </w:rPr>
            </w:pPr>
            <w:r w:rsidRPr="003D5E39">
              <w:rPr>
                <w:rFonts w:ascii="Arial" w:hAnsi="Arial" w:eastAsia="Times New Roman" w:cs="Arial"/>
                <w:sz w:val="16"/>
                <w:szCs w:val="16"/>
                <w:lang w:eastAsia="es-ES"/>
              </w:rPr>
              <w:t>Nasly Yeana Mosquera Rivas</w:t>
            </w:r>
          </w:p>
          <w:p w:rsidRPr="003D5E39" w:rsidR="008923A8" w:rsidP="00AF04F7" w:rsidRDefault="008923A8" w14:paraId="7A6B056B" w14:textId="77777777">
            <w:pPr>
              <w:rPr>
                <w:rFonts w:ascii="Arial" w:hAnsi="Arial" w:eastAsia="Times New Roman" w:cs="Arial"/>
                <w:sz w:val="16"/>
                <w:szCs w:val="16"/>
                <w:lang w:eastAsia="es-ES"/>
              </w:rPr>
            </w:pPr>
            <w:r w:rsidRPr="003D5E39">
              <w:rPr>
                <w:rFonts w:ascii="Arial" w:hAnsi="Arial" w:eastAsia="Times New Roman" w:cs="Arial"/>
                <w:sz w:val="16"/>
                <w:szCs w:val="16"/>
                <w:lang w:eastAsia="es-ES"/>
              </w:rPr>
              <w:t>Analista T2–06 de la Subdirección de Gestión Contractual</w:t>
            </w:r>
          </w:p>
        </w:tc>
      </w:tr>
      <w:tr w:rsidRPr="003D5E39" w:rsidR="003D5E39" w:rsidTr="00AF04F7" w14:paraId="3657E561" w14:textId="77777777">
        <w:trPr>
          <w:trHeight w:val="330"/>
        </w:trPr>
        <w:tc>
          <w:tcPr>
            <w:tcW w:w="855" w:type="dxa"/>
            <w:vAlign w:val="center"/>
            <w:hideMark/>
          </w:tcPr>
          <w:p w:rsidRPr="003D5E39" w:rsidR="008923A8" w:rsidP="00AF04F7" w:rsidRDefault="008923A8" w14:paraId="201FB746" w14:textId="77777777">
            <w:pPr>
              <w:rPr>
                <w:rFonts w:ascii="Arial" w:hAnsi="Arial" w:eastAsia="Times New Roman" w:cs="Arial"/>
                <w:sz w:val="16"/>
                <w:szCs w:val="16"/>
                <w:lang w:eastAsia="es-ES"/>
              </w:rPr>
            </w:pPr>
            <w:r w:rsidRPr="003D5E39">
              <w:rPr>
                <w:rFonts w:ascii="Arial" w:hAnsi="Arial" w:eastAsia="Times New Roman" w:cs="Arial"/>
                <w:sz w:val="16"/>
                <w:szCs w:val="16"/>
                <w:lang w:eastAsia="es-ES"/>
              </w:rPr>
              <w:t>Revisó:</w:t>
            </w:r>
          </w:p>
        </w:tc>
        <w:tc>
          <w:tcPr>
            <w:tcW w:w="4957" w:type="dxa"/>
            <w:tcBorders>
              <w:top w:val="dotted" w:color="7F7F7F" w:sz="4" w:space="0"/>
              <w:left w:val="nil"/>
              <w:bottom w:val="dotted" w:color="7F7F7F" w:sz="4" w:space="0"/>
              <w:right w:val="nil"/>
            </w:tcBorders>
            <w:vAlign w:val="center"/>
            <w:hideMark/>
          </w:tcPr>
          <w:p w:rsidRPr="003D5E39" w:rsidR="008923A8" w:rsidP="00AF04F7" w:rsidRDefault="008923A8" w14:paraId="7BC6C261" w14:textId="77777777">
            <w:pPr>
              <w:rPr>
                <w:rFonts w:ascii="Arial" w:hAnsi="Arial" w:eastAsia="Times New Roman" w:cs="Arial"/>
                <w:sz w:val="16"/>
                <w:szCs w:val="16"/>
                <w:lang w:eastAsia="es-ES"/>
              </w:rPr>
            </w:pPr>
            <w:r w:rsidRPr="003D5E39">
              <w:rPr>
                <w:rFonts w:ascii="Arial" w:hAnsi="Arial" w:eastAsia="Times New Roman" w:cs="Arial"/>
                <w:sz w:val="16"/>
                <w:szCs w:val="16"/>
                <w:lang w:eastAsia="es-ES"/>
              </w:rPr>
              <w:t>Diana Carolina Armenta Celis</w:t>
            </w:r>
          </w:p>
          <w:p w:rsidRPr="003D5E39" w:rsidR="008923A8" w:rsidP="00AF04F7" w:rsidRDefault="008923A8" w14:paraId="131C0E29" w14:textId="77777777">
            <w:pPr>
              <w:rPr>
                <w:rFonts w:ascii="Arial" w:hAnsi="Arial" w:eastAsia="Times New Roman" w:cs="Arial"/>
                <w:sz w:val="16"/>
                <w:szCs w:val="16"/>
                <w:lang w:eastAsia="es-ES"/>
              </w:rPr>
            </w:pPr>
            <w:r w:rsidRPr="003D5E39">
              <w:rPr>
                <w:rFonts w:ascii="Arial" w:hAnsi="Arial" w:eastAsia="Times New Roman" w:cs="Arial"/>
                <w:sz w:val="16"/>
                <w:szCs w:val="16"/>
                <w:lang w:eastAsia="es-ES"/>
              </w:rPr>
              <w:t>Contratista de la Subdirección de Gestión Contractual</w:t>
            </w:r>
          </w:p>
        </w:tc>
      </w:tr>
      <w:tr w:rsidRPr="003D5E39" w:rsidR="008923A8" w:rsidTr="00AF04F7" w14:paraId="27012EFB" w14:textId="77777777">
        <w:trPr>
          <w:trHeight w:val="300"/>
        </w:trPr>
        <w:tc>
          <w:tcPr>
            <w:tcW w:w="855" w:type="dxa"/>
            <w:vAlign w:val="center"/>
            <w:hideMark/>
          </w:tcPr>
          <w:p w:rsidRPr="003D5E39" w:rsidR="008923A8" w:rsidP="00AF04F7" w:rsidRDefault="008923A8" w14:paraId="650793B3" w14:textId="77777777">
            <w:pPr>
              <w:rPr>
                <w:rFonts w:ascii="Arial" w:hAnsi="Arial" w:eastAsia="Times New Roman" w:cs="Arial"/>
                <w:sz w:val="16"/>
                <w:szCs w:val="16"/>
                <w:lang w:eastAsia="es-ES"/>
              </w:rPr>
            </w:pPr>
            <w:r w:rsidRPr="003D5E39">
              <w:rPr>
                <w:rFonts w:ascii="Arial" w:hAnsi="Arial" w:eastAsia="Times New Roman" w:cs="Arial"/>
                <w:sz w:val="16"/>
                <w:szCs w:val="16"/>
                <w:lang w:eastAsia="es-ES"/>
              </w:rPr>
              <w:t>Aprobó:</w:t>
            </w:r>
          </w:p>
        </w:tc>
        <w:tc>
          <w:tcPr>
            <w:tcW w:w="4957" w:type="dxa"/>
            <w:tcBorders>
              <w:top w:val="dotted" w:color="7F7F7F" w:sz="4" w:space="0"/>
              <w:left w:val="nil"/>
              <w:bottom w:val="dotted" w:color="7F7F7F" w:sz="4" w:space="0"/>
              <w:right w:val="nil"/>
            </w:tcBorders>
            <w:vAlign w:val="center"/>
            <w:hideMark/>
          </w:tcPr>
          <w:p w:rsidRPr="003D5E39" w:rsidR="008923A8" w:rsidP="00AF04F7" w:rsidRDefault="008923A8" w14:paraId="6EBA3595" w14:textId="77777777">
            <w:pPr>
              <w:rPr>
                <w:rFonts w:ascii="Arial" w:hAnsi="Arial" w:eastAsia="Times New Roman" w:cs="Arial"/>
                <w:sz w:val="16"/>
                <w:szCs w:val="16"/>
                <w:lang w:eastAsia="es-ES"/>
              </w:rPr>
            </w:pPr>
            <w:r w:rsidRPr="003D5E39">
              <w:rPr>
                <w:rFonts w:ascii="Arial" w:hAnsi="Arial" w:eastAsia="Times New Roman" w:cs="Arial"/>
                <w:sz w:val="16"/>
                <w:szCs w:val="16"/>
                <w:lang w:eastAsia="es-ES"/>
              </w:rPr>
              <w:t xml:space="preserve">Nohelia del Carmen </w:t>
            </w:r>
            <w:proofErr w:type="spellStart"/>
            <w:r w:rsidRPr="003D5E39">
              <w:rPr>
                <w:rFonts w:ascii="Arial" w:hAnsi="Arial" w:eastAsia="Times New Roman" w:cs="Arial"/>
                <w:sz w:val="16"/>
                <w:szCs w:val="16"/>
                <w:lang w:eastAsia="es-ES"/>
              </w:rPr>
              <w:t>Zawady</w:t>
            </w:r>
            <w:proofErr w:type="spellEnd"/>
            <w:r w:rsidRPr="003D5E39">
              <w:rPr>
                <w:rFonts w:ascii="Arial" w:hAnsi="Arial" w:eastAsia="Times New Roman" w:cs="Arial"/>
                <w:sz w:val="16"/>
                <w:szCs w:val="16"/>
                <w:lang w:eastAsia="es-ES"/>
              </w:rPr>
              <w:t xml:space="preserve"> Palacio</w:t>
            </w:r>
          </w:p>
          <w:p w:rsidRPr="003D5E39" w:rsidR="008923A8" w:rsidP="00AF04F7" w:rsidRDefault="008923A8" w14:paraId="78A6831F" w14:textId="77777777">
            <w:pPr>
              <w:rPr>
                <w:rFonts w:ascii="Arial" w:hAnsi="Arial" w:eastAsia="Times New Roman" w:cs="Arial"/>
                <w:sz w:val="16"/>
                <w:szCs w:val="16"/>
                <w:lang w:eastAsia="es-ES"/>
              </w:rPr>
            </w:pPr>
            <w:r w:rsidRPr="003D5E39">
              <w:rPr>
                <w:rFonts w:ascii="Arial" w:hAnsi="Arial" w:eastAsia="Times New Roman" w:cs="Arial"/>
                <w:sz w:val="16"/>
                <w:szCs w:val="16"/>
                <w:lang w:eastAsia="es-ES"/>
              </w:rPr>
              <w:t>Subdirectora de Gestión Contractual ANCP – CCE</w:t>
            </w:r>
          </w:p>
        </w:tc>
      </w:tr>
      <w:bookmarkEnd w:id="1"/>
      <w:bookmarkEnd w:id="2"/>
      <w:bookmarkEnd w:id="3"/>
      <w:bookmarkEnd w:id="4"/>
      <w:bookmarkEnd w:id="12"/>
    </w:tbl>
    <w:p w:rsidRPr="003D5E39" w:rsidR="008923A8" w:rsidP="008923A8" w:rsidRDefault="008923A8" w14:paraId="73740A41" w14:textId="77777777"/>
    <w:p w:rsidRPr="003D5E39" w:rsidR="008923A8" w:rsidP="008923A8" w:rsidRDefault="008923A8" w14:paraId="45BA4CDC" w14:textId="77777777"/>
    <w:p w:rsidRPr="003D5E39" w:rsidR="008E5C2E" w:rsidP="008923A8" w:rsidRDefault="008E5C2E" w14:paraId="2E5CE949" w14:textId="5B3CF96B">
      <w:pPr>
        <w:spacing w:after="0" w:line="240" w:lineRule="auto"/>
        <w:rPr>
          <w:rFonts w:ascii="Calibri" w:hAnsi="Calibri" w:eastAsia="Times New Roman" w:cs="Calibri"/>
          <w:lang w:eastAsia="es-CO"/>
        </w:rPr>
      </w:pPr>
    </w:p>
    <w:sectPr w:rsidRPr="003D5E39" w:rsidR="008E5C2E" w:rsidSect="00923EEF">
      <w:headerReference w:type="default" r:id="rId12"/>
      <w:footerReference w:type="default" r:id="rId13"/>
      <w:pgSz w:w="12240" w:h="15840" w:orient="portrait"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23A8" w:rsidP="008923A8" w:rsidRDefault="008923A8" w14:paraId="06DA0327" w14:textId="77777777">
      <w:pPr>
        <w:spacing w:after="0" w:line="240" w:lineRule="auto"/>
      </w:pPr>
      <w:r>
        <w:separator/>
      </w:r>
    </w:p>
  </w:endnote>
  <w:endnote w:type="continuationSeparator" w:id="0">
    <w:p w:rsidR="008923A8" w:rsidP="008923A8" w:rsidRDefault="008923A8" w14:paraId="6BD958F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923A8" w:rsidRDefault="008923A8" w14:paraId="054DD434" w14:textId="77777777">
    <w:pPr>
      <w:pStyle w:val="Piedepgina"/>
    </w:pPr>
    <w:r>
      <w:rPr>
        <w:noProof/>
      </w:rPr>
      <w:drawing>
        <wp:inline distT="0" distB="0" distL="0" distR="0" wp14:anchorId="64C92B4D" wp14:editId="148F223F">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2336" behindDoc="0" locked="0" layoutInCell="1" allowOverlap="1" wp14:anchorId="52217A04" wp14:editId="6952CEF5">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FC2B5D" w:rsidTr="00B72CD3" w14:paraId="7A53DBF8"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8923A8" w:rsidP="006219F8" w:rsidRDefault="008923A8" w14:paraId="15D2757B" w14:textId="77777777">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1</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8923A8" w:rsidP="006219F8" w:rsidRDefault="008923A8" w14:paraId="45F1B810" w14:textId="77777777">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Pr>
              <w:rFonts w:ascii="Century Gothic" w:hAnsi="Century Gothic" w:eastAsia="Geo" w:cs="Geo"/>
              <w:b/>
              <w:color w:val="000000"/>
              <w:sz w:val="16"/>
              <w:szCs w:val="16"/>
              <w:lang w:eastAsia="es-CO"/>
            </w:rPr>
            <w:t>13</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8923A8" w:rsidP="00FC2B5D" w:rsidRDefault="008923A8" w14:paraId="652F297C" w14:textId="77777777">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15</w:t>
          </w:r>
          <w:r w:rsidRPr="003F3941">
            <w:rPr>
              <w:rFonts w:ascii="Century Gothic" w:hAnsi="Century Gothic"/>
              <w:sz w:val="16"/>
              <w:szCs w:val="16"/>
            </w:rPr>
            <w:t xml:space="preserve"> DE </w:t>
          </w:r>
          <w:r>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8923A8" w:rsidP="00820278" w:rsidRDefault="008923A8" w14:paraId="5D57548F" w14:textId="77777777">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1</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2</w:t>
          </w:r>
          <w:r w:rsidRPr="003F3941">
            <w:rPr>
              <w:rFonts w:ascii="Century Gothic" w:hAnsi="Century Gothic"/>
              <w:b/>
              <w:bCs/>
              <w:sz w:val="16"/>
              <w:szCs w:val="16"/>
            </w:rPr>
            <w:fldChar w:fldCharType="end"/>
          </w:r>
        </w:p>
      </w:tc>
    </w:tr>
  </w:tbl>
  <w:p w:rsidR="008923A8" w:rsidP="003E0499" w:rsidRDefault="008923A8" w14:paraId="7E2ABA1E"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23A8" w:rsidP="008923A8" w:rsidRDefault="008923A8" w14:paraId="0F4B7E9B" w14:textId="77777777">
      <w:pPr>
        <w:spacing w:after="0" w:line="240" w:lineRule="auto"/>
      </w:pPr>
      <w:r>
        <w:separator/>
      </w:r>
    </w:p>
  </w:footnote>
  <w:footnote w:type="continuationSeparator" w:id="0">
    <w:p w:rsidR="008923A8" w:rsidP="008923A8" w:rsidRDefault="008923A8" w14:paraId="39E75AC9" w14:textId="77777777">
      <w:pPr>
        <w:spacing w:after="0" w:line="240" w:lineRule="auto"/>
      </w:pPr>
      <w:r>
        <w:continuationSeparator/>
      </w:r>
    </w:p>
  </w:footnote>
  <w:footnote w:id="1">
    <w:p w:rsidRPr="003439D8" w:rsidR="008923A8" w:rsidP="008923A8" w:rsidRDefault="008923A8" w14:paraId="2D10F32A" w14:textId="77777777">
      <w:pPr>
        <w:pStyle w:val="Textonotapie"/>
        <w:ind w:firstLine="708"/>
        <w:jc w:val="both"/>
        <w:rPr>
          <w:rFonts w:ascii="Century Gothic" w:hAnsi="Century Gothic" w:cs="Arial"/>
          <w:sz w:val="16"/>
          <w:szCs w:val="16"/>
          <w:lang w:val="es-ES"/>
        </w:rPr>
      </w:pPr>
      <w:r w:rsidRPr="003439D8">
        <w:rPr>
          <w:rStyle w:val="Refdenotaalpie"/>
          <w:rFonts w:ascii="Century Gothic" w:hAnsi="Century Gothic" w:cs="Arial"/>
          <w:sz w:val="16"/>
          <w:szCs w:val="16"/>
        </w:rPr>
        <w:footnoteRef/>
      </w:r>
      <w:r w:rsidRPr="003439D8">
        <w:rPr>
          <w:rFonts w:ascii="Century Gothic" w:hAnsi="Century Gothic" w:cs="Arial"/>
          <w:sz w:val="16"/>
          <w:szCs w:val="16"/>
        </w:rPr>
        <w:t xml:space="preserve"> La Agencia Nacional de Contratación Pública </w:t>
      </w:r>
      <w:r w:rsidRPr="003439D8">
        <w:rPr>
          <w:rFonts w:ascii="Arial" w:hAnsi="Arial" w:cs="Arial"/>
          <w:sz w:val="16"/>
          <w:szCs w:val="16"/>
        </w:rPr>
        <w:t>‒</w:t>
      </w:r>
      <w:r w:rsidRPr="003439D8">
        <w:rPr>
          <w:rFonts w:ascii="Century Gothic" w:hAnsi="Century Gothic" w:cs="Arial"/>
          <w:sz w:val="16"/>
          <w:szCs w:val="16"/>
        </w:rPr>
        <w:t xml:space="preserve"> Colombia Compra Eficiente fue creada por el Decreto Ley 4170 de 2011. Su objetivo es servir como ente rector de la pol</w:t>
      </w:r>
      <w:r w:rsidRPr="003439D8">
        <w:rPr>
          <w:rFonts w:ascii="Century Gothic" w:hAnsi="Century Gothic" w:cs="Century Gothic"/>
          <w:sz w:val="16"/>
          <w:szCs w:val="16"/>
        </w:rPr>
        <w:t>í</w:t>
      </w:r>
      <w:r w:rsidRPr="003439D8">
        <w:rPr>
          <w:rFonts w:ascii="Century Gothic" w:hAnsi="Century Gothic" w:cs="Arial"/>
          <w:sz w:val="16"/>
          <w:szCs w:val="16"/>
        </w:rPr>
        <w:t>tica de compras y contrataci</w:t>
      </w:r>
      <w:r w:rsidRPr="003439D8">
        <w:rPr>
          <w:rFonts w:ascii="Century Gothic" w:hAnsi="Century Gothic" w:cs="Century Gothic"/>
          <w:sz w:val="16"/>
          <w:szCs w:val="16"/>
        </w:rPr>
        <w:t>ó</w:t>
      </w:r>
      <w:r w:rsidRPr="003439D8">
        <w:rPr>
          <w:rFonts w:ascii="Century Gothic" w:hAnsi="Century Gothic" w:cs="Arial"/>
          <w:sz w:val="16"/>
          <w:szCs w:val="16"/>
        </w:rPr>
        <w:t xml:space="preserve">n del Estado. Para tales fines, como </w:t>
      </w:r>
      <w:r w:rsidRPr="003439D8">
        <w:rPr>
          <w:rFonts w:ascii="Century Gothic" w:hAnsi="Century Gothic" w:cs="Century Gothic"/>
          <w:sz w:val="16"/>
          <w:szCs w:val="16"/>
        </w:rPr>
        <w:t>ó</w:t>
      </w:r>
      <w:r w:rsidRPr="003439D8">
        <w:rPr>
          <w:rFonts w:ascii="Century Gothic" w:hAnsi="Century Gothic" w:cs="Arial"/>
          <w:sz w:val="16"/>
          <w:szCs w:val="16"/>
        </w:rPr>
        <w:t>rgano t</w:t>
      </w:r>
      <w:r w:rsidRPr="003439D8">
        <w:rPr>
          <w:rFonts w:ascii="Century Gothic" w:hAnsi="Century Gothic" w:cs="Century Gothic"/>
          <w:sz w:val="16"/>
          <w:szCs w:val="16"/>
        </w:rPr>
        <w:t>é</w:t>
      </w:r>
      <w:r w:rsidRPr="003439D8">
        <w:rPr>
          <w:rFonts w:ascii="Century Gothic" w:hAnsi="Century Gothic" w:cs="Arial"/>
          <w:sz w:val="16"/>
          <w:szCs w:val="16"/>
        </w:rPr>
        <w:t xml:space="preserve">cnico especializado, le corresponde formular políticas públicas y normas y unificar los procesos de contratación estatal, con el fin de lograr una mayor eficiencia, transparencia y optimización de los recursos del Estado. El artículo 3 </w:t>
      </w:r>
      <w:r w:rsidRPr="003439D8">
        <w:rPr>
          <w:rFonts w:ascii="Century Gothic" w:hAnsi="Century Gothic" w:cs="Arial"/>
          <w:i/>
          <w:iCs/>
          <w:sz w:val="16"/>
          <w:szCs w:val="16"/>
        </w:rPr>
        <w:t xml:space="preserve">ibidem </w:t>
      </w:r>
      <w:r w:rsidRPr="003439D8">
        <w:rPr>
          <w:rFonts w:ascii="Century Gothic" w:hAnsi="Century Gothic" w:cs="Arial"/>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rsidRPr="003439D8" w:rsidR="008923A8" w:rsidP="008923A8" w:rsidRDefault="008923A8" w14:paraId="7E4D675F" w14:textId="77777777">
      <w:pPr>
        <w:pStyle w:val="Textonotapie"/>
        <w:ind w:firstLine="709"/>
        <w:jc w:val="both"/>
        <w:rPr>
          <w:rFonts w:ascii="Century Gothic" w:hAnsi="Century Gothic" w:cs="Arial"/>
          <w:sz w:val="16"/>
          <w:szCs w:val="16"/>
          <w:shd w:val="clear" w:color="auto" w:fill="E6E6E6"/>
        </w:rPr>
      </w:pPr>
      <w:r w:rsidRPr="003439D8">
        <w:rPr>
          <w:rStyle w:val="Refdenotaalpie"/>
          <w:rFonts w:ascii="Century Gothic" w:hAnsi="Century Gothic" w:cs="Arial"/>
          <w:sz w:val="16"/>
          <w:szCs w:val="16"/>
        </w:rPr>
        <w:footnoteRef/>
      </w:r>
      <w:r w:rsidRPr="003439D8">
        <w:rPr>
          <w:rFonts w:ascii="Century Gothic" w:hAnsi="Century Gothic"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w:history="1" r:id="rId1">
        <w:r w:rsidRPr="003439D8">
          <w:rPr>
            <w:rStyle w:val="Hipervnculo"/>
            <w:rFonts w:ascii="Century Gothic" w:hAnsi="Century Gothic" w:cs="Arial"/>
            <w:sz w:val="16"/>
            <w:szCs w:val="16"/>
          </w:rPr>
          <w:t>https://relatoria.colombiacompra.gov.co/busqueda/conceptos</w:t>
        </w:r>
      </w:hyperlink>
      <w:r w:rsidRPr="003439D8">
        <w:rPr>
          <w:rStyle w:val="Hipervnculo"/>
          <w:rFonts w:ascii="Century Gothic" w:hAnsi="Century Gothic" w:cs="Arial"/>
          <w:sz w:val="16"/>
          <w:szCs w:val="16"/>
        </w:rPr>
        <w:t xml:space="preserve">. </w:t>
      </w:r>
      <w:r w:rsidRPr="003439D8">
        <w:rPr>
          <w:rFonts w:ascii="Century Gothic" w:hAnsi="Century Gothic" w:cs="Arial"/>
          <w:sz w:val="16"/>
          <w:szCs w:val="16"/>
          <w:shd w:val="clear" w:color="auto" w:fill="E6E6E6"/>
        </w:rPr>
        <w:t xml:space="preserve"> </w:t>
      </w:r>
    </w:p>
  </w:footnote>
  <w:footnote w:id="3">
    <w:p w:rsidRPr="003439D8" w:rsidR="008923A8" w:rsidP="008923A8" w:rsidRDefault="008923A8" w14:paraId="7A83B4E6" w14:textId="77777777">
      <w:pPr>
        <w:pBdr>
          <w:top w:val="nil"/>
          <w:left w:val="nil"/>
          <w:bottom w:val="nil"/>
          <w:right w:val="nil"/>
          <w:between w:val="nil"/>
        </w:pBdr>
        <w:spacing w:after="0" w:line="240" w:lineRule="auto"/>
        <w:ind w:firstLine="709"/>
        <w:jc w:val="both"/>
        <w:rPr>
          <w:rFonts w:ascii="Century Gothic" w:hAnsi="Century Gothic" w:eastAsia="Arial" w:cs="Arial"/>
          <w:color w:val="000000"/>
          <w:sz w:val="16"/>
          <w:szCs w:val="16"/>
        </w:rPr>
      </w:pPr>
      <w:r w:rsidRPr="003439D8">
        <w:rPr>
          <w:rFonts w:ascii="Century Gothic" w:hAnsi="Century Gothic" w:cs="Arial"/>
          <w:sz w:val="16"/>
          <w:szCs w:val="16"/>
          <w:vertAlign w:val="superscript"/>
        </w:rPr>
        <w:footnoteRef/>
      </w:r>
      <w:r w:rsidRPr="003439D8">
        <w:rPr>
          <w:rFonts w:ascii="Century Gothic" w:hAnsi="Century Gothic" w:eastAsia="Arial" w:cs="Arial"/>
          <w:color w:val="000000"/>
          <w:sz w:val="16"/>
          <w:szCs w:val="16"/>
        </w:rPr>
        <w:t xml:space="preserve"> Al respecto, conviene recordar el artículo 29 de la Ley 80 de 1993, derogado por el artículo 32 de la Ley 1150 de 2007, que establecía: “La selección de contratistas será objetiva.</w:t>
      </w:r>
    </w:p>
    <w:p w:rsidRPr="003439D8" w:rsidR="008923A8" w:rsidP="008923A8" w:rsidRDefault="008923A8" w14:paraId="29BFD278" w14:textId="77777777">
      <w:pPr>
        <w:pBdr>
          <w:top w:val="nil"/>
          <w:left w:val="nil"/>
          <w:bottom w:val="nil"/>
          <w:right w:val="nil"/>
          <w:between w:val="nil"/>
        </w:pBdr>
        <w:spacing w:after="0" w:line="240" w:lineRule="auto"/>
        <w:ind w:firstLine="709"/>
        <w:jc w:val="both"/>
        <w:rPr>
          <w:rFonts w:ascii="Century Gothic" w:hAnsi="Century Gothic" w:eastAsia="Arial" w:cs="Arial"/>
          <w:color w:val="000000"/>
          <w:sz w:val="16"/>
          <w:szCs w:val="16"/>
        </w:rPr>
      </w:pPr>
      <w:r w:rsidRPr="003439D8">
        <w:rPr>
          <w:rFonts w:ascii="Century Gothic" w:hAnsi="Century Gothic" w:eastAsia="Arial" w:cs="Arial"/>
          <w:color w:val="000000"/>
          <w:sz w:val="16"/>
          <w:szCs w:val="16"/>
        </w:rPr>
        <w:t>Es objetiva la selección en la cual la escogencia se hace al ofrecimiento más favorable a la entidad y a los fines que ella busca, sin tener en consideración factores de afecto o de interés y, en general, cualquier clase de motivación subjetiva.</w:t>
      </w:r>
    </w:p>
    <w:p w:rsidRPr="003439D8" w:rsidR="008923A8" w:rsidP="008923A8" w:rsidRDefault="008923A8" w14:paraId="3EFA0343" w14:textId="77777777">
      <w:pPr>
        <w:pBdr>
          <w:top w:val="nil"/>
          <w:left w:val="nil"/>
          <w:bottom w:val="nil"/>
          <w:right w:val="nil"/>
          <w:between w:val="nil"/>
        </w:pBdr>
        <w:spacing w:after="0" w:line="240" w:lineRule="auto"/>
        <w:ind w:firstLine="709"/>
        <w:jc w:val="both"/>
        <w:rPr>
          <w:rFonts w:ascii="Century Gothic" w:hAnsi="Century Gothic" w:eastAsia="Arial" w:cs="Arial"/>
          <w:color w:val="000000"/>
          <w:sz w:val="16"/>
          <w:szCs w:val="16"/>
        </w:rPr>
      </w:pPr>
      <w:r w:rsidRPr="003439D8">
        <w:rPr>
          <w:rFonts w:ascii="Century Gothic" w:hAnsi="Century Gothic" w:eastAsia="Arial" w:cs="Arial"/>
          <w:color w:val="000000"/>
          <w:sz w:val="16"/>
          <w:szCs w:val="16"/>
        </w:rPr>
        <w:t>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 sin que la favorabilidad la constituyan factores diferentes a los contenidos en dichos documentos, sólo alguno de ellos, el más bajo precio o el plazo ofrecido. El menor plazo que se ofrezca inferior al solicitado en los pliegos, no será objeto de evaluación”.</w:t>
      </w:r>
    </w:p>
    <w:p w:rsidRPr="003439D8" w:rsidR="008923A8" w:rsidP="008923A8" w:rsidRDefault="008923A8" w14:paraId="185BE7A0" w14:textId="77777777">
      <w:pPr>
        <w:pBdr>
          <w:top w:val="nil"/>
          <w:left w:val="nil"/>
          <w:bottom w:val="nil"/>
          <w:right w:val="nil"/>
          <w:between w:val="nil"/>
        </w:pBdr>
        <w:spacing w:after="0" w:line="240" w:lineRule="auto"/>
        <w:ind w:firstLine="709"/>
        <w:jc w:val="both"/>
        <w:rPr>
          <w:rFonts w:ascii="Century Gothic" w:hAnsi="Century Gothic" w:eastAsia="Arial" w:cs="Arial"/>
          <w:color w:val="000000"/>
          <w:sz w:val="16"/>
          <w:szCs w:val="16"/>
        </w:rPr>
      </w:pPr>
      <w:r w:rsidRPr="003439D8">
        <w:rPr>
          <w:rFonts w:ascii="Century Gothic" w:hAnsi="Century Gothic" w:eastAsia="Arial" w:cs="Arial"/>
          <w:color w:val="000000"/>
          <w:sz w:val="16"/>
          <w:szCs w:val="16"/>
        </w:rPr>
        <w:t>El administrador efectuará las comparaciones del caso mediante el cotejo de los diferentes ofrecimientos recibidos, la consulta de precios o condiciones del mercado y los estudios y deducciones de la entidad o de los organismos consultores o asesores designados para ello.</w:t>
      </w:r>
    </w:p>
    <w:p w:rsidRPr="003439D8" w:rsidR="008923A8" w:rsidP="008923A8" w:rsidRDefault="008923A8" w14:paraId="18D1A724" w14:textId="77777777">
      <w:pPr>
        <w:pBdr>
          <w:top w:val="nil"/>
          <w:left w:val="nil"/>
          <w:bottom w:val="nil"/>
          <w:right w:val="nil"/>
          <w:between w:val="nil"/>
        </w:pBdr>
        <w:spacing w:after="0" w:line="240" w:lineRule="auto"/>
        <w:ind w:firstLine="709"/>
        <w:jc w:val="both"/>
        <w:rPr>
          <w:rFonts w:ascii="Century Gothic" w:hAnsi="Century Gothic" w:eastAsia="Arial" w:cs="Arial"/>
          <w:color w:val="000000"/>
          <w:sz w:val="16"/>
          <w:szCs w:val="16"/>
        </w:rPr>
      </w:pPr>
      <w:r w:rsidRPr="003439D8">
        <w:rPr>
          <w:rFonts w:ascii="Century Gothic" w:hAnsi="Century Gothic" w:eastAsia="Arial" w:cs="Arial"/>
          <w:color w:val="000000"/>
          <w:sz w:val="16"/>
          <w:szCs w:val="16"/>
        </w:rPr>
        <w:t>En caso de comparación de propuestas nacionales y extranjeras, se incluirán los costos necesarios para la entrega del producto terminado en el lugar de su utilización”.</w:t>
      </w:r>
    </w:p>
  </w:footnote>
  <w:footnote w:id="4">
    <w:p w:rsidRPr="003439D8" w:rsidR="008923A8" w:rsidP="008923A8" w:rsidRDefault="008923A8" w14:paraId="3E05C487" w14:textId="77777777">
      <w:pPr>
        <w:pBdr>
          <w:top w:val="nil"/>
          <w:left w:val="nil"/>
          <w:bottom w:val="nil"/>
          <w:right w:val="nil"/>
          <w:between w:val="nil"/>
        </w:pBdr>
        <w:spacing w:after="0" w:line="240" w:lineRule="auto"/>
        <w:ind w:firstLine="708"/>
        <w:jc w:val="both"/>
        <w:rPr>
          <w:rFonts w:ascii="Century Gothic" w:hAnsi="Century Gothic" w:eastAsia="Arial" w:cs="Arial"/>
          <w:color w:val="000000"/>
          <w:sz w:val="16"/>
          <w:szCs w:val="16"/>
        </w:rPr>
      </w:pPr>
      <w:r w:rsidRPr="003439D8">
        <w:rPr>
          <w:rFonts w:ascii="Century Gothic" w:hAnsi="Century Gothic" w:cs="Arial"/>
          <w:sz w:val="16"/>
          <w:szCs w:val="16"/>
          <w:vertAlign w:val="superscript"/>
        </w:rPr>
        <w:footnoteRef/>
      </w:r>
      <w:r w:rsidRPr="003439D8">
        <w:rPr>
          <w:rFonts w:ascii="Century Gothic" w:hAnsi="Century Gothic" w:eastAsia="Arial" w:cs="Arial"/>
          <w:color w:val="000000"/>
          <w:sz w:val="16"/>
          <w:szCs w:val="16"/>
        </w:rPr>
        <w:t xml:space="preserve"> DÁVILA VINUEZA, Luis Guillermo. Régimen jurídico de la contratación estatal. Tercera edición, Bogotá: Legis, 2016. p. 355.</w:t>
      </w:r>
    </w:p>
  </w:footnote>
  <w:footnote w:id="5">
    <w:p w:rsidRPr="003439D8" w:rsidR="008923A8" w:rsidP="008923A8" w:rsidRDefault="008923A8" w14:paraId="7E514E93" w14:textId="77777777">
      <w:pPr>
        <w:pBdr>
          <w:top w:val="nil"/>
          <w:left w:val="nil"/>
          <w:bottom w:val="nil"/>
          <w:right w:val="nil"/>
          <w:between w:val="nil"/>
        </w:pBdr>
        <w:spacing w:after="0" w:line="240" w:lineRule="auto"/>
        <w:ind w:firstLine="708"/>
        <w:jc w:val="both"/>
        <w:rPr>
          <w:rFonts w:ascii="Century Gothic" w:hAnsi="Century Gothic" w:eastAsia="Arial" w:cs="Arial"/>
          <w:color w:val="000000"/>
          <w:sz w:val="16"/>
          <w:szCs w:val="16"/>
        </w:rPr>
      </w:pPr>
      <w:r w:rsidRPr="003439D8">
        <w:rPr>
          <w:rFonts w:ascii="Century Gothic" w:hAnsi="Century Gothic" w:cs="Arial"/>
          <w:sz w:val="16"/>
          <w:szCs w:val="16"/>
          <w:vertAlign w:val="superscript"/>
        </w:rPr>
        <w:footnoteRef/>
      </w:r>
      <w:r w:rsidRPr="003439D8">
        <w:rPr>
          <w:rFonts w:ascii="Century Gothic" w:hAnsi="Century Gothic" w:eastAsia="Arial" w:cs="Arial"/>
          <w:color w:val="000000"/>
          <w:sz w:val="16"/>
          <w:szCs w:val="16"/>
        </w:rPr>
        <w:t xml:space="preserve"> RODRÍGUEZ TAMAYO, Mauricio F. Evaluación y rechazo de ofertas en la Ley 80 de 1993. Primera edición. Medellín: Librería Jurídica Sánchez, 2016. pp. 110-111.</w:t>
      </w:r>
    </w:p>
  </w:footnote>
  <w:footnote w:id="6">
    <w:p w:rsidRPr="003439D8" w:rsidR="008923A8" w:rsidP="008923A8" w:rsidRDefault="008923A8" w14:paraId="10404DF3" w14:textId="77777777">
      <w:pPr>
        <w:pBdr>
          <w:top w:val="nil"/>
          <w:left w:val="nil"/>
          <w:bottom w:val="nil"/>
          <w:right w:val="nil"/>
          <w:between w:val="nil"/>
        </w:pBdr>
        <w:spacing w:after="0" w:line="240" w:lineRule="auto"/>
        <w:ind w:firstLine="708"/>
        <w:jc w:val="both"/>
        <w:rPr>
          <w:rFonts w:ascii="Century Gothic" w:hAnsi="Century Gothic" w:eastAsia="Arial" w:cs="Arial"/>
          <w:color w:val="000000"/>
          <w:sz w:val="16"/>
          <w:szCs w:val="16"/>
        </w:rPr>
      </w:pPr>
      <w:r w:rsidRPr="003439D8">
        <w:rPr>
          <w:rFonts w:ascii="Century Gothic" w:hAnsi="Century Gothic" w:cs="Arial"/>
          <w:sz w:val="16"/>
          <w:szCs w:val="16"/>
          <w:vertAlign w:val="superscript"/>
        </w:rPr>
        <w:footnoteRef/>
      </w:r>
      <w:r w:rsidRPr="003439D8">
        <w:rPr>
          <w:rFonts w:ascii="Century Gothic" w:hAnsi="Century Gothic" w:eastAsia="Arial" w:cs="Arial"/>
          <w:color w:val="000000"/>
          <w:sz w:val="16"/>
          <w:szCs w:val="16"/>
        </w:rPr>
        <w:t xml:space="preserve"> EXPÓSITO VELEZ, Juan C., El deber de selección objetiva, en: Del contrato estatal a los sistemas de compras públicas, por COVILLA MARTINEZ Juan C. y LOZANO VILLEGAS Germán (Eds.). Universidad Externado de Colombia, Bogotá, 2019. págs. 118-184.</w:t>
      </w:r>
    </w:p>
  </w:footnote>
  <w:footnote w:id="7">
    <w:p w:rsidRPr="003439D8" w:rsidR="008923A8" w:rsidP="008923A8" w:rsidRDefault="008923A8" w14:paraId="0DFB102A" w14:textId="77777777">
      <w:pPr>
        <w:pBdr>
          <w:top w:val="nil"/>
          <w:left w:val="nil"/>
          <w:bottom w:val="nil"/>
          <w:right w:val="nil"/>
          <w:between w:val="nil"/>
        </w:pBdr>
        <w:spacing w:after="0" w:line="240" w:lineRule="auto"/>
        <w:ind w:firstLine="708"/>
        <w:rPr>
          <w:rFonts w:ascii="Century Gothic" w:hAnsi="Century Gothic" w:eastAsia="Arial" w:cs="Arial"/>
          <w:color w:val="000000"/>
          <w:sz w:val="16"/>
          <w:szCs w:val="16"/>
        </w:rPr>
      </w:pPr>
      <w:r w:rsidRPr="003439D8">
        <w:rPr>
          <w:rFonts w:ascii="Century Gothic" w:hAnsi="Century Gothic" w:cs="Arial"/>
          <w:sz w:val="16"/>
          <w:szCs w:val="16"/>
          <w:vertAlign w:val="superscript"/>
        </w:rPr>
        <w:footnoteRef/>
      </w:r>
      <w:r w:rsidRPr="003439D8">
        <w:rPr>
          <w:rFonts w:ascii="Century Gothic" w:hAnsi="Century Gothic" w:eastAsia="Arial" w:cs="Arial"/>
          <w:i/>
          <w:color w:val="000000"/>
          <w:sz w:val="16"/>
          <w:szCs w:val="16"/>
        </w:rPr>
        <w:t xml:space="preserve"> Ibídem.</w:t>
      </w:r>
    </w:p>
  </w:footnote>
  <w:footnote w:id="8">
    <w:p w:rsidRPr="003439D8" w:rsidR="008923A8" w:rsidP="008923A8" w:rsidRDefault="008923A8" w14:paraId="73A7C72A" w14:textId="77777777">
      <w:pPr>
        <w:spacing w:after="0" w:line="240" w:lineRule="auto"/>
        <w:ind w:firstLine="708"/>
        <w:jc w:val="both"/>
        <w:rPr>
          <w:rFonts w:ascii="Century Gothic" w:hAnsi="Century Gothic" w:eastAsia="Arial" w:cs="Arial"/>
          <w:sz w:val="16"/>
          <w:szCs w:val="16"/>
          <w:lang w:val="es-MX"/>
        </w:rPr>
      </w:pPr>
      <w:r w:rsidRPr="003439D8">
        <w:rPr>
          <w:rFonts w:ascii="Century Gothic" w:hAnsi="Century Gothic" w:cs="Arial"/>
          <w:sz w:val="16"/>
          <w:szCs w:val="16"/>
          <w:vertAlign w:val="superscript"/>
        </w:rPr>
        <w:footnoteRef/>
      </w:r>
      <w:r w:rsidRPr="003439D8">
        <w:rPr>
          <w:rFonts w:ascii="Century Gothic" w:hAnsi="Century Gothic" w:eastAsia="Arial" w:cs="Arial"/>
          <w:sz w:val="16"/>
          <w:szCs w:val="16"/>
        </w:rPr>
        <w:t xml:space="preserve"> Decreto 1082 de 2015 “Artículo 2.2.1.1.2.2.2. </w:t>
      </w:r>
      <w:bookmarkStart w:name="_Hlk127183858" w:id="10"/>
      <w:r w:rsidRPr="003439D8">
        <w:rPr>
          <w:rFonts w:ascii="Century Gothic" w:hAnsi="Century Gothic" w:eastAsia="Arial" w:cs="Arial"/>
          <w:sz w:val="16"/>
          <w:szCs w:val="16"/>
        </w:rPr>
        <w:t>Modificado por el </w:t>
      </w:r>
      <w:bookmarkEnd w:id="10"/>
      <w:r w:rsidRPr="003439D8">
        <w:rPr>
          <w:rFonts w:ascii="Century Gothic" w:hAnsi="Century Gothic" w:eastAsia="Arial" w:cs="Arial"/>
          <w:sz w:val="16"/>
          <w:szCs w:val="16"/>
        </w:rPr>
        <w:t>Decreto 142 de 2023, artículo 4º. Ofrecimiento más favorable.</w:t>
      </w:r>
      <w:r w:rsidRPr="003439D8">
        <w:rPr>
          <w:rFonts w:ascii="Century Gothic" w:hAnsi="Century Gothic" w:eastAsia="Arial" w:cs="Arial"/>
          <w:b/>
          <w:bCs/>
          <w:sz w:val="16"/>
          <w:szCs w:val="16"/>
        </w:rPr>
        <w:t xml:space="preserve"> </w:t>
      </w:r>
      <w:r w:rsidRPr="003439D8">
        <w:rPr>
          <w:rFonts w:ascii="Century Gothic" w:hAnsi="Century Gothic" w:eastAsia="Arial" w:cs="Arial"/>
          <w:sz w:val="16"/>
          <w:szCs w:val="16"/>
          <w:lang w:val="es-MX"/>
        </w:rPr>
        <w:t>La Entidad Estatal debe determinar la oferta más favorable teniendo en cuenta las normas aplicables a cada modalidad de selección del contratista.</w:t>
      </w:r>
    </w:p>
    <w:p w:rsidRPr="003439D8" w:rsidR="008923A8" w:rsidP="008923A8" w:rsidRDefault="008923A8" w14:paraId="06908109" w14:textId="77777777">
      <w:pPr>
        <w:spacing w:after="0" w:line="240" w:lineRule="auto"/>
        <w:ind w:firstLine="708"/>
        <w:jc w:val="both"/>
        <w:rPr>
          <w:rFonts w:ascii="Century Gothic" w:hAnsi="Century Gothic" w:eastAsia="Arial" w:cs="Arial"/>
          <w:sz w:val="16"/>
          <w:szCs w:val="16"/>
          <w:lang w:val="es-MX"/>
        </w:rPr>
      </w:pPr>
      <w:r w:rsidRPr="003439D8">
        <w:rPr>
          <w:rFonts w:ascii="Century Gothic" w:hAnsi="Century Gothic" w:eastAsia="Arial" w:cs="Arial"/>
          <w:sz w:val="16"/>
          <w:szCs w:val="16"/>
          <w:lang w:val="es-MX"/>
        </w:rPr>
        <w:t>En la licitación y la selección abreviada de menor cuantía, la Entidad Estatal debe determinar la oferta más favorable teniendo en cuenta: (a) la ponderación de los elementos de calidad y precio soportados en puntajes o fórmulas; o (b) la ponderación de los elementos de calidad y precio que representen la mejor relación de costo-beneficio. Si la Entidad Estatal decide determinar la oferta de acuerdo con el literal (b) anterior debe señalar en los pliegos de condiciones:</w:t>
      </w:r>
    </w:p>
    <w:p w:rsidRPr="003439D8" w:rsidR="008923A8" w:rsidP="008923A8" w:rsidRDefault="008923A8" w14:paraId="70B2E399" w14:textId="77777777">
      <w:pPr>
        <w:spacing w:after="0" w:line="240" w:lineRule="auto"/>
        <w:ind w:firstLine="708"/>
        <w:jc w:val="both"/>
        <w:rPr>
          <w:rFonts w:ascii="Century Gothic" w:hAnsi="Century Gothic" w:eastAsia="Arial" w:cs="Arial"/>
          <w:sz w:val="16"/>
          <w:szCs w:val="16"/>
          <w:lang w:val="es-MX"/>
        </w:rPr>
      </w:pPr>
      <w:r w:rsidRPr="003439D8">
        <w:rPr>
          <w:rFonts w:ascii="Century Gothic" w:hAnsi="Century Gothic" w:eastAsia="Arial" w:cs="Arial"/>
          <w:sz w:val="16"/>
          <w:szCs w:val="16"/>
          <w:lang w:val="es-MX"/>
        </w:rPr>
        <w:t>1. Las condiciones técnicas y económicas mínimas de la oferta.</w:t>
      </w:r>
    </w:p>
    <w:p w:rsidRPr="003439D8" w:rsidR="008923A8" w:rsidP="008923A8" w:rsidRDefault="008923A8" w14:paraId="19D260AA" w14:textId="77777777">
      <w:pPr>
        <w:spacing w:after="0" w:line="240" w:lineRule="auto"/>
        <w:ind w:firstLine="708"/>
        <w:jc w:val="both"/>
        <w:rPr>
          <w:rFonts w:ascii="Century Gothic" w:hAnsi="Century Gothic" w:eastAsia="Arial" w:cs="Arial"/>
          <w:sz w:val="16"/>
          <w:szCs w:val="16"/>
          <w:lang w:val="es-MX"/>
        </w:rPr>
      </w:pPr>
      <w:r w:rsidRPr="003439D8">
        <w:rPr>
          <w:rFonts w:ascii="Century Gothic" w:hAnsi="Century Gothic" w:eastAsia="Arial" w:cs="Arial"/>
          <w:sz w:val="16"/>
          <w:szCs w:val="16"/>
          <w:lang w:val="es-MX"/>
        </w:rPr>
        <w:t>2. Las condiciones técnicas adicionales que representan ventajas de calidad o de funcionamiento, tales como el uso de tecnología o materiales que generen mayor eficiencia, rendimiento o duración del bien, obra o servicio.</w:t>
      </w:r>
    </w:p>
    <w:p w:rsidRPr="003439D8" w:rsidR="008923A8" w:rsidP="008923A8" w:rsidRDefault="008923A8" w14:paraId="36D32BCE" w14:textId="77777777">
      <w:pPr>
        <w:spacing w:after="0" w:line="240" w:lineRule="auto"/>
        <w:ind w:firstLine="708"/>
        <w:jc w:val="both"/>
        <w:rPr>
          <w:rFonts w:ascii="Century Gothic" w:hAnsi="Century Gothic" w:eastAsia="Arial" w:cs="Arial"/>
          <w:sz w:val="16"/>
          <w:szCs w:val="16"/>
          <w:lang w:val="es-MX"/>
        </w:rPr>
      </w:pPr>
      <w:r w:rsidRPr="003439D8">
        <w:rPr>
          <w:rFonts w:ascii="Century Gothic" w:hAnsi="Century Gothic" w:eastAsia="Arial" w:cs="Arial"/>
          <w:sz w:val="16"/>
          <w:szCs w:val="16"/>
          <w:lang w:val="es-MX"/>
        </w:rPr>
        <w:t>3. Las condiciones económicas adicionales que representen ventajas en términos de economía, eficiencia y eficacia, que puedan ser valoradas en dinero, como por ejemplo la forma de pago, descuentos por adjudicación de varios lotes, descuentos por variaciones en programas de entregas, mayor garantía del bien o servicio respecto de la mínima requerida, impacto económico sobre las condiciones existentes de la Entidad Estatal relacionadas con el objeto a contratar, mayor asunción de los Riesgos, servicios o bienes adicionales y que representen un mayor grado de satisfacción para la entidad, entre otras.</w:t>
      </w:r>
    </w:p>
    <w:p w:rsidRPr="003439D8" w:rsidR="008923A8" w:rsidP="008923A8" w:rsidRDefault="008923A8" w14:paraId="5E4453B4" w14:textId="77777777">
      <w:pPr>
        <w:spacing w:after="0" w:line="240" w:lineRule="auto"/>
        <w:ind w:firstLine="708"/>
        <w:jc w:val="both"/>
        <w:rPr>
          <w:rFonts w:ascii="Century Gothic" w:hAnsi="Century Gothic" w:eastAsia="Arial" w:cs="Arial"/>
          <w:sz w:val="16"/>
          <w:szCs w:val="16"/>
          <w:lang w:val="es-MX"/>
        </w:rPr>
      </w:pPr>
      <w:r w:rsidRPr="003439D8">
        <w:rPr>
          <w:rFonts w:ascii="Century Gothic" w:hAnsi="Century Gothic" w:eastAsia="Arial" w:cs="Arial"/>
          <w:sz w:val="16"/>
          <w:szCs w:val="16"/>
          <w:lang w:val="es-MX"/>
        </w:rPr>
        <w:t>4. El valor en dinero que la Entidad Estatal asigna a cada ofrecimiento técnico o económico adicional, para permitir la ponderación de las ofertas presentadas.</w:t>
      </w:r>
    </w:p>
    <w:p w:rsidRPr="003439D8" w:rsidR="008923A8" w:rsidP="008923A8" w:rsidRDefault="008923A8" w14:paraId="7E4C005F" w14:textId="77777777">
      <w:pPr>
        <w:spacing w:after="0" w:line="240" w:lineRule="auto"/>
        <w:ind w:firstLine="708"/>
        <w:jc w:val="both"/>
        <w:rPr>
          <w:rFonts w:ascii="Century Gothic" w:hAnsi="Century Gothic" w:eastAsia="Arial" w:cs="Arial"/>
          <w:sz w:val="16"/>
          <w:szCs w:val="16"/>
          <w:lang w:val="es-MX"/>
        </w:rPr>
      </w:pPr>
      <w:r w:rsidRPr="003439D8">
        <w:rPr>
          <w:rFonts w:ascii="Century Gothic" w:hAnsi="Century Gothic" w:eastAsia="Arial" w:cs="Arial"/>
          <w:sz w:val="16"/>
          <w:szCs w:val="16"/>
          <w:lang w:val="es-MX"/>
        </w:rPr>
        <w:t>La Entidad Estatal debe calcular la relación costo-beneficio de cada oferta 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w:t>
      </w:r>
    </w:p>
    <w:p w:rsidRPr="003439D8" w:rsidR="008923A8" w:rsidP="008923A8" w:rsidRDefault="008923A8" w14:paraId="44B73080" w14:textId="77777777">
      <w:pPr>
        <w:spacing w:after="0" w:line="240" w:lineRule="auto"/>
        <w:ind w:firstLine="708"/>
        <w:jc w:val="both"/>
        <w:rPr>
          <w:rFonts w:ascii="Century Gothic" w:hAnsi="Century Gothic" w:eastAsia="Arial" w:cs="Arial"/>
          <w:sz w:val="16"/>
          <w:szCs w:val="16"/>
          <w:lang w:val="es-MX"/>
        </w:rPr>
      </w:pPr>
      <w:r w:rsidRPr="003439D8">
        <w:rPr>
          <w:rFonts w:ascii="Century Gothic" w:hAnsi="Century Gothic" w:eastAsia="Arial" w:cs="Arial"/>
          <w:sz w:val="16"/>
          <w:szCs w:val="16"/>
          <w:lang w:val="es-MX"/>
        </w:rPr>
        <w:t>La Entidad Estatal debe adjudicar al oferente que presentó la oferta con la mejor relación costo-beneficio y suscribir el contrato por el precio total ofrecido.</w:t>
      </w:r>
    </w:p>
    <w:p w:rsidRPr="003439D8" w:rsidR="008923A8" w:rsidP="008923A8" w:rsidRDefault="008923A8" w14:paraId="42CC7F3C" w14:textId="77777777">
      <w:pPr>
        <w:spacing w:after="0" w:line="240" w:lineRule="auto"/>
        <w:ind w:firstLine="708"/>
        <w:jc w:val="both"/>
        <w:rPr>
          <w:rFonts w:ascii="Century Gothic" w:hAnsi="Century Gothic" w:eastAsia="Arial" w:cs="Arial"/>
          <w:sz w:val="16"/>
          <w:szCs w:val="16"/>
          <w:lang w:val="es-MX"/>
        </w:rPr>
      </w:pPr>
      <w:r w:rsidRPr="003439D8">
        <w:rPr>
          <w:rFonts w:ascii="Century Gothic" w:hAnsi="Century Gothic" w:eastAsia="Arial" w:cs="Arial"/>
          <w:sz w:val="16"/>
          <w:szCs w:val="16"/>
          <w:lang w:val="es-MX"/>
        </w:rPr>
        <w:t>Para la adquisición de Bienes y Servicios de Características Técnicas No Uniformes a través de Acuerdos Marco de Precios e Instrumentos de Agregación de Demanda, el ofrecimiento más favorable parte de la definición que la Entidad Estatal que estructura el Instrumento de Agregación de Demanda o Acuerdo Marco de Precios hace en la Operación Principal de las condiciones técnicas y económicas mínimas del bien o servicio.</w:t>
      </w:r>
    </w:p>
    <w:p w:rsidRPr="003439D8" w:rsidR="008923A8" w:rsidP="008923A8" w:rsidRDefault="008923A8" w14:paraId="3A39E761" w14:textId="77777777">
      <w:pPr>
        <w:spacing w:after="0" w:line="240" w:lineRule="auto"/>
        <w:ind w:firstLine="708"/>
        <w:jc w:val="both"/>
        <w:rPr>
          <w:rFonts w:ascii="Century Gothic" w:hAnsi="Century Gothic" w:eastAsia="Arial" w:cs="Arial"/>
          <w:sz w:val="16"/>
          <w:szCs w:val="16"/>
          <w:lang w:val="es-MX"/>
        </w:rPr>
      </w:pPr>
      <w:r w:rsidRPr="003439D8">
        <w:rPr>
          <w:rFonts w:ascii="Century Gothic" w:hAnsi="Century Gothic" w:eastAsia="Arial" w:cs="Arial"/>
          <w:sz w:val="16"/>
          <w:szCs w:val="16"/>
          <w:lang w:val="es-MX"/>
        </w:rPr>
        <w:t>Las Entidades Estatales que compren en la operación secundaria de un Acuerdo Marco de Precios o Instrumento de Agregación de Demanda, deben evaluar las cotizaciones de los proveedores bajo las condiciones que el instrumento fija para definir la oferta más favorable.</w:t>
      </w:r>
    </w:p>
    <w:p w:rsidRPr="003439D8" w:rsidR="008923A8" w:rsidP="008923A8" w:rsidRDefault="008923A8" w14:paraId="5A6E521F" w14:textId="77777777">
      <w:pPr>
        <w:spacing w:after="0" w:line="240" w:lineRule="auto"/>
        <w:ind w:firstLine="708"/>
        <w:jc w:val="both"/>
        <w:rPr>
          <w:rFonts w:ascii="Century Gothic" w:hAnsi="Century Gothic" w:eastAsia="Arial" w:cs="Arial"/>
          <w:sz w:val="16"/>
          <w:szCs w:val="16"/>
        </w:rPr>
      </w:pPr>
      <w:r w:rsidRPr="003439D8">
        <w:rPr>
          <w:rFonts w:ascii="Century Gothic" w:hAnsi="Century Gothic" w:eastAsia="Arial" w:cs="Arial"/>
          <w:sz w:val="16"/>
          <w:szCs w:val="16"/>
        </w:rPr>
        <w:t>[…]”. </w:t>
      </w:r>
    </w:p>
  </w:footnote>
  <w:footnote w:id="9">
    <w:p w:rsidRPr="003439D8" w:rsidR="008923A8" w:rsidP="008923A8" w:rsidRDefault="008923A8" w14:paraId="55515FF4" w14:textId="77777777">
      <w:pPr>
        <w:pBdr>
          <w:top w:val="nil"/>
          <w:left w:val="nil"/>
          <w:bottom w:val="nil"/>
          <w:right w:val="nil"/>
          <w:between w:val="nil"/>
        </w:pBdr>
        <w:spacing w:after="0" w:line="240" w:lineRule="auto"/>
        <w:ind w:firstLine="709"/>
        <w:jc w:val="both"/>
        <w:rPr>
          <w:rFonts w:ascii="Century Gothic" w:hAnsi="Century Gothic" w:eastAsia="Arial" w:cs="Arial"/>
          <w:color w:val="000000"/>
          <w:sz w:val="16"/>
          <w:szCs w:val="16"/>
        </w:rPr>
      </w:pPr>
      <w:r w:rsidRPr="003439D8">
        <w:rPr>
          <w:rFonts w:ascii="Century Gothic" w:hAnsi="Century Gothic" w:cs="Arial"/>
          <w:sz w:val="16"/>
          <w:szCs w:val="16"/>
          <w:vertAlign w:val="superscript"/>
        </w:rPr>
        <w:footnoteRef/>
      </w:r>
      <w:r w:rsidRPr="003439D8">
        <w:rPr>
          <w:rFonts w:ascii="Century Gothic" w:hAnsi="Century Gothic" w:eastAsia="Arial" w:cs="Arial"/>
          <w:color w:val="000000"/>
          <w:sz w:val="16"/>
          <w:szCs w:val="16"/>
        </w:rPr>
        <w:t xml:space="preserve"> Consejo de Estado. Sección Tercera. Subsección A. Sentencia del 25 de octubre de 2019. Exp. 39.945. Consejera Ponente: María Adriana Marín.</w:t>
      </w:r>
    </w:p>
  </w:footnote>
  <w:footnote w:id="10">
    <w:p w:rsidRPr="003439D8" w:rsidR="008923A8" w:rsidP="008923A8" w:rsidRDefault="008923A8" w14:paraId="2DDAF4AD" w14:textId="77777777">
      <w:pPr>
        <w:pBdr>
          <w:top w:val="nil"/>
          <w:left w:val="nil"/>
          <w:bottom w:val="nil"/>
          <w:right w:val="nil"/>
          <w:between w:val="nil"/>
        </w:pBdr>
        <w:spacing w:after="0" w:line="240" w:lineRule="auto"/>
        <w:ind w:firstLine="709"/>
        <w:jc w:val="both"/>
        <w:rPr>
          <w:rFonts w:ascii="Century Gothic" w:hAnsi="Century Gothic" w:eastAsia="Arial" w:cs="Arial"/>
          <w:color w:val="000000"/>
          <w:sz w:val="16"/>
          <w:szCs w:val="16"/>
        </w:rPr>
      </w:pPr>
      <w:r w:rsidRPr="003439D8">
        <w:rPr>
          <w:rFonts w:ascii="Century Gothic" w:hAnsi="Century Gothic" w:cs="Arial"/>
          <w:sz w:val="16"/>
          <w:szCs w:val="16"/>
          <w:vertAlign w:val="superscript"/>
        </w:rPr>
        <w:footnoteRef/>
      </w:r>
      <w:r w:rsidRPr="003439D8">
        <w:rPr>
          <w:rFonts w:ascii="Century Gothic" w:hAnsi="Century Gothic" w:eastAsia="Arial" w:cs="Arial"/>
          <w:color w:val="000000"/>
          <w:sz w:val="16"/>
          <w:szCs w:val="16"/>
          <w:vertAlign w:val="superscript"/>
        </w:rPr>
        <w:t xml:space="preserve"> </w:t>
      </w:r>
      <w:r w:rsidRPr="003439D8">
        <w:rPr>
          <w:rFonts w:ascii="Century Gothic" w:hAnsi="Century Gothic" w:eastAsia="Arial" w:cs="Arial"/>
          <w:color w:val="000000"/>
          <w:sz w:val="16"/>
          <w:szCs w:val="16"/>
        </w:rPr>
        <w:t>Consejo de Estado. Sección Tercera. Subsección A. Sentencia del 5 de julio de 2018. Exp. 37.834. Consejero Ponente: Carlos Alberto Zambrano Barrera.</w:t>
      </w:r>
    </w:p>
  </w:footnote>
  <w:footnote w:id="11">
    <w:p w:rsidRPr="003439D8" w:rsidR="008923A8" w:rsidP="008923A8" w:rsidRDefault="008923A8" w14:paraId="43E94CF1" w14:textId="77777777">
      <w:pPr>
        <w:pBdr>
          <w:top w:val="nil"/>
          <w:left w:val="nil"/>
          <w:bottom w:val="nil"/>
          <w:right w:val="nil"/>
          <w:between w:val="nil"/>
        </w:pBdr>
        <w:spacing w:after="0"/>
        <w:ind w:firstLine="709"/>
        <w:jc w:val="both"/>
        <w:rPr>
          <w:rFonts w:ascii="Century Gothic" w:hAnsi="Century Gothic" w:eastAsia="Arial" w:cs="Arial"/>
          <w:color w:val="000000"/>
          <w:sz w:val="16"/>
          <w:szCs w:val="16"/>
        </w:rPr>
      </w:pPr>
      <w:r w:rsidRPr="003439D8">
        <w:rPr>
          <w:rFonts w:ascii="Century Gothic" w:hAnsi="Century Gothic" w:cs="Arial"/>
          <w:sz w:val="16"/>
          <w:szCs w:val="16"/>
          <w:vertAlign w:val="superscript"/>
        </w:rPr>
        <w:footnoteRef/>
      </w:r>
      <w:r w:rsidRPr="003439D8">
        <w:rPr>
          <w:rFonts w:ascii="Century Gothic" w:hAnsi="Century Gothic" w:eastAsia="Arial" w:cs="Arial"/>
          <w:color w:val="000000"/>
          <w:sz w:val="16"/>
          <w:szCs w:val="16"/>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footnote>
  <w:footnote w:id="12">
    <w:p w:rsidRPr="003439D8" w:rsidR="008923A8" w:rsidP="008923A8" w:rsidRDefault="008923A8" w14:paraId="683986F3" w14:textId="77777777">
      <w:pPr>
        <w:pBdr>
          <w:top w:val="nil"/>
          <w:left w:val="nil"/>
          <w:bottom w:val="nil"/>
          <w:right w:val="nil"/>
          <w:between w:val="nil"/>
        </w:pBdr>
        <w:spacing w:after="0"/>
        <w:ind w:firstLine="709"/>
        <w:jc w:val="both"/>
        <w:rPr>
          <w:rFonts w:ascii="Century Gothic" w:hAnsi="Century Gothic" w:eastAsia="Arial" w:cs="Arial"/>
          <w:color w:val="000000"/>
          <w:sz w:val="16"/>
          <w:szCs w:val="16"/>
        </w:rPr>
      </w:pPr>
      <w:r w:rsidRPr="003439D8">
        <w:rPr>
          <w:rFonts w:ascii="Century Gothic" w:hAnsi="Century Gothic" w:cs="Arial"/>
          <w:sz w:val="16"/>
          <w:szCs w:val="16"/>
          <w:vertAlign w:val="superscript"/>
        </w:rPr>
        <w:footnoteRef/>
      </w:r>
      <w:r w:rsidRPr="003439D8">
        <w:rPr>
          <w:rFonts w:ascii="Century Gothic" w:hAnsi="Century Gothic" w:eastAsia="Arial" w:cs="Arial"/>
          <w:color w:val="000000"/>
          <w:sz w:val="16"/>
          <w:szCs w:val="16"/>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13">
    <w:p w:rsidRPr="003439D8" w:rsidR="008923A8" w:rsidP="008923A8" w:rsidRDefault="008923A8" w14:paraId="01FB0A79" w14:textId="77777777">
      <w:pPr>
        <w:pBdr>
          <w:top w:val="nil"/>
          <w:left w:val="nil"/>
          <w:bottom w:val="nil"/>
          <w:right w:val="nil"/>
          <w:between w:val="nil"/>
        </w:pBdr>
        <w:spacing w:after="0"/>
        <w:ind w:firstLine="709"/>
        <w:jc w:val="both"/>
        <w:rPr>
          <w:rFonts w:ascii="Century Gothic" w:hAnsi="Century Gothic" w:eastAsia="Arial" w:cs="Arial"/>
          <w:color w:val="000000"/>
          <w:sz w:val="16"/>
          <w:szCs w:val="16"/>
        </w:rPr>
      </w:pPr>
      <w:r w:rsidRPr="003439D8">
        <w:rPr>
          <w:rFonts w:ascii="Century Gothic" w:hAnsi="Century Gothic" w:cs="Arial"/>
          <w:sz w:val="16"/>
          <w:szCs w:val="16"/>
          <w:vertAlign w:val="superscript"/>
        </w:rPr>
        <w:footnoteRef/>
      </w:r>
      <w:r w:rsidRPr="003439D8">
        <w:rPr>
          <w:rFonts w:ascii="Century Gothic" w:hAnsi="Century Gothic" w:eastAsia="Arial" w:cs="Arial"/>
          <w:color w:val="000000"/>
          <w:sz w:val="16"/>
          <w:szCs w:val="16"/>
        </w:rPr>
        <w:t xml:space="preserve"> Consejo de Estado. Sección Tercera, Subsección C. Sentencia del 26 de febrero de 2014. C.P. Enrique Gil Botero, Rad. 1999-00113-01 (25.804). </w:t>
      </w:r>
    </w:p>
  </w:footnote>
  <w:footnote w:id="14">
    <w:p w:rsidRPr="003439D8" w:rsidR="008923A8" w:rsidP="008923A8" w:rsidRDefault="008923A8" w14:paraId="16CD708B" w14:textId="77777777">
      <w:pPr>
        <w:pBdr>
          <w:top w:val="nil"/>
          <w:left w:val="nil"/>
          <w:bottom w:val="nil"/>
          <w:right w:val="nil"/>
          <w:between w:val="nil"/>
        </w:pBdr>
        <w:spacing w:after="0"/>
        <w:ind w:firstLine="709"/>
        <w:jc w:val="both"/>
        <w:rPr>
          <w:rFonts w:ascii="Century Gothic" w:hAnsi="Century Gothic" w:eastAsia="Arial" w:cs="Arial"/>
          <w:color w:val="000000"/>
          <w:sz w:val="16"/>
          <w:szCs w:val="16"/>
        </w:rPr>
      </w:pPr>
      <w:r w:rsidRPr="003439D8">
        <w:rPr>
          <w:rFonts w:ascii="Century Gothic" w:hAnsi="Century Gothic" w:cs="Arial"/>
          <w:sz w:val="16"/>
          <w:szCs w:val="16"/>
          <w:vertAlign w:val="superscript"/>
        </w:rPr>
        <w:footnoteRef/>
      </w:r>
      <w:r w:rsidRPr="003439D8">
        <w:rPr>
          <w:rFonts w:ascii="Century Gothic" w:hAnsi="Century Gothic" w:eastAsia="Arial" w:cs="Arial"/>
          <w:color w:val="000000"/>
          <w:sz w:val="16"/>
          <w:szCs w:val="16"/>
          <w:vertAlign w:val="superscript"/>
        </w:rPr>
        <w:t xml:space="preserve"> </w:t>
      </w:r>
      <w:r w:rsidRPr="003439D8">
        <w:rPr>
          <w:rFonts w:ascii="Century Gothic" w:hAnsi="Century Gothic" w:eastAsia="Arial" w:cs="Arial"/>
          <w:color w:val="000000"/>
          <w:sz w:val="16"/>
          <w:szCs w:val="16"/>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footnote>
  <w:footnote w:id="15">
    <w:p w:rsidRPr="003439D8" w:rsidR="008923A8" w:rsidP="008923A8" w:rsidRDefault="008923A8" w14:paraId="62633AE5" w14:textId="77777777">
      <w:pPr>
        <w:spacing w:after="0"/>
        <w:ind w:firstLine="709"/>
        <w:jc w:val="both"/>
        <w:rPr>
          <w:rFonts w:ascii="Century Gothic" w:hAnsi="Century Gothic" w:eastAsia="Arial" w:cs="Arial"/>
          <w:color w:val="000000"/>
          <w:sz w:val="16"/>
          <w:szCs w:val="16"/>
        </w:rPr>
      </w:pPr>
      <w:r w:rsidRPr="003439D8">
        <w:rPr>
          <w:rFonts w:ascii="Century Gothic" w:hAnsi="Century Gothic" w:cs="Arial"/>
          <w:sz w:val="16"/>
          <w:szCs w:val="16"/>
          <w:vertAlign w:val="superscript"/>
        </w:rPr>
        <w:footnoteRef/>
      </w:r>
      <w:r w:rsidRPr="003439D8">
        <w:rPr>
          <w:rFonts w:ascii="Century Gothic" w:hAnsi="Century Gothic" w:eastAsia="Arial" w:cs="Arial"/>
          <w:color w:val="000000"/>
          <w:sz w:val="16"/>
          <w:szCs w:val="16"/>
        </w:rPr>
        <w:t xml:space="preserve"> Decreto 2474 de 2008 (DEROGADO): “art. 10. Reglas de subsanabilidad. 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entidad en el pliego de condiciones, de conformidad con lo previsto en los numerales 2º, 3º y 4º del artículo 5º de la </w:t>
      </w:r>
      <w:hyperlink r:id="rId2">
        <w:r w:rsidRPr="003439D8">
          <w:rPr>
            <w:rFonts w:ascii="Century Gothic" w:hAnsi="Century Gothic" w:eastAsia="Arial" w:cs="Arial"/>
            <w:color w:val="000000"/>
            <w:sz w:val="16"/>
            <w:szCs w:val="16"/>
          </w:rPr>
          <w:t>Ley 1150 de 2007</w:t>
        </w:r>
      </w:hyperlink>
      <w:r w:rsidRPr="003439D8">
        <w:rPr>
          <w:rFonts w:ascii="Century Gothic" w:hAnsi="Century Gothic" w:eastAsia="Arial" w:cs="Arial"/>
          <w:color w:val="000000"/>
          <w:sz w:val="16"/>
          <w:szCs w:val="16"/>
        </w:rPr>
        <w:t> y en el presente decreto.</w:t>
      </w:r>
    </w:p>
    <w:p w:rsidRPr="003439D8" w:rsidR="008923A8" w:rsidP="008923A8" w:rsidRDefault="008923A8" w14:paraId="13D74F17" w14:textId="77777777">
      <w:pPr>
        <w:spacing w:after="0"/>
        <w:ind w:firstLine="709"/>
        <w:jc w:val="both"/>
        <w:rPr>
          <w:rFonts w:ascii="Century Gothic" w:hAnsi="Century Gothic" w:eastAsia="Arial" w:cs="Arial"/>
          <w:color w:val="000000"/>
          <w:sz w:val="16"/>
          <w:szCs w:val="16"/>
        </w:rPr>
      </w:pPr>
      <w:r w:rsidRPr="003439D8">
        <w:rPr>
          <w:rFonts w:ascii="Century Gothic" w:hAnsi="Century Gothic" w:eastAsia="Arial" w:cs="Arial"/>
          <w:color w:val="000000"/>
          <w:sz w:val="16"/>
          <w:szCs w:val="16"/>
        </w:rPr>
        <w:t>Tales requisitos o documentos podrán ser requeridos por la entidad en condiciones de igualdad para todos los proponentes hasta la adjudicación, o hasta el momento en que la entidad lo establezca en los pliegos de condiciones, sin que tal previsión haga nugatorio el principio contemplado en el inciso anterior.</w:t>
      </w:r>
    </w:p>
    <w:p w:rsidRPr="003439D8" w:rsidR="008923A8" w:rsidP="008923A8" w:rsidRDefault="008923A8" w14:paraId="4601EE69" w14:textId="77777777">
      <w:pPr>
        <w:spacing w:after="0"/>
        <w:ind w:firstLine="709"/>
        <w:jc w:val="both"/>
        <w:rPr>
          <w:rFonts w:ascii="Century Gothic" w:hAnsi="Century Gothic" w:eastAsia="Arial" w:cs="Arial"/>
          <w:color w:val="000000"/>
          <w:sz w:val="16"/>
          <w:szCs w:val="16"/>
        </w:rPr>
      </w:pPr>
      <w:r w:rsidRPr="003439D8">
        <w:rPr>
          <w:rFonts w:ascii="Century Gothic" w:hAnsi="Century Gothic" w:eastAsia="Arial" w:cs="Arial"/>
          <w:color w:val="000000"/>
          <w:sz w:val="16"/>
          <w:szCs w:val="16"/>
        </w:rPr>
        <w:t>Será rechazada la oferta del proponente que dentro del término previsto en el pliego o en la solicitud, no responda al requerimiento que le haga la entidad para subsanarla.</w:t>
      </w:r>
    </w:p>
    <w:p w:rsidRPr="003439D8" w:rsidR="008923A8" w:rsidP="008923A8" w:rsidRDefault="008923A8" w14:paraId="53240FCE" w14:textId="77777777">
      <w:pPr>
        <w:spacing w:after="0"/>
        <w:ind w:firstLine="709"/>
        <w:jc w:val="both"/>
        <w:rPr>
          <w:rFonts w:ascii="Century Gothic" w:hAnsi="Century Gothic" w:eastAsia="Arial" w:cs="Arial"/>
          <w:color w:val="000000"/>
          <w:sz w:val="16"/>
          <w:szCs w:val="16"/>
        </w:rPr>
      </w:pPr>
      <w:r w:rsidRPr="003439D8">
        <w:rPr>
          <w:rFonts w:ascii="Century Gothic" w:hAnsi="Century Gothic" w:eastAsia="Arial" w:cs="Arial"/>
          <w:color w:val="000000"/>
          <w:sz w:val="16"/>
          <w:szCs w:val="16"/>
        </w:rPr>
        <w:t>Cuando se utilice el mecanismo de subasta esta posibilidad deberá ejercerse hasta el momento previo a su realización, de conformidad con el artículo 22 del presente decreto.</w:t>
      </w:r>
    </w:p>
    <w:p w:rsidRPr="003439D8" w:rsidR="008923A8" w:rsidP="008923A8" w:rsidRDefault="008923A8" w14:paraId="297F2DA0" w14:textId="77777777">
      <w:pPr>
        <w:spacing w:after="0"/>
        <w:ind w:firstLine="709"/>
        <w:jc w:val="both"/>
        <w:rPr>
          <w:rFonts w:ascii="Century Gothic" w:hAnsi="Century Gothic" w:eastAsia="Arial" w:cs="Arial"/>
          <w:color w:val="000000"/>
          <w:sz w:val="16"/>
          <w:szCs w:val="16"/>
        </w:rPr>
      </w:pPr>
      <w:r w:rsidRPr="003439D8">
        <w:rPr>
          <w:rFonts w:ascii="Century Gothic" w:hAnsi="Century Gothic" w:eastAsia="Arial" w:cs="Arial"/>
          <w:color w:val="000000"/>
          <w:sz w:val="16"/>
          <w:szCs w:val="16"/>
        </w:rPr>
        <w:t xml:space="preserve">En ningún caso la entidad podrá señalar taxativamente los requisitos o documentos subsanables o no subsanables en el pliego de condiciones, </w:t>
      </w:r>
      <w:r w:rsidRPr="003439D8">
        <w:rPr>
          <w:rFonts w:ascii="Century Gothic" w:hAnsi="Century Gothic" w:eastAsia="Arial" w:cs="Arial"/>
          <w:i/>
          <w:color w:val="000000"/>
          <w:sz w:val="16"/>
          <w:szCs w:val="16"/>
        </w:rPr>
        <w:t>ni permitir que se subsane la falta de capacidad para presentar la oferta, ni que se acrediten circunstancias ocurridas con posterioridad al cierre del proceso</w:t>
      </w:r>
      <w:r w:rsidRPr="003439D8">
        <w:rPr>
          <w:rFonts w:ascii="Century Gothic" w:hAnsi="Century Gothic" w:eastAsia="Arial" w:cs="Arial"/>
          <w:color w:val="000000"/>
          <w:sz w:val="16"/>
          <w:szCs w:val="16"/>
        </w:rPr>
        <w:t xml:space="preserve">”. (Cursivas fuera de texto). </w:t>
      </w:r>
    </w:p>
  </w:footnote>
  <w:footnote w:id="16">
    <w:p w:rsidRPr="003439D8" w:rsidR="008923A8" w:rsidP="008923A8" w:rsidRDefault="008923A8" w14:paraId="0F061A29" w14:textId="77777777">
      <w:pPr>
        <w:pBdr>
          <w:top w:val="nil"/>
          <w:left w:val="nil"/>
          <w:bottom w:val="nil"/>
          <w:right w:val="nil"/>
          <w:between w:val="nil"/>
        </w:pBdr>
        <w:spacing w:after="0"/>
        <w:ind w:firstLine="709"/>
        <w:jc w:val="both"/>
        <w:rPr>
          <w:rFonts w:ascii="Century Gothic" w:hAnsi="Century Gothic" w:eastAsia="Arial" w:cs="Arial"/>
          <w:color w:val="000000"/>
          <w:sz w:val="16"/>
          <w:szCs w:val="16"/>
        </w:rPr>
      </w:pPr>
      <w:r w:rsidRPr="003439D8">
        <w:rPr>
          <w:rFonts w:ascii="Century Gothic" w:hAnsi="Century Gothic" w:cs="Arial"/>
          <w:sz w:val="16"/>
          <w:szCs w:val="16"/>
          <w:vertAlign w:val="superscript"/>
        </w:rPr>
        <w:footnoteRef/>
      </w:r>
      <w:r w:rsidRPr="003439D8">
        <w:rPr>
          <w:rFonts w:ascii="Century Gothic" w:hAnsi="Century Gothic" w:eastAsia="Arial" w:cs="Arial"/>
          <w:color w:val="000000"/>
          <w:sz w:val="16"/>
          <w:szCs w:val="16"/>
        </w:rPr>
        <w:t xml:space="preserve"> Consejo de Estado, Sala de Consulta y Servicio Civil, concepto del 6 de noviembre de 2008. C.P. William Zambrano Cetina. Rad. 2008-00079-00(1927).</w:t>
      </w:r>
    </w:p>
  </w:footnote>
  <w:footnote w:id="17">
    <w:p w:rsidRPr="003439D8" w:rsidR="008923A8" w:rsidP="008923A8" w:rsidRDefault="008923A8" w14:paraId="782651DC" w14:textId="77777777">
      <w:pPr>
        <w:pBdr>
          <w:top w:val="nil"/>
          <w:left w:val="nil"/>
          <w:bottom w:val="nil"/>
          <w:right w:val="nil"/>
          <w:between w:val="nil"/>
        </w:pBdr>
        <w:spacing w:after="0"/>
        <w:ind w:firstLine="709"/>
        <w:jc w:val="both"/>
        <w:rPr>
          <w:rFonts w:ascii="Century Gothic" w:hAnsi="Century Gothic" w:eastAsia="Arial" w:cs="Arial"/>
          <w:color w:val="000000"/>
          <w:sz w:val="16"/>
          <w:szCs w:val="16"/>
        </w:rPr>
      </w:pPr>
      <w:r w:rsidRPr="003439D8">
        <w:rPr>
          <w:rFonts w:ascii="Century Gothic" w:hAnsi="Century Gothic" w:cs="Arial"/>
          <w:sz w:val="16"/>
          <w:szCs w:val="16"/>
          <w:vertAlign w:val="superscript"/>
        </w:rPr>
        <w:footnoteRef/>
      </w:r>
      <w:r w:rsidRPr="003439D8">
        <w:rPr>
          <w:rFonts w:ascii="Century Gothic" w:hAnsi="Century Gothic" w:eastAsia="Arial" w:cs="Arial"/>
          <w:color w:val="000000"/>
          <w:sz w:val="16"/>
          <w:szCs w:val="16"/>
        </w:rPr>
        <w:t xml:space="preserve"> Ver Consejo de Estado, Sección Tercera, Subsección C. Sentencia del 26 de febrero de 2011. C.P. Jaime Orlando Santofimio. Rad. 36.408.  </w:t>
      </w:r>
    </w:p>
  </w:footnote>
  <w:footnote w:id="18">
    <w:p w:rsidRPr="003439D8" w:rsidR="008923A8" w:rsidP="008923A8" w:rsidRDefault="008923A8" w14:paraId="711F6340" w14:textId="77777777">
      <w:pPr>
        <w:pBdr>
          <w:top w:val="nil"/>
          <w:left w:val="nil"/>
          <w:bottom w:val="nil"/>
          <w:right w:val="nil"/>
          <w:between w:val="nil"/>
        </w:pBdr>
        <w:spacing w:after="0"/>
        <w:ind w:firstLine="709"/>
        <w:jc w:val="both"/>
        <w:rPr>
          <w:rFonts w:ascii="Century Gothic" w:hAnsi="Century Gothic" w:eastAsia="Arial" w:cs="Arial"/>
          <w:color w:val="000000"/>
          <w:sz w:val="16"/>
          <w:szCs w:val="16"/>
        </w:rPr>
      </w:pPr>
      <w:r w:rsidRPr="003439D8">
        <w:rPr>
          <w:rFonts w:ascii="Century Gothic" w:hAnsi="Century Gothic" w:cs="Arial"/>
          <w:sz w:val="16"/>
          <w:szCs w:val="16"/>
          <w:vertAlign w:val="superscript"/>
        </w:rPr>
        <w:footnoteRef/>
      </w:r>
      <w:r w:rsidRPr="003439D8">
        <w:rPr>
          <w:rFonts w:ascii="Century Gothic" w:hAnsi="Century Gothic" w:eastAsia="Arial" w:cs="Arial"/>
          <w:color w:val="000000"/>
          <w:sz w:val="16"/>
          <w:szCs w:val="16"/>
        </w:rPr>
        <w:t xml:space="preserve"> Ver Consejo de Estado, Sección Tercera, Subsección C. Sentencia del 26 de febrero de 2014. C.P. Enrique Gil Botero. Rad. 25.804.  </w:t>
      </w:r>
    </w:p>
  </w:footnote>
  <w:footnote w:id="19">
    <w:p w:rsidRPr="003439D8" w:rsidR="008923A8" w:rsidP="008923A8" w:rsidRDefault="008923A8" w14:paraId="5C2F71AE" w14:textId="77777777">
      <w:pPr>
        <w:pBdr>
          <w:top w:val="nil"/>
          <w:left w:val="nil"/>
          <w:bottom w:val="nil"/>
          <w:right w:val="nil"/>
          <w:between w:val="nil"/>
        </w:pBdr>
        <w:spacing w:after="0"/>
        <w:ind w:firstLine="709"/>
        <w:jc w:val="both"/>
        <w:rPr>
          <w:rFonts w:ascii="Century Gothic" w:hAnsi="Century Gothic" w:eastAsia="Arial" w:cs="Arial"/>
          <w:color w:val="000000"/>
          <w:sz w:val="16"/>
          <w:szCs w:val="16"/>
        </w:rPr>
      </w:pPr>
      <w:r w:rsidRPr="003439D8">
        <w:rPr>
          <w:rFonts w:ascii="Century Gothic" w:hAnsi="Century Gothic" w:cs="Arial"/>
          <w:sz w:val="16"/>
          <w:szCs w:val="16"/>
          <w:vertAlign w:val="superscript"/>
        </w:rPr>
        <w:footnoteRef/>
      </w:r>
      <w:r w:rsidRPr="003439D8">
        <w:rPr>
          <w:rFonts w:ascii="Century Gothic" w:hAnsi="Century Gothic" w:eastAsia="Arial" w:cs="Arial"/>
          <w:color w:val="000000"/>
          <w:sz w:val="16"/>
          <w:szCs w:val="16"/>
        </w:rPr>
        <w:t xml:space="preserve"> Consejo de Estado, Sala de Consulta y Servicio Civil, concepto del 20 de mayo de 2010. C.P. Enrique José Arboleda Perdomo. Rad. 2010-00034-00(1992).</w:t>
      </w:r>
    </w:p>
    <w:p w:rsidRPr="003439D8" w:rsidR="008923A8" w:rsidP="008923A8" w:rsidRDefault="008923A8" w14:paraId="2328FB8D" w14:textId="77777777">
      <w:pPr>
        <w:pBdr>
          <w:top w:val="nil"/>
          <w:left w:val="nil"/>
          <w:bottom w:val="nil"/>
          <w:right w:val="nil"/>
          <w:between w:val="nil"/>
        </w:pBdr>
        <w:spacing w:after="0"/>
        <w:ind w:firstLine="709"/>
        <w:jc w:val="both"/>
        <w:rPr>
          <w:rFonts w:ascii="Century Gothic" w:hAnsi="Century Gothic" w:eastAsia="Arial" w:cs="Arial"/>
          <w:color w:val="00000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923A8" w:rsidRDefault="008923A8" w14:paraId="764713CE" w14:textId="77777777">
    <w:pPr>
      <w:pStyle w:val="Encabezado"/>
    </w:pPr>
    <w:r>
      <w:rPr>
        <w:noProof/>
      </w:rPr>
      <w:drawing>
        <wp:anchor distT="0" distB="0" distL="114300" distR="114300" simplePos="0" relativeHeight="251659264" behindDoc="1" locked="0" layoutInCell="1" allowOverlap="1" wp14:anchorId="68ED7228" wp14:editId="78415FF7">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 w:val="24"/>
        <w:szCs w:val="24"/>
      </w:rPr>
      <w:drawing>
        <wp:anchor distT="0" distB="0" distL="114300" distR="114300" simplePos="0" relativeHeight="251663360" behindDoc="0" locked="0" layoutInCell="1" allowOverlap="1" wp14:anchorId="7F0B7519" wp14:editId="75982F5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1312" behindDoc="0" locked="0" layoutInCell="1" allowOverlap="1" wp14:anchorId="6A5D5F7E" wp14:editId="1B254FD9">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17500F7" wp14:editId="00B2C200">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8923A8" w:rsidRDefault="008923A8" w14:paraId="1FCFBFE5" w14:textId="77777777">
    <w:pPr>
      <w:pStyle w:val="Encabezado"/>
    </w:pPr>
  </w:p>
  <w:p w:rsidR="008923A8" w:rsidRDefault="008923A8" w14:paraId="000189FD" w14:textId="77777777">
    <w:pPr>
      <w:pStyle w:val="Encabezado"/>
    </w:pPr>
  </w:p>
  <w:p w:rsidRPr="004A305D" w:rsidR="008923A8" w:rsidP="004A305D" w:rsidRDefault="008923A8" w14:paraId="56176190" w14:textId="77777777">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8923A8" w:rsidP="004A305D" w:rsidRDefault="008923A8" w14:paraId="5A06A30F" w14:textId="77777777">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Pr>
        <w:rFonts w:ascii="Century Gothic" w:hAnsi="Century Gothic" w:eastAsia="Geo" w:cs="Geo"/>
        <w:bCs/>
        <w:color w:val="000000"/>
        <w:sz w:val="16"/>
        <w:szCs w:val="16"/>
        <w:lang w:eastAsia="es-CO"/>
      </w:rPr>
      <w:t>13</w:t>
    </w:r>
  </w:p>
  <w:p w:rsidRPr="004A305D" w:rsidR="008923A8" w:rsidP="004A305D" w:rsidRDefault="008923A8" w14:paraId="4BAA64AB" w14:textId="77777777">
    <w:pPr>
      <w:spacing w:after="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Pr>
        <w:rFonts w:ascii="Century Gothic" w:hAnsi="Century Gothic" w:eastAsia="Geo" w:cs="Geo"/>
        <w:sz w:val="16"/>
        <w:szCs w:val="16"/>
        <w:lang w:eastAsia="es-CO"/>
      </w:rPr>
      <w:t>0</w:t>
    </w:r>
    <w:r>
      <w:rPr>
        <w:rFonts w:ascii="Century Gothic" w:hAnsi="Century Gothic" w:eastAsia="Geo" w:cs="Geo"/>
        <w:sz w:val="16"/>
        <w:szCs w:val="16"/>
        <w:lang w:eastAsia="es-CO"/>
      </w:rPr>
      <w:t>1</w:t>
    </w:r>
    <w:r w:rsidRPr="004A305D">
      <w:rPr>
        <w:rFonts w:ascii="Century Gothic" w:hAnsi="Century Gothic" w:eastAsia="Geo" w:cs="Geo"/>
        <w:sz w:val="16"/>
        <w:szCs w:val="16"/>
        <w:lang w:eastAsia="es-CO"/>
      </w:rPr>
      <w:t xml:space="preserve"> DEL </w:t>
    </w:r>
    <w:r>
      <w:rPr>
        <w:rFonts w:ascii="Century Gothic" w:hAnsi="Century Gothic" w:eastAsia="Geo" w:cs="Geo"/>
        <w:sz w:val="16"/>
        <w:szCs w:val="16"/>
        <w:lang w:eastAsia="es-CO"/>
      </w:rPr>
      <w:t xml:space="preserve">15 </w:t>
    </w:r>
    <w:r w:rsidRPr="004A305D">
      <w:rPr>
        <w:rFonts w:ascii="Century Gothic" w:hAnsi="Century Gothic" w:eastAsia="Geo" w:cs="Geo"/>
        <w:sz w:val="16"/>
        <w:szCs w:val="16"/>
        <w:lang w:eastAsia="es-CO"/>
      </w:rPr>
      <w:t xml:space="preserve">DE </w:t>
    </w:r>
    <w:r>
      <w:rPr>
        <w:rFonts w:ascii="Century Gothic" w:hAnsi="Century Gothic" w:eastAsia="Geo" w:cs="Geo"/>
        <w:sz w:val="16"/>
        <w:szCs w:val="16"/>
        <w:lang w:eastAsia="es-CO"/>
      </w:rPr>
      <w:t>JUNIO</w:t>
    </w:r>
    <w:r w:rsidRPr="004A305D">
      <w:rPr>
        <w:rFonts w:ascii="Century Gothic" w:hAnsi="Century Gothic" w:eastAsia="Geo" w:cs="Geo"/>
        <w:sz w:val="16"/>
        <w:szCs w:val="16"/>
        <w:lang w:eastAsia="es-CO"/>
      </w:rPr>
      <w:t xml:space="preserve"> DE 202</w:t>
    </w:r>
    <w:r>
      <w:rPr>
        <w:rFonts w:ascii="Century Gothic" w:hAnsi="Century Gothic" w:eastAsia="Geo" w:cs="Geo"/>
        <w:sz w:val="16"/>
        <w:szCs w:val="16"/>
        <w:lang w:eastAsia="es-CO"/>
      </w:rPr>
      <w:t>3</w:t>
    </w:r>
  </w:p>
  <w:p w:rsidR="008923A8" w:rsidRDefault="008923A8" w14:paraId="62E4D560" w14:textId="77777777">
    <w:pPr>
      <w:pStyle w:val="Encabezado"/>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A8"/>
    <w:rsid w:val="003D5E39"/>
    <w:rsid w:val="005818E2"/>
    <w:rsid w:val="006951BA"/>
    <w:rsid w:val="008923A8"/>
    <w:rsid w:val="008E5C2E"/>
    <w:rsid w:val="049817C3"/>
    <w:rsid w:val="07CABB83"/>
    <w:rsid w:val="17449196"/>
    <w:rsid w:val="3DCFD677"/>
    <w:rsid w:val="5C2E3121"/>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C7C0F"/>
  <w15:chartTrackingRefBased/>
  <w15:docId w15:val="{AF0A6F8F-E388-46C4-9227-C3C3A9B53E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23A8"/>
    <w:rPr>
      <w:kern w:val="0"/>
      <w14:ligatures w14:val="none"/>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8923A8"/>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8923A8"/>
    <w:rPr>
      <w:kern w:val="0"/>
      <w14:ligatures w14:val="none"/>
    </w:rPr>
  </w:style>
  <w:style w:type="paragraph" w:styleId="Piedepgina">
    <w:name w:val="footer"/>
    <w:basedOn w:val="Normal"/>
    <w:link w:val="PiedepginaCar"/>
    <w:uiPriority w:val="99"/>
    <w:unhideWhenUsed/>
    <w:rsid w:val="008923A8"/>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923A8"/>
    <w:rPr>
      <w:kern w:val="0"/>
      <w14:ligatures w14:val="none"/>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923A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8923A8"/>
    <w:pPr>
      <w:spacing w:after="0" w:line="240" w:lineRule="auto"/>
    </w:pPr>
    <w:rPr>
      <w:kern w:val="2"/>
      <w:sz w:val="20"/>
      <w:szCs w:val="20"/>
      <w:lang w:val="es-MX"/>
      <w14:ligatures w14:val="standardContextual"/>
    </w:rPr>
  </w:style>
  <w:style w:type="character" w:styleId="TextonotapieCar1" w:customStyle="1">
    <w:name w:val="Texto nota pie Car1"/>
    <w:basedOn w:val="Fuentedeprrafopredeter"/>
    <w:uiPriority w:val="99"/>
    <w:semiHidden/>
    <w:rsid w:val="008923A8"/>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923A8"/>
    <w:rPr>
      <w:vertAlign w:val="superscript"/>
    </w:rPr>
  </w:style>
  <w:style w:type="table" w:styleId="Tablaconcuadrcula">
    <w:name w:val="Table Grid"/>
    <w:basedOn w:val="Tablanormal"/>
    <w:uiPriority w:val="39"/>
    <w:rsid w:val="008923A8"/>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semiHidden/>
    <w:unhideWhenUsed/>
    <w:rsid w:val="008923A8"/>
    <w:rPr>
      <w:color w:val="0000FF"/>
      <w:u w:val="single"/>
    </w:rPr>
  </w:style>
  <w:style w:type="paragraph" w:styleId="Appelnotedebasde" w:customStyle="1">
    <w:name w:val="Appel note de bas de..."/>
    <w:basedOn w:val="Normal"/>
    <w:link w:val="Refdenotaalpie"/>
    <w:uiPriority w:val="99"/>
    <w:rsid w:val="008923A8"/>
    <w:pPr>
      <w:spacing w:line="240" w:lineRule="exact"/>
    </w:pPr>
    <w:rPr>
      <w:kern w:val="2"/>
      <w:vertAlign w:val="superscript"/>
      <w14:ligatures w14:val="standardContextual"/>
    </w:rPr>
  </w:style>
  <w:style w:type="table" w:styleId="Tablaconcuadrcula1" w:customStyle="1">
    <w:name w:val="Tabla con cuadrícula1"/>
    <w:basedOn w:val="Tablanormal"/>
    <w:next w:val="Tablaconcuadrcula"/>
    <w:uiPriority w:val="39"/>
    <w:rsid w:val="008923A8"/>
    <w:pPr>
      <w:spacing w:after="0" w:line="240" w:lineRule="auto"/>
      <w:jc w:val="both"/>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11" w:customStyle="1">
    <w:name w:val="Tabla con cuadrícula11"/>
    <w:basedOn w:val="Tablanormal"/>
    <w:next w:val="Tablaconcuadrcula"/>
    <w:uiPriority w:val="39"/>
    <w:rsid w:val="008923A8"/>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82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hyperlink" Target="mailto:licitacionesappcontroljp@gmail.com" TargetMode="Externa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www.lexbase.biz/lexbase/normas/leyes/2007/L1150de2007.htm" TargetMode="External"/><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E56AF-B385-41C1-8D46-281044E35F46}">
  <ds:schemaRefs>
    <ds:schemaRef ds:uri="http://purl.org/dc/dcmitype/"/>
    <ds:schemaRef ds:uri="http://schemas.openxmlformats.org/package/2006/metadata/core-properties"/>
    <ds:schemaRef ds:uri="http://schemas.microsoft.com/office/infopath/2007/PartnerControls"/>
    <ds:schemaRef ds:uri="http://purl.org/dc/elements/1.1/"/>
    <ds:schemaRef ds:uri="a6cb9e4b-f1d1-4245-83ec-6cad768d538a"/>
    <ds:schemaRef ds:uri="http://purl.org/dc/terms/"/>
    <ds:schemaRef ds:uri="http://schemas.microsoft.com/office/2006/documentManagement/types"/>
    <ds:schemaRef ds:uri="9d85dbaf-23eb-4e57-a637-93dcacc8b1a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A711631-45A3-4E2B-9500-541A4723E67C}">
  <ds:schemaRefs>
    <ds:schemaRef ds:uri="http://schemas.microsoft.com/sharepoint/v3/contenttype/forms"/>
  </ds:schemaRefs>
</ds:datastoreItem>
</file>

<file path=customXml/itemProps3.xml><?xml version="1.0" encoding="utf-8"?>
<ds:datastoreItem xmlns:ds="http://schemas.openxmlformats.org/officeDocument/2006/customXml" ds:itemID="{8554AE3A-701B-4DDD-83D9-D1A70E319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Jorge Mario Payares Villa</cp:lastModifiedBy>
  <cp:revision>3</cp:revision>
  <dcterms:created xsi:type="dcterms:W3CDTF">2023-08-31T16:02:00Z</dcterms:created>
  <dcterms:modified xsi:type="dcterms:W3CDTF">2023-08-31T17:57:23Z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