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408CF" w:rsidR="0015083D" w:rsidP="0015083D" w:rsidRDefault="0015083D" w14:paraId="1FBF304E" w14:textId="77777777">
      <w:pPr>
        <w:spacing w:after="0" w:line="240" w:lineRule="auto"/>
        <w:contextualSpacing/>
        <w:jc w:val="both"/>
        <w:rPr>
          <w:rFonts w:ascii="Arial" w:hAnsi="Arial" w:eastAsia="Calibri" w:cs="Arial"/>
          <w:b/>
          <w:bCs/>
          <w:lang w:val="es-MX" w:eastAsia="es-ES_tradnl"/>
          <w14:ligatures w14:val="standardContextual"/>
        </w:rPr>
      </w:pPr>
      <w:bookmarkStart w:name="_Hlk96417464" w:id="0"/>
      <w:bookmarkStart w:name="_Hlk120036210" w:id="1"/>
      <w:bookmarkStart w:name="_Hlk98867631" w:id="2"/>
      <w:bookmarkStart w:name="_Hlk99546921" w:id="3"/>
      <w:bookmarkStart w:name="_Hlk34951122" w:id="4"/>
      <w:r w:rsidRPr="001408CF">
        <w:rPr>
          <w:rFonts w:ascii="Arial" w:hAnsi="Arial" w:eastAsia="Calibri" w:cs="Arial"/>
          <w:b/>
          <w:bCs/>
          <w:lang w:val="es-MX" w:eastAsia="es-ES_tradnl"/>
          <w14:ligatures w14:val="standardContextual"/>
        </w:rPr>
        <w:t>FACTOR MULTIPLICADOR – Noción – Estipulación del precio – Contrato de consultoría</w:t>
      </w:r>
    </w:p>
    <w:p w:rsidRPr="001408CF" w:rsidR="0015083D" w:rsidP="0015083D" w:rsidRDefault="0015083D" w14:paraId="04ACD4F1" w14:textId="77777777">
      <w:pPr>
        <w:spacing w:after="0" w:line="240" w:lineRule="auto"/>
        <w:contextualSpacing/>
        <w:jc w:val="both"/>
        <w:rPr>
          <w:rFonts w:ascii="Arial" w:hAnsi="Arial" w:eastAsia="Calibri" w:cs="Arial"/>
          <w:b/>
          <w:bCs/>
          <w:lang w:val="es-MX" w:eastAsia="es-ES_tradnl"/>
          <w14:ligatures w14:val="standardContextual"/>
        </w:rPr>
      </w:pPr>
    </w:p>
    <w:p w:rsidRPr="001408CF" w:rsidR="0015083D" w:rsidP="0015083D" w:rsidRDefault="0015083D" w14:paraId="7571C24B"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r w:rsidRPr="001408CF">
        <w:rPr>
          <w:rFonts w:ascii="Arial" w:hAnsi="Arial" w:eastAsia="Times New Roman" w:cs="Arial"/>
          <w:noProof/>
          <w:sz w:val="20"/>
          <w:szCs w:val="20"/>
          <w:lang w:val="es-ES_tradnl" w:eastAsia="es-ES_tradnl"/>
          <w14:ligatures w14:val="standardContextual"/>
        </w:rPr>
        <w:t>En la estipulación del precio de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 . De esta manera se obtiene un subtotal de costos directos a partir de la sumatoria de los valores correspondientes a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rsidRPr="001408CF" w:rsidR="0015083D" w:rsidP="0015083D" w:rsidRDefault="0015083D" w14:paraId="28379F8C"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p>
    <w:p w:rsidRPr="001408CF" w:rsidR="0015083D" w:rsidP="0015083D" w:rsidRDefault="0015083D" w14:paraId="78F091B3" w14:textId="77777777">
      <w:pPr>
        <w:spacing w:after="0" w:line="240" w:lineRule="auto"/>
        <w:contextualSpacing/>
        <w:jc w:val="both"/>
        <w:rPr>
          <w:rFonts w:ascii="Arial" w:hAnsi="Arial" w:eastAsia="Calibri" w:cs="Arial"/>
          <w:b/>
          <w:bCs/>
          <w:lang w:val="es-MX" w:eastAsia="es-ES_tradnl"/>
          <w14:ligatures w14:val="standardContextual"/>
        </w:rPr>
      </w:pPr>
      <w:r w:rsidRPr="001408CF">
        <w:rPr>
          <w:rFonts w:ascii="Arial" w:hAnsi="Arial" w:eastAsia="Calibri" w:cs="Arial"/>
          <w:b/>
          <w:bCs/>
          <w:lang w:val="es-MX" w:eastAsia="es-ES_tradnl"/>
          <w14:ligatures w14:val="standardContextual"/>
        </w:rPr>
        <w:t>FACTOR MULTIPLICADOR – Ausencia de marco normativo – Deber de planeación – Principio de autonomía</w:t>
      </w:r>
    </w:p>
    <w:p w:rsidRPr="001408CF" w:rsidR="0015083D" w:rsidP="0015083D" w:rsidRDefault="0015083D" w14:paraId="40128A0C" w14:textId="77777777">
      <w:pPr>
        <w:spacing w:after="0" w:line="240" w:lineRule="auto"/>
        <w:contextualSpacing/>
        <w:jc w:val="both"/>
        <w:rPr>
          <w:rFonts w:ascii="Arial" w:hAnsi="Arial" w:eastAsia="Calibri" w:cs="Arial"/>
          <w:b/>
          <w:bCs/>
          <w:lang w:val="es-MX" w:eastAsia="es-ES_tradnl"/>
          <w14:ligatures w14:val="standardContextual"/>
        </w:rPr>
      </w:pPr>
    </w:p>
    <w:p w:rsidRPr="001408CF" w:rsidR="0015083D" w:rsidP="0015083D" w:rsidRDefault="0015083D" w14:paraId="2246B851"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r w:rsidRPr="001408CF">
        <w:rPr>
          <w:rFonts w:ascii="Arial" w:hAnsi="Arial" w:eastAsia="Times New Roman" w:cs="Arial"/>
          <w:noProof/>
          <w:sz w:val="20"/>
          <w:szCs w:val="20"/>
          <w:lang w:val="es-ES_tradnl" w:eastAsia="es-ES_tradnl"/>
          <w14:ligatures w14:val="standardContextual"/>
        </w:rPr>
        <w:t>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rsidRPr="001408CF" w:rsidR="0015083D" w:rsidP="0015083D" w:rsidRDefault="0015083D" w14:paraId="0E19B99F"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p>
    <w:p w:rsidRPr="001408CF" w:rsidR="0015083D" w:rsidP="0015083D" w:rsidRDefault="0015083D" w14:paraId="0BF2B31A"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r w:rsidRPr="001408CF">
        <w:rPr>
          <w:rFonts w:ascii="Arial" w:hAnsi="Arial" w:eastAsia="Times New Roman" w:cs="Arial"/>
          <w:noProof/>
          <w:sz w:val="20"/>
          <w:szCs w:val="20"/>
          <w:lang w:val="es-ES_tradnl" w:eastAsia="es-ES_tradnl"/>
          <w14:ligatures w14:val="standardContextual"/>
        </w:rPr>
        <w:t>[…]el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w:rsidRPr="001408CF" w:rsidR="0015083D" w:rsidP="0015083D" w:rsidRDefault="0015083D" w14:paraId="78CD919B" w14:textId="77777777">
      <w:pPr>
        <w:spacing w:after="0" w:line="240" w:lineRule="auto"/>
        <w:contextualSpacing/>
        <w:jc w:val="both"/>
        <w:rPr>
          <w:rFonts w:ascii="Arial" w:hAnsi="Arial" w:eastAsia="Times New Roman" w:cs="Arial"/>
          <w:noProof/>
          <w:sz w:val="20"/>
          <w:szCs w:val="20"/>
          <w:lang w:val="es-ES_tradnl" w:eastAsia="es-ES_tradnl"/>
          <w14:ligatures w14:val="standardContextual"/>
        </w:rPr>
      </w:pPr>
    </w:p>
    <w:p w:rsidRPr="001408CF" w:rsidR="0015083D" w:rsidP="0015083D" w:rsidRDefault="0015083D" w14:paraId="0157EB1D" w14:textId="77777777">
      <w:pPr>
        <w:spacing w:after="0"/>
        <w:rPr>
          <w:rFonts w:ascii="Arial" w:hAnsi="Arial" w:eastAsia="Geomanist Light" w:cs="Arial"/>
          <w:lang w:val="es-MX"/>
        </w:rPr>
      </w:pPr>
    </w:p>
    <w:p w:rsidRPr="001408CF" w:rsidR="0015083D" w:rsidP="0015083D" w:rsidRDefault="0015083D" w14:paraId="24E35822" w14:textId="77777777">
      <w:pPr>
        <w:spacing w:after="0"/>
        <w:rPr>
          <w:rFonts w:ascii="Arial" w:hAnsi="Arial" w:eastAsia="Geomanist Light" w:cs="Arial"/>
          <w:lang w:val="es-MX"/>
        </w:rPr>
      </w:pPr>
    </w:p>
    <w:p w:rsidR="0015083D" w:rsidP="0015083D" w:rsidRDefault="0015083D" w14:paraId="40B8C45A" w14:textId="77777777">
      <w:pPr>
        <w:spacing w:after="0"/>
        <w:rPr>
          <w:rFonts w:ascii="Arial" w:hAnsi="Arial" w:eastAsia="Geomanist Light" w:cs="Arial"/>
          <w:lang w:val="es-MX"/>
        </w:rPr>
      </w:pPr>
    </w:p>
    <w:p w:rsidRPr="001408CF" w:rsidR="0015083D" w:rsidP="0015083D" w:rsidRDefault="0015083D" w14:paraId="0B51984A" w14:textId="77777777">
      <w:pPr>
        <w:spacing w:after="0"/>
        <w:rPr>
          <w:rFonts w:ascii="Arial" w:hAnsi="Arial" w:eastAsia="Geomanist Light" w:cs="Arial"/>
          <w:lang w:val="es-MX"/>
        </w:rPr>
      </w:pPr>
    </w:p>
    <w:p w:rsidRPr="001408CF" w:rsidR="0015083D" w:rsidP="0015083D" w:rsidRDefault="0015083D" w14:paraId="544BF3BF" w14:textId="018E9C8E">
      <w:pPr>
        <w:spacing w:after="0"/>
        <w:rPr>
          <w:rFonts w:ascii="Arial" w:hAnsi="Arial" w:eastAsia="Geomanist Light" w:cs="Arial"/>
          <w:lang w:val="es-MX"/>
        </w:rPr>
      </w:pPr>
    </w:p>
    <w:p w:rsidRPr="001408CF" w:rsidR="0015083D" w:rsidP="0015083D" w:rsidRDefault="0015083D" w14:paraId="00D2CE51" w14:textId="77777777" w14:noSpellErr="1">
      <w:pPr>
        <w:spacing w:after="0"/>
        <w:rPr>
          <w:rFonts w:ascii="Arial" w:hAnsi="Arial" w:eastAsia="Geomanist Light" w:cs="Arial"/>
          <w:lang w:val="es-MX"/>
        </w:rPr>
      </w:pPr>
    </w:p>
    <w:p w:rsidR="3805F9D7" w:rsidP="3805F9D7" w:rsidRDefault="3805F9D7" w14:paraId="49C1E2AC" w14:textId="4B524200">
      <w:pPr>
        <w:pStyle w:val="Normal"/>
        <w:spacing w:after="0"/>
        <w:rPr>
          <w:rFonts w:ascii="Arial" w:hAnsi="Arial" w:eastAsia="Geomanist Light" w:cs="Arial"/>
          <w:lang w:val="es-MX"/>
        </w:rPr>
      </w:pPr>
    </w:p>
    <w:p w:rsidR="3805F9D7" w:rsidP="3805F9D7" w:rsidRDefault="3805F9D7" w14:paraId="710F6AD4" w14:textId="139275A8">
      <w:pPr>
        <w:pStyle w:val="Normal"/>
        <w:spacing w:after="0"/>
        <w:rPr>
          <w:rFonts w:ascii="Arial" w:hAnsi="Arial" w:eastAsia="Geomanist Light" w:cs="Arial"/>
          <w:lang w:val="es-MX"/>
        </w:rPr>
      </w:pPr>
    </w:p>
    <w:p w:rsidR="3805F9D7" w:rsidP="3805F9D7" w:rsidRDefault="3805F9D7" w14:paraId="6BEE1189" w14:textId="42C625BD">
      <w:pPr>
        <w:pStyle w:val="Normal"/>
        <w:spacing w:after="0"/>
        <w:rPr>
          <w:rFonts w:ascii="Arial" w:hAnsi="Arial" w:eastAsia="Geomanist Light" w:cs="Arial"/>
          <w:lang w:val="es-MX"/>
        </w:rPr>
      </w:pPr>
    </w:p>
    <w:p w:rsidR="3805F9D7" w:rsidP="3805F9D7" w:rsidRDefault="3805F9D7" w14:paraId="7BF313AF" w14:textId="6828CC5E">
      <w:pPr>
        <w:pStyle w:val="Normal"/>
        <w:spacing w:after="0"/>
        <w:rPr>
          <w:rFonts w:ascii="Arial" w:hAnsi="Arial" w:eastAsia="Geomanist Light" w:cs="Arial"/>
          <w:lang w:val="es-MX"/>
        </w:rPr>
      </w:pPr>
    </w:p>
    <w:p w:rsidR="3805F9D7" w:rsidP="3805F9D7" w:rsidRDefault="3805F9D7" w14:paraId="663E4B5E" w14:textId="6A91692E">
      <w:pPr>
        <w:pStyle w:val="Normal"/>
        <w:spacing w:after="0"/>
        <w:rPr>
          <w:rFonts w:ascii="Arial" w:hAnsi="Arial" w:eastAsia="Geomanist Light" w:cs="Arial"/>
          <w:lang w:val="es-MX"/>
        </w:rPr>
      </w:pPr>
    </w:p>
    <w:p w:rsidR="3805F9D7" w:rsidP="3805F9D7" w:rsidRDefault="3805F9D7" w14:paraId="4E0F8215" w14:textId="1B39B8A6">
      <w:pPr>
        <w:pStyle w:val="Normal"/>
        <w:spacing w:after="0"/>
        <w:rPr>
          <w:rFonts w:ascii="Arial" w:hAnsi="Arial" w:eastAsia="Geomanist Light" w:cs="Arial"/>
          <w:lang w:val="es-MX"/>
        </w:rPr>
      </w:pPr>
    </w:p>
    <w:p w:rsidR="3805F9D7" w:rsidP="3805F9D7" w:rsidRDefault="3805F9D7" w14:paraId="37756C10" w14:textId="13853CAE">
      <w:pPr>
        <w:pStyle w:val="Normal"/>
        <w:spacing w:after="0"/>
        <w:rPr>
          <w:rFonts w:ascii="Arial" w:hAnsi="Arial" w:eastAsia="Geomanist Light" w:cs="Arial"/>
          <w:lang w:val="es-MX"/>
        </w:rPr>
      </w:pPr>
    </w:p>
    <w:p w:rsidR="3805F9D7" w:rsidP="3805F9D7" w:rsidRDefault="3805F9D7" w14:paraId="2E0339BF" w14:textId="7215A47B">
      <w:pPr>
        <w:pStyle w:val="Normal"/>
        <w:spacing w:after="0"/>
        <w:rPr>
          <w:rFonts w:ascii="Arial" w:hAnsi="Arial" w:eastAsia="Geomanist Light" w:cs="Arial"/>
          <w:lang w:val="es-MX"/>
        </w:rPr>
      </w:pPr>
    </w:p>
    <w:p w:rsidR="3805F9D7" w:rsidP="3805F9D7" w:rsidRDefault="3805F9D7" w14:paraId="049778DD" w14:textId="4AC26C9C">
      <w:pPr>
        <w:pStyle w:val="Normal"/>
        <w:spacing w:after="0"/>
        <w:rPr>
          <w:rFonts w:ascii="Arial" w:hAnsi="Arial" w:eastAsia="Geomanist Light" w:cs="Arial"/>
          <w:lang w:val="es-MX"/>
        </w:rPr>
      </w:pPr>
    </w:p>
    <w:p w:rsidRPr="001408CF" w:rsidR="0015083D" w:rsidP="0015083D" w:rsidRDefault="0015083D" w14:paraId="3241AA6E" w14:textId="77777777">
      <w:pPr>
        <w:spacing w:after="0"/>
        <w:rPr>
          <w:rFonts w:ascii="Arial" w:hAnsi="Arial" w:eastAsia="Geomanist Light" w:cs="Arial"/>
          <w:lang w:val="es-MX"/>
        </w:rPr>
      </w:pPr>
    </w:p>
    <w:p w:rsidRPr="001408CF" w:rsidR="0015083D" w:rsidP="0015083D" w:rsidRDefault="0015083D" w14:paraId="1C340FDC" w14:textId="77777777">
      <w:pPr>
        <w:spacing w:after="0"/>
        <w:rPr>
          <w:rFonts w:ascii="Arial" w:hAnsi="Arial" w:eastAsia="Geomanist Light" w:cs="Arial"/>
          <w:lang w:val="es-MX"/>
        </w:rPr>
      </w:pPr>
    </w:p>
    <w:p w:rsidRPr="001408CF" w:rsidR="0015083D" w:rsidP="0015083D" w:rsidRDefault="0015083D" w14:paraId="14513E5C" w14:textId="77777777">
      <w:pPr>
        <w:spacing w:after="0"/>
        <w:rPr>
          <w:rFonts w:ascii="Arial" w:hAnsi="Arial" w:eastAsia="Geomanist Light" w:cs="Arial"/>
          <w:lang w:val="es-MX"/>
        </w:rPr>
      </w:pPr>
    </w:p>
    <w:p w:rsidRPr="001408CF" w:rsidR="0015083D" w:rsidP="0015083D" w:rsidRDefault="0015083D" w14:paraId="0BD1F993" w14:textId="77777777">
      <w:pPr>
        <w:spacing w:after="0"/>
        <w:rPr>
          <w:rFonts w:ascii="Arial" w:hAnsi="Arial" w:eastAsia="Geomanist Light" w:cs="Arial"/>
          <w:lang w:val="es-MX"/>
        </w:rPr>
      </w:pPr>
      <w:r w:rsidRPr="001408CF">
        <w:rPr>
          <w:rFonts w:ascii="Arial" w:hAnsi="Arial" w:eastAsia="Geomanist Light" w:cs="Arial"/>
          <w:lang w:val="es-MX"/>
        </w:rPr>
        <w:t>Bogotá D.C., [Día] de [</w:t>
      </w:r>
      <w:proofErr w:type="spellStart"/>
      <w:r w:rsidRPr="001408CF">
        <w:rPr>
          <w:rFonts w:ascii="Arial" w:hAnsi="Arial" w:eastAsia="Geomanist Light" w:cs="Arial"/>
          <w:lang w:val="es-MX"/>
        </w:rPr>
        <w:t>Mes.NombreCapitalizado</w:t>
      </w:r>
      <w:proofErr w:type="spellEnd"/>
      <w:r w:rsidRPr="001408CF">
        <w:rPr>
          <w:rFonts w:ascii="Arial" w:hAnsi="Arial" w:eastAsia="Geomanist Light" w:cs="Arial"/>
          <w:lang w:val="es-MX"/>
        </w:rPr>
        <w:t>] de [Año]</w:t>
      </w:r>
    </w:p>
    <w:p w:rsidR="0015083D" w:rsidP="0015083D" w:rsidRDefault="0015083D" w14:paraId="11602355" w14:textId="77777777">
      <w:pPr>
        <w:spacing w:after="0" w:line="240" w:lineRule="auto"/>
        <w:contextualSpacing/>
        <w:jc w:val="both"/>
        <w:rPr>
          <w:rFonts w:ascii="Arial" w:hAnsi="Arial" w:eastAsia="Calibri" w:cs="Arial"/>
        </w:rPr>
      </w:pPr>
    </w:p>
    <w:p w:rsidR="00702A52" w:rsidP="0015083D" w:rsidRDefault="00702A52" w14:paraId="2EAD9625" w14:textId="77777777">
      <w:pPr>
        <w:spacing w:after="0" w:line="240" w:lineRule="auto"/>
        <w:contextualSpacing/>
        <w:jc w:val="both"/>
        <w:rPr>
          <w:rFonts w:ascii="Arial" w:hAnsi="Arial" w:eastAsia="Calibri" w:cs="Arial"/>
        </w:rPr>
      </w:pPr>
    </w:p>
    <w:p w:rsidRPr="001408CF" w:rsidR="00702A52" w:rsidP="00702A52" w:rsidRDefault="00702A52" w14:paraId="60E49452" w14:textId="72F7CEC6">
      <w:pPr>
        <w:spacing w:after="0" w:line="240" w:lineRule="auto"/>
        <w:contextualSpacing/>
        <w:jc w:val="right"/>
        <w:rPr>
          <w:rFonts w:ascii="Arial" w:hAnsi="Arial" w:eastAsia="Calibri" w:cs="Arial"/>
        </w:rPr>
      </w:pPr>
      <w:r w:rsidRPr="00702A52">
        <w:rPr>
          <w:rFonts w:ascii="Arial" w:hAnsi="Arial" w:eastAsia="Calibri" w:cs="Arial"/>
          <w:noProof/>
        </w:rPr>
        <w:drawing>
          <wp:inline distT="0" distB="0" distL="0" distR="0" wp14:anchorId="27C47F96" wp14:editId="385F687F">
            <wp:extent cx="2457793" cy="695422"/>
            <wp:effectExtent l="0" t="0" r="0" b="9525"/>
            <wp:docPr id="17197789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78952" name="Imagen 1" descr="Texto&#10;&#10;Descripción generada automáticamente"/>
                    <pic:cNvPicPr/>
                  </pic:nvPicPr>
                  <pic:blipFill>
                    <a:blip r:embed="rId9"/>
                    <a:stretch>
                      <a:fillRect/>
                    </a:stretch>
                  </pic:blipFill>
                  <pic:spPr>
                    <a:xfrm>
                      <a:off x="0" y="0"/>
                      <a:ext cx="2457793" cy="695422"/>
                    </a:xfrm>
                    <a:prstGeom prst="rect">
                      <a:avLst/>
                    </a:prstGeom>
                  </pic:spPr>
                </pic:pic>
              </a:graphicData>
            </a:graphic>
          </wp:inline>
        </w:drawing>
      </w:r>
    </w:p>
    <w:p w:rsidRPr="001408CF" w:rsidR="0015083D" w:rsidP="0015083D" w:rsidRDefault="0015083D" w14:paraId="30382213" w14:textId="77777777">
      <w:pPr>
        <w:spacing w:after="0" w:line="276" w:lineRule="auto"/>
        <w:contextualSpacing/>
        <w:jc w:val="both"/>
        <w:rPr>
          <w:rFonts w:ascii="Arial" w:hAnsi="Arial" w:eastAsia="Calibri" w:cs="Arial"/>
        </w:rPr>
      </w:pPr>
      <w:r w:rsidRPr="001408CF">
        <w:rPr>
          <w:rFonts w:ascii="Arial" w:hAnsi="Arial" w:eastAsia="Calibri" w:cs="Arial"/>
        </w:rPr>
        <w:t>Señor</w:t>
      </w:r>
    </w:p>
    <w:p w:rsidRPr="001408CF" w:rsidR="0015083D" w:rsidP="0015083D" w:rsidRDefault="0015083D" w14:paraId="747FF8D8" w14:textId="77777777">
      <w:pPr>
        <w:spacing w:after="0"/>
        <w:rPr>
          <w:rFonts w:ascii="Arial" w:hAnsi="Arial" w:eastAsia="Calibri" w:cs="Arial"/>
          <w:b/>
          <w:bCs/>
        </w:rPr>
      </w:pPr>
      <w:r w:rsidRPr="001408CF">
        <w:rPr>
          <w:rFonts w:ascii="Arial" w:hAnsi="Arial" w:eastAsia="Calibri" w:cs="Arial"/>
          <w:b/>
          <w:bCs/>
        </w:rPr>
        <w:t>William Alfonso Villamil Hernández</w:t>
      </w:r>
    </w:p>
    <w:p w:rsidRPr="001408CF" w:rsidR="0015083D" w:rsidP="0015083D" w:rsidRDefault="0015083D" w14:paraId="6C7A7907" w14:textId="77777777">
      <w:pPr>
        <w:spacing w:after="0" w:line="276" w:lineRule="auto"/>
        <w:contextualSpacing/>
        <w:jc w:val="both"/>
        <w:rPr>
          <w:rFonts w:ascii="Arial" w:hAnsi="Arial" w:eastAsia="Calibri" w:cs="Arial"/>
        </w:rPr>
      </w:pPr>
      <w:r w:rsidRPr="001408CF">
        <w:rPr>
          <w:rFonts w:ascii="Arial" w:hAnsi="Arial" w:eastAsia="Calibri" w:cs="Arial"/>
        </w:rPr>
        <w:t>Villavicencio, Meta</w:t>
      </w:r>
    </w:p>
    <w:p w:rsidRPr="001408CF" w:rsidR="0015083D" w:rsidP="0015083D" w:rsidRDefault="0015083D" w14:paraId="31820232" w14:textId="77777777">
      <w:pPr>
        <w:spacing w:after="0" w:line="276" w:lineRule="auto"/>
        <w:contextualSpacing/>
        <w:jc w:val="both"/>
        <w:rPr>
          <w:rFonts w:ascii="Arial" w:hAnsi="Arial" w:eastAsia="Calibri" w:cs="Arial"/>
        </w:rPr>
      </w:pPr>
    </w:p>
    <w:p w:rsidRPr="001408CF" w:rsidR="0015083D" w:rsidP="0015083D" w:rsidRDefault="0015083D" w14:paraId="639B0D5B" w14:textId="77777777">
      <w:pPr>
        <w:spacing w:after="0" w:line="276" w:lineRule="auto"/>
        <w:contextualSpacing/>
        <w:jc w:val="both"/>
        <w:rPr>
          <w:rFonts w:ascii="Arial" w:hAnsi="Arial" w:eastAsia="Calibri" w:cs="Arial"/>
        </w:rPr>
      </w:pPr>
    </w:p>
    <w:p w:rsidRPr="001408CF" w:rsidR="0015083D" w:rsidP="0015083D" w:rsidRDefault="0015083D" w14:paraId="4E5C4A0E" w14:textId="77777777">
      <w:pPr>
        <w:spacing w:after="0" w:line="240" w:lineRule="auto"/>
        <w:contextualSpacing/>
        <w:jc w:val="both"/>
        <w:rPr>
          <w:rFonts w:ascii="Arial" w:hAnsi="Arial" w:eastAsia="Calibri" w:cs="Arial"/>
        </w:rPr>
      </w:pPr>
      <w:r w:rsidRPr="001408CF">
        <w:rPr>
          <w:rFonts w:ascii="Arial" w:hAnsi="Arial" w:eastAsia="Calibri" w:cs="Arial"/>
        </w:rPr>
        <w:t xml:space="preserve">                                            </w:t>
      </w:r>
      <w:r w:rsidRPr="001408CF">
        <w:rPr>
          <w:rFonts w:ascii="Arial" w:hAnsi="Arial" w:eastAsia="Calibri" w:cs="Arial"/>
          <w:b/>
        </w:rPr>
        <w:t>Concepto C–250 de 2023</w:t>
      </w:r>
    </w:p>
    <w:p w:rsidRPr="001408CF" w:rsidR="0015083D" w:rsidP="0015083D" w:rsidRDefault="0015083D" w14:paraId="4591C770" w14:textId="77777777">
      <w:pPr>
        <w:spacing w:after="0" w:line="240" w:lineRule="auto"/>
        <w:contextualSpacing/>
        <w:jc w:val="both"/>
        <w:rPr>
          <w:rFonts w:ascii="Arial" w:hAnsi="Arial" w:eastAsia="Calibri" w:cs="Arial"/>
          <w:b/>
        </w:rPr>
      </w:pPr>
    </w:p>
    <w:p w:rsidRPr="001408CF" w:rsidR="0015083D" w:rsidP="0015083D" w:rsidRDefault="0015083D" w14:paraId="049CF10D"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408CF" w:rsidR="0015083D" w:rsidTr="00F81FD7" w14:paraId="5BEB1541" w14:textId="77777777">
        <w:trPr>
          <w:trHeight w:val="485"/>
        </w:trPr>
        <w:tc>
          <w:tcPr>
            <w:tcW w:w="2689" w:type="dxa"/>
            <w:hideMark/>
          </w:tcPr>
          <w:p w:rsidRPr="001408CF" w:rsidR="0015083D" w:rsidP="00F81FD7" w:rsidRDefault="0015083D" w14:paraId="13D83FA4" w14:textId="77777777">
            <w:pPr>
              <w:rPr>
                <w:rFonts w:ascii="Arial" w:hAnsi="Arial" w:eastAsia="Calibri" w:cs="Arial"/>
                <w:noProof/>
                <w:lang w:val="es-ES_tradnl"/>
              </w:rPr>
            </w:pPr>
            <w:r w:rsidRPr="001408CF">
              <w:rPr>
                <w:rFonts w:ascii="Arial" w:hAnsi="Arial" w:eastAsia="Calibri" w:cs="Arial"/>
                <w:b/>
                <w:noProof/>
                <w:lang w:val="es-ES_tradnl"/>
              </w:rPr>
              <w:t>Temas:</w:t>
            </w:r>
            <w:r w:rsidRPr="001408CF">
              <w:rPr>
                <w:rFonts w:ascii="Arial" w:hAnsi="Arial" w:eastAsia="Calibri" w:cs="Arial"/>
                <w:noProof/>
                <w:lang w:val="es-ES_tradnl"/>
              </w:rPr>
              <w:t xml:space="preserve">        </w:t>
            </w:r>
          </w:p>
        </w:tc>
        <w:tc>
          <w:tcPr>
            <w:tcW w:w="6237" w:type="dxa"/>
            <w:hideMark/>
          </w:tcPr>
          <w:p w:rsidRPr="001408CF" w:rsidR="0015083D" w:rsidP="00F81FD7" w:rsidRDefault="0015083D" w14:paraId="6A0E27BB" w14:textId="77777777">
            <w:pPr>
              <w:spacing w:line="276" w:lineRule="auto"/>
              <w:jc w:val="both"/>
              <w:rPr>
                <w:rFonts w:ascii="Arial" w:hAnsi="Arial" w:eastAsia="Calibri" w:cs="Arial"/>
                <w:b/>
                <w:bCs/>
                <w:lang w:val="es-MX"/>
              </w:rPr>
            </w:pPr>
            <w:r w:rsidRPr="001408CF">
              <w:rPr>
                <w:rFonts w:ascii="Arial" w:hAnsi="Arial" w:eastAsia="Times New Roman" w:cs="Arial"/>
                <w:lang w:val="es-ES_tradnl" w:eastAsia="es-ES_tradnl"/>
              </w:rPr>
              <w:t xml:space="preserve">FACTOR MULTIPLICADOR – Noción – Estipulación del precio – Contrato de consultoría / FACTOR MULTIPLICADOR – Ausencia de marco normativo – Deber de planeación – Principio de autonomía </w:t>
            </w:r>
          </w:p>
          <w:p w:rsidRPr="001408CF" w:rsidR="0015083D" w:rsidP="00F81FD7" w:rsidRDefault="0015083D" w14:paraId="3C1710C4" w14:textId="77777777">
            <w:pPr>
              <w:ind w:right="703"/>
              <w:jc w:val="both"/>
              <w:rPr>
                <w:rFonts w:ascii="Arial" w:hAnsi="Arial" w:eastAsia="Calibri" w:cs="Arial"/>
                <w:bCs/>
                <w:lang w:val="es-MX"/>
              </w:rPr>
            </w:pPr>
          </w:p>
        </w:tc>
      </w:tr>
      <w:tr w:rsidRPr="001408CF" w:rsidR="0015083D" w:rsidTr="00F81FD7" w14:paraId="527D11DD" w14:textId="77777777">
        <w:tc>
          <w:tcPr>
            <w:tcW w:w="2689" w:type="dxa"/>
          </w:tcPr>
          <w:p w:rsidRPr="001408CF" w:rsidR="0015083D" w:rsidP="00F81FD7" w:rsidRDefault="0015083D" w14:paraId="649B4796" w14:textId="77777777">
            <w:pPr>
              <w:rPr>
                <w:rFonts w:ascii="Arial" w:hAnsi="Arial" w:eastAsia="Calibri" w:cs="Arial"/>
                <w:b/>
                <w:noProof/>
                <w:lang w:val="es-ES_tradnl"/>
              </w:rPr>
            </w:pPr>
            <w:r w:rsidRPr="001408CF">
              <w:rPr>
                <w:rFonts w:ascii="Arial" w:hAnsi="Arial" w:eastAsia="Calibri" w:cs="Arial"/>
                <w:b/>
                <w:noProof/>
                <w:lang w:val="es-ES_tradnl"/>
              </w:rPr>
              <w:t xml:space="preserve"> /Radicación:</w:t>
            </w:r>
            <w:r w:rsidRPr="001408CF">
              <w:rPr>
                <w:rFonts w:ascii="Arial" w:hAnsi="Arial" w:eastAsia="Calibri" w:cs="Arial"/>
                <w:noProof/>
                <w:lang w:val="es-ES_tradnl"/>
              </w:rPr>
              <w:t xml:space="preserve">                              </w:t>
            </w:r>
          </w:p>
        </w:tc>
        <w:tc>
          <w:tcPr>
            <w:tcW w:w="6237" w:type="dxa"/>
          </w:tcPr>
          <w:p w:rsidRPr="001408CF" w:rsidR="0015083D" w:rsidP="00F81FD7" w:rsidRDefault="0015083D" w14:paraId="341631B1" w14:textId="77777777">
            <w:pPr>
              <w:jc w:val="both"/>
              <w:rPr>
                <w:rFonts w:ascii="Arial" w:hAnsi="Arial" w:eastAsia="Calibri" w:cs="Arial"/>
                <w:noProof/>
                <w:lang w:val="es-ES_tradnl"/>
              </w:rPr>
            </w:pPr>
            <w:r w:rsidRPr="001408CF">
              <w:rPr>
                <w:rFonts w:ascii="Arial" w:hAnsi="Arial" w:eastAsia="Calibri" w:cs="Arial"/>
                <w:noProof/>
                <w:lang w:val="es-ES_tradnl"/>
              </w:rPr>
              <w:t>Respuesta a consulta P20230623012615</w:t>
            </w:r>
            <w:r w:rsidRPr="001408CF">
              <w:rPr>
                <w:rFonts w:ascii="Arial" w:hAnsi="Arial" w:eastAsia="Calibri" w:cs="Arial"/>
                <w:noProof/>
                <w:lang w:val="es-ES_tradnl"/>
              </w:rPr>
              <w:tab/>
            </w:r>
            <w:r w:rsidRPr="001408CF">
              <w:rPr>
                <w:rFonts w:ascii="Arial" w:hAnsi="Arial" w:eastAsia="Calibri" w:cs="Arial"/>
                <w:noProof/>
                <w:lang w:val="es-ES_tradnl"/>
              </w:rPr>
              <w:tab/>
            </w:r>
            <w:r w:rsidRPr="001408CF">
              <w:rPr>
                <w:rFonts w:ascii="Arial" w:hAnsi="Arial" w:eastAsia="Calibri" w:cs="Arial"/>
                <w:noProof/>
                <w:lang w:val="es-ES_tradnl"/>
              </w:rPr>
              <w:tab/>
            </w:r>
            <w:r w:rsidRPr="001408CF">
              <w:rPr>
                <w:rFonts w:ascii="Arial" w:hAnsi="Arial" w:eastAsia="Calibri" w:cs="Arial"/>
                <w:noProof/>
                <w:lang w:val="es-ES_tradnl"/>
              </w:rPr>
              <w:tab/>
            </w:r>
            <w:r w:rsidRPr="001408CF">
              <w:rPr>
                <w:rFonts w:ascii="Arial" w:hAnsi="Arial" w:eastAsia="Calibri" w:cs="Arial"/>
                <w:noProof/>
                <w:lang w:val="es-ES_tradnl"/>
              </w:rPr>
              <w:tab/>
            </w:r>
          </w:p>
        </w:tc>
      </w:tr>
    </w:tbl>
    <w:p w:rsidRPr="001408CF" w:rsidR="0015083D" w:rsidP="0015083D" w:rsidRDefault="0015083D" w14:paraId="23233ED4" w14:textId="77777777">
      <w:pPr>
        <w:spacing w:after="0" w:line="240" w:lineRule="auto"/>
        <w:contextualSpacing/>
        <w:jc w:val="both"/>
        <w:rPr>
          <w:rFonts w:ascii="Arial" w:hAnsi="Arial" w:eastAsia="Calibri" w:cs="Arial"/>
        </w:rPr>
      </w:pPr>
    </w:p>
    <w:p w:rsidRPr="001408CF" w:rsidR="0015083D" w:rsidP="0015083D" w:rsidRDefault="0015083D" w14:paraId="1A2E01F1" w14:textId="77777777">
      <w:pPr>
        <w:spacing w:after="0" w:line="240" w:lineRule="auto"/>
        <w:contextualSpacing/>
        <w:jc w:val="both"/>
        <w:rPr>
          <w:rFonts w:ascii="Arial" w:hAnsi="Arial" w:eastAsia="Calibri" w:cs="Arial"/>
        </w:rPr>
      </w:pPr>
    </w:p>
    <w:p w:rsidRPr="001408CF" w:rsidR="0015083D" w:rsidP="0015083D" w:rsidRDefault="0015083D" w14:paraId="720D337E" w14:textId="77777777">
      <w:pPr>
        <w:spacing w:after="0" w:line="276" w:lineRule="auto"/>
        <w:contextualSpacing/>
        <w:jc w:val="both"/>
        <w:rPr>
          <w:rFonts w:ascii="Arial" w:hAnsi="Arial" w:eastAsia="Calibri" w:cs="Arial"/>
        </w:rPr>
      </w:pPr>
      <w:r w:rsidRPr="001408CF">
        <w:rPr>
          <w:rFonts w:ascii="Arial" w:hAnsi="Arial" w:eastAsia="Calibri" w:cs="Arial"/>
        </w:rPr>
        <w:t>Estimado señor Villamil:</w:t>
      </w:r>
    </w:p>
    <w:p w:rsidRPr="001408CF" w:rsidR="0015083D" w:rsidP="0015083D" w:rsidRDefault="0015083D" w14:paraId="7F7D6AC5" w14:textId="77777777">
      <w:pPr>
        <w:spacing w:after="0" w:line="276" w:lineRule="auto"/>
        <w:ind w:firstLine="709"/>
        <w:contextualSpacing/>
        <w:jc w:val="both"/>
        <w:rPr>
          <w:rFonts w:ascii="Arial" w:hAnsi="Arial" w:eastAsia="Calibri" w:cs="Arial"/>
        </w:rPr>
      </w:pPr>
    </w:p>
    <w:p w:rsidRPr="001408CF" w:rsidR="0015083D" w:rsidP="0015083D" w:rsidRDefault="0015083D" w14:paraId="09760D78" w14:textId="77777777">
      <w:pPr>
        <w:spacing w:after="0" w:line="276" w:lineRule="auto"/>
        <w:contextualSpacing/>
        <w:jc w:val="both"/>
        <w:rPr>
          <w:rFonts w:ascii="Arial" w:hAnsi="Arial" w:eastAsia="Calibri" w:cs="Arial"/>
        </w:rPr>
      </w:pPr>
      <w:r w:rsidRPr="001408CF">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23 de junio de 2023. </w:t>
      </w:r>
    </w:p>
    <w:p w:rsidRPr="001408CF" w:rsidR="0015083D" w:rsidP="0015083D" w:rsidRDefault="0015083D" w14:paraId="10EF587D" w14:textId="77777777">
      <w:pPr>
        <w:spacing w:after="0" w:line="276" w:lineRule="auto"/>
        <w:contextualSpacing/>
        <w:jc w:val="both"/>
        <w:rPr>
          <w:rFonts w:ascii="Arial" w:hAnsi="Arial" w:eastAsia="Calibri" w:cs="Arial"/>
        </w:rPr>
      </w:pPr>
    </w:p>
    <w:p w:rsidRPr="001408CF" w:rsidR="0015083D" w:rsidP="0015083D" w:rsidRDefault="0015083D" w14:paraId="4922671C" w14:textId="77777777">
      <w:pPr>
        <w:tabs>
          <w:tab w:val="left" w:pos="284"/>
        </w:tabs>
        <w:spacing w:after="0" w:line="276" w:lineRule="auto"/>
        <w:contextualSpacing/>
        <w:jc w:val="both"/>
        <w:rPr>
          <w:rFonts w:ascii="Arial" w:hAnsi="Arial" w:eastAsia="Calibri" w:cs="Arial"/>
          <w:b/>
        </w:rPr>
      </w:pPr>
      <w:r w:rsidRPr="001408CF">
        <w:rPr>
          <w:rFonts w:ascii="Arial" w:hAnsi="Arial" w:eastAsia="Calibri" w:cs="Arial"/>
          <w:b/>
        </w:rPr>
        <w:t xml:space="preserve">1. Problema planteado </w:t>
      </w:r>
    </w:p>
    <w:p w:rsidRPr="001408CF" w:rsidR="0015083D" w:rsidP="0015083D" w:rsidRDefault="0015083D" w14:paraId="47DA83C0" w14:textId="77777777">
      <w:pPr>
        <w:tabs>
          <w:tab w:val="left" w:pos="284"/>
        </w:tabs>
        <w:spacing w:after="0" w:line="276" w:lineRule="auto"/>
        <w:ind w:firstLine="709"/>
        <w:contextualSpacing/>
        <w:jc w:val="both"/>
        <w:rPr>
          <w:rFonts w:ascii="Arial" w:hAnsi="Arial" w:eastAsia="Calibri" w:cs="Arial"/>
          <w:b/>
        </w:rPr>
      </w:pPr>
    </w:p>
    <w:p w:rsidRPr="001408CF" w:rsidR="0015083D" w:rsidP="0015083D" w:rsidRDefault="0015083D" w14:paraId="24FD29C7" w14:textId="77777777">
      <w:pPr>
        <w:spacing w:after="0" w:line="276" w:lineRule="auto"/>
        <w:contextualSpacing/>
        <w:jc w:val="both"/>
        <w:rPr>
          <w:rFonts w:ascii="Arial" w:hAnsi="Arial" w:eastAsia="Calibri" w:cs="Arial"/>
        </w:rPr>
      </w:pPr>
      <w:bookmarkStart w:name="_Hlk58917991" w:id="5"/>
      <w:bookmarkStart w:name="_Hlk56103000" w:id="6"/>
      <w:r w:rsidRPr="001408CF">
        <w:rPr>
          <w:rFonts w:ascii="Arial" w:hAnsi="Arial" w:eastAsia="Calibri" w:cs="Arial"/>
        </w:rPr>
        <w:t>Respecto del análisis efectuado por esta Agencia sobre el “factor multiplicador” como mecanismo para determinar el precio o valor en los contratos estatales, a través del Concepto con radicado No.</w:t>
      </w:r>
      <w:r w:rsidRPr="001408CF">
        <w:t xml:space="preserve"> </w:t>
      </w:r>
      <w:r w:rsidRPr="001408CF">
        <w:rPr>
          <w:rFonts w:ascii="Arial" w:hAnsi="Arial" w:eastAsia="Calibri" w:cs="Arial"/>
        </w:rPr>
        <w:t>4201714000006240 del 27 de septiembre de 2017 y el C-716 del 15 de noviembre de 2022, usted realiza la siguiente consulta:</w:t>
      </w:r>
    </w:p>
    <w:p w:rsidRPr="001408CF" w:rsidR="0015083D" w:rsidP="0015083D" w:rsidRDefault="0015083D" w14:paraId="1F3886A5" w14:textId="77777777">
      <w:pPr>
        <w:spacing w:after="0" w:line="276" w:lineRule="auto"/>
        <w:contextualSpacing/>
        <w:jc w:val="both"/>
        <w:rPr>
          <w:rFonts w:ascii="Arial" w:hAnsi="Arial" w:eastAsia="Calibri" w:cs="Arial"/>
        </w:rPr>
      </w:pPr>
      <w:bookmarkStart w:name="_Hlk116284008" w:id="7"/>
      <w:bookmarkStart w:name="_Hlk133573383" w:id="8"/>
    </w:p>
    <w:p w:rsidR="0015083D" w:rsidP="0015083D" w:rsidRDefault="0015083D" w14:paraId="56922921" w14:textId="77777777">
      <w:pPr>
        <w:spacing w:before="120" w:after="0" w:line="240" w:lineRule="auto"/>
        <w:ind w:left="709" w:right="709"/>
        <w:contextualSpacing/>
        <w:jc w:val="both"/>
        <w:rPr>
          <w:rFonts w:ascii="Arial" w:hAnsi="Arial" w:eastAsia="Calibri" w:cs="Arial"/>
          <w:sz w:val="21"/>
          <w:szCs w:val="21"/>
        </w:rPr>
      </w:pPr>
      <w:r w:rsidRPr="001408CF">
        <w:rPr>
          <w:rFonts w:ascii="Arial" w:hAnsi="Arial" w:eastAsia="Calibri" w:cs="Arial"/>
          <w:sz w:val="21"/>
          <w:szCs w:val="21"/>
        </w:rPr>
        <w:t>“[…] [¿]para prever reducir el FM a través de modificación y no incurrir en detrimento patrimonial y/o enriquecimiento sin causa, lo lógico es que si un proponente pretende contratar todo el personal mediante Contrato de Prestación de Servicios y no por Contrato Laboral, en su propuesta económica debe estimar el Factor Multiplicador tomando como base los honorarios del personal (100%), sin considerar costo alguno por prestaciones sociales, aunque arroje un FM menor al que resultare si el vínculo fuera por nomina?” [</w:t>
      </w:r>
      <w:r w:rsidRPr="001408CF">
        <w:rPr>
          <w:rFonts w:ascii="Arial" w:hAnsi="Arial" w:eastAsia="Calibri" w:cs="Arial"/>
          <w:bCs/>
          <w:sz w:val="21"/>
          <w:szCs w:val="21"/>
          <w:lang w:val="es-MX"/>
        </w:rPr>
        <w:t>sic</w:t>
      </w:r>
      <w:r w:rsidRPr="001408CF">
        <w:rPr>
          <w:rFonts w:ascii="Arial" w:hAnsi="Arial" w:eastAsia="Calibri" w:cs="Arial"/>
          <w:sz w:val="21"/>
          <w:szCs w:val="21"/>
        </w:rPr>
        <w:t>]</w:t>
      </w:r>
    </w:p>
    <w:p w:rsidRPr="001408CF" w:rsidR="00B56E48" w:rsidP="0015083D" w:rsidRDefault="00B56E48" w14:paraId="64AAF1B9" w14:textId="77777777" w14:noSpellErr="1">
      <w:pPr>
        <w:spacing w:before="120" w:after="0" w:line="240" w:lineRule="auto"/>
        <w:ind w:left="709" w:right="709"/>
        <w:contextualSpacing/>
        <w:jc w:val="both"/>
        <w:rPr>
          <w:rFonts w:ascii="Arial" w:hAnsi="Arial" w:eastAsia="Calibri" w:cs="Arial"/>
          <w:sz w:val="21"/>
          <w:szCs w:val="21"/>
        </w:rPr>
      </w:pPr>
    </w:p>
    <w:bookmarkEnd w:id="5"/>
    <w:bookmarkEnd w:id="6"/>
    <w:bookmarkEnd w:id="7"/>
    <w:bookmarkEnd w:id="8"/>
    <w:p w:rsidR="3805F9D7" w:rsidP="3805F9D7" w:rsidRDefault="3805F9D7" w14:paraId="286CE539" w14:textId="0A606874">
      <w:pPr>
        <w:pStyle w:val="Normal"/>
        <w:spacing w:before="120" w:after="0" w:line="240" w:lineRule="auto"/>
        <w:ind w:left="709" w:right="709"/>
        <w:contextualSpacing/>
        <w:jc w:val="both"/>
        <w:rPr>
          <w:rFonts w:ascii="Arial" w:hAnsi="Arial" w:eastAsia="Calibri" w:cs="Arial"/>
          <w:sz w:val="21"/>
          <w:szCs w:val="21"/>
        </w:rPr>
      </w:pPr>
    </w:p>
    <w:p w:rsidR="3805F9D7" w:rsidP="3805F9D7" w:rsidRDefault="3805F9D7" w14:paraId="79F23D35" w14:textId="7C94AEB1">
      <w:pPr>
        <w:pStyle w:val="Normal"/>
        <w:spacing w:before="120" w:after="0" w:line="240" w:lineRule="auto"/>
        <w:ind w:left="709" w:right="709"/>
        <w:contextualSpacing/>
        <w:jc w:val="both"/>
        <w:rPr>
          <w:rFonts w:ascii="Arial" w:hAnsi="Arial" w:eastAsia="Calibri" w:cs="Arial"/>
          <w:sz w:val="21"/>
          <w:szCs w:val="21"/>
        </w:rPr>
      </w:pPr>
    </w:p>
    <w:p w:rsidRPr="001408CF" w:rsidR="0015083D" w:rsidP="0015083D" w:rsidRDefault="0015083D" w14:paraId="4040B1E0" w14:textId="77777777">
      <w:pPr>
        <w:tabs>
          <w:tab w:val="left" w:pos="284"/>
        </w:tabs>
        <w:spacing w:after="0" w:line="276" w:lineRule="auto"/>
        <w:contextualSpacing/>
        <w:jc w:val="both"/>
        <w:rPr>
          <w:rFonts w:ascii="Arial" w:hAnsi="Arial" w:eastAsia="Calibri" w:cs="Arial"/>
          <w:b/>
        </w:rPr>
      </w:pPr>
      <w:r w:rsidRPr="001408CF">
        <w:rPr>
          <w:rFonts w:ascii="Arial" w:hAnsi="Arial" w:eastAsia="Calibri" w:cs="Arial"/>
          <w:b/>
        </w:rPr>
        <w:t>2. Consideraciones</w:t>
      </w:r>
    </w:p>
    <w:p w:rsidRPr="001408CF" w:rsidR="0015083D" w:rsidP="0015083D" w:rsidRDefault="0015083D" w14:paraId="0CF4C4E1" w14:textId="77777777">
      <w:pPr>
        <w:tabs>
          <w:tab w:val="left" w:pos="284"/>
        </w:tabs>
        <w:spacing w:after="0" w:line="240" w:lineRule="auto"/>
        <w:contextualSpacing/>
        <w:jc w:val="both"/>
        <w:rPr>
          <w:rFonts w:ascii="Arial" w:hAnsi="Arial" w:eastAsia="Calibri" w:cs="Arial"/>
          <w:b/>
        </w:rPr>
      </w:pPr>
    </w:p>
    <w:p w:rsidRPr="001408CF" w:rsidR="0015083D" w:rsidP="0015083D" w:rsidRDefault="0015083D" w14:paraId="2531B1CC" w14:textId="77777777">
      <w:pPr>
        <w:spacing w:after="120" w:line="276" w:lineRule="auto"/>
        <w:jc w:val="both"/>
        <w:rPr>
          <w:rFonts w:ascii="Arial" w:hAnsi="Arial" w:eastAsia="Calibri" w:cs="Arial"/>
          <w:lang w:val="es-ES"/>
        </w:rPr>
      </w:pPr>
      <w:r w:rsidRPr="001408CF">
        <w:rPr>
          <w:rFonts w:ascii="Arial" w:hAnsi="Arial" w:eastAsia="Calibri"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1408CF">
        <w:rPr>
          <w:rFonts w:ascii="Arial" w:hAnsi="Arial" w:eastAsia="Calibri" w:cs="Arial"/>
          <w:lang w:val="es-ES"/>
        </w:rPr>
        <w:t xml:space="preserve"> </w:t>
      </w:r>
      <w:bookmarkStart w:name="_Hlk61701014" w:id="9"/>
      <w:bookmarkStart w:name="_Hlk62136649" w:id="10"/>
      <w:r w:rsidRPr="001408CF">
        <w:rPr>
          <w:rFonts w:ascii="Arial" w:hAnsi="Arial" w:eastAsia="Calibri" w:cs="Arial"/>
          <w:lang w:val="es-ES"/>
        </w:rPr>
        <w:t xml:space="preserve">Es necesario tener en cuenta que </w:t>
      </w:r>
      <w:bookmarkStart w:name="_Hlk61026958" w:id="11"/>
      <w:r w:rsidRPr="001408CF">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408CF">
        <w:rPr>
          <w:rFonts w:ascii="Arial" w:hAnsi="Arial" w:eastAsia="Calibri" w:cs="Arial"/>
          <w:bCs/>
          <w:lang w:val="es-MX"/>
        </w:rPr>
        <w:t xml:space="preserve"> de todos los partícipes de la contratación estatal.</w:t>
      </w:r>
    </w:p>
    <w:bookmarkEnd w:id="9"/>
    <w:bookmarkEnd w:id="10"/>
    <w:bookmarkEnd w:id="11"/>
    <w:p w:rsidR="0015083D" w:rsidP="0015083D" w:rsidRDefault="0015083D" w14:paraId="7E7EB293" w14:textId="77777777">
      <w:pPr>
        <w:spacing w:after="120" w:line="276" w:lineRule="auto"/>
        <w:ind w:firstLine="708"/>
        <w:jc w:val="both"/>
        <w:rPr>
          <w:rFonts w:ascii="Arial" w:hAnsi="Arial" w:eastAsia="Calibri" w:cs="Arial"/>
          <w:lang w:val="es-ES"/>
        </w:rPr>
      </w:pPr>
      <w:r w:rsidRPr="001408CF">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408CF">
        <w:rPr>
          <w:rFonts w:ascii="Arial" w:hAnsi="Arial" w:eastAsia="Calibri" w:cs="Arial"/>
          <w:vertAlign w:val="superscript"/>
          <w:lang w:val="es-ES"/>
        </w:rPr>
        <w:footnoteReference w:id="1"/>
      </w:r>
      <w:r w:rsidRPr="001408CF">
        <w:rPr>
          <w:rFonts w:ascii="Arial" w:hAnsi="Arial" w:eastAsia="Calibri" w:cs="Arial"/>
          <w:lang w:val="es-ES"/>
        </w:rPr>
        <w:t>. Esta competencia de interpretación de normas generales, por definición, no puede extenderse a la resolución de controversias, ni a brindar asesorías sobre casos puntuales.</w:t>
      </w:r>
      <w:r>
        <w:rPr>
          <w:rFonts w:ascii="Arial" w:hAnsi="Arial" w:eastAsia="Calibri" w:cs="Arial"/>
          <w:lang w:val="es-ES"/>
        </w:rPr>
        <w:t xml:space="preserve"> </w:t>
      </w:r>
    </w:p>
    <w:p w:rsidRPr="001408CF" w:rsidR="0015083D" w:rsidP="0015083D" w:rsidRDefault="0015083D" w14:paraId="5D95BEF1" w14:textId="77777777">
      <w:pPr>
        <w:spacing w:after="120" w:line="276" w:lineRule="auto"/>
        <w:ind w:firstLine="708"/>
        <w:jc w:val="both"/>
        <w:rPr>
          <w:rFonts w:ascii="Arial" w:hAnsi="Arial" w:cs="Arial"/>
          <w:lang w:eastAsia="es-ES_tradnl"/>
        </w:rPr>
      </w:pPr>
      <w:r>
        <w:rPr>
          <w:rFonts w:ascii="Arial" w:hAnsi="Arial" w:eastAsia="Calibri" w:cs="Arial"/>
          <w:lang w:val="es-ES"/>
        </w:rPr>
        <w:t>S</w:t>
      </w:r>
      <w:r w:rsidRPr="001408CF">
        <w:rPr>
          <w:rFonts w:ascii="Arial" w:hAnsi="Arial" w:eastAsia="Calibri" w:cs="Arial"/>
          <w:lang w:val="es-MX"/>
        </w:rPr>
        <w:t xml:space="preserve">in perjuicio de lo anterior, </w:t>
      </w:r>
      <w:r w:rsidRPr="001408CF">
        <w:rPr>
          <w:rFonts w:ascii="Arial" w:hAnsi="Arial" w:eastAsia="Calibri" w:cs="Arial"/>
          <w:lang w:val="es-ES"/>
        </w:rPr>
        <w:t>la Subdirección de Gestión Contractual dentro de los límites de sus atribuciones, resolverá la consulta conforme a las normas generales en materia de contratación estatal</w:t>
      </w:r>
      <w:r>
        <w:rPr>
          <w:rFonts w:ascii="Arial" w:hAnsi="Arial" w:eastAsia="Calibri" w:cs="Arial"/>
          <w:lang w:val="es-ES_tradnl" w:eastAsia="es-MX"/>
        </w:rPr>
        <w:t xml:space="preserve">, haciendo unas consideraciones sobre la aplicación del mecanismo de </w:t>
      </w:r>
      <w:r w:rsidRPr="001408CF">
        <w:rPr>
          <w:rFonts w:ascii="Arial" w:hAnsi="Arial" w:eastAsia="Calibri" w:cs="Arial"/>
          <w:lang w:val="es-ES_tradnl" w:eastAsia="es-MX"/>
        </w:rPr>
        <w:t>factor multiplicador en los contratos estatales</w:t>
      </w:r>
      <w:r>
        <w:rPr>
          <w:rFonts w:ascii="Arial" w:hAnsi="Arial" w:eastAsia="Calibri" w:cs="Arial"/>
          <w:lang w:val="es-ES_tradnl" w:eastAsia="es-MX"/>
        </w:rPr>
        <w:t xml:space="preserve">. </w:t>
      </w:r>
      <w:r w:rsidRPr="001408CF">
        <w:rPr>
          <w:rFonts w:ascii="Arial" w:hAnsi="Arial" w:cs="Arial"/>
          <w:lang w:eastAsia="es-ES_tradnl"/>
        </w:rPr>
        <w:t xml:space="preserve">La Agencia Nacional de Contratación Pública -Colombia Compra Eficiente- se ha referido previamente sobre la determinación del precio o valor en los contratos estatales en los conceptos C-059 del 10 de marzo de 2021, C-432 del 27 de septiembre de 2021, C-017 del 22 de febrero de 2022, C-607 del 23 de septiembre de 2022, C-716 del 15 de noviembre de 2022, C-114 del 04 mayo de 2023, C-198 del 16 de junio de 2023, entre otros. </w:t>
      </w:r>
      <w:r w:rsidRPr="001408CF">
        <w:rPr>
          <w:rFonts w:ascii="Arial" w:hAnsi="Arial" w:cs="Arial"/>
          <w:lang w:val="es-ES"/>
        </w:rPr>
        <w:t>Algunas de las consideraciones de estos conceptos se reiteran y se complementan en lo pertinente, teniendo en cuenta lo consultado.</w:t>
      </w:r>
      <w:r w:rsidRPr="001408CF">
        <w:rPr>
          <w:rFonts w:ascii="Arial" w:hAnsi="Arial" w:cs="Arial"/>
        </w:rPr>
        <w:t> </w:t>
      </w:r>
    </w:p>
    <w:p w:rsidRPr="001408CF" w:rsidR="0015083D" w:rsidP="0015083D" w:rsidRDefault="0015083D" w14:paraId="54CB0209" w14:textId="77777777">
      <w:pPr>
        <w:spacing w:after="0" w:line="240" w:lineRule="auto"/>
        <w:ind w:firstLine="703"/>
        <w:jc w:val="both"/>
        <w:textAlignment w:val="baseline"/>
        <w:rPr>
          <w:rFonts w:ascii="Arial" w:hAnsi="Arial" w:eastAsia="Times New Roman" w:cs="Arial"/>
          <w:lang w:eastAsia="es-CO"/>
        </w:rPr>
      </w:pPr>
    </w:p>
    <w:p w:rsidRPr="001408CF" w:rsidR="0015083D" w:rsidP="0015083D" w:rsidRDefault="0015083D" w14:paraId="0B19EEFC" w14:textId="77777777">
      <w:pPr>
        <w:spacing w:after="0" w:line="276" w:lineRule="auto"/>
        <w:ind w:firstLine="708"/>
        <w:jc w:val="both"/>
        <w:textAlignment w:val="baseline"/>
        <w:rPr>
          <w:rFonts w:ascii="Arial" w:hAnsi="Arial" w:eastAsia="Times New Roman" w:cs="Arial"/>
          <w:lang w:eastAsia="es-CO"/>
        </w:rPr>
      </w:pPr>
      <w:r w:rsidRPr="001408CF">
        <w:rPr>
          <w:rFonts w:ascii="Arial" w:hAnsi="Arial" w:eastAsia="Times New Roman" w:cs="Arial"/>
          <w:lang w:eastAsia="es-CO"/>
        </w:rPr>
        <w:t>El precio es el “valor pecuniario en que se estima algo”</w:t>
      </w:r>
      <w:r w:rsidRPr="001408CF">
        <w:rPr>
          <w:rFonts w:ascii="Arial" w:hAnsi="Arial" w:eastAsia="Calibri" w:cs="Arial"/>
          <w:vertAlign w:val="superscript"/>
          <w:lang w:val="es-MX" w:eastAsia="es-CO"/>
        </w:rPr>
        <w:footnoteReference w:id="2"/>
      </w:r>
      <w:r w:rsidRPr="001408CF">
        <w:rPr>
          <w:rFonts w:ascii="Arial" w:hAnsi="Arial" w:eastAsia="Calibri" w:cs="Arial"/>
          <w:lang w:val="es-MX" w:eastAsia="es-CO"/>
        </w:rPr>
        <w:t>. En nuestro ordenamiento jurídico tenemos una definición de precio en el Código Civil y en el Código de Comercio. Ambas codificaciones, al regular el contrato de compraventa, definen el precio como el dinero que el comprador entrega a cambio de la cosa vendida:</w:t>
      </w:r>
    </w:p>
    <w:p w:rsidRPr="001408CF" w:rsidR="0015083D" w:rsidP="0015083D" w:rsidRDefault="0015083D" w14:paraId="7CF1F99B" w14:textId="77777777">
      <w:pPr>
        <w:spacing w:after="0" w:line="240" w:lineRule="auto"/>
        <w:ind w:left="709" w:right="709"/>
        <w:jc w:val="both"/>
        <w:textAlignment w:val="baseline"/>
        <w:rPr>
          <w:rFonts w:ascii="Arial" w:hAnsi="Arial" w:eastAsia="Times New Roman" w:cs="Arial"/>
          <w:lang w:eastAsia="es-CO"/>
        </w:rPr>
      </w:pPr>
    </w:p>
    <w:p w:rsidRPr="001408CF" w:rsidR="0015083D" w:rsidP="0015083D" w:rsidRDefault="0015083D" w14:paraId="6A01BB1F" w14:textId="77777777">
      <w:pPr>
        <w:spacing w:after="120" w:line="240" w:lineRule="auto"/>
        <w:ind w:left="709" w:right="709"/>
        <w:jc w:val="both"/>
        <w:rPr>
          <w:rFonts w:ascii="Arial" w:hAnsi="Arial" w:eastAsia="Calibri" w:cs="Arial"/>
          <w:sz w:val="21"/>
          <w:szCs w:val="21"/>
          <w:lang w:val="es-MX"/>
        </w:rPr>
      </w:pPr>
      <w:r w:rsidRPr="001408CF">
        <w:rPr>
          <w:rFonts w:ascii="Arial" w:hAnsi="Arial" w:eastAsia="Calibri"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rsidRPr="001408CF" w:rsidR="0015083D" w:rsidP="0015083D" w:rsidRDefault="0015083D" w14:paraId="5F74925D" w14:textId="77777777">
      <w:pPr>
        <w:spacing w:after="0" w:line="240" w:lineRule="auto"/>
        <w:ind w:left="709" w:right="709"/>
        <w:jc w:val="both"/>
        <w:rPr>
          <w:rFonts w:ascii="Arial" w:hAnsi="Arial" w:eastAsia="Calibri" w:cs="Arial"/>
          <w:sz w:val="21"/>
          <w:szCs w:val="21"/>
          <w:lang w:val="es-MX"/>
        </w:rPr>
      </w:pPr>
      <w:r w:rsidRPr="001408CF">
        <w:rPr>
          <w:rFonts w:ascii="Arial" w:hAnsi="Arial" w:eastAsia="Calibri"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p>
    <w:p w:rsidRPr="001408CF" w:rsidR="0015083D" w:rsidP="0015083D" w:rsidRDefault="0015083D" w14:paraId="161FEE87" w14:textId="77777777">
      <w:pPr>
        <w:spacing w:after="0" w:line="240" w:lineRule="auto"/>
        <w:ind w:left="709" w:right="709"/>
        <w:jc w:val="both"/>
        <w:textAlignment w:val="baseline"/>
        <w:rPr>
          <w:rFonts w:ascii="Arial" w:hAnsi="Arial" w:eastAsia="Times New Roman" w:cs="Arial"/>
          <w:sz w:val="21"/>
          <w:szCs w:val="21"/>
          <w:lang w:eastAsia="es-CO"/>
        </w:rPr>
      </w:pPr>
    </w:p>
    <w:p w:rsidRPr="001408CF" w:rsidR="0015083D" w:rsidP="0015083D" w:rsidRDefault="0015083D" w14:paraId="620E645E" w14:textId="77777777">
      <w:pPr>
        <w:spacing w:after="0" w:line="276" w:lineRule="auto"/>
        <w:ind w:firstLine="703"/>
        <w:jc w:val="both"/>
        <w:textAlignment w:val="baseline"/>
        <w:rPr>
          <w:rFonts w:ascii="Arial" w:hAnsi="Arial" w:eastAsia="Times New Roman" w:cs="Arial"/>
          <w:bCs/>
          <w:sz w:val="24"/>
          <w:szCs w:val="24"/>
          <w:lang w:val="es-ES_tradnl" w:eastAsia="es-CO"/>
        </w:rPr>
      </w:pPr>
      <w:r w:rsidRPr="001408CF">
        <w:rPr>
          <w:rFonts w:ascii="Arial" w:hAnsi="Arial" w:eastAsia="Times New Roman" w:cs="Arial"/>
          <w:lang w:eastAsia="es-CO"/>
        </w:rPr>
        <w:t>El precio es uno de los elementos de los contratos estatales, que por lo general se identifica con el valor del contrato. Aunque no todo contrato lo incluye –pues también existen negocios gratuitos– lo usual es que los contratos estatales se configuren como onerosos y, la mayoría de las veces, como conmutativos, cuando hay un acuerdo entre el objeto y la contraprestación pactada por escrito entre la Entidad Estatal y el contratista</w:t>
      </w:r>
      <w:r w:rsidRPr="001408CF">
        <w:rPr>
          <w:rFonts w:ascii="Arial" w:hAnsi="Arial" w:eastAsia="Times New Roman" w:cs="Arial"/>
          <w:bCs/>
          <w:vertAlign w:val="superscript"/>
          <w:lang w:val="es-ES_tradnl" w:eastAsia="es-CO"/>
        </w:rPr>
        <w:footnoteReference w:id="3"/>
      </w:r>
      <w:r w:rsidRPr="001408CF">
        <w:rPr>
          <w:rFonts w:ascii="Arial" w:hAnsi="Arial" w:eastAsia="Times New Roman" w:cs="Arial"/>
          <w:bCs/>
          <w:lang w:val="es-ES_tradnl" w:eastAsia="es-CO"/>
        </w:rPr>
        <w:t>.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1408CF">
        <w:rPr>
          <w:rFonts w:ascii="Arial" w:hAnsi="Arial" w:eastAsia="Times New Roman" w:cs="Arial"/>
          <w:bCs/>
          <w:sz w:val="24"/>
          <w:szCs w:val="24"/>
          <w:vertAlign w:val="superscript"/>
          <w:lang w:val="es-ES_tradnl" w:eastAsia="es-CO"/>
        </w:rPr>
        <w:footnoteReference w:id="4"/>
      </w:r>
      <w:r w:rsidRPr="001408CF">
        <w:rPr>
          <w:rFonts w:ascii="Arial" w:hAnsi="Arial" w:eastAsia="Times New Roman" w:cs="Arial"/>
          <w:bCs/>
          <w:lang w:val="es-ES_tradnl" w:eastAsia="es-CO"/>
        </w:rPr>
        <w:t>, en los términos de los artículos 1864 y el 1865 del Código Civil y, de manera general está compuesto por dos elementos esenciales: los costos y la utilidad, cuya estructuración interna depende de las condiciones técnicas, financieras, regulatorias, etc., de cada contrato</w:t>
      </w:r>
      <w:r w:rsidRPr="001408CF">
        <w:rPr>
          <w:rFonts w:ascii="Arial" w:hAnsi="Arial" w:eastAsia="Times New Roman" w:cs="Arial"/>
          <w:bCs/>
          <w:sz w:val="24"/>
          <w:szCs w:val="24"/>
          <w:vertAlign w:val="superscript"/>
          <w:lang w:val="es-ES_tradnl" w:eastAsia="es-CO"/>
        </w:rPr>
        <w:footnoteReference w:id="5"/>
      </w:r>
      <w:r w:rsidRPr="001408CF">
        <w:rPr>
          <w:rFonts w:ascii="Arial" w:hAnsi="Arial" w:eastAsia="Times New Roman" w:cs="Arial"/>
          <w:bCs/>
          <w:sz w:val="24"/>
          <w:szCs w:val="24"/>
          <w:lang w:val="es-ES_tradnl" w:eastAsia="es-CO"/>
        </w:rPr>
        <w:t>.</w:t>
      </w:r>
    </w:p>
    <w:p w:rsidRPr="001408CF" w:rsidR="0015083D" w:rsidP="0015083D" w:rsidRDefault="0015083D" w14:paraId="5D2D543F" w14:textId="77777777">
      <w:pPr>
        <w:spacing w:before="120" w:after="0" w:line="276" w:lineRule="auto"/>
        <w:ind w:firstLine="703"/>
        <w:jc w:val="both"/>
        <w:textAlignment w:val="baseline"/>
        <w:rPr>
          <w:rFonts w:ascii="Arial" w:hAnsi="Arial" w:eastAsia="Times New Roman" w:cs="Arial"/>
          <w:bCs/>
          <w:sz w:val="24"/>
          <w:szCs w:val="24"/>
          <w:lang w:val="es-ES_tradnl" w:eastAsia="es-CO"/>
        </w:rPr>
      </w:pPr>
      <w:r w:rsidRPr="001408CF">
        <w:rPr>
          <w:rFonts w:ascii="Arial" w:hAnsi="Arial" w:eastAsia="Times New Roman" w:cs="Arial"/>
          <w:bCs/>
          <w:lang w:val="es-ES_tradnl" w:eastAsia="es-CO"/>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1408CF">
        <w:rPr>
          <w:rFonts w:ascii="Arial" w:hAnsi="Arial" w:eastAsia="Times New Roman" w:cs="Arial"/>
          <w:bCs/>
          <w:sz w:val="24"/>
          <w:szCs w:val="24"/>
          <w:vertAlign w:val="superscript"/>
          <w:lang w:val="es-ES_tradnl" w:eastAsia="es-CO"/>
        </w:rPr>
        <w:footnoteReference w:id="6"/>
      </w:r>
      <w:r w:rsidRPr="001408CF">
        <w:rPr>
          <w:rFonts w:ascii="Arial" w:hAnsi="Arial" w:eastAsia="Times New Roman" w:cs="Arial"/>
          <w:bCs/>
          <w:sz w:val="24"/>
          <w:szCs w:val="24"/>
          <w:lang w:val="es-ES_tradnl" w:eastAsia="es-CO"/>
        </w:rPr>
        <w:t xml:space="preserve">. </w:t>
      </w:r>
      <w:r w:rsidRPr="001408CF">
        <w:rPr>
          <w:rFonts w:ascii="Arial" w:hAnsi="Arial" w:eastAsia="Times New Roman" w:cs="Arial"/>
          <w:bCs/>
          <w:lang w:val="es-ES_tradnl" w:eastAsia="es-CO"/>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w:t>
      </w:r>
    </w:p>
    <w:p w:rsidRPr="001408CF" w:rsidR="0015083D" w:rsidP="0015083D" w:rsidRDefault="0015083D" w14:paraId="2F05D685"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 xml:space="preserve">Una de las metodologías que ha hecho carrera en la práctica contractual pública es el sistema de precios unitarios, método en el marco del cual la entidad contratante, al momento de estimar el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sea porque constituyen erogaciones administrativas o contingentes para el contratista o, porque se dirigen a salvaguardar su ganancia–, solicitando a los proponentes que discriminen los últimos al momento de presentar la propuesta. </w:t>
      </w:r>
    </w:p>
    <w:p w:rsidRPr="001408CF" w:rsidR="0015083D" w:rsidP="0015083D" w:rsidRDefault="0015083D" w14:paraId="0E0379CC" w14:textId="77777777">
      <w:pPr>
        <w:spacing w:before="120" w:after="0" w:line="276" w:lineRule="auto"/>
        <w:ind w:firstLine="708"/>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 xml:space="preserve">En tal sentido, mientras que los costos directos se evidencian en el análisis de precios unitarios –APU–, como la sumatoria de los valores de los </w:t>
      </w:r>
      <w:r w:rsidRPr="001408CF">
        <w:rPr>
          <w:rFonts w:ascii="Arial" w:hAnsi="Arial" w:eastAsia="Times New Roman" w:cs="Arial"/>
          <w:bCs/>
          <w:i/>
          <w:iCs/>
          <w:lang w:val="es-ES_tradnl" w:eastAsia="es-CO"/>
        </w:rPr>
        <w:t xml:space="preserve">ítems </w:t>
      </w:r>
      <w:r w:rsidRPr="001408CF">
        <w:rPr>
          <w:rFonts w:ascii="Arial" w:hAnsi="Arial" w:eastAsia="Times New Roman" w:cs="Arial"/>
          <w:bCs/>
          <w:lang w:val="es-ES_tradnl" w:eastAsia="es-CO"/>
        </w:rPr>
        <w:t>según su unidad de medida, los costos indirectos se suelen abreviar en las variables que integran el acrónico AIU –Administración, Imprevistos y Utilidad–, que se calcula como un porcentaje aplicado a los costos indirectos. De esta forma, en los contratos en los que se aplica el sistema de precios unitarios el valor del contrato y de las ofertas se determina por la sumatoria de los costos directos –APU– y los costos indirectos –suma equivalente al porcentaje de AIU–.</w:t>
      </w:r>
    </w:p>
    <w:p w:rsidRPr="001408CF" w:rsidR="0015083D" w:rsidP="0015083D" w:rsidRDefault="0015083D" w14:paraId="3664338B" w14:textId="77777777">
      <w:pPr>
        <w:spacing w:before="120" w:after="0" w:line="276" w:lineRule="auto"/>
        <w:jc w:val="both"/>
        <w:textAlignment w:val="baseline"/>
        <w:rPr>
          <w:rFonts w:ascii="Arial" w:hAnsi="Arial" w:eastAsia="Times New Roman" w:cs="Arial"/>
          <w:lang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En la estipulación del precio de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w:t>
      </w:r>
      <w:r w:rsidRPr="001408CF">
        <w:rPr>
          <w:rFonts w:ascii="Arial" w:hAnsi="Arial" w:eastAsia="Times New Roman" w:cs="Arial"/>
          <w:vertAlign w:val="superscript"/>
          <w:lang w:eastAsia="es-CO"/>
        </w:rPr>
        <w:footnoteReference w:id="7"/>
      </w:r>
      <w:r w:rsidRPr="001408CF">
        <w:rPr>
          <w:rFonts w:ascii="Arial" w:hAnsi="Arial" w:eastAsia="Times New Roman" w:cs="Arial"/>
          <w:lang w:eastAsia="es-CO"/>
        </w:rPr>
        <w:t>. De esta manera se obtiene un subtotal de costos directos a partir de la sumatoria de los valores correspondientes a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rsidRPr="001408CF" w:rsidR="0015083D" w:rsidP="0015083D" w:rsidRDefault="0015083D" w14:paraId="3D1A2A52"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lang w:eastAsia="es-CO"/>
        </w:rPr>
        <w:t>En ese contexto, las metodologías señaladas están asociadas, por un lado, a la estimación del valor del contrato por parte de la Entidad Estatal en el marco de lo requerido por la planeación correspondiente, y por otro lado, a la determinación del precio del contrato en el marco del proceso de selección, en la medida en que se tornan relevantes para la presentación de la oferta económica. Sin embargo, debe advertirse que ni en el sistema de precios unitario ni el factor multiplicador son asuntos expresamente regulados en el conjunto de las disposiciones legales y reglamentarias que integran la normativa contractual del Estado. La justificación de estas formas de establecer o cotizar el precio procede, incluso, de la formación universitaria que reciben los ingenieros, a quienes se les enseña esta metodología para elaborar las ofertas. En ese sentido, estas metodologías para la configuración del precio del contrato, determinantes para la elaboración de la propuesta económica, no proceden de la ley ni del reglamento, sino de la costumbre</w:t>
      </w:r>
      <w:r w:rsidRPr="001408CF">
        <w:rPr>
          <w:rFonts w:ascii="Arial" w:hAnsi="Arial" w:eastAsia="Times New Roman" w:cs="Arial"/>
          <w:vertAlign w:val="superscript"/>
          <w:lang w:val="es-ES_tradnl" w:eastAsia="es-CO"/>
        </w:rPr>
        <w:footnoteReference w:id="8"/>
      </w:r>
      <w:r w:rsidRPr="001408CF">
        <w:rPr>
          <w:rFonts w:ascii="Arial" w:hAnsi="Arial" w:eastAsia="Times New Roman" w:cs="Arial"/>
          <w:bCs/>
          <w:lang w:val="es-ES_tradnl" w:eastAsia="es-CO"/>
        </w:rPr>
        <w:t>.</w:t>
      </w:r>
    </w:p>
    <w:p w:rsidRPr="001408CF" w:rsidR="0015083D" w:rsidP="0015083D" w:rsidRDefault="0015083D" w14:paraId="2FD668ED"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Pese a que el Estatuto General de Contratación de la Administración Pública, en adelante EGCAP, no establece una regulación integral o detallada conforme a la cual se 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rsidRPr="001408CF" w:rsidR="0015083D" w:rsidP="0015083D" w:rsidRDefault="0015083D" w14:paraId="4F841D78"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Así pues, 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w:rsidRPr="001408CF" w:rsidR="0015083D" w:rsidP="0015083D" w:rsidRDefault="0015083D" w14:paraId="1A6B687A"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En ese orden, ante la ausencia de un marco normativo particularmente aplicable a las referidas metodologías, corresponderá a las Entidades Estatales establecer las reglas para su aplicación, con el propósito de dar a conocer los aspectos que deben tenerse en cuenta a la hora de configurar las ofertas. A partir de tales reglas, la entidad podrá exigir el desglose de determinados factores imputables a costos directos de cierta forma, realizar una tasación del AIU o el factor multiplicador, y en general, establecer parámetros que garanticen el desarrollo de principios de la función administrativa y de la gestión fiscal, dentro de los cuales se encuentra el principio de economía, postulado este, que exige la optimización de los recursos públicos.</w:t>
      </w:r>
    </w:p>
    <w:p w:rsidRPr="001408CF" w:rsidR="0015083D" w:rsidP="0015083D" w:rsidRDefault="0015083D" w14:paraId="2593C8AB" w14:textId="77777777">
      <w:pPr>
        <w:spacing w:before="120" w:after="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Bajo esta órbita, se aclara que los proponentes al momento de estructurar sus ofertas tienen la obligación, respecto del proceso de selección, de conocer las normas que lo rigen, sus características, condiciones de ejecución del contrato y riesgos previsibles. Esto, en razón a que, mediante la presentación de la oferta se pone en contexto a la entidad contratante frente a una serie de documentos que en conjunto conforman un acervo probatorio, de los requisitos que se pretenden hacer valer y que permiten determinar, entre varias ofertas, la que represente la mejor condición de elegibilidad.</w:t>
      </w:r>
    </w:p>
    <w:p w:rsidRPr="001408CF" w:rsidR="0015083D" w:rsidP="0015083D" w:rsidRDefault="0015083D" w14:paraId="31861260" w14:textId="77777777">
      <w:pPr>
        <w:spacing w:before="120" w:after="120" w:line="276" w:lineRule="auto"/>
        <w:jc w:val="both"/>
        <w:textAlignment w:val="baseline"/>
        <w:rPr>
          <w:rFonts w:ascii="Arial" w:hAnsi="Arial" w:eastAsia="Times New Roman" w:cs="Arial"/>
          <w:bCs/>
          <w:lang w:val="es-ES_tradnl" w:eastAsia="es-CO"/>
        </w:rPr>
      </w:pPr>
      <w:r w:rsidRPr="001408CF">
        <w:rPr>
          <w:rFonts w:ascii="Arial" w:hAnsi="Arial" w:eastAsia="Times New Roman" w:cs="Arial"/>
          <w:bCs/>
          <w:lang w:val="es-ES_tradnl" w:eastAsia="es-CO"/>
        </w:rPr>
        <w:tab/>
      </w:r>
      <w:r w:rsidRPr="001408CF">
        <w:rPr>
          <w:rFonts w:ascii="Arial" w:hAnsi="Arial" w:eastAsia="Times New Roman" w:cs="Arial"/>
          <w:bCs/>
          <w:lang w:val="es-ES_tradnl" w:eastAsia="es-CO"/>
        </w:rPr>
        <w:t xml:space="preserve">Los requisitos de los proponentes, que se hacen valer por medio de la oferta en su integridad, pueden ser entendidos en tres cales: i) </w:t>
      </w:r>
      <w:r w:rsidRPr="001408CF">
        <w:rPr>
          <w:rFonts w:ascii="Arial" w:hAnsi="Arial" w:eastAsia="Times New Roman" w:cs="Arial"/>
          <w:bCs/>
          <w:i/>
          <w:iCs/>
          <w:lang w:val="es-ES_tradnl" w:eastAsia="es-CO"/>
        </w:rPr>
        <w:t xml:space="preserve">subjetivos, </w:t>
      </w:r>
      <w:r w:rsidRPr="001408CF">
        <w:rPr>
          <w:rFonts w:ascii="Arial" w:hAnsi="Arial" w:eastAsia="Times New Roman" w:cs="Arial"/>
          <w:bCs/>
          <w:lang w:val="es-ES_tradnl" w:eastAsia="es-CO"/>
        </w:rPr>
        <w:t xml:space="preserve">que atienden a las calidades, capacidades, idoneidad y condiciones de los oferentes; </w:t>
      </w:r>
      <w:proofErr w:type="spellStart"/>
      <w:r w:rsidRPr="001408CF">
        <w:rPr>
          <w:rFonts w:ascii="Arial" w:hAnsi="Arial" w:eastAsia="Times New Roman" w:cs="Arial"/>
          <w:bCs/>
          <w:lang w:val="es-ES_tradnl" w:eastAsia="es-CO"/>
        </w:rPr>
        <w:t>ii</w:t>
      </w:r>
      <w:proofErr w:type="spellEnd"/>
      <w:r w:rsidRPr="001408CF">
        <w:rPr>
          <w:rFonts w:ascii="Arial" w:hAnsi="Arial" w:eastAsia="Times New Roman" w:cs="Arial"/>
          <w:bCs/>
          <w:lang w:val="es-ES_tradnl" w:eastAsia="es-CO"/>
        </w:rPr>
        <w:t xml:space="preserve">) </w:t>
      </w:r>
      <w:r w:rsidRPr="001408CF">
        <w:rPr>
          <w:rFonts w:ascii="Arial" w:hAnsi="Arial" w:eastAsia="Times New Roman" w:cs="Arial"/>
          <w:bCs/>
          <w:i/>
          <w:iCs/>
          <w:lang w:val="es-ES_tradnl" w:eastAsia="es-CO"/>
        </w:rPr>
        <w:t xml:space="preserve">objetivos </w:t>
      </w:r>
      <w:r w:rsidRPr="001408CF">
        <w:rPr>
          <w:rFonts w:ascii="Arial" w:hAnsi="Arial" w:eastAsia="Times New Roman" w:cs="Arial"/>
          <w:bCs/>
          <w:lang w:val="es-ES_tradnl" w:eastAsia="es-CO"/>
        </w:rPr>
        <w:t xml:space="preserve">que se refieren a aspectos técnicos, económicos, presupuestales, etc., que permiten ponderar las ofertas en su real y efectiva dimensión; y </w:t>
      </w:r>
      <w:proofErr w:type="spellStart"/>
      <w:r w:rsidRPr="001408CF">
        <w:rPr>
          <w:rFonts w:ascii="Arial" w:hAnsi="Arial" w:eastAsia="Times New Roman" w:cs="Arial"/>
          <w:bCs/>
          <w:lang w:val="es-ES_tradnl" w:eastAsia="es-CO"/>
        </w:rPr>
        <w:t>iii</w:t>
      </w:r>
      <w:proofErr w:type="spellEnd"/>
      <w:r w:rsidRPr="001408CF">
        <w:rPr>
          <w:rFonts w:ascii="Arial" w:hAnsi="Arial" w:eastAsia="Times New Roman" w:cs="Arial"/>
          <w:bCs/>
          <w:lang w:val="es-ES_tradnl" w:eastAsia="es-CO"/>
        </w:rPr>
        <w:t xml:space="preserve">) </w:t>
      </w:r>
      <w:r w:rsidRPr="001408CF">
        <w:rPr>
          <w:rFonts w:ascii="Arial" w:hAnsi="Arial" w:eastAsia="Times New Roman" w:cs="Arial"/>
          <w:bCs/>
          <w:i/>
          <w:iCs/>
          <w:lang w:val="es-ES_tradnl" w:eastAsia="es-CO"/>
        </w:rPr>
        <w:t xml:space="preserve">formales </w:t>
      </w:r>
      <w:r w:rsidRPr="001408CF">
        <w:rPr>
          <w:rFonts w:ascii="Arial" w:hAnsi="Arial" w:eastAsia="Times New Roman" w:cs="Arial"/>
          <w:bCs/>
          <w:lang w:val="es-ES_tradnl" w:eastAsia="es-CO"/>
        </w:rPr>
        <w:t xml:space="preserve">que se atienden a la instrumentalización y protocolización de los actos jurídicos, tanto de la propuesta como del contrato estatal. </w:t>
      </w:r>
    </w:p>
    <w:p w:rsidR="0015083D" w:rsidP="0015083D" w:rsidRDefault="0015083D" w14:paraId="7F7BC6EF" w14:textId="77777777">
      <w:pPr>
        <w:spacing w:after="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lang w:val="es-ES"/>
        </w:rPr>
        <w:t xml:space="preserve">Ahora bien, desde luego que los costos asociados al personal requerido para ejecutar el contrato son un aspecto que entran a determinar su precio, por lo que son un tema para considerar al hacer el ofrecimiento económico en la etapa de presentación de ofertas, con sujeción al mecanismo para determinar el precio que regule la entidad en el pliego de condiciones. En ese sentido, cuando una entidad incorpora el mecanismo del factor multiplicador debe incluir las reglas para que estos sean considerados por los 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contratista para ejecutar el proyecto, así como la posibilidad de que los costos de dicha contratación–ya sea laboral o por prestación de servicios–, se incorporen al precio del contrato, por la vía del factor multiplicador aplicado para hacer la oferta económica. </w:t>
      </w:r>
    </w:p>
    <w:p w:rsidRPr="001408CF" w:rsidR="0015083D" w:rsidP="0015083D" w:rsidRDefault="0015083D" w14:paraId="4A8BCBC4" w14:textId="77777777">
      <w:pPr>
        <w:spacing w:before="120" w:after="0" w:line="276" w:lineRule="auto"/>
        <w:ind w:firstLine="708"/>
        <w:jc w:val="both"/>
        <w:textAlignment w:val="baseline"/>
        <w:rPr>
          <w:rFonts w:ascii="Arial" w:hAnsi="Arial" w:eastAsia="Times New Roman" w:cs="Arial"/>
          <w:lang w:eastAsia="es-CO"/>
        </w:rPr>
      </w:pPr>
      <w:r w:rsidRPr="001408CF">
        <w:rPr>
          <w:rFonts w:ascii="Arial" w:hAnsi="Arial" w:eastAsia="Times New Roman" w:cs="Arial"/>
          <w:bCs/>
          <w:lang w:val="es-ES_tradnl" w:eastAsia="es-CO"/>
        </w:rPr>
        <w:t>En conclusión, cuando la Entidad Estatal haga uso del factor multiplicador, debe asegurarse de ejercer una buena vigilancia de la ejecución contractual, con el fin de poder realizar adecuadamente la auditoría de los costos del contrato para apagar sólo aquello que se hayan causado efectivamente. Por tanto, podrán verificarse los soportes contables, administrativos y financieros de la ejecución, ya que la Entidad Estatal sólo debe pagar aquellos costos que hubieran sido pagados por el contratista so pena de que se configure un enriquecimiento sin causa de su parte.</w:t>
      </w:r>
    </w:p>
    <w:p w:rsidRPr="001408CF" w:rsidR="0015083D" w:rsidP="0015083D" w:rsidRDefault="0015083D" w14:paraId="7014EB4D" w14:textId="77777777">
      <w:pPr>
        <w:spacing w:after="0" w:line="276" w:lineRule="auto"/>
        <w:jc w:val="both"/>
        <w:textAlignment w:val="baseline"/>
        <w:rPr>
          <w:rFonts w:ascii="Arial" w:hAnsi="Arial" w:eastAsia="Times New Roman" w:cs="Arial"/>
          <w:lang w:eastAsia="es-CO"/>
        </w:rPr>
      </w:pPr>
    </w:p>
    <w:p w:rsidRPr="001408CF" w:rsidR="0015083D" w:rsidP="0015083D" w:rsidRDefault="0015083D" w14:paraId="6D93E5A7" w14:textId="77777777" w14:noSpellErr="1">
      <w:pPr>
        <w:spacing w:after="0" w:line="240" w:lineRule="auto"/>
        <w:ind w:left="709" w:right="709"/>
        <w:jc w:val="both"/>
        <w:rPr>
          <w:rFonts w:ascii="Arial" w:hAnsi="Arial" w:cs="Arial"/>
        </w:rPr>
      </w:pPr>
    </w:p>
    <w:p w:rsidR="3805F9D7" w:rsidP="3805F9D7" w:rsidRDefault="3805F9D7" w14:paraId="0F43D5C8" w14:textId="5CFA61B4">
      <w:pPr>
        <w:pStyle w:val="Normal"/>
        <w:spacing w:after="0" w:line="240" w:lineRule="auto"/>
        <w:ind w:left="709" w:right="709"/>
        <w:jc w:val="both"/>
        <w:rPr>
          <w:rFonts w:ascii="Arial" w:hAnsi="Arial" w:cs="Arial"/>
        </w:rPr>
      </w:pPr>
    </w:p>
    <w:p w:rsidR="3805F9D7" w:rsidP="3805F9D7" w:rsidRDefault="3805F9D7" w14:paraId="01300DA9" w14:textId="264F42A6">
      <w:pPr>
        <w:pStyle w:val="Normal"/>
        <w:spacing w:after="0" w:line="240" w:lineRule="auto"/>
        <w:ind w:left="709" w:right="709"/>
        <w:jc w:val="both"/>
        <w:rPr>
          <w:rFonts w:ascii="Arial" w:hAnsi="Arial" w:cs="Arial"/>
        </w:rPr>
      </w:pPr>
    </w:p>
    <w:p w:rsidR="3805F9D7" w:rsidP="3805F9D7" w:rsidRDefault="3805F9D7" w14:paraId="1FBA8E39" w14:textId="38932B8A">
      <w:pPr>
        <w:pStyle w:val="Normal"/>
        <w:spacing w:after="0" w:line="240" w:lineRule="auto"/>
        <w:ind w:left="709" w:right="709"/>
        <w:jc w:val="both"/>
        <w:rPr>
          <w:rFonts w:ascii="Arial" w:hAnsi="Arial" w:cs="Arial"/>
        </w:rPr>
      </w:pPr>
    </w:p>
    <w:p w:rsidRPr="001408CF" w:rsidR="0015083D" w:rsidP="0015083D" w:rsidRDefault="0015083D" w14:paraId="5DDE1B19" w14:textId="77777777">
      <w:pPr>
        <w:spacing w:after="0" w:line="276" w:lineRule="auto"/>
        <w:contextualSpacing/>
        <w:jc w:val="both"/>
        <w:rPr>
          <w:rFonts w:ascii="Arial" w:hAnsi="Arial" w:eastAsia="Calibri" w:cs="Arial"/>
          <w:b/>
        </w:rPr>
      </w:pPr>
      <w:r w:rsidRPr="001408CF">
        <w:rPr>
          <w:rFonts w:ascii="Arial" w:hAnsi="Arial" w:eastAsia="Calibri" w:cs="Arial"/>
          <w:b/>
        </w:rPr>
        <w:t>3. Respuesta</w:t>
      </w:r>
    </w:p>
    <w:p w:rsidRPr="001408CF" w:rsidR="0015083D" w:rsidP="0015083D" w:rsidRDefault="0015083D" w14:paraId="2CC2696C" w14:textId="77777777">
      <w:pPr>
        <w:spacing w:after="0" w:line="276" w:lineRule="auto"/>
        <w:contextualSpacing/>
        <w:jc w:val="both"/>
        <w:rPr>
          <w:rFonts w:ascii="Arial" w:hAnsi="Arial" w:eastAsia="Calibri" w:cs="Arial"/>
        </w:rPr>
      </w:pPr>
      <w:bookmarkStart w:name="_Hlk57650395" w:id="12"/>
    </w:p>
    <w:p w:rsidRPr="001408CF" w:rsidR="0015083D" w:rsidP="0015083D" w:rsidRDefault="0015083D" w14:paraId="395317D2" w14:textId="77777777">
      <w:pPr>
        <w:spacing w:before="120" w:after="0" w:line="240" w:lineRule="auto"/>
        <w:ind w:left="709" w:right="709"/>
        <w:contextualSpacing/>
        <w:jc w:val="both"/>
        <w:rPr>
          <w:rFonts w:ascii="Arial" w:hAnsi="Arial" w:eastAsia="Calibri" w:cs="Arial"/>
          <w:sz w:val="21"/>
          <w:szCs w:val="21"/>
        </w:rPr>
      </w:pPr>
      <w:r w:rsidRPr="001408CF">
        <w:rPr>
          <w:rFonts w:ascii="Arial" w:hAnsi="Arial" w:eastAsia="Calibri" w:cs="Arial"/>
          <w:sz w:val="21"/>
          <w:szCs w:val="21"/>
        </w:rPr>
        <w:t>“[…] [¿]para prever reducir el FM a través de modificación y no incurrir en detrimento patrimonial y/o enriquecimiento sin causa, lo lógico es que si un proponente pretende contratar todo el personal mediante Contrato de Prestación de Servicios y no por Contrato Laboral, en su propuesta económica debe estimar el Factor Multiplicador tomando como base los honorarios del personal (100%), sin considerar costo alguno por prestaciones sociales, aunque arroje un FM menor al que resultare si el vínculo fuera por nomina?” [</w:t>
      </w:r>
      <w:r w:rsidRPr="001408CF">
        <w:rPr>
          <w:rFonts w:ascii="Arial" w:hAnsi="Arial" w:eastAsia="Calibri" w:cs="Arial"/>
          <w:bCs/>
          <w:sz w:val="21"/>
          <w:szCs w:val="21"/>
          <w:lang w:val="es-MX"/>
        </w:rPr>
        <w:t>sic</w:t>
      </w:r>
      <w:r w:rsidRPr="001408CF">
        <w:rPr>
          <w:rFonts w:ascii="Arial" w:hAnsi="Arial" w:eastAsia="Calibri" w:cs="Arial"/>
          <w:sz w:val="21"/>
          <w:szCs w:val="21"/>
        </w:rPr>
        <w:t>]</w:t>
      </w:r>
    </w:p>
    <w:p w:rsidRPr="001408CF" w:rsidR="0015083D" w:rsidP="0015083D" w:rsidRDefault="0015083D" w14:paraId="43C5A6FC" w14:textId="77777777">
      <w:pPr>
        <w:shd w:val="clear" w:color="auto" w:fill="FFFFFF"/>
        <w:spacing w:after="0" w:line="276" w:lineRule="auto"/>
        <w:jc w:val="both"/>
        <w:rPr>
          <w:rFonts w:ascii="Arial" w:hAnsi="Arial" w:cs="Arial"/>
        </w:rPr>
      </w:pPr>
    </w:p>
    <w:p w:rsidRPr="001408CF" w:rsidR="0015083D" w:rsidP="0015083D" w:rsidRDefault="0015083D" w14:paraId="10A3E745" w14:textId="77777777">
      <w:pPr>
        <w:spacing w:after="0" w:line="276" w:lineRule="auto"/>
        <w:jc w:val="both"/>
        <w:rPr>
          <w:rFonts w:ascii="Arial" w:hAnsi="Arial" w:eastAsia="Calibri" w:cs="Arial"/>
          <w:lang w:val="es-ES" w:eastAsia="es-MX"/>
        </w:rPr>
      </w:pPr>
      <w:r w:rsidRPr="001408CF">
        <w:rPr>
          <w:rFonts w:ascii="Arial" w:hAnsi="Arial" w:eastAsia="Calibri" w:cs="Arial"/>
          <w:lang w:val="es-ES" w:eastAsia="es-MX"/>
        </w:rPr>
        <w:t>De manera preliminar es pertinente indicar,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p>
    <w:p w:rsidRPr="001408CF" w:rsidR="0015083D" w:rsidP="0015083D" w:rsidRDefault="0015083D" w14:paraId="7AEBEDBF" w14:textId="77777777">
      <w:pPr>
        <w:spacing w:before="120" w:after="0" w:line="276" w:lineRule="auto"/>
        <w:jc w:val="both"/>
        <w:rPr>
          <w:rFonts w:ascii="Arial" w:hAnsi="Arial" w:cs="Arial"/>
          <w:lang w:val="es-ES_tradnl"/>
        </w:rPr>
      </w:pPr>
      <w:r w:rsidRPr="001408CF">
        <w:rPr>
          <w:rFonts w:ascii="Arial" w:hAnsi="Arial" w:eastAsia="Calibri" w:cs="Arial"/>
          <w:lang w:val="es-ES" w:eastAsia="es-MX"/>
        </w:rPr>
        <w:tab/>
      </w:r>
      <w:r w:rsidRPr="001408CF">
        <w:rPr>
          <w:rFonts w:ascii="Arial" w:hAnsi="Arial" w:cs="Arial"/>
          <w:lang w:val="es-ES_tradnl"/>
        </w:rPr>
        <w:t>Sin perjuicio de lo anterior, como se indicó en el considerando de este concepto, en la estipulación del precio en los contratos de consultoría es común la utilización del sistema del factor multiplicador, el cual permite imputar al contrato los costos directos asociados a salarios del personal vinculado con carácter exclusivo al proyecto, así como conceptos asociados a prestaciones sociales, la utilidad de ingeniero y los costos de administración. Sin embargo, dicha metodología no se encuentra reglamentada por la normativa contractual, pues como se indicó previamente, su justificación procede, incluso, de la formación universitaria que reciben los ingenieros a quienes se les enseña este método para elaborar las ofertas, pues este tipo de configuración del precio del contrato, no procede de la ley sino de la costumbre.</w:t>
      </w:r>
    </w:p>
    <w:p w:rsidRPr="001408CF" w:rsidR="0015083D" w:rsidP="0015083D" w:rsidRDefault="0015083D" w14:paraId="480CB49E" w14:textId="77777777">
      <w:pPr>
        <w:spacing w:before="120" w:after="120" w:line="276" w:lineRule="auto"/>
        <w:ind w:firstLine="709"/>
        <w:jc w:val="both"/>
        <w:rPr>
          <w:rFonts w:ascii="Arial" w:hAnsi="Arial" w:cs="Arial"/>
          <w:lang w:val="es-ES_tradnl"/>
        </w:rPr>
      </w:pPr>
      <w:r w:rsidRPr="001408CF">
        <w:rPr>
          <w:rFonts w:ascii="Arial" w:hAnsi="Arial" w:cs="Arial"/>
          <w:lang w:val="es-ES_tradnl"/>
        </w:rPr>
        <w:t>De ahí que, pese a que el factor multiplicador no está mencionado en el artículo 2.2.1.1.2.1.1 del Decreto 1082 de 2015 que regula el contenido del estudio del sector, a criterio de esta Agencia las Entidades Estatales no están exentas de incluir en los estudios previos, la razón por la cual determinaron la viabilidad de usar tal metodología para estimar el valor del contrato, así, como el de establecer las reglas para su aplicación con el propósito de dar a conocer los aspectos que deben tenerse en cuenta a la hora de configurar las ofertas. A partir de tales reglas, la entidad podrá exigir el desglose de determinados factores imputables a costos directos de cierta forma, realizar una tasación del AIU o el factor multiplicador, y en general, establecer parámetros que garanticen el desarrollo de principios de la función administrativa y de la gestión fiscal.</w:t>
      </w:r>
    </w:p>
    <w:p w:rsidR="0015083D" w:rsidP="0015083D" w:rsidRDefault="0015083D" w14:paraId="2A79F188" w14:textId="77777777">
      <w:pPr>
        <w:spacing w:after="120" w:line="276" w:lineRule="auto"/>
        <w:ind w:firstLine="709"/>
        <w:jc w:val="both"/>
        <w:rPr>
          <w:rFonts w:ascii="Arial" w:hAnsi="Arial" w:eastAsia="Calibri" w:cs="Arial"/>
          <w:color w:val="000000" w:themeColor="text1"/>
          <w:lang w:val="es-ES"/>
        </w:rPr>
      </w:pPr>
      <w:r>
        <w:rPr>
          <w:rFonts w:ascii="Arial" w:hAnsi="Arial" w:cs="Arial"/>
          <w:lang w:val="es-ES_tradnl"/>
        </w:rPr>
        <w:t>Si</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se usa el factor multiplicador como fórmula para la determinación de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los</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costos</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contrato,</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contratista</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debe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demostrar</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gasto</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todos</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los componentes de costo que se tuvieron en cuenta para determinarlo.</w:t>
      </w:r>
      <w:r>
        <w:rPr>
          <w:rFonts w:ascii="Arial" w:hAnsi="Arial" w:eastAsia="Calibri" w:cs="Arial"/>
          <w:color w:val="000000" w:themeColor="text1"/>
          <w:lang w:val="es-ES"/>
        </w:rPr>
        <w:t xml:space="preserve"> En este contexto, e</w:t>
      </w:r>
      <w:r w:rsidRPr="00E44C58">
        <w:rPr>
          <w:rFonts w:ascii="Arial" w:hAnsi="Arial" w:eastAsia="Calibri" w:cs="Arial"/>
          <w:color w:val="000000" w:themeColor="text1"/>
          <w:lang w:val="es-ES"/>
        </w:rPr>
        <w:t>n el caso de los salarios y prestaciones sociales, si el contratista no debe asumir tal costo por la modalidad</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contratación</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personal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que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dispone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para</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la</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ejecución</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del</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contrato,</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se</w:t>
      </w:r>
      <w:r>
        <w:rPr>
          <w:rFonts w:ascii="Arial" w:hAnsi="Arial" w:eastAsia="Calibri" w:cs="Arial"/>
          <w:color w:val="000000" w:themeColor="text1"/>
          <w:lang w:val="es-ES"/>
        </w:rPr>
        <w:t xml:space="preserve"> </w:t>
      </w:r>
      <w:r w:rsidRPr="00E44C58">
        <w:rPr>
          <w:rFonts w:ascii="Arial" w:hAnsi="Arial" w:eastAsia="Calibri" w:cs="Arial"/>
          <w:color w:val="000000" w:themeColor="text1"/>
          <w:lang w:val="es-ES"/>
        </w:rPr>
        <w:t>debe disminuir el porcentaje correspondiente a este concepto a través de una modificación al contrato o en el acta de liquidación del mismo.</w:t>
      </w:r>
    </w:p>
    <w:p w:rsidRPr="001408CF" w:rsidR="0015083D" w:rsidP="0015083D" w:rsidRDefault="0015083D" w14:paraId="2333C9F9" w14:textId="77777777">
      <w:pPr>
        <w:spacing w:after="120" w:line="276" w:lineRule="auto"/>
        <w:ind w:firstLine="709"/>
        <w:jc w:val="both"/>
        <w:rPr>
          <w:rFonts w:ascii="Arial" w:hAnsi="Arial" w:eastAsia="Calibri" w:cs="Arial"/>
          <w:lang w:val="es-ES" w:eastAsia="es-MX"/>
        </w:rPr>
      </w:pPr>
      <w:r>
        <w:rPr>
          <w:rFonts w:ascii="Arial" w:hAnsi="Arial" w:eastAsia="Calibri" w:cs="Arial"/>
          <w:color w:val="000000" w:themeColor="text1"/>
          <w:lang w:val="es-ES"/>
        </w:rPr>
        <w:t xml:space="preserve">Los costos asociados al personal requerido para ejecutar el contrato son un aspecto que entran a determinar su precio, por lo que son un tema para considerar al hacer el ofrecimiento económico en la etapa de presentación de ofertas, con sujeción al mecanismo para determinar el precio que regule la entidad en el pliego de condiciones. En ese sentido, cuando una entidad incorpora el mecanismo del factor multiplicador debe incluir las reglas para que estos sean considerados por los proponentes, de suerte que incluyan los costos asociados al personal para la ejecución del contrato en concordancia con el equipo de trabajo exigido, el cual debe atender unas condiciones y perfiles específicos establecidos en los Documentos del Proceso. Las reglas que discrecionalmente deben establecer las entidades estatales en los pliegos de condiciones para regular los mencionados aspectos son las que en últimas determinan que tipo de contratación de personal es la que corresponde realizar al contratista para ejecutar el proyecto, así como la posibilidad de que los costos de dicha contratación–ya sea laboral o por prestación de servicios–, se incorporen al precio del contrato, por la vía del factor multiplicador aplicado para hacer la oferta económica. </w:t>
      </w:r>
    </w:p>
    <w:p w:rsidRPr="001408CF" w:rsidR="0015083D" w:rsidP="0015083D" w:rsidRDefault="0015083D" w14:paraId="14D80796" w14:textId="77777777">
      <w:pPr>
        <w:widowControl w:val="0"/>
        <w:autoSpaceDE w:val="0"/>
        <w:autoSpaceDN w:val="0"/>
        <w:spacing w:after="0" w:line="276" w:lineRule="auto"/>
        <w:contextualSpacing/>
        <w:jc w:val="both"/>
        <w:rPr>
          <w:rFonts w:ascii="Arial" w:hAnsi="Arial" w:eastAsia="Times New Roman" w:cs="Arial"/>
          <w:lang w:eastAsia="es-ES_tradnl"/>
        </w:rPr>
      </w:pPr>
      <w:r w:rsidRPr="001408CF">
        <w:rPr>
          <w:rFonts w:ascii="Arial" w:hAnsi="Arial" w:eastAsia="Calibri" w:cs="Arial"/>
        </w:rPr>
        <w:t>Este concepto tiene el alcance previsto en el artículo 28 del Código de Procedimiento Administrativo y de lo Contencioso Administrativo</w:t>
      </w:r>
      <w:r w:rsidRPr="001408CF">
        <w:rPr>
          <w:rFonts w:ascii="Arial" w:hAnsi="Arial" w:eastAsia="Calibri" w:cs="Arial"/>
          <w:noProof/>
          <w:lang w:eastAsia="es-CO"/>
        </w:rPr>
        <mc:AlternateContent>
          <mc:Choice Requires="wps">
            <w:drawing>
              <wp:anchor distT="0" distB="0" distL="114300" distR="114300" simplePos="0" relativeHeight="251659264" behindDoc="0" locked="0" layoutInCell="1" allowOverlap="1" wp14:anchorId="0A8DB97A" wp14:editId="7A1130A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CC282E">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DBFA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r w:rsidRPr="001408CF">
        <w:rPr>
          <w:rFonts w:ascii="Arial" w:hAnsi="Arial" w:eastAsia="Calibri" w:cs="Arial"/>
        </w:rPr>
        <w:t xml:space="preserve"> y las expresiones utilizadas con mayúscula inicial deben ser entendidas con el significado que les otorga el artículo 2.2.1.1.1.3.1 del Decreto 1082 de 2015.</w:t>
      </w:r>
    </w:p>
    <w:p w:rsidRPr="001408CF" w:rsidR="0015083D" w:rsidP="0015083D" w:rsidRDefault="0015083D" w14:paraId="3EA7CCD3" w14:textId="77777777">
      <w:pPr>
        <w:spacing w:after="120" w:line="276" w:lineRule="auto"/>
        <w:jc w:val="both"/>
        <w:rPr>
          <w:rFonts w:ascii="Arial" w:hAnsi="Arial" w:eastAsia="Times New Roman" w:cs="Arial"/>
          <w:lang w:eastAsia="es-ES_tradnl"/>
        </w:rPr>
      </w:pPr>
    </w:p>
    <w:p w:rsidRPr="001408CF" w:rsidR="0015083D" w:rsidP="0015083D" w:rsidRDefault="0015083D" w14:paraId="4669917F" w14:textId="77777777">
      <w:pPr>
        <w:spacing w:after="200" w:line="276" w:lineRule="auto"/>
        <w:jc w:val="both"/>
        <w:rPr>
          <w:rFonts w:ascii="Arial" w:hAnsi="Arial" w:eastAsia="Times New Roman" w:cs="Arial"/>
          <w:lang w:eastAsia="es-CO"/>
        </w:rPr>
      </w:pPr>
      <w:r w:rsidRPr="001408CF">
        <w:rPr>
          <w:rFonts w:ascii="Arial" w:hAnsi="Arial" w:eastAsia="Times New Roman" w:cs="Arial"/>
          <w:lang w:eastAsia="es-CO"/>
        </w:rPr>
        <w:t>Atentamente,</w:t>
      </w:r>
    </w:p>
    <w:p w:rsidRPr="001408CF" w:rsidR="0015083D" w:rsidP="0015083D" w:rsidRDefault="008736C2" w14:paraId="5AFF7C9E" w14:textId="1E756799">
      <w:pPr>
        <w:spacing w:after="200" w:line="276" w:lineRule="auto"/>
        <w:jc w:val="center"/>
      </w:pPr>
      <w:bookmarkStart w:name="_Hlk130981267" w:id="13"/>
      <w:bookmarkEnd w:id="0"/>
      <w:bookmarkEnd w:id="12"/>
      <w:r w:rsidR="008736C2">
        <w:drawing>
          <wp:inline wp14:editId="2CF7BA72" wp14:anchorId="14EC8491">
            <wp:extent cx="3157855" cy="1212215"/>
            <wp:effectExtent l="0" t="0" r="4445" b="6985"/>
            <wp:docPr id="1757685209" name="Imagen 1" descr="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85ae8b03e8c84f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57855" cy="1212215"/>
                    </a:xfrm>
                    <a:prstGeom prst="rect">
                      <a:avLst/>
                    </a:prstGeom>
                  </pic:spPr>
                </pic:pic>
              </a:graphicData>
            </a:graphic>
          </wp:inline>
        </w:drawing>
      </w:r>
      <w:r>
        <w:br/>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1408CF" w:rsidR="0015083D" w:rsidTr="00F81FD7" w14:paraId="31D08179" w14:textId="77777777">
        <w:trPr>
          <w:trHeight w:val="315"/>
        </w:trPr>
        <w:tc>
          <w:tcPr>
            <w:tcW w:w="855" w:type="dxa"/>
            <w:vAlign w:val="center"/>
            <w:hideMark/>
          </w:tcPr>
          <w:p w:rsidRPr="001408CF" w:rsidR="0015083D" w:rsidP="00F81FD7" w:rsidRDefault="0015083D" w14:paraId="165C9E2E"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Elaboró:</w:t>
            </w:r>
          </w:p>
        </w:tc>
        <w:tc>
          <w:tcPr>
            <w:tcW w:w="4957" w:type="dxa"/>
            <w:tcBorders>
              <w:top w:val="nil"/>
              <w:left w:val="nil"/>
              <w:bottom w:val="dotted" w:color="7F7F7F" w:sz="4" w:space="0"/>
              <w:right w:val="nil"/>
            </w:tcBorders>
            <w:vAlign w:val="center"/>
            <w:hideMark/>
          </w:tcPr>
          <w:p w:rsidRPr="001408CF" w:rsidR="0015083D" w:rsidP="00F81FD7" w:rsidRDefault="0015083D" w14:paraId="7A2D09F2"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Nasly Yeana Mosquera Rivas</w:t>
            </w:r>
          </w:p>
          <w:p w:rsidRPr="001408CF" w:rsidR="0015083D" w:rsidP="00F81FD7" w:rsidRDefault="0015083D" w14:paraId="2CE394CF"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Analista T2–06 de la Subdirección de Gestión Contractual</w:t>
            </w:r>
          </w:p>
        </w:tc>
      </w:tr>
      <w:tr w:rsidRPr="001408CF" w:rsidR="0015083D" w:rsidTr="00F81FD7" w14:paraId="7A098A8C" w14:textId="77777777">
        <w:trPr>
          <w:trHeight w:val="330"/>
        </w:trPr>
        <w:tc>
          <w:tcPr>
            <w:tcW w:w="855" w:type="dxa"/>
            <w:vAlign w:val="center"/>
            <w:hideMark/>
          </w:tcPr>
          <w:p w:rsidRPr="001408CF" w:rsidR="0015083D" w:rsidP="00F81FD7" w:rsidRDefault="0015083D" w14:paraId="2703C23F"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Revisó:</w:t>
            </w:r>
          </w:p>
        </w:tc>
        <w:tc>
          <w:tcPr>
            <w:tcW w:w="4957" w:type="dxa"/>
            <w:tcBorders>
              <w:top w:val="dotted" w:color="7F7F7F" w:sz="4" w:space="0"/>
              <w:left w:val="nil"/>
              <w:bottom w:val="dotted" w:color="7F7F7F" w:sz="4" w:space="0"/>
              <w:right w:val="nil"/>
            </w:tcBorders>
            <w:vAlign w:val="center"/>
            <w:hideMark/>
          </w:tcPr>
          <w:p w:rsidRPr="001408CF" w:rsidR="0015083D" w:rsidP="00F81FD7" w:rsidRDefault="0015083D" w14:paraId="563FA2B5"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Alejandro Sarmiento Cantillo</w:t>
            </w:r>
          </w:p>
          <w:p w:rsidRPr="001408CF" w:rsidR="0015083D" w:rsidP="00F81FD7" w:rsidRDefault="0015083D" w14:paraId="6251DFF4"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Contratista de la Subdirección de Gestión Contractual</w:t>
            </w:r>
          </w:p>
        </w:tc>
      </w:tr>
      <w:tr w:rsidRPr="001408CF" w:rsidR="0015083D" w:rsidTr="00F81FD7" w14:paraId="6A466C11" w14:textId="77777777">
        <w:trPr>
          <w:trHeight w:val="300"/>
        </w:trPr>
        <w:tc>
          <w:tcPr>
            <w:tcW w:w="855" w:type="dxa"/>
            <w:vAlign w:val="center"/>
            <w:hideMark/>
          </w:tcPr>
          <w:p w:rsidRPr="001408CF" w:rsidR="0015083D" w:rsidP="00F81FD7" w:rsidRDefault="0015083D" w14:paraId="5B15272D"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Aprobó:</w:t>
            </w:r>
          </w:p>
        </w:tc>
        <w:tc>
          <w:tcPr>
            <w:tcW w:w="4957" w:type="dxa"/>
            <w:tcBorders>
              <w:top w:val="dotted" w:color="7F7F7F" w:sz="4" w:space="0"/>
              <w:left w:val="nil"/>
              <w:bottom w:val="dotted" w:color="7F7F7F" w:sz="4" w:space="0"/>
              <w:right w:val="nil"/>
            </w:tcBorders>
            <w:vAlign w:val="center"/>
            <w:hideMark/>
          </w:tcPr>
          <w:p w:rsidRPr="001408CF" w:rsidR="0015083D" w:rsidP="00F81FD7" w:rsidRDefault="0015083D" w14:paraId="558CCF2D"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 xml:space="preserve">Nohelia del Carmen </w:t>
            </w:r>
            <w:proofErr w:type="spellStart"/>
            <w:r w:rsidRPr="001408CF">
              <w:rPr>
                <w:rFonts w:ascii="Arial" w:hAnsi="Arial" w:eastAsia="Times New Roman" w:cs="Arial"/>
                <w:sz w:val="16"/>
                <w:szCs w:val="16"/>
                <w:lang w:eastAsia="es-ES"/>
              </w:rPr>
              <w:t>Zawady</w:t>
            </w:r>
            <w:proofErr w:type="spellEnd"/>
            <w:r w:rsidRPr="001408CF">
              <w:rPr>
                <w:rFonts w:ascii="Arial" w:hAnsi="Arial" w:eastAsia="Times New Roman" w:cs="Arial"/>
                <w:sz w:val="16"/>
                <w:szCs w:val="16"/>
                <w:lang w:eastAsia="es-ES"/>
              </w:rPr>
              <w:t xml:space="preserve"> Palacio</w:t>
            </w:r>
          </w:p>
          <w:p w:rsidRPr="001408CF" w:rsidR="0015083D" w:rsidP="00F81FD7" w:rsidRDefault="0015083D" w14:paraId="15F4C56C" w14:textId="77777777">
            <w:pPr>
              <w:rPr>
                <w:rFonts w:ascii="Arial" w:hAnsi="Arial" w:eastAsia="Times New Roman" w:cs="Arial"/>
                <w:sz w:val="16"/>
                <w:szCs w:val="16"/>
                <w:lang w:eastAsia="es-ES"/>
              </w:rPr>
            </w:pPr>
            <w:r w:rsidRPr="001408CF">
              <w:rPr>
                <w:rFonts w:ascii="Arial" w:hAnsi="Arial" w:eastAsia="Times New Roman" w:cs="Arial"/>
                <w:sz w:val="16"/>
                <w:szCs w:val="16"/>
                <w:lang w:eastAsia="es-ES"/>
              </w:rPr>
              <w:t>Subdirectora de Gestión Contractual ANCP – CCE</w:t>
            </w:r>
          </w:p>
        </w:tc>
      </w:tr>
      <w:bookmarkEnd w:id="1"/>
      <w:bookmarkEnd w:id="2"/>
      <w:bookmarkEnd w:id="3"/>
      <w:bookmarkEnd w:id="4"/>
      <w:bookmarkEnd w:id="13"/>
    </w:tbl>
    <w:p w:rsidRPr="001408CF" w:rsidR="0015083D" w:rsidP="0015083D" w:rsidRDefault="0015083D" w14:paraId="2AACABFB" w14:textId="77777777"/>
    <w:p w:rsidRPr="001408CF" w:rsidR="0015083D" w:rsidP="0015083D" w:rsidRDefault="0015083D" w14:paraId="3D4E93ED" w14:textId="77777777"/>
    <w:p w:rsidR="0015083D" w:rsidRDefault="0015083D" w14:paraId="04A22824" w14:textId="77777777"/>
    <w:sectPr w:rsidR="0015083D" w:rsidSect="00923EEF">
      <w:headerReference w:type="default" r:id="rId11"/>
      <w:footerReference w:type="default" r:id="rId12"/>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036" w:rsidP="0015083D" w:rsidRDefault="009D5036" w14:paraId="09F4BAA3" w14:textId="77777777">
      <w:pPr>
        <w:spacing w:after="0" w:line="240" w:lineRule="auto"/>
      </w:pPr>
      <w:r>
        <w:separator/>
      </w:r>
    </w:p>
  </w:endnote>
  <w:endnote w:type="continuationSeparator" w:id="0">
    <w:p w:rsidR="009D5036" w:rsidP="0015083D" w:rsidRDefault="009D5036" w14:paraId="3EC7E2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Bold">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072" w:rsidRDefault="009800F8" w14:paraId="0B78212B" w14:textId="77777777">
    <w:pPr>
      <w:pStyle w:val="Piedepgina"/>
    </w:pPr>
    <w:r>
      <w:rPr>
        <w:noProof/>
      </w:rPr>
      <w:drawing>
        <wp:inline distT="0" distB="0" distL="0" distR="0" wp14:anchorId="4C3FB088" wp14:editId="42642C25">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17FE6002" wp14:editId="14B5FB0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3115EB91"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02072" w:rsidP="006219F8" w:rsidRDefault="009800F8" w14:paraId="1A9D2D90"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02072" w:rsidP="006219F8" w:rsidRDefault="009800F8" w14:paraId="1AE9B6F8"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02072" w:rsidP="00FC2B5D" w:rsidRDefault="009800F8" w14:paraId="131D10C7"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002072" w:rsidP="00820278" w:rsidRDefault="009800F8" w14:paraId="5D195D1C"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002072" w:rsidP="003E0499" w:rsidRDefault="00002072" w14:paraId="30FADED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036" w:rsidP="0015083D" w:rsidRDefault="009D5036" w14:paraId="7AD87E09" w14:textId="77777777">
      <w:pPr>
        <w:spacing w:after="0" w:line="240" w:lineRule="auto"/>
      </w:pPr>
      <w:r>
        <w:separator/>
      </w:r>
    </w:p>
  </w:footnote>
  <w:footnote w:type="continuationSeparator" w:id="0">
    <w:p w:rsidR="009D5036" w:rsidP="0015083D" w:rsidRDefault="009D5036" w14:paraId="5AA6410C" w14:textId="77777777">
      <w:pPr>
        <w:spacing w:after="0" w:line="240" w:lineRule="auto"/>
      </w:pPr>
      <w:r>
        <w:continuationSeparator/>
      </w:r>
    </w:p>
  </w:footnote>
  <w:footnote w:id="1">
    <w:p w:rsidRPr="00A450D9" w:rsidR="0015083D" w:rsidP="0015083D" w:rsidRDefault="0015083D" w14:paraId="682DEF2E" w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450D9">
        <w:rPr>
          <w:rFonts w:ascii="Arial" w:hAnsi="Arial" w:cs="Arial"/>
          <w:i/>
          <w:iCs/>
          <w:sz w:val="19"/>
          <w:szCs w:val="19"/>
        </w:rPr>
        <w:t xml:space="preserve">ibidem </w:t>
      </w:r>
      <w:r w:rsidRPr="00A450D9">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A450D9">
        <w:rPr>
          <w:rFonts w:ascii="Arial" w:hAnsi="Arial" w:cs="Arial"/>
          <w:sz w:val="19"/>
          <w:szCs w:val="19"/>
        </w:rPr>
        <w:t>bsolver</w:t>
      </w:r>
      <w:proofErr w:type="spellEnd"/>
      <w:r w:rsidRPr="00A450D9">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450D9">
        <w:rPr>
          <w:rFonts w:ascii="Arial" w:hAnsi="Arial" w:cs="Arial"/>
          <w:sz w:val="19"/>
          <w:szCs w:val="19"/>
        </w:rPr>
        <w:t>bsolver</w:t>
      </w:r>
      <w:proofErr w:type="spellEnd"/>
      <w:r w:rsidRPr="00A450D9">
        <w:rPr>
          <w:rFonts w:ascii="Arial" w:hAnsi="Arial" w:cs="Arial"/>
          <w:sz w:val="19"/>
          <w:szCs w:val="19"/>
        </w:rPr>
        <w:t xml:space="preserve"> consultas sobre la aplicación de normas de carácter general”.</w:t>
      </w:r>
    </w:p>
    <w:p w:rsidRPr="00A450D9" w:rsidR="0015083D" w:rsidP="0015083D" w:rsidRDefault="0015083D" w14:paraId="453D95F9" w14:textId="77777777">
      <w:pPr>
        <w:pStyle w:val="Textonotapie"/>
        <w:ind w:firstLine="708"/>
        <w:jc w:val="both"/>
        <w:rPr>
          <w:rFonts w:ascii="Arial" w:hAnsi="Arial" w:cs="Arial"/>
          <w:sz w:val="19"/>
          <w:szCs w:val="19"/>
          <w:lang w:val="es-ES"/>
        </w:rPr>
      </w:pPr>
    </w:p>
  </w:footnote>
  <w:footnote w:id="2">
    <w:p w:rsidRPr="00A450D9" w:rsidR="0015083D" w:rsidP="0015083D" w:rsidRDefault="0015083D" w14:paraId="66AF3843" w14:textId="77777777">
      <w:pPr>
        <w:pStyle w:val="Textonotapie"/>
        <w:ind w:firstLine="708"/>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Diccionario de la Lengua Española.</w:t>
      </w:r>
    </w:p>
    <w:p w:rsidRPr="00A450D9" w:rsidR="0015083D" w:rsidP="0015083D" w:rsidRDefault="0015083D" w14:paraId="6B0E5521" w14:textId="77777777">
      <w:pPr>
        <w:pStyle w:val="Textonotapie"/>
        <w:ind w:firstLine="708"/>
        <w:jc w:val="both"/>
        <w:rPr>
          <w:rFonts w:ascii="Arial" w:hAnsi="Arial" w:cs="Arial"/>
          <w:sz w:val="19"/>
          <w:szCs w:val="19"/>
          <w:lang w:val="es-ES"/>
        </w:rPr>
      </w:pPr>
    </w:p>
  </w:footnote>
  <w:footnote w:id="3">
    <w:p w:rsidRPr="00A450D9" w:rsidR="0015083D" w:rsidP="0015083D" w:rsidRDefault="0015083D" w14:paraId="1FE4B752" w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t>
      </w:r>
      <w:proofErr w:type="spellStart"/>
      <w:r w:rsidRPr="00A450D9">
        <w:rPr>
          <w:rFonts w:ascii="Arial" w:hAnsi="Arial" w:cs="Arial"/>
          <w:sz w:val="19"/>
          <w:szCs w:val="19"/>
        </w:rPr>
        <w:t>Wolker</w:t>
      </w:r>
      <w:proofErr w:type="spellEnd"/>
      <w:r w:rsidRPr="00A450D9">
        <w:rPr>
          <w:rFonts w:ascii="Arial" w:hAnsi="Arial" w:cs="Arial"/>
          <w:sz w:val="19"/>
          <w:szCs w:val="19"/>
        </w:rPr>
        <w:t xml:space="preserve"> </w:t>
      </w:r>
      <w:proofErr w:type="spellStart"/>
      <w:r w:rsidRPr="00A450D9">
        <w:rPr>
          <w:rFonts w:ascii="Arial" w:hAnsi="Arial" w:cs="Arial"/>
          <w:sz w:val="19"/>
          <w:szCs w:val="19"/>
        </w:rPr>
        <w:t>Kluwer</w:t>
      </w:r>
      <w:proofErr w:type="spellEnd"/>
      <w:r w:rsidRPr="00A450D9">
        <w:rPr>
          <w:rFonts w:ascii="Arial" w:hAnsi="Arial" w:cs="Arial"/>
          <w:sz w:val="19"/>
          <w:szCs w:val="19"/>
        </w:rPr>
        <w:t xml:space="preserve">, 2018. p. 268).     </w:t>
      </w:r>
    </w:p>
    <w:p w:rsidRPr="00A450D9" w:rsidR="0015083D" w:rsidP="0015083D" w:rsidRDefault="0015083D" w14:paraId="245980A9" w14:textId="77777777">
      <w:pPr>
        <w:pStyle w:val="Textonotapie"/>
        <w:ind w:firstLine="708"/>
        <w:jc w:val="both"/>
        <w:rPr>
          <w:rFonts w:ascii="Arial" w:hAnsi="Arial" w:cs="Arial"/>
          <w:sz w:val="19"/>
          <w:szCs w:val="19"/>
        </w:rPr>
      </w:pPr>
    </w:p>
  </w:footnote>
  <w:footnote w:id="4">
    <w:p w:rsidRPr="00A450D9" w:rsidR="0015083D" w:rsidP="0015083D" w:rsidRDefault="0015083D" w14:paraId="18A98BE5" w14:textId="77777777">
      <w:pPr>
        <w:pStyle w:val="Textonotapie"/>
        <w:ind w:firstLine="708"/>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 xml:space="preserve">MARÍN CORTÉS, Fabián G. El precio. Ed. Librería Jurídica Sánchez R. Ltda. y Centro de Estudios de Derecho Administrativo, Medellín, 2012, p. 60. </w:t>
      </w:r>
    </w:p>
  </w:footnote>
  <w:footnote w:id="5">
    <w:p w:rsidRPr="00A450D9" w:rsidR="0015083D" w:rsidP="0015083D" w:rsidRDefault="0015083D" w14:paraId="3B688205" w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 xml:space="preserve">Consejo de Estado, Sección Tercera, Subsección A sentencia de 19 de julio de 2018, M.P. Marta Nubia Velázquez Rico, Rad. 2013-01826(57.576) </w:t>
      </w:r>
    </w:p>
  </w:footnote>
  <w:footnote w:id="6">
    <w:p w:rsidRPr="00A450D9" w:rsidR="0015083D" w:rsidP="0015083D" w:rsidRDefault="0015083D" w14:paraId="3350CBA4" w14:textId="77777777">
      <w:pPr>
        <w:pStyle w:val="Textonotapie"/>
        <w:ind w:firstLine="709"/>
        <w:jc w:val="both"/>
        <w:rPr>
          <w:rFonts w:ascii="Arial" w:hAnsi="Arial" w:cs="Arial"/>
          <w:sz w:val="19"/>
          <w:szCs w:val="19"/>
        </w:rPr>
      </w:pPr>
    </w:p>
    <w:p w:rsidRPr="00A450D9" w:rsidR="0015083D" w:rsidP="0015083D" w:rsidRDefault="0015083D" w14:paraId="3DA1138B" w14:textId="77777777">
      <w:pPr>
        <w:pStyle w:val="Textonotapie"/>
        <w:ind w:firstLine="709"/>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rsidRPr="00A450D9" w:rsidR="0015083D" w:rsidP="0015083D" w:rsidRDefault="0015083D" w14:paraId="6777817A" w14:textId="77777777">
      <w:pPr>
        <w:pStyle w:val="Textonotapie"/>
        <w:spacing w:before="120"/>
        <w:ind w:firstLine="709"/>
        <w:jc w:val="both"/>
        <w:rPr>
          <w:rFonts w:ascii="Arial" w:hAnsi="Arial" w:cs="Arial"/>
          <w:sz w:val="19"/>
          <w:szCs w:val="19"/>
          <w:lang w:val="es-ES"/>
        </w:rPr>
      </w:pPr>
      <w:r w:rsidRPr="00A450D9">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A450D9">
        <w:rPr>
          <w:rFonts w:ascii="Arial" w:hAnsi="Arial" w:cs="Arial"/>
          <w:i/>
          <w:iCs/>
          <w:sz w:val="19"/>
          <w:szCs w:val="19"/>
          <w:lang w:val="es-ES"/>
        </w:rPr>
        <w:t>costos directos</w:t>
      </w:r>
      <w:r w:rsidRPr="00A450D9">
        <w:rPr>
          <w:rFonts w:ascii="Arial" w:hAnsi="Arial" w:cs="Arial"/>
          <w:sz w:val="19"/>
          <w:szCs w:val="19"/>
          <w:lang w:val="es-ES"/>
        </w:rPr>
        <w:t xml:space="preserve"> y los</w:t>
      </w:r>
      <w:r w:rsidRPr="00A450D9">
        <w:rPr>
          <w:rFonts w:ascii="Arial" w:hAnsi="Arial" w:cs="Arial"/>
          <w:i/>
          <w:iCs/>
          <w:sz w:val="19"/>
          <w:szCs w:val="19"/>
          <w:lang w:val="es-ES"/>
        </w:rPr>
        <w:t xml:space="preserve"> costos indirectos</w:t>
      </w:r>
      <w:r w:rsidRPr="00A450D9">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A450D9">
        <w:rPr>
          <w:rFonts w:ascii="Arial" w:hAnsi="Arial" w:cs="Arial"/>
          <w:i/>
          <w:iCs/>
          <w:sz w:val="19"/>
          <w:szCs w:val="19"/>
          <w:lang w:val="es-ES"/>
        </w:rPr>
        <w:t>ítems</w:t>
      </w:r>
      <w:r w:rsidRPr="00A450D9">
        <w:rPr>
          <w:rFonts w:ascii="Arial" w:hAnsi="Arial" w:cs="Arial"/>
          <w:sz w:val="19"/>
          <w:szCs w:val="19"/>
          <w:lang w:val="es-ES"/>
        </w:rPr>
        <w:t xml:space="preserve"> que componen el contrato–. Los costos </w:t>
      </w:r>
      <w:r w:rsidRPr="00A450D9">
        <w:rPr>
          <w:rFonts w:ascii="Arial" w:hAnsi="Arial" w:cs="Arial"/>
          <w:i/>
          <w:iCs/>
          <w:sz w:val="19"/>
          <w:szCs w:val="19"/>
          <w:lang w:val="es-ES"/>
        </w:rPr>
        <w:t>indirectos</w:t>
      </w:r>
      <w:r w:rsidRPr="00A450D9">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rsidRPr="00A450D9" w:rsidR="0015083D" w:rsidP="0015083D" w:rsidRDefault="0015083D" w14:paraId="6EAF182F" w14:textId="77777777">
      <w:pPr>
        <w:pStyle w:val="Textonotapie"/>
        <w:ind w:firstLine="709"/>
        <w:jc w:val="both"/>
        <w:rPr>
          <w:rFonts w:ascii="Arial" w:hAnsi="Arial" w:cs="Arial"/>
          <w:sz w:val="19"/>
          <w:szCs w:val="19"/>
          <w:lang w:val="es-ES"/>
        </w:rPr>
      </w:pPr>
    </w:p>
  </w:footnote>
  <w:footnote w:id="7">
    <w:p w:rsidRPr="00A450D9" w:rsidR="0015083D" w:rsidP="0015083D" w:rsidRDefault="0015083D" w14:paraId="4E3FAE5F" w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footnote>
  <w:footnote w:id="8">
    <w:p w:rsidRPr="00A450D9" w:rsidR="0015083D" w:rsidP="0015083D" w:rsidRDefault="0015083D" w14:paraId="7C11508B" w14:textId="77777777">
      <w:pPr>
        <w:pStyle w:val="Textonotapie"/>
        <w:ind w:firstLine="708"/>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 xml:space="preserve">MARÍN, </w:t>
      </w:r>
      <w:proofErr w:type="spellStart"/>
      <w:r w:rsidRPr="00A450D9">
        <w:rPr>
          <w:rFonts w:ascii="Arial" w:hAnsi="Arial" w:cs="Arial"/>
          <w:sz w:val="19"/>
          <w:szCs w:val="19"/>
          <w:lang w:val="es-ES"/>
        </w:rPr>
        <w:t>Op</w:t>
      </w:r>
      <w:proofErr w:type="spellEnd"/>
      <w:r w:rsidRPr="00A450D9">
        <w:rPr>
          <w:rFonts w:ascii="Arial" w:hAnsi="Arial" w:cs="Arial"/>
          <w:sz w:val="19"/>
          <w:szCs w:val="19"/>
          <w:lang w:val="es-ES"/>
        </w:rPr>
        <w:t>. Cit., pp. 64-65.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072" w:rsidRDefault="009800F8" w14:paraId="3F4BE320" w14:textId="77777777">
    <w:pPr>
      <w:pStyle w:val="Encabezado"/>
    </w:pPr>
    <w:r>
      <w:rPr>
        <w:noProof/>
      </w:rPr>
      <w:drawing>
        <wp:anchor distT="0" distB="0" distL="114300" distR="114300" simplePos="0" relativeHeight="251659264" behindDoc="1" locked="0" layoutInCell="1" allowOverlap="1" wp14:anchorId="703809B0" wp14:editId="30D8A537">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024707A0" wp14:editId="79FC340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B64E582" wp14:editId="48C58B7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D840289" wp14:editId="2C62255A">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002072" w:rsidRDefault="00002072" w14:paraId="5D551B90" w14:textId="77777777">
    <w:pPr>
      <w:pStyle w:val="Encabezado"/>
    </w:pPr>
  </w:p>
  <w:p w:rsidR="00002072" w:rsidRDefault="00002072" w14:paraId="250F5475" w14:textId="77777777">
    <w:pPr>
      <w:pStyle w:val="Encabezado"/>
    </w:pPr>
  </w:p>
  <w:p w:rsidRPr="004A305D" w:rsidR="00002072" w:rsidP="004A305D" w:rsidRDefault="009800F8" w14:paraId="5827CA9E"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002072" w:rsidP="004A305D" w:rsidRDefault="009800F8" w14:paraId="0994FF7F"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002072" w:rsidP="004A305D" w:rsidRDefault="009800F8" w14:paraId="341A546C"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002072" w:rsidRDefault="00002072" w14:paraId="7125904B"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D"/>
    <w:rsid w:val="00002072"/>
    <w:rsid w:val="0000659A"/>
    <w:rsid w:val="0015083D"/>
    <w:rsid w:val="004C03C0"/>
    <w:rsid w:val="00695905"/>
    <w:rsid w:val="00702A52"/>
    <w:rsid w:val="00857819"/>
    <w:rsid w:val="008736C2"/>
    <w:rsid w:val="009D5036"/>
    <w:rsid w:val="00B56E48"/>
    <w:rsid w:val="13FDC2B9"/>
    <w:rsid w:val="24AAB91A"/>
    <w:rsid w:val="3805F9D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D9E7"/>
  <w15:chartTrackingRefBased/>
  <w15:docId w15:val="{C2CAEA39-31DE-4E51-B246-090FC1878E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83D"/>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5083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5083D"/>
    <w:rPr>
      <w:kern w:val="0"/>
      <w14:ligatures w14:val="none"/>
    </w:rPr>
  </w:style>
  <w:style w:type="paragraph" w:styleId="Piedepgina">
    <w:name w:val="footer"/>
    <w:basedOn w:val="Normal"/>
    <w:link w:val="PiedepginaCar"/>
    <w:uiPriority w:val="99"/>
    <w:unhideWhenUsed/>
    <w:rsid w:val="0015083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5083D"/>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5083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15083D"/>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15083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15083D"/>
    <w:rPr>
      <w:vertAlign w:val="superscript"/>
    </w:rPr>
  </w:style>
  <w:style w:type="table" w:styleId="Tablaconcuadrcula">
    <w:name w:val="Table Grid"/>
    <w:basedOn w:val="Tablanormal"/>
    <w:uiPriority w:val="39"/>
    <w:rsid w:val="0015083D"/>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15083D"/>
    <w:pPr>
      <w:spacing w:line="240" w:lineRule="exact"/>
    </w:pPr>
    <w:rPr>
      <w:kern w:val="2"/>
      <w:vertAlign w:val="superscript"/>
      <w14:ligatures w14:val="standardContextual"/>
    </w:rPr>
  </w:style>
  <w:style w:type="table" w:styleId="Tablaconcuadrcula1" w:customStyle="1">
    <w:name w:val="Tabla con cuadrícula1"/>
    <w:basedOn w:val="Tablanormal"/>
    <w:next w:val="Tablaconcuadrcula"/>
    <w:uiPriority w:val="39"/>
    <w:rsid w:val="0015083D"/>
    <w:pPr>
      <w:spacing w:after="0" w:line="240" w:lineRule="auto"/>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15083D"/>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image" Target="/media/image7.png" Id="R85ae8b03e8c84f4e"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73C26-59A7-4361-9D3B-F4DFD9DA7B4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DA8EA21-6548-4887-B94C-05959C1DEDEB}">
  <ds:schemaRefs>
    <ds:schemaRef ds:uri="http://schemas.microsoft.com/sharepoint/v3/contenttype/forms"/>
  </ds:schemaRefs>
</ds:datastoreItem>
</file>

<file path=customXml/itemProps3.xml><?xml version="1.0" encoding="utf-8"?>
<ds:datastoreItem xmlns:ds="http://schemas.openxmlformats.org/officeDocument/2006/customXml" ds:itemID="{37F06BC4-6CCE-424C-8DAD-3D5A2BE3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Nasly Yeana Mosquera Rivas</dc:creator>
  <keywords/>
  <dc:description/>
  <lastModifiedBy>Johanna Ovalle Clavijo</lastModifiedBy>
  <revision>4</revision>
  <dcterms:created xsi:type="dcterms:W3CDTF">2023-08-31T19:39:00.0000000Z</dcterms:created>
  <dcterms:modified xsi:type="dcterms:W3CDTF">2023-08-31T19:49:29.8540985Z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