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B7DDA" w14:textId="77777777" w:rsidR="00224199" w:rsidRPr="00224199" w:rsidRDefault="00224199" w:rsidP="00224199">
      <w:pPr>
        <w:spacing w:after="0" w:line="240" w:lineRule="auto"/>
        <w:jc w:val="both"/>
        <w:rPr>
          <w:rFonts w:ascii="Arial" w:eastAsia="Arial" w:hAnsi="Arial" w:cs="Arial"/>
          <w:color w:val="000000"/>
          <w:lang w:val="es-MX" w:eastAsia="es-ES_tradnl"/>
        </w:rPr>
      </w:pPr>
      <w:r w:rsidRPr="00224199">
        <w:rPr>
          <w:rFonts w:ascii="Arial" w:eastAsia="Arial" w:hAnsi="Arial" w:cs="Arial"/>
          <w:b/>
          <w:color w:val="000000"/>
          <w:lang w:val="es-MX" w:eastAsia="es-ES_tradnl"/>
        </w:rPr>
        <w:t xml:space="preserve">PRINCIPIO DE SELECCIÓN OBJETIVA </w:t>
      </w:r>
      <w:r w:rsidRPr="00224199">
        <w:rPr>
          <w:rFonts w:ascii="Arial" w:eastAsia="Arial" w:hAnsi="Arial" w:cs="Arial"/>
          <w:b/>
          <w:color w:val="000000"/>
          <w:sz w:val="20"/>
          <w:szCs w:val="20"/>
          <w:lang w:val="es-MX" w:eastAsia="es-ES_tradnl"/>
        </w:rPr>
        <w:t>–</w:t>
      </w:r>
      <w:r w:rsidRPr="00224199">
        <w:rPr>
          <w:rFonts w:ascii="Arial" w:eastAsia="Arial" w:hAnsi="Arial" w:cs="Arial"/>
          <w:b/>
          <w:color w:val="000000"/>
          <w:lang w:val="es-MX" w:eastAsia="es-ES_tradnl"/>
        </w:rPr>
        <w:t xml:space="preserve"> Fundamento </w:t>
      </w:r>
      <w:r w:rsidRPr="00224199">
        <w:rPr>
          <w:rFonts w:ascii="Arial" w:eastAsia="Arial" w:hAnsi="Arial" w:cs="Arial"/>
          <w:b/>
          <w:color w:val="000000"/>
          <w:sz w:val="20"/>
          <w:szCs w:val="20"/>
          <w:lang w:val="es-MX" w:eastAsia="es-ES_tradnl"/>
        </w:rPr>
        <w:t>–</w:t>
      </w:r>
      <w:r w:rsidRPr="00224199">
        <w:rPr>
          <w:rFonts w:ascii="Arial" w:eastAsia="Arial" w:hAnsi="Arial" w:cs="Arial"/>
          <w:b/>
          <w:color w:val="000000"/>
          <w:lang w:val="es-MX" w:eastAsia="es-ES_tradnl"/>
        </w:rPr>
        <w:t xml:space="preserve"> Alcance</w:t>
      </w:r>
    </w:p>
    <w:p w14:paraId="4C87C067" w14:textId="77777777" w:rsidR="00224199" w:rsidRPr="00224199" w:rsidRDefault="00224199" w:rsidP="00224199">
      <w:pPr>
        <w:spacing w:after="0" w:line="240" w:lineRule="auto"/>
        <w:jc w:val="both"/>
        <w:rPr>
          <w:rFonts w:ascii="Arial" w:eastAsia="Arial" w:hAnsi="Arial" w:cs="Arial"/>
          <w:color w:val="000000"/>
          <w:lang w:val="es-MX" w:eastAsia="es-ES_tradnl"/>
        </w:rPr>
      </w:pPr>
    </w:p>
    <w:p w14:paraId="0EED0FB4" w14:textId="77777777" w:rsidR="00224199" w:rsidRPr="00224199" w:rsidRDefault="00224199" w:rsidP="00224199">
      <w:pPr>
        <w:spacing w:after="0" w:line="240" w:lineRule="auto"/>
        <w:jc w:val="both"/>
        <w:rPr>
          <w:rFonts w:ascii="Arial" w:eastAsia="Arial" w:hAnsi="Arial" w:cs="Arial"/>
          <w:color w:val="000000"/>
          <w:sz w:val="20"/>
          <w:szCs w:val="20"/>
          <w:lang w:val="es-MX" w:eastAsia="es-ES_tradnl"/>
        </w:rPr>
      </w:pPr>
      <w:r w:rsidRPr="00224199">
        <w:rPr>
          <w:rFonts w:ascii="Arial" w:eastAsia="Arial" w:hAnsi="Arial" w:cs="Arial"/>
          <w:color w:val="000000"/>
          <w:sz w:val="20"/>
          <w:szCs w:val="20"/>
          <w:lang w:val="es-MX" w:eastAsia="es-ES_tradnl"/>
        </w:rPr>
        <w:t xml:space="preserve">Uno de los principios transversales de los procedimientos de selección es el de selección objetiva.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37802F87" w14:textId="77777777" w:rsidR="00224199" w:rsidRPr="00224199" w:rsidRDefault="00224199" w:rsidP="00224199">
      <w:pPr>
        <w:spacing w:before="120" w:after="0" w:line="240" w:lineRule="auto"/>
        <w:jc w:val="both"/>
        <w:rPr>
          <w:rFonts w:ascii="Arial" w:eastAsia="Arial" w:hAnsi="Arial" w:cs="Arial"/>
          <w:color w:val="000000"/>
          <w:sz w:val="20"/>
          <w:szCs w:val="20"/>
          <w:lang w:val="es-MX" w:eastAsia="es-ES_tradnl"/>
        </w:rPr>
      </w:pPr>
      <w:r w:rsidRPr="00224199">
        <w:rPr>
          <w:rFonts w:ascii="Arial" w:eastAsia="Arial" w:hAnsi="Arial" w:cs="Arial"/>
          <w:color w:val="000000"/>
          <w:sz w:val="20"/>
          <w:szCs w:val="20"/>
          <w:lang w:val="es-MX" w:eastAsia="es-ES_tradnl"/>
        </w:rPr>
        <w:t xml:space="preserve">Si bien dentro de la historia de la contratación pública en Colombia, se vislumbran antecedentes normativos que consagran dicho principio, en la actualidad la disposición legal que lo prevé de manera más clara y contundente es el artículo 5 de la Ley 1150 de 2007, modificado por el artículo 88 de la Ley 1474 de 2011 y por el artículo 5 de la Ley 1882 de 2018. Con todo, la Ley 80 de 1993 se refiere a la selección objetiva en varios apartados, así como también lo hace el Decreto 1082 de 2015. </w:t>
      </w:r>
    </w:p>
    <w:p w14:paraId="4BAC1E4A" w14:textId="77777777" w:rsidR="00224199" w:rsidRPr="00224199" w:rsidRDefault="00224199" w:rsidP="00224199">
      <w:pPr>
        <w:spacing w:before="120" w:after="0" w:line="240" w:lineRule="auto"/>
        <w:jc w:val="both"/>
        <w:rPr>
          <w:rFonts w:ascii="Arial" w:eastAsia="Arial" w:hAnsi="Arial" w:cs="Arial"/>
          <w:color w:val="000000"/>
          <w:sz w:val="20"/>
          <w:szCs w:val="20"/>
          <w:lang w:val="es-MX" w:eastAsia="es-ES_tradnl"/>
        </w:rPr>
      </w:pPr>
      <w:r w:rsidRPr="00224199">
        <w:rPr>
          <w:rFonts w:ascii="Arial" w:eastAsia="Arial" w:hAnsi="Arial" w:cs="Arial"/>
          <w:color w:val="000000"/>
          <w:sz w:val="20"/>
          <w:szCs w:val="20"/>
          <w:lang w:val="es-MX" w:eastAsia="es-ES_tradnl"/>
        </w:rPr>
        <w:t>La jurisprudencia también ha reconocido la preponderancia de este deber en la etapa precontractual, indicando que su garantía es imprescindible para satisfacer adecuadamente las necesidades de la sociedad a través del contrato. A este respecto, la Sección Tercera del Consejo de Estado ha dicho que “la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 . Igualmente, ha señalado que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p>
    <w:p w14:paraId="2512EB54"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61DAC550" w14:textId="77777777" w:rsidR="00224199" w:rsidRPr="00224199" w:rsidRDefault="00224199" w:rsidP="00224199">
      <w:pPr>
        <w:spacing w:after="120" w:line="240" w:lineRule="auto"/>
        <w:jc w:val="both"/>
        <w:rPr>
          <w:rFonts w:ascii="Arial" w:eastAsia="Arial" w:hAnsi="Arial" w:cs="Arial"/>
          <w:b/>
          <w:color w:val="000000"/>
          <w:sz w:val="20"/>
          <w:szCs w:val="20"/>
        </w:rPr>
      </w:pPr>
      <w:r w:rsidRPr="00224199">
        <w:rPr>
          <w:rFonts w:ascii="Arial" w:eastAsia="Arial" w:hAnsi="Arial" w:cs="Arial"/>
          <w:b/>
          <w:color w:val="000000"/>
          <w:sz w:val="20"/>
          <w:szCs w:val="20"/>
        </w:rPr>
        <w:t xml:space="preserve">OFRECIMIENTO MÁS FAVORABLE </w:t>
      </w:r>
    </w:p>
    <w:p w14:paraId="20D07910" w14:textId="77777777" w:rsidR="00224199" w:rsidRPr="00224199" w:rsidRDefault="00224199" w:rsidP="00224199">
      <w:pPr>
        <w:spacing w:after="240" w:line="240" w:lineRule="auto"/>
        <w:jc w:val="both"/>
        <w:rPr>
          <w:rFonts w:ascii="Arial" w:eastAsia="Calibri" w:hAnsi="Arial" w:cs="Arial"/>
          <w:color w:val="000000" w:themeColor="text1"/>
          <w:sz w:val="20"/>
          <w:szCs w:val="20"/>
          <w:lang w:val="es-ES_tradnl"/>
        </w:rPr>
      </w:pPr>
      <w:r w:rsidRPr="00224199">
        <w:rPr>
          <w:rFonts w:ascii="Arial" w:eastAsia="Calibri" w:hAnsi="Arial" w:cs="Arial"/>
          <w:sz w:val="20"/>
          <w:szCs w:val="20"/>
          <w:lang w:val="es-ES"/>
        </w:rPr>
        <w:t>[…]</w:t>
      </w:r>
      <w:r w:rsidRPr="00224199">
        <w:rPr>
          <w:rFonts w:ascii="Arial" w:eastAsia="Calibri" w:hAnsi="Arial" w:cs="Arial"/>
          <w:color w:val="000000" w:themeColor="text1"/>
          <w:sz w:val="20"/>
          <w:szCs w:val="20"/>
          <w:lang w:val="es-ES_tradnl"/>
        </w:rPr>
        <w:t xml:space="preserve"> Las entidades deben diseñar en sus pliegos de condiciones, criterios que contengan tanto factores técnicos y económicos de escogencia, siendo la oferta más ventajosa la que resulte de aplicar alguna de las siguientes alternativas: a) La ponderación de los elementos de calidad y precio soportados en puntajes o fórmulas señaladas en el pliego de condiciones; o b) La ponderación de los elementos de calidad y precio que representen la mejor relación de costo-beneficio para la entidad.</w:t>
      </w:r>
    </w:p>
    <w:p w14:paraId="78C11CF9" w14:textId="77777777" w:rsidR="00224199" w:rsidRPr="00224199" w:rsidRDefault="00224199" w:rsidP="00224199">
      <w:pPr>
        <w:tabs>
          <w:tab w:val="left" w:pos="0"/>
        </w:tabs>
        <w:spacing w:after="240" w:line="240" w:lineRule="auto"/>
        <w:jc w:val="both"/>
        <w:rPr>
          <w:rFonts w:ascii="Arial" w:eastAsia="Calibri" w:hAnsi="Arial" w:cs="Arial"/>
          <w:bCs/>
          <w:sz w:val="20"/>
          <w:szCs w:val="20"/>
        </w:rPr>
      </w:pPr>
      <w:r w:rsidRPr="00224199">
        <w:rPr>
          <w:rFonts w:ascii="Arial" w:eastAsia="Calibri" w:hAnsi="Arial" w:cs="Arial"/>
          <w:color w:val="000000" w:themeColor="text1"/>
          <w:sz w:val="20"/>
          <w:szCs w:val="20"/>
          <w:lang w:val="es-ES_tradnl"/>
        </w:rPr>
        <w:t xml:space="preserve">La escogencia entre una u otra alternativa corresponderá determinarla a cada una de las entidades estatales </w:t>
      </w:r>
      <w:r w:rsidRPr="00224199">
        <w:rPr>
          <w:rFonts w:ascii="Arial" w:eastAsia="Calibri" w:hAnsi="Arial" w:cs="Arial"/>
          <w:bCs/>
          <w:sz w:val="20"/>
          <w:szCs w:val="20"/>
        </w:rPr>
        <w:t xml:space="preserve">a partir de criterios que pueden variar de acuerdo con el objeto contractual, los cuales, en todo caso, para que la selección sea objetiva, deben estar señalados en el pliego de condiciones. </w:t>
      </w:r>
    </w:p>
    <w:p w14:paraId="23816535" w14:textId="77777777" w:rsidR="00224199" w:rsidRPr="00224199" w:rsidRDefault="00224199" w:rsidP="00224199">
      <w:pPr>
        <w:spacing w:line="240" w:lineRule="auto"/>
        <w:jc w:val="both"/>
        <w:rPr>
          <w:rFonts w:ascii="Arial" w:hAnsi="Arial" w:cs="Arial"/>
          <w:b/>
          <w:bCs/>
        </w:rPr>
      </w:pPr>
      <w:r w:rsidRPr="00224199">
        <w:rPr>
          <w:rFonts w:ascii="Arial" w:hAnsi="Arial" w:cs="Arial"/>
          <w:b/>
          <w:bCs/>
        </w:rPr>
        <w:t>EXPERIENCIA ADECUADA – Manual para determinar y verificar los requisitos habilitantes para participar en los procedimientos de contratación – Finalidad – Idoneidad proponente</w:t>
      </w:r>
    </w:p>
    <w:p w14:paraId="361479B2" w14:textId="77777777" w:rsidR="00224199" w:rsidRPr="00224199" w:rsidRDefault="00224199" w:rsidP="00224199">
      <w:pPr>
        <w:spacing w:line="240" w:lineRule="auto"/>
        <w:jc w:val="both"/>
        <w:rPr>
          <w:rFonts w:ascii="Arial" w:hAnsi="Arial" w:cs="Arial"/>
          <w:sz w:val="20"/>
          <w:szCs w:val="20"/>
        </w:rPr>
      </w:pPr>
      <w:r w:rsidRPr="00224199">
        <w:rPr>
          <w:rFonts w:ascii="Arial" w:hAnsi="Arial" w:cs="Arial"/>
          <w:sz w:val="20"/>
          <w:szCs w:val="20"/>
        </w:rPr>
        <w:t xml:space="preserve">El Manual citado, dispone que “la experiencia es adecuada cuando es afín al tipo de actividades previstas en el objeto del contrato a celebrar”, y es proporcional “cuando tiene relación con el alcance, la cuantía y complejidad del contrato a celebrar”. De allí que las entidades al establecer el requisito de experiencia en los procedimientos de contratación deben velar por velar </w:t>
      </w:r>
      <w:proofErr w:type="gramStart"/>
      <w:r w:rsidRPr="00224199">
        <w:rPr>
          <w:rFonts w:ascii="Arial" w:hAnsi="Arial" w:cs="Arial"/>
          <w:sz w:val="20"/>
          <w:szCs w:val="20"/>
        </w:rPr>
        <w:t>que</w:t>
      </w:r>
      <w:proofErr w:type="gramEnd"/>
      <w:r w:rsidRPr="00224199">
        <w:rPr>
          <w:rFonts w:ascii="Arial" w:hAnsi="Arial" w:cs="Arial"/>
          <w:sz w:val="20"/>
          <w:szCs w:val="20"/>
        </w:rPr>
        <w:t xml:space="preserve"> con esta exigencia, </w:t>
      </w:r>
      <w:r w:rsidRPr="00224199">
        <w:rPr>
          <w:rFonts w:ascii="Arial" w:hAnsi="Arial" w:cs="Arial"/>
          <w:sz w:val="20"/>
          <w:szCs w:val="20"/>
        </w:rPr>
        <w:lastRenderedPageBreak/>
        <w:t>se garantice la idoneidad del proponente y los criterios de proporcionalidad y adecuación, lo cual se logra a través de la ponderación del requisito con los resultados obtenidos producto del análisis del sector económico del bien o servicio a contratar.</w:t>
      </w:r>
    </w:p>
    <w:p w14:paraId="4A8D7A87"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30A27738"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63C46194"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7FE05A7B"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5CFC1A37"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4E86A1CC"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1DF9E594"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16E929C6"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09F43D97"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79EB8738"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5BAF667A"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72FB4F54"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2E1F30C5"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7D9EB4BA"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4C88487E"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2351EC9B"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18EEC031"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1A4FCF07"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02C5EE01"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7E484126"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34F85621"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360CFC31"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2B33B33A"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796F8039"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459707D6"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4E1483C5"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040FED0B"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7205759E"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567E1832"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3E732249"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61F7287A"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61D8C7FB"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547CC518"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51A20C8C"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50C8471A"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2E5C8E08"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2FC19DBA"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31CCB3B9"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1517A12B"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468EA3BF"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692CA7E8"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1094797F" w14:textId="60C857F6" w:rsidR="596D2B18" w:rsidRDefault="596D2B18" w:rsidP="596D2B18">
      <w:pPr>
        <w:spacing w:after="0" w:line="240" w:lineRule="auto"/>
        <w:rPr>
          <w:rFonts w:ascii="Arial" w:eastAsia="Times New Roman" w:hAnsi="Arial" w:cs="Arial"/>
          <w:lang w:val="es-MX" w:eastAsia="es-CO"/>
        </w:rPr>
      </w:pPr>
    </w:p>
    <w:p w14:paraId="480840C1" w14:textId="717C5262" w:rsidR="596D2B18" w:rsidRDefault="596D2B18" w:rsidP="596D2B18">
      <w:pPr>
        <w:spacing w:after="0" w:line="240" w:lineRule="auto"/>
        <w:rPr>
          <w:rFonts w:ascii="Arial" w:eastAsia="Times New Roman" w:hAnsi="Arial" w:cs="Arial"/>
          <w:lang w:val="es-MX" w:eastAsia="es-CO"/>
        </w:rPr>
      </w:pPr>
    </w:p>
    <w:p w14:paraId="02151579" w14:textId="4DE4AF67" w:rsidR="596D2B18" w:rsidRDefault="596D2B18" w:rsidP="596D2B18">
      <w:pPr>
        <w:spacing w:after="0" w:line="240" w:lineRule="auto"/>
        <w:rPr>
          <w:rFonts w:ascii="Arial" w:eastAsia="Times New Roman" w:hAnsi="Arial" w:cs="Arial"/>
          <w:lang w:val="es-MX" w:eastAsia="es-CO"/>
        </w:rPr>
      </w:pPr>
    </w:p>
    <w:p w14:paraId="32B6BA9A" w14:textId="18DADB37" w:rsidR="596D2B18" w:rsidRDefault="596D2B18" w:rsidP="596D2B18">
      <w:pPr>
        <w:spacing w:after="0" w:line="240" w:lineRule="auto"/>
        <w:rPr>
          <w:rFonts w:ascii="Arial" w:eastAsia="Times New Roman" w:hAnsi="Arial" w:cs="Arial"/>
          <w:lang w:val="es-MX" w:eastAsia="es-CO"/>
        </w:rPr>
      </w:pPr>
    </w:p>
    <w:p w14:paraId="2E1FDE29" w14:textId="5ADAD3D4" w:rsidR="596D2B18" w:rsidRDefault="596D2B18" w:rsidP="596D2B18">
      <w:pPr>
        <w:spacing w:after="0" w:line="240" w:lineRule="auto"/>
        <w:rPr>
          <w:rFonts w:ascii="Arial" w:eastAsia="Times New Roman" w:hAnsi="Arial" w:cs="Arial"/>
          <w:lang w:val="es-MX" w:eastAsia="es-CO"/>
        </w:rPr>
      </w:pPr>
    </w:p>
    <w:p w14:paraId="19ED2A5E" w14:textId="45B5F844" w:rsidR="596D2B18" w:rsidRDefault="596D2B18" w:rsidP="596D2B18">
      <w:pPr>
        <w:spacing w:after="0" w:line="240" w:lineRule="auto"/>
        <w:rPr>
          <w:rFonts w:ascii="Arial" w:eastAsia="Times New Roman" w:hAnsi="Arial" w:cs="Arial"/>
          <w:lang w:val="es-MX" w:eastAsia="es-CO"/>
        </w:rPr>
      </w:pPr>
    </w:p>
    <w:p w14:paraId="6E531DB5" w14:textId="3B90376D" w:rsidR="596D2B18" w:rsidRDefault="596D2B18" w:rsidP="596D2B18">
      <w:pPr>
        <w:spacing w:after="0" w:line="240" w:lineRule="auto"/>
        <w:rPr>
          <w:rFonts w:ascii="Arial" w:eastAsia="Times New Roman" w:hAnsi="Arial" w:cs="Arial"/>
          <w:lang w:val="es-MX" w:eastAsia="es-CO"/>
        </w:rPr>
      </w:pPr>
    </w:p>
    <w:p w14:paraId="144550B3" w14:textId="6BA8B229" w:rsidR="596D2B18" w:rsidRDefault="596D2B18" w:rsidP="596D2B18">
      <w:pPr>
        <w:spacing w:after="0" w:line="240" w:lineRule="auto"/>
        <w:rPr>
          <w:rFonts w:ascii="Arial" w:eastAsia="Times New Roman" w:hAnsi="Arial" w:cs="Arial"/>
          <w:lang w:val="es-MX" w:eastAsia="es-CO"/>
        </w:rPr>
      </w:pPr>
    </w:p>
    <w:p w14:paraId="3BFD2F31" w14:textId="5BE98B44" w:rsidR="596D2B18" w:rsidRDefault="596D2B18" w:rsidP="596D2B18">
      <w:pPr>
        <w:spacing w:after="0" w:line="240" w:lineRule="auto"/>
        <w:rPr>
          <w:rFonts w:ascii="Arial" w:eastAsia="Times New Roman" w:hAnsi="Arial" w:cs="Arial"/>
          <w:lang w:val="es-MX" w:eastAsia="es-CO"/>
        </w:rPr>
      </w:pPr>
    </w:p>
    <w:p w14:paraId="5939884B" w14:textId="56645D97" w:rsidR="596D2B18" w:rsidRDefault="596D2B18" w:rsidP="596D2B18">
      <w:pPr>
        <w:spacing w:after="0" w:line="240" w:lineRule="auto"/>
        <w:rPr>
          <w:rFonts w:ascii="Arial" w:eastAsia="Times New Roman" w:hAnsi="Arial" w:cs="Arial"/>
          <w:lang w:val="es-MX" w:eastAsia="es-CO"/>
        </w:rPr>
      </w:pPr>
    </w:p>
    <w:p w14:paraId="731AC9B3" w14:textId="2BF87081" w:rsidR="596D2B18" w:rsidRDefault="596D2B18" w:rsidP="596D2B18">
      <w:pPr>
        <w:spacing w:after="0" w:line="240" w:lineRule="auto"/>
        <w:rPr>
          <w:rFonts w:ascii="Arial" w:eastAsia="Times New Roman" w:hAnsi="Arial" w:cs="Arial"/>
          <w:lang w:val="es-MX" w:eastAsia="es-CO"/>
        </w:rPr>
      </w:pPr>
    </w:p>
    <w:p w14:paraId="359E4870" w14:textId="61D3624E" w:rsidR="596D2B18" w:rsidRDefault="596D2B18" w:rsidP="596D2B18">
      <w:pPr>
        <w:spacing w:after="0" w:line="240" w:lineRule="auto"/>
        <w:rPr>
          <w:rFonts w:ascii="Arial" w:eastAsia="Times New Roman" w:hAnsi="Arial" w:cs="Arial"/>
          <w:lang w:val="es-MX" w:eastAsia="es-CO"/>
        </w:rPr>
      </w:pPr>
    </w:p>
    <w:p w14:paraId="5E32FA06" w14:textId="5D909382" w:rsidR="596D2B18" w:rsidRDefault="596D2B18" w:rsidP="596D2B18">
      <w:pPr>
        <w:spacing w:after="0" w:line="240" w:lineRule="auto"/>
        <w:rPr>
          <w:rFonts w:ascii="Arial" w:eastAsia="Times New Roman" w:hAnsi="Arial" w:cs="Arial"/>
          <w:lang w:val="es-MX" w:eastAsia="es-CO"/>
        </w:rPr>
      </w:pPr>
    </w:p>
    <w:p w14:paraId="738D2406" w14:textId="0E77C19D" w:rsidR="596D2B18" w:rsidRDefault="00EE5D6E" w:rsidP="596D2B18">
      <w:pPr>
        <w:spacing w:after="0" w:line="240" w:lineRule="auto"/>
        <w:rPr>
          <w:rFonts w:ascii="Arial" w:eastAsia="Times New Roman" w:hAnsi="Arial" w:cs="Arial"/>
          <w:lang w:val="es-MX" w:eastAsia="es-CO"/>
        </w:rPr>
      </w:pPr>
      <w:r>
        <w:rPr>
          <w:noProof/>
        </w:rPr>
        <w:drawing>
          <wp:anchor distT="0" distB="0" distL="114300" distR="114300" simplePos="0" relativeHeight="251658240" behindDoc="0" locked="0" layoutInCell="1" allowOverlap="1" wp14:anchorId="6143DEBA" wp14:editId="234B6048">
            <wp:simplePos x="0" y="0"/>
            <wp:positionH relativeFrom="margin">
              <wp:posOffset>3122259</wp:posOffset>
            </wp:positionH>
            <wp:positionV relativeFrom="paragraph">
              <wp:posOffset>116289</wp:posOffset>
            </wp:positionV>
            <wp:extent cx="2636939" cy="609600"/>
            <wp:effectExtent l="0" t="0" r="0" b="0"/>
            <wp:wrapNone/>
            <wp:docPr id="80343734" name="Imagen 80343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6939" cy="609600"/>
                    </a:xfrm>
                    <a:prstGeom prst="rect">
                      <a:avLst/>
                    </a:prstGeom>
                  </pic:spPr>
                </pic:pic>
              </a:graphicData>
            </a:graphic>
            <wp14:sizeRelH relativeFrom="margin">
              <wp14:pctWidth>0</wp14:pctWidth>
            </wp14:sizeRelH>
          </wp:anchor>
        </w:drawing>
      </w:r>
    </w:p>
    <w:p w14:paraId="71326118" w14:textId="77777777" w:rsidR="00224199" w:rsidRPr="00224199" w:rsidRDefault="00224199" w:rsidP="00224199">
      <w:pPr>
        <w:spacing w:after="0" w:line="240" w:lineRule="auto"/>
        <w:rPr>
          <w:rFonts w:ascii="Arial" w:eastAsia="Times New Roman" w:hAnsi="Arial" w:cs="Arial"/>
          <w:shd w:val="clear" w:color="auto" w:fill="E6E6E6"/>
          <w:lang w:val="es-MX" w:eastAsia="es-CO"/>
        </w:rPr>
      </w:pPr>
    </w:p>
    <w:p w14:paraId="34C3D28D" w14:textId="2EEC4338" w:rsidR="00224199" w:rsidRPr="00224199" w:rsidRDefault="00224199" w:rsidP="00224199">
      <w:pPr>
        <w:spacing w:after="0" w:line="240" w:lineRule="auto"/>
        <w:rPr>
          <w:rFonts w:ascii="Arial" w:eastAsia="Times New Roman" w:hAnsi="Arial" w:cs="Arial"/>
          <w:shd w:val="clear" w:color="auto" w:fill="E6E6E6"/>
          <w:lang w:val="es-MX" w:eastAsia="es-CO"/>
        </w:rPr>
      </w:pPr>
    </w:p>
    <w:p w14:paraId="57713660" w14:textId="65C85C2F" w:rsidR="00224199" w:rsidRPr="00224199" w:rsidRDefault="00224199" w:rsidP="00224199">
      <w:pPr>
        <w:spacing w:after="0" w:line="240" w:lineRule="auto"/>
        <w:rPr>
          <w:rFonts w:ascii="Arial" w:eastAsia="Calibri" w:hAnsi="Arial" w:cs="Arial"/>
          <w:lang w:eastAsia="es-ES_tradnl"/>
        </w:rPr>
      </w:pPr>
      <w:r w:rsidRPr="596D2B18">
        <w:rPr>
          <w:rFonts w:ascii="Arial" w:eastAsia="Calibri" w:hAnsi="Arial" w:cs="Arial"/>
          <w:lang w:eastAsia="es-ES"/>
        </w:rPr>
        <w:t>Bogotá D.C., 27 de junio de 2023</w:t>
      </w:r>
      <w:r>
        <w:tab/>
      </w:r>
    </w:p>
    <w:p w14:paraId="2D3FE1D5" w14:textId="29FDFDAF" w:rsidR="00224199" w:rsidRPr="00224199" w:rsidRDefault="00224199" w:rsidP="596D2B18">
      <w:pPr>
        <w:spacing w:after="0" w:line="276" w:lineRule="auto"/>
        <w:jc w:val="both"/>
      </w:pPr>
      <w:r>
        <w:br/>
      </w:r>
    </w:p>
    <w:p w14:paraId="06C783DF" w14:textId="77777777" w:rsidR="00224199" w:rsidRPr="00224199" w:rsidRDefault="00224199" w:rsidP="00224199">
      <w:pPr>
        <w:spacing w:after="0" w:line="240" w:lineRule="auto"/>
        <w:rPr>
          <w:rFonts w:ascii="Arial" w:eastAsia="Calibri" w:hAnsi="Arial" w:cs="Arial"/>
          <w:lang w:val="es-ES" w:eastAsia="es-ES_tradnl"/>
        </w:rPr>
      </w:pPr>
    </w:p>
    <w:p w14:paraId="2F1AAD2C" w14:textId="77777777" w:rsidR="00224199" w:rsidRPr="00224199" w:rsidRDefault="00224199" w:rsidP="00224199">
      <w:pPr>
        <w:spacing w:after="0" w:line="240" w:lineRule="auto"/>
        <w:rPr>
          <w:rFonts w:ascii="Arial" w:eastAsia="Calibri" w:hAnsi="Arial" w:cs="Arial"/>
          <w:lang w:val="es-ES" w:eastAsia="es-ES_tradnl"/>
        </w:rPr>
      </w:pPr>
      <w:r w:rsidRPr="00224199">
        <w:rPr>
          <w:rFonts w:ascii="Arial" w:eastAsia="Calibri" w:hAnsi="Arial" w:cs="Arial"/>
          <w:lang w:val="es-ES" w:eastAsia="es-ES_tradnl"/>
        </w:rPr>
        <w:t>Señor</w:t>
      </w:r>
    </w:p>
    <w:p w14:paraId="2D723C70" w14:textId="77777777" w:rsidR="00224199" w:rsidRPr="00224199" w:rsidRDefault="00224199" w:rsidP="00224199">
      <w:pPr>
        <w:spacing w:after="0" w:line="240" w:lineRule="auto"/>
        <w:rPr>
          <w:rFonts w:ascii="Arial" w:eastAsia="Calibri" w:hAnsi="Arial" w:cs="Arial"/>
          <w:b/>
          <w:lang w:val="es-ES" w:eastAsia="es-ES_tradnl"/>
        </w:rPr>
      </w:pPr>
      <w:r w:rsidRPr="00224199">
        <w:rPr>
          <w:rFonts w:ascii="Arial" w:eastAsia="Calibri" w:hAnsi="Arial" w:cs="Arial"/>
          <w:b/>
          <w:lang w:val="es-ES" w:eastAsia="es-ES_tradnl"/>
        </w:rPr>
        <w:t>Daniel Andrés Gamba Hurtado</w:t>
      </w:r>
    </w:p>
    <w:p w14:paraId="12856B28" w14:textId="77777777" w:rsidR="00224199" w:rsidRPr="00224199" w:rsidRDefault="00224199" w:rsidP="00224199">
      <w:pPr>
        <w:spacing w:after="0" w:line="240" w:lineRule="auto"/>
        <w:rPr>
          <w:rFonts w:ascii="Arial" w:eastAsia="Calibri" w:hAnsi="Arial" w:cs="Arial"/>
          <w:szCs w:val="24"/>
          <w:lang w:val="es-ES_tradnl" w:eastAsia="es-ES_tradnl"/>
        </w:rPr>
      </w:pPr>
      <w:r w:rsidRPr="00224199">
        <w:rPr>
          <w:rFonts w:ascii="Arial" w:eastAsia="Calibri" w:hAnsi="Arial" w:cs="Arial"/>
          <w:lang w:val="es-ES" w:eastAsia="es-ES_tradnl"/>
        </w:rPr>
        <w:t xml:space="preserve">Bogotá </w:t>
      </w:r>
    </w:p>
    <w:p w14:paraId="236CA889" w14:textId="77777777" w:rsidR="00224199" w:rsidRPr="00224199" w:rsidRDefault="00224199" w:rsidP="00D15265">
      <w:pPr>
        <w:spacing w:after="0" w:line="240" w:lineRule="auto"/>
        <w:jc w:val="center"/>
        <w:rPr>
          <w:rFonts w:ascii="Arial" w:eastAsia="Calibri" w:hAnsi="Arial" w:cs="Arial"/>
          <w:b/>
          <w:bCs/>
          <w:lang w:val="es-ES" w:eastAsia="es-ES_tradnl"/>
        </w:rPr>
      </w:pPr>
      <w:r w:rsidRPr="00224199">
        <w:rPr>
          <w:rFonts w:ascii="Arial" w:eastAsia="Calibri" w:hAnsi="Arial" w:cs="Arial"/>
          <w:b/>
          <w:bCs/>
          <w:lang w:val="es-ES" w:eastAsia="es-ES_tradnl"/>
        </w:rPr>
        <w:t>Concepto C</w:t>
      </w:r>
      <w:r w:rsidRPr="00224199">
        <w:rPr>
          <w:rFonts w:ascii="Arial" w:eastAsia="Calibri" w:hAnsi="Arial" w:cs="Arial"/>
          <w:b/>
          <w:szCs w:val="24"/>
          <w:lang w:val="es-ES_tradnl" w:eastAsia="es-ES_tradnl"/>
        </w:rPr>
        <w:t>-190</w:t>
      </w:r>
      <w:r w:rsidRPr="00224199">
        <w:rPr>
          <w:rFonts w:ascii="Arial" w:eastAsia="Calibri" w:hAnsi="Arial" w:cs="Arial"/>
          <w:b/>
          <w:bCs/>
          <w:lang w:val="es-ES" w:eastAsia="es-ES_tradnl"/>
        </w:rPr>
        <w:t xml:space="preserve"> de 2023</w:t>
      </w:r>
    </w:p>
    <w:p w14:paraId="1A8A62CB" w14:textId="77777777" w:rsidR="00224199" w:rsidRPr="00224199" w:rsidRDefault="00224199" w:rsidP="00224199">
      <w:pPr>
        <w:spacing w:after="0" w:line="240" w:lineRule="auto"/>
        <w:jc w:val="both"/>
        <w:rPr>
          <w:rFonts w:ascii="Arial" w:eastAsia="Calibri" w:hAnsi="Arial" w:cs="Arial"/>
          <w:szCs w:val="24"/>
          <w:lang w:val="es-ES_tradnl" w:eastAsia="es-ES_tradnl"/>
        </w:rPr>
      </w:pPr>
    </w:p>
    <w:tbl>
      <w:tblPr>
        <w:tblStyle w:val="Tablaconcuadrcula1"/>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224199" w:rsidRPr="00224199" w14:paraId="2CD6A932" w14:textId="77777777" w:rsidTr="2EC49DE5">
        <w:trPr>
          <w:jc w:val="right"/>
        </w:trPr>
        <w:tc>
          <w:tcPr>
            <w:tcW w:w="1838" w:type="dxa"/>
          </w:tcPr>
          <w:p w14:paraId="49FCC31D" w14:textId="77777777" w:rsidR="00224199" w:rsidRPr="00224199" w:rsidRDefault="00224199" w:rsidP="00224199">
            <w:pPr>
              <w:spacing w:before="100" w:beforeAutospacing="1" w:afterAutospacing="1"/>
              <w:jc w:val="center"/>
              <w:rPr>
                <w:rFonts w:ascii="Arial" w:eastAsia="Calibri" w:hAnsi="Arial" w:cs="Arial"/>
                <w:szCs w:val="24"/>
                <w:lang w:val="es-ES_tradnl" w:eastAsia="es-ES_tradnl"/>
              </w:rPr>
            </w:pPr>
            <w:r w:rsidRPr="00224199">
              <w:rPr>
                <w:rFonts w:ascii="Arial" w:eastAsia="Calibri" w:hAnsi="Arial" w:cs="Arial"/>
                <w:b/>
                <w:szCs w:val="24"/>
                <w:lang w:val="es-ES_tradnl" w:eastAsia="es-ES_tradnl"/>
              </w:rPr>
              <w:t>Temas:</w:t>
            </w:r>
          </w:p>
        </w:tc>
        <w:tc>
          <w:tcPr>
            <w:tcW w:w="6237" w:type="dxa"/>
          </w:tcPr>
          <w:p w14:paraId="00D60050" w14:textId="21145FE3" w:rsidR="00224199" w:rsidRPr="00224199" w:rsidRDefault="00224199" w:rsidP="2EC49DE5">
            <w:pPr>
              <w:spacing w:before="100" w:beforeAutospacing="1" w:afterAutospacing="1"/>
              <w:jc w:val="both"/>
              <w:rPr>
                <w:rFonts w:ascii="Arial" w:eastAsia="Calibri" w:hAnsi="Arial" w:cs="Arial"/>
                <w:lang w:val="es-ES" w:eastAsia="es-ES"/>
              </w:rPr>
            </w:pPr>
            <w:r w:rsidRPr="2EC49DE5">
              <w:rPr>
                <w:rFonts w:ascii="Arial" w:eastAsia="Calibri" w:hAnsi="Arial" w:cs="Arial"/>
                <w:lang w:eastAsia="es-ES"/>
              </w:rPr>
              <w:t xml:space="preserve">PRINCIPIO DE SELECCIÓN OBJETIVA – Fundamento – Alcance </w:t>
            </w:r>
            <w:r w:rsidRPr="2EC49DE5">
              <w:rPr>
                <w:rFonts w:ascii="Arial" w:eastAsia="Calibri" w:hAnsi="Arial" w:cs="Arial"/>
                <w:lang w:val="es-ES" w:eastAsia="es-ES"/>
              </w:rPr>
              <w:t xml:space="preserve">/ OFRECIMIENTO MÁS </w:t>
            </w:r>
            <w:r w:rsidR="77E8160A" w:rsidRPr="2EC49DE5">
              <w:rPr>
                <w:rFonts w:ascii="Arial" w:eastAsia="Calibri" w:hAnsi="Arial" w:cs="Arial"/>
                <w:lang w:val="es-ES" w:eastAsia="es-ES"/>
              </w:rPr>
              <w:t>FAVORABLE /</w:t>
            </w:r>
            <w:r w:rsidRPr="2EC49DE5">
              <w:rPr>
                <w:rFonts w:ascii="Arial" w:eastAsia="Calibri" w:hAnsi="Arial" w:cs="Arial"/>
                <w:lang w:val="es-ES" w:eastAsia="es-ES"/>
              </w:rPr>
              <w:t xml:space="preserve"> EXPERIENCIA ADECUADA – Manual para determinar y verificar los requisitos habilitantes para participar en los procedimientos de contratación – Finalidad – Idoneidad proponente.</w:t>
            </w:r>
          </w:p>
        </w:tc>
      </w:tr>
      <w:tr w:rsidR="00224199" w:rsidRPr="00224199" w14:paraId="288B069D" w14:textId="77777777" w:rsidTr="2EC49DE5">
        <w:trPr>
          <w:jc w:val="right"/>
        </w:trPr>
        <w:tc>
          <w:tcPr>
            <w:tcW w:w="1838" w:type="dxa"/>
          </w:tcPr>
          <w:p w14:paraId="4225BC7B" w14:textId="77777777" w:rsidR="00224199" w:rsidRPr="00224199" w:rsidRDefault="00224199" w:rsidP="00224199">
            <w:pPr>
              <w:spacing w:before="120" w:beforeAutospacing="1" w:afterAutospacing="1"/>
              <w:jc w:val="center"/>
              <w:rPr>
                <w:rFonts w:ascii="Arial" w:eastAsia="Calibri" w:hAnsi="Arial" w:cs="Arial"/>
                <w:b/>
                <w:lang w:val="es-ES" w:eastAsia="es-ES_tradnl"/>
              </w:rPr>
            </w:pPr>
            <w:r w:rsidRPr="00224199">
              <w:rPr>
                <w:rFonts w:ascii="Arial" w:eastAsia="Calibri" w:hAnsi="Arial" w:cs="Arial"/>
                <w:b/>
                <w:lang w:val="es-ES" w:eastAsia="es-ES_tradnl"/>
              </w:rPr>
              <w:t>Radicación:</w:t>
            </w:r>
          </w:p>
        </w:tc>
        <w:tc>
          <w:tcPr>
            <w:tcW w:w="6237" w:type="dxa"/>
          </w:tcPr>
          <w:p w14:paraId="3CBC8D71" w14:textId="77777777" w:rsidR="00224199" w:rsidRPr="00224199" w:rsidRDefault="00224199" w:rsidP="00224199">
            <w:pPr>
              <w:spacing w:before="120" w:beforeAutospacing="1" w:afterAutospacing="1"/>
              <w:jc w:val="both"/>
              <w:rPr>
                <w:rFonts w:ascii="Arial" w:eastAsia="Calibri" w:hAnsi="Arial" w:cs="Arial"/>
                <w:lang w:val="es-ES" w:eastAsia="es-ES_tradnl"/>
              </w:rPr>
            </w:pPr>
            <w:r w:rsidRPr="00224199">
              <w:rPr>
                <w:rFonts w:ascii="Arial" w:eastAsia="Calibri" w:hAnsi="Arial" w:cs="Arial"/>
                <w:lang w:val="es-ES" w:eastAsia="es-ES_tradnl"/>
              </w:rPr>
              <w:t>Respuesta a consulta P20230427003736</w:t>
            </w:r>
            <w:r w:rsidRPr="00224199">
              <w:rPr>
                <w:rFonts w:ascii="Arial" w:eastAsia="Calibri" w:hAnsi="Arial" w:cs="Arial"/>
                <w:lang w:val="es-ES" w:eastAsia="es-ES_tradnl"/>
              </w:rPr>
              <w:tab/>
            </w:r>
          </w:p>
        </w:tc>
      </w:tr>
    </w:tbl>
    <w:p w14:paraId="78897159" w14:textId="77777777" w:rsidR="00224199" w:rsidRPr="00224199" w:rsidRDefault="00224199" w:rsidP="00224199">
      <w:pPr>
        <w:spacing w:after="0" w:line="240" w:lineRule="auto"/>
        <w:jc w:val="both"/>
        <w:rPr>
          <w:rFonts w:ascii="Arial" w:eastAsia="Calibri" w:hAnsi="Arial" w:cs="Arial"/>
          <w:lang w:val="es-ES" w:eastAsia="es-ES_tradnl"/>
        </w:rPr>
      </w:pPr>
    </w:p>
    <w:p w14:paraId="4BCE6C00" w14:textId="77777777" w:rsidR="00224199" w:rsidRPr="00224199" w:rsidRDefault="00224199" w:rsidP="00224199">
      <w:pPr>
        <w:spacing w:after="0" w:line="240" w:lineRule="auto"/>
        <w:jc w:val="both"/>
        <w:rPr>
          <w:rFonts w:ascii="Arial" w:eastAsia="Calibri" w:hAnsi="Arial" w:cs="Arial"/>
          <w:szCs w:val="24"/>
          <w:lang w:val="es-ES_tradnl" w:eastAsia="es-ES_tradnl"/>
        </w:rPr>
      </w:pPr>
    </w:p>
    <w:p w14:paraId="7FA519F3" w14:textId="77777777" w:rsidR="00E4073A" w:rsidRDefault="00224199" w:rsidP="00224199">
      <w:pPr>
        <w:autoSpaceDE w:val="0"/>
        <w:autoSpaceDN w:val="0"/>
        <w:adjustRightInd w:val="0"/>
        <w:spacing w:after="0" w:line="276" w:lineRule="auto"/>
        <w:jc w:val="both"/>
        <w:rPr>
          <w:rFonts w:ascii="Arial" w:eastAsia="Calibri" w:hAnsi="Arial" w:cs="Arial"/>
          <w:szCs w:val="24"/>
          <w:lang w:val="es-ES_tradnl" w:eastAsia="es-ES_tradnl"/>
        </w:rPr>
      </w:pPr>
      <w:r w:rsidRPr="00224199">
        <w:rPr>
          <w:rFonts w:ascii="Arial" w:eastAsia="Calibri" w:hAnsi="Arial" w:cs="Arial"/>
          <w:szCs w:val="24"/>
          <w:lang w:val="es-ES_tradnl" w:eastAsia="es-ES_tradnl"/>
        </w:rPr>
        <w:t>Estimado señor Daniel Gamba</w:t>
      </w:r>
    </w:p>
    <w:p w14:paraId="70CB3431" w14:textId="77777777" w:rsidR="00E4073A" w:rsidRDefault="00E4073A" w:rsidP="00224199">
      <w:pPr>
        <w:autoSpaceDE w:val="0"/>
        <w:autoSpaceDN w:val="0"/>
        <w:adjustRightInd w:val="0"/>
        <w:spacing w:after="0" w:line="276" w:lineRule="auto"/>
        <w:jc w:val="both"/>
        <w:rPr>
          <w:rFonts w:ascii="Arial" w:eastAsia="Calibri" w:hAnsi="Arial" w:cs="Arial"/>
          <w:szCs w:val="24"/>
          <w:lang w:val="es-ES_tradnl" w:eastAsia="es-ES_tradnl"/>
        </w:rPr>
      </w:pPr>
    </w:p>
    <w:p w14:paraId="087EC13F" w14:textId="45EEAF63" w:rsidR="00224199" w:rsidRPr="00224199" w:rsidRDefault="00224199" w:rsidP="00224199">
      <w:pPr>
        <w:autoSpaceDE w:val="0"/>
        <w:autoSpaceDN w:val="0"/>
        <w:adjustRightInd w:val="0"/>
        <w:spacing w:after="0" w:line="276" w:lineRule="auto"/>
        <w:jc w:val="both"/>
        <w:rPr>
          <w:rFonts w:ascii="Arial" w:hAnsi="Arial" w:cs="Arial"/>
          <w:color w:val="000000"/>
        </w:rPr>
      </w:pPr>
      <w:r w:rsidRPr="00224199">
        <w:rPr>
          <w:rFonts w:ascii="Arial" w:hAnsi="Arial" w:cs="Arial"/>
          <w:color w:val="000000"/>
        </w:rPr>
        <w:t>En ejercicio de la competencia otorgada por el numeral 8° del artículo 11 y el numeral 5° del artículo 3 del Decreto Ley 4170 de 2011, la Agencia Nacional de Contratación Pública – Colombia Compra Eficiente responde su petición del 26 de abril de 2023, para la cual fue presentada una respuesta preliminar frente al punto 7 de su cuestionario, el cual no es de competencia de la Agencia pronunciarse al respecto, sin embargo, se otorgará respuesta frente a lo planteado en los demás puntos de su escrito, en la que formuló la siguiente consulta:</w:t>
      </w:r>
    </w:p>
    <w:p w14:paraId="01C83F45" w14:textId="77777777" w:rsidR="00224199" w:rsidRPr="00224199" w:rsidRDefault="00224199" w:rsidP="00224199">
      <w:pPr>
        <w:spacing w:after="0" w:line="276" w:lineRule="auto"/>
        <w:jc w:val="both"/>
        <w:rPr>
          <w:rFonts w:ascii="Arial" w:eastAsia="Calibri" w:hAnsi="Arial" w:cs="Arial"/>
          <w:b/>
          <w:szCs w:val="24"/>
          <w:lang w:val="es-ES_tradnl" w:eastAsia="es-ES_tradnl"/>
        </w:rPr>
      </w:pPr>
    </w:p>
    <w:p w14:paraId="7A2FE213" w14:textId="77777777" w:rsidR="00224199" w:rsidRDefault="00224199" w:rsidP="00224199">
      <w:pPr>
        <w:numPr>
          <w:ilvl w:val="0"/>
          <w:numId w:val="6"/>
        </w:numPr>
        <w:tabs>
          <w:tab w:val="left" w:pos="0"/>
          <w:tab w:val="left" w:pos="142"/>
          <w:tab w:val="left" w:pos="284"/>
        </w:tabs>
        <w:spacing w:after="0" w:line="276" w:lineRule="auto"/>
        <w:ind w:left="0" w:firstLine="0"/>
        <w:contextualSpacing/>
        <w:jc w:val="both"/>
        <w:rPr>
          <w:rFonts w:ascii="Arial" w:eastAsia="Calibri" w:hAnsi="Arial" w:cs="Arial"/>
          <w:b/>
          <w:szCs w:val="24"/>
          <w:lang w:val="es-ES_tradnl" w:eastAsia="es-ES_tradnl"/>
        </w:rPr>
      </w:pPr>
      <w:r w:rsidRPr="00224199">
        <w:rPr>
          <w:rFonts w:ascii="Arial" w:eastAsia="Calibri" w:hAnsi="Arial" w:cs="Arial"/>
          <w:b/>
          <w:szCs w:val="24"/>
          <w:lang w:val="es-ES_tradnl" w:eastAsia="es-ES_tradnl"/>
        </w:rPr>
        <w:t xml:space="preserve">Problema planteado </w:t>
      </w:r>
    </w:p>
    <w:p w14:paraId="27FF2CA4" w14:textId="77777777" w:rsidR="00D15265" w:rsidRDefault="00D15265" w:rsidP="00D41F5B">
      <w:pPr>
        <w:tabs>
          <w:tab w:val="left" w:pos="0"/>
          <w:tab w:val="left" w:pos="142"/>
          <w:tab w:val="left" w:pos="284"/>
        </w:tabs>
        <w:spacing w:after="0" w:line="276" w:lineRule="auto"/>
        <w:contextualSpacing/>
        <w:jc w:val="both"/>
        <w:rPr>
          <w:rFonts w:ascii="Arial" w:eastAsia="Calibri" w:hAnsi="Arial" w:cs="Arial"/>
          <w:b/>
          <w:szCs w:val="24"/>
          <w:lang w:val="es-ES_tradnl" w:eastAsia="es-ES_tradnl"/>
        </w:rPr>
      </w:pPr>
    </w:p>
    <w:p w14:paraId="7D1264AA" w14:textId="1D8EC5E5" w:rsidR="00D41F5B" w:rsidRPr="008C3D2D" w:rsidRDefault="00D41F5B" w:rsidP="008C3D2D">
      <w:pPr>
        <w:tabs>
          <w:tab w:val="left" w:pos="0"/>
          <w:tab w:val="left" w:pos="142"/>
          <w:tab w:val="left" w:pos="284"/>
        </w:tabs>
        <w:spacing w:after="0" w:line="276" w:lineRule="auto"/>
        <w:contextualSpacing/>
        <w:jc w:val="both"/>
        <w:rPr>
          <w:rFonts w:ascii="Arial" w:eastAsia="Calibri" w:hAnsi="Arial" w:cs="Arial"/>
          <w:bCs/>
          <w:szCs w:val="24"/>
          <w:lang w:val="es-ES_tradnl" w:eastAsia="es-ES_tradnl"/>
        </w:rPr>
      </w:pPr>
      <w:r w:rsidRPr="008C3D2D">
        <w:rPr>
          <w:rFonts w:ascii="Arial" w:eastAsia="Calibri" w:hAnsi="Arial" w:cs="Arial"/>
          <w:lang w:val="es-ES" w:eastAsia="es-ES"/>
        </w:rPr>
        <w:t>Usted fo</w:t>
      </w:r>
      <w:r w:rsidR="00D54F1A" w:rsidRPr="008C3D2D">
        <w:rPr>
          <w:rFonts w:ascii="Arial" w:eastAsia="Calibri" w:hAnsi="Arial" w:cs="Arial"/>
          <w:lang w:val="es-ES" w:eastAsia="es-ES"/>
        </w:rPr>
        <w:t>rmula la siguiente consulta:</w:t>
      </w:r>
    </w:p>
    <w:p w14:paraId="1A00F2F6" w14:textId="77777777" w:rsidR="00224199" w:rsidRPr="00224199" w:rsidRDefault="00224199" w:rsidP="00224199">
      <w:pPr>
        <w:spacing w:after="0" w:line="240" w:lineRule="auto"/>
        <w:ind w:right="851"/>
        <w:jc w:val="both"/>
        <w:rPr>
          <w:rFonts w:ascii="Arial" w:eastAsia="Times New Roman" w:hAnsi="Arial" w:cs="Arial"/>
          <w:szCs w:val="24"/>
          <w:lang w:val="es-ES_tradnl" w:eastAsia="es-ES_tradnl"/>
        </w:rPr>
      </w:pPr>
    </w:p>
    <w:p w14:paraId="31757BBE" w14:textId="77777777" w:rsidR="00224199" w:rsidRPr="00224199" w:rsidRDefault="00224199" w:rsidP="008C3D2D">
      <w:pPr>
        <w:autoSpaceDE w:val="0"/>
        <w:autoSpaceDN w:val="0"/>
        <w:adjustRightInd w:val="0"/>
        <w:spacing w:after="0" w:line="240" w:lineRule="auto"/>
        <w:ind w:left="709" w:right="709"/>
        <w:jc w:val="both"/>
        <w:rPr>
          <w:rFonts w:ascii="Arial" w:eastAsia="Times New Roman" w:hAnsi="Arial" w:cs="Arial"/>
          <w:sz w:val="21"/>
          <w:szCs w:val="21"/>
          <w:lang w:eastAsia="es-ES_tradnl"/>
        </w:rPr>
      </w:pPr>
      <w:r w:rsidRPr="00224199">
        <w:rPr>
          <w:rFonts w:ascii="Arial" w:hAnsi="Arial" w:cs="Arial"/>
          <w:sz w:val="21"/>
          <w:szCs w:val="21"/>
        </w:rPr>
        <w:t>“</w:t>
      </w:r>
      <w:r w:rsidRPr="00224199">
        <w:rPr>
          <w:rFonts w:ascii="Arial" w:eastAsia="Times New Roman" w:hAnsi="Arial" w:cs="Arial"/>
          <w:sz w:val="21"/>
          <w:szCs w:val="21"/>
          <w:lang w:eastAsia="es-ES_tradnl"/>
        </w:rPr>
        <w:t xml:space="preserve">1. ¿es posible incluir dentro de un proceso de selección de licitación pública, selección abreviada de menor cuantía y, concurso de méritos, el otorgamiento de puntaje adicional en el factor de calidad a los proponentes que dentro de su propuesta incluyan personal adicional al mínimo requerido o servicios adicionales al mínimo requerido, sin costo para la entidad pública? </w:t>
      </w:r>
    </w:p>
    <w:p w14:paraId="03190098" w14:textId="77777777" w:rsidR="00224199" w:rsidRPr="00224199" w:rsidRDefault="00224199" w:rsidP="008C3D2D">
      <w:pPr>
        <w:autoSpaceDE w:val="0"/>
        <w:autoSpaceDN w:val="0"/>
        <w:adjustRightInd w:val="0"/>
        <w:spacing w:after="0" w:line="240" w:lineRule="auto"/>
        <w:ind w:left="709" w:right="709"/>
        <w:jc w:val="both"/>
        <w:rPr>
          <w:rFonts w:ascii="Arial" w:eastAsia="Times New Roman" w:hAnsi="Arial" w:cs="Arial"/>
          <w:sz w:val="21"/>
          <w:szCs w:val="21"/>
          <w:lang w:eastAsia="es-ES_tradnl"/>
        </w:rPr>
      </w:pPr>
    </w:p>
    <w:p w14:paraId="71386F27" w14:textId="77777777" w:rsidR="00224199" w:rsidRPr="00224199" w:rsidRDefault="00224199" w:rsidP="008C3D2D">
      <w:pPr>
        <w:autoSpaceDE w:val="0"/>
        <w:autoSpaceDN w:val="0"/>
        <w:adjustRightInd w:val="0"/>
        <w:spacing w:after="0" w:line="240" w:lineRule="auto"/>
        <w:ind w:left="709" w:right="709"/>
        <w:jc w:val="both"/>
        <w:rPr>
          <w:rFonts w:ascii="Arial" w:eastAsia="Times New Roman" w:hAnsi="Arial" w:cs="Arial"/>
          <w:sz w:val="21"/>
          <w:szCs w:val="21"/>
          <w:lang w:eastAsia="es-ES_tradnl"/>
        </w:rPr>
      </w:pPr>
      <w:r w:rsidRPr="00224199">
        <w:rPr>
          <w:rFonts w:ascii="Arial" w:eastAsia="Times New Roman" w:hAnsi="Arial" w:cs="Arial"/>
          <w:sz w:val="21"/>
          <w:szCs w:val="21"/>
          <w:lang w:eastAsia="es-ES_tradnl"/>
        </w:rPr>
        <w:t xml:space="preserve">2. Cuando en el ARTÍCULO 2.2.1.1.2.2.2. Ofrecimiento más favorable del Decreto 1082 de 2015, se incluye “(…) servicios o bienes adicionales y que representen un mayor grado de satisfacción para la entidad, entre otras. (…)”. Al hacer referencia a servicios adicionales, ¿se puede enmarcar dentro de ello, el presentar personal adicional al mínimo requerido? O, ¿estaríamos frente a la presentación del mismo servicio, pero con una mayor cantidad de personas? ¿Es posible que se presente esta situación? </w:t>
      </w:r>
    </w:p>
    <w:p w14:paraId="1D0D2442" w14:textId="77777777" w:rsidR="00224199" w:rsidRPr="00224199" w:rsidRDefault="00224199" w:rsidP="008C3D2D">
      <w:pPr>
        <w:autoSpaceDE w:val="0"/>
        <w:autoSpaceDN w:val="0"/>
        <w:adjustRightInd w:val="0"/>
        <w:spacing w:after="0" w:line="240" w:lineRule="auto"/>
        <w:ind w:left="709" w:right="709"/>
        <w:jc w:val="both"/>
        <w:rPr>
          <w:rFonts w:ascii="Arial" w:eastAsia="Times New Roman" w:hAnsi="Arial" w:cs="Arial"/>
          <w:sz w:val="21"/>
          <w:szCs w:val="21"/>
          <w:lang w:eastAsia="es-ES_tradnl"/>
        </w:rPr>
      </w:pPr>
    </w:p>
    <w:p w14:paraId="1C34B08D" w14:textId="77777777" w:rsidR="00224199" w:rsidRPr="00224199" w:rsidRDefault="00224199" w:rsidP="008C3D2D">
      <w:pPr>
        <w:autoSpaceDE w:val="0"/>
        <w:autoSpaceDN w:val="0"/>
        <w:adjustRightInd w:val="0"/>
        <w:spacing w:after="0" w:line="240" w:lineRule="auto"/>
        <w:ind w:left="709" w:right="709"/>
        <w:jc w:val="both"/>
        <w:rPr>
          <w:rFonts w:ascii="Arial" w:eastAsia="Times New Roman" w:hAnsi="Arial" w:cs="Arial"/>
          <w:sz w:val="21"/>
          <w:szCs w:val="21"/>
          <w:lang w:eastAsia="es-ES_tradnl"/>
        </w:rPr>
      </w:pPr>
      <w:r w:rsidRPr="00224199">
        <w:rPr>
          <w:rFonts w:ascii="Arial" w:eastAsia="Times New Roman" w:hAnsi="Arial" w:cs="Arial"/>
          <w:sz w:val="21"/>
          <w:szCs w:val="21"/>
          <w:lang w:eastAsia="es-ES_tradnl"/>
        </w:rPr>
        <w:t xml:space="preserve">3. ¿es posible incluir dentro de los factores de calidad en los pliegos de condiciones del proceso, el evaluar y dar puntaje a proponentes que dentro de su oferta incluyan personal y/o bienes adicionales a los mínimos requeridos? ¿Aplica para los 3 procesos, licitación pública, concurso de méritos y selección abreviada de menor cuantía, para algunos o para ninguno? </w:t>
      </w:r>
    </w:p>
    <w:p w14:paraId="2C65CA05" w14:textId="77777777" w:rsidR="00224199" w:rsidRPr="00224199" w:rsidRDefault="00224199" w:rsidP="008C3D2D">
      <w:pPr>
        <w:autoSpaceDE w:val="0"/>
        <w:autoSpaceDN w:val="0"/>
        <w:adjustRightInd w:val="0"/>
        <w:spacing w:after="0" w:line="240" w:lineRule="auto"/>
        <w:ind w:left="709" w:right="709"/>
        <w:jc w:val="both"/>
        <w:rPr>
          <w:rFonts w:ascii="Arial" w:eastAsia="Times New Roman" w:hAnsi="Arial" w:cs="Arial"/>
          <w:sz w:val="21"/>
          <w:szCs w:val="21"/>
          <w:lang w:eastAsia="es-ES_tradnl"/>
        </w:rPr>
      </w:pPr>
    </w:p>
    <w:p w14:paraId="5803EF84" w14:textId="77777777" w:rsidR="00224199" w:rsidRPr="00224199" w:rsidRDefault="00224199" w:rsidP="008C3D2D">
      <w:pPr>
        <w:autoSpaceDE w:val="0"/>
        <w:autoSpaceDN w:val="0"/>
        <w:adjustRightInd w:val="0"/>
        <w:spacing w:after="0" w:line="240" w:lineRule="auto"/>
        <w:ind w:left="709" w:right="709"/>
        <w:jc w:val="both"/>
        <w:rPr>
          <w:rFonts w:ascii="Arial" w:eastAsia="Times New Roman" w:hAnsi="Arial" w:cs="Arial"/>
          <w:sz w:val="21"/>
          <w:szCs w:val="21"/>
          <w:lang w:eastAsia="es-ES_tradnl"/>
        </w:rPr>
      </w:pPr>
      <w:r w:rsidRPr="00224199">
        <w:rPr>
          <w:rFonts w:ascii="Arial" w:eastAsia="Times New Roman" w:hAnsi="Arial" w:cs="Arial"/>
          <w:sz w:val="21"/>
          <w:szCs w:val="21"/>
          <w:lang w:eastAsia="es-ES_tradnl"/>
        </w:rPr>
        <w:t xml:space="preserve">4. ¿Incluir dentro de los factores de calidad, puntajes por el ofrecimiento de personal adicional al mínimo requerido y/o por proponer bienes o servicios adicionales a los mínimos requeridos, no afectaría el principio de selección objetiva y la pluralidad de oferentes? Pues dada esta situación, se incluiría un factor, que no está contemplado en la ley, y se podría excluir u obtener un puntaje menos a proponentes que cumplan con las condiciones del proceso pero que no tengan la capacidad para ofrecer mayor cantidad de personal o servicios. </w:t>
      </w:r>
    </w:p>
    <w:p w14:paraId="2A0882A8" w14:textId="77777777" w:rsidR="00224199" w:rsidRPr="00224199" w:rsidRDefault="00224199" w:rsidP="008C3D2D">
      <w:pPr>
        <w:autoSpaceDE w:val="0"/>
        <w:autoSpaceDN w:val="0"/>
        <w:adjustRightInd w:val="0"/>
        <w:spacing w:after="0" w:line="240" w:lineRule="auto"/>
        <w:ind w:left="709" w:right="709"/>
        <w:jc w:val="both"/>
        <w:rPr>
          <w:rFonts w:ascii="Arial" w:eastAsia="Times New Roman" w:hAnsi="Arial" w:cs="Arial"/>
          <w:sz w:val="21"/>
          <w:szCs w:val="21"/>
          <w:lang w:eastAsia="es-ES_tradnl"/>
        </w:rPr>
      </w:pPr>
    </w:p>
    <w:p w14:paraId="2389297F" w14:textId="77777777" w:rsidR="00224199" w:rsidRPr="00224199" w:rsidRDefault="00224199" w:rsidP="008C3D2D">
      <w:pPr>
        <w:autoSpaceDE w:val="0"/>
        <w:autoSpaceDN w:val="0"/>
        <w:adjustRightInd w:val="0"/>
        <w:spacing w:after="0" w:line="240" w:lineRule="auto"/>
        <w:ind w:left="709" w:right="709"/>
        <w:jc w:val="both"/>
        <w:rPr>
          <w:rFonts w:ascii="Arial" w:eastAsia="Times New Roman" w:hAnsi="Arial" w:cs="Arial"/>
          <w:sz w:val="21"/>
          <w:szCs w:val="21"/>
          <w:lang w:eastAsia="es-ES_tradnl"/>
        </w:rPr>
      </w:pPr>
      <w:r w:rsidRPr="00224199">
        <w:rPr>
          <w:rFonts w:ascii="Arial" w:eastAsia="Times New Roman" w:hAnsi="Arial" w:cs="Arial"/>
          <w:sz w:val="21"/>
          <w:szCs w:val="21"/>
          <w:lang w:eastAsia="es-ES_tradnl"/>
        </w:rPr>
        <w:t xml:space="preserve">5. Que en la etapa contractual se presente esta situación, de poner a disposición de la entidad el personal adicional al mínimo requerido o bienes y servicios adicionales al mínimo requerido, ¿Podría afectar el equilibrio económico del contrato en contra del proveedor adjudicatario? </w:t>
      </w:r>
    </w:p>
    <w:p w14:paraId="6009A508" w14:textId="77777777" w:rsidR="00224199" w:rsidRPr="00224199" w:rsidRDefault="00224199" w:rsidP="008C3D2D">
      <w:pPr>
        <w:autoSpaceDE w:val="0"/>
        <w:autoSpaceDN w:val="0"/>
        <w:adjustRightInd w:val="0"/>
        <w:spacing w:after="0" w:line="240" w:lineRule="auto"/>
        <w:ind w:left="709" w:right="709"/>
        <w:jc w:val="both"/>
        <w:rPr>
          <w:rFonts w:ascii="Arial" w:eastAsia="Times New Roman" w:hAnsi="Arial" w:cs="Arial"/>
          <w:sz w:val="21"/>
          <w:szCs w:val="21"/>
          <w:lang w:eastAsia="es-ES_tradnl"/>
        </w:rPr>
      </w:pPr>
    </w:p>
    <w:p w14:paraId="6D0D1113" w14:textId="77777777" w:rsidR="00224199" w:rsidRPr="00224199" w:rsidRDefault="00224199" w:rsidP="008C3D2D">
      <w:pPr>
        <w:autoSpaceDE w:val="0"/>
        <w:autoSpaceDN w:val="0"/>
        <w:adjustRightInd w:val="0"/>
        <w:spacing w:after="0" w:line="240" w:lineRule="auto"/>
        <w:ind w:left="709" w:right="709"/>
        <w:jc w:val="both"/>
        <w:rPr>
          <w:rFonts w:ascii="Arial" w:eastAsia="Times New Roman" w:hAnsi="Arial" w:cs="Arial"/>
          <w:sz w:val="21"/>
          <w:szCs w:val="21"/>
          <w:lang w:eastAsia="es-ES_tradnl"/>
        </w:rPr>
      </w:pPr>
      <w:r w:rsidRPr="00224199">
        <w:rPr>
          <w:rFonts w:ascii="Arial" w:eastAsia="Times New Roman" w:hAnsi="Arial" w:cs="Arial"/>
          <w:sz w:val="21"/>
          <w:szCs w:val="21"/>
          <w:lang w:eastAsia="es-ES_tradnl"/>
        </w:rPr>
        <w:t xml:space="preserve">6. ¿Es permitido que, en un proceso de selección de licitación pública, selección abreviada, concurso de méritos, en los requisitos habilitantes se exija que la experiencia sea en un determinado </w:t>
      </w:r>
      <w:proofErr w:type="gramStart"/>
      <w:r w:rsidRPr="00224199">
        <w:rPr>
          <w:rFonts w:ascii="Arial" w:eastAsia="Times New Roman" w:hAnsi="Arial" w:cs="Arial"/>
          <w:sz w:val="21"/>
          <w:szCs w:val="21"/>
          <w:lang w:eastAsia="es-ES_tradnl"/>
        </w:rPr>
        <w:t>lapso de tiempo</w:t>
      </w:r>
      <w:proofErr w:type="gramEnd"/>
      <w:r w:rsidRPr="00224199">
        <w:rPr>
          <w:rFonts w:ascii="Arial" w:eastAsia="Times New Roman" w:hAnsi="Arial" w:cs="Arial"/>
          <w:sz w:val="21"/>
          <w:szCs w:val="21"/>
          <w:lang w:eastAsia="es-ES_tradnl"/>
        </w:rPr>
        <w:t xml:space="preserve">? Ejemplo, que la experiencia debe ser en los últimos 10 años anteriores al cierre del proceso, considerando obsolescencia tecnológica. ¿Existe referente legal y/o jurisprudencial que permita o no, la limitación de la experiencia en un proceso de selección? </w:t>
      </w:r>
    </w:p>
    <w:p w14:paraId="2954F8B2" w14:textId="77777777" w:rsidR="00224199" w:rsidRPr="00224199" w:rsidRDefault="00224199" w:rsidP="008C3D2D">
      <w:pPr>
        <w:autoSpaceDE w:val="0"/>
        <w:autoSpaceDN w:val="0"/>
        <w:adjustRightInd w:val="0"/>
        <w:spacing w:after="0" w:line="240" w:lineRule="auto"/>
        <w:ind w:left="709" w:right="709"/>
        <w:jc w:val="both"/>
        <w:rPr>
          <w:rFonts w:ascii="Arial" w:eastAsia="Times New Roman" w:hAnsi="Arial" w:cs="Arial"/>
          <w:sz w:val="21"/>
          <w:szCs w:val="21"/>
          <w:lang w:eastAsia="es-ES_tradnl"/>
        </w:rPr>
      </w:pPr>
    </w:p>
    <w:p w14:paraId="3BD582A1" w14:textId="77777777" w:rsidR="00224199" w:rsidRPr="00224199" w:rsidRDefault="00224199" w:rsidP="008C3D2D">
      <w:pPr>
        <w:autoSpaceDE w:val="0"/>
        <w:autoSpaceDN w:val="0"/>
        <w:adjustRightInd w:val="0"/>
        <w:spacing w:after="0" w:line="240" w:lineRule="auto"/>
        <w:ind w:left="709" w:right="709"/>
        <w:jc w:val="both"/>
        <w:rPr>
          <w:rFonts w:ascii="Arial" w:eastAsia="Times New Roman" w:hAnsi="Arial" w:cs="Arial"/>
          <w:sz w:val="21"/>
          <w:szCs w:val="21"/>
          <w:lang w:val="es-ES_tradnl" w:eastAsia="es-ES_tradnl"/>
        </w:rPr>
      </w:pPr>
      <w:r w:rsidRPr="00224199">
        <w:rPr>
          <w:rFonts w:ascii="Arial" w:eastAsia="Times New Roman" w:hAnsi="Arial" w:cs="Arial"/>
          <w:sz w:val="21"/>
          <w:szCs w:val="21"/>
          <w:lang w:eastAsia="es-ES_tradnl"/>
        </w:rPr>
        <w:t xml:space="preserve">8. Es posible que en su respuesta me sea compartido conceptos de previos que haya sobre el particular, emitidos por la Agencia Nacional de Contratación Pública de Colombia Compra Eficiente y, jurisprudencia que exista, del Consejo </w:t>
      </w:r>
      <w:r w:rsidRPr="00224199">
        <w:rPr>
          <w:rFonts w:ascii="Arial" w:eastAsia="Times New Roman" w:hAnsi="Arial" w:cs="Arial"/>
          <w:sz w:val="21"/>
          <w:szCs w:val="21"/>
          <w:lang w:eastAsia="es-ES_tradnl"/>
        </w:rPr>
        <w:lastRenderedPageBreak/>
        <w:t>de Estado, y que sea de su conocimiento que haya resuelto situaciones sobre este particular.</w:t>
      </w:r>
    </w:p>
    <w:p w14:paraId="09013CA6" w14:textId="77777777" w:rsidR="00224199" w:rsidRPr="00224199" w:rsidRDefault="00224199" w:rsidP="00224199">
      <w:pPr>
        <w:spacing w:after="0" w:line="240" w:lineRule="auto"/>
        <w:ind w:right="851"/>
        <w:jc w:val="both"/>
        <w:rPr>
          <w:rFonts w:ascii="Arial" w:eastAsia="Times New Roman" w:hAnsi="Arial" w:cs="Arial"/>
          <w:sz w:val="21"/>
          <w:szCs w:val="21"/>
          <w:lang w:val="es-ES_tradnl" w:eastAsia="es-ES_tradnl"/>
        </w:rPr>
      </w:pPr>
    </w:p>
    <w:p w14:paraId="0F805DD6" w14:textId="77777777" w:rsidR="00224199" w:rsidRPr="00224199" w:rsidRDefault="00224199" w:rsidP="00224199">
      <w:pPr>
        <w:numPr>
          <w:ilvl w:val="0"/>
          <w:numId w:val="6"/>
        </w:numPr>
        <w:tabs>
          <w:tab w:val="left" w:pos="0"/>
          <w:tab w:val="left" w:pos="284"/>
        </w:tabs>
        <w:spacing w:after="0" w:line="240" w:lineRule="auto"/>
        <w:ind w:left="0" w:firstLine="0"/>
        <w:jc w:val="both"/>
        <w:rPr>
          <w:rFonts w:ascii="Arial" w:eastAsia="Calibri" w:hAnsi="Arial" w:cs="Arial"/>
          <w:b/>
          <w:szCs w:val="24"/>
          <w:lang w:val="es-ES_tradnl" w:eastAsia="es-ES_tradnl"/>
        </w:rPr>
      </w:pPr>
      <w:r w:rsidRPr="2EC49DE5">
        <w:rPr>
          <w:rFonts w:ascii="Arial" w:eastAsia="Calibri" w:hAnsi="Arial" w:cs="Arial"/>
          <w:b/>
          <w:bCs/>
          <w:lang w:val="es-ES" w:eastAsia="es-ES"/>
        </w:rPr>
        <w:t>Consideraciones</w:t>
      </w:r>
    </w:p>
    <w:p w14:paraId="4A9C90B1" w14:textId="77777777" w:rsidR="00224199" w:rsidRPr="00224199" w:rsidRDefault="00224199" w:rsidP="00224199">
      <w:pPr>
        <w:tabs>
          <w:tab w:val="left" w:pos="0"/>
          <w:tab w:val="left" w:pos="284"/>
        </w:tabs>
        <w:spacing w:after="0" w:line="240" w:lineRule="auto"/>
        <w:jc w:val="both"/>
        <w:rPr>
          <w:rFonts w:ascii="Arial" w:eastAsia="Calibri" w:hAnsi="Arial" w:cs="Arial"/>
          <w:b/>
          <w:szCs w:val="24"/>
          <w:lang w:val="es-ES_tradnl" w:eastAsia="es-ES_tradnl"/>
        </w:rPr>
      </w:pPr>
    </w:p>
    <w:p w14:paraId="7367A7BF" w14:textId="77777777" w:rsidR="00224199" w:rsidRPr="00224199" w:rsidRDefault="00224199" w:rsidP="00224199">
      <w:pPr>
        <w:spacing w:after="120" w:line="276" w:lineRule="auto"/>
        <w:jc w:val="both"/>
        <w:rPr>
          <w:rFonts w:ascii="Arial" w:eastAsia="Times New Roman" w:hAnsi="Arial" w:cs="Arial"/>
          <w:lang w:eastAsia="es-ES_tradnl"/>
        </w:rPr>
      </w:pPr>
      <w:r w:rsidRPr="00224199">
        <w:rPr>
          <w:rFonts w:ascii="Arial" w:eastAsia="Times New Roman" w:hAnsi="Arial" w:cs="Arial"/>
          <w:lang w:eastAsia="es-ES_tradn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w:t>
      </w:r>
      <w:bookmarkStart w:id="0" w:name="_Hlk61701014"/>
      <w:bookmarkStart w:id="1" w:name="_Hlk62136649"/>
      <w:r w:rsidRPr="00224199">
        <w:rPr>
          <w:rFonts w:ascii="Arial" w:eastAsia="Times New Roman" w:hAnsi="Arial" w:cs="Arial"/>
          <w:shd w:val="clear" w:color="auto" w:fill="E6E6E6"/>
          <w:lang w:eastAsia="es-ES_tradnl"/>
        </w:rPr>
        <w:t xml:space="preserve"> </w:t>
      </w:r>
      <w:r w:rsidRPr="00224199">
        <w:rPr>
          <w:rFonts w:ascii="Arial" w:eastAsia="Times New Roman" w:hAnsi="Arial" w:cs="Arial"/>
          <w:lang w:val="es-ES" w:eastAsia="es-ES_tradnl"/>
        </w:rPr>
        <w:t xml:space="preserve">Es necesario tener en cuenta que </w:t>
      </w:r>
      <w:bookmarkStart w:id="2" w:name="_Hlk61026958"/>
      <w:r w:rsidRPr="00224199">
        <w:rPr>
          <w:rFonts w:ascii="Arial" w:eastAsia="Times New Roman" w:hAnsi="Arial" w:cs="Arial"/>
          <w:lang w:val="es-ES" w:eastAsia="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224199">
        <w:rPr>
          <w:rFonts w:ascii="Arial" w:eastAsia="Times New Roman" w:hAnsi="Arial" w:cs="Arial"/>
          <w:lang w:eastAsia="es-ES_tradnl"/>
        </w:rPr>
        <w:t xml:space="preserve"> de todos los partícipes de la contratación estatal.</w:t>
      </w:r>
    </w:p>
    <w:p w14:paraId="6A9B353B" w14:textId="77777777" w:rsidR="00224199" w:rsidRPr="00224199" w:rsidRDefault="00224199" w:rsidP="00224199">
      <w:pPr>
        <w:spacing w:after="120" w:line="276" w:lineRule="auto"/>
        <w:jc w:val="both"/>
        <w:rPr>
          <w:rFonts w:ascii="Arial" w:eastAsia="Times New Roman" w:hAnsi="Arial" w:cs="Arial"/>
          <w:lang w:val="es-ES" w:eastAsia="es-ES_tradnl"/>
        </w:rPr>
      </w:pPr>
      <w:r w:rsidRPr="00224199">
        <w:rPr>
          <w:rFonts w:ascii="Arial" w:eastAsia="Times New Roman" w:hAnsi="Arial" w:cs="Arial"/>
          <w:lang w:val="es-ES"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224199">
        <w:rPr>
          <w:rFonts w:ascii="Arial" w:eastAsia="Times New Roman" w:hAnsi="Arial" w:cs="Arial"/>
          <w:vertAlign w:val="superscript"/>
          <w:lang w:val="es-ES" w:eastAsia="es-ES_tradnl"/>
        </w:rPr>
        <w:footnoteReference w:id="1"/>
      </w:r>
      <w:r w:rsidRPr="00224199">
        <w:rPr>
          <w:rFonts w:ascii="Arial" w:eastAsia="Times New Roman" w:hAnsi="Arial" w:cs="Arial"/>
          <w:lang w:val="es-ES" w:eastAsia="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2"/>
      <w:r w:rsidRPr="00224199">
        <w:rPr>
          <w:rFonts w:ascii="Arial" w:eastAsia="Times New Roman" w:hAnsi="Arial" w:cs="Arial"/>
          <w:lang w:val="es-ES" w:eastAsia="es-ES_tradnl"/>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0"/>
    </w:p>
    <w:bookmarkEnd w:id="1"/>
    <w:p w14:paraId="5F561989" w14:textId="77777777" w:rsidR="00224199" w:rsidRPr="00224199" w:rsidRDefault="00224199" w:rsidP="008C3D2D">
      <w:pPr>
        <w:spacing w:after="120" w:line="276" w:lineRule="auto"/>
        <w:ind w:firstLine="708"/>
        <w:jc w:val="both"/>
        <w:rPr>
          <w:rFonts w:ascii="Arial" w:eastAsia="Times New Roman" w:hAnsi="Arial" w:cs="Arial"/>
          <w:szCs w:val="24"/>
          <w:lang w:val="es-ES_tradnl" w:eastAsia="es-ES_tradnl"/>
        </w:rPr>
      </w:pPr>
      <w:r w:rsidRPr="00224199">
        <w:rPr>
          <w:rFonts w:ascii="Arial" w:eastAsia="Calibri" w:hAnsi="Arial" w:cs="Arial"/>
          <w:color w:val="000000" w:themeColor="text1"/>
          <w:szCs w:val="24"/>
          <w:lang w:val="es-ES_tradnl" w:eastAsia="es-ES_tradnl"/>
        </w:rPr>
        <w:t>Sin perjuicio de lo anterior, la Agencia –dentro de los límites de sus atribuciones– resolverá la consulta conforme a las normas generales en materia de contratación estatal. Con este objetivo, p</w:t>
      </w:r>
      <w:r w:rsidRPr="00224199">
        <w:rPr>
          <w:rFonts w:ascii="Arial" w:eastAsia="Times New Roman" w:hAnsi="Arial" w:cs="Arial"/>
          <w:szCs w:val="24"/>
          <w:lang w:val="es-ES_tradnl" w:eastAsia="es-ES_tradnl"/>
        </w:rPr>
        <w:t xml:space="preserve">ara responder los anteriores cuestionamientos, se analizarán los siguientes temas: i) Selección objetiva e igualdad de trato ii) Consideraciones generales </w:t>
      </w:r>
      <w:r w:rsidRPr="00224199">
        <w:rPr>
          <w:rFonts w:ascii="Arial" w:eastAsia="Times New Roman" w:hAnsi="Arial" w:cs="Arial"/>
          <w:szCs w:val="24"/>
          <w:lang w:val="es-ES_tradnl" w:eastAsia="es-ES_tradnl"/>
        </w:rPr>
        <w:lastRenderedPageBreak/>
        <w:t xml:space="preserve">sobre los requisitos de calificación; </w:t>
      </w:r>
      <w:bookmarkStart w:id="3" w:name="_Hlk85536647"/>
      <w:r w:rsidRPr="00224199">
        <w:rPr>
          <w:rFonts w:ascii="Arial" w:eastAsia="Times New Roman" w:hAnsi="Arial" w:cs="Arial"/>
          <w:szCs w:val="24"/>
          <w:lang w:val="es-ES_tradnl" w:eastAsia="es-ES_tradnl"/>
        </w:rPr>
        <w:t>iii) Definición de experiencia en un procedimiento de contratación.</w:t>
      </w:r>
      <w:bookmarkEnd w:id="3"/>
    </w:p>
    <w:p w14:paraId="051E7557" w14:textId="6B918FDC" w:rsidR="00224199" w:rsidRPr="00224199" w:rsidRDefault="00224199" w:rsidP="00224199">
      <w:pPr>
        <w:spacing w:after="120" w:line="276" w:lineRule="auto"/>
        <w:jc w:val="both"/>
        <w:textAlignment w:val="baseline"/>
        <w:rPr>
          <w:rFonts w:ascii="Arial" w:eastAsia="Arial" w:hAnsi="Arial" w:cs="Arial"/>
          <w:color w:val="000000" w:themeColor="text1"/>
          <w:szCs w:val="24"/>
          <w:lang w:val="es-ES_tradnl" w:eastAsia="es-ES_tradnl"/>
        </w:rPr>
      </w:pPr>
      <w:r w:rsidRPr="00224199">
        <w:rPr>
          <w:rFonts w:ascii="Arial" w:eastAsia="Times New Roman" w:hAnsi="Arial" w:cs="Arial"/>
          <w:color w:val="000000" w:themeColor="text1"/>
          <w:szCs w:val="24"/>
          <w:lang w:val="es-ES_tradnl" w:eastAsia="es-ES_tradnl"/>
        </w:rPr>
        <w:t>La Agencia Nacional de Contratación Pública – Colombia Comp</w:t>
      </w:r>
      <w:r w:rsidR="008C3D2D">
        <w:rPr>
          <w:rFonts w:ascii="Arial" w:eastAsia="Times New Roman" w:hAnsi="Arial" w:cs="Arial"/>
          <w:color w:val="000000" w:themeColor="text1"/>
          <w:szCs w:val="24"/>
          <w:lang w:val="es-ES_tradnl" w:eastAsia="es-ES_tradnl"/>
        </w:rPr>
        <w:t>ra Eficiente se pronunció sobre</w:t>
      </w:r>
      <w:r w:rsidRPr="00224199">
        <w:rPr>
          <w:rFonts w:ascii="Arial" w:eastAsia="Calibri" w:hAnsi="Arial" w:cs="Arial"/>
          <w:color w:val="000000" w:themeColor="text1"/>
          <w:lang w:val="es-ES"/>
        </w:rPr>
        <w:t xml:space="preserve"> el principio de selección objetiva esta entidad ha emitido los conceptos </w:t>
      </w:r>
      <w:r w:rsidRPr="00224199">
        <w:rPr>
          <w:rFonts w:ascii="Arial" w:eastAsia="Arial" w:hAnsi="Arial" w:cs="Arial"/>
          <w:color w:val="000000" w:themeColor="text1"/>
          <w:lang w:val="es-MX"/>
        </w:rPr>
        <w:t>con radicado</w:t>
      </w:r>
      <w:r w:rsidR="00E4073A">
        <w:rPr>
          <w:rFonts w:ascii="Arial" w:eastAsia="Arial" w:hAnsi="Arial" w:cs="Arial"/>
          <w:color w:val="000000" w:themeColor="text1"/>
          <w:lang w:val="es-MX"/>
        </w:rPr>
        <w:t xml:space="preserve"> </w:t>
      </w:r>
      <w:r w:rsidR="00E4073A" w:rsidRPr="00E4073A">
        <w:rPr>
          <w:rFonts w:ascii="Arial" w:eastAsia="Arial" w:hAnsi="Arial" w:cs="Arial"/>
          <w:color w:val="000000" w:themeColor="text1"/>
          <w:lang w:val="es-MX"/>
        </w:rPr>
        <w:t>2201913000006511</w:t>
      </w:r>
      <w:r w:rsidR="00E4073A">
        <w:rPr>
          <w:rFonts w:ascii="Arial" w:eastAsia="Arial" w:hAnsi="Arial" w:cs="Arial"/>
          <w:color w:val="000000" w:themeColor="text1"/>
          <w:lang w:val="es-MX"/>
        </w:rPr>
        <w:t xml:space="preserve"> del 3 de septiembre de 2019</w:t>
      </w:r>
      <w:r w:rsidRPr="00224199">
        <w:rPr>
          <w:rFonts w:ascii="Arial" w:eastAsia="Arial" w:hAnsi="Arial" w:cs="Arial"/>
          <w:color w:val="000000" w:themeColor="text1"/>
          <w:lang w:val="es-MX"/>
        </w:rPr>
        <w:t xml:space="preserve">. </w:t>
      </w:r>
      <w:r w:rsidRPr="00224199">
        <w:rPr>
          <w:rFonts w:ascii="Arial" w:eastAsia="Calibri" w:hAnsi="Arial" w:cs="Arial"/>
          <w:color w:val="000000" w:themeColor="text1"/>
          <w:lang w:val="es-ES"/>
        </w:rPr>
        <w:t xml:space="preserve">Igualmente, se pronunció sobre </w:t>
      </w:r>
      <w:r w:rsidRPr="00224199">
        <w:rPr>
          <w:rFonts w:ascii="Arial" w:hAnsi="Arial" w:cs="Arial"/>
          <w:lang w:val="es-ES"/>
        </w:rPr>
        <w:t xml:space="preserve">requisitos habilitantes, experiencia adecuada, </w:t>
      </w:r>
      <w:r w:rsidRPr="00224199">
        <w:rPr>
          <w:rFonts w:ascii="Arial" w:eastAsia="Calibri" w:hAnsi="Arial" w:cs="Arial"/>
          <w:lang w:val="es-ES"/>
        </w:rPr>
        <w:t>en el concepto, 201913000009500</w:t>
      </w:r>
      <w:r w:rsidR="008C3D2D">
        <w:rPr>
          <w:rFonts w:ascii="Arial" w:eastAsia="Calibri" w:hAnsi="Arial" w:cs="Arial"/>
          <w:lang w:val="es-ES"/>
        </w:rPr>
        <w:t xml:space="preserve"> de 20 de diciembre de 2019, </w:t>
      </w:r>
      <w:r w:rsidRPr="00224199">
        <w:rPr>
          <w:rFonts w:ascii="Arial" w:eastAsia="Calibri" w:hAnsi="Arial" w:cs="Arial"/>
          <w:color w:val="000000" w:themeColor="text1"/>
          <w:lang w:val="es-ES_tradnl"/>
        </w:rPr>
        <w:t>entre otros</w:t>
      </w:r>
      <w:r w:rsidRPr="00224199">
        <w:rPr>
          <w:rFonts w:ascii="Arial" w:eastAsia="Calibri" w:hAnsi="Arial" w:cs="Arial"/>
          <w:color w:val="000000" w:themeColor="text1"/>
          <w:vertAlign w:val="superscript"/>
          <w:lang w:val="es-ES_tradnl"/>
        </w:rPr>
        <w:footnoteReference w:id="2"/>
      </w:r>
      <w:r w:rsidRPr="00224199">
        <w:rPr>
          <w:rFonts w:ascii="Arial" w:eastAsia="Calibri" w:hAnsi="Arial" w:cs="Arial"/>
          <w:color w:val="000000" w:themeColor="text1"/>
          <w:lang w:val="es-ES_tradnl"/>
        </w:rPr>
        <w:t xml:space="preserve">. </w:t>
      </w:r>
      <w:r w:rsidRPr="00224199">
        <w:rPr>
          <w:rFonts w:ascii="Arial" w:eastAsia="Calibri" w:hAnsi="Arial" w:cs="Arial"/>
          <w:color w:val="000000" w:themeColor="text1"/>
        </w:rPr>
        <w:t>Los argumentos y las consideraciones expuestas en los conceptos mencionados se reiteran y se complementan en lo pertinente.</w:t>
      </w:r>
      <w:r w:rsidRPr="00224199">
        <w:rPr>
          <w:rFonts w:ascii="Arial" w:eastAsia="Arial" w:hAnsi="Arial" w:cs="Arial"/>
          <w:b/>
          <w:bCs/>
          <w:color w:val="000000" w:themeColor="text1"/>
          <w:szCs w:val="24"/>
          <w:lang w:val="es-ES_tradnl" w:eastAsia="es-ES_tradnl"/>
        </w:rPr>
        <w:t xml:space="preserve"> </w:t>
      </w:r>
    </w:p>
    <w:p w14:paraId="7C88328A" w14:textId="77777777" w:rsidR="00224199" w:rsidRPr="00224199" w:rsidRDefault="00224199" w:rsidP="00224199">
      <w:pPr>
        <w:tabs>
          <w:tab w:val="left" w:pos="426"/>
        </w:tabs>
        <w:spacing w:after="120" w:line="276" w:lineRule="auto"/>
        <w:jc w:val="both"/>
        <w:rPr>
          <w:rFonts w:ascii="Arial" w:eastAsia="Calibri" w:hAnsi="Arial" w:cs="Arial"/>
          <w:color w:val="000000" w:themeColor="text1"/>
        </w:rPr>
      </w:pPr>
    </w:p>
    <w:p w14:paraId="1007D138" w14:textId="77777777" w:rsidR="00224199" w:rsidRPr="00224199" w:rsidRDefault="00224199" w:rsidP="00224199">
      <w:pPr>
        <w:tabs>
          <w:tab w:val="left" w:pos="426"/>
        </w:tabs>
        <w:spacing w:after="120" w:line="276" w:lineRule="auto"/>
        <w:jc w:val="both"/>
        <w:rPr>
          <w:rFonts w:ascii="Arial" w:eastAsia="Calibri" w:hAnsi="Arial" w:cs="Arial"/>
          <w:color w:val="000000"/>
        </w:rPr>
      </w:pPr>
      <w:r w:rsidRPr="00224199">
        <w:rPr>
          <w:rFonts w:ascii="Arial" w:eastAsia="Times New Roman" w:hAnsi="Arial" w:cs="Arial"/>
          <w:b/>
          <w:color w:val="000000"/>
          <w:szCs w:val="24"/>
          <w:lang w:val="es-ES" w:eastAsia="es-ES_tradnl"/>
        </w:rPr>
        <w:t>2.1. Selección objetiva e igualdad de trato</w:t>
      </w:r>
    </w:p>
    <w:p w14:paraId="16F21934" w14:textId="77777777" w:rsidR="00224199" w:rsidRPr="00224199" w:rsidRDefault="00224199" w:rsidP="00224199">
      <w:pPr>
        <w:spacing w:after="0" w:line="276" w:lineRule="auto"/>
        <w:jc w:val="both"/>
        <w:rPr>
          <w:rFonts w:ascii="Arial" w:eastAsia="Calibri" w:hAnsi="Arial" w:cs="Arial"/>
          <w:color w:val="000000"/>
          <w:lang w:val="es-ES"/>
        </w:rPr>
      </w:pPr>
      <w:r w:rsidRPr="00224199">
        <w:rPr>
          <w:rFonts w:ascii="Arial" w:eastAsia="Calibri" w:hAnsi="Arial" w:cs="Arial"/>
          <w:color w:val="000000"/>
          <w:lang w:val="es-ES"/>
        </w:rPr>
        <w:t xml:space="preserve">El principio de selección objetiva se encontraba regulado, en un primer momento, en el artículo 29 de la Ley 80 de 1993, el cual fue derogado y sustituido por el artículo 5 de la Ley 1150 de 2007, cuyo texto es el siguiente: </w:t>
      </w:r>
    </w:p>
    <w:p w14:paraId="60BD9AC8" w14:textId="77777777" w:rsidR="00224199" w:rsidRPr="00224199" w:rsidRDefault="00224199" w:rsidP="00224199">
      <w:pPr>
        <w:spacing w:after="0" w:line="240" w:lineRule="auto"/>
        <w:jc w:val="both"/>
        <w:rPr>
          <w:rFonts w:ascii="Arial" w:eastAsia="Calibri" w:hAnsi="Arial" w:cs="Arial"/>
          <w:color w:val="000000"/>
          <w:sz w:val="24"/>
          <w:lang w:val="es-ES"/>
        </w:rPr>
      </w:pPr>
    </w:p>
    <w:p w14:paraId="64E7E204" w14:textId="366584F3" w:rsidR="00224199" w:rsidRPr="00224199" w:rsidRDefault="00100656" w:rsidP="008C3D2D">
      <w:pPr>
        <w:spacing w:after="0" w:line="240" w:lineRule="auto"/>
        <w:ind w:left="709" w:right="709"/>
        <w:jc w:val="both"/>
        <w:rPr>
          <w:rFonts w:ascii="Arial" w:eastAsia="Calibri" w:hAnsi="Arial" w:cs="Arial"/>
          <w:color w:val="000000"/>
          <w:sz w:val="21"/>
          <w:szCs w:val="21"/>
          <w:lang w:val="es-ES"/>
        </w:rPr>
      </w:pPr>
      <w:r>
        <w:rPr>
          <w:rFonts w:ascii="Arial" w:eastAsia="Calibri" w:hAnsi="Arial" w:cs="Arial"/>
          <w:color w:val="000000"/>
          <w:sz w:val="21"/>
          <w:szCs w:val="21"/>
          <w:lang w:val="es-ES"/>
        </w:rPr>
        <w:t>“</w:t>
      </w:r>
      <w:r w:rsidR="00224199" w:rsidRPr="00224199">
        <w:rPr>
          <w:rFonts w:ascii="Arial" w:eastAsia="Calibri" w:hAnsi="Arial" w:cs="Arial"/>
          <w:color w:val="000000"/>
          <w:sz w:val="21"/>
          <w:szCs w:val="21"/>
          <w:lang w:val="es-ES"/>
        </w:rPr>
        <w:t xml:space="preserve">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00224199" w:rsidRPr="00224199">
        <w:rPr>
          <w:rFonts w:ascii="Arial" w:eastAsia="Calibri" w:hAnsi="Arial" w:cs="Arial"/>
          <w:color w:val="000000"/>
          <w:sz w:val="21"/>
          <w:szCs w:val="21"/>
          <w:lang w:val="es-ES"/>
        </w:rPr>
        <w:t>equivalentes,</w:t>
      </w:r>
      <w:proofErr w:type="gramEnd"/>
      <w:r w:rsidR="00224199" w:rsidRPr="00224199">
        <w:rPr>
          <w:rFonts w:ascii="Arial" w:eastAsia="Calibri" w:hAnsi="Arial" w:cs="Arial"/>
          <w:color w:val="000000"/>
          <w:sz w:val="21"/>
          <w:szCs w:val="21"/>
          <w:lang w:val="es-ES"/>
        </w:rPr>
        <w:t xml:space="preserve"> tendrán en cuenta los siguientes criterios […] 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r>
        <w:rPr>
          <w:rFonts w:ascii="Arial" w:eastAsia="Calibri" w:hAnsi="Arial" w:cs="Arial"/>
          <w:color w:val="000000"/>
          <w:sz w:val="21"/>
          <w:szCs w:val="21"/>
          <w:lang w:val="es-ES"/>
        </w:rPr>
        <w:t>”</w:t>
      </w:r>
      <w:r w:rsidR="00224199" w:rsidRPr="00224199">
        <w:rPr>
          <w:rFonts w:ascii="Arial" w:eastAsia="Calibri" w:hAnsi="Arial" w:cs="Arial"/>
          <w:color w:val="000000"/>
          <w:sz w:val="21"/>
          <w:szCs w:val="21"/>
          <w:lang w:val="es-ES"/>
        </w:rPr>
        <w:t xml:space="preserve">. </w:t>
      </w:r>
    </w:p>
    <w:p w14:paraId="2ED69ADB" w14:textId="77777777" w:rsidR="00224199" w:rsidRPr="00224199" w:rsidRDefault="00224199" w:rsidP="00224199">
      <w:pPr>
        <w:spacing w:after="0" w:line="240" w:lineRule="auto"/>
        <w:jc w:val="both"/>
        <w:rPr>
          <w:rFonts w:ascii="Arial" w:eastAsia="Calibri" w:hAnsi="Arial" w:cs="Arial"/>
          <w:color w:val="000000"/>
          <w:sz w:val="24"/>
          <w:lang w:val="es-ES"/>
        </w:rPr>
      </w:pPr>
    </w:p>
    <w:p w14:paraId="79FF9082" w14:textId="77777777" w:rsidR="00224199" w:rsidRPr="00224199" w:rsidRDefault="00224199" w:rsidP="008C3D2D">
      <w:pPr>
        <w:spacing w:after="120" w:line="276" w:lineRule="auto"/>
        <w:ind w:firstLine="708"/>
        <w:jc w:val="both"/>
        <w:rPr>
          <w:rFonts w:ascii="Arial" w:eastAsia="Calibri" w:hAnsi="Arial" w:cs="Arial"/>
          <w:color w:val="000000"/>
          <w:lang w:val="es-ES"/>
        </w:rPr>
      </w:pPr>
      <w:r w:rsidRPr="00224199">
        <w:rPr>
          <w:rFonts w:ascii="Arial" w:eastAsia="Calibri" w:hAnsi="Arial" w:cs="Arial"/>
          <w:color w:val="000000"/>
          <w:lang w:val="es-ES"/>
        </w:rPr>
        <w:t xml:space="preserve">Como se puede observar, el principio de selección objetiva en el Estatuto General de Contratación es complejo, por cuanto del mismo se derivan una multiplicidad de reglas que están dirigidas a que el oferente escogido sea aquel que realice el ofrecimiento más favorable a la entidad y a los fines que persigue con la contratación. Es objetiva porque esta optimización de la favorabilidad está basada en criterios técnicos y económicos propios de la oferta y no en factores subjetivos, como afectos o intereses particulares hacia el oferente. </w:t>
      </w:r>
      <w:r w:rsidRPr="00224199">
        <w:rPr>
          <w:rFonts w:ascii="Arial" w:eastAsia="Calibri" w:hAnsi="Arial" w:cs="Arial"/>
          <w:color w:val="000000"/>
          <w:lang w:val="es-ES"/>
        </w:rPr>
        <w:lastRenderedPageBreak/>
        <w:t xml:space="preserve">En otras palabras, la objetividad de la selección se centra en los factores de la oferta y no en criterios subjetivos del proponente. </w:t>
      </w:r>
    </w:p>
    <w:p w14:paraId="5C57B9F8" w14:textId="77777777" w:rsidR="00224199" w:rsidRPr="00224199" w:rsidRDefault="00224199" w:rsidP="008C3D2D">
      <w:pPr>
        <w:spacing w:before="120" w:after="120" w:line="276" w:lineRule="auto"/>
        <w:ind w:firstLine="708"/>
        <w:jc w:val="both"/>
        <w:rPr>
          <w:rFonts w:ascii="Arial" w:eastAsia="Calibri" w:hAnsi="Arial" w:cs="Arial"/>
          <w:color w:val="000000"/>
          <w:lang w:val="es-ES"/>
        </w:rPr>
      </w:pPr>
      <w:r w:rsidRPr="00224199">
        <w:rPr>
          <w:rFonts w:ascii="Arial" w:eastAsia="Calibri" w:hAnsi="Arial" w:cs="Arial"/>
          <w:color w:val="000000"/>
          <w:lang w:val="es-ES"/>
        </w:rPr>
        <w:t xml:space="preserve">Ahora bien, cuando la norma habla de motivaciones subjetivas no deben entenderse los factores que cualifican al proponente, y que sin duda son subjetivos porque pertenecen al sujeto, como la capacidad jurídica, las condiciones de experiencia y la capacidad financiera o de organización, o inclusive, su régimen tributario, cuando ello sea un factor que incida en su oferta. La prohibición de selección subjetiva lo que busca es que la adjudicación de los contratos estatales no se realice con base en consideraciones de tipo personal, ajenas a la calidad de la oferta presentada. </w:t>
      </w:r>
    </w:p>
    <w:p w14:paraId="2C864AEB" w14:textId="77777777" w:rsidR="00224199" w:rsidRPr="00224199" w:rsidRDefault="00224199" w:rsidP="008C3D2D">
      <w:pPr>
        <w:spacing w:before="120" w:after="0" w:line="276" w:lineRule="auto"/>
        <w:ind w:firstLine="708"/>
        <w:jc w:val="both"/>
        <w:rPr>
          <w:rFonts w:ascii="Arial" w:eastAsia="Calibri" w:hAnsi="Arial" w:cs="Arial"/>
          <w:color w:val="000000"/>
          <w:lang w:val="es-ES"/>
        </w:rPr>
      </w:pPr>
      <w:r w:rsidRPr="00224199">
        <w:rPr>
          <w:rFonts w:ascii="Arial" w:eastAsia="Calibri" w:hAnsi="Arial" w:cs="Arial"/>
          <w:color w:val="000000"/>
          <w:lang w:val="es-ES"/>
        </w:rPr>
        <w:t xml:space="preserve">El Consejo de Estado, al interpretar el derogado artículo 29 de la Ley 80 de 1993, señaló que el ofrecimiento más favorable es el resultante de la ponderación de los factores contenidos en el pliego de condiciones, tales como experiencia, organización, equipos, plazos, precio, entre otros:  </w:t>
      </w:r>
    </w:p>
    <w:p w14:paraId="36F4DB75" w14:textId="77777777" w:rsidR="00224199" w:rsidRPr="00224199" w:rsidRDefault="00224199" w:rsidP="008C3D2D">
      <w:pPr>
        <w:spacing w:after="120" w:line="240" w:lineRule="auto"/>
        <w:ind w:left="709" w:right="709"/>
        <w:jc w:val="both"/>
        <w:rPr>
          <w:rFonts w:ascii="Arial" w:eastAsia="Calibri" w:hAnsi="Arial" w:cs="Arial"/>
          <w:color w:val="000000"/>
          <w:sz w:val="21"/>
          <w:szCs w:val="21"/>
          <w:lang w:val="es-ES"/>
        </w:rPr>
      </w:pPr>
      <w:r w:rsidRPr="00224199">
        <w:rPr>
          <w:rFonts w:ascii="Arial" w:eastAsia="Calibri" w:hAnsi="Arial" w:cs="Arial"/>
          <w:color w:val="000000"/>
          <w:sz w:val="21"/>
          <w:szCs w:val="21"/>
          <w:lang w:val="es-ES"/>
        </w:rPr>
        <w:t>La misma norma se ocupa de definir qué se entiende por ofrecimiento más favorable, aquel que resulte ser el mejor a la luz de los factores o criterios de selección contenidos en los pliegos de condiciones que sirven de fundamento para la comparación de ofertas y la selección del contratista; entre ellos se enuncian, el cumplimiento, la experiencia, la organización, los equipos ofrecidos, los plazos propuestos, el precio y la ponderación detallada y concreta de los mismos, sin que la favorabilidad pueda resultar de factores no previstos en los pliegos. Estos aspectos, al tenor de la citada norma, deberán tenerse en cuenta no solo cuando la selección se hace mediante el procedimiento de la licitación o el concurso públicos, sino también cuando ésta se adelanta mediante contratación directa.</w:t>
      </w:r>
    </w:p>
    <w:p w14:paraId="6A93F948" w14:textId="0218E345" w:rsidR="00224199" w:rsidRPr="00224199" w:rsidRDefault="00224199" w:rsidP="008C3D2D">
      <w:pPr>
        <w:spacing w:after="0" w:line="240" w:lineRule="auto"/>
        <w:ind w:left="709" w:right="709"/>
        <w:jc w:val="both"/>
        <w:rPr>
          <w:rFonts w:ascii="Arial" w:eastAsia="Calibri" w:hAnsi="Arial" w:cs="Arial"/>
          <w:color w:val="000000"/>
          <w:sz w:val="21"/>
          <w:szCs w:val="21"/>
          <w:lang w:val="es-ES"/>
        </w:rPr>
      </w:pPr>
      <w:r w:rsidRPr="00224199">
        <w:rPr>
          <w:rFonts w:ascii="Arial" w:eastAsia="Calibri" w:hAnsi="Arial" w:cs="Arial"/>
          <w:color w:val="000000"/>
          <w:sz w:val="21"/>
          <w:szCs w:val="21"/>
          <w:lang w:val="es-ES"/>
        </w:rPr>
        <w:t>Resulta entonces claro que, en aplicación de este principio, la oferta que sea seleccionada deberá ser aquella que haya obtenido la más alta calificación como resultado de ponderar los factores o criterios de selección establecidos en los documentos de la licitación, concurso o contratación directa; en consecuencia, la escogencia de un ofrecimiento que no haya logrado la máxima puntuación, obedecería a criterios diferentes a los plasmados en los documentos que rigieron la selección, lo cual viciaría de nulidad tanto el acto de adjudicación como el contrato celebrado bajo estas condiciones, en razón de haberse desconocido el principio de selección objetiva</w:t>
      </w:r>
      <w:r w:rsidR="00100656">
        <w:rPr>
          <w:rFonts w:ascii="Arial" w:eastAsia="Calibri" w:hAnsi="Arial" w:cs="Arial"/>
          <w:color w:val="000000"/>
          <w:sz w:val="21"/>
          <w:szCs w:val="21"/>
          <w:lang w:val="es-ES"/>
        </w:rPr>
        <w:t>”</w:t>
      </w:r>
      <w:r w:rsidRPr="00224199">
        <w:rPr>
          <w:rFonts w:ascii="Arial" w:eastAsia="Calibri" w:hAnsi="Arial" w:cs="Arial"/>
          <w:color w:val="000000"/>
          <w:sz w:val="21"/>
          <w:szCs w:val="21"/>
          <w:vertAlign w:val="superscript"/>
          <w:lang w:val="es-ES"/>
        </w:rPr>
        <w:footnoteReference w:id="3"/>
      </w:r>
      <w:r w:rsidRPr="00224199">
        <w:rPr>
          <w:rFonts w:ascii="Arial" w:eastAsia="Calibri" w:hAnsi="Arial" w:cs="Arial"/>
          <w:color w:val="000000"/>
          <w:sz w:val="21"/>
          <w:szCs w:val="21"/>
          <w:lang w:val="es-ES"/>
        </w:rPr>
        <w:t>.</w:t>
      </w:r>
    </w:p>
    <w:p w14:paraId="49CF40EF" w14:textId="77777777" w:rsidR="00224199" w:rsidRPr="00224199" w:rsidRDefault="00224199" w:rsidP="00224199">
      <w:pPr>
        <w:spacing w:after="0" w:line="276" w:lineRule="auto"/>
        <w:jc w:val="both"/>
        <w:rPr>
          <w:rFonts w:ascii="Arial" w:eastAsia="Calibri" w:hAnsi="Arial" w:cs="Arial"/>
          <w:color w:val="000000"/>
          <w:sz w:val="24"/>
          <w:lang w:val="es-ES"/>
        </w:rPr>
      </w:pPr>
    </w:p>
    <w:p w14:paraId="2EFADB61" w14:textId="381A9A09" w:rsidR="00224199" w:rsidRPr="00224199" w:rsidRDefault="00100656" w:rsidP="00224199">
      <w:pPr>
        <w:tabs>
          <w:tab w:val="left" w:pos="426"/>
        </w:tabs>
        <w:spacing w:after="120" w:line="276" w:lineRule="auto"/>
        <w:jc w:val="both"/>
        <w:rPr>
          <w:rFonts w:ascii="Arial" w:eastAsia="Calibri" w:hAnsi="Arial" w:cs="Arial"/>
          <w:color w:val="000000"/>
          <w:lang w:val="es-MX"/>
        </w:rPr>
      </w:pPr>
      <w:r>
        <w:rPr>
          <w:rFonts w:ascii="Arial" w:eastAsia="Calibri" w:hAnsi="Arial" w:cs="Arial"/>
          <w:color w:val="000000"/>
          <w:lang w:val="es-MX"/>
        </w:rPr>
        <w:tab/>
      </w:r>
      <w:r w:rsidR="00224199" w:rsidRPr="00224199">
        <w:rPr>
          <w:rFonts w:ascii="Arial" w:eastAsia="Calibri" w:hAnsi="Arial" w:cs="Arial"/>
          <w:color w:val="000000"/>
          <w:lang w:val="es-MX"/>
        </w:rPr>
        <w:t xml:space="preserve">Teniendo en cuenta que el principio de selección objetiva busca que la entidad adjudique el contrato al oferente con la propuesta más favorable, la norma define este concepto como la propuesta más ventajosa, luego de ponderar los factores técnicos y económicos. Así las cosas, para que la entidad pueda determinar cuál es la oferta que más </w:t>
      </w:r>
      <w:r w:rsidR="00224199" w:rsidRPr="00224199">
        <w:rPr>
          <w:rFonts w:ascii="Arial" w:eastAsia="Calibri" w:hAnsi="Arial" w:cs="Arial"/>
          <w:color w:val="000000"/>
          <w:lang w:val="es-MX"/>
        </w:rPr>
        <w:lastRenderedPageBreak/>
        <w:t>ventaja le reporta, lo lógico es que la comparación de precios se haga sobre los que finalmente tendrá que pagar.</w:t>
      </w:r>
    </w:p>
    <w:p w14:paraId="68BEE7CF" w14:textId="77777777" w:rsidR="00224199" w:rsidRPr="00224199" w:rsidRDefault="00224199" w:rsidP="00224199">
      <w:pPr>
        <w:tabs>
          <w:tab w:val="left" w:pos="426"/>
        </w:tabs>
        <w:spacing w:after="120" w:line="276" w:lineRule="auto"/>
        <w:jc w:val="both"/>
        <w:rPr>
          <w:rFonts w:ascii="Arial" w:eastAsia="Calibri" w:hAnsi="Arial" w:cs="Arial"/>
          <w:color w:val="000000" w:themeColor="text1"/>
        </w:rPr>
      </w:pPr>
    </w:p>
    <w:p w14:paraId="7ECFECA7" w14:textId="77777777" w:rsidR="00224199" w:rsidRPr="00224199" w:rsidRDefault="00224199" w:rsidP="00224199">
      <w:pPr>
        <w:spacing w:line="240" w:lineRule="auto"/>
        <w:jc w:val="both"/>
        <w:rPr>
          <w:rFonts w:ascii="Arial" w:eastAsia="Calibri" w:hAnsi="Arial" w:cs="Arial"/>
          <w:b/>
          <w:color w:val="000000" w:themeColor="text1"/>
        </w:rPr>
      </w:pPr>
      <w:bookmarkStart w:id="4" w:name="_Hlk117695077"/>
      <w:r w:rsidRPr="00224199">
        <w:rPr>
          <w:rFonts w:ascii="Arial" w:eastAsia="Calibri" w:hAnsi="Arial" w:cs="Arial"/>
          <w:b/>
          <w:color w:val="000000" w:themeColor="text1"/>
        </w:rPr>
        <w:t>2.2. Consideraciones generales sobre los requisitos de calificación</w:t>
      </w:r>
    </w:p>
    <w:p w14:paraId="09B6B78F" w14:textId="77777777" w:rsidR="00224199" w:rsidRPr="00224199" w:rsidRDefault="00224199" w:rsidP="00224199">
      <w:pPr>
        <w:spacing w:line="240" w:lineRule="auto"/>
        <w:jc w:val="both"/>
        <w:rPr>
          <w:rFonts w:ascii="Arial" w:eastAsia="Calibri" w:hAnsi="Arial" w:cs="Arial"/>
          <w:b/>
          <w:color w:val="000000" w:themeColor="text1"/>
        </w:rPr>
      </w:pPr>
    </w:p>
    <w:p w14:paraId="41ACAA36" w14:textId="77777777" w:rsidR="00224199" w:rsidRPr="00224199" w:rsidRDefault="00224199" w:rsidP="00224199">
      <w:pPr>
        <w:jc w:val="both"/>
        <w:rPr>
          <w:rFonts w:ascii="Arial" w:eastAsia="Calibri" w:hAnsi="Arial" w:cs="Arial"/>
          <w:lang w:val="es-ES"/>
        </w:rPr>
      </w:pPr>
      <w:r w:rsidRPr="00224199">
        <w:rPr>
          <w:rFonts w:ascii="Arial" w:eastAsia="Calibri" w:hAnsi="Arial" w:cs="Arial"/>
          <w:lang w:val="es-ES"/>
        </w:rPr>
        <w:t xml:space="preserve">Los requisitos de calificación </w:t>
      </w:r>
      <w:r w:rsidRPr="00224199">
        <w:rPr>
          <w:rFonts w:ascii="Arial" w:eastAsia="Calibri" w:hAnsi="Arial" w:cs="Arial"/>
        </w:rPr>
        <w:t>“</w:t>
      </w:r>
      <w:r w:rsidRPr="00224199">
        <w:rPr>
          <w:rFonts w:ascii="Arial" w:eastAsia="Calibri" w:hAnsi="Arial" w:cs="Arial"/>
          <w:lang w:val="es-ES"/>
        </w:rPr>
        <w:t>corresponden al objeto del contrato (…), sus especificaciones técnicas, su precio, etc., y constituyen, propiamente, lo ofrecido por los participantes y que es materia de comparación entre las distintas ofertas, para escoger entre ellas la más favorable para la administración</w:t>
      </w:r>
      <w:r w:rsidRPr="00224199">
        <w:rPr>
          <w:rFonts w:ascii="Arial" w:eastAsia="Calibri" w:hAnsi="Arial" w:cs="Arial"/>
        </w:rPr>
        <w:t>”</w:t>
      </w:r>
      <w:r w:rsidRPr="00224199">
        <w:rPr>
          <w:rFonts w:ascii="Arial" w:eastAsia="Calibri" w:hAnsi="Arial" w:cs="Arial"/>
          <w:vertAlign w:val="superscript"/>
          <w:lang w:val="es-ES"/>
        </w:rPr>
        <w:footnoteReference w:id="4"/>
      </w:r>
    </w:p>
    <w:p w14:paraId="180ABB7A" w14:textId="77777777" w:rsidR="00224199" w:rsidRPr="00224199" w:rsidRDefault="00224199" w:rsidP="008C3D2D">
      <w:pPr>
        <w:ind w:firstLine="708"/>
        <w:jc w:val="both"/>
        <w:rPr>
          <w:rFonts w:ascii="Arial" w:eastAsia="Calibri" w:hAnsi="Arial" w:cs="Arial"/>
          <w:lang w:val="es-ES"/>
        </w:rPr>
      </w:pPr>
      <w:r w:rsidRPr="00224199">
        <w:rPr>
          <w:rFonts w:ascii="Arial" w:eastAsia="Calibri" w:hAnsi="Arial" w:cs="Arial"/>
          <w:lang w:val="es-ES"/>
        </w:rPr>
        <w:t>Por ello, los requisitos de calificación dependen de la modalidad de selección bajo la cual se adelante el Proceso de Contratación respectivo. Así, en la licitación pública y la selección abreviada de menor cuantía corresponden a: i) la ponderación de los elementos de calidad y precio soportados en puntajes o fórmulas o ii) la ponderación de los elementos de calidad y precio que representen la mejor relación de costo-beneficio, como lo prevé el artículo 2.2.1.1.2.2.2 del Decreto 1082 de 2015 y el artículo 5 de la Ley 1150 de 2007.</w:t>
      </w:r>
    </w:p>
    <w:p w14:paraId="6EC6F356" w14:textId="77777777" w:rsidR="00224199" w:rsidRPr="00224199" w:rsidRDefault="00224199" w:rsidP="008C3D2D">
      <w:pPr>
        <w:ind w:firstLine="708"/>
        <w:jc w:val="both"/>
        <w:rPr>
          <w:rFonts w:ascii="Arial" w:eastAsia="Calibri" w:hAnsi="Arial" w:cs="Arial"/>
          <w:lang w:val="es-ES"/>
        </w:rPr>
      </w:pPr>
      <w:r w:rsidRPr="00224199">
        <w:rPr>
          <w:rFonts w:ascii="Arial" w:eastAsia="Calibri" w:hAnsi="Arial" w:cs="Arial"/>
          <w:lang w:val="es-ES"/>
        </w:rPr>
        <w:t>Por su parte, en la selección abreviada de subasta inversa y la compra derivada de una orden en un Acuerdo Marco de Precios corresponden al precio, criterio que igualmente aplica para la mínima cuantía, como lo disponen los artículos 2.2.1.2.1.2.2 y 2.2.1.2.1.5.2 del Decreto 1082 de 2015, así como el artículo 5 de la Ley 1150 de 2007.</w:t>
      </w:r>
    </w:p>
    <w:p w14:paraId="61721709" w14:textId="77777777" w:rsidR="00224199" w:rsidRPr="00224199" w:rsidRDefault="00224199" w:rsidP="008C3D2D">
      <w:pPr>
        <w:ind w:firstLine="708"/>
        <w:jc w:val="both"/>
        <w:rPr>
          <w:rFonts w:ascii="Arial" w:eastAsia="Calibri" w:hAnsi="Arial" w:cs="Arial"/>
          <w:lang w:val="es-ES"/>
        </w:rPr>
      </w:pPr>
      <w:r w:rsidRPr="00224199">
        <w:rPr>
          <w:rFonts w:ascii="Arial" w:eastAsia="Calibri" w:hAnsi="Arial" w:cs="Arial"/>
          <w:lang w:val="es-ES"/>
        </w:rPr>
        <w:t>En el concurso de méritos son: i) la experiencia del interesado y del equipo de trabajo y ii) la formación académica y las publicaciones técnicas y científicas del equipo de trabajo, como lo estatuye el artículo 2.2.1.2.1.3.2 del Decreto 1082 de 2015.</w:t>
      </w:r>
    </w:p>
    <w:p w14:paraId="70EAAA94" w14:textId="77777777" w:rsidR="00224199" w:rsidRPr="00224199" w:rsidRDefault="00224199" w:rsidP="008C3D2D">
      <w:pPr>
        <w:ind w:firstLine="708"/>
        <w:jc w:val="both"/>
        <w:rPr>
          <w:rFonts w:ascii="Arial" w:eastAsia="Calibri" w:hAnsi="Arial" w:cs="Arial"/>
          <w:lang w:val="es-ES"/>
        </w:rPr>
      </w:pPr>
      <w:r w:rsidRPr="00224199">
        <w:rPr>
          <w:rFonts w:ascii="Arial" w:eastAsia="Calibri" w:hAnsi="Arial" w:cs="Arial"/>
          <w:lang w:val="es-ES"/>
        </w:rPr>
        <w:t>En la contratación directa se analiza que la adquisición se efectúe en condiciones de mercado, cuya exigencia se realizará conforme al que resulte ser más ventajoso para la entidad, sin que la favorabilidad la constituyan factores diferentes que pueden ser a manera enunciativa, el más bajo precio o el plazo ofrecido.</w:t>
      </w:r>
    </w:p>
    <w:p w14:paraId="759EE8B2" w14:textId="77777777" w:rsidR="00224199" w:rsidRPr="00224199" w:rsidRDefault="00224199" w:rsidP="008C3D2D">
      <w:pPr>
        <w:ind w:firstLine="708"/>
        <w:jc w:val="both"/>
        <w:rPr>
          <w:rFonts w:ascii="Arial" w:eastAsia="Calibri" w:hAnsi="Arial" w:cs="Arial"/>
          <w:lang w:val="es-ES"/>
        </w:rPr>
      </w:pPr>
      <w:r w:rsidRPr="00224199">
        <w:rPr>
          <w:rFonts w:ascii="Arial" w:eastAsia="Calibri" w:hAnsi="Arial" w:cs="Arial"/>
          <w:lang w:val="es-ES"/>
        </w:rPr>
        <w:t xml:space="preserve">Por lo tanto, se debe destacar que la determinación de los factores de calificación, </w:t>
      </w:r>
      <w:proofErr w:type="gramStart"/>
      <w:r w:rsidRPr="00224199">
        <w:rPr>
          <w:rFonts w:ascii="Arial" w:eastAsia="Calibri" w:hAnsi="Arial" w:cs="Arial"/>
          <w:lang w:val="es-ES"/>
        </w:rPr>
        <w:t>le</w:t>
      </w:r>
      <w:proofErr w:type="gramEnd"/>
      <w:r w:rsidRPr="00224199">
        <w:rPr>
          <w:rFonts w:ascii="Arial" w:eastAsia="Calibri" w:hAnsi="Arial" w:cs="Arial"/>
          <w:lang w:val="es-ES"/>
        </w:rPr>
        <w:t xml:space="preserve"> corresponden a las entidades estatales, quienes deberán fijarlos con base en las condiciones del contrato a ejecutar, y una vez vencido el plazo para presentar ofertas, no son susceptibles de subsanación.</w:t>
      </w:r>
    </w:p>
    <w:p w14:paraId="6C51FB75" w14:textId="77777777" w:rsidR="00224199" w:rsidRPr="00224199" w:rsidRDefault="00224199" w:rsidP="008C3D2D">
      <w:pPr>
        <w:spacing w:after="240" w:line="276" w:lineRule="auto"/>
        <w:ind w:firstLine="708"/>
        <w:jc w:val="both"/>
        <w:rPr>
          <w:rFonts w:ascii="Arial" w:eastAsia="Calibri" w:hAnsi="Arial" w:cs="Arial"/>
          <w:color w:val="000000" w:themeColor="text1"/>
          <w:lang w:val="es-ES_tradnl"/>
        </w:rPr>
      </w:pPr>
      <w:r w:rsidRPr="00224199">
        <w:rPr>
          <w:rFonts w:ascii="Arial" w:eastAsia="Calibri" w:hAnsi="Arial" w:cs="Arial"/>
          <w:color w:val="000000" w:themeColor="text1"/>
          <w:lang w:val="es-ES_tradnl"/>
        </w:rPr>
        <w:t xml:space="preserve">Como ya se indicó, uno de los principios transversales de los Procesos de Contratación en Colombia es el de </w:t>
      </w:r>
      <w:r w:rsidRPr="00224199">
        <w:rPr>
          <w:rFonts w:ascii="Arial" w:eastAsia="Calibri" w:hAnsi="Arial" w:cs="Arial"/>
          <w:i/>
          <w:iCs/>
          <w:color w:val="000000" w:themeColor="text1"/>
          <w:lang w:val="es-ES_tradnl"/>
        </w:rPr>
        <w:t>selección objetiva</w:t>
      </w:r>
      <w:r w:rsidRPr="00224199">
        <w:rPr>
          <w:rFonts w:ascii="Arial" w:eastAsia="Calibri" w:hAnsi="Arial" w:cs="Arial"/>
          <w:color w:val="000000" w:themeColor="text1"/>
          <w:lang w:val="es-ES_tradnl"/>
        </w:rPr>
        <w:t xml:space="preserve">. Se trata del postulado que exige que </w:t>
      </w:r>
      <w:r w:rsidRPr="00224199">
        <w:rPr>
          <w:rFonts w:ascii="Arial" w:eastAsia="Calibri" w:hAnsi="Arial" w:cs="Arial"/>
          <w:color w:val="000000" w:themeColor="text1"/>
          <w:lang w:val="es-ES_tradnl"/>
        </w:rPr>
        <w:lastRenderedPageBreak/>
        <w:t xml:space="preserve">la escogencia de la oferta ganadora se debe fundamentar en factores objetivos, de carácter técnico, jurídico y financiero, y no en criterios subjetivos, como el afecto, la amistad, el ánimo de ayuda, el interés personal, etc. </w:t>
      </w:r>
    </w:p>
    <w:p w14:paraId="2028AF04" w14:textId="77777777" w:rsidR="00224199" w:rsidRPr="00224199" w:rsidRDefault="00224199" w:rsidP="008C3D2D">
      <w:pPr>
        <w:spacing w:after="240" w:line="276" w:lineRule="auto"/>
        <w:ind w:firstLine="708"/>
        <w:jc w:val="both"/>
        <w:rPr>
          <w:rFonts w:ascii="Arial" w:eastAsia="Calibri" w:hAnsi="Arial" w:cs="Arial"/>
          <w:color w:val="000000" w:themeColor="text1"/>
          <w:lang w:val="es-ES_tradnl"/>
        </w:rPr>
      </w:pPr>
      <w:r w:rsidRPr="00224199">
        <w:rPr>
          <w:rFonts w:ascii="Arial" w:eastAsia="Calibri" w:hAnsi="Arial" w:cs="Arial"/>
          <w:color w:val="000000" w:themeColor="text1"/>
          <w:lang w:val="es-ES_tradnl"/>
        </w:rPr>
        <w:t>Si bien dentro de la historia de la contratación pública en Colombia, se vislumbran antecedentes normativos que consagraban dicho principio</w:t>
      </w:r>
      <w:r w:rsidRPr="00224199">
        <w:rPr>
          <w:rFonts w:ascii="Arial" w:eastAsia="Calibri" w:hAnsi="Arial" w:cs="Arial"/>
          <w:color w:val="000000" w:themeColor="text1"/>
          <w:vertAlign w:val="superscript"/>
          <w:lang w:val="es-ES_tradnl"/>
        </w:rPr>
        <w:footnoteReference w:id="5"/>
      </w:r>
      <w:r w:rsidRPr="00224199">
        <w:rPr>
          <w:rFonts w:ascii="Arial" w:eastAsia="Calibri" w:hAnsi="Arial" w:cs="Arial"/>
          <w:color w:val="000000" w:themeColor="text1"/>
          <w:lang w:val="es-ES_tradnl"/>
        </w:rPr>
        <w:t>, en la actualidad la disposición legal que lo prevé de manera más clara y contundente es el artículo 5 de la Ley 1150 de 2007, modificado por el artículo 88 de la Ley 1474 de 2011 y por el artículo 5 de la Ley 1882 de 2018, enunciado normativo por el cual las entidades estatales se encuentran obligadas a seleccionar como contratista a quién haya realizado el ofrecimiento más favorable a la entidad y a los fines que ella busca, por lo que los factores escogencia y calificación que establezcan en los pliegos de condiciones o sus equivalentes, tendrán en cuenta las reglas dispuestas en dicho artículo, y que fueron previamente explicadas en los numerales anteriores.</w:t>
      </w:r>
    </w:p>
    <w:p w14:paraId="53CEFB80" w14:textId="77777777" w:rsidR="00224199" w:rsidRPr="00224199" w:rsidRDefault="00224199" w:rsidP="008C3D2D">
      <w:pPr>
        <w:spacing w:after="240" w:line="276" w:lineRule="auto"/>
        <w:ind w:firstLine="708"/>
        <w:jc w:val="both"/>
        <w:rPr>
          <w:rFonts w:ascii="Arial" w:eastAsia="Calibri" w:hAnsi="Arial" w:cs="Arial"/>
          <w:color w:val="000000" w:themeColor="text1"/>
          <w:lang w:val="es-ES_tradnl"/>
        </w:rPr>
      </w:pPr>
      <w:r w:rsidRPr="00224199">
        <w:rPr>
          <w:rFonts w:ascii="Arial" w:eastAsia="Calibri" w:hAnsi="Arial" w:cs="Arial"/>
          <w:color w:val="000000" w:themeColor="text1"/>
          <w:lang w:val="es-ES_tradnl"/>
        </w:rPr>
        <w:t>La jurisprudencia también ha reconocido la preponderancia de este deber en la etapa precontractual, indicando que su garantía es imprescindible para satisfacer adecuadamente las necesidades de la sociedad a través del contrato. A este respecto, la Sección Tercera del Consejo de Estado ha dicho que:</w:t>
      </w:r>
    </w:p>
    <w:p w14:paraId="46934F8A" w14:textId="77777777" w:rsidR="00224199" w:rsidRPr="00224199" w:rsidRDefault="00224199" w:rsidP="008C3D2D">
      <w:pPr>
        <w:spacing w:after="0" w:line="240" w:lineRule="auto"/>
        <w:ind w:left="709" w:right="709"/>
        <w:jc w:val="both"/>
        <w:rPr>
          <w:rFonts w:ascii="Arial" w:eastAsia="Calibri" w:hAnsi="Arial" w:cs="Arial"/>
          <w:color w:val="000000" w:themeColor="text1"/>
          <w:sz w:val="21"/>
          <w:szCs w:val="21"/>
          <w:lang w:val="es-ES_tradnl"/>
        </w:rPr>
      </w:pPr>
      <w:r w:rsidRPr="00224199">
        <w:rPr>
          <w:rFonts w:ascii="Arial" w:eastAsia="Calibri" w:hAnsi="Arial" w:cs="Arial"/>
          <w:color w:val="000000" w:themeColor="text1"/>
          <w:sz w:val="21"/>
          <w:szCs w:val="21"/>
          <w:lang w:val="es-ES_tradnl"/>
        </w:rPr>
        <w:t>“la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r w:rsidRPr="00224199">
        <w:rPr>
          <w:rFonts w:ascii="Arial" w:eastAsia="Calibri" w:hAnsi="Arial" w:cs="Arial"/>
          <w:color w:val="000000" w:themeColor="text1"/>
          <w:sz w:val="21"/>
          <w:szCs w:val="21"/>
          <w:vertAlign w:val="superscript"/>
          <w:lang w:val="es-ES_tradnl"/>
        </w:rPr>
        <w:footnoteReference w:id="6"/>
      </w:r>
      <w:r w:rsidRPr="00224199">
        <w:rPr>
          <w:rFonts w:ascii="Arial" w:eastAsia="Calibri" w:hAnsi="Arial" w:cs="Arial"/>
          <w:color w:val="000000" w:themeColor="text1"/>
          <w:sz w:val="21"/>
          <w:szCs w:val="21"/>
          <w:lang w:val="es-ES_tradnl"/>
        </w:rPr>
        <w:t xml:space="preserve">. Igualmente, ha señalado que “el principio de escogencia o selección objetiva de los contratistas fundamenta uno </w:t>
      </w:r>
      <w:r w:rsidRPr="00224199">
        <w:rPr>
          <w:rFonts w:ascii="Arial" w:eastAsia="Calibri" w:hAnsi="Arial" w:cs="Arial"/>
          <w:color w:val="000000" w:themeColor="text1"/>
          <w:sz w:val="21"/>
          <w:szCs w:val="21"/>
          <w:lang w:val="es-ES_tradnl"/>
        </w:rPr>
        <w:lastRenderedPageBreak/>
        <w:t>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r w:rsidRPr="00224199">
        <w:rPr>
          <w:rFonts w:ascii="Arial" w:eastAsia="Calibri" w:hAnsi="Arial" w:cs="Arial"/>
          <w:color w:val="000000" w:themeColor="text1"/>
          <w:sz w:val="21"/>
          <w:szCs w:val="21"/>
          <w:vertAlign w:val="superscript"/>
          <w:lang w:val="es-ES_tradnl"/>
        </w:rPr>
        <w:footnoteReference w:id="7"/>
      </w:r>
      <w:r w:rsidRPr="00224199">
        <w:rPr>
          <w:rFonts w:ascii="Arial" w:eastAsia="Calibri" w:hAnsi="Arial" w:cs="Arial"/>
          <w:color w:val="000000" w:themeColor="text1"/>
          <w:sz w:val="21"/>
          <w:szCs w:val="21"/>
          <w:lang w:val="es-ES_tradnl"/>
        </w:rPr>
        <w:t>.</w:t>
      </w:r>
    </w:p>
    <w:p w14:paraId="1C5F4C82" w14:textId="77777777" w:rsidR="00224199" w:rsidRPr="00224199" w:rsidRDefault="00224199" w:rsidP="00224199">
      <w:pPr>
        <w:spacing w:after="0" w:line="276" w:lineRule="auto"/>
        <w:jc w:val="both"/>
        <w:rPr>
          <w:rFonts w:ascii="Arial" w:eastAsia="Calibri" w:hAnsi="Arial" w:cs="Arial"/>
          <w:color w:val="000000" w:themeColor="text1"/>
          <w:szCs w:val="24"/>
          <w:lang w:val="es-ES_tradnl" w:eastAsia="es-ES"/>
        </w:rPr>
      </w:pPr>
    </w:p>
    <w:p w14:paraId="0F06D5DF" w14:textId="77777777" w:rsidR="00224199" w:rsidRPr="00224199" w:rsidRDefault="00224199" w:rsidP="00224199">
      <w:pPr>
        <w:spacing w:after="240"/>
        <w:jc w:val="both"/>
        <w:rPr>
          <w:rFonts w:ascii="Arial" w:eastAsia="Calibri" w:hAnsi="Arial" w:cs="Arial"/>
          <w:color w:val="000000" w:themeColor="text1"/>
          <w:lang w:val="es-ES_tradnl"/>
        </w:rPr>
      </w:pPr>
      <w:r w:rsidRPr="00224199">
        <w:rPr>
          <w:rFonts w:ascii="Arial" w:eastAsia="Calibri" w:hAnsi="Arial" w:cs="Arial"/>
          <w:color w:val="000000" w:themeColor="text1"/>
          <w:lang w:val="es-ES_tradnl"/>
        </w:rPr>
        <w:t>En ese orden de ideas, por ejemplo, en la licitación pública, el valor, tampoco es el único criterio de escogencia, por el contrario, en esta modalidad de selección de contratistas, las entidades deben diseñar en sus pliegos de condiciones, criterios que contengan tanto factores técnicos y económicos de escogencia, siendo la oferta más ventajosa la que resulte de aplicar alguna de las siguientes alternativas:</w:t>
      </w:r>
    </w:p>
    <w:p w14:paraId="144779CC" w14:textId="77777777" w:rsidR="00224199" w:rsidRPr="00224199" w:rsidRDefault="00224199" w:rsidP="008C3D2D">
      <w:pPr>
        <w:spacing w:after="240"/>
        <w:ind w:firstLine="708"/>
        <w:jc w:val="both"/>
        <w:rPr>
          <w:rFonts w:ascii="Arial" w:eastAsia="Calibri" w:hAnsi="Arial" w:cs="Arial"/>
          <w:color w:val="000000" w:themeColor="text1"/>
          <w:lang w:val="es-ES_tradnl"/>
        </w:rPr>
      </w:pPr>
      <w:r w:rsidRPr="00224199">
        <w:rPr>
          <w:rFonts w:ascii="Arial" w:eastAsia="Calibri" w:hAnsi="Arial" w:cs="Arial"/>
          <w:color w:val="000000" w:themeColor="text1"/>
          <w:lang w:val="es-ES_tradnl"/>
        </w:rPr>
        <w:t>a) La ponderación de los elementos de calidad y precio soportados en puntajes o fórmulas señaladas en el pliego de condiciones; o</w:t>
      </w:r>
    </w:p>
    <w:p w14:paraId="151839EA" w14:textId="77777777" w:rsidR="00224199" w:rsidRPr="00224199" w:rsidRDefault="00224199" w:rsidP="008C3D2D">
      <w:pPr>
        <w:spacing w:after="240"/>
        <w:ind w:firstLine="708"/>
        <w:jc w:val="both"/>
        <w:rPr>
          <w:rFonts w:ascii="Arial" w:eastAsia="Calibri" w:hAnsi="Arial" w:cs="Arial"/>
          <w:color w:val="000000" w:themeColor="text1"/>
          <w:lang w:val="es-ES_tradnl"/>
        </w:rPr>
      </w:pPr>
      <w:r w:rsidRPr="00224199">
        <w:rPr>
          <w:rFonts w:ascii="Arial" w:eastAsia="Calibri" w:hAnsi="Arial" w:cs="Arial"/>
          <w:color w:val="000000" w:themeColor="text1"/>
          <w:lang w:val="es-ES_tradnl"/>
        </w:rPr>
        <w:t>b) La ponderación de los elementos de calidad y precio que representen la mejor relación de costo-beneficio para la entidad.</w:t>
      </w:r>
    </w:p>
    <w:p w14:paraId="5D727F54" w14:textId="77777777" w:rsidR="00224199" w:rsidRPr="00224199" w:rsidRDefault="00224199" w:rsidP="00224199">
      <w:pPr>
        <w:tabs>
          <w:tab w:val="left" w:pos="0"/>
        </w:tabs>
        <w:spacing w:after="240" w:line="276" w:lineRule="auto"/>
        <w:jc w:val="both"/>
        <w:rPr>
          <w:rFonts w:ascii="Arial" w:eastAsia="Calibri" w:hAnsi="Arial" w:cs="Arial"/>
          <w:bCs/>
        </w:rPr>
      </w:pPr>
      <w:r w:rsidRPr="00224199">
        <w:rPr>
          <w:rFonts w:ascii="Arial" w:eastAsia="Calibri" w:hAnsi="Arial" w:cs="Arial"/>
          <w:color w:val="000000" w:themeColor="text1"/>
          <w:lang w:val="es-ES_tradnl"/>
        </w:rPr>
        <w:tab/>
        <w:t xml:space="preserve">La escogencia entre una u otra alternativa corresponderá determinarla a cada una de las entidades estatales </w:t>
      </w:r>
      <w:r w:rsidRPr="00224199">
        <w:rPr>
          <w:rFonts w:ascii="Arial" w:eastAsia="Calibri" w:hAnsi="Arial" w:cs="Arial"/>
          <w:bCs/>
        </w:rPr>
        <w:t xml:space="preserve">a partir de criterios que pueden variar de acuerdo con el objeto contractual, los cuales, en todo caso, para que la selección sea objetiva, deben estar señalados en el pliego de condiciones. </w:t>
      </w:r>
    </w:p>
    <w:p w14:paraId="0C8B91A2" w14:textId="77777777" w:rsidR="00224199" w:rsidRPr="00224199" w:rsidRDefault="00224199" w:rsidP="00224199">
      <w:pPr>
        <w:tabs>
          <w:tab w:val="left" w:pos="0"/>
        </w:tabs>
        <w:spacing w:after="240" w:line="276" w:lineRule="auto"/>
        <w:jc w:val="both"/>
        <w:rPr>
          <w:rFonts w:ascii="Arial" w:hAnsi="Arial" w:cs="Arial"/>
        </w:rPr>
      </w:pPr>
      <w:r w:rsidRPr="00224199">
        <w:rPr>
          <w:rFonts w:ascii="Arial" w:eastAsia="Calibri" w:hAnsi="Arial" w:cs="Arial"/>
          <w:bCs/>
        </w:rPr>
        <w:tab/>
        <w:t>En ese sentido, cuando la Entidad concibe el otorgamiento de puntajes, como mecanismos para ponderar y comparar los ofrecimientos, el mecanismo utilizado comúnmente es el otorgar un peso porcentual a cada factor de calificación, cuya estructuración porcentual o peso en los puntajes deberá corresponder en todo caso a los mínimos exigidos en nuestra normatividad cuando se trate de factores obligatorios a contemplarse o asignarse por Ley y a aquellos criterios técnicos que considere pertinentes la Entidad Estatal darle mayor peso en la selección, por el contrario cuando la entidad estatal escoge el seleccionar el ofrecimiento más favorable conforme a un análisis de la relación costo-beneficio, no habría necesidad de acudir obligatoriamente a sistemas de asignación de puntaje, pues aquí el artículo 5</w:t>
      </w:r>
      <w:r w:rsidRPr="00224199">
        <w:rPr>
          <w:rFonts w:ascii="Arial" w:eastAsia="Calibri" w:hAnsi="Arial" w:cs="Arial"/>
          <w:bCs/>
        </w:rPr>
        <w:softHyphen/>
        <w:t>.2 de la Ley 1150 de 2007 y el artículo 2.2.1.1.2.2.2 del Decreto 1082 de 2015 establecieron unas pautas para la p</w:t>
      </w:r>
      <w:r w:rsidRPr="00224199">
        <w:rPr>
          <w:rFonts w:ascii="Arial" w:hAnsi="Arial" w:cs="Arial"/>
        </w:rPr>
        <w:t xml:space="preserve">onderación de los elementos de calidad y precio que representen la mejor relación de costo-beneficio. </w:t>
      </w:r>
    </w:p>
    <w:p w14:paraId="615EBEB4" w14:textId="77777777" w:rsidR="00224199" w:rsidRPr="00224199" w:rsidRDefault="00224199" w:rsidP="00224199">
      <w:pPr>
        <w:tabs>
          <w:tab w:val="left" w:pos="0"/>
        </w:tabs>
        <w:spacing w:after="240" w:line="276" w:lineRule="auto"/>
        <w:jc w:val="both"/>
        <w:rPr>
          <w:rFonts w:ascii="Arial" w:hAnsi="Arial" w:cs="Arial"/>
          <w:lang w:eastAsia="es-CO"/>
        </w:rPr>
      </w:pPr>
      <w:r w:rsidRPr="00224199">
        <w:rPr>
          <w:rFonts w:ascii="Arial" w:hAnsi="Arial" w:cs="Arial"/>
        </w:rPr>
        <w:tab/>
        <w:t xml:space="preserve">Así las cosas, la oferta más favorable, en esta última alternativa, se ira ponderando en las ofertas de la siguiente forma: i) </w:t>
      </w:r>
      <w:r w:rsidRPr="00224199">
        <w:rPr>
          <w:rFonts w:ascii="Arial" w:hAnsi="Arial" w:cs="Arial"/>
          <w:lang w:eastAsia="es-CO"/>
        </w:rPr>
        <w:t xml:space="preserve">las condiciones técnicas y económicas mínimas; ii) </w:t>
      </w:r>
      <w:r w:rsidRPr="00224199">
        <w:rPr>
          <w:rFonts w:ascii="Arial" w:hAnsi="Arial" w:cs="Arial"/>
          <w:lang w:eastAsia="es-CO"/>
        </w:rPr>
        <w:lastRenderedPageBreak/>
        <w:t xml:space="preserve">las condiciones técnicas adicionales que representan ventajas de calidad o de funcionamiento; iii) las condiciones económicas adicionales que representen ventajas en términos de economía, eficiencia y eficacia; y, iv) el valor en dinero que la Entidad Estatal asigna a cada ofrecimiento técnico o económico adicional. Teniendo en cuenta estos elementos, la Entidad Estatal debe calcular la relación costo-beneficio de cada oferta </w:t>
      </w:r>
      <w:r w:rsidRPr="00224199">
        <w:rPr>
          <w:rFonts w:ascii="Arial" w:eastAsia="Calibri" w:hAnsi="Arial" w:cs="Arial"/>
          <w:bCs/>
          <w:i/>
          <w:iCs/>
        </w:rPr>
        <w:t xml:space="preserve">“[…] </w:t>
      </w:r>
      <w:r w:rsidRPr="00224199">
        <w:rPr>
          <w:rFonts w:ascii="Arial" w:hAnsi="Arial" w:cs="Arial"/>
          <w:i/>
          <w:iCs/>
          <w:lang w:eastAsia="es-CO"/>
        </w:rPr>
        <w:t>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w:t>
      </w:r>
      <w:r w:rsidRPr="00224199">
        <w:rPr>
          <w:rFonts w:ascii="Arial" w:eastAsia="Calibri" w:hAnsi="Arial" w:cs="Arial"/>
          <w:bCs/>
          <w:i/>
          <w:iCs/>
        </w:rPr>
        <w:t xml:space="preserve"> </w:t>
      </w:r>
      <w:r w:rsidRPr="00224199">
        <w:rPr>
          <w:rFonts w:ascii="Arial" w:hAnsi="Arial" w:cs="Arial"/>
          <w:i/>
          <w:iCs/>
        </w:rPr>
        <w:t>[…]</w:t>
      </w:r>
      <w:r w:rsidRPr="00224199">
        <w:rPr>
          <w:rFonts w:ascii="Arial" w:eastAsia="Calibri" w:hAnsi="Arial" w:cs="Arial"/>
          <w:bCs/>
          <w:i/>
          <w:iCs/>
        </w:rPr>
        <w:t>”</w:t>
      </w:r>
      <w:r w:rsidRPr="00224199">
        <w:rPr>
          <w:rFonts w:ascii="Arial" w:hAnsi="Arial" w:cs="Arial"/>
          <w:i/>
          <w:iCs/>
          <w:vertAlign w:val="superscript"/>
          <w:lang w:eastAsia="es-CO"/>
        </w:rPr>
        <w:footnoteReference w:id="8"/>
      </w:r>
      <w:r w:rsidRPr="00224199">
        <w:rPr>
          <w:rFonts w:ascii="Arial" w:eastAsia="Calibri" w:hAnsi="Arial" w:cs="Arial"/>
          <w:bCs/>
          <w:i/>
          <w:iCs/>
        </w:rPr>
        <w:t>.</w:t>
      </w:r>
    </w:p>
    <w:p w14:paraId="0AC6EAD7" w14:textId="77777777" w:rsidR="00224199" w:rsidRPr="00224199" w:rsidRDefault="00224199" w:rsidP="00224199">
      <w:pPr>
        <w:spacing w:after="0" w:line="276" w:lineRule="auto"/>
        <w:jc w:val="both"/>
        <w:rPr>
          <w:rFonts w:ascii="Arial" w:eastAsia="Calibri" w:hAnsi="Arial" w:cs="Arial"/>
          <w:color w:val="000000" w:themeColor="text1"/>
          <w:szCs w:val="24"/>
          <w:lang w:val="es-ES_tradnl" w:eastAsia="es-ES"/>
        </w:rPr>
      </w:pPr>
    </w:p>
    <w:p w14:paraId="0C2BFFB8" w14:textId="77777777" w:rsidR="00224199" w:rsidRPr="00224199" w:rsidRDefault="00224199" w:rsidP="00224199">
      <w:pPr>
        <w:spacing w:after="0" w:line="276" w:lineRule="auto"/>
        <w:jc w:val="both"/>
        <w:rPr>
          <w:rFonts w:ascii="Arial" w:eastAsia="Calibri" w:hAnsi="Arial" w:cs="Arial"/>
          <w:b/>
          <w:color w:val="000000" w:themeColor="text1"/>
          <w:szCs w:val="24"/>
          <w:lang w:val="es-ES_tradnl" w:eastAsia="es-ES"/>
        </w:rPr>
      </w:pPr>
      <w:r w:rsidRPr="00224199">
        <w:rPr>
          <w:rFonts w:ascii="Arial" w:eastAsia="Calibri" w:hAnsi="Arial" w:cs="Arial"/>
          <w:b/>
          <w:color w:val="000000" w:themeColor="text1"/>
          <w:szCs w:val="24"/>
          <w:lang w:val="es-ES_tradnl" w:eastAsia="es-ES"/>
        </w:rPr>
        <w:t xml:space="preserve">2.3. Definición de experiencia en un procedimiento de contratación: </w:t>
      </w:r>
    </w:p>
    <w:p w14:paraId="0EFDDF82" w14:textId="77777777" w:rsidR="00224199" w:rsidRPr="00224199" w:rsidRDefault="00224199" w:rsidP="00224199">
      <w:pPr>
        <w:spacing w:after="0" w:line="276" w:lineRule="auto"/>
        <w:jc w:val="both"/>
        <w:rPr>
          <w:rFonts w:ascii="Arial" w:eastAsia="Calibri" w:hAnsi="Arial" w:cs="Arial"/>
          <w:b/>
          <w:color w:val="000000" w:themeColor="text1"/>
          <w:szCs w:val="24"/>
          <w:lang w:val="es-ES_tradnl" w:eastAsia="es-ES"/>
        </w:rPr>
      </w:pPr>
    </w:p>
    <w:p w14:paraId="3C743167" w14:textId="77777777" w:rsidR="00224199" w:rsidRPr="00224199" w:rsidRDefault="00224199" w:rsidP="00100656">
      <w:pPr>
        <w:widowControl w:val="0"/>
        <w:autoSpaceDE w:val="0"/>
        <w:autoSpaceDN w:val="0"/>
        <w:spacing w:before="1" w:after="0" w:line="276" w:lineRule="auto"/>
        <w:ind w:right="107"/>
        <w:jc w:val="both"/>
        <w:rPr>
          <w:rFonts w:ascii="Arial" w:eastAsia="Arial" w:hAnsi="Arial" w:cs="Arial"/>
          <w:lang w:val="es-ES"/>
        </w:rPr>
      </w:pPr>
      <w:r w:rsidRPr="00224199">
        <w:rPr>
          <w:rFonts w:ascii="Arial" w:eastAsia="Arial" w:hAnsi="Arial" w:cs="Arial"/>
          <w:lang w:val="es-ES"/>
        </w:rPr>
        <w:t xml:space="preserve">El artículo 5 de la Ley 1150 de 2007 establece que “es objetiva la selección en la cual la escogencia se haga al ofrecimiento más favorable a la entidad y a los fines que ella busca, sin tener en consideración factores de afecto o de interés y, en general, cualquier clase de motivación subjetiva”, para lo cual la entidad deberá fijar los factores de escogencia y de calificación de las propuestas teniendo en cuenta los criterios definidos en esta norma, </w:t>
      </w:r>
      <w:r w:rsidRPr="00224199">
        <w:rPr>
          <w:rFonts w:ascii="Arial" w:eastAsia="Arial" w:hAnsi="Arial" w:cs="Arial"/>
          <w:lang w:val="es-ES"/>
        </w:rPr>
        <w:lastRenderedPageBreak/>
        <w:t>dentro de los cuales, junto la capacidad jurídica, capacidad financiera y de organización, se encuentra la experiencia. Requisitos que deben ser verificados por las cámaras de comercio y acreditados en los procedimientos de contratación a través del certificado del Registro Único de Proponentes, cuando este sea obligatorio.</w:t>
      </w:r>
    </w:p>
    <w:p w14:paraId="50981894" w14:textId="77777777" w:rsidR="00224199" w:rsidRPr="00224199" w:rsidRDefault="00224199" w:rsidP="00224199">
      <w:pPr>
        <w:widowControl w:val="0"/>
        <w:autoSpaceDE w:val="0"/>
        <w:autoSpaceDN w:val="0"/>
        <w:spacing w:before="5" w:after="0" w:line="240" w:lineRule="auto"/>
        <w:rPr>
          <w:rFonts w:ascii="Arial" w:eastAsia="Arial" w:hAnsi="Arial" w:cs="Arial"/>
          <w:sz w:val="25"/>
          <w:lang w:val="es-ES"/>
        </w:rPr>
      </w:pPr>
    </w:p>
    <w:p w14:paraId="75F3CFA3" w14:textId="77777777" w:rsidR="00224199" w:rsidRPr="00224199" w:rsidRDefault="00224199" w:rsidP="008C3D2D">
      <w:pPr>
        <w:widowControl w:val="0"/>
        <w:autoSpaceDE w:val="0"/>
        <w:autoSpaceDN w:val="0"/>
        <w:spacing w:after="0" w:line="276" w:lineRule="auto"/>
        <w:ind w:right="104" w:firstLine="708"/>
        <w:jc w:val="both"/>
        <w:rPr>
          <w:rFonts w:ascii="Arial" w:eastAsia="Arial" w:hAnsi="Arial" w:cs="Arial"/>
          <w:lang w:val="es-ES"/>
        </w:rPr>
      </w:pPr>
      <w:r w:rsidRPr="00224199">
        <w:rPr>
          <w:rFonts w:ascii="Arial" w:eastAsia="Arial" w:hAnsi="Arial" w:cs="Arial"/>
          <w:lang w:val="es-ES"/>
        </w:rPr>
        <w:t>También establece el artículo 5 de la Ley 1150 de 2007, que la exigencia de los requisitos habilitantes para participar en los procedimientos de contratación debe ser “ser adecuada y proporcional a la naturaleza del contrato a suscribir y a su valor”.</w:t>
      </w:r>
    </w:p>
    <w:p w14:paraId="2571934F" w14:textId="77777777" w:rsidR="00224199" w:rsidRPr="00224199" w:rsidRDefault="00224199" w:rsidP="00224199">
      <w:pPr>
        <w:widowControl w:val="0"/>
        <w:autoSpaceDE w:val="0"/>
        <w:autoSpaceDN w:val="0"/>
        <w:spacing w:before="2" w:after="0" w:line="240" w:lineRule="auto"/>
        <w:rPr>
          <w:rFonts w:ascii="Arial" w:eastAsia="Arial" w:hAnsi="Arial" w:cs="Arial"/>
          <w:sz w:val="25"/>
          <w:lang w:val="es-ES"/>
        </w:rPr>
      </w:pPr>
    </w:p>
    <w:p w14:paraId="112CF12E" w14:textId="77777777" w:rsidR="00224199" w:rsidRPr="00224199" w:rsidRDefault="00224199" w:rsidP="008C3D2D">
      <w:pPr>
        <w:widowControl w:val="0"/>
        <w:autoSpaceDE w:val="0"/>
        <w:autoSpaceDN w:val="0"/>
        <w:spacing w:after="0" w:line="276" w:lineRule="auto"/>
        <w:ind w:right="103" w:firstLine="708"/>
        <w:jc w:val="both"/>
        <w:rPr>
          <w:rFonts w:ascii="Arial" w:eastAsia="Arial" w:hAnsi="Arial" w:cs="Arial"/>
          <w:lang w:val="es-ES"/>
        </w:rPr>
      </w:pPr>
      <w:r w:rsidRPr="00224199">
        <w:rPr>
          <w:rFonts w:ascii="Arial" w:eastAsia="Arial" w:hAnsi="Arial" w:cs="Arial"/>
          <w:lang w:val="es-ES"/>
        </w:rPr>
        <w:t>De acuerdo con el “Manual para determinar y verificar los requisitos habilitantes en los Procesos de Contratación” expedido por la Agencia Nacional de Contratación Pública – Colombia Compra Eficiente, “la experiencia es el conocimiento del proponente derivado de su participación previa en actividades iguales o similares a las previstas en el objeto del contrato”, por lo tanto, con la exigencia de este requisito, se busca garantizar la idoneidad y conocimiento de los proponentes en la ejecución de actividades relacionadas con el objeto del contrato.</w:t>
      </w:r>
    </w:p>
    <w:p w14:paraId="6385F4D8" w14:textId="77777777" w:rsidR="00100656" w:rsidRPr="00224199" w:rsidRDefault="00100656" w:rsidP="00224199">
      <w:pPr>
        <w:widowControl w:val="0"/>
        <w:autoSpaceDE w:val="0"/>
        <w:autoSpaceDN w:val="0"/>
        <w:spacing w:before="4" w:after="0" w:line="240" w:lineRule="auto"/>
        <w:rPr>
          <w:rFonts w:ascii="Arial" w:eastAsia="Arial" w:hAnsi="Arial" w:cs="Arial"/>
          <w:sz w:val="25"/>
          <w:lang w:val="es-ES"/>
        </w:rPr>
      </w:pPr>
    </w:p>
    <w:p w14:paraId="51BF2235" w14:textId="77777777" w:rsidR="00224199" w:rsidRPr="00224199" w:rsidRDefault="00224199" w:rsidP="008C3D2D">
      <w:pPr>
        <w:widowControl w:val="0"/>
        <w:autoSpaceDE w:val="0"/>
        <w:autoSpaceDN w:val="0"/>
        <w:spacing w:after="0" w:line="276" w:lineRule="auto"/>
        <w:ind w:right="104" w:firstLine="708"/>
        <w:jc w:val="both"/>
        <w:rPr>
          <w:rFonts w:ascii="Arial" w:eastAsia="Arial" w:hAnsi="Arial" w:cs="Arial"/>
          <w:lang w:val="es-ES"/>
        </w:rPr>
      </w:pPr>
      <w:r w:rsidRPr="00224199">
        <w:rPr>
          <w:rFonts w:ascii="Arial" w:eastAsia="Arial" w:hAnsi="Arial" w:cs="Arial"/>
          <w:lang w:val="es-ES"/>
        </w:rPr>
        <w:t>El Manual citado, dispone que “la experiencia es adecuada cuando es afín al tipo de actividades previstas en el objeto del contrato a celebrar”, y es proporcional “cuando tiene relación con el alcance, la cuantía y complejidad del contrato a celebrar”. De allí que las entidades al establecer el requisito de experiencia en los procedimientos de contratación deben velar por velar que, con esta exigencia, se garantice la idoneidad del proponente y los criterios de proporcionalidad y adecuación, lo cual se logra a través de la ponderación del requisito con los resultados obtenidos producto del análisis del sector económico del bien o servicio a</w:t>
      </w:r>
      <w:r w:rsidRPr="00224199">
        <w:rPr>
          <w:rFonts w:ascii="Arial" w:eastAsia="Arial" w:hAnsi="Arial" w:cs="Arial"/>
          <w:spacing w:val="-5"/>
          <w:lang w:val="es-ES"/>
        </w:rPr>
        <w:t xml:space="preserve"> </w:t>
      </w:r>
      <w:r w:rsidRPr="00224199">
        <w:rPr>
          <w:rFonts w:ascii="Arial" w:eastAsia="Arial" w:hAnsi="Arial" w:cs="Arial"/>
          <w:lang w:val="es-ES"/>
        </w:rPr>
        <w:t>contratar.</w:t>
      </w:r>
    </w:p>
    <w:p w14:paraId="2C90197B" w14:textId="77777777" w:rsidR="00224199" w:rsidRPr="00224199" w:rsidRDefault="00224199" w:rsidP="00224199">
      <w:pPr>
        <w:widowControl w:val="0"/>
        <w:autoSpaceDE w:val="0"/>
        <w:autoSpaceDN w:val="0"/>
        <w:spacing w:before="6" w:after="0" w:line="240" w:lineRule="auto"/>
        <w:rPr>
          <w:rFonts w:ascii="Arial" w:eastAsia="Arial" w:hAnsi="Arial" w:cs="Arial"/>
          <w:sz w:val="25"/>
          <w:lang w:val="es-ES"/>
        </w:rPr>
      </w:pPr>
    </w:p>
    <w:p w14:paraId="2F2E4F70" w14:textId="77777777" w:rsidR="00224199" w:rsidRPr="00224199" w:rsidRDefault="00224199" w:rsidP="008C3D2D">
      <w:pPr>
        <w:widowControl w:val="0"/>
        <w:autoSpaceDE w:val="0"/>
        <w:autoSpaceDN w:val="0"/>
        <w:spacing w:after="0" w:line="276" w:lineRule="auto"/>
        <w:ind w:right="107" w:firstLine="708"/>
        <w:jc w:val="both"/>
        <w:rPr>
          <w:rFonts w:ascii="Arial" w:eastAsia="Arial" w:hAnsi="Arial" w:cs="Arial"/>
          <w:lang w:val="es-ES"/>
        </w:rPr>
      </w:pPr>
      <w:r w:rsidRPr="00224199">
        <w:rPr>
          <w:rFonts w:ascii="Arial" w:eastAsia="Arial" w:hAnsi="Arial" w:cs="Arial"/>
          <w:lang w:val="es-ES"/>
        </w:rPr>
        <w:t>En cada procedimiento de contratación, la entidad debe valorar si con la experiencia solicitada se limita o no la participación de los proponentes, y en caso afirmativo, si dicha limitación es justificada y proporcional de acuerdo con el alcance del objeto del contrato y los principios que orientan la contratación administrativa. Lo anterior, por cuanto existirán eventos en los cuales los objetos de los contratos sean de tal magnitud e importancia, que requieran de conocimientos especialísimos que justifiquen la exigencia de experiencia con características particulares, que en otros eventos o contratos pueden resultar desproporcionados, dada la simplicidad o sencillez del alcance del contrato.</w:t>
      </w:r>
    </w:p>
    <w:p w14:paraId="1EAA47AB" w14:textId="77777777" w:rsidR="00224199" w:rsidRPr="00224199" w:rsidRDefault="00224199" w:rsidP="00224199">
      <w:pPr>
        <w:tabs>
          <w:tab w:val="left" w:pos="0"/>
        </w:tabs>
        <w:spacing w:after="0" w:line="240" w:lineRule="auto"/>
        <w:jc w:val="both"/>
        <w:rPr>
          <w:rFonts w:ascii="Arial" w:eastAsia="Arial" w:hAnsi="Arial" w:cs="Arial"/>
          <w:lang w:val="es-ES"/>
        </w:rPr>
      </w:pPr>
    </w:p>
    <w:p w14:paraId="058C25A5" w14:textId="77777777" w:rsidR="00224199" w:rsidRPr="00224199" w:rsidRDefault="00224199" w:rsidP="00224199">
      <w:pPr>
        <w:tabs>
          <w:tab w:val="left" w:pos="0"/>
        </w:tabs>
        <w:spacing w:after="0" w:line="276" w:lineRule="auto"/>
        <w:jc w:val="both"/>
        <w:rPr>
          <w:rFonts w:ascii="Arial" w:eastAsia="Arial" w:hAnsi="Arial" w:cs="Arial"/>
          <w:lang w:val="es-ES"/>
        </w:rPr>
      </w:pPr>
      <w:r w:rsidRPr="00224199">
        <w:rPr>
          <w:rFonts w:ascii="Arial" w:eastAsia="Arial" w:hAnsi="Arial" w:cs="Arial"/>
          <w:lang w:val="es-ES"/>
        </w:rPr>
        <w:tab/>
        <w:t>Por lo anterior, no es posible establecer una regla rígida y estricta para la exigencia del requisito habilitante de experiencia, por cuanto le corresponderá al servidor público responsable del procedimiento de contratación, analizar, verificar y ponderar en cada caso, si el requisito exigido, es adecuado y proporcional al objeto del contrato.</w:t>
      </w:r>
    </w:p>
    <w:p w14:paraId="6C8CD918" w14:textId="77777777" w:rsidR="00224199" w:rsidRPr="00224199" w:rsidRDefault="00224199" w:rsidP="00224199">
      <w:pPr>
        <w:tabs>
          <w:tab w:val="left" w:pos="0"/>
        </w:tabs>
        <w:spacing w:after="0" w:line="276" w:lineRule="auto"/>
        <w:jc w:val="both"/>
        <w:rPr>
          <w:rFonts w:ascii="Arial" w:eastAsia="Arial" w:hAnsi="Arial" w:cs="Arial"/>
          <w:lang w:val="es-ES"/>
        </w:rPr>
      </w:pPr>
    </w:p>
    <w:p w14:paraId="727169B9" w14:textId="77777777" w:rsidR="00224199" w:rsidRPr="00224199" w:rsidRDefault="00224199" w:rsidP="00224199">
      <w:pPr>
        <w:tabs>
          <w:tab w:val="left" w:pos="0"/>
        </w:tabs>
        <w:spacing w:after="0" w:line="240" w:lineRule="auto"/>
        <w:jc w:val="both"/>
        <w:rPr>
          <w:rFonts w:ascii="Arial" w:eastAsia="Calibri" w:hAnsi="Arial" w:cs="Arial"/>
          <w:b/>
          <w:szCs w:val="24"/>
          <w:lang w:val="es-ES_tradnl" w:eastAsia="es-ES_tradnl"/>
        </w:rPr>
      </w:pPr>
      <w:r w:rsidRPr="00224199">
        <w:rPr>
          <w:rFonts w:ascii="Arial" w:eastAsia="Calibri" w:hAnsi="Arial" w:cs="Arial"/>
          <w:b/>
          <w:szCs w:val="24"/>
          <w:lang w:val="es-ES_tradnl" w:eastAsia="es-ES_tradnl"/>
        </w:rPr>
        <w:t>3. Respuesta:</w:t>
      </w:r>
    </w:p>
    <w:p w14:paraId="03F1CFBA" w14:textId="77777777" w:rsidR="00224199" w:rsidRPr="00224199" w:rsidRDefault="00224199" w:rsidP="00224199">
      <w:pPr>
        <w:tabs>
          <w:tab w:val="left" w:pos="0"/>
        </w:tabs>
        <w:spacing w:after="0" w:line="240" w:lineRule="auto"/>
        <w:jc w:val="both"/>
        <w:rPr>
          <w:rFonts w:ascii="Arial" w:eastAsia="Calibri" w:hAnsi="Arial" w:cs="Arial"/>
          <w:b/>
          <w:szCs w:val="24"/>
          <w:lang w:val="es-ES_tradnl" w:eastAsia="es-ES_tradnl"/>
        </w:rPr>
      </w:pPr>
    </w:p>
    <w:p w14:paraId="6EBACD3D" w14:textId="77777777" w:rsidR="00224199" w:rsidRPr="00224199" w:rsidRDefault="00224199" w:rsidP="008C3D2D">
      <w:pPr>
        <w:autoSpaceDE w:val="0"/>
        <w:autoSpaceDN w:val="0"/>
        <w:adjustRightInd w:val="0"/>
        <w:spacing w:after="0" w:line="240" w:lineRule="auto"/>
        <w:ind w:left="709" w:right="709"/>
        <w:jc w:val="both"/>
        <w:rPr>
          <w:rFonts w:ascii="Arial" w:eastAsia="Times New Roman" w:hAnsi="Arial" w:cs="Arial"/>
          <w:sz w:val="21"/>
          <w:szCs w:val="21"/>
          <w:lang w:eastAsia="es-ES_tradnl"/>
        </w:rPr>
      </w:pPr>
      <w:r w:rsidRPr="00224199">
        <w:rPr>
          <w:rFonts w:ascii="Arial" w:hAnsi="Arial" w:cs="Arial"/>
          <w:sz w:val="21"/>
          <w:szCs w:val="21"/>
        </w:rPr>
        <w:t>“</w:t>
      </w:r>
      <w:r w:rsidRPr="00224199">
        <w:rPr>
          <w:rFonts w:ascii="Arial" w:eastAsia="Times New Roman" w:hAnsi="Arial" w:cs="Arial"/>
          <w:sz w:val="21"/>
          <w:szCs w:val="21"/>
          <w:lang w:eastAsia="es-ES_tradnl"/>
        </w:rPr>
        <w:t xml:space="preserve">1. ¿es posible incluir dentro de un proceso de selección de licitación pública, selección abreviada de menor cuantía y, concurso de méritos, el otorgamiento de puntaje adicional en el factor de calidad a los proponentes que dentro de su propuesta incluyan personal adicional al mínimo requerido o servicios adicionales al mínimo requerido, sin costo para la entidad pública? </w:t>
      </w:r>
    </w:p>
    <w:p w14:paraId="0F607F9F" w14:textId="77777777" w:rsidR="00224199" w:rsidRPr="00224199" w:rsidRDefault="00224199" w:rsidP="008C3D2D">
      <w:pPr>
        <w:autoSpaceDE w:val="0"/>
        <w:autoSpaceDN w:val="0"/>
        <w:adjustRightInd w:val="0"/>
        <w:spacing w:after="0" w:line="240" w:lineRule="auto"/>
        <w:ind w:left="709" w:right="709"/>
        <w:jc w:val="both"/>
        <w:rPr>
          <w:rFonts w:ascii="Arial" w:eastAsia="Times New Roman" w:hAnsi="Arial" w:cs="Arial"/>
          <w:sz w:val="21"/>
          <w:szCs w:val="21"/>
          <w:lang w:eastAsia="es-ES_tradnl"/>
        </w:rPr>
      </w:pPr>
    </w:p>
    <w:p w14:paraId="040C9DF4" w14:textId="77777777" w:rsidR="00224199" w:rsidRPr="00224199" w:rsidRDefault="00224199" w:rsidP="008C3D2D">
      <w:pPr>
        <w:autoSpaceDE w:val="0"/>
        <w:autoSpaceDN w:val="0"/>
        <w:adjustRightInd w:val="0"/>
        <w:spacing w:after="0" w:line="240" w:lineRule="auto"/>
        <w:ind w:left="709" w:right="709"/>
        <w:jc w:val="both"/>
        <w:rPr>
          <w:rFonts w:ascii="Arial" w:eastAsia="Times New Roman" w:hAnsi="Arial" w:cs="Arial"/>
          <w:sz w:val="21"/>
          <w:szCs w:val="21"/>
          <w:lang w:eastAsia="es-ES_tradnl"/>
        </w:rPr>
      </w:pPr>
      <w:r w:rsidRPr="00224199">
        <w:rPr>
          <w:rFonts w:ascii="Arial" w:eastAsia="Times New Roman" w:hAnsi="Arial" w:cs="Arial"/>
          <w:sz w:val="21"/>
          <w:szCs w:val="21"/>
          <w:lang w:eastAsia="es-ES_tradnl"/>
        </w:rPr>
        <w:t xml:space="preserve">2. Cuando en el ARTÍCULO 2.2.1.1.2.2.2. Ofrecimiento más favorable del Decreto 1082 de 2015, se incluye “(…) servicios o bienes adicionales y que representen un mayor grado de satisfacción para la entidad, entre otras. (…)”. Al hacer referencia a servicios adicionales, ¿se puede enmarcar dentro de ello, el presentar personal adicional al mínimo requerido? O, ¿estaríamos frente a la presentación del mismo servicio, pero con una mayor cantidad de personas? ¿Es posible que se presente esta situación? </w:t>
      </w:r>
    </w:p>
    <w:p w14:paraId="73144D0A" w14:textId="77777777" w:rsidR="00224199" w:rsidRPr="00224199" w:rsidRDefault="00224199" w:rsidP="008C3D2D">
      <w:pPr>
        <w:autoSpaceDE w:val="0"/>
        <w:autoSpaceDN w:val="0"/>
        <w:adjustRightInd w:val="0"/>
        <w:spacing w:after="0" w:line="240" w:lineRule="auto"/>
        <w:ind w:left="709" w:right="709"/>
        <w:jc w:val="both"/>
        <w:rPr>
          <w:rFonts w:ascii="Arial" w:eastAsia="Times New Roman" w:hAnsi="Arial" w:cs="Arial"/>
          <w:sz w:val="21"/>
          <w:szCs w:val="21"/>
          <w:lang w:eastAsia="es-ES_tradnl"/>
        </w:rPr>
      </w:pPr>
    </w:p>
    <w:p w14:paraId="6CDC69B2" w14:textId="77777777" w:rsidR="00224199" w:rsidRPr="00224199" w:rsidRDefault="00224199" w:rsidP="008C3D2D">
      <w:pPr>
        <w:autoSpaceDE w:val="0"/>
        <w:autoSpaceDN w:val="0"/>
        <w:adjustRightInd w:val="0"/>
        <w:spacing w:after="0" w:line="240" w:lineRule="auto"/>
        <w:ind w:left="709" w:right="709"/>
        <w:jc w:val="both"/>
        <w:rPr>
          <w:rFonts w:ascii="Arial" w:eastAsia="Times New Roman" w:hAnsi="Arial" w:cs="Arial"/>
          <w:sz w:val="21"/>
          <w:szCs w:val="21"/>
          <w:lang w:eastAsia="es-ES_tradnl"/>
        </w:rPr>
      </w:pPr>
      <w:r w:rsidRPr="00224199">
        <w:rPr>
          <w:rFonts w:ascii="Arial" w:eastAsia="Times New Roman" w:hAnsi="Arial" w:cs="Arial"/>
          <w:sz w:val="21"/>
          <w:szCs w:val="21"/>
          <w:lang w:eastAsia="es-ES_tradnl"/>
        </w:rPr>
        <w:t xml:space="preserve">3. ¿es posible incluir dentro de los factores de calidad en los pliegos de condiciones del proceso, el evaluar y dar puntaje a proponentes que dentro de su oferta incluyan personal y/o bienes adicionales a los mínimos requeridos? ¿Aplica para los 3 procesos, licitación pública, concurso de méritos y selección abreviada de menor cuantía, para algunos o para ninguno? </w:t>
      </w:r>
    </w:p>
    <w:p w14:paraId="5ECFD59C" w14:textId="77777777" w:rsidR="00224199" w:rsidRPr="00224199" w:rsidRDefault="00224199" w:rsidP="008C3D2D">
      <w:pPr>
        <w:autoSpaceDE w:val="0"/>
        <w:autoSpaceDN w:val="0"/>
        <w:adjustRightInd w:val="0"/>
        <w:spacing w:after="0" w:line="240" w:lineRule="auto"/>
        <w:ind w:left="709" w:right="709"/>
        <w:jc w:val="both"/>
        <w:rPr>
          <w:rFonts w:ascii="Arial" w:eastAsia="Times New Roman" w:hAnsi="Arial" w:cs="Arial"/>
          <w:sz w:val="21"/>
          <w:szCs w:val="21"/>
          <w:lang w:eastAsia="es-ES_tradnl"/>
        </w:rPr>
      </w:pPr>
    </w:p>
    <w:p w14:paraId="6642BCED" w14:textId="7DCD47F5" w:rsidR="00224199" w:rsidRPr="00224199" w:rsidRDefault="00224199" w:rsidP="008C3D2D">
      <w:pPr>
        <w:autoSpaceDE w:val="0"/>
        <w:autoSpaceDN w:val="0"/>
        <w:adjustRightInd w:val="0"/>
        <w:spacing w:after="0" w:line="240" w:lineRule="auto"/>
        <w:ind w:left="709" w:right="709"/>
        <w:jc w:val="both"/>
        <w:rPr>
          <w:rFonts w:ascii="Arial" w:eastAsia="Times New Roman" w:hAnsi="Arial" w:cs="Arial"/>
          <w:sz w:val="21"/>
          <w:szCs w:val="21"/>
          <w:lang w:eastAsia="es-ES_tradnl"/>
        </w:rPr>
      </w:pPr>
      <w:r w:rsidRPr="00224199">
        <w:rPr>
          <w:rFonts w:ascii="Arial" w:eastAsia="Times New Roman" w:hAnsi="Arial" w:cs="Arial"/>
          <w:sz w:val="21"/>
          <w:szCs w:val="21"/>
          <w:lang w:eastAsia="es-ES_tradnl"/>
        </w:rPr>
        <w:t>4. ¿Incluir dentro de los factores de calidad, puntajes por el ofrecimiento de personal adicional al mínimo requerido y/o por proponer bienes o servicios adicionales a los mínimos requeridos, no afectaría el principio de selección objetiva y la pluralidad de oferentes? Pues dada esta situación, se incluiría un factor, que no está contemplado en la ley, y se podría excluir u obtener un puntaje menos a proponentes que cumplan con las condiciones del proceso pero que no tengan la capacidad para ofrecer mayor cantidad de personal o servicios.</w:t>
      </w:r>
      <w:r w:rsidR="00100656">
        <w:rPr>
          <w:rFonts w:ascii="Arial" w:eastAsia="Times New Roman" w:hAnsi="Arial" w:cs="Arial"/>
          <w:sz w:val="21"/>
          <w:szCs w:val="21"/>
          <w:lang w:eastAsia="es-ES_tradnl"/>
        </w:rPr>
        <w:t>”</w:t>
      </w:r>
      <w:r w:rsidRPr="00224199">
        <w:rPr>
          <w:rFonts w:ascii="Arial" w:eastAsia="Times New Roman" w:hAnsi="Arial" w:cs="Arial"/>
          <w:sz w:val="21"/>
          <w:szCs w:val="21"/>
          <w:lang w:eastAsia="es-ES_tradnl"/>
        </w:rPr>
        <w:t xml:space="preserve"> </w:t>
      </w:r>
    </w:p>
    <w:p w14:paraId="2956C896" w14:textId="77777777" w:rsidR="00224199" w:rsidRPr="00224199" w:rsidRDefault="00224199" w:rsidP="00224199">
      <w:pPr>
        <w:autoSpaceDE w:val="0"/>
        <w:autoSpaceDN w:val="0"/>
        <w:adjustRightInd w:val="0"/>
        <w:spacing w:after="0" w:line="240" w:lineRule="auto"/>
        <w:ind w:right="850"/>
        <w:jc w:val="both"/>
        <w:rPr>
          <w:rFonts w:ascii="Arial" w:eastAsia="Times New Roman" w:hAnsi="Arial" w:cs="Arial"/>
          <w:sz w:val="21"/>
          <w:szCs w:val="21"/>
          <w:lang w:eastAsia="es-ES_tradnl"/>
        </w:rPr>
      </w:pPr>
    </w:p>
    <w:p w14:paraId="0159D8F8" w14:textId="77777777" w:rsidR="00224199" w:rsidRPr="00224199" w:rsidRDefault="00224199" w:rsidP="008C3D2D">
      <w:pPr>
        <w:ind w:firstLine="708"/>
        <w:jc w:val="both"/>
        <w:rPr>
          <w:rFonts w:ascii="Arial" w:eastAsia="Calibri" w:hAnsi="Arial" w:cs="Arial"/>
          <w:lang w:val="es-ES"/>
        </w:rPr>
      </w:pPr>
      <w:r w:rsidRPr="00224199">
        <w:rPr>
          <w:rFonts w:ascii="Arial" w:eastAsia="Calibri" w:hAnsi="Arial" w:cs="Arial"/>
          <w:lang w:val="es-ES"/>
        </w:rPr>
        <w:t xml:space="preserve">Conforme a las consideraciones expuestas, se procederá a plantear la respuesta sobre los cuatro primeros interrogantes, los cuales versan sobre la misma temática en particular, para lo cual como bien fue establecido previamente, frente a la aplicación de los requisitos de calificación, estos </w:t>
      </w:r>
      <w:r w:rsidRPr="00224199">
        <w:rPr>
          <w:rFonts w:ascii="Arial" w:eastAsia="Calibri" w:hAnsi="Arial" w:cs="Arial"/>
        </w:rPr>
        <w:t>“</w:t>
      </w:r>
      <w:r w:rsidRPr="00224199">
        <w:rPr>
          <w:rFonts w:ascii="Arial" w:eastAsia="Calibri" w:hAnsi="Arial" w:cs="Arial"/>
          <w:lang w:val="es-ES"/>
        </w:rPr>
        <w:t>corresponden al objeto del contrato (…), sus especificaciones técnicas, su precio, etc., y constituyen, propiamente, lo ofrecido por los participantes y que es materia de comparación entre las distintas ofertas, para escoger entre ellas la más favorable para la administración</w:t>
      </w:r>
      <w:r w:rsidRPr="00224199">
        <w:rPr>
          <w:rFonts w:ascii="Arial" w:eastAsia="Calibri" w:hAnsi="Arial" w:cs="Arial"/>
        </w:rPr>
        <w:t>”</w:t>
      </w:r>
      <w:r w:rsidRPr="00224199">
        <w:rPr>
          <w:rFonts w:ascii="Arial" w:eastAsia="Calibri" w:hAnsi="Arial" w:cs="Arial"/>
          <w:vertAlign w:val="superscript"/>
          <w:lang w:val="es-ES"/>
        </w:rPr>
        <w:footnoteReference w:id="9"/>
      </w:r>
    </w:p>
    <w:p w14:paraId="6EE55797" w14:textId="77777777" w:rsidR="00224199" w:rsidRPr="00224199" w:rsidRDefault="00224199" w:rsidP="00224199">
      <w:pPr>
        <w:jc w:val="both"/>
        <w:rPr>
          <w:rFonts w:ascii="Arial" w:eastAsia="Calibri" w:hAnsi="Arial" w:cs="Arial"/>
          <w:lang w:val="es-ES"/>
        </w:rPr>
      </w:pPr>
      <w:r w:rsidRPr="00224199">
        <w:rPr>
          <w:rFonts w:ascii="Arial" w:eastAsia="Calibri" w:hAnsi="Arial" w:cs="Arial"/>
          <w:lang w:val="es-ES"/>
        </w:rPr>
        <w:t xml:space="preserve">Por ello, los requisitos de calificación dependen de la modalidad de selección bajo la cual se adelante el Proceso de Contratación respectivo. Así, en la </w:t>
      </w:r>
      <w:r w:rsidRPr="00224199">
        <w:rPr>
          <w:rFonts w:ascii="Arial" w:eastAsia="Calibri" w:hAnsi="Arial" w:cs="Arial"/>
          <w:b/>
          <w:u w:val="single"/>
          <w:lang w:val="es-ES"/>
        </w:rPr>
        <w:t xml:space="preserve">licitación pública y la </w:t>
      </w:r>
      <w:r w:rsidRPr="00224199">
        <w:rPr>
          <w:rFonts w:ascii="Arial" w:eastAsia="Calibri" w:hAnsi="Arial" w:cs="Arial"/>
          <w:b/>
          <w:u w:val="single"/>
          <w:lang w:val="es-ES"/>
        </w:rPr>
        <w:lastRenderedPageBreak/>
        <w:t>selección abreviada de menor cuantía</w:t>
      </w:r>
      <w:r w:rsidRPr="00224199">
        <w:rPr>
          <w:rFonts w:ascii="Arial" w:eastAsia="Calibri" w:hAnsi="Arial" w:cs="Arial"/>
          <w:lang w:val="es-ES"/>
        </w:rPr>
        <w:t xml:space="preserve"> corresponden a: i) la ponderación de los elementos de calidad y precio soportados en puntajes o fórmulas o ii) la ponderación de los elementos de calidad y precio que representen la mejor relación de costo-beneficio, como lo prevé el artículo 2.2.1.1.2.2.2 del Decreto 1082 de 2015 y el artículo 5 de la Ley 1150 de 2007. (negrita y subraya fuera del texto)</w:t>
      </w:r>
    </w:p>
    <w:p w14:paraId="6F5E3038" w14:textId="77777777" w:rsidR="00224199" w:rsidRPr="00224199" w:rsidRDefault="00224199" w:rsidP="00224199">
      <w:pPr>
        <w:jc w:val="both"/>
        <w:rPr>
          <w:rFonts w:ascii="Arial" w:eastAsia="Calibri" w:hAnsi="Arial" w:cs="Arial"/>
          <w:lang w:val="es-ES"/>
        </w:rPr>
      </w:pPr>
      <w:r w:rsidRPr="00224199">
        <w:rPr>
          <w:rFonts w:ascii="Arial" w:eastAsia="Calibri" w:hAnsi="Arial" w:cs="Arial"/>
          <w:lang w:val="es-ES"/>
        </w:rPr>
        <w:t>Por su parte, en la selección abreviada de subasta inversa y la compra derivada de una orden en un Acuerdo Marco de Precios corresponden al precio, criterio que igualmente aplica para la mínima cuantía, como lo disponen los artículos 2.2.1.2.1.2.2 y 2.2.1.2.1.5.2 del Decreto 1082 de 2015, así como el artículo 5 de la Ley 1150 de 2007.</w:t>
      </w:r>
    </w:p>
    <w:p w14:paraId="0B6CBD2C" w14:textId="77777777" w:rsidR="00224199" w:rsidRPr="00224199" w:rsidRDefault="00224199" w:rsidP="00224199">
      <w:pPr>
        <w:jc w:val="both"/>
        <w:rPr>
          <w:rFonts w:ascii="Arial" w:eastAsia="Calibri" w:hAnsi="Arial" w:cs="Arial"/>
          <w:lang w:val="es-ES"/>
        </w:rPr>
      </w:pPr>
      <w:r w:rsidRPr="00224199">
        <w:rPr>
          <w:rFonts w:ascii="Arial" w:eastAsia="Calibri" w:hAnsi="Arial" w:cs="Arial"/>
          <w:b/>
          <w:u w:val="single"/>
          <w:lang w:val="es-ES"/>
        </w:rPr>
        <w:t xml:space="preserve">En el concurso de méritos </w:t>
      </w:r>
      <w:r w:rsidRPr="00224199">
        <w:rPr>
          <w:rFonts w:ascii="Arial" w:eastAsia="Calibri" w:hAnsi="Arial" w:cs="Arial"/>
          <w:lang w:val="es-ES"/>
        </w:rPr>
        <w:t xml:space="preserve">son: i) la experiencia del interesado y del equipo de trabajo y ii) la formación académica y las publicaciones técnicas y científicas del equipo de trabajo, como lo estatuye el artículo 2.2.1.2.1.3.2 del Decreto 1082 de 2015. (negrita y subraya fuera del texto). </w:t>
      </w:r>
    </w:p>
    <w:p w14:paraId="65A1F8F4" w14:textId="77777777" w:rsidR="00224199" w:rsidRPr="00224199" w:rsidRDefault="00224199" w:rsidP="00224199">
      <w:pPr>
        <w:jc w:val="both"/>
        <w:rPr>
          <w:rFonts w:ascii="Arial" w:eastAsia="Calibri" w:hAnsi="Arial" w:cs="Arial"/>
          <w:lang w:val="es-ES"/>
        </w:rPr>
      </w:pPr>
      <w:r w:rsidRPr="00224199">
        <w:rPr>
          <w:rFonts w:ascii="Arial" w:eastAsia="Calibri" w:hAnsi="Arial" w:cs="Arial"/>
          <w:lang w:val="es-ES"/>
        </w:rPr>
        <w:tab/>
        <w:t xml:space="preserve">Así pues, definidos cuales son los aplicables a cada una de las modalidades planteadas por el peticionario, se encuentra entonces necesario inferir que la determinación de los factores de calificación, </w:t>
      </w:r>
      <w:proofErr w:type="gramStart"/>
      <w:r w:rsidRPr="00224199">
        <w:rPr>
          <w:rFonts w:ascii="Arial" w:eastAsia="Calibri" w:hAnsi="Arial" w:cs="Arial"/>
          <w:lang w:val="es-ES"/>
        </w:rPr>
        <w:t>le</w:t>
      </w:r>
      <w:proofErr w:type="gramEnd"/>
      <w:r w:rsidRPr="00224199">
        <w:rPr>
          <w:rFonts w:ascii="Arial" w:eastAsia="Calibri" w:hAnsi="Arial" w:cs="Arial"/>
          <w:lang w:val="es-ES"/>
        </w:rPr>
        <w:t xml:space="preserve"> corresponden a las entidades estatales con respeto directo por el principio de la selección objetiva con el cual se regula la contratación estatal atendiendo a que dentro de la aplicación de dichos criterios, los mismos están enfocados a: </w:t>
      </w:r>
    </w:p>
    <w:p w14:paraId="11D89CC8" w14:textId="77777777" w:rsidR="00224199" w:rsidRPr="00224199" w:rsidRDefault="00224199" w:rsidP="00224199">
      <w:pPr>
        <w:spacing w:after="240" w:line="256" w:lineRule="auto"/>
        <w:jc w:val="both"/>
        <w:rPr>
          <w:rFonts w:ascii="Arial" w:eastAsia="Calibri" w:hAnsi="Arial" w:cs="Arial"/>
          <w:color w:val="000000" w:themeColor="text1"/>
          <w:lang w:val="es-ES_tradnl"/>
        </w:rPr>
      </w:pPr>
      <w:r w:rsidRPr="00224199">
        <w:rPr>
          <w:rFonts w:ascii="Arial" w:eastAsia="Calibri" w:hAnsi="Arial" w:cs="Arial"/>
          <w:color w:val="000000" w:themeColor="text1"/>
          <w:lang w:val="es-ES_tradnl"/>
        </w:rPr>
        <w:t>a) La ponderación de los elementos de calidad y precio soportados en puntajes o fórmulas señaladas en el pliego de condiciones; o</w:t>
      </w:r>
    </w:p>
    <w:p w14:paraId="3E036CF6" w14:textId="77777777" w:rsidR="00224199" w:rsidRPr="00224199" w:rsidRDefault="00224199" w:rsidP="00224199">
      <w:pPr>
        <w:spacing w:after="240" w:line="256" w:lineRule="auto"/>
        <w:jc w:val="both"/>
        <w:rPr>
          <w:rFonts w:ascii="Arial" w:eastAsia="Calibri" w:hAnsi="Arial" w:cs="Arial"/>
          <w:color w:val="000000" w:themeColor="text1"/>
          <w:lang w:val="es-ES_tradnl"/>
        </w:rPr>
      </w:pPr>
      <w:r w:rsidRPr="00224199">
        <w:rPr>
          <w:rFonts w:ascii="Arial" w:eastAsia="Calibri" w:hAnsi="Arial" w:cs="Arial"/>
          <w:color w:val="000000" w:themeColor="text1"/>
          <w:lang w:val="es-ES_tradnl"/>
        </w:rPr>
        <w:t>b) La ponderación de los elementos de calidad y precio que representen la mejor relación de costo-beneficio para la entidad.</w:t>
      </w:r>
    </w:p>
    <w:p w14:paraId="2477FE13" w14:textId="77777777" w:rsidR="00224199" w:rsidRPr="00224199" w:rsidRDefault="00224199" w:rsidP="00224199">
      <w:pPr>
        <w:tabs>
          <w:tab w:val="left" w:pos="0"/>
        </w:tabs>
        <w:spacing w:after="240" w:line="276" w:lineRule="auto"/>
        <w:jc w:val="both"/>
        <w:rPr>
          <w:rFonts w:ascii="Arial" w:eastAsia="Calibri" w:hAnsi="Arial" w:cs="Arial"/>
          <w:bCs/>
        </w:rPr>
      </w:pPr>
      <w:r w:rsidRPr="00224199">
        <w:rPr>
          <w:rFonts w:ascii="Arial" w:eastAsia="Calibri" w:hAnsi="Arial" w:cs="Arial"/>
          <w:color w:val="000000" w:themeColor="text1"/>
          <w:lang w:val="es-ES_tradnl"/>
        </w:rPr>
        <w:tab/>
        <w:t xml:space="preserve">La escogencia entre una u otra alternativa corresponderá determinarla a cada una de las entidades estatales </w:t>
      </w:r>
      <w:r w:rsidRPr="00224199">
        <w:rPr>
          <w:rFonts w:ascii="Arial" w:eastAsia="Calibri" w:hAnsi="Arial" w:cs="Arial"/>
          <w:bCs/>
        </w:rPr>
        <w:t xml:space="preserve">a partir de criterios que pueden variar de acuerdo con el objeto contractual, los cuales, en todo caso, para que la selección sea objetiva, deben estar señalados en el pliego de condiciones. </w:t>
      </w:r>
    </w:p>
    <w:p w14:paraId="2A5AD72D" w14:textId="77777777" w:rsidR="00224199" w:rsidRPr="00224199" w:rsidRDefault="00224199" w:rsidP="00224199">
      <w:pPr>
        <w:tabs>
          <w:tab w:val="left" w:pos="0"/>
        </w:tabs>
        <w:spacing w:after="240" w:line="276" w:lineRule="auto"/>
        <w:jc w:val="both"/>
        <w:rPr>
          <w:rFonts w:ascii="Arial" w:hAnsi="Arial" w:cs="Arial"/>
        </w:rPr>
      </w:pPr>
      <w:r w:rsidRPr="00224199">
        <w:rPr>
          <w:rFonts w:ascii="Arial" w:eastAsia="Calibri" w:hAnsi="Arial" w:cs="Arial"/>
          <w:bCs/>
        </w:rPr>
        <w:tab/>
        <w:t xml:space="preserve">En ese sentido, cuando la Entidad concibe el otorgamiento de puntajes, como mecanismos para ponderar y comparar los ofrecimientos, el mecanismo utilizado comúnmente es el otorgar un peso porcentual a cada factor de calificación, cuya estructuración porcentual o peso en los puntajes deberá corresponder en todo caso a los mínimos exigidos en nuestra normatividad cuando se trate de factores obligatorios a contemplarse o asignarse por Ley y a aquellos criterios técnicos que considere pertinentes la Entidad Estatal darle mayor peso en la selección, por el contrario cuando la entidad estatal escoge el seleccionar el ofrecimiento más favorable conforme a un análisis de la relación costo-beneficio, no habría necesidad de acudir obligatoriamente a sistemas de </w:t>
      </w:r>
      <w:r w:rsidRPr="00224199">
        <w:rPr>
          <w:rFonts w:ascii="Arial" w:eastAsia="Calibri" w:hAnsi="Arial" w:cs="Arial"/>
          <w:bCs/>
        </w:rPr>
        <w:lastRenderedPageBreak/>
        <w:t>asignación de puntaje, pues aquí el artículo 5</w:t>
      </w:r>
      <w:r w:rsidRPr="00224199">
        <w:rPr>
          <w:rFonts w:ascii="Arial" w:eastAsia="Calibri" w:hAnsi="Arial" w:cs="Arial"/>
          <w:bCs/>
        </w:rPr>
        <w:softHyphen/>
        <w:t>.2 de la Ley 1150 de 2007 y el artículo 2.2.1.1.2.2.2 del Decreto 1082 de 2015 establecieron unas pautas para la p</w:t>
      </w:r>
      <w:r w:rsidRPr="00224199">
        <w:rPr>
          <w:rFonts w:ascii="Arial" w:hAnsi="Arial" w:cs="Arial"/>
        </w:rPr>
        <w:t xml:space="preserve">onderación de los elementos de calidad y precio que representen la mejor relación de costo-beneficio. </w:t>
      </w:r>
    </w:p>
    <w:p w14:paraId="116ED10A" w14:textId="6985A0AF" w:rsidR="00224199" w:rsidRPr="00224199" w:rsidRDefault="00224199" w:rsidP="008C3D2D">
      <w:pPr>
        <w:tabs>
          <w:tab w:val="left" w:pos="0"/>
        </w:tabs>
        <w:spacing w:after="240" w:line="276" w:lineRule="auto"/>
        <w:jc w:val="both"/>
        <w:rPr>
          <w:rFonts w:ascii="Arial" w:eastAsia="Times New Roman" w:hAnsi="Arial" w:cs="Arial"/>
          <w:sz w:val="21"/>
          <w:szCs w:val="21"/>
          <w:lang w:eastAsia="es-ES_tradnl"/>
        </w:rPr>
      </w:pPr>
      <w:r w:rsidRPr="00224199">
        <w:rPr>
          <w:rFonts w:ascii="Arial" w:hAnsi="Arial" w:cs="Arial"/>
        </w:rPr>
        <w:tab/>
        <w:t xml:space="preserve">Así las cosas, la oferta más favorable, en esta última alternativa, se ira ponderando en las ofertas de la siguiente forma: i) </w:t>
      </w:r>
      <w:r w:rsidRPr="00224199">
        <w:rPr>
          <w:rFonts w:ascii="Arial" w:hAnsi="Arial" w:cs="Arial"/>
          <w:lang w:eastAsia="es-CO"/>
        </w:rPr>
        <w:t xml:space="preserve">las condiciones técnicas y económicas mínimas; ii) las condiciones técnicas adicionales que representan ventajas de calidad o de funcionamiento; iii) las condiciones económicas adicionales que representen ventajas en términos de economía, eficiencia y eficacia; y, iv) el valor en dinero que la Entidad Estatal asigna a cada ofrecimiento técnico o económico adicional. Teniendo en cuenta estos elementos, la Entidad Estatal debe calcular la relación costo-beneficio de cada oferta </w:t>
      </w:r>
      <w:r w:rsidRPr="00224199">
        <w:rPr>
          <w:rFonts w:ascii="Arial" w:eastAsia="Calibri" w:hAnsi="Arial" w:cs="Arial"/>
          <w:bCs/>
          <w:i/>
          <w:iCs/>
        </w:rPr>
        <w:t xml:space="preserve">“[…] </w:t>
      </w:r>
      <w:r w:rsidRPr="00224199">
        <w:rPr>
          <w:rFonts w:ascii="Arial" w:hAnsi="Arial" w:cs="Arial"/>
          <w:i/>
          <w:iCs/>
          <w:lang w:eastAsia="es-CO"/>
        </w:rPr>
        <w:t>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w:t>
      </w:r>
      <w:r w:rsidRPr="00224199">
        <w:rPr>
          <w:rFonts w:ascii="Arial" w:eastAsia="Calibri" w:hAnsi="Arial" w:cs="Arial"/>
          <w:bCs/>
          <w:i/>
          <w:iCs/>
        </w:rPr>
        <w:t xml:space="preserve"> </w:t>
      </w:r>
      <w:r w:rsidRPr="00224199">
        <w:rPr>
          <w:rFonts w:ascii="Arial" w:hAnsi="Arial" w:cs="Arial"/>
          <w:i/>
          <w:iCs/>
        </w:rPr>
        <w:t>[…]</w:t>
      </w:r>
      <w:r w:rsidRPr="00224199">
        <w:rPr>
          <w:rFonts w:ascii="Arial" w:eastAsia="Calibri" w:hAnsi="Arial" w:cs="Arial"/>
          <w:bCs/>
          <w:i/>
          <w:iCs/>
        </w:rPr>
        <w:t>”</w:t>
      </w:r>
      <w:r w:rsidRPr="00224199">
        <w:rPr>
          <w:rFonts w:ascii="Arial" w:hAnsi="Arial" w:cs="Arial"/>
          <w:i/>
          <w:iCs/>
          <w:vertAlign w:val="superscript"/>
          <w:lang w:eastAsia="es-CO"/>
        </w:rPr>
        <w:footnoteReference w:id="10"/>
      </w:r>
      <w:r w:rsidRPr="00224199">
        <w:rPr>
          <w:rFonts w:ascii="Arial" w:eastAsia="Calibri" w:hAnsi="Arial" w:cs="Arial"/>
          <w:bCs/>
          <w:i/>
          <w:iCs/>
        </w:rPr>
        <w:t>.</w:t>
      </w:r>
    </w:p>
    <w:p w14:paraId="63562C8B" w14:textId="42E19408" w:rsidR="00224199" w:rsidRPr="00D54F1A" w:rsidRDefault="00D54F1A" w:rsidP="008C3D2D">
      <w:pPr>
        <w:autoSpaceDE w:val="0"/>
        <w:autoSpaceDN w:val="0"/>
        <w:adjustRightInd w:val="0"/>
        <w:spacing w:after="0" w:line="240" w:lineRule="auto"/>
        <w:ind w:left="709" w:right="709"/>
        <w:jc w:val="both"/>
        <w:rPr>
          <w:rFonts w:ascii="Arial" w:eastAsia="Times New Roman" w:hAnsi="Arial" w:cs="Arial"/>
          <w:sz w:val="21"/>
          <w:szCs w:val="21"/>
          <w:lang w:eastAsia="es-ES_tradnl"/>
        </w:rPr>
      </w:pPr>
      <w:r w:rsidRPr="00D54F1A">
        <w:rPr>
          <w:rFonts w:ascii="Arial" w:eastAsia="Times New Roman" w:hAnsi="Arial" w:cs="Arial"/>
          <w:sz w:val="21"/>
          <w:szCs w:val="21"/>
          <w:lang w:eastAsia="es-ES_tradnl"/>
        </w:rPr>
        <w:t>“</w:t>
      </w:r>
      <w:r w:rsidR="00224199" w:rsidRPr="00D54F1A">
        <w:rPr>
          <w:rFonts w:ascii="Arial" w:eastAsia="Times New Roman" w:hAnsi="Arial" w:cs="Arial"/>
          <w:sz w:val="21"/>
          <w:szCs w:val="21"/>
          <w:lang w:eastAsia="es-ES_tradnl"/>
        </w:rPr>
        <w:t xml:space="preserve">5. Que en la etapa contractual se presente esta situación, de poner a disposición de la entidad el personal adicional al mínimo requerido o bienes y servicios </w:t>
      </w:r>
      <w:r w:rsidR="00224199" w:rsidRPr="00D54F1A">
        <w:rPr>
          <w:rFonts w:ascii="Arial" w:eastAsia="Times New Roman" w:hAnsi="Arial" w:cs="Arial"/>
          <w:sz w:val="21"/>
          <w:szCs w:val="21"/>
          <w:lang w:eastAsia="es-ES_tradnl"/>
        </w:rPr>
        <w:lastRenderedPageBreak/>
        <w:t xml:space="preserve">adicionales al mínimo requerido, ¿Podría afectar el equilibrio económico del contrato en contra del proveedor adjudicatario? </w:t>
      </w:r>
    </w:p>
    <w:p w14:paraId="7BF7CE5F" w14:textId="77777777" w:rsidR="00224199" w:rsidRPr="00D54F1A" w:rsidRDefault="00224199" w:rsidP="008C3D2D">
      <w:pPr>
        <w:autoSpaceDE w:val="0"/>
        <w:autoSpaceDN w:val="0"/>
        <w:adjustRightInd w:val="0"/>
        <w:spacing w:after="0" w:line="240" w:lineRule="auto"/>
        <w:ind w:left="709" w:right="709"/>
        <w:jc w:val="both"/>
        <w:rPr>
          <w:rFonts w:ascii="Arial" w:eastAsia="Times New Roman" w:hAnsi="Arial" w:cs="Arial"/>
          <w:sz w:val="21"/>
          <w:szCs w:val="21"/>
          <w:lang w:eastAsia="es-ES_tradnl"/>
        </w:rPr>
      </w:pPr>
    </w:p>
    <w:p w14:paraId="6CB518B5" w14:textId="77777777" w:rsidR="00224199" w:rsidRPr="00100656" w:rsidRDefault="00224199" w:rsidP="008C3D2D">
      <w:pPr>
        <w:autoSpaceDE w:val="0"/>
        <w:autoSpaceDN w:val="0"/>
        <w:adjustRightInd w:val="0"/>
        <w:spacing w:after="0" w:line="276" w:lineRule="auto"/>
        <w:ind w:firstLine="708"/>
        <w:jc w:val="both"/>
        <w:rPr>
          <w:rFonts w:ascii="Arial" w:eastAsia="Times New Roman" w:hAnsi="Arial" w:cs="Arial"/>
          <w:lang w:eastAsia="es-ES_tradnl"/>
        </w:rPr>
      </w:pPr>
      <w:r w:rsidRPr="00100656">
        <w:rPr>
          <w:rFonts w:ascii="Arial" w:eastAsia="Times New Roman" w:hAnsi="Arial" w:cs="Arial"/>
          <w:lang w:eastAsia="es-ES_tradnl"/>
        </w:rPr>
        <w:t xml:space="preserve">Frente al anterior cuestionamiento, se hace necesario reiterar que, la aplicación de dichos </w:t>
      </w:r>
      <w:proofErr w:type="gramStart"/>
      <w:r w:rsidRPr="00100656">
        <w:rPr>
          <w:rFonts w:ascii="Arial" w:eastAsia="Times New Roman" w:hAnsi="Arial" w:cs="Arial"/>
          <w:lang w:eastAsia="es-ES_tradnl"/>
        </w:rPr>
        <w:t>criterios,</w:t>
      </w:r>
      <w:proofErr w:type="gramEnd"/>
      <w:r w:rsidRPr="00100656">
        <w:rPr>
          <w:rFonts w:ascii="Arial" w:eastAsia="Times New Roman" w:hAnsi="Arial" w:cs="Arial"/>
          <w:lang w:eastAsia="es-ES_tradnl"/>
        </w:rPr>
        <w:t xml:space="preserve"> solamente es generada en la etapa precontractual, por tanto, cualquier circunstancia adicional que se presente durante la ejecución del contrato, es competencia de la entidad validar el alcance de dichas situaciones y por defecto definir junto con su contratista los factores generales normativos dispuestos para dicha etapa. </w:t>
      </w:r>
    </w:p>
    <w:p w14:paraId="7A81BDE1" w14:textId="77777777" w:rsidR="00224199" w:rsidRPr="00224199" w:rsidRDefault="00224199" w:rsidP="008C3D2D">
      <w:pPr>
        <w:autoSpaceDE w:val="0"/>
        <w:autoSpaceDN w:val="0"/>
        <w:adjustRightInd w:val="0"/>
        <w:spacing w:after="0" w:line="240" w:lineRule="auto"/>
        <w:ind w:left="709" w:right="709"/>
        <w:jc w:val="both"/>
        <w:rPr>
          <w:rFonts w:ascii="Arial" w:eastAsia="Times New Roman" w:hAnsi="Arial" w:cs="Arial"/>
          <w:sz w:val="21"/>
          <w:szCs w:val="21"/>
          <w:lang w:eastAsia="es-ES_tradnl"/>
        </w:rPr>
      </w:pPr>
    </w:p>
    <w:p w14:paraId="5E5E50C1" w14:textId="70912A5F" w:rsidR="00224199" w:rsidRPr="00224199" w:rsidRDefault="00D54F1A" w:rsidP="008C3D2D">
      <w:pPr>
        <w:autoSpaceDE w:val="0"/>
        <w:autoSpaceDN w:val="0"/>
        <w:adjustRightInd w:val="0"/>
        <w:spacing w:after="0" w:line="240" w:lineRule="auto"/>
        <w:ind w:left="709" w:right="709"/>
        <w:jc w:val="both"/>
        <w:rPr>
          <w:rFonts w:ascii="Arial" w:eastAsia="Times New Roman" w:hAnsi="Arial" w:cs="Arial"/>
          <w:sz w:val="21"/>
          <w:szCs w:val="21"/>
          <w:lang w:eastAsia="es-ES_tradnl"/>
        </w:rPr>
      </w:pPr>
      <w:r>
        <w:rPr>
          <w:rFonts w:ascii="Arial" w:eastAsia="Times New Roman" w:hAnsi="Arial" w:cs="Arial"/>
          <w:sz w:val="21"/>
          <w:szCs w:val="21"/>
          <w:lang w:eastAsia="es-ES_tradnl"/>
        </w:rPr>
        <w:t>“</w:t>
      </w:r>
      <w:r w:rsidR="00224199" w:rsidRPr="00224199">
        <w:rPr>
          <w:rFonts w:ascii="Arial" w:eastAsia="Times New Roman" w:hAnsi="Arial" w:cs="Arial"/>
          <w:sz w:val="21"/>
          <w:szCs w:val="21"/>
          <w:lang w:eastAsia="es-ES_tradnl"/>
        </w:rPr>
        <w:t xml:space="preserve">6. ¿Es permitido que, en un proceso de selección de licitación pública, selección abreviada, concurso de méritos, en los requisitos habilitantes se exija que la experiencia sea en un determinado </w:t>
      </w:r>
      <w:proofErr w:type="gramStart"/>
      <w:r w:rsidR="00224199" w:rsidRPr="00224199">
        <w:rPr>
          <w:rFonts w:ascii="Arial" w:eastAsia="Times New Roman" w:hAnsi="Arial" w:cs="Arial"/>
          <w:sz w:val="21"/>
          <w:szCs w:val="21"/>
          <w:lang w:eastAsia="es-ES_tradnl"/>
        </w:rPr>
        <w:t>lapso de tiempo</w:t>
      </w:r>
      <w:proofErr w:type="gramEnd"/>
      <w:r w:rsidR="00224199" w:rsidRPr="00224199">
        <w:rPr>
          <w:rFonts w:ascii="Arial" w:eastAsia="Times New Roman" w:hAnsi="Arial" w:cs="Arial"/>
          <w:sz w:val="21"/>
          <w:szCs w:val="21"/>
          <w:lang w:eastAsia="es-ES_tradnl"/>
        </w:rPr>
        <w:t>? Ejemplo, que la experiencia debe ser en los últimos 10 años anteriores al cierre del proceso, considerando obsolescencia tecnológica. ¿Existe referente legal y/o jurisprudencial que permita o no, la limitación de la experiencia en un proceso de selección?</w:t>
      </w:r>
      <w:r>
        <w:rPr>
          <w:rFonts w:ascii="Arial" w:eastAsia="Times New Roman" w:hAnsi="Arial" w:cs="Arial"/>
          <w:sz w:val="21"/>
          <w:szCs w:val="21"/>
          <w:lang w:eastAsia="es-ES_tradnl"/>
        </w:rPr>
        <w:t>”</w:t>
      </w:r>
    </w:p>
    <w:p w14:paraId="634CEB3B" w14:textId="77777777" w:rsidR="00224199" w:rsidRPr="00224199" w:rsidRDefault="00224199" w:rsidP="00224199">
      <w:pPr>
        <w:autoSpaceDE w:val="0"/>
        <w:autoSpaceDN w:val="0"/>
        <w:adjustRightInd w:val="0"/>
        <w:spacing w:after="0" w:line="240" w:lineRule="auto"/>
        <w:ind w:right="850"/>
        <w:jc w:val="both"/>
        <w:rPr>
          <w:rFonts w:ascii="Arial" w:eastAsia="Times New Roman" w:hAnsi="Arial" w:cs="Arial"/>
          <w:sz w:val="21"/>
          <w:szCs w:val="21"/>
          <w:lang w:eastAsia="es-ES_tradnl"/>
        </w:rPr>
      </w:pPr>
      <w:r w:rsidRPr="00224199">
        <w:rPr>
          <w:rFonts w:ascii="Arial" w:eastAsia="Times New Roman" w:hAnsi="Arial" w:cs="Arial"/>
          <w:sz w:val="21"/>
          <w:szCs w:val="21"/>
          <w:lang w:eastAsia="es-ES_tradnl"/>
        </w:rPr>
        <w:t xml:space="preserve"> </w:t>
      </w:r>
    </w:p>
    <w:p w14:paraId="18E91E96" w14:textId="77777777" w:rsidR="00224199" w:rsidRPr="00224199" w:rsidRDefault="00224199" w:rsidP="008C3D2D">
      <w:pPr>
        <w:widowControl w:val="0"/>
        <w:autoSpaceDE w:val="0"/>
        <w:autoSpaceDN w:val="0"/>
        <w:spacing w:after="0" w:line="276" w:lineRule="auto"/>
        <w:ind w:right="103" w:firstLine="708"/>
        <w:jc w:val="both"/>
        <w:rPr>
          <w:rFonts w:ascii="Arial" w:eastAsia="Arial" w:hAnsi="Arial" w:cs="Arial"/>
          <w:lang w:val="es-ES"/>
        </w:rPr>
      </w:pPr>
      <w:r w:rsidRPr="00224199">
        <w:rPr>
          <w:rFonts w:ascii="Arial" w:eastAsia="Arial" w:hAnsi="Arial" w:cs="Arial"/>
          <w:lang w:val="es-ES"/>
        </w:rPr>
        <w:t>Como fue expresado en la parte considerativa del presente documento, de acuerdo con el “Manual para determinar y verificar los requisitos habilitantes en los Procesos de Contratación” expedido por la Agencia Nacional de Contratación Pública – Colombia Compra Eficiente, este dispone que “la experiencia es adecuada cuando es afín al tipo de actividades previstas en el objeto del contrato a celebrar”, y es proporcional “cuando tiene relación con el alcance, la cuantía y complejidad del contrato a celebrar”. De allí que las entidades al establecer el requisito de experiencia en los procedimientos de contratación deben velar por velar que, con esta exigencia, se garantice la idoneidad del proponente y los criterios de proporcionalidad y adecuación, lo cual se logra a través de la ponderación del requisito con los resultados obtenidos producto del análisis del sector económico del bien o servicio a</w:t>
      </w:r>
      <w:r w:rsidRPr="00224199">
        <w:rPr>
          <w:rFonts w:ascii="Arial" w:eastAsia="Arial" w:hAnsi="Arial" w:cs="Arial"/>
          <w:spacing w:val="-5"/>
          <w:lang w:val="es-ES"/>
        </w:rPr>
        <w:t xml:space="preserve"> </w:t>
      </w:r>
      <w:r w:rsidRPr="00224199">
        <w:rPr>
          <w:rFonts w:ascii="Arial" w:eastAsia="Arial" w:hAnsi="Arial" w:cs="Arial"/>
          <w:lang w:val="es-ES"/>
        </w:rPr>
        <w:t>contratar.</w:t>
      </w:r>
    </w:p>
    <w:p w14:paraId="3E9902F4" w14:textId="77777777" w:rsidR="00224199" w:rsidRPr="00224199" w:rsidRDefault="00224199" w:rsidP="008C3D2D">
      <w:pPr>
        <w:widowControl w:val="0"/>
        <w:autoSpaceDE w:val="0"/>
        <w:autoSpaceDN w:val="0"/>
        <w:spacing w:after="0" w:line="276" w:lineRule="auto"/>
        <w:ind w:right="107" w:firstLine="708"/>
        <w:jc w:val="both"/>
        <w:rPr>
          <w:rFonts w:ascii="Arial" w:eastAsia="Arial" w:hAnsi="Arial" w:cs="Arial"/>
          <w:lang w:val="es-ES"/>
        </w:rPr>
      </w:pPr>
      <w:r w:rsidRPr="00224199">
        <w:rPr>
          <w:rFonts w:ascii="Arial" w:eastAsia="Arial" w:hAnsi="Arial" w:cs="Arial"/>
          <w:lang w:val="es-ES"/>
        </w:rPr>
        <w:t>En cada procedimiento de contratación, la entidad debe valorar si con la experiencia solicitada se limita o no la participación de los proponentes, y en caso afirmativo, si dicha limitación es justificada y proporcional de acuerdo con el alcance del objeto del contrato y los principios que orientan la contratación administrativa. Lo anterior, por cuanto existirán eventos en los cuales los objetos de los contratos sean de tal magnitud e importancia, que requieran de conocimientos especialísimos que justifiquen la exigencia de experiencia con características particulares, que en otros eventos o contratos pueden resultar desproporcionados, dada la simplicidad o sencillez del alcance del contrato. Por lo anterior, no es posible establecer una regla rígida y estricta para la exigencia del requisito habilitante de experiencia, por cuanto le corresponderá al servidor público responsable del procedimiento de contratación, analizar, verificar y ponderar en cada caso, si el requisito exigido, es adecuado y proporcional al objeto del contrato.</w:t>
      </w:r>
    </w:p>
    <w:p w14:paraId="0F1313B3" w14:textId="77777777" w:rsidR="00224199" w:rsidRPr="00224199" w:rsidRDefault="00224199" w:rsidP="00224199">
      <w:pPr>
        <w:widowControl w:val="0"/>
        <w:autoSpaceDE w:val="0"/>
        <w:autoSpaceDN w:val="0"/>
        <w:spacing w:after="0" w:line="276" w:lineRule="auto"/>
        <w:ind w:right="107"/>
        <w:jc w:val="both"/>
        <w:rPr>
          <w:rFonts w:ascii="Arial" w:eastAsia="Times New Roman" w:hAnsi="Arial" w:cs="Arial"/>
          <w:sz w:val="21"/>
          <w:szCs w:val="21"/>
          <w:lang w:eastAsia="es-ES_tradnl"/>
        </w:rPr>
      </w:pPr>
    </w:p>
    <w:p w14:paraId="69E77152" w14:textId="35511B25" w:rsidR="00224199" w:rsidRPr="00224199" w:rsidRDefault="00D54F1A" w:rsidP="008C3D2D">
      <w:pPr>
        <w:autoSpaceDE w:val="0"/>
        <w:autoSpaceDN w:val="0"/>
        <w:adjustRightInd w:val="0"/>
        <w:spacing w:after="0" w:line="240" w:lineRule="auto"/>
        <w:ind w:left="709" w:right="709"/>
        <w:jc w:val="both"/>
        <w:rPr>
          <w:rFonts w:ascii="Arial" w:eastAsia="Times New Roman" w:hAnsi="Arial" w:cs="Arial"/>
          <w:sz w:val="21"/>
          <w:szCs w:val="21"/>
          <w:lang w:val="es-ES_tradnl" w:eastAsia="es-ES_tradnl"/>
        </w:rPr>
      </w:pPr>
      <w:r>
        <w:rPr>
          <w:rFonts w:ascii="Arial" w:eastAsia="Times New Roman" w:hAnsi="Arial" w:cs="Arial"/>
          <w:sz w:val="21"/>
          <w:szCs w:val="21"/>
          <w:lang w:eastAsia="es-ES_tradnl"/>
        </w:rPr>
        <w:lastRenderedPageBreak/>
        <w:t>“</w:t>
      </w:r>
      <w:r w:rsidR="00224199" w:rsidRPr="00224199">
        <w:rPr>
          <w:rFonts w:ascii="Arial" w:eastAsia="Times New Roman" w:hAnsi="Arial" w:cs="Arial"/>
          <w:sz w:val="21"/>
          <w:szCs w:val="21"/>
          <w:lang w:eastAsia="es-ES_tradnl"/>
        </w:rPr>
        <w:t>8. Es posible que en su respuesta me sea compartido conceptos de previos que haya sobre el particular, emitidos por la Agencia Nacional de Contratación Pública de Colombia Compra Eficiente y, jurisprudencia que exista, del Consejo de Estado, y que sea de su conocimiento que haya resuelto situaciones sobre este particular</w:t>
      </w:r>
      <w:r>
        <w:rPr>
          <w:rFonts w:ascii="Arial" w:eastAsia="Times New Roman" w:hAnsi="Arial" w:cs="Arial"/>
          <w:sz w:val="21"/>
          <w:szCs w:val="21"/>
          <w:lang w:eastAsia="es-ES_tradnl"/>
        </w:rPr>
        <w:t>”</w:t>
      </w:r>
      <w:r w:rsidR="00224199" w:rsidRPr="00224199">
        <w:rPr>
          <w:rFonts w:ascii="Arial" w:eastAsia="Times New Roman" w:hAnsi="Arial" w:cs="Arial"/>
          <w:sz w:val="21"/>
          <w:szCs w:val="21"/>
          <w:lang w:eastAsia="es-ES_tradnl"/>
        </w:rPr>
        <w:t>.</w:t>
      </w:r>
    </w:p>
    <w:p w14:paraId="6EF358F0" w14:textId="77777777" w:rsidR="00224199" w:rsidRPr="00224199" w:rsidRDefault="00224199" w:rsidP="00224199">
      <w:pPr>
        <w:spacing w:after="0" w:line="276" w:lineRule="auto"/>
        <w:jc w:val="both"/>
        <w:rPr>
          <w:rFonts w:ascii="Arial" w:eastAsia="Times New Roman" w:hAnsi="Arial" w:cs="Arial"/>
          <w:sz w:val="21"/>
          <w:szCs w:val="21"/>
          <w:lang w:eastAsia="es-ES_tradnl"/>
        </w:rPr>
      </w:pPr>
    </w:p>
    <w:p w14:paraId="08A7DC96" w14:textId="7DA8A4B0" w:rsidR="00224199" w:rsidRPr="00224199" w:rsidRDefault="00224199" w:rsidP="2EC49DE5">
      <w:pPr>
        <w:spacing w:after="0" w:line="276" w:lineRule="auto"/>
        <w:jc w:val="both"/>
        <w:rPr>
          <w:rFonts w:ascii="Arial" w:eastAsia="Times New Roman" w:hAnsi="Arial" w:cs="Arial"/>
          <w:sz w:val="21"/>
          <w:szCs w:val="21"/>
          <w:lang w:eastAsia="es-ES"/>
        </w:rPr>
      </w:pPr>
      <w:r w:rsidRPr="2EC49DE5">
        <w:rPr>
          <w:rFonts w:ascii="Arial" w:eastAsia="Times New Roman" w:hAnsi="Arial" w:cs="Arial"/>
          <w:sz w:val="21"/>
          <w:szCs w:val="21"/>
          <w:lang w:eastAsia="es-ES"/>
        </w:rPr>
        <w:t>Frente a la anterior solicitud, previamente se expone la relación de conceptos con los que la Agencia se ha pronunciado sobre las temáticas descritas, para lo cual, podrán ser consultados e</w:t>
      </w:r>
      <w:r w:rsidR="008C3D2D">
        <w:rPr>
          <w:rFonts w:ascii="Arial" w:eastAsia="Times New Roman" w:hAnsi="Arial" w:cs="Arial"/>
          <w:sz w:val="21"/>
          <w:szCs w:val="21"/>
          <w:lang w:eastAsia="es-ES"/>
        </w:rPr>
        <w:t>n la relatoría de la página web</w:t>
      </w:r>
      <w:r w:rsidRPr="2EC49DE5">
        <w:rPr>
          <w:rFonts w:ascii="Arial" w:eastAsia="Times New Roman" w:hAnsi="Arial" w:cs="Arial"/>
          <w:sz w:val="21"/>
          <w:szCs w:val="21"/>
          <w:vertAlign w:val="superscript"/>
          <w:lang w:eastAsia="es-ES"/>
        </w:rPr>
        <w:footnoteReference w:id="11"/>
      </w:r>
      <w:r w:rsidR="008C3D2D">
        <w:rPr>
          <w:rFonts w:ascii="Arial" w:eastAsia="Times New Roman" w:hAnsi="Arial" w:cs="Arial"/>
          <w:sz w:val="21"/>
          <w:szCs w:val="21"/>
          <w:lang w:eastAsia="es-ES"/>
        </w:rPr>
        <w:t xml:space="preserve">; </w:t>
      </w:r>
      <w:r w:rsidR="008C3D2D">
        <w:rPr>
          <w:rFonts w:ascii="Arial" w:eastAsia="Times New Roman" w:hAnsi="Arial" w:cs="Arial"/>
          <w:color w:val="000000" w:themeColor="text1"/>
          <w:szCs w:val="24"/>
          <w:lang w:val="es-ES_tradnl" w:eastAsia="es-ES_tradnl"/>
        </w:rPr>
        <w:t>sobre</w:t>
      </w:r>
      <w:r w:rsidR="008C3D2D" w:rsidRPr="00224199">
        <w:rPr>
          <w:rFonts w:ascii="Arial" w:eastAsia="Calibri" w:hAnsi="Arial" w:cs="Arial"/>
          <w:color w:val="000000" w:themeColor="text1"/>
          <w:lang w:val="es-ES"/>
        </w:rPr>
        <w:t xml:space="preserve"> el principio de selección objetiva esta entidad ha emitido los conceptos </w:t>
      </w:r>
      <w:r w:rsidR="008C3D2D" w:rsidRPr="00224199">
        <w:rPr>
          <w:rFonts w:ascii="Arial" w:eastAsia="Arial" w:hAnsi="Arial" w:cs="Arial"/>
          <w:color w:val="000000" w:themeColor="text1"/>
          <w:lang w:val="es-MX"/>
        </w:rPr>
        <w:t xml:space="preserve">con radicado No: 4201913000006471 del 28 de octubre de 2019, 4201912000006711 del 12 de noviembre de 2019 y 4201912000006496 del 15 de noviembre de 2019, las cuales se unificaron en el Concepto CU–060 del 24 de febrero de 2020, que se reitera, entre otros, en los conceptos: C-121 del 3 de marzo de 2020, C-160 del 3 de abril de 2020,  C-013 del 17 de abril de 2020,  C-465 del 27 de julio de 2020,  C-557 del 21 de agosto de 2020, C-573 del 27 de agosto de 2020, C-595 del 21 de septiembre de 2020, C-634 de 21 de noviembre de 2020, C–779 del 18 de enero de 2021, C–802 del 1 de febrero de 2021, C–010 del 16 de febrero de 2021, C–217 del 14 de mayo de 2021, C–250 del 2 de junio de 2021, C-728 de 26 de enero de 2022 y C-285 del 20 de mayo de 2022. </w:t>
      </w:r>
      <w:r w:rsidR="008C3D2D" w:rsidRPr="00224199">
        <w:rPr>
          <w:rFonts w:ascii="Arial" w:eastAsia="Calibri" w:hAnsi="Arial" w:cs="Arial"/>
          <w:color w:val="000000" w:themeColor="text1"/>
          <w:lang w:val="es-ES"/>
        </w:rPr>
        <w:t xml:space="preserve">Igualmente, se pronunció sobre </w:t>
      </w:r>
      <w:r w:rsidR="008C3D2D" w:rsidRPr="00224199">
        <w:rPr>
          <w:rFonts w:ascii="Arial" w:hAnsi="Arial" w:cs="Arial"/>
          <w:lang w:val="es-ES"/>
        </w:rPr>
        <w:t xml:space="preserve">requisitos habilitantes, experiencia adecuada, </w:t>
      </w:r>
      <w:r w:rsidR="008C3D2D" w:rsidRPr="00224199">
        <w:rPr>
          <w:rFonts w:ascii="Arial" w:eastAsia="Calibri" w:hAnsi="Arial" w:cs="Arial"/>
          <w:lang w:val="es-ES"/>
        </w:rPr>
        <w:t>en el concepto, 201913000009500 de 20 de diciembre de 2019,</w:t>
      </w:r>
      <w:r w:rsidRPr="2EC49DE5">
        <w:rPr>
          <w:rFonts w:ascii="Arial" w:eastAsia="Times New Roman" w:hAnsi="Arial" w:cs="Arial"/>
          <w:sz w:val="21"/>
          <w:szCs w:val="21"/>
          <w:lang w:eastAsia="es-ES"/>
        </w:rPr>
        <w:t xml:space="preserve">  </w:t>
      </w:r>
    </w:p>
    <w:p w14:paraId="2AC62176" w14:textId="77777777" w:rsidR="00224199" w:rsidRPr="00224199" w:rsidRDefault="00224199" w:rsidP="00224199">
      <w:pPr>
        <w:spacing w:after="0" w:line="276" w:lineRule="auto"/>
        <w:jc w:val="both"/>
        <w:rPr>
          <w:rFonts w:ascii="Arial" w:eastAsia="Times New Roman" w:hAnsi="Arial" w:cs="Arial"/>
          <w:sz w:val="21"/>
          <w:szCs w:val="21"/>
          <w:lang w:eastAsia="es-ES_tradnl"/>
        </w:rPr>
      </w:pPr>
    </w:p>
    <w:p w14:paraId="0DFE83D6" w14:textId="77777777" w:rsidR="00224199" w:rsidRPr="00224199" w:rsidRDefault="00224199" w:rsidP="00224199">
      <w:pPr>
        <w:spacing w:after="0" w:line="276" w:lineRule="auto"/>
        <w:jc w:val="both"/>
        <w:rPr>
          <w:rFonts w:ascii="Arial" w:eastAsia="Calibri" w:hAnsi="Arial" w:cs="Arial"/>
          <w:color w:val="000000" w:themeColor="text1"/>
          <w:szCs w:val="24"/>
          <w:lang w:val="es-ES_tradnl" w:eastAsia="es-ES_tradnl"/>
        </w:rPr>
      </w:pPr>
      <w:r w:rsidRPr="00224199">
        <w:rPr>
          <w:rFonts w:ascii="Arial" w:eastAsia="Calibri" w:hAnsi="Arial" w:cs="Arial"/>
          <w:color w:val="000000" w:themeColor="text1"/>
          <w:szCs w:val="24"/>
          <w:lang w:val="es-ES_tradnl" w:eastAsia="es-ES_tradnl"/>
        </w:rPr>
        <w:t>Este concepto tiene el alcance previsto en el artículo 28 del Código de Procedimiento Administrativo y de lo Contencioso Administrativo.</w:t>
      </w:r>
    </w:p>
    <w:p w14:paraId="781465A8" w14:textId="77777777" w:rsidR="00224199" w:rsidRPr="00224199" w:rsidRDefault="00224199" w:rsidP="00224199">
      <w:pPr>
        <w:spacing w:after="0" w:line="276" w:lineRule="auto"/>
        <w:jc w:val="both"/>
        <w:rPr>
          <w:rFonts w:ascii="Arial" w:eastAsia="Times New Roman" w:hAnsi="Arial" w:cs="Arial"/>
          <w:lang w:val="es-ES_tradnl" w:eastAsia="es-CO"/>
        </w:rPr>
      </w:pPr>
    </w:p>
    <w:p w14:paraId="418CD1B9" w14:textId="77777777" w:rsidR="00224199" w:rsidRPr="00224199" w:rsidRDefault="00224199" w:rsidP="00224199">
      <w:pPr>
        <w:spacing w:after="0" w:line="276" w:lineRule="auto"/>
        <w:jc w:val="both"/>
        <w:rPr>
          <w:rFonts w:ascii="Arial" w:eastAsia="Times New Roman" w:hAnsi="Arial" w:cs="Arial"/>
          <w:lang w:val="es-ES_tradnl" w:eastAsia="es-CO"/>
        </w:rPr>
      </w:pPr>
    </w:p>
    <w:p w14:paraId="52566B11" w14:textId="77777777" w:rsidR="00224199" w:rsidRPr="00224199" w:rsidRDefault="00224199" w:rsidP="00224199">
      <w:pPr>
        <w:spacing w:after="0" w:line="276" w:lineRule="auto"/>
        <w:jc w:val="both"/>
        <w:rPr>
          <w:rFonts w:ascii="Arial" w:eastAsia="Times New Roman" w:hAnsi="Arial" w:cs="Arial"/>
          <w:lang w:val="es-ES_tradnl" w:eastAsia="es-CO"/>
        </w:rPr>
      </w:pPr>
      <w:r w:rsidRPr="00224199">
        <w:rPr>
          <w:rFonts w:ascii="Arial" w:eastAsia="Times New Roman" w:hAnsi="Arial" w:cs="Arial"/>
          <w:lang w:val="es-ES_tradnl" w:eastAsia="es-CO"/>
        </w:rPr>
        <w:t>Atentamente,</w:t>
      </w:r>
    </w:p>
    <w:p w14:paraId="5856423E" w14:textId="77777777" w:rsidR="00224199" w:rsidRPr="00224199" w:rsidRDefault="00224199" w:rsidP="00224199">
      <w:pPr>
        <w:spacing w:before="240" w:after="120" w:line="276" w:lineRule="auto"/>
        <w:jc w:val="center"/>
        <w:rPr>
          <w:rFonts w:ascii="Arial" w:eastAsia="Calibri" w:hAnsi="Arial" w:cs="Arial"/>
          <w:sz w:val="24"/>
          <w:szCs w:val="24"/>
          <w:lang w:eastAsia="es-ES_tradnl"/>
        </w:rPr>
      </w:pPr>
      <w:r w:rsidRPr="00224199">
        <w:rPr>
          <w:rFonts w:ascii="Arial" w:eastAsia="Calibri" w:hAnsi="Arial" w:cs="Arial"/>
          <w:noProof/>
          <w:sz w:val="24"/>
          <w:szCs w:val="24"/>
          <w:lang w:eastAsia="es-CO"/>
        </w:rPr>
        <w:drawing>
          <wp:inline distT="0" distB="0" distL="0" distR="0" wp14:anchorId="050A786D" wp14:editId="7DBA8FC3">
            <wp:extent cx="3200400" cy="1003935"/>
            <wp:effectExtent l="0" t="0" r="0" b="5715"/>
            <wp:docPr id="2" name="Imagen 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1003935"/>
                    </a:xfrm>
                    <a:prstGeom prst="rect">
                      <a:avLst/>
                    </a:prstGeom>
                    <a:noFill/>
                    <a:ln>
                      <a:noFill/>
                    </a:ln>
                  </pic:spPr>
                </pic:pic>
              </a:graphicData>
            </a:graphic>
          </wp:inline>
        </w:drawing>
      </w:r>
      <w:r w:rsidRPr="00224199">
        <w:rPr>
          <w:rFonts w:ascii="Calibri" w:eastAsia="Times New Roman" w:hAnsi="Calibri" w:cs="Calibri"/>
          <w:color w:val="000000"/>
          <w:shd w:val="clear" w:color="auto" w:fill="FFFFFF"/>
          <w:lang w:eastAsia="es-ES_tradnl"/>
        </w:rPr>
        <w:br/>
      </w:r>
    </w:p>
    <w:tbl>
      <w:tblPr>
        <w:tblStyle w:val="Tablaconcuadrcula1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224199" w:rsidRPr="00224199" w14:paraId="78007B5B" w14:textId="77777777" w:rsidTr="2EC49DE5">
        <w:trPr>
          <w:trHeight w:val="286"/>
        </w:trPr>
        <w:tc>
          <w:tcPr>
            <w:tcW w:w="817" w:type="dxa"/>
            <w:vAlign w:val="center"/>
          </w:tcPr>
          <w:p w14:paraId="003820EA" w14:textId="77777777" w:rsidR="00224199" w:rsidRPr="00224199" w:rsidRDefault="00224199" w:rsidP="00224199">
            <w:pPr>
              <w:rPr>
                <w:rFonts w:ascii="Arial" w:eastAsia="Times New Roman" w:hAnsi="Arial" w:cs="Arial"/>
                <w:sz w:val="15"/>
                <w:szCs w:val="15"/>
                <w:lang w:eastAsia="es-ES_tradnl"/>
              </w:rPr>
            </w:pPr>
            <w:r w:rsidRPr="00224199">
              <w:rPr>
                <w:rFonts w:ascii="Arial" w:eastAsia="Times New Roman" w:hAnsi="Arial" w:cs="Arial"/>
                <w:sz w:val="15"/>
                <w:szCs w:val="15"/>
                <w:lang w:eastAsia="es-ES_tradnl"/>
              </w:rPr>
              <w:lastRenderedPageBreak/>
              <w:t>Elaboró:</w:t>
            </w:r>
          </w:p>
        </w:tc>
        <w:tc>
          <w:tcPr>
            <w:tcW w:w="4445" w:type="dxa"/>
            <w:tcBorders>
              <w:bottom w:val="dotted" w:sz="4" w:space="0" w:color="7F7F7F" w:themeColor="text1" w:themeTint="80"/>
            </w:tcBorders>
            <w:vAlign w:val="center"/>
          </w:tcPr>
          <w:p w14:paraId="04536310" w14:textId="77777777" w:rsidR="00224199" w:rsidRPr="00224199" w:rsidRDefault="00224199" w:rsidP="00224199">
            <w:pPr>
              <w:rPr>
                <w:rFonts w:ascii="Arial" w:eastAsia="Times New Roman" w:hAnsi="Arial" w:cs="Arial"/>
                <w:sz w:val="15"/>
                <w:szCs w:val="15"/>
                <w:lang w:eastAsia="es-ES_tradnl"/>
              </w:rPr>
            </w:pPr>
          </w:p>
          <w:p w14:paraId="0E0C1D2E" w14:textId="77777777" w:rsidR="00224199" w:rsidRPr="00224199" w:rsidRDefault="00224199" w:rsidP="00224199">
            <w:pPr>
              <w:rPr>
                <w:rFonts w:ascii="Arial" w:eastAsia="Times New Roman" w:hAnsi="Arial" w:cs="Arial"/>
                <w:sz w:val="15"/>
                <w:szCs w:val="15"/>
                <w:lang w:eastAsia="es-ES_tradnl"/>
              </w:rPr>
            </w:pPr>
            <w:r w:rsidRPr="00224199">
              <w:rPr>
                <w:rFonts w:ascii="Arial" w:eastAsia="Times New Roman" w:hAnsi="Arial" w:cs="Arial"/>
                <w:sz w:val="15"/>
                <w:szCs w:val="15"/>
                <w:lang w:eastAsia="es-ES_tradnl"/>
              </w:rPr>
              <w:t>Sergio Luis Mondragón Duarte</w:t>
            </w:r>
          </w:p>
          <w:p w14:paraId="01C830B0" w14:textId="77777777" w:rsidR="00224199" w:rsidRPr="00224199" w:rsidRDefault="00224199" w:rsidP="00224199">
            <w:pPr>
              <w:rPr>
                <w:rFonts w:ascii="Arial" w:eastAsia="Times New Roman" w:hAnsi="Arial" w:cs="Arial"/>
                <w:sz w:val="15"/>
                <w:szCs w:val="15"/>
                <w:lang w:eastAsia="es-ES_tradnl"/>
              </w:rPr>
            </w:pPr>
            <w:r w:rsidRPr="00224199">
              <w:rPr>
                <w:rFonts w:ascii="Arial" w:eastAsia="Times New Roman" w:hAnsi="Arial" w:cs="Arial"/>
                <w:sz w:val="15"/>
                <w:szCs w:val="15"/>
                <w:lang w:eastAsia="es-ES_tradnl"/>
              </w:rPr>
              <w:t>Contratista de la Subdirección de Gestión Contractual</w:t>
            </w:r>
          </w:p>
        </w:tc>
      </w:tr>
      <w:tr w:rsidR="00224199" w:rsidRPr="00224199" w14:paraId="0CE8FF74" w14:textId="77777777" w:rsidTr="2EC49DE5">
        <w:trPr>
          <w:trHeight w:val="286"/>
        </w:trPr>
        <w:tc>
          <w:tcPr>
            <w:tcW w:w="817" w:type="dxa"/>
            <w:vAlign w:val="center"/>
          </w:tcPr>
          <w:p w14:paraId="45894916" w14:textId="77777777" w:rsidR="00224199" w:rsidRPr="00224199" w:rsidRDefault="00224199" w:rsidP="00224199">
            <w:pPr>
              <w:rPr>
                <w:rFonts w:ascii="Arial" w:eastAsia="Times New Roman" w:hAnsi="Arial" w:cs="Arial"/>
                <w:sz w:val="15"/>
                <w:szCs w:val="15"/>
                <w:lang w:eastAsia="es-ES_tradnl"/>
              </w:rPr>
            </w:pPr>
            <w:r w:rsidRPr="00224199">
              <w:rPr>
                <w:rFonts w:ascii="Arial" w:eastAsia="Times New Roman" w:hAnsi="Arial" w:cs="Arial"/>
                <w:sz w:val="15"/>
                <w:szCs w:val="15"/>
                <w:lang w:eastAsia="es-ES_tradnl"/>
              </w:rPr>
              <w:t>Revisó:</w:t>
            </w:r>
          </w:p>
        </w:tc>
        <w:tc>
          <w:tcPr>
            <w:tcW w:w="4445" w:type="dxa"/>
            <w:tcBorders>
              <w:bottom w:val="dotted" w:sz="4" w:space="0" w:color="7F7F7F" w:themeColor="text1" w:themeTint="80"/>
            </w:tcBorders>
            <w:vAlign w:val="center"/>
          </w:tcPr>
          <w:p w14:paraId="3EC59CE5" w14:textId="77777777" w:rsidR="00224199" w:rsidRPr="00224199" w:rsidRDefault="00224199" w:rsidP="00224199">
            <w:pPr>
              <w:spacing w:line="276" w:lineRule="auto"/>
              <w:textAlignment w:val="baseline"/>
              <w:rPr>
                <w:rFonts w:ascii="Arial" w:eastAsia="Times New Roman" w:hAnsi="Arial" w:cs="Arial"/>
                <w:sz w:val="15"/>
                <w:szCs w:val="15"/>
                <w:lang w:eastAsia="es-CO"/>
              </w:rPr>
            </w:pPr>
            <w:r w:rsidRPr="00224199">
              <w:rPr>
                <w:rFonts w:ascii="Arial" w:eastAsia="Times New Roman" w:hAnsi="Arial" w:cs="Arial"/>
                <w:sz w:val="15"/>
                <w:szCs w:val="15"/>
                <w:lang w:eastAsia="es-CO"/>
              </w:rPr>
              <w:t>Alejandro Sarmiento</w:t>
            </w:r>
          </w:p>
          <w:p w14:paraId="3E44BE1D" w14:textId="0BDF2766" w:rsidR="00224199" w:rsidRPr="00224199" w:rsidRDefault="00224199" w:rsidP="2EC49DE5">
            <w:pPr>
              <w:spacing w:line="276" w:lineRule="auto"/>
              <w:textAlignment w:val="baseline"/>
              <w:rPr>
                <w:rFonts w:ascii="Arial" w:eastAsia="Times New Roman" w:hAnsi="Arial" w:cs="Arial"/>
                <w:sz w:val="15"/>
                <w:szCs w:val="15"/>
                <w:lang w:eastAsia="es-ES"/>
              </w:rPr>
            </w:pPr>
            <w:r w:rsidRPr="2EC49DE5">
              <w:rPr>
                <w:rFonts w:ascii="Arial" w:eastAsia="Times New Roman" w:hAnsi="Arial" w:cs="Arial"/>
                <w:sz w:val="15"/>
                <w:szCs w:val="15"/>
                <w:lang w:eastAsia="es-CO"/>
              </w:rPr>
              <w:t>Gestor código T1 grado15 Subdirección de Gestión Contractual</w:t>
            </w:r>
          </w:p>
          <w:p w14:paraId="52761338" w14:textId="206E4BE4" w:rsidR="00224199" w:rsidRPr="00224199" w:rsidRDefault="34F803BE" w:rsidP="2EC49DE5">
            <w:pPr>
              <w:spacing w:line="276" w:lineRule="auto"/>
              <w:textAlignment w:val="baseline"/>
              <w:rPr>
                <w:rFonts w:ascii="Arial" w:eastAsia="Times New Roman" w:hAnsi="Arial" w:cs="Arial"/>
                <w:sz w:val="15"/>
                <w:szCs w:val="15"/>
                <w:lang w:eastAsia="es-CO"/>
              </w:rPr>
            </w:pPr>
            <w:r w:rsidRPr="2EC49DE5">
              <w:rPr>
                <w:rFonts w:ascii="Arial" w:eastAsia="Times New Roman" w:hAnsi="Arial" w:cs="Arial"/>
                <w:sz w:val="15"/>
                <w:szCs w:val="15"/>
                <w:lang w:eastAsia="es-CO"/>
              </w:rPr>
              <w:t>Gabriel Mendoza</w:t>
            </w:r>
          </w:p>
          <w:p w14:paraId="3E20D71B" w14:textId="7B64BC0B" w:rsidR="00224199" w:rsidRPr="00224199" w:rsidRDefault="34F803BE" w:rsidP="2EC49DE5">
            <w:pPr>
              <w:spacing w:line="276" w:lineRule="auto"/>
              <w:textAlignment w:val="baseline"/>
              <w:rPr>
                <w:rFonts w:ascii="Arial" w:eastAsia="Times New Roman" w:hAnsi="Arial" w:cs="Arial"/>
                <w:sz w:val="15"/>
                <w:szCs w:val="15"/>
                <w:lang w:eastAsia="es-CO"/>
              </w:rPr>
            </w:pPr>
            <w:r w:rsidRPr="2EC49DE5">
              <w:rPr>
                <w:rFonts w:ascii="Arial" w:eastAsia="Times New Roman" w:hAnsi="Arial" w:cs="Arial"/>
                <w:sz w:val="15"/>
                <w:szCs w:val="15"/>
                <w:lang w:eastAsia="es-CO"/>
              </w:rPr>
              <w:t>Contratista de la Subdirección de Gestión Contractual</w:t>
            </w:r>
          </w:p>
        </w:tc>
      </w:tr>
      <w:tr w:rsidR="00224199" w:rsidRPr="00224199" w14:paraId="77832A50" w14:textId="77777777" w:rsidTr="2EC49DE5">
        <w:trPr>
          <w:trHeight w:val="299"/>
        </w:trPr>
        <w:tc>
          <w:tcPr>
            <w:tcW w:w="817" w:type="dxa"/>
            <w:vAlign w:val="center"/>
          </w:tcPr>
          <w:p w14:paraId="619CB40B" w14:textId="77777777" w:rsidR="00224199" w:rsidRPr="00224199" w:rsidRDefault="00224199" w:rsidP="00224199">
            <w:pPr>
              <w:rPr>
                <w:rFonts w:ascii="Arial" w:eastAsia="Times New Roman" w:hAnsi="Arial" w:cs="Arial"/>
                <w:sz w:val="15"/>
                <w:szCs w:val="15"/>
                <w:lang w:eastAsia="es-ES_tradnl"/>
              </w:rPr>
            </w:pPr>
            <w:r w:rsidRPr="00224199">
              <w:rPr>
                <w:rFonts w:ascii="Arial" w:eastAsia="Times New Roman" w:hAnsi="Arial" w:cs="Arial"/>
                <w:sz w:val="15"/>
                <w:szCs w:val="15"/>
                <w:lang w:eastAsia="es-ES_tradnl"/>
              </w:rPr>
              <w:t>Aprobó:</w:t>
            </w:r>
          </w:p>
        </w:tc>
        <w:tc>
          <w:tcPr>
            <w:tcW w:w="4445" w:type="dxa"/>
            <w:tcBorders>
              <w:top w:val="dotted" w:sz="4" w:space="0" w:color="7F7F7F" w:themeColor="text1" w:themeTint="80"/>
              <w:bottom w:val="dotted" w:sz="4" w:space="0" w:color="7F7F7F" w:themeColor="text1" w:themeTint="80"/>
            </w:tcBorders>
            <w:vAlign w:val="center"/>
          </w:tcPr>
          <w:p w14:paraId="53B3FEF5" w14:textId="77777777" w:rsidR="00224199" w:rsidRPr="00224199" w:rsidRDefault="00224199" w:rsidP="00224199">
            <w:pPr>
              <w:rPr>
                <w:rFonts w:ascii="Arial" w:eastAsia="Times New Roman" w:hAnsi="Arial" w:cs="Arial"/>
                <w:sz w:val="15"/>
                <w:szCs w:val="15"/>
                <w:lang w:eastAsia="es-ES_tradnl"/>
              </w:rPr>
            </w:pPr>
            <w:r w:rsidRPr="00224199">
              <w:rPr>
                <w:rFonts w:ascii="Arial" w:eastAsia="Times New Roman" w:hAnsi="Arial" w:cs="Arial"/>
                <w:sz w:val="15"/>
                <w:szCs w:val="15"/>
                <w:lang w:eastAsia="es-ES_tradnl"/>
              </w:rPr>
              <w:t>Nohelia Del Carmen Zawady Palacio</w:t>
            </w:r>
          </w:p>
          <w:p w14:paraId="3B48EB99" w14:textId="77777777" w:rsidR="00224199" w:rsidRPr="00224199" w:rsidRDefault="00224199" w:rsidP="00224199">
            <w:pPr>
              <w:rPr>
                <w:rFonts w:ascii="Arial" w:eastAsia="Times New Roman" w:hAnsi="Arial" w:cs="Arial"/>
                <w:sz w:val="15"/>
                <w:szCs w:val="15"/>
                <w:lang w:eastAsia="es-ES_tradnl"/>
              </w:rPr>
            </w:pPr>
            <w:r w:rsidRPr="00224199">
              <w:rPr>
                <w:rFonts w:ascii="Arial" w:eastAsia="Times New Roman" w:hAnsi="Arial" w:cs="Arial"/>
                <w:sz w:val="15"/>
                <w:szCs w:val="15"/>
                <w:lang w:eastAsia="es-ES_tradnl"/>
              </w:rPr>
              <w:t>Subdirectora de Gestión Contractual ANCP – CCE</w:t>
            </w:r>
            <w:r w:rsidRPr="00224199">
              <w:rPr>
                <w:rFonts w:ascii="Arial" w:eastAsia="Times New Roman" w:hAnsi="Arial" w:cs="Arial"/>
                <w:sz w:val="15"/>
                <w:szCs w:val="15"/>
                <w:shd w:val="clear" w:color="auto" w:fill="E6E6E6"/>
                <w:lang w:eastAsia="es-ES_tradnl"/>
              </w:rPr>
              <w:t xml:space="preserve"> </w:t>
            </w:r>
          </w:p>
        </w:tc>
      </w:tr>
    </w:tbl>
    <w:p w14:paraId="7DFB482E" w14:textId="77777777" w:rsidR="00224199" w:rsidRPr="00224199" w:rsidRDefault="00224199" w:rsidP="00224199">
      <w:pPr>
        <w:tabs>
          <w:tab w:val="left" w:pos="3795"/>
        </w:tabs>
        <w:spacing w:after="0" w:line="240" w:lineRule="auto"/>
        <w:rPr>
          <w:rFonts w:ascii="Arial" w:eastAsia="Times New Roman" w:hAnsi="Arial" w:cs="Arial"/>
          <w:sz w:val="24"/>
          <w:szCs w:val="24"/>
          <w:lang w:val="es-ES_tradnl" w:eastAsia="es-ES_tradnl"/>
        </w:rPr>
      </w:pPr>
    </w:p>
    <w:p w14:paraId="2C0CF623" w14:textId="77777777" w:rsidR="00224199" w:rsidRPr="00224199" w:rsidRDefault="00224199" w:rsidP="00224199">
      <w:pPr>
        <w:spacing w:after="0" w:line="240" w:lineRule="auto"/>
        <w:rPr>
          <w:rFonts w:ascii="Arial" w:eastAsia="Times New Roman" w:hAnsi="Arial" w:cs="Arial"/>
          <w:sz w:val="24"/>
          <w:szCs w:val="24"/>
          <w:lang w:eastAsia="es-ES_tradnl"/>
        </w:rPr>
      </w:pPr>
    </w:p>
    <w:bookmarkEnd w:id="4"/>
    <w:p w14:paraId="084B6613" w14:textId="77777777" w:rsidR="00224199" w:rsidRPr="00224199" w:rsidRDefault="00224199" w:rsidP="00224199">
      <w:pPr>
        <w:spacing w:after="0" w:line="240" w:lineRule="auto"/>
        <w:rPr>
          <w:rFonts w:ascii="Arial" w:eastAsia="Times New Roman" w:hAnsi="Arial" w:cs="Arial"/>
          <w:sz w:val="24"/>
          <w:szCs w:val="24"/>
          <w:lang w:eastAsia="es-ES_tradnl"/>
        </w:rPr>
      </w:pPr>
    </w:p>
    <w:p w14:paraId="4F9793B5" w14:textId="77777777" w:rsidR="00224199" w:rsidRPr="00224199" w:rsidRDefault="00224199" w:rsidP="00224199">
      <w:pPr>
        <w:spacing w:after="0" w:line="240" w:lineRule="auto"/>
        <w:rPr>
          <w:rFonts w:ascii="Times New Roman" w:eastAsia="Times New Roman" w:hAnsi="Times New Roman" w:cs="Times New Roman"/>
          <w:sz w:val="24"/>
          <w:szCs w:val="24"/>
          <w:lang w:eastAsia="es-ES_tradnl"/>
        </w:rPr>
      </w:pPr>
    </w:p>
    <w:p w14:paraId="0FD4057A" w14:textId="77777777" w:rsidR="00C330EB" w:rsidRPr="00224199" w:rsidRDefault="00C330EB" w:rsidP="00224199"/>
    <w:sectPr w:rsidR="00C330EB" w:rsidRPr="00224199" w:rsidSect="00923EEF">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C55F7" w14:textId="77777777" w:rsidR="00F37E35" w:rsidRDefault="00F37E35" w:rsidP="004A1847">
      <w:pPr>
        <w:spacing w:after="0" w:line="240" w:lineRule="auto"/>
      </w:pPr>
      <w:r>
        <w:separator/>
      </w:r>
    </w:p>
  </w:endnote>
  <w:endnote w:type="continuationSeparator" w:id="0">
    <w:p w14:paraId="1E04E957" w14:textId="77777777" w:rsidR="00F37E35" w:rsidRDefault="00F37E35"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orbel"/>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11524F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631558">
            <w:rPr>
              <w:rFonts w:ascii="Century Gothic" w:hAnsi="Century Gothic"/>
              <w:b/>
              <w:bCs/>
              <w:noProof/>
              <w:sz w:val="16"/>
              <w:szCs w:val="16"/>
            </w:rPr>
            <w:t>10</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631558">
            <w:rPr>
              <w:rFonts w:ascii="Century Gothic" w:hAnsi="Century Gothic"/>
              <w:b/>
              <w:bCs/>
              <w:noProof/>
              <w:sz w:val="16"/>
              <w:szCs w:val="16"/>
            </w:rPr>
            <w:t>17</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12B3B" w14:textId="77777777" w:rsidR="00F37E35" w:rsidRDefault="00F37E35" w:rsidP="004A1847">
      <w:pPr>
        <w:spacing w:after="0" w:line="240" w:lineRule="auto"/>
      </w:pPr>
      <w:r>
        <w:separator/>
      </w:r>
    </w:p>
  </w:footnote>
  <w:footnote w:type="continuationSeparator" w:id="0">
    <w:p w14:paraId="04E420CE" w14:textId="77777777" w:rsidR="00F37E35" w:rsidRDefault="00F37E35" w:rsidP="004A1847">
      <w:pPr>
        <w:spacing w:after="0" w:line="240" w:lineRule="auto"/>
      </w:pPr>
      <w:r>
        <w:continuationSeparator/>
      </w:r>
    </w:p>
  </w:footnote>
  <w:footnote w:id="1">
    <w:p w14:paraId="792A2572" w14:textId="77777777" w:rsidR="00224199" w:rsidRPr="005277EE" w:rsidRDefault="00224199" w:rsidP="008C3D2D">
      <w:pPr>
        <w:pStyle w:val="Textonotapie"/>
        <w:ind w:firstLine="708"/>
        <w:jc w:val="both"/>
        <w:rPr>
          <w:rFonts w:ascii="Arial" w:eastAsia="Calibri" w:hAnsi="Arial" w:cs="Arial"/>
          <w:sz w:val="18"/>
          <w:szCs w:val="18"/>
          <w:lang w:val="es-ES"/>
        </w:rPr>
      </w:pPr>
      <w:r w:rsidRPr="005277EE">
        <w:rPr>
          <w:rFonts w:ascii="Arial" w:eastAsia="Calibri" w:hAnsi="Arial" w:cs="Arial"/>
          <w:sz w:val="18"/>
          <w:szCs w:val="18"/>
          <w:vertAlign w:val="superscript"/>
          <w:lang w:val="es-ES"/>
        </w:rPr>
        <w:footnoteRef/>
      </w:r>
      <w:r w:rsidRPr="005277EE">
        <w:rPr>
          <w:rFonts w:ascii="Arial" w:eastAsia="Calibri" w:hAnsi="Arial" w:cs="Arial"/>
          <w:sz w:val="18"/>
          <w:szCs w:val="18"/>
          <w:lang w:val="es-ES"/>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60EB7F1F" w14:textId="77777777" w:rsidR="00224199" w:rsidRPr="005277EE" w:rsidRDefault="00224199" w:rsidP="00224199">
      <w:pPr>
        <w:pStyle w:val="Textonotapie"/>
        <w:jc w:val="both"/>
        <w:rPr>
          <w:rFonts w:ascii="Arial" w:hAnsi="Arial" w:cs="Arial"/>
          <w:sz w:val="18"/>
          <w:szCs w:val="18"/>
          <w:lang w:val="es-ES"/>
        </w:rPr>
      </w:pPr>
    </w:p>
  </w:footnote>
  <w:footnote w:id="2">
    <w:p w14:paraId="4578BA14" w14:textId="77777777" w:rsidR="00224199" w:rsidRPr="002C481E" w:rsidRDefault="00224199" w:rsidP="008C3D2D">
      <w:pPr>
        <w:pStyle w:val="Textonotapie"/>
        <w:ind w:firstLine="708"/>
        <w:jc w:val="both"/>
        <w:rPr>
          <w:rFonts w:ascii="Arial" w:hAnsi="Arial" w:cs="Arial"/>
          <w:sz w:val="16"/>
          <w:szCs w:val="16"/>
          <w:lang w:val="es-CO"/>
        </w:rPr>
      </w:pPr>
      <w:r w:rsidRPr="002C481E">
        <w:rPr>
          <w:rStyle w:val="Refdenotaalpie"/>
          <w:rFonts w:ascii="Arial" w:hAnsi="Arial" w:cs="Arial"/>
          <w:sz w:val="16"/>
          <w:szCs w:val="16"/>
        </w:rPr>
        <w:footnoteRef/>
      </w:r>
      <w:r w:rsidRPr="002C481E">
        <w:rPr>
          <w:rFonts w:ascii="Arial" w:hAnsi="Arial" w:cs="Arial"/>
          <w:sz w:val="16"/>
          <w:szCs w:val="16"/>
        </w:rPr>
        <w:t xml:space="preserve"> </w:t>
      </w:r>
      <w:r w:rsidRPr="002C481E">
        <w:rPr>
          <w:rFonts w:ascii="Arial" w:hAnsi="Arial" w:cs="Arial"/>
          <w:sz w:val="16"/>
          <w:szCs w:val="16"/>
          <w:lang w:val="es-CO"/>
        </w:rPr>
        <w:t>Estos conceptos pueden ser consultados en la Relatoría de esta Agencia en el siguiente Link: https://relatoria.colombiacompra.gov.co/busqueda/conceptos</w:t>
      </w:r>
    </w:p>
  </w:footnote>
  <w:footnote w:id="3">
    <w:p w14:paraId="438767BC" w14:textId="77777777" w:rsidR="00224199" w:rsidRPr="00025CDD" w:rsidRDefault="00224199" w:rsidP="00224199">
      <w:pPr>
        <w:pStyle w:val="Textonotapie"/>
        <w:jc w:val="both"/>
        <w:rPr>
          <w:color w:val="000000"/>
        </w:rPr>
      </w:pPr>
      <w:r w:rsidRPr="00025CDD">
        <w:rPr>
          <w:rStyle w:val="Refdenotaalpie"/>
          <w:color w:val="000000"/>
        </w:rPr>
        <w:footnoteRef/>
      </w:r>
      <w:r w:rsidRPr="00025CDD">
        <w:rPr>
          <w:color w:val="000000"/>
        </w:rPr>
        <w:t xml:space="preserve"> </w:t>
      </w:r>
      <w:r w:rsidRPr="00025CDD">
        <w:rPr>
          <w:rFonts w:ascii="Arial" w:hAnsi="Arial" w:cs="Arial"/>
          <w:iCs/>
          <w:color w:val="000000"/>
          <w:sz w:val="18"/>
          <w:szCs w:val="18"/>
        </w:rPr>
        <w:t>Consejo de Estado. Sección Tercera. Sentencia del 29 de agosto de 2007. Rad. 1996-00309-01 (15.324).</w:t>
      </w:r>
      <w:r w:rsidRPr="00025CDD">
        <w:rPr>
          <w:color w:val="000000"/>
        </w:rPr>
        <w:t xml:space="preserve"> </w:t>
      </w:r>
      <w:r w:rsidRPr="00025CDD">
        <w:rPr>
          <w:rFonts w:ascii="Arial" w:hAnsi="Arial" w:cs="Arial"/>
          <w:iCs/>
          <w:color w:val="000000"/>
          <w:sz w:val="18"/>
          <w:szCs w:val="18"/>
        </w:rPr>
        <w:t>C.P. Mauricio Fajardo Gómez.</w:t>
      </w:r>
    </w:p>
    <w:p w14:paraId="3CA3624D" w14:textId="77777777" w:rsidR="00224199" w:rsidRPr="00025CDD" w:rsidRDefault="00224199" w:rsidP="00224199">
      <w:pPr>
        <w:pStyle w:val="Textonotapie"/>
        <w:jc w:val="both"/>
        <w:rPr>
          <w:color w:val="000000"/>
        </w:rPr>
      </w:pPr>
    </w:p>
  </w:footnote>
  <w:footnote w:id="4">
    <w:p w14:paraId="62FEF6FE" w14:textId="77777777" w:rsidR="00224199" w:rsidRPr="002C481E" w:rsidRDefault="00224199" w:rsidP="008C3D2D">
      <w:pPr>
        <w:ind w:right="104" w:firstLine="708"/>
        <w:jc w:val="both"/>
        <w:rPr>
          <w:rFonts w:ascii="Arial" w:hAnsi="Arial" w:cs="Arial"/>
          <w:sz w:val="16"/>
          <w:szCs w:val="16"/>
        </w:rPr>
      </w:pPr>
      <w:r w:rsidRPr="002C481E">
        <w:rPr>
          <w:rStyle w:val="Refdenotaalpie"/>
          <w:rFonts w:ascii="Arial" w:hAnsi="Arial" w:cs="Arial"/>
          <w:sz w:val="16"/>
          <w:szCs w:val="16"/>
        </w:rPr>
        <w:footnoteRef/>
      </w:r>
      <w:r w:rsidRPr="002C481E">
        <w:rPr>
          <w:rFonts w:ascii="Arial" w:hAnsi="Arial" w:cs="Arial"/>
          <w:sz w:val="16"/>
          <w:szCs w:val="16"/>
        </w:rPr>
        <w:t xml:space="preserve"> Sentencia de la Subsección B de la Sección Tercera de la Sala de lo Contencioso Administrativo del Consejo de Estado del 16 de agosto de 2018, radicación 2003-01082-01 (37339) con ponencia de Stella Conto Díaz Del Castillo.</w:t>
      </w:r>
    </w:p>
    <w:p w14:paraId="6A565200" w14:textId="77777777" w:rsidR="00224199" w:rsidRPr="002C481E" w:rsidRDefault="00224199" w:rsidP="00224199">
      <w:pPr>
        <w:pStyle w:val="Textonotapie"/>
        <w:jc w:val="both"/>
        <w:rPr>
          <w:rFonts w:ascii="Arial" w:hAnsi="Arial" w:cs="Arial"/>
          <w:sz w:val="16"/>
          <w:szCs w:val="16"/>
        </w:rPr>
      </w:pPr>
    </w:p>
  </w:footnote>
  <w:footnote w:id="5">
    <w:p w14:paraId="0C94C124" w14:textId="77777777" w:rsidR="00224199" w:rsidRPr="002C481E" w:rsidRDefault="00224199" w:rsidP="008C3D2D">
      <w:pPr>
        <w:pStyle w:val="Textonotapie"/>
        <w:ind w:firstLine="708"/>
        <w:jc w:val="both"/>
        <w:rPr>
          <w:rFonts w:ascii="Arial" w:eastAsia="Calibri" w:hAnsi="Arial" w:cs="Arial"/>
          <w:color w:val="000000" w:themeColor="text1"/>
          <w:sz w:val="16"/>
          <w:szCs w:val="16"/>
          <w:lang w:val="es-ES"/>
        </w:rPr>
      </w:pPr>
      <w:r w:rsidRPr="002C481E">
        <w:rPr>
          <w:rStyle w:val="Refdenotaalpie"/>
          <w:rFonts w:ascii="Arial" w:hAnsi="Arial" w:cs="Arial"/>
          <w:color w:val="000000" w:themeColor="text1"/>
          <w:sz w:val="16"/>
          <w:szCs w:val="16"/>
        </w:rPr>
        <w:footnoteRef/>
      </w:r>
      <w:r w:rsidRPr="002C481E">
        <w:rPr>
          <w:rFonts w:ascii="Arial" w:hAnsi="Arial" w:cs="Arial"/>
          <w:color w:val="000000" w:themeColor="text1"/>
          <w:sz w:val="16"/>
          <w:szCs w:val="16"/>
        </w:rPr>
        <w:t xml:space="preserve"> </w:t>
      </w:r>
      <w:r w:rsidRPr="002C481E">
        <w:rPr>
          <w:rFonts w:ascii="Arial" w:hAnsi="Arial" w:cs="Arial"/>
          <w:color w:val="000000" w:themeColor="text1"/>
          <w:sz w:val="16"/>
          <w:szCs w:val="16"/>
          <w:lang w:val="es-ES"/>
        </w:rPr>
        <w:t>Al respecto, conviene recordar el artículo 29 de la Ley 80 de 1993, derogado por el artículo 32 de la Ley 1150 de 2007, que establecía: «La selección de contratistas será objetiva.</w:t>
      </w:r>
    </w:p>
    <w:p w14:paraId="41C22E36" w14:textId="77777777" w:rsidR="00224199" w:rsidRPr="002C481E" w:rsidRDefault="00224199" w:rsidP="008C3D2D">
      <w:pPr>
        <w:pStyle w:val="Textonotapie"/>
        <w:ind w:firstLine="708"/>
        <w:jc w:val="both"/>
        <w:rPr>
          <w:rFonts w:ascii="Arial" w:hAnsi="Arial" w:cs="Arial"/>
          <w:color w:val="000000" w:themeColor="text1"/>
          <w:sz w:val="16"/>
          <w:szCs w:val="16"/>
          <w:lang w:val="es-ES"/>
        </w:rPr>
      </w:pPr>
      <w:r w:rsidRPr="002C481E">
        <w:rPr>
          <w:rFonts w:ascii="Arial" w:hAnsi="Arial" w:cs="Arial"/>
          <w:color w:val="000000" w:themeColor="text1"/>
          <w:sz w:val="16"/>
          <w:szCs w:val="16"/>
          <w:lang w:val="es-ES"/>
        </w:rPr>
        <w:t>“Es objetiva la selección en la cual la escogencia se hace al ofrecimiento más favorable a la entidad y a los fines que ella busca, sin tener en consideración factores de afecto o de interés y, en general, cualquier clase de motivación subjetiva.</w:t>
      </w:r>
    </w:p>
    <w:p w14:paraId="5173A6EE" w14:textId="77777777" w:rsidR="00224199" w:rsidRPr="002C481E" w:rsidRDefault="00224199" w:rsidP="008C3D2D">
      <w:pPr>
        <w:pStyle w:val="Textonotapie"/>
        <w:ind w:firstLine="708"/>
        <w:jc w:val="both"/>
        <w:rPr>
          <w:rFonts w:ascii="Arial" w:hAnsi="Arial" w:cs="Arial"/>
          <w:color w:val="000000" w:themeColor="text1"/>
          <w:sz w:val="16"/>
          <w:szCs w:val="16"/>
          <w:lang w:val="es-ES"/>
        </w:rPr>
      </w:pPr>
      <w:r w:rsidRPr="002C481E">
        <w:rPr>
          <w:rFonts w:ascii="Arial" w:hAnsi="Arial" w:cs="Arial"/>
          <w:color w:val="000000" w:themeColor="text1"/>
          <w:sz w:val="16"/>
          <w:szCs w:val="16"/>
          <w:lang w:val="es-ES"/>
        </w:rPr>
        <w:t>“Ofrecimiento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pliegos, no será objeto de evaluación”.</w:t>
      </w:r>
    </w:p>
    <w:p w14:paraId="5CD7E614" w14:textId="77777777" w:rsidR="00224199" w:rsidRPr="002C481E" w:rsidRDefault="00224199" w:rsidP="008C3D2D">
      <w:pPr>
        <w:pStyle w:val="Textonotapie"/>
        <w:ind w:firstLine="708"/>
        <w:jc w:val="both"/>
        <w:rPr>
          <w:rFonts w:ascii="Arial" w:hAnsi="Arial" w:cs="Arial"/>
          <w:color w:val="000000" w:themeColor="text1"/>
          <w:sz w:val="16"/>
          <w:szCs w:val="16"/>
          <w:lang w:val="es-ES"/>
        </w:rPr>
      </w:pPr>
      <w:r w:rsidRPr="002C481E">
        <w:rPr>
          <w:rFonts w:ascii="Arial" w:hAnsi="Arial" w:cs="Arial"/>
          <w:color w:val="000000" w:themeColor="text1"/>
          <w:sz w:val="16"/>
          <w:szCs w:val="16"/>
          <w:lang w:val="es-ES"/>
        </w:rPr>
        <w:t>“El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61A28380" w14:textId="77777777" w:rsidR="00224199" w:rsidRPr="002C481E" w:rsidRDefault="00224199" w:rsidP="008C3D2D">
      <w:pPr>
        <w:pStyle w:val="Textonotapie"/>
        <w:ind w:firstLine="708"/>
        <w:jc w:val="both"/>
        <w:rPr>
          <w:rFonts w:ascii="Arial" w:hAnsi="Arial" w:cs="Arial"/>
          <w:color w:val="000000" w:themeColor="text1"/>
          <w:sz w:val="16"/>
          <w:szCs w:val="16"/>
          <w:lang w:val="es-ES"/>
        </w:rPr>
      </w:pPr>
      <w:r w:rsidRPr="002C481E">
        <w:rPr>
          <w:rFonts w:ascii="Arial" w:hAnsi="Arial" w:cs="Arial"/>
          <w:color w:val="000000" w:themeColor="text1"/>
          <w:sz w:val="16"/>
          <w:szCs w:val="16"/>
          <w:lang w:val="es-ES"/>
        </w:rPr>
        <w:t>“En caso de comparación de propuestas nacionales y extranjeras, se incluirán los costos necesarios para la entrega del producto terminado en el lugar de su utilización”.</w:t>
      </w:r>
    </w:p>
  </w:footnote>
  <w:footnote w:id="6">
    <w:p w14:paraId="329BB778" w14:textId="77777777" w:rsidR="00224199" w:rsidRPr="002C481E" w:rsidRDefault="00224199" w:rsidP="008C3D2D">
      <w:pPr>
        <w:pStyle w:val="Textonotapie"/>
        <w:ind w:firstLine="708"/>
        <w:jc w:val="both"/>
        <w:rPr>
          <w:rFonts w:ascii="Arial" w:hAnsi="Arial" w:cs="Arial"/>
          <w:color w:val="000000" w:themeColor="text1"/>
          <w:sz w:val="16"/>
          <w:szCs w:val="16"/>
          <w:lang w:val="es-ES"/>
        </w:rPr>
      </w:pPr>
      <w:r w:rsidRPr="002C481E">
        <w:rPr>
          <w:rStyle w:val="Refdenotaalpie"/>
          <w:rFonts w:ascii="Arial" w:hAnsi="Arial" w:cs="Arial"/>
          <w:color w:val="000000" w:themeColor="text1"/>
          <w:sz w:val="16"/>
          <w:szCs w:val="16"/>
        </w:rPr>
        <w:footnoteRef/>
      </w:r>
      <w:r w:rsidRPr="002C481E">
        <w:rPr>
          <w:rFonts w:ascii="Arial" w:hAnsi="Arial" w:cs="Arial"/>
          <w:color w:val="000000" w:themeColor="text1"/>
          <w:sz w:val="16"/>
          <w:szCs w:val="16"/>
        </w:rPr>
        <w:t xml:space="preserve"> Consejo de Estado. Sección Tercera. Subsección A. Sentencia del 25 de octubre de 2019. </w:t>
      </w:r>
      <w:r w:rsidRPr="002C481E">
        <w:rPr>
          <w:rFonts w:ascii="Arial" w:hAnsi="Arial" w:cs="Arial"/>
          <w:color w:val="000000" w:themeColor="text1"/>
          <w:sz w:val="16"/>
          <w:szCs w:val="16"/>
        </w:rPr>
        <w:t>Exp. 39.945. Consejera Ponente: María Adriana Marín.</w:t>
      </w:r>
    </w:p>
  </w:footnote>
  <w:footnote w:id="7">
    <w:p w14:paraId="1ADA34A3" w14:textId="77777777" w:rsidR="00224199" w:rsidRPr="002C481E" w:rsidRDefault="00224199" w:rsidP="008C3D2D">
      <w:pPr>
        <w:pStyle w:val="Textonotapie"/>
        <w:ind w:firstLine="708"/>
        <w:jc w:val="both"/>
        <w:rPr>
          <w:rFonts w:ascii="Arial" w:hAnsi="Arial" w:cs="Arial"/>
          <w:color w:val="000000" w:themeColor="text1"/>
          <w:sz w:val="16"/>
          <w:szCs w:val="16"/>
          <w:lang w:val="es-ES"/>
        </w:rPr>
      </w:pPr>
      <w:r w:rsidRPr="002C481E">
        <w:rPr>
          <w:rStyle w:val="Refdenotaalpie"/>
          <w:rFonts w:ascii="Arial" w:hAnsi="Arial" w:cs="Arial"/>
          <w:color w:val="000000" w:themeColor="text1"/>
          <w:sz w:val="16"/>
          <w:szCs w:val="16"/>
        </w:rPr>
        <w:footnoteRef/>
      </w:r>
      <w:r w:rsidRPr="002C481E">
        <w:rPr>
          <w:rStyle w:val="Refdenotaalpie"/>
          <w:rFonts w:ascii="Arial" w:hAnsi="Arial" w:cs="Arial"/>
          <w:color w:val="000000" w:themeColor="text1"/>
          <w:sz w:val="16"/>
          <w:szCs w:val="16"/>
        </w:rPr>
        <w:t xml:space="preserve"> </w:t>
      </w:r>
      <w:r w:rsidRPr="002C481E">
        <w:rPr>
          <w:rFonts w:ascii="Arial" w:hAnsi="Arial" w:cs="Arial"/>
          <w:color w:val="000000" w:themeColor="text1"/>
          <w:sz w:val="16"/>
          <w:szCs w:val="16"/>
        </w:rPr>
        <w:t xml:space="preserve">Consejo de Estado. Sección Tercera. Subsección A. Sentencia del 5 de julio de 2018. </w:t>
      </w:r>
      <w:r w:rsidRPr="002C481E">
        <w:rPr>
          <w:rFonts w:ascii="Arial" w:hAnsi="Arial" w:cs="Arial"/>
          <w:color w:val="000000" w:themeColor="text1"/>
          <w:sz w:val="16"/>
          <w:szCs w:val="16"/>
        </w:rPr>
        <w:t>Exp. 37.834. Consejero Ponente: Carlos Alberto Zambrano Barrera.</w:t>
      </w:r>
    </w:p>
  </w:footnote>
  <w:footnote w:id="8">
    <w:p w14:paraId="402213FA" w14:textId="77777777" w:rsidR="00224199" w:rsidRPr="002C481E" w:rsidRDefault="00224199" w:rsidP="00224199">
      <w:pPr>
        <w:jc w:val="both"/>
        <w:rPr>
          <w:rFonts w:ascii="Arial" w:hAnsi="Arial" w:cs="Arial"/>
          <w:sz w:val="16"/>
          <w:szCs w:val="16"/>
          <w:lang w:eastAsia="es-CO"/>
        </w:rPr>
      </w:pPr>
      <w:r w:rsidRPr="002C481E">
        <w:rPr>
          <w:rStyle w:val="Refdenotaalpie"/>
          <w:rFonts w:ascii="Arial" w:hAnsi="Arial" w:cs="Arial"/>
          <w:sz w:val="16"/>
          <w:szCs w:val="16"/>
        </w:rPr>
        <w:footnoteRef/>
      </w:r>
      <w:r w:rsidRPr="002C481E">
        <w:rPr>
          <w:rFonts w:ascii="Arial" w:hAnsi="Arial" w:cs="Arial"/>
          <w:sz w:val="16"/>
          <w:szCs w:val="16"/>
        </w:rPr>
        <w:t xml:space="preserve"> Decreto 1082 de 2015 </w:t>
      </w:r>
      <w:r w:rsidRPr="002C481E">
        <w:rPr>
          <w:rFonts w:ascii="Arial" w:eastAsia="Calibri" w:hAnsi="Arial" w:cs="Arial"/>
          <w:bCs/>
          <w:sz w:val="16"/>
          <w:szCs w:val="16"/>
        </w:rPr>
        <w:t>«</w:t>
      </w:r>
      <w:r w:rsidRPr="002C481E">
        <w:rPr>
          <w:rFonts w:ascii="Arial" w:hAnsi="Arial" w:cs="Arial"/>
          <w:sz w:val="16"/>
          <w:szCs w:val="16"/>
          <w:lang w:eastAsia="es-CO"/>
        </w:rPr>
        <w:t>Artículo 2.2.1.1.2.2.2. Ofrecimiento más favorable. La Entidad Estatal debe determinar la oferta más favorable teniendo en cuenta las normas aplicables a cada modalidad de selección del contratista. </w:t>
      </w:r>
    </w:p>
    <w:p w14:paraId="76653196" w14:textId="77777777" w:rsidR="00224199" w:rsidRPr="002C481E" w:rsidRDefault="00224199" w:rsidP="00224199">
      <w:pPr>
        <w:jc w:val="both"/>
        <w:rPr>
          <w:rFonts w:ascii="Arial" w:hAnsi="Arial" w:cs="Arial"/>
          <w:sz w:val="16"/>
          <w:szCs w:val="16"/>
          <w:lang w:eastAsia="es-CO"/>
        </w:rPr>
      </w:pPr>
      <w:r w:rsidRPr="002C481E">
        <w:rPr>
          <w:rFonts w:ascii="Arial" w:hAnsi="Arial" w:cs="Arial"/>
          <w:sz w:val="16"/>
          <w:szCs w:val="16"/>
          <w:lang w:eastAsia="es-CO"/>
        </w:rPr>
        <w:t>  </w:t>
      </w:r>
      <w:r w:rsidRPr="002C481E">
        <w:rPr>
          <w:rFonts w:ascii="Arial" w:hAnsi="Arial" w:cs="Arial"/>
          <w:sz w:val="16"/>
          <w:szCs w:val="16"/>
          <w:lang w:eastAsia="es-CO"/>
        </w:rPr>
        <w:tab/>
      </w:r>
      <w:r w:rsidRPr="002C481E">
        <w:rPr>
          <w:rFonts w:ascii="Arial" w:eastAsia="Calibri" w:hAnsi="Arial" w:cs="Arial"/>
          <w:bCs/>
          <w:sz w:val="16"/>
          <w:szCs w:val="16"/>
        </w:rPr>
        <w:t>“</w:t>
      </w:r>
      <w:r w:rsidRPr="002C481E">
        <w:rPr>
          <w:rFonts w:ascii="Arial" w:hAnsi="Arial" w:cs="Arial"/>
          <w:sz w:val="16"/>
          <w:szCs w:val="16"/>
          <w:lang w:eastAsia="es-CO"/>
        </w:rPr>
        <w:t>En la licitación y la selección abreviada de menor cuantía, la Entidad Estatal debe determinar la oferta más favorable teniendo en cuenta: (a) la ponderación de los elementos de calidad y precio soportados en puntajes o fórmulas; o (b) la ponderación de los elementos de calidad y precio que representen la mejor relación de costo-beneficio. Si la Entidad Estatal decide determinar la oferta de acuerdo con el literal (b) anterior debe señalar en los pliegos de condiciones: </w:t>
      </w:r>
    </w:p>
    <w:p w14:paraId="232C4A8B" w14:textId="77777777" w:rsidR="00224199" w:rsidRPr="002C481E" w:rsidRDefault="00224199" w:rsidP="00224199">
      <w:pPr>
        <w:jc w:val="both"/>
        <w:rPr>
          <w:rFonts w:ascii="Arial" w:hAnsi="Arial" w:cs="Arial"/>
          <w:sz w:val="16"/>
          <w:szCs w:val="16"/>
          <w:lang w:eastAsia="es-CO"/>
        </w:rPr>
      </w:pPr>
      <w:r w:rsidRPr="002C481E">
        <w:rPr>
          <w:rFonts w:ascii="Arial" w:hAnsi="Arial" w:cs="Arial"/>
          <w:sz w:val="16"/>
          <w:szCs w:val="16"/>
          <w:lang w:eastAsia="es-CO"/>
        </w:rPr>
        <w:t>  </w:t>
      </w:r>
      <w:r w:rsidRPr="002C481E">
        <w:rPr>
          <w:rFonts w:ascii="Arial" w:hAnsi="Arial" w:cs="Arial"/>
          <w:sz w:val="16"/>
          <w:szCs w:val="16"/>
          <w:lang w:eastAsia="es-CO"/>
        </w:rPr>
        <w:tab/>
      </w:r>
      <w:r w:rsidRPr="002C481E">
        <w:rPr>
          <w:rFonts w:ascii="Arial" w:eastAsia="Calibri" w:hAnsi="Arial" w:cs="Arial"/>
          <w:bCs/>
          <w:sz w:val="16"/>
          <w:szCs w:val="16"/>
        </w:rPr>
        <w:t>“</w:t>
      </w:r>
      <w:r w:rsidRPr="002C481E">
        <w:rPr>
          <w:rFonts w:ascii="Arial" w:hAnsi="Arial" w:cs="Arial"/>
          <w:sz w:val="16"/>
          <w:szCs w:val="16"/>
          <w:lang w:eastAsia="es-CO"/>
        </w:rPr>
        <w:t>1. Las condiciones técnicas y económicas mínimas de la oferta. </w:t>
      </w:r>
    </w:p>
    <w:p w14:paraId="7534847E" w14:textId="77777777" w:rsidR="00224199" w:rsidRPr="002C481E" w:rsidRDefault="00224199" w:rsidP="00224199">
      <w:pPr>
        <w:jc w:val="both"/>
        <w:rPr>
          <w:rFonts w:ascii="Arial" w:hAnsi="Arial" w:cs="Arial"/>
          <w:sz w:val="16"/>
          <w:szCs w:val="16"/>
          <w:lang w:eastAsia="es-CO"/>
        </w:rPr>
      </w:pPr>
      <w:r w:rsidRPr="002C481E">
        <w:rPr>
          <w:rFonts w:ascii="Arial" w:hAnsi="Arial" w:cs="Arial"/>
          <w:sz w:val="16"/>
          <w:szCs w:val="16"/>
          <w:lang w:eastAsia="es-CO"/>
        </w:rPr>
        <w:t>  </w:t>
      </w:r>
      <w:r w:rsidRPr="002C481E">
        <w:rPr>
          <w:rFonts w:ascii="Arial" w:hAnsi="Arial" w:cs="Arial"/>
          <w:sz w:val="16"/>
          <w:szCs w:val="16"/>
          <w:lang w:eastAsia="es-CO"/>
        </w:rPr>
        <w:tab/>
      </w:r>
      <w:r w:rsidRPr="002C481E">
        <w:rPr>
          <w:rFonts w:ascii="Arial" w:eastAsia="Calibri" w:hAnsi="Arial" w:cs="Arial"/>
          <w:bCs/>
          <w:sz w:val="16"/>
          <w:szCs w:val="16"/>
        </w:rPr>
        <w:t>“</w:t>
      </w:r>
      <w:r w:rsidRPr="002C481E">
        <w:rPr>
          <w:rFonts w:ascii="Arial" w:hAnsi="Arial" w:cs="Arial"/>
          <w:sz w:val="16"/>
          <w:szCs w:val="16"/>
          <w:lang w:eastAsia="es-CO"/>
        </w:rPr>
        <w:t>2. Las condiciones técnicas adicionales que representan ventajas de calidad o de funcionamiento, tales como el uso de tecnología o materiales que generen mayor eficiencia, rendimiento o duración del bien, obra o servicio. </w:t>
      </w:r>
    </w:p>
    <w:p w14:paraId="7ACBD958" w14:textId="77777777" w:rsidR="00224199" w:rsidRPr="002C481E" w:rsidRDefault="00224199" w:rsidP="00224199">
      <w:pPr>
        <w:jc w:val="both"/>
        <w:rPr>
          <w:rFonts w:ascii="Arial" w:hAnsi="Arial" w:cs="Arial"/>
          <w:sz w:val="16"/>
          <w:szCs w:val="16"/>
          <w:lang w:eastAsia="es-CO"/>
        </w:rPr>
      </w:pPr>
      <w:r w:rsidRPr="002C481E">
        <w:rPr>
          <w:rFonts w:ascii="Arial" w:hAnsi="Arial" w:cs="Arial"/>
          <w:sz w:val="16"/>
          <w:szCs w:val="16"/>
          <w:lang w:eastAsia="es-CO"/>
        </w:rPr>
        <w:t>  </w:t>
      </w:r>
      <w:r w:rsidRPr="002C481E">
        <w:rPr>
          <w:rFonts w:ascii="Arial" w:hAnsi="Arial" w:cs="Arial"/>
          <w:sz w:val="16"/>
          <w:szCs w:val="16"/>
          <w:lang w:eastAsia="es-CO"/>
        </w:rPr>
        <w:tab/>
      </w:r>
      <w:r w:rsidRPr="002C481E">
        <w:rPr>
          <w:rFonts w:ascii="Arial" w:eastAsia="Calibri" w:hAnsi="Arial" w:cs="Arial"/>
          <w:bCs/>
          <w:sz w:val="16"/>
          <w:szCs w:val="16"/>
        </w:rPr>
        <w:t>“</w:t>
      </w:r>
      <w:r w:rsidRPr="002C481E">
        <w:rPr>
          <w:rFonts w:ascii="Arial" w:hAnsi="Arial" w:cs="Arial"/>
          <w:sz w:val="16"/>
          <w:szCs w:val="16"/>
          <w:lang w:eastAsia="es-CO"/>
        </w:rPr>
        <w:t>3. Las condiciones económicas adicionales que representen ventajas en términos de economía, eficiencia y eficacia, que puedan ser valoradas en dinero, como por ejemplo la forma de pago, descuentos por adjudicación de varios lotes, descuentos por variaciones en programas de entregas, mayor garantía del bien o servicio respecto de la mínima requerida, impacto económico sobre las condiciones existentes de la Entidad Estatal relacionadas con el objeto a contratar, mayor asunción de los Riesgos, servicios o bienes adicionales y que representen un mayor grado de satisfacción para la entidad, entre otras. </w:t>
      </w:r>
    </w:p>
    <w:p w14:paraId="795E03AB" w14:textId="77777777" w:rsidR="00224199" w:rsidRPr="002C481E" w:rsidRDefault="00224199" w:rsidP="00224199">
      <w:pPr>
        <w:jc w:val="both"/>
        <w:rPr>
          <w:rFonts w:ascii="Arial" w:hAnsi="Arial" w:cs="Arial"/>
          <w:sz w:val="16"/>
          <w:szCs w:val="16"/>
          <w:lang w:eastAsia="es-CO"/>
        </w:rPr>
      </w:pPr>
      <w:r w:rsidRPr="002C481E">
        <w:rPr>
          <w:rFonts w:ascii="Arial" w:hAnsi="Arial" w:cs="Arial"/>
          <w:sz w:val="16"/>
          <w:szCs w:val="16"/>
          <w:lang w:eastAsia="es-CO"/>
        </w:rPr>
        <w:t>  </w:t>
      </w:r>
      <w:r w:rsidRPr="002C481E">
        <w:rPr>
          <w:rFonts w:ascii="Arial" w:hAnsi="Arial" w:cs="Arial"/>
          <w:sz w:val="16"/>
          <w:szCs w:val="16"/>
          <w:lang w:eastAsia="es-CO"/>
        </w:rPr>
        <w:tab/>
      </w:r>
      <w:r w:rsidRPr="002C481E">
        <w:rPr>
          <w:rFonts w:ascii="Arial" w:eastAsia="Calibri" w:hAnsi="Arial" w:cs="Arial"/>
          <w:bCs/>
          <w:sz w:val="16"/>
          <w:szCs w:val="16"/>
        </w:rPr>
        <w:t>“</w:t>
      </w:r>
      <w:r w:rsidRPr="002C481E">
        <w:rPr>
          <w:rFonts w:ascii="Arial" w:hAnsi="Arial" w:cs="Arial"/>
          <w:sz w:val="16"/>
          <w:szCs w:val="16"/>
          <w:lang w:eastAsia="es-CO"/>
        </w:rPr>
        <w:t>4. El valor en dinero que la Entidad Estatal asigna a cada ofrecimiento técnico o económico adicional, para permitir la ponderación de las ofertas presentadas. </w:t>
      </w:r>
    </w:p>
    <w:p w14:paraId="26BFBD52" w14:textId="77777777" w:rsidR="00224199" w:rsidRPr="002C481E" w:rsidRDefault="00224199" w:rsidP="00224199">
      <w:pPr>
        <w:jc w:val="both"/>
        <w:rPr>
          <w:rFonts w:ascii="Arial" w:hAnsi="Arial" w:cs="Arial"/>
          <w:sz w:val="16"/>
          <w:szCs w:val="16"/>
          <w:lang w:eastAsia="es-CO"/>
        </w:rPr>
      </w:pPr>
      <w:r w:rsidRPr="002C481E">
        <w:rPr>
          <w:rFonts w:ascii="Arial" w:hAnsi="Arial" w:cs="Arial"/>
          <w:sz w:val="16"/>
          <w:szCs w:val="16"/>
          <w:lang w:eastAsia="es-CO"/>
        </w:rPr>
        <w:t>  </w:t>
      </w:r>
      <w:r w:rsidRPr="002C481E">
        <w:rPr>
          <w:rFonts w:ascii="Arial" w:hAnsi="Arial" w:cs="Arial"/>
          <w:sz w:val="16"/>
          <w:szCs w:val="16"/>
          <w:lang w:eastAsia="es-CO"/>
        </w:rPr>
        <w:tab/>
      </w:r>
      <w:r w:rsidRPr="002C481E">
        <w:rPr>
          <w:rFonts w:ascii="Arial" w:eastAsia="Calibri" w:hAnsi="Arial" w:cs="Arial"/>
          <w:bCs/>
          <w:sz w:val="16"/>
          <w:szCs w:val="16"/>
        </w:rPr>
        <w:t>“</w:t>
      </w:r>
      <w:r w:rsidRPr="002C481E">
        <w:rPr>
          <w:rFonts w:ascii="Arial" w:hAnsi="Arial" w:cs="Arial"/>
          <w:sz w:val="16"/>
          <w:szCs w:val="16"/>
          <w:lang w:eastAsia="es-CO"/>
        </w:rPr>
        <w:t>La Entidad Estatal debe calcular la relación costo-beneficio de cada oferta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 </w:t>
      </w:r>
    </w:p>
    <w:p w14:paraId="24CEB28E" w14:textId="77777777" w:rsidR="00224199" w:rsidRPr="002C481E" w:rsidRDefault="00224199" w:rsidP="00224199">
      <w:pPr>
        <w:jc w:val="both"/>
        <w:rPr>
          <w:rFonts w:ascii="Arial" w:hAnsi="Arial" w:cs="Arial"/>
          <w:sz w:val="16"/>
          <w:szCs w:val="16"/>
        </w:rPr>
      </w:pPr>
      <w:r w:rsidRPr="002C481E">
        <w:rPr>
          <w:rFonts w:ascii="Arial" w:hAnsi="Arial" w:cs="Arial"/>
          <w:sz w:val="16"/>
          <w:szCs w:val="16"/>
          <w:lang w:eastAsia="es-CO"/>
        </w:rPr>
        <w:t>  </w:t>
      </w:r>
      <w:r w:rsidRPr="002C481E">
        <w:rPr>
          <w:rFonts w:ascii="Arial" w:hAnsi="Arial" w:cs="Arial"/>
          <w:sz w:val="16"/>
          <w:szCs w:val="16"/>
          <w:lang w:eastAsia="es-CO"/>
        </w:rPr>
        <w:tab/>
      </w:r>
      <w:r w:rsidRPr="002C481E">
        <w:rPr>
          <w:rFonts w:ascii="Arial" w:eastAsia="Calibri" w:hAnsi="Arial" w:cs="Arial"/>
          <w:bCs/>
          <w:sz w:val="16"/>
          <w:szCs w:val="16"/>
        </w:rPr>
        <w:t>“</w:t>
      </w:r>
      <w:r w:rsidRPr="002C481E">
        <w:rPr>
          <w:rFonts w:ascii="Arial" w:hAnsi="Arial" w:cs="Arial"/>
          <w:sz w:val="16"/>
          <w:szCs w:val="16"/>
          <w:lang w:eastAsia="es-CO"/>
        </w:rPr>
        <w:t>La Entidad Estatal debe adjudicar al oferente que presentó la oferta con la mejor relación costo-beneficio y suscribir el contrato por el precio total ofrecido</w:t>
      </w:r>
      <w:r w:rsidRPr="002C481E">
        <w:rPr>
          <w:rFonts w:ascii="Arial" w:eastAsia="Calibri" w:hAnsi="Arial" w:cs="Arial"/>
          <w:bCs/>
          <w:sz w:val="16"/>
          <w:szCs w:val="16"/>
        </w:rPr>
        <w:t>”</w:t>
      </w:r>
      <w:r w:rsidRPr="002C481E">
        <w:rPr>
          <w:rFonts w:ascii="Arial" w:hAnsi="Arial" w:cs="Arial"/>
          <w:sz w:val="16"/>
          <w:szCs w:val="16"/>
          <w:lang w:eastAsia="es-CO"/>
        </w:rPr>
        <w:t>. </w:t>
      </w:r>
    </w:p>
  </w:footnote>
  <w:footnote w:id="9">
    <w:p w14:paraId="28A4BB2B" w14:textId="77777777" w:rsidR="00224199" w:rsidRPr="002C481E" w:rsidRDefault="00224199" w:rsidP="00224199">
      <w:pPr>
        <w:ind w:right="104"/>
        <w:jc w:val="both"/>
        <w:rPr>
          <w:rFonts w:ascii="Arial" w:hAnsi="Arial" w:cs="Arial"/>
          <w:sz w:val="16"/>
          <w:szCs w:val="16"/>
        </w:rPr>
      </w:pPr>
      <w:r w:rsidRPr="002C481E">
        <w:rPr>
          <w:rStyle w:val="Refdenotaalpie"/>
          <w:rFonts w:ascii="Arial" w:hAnsi="Arial" w:cs="Arial"/>
          <w:sz w:val="16"/>
          <w:szCs w:val="16"/>
        </w:rPr>
        <w:footnoteRef/>
      </w:r>
      <w:r w:rsidRPr="002C481E">
        <w:rPr>
          <w:rFonts w:ascii="Arial" w:hAnsi="Arial" w:cs="Arial"/>
          <w:sz w:val="16"/>
          <w:szCs w:val="16"/>
        </w:rPr>
        <w:t xml:space="preserve"> Sentencia de la Subsección B de la Sección Tercera de la Sala de lo Contencioso Administrativo del Consejo de Estado del 16 de agosto de 2018, radicación 2003-01082-01 (37339) con ponencia de Stella Conto Díaz Del Castillo.</w:t>
      </w:r>
    </w:p>
    <w:p w14:paraId="52AD2255" w14:textId="77777777" w:rsidR="00224199" w:rsidRPr="002C481E" w:rsidRDefault="00224199" w:rsidP="00224199">
      <w:pPr>
        <w:pStyle w:val="Textonotapie"/>
        <w:jc w:val="both"/>
        <w:rPr>
          <w:rFonts w:ascii="Arial" w:hAnsi="Arial" w:cs="Arial"/>
          <w:sz w:val="16"/>
          <w:szCs w:val="16"/>
        </w:rPr>
      </w:pPr>
    </w:p>
  </w:footnote>
  <w:footnote w:id="10">
    <w:p w14:paraId="570AFC2E" w14:textId="77777777" w:rsidR="00224199" w:rsidRDefault="00224199" w:rsidP="00224199">
      <w:pPr>
        <w:jc w:val="both"/>
        <w:rPr>
          <w:rFonts w:ascii="Arial" w:eastAsia="Times New Roman" w:hAnsi="Arial" w:cs="Arial"/>
          <w:sz w:val="16"/>
          <w:szCs w:val="16"/>
          <w:lang w:eastAsia="es-CO"/>
        </w:rPr>
      </w:pPr>
      <w:r>
        <w:rPr>
          <w:rStyle w:val="Refdenotaalpie"/>
          <w:rFonts w:ascii="Arial" w:hAnsi="Arial" w:cs="Arial"/>
          <w:sz w:val="16"/>
          <w:szCs w:val="16"/>
        </w:rPr>
        <w:footnoteRef/>
      </w:r>
      <w:r>
        <w:rPr>
          <w:rFonts w:ascii="Arial" w:hAnsi="Arial" w:cs="Arial"/>
          <w:sz w:val="16"/>
          <w:szCs w:val="16"/>
        </w:rPr>
        <w:t xml:space="preserve"> Decreto 1082 de 2015 </w:t>
      </w:r>
      <w:r>
        <w:rPr>
          <w:rFonts w:ascii="Arial" w:eastAsia="Calibri" w:hAnsi="Arial" w:cs="Arial"/>
          <w:bCs/>
          <w:sz w:val="16"/>
          <w:szCs w:val="16"/>
        </w:rPr>
        <w:t>«</w:t>
      </w:r>
      <w:r>
        <w:rPr>
          <w:rFonts w:ascii="Arial" w:hAnsi="Arial" w:cs="Arial"/>
          <w:sz w:val="16"/>
          <w:szCs w:val="16"/>
          <w:lang w:eastAsia="es-CO"/>
        </w:rPr>
        <w:t>Artículo 2.2.1.1.2.2.2. Ofrecimiento más favorable. La Entidad Estatal debe determinar la oferta más favorable teniendo en cuenta las normas aplicables a cada modalidad de selección del contratista. </w:t>
      </w:r>
    </w:p>
    <w:p w14:paraId="5B7960BA" w14:textId="77777777" w:rsidR="00224199" w:rsidRDefault="00224199" w:rsidP="00224199">
      <w:pPr>
        <w:jc w:val="both"/>
        <w:rPr>
          <w:rFonts w:ascii="Arial" w:hAnsi="Arial" w:cs="Arial"/>
          <w:sz w:val="16"/>
          <w:szCs w:val="16"/>
          <w:lang w:eastAsia="es-CO"/>
        </w:rPr>
      </w:pPr>
      <w:r>
        <w:rPr>
          <w:rFonts w:ascii="Arial" w:hAnsi="Arial" w:cs="Arial"/>
          <w:sz w:val="16"/>
          <w:szCs w:val="16"/>
          <w:lang w:eastAsia="es-CO"/>
        </w:rPr>
        <w:t>  </w:t>
      </w:r>
      <w:r>
        <w:rPr>
          <w:rFonts w:ascii="Arial" w:hAnsi="Arial" w:cs="Arial"/>
          <w:sz w:val="16"/>
          <w:szCs w:val="16"/>
          <w:lang w:eastAsia="es-CO"/>
        </w:rPr>
        <w:tab/>
      </w:r>
      <w:r>
        <w:rPr>
          <w:rFonts w:ascii="Arial" w:eastAsia="Calibri" w:hAnsi="Arial" w:cs="Arial"/>
          <w:bCs/>
          <w:sz w:val="16"/>
          <w:szCs w:val="16"/>
        </w:rPr>
        <w:t>“</w:t>
      </w:r>
      <w:r>
        <w:rPr>
          <w:rFonts w:ascii="Arial" w:hAnsi="Arial" w:cs="Arial"/>
          <w:sz w:val="16"/>
          <w:szCs w:val="16"/>
          <w:lang w:eastAsia="es-CO"/>
        </w:rPr>
        <w:t>En la licitación y la selección abreviada de menor cuantía, la Entidad Estatal debe determinar la oferta más favorable teniendo en cuenta: (a) la ponderación de los elementos de calidad y precio soportados en puntajes o fórmulas; o (b) la ponderación de los elementos de calidad y precio que representen la mejor relación de costo-beneficio. Si la Entidad Estatal decide determinar la oferta de acuerdo con el literal (b) anterior debe señalar en los pliegos de condiciones: </w:t>
      </w:r>
    </w:p>
    <w:p w14:paraId="5A80AE9D" w14:textId="77777777" w:rsidR="00224199" w:rsidRDefault="00224199" w:rsidP="00224199">
      <w:pPr>
        <w:jc w:val="both"/>
        <w:rPr>
          <w:rFonts w:ascii="Arial" w:hAnsi="Arial" w:cs="Arial"/>
          <w:sz w:val="16"/>
          <w:szCs w:val="16"/>
          <w:lang w:eastAsia="es-CO"/>
        </w:rPr>
      </w:pPr>
      <w:r>
        <w:rPr>
          <w:rFonts w:ascii="Arial" w:hAnsi="Arial" w:cs="Arial"/>
          <w:sz w:val="16"/>
          <w:szCs w:val="16"/>
          <w:lang w:eastAsia="es-CO"/>
        </w:rPr>
        <w:t>  </w:t>
      </w:r>
      <w:r>
        <w:rPr>
          <w:rFonts w:ascii="Arial" w:hAnsi="Arial" w:cs="Arial"/>
          <w:sz w:val="16"/>
          <w:szCs w:val="16"/>
          <w:lang w:eastAsia="es-CO"/>
        </w:rPr>
        <w:tab/>
      </w:r>
      <w:r>
        <w:rPr>
          <w:rFonts w:ascii="Arial" w:eastAsia="Calibri" w:hAnsi="Arial" w:cs="Arial"/>
          <w:bCs/>
          <w:sz w:val="16"/>
          <w:szCs w:val="16"/>
        </w:rPr>
        <w:t>“</w:t>
      </w:r>
      <w:r>
        <w:rPr>
          <w:rFonts w:ascii="Arial" w:hAnsi="Arial" w:cs="Arial"/>
          <w:sz w:val="16"/>
          <w:szCs w:val="16"/>
          <w:lang w:eastAsia="es-CO"/>
        </w:rPr>
        <w:t>1. Las condiciones técnicas y económicas mínimas de la oferta. </w:t>
      </w:r>
    </w:p>
    <w:p w14:paraId="15B79E38" w14:textId="77777777" w:rsidR="00224199" w:rsidRDefault="00224199" w:rsidP="00224199">
      <w:pPr>
        <w:jc w:val="both"/>
        <w:rPr>
          <w:rFonts w:ascii="Arial" w:hAnsi="Arial" w:cs="Arial"/>
          <w:sz w:val="16"/>
          <w:szCs w:val="16"/>
          <w:lang w:eastAsia="es-CO"/>
        </w:rPr>
      </w:pPr>
      <w:r>
        <w:rPr>
          <w:rFonts w:ascii="Arial" w:hAnsi="Arial" w:cs="Arial"/>
          <w:sz w:val="16"/>
          <w:szCs w:val="16"/>
          <w:lang w:eastAsia="es-CO"/>
        </w:rPr>
        <w:t>  </w:t>
      </w:r>
      <w:r>
        <w:rPr>
          <w:rFonts w:ascii="Arial" w:hAnsi="Arial" w:cs="Arial"/>
          <w:sz w:val="16"/>
          <w:szCs w:val="16"/>
          <w:lang w:eastAsia="es-CO"/>
        </w:rPr>
        <w:tab/>
      </w:r>
      <w:r>
        <w:rPr>
          <w:rFonts w:ascii="Arial" w:eastAsia="Calibri" w:hAnsi="Arial" w:cs="Arial"/>
          <w:bCs/>
          <w:sz w:val="16"/>
          <w:szCs w:val="16"/>
        </w:rPr>
        <w:t>“</w:t>
      </w:r>
      <w:r>
        <w:rPr>
          <w:rFonts w:ascii="Arial" w:hAnsi="Arial" w:cs="Arial"/>
          <w:sz w:val="16"/>
          <w:szCs w:val="16"/>
          <w:lang w:eastAsia="es-CO"/>
        </w:rPr>
        <w:t>2. Las condiciones técnicas adicionales que representan ventajas de calidad o de funcionamiento, tales como el uso de tecnología o materiales que generen mayor eficiencia, rendimiento o duración del bien, obra o servicio. </w:t>
      </w:r>
    </w:p>
    <w:p w14:paraId="403D9460" w14:textId="77777777" w:rsidR="00224199" w:rsidRDefault="00224199" w:rsidP="00224199">
      <w:pPr>
        <w:jc w:val="both"/>
        <w:rPr>
          <w:rFonts w:ascii="Arial" w:hAnsi="Arial" w:cs="Arial"/>
          <w:sz w:val="16"/>
          <w:szCs w:val="16"/>
          <w:lang w:eastAsia="es-CO"/>
        </w:rPr>
      </w:pPr>
      <w:r>
        <w:rPr>
          <w:rFonts w:ascii="Arial" w:hAnsi="Arial" w:cs="Arial"/>
          <w:sz w:val="16"/>
          <w:szCs w:val="16"/>
          <w:lang w:eastAsia="es-CO"/>
        </w:rPr>
        <w:t>  </w:t>
      </w:r>
      <w:r>
        <w:rPr>
          <w:rFonts w:ascii="Arial" w:hAnsi="Arial" w:cs="Arial"/>
          <w:sz w:val="16"/>
          <w:szCs w:val="16"/>
          <w:lang w:eastAsia="es-CO"/>
        </w:rPr>
        <w:tab/>
      </w:r>
      <w:r>
        <w:rPr>
          <w:rFonts w:ascii="Arial" w:eastAsia="Calibri" w:hAnsi="Arial" w:cs="Arial"/>
          <w:bCs/>
          <w:sz w:val="16"/>
          <w:szCs w:val="16"/>
        </w:rPr>
        <w:t>“</w:t>
      </w:r>
      <w:r>
        <w:rPr>
          <w:rFonts w:ascii="Arial" w:hAnsi="Arial" w:cs="Arial"/>
          <w:sz w:val="16"/>
          <w:szCs w:val="16"/>
          <w:lang w:eastAsia="es-CO"/>
        </w:rPr>
        <w:t>3. Las condiciones económicas adicionales que representen ventajas en términos de economía, eficiencia y eficacia, que puedan ser valoradas en dinero, como por ejemplo la forma de pago, descuentos por adjudicación de varios lotes, descuentos por variaciones en programas de entregas, mayor garantía del bien o servicio respecto de la mínima requerida, impacto económico sobre las condiciones existentes de la Entidad Estatal relacionadas con el objeto a contratar, mayor asunción de los Riesgos, servicios o bienes adicionales y que representen un mayor grado de satisfacción para la entidad, entre otras. </w:t>
      </w:r>
    </w:p>
    <w:p w14:paraId="1571EC09" w14:textId="77777777" w:rsidR="00224199" w:rsidRDefault="00224199" w:rsidP="00224199">
      <w:pPr>
        <w:jc w:val="both"/>
        <w:rPr>
          <w:rFonts w:ascii="Arial" w:hAnsi="Arial" w:cs="Arial"/>
          <w:sz w:val="16"/>
          <w:szCs w:val="16"/>
          <w:lang w:eastAsia="es-CO"/>
        </w:rPr>
      </w:pPr>
      <w:r>
        <w:rPr>
          <w:rFonts w:ascii="Arial" w:hAnsi="Arial" w:cs="Arial"/>
          <w:sz w:val="16"/>
          <w:szCs w:val="16"/>
          <w:lang w:eastAsia="es-CO"/>
        </w:rPr>
        <w:t>  </w:t>
      </w:r>
      <w:r>
        <w:rPr>
          <w:rFonts w:ascii="Arial" w:hAnsi="Arial" w:cs="Arial"/>
          <w:sz w:val="16"/>
          <w:szCs w:val="16"/>
          <w:lang w:eastAsia="es-CO"/>
        </w:rPr>
        <w:tab/>
      </w:r>
      <w:r>
        <w:rPr>
          <w:rFonts w:ascii="Arial" w:eastAsia="Calibri" w:hAnsi="Arial" w:cs="Arial"/>
          <w:bCs/>
          <w:sz w:val="16"/>
          <w:szCs w:val="16"/>
        </w:rPr>
        <w:t>“</w:t>
      </w:r>
      <w:r>
        <w:rPr>
          <w:rFonts w:ascii="Arial" w:hAnsi="Arial" w:cs="Arial"/>
          <w:sz w:val="16"/>
          <w:szCs w:val="16"/>
          <w:lang w:eastAsia="es-CO"/>
        </w:rPr>
        <w:t>4. El valor en dinero que la Entidad Estatal asigna a cada ofrecimiento técnico o económico adicional, para permitir la ponderación de las ofertas presentadas. </w:t>
      </w:r>
    </w:p>
    <w:p w14:paraId="4E78E1D8" w14:textId="77777777" w:rsidR="00224199" w:rsidRDefault="00224199" w:rsidP="00224199">
      <w:pPr>
        <w:jc w:val="both"/>
        <w:rPr>
          <w:rFonts w:ascii="Arial" w:hAnsi="Arial" w:cs="Arial"/>
          <w:sz w:val="16"/>
          <w:szCs w:val="16"/>
          <w:lang w:eastAsia="es-CO"/>
        </w:rPr>
      </w:pPr>
      <w:r>
        <w:rPr>
          <w:rFonts w:ascii="Arial" w:hAnsi="Arial" w:cs="Arial"/>
          <w:sz w:val="16"/>
          <w:szCs w:val="16"/>
          <w:lang w:eastAsia="es-CO"/>
        </w:rPr>
        <w:t>  </w:t>
      </w:r>
      <w:r>
        <w:rPr>
          <w:rFonts w:ascii="Arial" w:hAnsi="Arial" w:cs="Arial"/>
          <w:sz w:val="16"/>
          <w:szCs w:val="16"/>
          <w:lang w:eastAsia="es-CO"/>
        </w:rPr>
        <w:tab/>
      </w:r>
      <w:r>
        <w:rPr>
          <w:rFonts w:ascii="Arial" w:eastAsia="Calibri" w:hAnsi="Arial" w:cs="Arial"/>
          <w:bCs/>
          <w:sz w:val="16"/>
          <w:szCs w:val="16"/>
        </w:rPr>
        <w:t>“</w:t>
      </w:r>
      <w:r>
        <w:rPr>
          <w:rFonts w:ascii="Arial" w:hAnsi="Arial" w:cs="Arial"/>
          <w:sz w:val="16"/>
          <w:szCs w:val="16"/>
          <w:lang w:eastAsia="es-CO"/>
        </w:rPr>
        <w:t>La Entidad Estatal debe calcular la relación costo-beneficio de cada oferta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 </w:t>
      </w:r>
    </w:p>
    <w:p w14:paraId="0E7D0DBD" w14:textId="77777777" w:rsidR="00224199" w:rsidRDefault="00224199" w:rsidP="00224199">
      <w:pPr>
        <w:jc w:val="both"/>
        <w:rPr>
          <w:rFonts w:ascii="Arial" w:hAnsi="Arial" w:cs="Arial"/>
          <w:sz w:val="16"/>
          <w:szCs w:val="16"/>
          <w:lang w:eastAsia="es-ES_tradnl"/>
        </w:rPr>
      </w:pPr>
      <w:r>
        <w:rPr>
          <w:rFonts w:ascii="Arial" w:hAnsi="Arial" w:cs="Arial"/>
          <w:sz w:val="16"/>
          <w:szCs w:val="16"/>
          <w:lang w:eastAsia="es-CO"/>
        </w:rPr>
        <w:t>  </w:t>
      </w:r>
      <w:r>
        <w:rPr>
          <w:rFonts w:ascii="Arial" w:hAnsi="Arial" w:cs="Arial"/>
          <w:sz w:val="16"/>
          <w:szCs w:val="16"/>
          <w:lang w:eastAsia="es-CO"/>
        </w:rPr>
        <w:tab/>
      </w:r>
      <w:r>
        <w:rPr>
          <w:rFonts w:ascii="Arial" w:eastAsia="Calibri" w:hAnsi="Arial" w:cs="Arial"/>
          <w:bCs/>
          <w:sz w:val="16"/>
          <w:szCs w:val="16"/>
        </w:rPr>
        <w:t>“</w:t>
      </w:r>
      <w:r>
        <w:rPr>
          <w:rFonts w:ascii="Arial" w:hAnsi="Arial" w:cs="Arial"/>
          <w:sz w:val="16"/>
          <w:szCs w:val="16"/>
          <w:lang w:eastAsia="es-CO"/>
        </w:rPr>
        <w:t>La Entidad Estatal debe adjudicar al oferente que presentó la oferta con la mejor relación costo-beneficio y suscribir el contrato por el precio total ofrecido</w:t>
      </w:r>
      <w:r>
        <w:rPr>
          <w:rFonts w:ascii="Arial" w:eastAsia="Calibri" w:hAnsi="Arial" w:cs="Arial"/>
          <w:bCs/>
          <w:sz w:val="16"/>
          <w:szCs w:val="16"/>
        </w:rPr>
        <w:t>”</w:t>
      </w:r>
      <w:r>
        <w:rPr>
          <w:rFonts w:ascii="Arial" w:hAnsi="Arial" w:cs="Arial"/>
          <w:sz w:val="16"/>
          <w:szCs w:val="16"/>
          <w:lang w:eastAsia="es-CO"/>
        </w:rPr>
        <w:t>. </w:t>
      </w:r>
    </w:p>
  </w:footnote>
  <w:footnote w:id="11">
    <w:p w14:paraId="6E84BF35" w14:textId="77777777" w:rsidR="00224199" w:rsidRPr="00F47986" w:rsidRDefault="00224199" w:rsidP="008C3D2D">
      <w:pPr>
        <w:pStyle w:val="Textonotapie"/>
        <w:ind w:firstLine="708"/>
        <w:rPr>
          <w:lang w:val="es-CO"/>
        </w:rPr>
      </w:pPr>
      <w:r>
        <w:rPr>
          <w:rStyle w:val="Refdenotaalpie"/>
        </w:rPr>
        <w:footnoteRef/>
      </w:r>
      <w:r>
        <w:t xml:space="preserve"> </w:t>
      </w:r>
      <w:r w:rsidRPr="002C481E">
        <w:rPr>
          <w:rFonts w:ascii="Arial" w:hAnsi="Arial" w:cs="Arial"/>
          <w:sz w:val="16"/>
          <w:szCs w:val="16"/>
          <w:lang w:val="es-CO"/>
        </w:rPr>
        <w:t>Estos conceptos pueden ser consultados en la Relatoría de esta Agencia en el siguiente Link: https://relatoria.colombiacompra.gov.co/busqueda/conceptos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lang w:eastAsia="es-CO"/>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61210567">
    <w:abstractNumId w:val="3"/>
  </w:num>
  <w:num w:numId="2" w16cid:durableId="1988896045">
    <w:abstractNumId w:val="1"/>
  </w:num>
  <w:num w:numId="3" w16cid:durableId="720791180">
    <w:abstractNumId w:val="2"/>
  </w:num>
  <w:num w:numId="4" w16cid:durableId="13653285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9355306">
    <w:abstractNumId w:val="1"/>
  </w:num>
  <w:num w:numId="6" w16cid:durableId="1820269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A683E"/>
    <w:rsid w:val="000B19B9"/>
    <w:rsid w:val="000D0334"/>
    <w:rsid w:val="000F6486"/>
    <w:rsid w:val="00100656"/>
    <w:rsid w:val="00127233"/>
    <w:rsid w:val="001E4177"/>
    <w:rsid w:val="00224199"/>
    <w:rsid w:val="002951A0"/>
    <w:rsid w:val="002962BC"/>
    <w:rsid w:val="002A49AC"/>
    <w:rsid w:val="002A64FD"/>
    <w:rsid w:val="002C7A84"/>
    <w:rsid w:val="003A779E"/>
    <w:rsid w:val="003D0F4D"/>
    <w:rsid w:val="003E0499"/>
    <w:rsid w:val="003F3941"/>
    <w:rsid w:val="0040066C"/>
    <w:rsid w:val="004A1847"/>
    <w:rsid w:val="004A305D"/>
    <w:rsid w:val="004F21C4"/>
    <w:rsid w:val="004F685F"/>
    <w:rsid w:val="005566E8"/>
    <w:rsid w:val="00574867"/>
    <w:rsid w:val="005C5CDC"/>
    <w:rsid w:val="005D476C"/>
    <w:rsid w:val="006219F8"/>
    <w:rsid w:val="00631558"/>
    <w:rsid w:val="00665D70"/>
    <w:rsid w:val="00706C16"/>
    <w:rsid w:val="00756841"/>
    <w:rsid w:val="007649AB"/>
    <w:rsid w:val="007833AC"/>
    <w:rsid w:val="007C3DC2"/>
    <w:rsid w:val="007E5497"/>
    <w:rsid w:val="00806F5F"/>
    <w:rsid w:val="00820278"/>
    <w:rsid w:val="008843B6"/>
    <w:rsid w:val="00891928"/>
    <w:rsid w:val="008A446D"/>
    <w:rsid w:val="008C3D2D"/>
    <w:rsid w:val="008F0EA7"/>
    <w:rsid w:val="00923EEF"/>
    <w:rsid w:val="009419F9"/>
    <w:rsid w:val="00961B09"/>
    <w:rsid w:val="00965334"/>
    <w:rsid w:val="0097093E"/>
    <w:rsid w:val="009C71FA"/>
    <w:rsid w:val="009C72E7"/>
    <w:rsid w:val="00A17F13"/>
    <w:rsid w:val="00A20739"/>
    <w:rsid w:val="00A33C78"/>
    <w:rsid w:val="00AB0ADB"/>
    <w:rsid w:val="00AE5061"/>
    <w:rsid w:val="00AF6B70"/>
    <w:rsid w:val="00B72CD3"/>
    <w:rsid w:val="00B72FFF"/>
    <w:rsid w:val="00BD7F72"/>
    <w:rsid w:val="00C330EB"/>
    <w:rsid w:val="00C754BE"/>
    <w:rsid w:val="00CB6357"/>
    <w:rsid w:val="00CC1B26"/>
    <w:rsid w:val="00D15265"/>
    <w:rsid w:val="00D41F5B"/>
    <w:rsid w:val="00D423A2"/>
    <w:rsid w:val="00D54F1A"/>
    <w:rsid w:val="00D63AC2"/>
    <w:rsid w:val="00D7383B"/>
    <w:rsid w:val="00E16408"/>
    <w:rsid w:val="00E20894"/>
    <w:rsid w:val="00E245AB"/>
    <w:rsid w:val="00E4073A"/>
    <w:rsid w:val="00E50AFE"/>
    <w:rsid w:val="00E771DC"/>
    <w:rsid w:val="00E8772A"/>
    <w:rsid w:val="00E90F6B"/>
    <w:rsid w:val="00E92C27"/>
    <w:rsid w:val="00EA0E3D"/>
    <w:rsid w:val="00EE1AA8"/>
    <w:rsid w:val="00EE5D6E"/>
    <w:rsid w:val="00F31EDC"/>
    <w:rsid w:val="00F37E35"/>
    <w:rsid w:val="00F5664F"/>
    <w:rsid w:val="00F76AFC"/>
    <w:rsid w:val="00FB5DD1"/>
    <w:rsid w:val="00FC2B5D"/>
    <w:rsid w:val="00FF1449"/>
    <w:rsid w:val="1D4D7EED"/>
    <w:rsid w:val="2D28CD84"/>
    <w:rsid w:val="2EC49DE5"/>
    <w:rsid w:val="34F803BE"/>
    <w:rsid w:val="49FF14BC"/>
    <w:rsid w:val="596D2B18"/>
    <w:rsid w:val="690952E6"/>
    <w:rsid w:val="77E816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numbering" w:customStyle="1" w:styleId="Sinlista1">
    <w:name w:val="Sin lista1"/>
    <w:next w:val="Sinlista"/>
    <w:uiPriority w:val="99"/>
    <w:semiHidden/>
    <w:unhideWhenUsed/>
    <w:rsid w:val="00224199"/>
  </w:style>
  <w:style w:type="table" w:customStyle="1" w:styleId="Tablaconcuadrcula1">
    <w:name w:val="Tabla con cuadrícula1"/>
    <w:basedOn w:val="Tablanormal"/>
    <w:next w:val="Tablaconcuadrcula"/>
    <w:uiPriority w:val="59"/>
    <w:rsid w:val="00224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22419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24199"/>
    <w:rPr>
      <w:rFonts w:ascii="Geomanist Light" w:hAnsi="Geomanist Light"/>
      <w:lang w:val="es-ES"/>
    </w:rPr>
  </w:style>
  <w:style w:type="table" w:customStyle="1" w:styleId="Tablaconcuadrcula11">
    <w:name w:val="Tabla con cuadrícula11"/>
    <w:basedOn w:val="Tablanormal"/>
    <w:next w:val="Tablaconcuadrcula"/>
    <w:uiPriority w:val="59"/>
    <w:rsid w:val="0022419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224199"/>
    <w:pPr>
      <w:spacing w:line="240" w:lineRule="exact"/>
    </w:pPr>
    <w:rPr>
      <w:vertAlign w:val="superscript"/>
    </w:rPr>
  </w:style>
  <w:style w:type="character" w:customStyle="1" w:styleId="NormalWebCar">
    <w:name w:val="Normal (Web) Car"/>
    <w:link w:val="NormalWeb"/>
    <w:uiPriority w:val="99"/>
    <w:rsid w:val="00224199"/>
    <w:rPr>
      <w:rFonts w:ascii="Times New Roman" w:eastAsia="Times New Roman" w:hAnsi="Times New Roman" w:cs="Times New Roman"/>
      <w:sz w:val="24"/>
      <w:szCs w:val="24"/>
      <w:lang w:eastAsia="es-CO"/>
    </w:rPr>
  </w:style>
  <w:style w:type="paragraph" w:styleId="Revisin">
    <w:name w:val="Revision"/>
    <w:hidden/>
    <w:uiPriority w:val="99"/>
    <w:semiHidden/>
    <w:rsid w:val="00D15265"/>
    <w:pPr>
      <w:spacing w:after="0" w:line="240" w:lineRule="auto"/>
    </w:pPr>
  </w:style>
  <w:style w:type="character" w:styleId="Refdecomentario">
    <w:name w:val="annotation reference"/>
    <w:basedOn w:val="Fuentedeprrafopredeter"/>
    <w:uiPriority w:val="99"/>
    <w:semiHidden/>
    <w:unhideWhenUsed/>
    <w:rsid w:val="00D54F1A"/>
    <w:rPr>
      <w:sz w:val="16"/>
      <w:szCs w:val="16"/>
    </w:rPr>
  </w:style>
  <w:style w:type="paragraph" w:styleId="Textocomentario">
    <w:name w:val="annotation text"/>
    <w:basedOn w:val="Normal"/>
    <w:link w:val="TextocomentarioCar"/>
    <w:uiPriority w:val="99"/>
    <w:unhideWhenUsed/>
    <w:rsid w:val="00D54F1A"/>
    <w:pPr>
      <w:spacing w:line="240" w:lineRule="auto"/>
    </w:pPr>
    <w:rPr>
      <w:sz w:val="20"/>
      <w:szCs w:val="20"/>
    </w:rPr>
  </w:style>
  <w:style w:type="character" w:customStyle="1" w:styleId="TextocomentarioCar">
    <w:name w:val="Texto comentario Car"/>
    <w:basedOn w:val="Fuentedeprrafopredeter"/>
    <w:link w:val="Textocomentario"/>
    <w:uiPriority w:val="99"/>
    <w:rsid w:val="00D54F1A"/>
    <w:rPr>
      <w:sz w:val="20"/>
      <w:szCs w:val="20"/>
    </w:rPr>
  </w:style>
  <w:style w:type="paragraph" w:styleId="Asuntodelcomentario">
    <w:name w:val="annotation subject"/>
    <w:basedOn w:val="Textocomentario"/>
    <w:next w:val="Textocomentario"/>
    <w:link w:val="AsuntodelcomentarioCar"/>
    <w:uiPriority w:val="99"/>
    <w:semiHidden/>
    <w:unhideWhenUsed/>
    <w:rsid w:val="00D54F1A"/>
    <w:rPr>
      <w:b/>
      <w:bCs/>
    </w:rPr>
  </w:style>
  <w:style w:type="character" w:customStyle="1" w:styleId="AsuntodelcomentarioCar">
    <w:name w:val="Asunto del comentario Car"/>
    <w:basedOn w:val="TextocomentarioCar"/>
    <w:link w:val="Asuntodelcomentario"/>
    <w:uiPriority w:val="99"/>
    <w:semiHidden/>
    <w:rsid w:val="00D54F1A"/>
    <w:rPr>
      <w:b/>
      <w:bCs/>
      <w:sz w:val="20"/>
      <w:szCs w:val="20"/>
    </w:rPr>
  </w:style>
  <w:style w:type="paragraph" w:styleId="Textodeglobo">
    <w:name w:val="Balloon Text"/>
    <w:basedOn w:val="Normal"/>
    <w:link w:val="TextodegloboCar"/>
    <w:uiPriority w:val="99"/>
    <w:semiHidden/>
    <w:unhideWhenUsed/>
    <w:rsid w:val="008C3D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D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documentManagement/types"/>
    <ds:schemaRef ds:uri="http://purl.org/dc/terms/"/>
    <ds:schemaRef ds:uri="http://schemas.microsoft.com/office/2006/metadata/properties"/>
    <ds:schemaRef ds:uri="9d85dbaf-23eb-4e57-a637-93dcacc8b1a1"/>
    <ds:schemaRef ds:uri="http://purl.org/dc/elements/1.1/"/>
    <ds:schemaRef ds:uri="http://schemas.microsoft.com/office/infopath/2007/PartnerControls"/>
    <ds:schemaRef ds:uri="http://purl.org/dc/dcmitype/"/>
    <ds:schemaRef ds:uri="http://www.w3.org/XML/1998/namespace"/>
    <ds:schemaRef ds:uri="http://schemas.openxmlformats.org/package/2006/metadata/core-properties"/>
    <ds:schemaRef ds:uri="a6cb9e4b-f1d1-4245-83ec-6cad768d538a"/>
  </ds:schemaRefs>
</ds:datastoreItem>
</file>

<file path=customXml/itemProps2.xml><?xml version="1.0" encoding="utf-8"?>
<ds:datastoreItem xmlns:ds="http://schemas.openxmlformats.org/officeDocument/2006/customXml" ds:itemID="{41A90734-9562-4DD5-88BB-B1AF83BDC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5914</Words>
  <Characters>32533</Characters>
  <Application>Microsoft Office Word</Application>
  <DocSecurity>0</DocSecurity>
  <Lines>271</Lines>
  <Paragraphs>76</Paragraphs>
  <ScaleCrop>false</ScaleCrop>
  <Company/>
  <LinksUpToDate>false</LinksUpToDate>
  <CharactersWithSpaces>38371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5</cp:revision>
  <cp:lastPrinted>2023-01-10T21:18:00Z</cp:lastPrinted>
  <dcterms:created xsi:type="dcterms:W3CDTF">2023-06-27T22:03:00Z</dcterms:created>
  <dcterms:modified xsi:type="dcterms:W3CDTF">2023-08-31T20:01:00Z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