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AC8E" w14:textId="77777777" w:rsidR="00FC0B42" w:rsidRPr="00EE1B19" w:rsidRDefault="00FC0B42" w:rsidP="00FC0B42">
      <w:pPr>
        <w:spacing w:after="120" w:line="240" w:lineRule="auto"/>
        <w:contextualSpacing/>
        <w:jc w:val="both"/>
        <w:rPr>
          <w:rFonts w:ascii="Arial" w:eastAsia="Calibri" w:hAnsi="Arial" w:cs="Arial"/>
          <w:b/>
          <w:bCs/>
          <w:color w:val="000000"/>
          <w:lang w:val="es-ES_tradnl"/>
        </w:rPr>
      </w:pPr>
      <w:bookmarkStart w:id="0" w:name="_Hlk96417464"/>
      <w:bookmarkStart w:id="1" w:name="_Hlk120036210"/>
      <w:bookmarkStart w:id="2" w:name="_Hlk98867631"/>
      <w:bookmarkStart w:id="3" w:name="_Hlk99546921"/>
      <w:bookmarkStart w:id="4" w:name="_Hlk34951122"/>
      <w:r w:rsidRPr="00EE1B19">
        <w:rPr>
          <w:rFonts w:ascii="Arial" w:eastAsia="Calibri" w:hAnsi="Arial" w:cs="Arial"/>
          <w:b/>
          <w:bCs/>
          <w:color w:val="000000"/>
          <w:lang w:val="es-ES_tradnl"/>
        </w:rPr>
        <w:t>LEY DE EMPRENDIMIENTO – Ley 2069 de 2020 – Contenido – Finalidad</w:t>
      </w:r>
    </w:p>
    <w:p w14:paraId="09E1B03C" w14:textId="77777777" w:rsidR="00FC0B42" w:rsidRPr="0051048E" w:rsidRDefault="00FC0B42" w:rsidP="00FC0B42">
      <w:pPr>
        <w:spacing w:after="120" w:line="240" w:lineRule="auto"/>
        <w:contextualSpacing/>
        <w:jc w:val="both"/>
        <w:rPr>
          <w:rFonts w:ascii="Arial" w:eastAsia="Calibri" w:hAnsi="Arial" w:cs="Arial"/>
          <w:color w:val="000000"/>
          <w:sz w:val="20"/>
          <w:szCs w:val="20"/>
          <w:lang w:val="es-ES_tradnl"/>
        </w:rPr>
      </w:pPr>
    </w:p>
    <w:p w14:paraId="3232AFCF" w14:textId="77777777" w:rsidR="00FC0B42" w:rsidRPr="0051048E" w:rsidRDefault="00FC0B42" w:rsidP="00FC0B42">
      <w:pPr>
        <w:tabs>
          <w:tab w:val="left" w:pos="426"/>
        </w:tabs>
        <w:spacing w:after="0" w:line="240" w:lineRule="auto"/>
        <w:jc w:val="both"/>
        <w:rPr>
          <w:rFonts w:ascii="Arial" w:eastAsia="Times New Roman" w:hAnsi="Arial" w:cs="Arial"/>
          <w:bCs/>
          <w:color w:val="000000"/>
          <w:sz w:val="20"/>
          <w:szCs w:val="20"/>
          <w:lang w:val="es-ES_tradnl" w:eastAsia="es-CO"/>
        </w:rPr>
      </w:pPr>
      <w:r w:rsidRPr="0051048E">
        <w:rPr>
          <w:rFonts w:ascii="Arial" w:eastAsia="Times New Roman" w:hAnsi="Arial" w:cs="Arial"/>
          <w:bCs/>
          <w:color w:val="000000"/>
          <w:sz w:val="20"/>
          <w:szCs w:val="20"/>
          <w:lang w:val="es-ES_tradnl" w:eastAsia="es-CO"/>
        </w:rPr>
        <w:t xml:space="preserve">El 31 de diciembre de 2020, en congruencia con el “Pacto por el emprendimiento, la formalización y la productividad” del Plan Nacional de Desarrollo 2018-2022, el </w:t>
      </w:r>
      <w:proofErr w:type="gramStart"/>
      <w:r w:rsidRPr="0051048E">
        <w:rPr>
          <w:rFonts w:ascii="Arial" w:eastAsia="Times New Roman" w:hAnsi="Arial" w:cs="Arial"/>
          <w:bCs/>
          <w:color w:val="000000"/>
          <w:sz w:val="20"/>
          <w:szCs w:val="20"/>
          <w:lang w:val="es-ES_tradnl" w:eastAsia="es-CO"/>
        </w:rPr>
        <w:t>Presidente</w:t>
      </w:r>
      <w:proofErr w:type="gramEnd"/>
      <w:r w:rsidRPr="0051048E">
        <w:rPr>
          <w:rFonts w:ascii="Arial" w:eastAsia="Times New Roman" w:hAnsi="Arial" w:cs="Arial"/>
          <w:bCs/>
          <w:color w:val="000000"/>
          <w:sz w:val="20"/>
          <w:szCs w:val="20"/>
          <w:lang w:val="es-ES_tradnl" w:eastAsia="es-CO"/>
        </w:rPr>
        <w:t xml:space="preserv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5D8F7303" w14:textId="77777777" w:rsidR="00FC0B42" w:rsidRPr="0051048E" w:rsidRDefault="00FC0B42" w:rsidP="00FC0B42">
      <w:pPr>
        <w:tabs>
          <w:tab w:val="left" w:pos="426"/>
        </w:tabs>
        <w:spacing w:after="0" w:line="240" w:lineRule="auto"/>
        <w:jc w:val="both"/>
        <w:rPr>
          <w:rFonts w:ascii="Arial" w:eastAsia="Times New Roman" w:hAnsi="Arial" w:cs="Arial"/>
          <w:bCs/>
          <w:color w:val="000000"/>
          <w:sz w:val="20"/>
          <w:szCs w:val="20"/>
          <w:lang w:val="es-ES_tradnl" w:eastAsia="es-CO"/>
        </w:rPr>
      </w:pPr>
    </w:p>
    <w:p w14:paraId="633C199F" w14:textId="77777777" w:rsidR="00FC0B42" w:rsidRPr="0051048E" w:rsidRDefault="00FC0B42" w:rsidP="00FC0B42">
      <w:pPr>
        <w:tabs>
          <w:tab w:val="left" w:pos="426"/>
        </w:tabs>
        <w:spacing w:after="0" w:line="240" w:lineRule="auto"/>
        <w:jc w:val="both"/>
        <w:rPr>
          <w:rFonts w:ascii="Arial" w:eastAsia="Times New Roman" w:hAnsi="Arial" w:cs="Arial"/>
          <w:bCs/>
          <w:color w:val="000000"/>
          <w:sz w:val="20"/>
          <w:szCs w:val="20"/>
          <w:lang w:val="es-ES_tradnl" w:eastAsia="es-CO"/>
        </w:rPr>
      </w:pPr>
      <w:r w:rsidRPr="0051048E">
        <w:rPr>
          <w:rFonts w:ascii="Arial" w:eastAsia="Times New Roman" w:hAnsi="Arial" w:cs="Arial"/>
          <w:bCs/>
          <w:color w:val="000000"/>
          <w:sz w:val="20"/>
          <w:szCs w:val="20"/>
          <w:lang w:val="es-ES_tradnl" w:eastAsia="es-CO"/>
        </w:rPr>
        <w:t xml:space="preserve">Por ello, la ley impulsa medidas para i) reducir cargas y trámites para los emprendedores del país; </w:t>
      </w:r>
      <w:proofErr w:type="spellStart"/>
      <w:r w:rsidRPr="0051048E">
        <w:rPr>
          <w:rFonts w:ascii="Arial" w:eastAsia="Times New Roman" w:hAnsi="Arial" w:cs="Arial"/>
          <w:bCs/>
          <w:color w:val="000000"/>
          <w:sz w:val="20"/>
          <w:szCs w:val="20"/>
          <w:lang w:val="es-ES_tradnl" w:eastAsia="es-CO"/>
        </w:rPr>
        <w:t>ii</w:t>
      </w:r>
      <w:proofErr w:type="spellEnd"/>
      <w:r w:rsidRPr="0051048E">
        <w:rPr>
          <w:rFonts w:ascii="Arial" w:eastAsia="Times New Roman" w:hAnsi="Arial" w:cs="Arial"/>
          <w:bCs/>
          <w:color w:val="000000"/>
          <w:sz w:val="20"/>
          <w:szCs w:val="20"/>
          <w:lang w:val="es-ES_tradnl" w:eastAsia="es-CO"/>
        </w:rPr>
        <w:t xml:space="preserve">) facilitar su acceso al sistema de compras y contratación pública; </w:t>
      </w:r>
      <w:proofErr w:type="spellStart"/>
      <w:r w:rsidRPr="0051048E">
        <w:rPr>
          <w:rFonts w:ascii="Arial" w:eastAsia="Times New Roman" w:hAnsi="Arial" w:cs="Arial"/>
          <w:bCs/>
          <w:color w:val="000000"/>
          <w:sz w:val="20"/>
          <w:szCs w:val="20"/>
          <w:lang w:val="es-ES_tradnl" w:eastAsia="es-CO"/>
        </w:rPr>
        <w:t>iii</w:t>
      </w:r>
      <w:proofErr w:type="spellEnd"/>
      <w:r w:rsidRPr="0051048E">
        <w:rPr>
          <w:rFonts w:ascii="Arial" w:eastAsia="Times New Roman" w:hAnsi="Arial" w:cs="Arial"/>
          <w:bCs/>
          <w:color w:val="000000"/>
          <w:sz w:val="20"/>
          <w:szCs w:val="20"/>
          <w:lang w:val="es-ES_tradnl" w:eastAsia="es-CO"/>
        </w:rPr>
        <w:t xml:space="preserve">) incentivar el crecimiento económico con la llegada de más actores al ecosistema de inversión y financiación; </w:t>
      </w:r>
      <w:proofErr w:type="spellStart"/>
      <w:r w:rsidRPr="0051048E">
        <w:rPr>
          <w:rFonts w:ascii="Arial" w:eastAsia="Times New Roman" w:hAnsi="Arial" w:cs="Arial"/>
          <w:bCs/>
          <w:color w:val="000000"/>
          <w:sz w:val="20"/>
          <w:szCs w:val="20"/>
          <w:lang w:val="es-ES_tradnl" w:eastAsia="es-CO"/>
        </w:rPr>
        <w:t>iv</w:t>
      </w:r>
      <w:proofErr w:type="spellEnd"/>
      <w:r w:rsidRPr="0051048E">
        <w:rPr>
          <w:rFonts w:ascii="Arial" w:eastAsia="Times New Roman" w:hAnsi="Arial" w:cs="Arial"/>
          <w:bCs/>
          <w:color w:val="000000"/>
          <w:sz w:val="20"/>
          <w:szCs w:val="20"/>
          <w:lang w:val="es-ES_tradnl" w:eastAsia="es-CO"/>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13AFD94F" w14:textId="77777777" w:rsidR="00FC0B42" w:rsidRPr="0051048E" w:rsidRDefault="00FC0B42" w:rsidP="00FC0B42">
      <w:pPr>
        <w:spacing w:after="0" w:line="240" w:lineRule="auto"/>
        <w:jc w:val="both"/>
        <w:rPr>
          <w:rFonts w:ascii="Calibri" w:eastAsia="Calibri" w:hAnsi="Calibri" w:cs="Calibri"/>
          <w:sz w:val="24"/>
          <w:szCs w:val="24"/>
          <w:lang w:val="es-MX" w:eastAsia="es-CO"/>
        </w:rPr>
      </w:pPr>
    </w:p>
    <w:p w14:paraId="5C30586E" w14:textId="77777777" w:rsidR="00FC0B42" w:rsidRPr="0051048E" w:rsidRDefault="00FC0B42" w:rsidP="00FC0B42">
      <w:pPr>
        <w:spacing w:after="0" w:line="240" w:lineRule="auto"/>
        <w:jc w:val="both"/>
        <w:rPr>
          <w:rFonts w:ascii="Arial" w:eastAsia="Calibri" w:hAnsi="Arial" w:cs="Arial"/>
          <w:b/>
          <w:bCs/>
          <w:lang w:val="es-MX" w:eastAsia="es-CO"/>
        </w:rPr>
      </w:pPr>
      <w:r w:rsidRPr="0051048E">
        <w:rPr>
          <w:rFonts w:ascii="Arial" w:eastAsia="Calibri" w:hAnsi="Arial" w:cs="Arial"/>
          <w:b/>
          <w:bCs/>
          <w:lang w:val="es-MX" w:eastAsia="es-CO"/>
        </w:rPr>
        <w:t>DEFINICIÓN DE CRITERIOS DIFERENCIALES – Mipymes – Emprendimientos de mujeres – Estudios del sector</w:t>
      </w:r>
    </w:p>
    <w:p w14:paraId="45BD5EA9" w14:textId="77777777" w:rsidR="00FC0B42" w:rsidRPr="0051048E" w:rsidRDefault="00FC0B42" w:rsidP="00FC0B42">
      <w:pPr>
        <w:spacing w:after="0" w:line="240" w:lineRule="auto"/>
        <w:jc w:val="both"/>
        <w:rPr>
          <w:rFonts w:ascii="Calibri" w:eastAsia="Calibri" w:hAnsi="Calibri" w:cs="Calibri"/>
          <w:b/>
          <w:bCs/>
          <w:sz w:val="24"/>
          <w:szCs w:val="24"/>
          <w:lang w:val="es-MX" w:eastAsia="es-CO"/>
        </w:rPr>
      </w:pPr>
    </w:p>
    <w:p w14:paraId="0CE5460D" w14:textId="77777777" w:rsidR="00FC0B42" w:rsidRPr="0051048E" w:rsidRDefault="00FC0B42" w:rsidP="00FC0B42">
      <w:pPr>
        <w:spacing w:after="0" w:line="240" w:lineRule="auto"/>
        <w:jc w:val="both"/>
        <w:rPr>
          <w:rFonts w:ascii="Arial" w:eastAsia="Calibri" w:hAnsi="Arial" w:cs="Arial"/>
          <w:sz w:val="20"/>
          <w:szCs w:val="20"/>
          <w:lang w:val="es-MX" w:eastAsia="es-CO"/>
        </w:rPr>
      </w:pPr>
      <w:r w:rsidRPr="0051048E">
        <w:rPr>
          <w:rFonts w:ascii="Arial" w:eastAsia="Calibri" w:hAnsi="Arial" w:cs="Arial"/>
          <w:sz w:val="20"/>
          <w:szCs w:val="20"/>
          <w:lang w:val="es-MX" w:eastAsia="es-CO"/>
        </w:rPr>
        <w:t>[…] la fijación de criterios diferenciales es un deber cuyo cumplimiento está sometido a los resultados del análisis del sector y a lo previsto en el artículo 590 del 2000, lo que significa que, para acatarlo, las Entidades Estatales y los particulares descritos en la norma, no sólo están supeditados por el listado de aspectos a los que pueden circunscribirse los criterios diferenciales, sino que además deben tener en cuenta la información que refleje el estudio del sector que les corresponde realizar para cada uno de sus contratos.</w:t>
      </w:r>
    </w:p>
    <w:p w14:paraId="52BD0D3B" w14:textId="77777777" w:rsidR="00FC0B42" w:rsidRPr="0051048E" w:rsidRDefault="00FC0B42" w:rsidP="00FC0B42">
      <w:pPr>
        <w:spacing w:after="0" w:line="240" w:lineRule="auto"/>
        <w:jc w:val="both"/>
        <w:rPr>
          <w:rFonts w:ascii="Arial" w:eastAsia="Calibri" w:hAnsi="Arial" w:cs="Arial"/>
          <w:sz w:val="20"/>
          <w:szCs w:val="20"/>
          <w:lang w:val="es-MX" w:eastAsia="es-CO"/>
        </w:rPr>
      </w:pPr>
    </w:p>
    <w:p w14:paraId="39B1663A" w14:textId="77777777" w:rsidR="00FC0B42" w:rsidRPr="0051048E" w:rsidRDefault="00FC0B42" w:rsidP="00FC0B42">
      <w:pPr>
        <w:spacing w:after="0" w:line="240" w:lineRule="auto"/>
        <w:jc w:val="both"/>
        <w:rPr>
          <w:rFonts w:ascii="Arial" w:eastAsia="Calibri" w:hAnsi="Arial" w:cs="Arial"/>
          <w:sz w:val="20"/>
          <w:szCs w:val="20"/>
          <w:lang w:val="es-MX" w:eastAsia="es-CO"/>
        </w:rPr>
      </w:pPr>
      <w:r w:rsidRPr="0051048E">
        <w:rPr>
          <w:rFonts w:ascii="Arial" w:eastAsia="Calibri" w:hAnsi="Arial" w:cs="Arial"/>
          <w:sz w:val="20"/>
          <w:szCs w:val="20"/>
          <w:lang w:val="es-MX" w:eastAsia="es-CO"/>
        </w:rPr>
        <w:t>Por lo tanto, la definición de criterios diferenciales en favor de las Mipyme y de los emprendimientos y empresas de mujeres domiciliados en Colombia, no es un asunto totalmente discrecional, sino que debe soportarse en la información concreta reflejada en el análisis del sector.</w:t>
      </w:r>
    </w:p>
    <w:p w14:paraId="65AB9815" w14:textId="77777777" w:rsidR="00FC0B42" w:rsidRPr="0051048E" w:rsidRDefault="00FC0B42" w:rsidP="00FC0B42">
      <w:pPr>
        <w:spacing w:after="0" w:line="240" w:lineRule="auto"/>
        <w:contextualSpacing/>
        <w:jc w:val="both"/>
        <w:rPr>
          <w:rFonts w:ascii="Arial" w:eastAsia="Geomanist Light" w:hAnsi="Arial" w:cs="Arial"/>
          <w:sz w:val="20"/>
          <w:szCs w:val="20"/>
          <w:lang w:val="es-MX"/>
        </w:rPr>
      </w:pPr>
      <w:r w:rsidRPr="0051048E">
        <w:rPr>
          <w:rFonts w:ascii="Arial" w:eastAsia="Geomanist Light" w:hAnsi="Arial" w:cs="Arial"/>
          <w:sz w:val="20"/>
          <w:szCs w:val="20"/>
          <w:lang w:val="es-MX"/>
        </w:rPr>
        <w:t>[…]</w:t>
      </w:r>
    </w:p>
    <w:p w14:paraId="02F655BE" w14:textId="77777777" w:rsidR="00FC0B42" w:rsidRPr="0051048E" w:rsidRDefault="00FC0B42" w:rsidP="00FC0B42">
      <w:pPr>
        <w:spacing w:after="0" w:line="240" w:lineRule="auto"/>
        <w:contextualSpacing/>
        <w:jc w:val="both"/>
        <w:rPr>
          <w:rFonts w:ascii="Arial" w:eastAsia="Geomanist Light" w:hAnsi="Arial" w:cs="Arial"/>
          <w:sz w:val="20"/>
          <w:szCs w:val="20"/>
          <w:lang w:val="es-MX"/>
        </w:rPr>
      </w:pPr>
      <w:r w:rsidRPr="0051048E">
        <w:rPr>
          <w:rFonts w:ascii="Arial" w:eastAsia="Geomanist Light" w:hAnsi="Arial" w:cs="Arial"/>
          <w:sz w:val="20"/>
          <w:szCs w:val="20"/>
          <w:lang w:val="es-MX"/>
        </w:rPr>
        <w:t xml:space="preserve">[…] para la determinación de los criterios diferenciales a favor de las Mipyme y los emprendimientos y empresas de mujeres, las Entidades Estatales podrán escoger uno o algunos de los requisitos habilitantes – i) tiempo de experiencia, </w:t>
      </w:r>
      <w:proofErr w:type="spellStart"/>
      <w:r w:rsidRPr="0051048E">
        <w:rPr>
          <w:rFonts w:ascii="Arial" w:eastAsia="Geomanist Light" w:hAnsi="Arial" w:cs="Arial"/>
          <w:sz w:val="20"/>
          <w:szCs w:val="20"/>
          <w:lang w:val="es-MX"/>
        </w:rPr>
        <w:t>ii</w:t>
      </w:r>
      <w:proofErr w:type="spellEnd"/>
      <w:r w:rsidRPr="0051048E">
        <w:rPr>
          <w:rFonts w:ascii="Arial" w:eastAsia="Geomanist Light" w:hAnsi="Arial" w:cs="Arial"/>
          <w:sz w:val="20"/>
          <w:szCs w:val="20"/>
          <w:lang w:val="es-MX"/>
        </w:rPr>
        <w:t xml:space="preserve">) número de contratos para la acreditación de la experiencia, </w:t>
      </w:r>
      <w:proofErr w:type="spellStart"/>
      <w:r w:rsidRPr="0051048E">
        <w:rPr>
          <w:rFonts w:ascii="Arial" w:eastAsia="Geomanist Light" w:hAnsi="Arial" w:cs="Arial"/>
          <w:sz w:val="20"/>
          <w:szCs w:val="20"/>
          <w:lang w:val="es-MX"/>
        </w:rPr>
        <w:t>iii</w:t>
      </w:r>
      <w:proofErr w:type="spellEnd"/>
      <w:r w:rsidRPr="0051048E">
        <w:rPr>
          <w:rFonts w:ascii="Arial" w:eastAsia="Geomanist Light" w:hAnsi="Arial" w:cs="Arial"/>
          <w:sz w:val="20"/>
          <w:szCs w:val="20"/>
          <w:lang w:val="es-MX"/>
        </w:rPr>
        <w:t xml:space="preserve">) índices de capacidad financiera, </w:t>
      </w:r>
      <w:proofErr w:type="spellStart"/>
      <w:r w:rsidRPr="0051048E">
        <w:rPr>
          <w:rFonts w:ascii="Arial" w:eastAsia="Geomanist Light" w:hAnsi="Arial" w:cs="Arial"/>
          <w:sz w:val="20"/>
          <w:szCs w:val="20"/>
          <w:lang w:val="es-MX"/>
        </w:rPr>
        <w:t>iv</w:t>
      </w:r>
      <w:proofErr w:type="spellEnd"/>
      <w:r w:rsidRPr="0051048E">
        <w:rPr>
          <w:rFonts w:ascii="Arial" w:eastAsia="Geomanist Light" w:hAnsi="Arial" w:cs="Arial"/>
          <w:sz w:val="20"/>
          <w:szCs w:val="20"/>
          <w:lang w:val="es-MX"/>
        </w:rPr>
        <w:t>) índices de capacidad organizacional y v) valor de la garantía de seriedad de la oferta –, los cuales deberán fijarse respetando las condiciones habilitantes requeridas para el cumplimiento adecuado del contrato, esto, bajo la observancia de lo que arroje el estudio del sector. En tal sentido, se establecerán condiciones más exigentes respecto a alguno o algunos de los criterios de participación antes enunciados frente a los demás proponentes que concurran al procedimiento de selección que no sean Mipyme y/o emprendimientos y empresas de mujeres.</w:t>
      </w:r>
    </w:p>
    <w:p w14:paraId="3F441405" w14:textId="77777777" w:rsidR="00FC0B42" w:rsidRPr="0051048E" w:rsidRDefault="00FC0B42" w:rsidP="00FC0B42">
      <w:pPr>
        <w:spacing w:after="0"/>
        <w:rPr>
          <w:rFonts w:ascii="Arial" w:eastAsia="Geomanist Light" w:hAnsi="Arial" w:cs="Arial"/>
          <w:lang w:val="es-MX"/>
        </w:rPr>
      </w:pPr>
    </w:p>
    <w:p w14:paraId="31C0CDED" w14:textId="77777777" w:rsidR="00FC0B42" w:rsidRPr="0051048E" w:rsidRDefault="00FC0B42" w:rsidP="00FC0B42">
      <w:pPr>
        <w:spacing w:after="0"/>
        <w:rPr>
          <w:rFonts w:ascii="Arial" w:eastAsia="Geomanist Light" w:hAnsi="Arial" w:cs="Arial"/>
          <w:lang w:val="es-MX"/>
        </w:rPr>
      </w:pPr>
    </w:p>
    <w:p w14:paraId="4CA8B9DD" w14:textId="77777777" w:rsidR="00FC0B42" w:rsidRPr="0051048E" w:rsidRDefault="00FC0B42" w:rsidP="00FC0B42">
      <w:pPr>
        <w:spacing w:after="0"/>
        <w:rPr>
          <w:rFonts w:ascii="Arial" w:eastAsia="Geomanist Light" w:hAnsi="Arial" w:cs="Arial"/>
          <w:lang w:val="es-MX"/>
        </w:rPr>
      </w:pPr>
    </w:p>
    <w:p w14:paraId="7FEF3909" w14:textId="77777777" w:rsidR="00FC0B42" w:rsidRPr="0051048E" w:rsidRDefault="00FC0B42" w:rsidP="00FC0B42">
      <w:pPr>
        <w:spacing w:after="0"/>
        <w:rPr>
          <w:rFonts w:ascii="Arial" w:eastAsia="Geomanist Light" w:hAnsi="Arial" w:cs="Arial"/>
          <w:lang w:val="es-MX"/>
        </w:rPr>
      </w:pPr>
    </w:p>
    <w:p w14:paraId="176C01BD" w14:textId="77777777" w:rsidR="00FC0B42" w:rsidRPr="0051048E" w:rsidRDefault="00FC0B42" w:rsidP="00FC0B42">
      <w:pPr>
        <w:spacing w:after="0"/>
        <w:rPr>
          <w:rFonts w:ascii="Arial" w:eastAsia="Geomanist Light" w:hAnsi="Arial" w:cs="Arial"/>
          <w:lang w:val="es-MX"/>
        </w:rPr>
      </w:pPr>
      <w:r w:rsidRPr="0051048E">
        <w:rPr>
          <w:rFonts w:ascii="Arial" w:eastAsia="Geomanist Light" w:hAnsi="Arial" w:cs="Arial"/>
          <w:lang w:val="es-MX"/>
        </w:rPr>
        <w:t>Bogotá D.C., [Día] de [</w:t>
      </w:r>
      <w:proofErr w:type="spellStart"/>
      <w:r w:rsidRPr="0051048E">
        <w:rPr>
          <w:rFonts w:ascii="Arial" w:eastAsia="Geomanist Light" w:hAnsi="Arial" w:cs="Arial"/>
          <w:lang w:val="es-MX"/>
        </w:rPr>
        <w:t>Mes.NombreCapitalizado</w:t>
      </w:r>
      <w:proofErr w:type="spellEnd"/>
      <w:r w:rsidRPr="0051048E">
        <w:rPr>
          <w:rFonts w:ascii="Arial" w:eastAsia="Geomanist Light" w:hAnsi="Arial" w:cs="Arial"/>
          <w:lang w:val="es-MX"/>
        </w:rPr>
        <w:t>] de [Año]</w:t>
      </w:r>
    </w:p>
    <w:p w14:paraId="258B5FB1" w14:textId="77777777" w:rsidR="00FC0B42" w:rsidRDefault="00FC0B42" w:rsidP="00FC0B42">
      <w:pPr>
        <w:spacing w:after="0" w:line="240" w:lineRule="auto"/>
        <w:contextualSpacing/>
        <w:jc w:val="both"/>
        <w:rPr>
          <w:rFonts w:ascii="Arial" w:eastAsia="Calibri" w:hAnsi="Arial" w:cs="Arial"/>
        </w:rPr>
      </w:pPr>
    </w:p>
    <w:p w14:paraId="22971890" w14:textId="2386F2AE" w:rsidR="00C7192D" w:rsidRPr="0051048E" w:rsidRDefault="00C7192D" w:rsidP="00C7192D">
      <w:pPr>
        <w:spacing w:after="0" w:line="240" w:lineRule="auto"/>
        <w:contextualSpacing/>
        <w:jc w:val="right"/>
        <w:rPr>
          <w:rFonts w:ascii="Arial" w:eastAsia="Calibri" w:hAnsi="Arial" w:cs="Arial"/>
        </w:rPr>
      </w:pPr>
      <w:r w:rsidRPr="00C7192D">
        <w:rPr>
          <w:rFonts w:ascii="Arial" w:eastAsia="Calibri" w:hAnsi="Arial" w:cs="Arial"/>
        </w:rPr>
        <w:drawing>
          <wp:inline distT="0" distB="0" distL="0" distR="0" wp14:anchorId="0B18BA95" wp14:editId="4EBA908A">
            <wp:extent cx="2448267" cy="685896"/>
            <wp:effectExtent l="0" t="0" r="0" b="0"/>
            <wp:docPr id="13097247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4722" name="Imagen 1" descr="Texto&#10;&#10;Descripción generada automáticamente"/>
                    <pic:cNvPicPr/>
                  </pic:nvPicPr>
                  <pic:blipFill>
                    <a:blip r:embed="rId9"/>
                    <a:stretch>
                      <a:fillRect/>
                    </a:stretch>
                  </pic:blipFill>
                  <pic:spPr>
                    <a:xfrm>
                      <a:off x="0" y="0"/>
                      <a:ext cx="2448267" cy="685896"/>
                    </a:xfrm>
                    <a:prstGeom prst="rect">
                      <a:avLst/>
                    </a:prstGeom>
                  </pic:spPr>
                </pic:pic>
              </a:graphicData>
            </a:graphic>
          </wp:inline>
        </w:drawing>
      </w:r>
    </w:p>
    <w:p w14:paraId="6EE2CD55" w14:textId="77777777" w:rsidR="00FC0B42" w:rsidRPr="0051048E" w:rsidRDefault="00FC0B42" w:rsidP="00FC0B42">
      <w:pPr>
        <w:spacing w:after="0" w:line="276" w:lineRule="auto"/>
        <w:contextualSpacing/>
        <w:jc w:val="both"/>
        <w:rPr>
          <w:rFonts w:ascii="Arial" w:eastAsia="Calibri" w:hAnsi="Arial" w:cs="Arial"/>
        </w:rPr>
      </w:pPr>
      <w:r w:rsidRPr="0051048E">
        <w:rPr>
          <w:rFonts w:ascii="Arial" w:eastAsia="Calibri" w:hAnsi="Arial" w:cs="Arial"/>
        </w:rPr>
        <w:t>Señor</w:t>
      </w:r>
    </w:p>
    <w:p w14:paraId="0DEC3363" w14:textId="77777777" w:rsidR="00FC0B42" w:rsidRPr="0051048E" w:rsidRDefault="00FC0B42" w:rsidP="00FC0B42">
      <w:pPr>
        <w:spacing w:after="0"/>
        <w:rPr>
          <w:rFonts w:ascii="Arial" w:eastAsia="Calibri" w:hAnsi="Arial" w:cs="Arial"/>
          <w:b/>
          <w:bCs/>
        </w:rPr>
      </w:pPr>
      <w:r w:rsidRPr="0051048E">
        <w:rPr>
          <w:rFonts w:ascii="Arial" w:eastAsia="Calibri" w:hAnsi="Arial" w:cs="Arial"/>
          <w:b/>
          <w:bCs/>
        </w:rPr>
        <w:t>Royer Alexander Olaya Torres</w:t>
      </w:r>
    </w:p>
    <w:p w14:paraId="397C1A08" w14:textId="77777777" w:rsidR="00FC0B42" w:rsidRPr="0051048E" w:rsidRDefault="00FC0B42" w:rsidP="00FC0B42">
      <w:pPr>
        <w:spacing w:after="0" w:line="276" w:lineRule="auto"/>
        <w:contextualSpacing/>
        <w:jc w:val="both"/>
        <w:rPr>
          <w:rFonts w:ascii="Arial" w:eastAsia="Calibri" w:hAnsi="Arial" w:cs="Arial"/>
        </w:rPr>
      </w:pPr>
      <w:r w:rsidRPr="0051048E">
        <w:rPr>
          <w:rFonts w:ascii="Arial" w:eastAsia="Calibri" w:hAnsi="Arial" w:cs="Arial"/>
        </w:rPr>
        <w:t>Bogotá D.C.</w:t>
      </w:r>
    </w:p>
    <w:p w14:paraId="68FF802B" w14:textId="77777777" w:rsidR="00FC0B42" w:rsidRPr="0051048E" w:rsidRDefault="00FC0B42" w:rsidP="00FC0B42">
      <w:pPr>
        <w:spacing w:after="0" w:line="276" w:lineRule="auto"/>
        <w:contextualSpacing/>
        <w:jc w:val="both"/>
        <w:rPr>
          <w:rFonts w:ascii="Arial" w:eastAsia="Calibri" w:hAnsi="Arial" w:cs="Arial"/>
        </w:rPr>
      </w:pPr>
    </w:p>
    <w:p w14:paraId="2CE4D49A" w14:textId="77777777" w:rsidR="00FC0B42" w:rsidRPr="0051048E" w:rsidRDefault="00FC0B42" w:rsidP="00FC0B42">
      <w:pPr>
        <w:spacing w:after="0" w:line="276" w:lineRule="auto"/>
        <w:contextualSpacing/>
        <w:jc w:val="both"/>
        <w:rPr>
          <w:rFonts w:ascii="Arial" w:eastAsia="Calibri" w:hAnsi="Arial" w:cs="Arial"/>
        </w:rPr>
      </w:pPr>
    </w:p>
    <w:p w14:paraId="61BCEFC2" w14:textId="77777777" w:rsidR="00FC0B42" w:rsidRPr="0051048E" w:rsidRDefault="00FC0B42" w:rsidP="00FC0B42">
      <w:pPr>
        <w:spacing w:after="0" w:line="240" w:lineRule="auto"/>
        <w:contextualSpacing/>
        <w:jc w:val="both"/>
        <w:rPr>
          <w:rFonts w:ascii="Arial" w:eastAsia="Calibri" w:hAnsi="Arial" w:cs="Arial"/>
        </w:rPr>
      </w:pPr>
      <w:r w:rsidRPr="0051048E">
        <w:rPr>
          <w:rFonts w:ascii="Arial" w:eastAsia="Calibri" w:hAnsi="Arial" w:cs="Arial"/>
        </w:rPr>
        <w:t xml:space="preserve">                                            </w:t>
      </w:r>
      <w:r w:rsidRPr="0051048E">
        <w:rPr>
          <w:rFonts w:ascii="Arial" w:eastAsia="Calibri" w:hAnsi="Arial" w:cs="Arial"/>
          <w:b/>
        </w:rPr>
        <w:t>Concepto C–344 de 2023</w:t>
      </w:r>
    </w:p>
    <w:p w14:paraId="2846E12F" w14:textId="77777777" w:rsidR="00FC0B42" w:rsidRPr="0051048E" w:rsidRDefault="00FC0B42" w:rsidP="00FC0B42">
      <w:pPr>
        <w:spacing w:after="0" w:line="240" w:lineRule="auto"/>
        <w:contextualSpacing/>
        <w:jc w:val="both"/>
        <w:rPr>
          <w:rFonts w:ascii="Arial" w:eastAsia="Calibri" w:hAnsi="Arial" w:cs="Arial"/>
          <w:b/>
        </w:rPr>
      </w:pPr>
    </w:p>
    <w:p w14:paraId="42399DA4" w14:textId="77777777" w:rsidR="00FC0B42" w:rsidRPr="0051048E" w:rsidRDefault="00FC0B42" w:rsidP="00FC0B42">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C0B42" w:rsidRPr="0051048E" w14:paraId="09F6B0B5" w14:textId="77777777" w:rsidTr="00F50E1E">
        <w:trPr>
          <w:trHeight w:val="485"/>
        </w:trPr>
        <w:tc>
          <w:tcPr>
            <w:tcW w:w="2689" w:type="dxa"/>
            <w:hideMark/>
          </w:tcPr>
          <w:p w14:paraId="3761870D" w14:textId="77777777" w:rsidR="00FC0B42" w:rsidRPr="0051048E" w:rsidRDefault="00FC0B42" w:rsidP="00F50E1E">
            <w:pPr>
              <w:rPr>
                <w:rFonts w:ascii="Arial" w:eastAsia="Calibri" w:hAnsi="Arial" w:cs="Arial"/>
                <w:noProof/>
                <w:lang w:val="es-ES_tradnl"/>
              </w:rPr>
            </w:pPr>
            <w:r w:rsidRPr="0051048E">
              <w:rPr>
                <w:rFonts w:ascii="Arial" w:eastAsia="Calibri" w:hAnsi="Arial" w:cs="Arial"/>
                <w:b/>
                <w:noProof/>
                <w:lang w:val="es-ES_tradnl"/>
              </w:rPr>
              <w:t>Temas:</w:t>
            </w:r>
            <w:r w:rsidRPr="0051048E">
              <w:rPr>
                <w:rFonts w:ascii="Arial" w:eastAsia="Calibri" w:hAnsi="Arial" w:cs="Arial"/>
                <w:noProof/>
                <w:lang w:val="es-ES_tradnl"/>
              </w:rPr>
              <w:t xml:space="preserve">        </w:t>
            </w:r>
          </w:p>
        </w:tc>
        <w:tc>
          <w:tcPr>
            <w:tcW w:w="6237" w:type="dxa"/>
            <w:hideMark/>
          </w:tcPr>
          <w:p w14:paraId="3386DBD5" w14:textId="77777777" w:rsidR="00FC0B42" w:rsidRPr="0051048E" w:rsidRDefault="00FC0B42" w:rsidP="00F50E1E">
            <w:pPr>
              <w:ind w:right="703"/>
              <w:jc w:val="both"/>
              <w:rPr>
                <w:rFonts w:ascii="Arial" w:eastAsia="Times New Roman" w:hAnsi="Arial" w:cs="Arial"/>
                <w:lang w:val="es-ES_tradnl" w:eastAsia="es-ES_tradnl"/>
              </w:rPr>
            </w:pPr>
            <w:r w:rsidRPr="0051048E">
              <w:rPr>
                <w:rFonts w:ascii="Arial" w:eastAsia="Times New Roman" w:hAnsi="Arial" w:cs="Arial"/>
                <w:lang w:val="es-ES_tradnl" w:eastAsia="es-ES_tradnl"/>
              </w:rPr>
              <w:t>LEY DE EMPRENDIMIENTO – Ley 2069 de 2020 – Contenido – Finalidad / DEFINICIÓN DE CRITERIOS DIFERENCIALES – Mipyme – Emprendimientos de mujeres – Estudio del sector</w:t>
            </w:r>
          </w:p>
          <w:p w14:paraId="57AC599D" w14:textId="77777777" w:rsidR="00FC0B42" w:rsidRPr="0051048E" w:rsidRDefault="00FC0B42" w:rsidP="00F50E1E">
            <w:pPr>
              <w:ind w:right="703"/>
              <w:jc w:val="both"/>
              <w:rPr>
                <w:rFonts w:ascii="Arial" w:eastAsia="Calibri" w:hAnsi="Arial" w:cs="Arial"/>
                <w:bCs/>
                <w:highlight w:val="yellow"/>
                <w:lang w:val="es-MX"/>
              </w:rPr>
            </w:pPr>
          </w:p>
        </w:tc>
      </w:tr>
      <w:tr w:rsidR="00FC0B42" w:rsidRPr="0051048E" w14:paraId="4A242AFC" w14:textId="77777777" w:rsidTr="00F50E1E">
        <w:tc>
          <w:tcPr>
            <w:tcW w:w="2689" w:type="dxa"/>
          </w:tcPr>
          <w:p w14:paraId="57E5CCF8" w14:textId="77777777" w:rsidR="00FC0B42" w:rsidRPr="0051048E" w:rsidRDefault="00FC0B42" w:rsidP="00F50E1E">
            <w:pPr>
              <w:rPr>
                <w:rFonts w:ascii="Arial" w:eastAsia="Calibri" w:hAnsi="Arial" w:cs="Arial"/>
                <w:b/>
                <w:noProof/>
                <w:lang w:val="es-ES_tradnl"/>
              </w:rPr>
            </w:pPr>
            <w:r w:rsidRPr="0051048E">
              <w:rPr>
                <w:rFonts w:ascii="Arial" w:eastAsia="Calibri" w:hAnsi="Arial" w:cs="Arial"/>
                <w:b/>
                <w:noProof/>
                <w:lang w:val="es-ES_tradnl"/>
              </w:rPr>
              <w:t>Radicación:</w:t>
            </w:r>
            <w:r w:rsidRPr="0051048E">
              <w:rPr>
                <w:rFonts w:ascii="Arial" w:eastAsia="Calibri" w:hAnsi="Arial" w:cs="Arial"/>
                <w:noProof/>
                <w:lang w:val="es-ES_tradnl"/>
              </w:rPr>
              <w:t xml:space="preserve">                              </w:t>
            </w:r>
          </w:p>
        </w:tc>
        <w:tc>
          <w:tcPr>
            <w:tcW w:w="6237" w:type="dxa"/>
          </w:tcPr>
          <w:p w14:paraId="25F52F4C" w14:textId="77777777" w:rsidR="00FC0B42" w:rsidRPr="0051048E" w:rsidRDefault="00FC0B42" w:rsidP="00F50E1E">
            <w:pPr>
              <w:jc w:val="both"/>
              <w:rPr>
                <w:rFonts w:ascii="Arial" w:eastAsia="Calibri" w:hAnsi="Arial" w:cs="Arial"/>
                <w:noProof/>
                <w:lang w:val="es-ES_tradnl"/>
              </w:rPr>
            </w:pPr>
            <w:r w:rsidRPr="0051048E">
              <w:rPr>
                <w:rFonts w:ascii="Arial" w:eastAsia="Calibri" w:hAnsi="Arial" w:cs="Arial"/>
                <w:noProof/>
                <w:lang w:val="es-ES_tradnl"/>
              </w:rPr>
              <w:t>Respuesta a consulta P20230707013043</w:t>
            </w:r>
            <w:r w:rsidRPr="0051048E">
              <w:rPr>
                <w:rFonts w:ascii="Arial" w:eastAsia="Calibri" w:hAnsi="Arial" w:cs="Arial"/>
                <w:noProof/>
                <w:lang w:val="es-ES_tradnl"/>
              </w:rPr>
              <w:tab/>
            </w:r>
            <w:r w:rsidRPr="0051048E">
              <w:rPr>
                <w:rFonts w:ascii="Arial" w:eastAsia="Calibri" w:hAnsi="Arial" w:cs="Arial"/>
                <w:noProof/>
                <w:lang w:val="es-ES_tradnl"/>
              </w:rPr>
              <w:tab/>
            </w:r>
            <w:r w:rsidRPr="0051048E">
              <w:rPr>
                <w:rFonts w:ascii="Arial" w:eastAsia="Calibri" w:hAnsi="Arial" w:cs="Arial"/>
                <w:noProof/>
                <w:lang w:val="es-ES_tradnl"/>
              </w:rPr>
              <w:tab/>
            </w:r>
            <w:r w:rsidRPr="0051048E">
              <w:rPr>
                <w:rFonts w:ascii="Arial" w:eastAsia="Calibri" w:hAnsi="Arial" w:cs="Arial"/>
                <w:noProof/>
                <w:lang w:val="es-ES_tradnl"/>
              </w:rPr>
              <w:tab/>
            </w:r>
            <w:r w:rsidRPr="0051048E">
              <w:rPr>
                <w:rFonts w:ascii="Arial" w:eastAsia="Calibri" w:hAnsi="Arial" w:cs="Arial"/>
                <w:noProof/>
                <w:lang w:val="es-ES_tradnl"/>
              </w:rPr>
              <w:tab/>
            </w:r>
            <w:r w:rsidRPr="0051048E">
              <w:rPr>
                <w:rFonts w:ascii="Arial" w:eastAsia="Calibri" w:hAnsi="Arial" w:cs="Arial"/>
                <w:noProof/>
                <w:lang w:val="es-ES_tradnl"/>
              </w:rPr>
              <w:tab/>
            </w:r>
          </w:p>
        </w:tc>
      </w:tr>
    </w:tbl>
    <w:p w14:paraId="6891DE1C" w14:textId="77777777" w:rsidR="00FC0B42" w:rsidRPr="0051048E" w:rsidRDefault="00FC0B42" w:rsidP="00FC0B42">
      <w:pPr>
        <w:spacing w:after="0" w:line="240" w:lineRule="auto"/>
        <w:contextualSpacing/>
        <w:jc w:val="both"/>
        <w:rPr>
          <w:rFonts w:ascii="Arial" w:eastAsia="Calibri" w:hAnsi="Arial" w:cs="Arial"/>
        </w:rPr>
      </w:pPr>
    </w:p>
    <w:p w14:paraId="3F02CCD6" w14:textId="77777777" w:rsidR="00FC0B42" w:rsidRPr="0051048E" w:rsidRDefault="00FC0B42" w:rsidP="00FC0B42">
      <w:pPr>
        <w:spacing w:after="0" w:line="240" w:lineRule="auto"/>
        <w:contextualSpacing/>
        <w:jc w:val="both"/>
        <w:rPr>
          <w:rFonts w:ascii="Arial" w:eastAsia="Calibri" w:hAnsi="Arial" w:cs="Arial"/>
        </w:rPr>
      </w:pPr>
    </w:p>
    <w:p w14:paraId="69790076" w14:textId="77777777" w:rsidR="00FC0B42" w:rsidRPr="0051048E" w:rsidRDefault="00FC0B42" w:rsidP="00FC0B42">
      <w:pPr>
        <w:spacing w:after="0" w:line="276" w:lineRule="auto"/>
        <w:contextualSpacing/>
        <w:jc w:val="both"/>
        <w:rPr>
          <w:rFonts w:ascii="Arial" w:eastAsia="Calibri" w:hAnsi="Arial" w:cs="Arial"/>
        </w:rPr>
      </w:pPr>
      <w:r w:rsidRPr="0051048E">
        <w:rPr>
          <w:rFonts w:ascii="Arial" w:eastAsia="Calibri" w:hAnsi="Arial" w:cs="Arial"/>
        </w:rPr>
        <w:t>Estimado señor Olaya:</w:t>
      </w:r>
    </w:p>
    <w:p w14:paraId="62139D16" w14:textId="77777777" w:rsidR="00FC0B42" w:rsidRPr="0051048E" w:rsidRDefault="00FC0B42" w:rsidP="00FC0B42">
      <w:pPr>
        <w:spacing w:after="0" w:line="276" w:lineRule="auto"/>
        <w:ind w:firstLine="709"/>
        <w:contextualSpacing/>
        <w:jc w:val="both"/>
        <w:rPr>
          <w:rFonts w:ascii="Arial" w:eastAsia="Calibri" w:hAnsi="Arial" w:cs="Arial"/>
        </w:rPr>
      </w:pPr>
    </w:p>
    <w:p w14:paraId="257E3640" w14:textId="77777777" w:rsidR="00FC0B42" w:rsidRPr="0051048E" w:rsidRDefault="00FC0B42" w:rsidP="00FC0B42">
      <w:pPr>
        <w:spacing w:after="0" w:line="276" w:lineRule="auto"/>
        <w:contextualSpacing/>
        <w:jc w:val="both"/>
        <w:rPr>
          <w:rFonts w:ascii="Arial" w:eastAsia="Calibri" w:hAnsi="Arial" w:cs="Arial"/>
        </w:rPr>
      </w:pPr>
      <w:r w:rsidRPr="0051048E">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recibida el 07 de julio de 2023. </w:t>
      </w:r>
    </w:p>
    <w:p w14:paraId="75F4063F" w14:textId="77777777" w:rsidR="00FC0B42" w:rsidRPr="0051048E" w:rsidRDefault="00FC0B42" w:rsidP="00FC0B42">
      <w:pPr>
        <w:spacing w:after="0" w:line="276" w:lineRule="auto"/>
        <w:contextualSpacing/>
        <w:jc w:val="both"/>
        <w:rPr>
          <w:rFonts w:ascii="Arial" w:eastAsia="Calibri" w:hAnsi="Arial" w:cs="Arial"/>
        </w:rPr>
      </w:pPr>
    </w:p>
    <w:p w14:paraId="2DA0864A" w14:textId="77777777" w:rsidR="00FC0B42" w:rsidRPr="0051048E" w:rsidRDefault="00FC0B42" w:rsidP="00FC0B42">
      <w:pPr>
        <w:tabs>
          <w:tab w:val="left" w:pos="284"/>
        </w:tabs>
        <w:spacing w:after="0" w:line="276" w:lineRule="auto"/>
        <w:contextualSpacing/>
        <w:jc w:val="both"/>
        <w:rPr>
          <w:rFonts w:ascii="Arial" w:eastAsia="Calibri" w:hAnsi="Arial" w:cs="Arial"/>
          <w:b/>
        </w:rPr>
      </w:pPr>
      <w:r w:rsidRPr="0051048E">
        <w:rPr>
          <w:rFonts w:ascii="Arial" w:eastAsia="Calibri" w:hAnsi="Arial" w:cs="Arial"/>
          <w:b/>
        </w:rPr>
        <w:t xml:space="preserve">1. Problema planteado </w:t>
      </w:r>
    </w:p>
    <w:p w14:paraId="024C91D7" w14:textId="77777777" w:rsidR="00FC0B42" w:rsidRPr="0051048E" w:rsidRDefault="00FC0B42" w:rsidP="00FC0B42">
      <w:pPr>
        <w:tabs>
          <w:tab w:val="left" w:pos="284"/>
        </w:tabs>
        <w:spacing w:after="0" w:line="276" w:lineRule="auto"/>
        <w:ind w:firstLine="709"/>
        <w:contextualSpacing/>
        <w:jc w:val="both"/>
        <w:rPr>
          <w:rFonts w:ascii="Arial" w:eastAsia="Calibri" w:hAnsi="Arial" w:cs="Arial"/>
          <w:b/>
        </w:rPr>
      </w:pPr>
    </w:p>
    <w:p w14:paraId="4E83871F" w14:textId="77777777" w:rsidR="00FC0B42" w:rsidRPr="0051048E" w:rsidRDefault="00FC0B42" w:rsidP="00FC0B42">
      <w:pPr>
        <w:spacing w:after="0" w:line="276" w:lineRule="auto"/>
        <w:contextualSpacing/>
        <w:jc w:val="both"/>
        <w:rPr>
          <w:rFonts w:ascii="Arial" w:eastAsia="Calibri" w:hAnsi="Arial" w:cs="Arial"/>
          <w:sz w:val="21"/>
          <w:szCs w:val="21"/>
        </w:rPr>
      </w:pPr>
      <w:bookmarkStart w:id="5" w:name="_Hlk58917991"/>
      <w:bookmarkStart w:id="6" w:name="_Hlk56103000"/>
      <w:r w:rsidRPr="0051048E">
        <w:rPr>
          <w:rFonts w:ascii="Arial" w:eastAsia="Calibri" w:hAnsi="Arial" w:cs="Arial"/>
        </w:rPr>
        <w:t xml:space="preserve">De conformidad con lo establecido en los artículos 30, 31, 32, 34 y 35 de la Ley 2069 de 2020 –Ley de emprendimiento–, los cuales fueron reglamentados por el Decreto 1860 de 2021, usted realiza la siguiente consulta: </w:t>
      </w:r>
      <w:bookmarkStart w:id="7" w:name="_Hlk116284008"/>
      <w:bookmarkStart w:id="8" w:name="_Hlk133573383"/>
      <w:r w:rsidRPr="0051048E">
        <w:rPr>
          <w:rFonts w:ascii="Arial" w:eastAsia="Calibri" w:hAnsi="Arial" w:cs="Arial"/>
          <w:sz w:val="21"/>
          <w:szCs w:val="21"/>
        </w:rPr>
        <w:t>“¿Es obligatorio incluir criterios diferenciales relacionados en los indicadores financieros y organizacionales en los procesos de selección objetivo?</w:t>
      </w:r>
      <w:r>
        <w:rPr>
          <w:rFonts w:ascii="Arial" w:eastAsia="Calibri" w:hAnsi="Arial" w:cs="Arial"/>
          <w:sz w:val="21"/>
          <w:szCs w:val="21"/>
        </w:rPr>
        <w:t xml:space="preserve"> </w:t>
      </w:r>
      <w:r w:rsidRPr="0051048E">
        <w:rPr>
          <w:rFonts w:ascii="Arial" w:eastAsia="Calibri" w:hAnsi="Arial" w:cs="Arial"/>
          <w:sz w:val="21"/>
          <w:szCs w:val="21"/>
        </w:rPr>
        <w:t>De ser afirmativa la respuesta a la pregunta anterior ¿Cuál es el mecanismo o metodología para hallar tales indicadores?” [sic]</w:t>
      </w:r>
    </w:p>
    <w:p w14:paraId="26E39BF0" w14:textId="77777777" w:rsidR="00FC0B42" w:rsidRPr="0051048E" w:rsidRDefault="00FC0B42" w:rsidP="00FC0B42">
      <w:pPr>
        <w:spacing w:after="0" w:line="240" w:lineRule="auto"/>
        <w:ind w:left="709" w:right="709"/>
        <w:contextualSpacing/>
        <w:jc w:val="both"/>
        <w:rPr>
          <w:rFonts w:ascii="Arial" w:eastAsia="Calibri" w:hAnsi="Arial" w:cs="Arial"/>
          <w:sz w:val="21"/>
          <w:szCs w:val="21"/>
        </w:rPr>
      </w:pPr>
    </w:p>
    <w:bookmarkEnd w:id="5"/>
    <w:bookmarkEnd w:id="6"/>
    <w:bookmarkEnd w:id="7"/>
    <w:bookmarkEnd w:id="8"/>
    <w:p w14:paraId="04E21158" w14:textId="77777777" w:rsidR="00FC0B42" w:rsidRPr="0051048E" w:rsidRDefault="00FC0B42" w:rsidP="00FC0B42">
      <w:pPr>
        <w:tabs>
          <w:tab w:val="left" w:pos="284"/>
        </w:tabs>
        <w:spacing w:after="0" w:line="276" w:lineRule="auto"/>
        <w:contextualSpacing/>
        <w:jc w:val="both"/>
        <w:rPr>
          <w:rFonts w:ascii="Arial" w:eastAsia="Calibri" w:hAnsi="Arial" w:cs="Arial"/>
          <w:b/>
        </w:rPr>
      </w:pPr>
      <w:r w:rsidRPr="0051048E">
        <w:rPr>
          <w:rFonts w:ascii="Arial" w:eastAsia="Calibri" w:hAnsi="Arial" w:cs="Arial"/>
          <w:b/>
        </w:rPr>
        <w:t>2. Consideraciones</w:t>
      </w:r>
    </w:p>
    <w:p w14:paraId="6FC0178F" w14:textId="77777777" w:rsidR="00FC0B42" w:rsidRPr="0051048E" w:rsidRDefault="00FC0B42" w:rsidP="00FC0B42">
      <w:pPr>
        <w:tabs>
          <w:tab w:val="left" w:pos="284"/>
        </w:tabs>
        <w:spacing w:after="0" w:line="240" w:lineRule="auto"/>
        <w:contextualSpacing/>
        <w:jc w:val="both"/>
        <w:rPr>
          <w:rFonts w:ascii="Arial" w:eastAsia="Calibri" w:hAnsi="Arial" w:cs="Arial"/>
          <w:b/>
        </w:rPr>
      </w:pPr>
    </w:p>
    <w:p w14:paraId="3754CACD" w14:textId="77777777" w:rsidR="00FC0B42" w:rsidRPr="0051048E" w:rsidRDefault="00FC0B42" w:rsidP="00FC0B42">
      <w:pPr>
        <w:spacing w:after="120" w:line="276" w:lineRule="auto"/>
        <w:jc w:val="both"/>
        <w:rPr>
          <w:rFonts w:ascii="Arial" w:eastAsia="Calibri" w:hAnsi="Arial" w:cs="Arial"/>
          <w:lang w:val="es-ES"/>
        </w:rPr>
      </w:pPr>
      <w:r w:rsidRPr="0051048E">
        <w:rPr>
          <w:rFonts w:ascii="Arial" w:eastAsia="Calibri" w:hAnsi="Arial" w:cs="Arial"/>
          <w:bCs/>
          <w:lang w:val="es-MX"/>
        </w:rPr>
        <w:lastRenderedPageBreak/>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51048E">
        <w:rPr>
          <w:rFonts w:ascii="Arial" w:eastAsia="Calibri" w:hAnsi="Arial" w:cs="Arial"/>
          <w:lang w:val="es-ES"/>
        </w:rPr>
        <w:t xml:space="preserve"> </w:t>
      </w:r>
      <w:bookmarkStart w:id="9" w:name="_Hlk61701014"/>
      <w:bookmarkStart w:id="10" w:name="_Hlk62136649"/>
      <w:r w:rsidRPr="0051048E">
        <w:rPr>
          <w:rFonts w:ascii="Arial" w:eastAsia="Calibri" w:hAnsi="Arial" w:cs="Arial"/>
          <w:lang w:val="es-ES"/>
        </w:rPr>
        <w:t xml:space="preserve">Es necesario tener en cuenta que </w:t>
      </w:r>
      <w:bookmarkStart w:id="11" w:name="_Hlk61026958"/>
      <w:r w:rsidRPr="0051048E">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1048E">
        <w:rPr>
          <w:rFonts w:ascii="Arial" w:eastAsia="Calibri" w:hAnsi="Arial" w:cs="Arial"/>
          <w:bCs/>
          <w:lang w:val="es-MX"/>
        </w:rPr>
        <w:t xml:space="preserve"> de todos los partícipes de la contratación estatal.</w:t>
      </w:r>
    </w:p>
    <w:bookmarkEnd w:id="9"/>
    <w:bookmarkEnd w:id="10"/>
    <w:bookmarkEnd w:id="11"/>
    <w:p w14:paraId="4AF4EC12" w14:textId="77777777" w:rsidR="00FC0B42" w:rsidRPr="0051048E" w:rsidRDefault="00FC0B42" w:rsidP="00FC0B42">
      <w:pPr>
        <w:spacing w:after="120" w:line="276" w:lineRule="auto"/>
        <w:ind w:firstLine="708"/>
        <w:jc w:val="both"/>
        <w:rPr>
          <w:rFonts w:ascii="Arial" w:eastAsia="Calibri" w:hAnsi="Arial" w:cs="Arial"/>
          <w:lang w:val="es-ES"/>
        </w:rPr>
      </w:pPr>
      <w:r w:rsidRPr="0051048E">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1048E">
        <w:rPr>
          <w:rFonts w:ascii="Arial" w:eastAsia="Calibri" w:hAnsi="Arial" w:cs="Arial"/>
          <w:vertAlign w:val="superscript"/>
          <w:lang w:val="es-ES"/>
        </w:rPr>
        <w:footnoteReference w:id="1"/>
      </w:r>
      <w:r w:rsidRPr="0051048E">
        <w:rPr>
          <w:rFonts w:ascii="Arial" w:eastAsia="Calibri" w:hAnsi="Arial" w:cs="Arial"/>
          <w:lang w:val="es-ES"/>
        </w:rPr>
        <w:t xml:space="preserve">. Esta competencia de interpretación de normas generales, por definición, no puede extenderse a la resolución de controversias, ni a brindar asesorías sobre casos puntuales. </w:t>
      </w:r>
    </w:p>
    <w:p w14:paraId="311140F6" w14:textId="77777777" w:rsidR="00FC0B42" w:rsidRPr="0051048E" w:rsidRDefault="00FC0B42" w:rsidP="00FC0B42">
      <w:pPr>
        <w:spacing w:after="120" w:line="276" w:lineRule="auto"/>
        <w:ind w:firstLine="708"/>
        <w:jc w:val="both"/>
        <w:rPr>
          <w:rFonts w:ascii="Arial" w:eastAsia="Calibri" w:hAnsi="Arial" w:cs="Arial"/>
          <w:lang w:val="es-ES_tradnl" w:eastAsia="es-MX"/>
        </w:rPr>
      </w:pPr>
      <w:r w:rsidRPr="0051048E">
        <w:rPr>
          <w:rFonts w:ascii="Arial" w:eastAsia="Calibri" w:hAnsi="Arial" w:cs="Arial"/>
          <w:lang w:val="es-ES"/>
        </w:rPr>
        <w:t>S</w:t>
      </w:r>
      <w:r w:rsidRPr="0051048E">
        <w:rPr>
          <w:rFonts w:ascii="Arial" w:eastAsia="Calibri" w:hAnsi="Arial" w:cs="Arial"/>
          <w:lang w:val="es-MX"/>
        </w:rPr>
        <w:t xml:space="preserve">in perjuicio de lo anterior, </w:t>
      </w:r>
      <w:r w:rsidRPr="0051048E">
        <w:rPr>
          <w:rFonts w:ascii="Arial" w:eastAsia="Calibri" w:hAnsi="Arial" w:cs="Arial"/>
          <w:lang w:val="es-ES"/>
        </w:rPr>
        <w:t>la Subdirección de Gestión Contractual dentro de los límites de sus atribuciones, resolverá la consulta conforme a las normas generales en materia de contratación estatal</w:t>
      </w:r>
      <w:r w:rsidRPr="0051048E">
        <w:rPr>
          <w:rFonts w:ascii="Arial" w:eastAsia="Calibri" w:hAnsi="Arial" w:cs="Arial"/>
          <w:lang w:val="es-ES_tradnl" w:eastAsia="es-MX"/>
        </w:rPr>
        <w:t>, haciendo unas consideraciones sobre:</w:t>
      </w:r>
      <w:r w:rsidRPr="0051048E">
        <w:rPr>
          <w:rFonts w:ascii="Arial" w:eastAsia="Calibri" w:hAnsi="Arial" w:cs="Arial"/>
          <w:lang w:val="es-ES_tradnl"/>
        </w:rPr>
        <w:t xml:space="preserve"> i)</w:t>
      </w:r>
      <w:r w:rsidRPr="0051048E">
        <w:t xml:space="preserve"> </w:t>
      </w:r>
      <w:r w:rsidRPr="0051048E">
        <w:rPr>
          <w:rFonts w:ascii="Arial" w:eastAsia="Calibri" w:hAnsi="Arial" w:cs="Arial"/>
          <w:lang w:val="es-ES_tradnl"/>
        </w:rPr>
        <w:t xml:space="preserve">vigencia y reglamentación de los criterios diferenciales de la Ley 2069 de 2020 y </w:t>
      </w:r>
      <w:proofErr w:type="spellStart"/>
      <w:r w:rsidRPr="0051048E">
        <w:rPr>
          <w:rFonts w:ascii="Arial" w:eastAsia="Calibri" w:hAnsi="Arial" w:cs="Arial"/>
          <w:lang w:val="es-ES_tradnl"/>
        </w:rPr>
        <w:t>ii</w:t>
      </w:r>
      <w:proofErr w:type="spellEnd"/>
      <w:r w:rsidRPr="0051048E">
        <w:rPr>
          <w:rFonts w:ascii="Arial" w:eastAsia="Calibri" w:hAnsi="Arial" w:cs="Arial"/>
          <w:lang w:val="es-ES_tradnl"/>
        </w:rPr>
        <w:t>) definición de criterios diferenciales en favor de Mipyme y emprendimientos y empresas de mujeres en el sistema de compra pública.</w:t>
      </w:r>
    </w:p>
    <w:p w14:paraId="7DF5EFB6" w14:textId="77777777" w:rsidR="00FC0B42" w:rsidRPr="0051048E" w:rsidRDefault="00FC0B42" w:rsidP="00FC0B42">
      <w:pPr>
        <w:spacing w:after="0" w:line="276" w:lineRule="auto"/>
        <w:ind w:firstLine="708"/>
        <w:jc w:val="both"/>
        <w:rPr>
          <w:rFonts w:ascii="Arial" w:hAnsi="Arial" w:cs="Arial"/>
          <w:lang w:eastAsia="es-ES_tradnl"/>
        </w:rPr>
      </w:pPr>
      <w:r w:rsidRPr="0051048E">
        <w:rPr>
          <w:rFonts w:ascii="Arial" w:eastAsia="Calibri" w:hAnsi="Arial" w:cs="Arial"/>
          <w:lang w:val="es-ES_tradnl" w:eastAsia="es-MX"/>
        </w:rPr>
        <w:t xml:space="preserve">La Agencia Nacional de Contratación Pública – Colombia Compra Eficiente se pronunció, en términos generales, sobre la vigencia en la Ley 2069 de 2020, en los conceptos C-009, C-012, C-013, C-015, C-016 y C-026 del 4 de febrero de 2021, C-043 del 9 de febrero de 2021, C-005 del 16 de febrero, C-028 y C-029 del 23 de febrero de 2021 y C-037 del 26 de febrero de 2021. En relación con el artículo 31 de la Ley 2069 de 2020 se expidieron los conceptos C-029 del 23 de febrero de 2021, C-037 del 26 de febrero de 2021, C-035 del 02 de marzo de 2021, C-141 del 08 de abril de 2021, C-160 del 20 de abril de 2021, C-573 13 de abril de 2021 y C-281 del 12 de mayo de 2022. En lo que respecta al </w:t>
      </w:r>
      <w:r w:rsidRPr="0051048E">
        <w:rPr>
          <w:rFonts w:ascii="Arial" w:eastAsia="Calibri" w:hAnsi="Arial" w:cs="Arial"/>
          <w:lang w:val="es-ES_tradnl" w:eastAsia="es-MX"/>
        </w:rPr>
        <w:lastRenderedPageBreak/>
        <w:t>artículo 32 de la Ley en comento, pueden consultarse los conceptos C-005 del 16 de febrero de 2021, C-029 del 23 de febrero de 2021, C-037 del 26 de febrero de 2021, C-035 del 02 de marzo de 2021, C-141 del 08 de abril de 2021, C-160 del 20 de abril de 2021, C-031 del 1 de marzo de 2022 y C-281 del 12 de mayo de 2022.</w:t>
      </w:r>
      <w:r w:rsidRPr="0051048E">
        <w:rPr>
          <w:rFonts w:ascii="Arial" w:hAnsi="Arial" w:cs="Arial"/>
          <w:lang w:eastAsia="es-ES_tradnl"/>
        </w:rPr>
        <w:t xml:space="preserve"> </w:t>
      </w:r>
      <w:r w:rsidRPr="0051048E">
        <w:rPr>
          <w:rFonts w:ascii="Arial" w:hAnsi="Arial" w:cs="Arial"/>
          <w:lang w:val="es-ES"/>
        </w:rPr>
        <w:t>Algunas de las consideraciones de estos conceptos se reiteran y se complementan en lo pertinente, teniendo en cuenta lo consultado.</w:t>
      </w:r>
      <w:r w:rsidRPr="0051048E">
        <w:rPr>
          <w:rFonts w:ascii="Arial" w:hAnsi="Arial" w:cs="Arial"/>
        </w:rPr>
        <w:t> </w:t>
      </w:r>
    </w:p>
    <w:p w14:paraId="5EFA0ADB" w14:textId="77777777" w:rsidR="00FC0B42" w:rsidRPr="0051048E" w:rsidRDefault="00FC0B42" w:rsidP="00FC0B42">
      <w:pPr>
        <w:spacing w:after="0" w:line="240" w:lineRule="auto"/>
        <w:jc w:val="both"/>
        <w:textAlignment w:val="baseline"/>
        <w:rPr>
          <w:rFonts w:ascii="Arial" w:eastAsia="Times New Roman" w:hAnsi="Arial" w:cs="Arial"/>
          <w:lang w:eastAsia="es-CO"/>
        </w:rPr>
      </w:pPr>
    </w:p>
    <w:p w14:paraId="397F6992" w14:textId="77777777" w:rsidR="00FC0B42" w:rsidRDefault="00FC0B42" w:rsidP="00FC0B42">
      <w:pPr>
        <w:spacing w:after="0" w:line="240" w:lineRule="auto"/>
        <w:jc w:val="both"/>
        <w:rPr>
          <w:rFonts w:ascii="Arial" w:eastAsia="Times New Roman" w:hAnsi="Arial" w:cs="Arial"/>
          <w:lang w:eastAsia="es-CO"/>
        </w:rPr>
      </w:pPr>
    </w:p>
    <w:p w14:paraId="6801E319" w14:textId="77777777" w:rsidR="00FC0B42" w:rsidRPr="0051048E" w:rsidRDefault="00FC0B42" w:rsidP="00FC0B42">
      <w:pPr>
        <w:tabs>
          <w:tab w:val="left" w:pos="1553"/>
        </w:tabs>
        <w:spacing w:after="0" w:line="240" w:lineRule="auto"/>
        <w:jc w:val="both"/>
        <w:textAlignment w:val="baseline"/>
        <w:rPr>
          <w:rFonts w:ascii="Arial" w:eastAsia="Times New Roman" w:hAnsi="Arial" w:cs="Arial"/>
          <w:b/>
          <w:bCs/>
          <w:lang w:eastAsia="es-CO"/>
        </w:rPr>
      </w:pPr>
      <w:r w:rsidRPr="0051048E">
        <w:rPr>
          <w:rFonts w:ascii="Arial" w:eastAsia="Times New Roman" w:hAnsi="Arial" w:cs="Arial"/>
          <w:b/>
          <w:bCs/>
          <w:lang w:eastAsia="es-CO"/>
        </w:rPr>
        <w:t>2.1. Vigencia y reglamentación de los criterios diferenciales de la Ley 2069 de 2020. Reiteración de línea</w:t>
      </w:r>
    </w:p>
    <w:p w14:paraId="2B7226DA" w14:textId="77777777" w:rsidR="00FC0B42" w:rsidRPr="0051048E" w:rsidRDefault="00FC0B42" w:rsidP="00FC0B42">
      <w:pPr>
        <w:tabs>
          <w:tab w:val="left" w:pos="1553"/>
        </w:tabs>
        <w:spacing w:after="0" w:line="240" w:lineRule="auto"/>
        <w:jc w:val="both"/>
        <w:textAlignment w:val="baseline"/>
        <w:rPr>
          <w:rFonts w:ascii="Arial" w:eastAsia="Times New Roman" w:hAnsi="Arial" w:cs="Arial"/>
          <w:b/>
          <w:bCs/>
          <w:lang w:eastAsia="es-CO"/>
        </w:rPr>
      </w:pPr>
    </w:p>
    <w:p w14:paraId="55493AD5" w14:textId="77777777" w:rsidR="00FC0B42" w:rsidRPr="0051048E" w:rsidRDefault="00FC0B42" w:rsidP="00FC0B42">
      <w:pPr>
        <w:spacing w:after="0" w:line="276" w:lineRule="auto"/>
        <w:jc w:val="both"/>
        <w:rPr>
          <w:rFonts w:ascii="Arial" w:eastAsia="Calibri" w:hAnsi="Arial" w:cs="Arial"/>
          <w:lang w:val="es-ES_tradnl" w:eastAsia="es-ES_tradnl"/>
        </w:rPr>
      </w:pPr>
      <w:r w:rsidRPr="0051048E">
        <w:rPr>
          <w:rFonts w:ascii="Arial" w:eastAsia="Calibri" w:hAnsi="Arial" w:cs="Arial"/>
          <w:lang w:val="es-ES_tradnl" w:eastAsia="es-ES_tradnl"/>
        </w:rPr>
        <w:t>El 31 de diciembre de 2020 se promulgó la Ley 2069, “</w:t>
      </w:r>
      <w:r w:rsidRPr="0051048E">
        <w:rPr>
          <w:rFonts w:ascii="Arial" w:eastAsia="Calibri" w:hAnsi="Arial" w:cs="Arial"/>
          <w:i/>
          <w:iCs/>
          <w:lang w:val="es-ES_tradnl" w:eastAsia="es-ES_tradnl"/>
        </w:rPr>
        <w:t>Por medio de la cual se impulsa el emprendimiento en Colombia</w:t>
      </w:r>
      <w:r w:rsidRPr="0051048E">
        <w:rPr>
          <w:rFonts w:ascii="Arial" w:eastAsia="Calibri" w:hAnsi="Arial" w:cs="Arial"/>
          <w:lang w:val="es-ES_tradnl" w:eastAsia="es-ES_tradnl"/>
        </w:rPr>
        <w:t>”.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Pr="0051048E">
        <w:rPr>
          <w:rFonts w:ascii="Arial" w:eastAsia="Calibri" w:hAnsi="Arial" w:cs="Arial"/>
          <w:color w:val="000000" w:themeColor="text1"/>
          <w:lang w:val="es-ES_tradnl"/>
        </w:rPr>
        <w:t>, potestad que fue ejercida mediante la expedición del Decreto 1860 de 2021, al cual se hará referencia más adelante</w:t>
      </w:r>
      <w:r w:rsidRPr="0051048E">
        <w:rPr>
          <w:rFonts w:ascii="Arial" w:eastAsia="Calibri" w:hAnsi="Arial" w:cs="Arial"/>
          <w:lang w:val="es-ES_tradnl" w:eastAsia="es-ES_tradnl"/>
        </w:rPr>
        <w:t>.</w:t>
      </w:r>
    </w:p>
    <w:p w14:paraId="7562DBB6" w14:textId="77777777" w:rsidR="00FC0B42" w:rsidRPr="0051048E" w:rsidRDefault="00FC0B42" w:rsidP="00FC0B42">
      <w:pPr>
        <w:spacing w:before="120" w:after="0" w:line="276" w:lineRule="auto"/>
        <w:ind w:firstLine="709"/>
        <w:jc w:val="both"/>
        <w:rPr>
          <w:rFonts w:ascii="Arial" w:eastAsia="Calibri" w:hAnsi="Arial" w:cs="Arial"/>
          <w:lang w:val="es-ES_tradnl" w:eastAsia="es-ES_tradnl"/>
        </w:rPr>
      </w:pPr>
      <w:r w:rsidRPr="0051048E">
        <w:rPr>
          <w:rFonts w:ascii="Arial" w:eastAsia="Calibri" w:hAnsi="Arial" w:cs="Arial"/>
          <w:lang w:val="es-ES_tradnl"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51048E">
        <w:rPr>
          <w:rFonts w:ascii="Arial" w:eastAsia="Calibri" w:hAnsi="Arial" w:cs="Arial"/>
          <w:sz w:val="24"/>
          <w:szCs w:val="24"/>
          <w:vertAlign w:val="superscript"/>
          <w:lang w:val="es-ES_tradnl" w:eastAsia="es-ES_tradnl"/>
        </w:rPr>
        <w:footnoteReference w:id="2"/>
      </w:r>
      <w:r w:rsidRPr="0051048E">
        <w:rPr>
          <w:rFonts w:ascii="Arial" w:eastAsia="Calibri" w:hAnsi="Arial" w:cs="Arial"/>
          <w:lang w:val="es-ES_tradnl" w:eastAsia="es-ES_tradnl"/>
        </w:rPr>
        <w:t xml:space="preserve">. Esto, a partir de “[…] un enfoque regionalizado </w:t>
      </w:r>
      <w:proofErr w:type="gramStart"/>
      <w:r w:rsidRPr="0051048E">
        <w:rPr>
          <w:rFonts w:ascii="Arial" w:eastAsia="Calibri" w:hAnsi="Arial" w:cs="Arial"/>
          <w:lang w:val="es-ES_tradnl" w:eastAsia="es-ES_tradnl"/>
        </w:rPr>
        <w:t>de acuerdo a</w:t>
      </w:r>
      <w:proofErr w:type="gramEnd"/>
      <w:r w:rsidRPr="0051048E">
        <w:rPr>
          <w:rFonts w:ascii="Arial" w:eastAsia="Calibri" w:hAnsi="Arial" w:cs="Arial"/>
          <w:lang w:val="es-ES_tradnl" w:eastAsia="es-ES_tradnl"/>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51048E">
        <w:rPr>
          <w:rFonts w:ascii="Arial" w:eastAsia="Calibri" w:hAnsi="Arial" w:cs="Arial"/>
          <w:vertAlign w:val="superscript"/>
          <w:lang w:val="es-ES_tradnl" w:eastAsia="es-ES_tradnl"/>
        </w:rPr>
        <w:footnoteReference w:id="3"/>
      </w:r>
      <w:r w:rsidRPr="0051048E">
        <w:rPr>
          <w:rFonts w:ascii="Arial" w:eastAsia="Calibri" w:hAnsi="Arial" w:cs="Arial"/>
          <w:lang w:val="es-ES_tradnl" w:eastAsia="es-ES_tradnl"/>
        </w:rPr>
        <w:t>, así como incentivos a favor de aquellas dentro del sistema de compras y contratación pública</w:t>
      </w:r>
      <w:r w:rsidRPr="0051048E">
        <w:rPr>
          <w:rFonts w:ascii="Arial" w:eastAsia="Calibri" w:hAnsi="Arial" w:cs="Arial"/>
          <w:vertAlign w:val="superscript"/>
          <w:lang w:val="es-ES_tradnl" w:eastAsia="es-ES_tradnl"/>
        </w:rPr>
        <w:footnoteReference w:id="4"/>
      </w:r>
      <w:r w:rsidRPr="0051048E">
        <w:rPr>
          <w:rFonts w:ascii="Arial" w:eastAsia="Calibri" w:hAnsi="Arial" w:cs="Arial"/>
          <w:lang w:val="es-ES_tradnl" w:eastAsia="es-ES_tradnl"/>
        </w:rPr>
        <w:t>. También se consagran mecanismos de acceso al financiamiento</w:t>
      </w:r>
      <w:r w:rsidRPr="0051048E">
        <w:rPr>
          <w:rFonts w:ascii="Arial" w:eastAsia="Calibri" w:hAnsi="Arial" w:cs="Arial"/>
          <w:vertAlign w:val="superscript"/>
          <w:lang w:val="es-ES_tradnl" w:eastAsia="es-ES_tradnl"/>
        </w:rPr>
        <w:footnoteReference w:id="5"/>
      </w:r>
      <w:r w:rsidRPr="0051048E">
        <w:rPr>
          <w:rFonts w:ascii="Arial" w:eastAsia="Calibri" w:hAnsi="Arial" w:cs="Arial"/>
          <w:lang w:val="es-ES_tradnl" w:eastAsia="es-ES_tradnl"/>
        </w:rPr>
        <w:t xml:space="preserve">, se unifican las fuentes de emprendimiento y de desarrollo empresarial, para fortalecer y promover los distintos </w:t>
      </w:r>
      <w:r w:rsidRPr="0051048E">
        <w:rPr>
          <w:rFonts w:ascii="Arial" w:eastAsia="Calibri" w:hAnsi="Arial" w:cs="Arial"/>
          <w:lang w:val="es-ES_tradnl" w:eastAsia="es-ES_tradnl"/>
        </w:rPr>
        <w:lastRenderedPageBreak/>
        <w:t>sectores de la economía</w:t>
      </w:r>
      <w:r w:rsidRPr="0051048E">
        <w:rPr>
          <w:rFonts w:ascii="Arial" w:eastAsia="Calibri" w:hAnsi="Arial" w:cs="Arial"/>
          <w:vertAlign w:val="superscript"/>
          <w:lang w:val="es-ES_tradnl" w:eastAsia="es-ES_tradnl"/>
        </w:rPr>
        <w:footnoteReference w:id="6"/>
      </w:r>
      <w:r w:rsidRPr="0051048E">
        <w:rPr>
          <w:rFonts w:ascii="Arial" w:eastAsia="Calibri" w:hAnsi="Arial" w:cs="Arial"/>
          <w:lang w:val="es-ES_tradnl" w:eastAsia="es-ES_tradnl"/>
        </w:rPr>
        <w:t xml:space="preserve"> y se prevén medidas de educación para el emprendimiento y la innovación</w:t>
      </w:r>
      <w:r w:rsidRPr="0051048E">
        <w:rPr>
          <w:rFonts w:ascii="Arial" w:eastAsia="Calibri" w:hAnsi="Arial" w:cs="Arial"/>
          <w:vertAlign w:val="superscript"/>
          <w:lang w:val="es-ES_tradnl" w:eastAsia="es-ES_tradnl"/>
        </w:rPr>
        <w:footnoteReference w:id="7"/>
      </w:r>
      <w:r w:rsidRPr="0051048E">
        <w:rPr>
          <w:rFonts w:ascii="Arial" w:eastAsia="Calibri" w:hAnsi="Arial" w:cs="Arial"/>
          <w:lang w:val="es-ES_tradnl" w:eastAsia="es-ES_tradnl"/>
        </w:rPr>
        <w:t>.</w:t>
      </w:r>
    </w:p>
    <w:p w14:paraId="6C93C941" w14:textId="77777777" w:rsidR="00FC0B42" w:rsidRPr="0051048E" w:rsidRDefault="00FC0B42" w:rsidP="00FC0B42">
      <w:pPr>
        <w:spacing w:before="120" w:after="120" w:line="276" w:lineRule="auto"/>
        <w:ind w:firstLine="709"/>
        <w:jc w:val="both"/>
        <w:rPr>
          <w:rFonts w:ascii="Arial" w:eastAsia="Calibri" w:hAnsi="Arial" w:cs="Arial"/>
          <w:lang w:val="es-ES" w:eastAsia="es-ES"/>
        </w:rPr>
      </w:pPr>
      <w:r w:rsidRPr="61F7BCF3">
        <w:rPr>
          <w:rFonts w:ascii="Arial" w:eastAsia="Calibri" w:hAnsi="Arial" w:cs="Arial"/>
          <w:lang w:val="es-ES" w:eastAsia="es-ES"/>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 en el procedimiento de mínima cuantía, </w:t>
      </w:r>
      <w:proofErr w:type="spellStart"/>
      <w:r w:rsidRPr="61F7BCF3">
        <w:rPr>
          <w:rFonts w:ascii="Arial" w:eastAsia="Calibri" w:hAnsi="Arial" w:cs="Arial"/>
          <w:lang w:val="es-ES" w:eastAsia="es-ES"/>
        </w:rPr>
        <w:t>ii</w:t>
      </w:r>
      <w:proofErr w:type="spellEnd"/>
      <w:r w:rsidRPr="61F7BCF3">
        <w:rPr>
          <w:rFonts w:ascii="Arial" w:eastAsia="Calibri" w:hAnsi="Arial" w:cs="Arial"/>
          <w:lang w:val="es-ES" w:eastAsia="es-ES"/>
        </w:rPr>
        <w:t xml:space="preserve">) criterios diferenciales para Mipyme en el sistema de compras públicas, </w:t>
      </w:r>
      <w:proofErr w:type="spellStart"/>
      <w:r w:rsidRPr="61F7BCF3">
        <w:rPr>
          <w:rFonts w:ascii="Arial" w:eastAsia="Calibri" w:hAnsi="Arial" w:cs="Arial"/>
          <w:lang w:val="es-ES" w:eastAsia="es-ES"/>
        </w:rPr>
        <w:t>iii</w:t>
      </w:r>
      <w:proofErr w:type="spellEnd"/>
      <w:r w:rsidRPr="61F7BCF3">
        <w:rPr>
          <w:rFonts w:ascii="Arial" w:eastAsia="Calibri" w:hAnsi="Arial" w:cs="Arial"/>
          <w:lang w:val="es-ES" w:eastAsia="es-ES"/>
        </w:rPr>
        <w:t xml:space="preserve">) criterios diferenciales para emprendimientos y empresas de mujeres en el sistema de compras públicas, </w:t>
      </w:r>
      <w:proofErr w:type="spellStart"/>
      <w:r w:rsidRPr="61F7BCF3">
        <w:rPr>
          <w:rFonts w:ascii="Arial" w:eastAsia="Calibri" w:hAnsi="Arial" w:cs="Arial"/>
          <w:lang w:val="es-ES" w:eastAsia="es-ES"/>
        </w:rPr>
        <w:t>iv</w:t>
      </w:r>
      <w:proofErr w:type="spellEnd"/>
      <w:r w:rsidRPr="61F7BCF3">
        <w:rPr>
          <w:rFonts w:ascii="Arial" w:eastAsia="Calibri" w:hAnsi="Arial" w:cs="Arial"/>
          <w:lang w:val="es-ES" w:eastAsia="es-ES"/>
        </w:rPr>
        <w:t>) promoción del acceso de las Mipyme al mercado de compras públicas, v) promoción del desarrollo en la contratación pública, vi) un nuevo régimen de factores de desempate y vi) un llamado a las entidades estatales para que promuevan compras públicas en el marco de la tecnología y la innovación.</w:t>
      </w:r>
      <w:r w:rsidRPr="61F7BCF3">
        <w:rPr>
          <w:rFonts w:ascii="Arial" w:eastAsia="Calibri" w:hAnsi="Arial" w:cs="Arial"/>
          <w:sz w:val="24"/>
          <w:szCs w:val="24"/>
          <w:vertAlign w:val="superscript"/>
          <w:lang w:val="es-MX" w:eastAsia="es-ES"/>
        </w:rPr>
        <w:footnoteReference w:id="8"/>
      </w:r>
    </w:p>
    <w:p w14:paraId="7C9CB16E" w14:textId="77777777" w:rsidR="00FC0B42" w:rsidRDefault="00FC0B42" w:rsidP="00FC0B42">
      <w:pPr>
        <w:spacing w:before="120" w:after="120" w:line="276" w:lineRule="auto"/>
        <w:ind w:firstLine="709"/>
        <w:jc w:val="both"/>
        <w:rPr>
          <w:rFonts w:ascii="Arial" w:eastAsia="Calibri" w:hAnsi="Arial" w:cs="Arial"/>
          <w:lang w:val="es-ES" w:eastAsia="es-ES"/>
        </w:rPr>
      </w:pPr>
    </w:p>
    <w:p w14:paraId="224FBBAE" w14:textId="77777777" w:rsidR="00FC0B42" w:rsidRPr="0051048E" w:rsidRDefault="00FC0B42" w:rsidP="00FC0B42">
      <w:pPr>
        <w:tabs>
          <w:tab w:val="left" w:pos="709"/>
        </w:tabs>
        <w:spacing w:after="120" w:line="276" w:lineRule="auto"/>
        <w:jc w:val="both"/>
        <w:rPr>
          <w:rFonts w:ascii="Arial" w:eastAsia="Calibri" w:hAnsi="Arial" w:cs="Arial"/>
          <w:bCs/>
          <w:szCs w:val="24"/>
          <w:lang w:eastAsia="es-ES_tradnl"/>
        </w:rPr>
      </w:pPr>
      <w:r w:rsidRPr="0051048E">
        <w:rPr>
          <w:rFonts w:ascii="Arial" w:eastAsia="Calibri" w:hAnsi="Arial" w:cs="Arial"/>
          <w:bCs/>
          <w:szCs w:val="24"/>
          <w:lang w:eastAsia="es-ES_tradnl"/>
        </w:rPr>
        <w:tab/>
        <w:t xml:space="preserve">Dentro del referido capítulo se encuentran </w:t>
      </w:r>
      <w:bookmarkStart w:id="13" w:name="_Hlk63848566"/>
      <w:r w:rsidRPr="0051048E">
        <w:rPr>
          <w:rFonts w:ascii="Arial" w:eastAsia="Calibri" w:hAnsi="Arial" w:cs="Arial"/>
          <w:bCs/>
          <w:szCs w:val="24"/>
          <w:lang w:eastAsia="es-ES_tradnl"/>
        </w:rPr>
        <w:t>los artículos 31 y 32 de la Ley 2069 de 2020</w:t>
      </w:r>
      <w:bookmarkEnd w:id="13"/>
      <w:r w:rsidRPr="0051048E">
        <w:rPr>
          <w:rFonts w:ascii="Arial" w:eastAsia="Calibri" w:hAnsi="Arial" w:cs="Arial"/>
          <w:bCs/>
          <w:szCs w:val="24"/>
          <w:lang w:eastAsia="es-ES_tradnl"/>
        </w:rPr>
        <w:t xml:space="preserve">, a través de los cuales se crean una serie de incentivos para las personas interesadas en celebrar contratos con el Estado. </w:t>
      </w:r>
      <w:r w:rsidRPr="0051048E">
        <w:rPr>
          <w:rFonts w:ascii="Arial" w:eastAsia="Calibri" w:hAnsi="Arial" w:cs="Arial"/>
          <w:bCs/>
          <w:szCs w:val="24"/>
          <w:lang w:val="es-ES_tradnl" w:eastAsia="es-ES_tradnl"/>
        </w:rPr>
        <w:t xml:space="preserve">Por un lado, el artículo 31 </w:t>
      </w:r>
      <w:r w:rsidRPr="0051048E">
        <w:rPr>
          <w:rFonts w:ascii="Arial" w:eastAsia="Calibri" w:hAnsi="Arial" w:cs="Arial"/>
          <w:bCs/>
          <w:szCs w:val="24"/>
          <w:lang w:eastAsia="es-ES_tradnl"/>
        </w:rPr>
        <w:t xml:space="preserve">introduce criterios diferenciales para el acceso de las Mipyme al sistema de compras y contratación pública, estableciendo que </w:t>
      </w:r>
      <w:r w:rsidRPr="0051048E">
        <w:rPr>
          <w:rFonts w:ascii="Arial" w:eastAsia="Calibri" w:hAnsi="Arial" w:cs="Arial"/>
          <w:lang w:val="es-ES_tradnl" w:eastAsia="es-ES_tradnl"/>
        </w:rPr>
        <w:t>“</w:t>
      </w:r>
      <w:r w:rsidRPr="0051048E">
        <w:rPr>
          <w:rFonts w:ascii="Arial" w:eastAsia="Calibri" w:hAnsi="Arial" w:cs="Arial"/>
          <w:bCs/>
          <w:szCs w:val="24"/>
          <w:lang w:eastAsia="es-ES_tradnl"/>
        </w:rPr>
        <w:t>[l]as Entidades Estatales de acuerdo con el análisis de Sector podrán incluir, en los Documentos del Proceso, requisitos diferenciales y puntajes adicionales, en función del tamaño empresarial para la promoción del acceso de las MIPYMES al mercado de Compras Públicas”.</w:t>
      </w:r>
    </w:p>
    <w:p w14:paraId="67DFB948" w14:textId="77777777" w:rsidR="00FC0B42" w:rsidRPr="0051048E" w:rsidRDefault="00FC0B42" w:rsidP="00FC0B42">
      <w:pPr>
        <w:tabs>
          <w:tab w:val="left" w:pos="709"/>
        </w:tabs>
        <w:spacing w:after="120" w:line="276" w:lineRule="auto"/>
        <w:jc w:val="both"/>
        <w:rPr>
          <w:rFonts w:ascii="Arial" w:eastAsia="Calibri" w:hAnsi="Arial" w:cs="Arial"/>
          <w:bCs/>
          <w:szCs w:val="24"/>
          <w:lang w:eastAsia="es-ES_tradnl"/>
        </w:rPr>
      </w:pPr>
      <w:r w:rsidRPr="0051048E">
        <w:rPr>
          <w:rFonts w:ascii="Arial" w:eastAsia="Calibri" w:hAnsi="Arial" w:cs="Arial"/>
          <w:bCs/>
          <w:szCs w:val="24"/>
          <w:lang w:eastAsia="es-ES_tradnl"/>
        </w:rPr>
        <w:tab/>
        <w:t xml:space="preserve">Además, el inciso segundo y el parágrafo del </w:t>
      </w:r>
      <w:r w:rsidRPr="0051048E">
        <w:rPr>
          <w:rFonts w:ascii="Arial" w:eastAsia="Calibri" w:hAnsi="Arial" w:cs="Arial"/>
          <w:bCs/>
          <w:szCs w:val="24"/>
          <w:lang w:val="es-ES_tradnl" w:eastAsia="es-ES_tradnl"/>
        </w:rPr>
        <w:t xml:space="preserve">artículo 31 </w:t>
      </w:r>
      <w:r w:rsidRPr="0051048E">
        <w:rPr>
          <w:rFonts w:ascii="Arial" w:eastAsia="Calibri" w:hAnsi="Arial" w:cs="Arial"/>
          <w:bCs/>
          <w:szCs w:val="24"/>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0CD3EC68" w14:textId="77777777" w:rsidR="00FC0B42" w:rsidRPr="0051048E" w:rsidRDefault="00FC0B42" w:rsidP="00FC0B42">
      <w:pPr>
        <w:tabs>
          <w:tab w:val="left" w:pos="709"/>
        </w:tabs>
        <w:spacing w:after="0" w:line="276" w:lineRule="auto"/>
        <w:jc w:val="both"/>
        <w:rPr>
          <w:rFonts w:ascii="Arial" w:eastAsia="Calibri" w:hAnsi="Arial" w:cs="Arial"/>
          <w:lang w:eastAsia="es-ES"/>
        </w:rPr>
      </w:pPr>
      <w:r w:rsidRPr="0051048E">
        <w:rPr>
          <w:rFonts w:ascii="Arial" w:eastAsia="Calibri" w:hAnsi="Arial" w:cs="Arial"/>
          <w:bCs/>
          <w:szCs w:val="24"/>
          <w:lang w:eastAsia="es-ES_tradnl"/>
        </w:rPr>
        <w:tab/>
      </w:r>
      <w:r w:rsidRPr="61F7BCF3">
        <w:rPr>
          <w:rFonts w:ascii="Arial" w:eastAsia="Calibri" w:hAnsi="Arial" w:cs="Arial"/>
          <w:lang w:eastAsia="es-ES"/>
        </w:rPr>
        <w:t>Por otra parte, el artículo 32 de la Ley 2069 de 2020</w:t>
      </w:r>
      <w:r w:rsidRPr="61F7BCF3">
        <w:rPr>
          <w:rFonts w:ascii="Arial" w:eastAsia="Calibri" w:hAnsi="Arial" w:cs="Arial"/>
          <w:vertAlign w:val="superscript"/>
          <w:lang w:eastAsia="es-ES"/>
        </w:rPr>
        <w:footnoteReference w:id="9"/>
      </w:r>
      <w:r w:rsidRPr="61F7BCF3">
        <w:rPr>
          <w:rFonts w:ascii="Arial" w:eastAsia="Calibri" w:hAnsi="Arial" w:cs="Arial"/>
          <w:lang w:eastAsia="es-ES"/>
        </w:rPr>
        <w:t xml:space="preserve"> regula criterios diferenciales para los “emprendimientos y empresas de mujeres” en el sistema de compras y contratación </w:t>
      </w:r>
      <w:r w:rsidRPr="61F7BCF3">
        <w:rPr>
          <w:rFonts w:ascii="Arial" w:eastAsia="Calibri" w:hAnsi="Arial" w:cs="Arial"/>
          <w:lang w:eastAsia="es-ES"/>
        </w:rPr>
        <w:lastRenderedPageBreak/>
        <w:t xml:space="preserve">pública. En relación con este aspecto, el inciso primero de la norma citada prescribe lo siguiente: </w:t>
      </w:r>
    </w:p>
    <w:p w14:paraId="3920FED0" w14:textId="77777777" w:rsidR="00FC0B42" w:rsidRDefault="00FC0B42" w:rsidP="00FC0B42">
      <w:pPr>
        <w:tabs>
          <w:tab w:val="left" w:pos="709"/>
        </w:tabs>
        <w:spacing w:after="0" w:line="276" w:lineRule="auto"/>
        <w:jc w:val="both"/>
        <w:rPr>
          <w:rFonts w:ascii="Arial" w:eastAsia="Calibri" w:hAnsi="Arial" w:cs="Arial"/>
          <w:lang w:eastAsia="es-ES"/>
        </w:rPr>
      </w:pPr>
    </w:p>
    <w:p w14:paraId="41DC51C5" w14:textId="77777777" w:rsidR="00FC0B42" w:rsidRPr="0051048E" w:rsidRDefault="00FC0B42" w:rsidP="00FC0B42">
      <w:pPr>
        <w:tabs>
          <w:tab w:val="left" w:pos="709"/>
        </w:tabs>
        <w:spacing w:after="0" w:line="276" w:lineRule="auto"/>
        <w:contextualSpacing/>
        <w:jc w:val="both"/>
        <w:rPr>
          <w:rFonts w:ascii="Arial" w:eastAsia="Calibri" w:hAnsi="Arial" w:cs="Arial"/>
          <w:bCs/>
          <w:szCs w:val="24"/>
          <w:lang w:eastAsia="es-ES_tradnl"/>
        </w:rPr>
      </w:pPr>
    </w:p>
    <w:p w14:paraId="3C39D519" w14:textId="77777777" w:rsidR="00FC0B42" w:rsidRPr="0051048E" w:rsidRDefault="00FC0B42" w:rsidP="00FC0B42">
      <w:pPr>
        <w:tabs>
          <w:tab w:val="left" w:pos="709"/>
        </w:tabs>
        <w:spacing w:after="0" w:line="240" w:lineRule="auto"/>
        <w:ind w:left="709" w:right="709"/>
        <w:contextualSpacing/>
        <w:jc w:val="both"/>
        <w:rPr>
          <w:rFonts w:ascii="Arial" w:eastAsia="Calibri" w:hAnsi="Arial" w:cs="Arial"/>
          <w:bCs/>
          <w:sz w:val="21"/>
          <w:szCs w:val="21"/>
          <w:lang w:eastAsia="es-ES_tradnl"/>
        </w:rPr>
      </w:pPr>
      <w:r w:rsidRPr="0051048E">
        <w:rPr>
          <w:rFonts w:ascii="Arial" w:hAnsi="Arial" w:cs="Arial"/>
          <w:sz w:val="21"/>
          <w:szCs w:val="21"/>
        </w:rPr>
        <w:t>“</w:t>
      </w:r>
      <w:r w:rsidRPr="0051048E">
        <w:rPr>
          <w:rFonts w:ascii="Arial" w:eastAsia="Calibri" w:hAnsi="Arial" w:cs="Arial"/>
          <w:bCs/>
          <w:sz w:val="21"/>
          <w:szCs w:val="21"/>
          <w:lang w:eastAsia="es-ES_tradnl"/>
        </w:rPr>
        <w:t>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51048E">
        <w:rPr>
          <w:rFonts w:ascii="Arial" w:hAnsi="Arial" w:cs="Arial"/>
          <w:sz w:val="21"/>
          <w:szCs w:val="21"/>
        </w:rPr>
        <w:t>”</w:t>
      </w:r>
      <w:r w:rsidRPr="0051048E">
        <w:rPr>
          <w:rFonts w:ascii="Arial" w:eastAsia="Calibri" w:hAnsi="Arial" w:cs="Arial"/>
          <w:bCs/>
          <w:sz w:val="21"/>
          <w:szCs w:val="21"/>
          <w:lang w:eastAsia="es-ES_tradnl"/>
        </w:rPr>
        <w:t>.</w:t>
      </w:r>
    </w:p>
    <w:p w14:paraId="11B0F474" w14:textId="77777777" w:rsidR="00FC0B42" w:rsidRPr="0051048E" w:rsidRDefault="00FC0B42" w:rsidP="00FC0B42">
      <w:pPr>
        <w:tabs>
          <w:tab w:val="left" w:pos="709"/>
        </w:tabs>
        <w:spacing w:after="0" w:line="276" w:lineRule="auto"/>
        <w:ind w:left="709" w:right="709"/>
        <w:contextualSpacing/>
        <w:jc w:val="both"/>
        <w:rPr>
          <w:rFonts w:ascii="Arial" w:eastAsia="Calibri" w:hAnsi="Arial" w:cs="Arial"/>
          <w:bCs/>
          <w:szCs w:val="24"/>
          <w:lang w:eastAsia="es-ES_tradnl"/>
        </w:rPr>
      </w:pPr>
    </w:p>
    <w:p w14:paraId="4C9ECDD9" w14:textId="77777777" w:rsidR="00FC0B42" w:rsidRDefault="00FC0B42" w:rsidP="00FC0B42">
      <w:pPr>
        <w:tabs>
          <w:tab w:val="left" w:pos="709"/>
        </w:tabs>
        <w:spacing w:after="120" w:line="276" w:lineRule="auto"/>
        <w:jc w:val="both"/>
        <w:rPr>
          <w:rFonts w:ascii="Arial" w:eastAsia="Calibri" w:hAnsi="Arial" w:cs="Arial"/>
          <w:lang w:eastAsia="es-ES"/>
        </w:rPr>
      </w:pPr>
    </w:p>
    <w:p w14:paraId="034BD128" w14:textId="77777777" w:rsidR="00FC0B42" w:rsidRPr="0051048E" w:rsidRDefault="00FC0B42" w:rsidP="00FC0B42">
      <w:pPr>
        <w:tabs>
          <w:tab w:val="left" w:pos="709"/>
        </w:tabs>
        <w:spacing w:after="120" w:line="276" w:lineRule="auto"/>
        <w:jc w:val="both"/>
        <w:rPr>
          <w:rFonts w:ascii="Arial" w:eastAsia="Calibri" w:hAnsi="Arial" w:cs="Arial"/>
          <w:bCs/>
          <w:szCs w:val="24"/>
          <w:lang w:eastAsia="es-ES_tradnl"/>
        </w:rPr>
      </w:pPr>
      <w:r w:rsidRPr="0051048E">
        <w:rPr>
          <w:rFonts w:ascii="Arial" w:eastAsia="Calibri" w:hAnsi="Arial" w:cs="Arial"/>
          <w:bCs/>
          <w:szCs w:val="24"/>
          <w:lang w:eastAsia="es-ES_tradnl"/>
        </w:rPr>
        <w:tab/>
        <w:t xml:space="preserve">De esta manera, los “criterios diferenciales” del artículo 32 </w:t>
      </w:r>
      <w:r w:rsidRPr="0051048E">
        <w:rPr>
          <w:rFonts w:ascii="Arial" w:eastAsia="Calibri" w:hAnsi="Arial" w:cs="Arial"/>
          <w:bCs/>
          <w:i/>
          <w:iCs/>
          <w:szCs w:val="24"/>
          <w:lang w:eastAsia="es-ES_tradnl"/>
        </w:rPr>
        <w:t>ibidem</w:t>
      </w:r>
      <w:r w:rsidRPr="0051048E">
        <w:rPr>
          <w:rFonts w:ascii="Arial" w:eastAsia="Calibri" w:hAnsi="Arial" w:cs="Arial"/>
          <w:bCs/>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posteriores, la norma en comento también se extiende a todos los procedimientos que realicen las Entidades Estatales excluidas de la Ley 80 de 1993.     </w:t>
      </w:r>
    </w:p>
    <w:p w14:paraId="0EA39E69" w14:textId="77777777" w:rsidR="00FC0B42" w:rsidRPr="0051048E" w:rsidRDefault="00FC0B42" w:rsidP="00FC0B42">
      <w:pPr>
        <w:spacing w:before="120" w:after="120" w:line="276" w:lineRule="auto"/>
        <w:ind w:firstLine="709"/>
        <w:jc w:val="both"/>
        <w:rPr>
          <w:rFonts w:ascii="Arial" w:eastAsia="Calibri" w:hAnsi="Arial" w:cs="Arial"/>
          <w:lang w:val="es-ES_tradnl" w:eastAsia="es-ES_tradnl"/>
        </w:rPr>
      </w:pPr>
      <w:r w:rsidRPr="0051048E">
        <w:rPr>
          <w:rFonts w:ascii="Arial" w:eastAsia="Calibri" w:hAnsi="Arial" w:cs="Arial"/>
          <w:bCs/>
          <w:szCs w:val="24"/>
          <w:lang w:eastAsia="es-ES_tradnl"/>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3600E270" w14:textId="77777777" w:rsidR="00FC0B42" w:rsidRPr="0051048E" w:rsidRDefault="00FC0B42" w:rsidP="00FC0B42">
      <w:pPr>
        <w:spacing w:after="120" w:line="276" w:lineRule="auto"/>
        <w:jc w:val="both"/>
        <w:rPr>
          <w:rFonts w:ascii="Arial" w:eastAsia="Calibri" w:hAnsi="Arial" w:cs="Arial"/>
          <w:lang w:val="es-ES_tradnl" w:eastAsia="es-ES_tradnl"/>
        </w:rPr>
      </w:pPr>
      <w:r w:rsidRPr="0051048E">
        <w:rPr>
          <w:rFonts w:ascii="Arial" w:eastAsia="Calibri" w:hAnsi="Arial" w:cs="Arial"/>
          <w:b/>
          <w:bCs/>
          <w:lang w:val="es-ES_tradnl" w:eastAsia="es-ES_tradnl"/>
        </w:rPr>
        <w:tab/>
      </w:r>
      <w:r w:rsidRPr="0051048E">
        <w:rPr>
          <w:rFonts w:ascii="Arial" w:eastAsia="Calibri" w:hAnsi="Arial" w:cs="Arial"/>
          <w:lang w:val="es-ES_tradnl" w:eastAsia="es-ES_tradnl"/>
        </w:rPr>
        <w:t>En este contexto, el Gobierno Nacional expidió el Decreto 1860 de 2021,</w:t>
      </w:r>
      <w:r w:rsidRPr="0051048E">
        <w:rPr>
          <w:rFonts w:ascii="Times New Roman" w:eastAsia="Times New Roman" w:hAnsi="Times New Roman" w:cs="Times New Roman"/>
          <w:sz w:val="24"/>
          <w:szCs w:val="24"/>
          <w:lang w:eastAsia="es-ES_tradnl"/>
        </w:rPr>
        <w:t xml:space="preserve"> </w:t>
      </w:r>
      <w:r w:rsidRPr="0051048E">
        <w:rPr>
          <w:rFonts w:ascii="Arial" w:eastAsia="Calibri" w:hAnsi="Arial" w:cs="Arial"/>
          <w:i/>
          <w:iCs/>
          <w:lang w:val="es-ES_tradnl" w:eastAsia="es-ES_tradnl"/>
        </w:rPr>
        <w:t xml:space="preserve">“Por el cual se modifica y adiciona el Decreto 1082 de 2015, Único Reglamentario del Sector Administrativo de Planeación Nacional, con el fin reglamentar los artículos 30, 31, 32, 34 y </w:t>
      </w:r>
      <w:r w:rsidRPr="0051048E">
        <w:rPr>
          <w:rFonts w:ascii="Arial" w:eastAsia="Calibri" w:hAnsi="Arial" w:cs="Arial"/>
          <w:i/>
          <w:iCs/>
          <w:lang w:val="es-ES_tradnl" w:eastAsia="es-ES_tradnl"/>
        </w:rPr>
        <w:lastRenderedPageBreak/>
        <w:t>35 de la Ley 2069 de 2020, en lo relativo al sistema de compras públicas y se dictan otras disposiciones”</w:t>
      </w:r>
      <w:r w:rsidRPr="0051048E">
        <w:rPr>
          <w:rFonts w:ascii="Arial" w:eastAsia="Calibri" w:hAnsi="Arial" w:cs="Arial"/>
          <w:lang w:val="es-ES_tradnl" w:eastAsia="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51048E">
        <w:rPr>
          <w:rFonts w:ascii="Arial" w:eastAsia="Calibri" w:hAnsi="Arial" w:cs="Arial"/>
          <w:vertAlign w:val="superscript"/>
          <w:lang w:val="es-ES_tradnl" w:eastAsia="es-ES_tradnl"/>
        </w:rPr>
        <w:footnoteReference w:id="10"/>
      </w:r>
      <w:r w:rsidRPr="0051048E">
        <w:rPr>
          <w:rFonts w:ascii="Arial" w:eastAsia="Calibri" w:hAnsi="Arial" w:cs="Arial"/>
          <w:lang w:val="es-ES_tradnl" w:eastAsia="es-ES_tradnl"/>
        </w:rPr>
        <w:t xml:space="preserve">.  </w:t>
      </w:r>
    </w:p>
    <w:p w14:paraId="5AFBA752" w14:textId="77777777" w:rsidR="00FC0B42" w:rsidRPr="0051048E" w:rsidRDefault="00FC0B42" w:rsidP="00FC0B42">
      <w:pPr>
        <w:spacing w:after="120" w:line="276" w:lineRule="auto"/>
        <w:jc w:val="both"/>
        <w:rPr>
          <w:rFonts w:ascii="Arial" w:eastAsia="Times New Roman" w:hAnsi="Arial" w:cs="Arial"/>
          <w:lang w:eastAsia="es-CO"/>
        </w:rPr>
      </w:pPr>
      <w:r w:rsidRPr="0051048E">
        <w:rPr>
          <w:rFonts w:ascii="Arial" w:eastAsia="Calibri" w:hAnsi="Arial" w:cs="Arial"/>
          <w:lang w:val="es-ES_tradnl" w:eastAsia="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034EDD51" w14:textId="77777777" w:rsidR="00FC0B42" w:rsidRPr="0051048E" w:rsidRDefault="00FC0B42" w:rsidP="00FC0B42">
      <w:pPr>
        <w:widowControl w:val="0"/>
        <w:autoSpaceDE w:val="0"/>
        <w:autoSpaceDN w:val="0"/>
        <w:spacing w:before="120" w:after="0" w:line="276" w:lineRule="auto"/>
        <w:ind w:firstLine="709"/>
        <w:jc w:val="both"/>
        <w:rPr>
          <w:rFonts w:ascii="Arial" w:eastAsia="Arial MT" w:hAnsi="Arial" w:cs="Arial"/>
          <w:lang w:val="es-ES"/>
        </w:rPr>
      </w:pPr>
      <w:r w:rsidRPr="0051048E">
        <w:rPr>
          <w:rFonts w:ascii="Arial" w:eastAsia="Times New Roman" w:hAnsi="Arial" w:cs="Arial"/>
          <w:lang w:eastAsia="es-CO"/>
        </w:rPr>
        <w:t xml:space="preserve">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w:t>
      </w:r>
      <w:r w:rsidRPr="0051048E">
        <w:rPr>
          <w:rFonts w:ascii="Arial" w:eastAsia="Arial MT" w:hAnsi="Arial" w:cs="Arial"/>
          <w:lang w:val="es-ES"/>
        </w:rPr>
        <w:t>es decir, a</w:t>
      </w:r>
      <w:r w:rsidRPr="0051048E">
        <w:rPr>
          <w:rFonts w:ascii="Arial" w:eastAsia="Arial MT" w:hAnsi="Arial" w:cs="Arial"/>
          <w:spacing w:val="1"/>
          <w:lang w:val="es-ES"/>
        </w:rPr>
        <w:t xml:space="preserve"> </w:t>
      </w:r>
      <w:r w:rsidRPr="0051048E">
        <w:rPr>
          <w:rFonts w:ascii="Arial" w:eastAsia="Arial MT" w:hAnsi="Arial" w:cs="Arial"/>
          <w:spacing w:val="-1"/>
          <w:lang w:val="es-ES"/>
        </w:rPr>
        <w:t>partir</w:t>
      </w:r>
      <w:r w:rsidRPr="0051048E">
        <w:rPr>
          <w:rFonts w:ascii="Arial" w:eastAsia="Arial MT" w:hAnsi="Arial" w:cs="Arial"/>
          <w:spacing w:val="-15"/>
          <w:lang w:val="es-ES"/>
        </w:rPr>
        <w:t xml:space="preserve"> </w:t>
      </w:r>
      <w:r w:rsidRPr="0051048E">
        <w:rPr>
          <w:rFonts w:ascii="Arial" w:eastAsia="Arial MT" w:hAnsi="Arial" w:cs="Arial"/>
          <w:spacing w:val="-1"/>
          <w:lang w:val="es-ES"/>
        </w:rPr>
        <w:t>del</w:t>
      </w:r>
      <w:r w:rsidRPr="0051048E">
        <w:rPr>
          <w:rFonts w:ascii="Arial" w:eastAsia="Arial MT" w:hAnsi="Arial" w:cs="Arial"/>
          <w:spacing w:val="-14"/>
          <w:lang w:val="es-ES"/>
        </w:rPr>
        <w:t xml:space="preserve"> </w:t>
      </w:r>
      <w:r w:rsidRPr="0051048E">
        <w:rPr>
          <w:rFonts w:ascii="Arial" w:eastAsia="Arial MT" w:hAnsi="Arial" w:cs="Arial"/>
          <w:spacing w:val="-1"/>
          <w:lang w:val="es-ES"/>
        </w:rPr>
        <w:t>24</w:t>
      </w:r>
      <w:r w:rsidRPr="0051048E">
        <w:rPr>
          <w:rFonts w:ascii="Arial" w:eastAsia="Arial MT" w:hAnsi="Arial" w:cs="Arial"/>
          <w:spacing w:val="-14"/>
          <w:lang w:val="es-ES"/>
        </w:rPr>
        <w:t xml:space="preserve"> </w:t>
      </w:r>
      <w:r w:rsidRPr="0051048E">
        <w:rPr>
          <w:rFonts w:ascii="Arial" w:eastAsia="Arial MT" w:hAnsi="Arial" w:cs="Arial"/>
          <w:spacing w:val="-1"/>
          <w:lang w:val="es-ES"/>
        </w:rPr>
        <w:t>de</w:t>
      </w:r>
      <w:r w:rsidRPr="0051048E">
        <w:rPr>
          <w:rFonts w:ascii="Arial" w:eastAsia="Arial MT" w:hAnsi="Arial" w:cs="Arial"/>
          <w:spacing w:val="-14"/>
          <w:lang w:val="es-ES"/>
        </w:rPr>
        <w:t xml:space="preserve"> </w:t>
      </w:r>
      <w:r w:rsidRPr="0051048E">
        <w:rPr>
          <w:rFonts w:ascii="Arial" w:eastAsia="Arial MT" w:hAnsi="Arial" w:cs="Arial"/>
          <w:spacing w:val="-1"/>
          <w:lang w:val="es-ES"/>
        </w:rPr>
        <w:t>marzo</w:t>
      </w:r>
      <w:r w:rsidRPr="0051048E">
        <w:rPr>
          <w:rFonts w:ascii="Arial" w:eastAsia="Arial MT" w:hAnsi="Arial" w:cs="Arial"/>
          <w:spacing w:val="-14"/>
          <w:lang w:val="es-ES"/>
        </w:rPr>
        <w:t xml:space="preserve"> </w:t>
      </w:r>
      <w:r w:rsidRPr="0051048E">
        <w:rPr>
          <w:rFonts w:ascii="Arial" w:eastAsia="Arial MT" w:hAnsi="Arial" w:cs="Arial"/>
          <w:spacing w:val="-1"/>
          <w:lang w:val="es-ES"/>
        </w:rPr>
        <w:t>de</w:t>
      </w:r>
      <w:r w:rsidRPr="0051048E">
        <w:rPr>
          <w:rFonts w:ascii="Arial" w:eastAsia="Arial MT" w:hAnsi="Arial" w:cs="Arial"/>
          <w:spacing w:val="-14"/>
          <w:lang w:val="es-ES"/>
        </w:rPr>
        <w:t xml:space="preserve"> </w:t>
      </w:r>
      <w:r w:rsidRPr="0051048E">
        <w:rPr>
          <w:rFonts w:ascii="Arial" w:eastAsia="Arial MT" w:hAnsi="Arial" w:cs="Arial"/>
          <w:spacing w:val="-1"/>
          <w:lang w:val="es-ES"/>
        </w:rPr>
        <w:t xml:space="preserve">2022, </w:t>
      </w:r>
      <w:r w:rsidRPr="0051048E">
        <w:rPr>
          <w:rFonts w:ascii="Arial MT" w:eastAsia="Arial MT" w:hAnsi="Arial MT" w:cs="Arial MT"/>
          <w:lang w:val="es-ES"/>
        </w:rPr>
        <w:t>por lo que actualmente esta es la regulación vigente</w:t>
      </w:r>
      <w:r w:rsidRPr="0051048E">
        <w:rPr>
          <w:rFonts w:ascii="Arial" w:eastAsia="Times New Roman" w:hAnsi="Arial" w:cs="Arial"/>
          <w:vertAlign w:val="superscript"/>
          <w:lang w:eastAsia="es-CO"/>
        </w:rPr>
        <w:footnoteReference w:id="11"/>
      </w:r>
      <w:r w:rsidRPr="0051048E">
        <w:rPr>
          <w:rFonts w:ascii="Arial" w:eastAsia="Times New Roman" w:hAnsi="Arial" w:cs="Arial"/>
          <w:lang w:eastAsia="es-CO"/>
        </w:rPr>
        <w:t xml:space="preserve">. </w:t>
      </w:r>
    </w:p>
    <w:p w14:paraId="038D2ED1" w14:textId="77777777" w:rsidR="00FC0B42" w:rsidRDefault="00FC0B42" w:rsidP="00FC0B42">
      <w:pPr>
        <w:widowControl w:val="0"/>
        <w:spacing w:before="120" w:after="0" w:line="276" w:lineRule="auto"/>
        <w:ind w:firstLine="709"/>
        <w:jc w:val="both"/>
        <w:rPr>
          <w:rFonts w:ascii="Arial" w:eastAsia="Times New Roman" w:hAnsi="Arial" w:cs="Arial"/>
          <w:lang w:eastAsia="es-CO"/>
        </w:rPr>
      </w:pPr>
    </w:p>
    <w:p w14:paraId="5A49B8DB" w14:textId="77777777" w:rsidR="00FC0B42" w:rsidRPr="0051048E" w:rsidRDefault="00FC0B42" w:rsidP="00FC0B42">
      <w:pPr>
        <w:tabs>
          <w:tab w:val="left" w:pos="1553"/>
        </w:tabs>
        <w:spacing w:after="0" w:line="240" w:lineRule="auto"/>
        <w:jc w:val="both"/>
        <w:textAlignment w:val="baseline"/>
        <w:rPr>
          <w:rFonts w:ascii="Arial" w:eastAsia="Times New Roman" w:hAnsi="Arial" w:cs="Arial"/>
          <w:b/>
          <w:bCs/>
          <w:lang w:eastAsia="es-CO"/>
        </w:rPr>
      </w:pPr>
    </w:p>
    <w:p w14:paraId="59458B7B" w14:textId="77777777" w:rsidR="00FC0B42" w:rsidRPr="0051048E" w:rsidRDefault="00FC0B42" w:rsidP="00FC0B42">
      <w:pPr>
        <w:tabs>
          <w:tab w:val="left" w:pos="1553"/>
        </w:tabs>
        <w:spacing w:after="0" w:line="240" w:lineRule="auto"/>
        <w:jc w:val="both"/>
        <w:textAlignment w:val="baseline"/>
        <w:rPr>
          <w:rFonts w:ascii="Arial" w:eastAsia="Times New Roman" w:hAnsi="Arial" w:cs="Arial"/>
          <w:b/>
          <w:bCs/>
          <w:lang w:eastAsia="es-CO"/>
        </w:rPr>
      </w:pPr>
      <w:r w:rsidRPr="0051048E">
        <w:rPr>
          <w:rFonts w:ascii="Arial" w:eastAsia="Times New Roman" w:hAnsi="Arial" w:cs="Arial"/>
          <w:b/>
          <w:bCs/>
          <w:lang w:eastAsia="es-CO"/>
        </w:rPr>
        <w:t>2.2. Definición de criterios diferenciales en favor de Mipyme y emprendimientos y empresas de mujeres en el sistema de compra pública</w:t>
      </w:r>
    </w:p>
    <w:p w14:paraId="5C04C7BF" w14:textId="77777777" w:rsidR="00FC0B42" w:rsidRPr="0051048E" w:rsidRDefault="00FC0B42" w:rsidP="00FC0B42">
      <w:pPr>
        <w:tabs>
          <w:tab w:val="left" w:pos="1553"/>
        </w:tabs>
        <w:spacing w:after="0" w:line="240" w:lineRule="auto"/>
        <w:jc w:val="both"/>
        <w:textAlignment w:val="baseline"/>
        <w:rPr>
          <w:rFonts w:ascii="Arial" w:eastAsia="Times New Roman" w:hAnsi="Arial" w:cs="Arial"/>
          <w:b/>
          <w:bCs/>
          <w:lang w:eastAsia="es-CO"/>
        </w:rPr>
      </w:pPr>
    </w:p>
    <w:p w14:paraId="3E6FD0F7" w14:textId="77777777" w:rsidR="00FC0B42" w:rsidRPr="0051048E" w:rsidRDefault="00FC0B42" w:rsidP="00FC0B42">
      <w:pPr>
        <w:tabs>
          <w:tab w:val="left" w:pos="709"/>
        </w:tabs>
        <w:spacing w:after="0" w:line="276" w:lineRule="auto"/>
        <w:jc w:val="both"/>
        <w:rPr>
          <w:rFonts w:ascii="Arial" w:eastAsia="Calibri" w:hAnsi="Arial" w:cs="Arial"/>
          <w:bCs/>
          <w:color w:val="000000"/>
          <w:szCs w:val="24"/>
          <w:lang w:val="es-ES_tradnl" w:eastAsia="es-ES_tradnl"/>
        </w:rPr>
      </w:pPr>
      <w:r w:rsidRPr="0051048E">
        <w:rPr>
          <w:rFonts w:ascii="Arial" w:eastAsia="Calibri" w:hAnsi="Arial" w:cs="Arial"/>
          <w:bCs/>
          <w:color w:val="000000"/>
          <w:szCs w:val="24"/>
          <w:lang w:val="es-ES_tradnl" w:eastAsia="es-ES_tradnl"/>
        </w:rPr>
        <w:t xml:space="preserve">En cumplimiento de los mandatos impartidos en la Ley 2069 de 2020, el Gobierno Nacional expidió el Decreto 1860 de 2021, en el cual se introdujeron varias modificaciones al Decreto 1082 de 2015, con el fin de reglamentar, entre otros aspectos, los criterios diferenciales para Mipymes y emprendimientos y empresas de mujeres. En las consideraciones del reglamento se hizo constar lo siguiente: </w:t>
      </w:r>
    </w:p>
    <w:p w14:paraId="62B060C1" w14:textId="77777777" w:rsidR="00FC0B42" w:rsidRPr="0051048E" w:rsidRDefault="00FC0B42" w:rsidP="00FC0B42">
      <w:pPr>
        <w:tabs>
          <w:tab w:val="left" w:pos="709"/>
        </w:tabs>
        <w:spacing w:after="0" w:line="276" w:lineRule="auto"/>
        <w:jc w:val="both"/>
        <w:rPr>
          <w:rFonts w:ascii="Arial" w:eastAsia="Calibri" w:hAnsi="Arial" w:cs="Arial"/>
          <w:bCs/>
          <w:color w:val="000000"/>
          <w:szCs w:val="24"/>
          <w:lang w:val="es-ES_tradnl" w:eastAsia="es-ES_tradnl"/>
        </w:rPr>
      </w:pPr>
    </w:p>
    <w:p w14:paraId="237CC1D4" w14:textId="77777777" w:rsidR="00FC0B42" w:rsidRPr="0051048E" w:rsidRDefault="00FC0B42" w:rsidP="00FC0B42">
      <w:pPr>
        <w:tabs>
          <w:tab w:val="left" w:pos="709"/>
        </w:tabs>
        <w:spacing w:after="0" w:line="240" w:lineRule="auto"/>
        <w:ind w:left="709" w:right="709"/>
        <w:jc w:val="both"/>
        <w:rPr>
          <w:rFonts w:ascii="Arial" w:eastAsia="Calibri" w:hAnsi="Arial" w:cs="Arial"/>
          <w:bCs/>
          <w:color w:val="000000"/>
          <w:sz w:val="21"/>
          <w:szCs w:val="21"/>
          <w:lang w:val="es-ES_tradnl" w:eastAsia="es-ES_tradnl"/>
        </w:rPr>
      </w:pPr>
      <w:r w:rsidRPr="0051048E">
        <w:rPr>
          <w:rFonts w:ascii="Arial" w:eastAsia="Calibri" w:hAnsi="Arial" w:cs="Arial"/>
          <w:bCs/>
          <w:color w:val="000000"/>
          <w:sz w:val="21"/>
          <w:szCs w:val="21"/>
          <w:lang w:val="es-ES_tradnl" w:eastAsia="es-ES_tradnl"/>
        </w:rPr>
        <w:t>“[…]</w:t>
      </w:r>
    </w:p>
    <w:p w14:paraId="0424A335" w14:textId="77777777" w:rsidR="00FC0B42" w:rsidRPr="0051048E" w:rsidRDefault="00FC0B42" w:rsidP="00FC0B42">
      <w:pPr>
        <w:tabs>
          <w:tab w:val="left" w:pos="709"/>
        </w:tabs>
        <w:spacing w:before="120" w:after="0" w:line="240" w:lineRule="auto"/>
        <w:ind w:left="709" w:right="709"/>
        <w:jc w:val="both"/>
        <w:rPr>
          <w:rFonts w:ascii="Arial" w:eastAsia="Calibri" w:hAnsi="Arial" w:cs="Arial"/>
          <w:bCs/>
          <w:color w:val="000000"/>
          <w:sz w:val="21"/>
          <w:szCs w:val="21"/>
          <w:lang w:val="es-ES_tradnl" w:eastAsia="es-ES_tradnl"/>
        </w:rPr>
      </w:pPr>
      <w:r w:rsidRPr="0051048E">
        <w:rPr>
          <w:rFonts w:ascii="Arial" w:eastAsia="Calibri" w:hAnsi="Arial" w:cs="Arial"/>
          <w:bCs/>
          <w:color w:val="000000"/>
          <w:sz w:val="21"/>
          <w:szCs w:val="21"/>
          <w:lang w:val="es-ES_tradnl" w:eastAsia="es-ES_tradnl"/>
        </w:rPr>
        <w:t>Que conforme a su exposición de motivos, la Ley de Emprendimiento "(…) 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p>
    <w:p w14:paraId="0C95DCC8" w14:textId="77777777" w:rsidR="00FC0B42" w:rsidRPr="0051048E" w:rsidRDefault="00FC0B42" w:rsidP="00FC0B42">
      <w:pPr>
        <w:tabs>
          <w:tab w:val="left" w:pos="709"/>
        </w:tabs>
        <w:spacing w:before="120" w:after="0" w:line="240" w:lineRule="auto"/>
        <w:ind w:left="709" w:right="709"/>
        <w:jc w:val="both"/>
        <w:rPr>
          <w:rFonts w:ascii="Arial" w:eastAsia="Calibri" w:hAnsi="Arial" w:cs="Arial"/>
          <w:bCs/>
          <w:color w:val="000000"/>
          <w:sz w:val="21"/>
          <w:szCs w:val="21"/>
          <w:lang w:val="es-ES_tradnl" w:eastAsia="es-ES_tradnl"/>
        </w:rPr>
      </w:pPr>
      <w:proofErr w:type="gramStart"/>
      <w:r w:rsidRPr="0051048E">
        <w:rPr>
          <w:rFonts w:ascii="Arial" w:eastAsia="Calibri" w:hAnsi="Arial" w:cs="Arial"/>
          <w:bCs/>
          <w:color w:val="000000"/>
          <w:sz w:val="21"/>
          <w:szCs w:val="21"/>
          <w:lang w:val="es-ES_tradnl" w:eastAsia="es-ES_tradnl"/>
        </w:rPr>
        <w:t>Que</w:t>
      </w:r>
      <w:proofErr w:type="gramEnd"/>
      <w:r w:rsidRPr="0051048E">
        <w:rPr>
          <w:rFonts w:ascii="Arial" w:eastAsia="Calibri" w:hAnsi="Arial" w:cs="Arial"/>
          <w:bCs/>
          <w:color w:val="000000"/>
          <w:sz w:val="21"/>
          <w:szCs w:val="21"/>
          <w:lang w:val="es-ES_tradnl" w:eastAsia="es-ES_tradnl"/>
        </w:rPr>
        <w:t xml:space="preserve"> en desarrollo de lo anterior, el Capítulo III de la Ley 2069 de 2020, entre otras medidas, crea una serie de incentivos para las Mipyme, y los emprendimientos y empresas de mujeres interesados en celebrar contratos con el Estado, así como para el fomento en la ejecución de contratos de la provisión de bienes y servicios por parte de sujetos de especial protección constitucional.</w:t>
      </w:r>
    </w:p>
    <w:p w14:paraId="6C43A4CB" w14:textId="77777777" w:rsidR="00FC0B42" w:rsidRPr="0051048E" w:rsidRDefault="00FC0B42" w:rsidP="00FC0B42">
      <w:pPr>
        <w:tabs>
          <w:tab w:val="left" w:pos="709"/>
        </w:tabs>
        <w:spacing w:before="120" w:after="0" w:line="240" w:lineRule="auto"/>
        <w:ind w:left="709" w:right="709"/>
        <w:jc w:val="both"/>
        <w:rPr>
          <w:rFonts w:ascii="Arial" w:eastAsia="Calibri" w:hAnsi="Arial" w:cs="Arial"/>
          <w:bCs/>
          <w:color w:val="000000"/>
          <w:sz w:val="21"/>
          <w:szCs w:val="21"/>
          <w:lang w:val="es-ES_tradnl" w:eastAsia="es-ES_tradnl"/>
        </w:rPr>
      </w:pPr>
      <w:r w:rsidRPr="0051048E">
        <w:rPr>
          <w:rFonts w:ascii="Arial" w:eastAsia="Calibri" w:hAnsi="Arial" w:cs="Arial"/>
          <w:bCs/>
          <w:color w:val="000000"/>
          <w:sz w:val="21"/>
          <w:szCs w:val="21"/>
          <w:lang w:val="es-ES_tradnl" w:eastAsia="es-ES_tradnl"/>
        </w:rPr>
        <w:t>[…]</w:t>
      </w:r>
    </w:p>
    <w:p w14:paraId="7A15EC2A" w14:textId="77777777" w:rsidR="00FC0B42" w:rsidRPr="0051048E" w:rsidRDefault="00FC0B42" w:rsidP="00FC0B42">
      <w:pPr>
        <w:tabs>
          <w:tab w:val="left" w:pos="709"/>
        </w:tabs>
        <w:spacing w:before="120" w:after="0" w:line="240" w:lineRule="auto"/>
        <w:ind w:left="709" w:right="709"/>
        <w:jc w:val="both"/>
        <w:rPr>
          <w:rFonts w:ascii="Arial" w:eastAsia="Calibri" w:hAnsi="Arial" w:cs="Arial"/>
          <w:bCs/>
          <w:color w:val="000000"/>
          <w:szCs w:val="24"/>
          <w:lang w:val="es-ES_tradnl" w:eastAsia="es-ES_tradnl"/>
        </w:rPr>
      </w:pPr>
      <w:r w:rsidRPr="0051048E">
        <w:rPr>
          <w:rFonts w:ascii="Arial" w:eastAsia="Calibri" w:hAnsi="Arial" w:cs="Arial"/>
          <w:bCs/>
          <w:color w:val="000000"/>
          <w:sz w:val="21"/>
          <w:szCs w:val="21"/>
          <w:lang w:val="es-ES_tradnl" w:eastAsia="es-ES_tradnl"/>
        </w:rPr>
        <w:t xml:space="preserve">Que para el debido cumplimiento de la Ley </w:t>
      </w:r>
      <w:r w:rsidRPr="0051048E">
        <w:rPr>
          <w:rFonts w:ascii="Arial" w:eastAsia="Calibri" w:hAnsi="Arial" w:cs="Arial"/>
          <w:bCs/>
          <w:color w:val="000000"/>
          <w:szCs w:val="24"/>
          <w:lang w:val="es-ES_tradnl" w:eastAsia="es-ES_tradnl"/>
        </w:rPr>
        <w:t>2069 de 2020, se requiere modificar el Decreto 1082 de 2015, Único Reglamentario del Sector Administrativo de Planeación Nacional, incorporando una regulación detallada de las normas anteriormente citadas para la efectiva aplicación de la Ley de Emprendimiento en el sistema de compras y contratación pública.</w:t>
      </w:r>
    </w:p>
    <w:p w14:paraId="3612012B" w14:textId="77777777" w:rsidR="00FC0B42" w:rsidRPr="0051048E" w:rsidRDefault="00FC0B42" w:rsidP="00FC0B42">
      <w:pPr>
        <w:tabs>
          <w:tab w:val="left" w:pos="709"/>
        </w:tabs>
        <w:spacing w:before="120" w:after="0" w:line="240" w:lineRule="auto"/>
        <w:ind w:left="709" w:right="709"/>
        <w:jc w:val="both"/>
        <w:rPr>
          <w:rFonts w:ascii="Arial" w:eastAsia="Calibri" w:hAnsi="Arial" w:cs="Arial"/>
          <w:bCs/>
          <w:color w:val="000000"/>
          <w:sz w:val="21"/>
          <w:szCs w:val="21"/>
          <w:lang w:val="es-ES_tradnl" w:eastAsia="es-ES_tradnl"/>
        </w:rPr>
      </w:pPr>
      <w:r w:rsidRPr="0051048E">
        <w:rPr>
          <w:rFonts w:ascii="Arial" w:eastAsia="Calibri" w:hAnsi="Arial" w:cs="Arial"/>
          <w:bCs/>
          <w:color w:val="000000"/>
          <w:sz w:val="21"/>
          <w:szCs w:val="21"/>
          <w:lang w:val="es-ES_tradnl" w:eastAsia="es-ES_tradnl"/>
        </w:rPr>
        <w:t>[…]”.</w:t>
      </w:r>
    </w:p>
    <w:p w14:paraId="6BC3967A" w14:textId="77777777" w:rsidR="00FC0B42" w:rsidRPr="0051048E" w:rsidRDefault="00FC0B42" w:rsidP="00FC0B42">
      <w:pPr>
        <w:tabs>
          <w:tab w:val="left" w:pos="709"/>
        </w:tabs>
        <w:spacing w:after="0" w:line="276" w:lineRule="auto"/>
        <w:jc w:val="both"/>
        <w:rPr>
          <w:rFonts w:ascii="Arial" w:eastAsia="Calibri" w:hAnsi="Arial" w:cs="Arial"/>
          <w:bCs/>
          <w:color w:val="000000"/>
          <w:sz w:val="21"/>
          <w:szCs w:val="21"/>
          <w:lang w:val="es-ES_tradnl" w:eastAsia="es-ES_tradnl"/>
        </w:rPr>
      </w:pPr>
    </w:p>
    <w:p w14:paraId="4970A794" w14:textId="77777777" w:rsidR="00FC0B42" w:rsidRPr="0051048E" w:rsidRDefault="00FC0B42" w:rsidP="00FC0B42">
      <w:pPr>
        <w:tabs>
          <w:tab w:val="left" w:pos="709"/>
        </w:tabs>
        <w:spacing w:after="0" w:line="276" w:lineRule="auto"/>
        <w:jc w:val="both"/>
        <w:rPr>
          <w:rFonts w:ascii="Arial" w:eastAsia="Calibri" w:hAnsi="Arial" w:cs="Arial"/>
          <w:bCs/>
          <w:color w:val="000000"/>
          <w:sz w:val="21"/>
          <w:szCs w:val="21"/>
          <w:lang w:val="es-ES_tradnl" w:eastAsia="es-ES_tradnl"/>
        </w:rPr>
      </w:pPr>
      <w:r w:rsidRPr="0051048E">
        <w:rPr>
          <w:rFonts w:ascii="Arial" w:eastAsia="Calibri" w:hAnsi="Arial" w:cs="Arial"/>
          <w:bCs/>
          <w:color w:val="000000"/>
          <w:sz w:val="21"/>
          <w:szCs w:val="21"/>
          <w:lang w:val="es-ES_tradnl" w:eastAsia="es-ES_tradnl"/>
        </w:rPr>
        <w:tab/>
        <w:t xml:space="preserve">De modo que, desde su motivación, el decreto reglamentario resalta la finalidad con la que fue expedida la Ley 2069 de 2020 a la que le es inherente la necesidad de fijar criterios </w:t>
      </w:r>
      <w:r w:rsidRPr="0051048E">
        <w:rPr>
          <w:rFonts w:ascii="Arial" w:eastAsia="Calibri" w:hAnsi="Arial" w:cs="Arial"/>
          <w:bCs/>
          <w:color w:val="000000"/>
          <w:sz w:val="21"/>
          <w:szCs w:val="21"/>
          <w:lang w:val="es-ES_tradnl" w:eastAsia="es-ES_tradnl"/>
        </w:rPr>
        <w:lastRenderedPageBreak/>
        <w:t>diferenciales en favor de los proponentes que se encuentren en las especiales condiciones definidas en la misma, pues sólo de esa manera se garantiza la igualdad material</w:t>
      </w:r>
      <w:r w:rsidRPr="0051048E">
        <w:rPr>
          <w:rFonts w:ascii="Arial" w:eastAsia="Arial" w:hAnsi="Arial" w:cs="Arial"/>
          <w:vertAlign w:val="superscript"/>
        </w:rPr>
        <w:footnoteReference w:id="12"/>
      </w:r>
      <w:r w:rsidRPr="0051048E">
        <w:rPr>
          <w:rFonts w:ascii="Arial" w:eastAsia="Arial" w:hAnsi="Arial" w:cs="Arial"/>
          <w:vertAlign w:val="subscript"/>
        </w:rPr>
        <w:t>.</w:t>
      </w:r>
    </w:p>
    <w:p w14:paraId="01D9A9EB" w14:textId="77777777" w:rsidR="00FC0B42" w:rsidRPr="0051048E" w:rsidRDefault="00FC0B42" w:rsidP="00FC0B42">
      <w:pPr>
        <w:tabs>
          <w:tab w:val="left" w:pos="709"/>
        </w:tabs>
        <w:spacing w:before="120" w:after="0" w:line="276" w:lineRule="auto"/>
        <w:jc w:val="both"/>
        <w:rPr>
          <w:rFonts w:ascii="Arial" w:eastAsia="Calibri" w:hAnsi="Arial" w:cs="Arial"/>
          <w:bCs/>
          <w:color w:val="000000"/>
          <w:lang w:val="es-ES_tradnl" w:eastAsia="es-ES_tradnl"/>
        </w:rPr>
      </w:pPr>
      <w:r w:rsidRPr="0051048E">
        <w:rPr>
          <w:rFonts w:ascii="Arial" w:eastAsia="Calibri" w:hAnsi="Arial" w:cs="Arial"/>
          <w:bCs/>
          <w:color w:val="000000"/>
          <w:lang w:val="es-ES_tradnl" w:eastAsia="es-ES_tradnl"/>
        </w:rPr>
        <w:tab/>
        <w:t>Ahora bien, teniendo en cuenta que la consulta se refiere a la aplicación de criterios diferenciales, resulta pertinente tener en cuenta el tenor literal de las normas r</w:t>
      </w:r>
      <w:proofErr w:type="spellStart"/>
      <w:r w:rsidRPr="0051048E">
        <w:rPr>
          <w:rFonts w:ascii="Arial" w:eastAsia="Arial" w:hAnsi="Arial" w:cs="Arial"/>
        </w:rPr>
        <w:t>eglamentarias</w:t>
      </w:r>
      <w:proofErr w:type="spellEnd"/>
      <w:r w:rsidRPr="0051048E">
        <w:rPr>
          <w:rFonts w:ascii="Arial" w:eastAsia="Arial" w:hAnsi="Arial" w:cs="Arial"/>
        </w:rPr>
        <w:t>, con el fin de identificar los límites definidos en las mismas, para que dichas figuras tengan aplicación objetiva en un caso concreto. Las modificaciones introducidas por el Decreto 1860 del 2021, en relación con los criterios diferenciales para Mipyme y los emprendimientos y empresas de mujeres en el sistema de compras públicas, se observan en los siguientes artículos del Decreto 1082 de 2015:</w:t>
      </w:r>
    </w:p>
    <w:p w14:paraId="165844FC"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535B3C42" w14:textId="77777777" w:rsidR="00FC0B42" w:rsidRPr="0051048E" w:rsidRDefault="00FC0B42" w:rsidP="00FC0B42">
      <w:pPr>
        <w:spacing w:beforeLines="120" w:before="288"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“Artículo 2.2.1.2.4.2.15. Criterios diferenciales para emprendimientos y empresas de mujeres en el sistema de compras públicas. En los procesos de licitación pública, abreviada de menor cuantía y concurso de méritos, así como en los procesos competitivos que adelanten las Entidades Estatales no sometidos al Estatuto General de Contratación de la Administración Pública, las Entidades tener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6E23901B" w14:textId="77777777" w:rsidR="00FC0B42" w:rsidRPr="0051048E" w:rsidRDefault="00FC0B42" w:rsidP="00FC0B42">
      <w:pPr>
        <w:spacing w:before="120"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1. Tiempo de experiencia.</w:t>
      </w:r>
    </w:p>
    <w:p w14:paraId="655C5DBB"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2. Número de contratos para la acreditación de la experiencia.</w:t>
      </w:r>
    </w:p>
    <w:p w14:paraId="2384CDF0"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3. Índices de capacidad financiera.</w:t>
      </w:r>
    </w:p>
    <w:p w14:paraId="38DD4575"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4. Índices de capacidad organizacional.</w:t>
      </w:r>
    </w:p>
    <w:p w14:paraId="1BBE681B"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5. Valor de la garantía de seriedad de la oferta.</w:t>
      </w:r>
    </w:p>
    <w:p w14:paraId="72AC9C09" w14:textId="77777777" w:rsidR="00FC0B42" w:rsidRPr="0051048E" w:rsidRDefault="00FC0B42" w:rsidP="00FC0B42">
      <w:pPr>
        <w:spacing w:before="120"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w:t>
      </w:r>
    </w:p>
    <w:p w14:paraId="62EB095E" w14:textId="77777777" w:rsidR="00FC0B42" w:rsidRPr="0051048E" w:rsidRDefault="00FC0B42" w:rsidP="00FC0B42">
      <w:pPr>
        <w:spacing w:before="120" w:after="0" w:line="240" w:lineRule="auto"/>
        <w:ind w:left="709" w:right="709"/>
        <w:jc w:val="both"/>
        <w:rPr>
          <w:rFonts w:ascii="Arial" w:eastAsia="Arial" w:hAnsi="Arial" w:cs="Arial"/>
          <w:i/>
          <w:iCs/>
          <w:sz w:val="21"/>
          <w:szCs w:val="21"/>
          <w:u w:val="single"/>
          <w:lang w:val="es-MX" w:eastAsia="es-CO"/>
        </w:rPr>
      </w:pPr>
      <w:r w:rsidRPr="0051048E">
        <w:rPr>
          <w:rFonts w:ascii="Arial" w:eastAsia="Arial" w:hAnsi="Arial" w:cs="Arial"/>
          <w:i/>
          <w:iCs/>
          <w:sz w:val="21"/>
          <w:szCs w:val="21"/>
          <w:u w:val="single"/>
          <w:lang w:val="es-MX" w:eastAsia="es-CO"/>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6DD33DFA" w14:textId="77777777" w:rsidR="00FC0B42" w:rsidRPr="0051048E" w:rsidRDefault="00FC0B42" w:rsidP="00FC0B42">
      <w:pPr>
        <w:spacing w:before="120"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w:t>
      </w:r>
    </w:p>
    <w:p w14:paraId="5BFD9010"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298C938D"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“Artículo 2.2.1.2.4.2.18. Criterios diferenciales para Mipyme en el sistema de compras públicas. </w:t>
      </w:r>
      <w:r w:rsidRPr="0051048E">
        <w:rPr>
          <w:rFonts w:ascii="Arial" w:eastAsia="Arial" w:hAnsi="Arial" w:cs="Arial"/>
          <w:i/>
          <w:iCs/>
          <w:sz w:val="21"/>
          <w:szCs w:val="21"/>
          <w:u w:val="single"/>
          <w:lang w:val="es-MX" w:eastAsia="es-CO"/>
        </w:rPr>
        <w:t>De acuerdo con el numeral 1 del artículo 12 de la Ley 590 de 2000, según los resultados del análisis del sector</w:t>
      </w:r>
      <w:r w:rsidRPr="0051048E">
        <w:rPr>
          <w:rFonts w:ascii="Arial" w:eastAsia="Arial" w:hAnsi="Arial" w:cs="Arial"/>
          <w:sz w:val="21"/>
          <w:szCs w:val="21"/>
          <w:lang w:val="es-MX" w:eastAsia="es-CO"/>
        </w:rPr>
        <w:t xml:space="preserve">, las Entidades Estatales indistintamente de su régimen de contratación, los patrimonios autónomos constituidos por Entidades Estatales y los particulares que ejecuten recursos públicos establecerán condiciones habilitantes diferenciales que promuevan y </w:t>
      </w:r>
      <w:r w:rsidRPr="0051048E">
        <w:rPr>
          <w:rFonts w:ascii="Arial" w:eastAsia="Arial" w:hAnsi="Arial" w:cs="Arial"/>
          <w:sz w:val="21"/>
          <w:szCs w:val="21"/>
          <w:lang w:val="es-MX" w:eastAsia="es-CO"/>
        </w:rPr>
        <w:lastRenderedPageBreak/>
        <w:t xml:space="preserve">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 </w:t>
      </w:r>
    </w:p>
    <w:p w14:paraId="1105449E" w14:textId="77777777" w:rsidR="00FC0B42" w:rsidRPr="0051048E" w:rsidRDefault="00FC0B42" w:rsidP="00FC0B42">
      <w:pPr>
        <w:spacing w:before="120"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1. Tiempo de experiencia </w:t>
      </w:r>
    </w:p>
    <w:p w14:paraId="12262450"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2. Número de contratos para la acreditación de la experiencia </w:t>
      </w:r>
    </w:p>
    <w:p w14:paraId="5C4BCC68"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3. Índices de capacidad financiera </w:t>
      </w:r>
    </w:p>
    <w:p w14:paraId="62ED8639"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4. Índices de capacidad organizacional </w:t>
      </w:r>
    </w:p>
    <w:p w14:paraId="4D432DBF"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5. Valor de la garantía de seriedad de la oferta”.</w:t>
      </w:r>
    </w:p>
    <w:p w14:paraId="253EC796" w14:textId="77777777" w:rsidR="00FC0B42" w:rsidRPr="0051048E" w:rsidRDefault="00FC0B42" w:rsidP="00FC0B42">
      <w:pPr>
        <w:spacing w:before="120"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[Énfasis fuera de texto]</w:t>
      </w:r>
    </w:p>
    <w:p w14:paraId="747B9F1B" w14:textId="77777777" w:rsidR="00FC0B42" w:rsidRPr="0051048E" w:rsidRDefault="00FC0B42" w:rsidP="00FC0B42">
      <w:pPr>
        <w:spacing w:after="0" w:line="240" w:lineRule="auto"/>
        <w:ind w:left="709" w:right="709"/>
        <w:jc w:val="both"/>
        <w:rPr>
          <w:rFonts w:ascii="Calibri" w:eastAsia="Calibri" w:hAnsi="Calibri" w:cs="Calibri"/>
          <w:sz w:val="24"/>
          <w:szCs w:val="24"/>
          <w:lang w:val="es-MX" w:eastAsia="es-CO"/>
        </w:rPr>
      </w:pPr>
    </w:p>
    <w:p w14:paraId="4593B1F0" w14:textId="77777777" w:rsidR="00FC0B42" w:rsidRPr="0051048E" w:rsidRDefault="00FC0B42" w:rsidP="00FC0B42">
      <w:pPr>
        <w:tabs>
          <w:tab w:val="left" w:pos="709"/>
        </w:tabs>
        <w:spacing w:after="120" w:line="276" w:lineRule="auto"/>
        <w:jc w:val="both"/>
        <w:rPr>
          <w:rFonts w:ascii="Arial" w:eastAsia="Calibri" w:hAnsi="Arial" w:cs="Arial"/>
          <w:bCs/>
          <w:color w:val="000000"/>
          <w:szCs w:val="24"/>
          <w:lang w:val="es-ES_tradnl" w:eastAsia="es-ES_tradnl"/>
        </w:rPr>
      </w:pPr>
      <w:r w:rsidRPr="0051048E">
        <w:rPr>
          <w:rFonts w:ascii="Arial" w:eastAsia="Calibri" w:hAnsi="Arial" w:cs="Arial"/>
          <w:bCs/>
          <w:color w:val="000000"/>
          <w:szCs w:val="24"/>
          <w:lang w:val="es-ES_tradnl" w:eastAsia="es-ES_tradnl"/>
        </w:rPr>
        <w:tab/>
        <w:t xml:space="preserve">Según lo previsto en la norma reglamentaria, </w:t>
      </w:r>
      <w:bookmarkStart w:id="14" w:name="_Hlk143112536"/>
      <w:r w:rsidRPr="0051048E">
        <w:rPr>
          <w:rFonts w:ascii="Arial" w:eastAsia="Calibri" w:hAnsi="Arial" w:cs="Arial"/>
          <w:bCs/>
          <w:color w:val="000000"/>
          <w:szCs w:val="24"/>
          <w:lang w:val="es-ES_tradnl" w:eastAsia="es-ES_tradnl"/>
        </w:rPr>
        <w:t>la fijación de criterios diferenciales es un deber cuyo cumplimiento está sometido a los resultados del análisis del sector y a lo previsto en el artículo 590 del 2000, lo que significa que, para acatarlo, las Entidades Estatales y los particulares descritos en la norma, no sólo están supeditados por el listado de aspectos a los que pueden circunscribirse los criterios diferenciales, sino que además deben tener en cuenta la información que refleje el estudio del sector que les corresponde realizar para cada uno de sus contratos.</w:t>
      </w:r>
    </w:p>
    <w:p w14:paraId="4E1E2A04" w14:textId="77777777" w:rsidR="00FC0B42" w:rsidRPr="0051048E" w:rsidRDefault="00FC0B42" w:rsidP="00FC0B42">
      <w:pPr>
        <w:tabs>
          <w:tab w:val="left" w:pos="709"/>
        </w:tabs>
        <w:spacing w:after="0" w:line="276" w:lineRule="auto"/>
        <w:jc w:val="both"/>
        <w:rPr>
          <w:rFonts w:ascii="Arial" w:eastAsia="Calibri" w:hAnsi="Arial" w:cs="Arial"/>
          <w:bCs/>
          <w:color w:val="000000"/>
          <w:szCs w:val="24"/>
          <w:lang w:val="es-ES_tradnl" w:eastAsia="es-ES_tradnl"/>
        </w:rPr>
      </w:pPr>
      <w:r w:rsidRPr="0051048E">
        <w:rPr>
          <w:rFonts w:ascii="Arial" w:eastAsia="Calibri" w:hAnsi="Arial" w:cs="Arial"/>
          <w:bCs/>
          <w:color w:val="000000"/>
          <w:szCs w:val="24"/>
          <w:lang w:val="es-ES_tradnl" w:eastAsia="es-ES_tradnl"/>
        </w:rPr>
        <w:tab/>
        <w:t xml:space="preserve">Por lo tanto, la definición de criterios diferenciales en favor de las Mipyme y de los emprendimientos y empresas de mujeres domiciliados en Colombia, no es un asunto totalmente discrecional, sino que debe soportarse en la información concreta reflejada en el análisis del sector. </w:t>
      </w:r>
      <w:bookmarkEnd w:id="14"/>
      <w:r w:rsidRPr="0051048E">
        <w:rPr>
          <w:rFonts w:ascii="Arial" w:eastAsia="Calibri" w:hAnsi="Arial" w:cs="Arial"/>
          <w:bCs/>
          <w:color w:val="000000"/>
          <w:szCs w:val="24"/>
          <w:lang w:val="es-ES_tradnl" w:eastAsia="es-ES_tradnl"/>
        </w:rPr>
        <w:t>Sobre este último es importante traer a colación lo señalado en la “Guía para la Elaboración de Estudios del Sector” expedida por Colombia Compra Eficiente:</w:t>
      </w:r>
    </w:p>
    <w:p w14:paraId="763EAF85"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5DE079E0" w14:textId="77777777" w:rsidR="00FC0B42" w:rsidRPr="0051048E" w:rsidRDefault="00FC0B42" w:rsidP="00FC0B42">
      <w:pPr>
        <w:spacing w:after="0" w:line="240" w:lineRule="auto"/>
        <w:ind w:left="709" w:right="709"/>
        <w:jc w:val="both"/>
        <w:rPr>
          <w:rFonts w:ascii="Arial" w:eastAsia="Arial" w:hAnsi="Arial" w:cs="Arial"/>
          <w:b/>
          <w:sz w:val="21"/>
          <w:szCs w:val="21"/>
          <w:lang w:val="es-MX" w:eastAsia="es-CO"/>
        </w:rPr>
      </w:pPr>
      <w:r w:rsidRPr="0051048E">
        <w:rPr>
          <w:rFonts w:ascii="Arial" w:eastAsia="Arial" w:hAnsi="Arial" w:cs="Arial"/>
          <w:sz w:val="21"/>
          <w:szCs w:val="21"/>
          <w:lang w:val="es-MX" w:eastAsia="es-CO"/>
        </w:rPr>
        <w:t>“La función de compras debe estar orientada a satisfacer las necesidades de la Entidad Estatal y a obtener el mayor valor por el dinero público. En consecuencia, la Entidad Estatal debe entender claramente y conocer: (a) cuál es su necesidad y cómo puede satisfacerla; (</w:t>
      </w:r>
      <w:r w:rsidRPr="0051048E">
        <w:rPr>
          <w:rFonts w:ascii="Arial" w:eastAsia="Arial" w:hAnsi="Arial" w:cs="Arial"/>
          <w:b/>
          <w:sz w:val="21"/>
          <w:szCs w:val="21"/>
          <w:lang w:val="es-MX" w:eastAsia="es-CO"/>
        </w:rPr>
        <w:t xml:space="preserve">b) cómo y quiénes pueden proveer los bienes, obras y servicios que necesita; y (c) el contexto en el cual los posibles proveedores desarrollan su actividad. </w:t>
      </w:r>
    </w:p>
    <w:p w14:paraId="07B06A42"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15E91E53"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El artículo 15 del Decreto 1510 de 2013</w:t>
      </w:r>
      <w:r w:rsidRPr="0051048E">
        <w:rPr>
          <w:rFonts w:ascii="Arial" w:eastAsia="Arial" w:hAnsi="Arial" w:cs="Arial"/>
          <w:sz w:val="16"/>
          <w:szCs w:val="16"/>
          <w:vertAlign w:val="superscript"/>
          <w:lang w:val="es-MX" w:eastAsia="es-CO"/>
        </w:rPr>
        <w:footnoteReference w:id="13"/>
      </w:r>
      <w:r w:rsidRPr="0051048E">
        <w:rPr>
          <w:rFonts w:ascii="Arial" w:eastAsia="Arial" w:hAnsi="Arial" w:cs="Arial"/>
          <w:sz w:val="21"/>
          <w:szCs w:val="21"/>
          <w:lang w:val="es-MX" w:eastAsia="es-CO"/>
        </w:rPr>
        <w:t xml:space="preserve"> establece el deber de las Entidades Estatales de analizar el sector, es decir, el mercado relativo al objeto del Proceso de Contratación, desde la perspectiva legal, comercial, financiera, organizacional, técnica y de análisis de Riesgo. </w:t>
      </w:r>
    </w:p>
    <w:p w14:paraId="2B3D2068"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63110FD8"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El resultado del análisis debe plasmarse en los estudios y documentos previos del Proceso de Contratación. </w:t>
      </w:r>
    </w:p>
    <w:p w14:paraId="2099B80C"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44367163"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lastRenderedPageBreak/>
        <w:t>La importancia de realizar este análisis ha sido recalcada en las recomendaciones que la Organización de Cooperación y de Desarrollo Económicos (OCDE) le ha formulado al Gobierno Nacional, las cuales constituyen buenas prácticas en materia de promoción de la competencia en la contratación pública.</w:t>
      </w:r>
    </w:p>
    <w:p w14:paraId="77A8B250"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1DCD8E9E"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La presente guía busca ayudar a la Entidad Estatal a cumplir este mandato al ofrecer herramientas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p>
    <w:p w14:paraId="71E4F812" w14:textId="77777777" w:rsidR="00FC0B42" w:rsidRDefault="00FC0B42" w:rsidP="00FC0B42">
      <w:pPr>
        <w:spacing w:after="0" w:line="240" w:lineRule="auto"/>
        <w:ind w:left="709" w:right="709"/>
        <w:jc w:val="both"/>
        <w:rPr>
          <w:rFonts w:ascii="Arial" w:eastAsia="Arial" w:hAnsi="Arial" w:cs="Arial"/>
          <w:sz w:val="21"/>
          <w:szCs w:val="21"/>
          <w:lang w:val="es-MX" w:eastAsia="es-CO"/>
        </w:rPr>
      </w:pPr>
    </w:p>
    <w:p w14:paraId="780DBEF9" w14:textId="77777777" w:rsidR="00FC0B42" w:rsidRPr="0051048E" w:rsidRDefault="00FC0B42" w:rsidP="00FC0B42">
      <w:pPr>
        <w:tabs>
          <w:tab w:val="left" w:pos="709"/>
        </w:tabs>
        <w:spacing w:after="0" w:line="276" w:lineRule="auto"/>
        <w:jc w:val="both"/>
        <w:rPr>
          <w:rFonts w:ascii="Arial" w:eastAsia="Calibri" w:hAnsi="Arial" w:cs="Arial"/>
          <w:bCs/>
          <w:color w:val="000000"/>
          <w:szCs w:val="24"/>
          <w:lang w:val="es-ES_tradnl" w:eastAsia="es-ES_tradnl"/>
        </w:rPr>
      </w:pPr>
    </w:p>
    <w:p w14:paraId="42646126" w14:textId="77777777" w:rsidR="00FC0B42" w:rsidRPr="0051048E" w:rsidRDefault="00FC0B42" w:rsidP="00FC0B42">
      <w:pPr>
        <w:tabs>
          <w:tab w:val="left" w:pos="709"/>
        </w:tabs>
        <w:spacing w:after="0" w:line="276" w:lineRule="auto"/>
        <w:jc w:val="both"/>
        <w:rPr>
          <w:rFonts w:ascii="Arial" w:eastAsia="Calibri" w:hAnsi="Arial" w:cs="Arial"/>
          <w:color w:val="000000"/>
          <w:lang w:val="es-ES" w:eastAsia="es-ES"/>
        </w:rPr>
      </w:pPr>
      <w:r w:rsidRPr="0051048E">
        <w:rPr>
          <w:rFonts w:ascii="Arial" w:eastAsia="Calibri" w:hAnsi="Arial" w:cs="Arial"/>
          <w:bCs/>
          <w:color w:val="000000"/>
          <w:szCs w:val="24"/>
          <w:lang w:val="es-ES_tradnl" w:eastAsia="es-ES_tradnl"/>
        </w:rPr>
        <w:tab/>
      </w:r>
      <w:r w:rsidRPr="61F7BCF3">
        <w:rPr>
          <w:rFonts w:ascii="Arial" w:eastAsia="Calibri" w:hAnsi="Arial" w:cs="Arial"/>
          <w:color w:val="000000"/>
          <w:lang w:val="es-ES" w:eastAsia="es-ES"/>
        </w:rPr>
        <w:t>En esas consideraciones, es el propio análisis del sector, cuya realización le compete a la entidad contratante, el que permite identificar en un caso concreto existen Mipymes y emprendimientos y empresas de mujeres domiciliados en Colombia que podrían atender la necesidad que requiere satisfacerse, así como las condiciones y características de los mismos. Sin embargo, en la citada Guía, esta Agencia explica en detalle el alcance que debe tener el análisis del sector. En particular, en cuanto tiene que ver con el estudio de la oferta, esto es, con la identificación de los proveedores que existen en el mercado, dicha Guía describe de la siguiente manera aspectos mínimos a considerar para llevar a cabo tal estudio, los cuales se citan para ilustrar la utilidad práctica de la información que el mismo debe contener, en relación con la determinación de criterios diferenciales:</w:t>
      </w:r>
    </w:p>
    <w:p w14:paraId="1FEFD10A" w14:textId="77777777" w:rsidR="00FC0B42" w:rsidRDefault="00FC0B42" w:rsidP="00FC0B42">
      <w:pPr>
        <w:tabs>
          <w:tab w:val="left" w:pos="709"/>
        </w:tabs>
        <w:spacing w:after="0" w:line="276" w:lineRule="auto"/>
        <w:jc w:val="both"/>
        <w:rPr>
          <w:rFonts w:ascii="Arial" w:eastAsia="Calibri" w:hAnsi="Arial" w:cs="Arial"/>
          <w:color w:val="000000" w:themeColor="text1"/>
          <w:lang w:val="es-ES" w:eastAsia="es-ES"/>
        </w:rPr>
      </w:pPr>
    </w:p>
    <w:p w14:paraId="4E332521"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1B243B2E"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“B. Estudio de la oferta </w:t>
      </w:r>
    </w:p>
    <w:p w14:paraId="57FF2588"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724FB9BB"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 xml:space="preserve">1. ¿Quién vende? La Entidad Estatal </w:t>
      </w:r>
      <w:r w:rsidRPr="0051048E">
        <w:rPr>
          <w:rFonts w:ascii="Arial" w:eastAsia="Arial" w:hAnsi="Arial" w:cs="Arial"/>
          <w:bCs/>
          <w:i/>
          <w:iCs/>
          <w:sz w:val="21"/>
          <w:szCs w:val="21"/>
          <w:u w:val="single"/>
          <w:lang w:val="es-MX" w:eastAsia="es-CO"/>
        </w:rPr>
        <w:t>debe identificar los proveedores en el mercado del bien, obra o servicio, así como sus principales características como tamaño empresarial, ubicación, esquemas de producción y comportamiento financiero.</w:t>
      </w:r>
      <w:r w:rsidRPr="0051048E">
        <w:rPr>
          <w:rFonts w:ascii="Arial" w:eastAsia="Arial" w:hAnsi="Arial" w:cs="Arial"/>
          <w:sz w:val="21"/>
          <w:szCs w:val="21"/>
          <w:lang w:val="es-MX" w:eastAsia="es-CO"/>
        </w:rPr>
        <w:t xml:space="preserve"> Esta identificación permite determinar posibles Riesgos de colusión</w:t>
      </w:r>
      <w:r w:rsidRPr="0051048E">
        <w:rPr>
          <w:rFonts w:ascii="Arial" w:eastAsia="Arial" w:hAnsi="Arial" w:cs="Arial"/>
          <w:sz w:val="16"/>
          <w:szCs w:val="16"/>
          <w:lang w:val="es-MX" w:eastAsia="es-CO"/>
        </w:rPr>
        <w:t>3</w:t>
      </w:r>
      <w:r w:rsidRPr="0051048E">
        <w:rPr>
          <w:rFonts w:ascii="Arial" w:eastAsia="Arial" w:hAnsi="Arial" w:cs="Arial"/>
          <w:sz w:val="21"/>
          <w:szCs w:val="21"/>
          <w:lang w:val="es-MX" w:eastAsia="es-CO"/>
        </w:rPr>
        <w:t xml:space="preserve"> y también establecer el poder de negociación de los proveedores, el cual está relacionado con el número de competidores presentes en el mercado y las participaciones de cada uno en el mercado. Mientras menos proveedores hay, mayor es el poder de negociación de cada uno de ellos. Esto puede traducirse en precios más altos o condiciones menos favorables para la Entidad Estatal. Para identificar los posibles proveedores es recomendable utilizar bases de datos e información del Sistema de Información y Reporte Empresarial –SIREM–</w:t>
      </w:r>
      <w:r w:rsidRPr="0051048E">
        <w:rPr>
          <w:rFonts w:ascii="Arial" w:eastAsia="Arial" w:hAnsi="Arial" w:cs="Arial"/>
          <w:sz w:val="16"/>
          <w:szCs w:val="16"/>
          <w:lang w:val="es-MX" w:eastAsia="es-CO"/>
        </w:rPr>
        <w:t>4</w:t>
      </w:r>
      <w:r w:rsidRPr="0051048E">
        <w:rPr>
          <w:rFonts w:ascii="Arial" w:eastAsia="Arial" w:hAnsi="Arial" w:cs="Arial"/>
          <w:sz w:val="21"/>
          <w:szCs w:val="21"/>
          <w:lang w:val="es-MX" w:eastAsia="es-CO"/>
        </w:rPr>
        <w:t xml:space="preserve">;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 </w:t>
      </w:r>
    </w:p>
    <w:p w14:paraId="77952747"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3010C1CF"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lastRenderedPageBreak/>
        <w:t>2. ¿Cuál es la dinámica de producción, distribución y entrega de bienes, obras o servicios? La Entidad al determinar los partícipes en la producción, comercialización y distribución de los bienes puede mejorar la eficiencia y la economía de las adquisiciones, disminuyendo en algunos casos el número de intermediarios. La Entidad Estatal debe conocer el proceso de producción, distribución y entrega de los bienes, obras o servicios, los costos asociados a tales procesos, cuáles son las formas de distribución y entrega de bienes o suministro del servicio. Igualmente, la Entidad Estatal debe entender la dinámica del mercado en lo que corresponde a la cadena de producción o distribución o suministro del bien, obra o servicio, así como identificar cuál y cómo es el proceso del bien, obra o servicio hasta llegar al usuario final, el papel que juegan los potenciales oferentes en esa cadena y el ciclo de vida del bien, obra o servicio. Por ejemplo, el proveedor que necesita la Entidad Estatal puede ser proveedor de materias primas, fabricante, importador, ensamblador, distribuidor mayorista, distribuidor minorista, intermediario, transportador, etc.</w:t>
      </w:r>
    </w:p>
    <w:p w14:paraId="0DE7F526"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16B46935"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r w:rsidRPr="0051048E">
        <w:rPr>
          <w:rFonts w:ascii="Arial" w:eastAsia="Arial" w:hAnsi="Arial" w:cs="Arial"/>
          <w:sz w:val="21"/>
          <w:szCs w:val="21"/>
          <w:lang w:val="es-MX" w:eastAsia="es-CO"/>
        </w:rPr>
        <w:t>El análisis debe incluir los precios, su comportamiento histórico y las perspectivas de cambios sobre estos. Algunas variables que pueden incidir en los precios son la variación del IPC, variación de la tasa de cambio y el cambio en los precios de materias primas. La información necesaria para realizar este análisis puede encontrarse en distintas fuentes, tales como las mencionadas en el apartado anterior. Asimismo, la comunicación previa, abierta, directa y reglada con los posibles proveedores es fundamental para contextualizar el análisis del sector económico y para comprender la información financiera que ofrecen los sistemas de información. Si la información requerida no está disponible en los sistemas de información, los mismos proveedores pueden ser la fuente de estos datos. Colombia Compra Eficiente recomienda a la Entidad Estatal diseñar e implementar escenarios y procedimientos de solicitud de información a los potenciales oferentes. Esta recomendación se orienta a que la Entidad Estatal defina qué información, cuándo, por qué medio y a quién la solicitará. Esta definición debe incluir el procedimiento para hacerlo como formatos de solicitud de cotización o de información que permitan una participación uniforme del mayor número posible de interesados. Es recomendable dejar constancia de las fechas de las reuniones, los asistentes y los temas tratados con proveedores y gremios. La Entidad Estatal no tiene que buscar la información financiera de todos proponentes que ofrecen el bien, obra o servicio. Basta con un subconjunto de estos, es decir una muestra que sea representativa y permita visualizar las características del sector. Colombia Compra Eficiente sugiere analizar la logística asociada al objeto del contrato. Es decir, la coordinación y planeación de diferentes actividades para que un bien, obra o servicio llegue a un usuario final en el tiempo y de forma adecuada. Esto incluye las actividades de las áreas de compras, producción, transporte, almacenamiento, distribución y disposición final”.</w:t>
      </w:r>
    </w:p>
    <w:p w14:paraId="2234C4C9" w14:textId="77777777" w:rsidR="00FC0B42" w:rsidRDefault="00FC0B42" w:rsidP="00FC0B42">
      <w:pPr>
        <w:spacing w:after="0" w:line="240" w:lineRule="auto"/>
        <w:ind w:left="709" w:right="709"/>
        <w:jc w:val="both"/>
        <w:rPr>
          <w:rFonts w:ascii="Arial" w:eastAsia="Arial" w:hAnsi="Arial" w:cs="Arial"/>
          <w:sz w:val="21"/>
          <w:szCs w:val="21"/>
          <w:lang w:val="es-MX" w:eastAsia="es-CO"/>
        </w:rPr>
      </w:pPr>
    </w:p>
    <w:p w14:paraId="5D6E2524" w14:textId="77777777" w:rsidR="00FC0B42" w:rsidRPr="0051048E" w:rsidRDefault="00FC0B42" w:rsidP="00FC0B42">
      <w:pPr>
        <w:spacing w:after="0" w:line="240" w:lineRule="auto"/>
        <w:ind w:left="709" w:right="709"/>
        <w:jc w:val="both"/>
        <w:rPr>
          <w:rFonts w:ascii="Arial" w:eastAsia="Arial" w:hAnsi="Arial" w:cs="Arial"/>
          <w:sz w:val="21"/>
          <w:szCs w:val="21"/>
          <w:lang w:val="es-MX" w:eastAsia="es-CO"/>
        </w:rPr>
      </w:pPr>
    </w:p>
    <w:p w14:paraId="6593B2EA" w14:textId="77777777" w:rsidR="00FC0B42" w:rsidRPr="0051048E" w:rsidRDefault="00FC0B42" w:rsidP="00FC0B42">
      <w:pPr>
        <w:tabs>
          <w:tab w:val="left" w:pos="709"/>
        </w:tabs>
        <w:spacing w:after="120" w:line="276" w:lineRule="auto"/>
        <w:jc w:val="both"/>
        <w:rPr>
          <w:rFonts w:ascii="Arial" w:eastAsia="Arial" w:hAnsi="Arial" w:cs="Arial"/>
          <w:lang w:val="es-MX" w:eastAsia="es-CO"/>
        </w:rPr>
      </w:pPr>
      <w:r w:rsidRPr="0051048E">
        <w:rPr>
          <w:rFonts w:ascii="Arial" w:eastAsia="Arial" w:hAnsi="Arial" w:cs="Arial"/>
          <w:lang w:val="es-MX" w:eastAsia="es-CO"/>
        </w:rPr>
        <w:tab/>
        <w:t xml:space="preserve">Como se aprecia en el texto citado, la información sobre los posibles oferentes existentes en un sector determinado es bastante detallada, al punto que, inclusive, como </w:t>
      </w:r>
      <w:r w:rsidRPr="0051048E">
        <w:rPr>
          <w:rFonts w:ascii="Arial" w:eastAsia="Arial" w:hAnsi="Arial" w:cs="Arial"/>
          <w:lang w:val="es-MX" w:eastAsia="es-CO"/>
        </w:rPr>
        <w:lastRenderedPageBreak/>
        <w:t>se reconoce expresamente por esta Agencia, puede servir para prevenir y evitar prácticas colusorias.</w:t>
      </w:r>
      <w:r w:rsidRPr="0051048E">
        <w:t xml:space="preserve"> </w:t>
      </w:r>
      <w:r w:rsidRPr="0051048E">
        <w:rPr>
          <w:rFonts w:ascii="Arial" w:eastAsia="Arial" w:hAnsi="Arial" w:cs="Arial"/>
          <w:lang w:val="es-MX" w:eastAsia="es-CO"/>
        </w:rPr>
        <w:t>A ello debe agregarse que los datos consignados en el análisis del sector no se producen por la entidad contratante, sino que se obtiene de fuentes externas, entre las que resaltan la que reportan los gremios del sector respectivo, las cámaras de comercio o inclusive, algunas entidades públicas como la Superintendencia de Sociedades. Lo anterior resulta relevante porque, al tratarse de fuentes externas, los datos que reflejan no podrán determinarse por intereses particulares de los interesados en el proceso de contratación o de los servidores públicos encargados de llevar a cabo la gestión contractual en un caso determinado. Todo lo contrario, se trata de datos oficiales y ciertos sobre el comportamiento de un sector en particular y las personas que lo integran.</w:t>
      </w:r>
    </w:p>
    <w:p w14:paraId="6E4396DE" w14:textId="77777777" w:rsidR="00FC0B42" w:rsidRPr="0051048E" w:rsidRDefault="00FC0B42" w:rsidP="00FC0B42">
      <w:pPr>
        <w:tabs>
          <w:tab w:val="left" w:pos="709"/>
        </w:tabs>
        <w:spacing w:after="120" w:line="276" w:lineRule="auto"/>
        <w:jc w:val="both"/>
        <w:rPr>
          <w:rFonts w:ascii="Arial" w:eastAsia="Arial" w:hAnsi="Arial" w:cs="Arial"/>
          <w:lang w:val="es-MX" w:eastAsia="es-CO"/>
        </w:rPr>
      </w:pPr>
      <w:r w:rsidRPr="0051048E">
        <w:rPr>
          <w:rFonts w:ascii="Arial" w:eastAsia="Arial" w:hAnsi="Arial" w:cs="Arial"/>
          <w:lang w:val="es-MX" w:eastAsia="es-CO"/>
        </w:rPr>
        <w:tab/>
        <w:t xml:space="preserve">Así las cosas, la información del análisis del sector se constituye en el insumo objetivo con base en el cual se deberá dar cumplimiento al deber consagrado en los artículos </w:t>
      </w:r>
      <w:r w:rsidRPr="0051048E">
        <w:rPr>
          <w:rFonts w:ascii="Arial" w:eastAsia="Arial" w:hAnsi="Arial" w:cs="Arial"/>
        </w:rPr>
        <w:t xml:space="preserve">2.2.1.2.4.2.15 y 2.2.1.2.4.2.18 del Decreto 1082 de 2015, en cuanto a la fijación de criterios diferenciales en favor de Mipymes y emprendimientos y empresas de mujeres. Por ello, para fijar criterios diferenciales las Entidades Estatales no podrán abstraerse de los datos obtenidos en su análisis del sector, que se hacen constar por escrito y debe ser objeto de publicidad. </w:t>
      </w:r>
    </w:p>
    <w:p w14:paraId="31FFB703" w14:textId="77777777" w:rsidR="00FC0B42" w:rsidRPr="0051048E" w:rsidRDefault="00FC0B42" w:rsidP="00FC0B42">
      <w:pPr>
        <w:spacing w:after="0" w:line="276" w:lineRule="auto"/>
        <w:ind w:firstLine="708"/>
        <w:jc w:val="both"/>
        <w:rPr>
          <w:rFonts w:ascii="Arial" w:eastAsia="Times New Roman" w:hAnsi="Arial" w:cs="Arial"/>
          <w:lang w:eastAsia="es-MX"/>
        </w:rPr>
      </w:pPr>
      <w:r w:rsidRPr="0051048E">
        <w:rPr>
          <w:rFonts w:ascii="Arial" w:eastAsia="Times New Roman" w:hAnsi="Arial" w:cs="Arial"/>
          <w:lang w:eastAsia="es-MX"/>
        </w:rPr>
        <w:t xml:space="preserve">En conclusión, </w:t>
      </w:r>
      <w:bookmarkStart w:id="15" w:name="_Hlk143112629"/>
      <w:r w:rsidRPr="0051048E">
        <w:rPr>
          <w:rFonts w:ascii="Arial" w:eastAsia="Times New Roman" w:hAnsi="Arial" w:cs="Arial"/>
          <w:lang w:eastAsia="es-MX"/>
        </w:rPr>
        <w:t xml:space="preserve">para la determinación de los criterios diferenciales a favor de las Mipyme y los emprendimientos y empresas de mujeres, las Entidades Estatales podrán escoger uno o algunos de los requisitos habilitantes – i) tiempo de experiencia, </w:t>
      </w:r>
      <w:proofErr w:type="spellStart"/>
      <w:r w:rsidRPr="0051048E">
        <w:rPr>
          <w:rFonts w:ascii="Arial" w:eastAsia="Times New Roman" w:hAnsi="Arial" w:cs="Arial"/>
          <w:lang w:eastAsia="es-MX"/>
        </w:rPr>
        <w:t>ii</w:t>
      </w:r>
      <w:proofErr w:type="spellEnd"/>
      <w:r w:rsidRPr="0051048E">
        <w:rPr>
          <w:rFonts w:ascii="Arial" w:eastAsia="Times New Roman" w:hAnsi="Arial" w:cs="Arial"/>
          <w:lang w:eastAsia="es-MX"/>
        </w:rPr>
        <w:t xml:space="preserve">) número de contratos para la acreditación de la experiencia, </w:t>
      </w:r>
      <w:proofErr w:type="spellStart"/>
      <w:r w:rsidRPr="0051048E">
        <w:rPr>
          <w:rFonts w:ascii="Arial" w:eastAsia="Times New Roman" w:hAnsi="Arial" w:cs="Arial"/>
          <w:lang w:eastAsia="es-MX"/>
        </w:rPr>
        <w:t>iii</w:t>
      </w:r>
      <w:proofErr w:type="spellEnd"/>
      <w:r w:rsidRPr="0051048E">
        <w:rPr>
          <w:rFonts w:ascii="Arial" w:eastAsia="Times New Roman" w:hAnsi="Arial" w:cs="Arial"/>
          <w:lang w:eastAsia="es-MX"/>
        </w:rPr>
        <w:t xml:space="preserve">) índices de capacidad financiera, </w:t>
      </w:r>
      <w:proofErr w:type="spellStart"/>
      <w:r w:rsidRPr="0051048E">
        <w:rPr>
          <w:rFonts w:ascii="Arial" w:eastAsia="Times New Roman" w:hAnsi="Arial" w:cs="Arial"/>
          <w:lang w:eastAsia="es-MX"/>
        </w:rPr>
        <w:t>iv</w:t>
      </w:r>
      <w:proofErr w:type="spellEnd"/>
      <w:r w:rsidRPr="0051048E">
        <w:rPr>
          <w:rFonts w:ascii="Arial" w:eastAsia="Times New Roman" w:hAnsi="Arial" w:cs="Arial"/>
          <w:lang w:eastAsia="es-MX"/>
        </w:rPr>
        <w:t>) índices de capacidad organizacional y v) valor de la garantía de seriedad de la oferta –, los cuales deberán fijarse respetando las condiciones habilitantes requeridas para el cumplimiento adecuado del contrato, esto, bajo la observancia de lo que arroje el estudio del sector. En tal sentido, se establecerán condiciones más exigentes respecto a alguno o algunos de los criterios de participación antes enunciados frente a los demás proponentes que concurran al procedimiento de selección que no sean Mipyme y/o emprendimientos y empresas de mujeres.</w:t>
      </w:r>
    </w:p>
    <w:bookmarkEnd w:id="15"/>
    <w:p w14:paraId="3A1CCB60" w14:textId="77777777" w:rsidR="00FC0B42" w:rsidRDefault="00FC0B42" w:rsidP="00FC0B42">
      <w:pPr>
        <w:spacing w:after="0" w:line="276" w:lineRule="auto"/>
        <w:ind w:firstLine="708"/>
        <w:jc w:val="both"/>
        <w:rPr>
          <w:rFonts w:ascii="Arial" w:eastAsia="Times New Roman" w:hAnsi="Arial" w:cs="Arial"/>
          <w:lang w:eastAsia="es-MX"/>
        </w:rPr>
      </w:pPr>
    </w:p>
    <w:p w14:paraId="7DB3012E" w14:textId="77777777" w:rsidR="00FC0B42" w:rsidRPr="0051048E" w:rsidRDefault="00FC0B42" w:rsidP="00FC0B42">
      <w:pPr>
        <w:spacing w:after="0" w:line="276" w:lineRule="auto"/>
        <w:jc w:val="both"/>
        <w:textAlignment w:val="baseline"/>
        <w:rPr>
          <w:rFonts w:ascii="Arial" w:eastAsia="Times New Roman" w:hAnsi="Arial" w:cs="Arial"/>
          <w:lang w:eastAsia="es-CO"/>
        </w:rPr>
      </w:pPr>
    </w:p>
    <w:p w14:paraId="574143B6" w14:textId="77777777" w:rsidR="00FC0B42" w:rsidRPr="0051048E" w:rsidRDefault="00FC0B42" w:rsidP="00FC0B42">
      <w:pPr>
        <w:spacing w:after="0" w:line="276" w:lineRule="auto"/>
        <w:contextualSpacing/>
        <w:jc w:val="both"/>
        <w:rPr>
          <w:rFonts w:ascii="Arial" w:eastAsia="Calibri" w:hAnsi="Arial" w:cs="Arial"/>
          <w:b/>
        </w:rPr>
      </w:pPr>
      <w:r w:rsidRPr="0051048E">
        <w:rPr>
          <w:rFonts w:ascii="Arial" w:eastAsia="Calibri" w:hAnsi="Arial" w:cs="Arial"/>
          <w:b/>
        </w:rPr>
        <w:t>3. Respuesta</w:t>
      </w:r>
    </w:p>
    <w:p w14:paraId="7DCF7CA6" w14:textId="77777777" w:rsidR="00FC0B42" w:rsidRPr="0051048E" w:rsidRDefault="00FC0B42" w:rsidP="00FC0B42">
      <w:pPr>
        <w:spacing w:after="0" w:line="276" w:lineRule="auto"/>
        <w:contextualSpacing/>
        <w:jc w:val="both"/>
        <w:rPr>
          <w:rFonts w:ascii="Arial" w:eastAsia="Calibri" w:hAnsi="Arial" w:cs="Arial"/>
          <w:b/>
        </w:rPr>
      </w:pPr>
    </w:p>
    <w:p w14:paraId="1BEDDCD9" w14:textId="77777777" w:rsidR="00FC0B42" w:rsidRPr="0051048E" w:rsidRDefault="00FC0B42" w:rsidP="00FC0B42">
      <w:pPr>
        <w:spacing w:before="120" w:after="0" w:line="240" w:lineRule="auto"/>
        <w:ind w:left="709" w:right="709"/>
        <w:contextualSpacing/>
        <w:jc w:val="both"/>
        <w:rPr>
          <w:rFonts w:ascii="Arial" w:eastAsia="Calibri" w:hAnsi="Arial" w:cs="Arial"/>
          <w:sz w:val="21"/>
          <w:szCs w:val="21"/>
        </w:rPr>
      </w:pPr>
      <w:bookmarkStart w:id="16" w:name="_Hlk57650395"/>
      <w:r w:rsidRPr="0051048E">
        <w:rPr>
          <w:rFonts w:ascii="Arial" w:eastAsia="Calibri" w:hAnsi="Arial" w:cs="Arial"/>
          <w:sz w:val="21"/>
          <w:szCs w:val="21"/>
        </w:rPr>
        <w:t>“¿Es obligatorio incluir criterios diferenciales relacionados en los indicadores financieros y organizacionales en los procesos de selección objetivo?</w:t>
      </w:r>
    </w:p>
    <w:p w14:paraId="0F3E4415" w14:textId="77777777" w:rsidR="00FC0B42" w:rsidRPr="0051048E" w:rsidRDefault="00FC0B42" w:rsidP="00FC0B42">
      <w:pPr>
        <w:spacing w:before="120" w:after="0" w:line="276" w:lineRule="auto"/>
        <w:ind w:left="709" w:right="709"/>
        <w:jc w:val="both"/>
        <w:rPr>
          <w:rFonts w:ascii="Arial" w:eastAsia="Calibri" w:hAnsi="Arial" w:cs="Arial"/>
          <w:sz w:val="21"/>
          <w:szCs w:val="21"/>
        </w:rPr>
      </w:pPr>
      <w:r w:rsidRPr="0051048E">
        <w:rPr>
          <w:rFonts w:ascii="Arial" w:eastAsia="Calibri" w:hAnsi="Arial" w:cs="Arial"/>
          <w:sz w:val="21"/>
          <w:szCs w:val="21"/>
        </w:rPr>
        <w:t>De ser afirmativa la respuesta a la pregunta anterior ¿Cuál es el mecanismo o metodología para hallar tales indicadores?” [sic]</w:t>
      </w:r>
    </w:p>
    <w:p w14:paraId="62C68589" w14:textId="77777777" w:rsidR="00FC0B42" w:rsidRPr="0051048E" w:rsidRDefault="00FC0B42" w:rsidP="00FC0B42">
      <w:pPr>
        <w:shd w:val="clear" w:color="auto" w:fill="FFFFFF"/>
        <w:spacing w:after="0" w:line="276" w:lineRule="auto"/>
        <w:jc w:val="both"/>
        <w:rPr>
          <w:rFonts w:ascii="Arial" w:hAnsi="Arial" w:cs="Arial"/>
        </w:rPr>
      </w:pPr>
    </w:p>
    <w:p w14:paraId="74FDC38A" w14:textId="77777777" w:rsidR="00FC0B42" w:rsidRPr="0051048E" w:rsidRDefault="00FC0B42" w:rsidP="00FC0B42">
      <w:pPr>
        <w:spacing w:after="0" w:line="276" w:lineRule="auto"/>
        <w:jc w:val="both"/>
        <w:rPr>
          <w:rFonts w:ascii="Arial" w:eastAsia="Arial" w:hAnsi="Arial" w:cs="Arial"/>
          <w:lang w:val="es-MX" w:eastAsia="es-CO"/>
        </w:rPr>
      </w:pPr>
      <w:r w:rsidRPr="0051048E">
        <w:rPr>
          <w:rFonts w:ascii="Arial" w:eastAsia="Arial" w:hAnsi="Arial" w:cs="Arial"/>
          <w:lang w:val="es-MX" w:eastAsia="es-CO"/>
        </w:rPr>
        <w:lastRenderedPageBreak/>
        <w:t>De conformidad con lo expuesto en este concepto sobre la Ley 2069 de 2020, la fijación de criterios diferenciales es un deber cuyo cumplimiento está sometido a los resultados del análisis del sector y a lo previsto en el artículo 590 de 2000, lo que significa que, para acatarlo, las Entidades Estatales y los particulares descritos en la norma, no sólo están sujetos al listado de aspectos a los que pueden circunscribirse los criterios diferenciales, sino que además deben tener en cuenta la información que refleje el estudio del sector que les corresponde realizar para cada uno de sus contratos.</w:t>
      </w:r>
    </w:p>
    <w:p w14:paraId="46437F1E" w14:textId="77777777" w:rsidR="00FC0B42" w:rsidRPr="0051048E" w:rsidRDefault="00FC0B42" w:rsidP="00FC0B42">
      <w:pPr>
        <w:spacing w:before="120" w:after="0" w:line="276" w:lineRule="auto"/>
        <w:jc w:val="both"/>
        <w:rPr>
          <w:rFonts w:ascii="Arial" w:eastAsia="Arial" w:hAnsi="Arial" w:cs="Arial"/>
          <w:lang w:val="es-MX" w:eastAsia="es-CO"/>
        </w:rPr>
      </w:pPr>
      <w:r w:rsidRPr="0051048E">
        <w:rPr>
          <w:rFonts w:ascii="Arial" w:eastAsia="Arial" w:hAnsi="Arial" w:cs="Arial"/>
          <w:lang w:val="es-MX" w:eastAsia="es-CO"/>
        </w:rPr>
        <w:tab/>
        <w:t>Por ende, la definición de los criterios diferenciales no es un asunto totalmente discrecional, sino que debe soportarse en la información concreta reflejada en el análisis del sector. Lo anterior, en razón a que, el estudio previo se constituye en el insumo objetivo con base en el cual se deberá dar cumplimiento al deber consagrado en los artículos 2.2.1.2.4.2.15 y 2.2.1.2.4.2.18 del Decreto 1082 de 2015, en cuanto a la fijación de criterios diferenciales en favor de Mipymes y emprendimientos y empresas de mujeres. Por ello, para fijar criterios diferenciales las Entidades Estatales no podrán abstraerse de los datos obtenidos en su análisis del sector, los cuales se hacen constar por escrito y deben ser objeto de publicidad.</w:t>
      </w:r>
    </w:p>
    <w:p w14:paraId="267070A6" w14:textId="77777777" w:rsidR="00FC0B42" w:rsidRPr="0051048E" w:rsidRDefault="00FC0B42" w:rsidP="00FC0B42">
      <w:pPr>
        <w:spacing w:before="120" w:after="0" w:line="276" w:lineRule="auto"/>
        <w:jc w:val="both"/>
        <w:rPr>
          <w:rFonts w:ascii="Arial" w:eastAsia="Arial" w:hAnsi="Arial" w:cs="Arial"/>
          <w:lang w:val="es-MX" w:eastAsia="es-CO"/>
        </w:rPr>
      </w:pPr>
      <w:r w:rsidRPr="0051048E">
        <w:rPr>
          <w:rFonts w:ascii="Arial" w:eastAsia="Arial" w:hAnsi="Arial" w:cs="Arial"/>
          <w:lang w:val="es-MX" w:eastAsia="es-CO"/>
        </w:rPr>
        <w:tab/>
        <w:t>Finalmente, resulta a bien aclarar que las Entidades Estatales podrán escoger tal y como lo indica la norma, entre uno o alguno de los requisitos habilitantes para determinar los criterios diferenciales, esto, según las condiciones propias requeridas para el adecuado cumplimiento del contrato y la información arrojada del estudio del sector.</w:t>
      </w:r>
    </w:p>
    <w:p w14:paraId="429E6679" w14:textId="77777777" w:rsidR="00FC0B42" w:rsidRPr="0051048E" w:rsidRDefault="00FC0B42" w:rsidP="00FC0B42">
      <w:pPr>
        <w:spacing w:before="120" w:after="0" w:line="276" w:lineRule="auto"/>
        <w:jc w:val="both"/>
        <w:rPr>
          <w:rFonts w:ascii="Arial" w:eastAsia="Arial" w:hAnsi="Arial" w:cs="Arial"/>
          <w:lang w:val="es-MX" w:eastAsia="es-CO"/>
        </w:rPr>
      </w:pPr>
    </w:p>
    <w:p w14:paraId="51CE0573" w14:textId="77777777" w:rsidR="00FC0B42" w:rsidRPr="0051048E" w:rsidRDefault="00FC0B42" w:rsidP="00FC0B42">
      <w:pPr>
        <w:widowControl w:val="0"/>
        <w:autoSpaceDE w:val="0"/>
        <w:autoSpaceDN w:val="0"/>
        <w:spacing w:after="0" w:line="276" w:lineRule="auto"/>
        <w:contextualSpacing/>
        <w:jc w:val="both"/>
        <w:rPr>
          <w:rFonts w:ascii="Arial" w:eastAsia="Times New Roman" w:hAnsi="Arial" w:cs="Arial"/>
          <w:lang w:eastAsia="es-ES_tradnl"/>
        </w:rPr>
      </w:pPr>
      <w:r w:rsidRPr="0051048E">
        <w:rPr>
          <w:rFonts w:ascii="Arial" w:eastAsia="Calibri" w:hAnsi="Arial" w:cs="Arial"/>
        </w:rPr>
        <w:t>Este concepto tiene el alcance previsto en el artículo 28 del Código de Procedimiento Administrativo y de lo Contencioso Administrativo</w:t>
      </w:r>
      <w:r w:rsidRPr="0051048E">
        <w:rPr>
          <w:rFonts w:ascii="Arial" w:eastAsia="Calibri" w:hAnsi="Arial" w:cs="Arial"/>
          <w:noProof/>
          <w:lang w:eastAsia="es-CO"/>
        </w:rPr>
        <mc:AlternateContent>
          <mc:Choice Requires="wps">
            <w:drawing>
              <wp:anchor distT="0" distB="0" distL="114300" distR="114300" simplePos="0" relativeHeight="251656704" behindDoc="0" locked="0" layoutInCell="1" allowOverlap="1" wp14:anchorId="2464BAC4" wp14:editId="475DB63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C93EAA" id="Conector recto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51048E">
        <w:rPr>
          <w:rFonts w:ascii="Arial" w:eastAsia="Calibri" w:hAnsi="Arial" w:cs="Arial"/>
        </w:rPr>
        <w:t xml:space="preserve"> y las expresiones utilizadas con mayúscula inicial deben ser entendidas con el significado que les otorga el artículo 2.2.1.1.1.3.1 del Decreto 1082 de 2015.</w:t>
      </w:r>
    </w:p>
    <w:p w14:paraId="67B3F048" w14:textId="77777777" w:rsidR="00FC0B42" w:rsidRPr="0051048E" w:rsidRDefault="00FC0B42" w:rsidP="00FC0B42">
      <w:pPr>
        <w:spacing w:after="120" w:line="276" w:lineRule="auto"/>
        <w:jc w:val="both"/>
        <w:rPr>
          <w:rFonts w:ascii="Arial" w:eastAsia="Times New Roman" w:hAnsi="Arial" w:cs="Arial"/>
          <w:lang w:eastAsia="es-ES_tradnl"/>
        </w:rPr>
      </w:pPr>
    </w:p>
    <w:p w14:paraId="7D15DC62" w14:textId="77FC8BC4" w:rsidR="00FC0B42" w:rsidRPr="0051048E" w:rsidRDefault="00FC0B42" w:rsidP="00FC0B42">
      <w:pPr>
        <w:spacing w:after="200" w:line="276" w:lineRule="auto"/>
        <w:jc w:val="both"/>
        <w:rPr>
          <w:rFonts w:ascii="Arial" w:eastAsia="Times New Roman" w:hAnsi="Arial" w:cs="Arial"/>
          <w:lang w:eastAsia="es-CO"/>
        </w:rPr>
      </w:pPr>
      <w:r w:rsidRPr="0051048E">
        <w:rPr>
          <w:rFonts w:ascii="Arial" w:eastAsia="Times New Roman" w:hAnsi="Arial" w:cs="Arial"/>
          <w:lang w:eastAsia="es-CO"/>
        </w:rPr>
        <w:t>Atentamente,</w:t>
      </w:r>
      <w:r w:rsidR="00C97DC8" w:rsidRPr="00C97DC8">
        <w:rPr>
          <w:rFonts w:ascii="Arial" w:hAnsi="Arial" w:cs="Arial"/>
        </w:rPr>
        <w:t xml:space="preserve"> </w:t>
      </w:r>
      <w:r w:rsidR="00C97DC8">
        <w:rPr>
          <w:rFonts w:ascii="Calibri" w:hAnsi="Calibri" w:cs="Calibri"/>
          <w:color w:val="000000"/>
          <w:shd w:val="clear" w:color="auto" w:fill="FFFFFF"/>
          <w:lang w:val="es-MX"/>
        </w:rPr>
        <w:br/>
      </w:r>
    </w:p>
    <w:p w14:paraId="4AB4A0D3" w14:textId="1D6B59F3" w:rsidR="00FC0B42" w:rsidRDefault="000213E9" w:rsidP="000213E9">
      <w:pPr>
        <w:spacing w:after="200" w:line="276" w:lineRule="auto"/>
        <w:jc w:val="center"/>
        <w:rPr>
          <w:rFonts w:ascii="Arial" w:eastAsia="Calibri" w:hAnsi="Arial" w:cs="Arial"/>
          <w:b/>
          <w:bCs/>
          <w:sz w:val="20"/>
          <w:szCs w:val="20"/>
          <w:lang w:val="es-MX"/>
        </w:rPr>
      </w:pPr>
      <w:bookmarkStart w:id="17" w:name="_Hlk130981267"/>
      <w:bookmarkEnd w:id="0"/>
      <w:bookmarkEnd w:id="16"/>
      <w:r>
        <w:rPr>
          <w:rFonts w:ascii="Calibri" w:hAnsi="Calibri" w:cs="Calibri"/>
          <w:noProof/>
          <w:shd w:val="clear" w:color="auto" w:fill="FFFFFF"/>
        </w:rPr>
        <w:drawing>
          <wp:inline distT="0" distB="0" distL="0" distR="0" wp14:anchorId="1EF0655E" wp14:editId="7864A7E5">
            <wp:extent cx="3157855" cy="1212215"/>
            <wp:effectExtent l="0" t="0" r="4445" b="6985"/>
            <wp:docPr id="207718500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p>
    <w:p w14:paraId="5A5A8235" w14:textId="77777777" w:rsidR="00C97DC8" w:rsidRPr="0051048E" w:rsidRDefault="00C97DC8" w:rsidP="00FC0B42">
      <w:pPr>
        <w:spacing w:after="200" w:line="276" w:lineRule="auto"/>
        <w:jc w:val="center"/>
        <w:rPr>
          <w:rFonts w:ascii="Arial" w:eastAsia="Calibri" w:hAnsi="Arial" w:cs="Arial"/>
          <w:b/>
          <w:bCs/>
          <w:sz w:val="20"/>
          <w:szCs w:val="20"/>
          <w:lang w:val="es-MX"/>
        </w:rPr>
      </w:pPr>
    </w:p>
    <w:tbl>
      <w:tblPr>
        <w:tblStyle w:val="Tablaconcuadrculaclara"/>
        <w:tblW w:w="0" w:type="auto"/>
        <w:tblLook w:val="04A0" w:firstRow="1" w:lastRow="0" w:firstColumn="1" w:lastColumn="0" w:noHBand="0" w:noVBand="1"/>
      </w:tblPr>
      <w:tblGrid>
        <w:gridCol w:w="855"/>
        <w:gridCol w:w="4957"/>
      </w:tblGrid>
      <w:tr w:rsidR="00FC0B42" w:rsidRPr="0051048E" w14:paraId="3BE86215" w14:textId="77777777" w:rsidTr="00323D89">
        <w:trPr>
          <w:trHeight w:val="315"/>
        </w:trPr>
        <w:tc>
          <w:tcPr>
            <w:tcW w:w="855" w:type="dxa"/>
            <w:hideMark/>
          </w:tcPr>
          <w:p w14:paraId="0E8A96FF" w14:textId="77777777" w:rsidR="00FC0B42" w:rsidRPr="00C156CA" w:rsidRDefault="00FC0B42" w:rsidP="007C5611">
            <w:pPr>
              <w:jc w:val="both"/>
              <w:textAlignment w:val="baseline"/>
              <w:rPr>
                <w:rFonts w:ascii="Arial" w:eastAsia="Times New Roman" w:hAnsi="Arial" w:cs="Arial"/>
                <w:sz w:val="16"/>
                <w:szCs w:val="16"/>
                <w:lang w:val="es-ES" w:eastAsia="es-CO"/>
              </w:rPr>
            </w:pPr>
            <w:r w:rsidRPr="007C5611">
              <w:rPr>
                <w:rFonts w:ascii="Arial" w:eastAsia="Times New Roman" w:hAnsi="Arial" w:cs="Arial"/>
                <w:sz w:val="16"/>
                <w:szCs w:val="16"/>
                <w:lang w:val="es-ES" w:eastAsia="es-CO"/>
              </w:rPr>
              <w:lastRenderedPageBreak/>
              <w:t>Elaboró</w:t>
            </w:r>
            <w:r w:rsidRPr="00C156CA">
              <w:rPr>
                <w:rFonts w:ascii="Arial" w:eastAsia="Times New Roman" w:hAnsi="Arial" w:cs="Arial"/>
                <w:sz w:val="16"/>
                <w:szCs w:val="16"/>
                <w:lang w:val="es-ES" w:eastAsia="es-CO"/>
              </w:rPr>
              <w:t>:</w:t>
            </w:r>
          </w:p>
        </w:tc>
        <w:tc>
          <w:tcPr>
            <w:tcW w:w="4957" w:type="dxa"/>
            <w:hideMark/>
          </w:tcPr>
          <w:p w14:paraId="75CF6E07" w14:textId="77777777" w:rsidR="00FC0B42" w:rsidRPr="0051048E" w:rsidRDefault="00FC0B42" w:rsidP="00F50E1E">
            <w:pPr>
              <w:rPr>
                <w:rFonts w:ascii="Arial" w:eastAsia="Times New Roman" w:hAnsi="Arial" w:cs="Arial"/>
                <w:sz w:val="16"/>
                <w:szCs w:val="16"/>
                <w:lang w:eastAsia="es-ES"/>
              </w:rPr>
            </w:pPr>
            <w:r w:rsidRPr="0051048E">
              <w:rPr>
                <w:rFonts w:ascii="Arial" w:eastAsia="Times New Roman" w:hAnsi="Arial" w:cs="Arial"/>
                <w:sz w:val="16"/>
                <w:szCs w:val="16"/>
                <w:lang w:eastAsia="es-ES"/>
              </w:rPr>
              <w:t>Nasly Yeana Mosquera Rivas</w:t>
            </w:r>
          </w:p>
          <w:p w14:paraId="31BD07FE" w14:textId="77777777" w:rsidR="00FC0B42" w:rsidRPr="0051048E" w:rsidRDefault="00FC0B42" w:rsidP="00F50E1E">
            <w:pPr>
              <w:rPr>
                <w:rFonts w:ascii="Arial" w:eastAsia="Times New Roman" w:hAnsi="Arial" w:cs="Arial"/>
                <w:sz w:val="16"/>
                <w:szCs w:val="16"/>
                <w:lang w:eastAsia="es-ES"/>
              </w:rPr>
            </w:pPr>
            <w:r w:rsidRPr="0051048E">
              <w:rPr>
                <w:rFonts w:ascii="Arial" w:eastAsia="Times New Roman" w:hAnsi="Arial" w:cs="Arial"/>
                <w:sz w:val="16"/>
                <w:szCs w:val="16"/>
                <w:lang w:eastAsia="es-ES"/>
              </w:rPr>
              <w:t>Analista T2–06 de la Subdirección de Gestión Contractual</w:t>
            </w:r>
          </w:p>
        </w:tc>
      </w:tr>
      <w:tr w:rsidR="00FC0B42" w:rsidRPr="0051048E" w14:paraId="66C4E6A6" w14:textId="77777777" w:rsidTr="00323D89">
        <w:trPr>
          <w:trHeight w:val="330"/>
        </w:trPr>
        <w:tc>
          <w:tcPr>
            <w:tcW w:w="855" w:type="dxa"/>
            <w:hideMark/>
          </w:tcPr>
          <w:p w14:paraId="5D078C0E" w14:textId="77777777" w:rsidR="00FC0B42" w:rsidRPr="00C156CA" w:rsidRDefault="00FC0B42" w:rsidP="00C156CA">
            <w:pPr>
              <w:jc w:val="both"/>
              <w:textAlignment w:val="baseline"/>
              <w:rPr>
                <w:rFonts w:ascii="Arial" w:eastAsia="Times New Roman" w:hAnsi="Arial" w:cs="Arial"/>
                <w:sz w:val="16"/>
                <w:szCs w:val="16"/>
                <w:lang w:val="es-ES" w:eastAsia="es-CO"/>
              </w:rPr>
            </w:pPr>
            <w:r w:rsidRPr="00C156CA">
              <w:rPr>
                <w:rFonts w:ascii="Arial" w:eastAsia="Times New Roman" w:hAnsi="Arial" w:cs="Arial"/>
                <w:sz w:val="16"/>
                <w:szCs w:val="16"/>
                <w:lang w:val="es-ES" w:eastAsia="es-CO"/>
              </w:rPr>
              <w:t>Revisó:</w:t>
            </w:r>
          </w:p>
        </w:tc>
        <w:tc>
          <w:tcPr>
            <w:tcW w:w="4957" w:type="dxa"/>
            <w:hideMark/>
          </w:tcPr>
          <w:p w14:paraId="0594D96B" w14:textId="77777777" w:rsidR="00FC0B42" w:rsidRPr="0051048E" w:rsidRDefault="00FC0B42" w:rsidP="00F50E1E">
            <w:pPr>
              <w:rPr>
                <w:rFonts w:ascii="Arial" w:eastAsia="Times New Roman" w:hAnsi="Arial" w:cs="Arial"/>
                <w:sz w:val="16"/>
                <w:szCs w:val="16"/>
                <w:lang w:eastAsia="es-ES"/>
              </w:rPr>
            </w:pPr>
            <w:r w:rsidRPr="0051048E">
              <w:rPr>
                <w:rFonts w:ascii="Arial" w:eastAsia="Times New Roman" w:hAnsi="Arial" w:cs="Arial"/>
                <w:sz w:val="16"/>
                <w:szCs w:val="16"/>
                <w:lang w:eastAsia="es-ES"/>
              </w:rPr>
              <w:t>Alejandro Sarmiento Cantillo</w:t>
            </w:r>
          </w:p>
          <w:p w14:paraId="3A6599AA" w14:textId="77777777" w:rsidR="00FC0B42" w:rsidRPr="0051048E" w:rsidRDefault="00FC0B42" w:rsidP="00F50E1E">
            <w:pPr>
              <w:rPr>
                <w:rFonts w:ascii="Arial" w:eastAsia="Times New Roman" w:hAnsi="Arial" w:cs="Arial"/>
                <w:sz w:val="16"/>
                <w:szCs w:val="16"/>
                <w:lang w:eastAsia="es-ES"/>
              </w:rPr>
            </w:pPr>
            <w:r w:rsidRPr="0051048E">
              <w:rPr>
                <w:rFonts w:ascii="Arial" w:eastAsia="Times New Roman" w:hAnsi="Arial" w:cs="Arial"/>
                <w:sz w:val="16"/>
                <w:szCs w:val="16"/>
                <w:lang w:eastAsia="es-ES"/>
              </w:rPr>
              <w:t>Contratista de la Subdirección de Gestión Contractual</w:t>
            </w:r>
          </w:p>
        </w:tc>
      </w:tr>
      <w:tr w:rsidR="00FC0B42" w:rsidRPr="0051048E" w14:paraId="4BF5E304" w14:textId="77777777" w:rsidTr="00323D89">
        <w:trPr>
          <w:trHeight w:val="300"/>
        </w:trPr>
        <w:tc>
          <w:tcPr>
            <w:tcW w:w="855" w:type="dxa"/>
            <w:hideMark/>
          </w:tcPr>
          <w:p w14:paraId="2AD14A9E" w14:textId="77777777" w:rsidR="00FC0B42" w:rsidRPr="00C156CA" w:rsidRDefault="00FC0B42" w:rsidP="00C156CA">
            <w:pPr>
              <w:jc w:val="both"/>
              <w:textAlignment w:val="baseline"/>
              <w:rPr>
                <w:rFonts w:ascii="Arial" w:eastAsia="Times New Roman" w:hAnsi="Arial" w:cs="Arial"/>
                <w:sz w:val="16"/>
                <w:szCs w:val="16"/>
                <w:lang w:val="es-ES" w:eastAsia="es-CO"/>
              </w:rPr>
            </w:pPr>
            <w:r w:rsidRPr="00C156CA">
              <w:rPr>
                <w:rFonts w:ascii="Arial" w:eastAsia="Times New Roman" w:hAnsi="Arial" w:cs="Arial"/>
                <w:sz w:val="16"/>
                <w:szCs w:val="16"/>
                <w:lang w:val="es-ES" w:eastAsia="es-CO"/>
              </w:rPr>
              <w:t>Aprobó:</w:t>
            </w:r>
          </w:p>
        </w:tc>
        <w:tc>
          <w:tcPr>
            <w:tcW w:w="4957" w:type="dxa"/>
            <w:hideMark/>
          </w:tcPr>
          <w:p w14:paraId="3A2860D9" w14:textId="77777777" w:rsidR="00FC0B42" w:rsidRPr="0051048E" w:rsidRDefault="00FC0B42" w:rsidP="00F50E1E">
            <w:pPr>
              <w:rPr>
                <w:rFonts w:ascii="Arial" w:eastAsia="Times New Roman" w:hAnsi="Arial" w:cs="Arial"/>
                <w:sz w:val="16"/>
                <w:szCs w:val="16"/>
                <w:lang w:eastAsia="es-ES"/>
              </w:rPr>
            </w:pPr>
            <w:r w:rsidRPr="0051048E">
              <w:rPr>
                <w:rFonts w:ascii="Arial" w:eastAsia="Times New Roman" w:hAnsi="Arial" w:cs="Arial"/>
                <w:sz w:val="16"/>
                <w:szCs w:val="16"/>
                <w:lang w:eastAsia="es-ES"/>
              </w:rPr>
              <w:t xml:space="preserve">Nohelia del Carmen </w:t>
            </w:r>
            <w:proofErr w:type="spellStart"/>
            <w:r w:rsidRPr="0051048E">
              <w:rPr>
                <w:rFonts w:ascii="Arial" w:eastAsia="Times New Roman" w:hAnsi="Arial" w:cs="Arial"/>
                <w:sz w:val="16"/>
                <w:szCs w:val="16"/>
                <w:lang w:eastAsia="es-ES"/>
              </w:rPr>
              <w:t>Zawady</w:t>
            </w:r>
            <w:proofErr w:type="spellEnd"/>
            <w:r w:rsidRPr="0051048E">
              <w:rPr>
                <w:rFonts w:ascii="Arial" w:eastAsia="Times New Roman" w:hAnsi="Arial" w:cs="Arial"/>
                <w:sz w:val="16"/>
                <w:szCs w:val="16"/>
                <w:lang w:eastAsia="es-ES"/>
              </w:rPr>
              <w:t xml:space="preserve"> Palacio</w:t>
            </w:r>
          </w:p>
          <w:p w14:paraId="3A182951" w14:textId="77777777" w:rsidR="00FC0B42" w:rsidRPr="0051048E" w:rsidRDefault="00FC0B42" w:rsidP="00F50E1E">
            <w:pPr>
              <w:rPr>
                <w:rFonts w:ascii="Arial" w:eastAsia="Times New Roman" w:hAnsi="Arial" w:cs="Arial"/>
                <w:sz w:val="16"/>
                <w:szCs w:val="16"/>
                <w:lang w:eastAsia="es-ES"/>
              </w:rPr>
            </w:pPr>
            <w:r w:rsidRPr="0051048E">
              <w:rPr>
                <w:rFonts w:ascii="Arial" w:eastAsia="Times New Roman" w:hAnsi="Arial" w:cs="Arial"/>
                <w:sz w:val="16"/>
                <w:szCs w:val="16"/>
                <w:lang w:eastAsia="es-ES"/>
              </w:rPr>
              <w:t>Subdirectora de Gestión Contractual ANCP – CCE</w:t>
            </w:r>
          </w:p>
        </w:tc>
      </w:tr>
      <w:bookmarkEnd w:id="1"/>
      <w:bookmarkEnd w:id="2"/>
      <w:bookmarkEnd w:id="3"/>
      <w:bookmarkEnd w:id="4"/>
      <w:bookmarkEnd w:id="17"/>
    </w:tbl>
    <w:p w14:paraId="3312DB15" w14:textId="77777777" w:rsidR="00FC0B42" w:rsidRPr="0051048E" w:rsidRDefault="00FC0B42" w:rsidP="00FC0B42"/>
    <w:p w14:paraId="756B8B2B" w14:textId="77777777" w:rsidR="00FC0B42" w:rsidRPr="0051048E" w:rsidRDefault="00FC0B42" w:rsidP="00FC0B42"/>
    <w:p w14:paraId="39C6E8F5" w14:textId="77777777" w:rsidR="00FC0B42" w:rsidRPr="0051048E" w:rsidRDefault="00FC0B42" w:rsidP="00FC0B42"/>
    <w:p w14:paraId="1EE3CE0E" w14:textId="77777777" w:rsidR="00FC0B42" w:rsidRPr="0051048E" w:rsidRDefault="00FC0B42" w:rsidP="00FC0B42"/>
    <w:p w14:paraId="58242349" w14:textId="77777777" w:rsidR="008E5C2E" w:rsidRDefault="008E5C2E"/>
    <w:sectPr w:rsidR="008E5C2E" w:rsidSect="00923EEF">
      <w:headerReference w:type="default" r:id="rId11"/>
      <w:footerReference w:type="default" r:id="rId12"/>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C0CE" w14:textId="77777777" w:rsidR="00FC0B42" w:rsidRDefault="00FC0B42" w:rsidP="00FC0B42">
      <w:pPr>
        <w:spacing w:after="0" w:line="240" w:lineRule="auto"/>
      </w:pPr>
      <w:r>
        <w:separator/>
      </w:r>
    </w:p>
  </w:endnote>
  <w:endnote w:type="continuationSeparator" w:id="0">
    <w:p w14:paraId="7302BAC1" w14:textId="77777777" w:rsidR="00FC0B42" w:rsidRDefault="00FC0B42" w:rsidP="00FC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8F6D" w14:textId="77777777" w:rsidR="00FC0B42" w:rsidRDefault="00FC0B42">
    <w:pPr>
      <w:pStyle w:val="Piedepgina"/>
    </w:pPr>
    <w:r>
      <w:rPr>
        <w:noProof/>
      </w:rPr>
      <w:drawing>
        <wp:inline distT="0" distB="0" distL="0" distR="0" wp14:anchorId="6CF4B149" wp14:editId="02423C74">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4215D63A" wp14:editId="5AC84FBB">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1D8B82E2"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7B907FC" w14:textId="77777777" w:rsidR="00FC0B42" w:rsidRPr="003F3941" w:rsidRDefault="00FC0B42"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0744202" w14:textId="77777777" w:rsidR="00FC0B42" w:rsidRPr="003F3941" w:rsidRDefault="00FC0B42"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7154368" w14:textId="77777777" w:rsidR="00FC0B42" w:rsidRPr="003F3941" w:rsidRDefault="00FC0B42"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5C7D036" w14:textId="77777777" w:rsidR="00FC0B42" w:rsidRPr="003F3941" w:rsidRDefault="00FC0B42"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0C28D4B9" w14:textId="77777777" w:rsidR="00FC0B42" w:rsidRDefault="00FC0B42"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B362" w14:textId="77777777" w:rsidR="00FC0B42" w:rsidRDefault="00FC0B42" w:rsidP="00FC0B42">
      <w:pPr>
        <w:spacing w:after="0" w:line="240" w:lineRule="auto"/>
      </w:pPr>
      <w:r>
        <w:separator/>
      </w:r>
    </w:p>
  </w:footnote>
  <w:footnote w:type="continuationSeparator" w:id="0">
    <w:p w14:paraId="6DB7E7A6" w14:textId="77777777" w:rsidR="00FC0B42" w:rsidRDefault="00FC0B42" w:rsidP="00FC0B42">
      <w:pPr>
        <w:spacing w:after="0" w:line="240" w:lineRule="auto"/>
      </w:pPr>
      <w:r>
        <w:continuationSeparator/>
      </w:r>
    </w:p>
  </w:footnote>
  <w:footnote w:id="1">
    <w:p w14:paraId="4AD4B285" w14:textId="77777777" w:rsidR="00FC0B42" w:rsidRPr="00973A45" w:rsidRDefault="00FC0B42" w:rsidP="00FC0B42">
      <w:pPr>
        <w:pStyle w:val="Textonotapie"/>
        <w:ind w:firstLine="708"/>
        <w:jc w:val="both"/>
        <w:rPr>
          <w:rFonts w:ascii="Arial" w:hAnsi="Arial" w:cs="Arial"/>
          <w:sz w:val="18"/>
          <w:szCs w:val="18"/>
        </w:rPr>
      </w:pPr>
      <w:r w:rsidRPr="00973A45">
        <w:rPr>
          <w:rStyle w:val="Refdenotaalpie"/>
          <w:rFonts w:ascii="Arial" w:hAnsi="Arial" w:cs="Arial"/>
          <w:sz w:val="18"/>
          <w:szCs w:val="18"/>
        </w:rPr>
        <w:footnoteRef/>
      </w:r>
      <w:r w:rsidRPr="00973A45">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73A45">
        <w:rPr>
          <w:rFonts w:ascii="Arial" w:hAnsi="Arial" w:cs="Arial"/>
          <w:i/>
          <w:iCs/>
          <w:sz w:val="18"/>
          <w:szCs w:val="18"/>
        </w:rPr>
        <w:t xml:space="preserve">ibidem </w:t>
      </w:r>
      <w:r w:rsidRPr="00973A45">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CD17EF7" w14:textId="77777777" w:rsidR="00FC0B42" w:rsidRPr="00973A45" w:rsidRDefault="00FC0B42" w:rsidP="00FC0B42">
      <w:pPr>
        <w:pStyle w:val="Textonotapie"/>
        <w:ind w:firstLine="708"/>
        <w:jc w:val="both"/>
        <w:rPr>
          <w:rFonts w:ascii="Arial" w:hAnsi="Arial" w:cs="Arial"/>
          <w:sz w:val="18"/>
          <w:szCs w:val="18"/>
          <w:lang w:val="es-ES"/>
        </w:rPr>
      </w:pPr>
    </w:p>
  </w:footnote>
  <w:footnote w:id="2">
    <w:p w14:paraId="6C00C416" w14:textId="77777777" w:rsidR="00FC0B42" w:rsidRPr="00973A45" w:rsidRDefault="00FC0B42" w:rsidP="00FC0B42">
      <w:pPr>
        <w:pStyle w:val="Textonotapie"/>
        <w:ind w:firstLine="708"/>
        <w:jc w:val="both"/>
        <w:rPr>
          <w:rStyle w:val="Hipervnculo1"/>
          <w:rFonts w:ascii="Arial" w:hAnsi="Arial" w:cs="Arial"/>
          <w:sz w:val="18"/>
          <w:szCs w:val="18"/>
        </w:rPr>
      </w:pPr>
      <w:r w:rsidRPr="00973A45">
        <w:rPr>
          <w:rStyle w:val="Refdenotaalpie"/>
          <w:rFonts w:ascii="Arial" w:hAnsi="Arial" w:cs="Arial"/>
          <w:sz w:val="18"/>
          <w:szCs w:val="18"/>
        </w:rPr>
        <w:footnoteRef/>
      </w:r>
      <w:r w:rsidRPr="00973A45">
        <w:rPr>
          <w:rFonts w:ascii="Arial" w:hAnsi="Arial" w:cs="Arial"/>
          <w:sz w:val="18"/>
          <w:szCs w:val="18"/>
        </w:rPr>
        <w:t xml:space="preserve"> Texto del Proyecto de Ley 122 de 2020 Cámara. Exposición de motivos. Consultado el 29 de diciembre de 2021 en la página web: </w:t>
      </w:r>
      <w:hyperlink r:id="rId1" w:history="1">
        <w:r w:rsidRPr="00973A45">
          <w:rPr>
            <w:rStyle w:val="Hipervnculo1"/>
            <w:rFonts w:ascii="Arial" w:hAnsi="Arial" w:cs="Arial"/>
            <w:sz w:val="18"/>
            <w:szCs w:val="18"/>
          </w:rPr>
          <w:t>http://leyes.senado.gov.co/proyectos/index.php/textos-radicados-senado/p-ley-2020-2021/1957-proyecto-de-ley-161-de-2020</w:t>
        </w:r>
      </w:hyperlink>
      <w:r w:rsidRPr="00973A45">
        <w:rPr>
          <w:rStyle w:val="Hipervnculo1"/>
          <w:rFonts w:ascii="Arial" w:hAnsi="Arial" w:cs="Arial"/>
          <w:sz w:val="18"/>
          <w:szCs w:val="18"/>
        </w:rPr>
        <w:t xml:space="preserve"> </w:t>
      </w:r>
    </w:p>
    <w:p w14:paraId="746F7195" w14:textId="77777777" w:rsidR="00FC0B42" w:rsidRPr="00973A45" w:rsidRDefault="00FC0B42" w:rsidP="00FC0B42">
      <w:pPr>
        <w:pStyle w:val="Textonotapie"/>
        <w:ind w:firstLine="708"/>
        <w:jc w:val="both"/>
        <w:rPr>
          <w:rFonts w:ascii="Arial" w:hAnsi="Arial" w:cs="Arial"/>
          <w:sz w:val="18"/>
          <w:szCs w:val="18"/>
        </w:rPr>
      </w:pPr>
    </w:p>
  </w:footnote>
  <w:footnote w:id="3">
    <w:p w14:paraId="7265490D" w14:textId="77777777" w:rsidR="00FC0B42" w:rsidRPr="00973A45" w:rsidRDefault="00FC0B42" w:rsidP="00FC0B42">
      <w:pPr>
        <w:pStyle w:val="Textonotapie"/>
        <w:ind w:firstLine="709"/>
        <w:jc w:val="both"/>
        <w:rPr>
          <w:rFonts w:ascii="Arial" w:hAnsi="Arial" w:cs="Arial"/>
          <w:sz w:val="18"/>
          <w:szCs w:val="18"/>
          <w:lang w:val="es-ES"/>
        </w:rPr>
      </w:pPr>
      <w:r w:rsidRPr="00973A45">
        <w:rPr>
          <w:rStyle w:val="Refdenotaalpie"/>
          <w:rFonts w:ascii="Arial" w:hAnsi="Arial" w:cs="Arial"/>
          <w:sz w:val="18"/>
          <w:szCs w:val="18"/>
        </w:rPr>
        <w:footnoteRef/>
      </w:r>
      <w:r w:rsidRPr="00973A45">
        <w:rPr>
          <w:rFonts w:ascii="Arial" w:hAnsi="Arial" w:cs="Arial"/>
          <w:sz w:val="18"/>
          <w:szCs w:val="18"/>
        </w:rPr>
        <w:t xml:space="preserve"> </w:t>
      </w:r>
      <w:r w:rsidRPr="00973A45">
        <w:rPr>
          <w:rFonts w:ascii="Arial" w:hAnsi="Arial" w:cs="Arial"/>
          <w:sz w:val="18"/>
          <w:szCs w:val="18"/>
          <w:lang w:val="es-ES"/>
        </w:rPr>
        <w:t>Artículos 2 al 29.</w:t>
      </w:r>
    </w:p>
    <w:p w14:paraId="32B07587" w14:textId="77777777" w:rsidR="00FC0B42" w:rsidRPr="00973A45" w:rsidRDefault="00FC0B42" w:rsidP="00FC0B42">
      <w:pPr>
        <w:pStyle w:val="Textonotapie"/>
        <w:ind w:firstLine="709"/>
        <w:jc w:val="both"/>
        <w:rPr>
          <w:rFonts w:ascii="Arial" w:hAnsi="Arial" w:cs="Arial"/>
          <w:sz w:val="18"/>
          <w:szCs w:val="18"/>
          <w:lang w:val="es-ES"/>
        </w:rPr>
      </w:pPr>
    </w:p>
  </w:footnote>
  <w:footnote w:id="4">
    <w:p w14:paraId="369994FC" w14:textId="77777777" w:rsidR="00FC0B42" w:rsidRPr="00973A45" w:rsidRDefault="00FC0B42" w:rsidP="00FC0B42">
      <w:pPr>
        <w:pStyle w:val="Textonotapie"/>
        <w:ind w:firstLine="709"/>
        <w:jc w:val="both"/>
        <w:rPr>
          <w:rFonts w:ascii="Arial" w:hAnsi="Arial" w:cs="Arial"/>
          <w:sz w:val="18"/>
          <w:szCs w:val="18"/>
          <w:lang w:val="es-ES"/>
        </w:rPr>
      </w:pPr>
      <w:r w:rsidRPr="00973A45">
        <w:rPr>
          <w:rStyle w:val="Refdenotaalpie"/>
          <w:rFonts w:ascii="Arial" w:hAnsi="Arial" w:cs="Arial"/>
          <w:sz w:val="18"/>
          <w:szCs w:val="18"/>
        </w:rPr>
        <w:footnoteRef/>
      </w:r>
      <w:r w:rsidRPr="00973A45">
        <w:rPr>
          <w:rFonts w:ascii="Arial" w:hAnsi="Arial" w:cs="Arial"/>
          <w:sz w:val="18"/>
          <w:szCs w:val="18"/>
        </w:rPr>
        <w:t xml:space="preserve"> </w:t>
      </w:r>
      <w:r w:rsidRPr="00973A45">
        <w:rPr>
          <w:rFonts w:ascii="Arial" w:hAnsi="Arial" w:cs="Arial"/>
          <w:sz w:val="18"/>
          <w:szCs w:val="18"/>
          <w:lang w:val="es-ES"/>
        </w:rPr>
        <w:t>Artículos 30 al 36.</w:t>
      </w:r>
    </w:p>
    <w:p w14:paraId="3CF55253" w14:textId="77777777" w:rsidR="00FC0B42" w:rsidRPr="00973A45" w:rsidRDefault="00FC0B42" w:rsidP="00FC0B42">
      <w:pPr>
        <w:pStyle w:val="Textonotapie"/>
        <w:ind w:firstLine="709"/>
        <w:jc w:val="both"/>
        <w:rPr>
          <w:rFonts w:ascii="Arial" w:hAnsi="Arial" w:cs="Arial"/>
          <w:sz w:val="18"/>
          <w:szCs w:val="18"/>
          <w:lang w:val="es-ES"/>
        </w:rPr>
      </w:pPr>
    </w:p>
  </w:footnote>
  <w:footnote w:id="5">
    <w:p w14:paraId="2A641EA2" w14:textId="77777777" w:rsidR="00FC0B42" w:rsidRPr="00973A45" w:rsidRDefault="00FC0B42" w:rsidP="00FC0B42">
      <w:pPr>
        <w:pStyle w:val="Textonotapie"/>
        <w:ind w:firstLine="709"/>
        <w:jc w:val="both"/>
        <w:rPr>
          <w:rFonts w:ascii="Arial" w:hAnsi="Arial" w:cs="Arial"/>
          <w:sz w:val="18"/>
          <w:szCs w:val="18"/>
          <w:lang w:val="es-ES"/>
        </w:rPr>
      </w:pPr>
      <w:r w:rsidRPr="00973A45">
        <w:rPr>
          <w:rStyle w:val="Refdenotaalpie"/>
          <w:rFonts w:ascii="Arial" w:hAnsi="Arial" w:cs="Arial"/>
          <w:sz w:val="18"/>
          <w:szCs w:val="18"/>
        </w:rPr>
        <w:footnoteRef/>
      </w:r>
      <w:r w:rsidRPr="00973A45">
        <w:rPr>
          <w:rFonts w:ascii="Arial" w:hAnsi="Arial" w:cs="Arial"/>
          <w:sz w:val="18"/>
          <w:szCs w:val="18"/>
        </w:rPr>
        <w:t xml:space="preserve"> </w:t>
      </w:r>
      <w:r w:rsidRPr="00973A45">
        <w:rPr>
          <w:rFonts w:ascii="Arial" w:hAnsi="Arial" w:cs="Arial"/>
          <w:sz w:val="18"/>
          <w:szCs w:val="18"/>
          <w:lang w:val="es-ES"/>
        </w:rPr>
        <w:t>Artículos 37 al 45.</w:t>
      </w:r>
    </w:p>
    <w:p w14:paraId="5DF7F694" w14:textId="77777777" w:rsidR="00FC0B42" w:rsidRPr="00973A45" w:rsidRDefault="00FC0B42" w:rsidP="00FC0B42">
      <w:pPr>
        <w:pStyle w:val="Textonotapie"/>
        <w:ind w:firstLine="709"/>
        <w:jc w:val="both"/>
        <w:rPr>
          <w:rFonts w:ascii="Arial" w:hAnsi="Arial" w:cs="Arial"/>
          <w:sz w:val="18"/>
          <w:szCs w:val="18"/>
          <w:lang w:val="es-ES"/>
        </w:rPr>
      </w:pPr>
    </w:p>
  </w:footnote>
  <w:footnote w:id="6">
    <w:p w14:paraId="0CBB81C8" w14:textId="77777777" w:rsidR="00FC0B42" w:rsidRPr="00973A45" w:rsidRDefault="00FC0B42" w:rsidP="00FC0B42">
      <w:pPr>
        <w:pStyle w:val="Textonotapie"/>
        <w:ind w:firstLine="709"/>
        <w:jc w:val="both"/>
        <w:rPr>
          <w:rFonts w:ascii="Arial" w:hAnsi="Arial" w:cs="Arial"/>
          <w:sz w:val="18"/>
          <w:szCs w:val="18"/>
          <w:lang w:val="es-ES"/>
        </w:rPr>
      </w:pPr>
      <w:r w:rsidRPr="00973A45">
        <w:rPr>
          <w:rStyle w:val="Refdenotaalpie"/>
          <w:rFonts w:ascii="Arial" w:hAnsi="Arial" w:cs="Arial"/>
          <w:sz w:val="18"/>
          <w:szCs w:val="18"/>
        </w:rPr>
        <w:footnoteRef/>
      </w:r>
      <w:r w:rsidRPr="00973A45">
        <w:rPr>
          <w:rFonts w:ascii="Arial" w:hAnsi="Arial" w:cs="Arial"/>
          <w:sz w:val="18"/>
          <w:szCs w:val="18"/>
        </w:rPr>
        <w:t xml:space="preserve"> </w:t>
      </w:r>
      <w:r w:rsidRPr="00973A45">
        <w:rPr>
          <w:rFonts w:ascii="Arial" w:hAnsi="Arial" w:cs="Arial"/>
          <w:sz w:val="18"/>
          <w:szCs w:val="18"/>
          <w:lang w:val="es-ES"/>
        </w:rPr>
        <w:t>Artículos 46 al 73.</w:t>
      </w:r>
    </w:p>
    <w:p w14:paraId="106E8C5B" w14:textId="77777777" w:rsidR="00FC0B42" w:rsidRPr="00973A45" w:rsidRDefault="00FC0B42" w:rsidP="00FC0B42">
      <w:pPr>
        <w:pStyle w:val="Textonotapie"/>
        <w:ind w:firstLine="709"/>
        <w:jc w:val="both"/>
        <w:rPr>
          <w:rFonts w:ascii="Arial" w:hAnsi="Arial" w:cs="Arial"/>
          <w:sz w:val="18"/>
          <w:szCs w:val="18"/>
          <w:lang w:val="es-ES"/>
        </w:rPr>
      </w:pPr>
    </w:p>
  </w:footnote>
  <w:footnote w:id="7">
    <w:p w14:paraId="7C0B4976" w14:textId="77777777" w:rsidR="00FC0B42" w:rsidRPr="00973A45" w:rsidRDefault="00FC0B42" w:rsidP="00FC0B42">
      <w:pPr>
        <w:pStyle w:val="Textonotapie"/>
        <w:ind w:firstLine="709"/>
        <w:jc w:val="both"/>
        <w:rPr>
          <w:rFonts w:ascii="Arial" w:hAnsi="Arial" w:cs="Arial"/>
          <w:sz w:val="18"/>
          <w:szCs w:val="18"/>
          <w:lang w:val="es-ES"/>
        </w:rPr>
      </w:pPr>
      <w:r w:rsidRPr="00973A45">
        <w:rPr>
          <w:rStyle w:val="Refdenotaalpie"/>
          <w:rFonts w:ascii="Arial" w:hAnsi="Arial" w:cs="Arial"/>
          <w:sz w:val="18"/>
          <w:szCs w:val="18"/>
        </w:rPr>
        <w:footnoteRef/>
      </w:r>
      <w:r w:rsidRPr="00973A45">
        <w:rPr>
          <w:rFonts w:ascii="Arial" w:hAnsi="Arial" w:cs="Arial"/>
          <w:sz w:val="18"/>
          <w:szCs w:val="18"/>
        </w:rPr>
        <w:t xml:space="preserve"> </w:t>
      </w:r>
      <w:r w:rsidRPr="00973A45">
        <w:rPr>
          <w:rFonts w:ascii="Arial" w:hAnsi="Arial" w:cs="Arial"/>
          <w:sz w:val="18"/>
          <w:szCs w:val="18"/>
          <w:lang w:val="es-ES"/>
        </w:rPr>
        <w:t>Artículos 74 al 83.</w:t>
      </w:r>
    </w:p>
    <w:p w14:paraId="580E1BDE" w14:textId="77777777" w:rsidR="00FC0B42" w:rsidRPr="00973A45" w:rsidRDefault="00FC0B42" w:rsidP="00FC0B42">
      <w:pPr>
        <w:pStyle w:val="Textonotapie"/>
        <w:ind w:firstLine="709"/>
        <w:jc w:val="both"/>
        <w:rPr>
          <w:rFonts w:ascii="Arial" w:hAnsi="Arial" w:cs="Arial"/>
          <w:sz w:val="18"/>
          <w:szCs w:val="18"/>
          <w:lang w:val="es-ES"/>
        </w:rPr>
      </w:pPr>
    </w:p>
  </w:footnote>
  <w:footnote w:id="8">
    <w:p w14:paraId="304FF1FC" w14:textId="77777777" w:rsidR="00FC0B42" w:rsidRPr="00973A45" w:rsidRDefault="00FC0B42" w:rsidP="00FC0B42">
      <w:pPr>
        <w:pStyle w:val="Textonotapie"/>
        <w:ind w:firstLine="708"/>
        <w:jc w:val="both"/>
        <w:rPr>
          <w:rFonts w:ascii="Arial" w:hAnsi="Arial" w:cs="Arial"/>
          <w:sz w:val="18"/>
          <w:szCs w:val="18"/>
          <w:lang w:val="es-ES"/>
        </w:rPr>
      </w:pPr>
      <w:r w:rsidRPr="00973A45">
        <w:rPr>
          <w:rStyle w:val="Refdenotaalpie"/>
          <w:rFonts w:ascii="Arial" w:hAnsi="Arial" w:cs="Arial"/>
          <w:sz w:val="18"/>
          <w:szCs w:val="18"/>
        </w:rPr>
        <w:footnoteRef/>
      </w:r>
      <w:r w:rsidRPr="00973A45">
        <w:rPr>
          <w:rFonts w:ascii="Arial" w:hAnsi="Arial" w:cs="Arial"/>
          <w:sz w:val="18"/>
          <w:szCs w:val="18"/>
        </w:rPr>
        <w:t xml:space="preserve"> </w:t>
      </w:r>
      <w:bookmarkStart w:id="12" w:name="_Hlk63862868"/>
      <w:r w:rsidRPr="00973A45">
        <w:rPr>
          <w:rFonts w:ascii="Arial" w:hAnsi="Arial" w:cs="Arial"/>
          <w:sz w:val="18"/>
          <w:szCs w:val="18"/>
        </w:rPr>
        <w:t xml:space="preserve">CONGRESO DE LA REPÚBLICA. Gaceta No. 670 del 11 de agosto de 2020. Exposición de motivos del Proyecto de Ley No. 122 de 2020 Cámara. p. 13. </w:t>
      </w:r>
      <w:bookmarkEnd w:id="12"/>
    </w:p>
  </w:footnote>
  <w:footnote w:id="9">
    <w:p w14:paraId="06031E54" w14:textId="77777777" w:rsidR="00FC0B42" w:rsidRDefault="00FC0B42" w:rsidP="00FC0B42">
      <w:pPr>
        <w:pStyle w:val="Textonotapie"/>
        <w:ind w:firstLine="709"/>
        <w:jc w:val="both"/>
        <w:rPr>
          <w:rFonts w:ascii="Arial" w:hAnsi="Arial" w:cs="Arial"/>
          <w:sz w:val="18"/>
          <w:szCs w:val="18"/>
        </w:rPr>
      </w:pPr>
    </w:p>
    <w:p w14:paraId="40AF1E75" w14:textId="77777777" w:rsidR="00FC0B42" w:rsidRPr="00973A45" w:rsidRDefault="00FC0B42" w:rsidP="00FC0B42">
      <w:pPr>
        <w:pStyle w:val="Textonotapie"/>
        <w:ind w:firstLine="709"/>
        <w:jc w:val="both"/>
        <w:rPr>
          <w:rFonts w:ascii="Arial" w:hAnsi="Arial" w:cs="Arial"/>
          <w:sz w:val="18"/>
          <w:szCs w:val="18"/>
        </w:rPr>
      </w:pPr>
      <w:r w:rsidRPr="00973A45">
        <w:rPr>
          <w:rStyle w:val="Refdenotaalpie"/>
          <w:rFonts w:ascii="Arial" w:hAnsi="Arial" w:cs="Arial"/>
          <w:sz w:val="18"/>
          <w:szCs w:val="18"/>
        </w:rPr>
        <w:footnoteRef/>
      </w:r>
      <w:r w:rsidRPr="00973A45">
        <w:rPr>
          <w:rFonts w:ascii="Arial" w:hAnsi="Arial"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9305336" w14:textId="77777777" w:rsidR="00FC0B42" w:rsidRPr="00973A45" w:rsidRDefault="00FC0B42" w:rsidP="00FC0B42">
      <w:pPr>
        <w:pStyle w:val="Textonotapie"/>
        <w:spacing w:before="120"/>
        <w:ind w:firstLine="709"/>
        <w:jc w:val="both"/>
        <w:rPr>
          <w:rFonts w:ascii="Arial" w:hAnsi="Arial" w:cs="Arial"/>
          <w:sz w:val="18"/>
          <w:szCs w:val="18"/>
        </w:rPr>
      </w:pPr>
      <w:r w:rsidRPr="00973A45">
        <w:rPr>
          <w:rFonts w:ascii="Arial" w:hAnsi="Arial" w:cs="Arial"/>
          <w:sz w:val="18"/>
          <w:szCs w:val="18"/>
        </w:rPr>
        <w:t xml:space="preserve">Parágrafo primero. La definición de emprendimientos y empresas de mujeres se reglamentará por el gobierno nacional”.  </w:t>
      </w:r>
    </w:p>
  </w:footnote>
  <w:footnote w:id="10">
    <w:p w14:paraId="6DF4F6E3" w14:textId="77777777" w:rsidR="00FC0B42" w:rsidRPr="00973A45" w:rsidRDefault="00FC0B42" w:rsidP="00FC0B42">
      <w:pPr>
        <w:pStyle w:val="Textonotapie"/>
        <w:ind w:firstLine="709"/>
        <w:jc w:val="both"/>
        <w:rPr>
          <w:rFonts w:ascii="Arial" w:hAnsi="Arial" w:cs="Arial"/>
          <w:sz w:val="18"/>
          <w:szCs w:val="18"/>
        </w:rPr>
      </w:pPr>
      <w:r w:rsidRPr="00973A45">
        <w:rPr>
          <w:rStyle w:val="Refdenotaalpie"/>
          <w:rFonts w:ascii="Arial" w:hAnsi="Arial" w:cs="Arial"/>
          <w:sz w:val="18"/>
          <w:szCs w:val="18"/>
        </w:rPr>
        <w:footnoteRef/>
      </w:r>
      <w:r w:rsidRPr="00973A45">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69B04C1D" w14:textId="77777777" w:rsidR="00FC0B42" w:rsidRPr="00973A45" w:rsidRDefault="00FC0B42" w:rsidP="00FC0B42">
      <w:pPr>
        <w:pStyle w:val="Textonotapie"/>
        <w:ind w:firstLine="709"/>
        <w:jc w:val="both"/>
        <w:rPr>
          <w:rFonts w:ascii="Arial" w:hAnsi="Arial" w:cs="Arial"/>
          <w:sz w:val="18"/>
          <w:szCs w:val="18"/>
        </w:rPr>
      </w:pPr>
    </w:p>
  </w:footnote>
  <w:footnote w:id="11">
    <w:p w14:paraId="2B64D2DF" w14:textId="77777777" w:rsidR="00FC0B42" w:rsidRPr="00973A45" w:rsidRDefault="00FC0B42" w:rsidP="00FC0B42">
      <w:pPr>
        <w:pStyle w:val="NormalWeb"/>
        <w:shd w:val="clear" w:color="auto" w:fill="FFFFFF"/>
        <w:spacing w:before="120" w:after="0"/>
        <w:ind w:firstLine="709"/>
        <w:jc w:val="both"/>
        <w:rPr>
          <w:rFonts w:ascii="Arial" w:hAnsi="Arial" w:cs="Arial"/>
          <w:sz w:val="18"/>
          <w:szCs w:val="18"/>
        </w:rPr>
      </w:pPr>
      <w:r w:rsidRPr="00973A45">
        <w:rPr>
          <w:rStyle w:val="Refdenotaalpie"/>
          <w:rFonts w:ascii="Arial" w:hAnsi="Arial" w:cs="Arial"/>
          <w:sz w:val="18"/>
          <w:szCs w:val="18"/>
        </w:rPr>
        <w:footnoteRef/>
      </w:r>
      <w:r w:rsidRPr="00973A45">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973A45">
          <w:rPr>
            <w:rStyle w:val="Hipervnculo1"/>
            <w:rFonts w:ascii="Arial" w:hAnsi="Arial" w:cs="Arial"/>
            <w:sz w:val="18"/>
            <w:szCs w:val="18"/>
          </w:rPr>
          <w:t>5 </w:t>
        </w:r>
      </w:hyperlink>
      <w:r w:rsidRPr="00973A45">
        <w:rPr>
          <w:rFonts w:ascii="Arial" w:hAnsi="Arial" w:cs="Arial"/>
          <w:sz w:val="18"/>
          <w:szCs w:val="18"/>
        </w:rPr>
        <w:t>de la Sección 1 del Capítulo 2 del Título 1 de la Parte 2 del Libro 2, así como los artículos </w:t>
      </w:r>
      <w:hyperlink r:id="rId3" w:anchor="2.2.1.2.4.2.2" w:history="1">
        <w:r w:rsidRPr="00973A45">
          <w:rPr>
            <w:rStyle w:val="Hipervnculo1"/>
            <w:rFonts w:ascii="Arial" w:hAnsi="Arial" w:cs="Arial"/>
            <w:sz w:val="18"/>
            <w:szCs w:val="18"/>
          </w:rPr>
          <w:t>2.2.1.2.4.2.2</w:t>
        </w:r>
      </w:hyperlink>
      <w:r w:rsidRPr="00973A45">
        <w:rPr>
          <w:rFonts w:ascii="Arial" w:hAnsi="Arial" w:cs="Arial"/>
          <w:sz w:val="18"/>
          <w:szCs w:val="18"/>
        </w:rPr>
        <w:t>., </w:t>
      </w:r>
      <w:hyperlink r:id="rId4" w:anchor="2.2.1.2.4.2.3" w:history="1">
        <w:r w:rsidRPr="00973A45">
          <w:rPr>
            <w:rStyle w:val="Hipervnculo1"/>
            <w:rFonts w:ascii="Arial" w:hAnsi="Arial" w:cs="Arial"/>
            <w:sz w:val="18"/>
            <w:szCs w:val="18"/>
          </w:rPr>
          <w:t>2.2.1.2.4.2.3</w:t>
        </w:r>
      </w:hyperlink>
      <w:r w:rsidRPr="00973A45">
        <w:rPr>
          <w:rFonts w:ascii="Arial" w:hAnsi="Arial" w:cs="Arial"/>
          <w:sz w:val="18"/>
          <w:szCs w:val="18"/>
        </w:rPr>
        <w:t>., </w:t>
      </w:r>
      <w:hyperlink r:id="rId5" w:anchor="2.2.1.2.4.2.4" w:history="1">
        <w:r w:rsidRPr="00973A45">
          <w:rPr>
            <w:rStyle w:val="Hipervnculo1"/>
            <w:rFonts w:ascii="Arial" w:hAnsi="Arial" w:cs="Arial"/>
            <w:sz w:val="18"/>
            <w:szCs w:val="18"/>
          </w:rPr>
          <w:t>2.2.1.2.4.2.4</w:t>
        </w:r>
      </w:hyperlink>
      <w:r w:rsidRPr="00973A45">
        <w:rPr>
          <w:rFonts w:ascii="Arial" w:hAnsi="Arial" w:cs="Arial"/>
          <w:sz w:val="18"/>
          <w:szCs w:val="18"/>
        </w:rPr>
        <w:t>., </w:t>
      </w:r>
      <w:hyperlink r:id="rId6" w:anchor="2.2.1.2.1.2.2" w:history="1">
        <w:r w:rsidRPr="00973A45">
          <w:rPr>
            <w:rStyle w:val="Hipervnculo1"/>
            <w:rFonts w:ascii="Arial" w:hAnsi="Arial" w:cs="Arial"/>
            <w:sz w:val="18"/>
            <w:szCs w:val="18"/>
          </w:rPr>
          <w:t>2.2.1.2.1.2.2</w:t>
        </w:r>
      </w:hyperlink>
      <w:r w:rsidRPr="00973A45">
        <w:rPr>
          <w:rFonts w:ascii="Arial" w:hAnsi="Arial" w:cs="Arial"/>
          <w:sz w:val="18"/>
          <w:szCs w:val="18"/>
        </w:rPr>
        <w:t xml:space="preserve"> y </w:t>
      </w:r>
      <w:hyperlink r:id="rId7" w:anchor="2.2.1.2.4.2.8" w:history="1">
        <w:r w:rsidRPr="00973A45">
          <w:rPr>
            <w:rStyle w:val="Hipervnculo1"/>
            <w:rFonts w:ascii="Arial" w:hAnsi="Arial" w:cs="Arial"/>
            <w:sz w:val="18"/>
            <w:szCs w:val="18"/>
          </w:rPr>
          <w:t>2.2.1.2.4.2.8</w:t>
        </w:r>
      </w:hyperlink>
      <w:r w:rsidRPr="00973A45">
        <w:rPr>
          <w:rFonts w:ascii="Arial" w:hAnsi="Arial" w:cs="Arial"/>
          <w:sz w:val="18"/>
          <w:szCs w:val="18"/>
        </w:rPr>
        <w:t>.; adiciona los artículos </w:t>
      </w:r>
      <w:hyperlink r:id="rId8" w:anchor="2.2.1.2.4.2.14" w:history="1">
        <w:r w:rsidRPr="00973A45">
          <w:rPr>
            <w:rStyle w:val="Hipervnculo1"/>
            <w:rFonts w:ascii="Arial" w:hAnsi="Arial" w:cs="Arial"/>
            <w:sz w:val="18"/>
            <w:szCs w:val="18"/>
          </w:rPr>
          <w:t>2.2.1.2.4.2.14</w:t>
        </w:r>
      </w:hyperlink>
      <w:r w:rsidRPr="00973A45">
        <w:rPr>
          <w:rFonts w:ascii="Arial" w:hAnsi="Arial" w:cs="Arial"/>
          <w:sz w:val="18"/>
          <w:szCs w:val="18"/>
        </w:rPr>
        <w:t>., </w:t>
      </w:r>
      <w:hyperlink r:id="rId9" w:anchor="2.2.1.2.4.2.15" w:history="1">
        <w:r w:rsidRPr="00973A45">
          <w:rPr>
            <w:rStyle w:val="Hipervnculo1"/>
            <w:rFonts w:ascii="Arial" w:hAnsi="Arial" w:cs="Arial"/>
            <w:sz w:val="18"/>
            <w:szCs w:val="18"/>
          </w:rPr>
          <w:t>2.2.1.2.4.2.15</w:t>
        </w:r>
      </w:hyperlink>
      <w:r w:rsidRPr="00973A45">
        <w:rPr>
          <w:rFonts w:ascii="Arial" w:hAnsi="Arial" w:cs="Arial"/>
          <w:sz w:val="18"/>
          <w:szCs w:val="18"/>
        </w:rPr>
        <w:t>., </w:t>
      </w:r>
      <w:hyperlink r:id="rId10" w:anchor="2.2.1.2.4.2.16" w:history="1">
        <w:r w:rsidRPr="00973A45">
          <w:rPr>
            <w:rStyle w:val="Hipervnculo1"/>
            <w:rFonts w:ascii="Arial" w:hAnsi="Arial" w:cs="Arial"/>
            <w:sz w:val="18"/>
            <w:szCs w:val="18"/>
          </w:rPr>
          <w:t>2.2.1.2.4.2.16</w:t>
        </w:r>
      </w:hyperlink>
      <w:r w:rsidRPr="00973A45">
        <w:rPr>
          <w:rFonts w:ascii="Arial" w:hAnsi="Arial" w:cs="Arial"/>
          <w:sz w:val="18"/>
          <w:szCs w:val="18"/>
        </w:rPr>
        <w:t>., </w:t>
      </w:r>
      <w:hyperlink r:id="rId11" w:anchor="2.2.1.2.4.2.17" w:history="1">
        <w:r w:rsidRPr="00973A45">
          <w:rPr>
            <w:rStyle w:val="Hipervnculo1"/>
            <w:rFonts w:ascii="Arial" w:hAnsi="Arial" w:cs="Arial"/>
            <w:sz w:val="18"/>
            <w:szCs w:val="18"/>
          </w:rPr>
          <w:t>2.2.1.2.4.2.17</w:t>
        </w:r>
      </w:hyperlink>
      <w:r w:rsidRPr="00973A45">
        <w:rPr>
          <w:rFonts w:ascii="Arial" w:hAnsi="Arial" w:cs="Arial"/>
          <w:sz w:val="18"/>
          <w:szCs w:val="18"/>
        </w:rPr>
        <w:t>. y </w:t>
      </w:r>
      <w:hyperlink r:id="rId12" w:anchor="2.2.1.2.4.2.18" w:history="1">
        <w:r w:rsidRPr="00973A45">
          <w:rPr>
            <w:rStyle w:val="Hipervnculo1"/>
            <w:rFonts w:ascii="Arial" w:hAnsi="Arial" w:cs="Arial"/>
            <w:sz w:val="18"/>
            <w:szCs w:val="18"/>
          </w:rPr>
          <w:t>2.2.1.2.4.2.18</w:t>
        </w:r>
      </w:hyperlink>
      <w:r w:rsidRPr="00973A45">
        <w:rPr>
          <w:rFonts w:ascii="Arial" w:hAnsi="Arial" w:cs="Arial"/>
          <w:sz w:val="18"/>
          <w:szCs w:val="18"/>
        </w:rPr>
        <w:t>.; adiciona un </w:t>
      </w:r>
      <w:hyperlink r:id="rId13" w:anchor="2.2.1.2.3.1.9.p" w:history="1">
        <w:r w:rsidRPr="00973A45">
          <w:rPr>
            <w:rStyle w:val="Hipervnculo1"/>
            <w:rFonts w:ascii="Arial" w:hAnsi="Arial" w:cs="Arial"/>
            <w:sz w:val="18"/>
            <w:szCs w:val="18"/>
          </w:rPr>
          <w:t>parágrafo </w:t>
        </w:r>
      </w:hyperlink>
      <w:r w:rsidRPr="00973A45">
        <w:rPr>
          <w:rFonts w:ascii="Arial" w:hAnsi="Arial" w:cs="Arial"/>
          <w:sz w:val="18"/>
          <w:szCs w:val="18"/>
        </w:rPr>
        <w:t>al artículo </w:t>
      </w:r>
      <w:hyperlink r:id="rId14" w:anchor="2.2.1.2.3.1.9" w:history="1">
        <w:r w:rsidRPr="00973A45">
          <w:rPr>
            <w:rStyle w:val="Hipervnculo1"/>
            <w:rFonts w:ascii="Arial" w:hAnsi="Arial" w:cs="Arial"/>
            <w:sz w:val="18"/>
            <w:szCs w:val="18"/>
          </w:rPr>
          <w:t>2.2.1.2.3.1.9</w:t>
        </w:r>
      </w:hyperlink>
      <w:r w:rsidRPr="00973A45">
        <w:rPr>
          <w:rFonts w:ascii="Arial" w:hAnsi="Arial" w:cs="Arial"/>
          <w:sz w:val="18"/>
          <w:szCs w:val="18"/>
        </w:rPr>
        <w:t>; y deroga el artículo </w:t>
      </w:r>
      <w:hyperlink r:id="rId15" w:anchor="2.2.1.1.2.2.9" w:history="1">
        <w:r w:rsidRPr="00973A45">
          <w:rPr>
            <w:rStyle w:val="Hipervnculo1"/>
            <w:rFonts w:ascii="Arial" w:hAnsi="Arial" w:cs="Arial"/>
            <w:sz w:val="18"/>
            <w:szCs w:val="18"/>
          </w:rPr>
          <w:t>2.2.1.1.2.2.9</w:t>
        </w:r>
      </w:hyperlink>
      <w:r w:rsidRPr="00973A45">
        <w:rPr>
          <w:rFonts w:ascii="Arial" w:hAnsi="Arial" w:cs="Arial"/>
          <w:sz w:val="18"/>
          <w:szCs w:val="18"/>
        </w:rPr>
        <w:t>. del Decreto 1082 de 2015, Único Reglamentario del Sector Administrativo de Planeación Nacional.</w:t>
      </w:r>
    </w:p>
    <w:p w14:paraId="55FA82C9" w14:textId="77777777" w:rsidR="00FC0B42" w:rsidRPr="00973A45" w:rsidRDefault="00FC0B42" w:rsidP="00FC0B42">
      <w:pPr>
        <w:pStyle w:val="NormalWeb"/>
        <w:shd w:val="clear" w:color="auto" w:fill="FFFFFF"/>
        <w:spacing w:before="120" w:after="0"/>
        <w:jc w:val="both"/>
        <w:rPr>
          <w:rFonts w:ascii="Arial" w:hAnsi="Arial" w:cs="Arial"/>
          <w:sz w:val="18"/>
          <w:szCs w:val="18"/>
        </w:rPr>
      </w:pPr>
      <w:r w:rsidRPr="00973A45">
        <w:rPr>
          <w:rFonts w:ascii="Arial" w:hAnsi="Arial" w:cs="Arial"/>
          <w:b/>
          <w:sz w:val="18"/>
          <w:szCs w:val="18"/>
        </w:rPr>
        <w:t> </w:t>
      </w:r>
      <w:r w:rsidRPr="00973A45">
        <w:rPr>
          <w:rFonts w:ascii="Arial" w:hAnsi="Arial" w:cs="Arial"/>
          <w:b/>
          <w:sz w:val="18"/>
          <w:szCs w:val="18"/>
        </w:rPr>
        <w:tab/>
      </w:r>
      <w:r w:rsidRPr="00973A45">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067847B1" w14:textId="77777777" w:rsidR="00FC0B42" w:rsidRPr="00973A45" w:rsidRDefault="00FC0B42" w:rsidP="00FC0B42">
      <w:pPr>
        <w:pStyle w:val="NormalWeb"/>
        <w:shd w:val="clear" w:color="auto" w:fill="FFFFFF"/>
        <w:spacing w:before="120" w:after="0"/>
        <w:jc w:val="both"/>
        <w:rPr>
          <w:rFonts w:ascii="Arial" w:hAnsi="Arial" w:cs="Arial"/>
          <w:sz w:val="18"/>
          <w:szCs w:val="18"/>
        </w:rPr>
      </w:pPr>
      <w:r w:rsidRPr="00973A45">
        <w:rPr>
          <w:rFonts w:ascii="Arial" w:hAnsi="Arial" w:cs="Arial"/>
          <w:sz w:val="18"/>
          <w:szCs w:val="18"/>
        </w:rPr>
        <w:t> </w:t>
      </w:r>
      <w:r w:rsidRPr="00973A45">
        <w:rPr>
          <w:rFonts w:ascii="Arial" w:hAnsi="Arial" w:cs="Arial"/>
          <w:sz w:val="18"/>
          <w:szCs w:val="18"/>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4F630FA4" w14:textId="77777777" w:rsidR="00FC0B42" w:rsidRPr="00973A45" w:rsidRDefault="00FC0B42" w:rsidP="00FC0B42">
      <w:pPr>
        <w:pBdr>
          <w:top w:val="nil"/>
          <w:left w:val="nil"/>
          <w:bottom w:val="nil"/>
          <w:right w:val="nil"/>
          <w:between w:val="nil"/>
        </w:pBdr>
        <w:spacing w:after="0" w:line="240" w:lineRule="auto"/>
        <w:ind w:firstLine="709"/>
        <w:jc w:val="both"/>
        <w:rPr>
          <w:rFonts w:ascii="Arial" w:eastAsia="Arial" w:hAnsi="Arial" w:cs="Arial"/>
          <w:color w:val="000000"/>
          <w:sz w:val="18"/>
          <w:szCs w:val="18"/>
        </w:rPr>
      </w:pPr>
      <w:r w:rsidRPr="00973A45">
        <w:rPr>
          <w:rFonts w:ascii="Arial" w:hAnsi="Arial" w:cs="Arial"/>
          <w:sz w:val="18"/>
          <w:szCs w:val="18"/>
          <w:vertAlign w:val="superscript"/>
        </w:rPr>
        <w:footnoteRef/>
      </w:r>
      <w:r w:rsidRPr="00973A45">
        <w:rPr>
          <w:rFonts w:ascii="Arial" w:eastAsia="Arial" w:hAnsi="Arial" w:cs="Arial"/>
          <w:color w:val="000000"/>
          <w:sz w:val="18"/>
          <w:szCs w:val="18"/>
        </w:rPr>
        <w:t xml:space="preserve"> Sobre el derecho a la igualdad y el concepto de igualdad material, pueden verse las siguientes sentencias de la Corte Constitucional: C 115 del 2017 y C-050 del 2021, cuyo magistrado ponente es Alejandro Linares Cantillo.</w:t>
      </w:r>
    </w:p>
  </w:footnote>
  <w:footnote w:id="13">
    <w:p w14:paraId="265BE537" w14:textId="77777777" w:rsidR="00FC0B42" w:rsidRPr="00973A45" w:rsidRDefault="00FC0B42" w:rsidP="00FC0B42">
      <w:pPr>
        <w:pBdr>
          <w:top w:val="nil"/>
          <w:left w:val="nil"/>
          <w:bottom w:val="nil"/>
          <w:right w:val="nil"/>
          <w:between w:val="nil"/>
        </w:pBdr>
        <w:spacing w:after="0" w:line="240" w:lineRule="auto"/>
        <w:ind w:firstLine="709"/>
        <w:jc w:val="both"/>
        <w:rPr>
          <w:rFonts w:ascii="Arial" w:eastAsia="Arial" w:hAnsi="Arial" w:cs="Arial"/>
          <w:color w:val="000000"/>
          <w:sz w:val="18"/>
          <w:szCs w:val="18"/>
        </w:rPr>
      </w:pPr>
      <w:r w:rsidRPr="00973A45">
        <w:rPr>
          <w:rFonts w:ascii="Arial" w:hAnsi="Arial" w:cs="Arial"/>
          <w:sz w:val="18"/>
          <w:szCs w:val="18"/>
          <w:vertAlign w:val="superscript"/>
        </w:rPr>
        <w:footnoteRef/>
      </w:r>
      <w:r w:rsidRPr="00973A45">
        <w:rPr>
          <w:rFonts w:ascii="Arial" w:eastAsia="Arial" w:hAnsi="Arial" w:cs="Arial"/>
          <w:color w:val="000000"/>
          <w:sz w:val="18"/>
          <w:szCs w:val="18"/>
        </w:rPr>
        <w:t xml:space="preserve"> Compilado hoy en el artículo 2.2.1.1.1.6.1.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3244" w14:textId="77777777" w:rsidR="00FC0B42" w:rsidRDefault="00FC0B42">
    <w:pPr>
      <w:pStyle w:val="Encabezado"/>
    </w:pPr>
    <w:r>
      <w:rPr>
        <w:noProof/>
      </w:rPr>
      <w:drawing>
        <wp:anchor distT="0" distB="0" distL="114300" distR="114300" simplePos="0" relativeHeight="251659264" behindDoc="1" locked="0" layoutInCell="1" allowOverlap="1" wp14:anchorId="55231EBD" wp14:editId="3F5F0E3B">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3CB1B18B" wp14:editId="07F4FF9C">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5CFEBC8A" wp14:editId="3393F52B">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E312FD6" wp14:editId="50050DF1">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11638E3" w14:textId="77777777" w:rsidR="00FC0B42" w:rsidRDefault="00FC0B42">
    <w:pPr>
      <w:pStyle w:val="Encabezado"/>
    </w:pPr>
  </w:p>
  <w:p w14:paraId="2C9142AB" w14:textId="77777777" w:rsidR="00FC0B42" w:rsidRDefault="00FC0B42">
    <w:pPr>
      <w:pStyle w:val="Encabezado"/>
    </w:pPr>
  </w:p>
  <w:p w14:paraId="5BB76AAB" w14:textId="77777777" w:rsidR="00FC0B42" w:rsidRPr="004A305D" w:rsidRDefault="00FC0B42"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26840614" w14:textId="77777777" w:rsidR="00FC0B42" w:rsidRPr="004A305D" w:rsidRDefault="00FC0B42"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1E9EC95" w14:textId="77777777" w:rsidR="00FC0B42" w:rsidRPr="004A305D" w:rsidRDefault="00FC0B42"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625D642" w14:textId="77777777" w:rsidR="00FC0B42" w:rsidRDefault="00FC0B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42"/>
    <w:rsid w:val="000213E9"/>
    <w:rsid w:val="00323D89"/>
    <w:rsid w:val="005818E2"/>
    <w:rsid w:val="007C5611"/>
    <w:rsid w:val="008E5C2E"/>
    <w:rsid w:val="00C156CA"/>
    <w:rsid w:val="00C7192D"/>
    <w:rsid w:val="00C97DC8"/>
    <w:rsid w:val="00FC0B4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4548"/>
  <w15:chartTrackingRefBased/>
  <w15:docId w15:val="{EFEE1FC3-9E0E-42DC-B1C7-99FB6C3F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4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0B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B42"/>
    <w:rPr>
      <w:kern w:val="0"/>
      <w14:ligatures w14:val="none"/>
    </w:rPr>
  </w:style>
  <w:style w:type="paragraph" w:styleId="Piedepgina">
    <w:name w:val="footer"/>
    <w:basedOn w:val="Normal"/>
    <w:link w:val="PiedepginaCar"/>
    <w:uiPriority w:val="99"/>
    <w:unhideWhenUsed/>
    <w:rsid w:val="00FC0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B42"/>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C0B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FC0B42"/>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C0B42"/>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FC0B42"/>
    <w:rPr>
      <w:vertAlign w:val="superscript"/>
    </w:rPr>
  </w:style>
  <w:style w:type="table" w:styleId="Tablaconcuadrcula">
    <w:name w:val="Table Grid"/>
    <w:basedOn w:val="Tablanormal"/>
    <w:uiPriority w:val="39"/>
    <w:rsid w:val="00FC0B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C0B42"/>
    <w:pPr>
      <w:spacing w:line="240" w:lineRule="exact"/>
    </w:pPr>
    <w:rPr>
      <w:kern w:val="2"/>
      <w:vertAlign w:val="superscript"/>
      <w14:ligatures w14:val="standardContextual"/>
    </w:rPr>
  </w:style>
  <w:style w:type="table" w:customStyle="1" w:styleId="Tablaconcuadrcula1">
    <w:name w:val="Tabla con cuadrícula1"/>
    <w:basedOn w:val="Tablanormal"/>
    <w:next w:val="Tablaconcuadrcula"/>
    <w:uiPriority w:val="39"/>
    <w:rsid w:val="00FC0B42"/>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C0B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FC0B42"/>
    <w:rPr>
      <w:rFonts w:ascii="Times New Roman" w:hAnsi="Times New Roman" w:cs="Times New Roman"/>
      <w:sz w:val="24"/>
      <w:szCs w:val="24"/>
    </w:rPr>
  </w:style>
  <w:style w:type="character" w:customStyle="1" w:styleId="Hipervnculo1">
    <w:name w:val="Hipervínculo1"/>
    <w:basedOn w:val="Fuentedeprrafopredeter"/>
    <w:uiPriority w:val="99"/>
    <w:unhideWhenUsed/>
    <w:rsid w:val="00FC0B42"/>
    <w:rPr>
      <w:color w:val="F2F2F2"/>
      <w:u w:val="single"/>
    </w:rPr>
  </w:style>
  <w:style w:type="character" w:customStyle="1" w:styleId="NormalWebCar">
    <w:name w:val="Normal (Web) Car"/>
    <w:link w:val="NormalWeb"/>
    <w:uiPriority w:val="99"/>
    <w:rsid w:val="00FC0B42"/>
    <w:rPr>
      <w:rFonts w:ascii="Times New Roman" w:hAnsi="Times New Roman" w:cs="Times New Roman"/>
      <w:kern w:val="0"/>
      <w:sz w:val="24"/>
      <w:szCs w:val="24"/>
      <w14:ligatures w14:val="none"/>
    </w:rPr>
  </w:style>
  <w:style w:type="table" w:styleId="Tablaconcuadrculaclara">
    <w:name w:val="Grid Table Light"/>
    <w:basedOn w:val="Tablanormal"/>
    <w:uiPriority w:val="40"/>
    <w:rsid w:val="00323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F15BB-3AB8-48AE-9890-5ACB7FAA8916}">
  <ds:schemaRefs>
    <ds:schemaRef ds:uri="http://schemas.microsoft.com/office/2006/metadata/properties"/>
    <ds:schemaRef ds:uri="a6cb9e4b-f1d1-4245-83ec-6cad768d538a"/>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9d85dbaf-23eb-4e57-a637-93dcacc8b1a1"/>
    <ds:schemaRef ds:uri="http://www.w3.org/XML/1998/namespace"/>
  </ds:schemaRefs>
</ds:datastoreItem>
</file>

<file path=customXml/itemProps2.xml><?xml version="1.0" encoding="utf-8"?>
<ds:datastoreItem xmlns:ds="http://schemas.openxmlformats.org/officeDocument/2006/customXml" ds:itemID="{6BDA67D9-12A8-4056-AE85-4ABEC1E96F73}">
  <ds:schemaRefs>
    <ds:schemaRef ds:uri="http://schemas.microsoft.com/sharepoint/v3/contenttype/forms"/>
  </ds:schemaRefs>
</ds:datastoreItem>
</file>

<file path=customXml/itemProps3.xml><?xml version="1.0" encoding="utf-8"?>
<ds:datastoreItem xmlns:ds="http://schemas.openxmlformats.org/officeDocument/2006/customXml" ds:itemID="{26B3B09F-A829-4274-82E7-3F8B10F79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5136</Words>
  <Characters>28252</Characters>
  <Application>Microsoft Office Word</Application>
  <DocSecurity>0</DocSecurity>
  <Lines>235</Lines>
  <Paragraphs>66</Paragraphs>
  <ScaleCrop>false</ScaleCrop>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2023-08-31T16:39:00Z</dcterms:created>
  <dcterms:modified xsi:type="dcterms:W3CDTF">2023-08-31T16:39:00Z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