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348F3" w:rsidR="00EA591E" w:rsidP="00AE05F6" w:rsidRDefault="00EA591E" w14:paraId="26C26E20" w14:textId="7AC92284">
      <w:pPr>
        <w:jc w:val="center"/>
        <w:rPr>
          <w:rFonts w:ascii="Arial" w:hAnsi="Arial" w:eastAsia="Geomanist Light" w:cs="Arial"/>
          <w:lang w:val="es-MX"/>
        </w:rPr>
      </w:pPr>
      <w:bookmarkStart w:name="_Hlk96417464" w:id="0"/>
      <w:bookmarkStart w:name="_Hlk120036210" w:id="1"/>
      <w:bookmarkStart w:name="_Hlk98867631" w:id="2"/>
      <w:bookmarkStart w:name="_Hlk99546921" w:id="3"/>
      <w:bookmarkStart w:name="_Hlk34951122" w:id="4"/>
    </w:p>
    <w:p w:rsidRPr="003348F3" w:rsidR="00EA591E" w:rsidP="00EA591E" w:rsidRDefault="00EA591E" w14:paraId="0C079B18" w14:textId="77777777">
      <w:pPr>
        <w:spacing w:after="0" w:line="240" w:lineRule="auto"/>
        <w:rPr>
          <w:rFonts w:ascii="Arial" w:hAnsi="Arial" w:eastAsia="Times New Roman" w:cs="Arial"/>
          <w:b/>
          <w:bCs/>
          <w:lang w:val="es-ES_tradnl" w:eastAsia="es-ES_tradnl"/>
        </w:rPr>
      </w:pPr>
      <w:r w:rsidRPr="003348F3">
        <w:rPr>
          <w:rFonts w:ascii="Arial" w:hAnsi="Arial" w:eastAsia="Times New Roman" w:cs="Arial"/>
          <w:b/>
          <w:bCs/>
          <w:lang w:val="es-ES_tradnl" w:eastAsia="es-ES_tradnl"/>
        </w:rPr>
        <w:t>PROCESOS DE SELECCIÓN MÍNIMA CUANTÍA – Generalidades</w:t>
      </w:r>
    </w:p>
    <w:p w:rsidRPr="003348F3" w:rsidR="00EA591E" w:rsidP="00EA591E" w:rsidRDefault="00EA591E" w14:paraId="1AD5968D" w14:textId="77777777">
      <w:pPr>
        <w:spacing w:after="0" w:line="240" w:lineRule="auto"/>
        <w:rPr>
          <w:rFonts w:ascii="Arial" w:hAnsi="Arial" w:eastAsia="Geomanist Light" w:cs="Arial"/>
          <w:b/>
          <w:bCs/>
          <w:lang w:val="es-MX"/>
        </w:rPr>
      </w:pPr>
    </w:p>
    <w:p w:rsidRPr="003348F3" w:rsidR="00EA591E" w:rsidP="00EA591E" w:rsidRDefault="00EA591E" w14:paraId="0EFD66DC" w14:textId="77777777">
      <w:pPr>
        <w:spacing w:after="0" w:line="240" w:lineRule="auto"/>
        <w:jc w:val="both"/>
        <w:rPr>
          <w:rFonts w:ascii="Arial" w:hAnsi="Arial" w:eastAsia="Calibri" w:cs="Arial"/>
          <w:sz w:val="20"/>
          <w:szCs w:val="20"/>
          <w:lang w:val="es-ES_tradnl"/>
        </w:rPr>
      </w:pPr>
      <w:r w:rsidRPr="003348F3">
        <w:rPr>
          <w:rFonts w:ascii="Arial" w:hAnsi="Arial" w:eastAsia="Calibri" w:cs="Arial"/>
          <w:bCs/>
          <w:sz w:val="20"/>
          <w:szCs w:val="20"/>
          <w:lang w:eastAsia="es-ES_tradnl"/>
        </w:rPr>
        <w:t xml:space="preserve">“[…] </w:t>
      </w:r>
      <w:r w:rsidRPr="003348F3">
        <w:rPr>
          <w:rFonts w:ascii="Arial" w:hAnsi="Arial" w:eastAsia="Calibri" w:cs="Arial"/>
          <w:sz w:val="20"/>
          <w:szCs w:val="20"/>
          <w:lang w:val="es-ES_tradnl"/>
        </w:rPr>
        <w:t>La mínima cuantía es una modalidad de selección en función de la cual la entidad estatal realiza una convocatoria pública para recibir ofertas de bienes, obras o servicios cuyo valor no excede el diez por ciento (10%) de la menor cuantía. Esta tipología contractual tiene fundamento en el artículo 94 de la Ley 1474 de 2011 -que adicionó el numeral 5º al artículo 2 de la Ley 1150 de 2007-, estableciendo que el factor determinante para adelantar tal procedimiento es la cuantía, calculada como presupuesto oficial a partir del estudio del sector, indistintamente de su objeto.</w:t>
      </w:r>
    </w:p>
    <w:p w:rsidRPr="003348F3" w:rsidR="00EA591E" w:rsidP="00EA591E" w:rsidRDefault="00EA591E" w14:paraId="2A5FABEA" w14:textId="77777777">
      <w:pPr>
        <w:spacing w:after="0" w:line="240" w:lineRule="auto"/>
        <w:jc w:val="both"/>
        <w:rPr>
          <w:rFonts w:ascii="Arial" w:hAnsi="Arial" w:cs="Arial"/>
          <w:sz w:val="20"/>
          <w:szCs w:val="20"/>
          <w:lang w:val="es-ES" w:eastAsia="es-ES_tradnl"/>
        </w:rPr>
      </w:pPr>
    </w:p>
    <w:p w:rsidRPr="003348F3" w:rsidR="00EA591E" w:rsidP="00EA591E" w:rsidRDefault="00EA591E" w14:paraId="3352E702" w14:textId="77777777">
      <w:pPr>
        <w:spacing w:after="0" w:line="240" w:lineRule="auto"/>
        <w:jc w:val="both"/>
        <w:rPr>
          <w:rFonts w:ascii="Arial" w:hAnsi="Arial" w:eastAsia="Calibri" w:cs="Arial"/>
          <w:sz w:val="20"/>
          <w:szCs w:val="20"/>
          <w:lang w:val="es-ES_tradnl"/>
        </w:rPr>
      </w:pPr>
      <w:r w:rsidRPr="003348F3">
        <w:rPr>
          <w:rFonts w:ascii="Arial" w:hAnsi="Arial" w:eastAsia="Calibri" w:cs="Arial"/>
          <w:sz w:val="20"/>
          <w:szCs w:val="20"/>
          <w:lang w:val="es-ES_tradnl"/>
        </w:rPr>
        <w:t>En otras palabras, la mínima cuantía es un procedimiento de selección “especial”</w:t>
      </w:r>
      <w:r w:rsidRPr="003348F3">
        <w:rPr>
          <w:rFonts w:ascii="Arial" w:hAnsi="Arial" w:eastAsia="Calibri" w:cs="Arial"/>
          <w:sz w:val="20"/>
          <w:szCs w:val="20"/>
          <w:vertAlign w:val="superscript"/>
          <w:lang w:val="es-ES_tradnl"/>
        </w:rPr>
        <w:t>,</w:t>
      </w:r>
      <w:r w:rsidRPr="003348F3">
        <w:rPr>
          <w:rFonts w:ascii="Arial" w:hAnsi="Arial" w:eastAsia="Calibri" w:cs="Arial"/>
          <w:sz w:val="20"/>
          <w:szCs w:val="20"/>
          <w:lang w:val="es-ES_tradnl"/>
        </w:rPr>
        <w:t xml:space="preserve"> porque deriva en una excepción a la regla general constituida por la licitación pública. Ciertamente, si bien ambas modalidades implican un llamado general a presentar ofertas, que efectúa la entidad estatal interesada en contratar, la mínima cuantía es distinta de la licitación, cuando menos, en relación con su conducencia y su procedimiento: lo primero, debido a que solo procede por razón de una cuantía específica y lo segundo, porque sus requisitos, etapas y términos son especiales […]”.</w:t>
      </w:r>
    </w:p>
    <w:p w:rsidRPr="003348F3" w:rsidR="00EA591E" w:rsidP="00EA591E" w:rsidRDefault="00EA591E" w14:paraId="0E74F7A5" w14:textId="77777777">
      <w:pPr>
        <w:spacing w:after="0" w:line="240" w:lineRule="auto"/>
        <w:rPr>
          <w:rFonts w:ascii="Arial" w:hAnsi="Arial" w:eastAsia="Geomanist Light" w:cs="Arial"/>
          <w:sz w:val="20"/>
          <w:szCs w:val="20"/>
          <w:lang w:val="es-MX"/>
        </w:rPr>
      </w:pPr>
    </w:p>
    <w:p w:rsidRPr="003348F3" w:rsidR="00EA591E" w:rsidP="00EA591E" w:rsidRDefault="00EA591E" w14:paraId="384D2618" w14:textId="77777777">
      <w:pPr>
        <w:spacing w:after="0"/>
        <w:jc w:val="both"/>
        <w:rPr>
          <w:rFonts w:ascii="Arial" w:hAnsi="Arial" w:eastAsia="Geomanist Light" w:cs="Arial"/>
          <w:b/>
          <w:bCs/>
          <w:lang w:val="es-MX"/>
        </w:rPr>
      </w:pPr>
      <w:r w:rsidRPr="003348F3">
        <w:rPr>
          <w:rFonts w:ascii="Arial" w:hAnsi="Arial" w:eastAsia="Geomanist Light" w:cs="Arial"/>
          <w:b/>
          <w:bCs/>
          <w:lang w:val="es-MX"/>
        </w:rPr>
        <w:t xml:space="preserve">SUBSANALIDAD Y ACLARACIÓN DE LA OFERTA – Diferencias </w:t>
      </w:r>
    </w:p>
    <w:p w:rsidRPr="003348F3" w:rsidR="00EA591E" w:rsidP="00EA591E" w:rsidRDefault="00EA591E" w14:paraId="02BB468E" w14:textId="77777777">
      <w:pPr>
        <w:spacing w:after="0"/>
        <w:jc w:val="both"/>
        <w:rPr>
          <w:rFonts w:ascii="Arial" w:hAnsi="Arial" w:eastAsia="Geomanist Light" w:cs="Arial"/>
          <w:b/>
          <w:bCs/>
          <w:lang w:val="es-MX"/>
        </w:rPr>
      </w:pPr>
    </w:p>
    <w:p w:rsidRPr="003348F3" w:rsidR="00EA591E" w:rsidP="00EA591E" w:rsidRDefault="00EA591E" w14:paraId="658E7546" w14:textId="77777777">
      <w:pPr>
        <w:spacing w:after="0" w:line="240" w:lineRule="auto"/>
        <w:jc w:val="both"/>
        <w:rPr>
          <w:rFonts w:ascii="Arial" w:hAnsi="Arial" w:cs="Arial"/>
          <w:bCs/>
          <w:sz w:val="20"/>
          <w:szCs w:val="20"/>
        </w:rPr>
      </w:pPr>
      <w:r w:rsidRPr="003348F3">
        <w:rPr>
          <w:rFonts w:ascii="Arial" w:hAnsi="Arial" w:cs="Arial"/>
          <w:bCs/>
          <w:sz w:val="20"/>
          <w:szCs w:val="20"/>
        </w:rPr>
        <w:t>“[…]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Finalmente, como dispone el artículo 30.7 de la Ley 80 de 1993, la aclaración de las propuestas se realiza durante la evaluación de estas, pues es necesario esclarecer los aspectos dudosos de las ofertas antes de la adjudicación. Por ello, la jurisprudencia también explica que “[…] el proponente debe acogerse al tiempo que le otorga la administración para subsanar o aclarar la oferta, lapso que la entidad no puede extender más allá de la adjudicación […]”. De esta manera, “lo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p>
    <w:p w:rsidRPr="003348F3" w:rsidR="00EA591E" w:rsidP="00EA591E" w:rsidRDefault="00EA591E" w14:paraId="2535E769" w14:textId="77777777">
      <w:pPr>
        <w:spacing w:after="0"/>
        <w:jc w:val="both"/>
        <w:rPr>
          <w:rFonts w:ascii="Arial" w:hAnsi="Arial" w:eastAsia="Geomanist Light" w:cs="Arial"/>
          <w:lang w:val="es-MX"/>
        </w:rPr>
      </w:pPr>
    </w:p>
    <w:p w:rsidRPr="003348F3" w:rsidR="00EA591E" w:rsidP="00EA591E" w:rsidRDefault="00EA591E" w14:paraId="1FFB5D9F" w14:textId="77777777">
      <w:pPr>
        <w:spacing w:after="0"/>
        <w:jc w:val="both"/>
        <w:rPr>
          <w:rFonts w:ascii="Arial" w:hAnsi="Arial" w:eastAsia="Geomanist Light" w:cs="Arial"/>
          <w:b/>
          <w:bCs/>
          <w:lang w:val="es-MX"/>
        </w:rPr>
      </w:pPr>
      <w:r w:rsidRPr="003348F3">
        <w:rPr>
          <w:rFonts w:ascii="Arial" w:hAnsi="Arial" w:eastAsia="Geomanist Light" w:cs="Arial"/>
          <w:b/>
          <w:bCs/>
          <w:lang w:val="es-MX"/>
        </w:rPr>
        <w:t>PROCESOS DE SELECCIÓN DE MÍNIMA CUANTÍA – Subsanabilidad de la oferta – Aclaración de la oferta</w:t>
      </w:r>
    </w:p>
    <w:p w:rsidRPr="003348F3" w:rsidR="00EA591E" w:rsidP="00EA591E" w:rsidRDefault="00EA591E" w14:paraId="09435244" w14:textId="77777777">
      <w:pPr>
        <w:spacing w:after="0"/>
        <w:jc w:val="both"/>
        <w:rPr>
          <w:rFonts w:ascii="Arial" w:hAnsi="Arial" w:eastAsia="Geomanist Light" w:cs="Arial"/>
          <w:b/>
          <w:bCs/>
          <w:lang w:val="es-MX"/>
        </w:rPr>
      </w:pPr>
    </w:p>
    <w:p w:rsidRPr="003348F3" w:rsidR="00EA591E" w:rsidP="00EA591E" w:rsidRDefault="00EA591E" w14:paraId="76B7A256" w14:textId="77777777">
      <w:pPr>
        <w:spacing w:after="0" w:line="240" w:lineRule="auto"/>
        <w:jc w:val="both"/>
        <w:rPr>
          <w:rFonts w:ascii="Arial" w:hAnsi="Arial" w:eastAsia="Geomanist Light" w:cs="Arial"/>
          <w:sz w:val="20"/>
          <w:szCs w:val="20"/>
          <w:lang w:val="es-MX"/>
        </w:rPr>
      </w:pPr>
      <w:r w:rsidRPr="003348F3">
        <w:rPr>
          <w:rFonts w:ascii="Arial" w:hAnsi="Arial" w:eastAsia="Geomanist Light" w:cs="Arial"/>
          <w:sz w:val="20"/>
          <w:szCs w:val="20"/>
          <w:lang w:val="es-MX"/>
        </w:rPr>
        <w:t>En los procedimientos adelantados en la modalidad de selección de mínima cuantía, al ser el precio el único factor de evaluación, no resulta procedente la subsanación de la oferta económica, esto, en virtud del alcance de la regla contenida en el parágrafo 1 del artículo 5 de la Ley 1150 de 2007, la cual excluye los aspectos relevantes para la comparación de ofertas. Sin embargo, asuntos relacionados con la oferta económica que no hayan resultado claros, podrían ser objeto de aclaración en los términos antes indicados. Una vez presentada la aclaración, la Entidad Estatal analizará y valorará la información allegada por el proponente, con el fin de establecer si efectivamente se trata de una aclaración o si en realidad comporta una adición, modificación o mejora sustancial de la oferta, hecho, que acarreará el rechazo de esta.</w:t>
      </w:r>
    </w:p>
    <w:p w:rsidRPr="003348F3" w:rsidR="00EA591E" w:rsidP="00EA591E" w:rsidRDefault="00EA591E" w14:paraId="7DDBC0D0" w14:textId="77777777">
      <w:pPr>
        <w:rPr>
          <w:rFonts w:ascii="Arial" w:hAnsi="Arial" w:eastAsia="Geomanist Light" w:cs="Arial"/>
          <w:lang w:val="es-MX"/>
        </w:rPr>
      </w:pPr>
    </w:p>
    <w:p w:rsidRPr="003348F3" w:rsidR="00EA591E" w:rsidP="00EA591E" w:rsidRDefault="00EA591E" w14:paraId="7280EA43" w14:textId="77777777">
      <w:pPr>
        <w:spacing w:after="0"/>
        <w:rPr>
          <w:rFonts w:ascii="Arial" w:hAnsi="Arial" w:eastAsia="Geomanist Light" w:cs="Arial"/>
          <w:lang w:val="es-MX"/>
        </w:rPr>
      </w:pPr>
    </w:p>
    <w:p w:rsidRPr="003348F3" w:rsidR="00EA591E" w:rsidP="00EA591E" w:rsidRDefault="00EA591E" w14:paraId="56A81289" w14:textId="77777777">
      <w:pPr>
        <w:spacing w:after="0"/>
        <w:rPr>
          <w:rFonts w:ascii="Arial" w:hAnsi="Arial" w:eastAsia="Geomanist Light" w:cs="Arial"/>
          <w:lang w:val="es-MX"/>
        </w:rPr>
      </w:pPr>
    </w:p>
    <w:p w:rsidRPr="003348F3" w:rsidR="00EA591E" w:rsidP="00EA591E" w:rsidRDefault="00EA591E" w14:paraId="08DBF7E7" w14:textId="77777777">
      <w:pPr>
        <w:spacing w:after="0"/>
        <w:rPr>
          <w:rFonts w:ascii="Arial" w:hAnsi="Arial" w:eastAsia="Geomanist Light" w:cs="Arial"/>
          <w:lang w:val="es-MX"/>
        </w:rPr>
      </w:pPr>
      <w:r w:rsidRPr="003348F3">
        <w:rPr>
          <w:rFonts w:ascii="Arial" w:hAnsi="Arial" w:eastAsia="Geomanist Light" w:cs="Arial"/>
          <w:lang w:val="es-MX"/>
        </w:rPr>
        <w:t>Bogotá D.C., [Día] de [</w:t>
      </w:r>
      <w:proofErr w:type="spellStart"/>
      <w:r w:rsidRPr="003348F3">
        <w:rPr>
          <w:rFonts w:ascii="Arial" w:hAnsi="Arial" w:eastAsia="Geomanist Light" w:cs="Arial"/>
          <w:lang w:val="es-MX"/>
        </w:rPr>
        <w:t>Mes.NombreCapitalizado</w:t>
      </w:r>
      <w:proofErr w:type="spellEnd"/>
      <w:r w:rsidRPr="003348F3">
        <w:rPr>
          <w:rFonts w:ascii="Arial" w:hAnsi="Arial" w:eastAsia="Geomanist Light" w:cs="Arial"/>
          <w:lang w:val="es-MX"/>
        </w:rPr>
        <w:t>] de [Año]</w:t>
      </w:r>
    </w:p>
    <w:p w:rsidRPr="003348F3" w:rsidR="00EA591E" w:rsidP="00EA591E" w:rsidRDefault="00EA591E" w14:paraId="79C1FC22" w14:textId="77777777">
      <w:pPr>
        <w:spacing w:after="0" w:line="240" w:lineRule="auto"/>
        <w:contextualSpacing/>
        <w:jc w:val="both"/>
        <w:rPr>
          <w:rFonts w:ascii="Arial" w:hAnsi="Arial" w:eastAsia="Calibri" w:cs="Arial"/>
        </w:rPr>
      </w:pPr>
    </w:p>
    <w:p w:rsidRPr="003348F3" w:rsidR="00EA591E" w:rsidP="00EA591E" w:rsidRDefault="00EA591E" w14:paraId="21F28C6E" w14:textId="77777777">
      <w:pPr>
        <w:spacing w:after="0" w:line="276" w:lineRule="auto"/>
        <w:contextualSpacing/>
        <w:jc w:val="both"/>
        <w:rPr>
          <w:rFonts w:ascii="Arial" w:hAnsi="Arial" w:eastAsia="Calibri" w:cs="Arial"/>
        </w:rPr>
      </w:pPr>
      <w:r w:rsidRPr="003348F3">
        <w:rPr>
          <w:rFonts w:ascii="Arial" w:hAnsi="Arial" w:eastAsia="Calibri" w:cs="Arial"/>
        </w:rPr>
        <w:t>Señor</w:t>
      </w:r>
    </w:p>
    <w:p w:rsidRPr="003348F3" w:rsidR="00EA591E" w:rsidP="00EA591E" w:rsidRDefault="00EA591E" w14:paraId="710216F9" w14:textId="77777777">
      <w:pPr>
        <w:spacing w:after="0" w:line="276" w:lineRule="auto"/>
        <w:contextualSpacing/>
        <w:jc w:val="both"/>
        <w:rPr>
          <w:rFonts w:ascii="Arial" w:hAnsi="Arial" w:eastAsia="Calibri" w:cs="Arial"/>
          <w:b/>
          <w:bCs/>
        </w:rPr>
      </w:pPr>
      <w:r w:rsidRPr="003348F3">
        <w:rPr>
          <w:rFonts w:ascii="Arial" w:hAnsi="Arial" w:eastAsia="Calibri" w:cs="Arial"/>
          <w:b/>
          <w:bCs/>
        </w:rPr>
        <w:t>Juan David Cardona Sánchez</w:t>
      </w:r>
    </w:p>
    <w:p w:rsidR="00EA591E" w:rsidP="00EA591E" w:rsidRDefault="00EA591E" w14:paraId="78384571" w14:textId="77777777">
      <w:pPr>
        <w:spacing w:after="0" w:line="276" w:lineRule="auto"/>
        <w:contextualSpacing/>
        <w:jc w:val="both"/>
        <w:rPr>
          <w:rFonts w:ascii="Arial" w:hAnsi="Arial" w:eastAsia="Calibri" w:cs="Arial"/>
        </w:rPr>
      </w:pPr>
      <w:r w:rsidRPr="003348F3">
        <w:rPr>
          <w:rFonts w:ascii="Arial" w:hAnsi="Arial" w:eastAsia="Calibri" w:cs="Arial"/>
        </w:rPr>
        <w:t>Guarne, Antioquia</w:t>
      </w:r>
    </w:p>
    <w:p w:rsidRPr="003348F3" w:rsidR="00560D81" w:rsidP="00EA591E" w:rsidRDefault="00560D81" w14:paraId="4A4DB867" w14:textId="77777777">
      <w:pPr>
        <w:spacing w:after="0" w:line="276" w:lineRule="auto"/>
        <w:contextualSpacing/>
        <w:jc w:val="both"/>
        <w:rPr>
          <w:rFonts w:ascii="Arial" w:hAnsi="Arial" w:eastAsia="Calibri" w:cs="Arial"/>
        </w:rPr>
      </w:pPr>
    </w:p>
    <w:p w:rsidRPr="003348F3" w:rsidR="00EA591E" w:rsidP="00560D81" w:rsidRDefault="00560D81" w14:paraId="21CCEAFA" w14:textId="73D72AAC">
      <w:pPr>
        <w:spacing w:after="0" w:line="276" w:lineRule="auto"/>
        <w:contextualSpacing/>
        <w:jc w:val="right"/>
        <w:rPr>
          <w:rFonts w:ascii="Arial" w:hAnsi="Arial" w:eastAsia="Calibri" w:cs="Arial"/>
        </w:rPr>
      </w:pPr>
      <w:r w:rsidRPr="00560D81">
        <w:rPr>
          <w:rFonts w:ascii="Arial" w:hAnsi="Arial" w:eastAsia="Calibri" w:cs="Arial"/>
          <w:noProof/>
        </w:rPr>
        <w:drawing>
          <wp:inline distT="0" distB="0" distL="0" distR="0" wp14:anchorId="208D0DB6" wp14:editId="5E53B118">
            <wp:extent cx="2486372" cy="704948"/>
            <wp:effectExtent l="0" t="0" r="9525" b="0"/>
            <wp:docPr id="182644153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41531" name="Imagen 1" descr="Texto&#10;&#10;Descripción generada automáticamente"/>
                    <pic:cNvPicPr/>
                  </pic:nvPicPr>
                  <pic:blipFill>
                    <a:blip r:embed="rId9"/>
                    <a:stretch>
                      <a:fillRect/>
                    </a:stretch>
                  </pic:blipFill>
                  <pic:spPr>
                    <a:xfrm>
                      <a:off x="0" y="0"/>
                      <a:ext cx="2486372" cy="704948"/>
                    </a:xfrm>
                    <a:prstGeom prst="rect">
                      <a:avLst/>
                    </a:prstGeom>
                  </pic:spPr>
                </pic:pic>
              </a:graphicData>
            </a:graphic>
          </wp:inline>
        </w:drawing>
      </w:r>
    </w:p>
    <w:p w:rsidRPr="003348F3" w:rsidR="00EA591E" w:rsidP="00EA591E" w:rsidRDefault="00EA591E" w14:paraId="4D5F3417" w14:textId="77777777">
      <w:pPr>
        <w:spacing w:after="0" w:line="276" w:lineRule="auto"/>
        <w:contextualSpacing/>
        <w:jc w:val="both"/>
        <w:rPr>
          <w:rFonts w:ascii="Arial" w:hAnsi="Arial" w:eastAsia="Calibri" w:cs="Arial"/>
        </w:rPr>
      </w:pPr>
    </w:p>
    <w:p w:rsidRPr="003348F3" w:rsidR="00EA591E" w:rsidP="00EA591E" w:rsidRDefault="00EA591E" w14:paraId="585E23D5" w14:textId="77777777">
      <w:pPr>
        <w:spacing w:after="0" w:line="240" w:lineRule="auto"/>
        <w:contextualSpacing/>
        <w:jc w:val="both"/>
        <w:rPr>
          <w:rFonts w:ascii="Arial" w:hAnsi="Arial" w:eastAsia="Calibri" w:cs="Arial"/>
        </w:rPr>
      </w:pPr>
      <w:r w:rsidRPr="003348F3">
        <w:rPr>
          <w:rFonts w:ascii="Arial" w:hAnsi="Arial" w:eastAsia="Calibri" w:cs="Arial"/>
        </w:rPr>
        <w:t xml:space="preserve">                                            </w:t>
      </w:r>
      <w:r w:rsidRPr="003348F3">
        <w:rPr>
          <w:rFonts w:ascii="Arial" w:hAnsi="Arial" w:eastAsia="Calibri" w:cs="Arial"/>
          <w:b/>
        </w:rPr>
        <w:t>Concepto C–197 de 2023</w:t>
      </w:r>
    </w:p>
    <w:p w:rsidRPr="003348F3" w:rsidR="00EA591E" w:rsidP="00EA591E" w:rsidRDefault="00EA591E" w14:paraId="2E91752D" w14:textId="77777777">
      <w:pPr>
        <w:spacing w:after="0" w:line="240" w:lineRule="auto"/>
        <w:contextualSpacing/>
        <w:jc w:val="both"/>
        <w:rPr>
          <w:rFonts w:ascii="Arial" w:hAnsi="Arial" w:eastAsia="Calibri" w:cs="Arial"/>
          <w:b/>
        </w:rPr>
      </w:pPr>
    </w:p>
    <w:p w:rsidRPr="003348F3" w:rsidR="00EA591E" w:rsidP="00EA591E" w:rsidRDefault="00EA591E" w14:paraId="1D490E2D" w14:textId="77777777">
      <w:pPr>
        <w:spacing w:after="0" w:line="240" w:lineRule="auto"/>
        <w:contextualSpacing/>
        <w:jc w:val="both"/>
        <w:rPr>
          <w:rFonts w:ascii="Arial" w:hAnsi="Arial" w:eastAsia="Calibri" w:cs="Arial"/>
          <w:b/>
        </w:rPr>
      </w:pPr>
    </w:p>
    <w:tbl>
      <w:tblPr>
        <w:tblStyle w:val="Tablaconcuadrcula1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55"/>
        <w:gridCol w:w="5971"/>
      </w:tblGrid>
      <w:tr w:rsidRPr="003348F3" w:rsidR="00EA591E" w:rsidTr="11142619" w14:paraId="646F1B32" w14:textId="77777777">
        <w:trPr>
          <w:trHeight w:val="485"/>
        </w:trPr>
        <w:tc>
          <w:tcPr>
            <w:tcW w:w="2955" w:type="dxa"/>
            <w:tcMar/>
            <w:hideMark/>
          </w:tcPr>
          <w:p w:rsidRPr="003348F3" w:rsidR="00EA591E" w:rsidP="006D5F1A" w:rsidRDefault="00EA591E" w14:paraId="16B18B20" w14:textId="77777777">
            <w:pPr>
              <w:rPr>
                <w:rFonts w:ascii="Arial" w:hAnsi="Arial" w:eastAsia="Calibri" w:cs="Arial"/>
                <w:noProof/>
                <w:lang w:val="es-ES_tradnl"/>
              </w:rPr>
            </w:pPr>
            <w:r w:rsidRPr="003348F3">
              <w:rPr>
                <w:rFonts w:ascii="Arial" w:hAnsi="Arial" w:eastAsia="Calibri" w:cs="Arial"/>
                <w:b/>
                <w:noProof/>
                <w:lang w:val="es-ES_tradnl"/>
              </w:rPr>
              <w:t>Temas:</w:t>
            </w:r>
            <w:r w:rsidRPr="003348F3">
              <w:rPr>
                <w:rFonts w:ascii="Arial" w:hAnsi="Arial" w:eastAsia="Calibri" w:cs="Arial"/>
                <w:noProof/>
                <w:lang w:val="es-ES_tradnl"/>
              </w:rPr>
              <w:t xml:space="preserve">        </w:t>
            </w:r>
          </w:p>
        </w:tc>
        <w:tc>
          <w:tcPr>
            <w:tcW w:w="5971" w:type="dxa"/>
            <w:tcMar/>
            <w:hideMark/>
          </w:tcPr>
          <w:p w:rsidRPr="003348F3" w:rsidR="00EA591E" w:rsidP="006D5F1A" w:rsidRDefault="00EA591E" w14:paraId="3432F5A3" w14:textId="5A3136E0">
            <w:pPr>
              <w:spacing w:line="276" w:lineRule="auto"/>
              <w:jc w:val="both"/>
              <w:rPr>
                <w:rFonts w:ascii="Arial" w:hAnsi="Arial" w:eastAsia="Times New Roman" w:cs="Arial"/>
                <w:lang w:val="es-ES_tradnl" w:eastAsia="es-ES_tradnl"/>
              </w:rPr>
            </w:pPr>
            <w:r w:rsidRPr="003348F3">
              <w:rPr>
                <w:rFonts w:ascii="Arial" w:hAnsi="Arial" w:eastAsia="Times New Roman" w:cs="Arial"/>
                <w:lang w:val="es-ES_tradnl" w:eastAsia="es-ES_tradnl"/>
              </w:rPr>
              <w:t>PROCESOS DE SELECCIÓN MÍNIMA CUANTÍA – Generalidades / SUBSANABILIDAD Y ACLARACIÓN DE LA OFERTA - Diferencias / PROCESOS DE SELECCIÓN DE MÍNIMA CUANTÍA – Subsanabilidad de la oferta – Aclaración de la oferta</w:t>
            </w:r>
            <w:r>
              <w:rPr>
                <w:rFonts w:ascii="Arial" w:hAnsi="Arial" w:eastAsia="Times New Roman" w:cs="Arial"/>
                <w:lang w:val="es-ES_tradnl" w:eastAsia="es-ES_tradnl"/>
              </w:rPr>
              <w:t xml:space="preserve"> / RECHAZO DE LA OFERTA – Causales – Aplicación restrictiva / RECHAZO DE LA OFERTA – Documento tipo – Numeral 1.15 – Literal R</w:t>
            </w:r>
          </w:p>
          <w:p w:rsidRPr="003348F3" w:rsidR="00EA591E" w:rsidP="006D5F1A" w:rsidRDefault="00EA591E" w14:paraId="22062BBC" w14:textId="77777777">
            <w:pPr>
              <w:jc w:val="both"/>
              <w:rPr>
                <w:rFonts w:ascii="Arial" w:hAnsi="Arial" w:eastAsia="Calibri" w:cs="Arial"/>
                <w:b/>
                <w:bCs/>
                <w:lang w:val="es-MX"/>
              </w:rPr>
            </w:pPr>
          </w:p>
          <w:p w:rsidRPr="003348F3" w:rsidR="00EA591E" w:rsidP="006D5F1A" w:rsidRDefault="00EA591E" w14:paraId="61C883A4" w14:textId="77777777">
            <w:pPr>
              <w:ind w:right="703"/>
              <w:jc w:val="both"/>
              <w:rPr>
                <w:rFonts w:ascii="Arial" w:hAnsi="Arial" w:eastAsia="Calibri" w:cs="Arial"/>
                <w:bCs/>
                <w:lang w:val="es-MX"/>
              </w:rPr>
            </w:pPr>
          </w:p>
        </w:tc>
      </w:tr>
      <w:tr w:rsidRPr="003348F3" w:rsidR="00EA591E" w:rsidTr="11142619" w14:paraId="1A9C2755" w14:textId="77777777">
        <w:tc>
          <w:tcPr>
            <w:tcW w:w="2955" w:type="dxa"/>
            <w:tcMar/>
          </w:tcPr>
          <w:p w:rsidRPr="003348F3" w:rsidR="00EA591E" w:rsidP="006D5F1A" w:rsidRDefault="00EA591E" w14:paraId="1573273B" w14:textId="77777777">
            <w:pPr>
              <w:rPr>
                <w:rFonts w:ascii="Arial" w:hAnsi="Arial" w:eastAsia="Calibri" w:cs="Arial"/>
                <w:b/>
                <w:noProof/>
                <w:lang w:val="es-ES_tradnl"/>
              </w:rPr>
            </w:pPr>
            <w:r w:rsidRPr="003348F3">
              <w:rPr>
                <w:rFonts w:ascii="Arial" w:hAnsi="Arial" w:eastAsia="Calibri" w:cs="Arial"/>
                <w:b/>
                <w:noProof/>
                <w:lang w:val="es-ES_tradnl"/>
              </w:rPr>
              <w:t xml:space="preserve"> /Radicación:</w:t>
            </w:r>
            <w:r w:rsidRPr="003348F3">
              <w:rPr>
                <w:rFonts w:ascii="Arial" w:hAnsi="Arial" w:eastAsia="Calibri" w:cs="Arial"/>
                <w:noProof/>
                <w:lang w:val="es-ES_tradnl"/>
              </w:rPr>
              <w:t xml:space="preserve">                              </w:t>
            </w:r>
          </w:p>
        </w:tc>
        <w:tc>
          <w:tcPr>
            <w:tcW w:w="5971" w:type="dxa"/>
            <w:tcMar/>
          </w:tcPr>
          <w:p w:rsidRPr="003348F3" w:rsidR="00EA591E" w:rsidP="006D5F1A" w:rsidRDefault="00EA591E" w14:paraId="7DB4C2A5" w14:textId="77777777">
            <w:pPr>
              <w:jc w:val="both"/>
              <w:rPr>
                <w:rFonts w:ascii="Arial" w:hAnsi="Arial" w:eastAsia="Calibri" w:cs="Arial"/>
                <w:noProof/>
                <w:lang w:val="es-ES_tradnl"/>
              </w:rPr>
            </w:pPr>
            <w:r w:rsidRPr="003348F3">
              <w:rPr>
                <w:rFonts w:ascii="Arial" w:hAnsi="Arial" w:eastAsia="Calibri" w:cs="Arial"/>
                <w:noProof/>
                <w:lang w:val="es-ES_tradnl"/>
              </w:rPr>
              <w:t>Respuesta a consulta P20230621012532</w:t>
            </w:r>
            <w:r w:rsidRPr="003348F3">
              <w:rPr>
                <w:rFonts w:ascii="Arial" w:hAnsi="Arial" w:eastAsia="Calibri" w:cs="Arial"/>
                <w:noProof/>
                <w:lang w:val="es-ES_tradnl"/>
              </w:rPr>
              <w:tab/>
            </w:r>
            <w:r w:rsidRPr="003348F3">
              <w:rPr>
                <w:rFonts w:ascii="Arial" w:hAnsi="Arial" w:eastAsia="Calibri" w:cs="Arial"/>
                <w:noProof/>
                <w:lang w:val="es-ES_tradnl"/>
              </w:rPr>
              <w:tab/>
            </w:r>
            <w:r w:rsidRPr="003348F3">
              <w:rPr>
                <w:rFonts w:ascii="Arial" w:hAnsi="Arial" w:eastAsia="Calibri" w:cs="Arial"/>
                <w:noProof/>
                <w:lang w:val="es-ES_tradnl"/>
              </w:rPr>
              <w:tab/>
            </w:r>
            <w:r w:rsidRPr="003348F3">
              <w:rPr>
                <w:rFonts w:ascii="Arial" w:hAnsi="Arial" w:eastAsia="Calibri" w:cs="Arial"/>
                <w:noProof/>
                <w:lang w:val="es-ES_tradnl"/>
              </w:rPr>
              <w:tab/>
            </w:r>
            <w:r w:rsidRPr="003348F3">
              <w:rPr>
                <w:rFonts w:ascii="Arial" w:hAnsi="Arial" w:eastAsia="Calibri" w:cs="Arial"/>
                <w:noProof/>
                <w:lang w:val="es-ES_tradnl"/>
              </w:rPr>
              <w:tab/>
            </w:r>
          </w:p>
        </w:tc>
      </w:tr>
    </w:tbl>
    <w:p w:rsidRPr="003348F3" w:rsidR="00EA591E" w:rsidP="00EA591E" w:rsidRDefault="00EA591E" w14:paraId="739DB73A" w14:textId="77777777">
      <w:pPr>
        <w:spacing w:after="0" w:line="240" w:lineRule="auto"/>
        <w:contextualSpacing/>
        <w:jc w:val="both"/>
        <w:rPr>
          <w:rFonts w:ascii="Arial" w:hAnsi="Arial" w:eastAsia="Calibri" w:cs="Arial"/>
        </w:rPr>
      </w:pPr>
    </w:p>
    <w:p w:rsidRPr="003348F3" w:rsidR="00EA591E" w:rsidP="00EA591E" w:rsidRDefault="00EA591E" w14:paraId="048B13A0" w14:textId="77777777">
      <w:pPr>
        <w:spacing w:after="0" w:line="240" w:lineRule="auto"/>
        <w:contextualSpacing/>
        <w:jc w:val="both"/>
        <w:rPr>
          <w:rFonts w:ascii="Arial" w:hAnsi="Arial" w:eastAsia="Calibri" w:cs="Arial"/>
        </w:rPr>
      </w:pPr>
    </w:p>
    <w:p w:rsidRPr="003348F3" w:rsidR="00EA591E" w:rsidP="00EA591E" w:rsidRDefault="00EA591E" w14:paraId="667C95CC" w14:textId="77777777">
      <w:pPr>
        <w:spacing w:after="0" w:line="276" w:lineRule="auto"/>
        <w:contextualSpacing/>
        <w:jc w:val="both"/>
        <w:rPr>
          <w:rFonts w:ascii="Arial" w:hAnsi="Arial" w:eastAsia="Calibri" w:cs="Arial"/>
        </w:rPr>
      </w:pPr>
      <w:r w:rsidRPr="003348F3">
        <w:rPr>
          <w:rFonts w:ascii="Arial" w:hAnsi="Arial" w:eastAsia="Calibri" w:cs="Arial"/>
        </w:rPr>
        <w:t>Estimado señor Cardona:</w:t>
      </w:r>
    </w:p>
    <w:p w:rsidRPr="003348F3" w:rsidR="00EA591E" w:rsidP="00EA591E" w:rsidRDefault="00EA591E" w14:paraId="548BA78C" w14:textId="77777777">
      <w:pPr>
        <w:spacing w:after="0" w:line="276" w:lineRule="auto"/>
        <w:ind w:firstLine="709"/>
        <w:contextualSpacing/>
        <w:jc w:val="both"/>
        <w:rPr>
          <w:rFonts w:ascii="Arial" w:hAnsi="Arial" w:eastAsia="Calibri" w:cs="Arial"/>
        </w:rPr>
      </w:pPr>
    </w:p>
    <w:p w:rsidRPr="003348F3" w:rsidR="00EA591E" w:rsidP="00EA591E" w:rsidRDefault="00EA591E" w14:paraId="0CA78A0B" w14:textId="77777777">
      <w:pPr>
        <w:spacing w:after="0" w:line="276" w:lineRule="auto"/>
        <w:contextualSpacing/>
        <w:jc w:val="both"/>
        <w:rPr>
          <w:rFonts w:ascii="Arial" w:hAnsi="Arial" w:eastAsia="Calibri" w:cs="Arial"/>
        </w:rPr>
      </w:pPr>
      <w:r w:rsidRPr="003348F3">
        <w:rPr>
          <w:rFonts w:ascii="Arial" w:hAnsi="Arial" w:eastAsia="Calibri" w:cs="Arial"/>
        </w:rPr>
        <w:t xml:space="preserve">En ejercicio de la competencia otorgada por el numeral 8 del artículo 11 y el numeral 5 del artículo 3 del Decreto Ley 4170 de 2011, la Agencia Nacional de Contratación Pública – Colombia Compra Eficiente responde su consulta recibida el 21 de junio de 2023. </w:t>
      </w:r>
    </w:p>
    <w:p w:rsidRPr="003348F3" w:rsidR="00EA591E" w:rsidP="00EA591E" w:rsidRDefault="00EA591E" w14:paraId="126775DB" w14:textId="77777777">
      <w:pPr>
        <w:spacing w:after="0" w:line="276" w:lineRule="auto"/>
        <w:contextualSpacing/>
        <w:jc w:val="both"/>
        <w:rPr>
          <w:rFonts w:ascii="Arial" w:hAnsi="Arial" w:eastAsia="Calibri" w:cs="Arial"/>
        </w:rPr>
      </w:pPr>
    </w:p>
    <w:p w:rsidRPr="003348F3" w:rsidR="00EA591E" w:rsidP="00EA591E" w:rsidRDefault="00EA591E" w14:paraId="26210C55" w14:textId="77777777">
      <w:pPr>
        <w:tabs>
          <w:tab w:val="left" w:pos="284"/>
        </w:tabs>
        <w:spacing w:after="0" w:line="276" w:lineRule="auto"/>
        <w:contextualSpacing/>
        <w:jc w:val="both"/>
        <w:rPr>
          <w:rFonts w:ascii="Arial" w:hAnsi="Arial" w:eastAsia="Calibri" w:cs="Arial"/>
          <w:b/>
        </w:rPr>
      </w:pPr>
      <w:r w:rsidRPr="003348F3">
        <w:rPr>
          <w:rFonts w:ascii="Arial" w:hAnsi="Arial" w:eastAsia="Calibri" w:cs="Arial"/>
          <w:b/>
        </w:rPr>
        <w:t xml:space="preserve">1. Problema planteado </w:t>
      </w:r>
    </w:p>
    <w:p w:rsidRPr="003348F3" w:rsidR="00EA591E" w:rsidP="00EA591E" w:rsidRDefault="00EA591E" w14:paraId="5CE2CE14" w14:textId="77777777">
      <w:pPr>
        <w:tabs>
          <w:tab w:val="left" w:pos="284"/>
        </w:tabs>
        <w:spacing w:after="0" w:line="276" w:lineRule="auto"/>
        <w:ind w:firstLine="709"/>
        <w:contextualSpacing/>
        <w:jc w:val="both"/>
        <w:rPr>
          <w:rFonts w:ascii="Arial" w:hAnsi="Arial" w:eastAsia="Calibri" w:cs="Arial"/>
          <w:b/>
        </w:rPr>
      </w:pPr>
    </w:p>
    <w:p w:rsidRPr="003348F3" w:rsidR="00EA591E" w:rsidP="00EA591E" w:rsidRDefault="00EA591E" w14:paraId="0408ADC3" w14:textId="77777777">
      <w:pPr>
        <w:spacing w:after="0" w:line="276" w:lineRule="auto"/>
        <w:contextualSpacing/>
        <w:jc w:val="both"/>
        <w:rPr>
          <w:rFonts w:ascii="Arial" w:hAnsi="Arial" w:eastAsia="Calibri" w:cs="Arial"/>
        </w:rPr>
      </w:pPr>
      <w:bookmarkStart w:name="_Hlk58917991" w:id="5"/>
      <w:bookmarkStart w:name="_Hlk56103000" w:id="6"/>
      <w:r w:rsidRPr="003348F3">
        <w:rPr>
          <w:rFonts w:ascii="Arial" w:hAnsi="Arial" w:eastAsia="Calibri" w:cs="Arial"/>
        </w:rPr>
        <w:t xml:space="preserve">Usted realiza la siguiente consulta: </w:t>
      </w:r>
      <w:bookmarkStart w:name="_Hlk116284008" w:id="7"/>
      <w:bookmarkStart w:name="_Hlk133573383" w:id="8"/>
    </w:p>
    <w:p w:rsidRPr="003348F3" w:rsidR="00EA591E" w:rsidP="00EA591E" w:rsidRDefault="00EA591E" w14:paraId="5BFEB2CF" w14:textId="77777777">
      <w:pPr>
        <w:spacing w:after="0" w:line="276" w:lineRule="auto"/>
        <w:contextualSpacing/>
        <w:jc w:val="both"/>
        <w:rPr>
          <w:rFonts w:ascii="Arial" w:hAnsi="Arial" w:eastAsia="Calibri" w:cs="Arial"/>
        </w:rPr>
      </w:pPr>
    </w:p>
    <w:p w:rsidRPr="003348F3" w:rsidR="00EA591E" w:rsidP="00EA591E" w:rsidRDefault="00EA591E" w14:paraId="551E860A" w14:textId="77777777">
      <w:pPr>
        <w:spacing w:before="120" w:after="0" w:line="240" w:lineRule="auto"/>
        <w:ind w:left="709" w:right="709"/>
        <w:contextualSpacing/>
        <w:jc w:val="both"/>
        <w:rPr>
          <w:rFonts w:ascii="Arial" w:hAnsi="Arial" w:eastAsia="Calibri" w:cs="Arial"/>
          <w:sz w:val="21"/>
          <w:szCs w:val="21"/>
        </w:rPr>
      </w:pPr>
      <w:r w:rsidRPr="003348F3">
        <w:rPr>
          <w:rFonts w:ascii="Arial" w:hAnsi="Arial" w:eastAsia="Calibri" w:cs="Arial"/>
          <w:sz w:val="21"/>
          <w:szCs w:val="21"/>
        </w:rPr>
        <w:t>“En un proceso de selección de mínima cuantía se presentan dos ofertas de la siguiente manera:</w:t>
      </w:r>
    </w:p>
    <w:p w:rsidRPr="003348F3" w:rsidR="00EA591E" w:rsidP="00EA591E" w:rsidRDefault="00EA591E" w14:paraId="0F091B7B" w14:textId="77777777">
      <w:pPr>
        <w:spacing w:before="120" w:after="120" w:line="240" w:lineRule="auto"/>
        <w:ind w:left="709" w:right="709"/>
        <w:jc w:val="both"/>
        <w:rPr>
          <w:rFonts w:ascii="Arial" w:hAnsi="Arial" w:eastAsia="Calibri" w:cs="Arial"/>
          <w:sz w:val="21"/>
          <w:szCs w:val="21"/>
        </w:rPr>
      </w:pPr>
      <w:r w:rsidRPr="003348F3">
        <w:rPr>
          <w:rFonts w:ascii="Arial" w:hAnsi="Arial" w:eastAsia="Calibri" w:cs="Arial"/>
          <w:sz w:val="21"/>
          <w:szCs w:val="21"/>
        </w:rPr>
        <w:t>[…] Oferta 1 ABC S.A.S., por un valor de $1.200.000 en la plataforma, pero a su vez en los documentos aparece por 1.000.000.</w:t>
      </w:r>
    </w:p>
    <w:p w:rsidRPr="003348F3" w:rsidR="00EA591E" w:rsidP="00EA591E" w:rsidRDefault="00EA591E" w14:paraId="6B6FFC19" w14:textId="77777777">
      <w:pPr>
        <w:spacing w:before="120" w:after="120" w:line="240" w:lineRule="auto"/>
        <w:ind w:left="709" w:right="709"/>
        <w:jc w:val="both"/>
        <w:rPr>
          <w:rFonts w:ascii="Arial" w:hAnsi="Arial" w:eastAsia="Calibri" w:cs="Arial"/>
          <w:sz w:val="21"/>
          <w:szCs w:val="21"/>
        </w:rPr>
      </w:pPr>
      <w:r w:rsidRPr="003348F3">
        <w:rPr>
          <w:rFonts w:ascii="Arial" w:hAnsi="Arial" w:eastAsia="Calibri" w:cs="Arial"/>
          <w:sz w:val="21"/>
          <w:szCs w:val="21"/>
        </w:rPr>
        <w:t xml:space="preserve">Oferta 2 DEF S.A.S., por un valor de $1.000.000 tanto en la plataforma como en loa documentos. </w:t>
      </w:r>
    </w:p>
    <w:p w:rsidRPr="003348F3" w:rsidR="00EA591E" w:rsidP="00EA591E" w:rsidRDefault="00EA591E" w14:paraId="422730AF" w14:textId="77777777">
      <w:pPr>
        <w:spacing w:before="120" w:after="120" w:line="240" w:lineRule="auto"/>
        <w:ind w:left="709" w:right="709"/>
        <w:jc w:val="both"/>
        <w:rPr>
          <w:rFonts w:ascii="Arial" w:hAnsi="Arial" w:eastAsia="Calibri" w:cs="Arial"/>
          <w:sz w:val="21"/>
          <w:szCs w:val="21"/>
        </w:rPr>
      </w:pPr>
      <w:r w:rsidRPr="003348F3">
        <w:rPr>
          <w:rFonts w:ascii="Arial" w:hAnsi="Arial" w:eastAsia="Calibri" w:cs="Arial"/>
          <w:sz w:val="21"/>
          <w:szCs w:val="21"/>
        </w:rPr>
        <w:t>La consulta es: Sí existe una diferencia entre el valor ofrecido en la plataforma y el valor adjuntado en la oferta económica en los anexos de un mismo oferente, ¿cuál debe primar? ¿El valor de la plataforma? o ¿el valor del documento?” [</w:t>
      </w:r>
      <w:r w:rsidRPr="003348F3">
        <w:rPr>
          <w:rFonts w:ascii="Arial" w:hAnsi="Arial" w:eastAsia="Calibri" w:cs="Arial"/>
          <w:bCs/>
          <w:sz w:val="21"/>
          <w:szCs w:val="21"/>
          <w:lang w:val="es-MX"/>
        </w:rPr>
        <w:t>sic</w:t>
      </w:r>
      <w:r w:rsidRPr="003348F3">
        <w:rPr>
          <w:rFonts w:ascii="Arial" w:hAnsi="Arial" w:eastAsia="Calibri" w:cs="Arial"/>
          <w:sz w:val="21"/>
          <w:szCs w:val="21"/>
        </w:rPr>
        <w:t>]</w:t>
      </w:r>
    </w:p>
    <w:p w:rsidRPr="003348F3" w:rsidR="00EA591E" w:rsidP="00EA591E" w:rsidRDefault="00EA591E" w14:paraId="74838F19" w14:textId="77777777">
      <w:pPr>
        <w:spacing w:after="0" w:line="276" w:lineRule="auto"/>
        <w:contextualSpacing/>
        <w:jc w:val="both"/>
        <w:rPr>
          <w:rFonts w:ascii="Arial" w:hAnsi="Arial" w:eastAsia="Calibri" w:cs="Arial"/>
        </w:rPr>
      </w:pPr>
    </w:p>
    <w:bookmarkEnd w:id="5"/>
    <w:bookmarkEnd w:id="6"/>
    <w:bookmarkEnd w:id="7"/>
    <w:bookmarkEnd w:id="8"/>
    <w:p w:rsidRPr="003348F3" w:rsidR="00EA591E" w:rsidP="00EA591E" w:rsidRDefault="00EA591E" w14:paraId="7615B700" w14:textId="77777777">
      <w:pPr>
        <w:tabs>
          <w:tab w:val="left" w:pos="284"/>
        </w:tabs>
        <w:spacing w:after="0" w:line="276" w:lineRule="auto"/>
        <w:contextualSpacing/>
        <w:jc w:val="both"/>
        <w:rPr>
          <w:rFonts w:ascii="Arial" w:hAnsi="Arial" w:eastAsia="Calibri" w:cs="Arial"/>
          <w:b/>
        </w:rPr>
      </w:pPr>
      <w:r w:rsidRPr="003348F3">
        <w:rPr>
          <w:rFonts w:ascii="Arial" w:hAnsi="Arial" w:eastAsia="Calibri" w:cs="Arial"/>
          <w:b/>
        </w:rPr>
        <w:t>2. Consideraciones</w:t>
      </w:r>
    </w:p>
    <w:p w:rsidRPr="003348F3" w:rsidR="00EA591E" w:rsidP="00EA591E" w:rsidRDefault="00EA591E" w14:paraId="3A1A8432" w14:textId="77777777">
      <w:pPr>
        <w:tabs>
          <w:tab w:val="left" w:pos="284"/>
        </w:tabs>
        <w:spacing w:after="0" w:line="276" w:lineRule="auto"/>
        <w:contextualSpacing/>
        <w:jc w:val="both"/>
        <w:rPr>
          <w:rFonts w:ascii="Arial" w:hAnsi="Arial" w:eastAsia="Calibri" w:cs="Arial"/>
          <w:b/>
        </w:rPr>
      </w:pPr>
    </w:p>
    <w:p w:rsidRPr="003348F3" w:rsidR="00EA591E" w:rsidP="00EA591E" w:rsidRDefault="00EA591E" w14:paraId="264E3C1F" w14:textId="77777777">
      <w:pPr>
        <w:spacing w:after="120" w:line="276" w:lineRule="auto"/>
        <w:jc w:val="both"/>
        <w:rPr>
          <w:rFonts w:ascii="Arial" w:hAnsi="Arial" w:eastAsia="Calibri" w:cs="Arial"/>
          <w:lang w:val="es-ES"/>
        </w:rPr>
      </w:pPr>
      <w:r w:rsidRPr="003348F3">
        <w:rPr>
          <w:rFonts w:ascii="Arial" w:hAnsi="Arial" w:eastAsia="Calibri" w:cs="Arial"/>
          <w:bCs/>
          <w:lang w:val="es-MX"/>
        </w:rPr>
        <w:t>En ejercicio de las competencias establecidas en los artículos 3, numeral 5° y 11, numeral 8° del Decreto 4170 de 2011, la Agencia Nacional de Contratación Pública – Colombia Compra Eficiente resuelve consultas sobre los asuntos de su competencia, esto es, sobre las temáticas de la contratación estatal relacionados en los artículos citados.</w:t>
      </w:r>
      <w:r w:rsidRPr="003348F3">
        <w:rPr>
          <w:rFonts w:ascii="Arial" w:hAnsi="Arial" w:eastAsia="Calibri" w:cs="Arial"/>
          <w:lang w:val="es-ES"/>
        </w:rPr>
        <w:t xml:space="preserve"> </w:t>
      </w:r>
      <w:bookmarkStart w:name="_Hlk61701014" w:id="9"/>
      <w:bookmarkStart w:name="_Hlk62136649" w:id="10"/>
      <w:r w:rsidRPr="003348F3">
        <w:rPr>
          <w:rFonts w:ascii="Arial" w:hAnsi="Arial" w:eastAsia="Calibri" w:cs="Arial"/>
          <w:lang w:val="es-ES"/>
        </w:rPr>
        <w:t xml:space="preserve">Es necesario tener en cuenta que </w:t>
      </w:r>
      <w:bookmarkStart w:name="_Hlk61026958" w:id="11"/>
      <w:r w:rsidRPr="003348F3">
        <w:rPr>
          <w:rFonts w:ascii="Arial" w:hAnsi="Arial" w:eastAsia="Calibri"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3348F3">
        <w:rPr>
          <w:rFonts w:ascii="Arial" w:hAnsi="Arial" w:eastAsia="Calibri" w:cs="Arial"/>
          <w:bCs/>
          <w:lang w:val="es-MX"/>
        </w:rPr>
        <w:t xml:space="preserve"> de todos los partícipes de la contratación estatal.</w:t>
      </w:r>
    </w:p>
    <w:p w:rsidRPr="003348F3" w:rsidR="00EA591E" w:rsidP="00EA591E" w:rsidRDefault="00EA591E" w14:paraId="22652F74" w14:textId="77777777">
      <w:pPr>
        <w:spacing w:after="120" w:line="276" w:lineRule="auto"/>
        <w:ind w:firstLine="708"/>
        <w:jc w:val="both"/>
        <w:rPr>
          <w:rFonts w:ascii="Arial" w:hAnsi="Arial" w:eastAsia="Calibri" w:cs="Arial"/>
          <w:lang w:val="es-ES"/>
        </w:rPr>
      </w:pPr>
      <w:r w:rsidRPr="003348F3">
        <w:rPr>
          <w:rFonts w:ascii="Arial" w:hAnsi="Arial" w:eastAsia="Calibri"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348F3">
        <w:rPr>
          <w:rFonts w:ascii="Arial" w:hAnsi="Arial" w:eastAsia="Calibri" w:cs="Arial"/>
          <w:vertAlign w:val="superscript"/>
          <w:lang w:val="es-ES"/>
        </w:rPr>
        <w:footnoteReference w:id="1"/>
      </w:r>
      <w:r w:rsidRPr="003348F3">
        <w:rPr>
          <w:rFonts w:ascii="Arial" w:hAnsi="Arial" w:eastAsia="Calibri" w:cs="Arial"/>
          <w:lang w:val="es-ES"/>
        </w:rPr>
        <w:t>. Esta competencia de interpretación de normas generales, por definición, no puede extenderse a la resolución de controversias, ni a brindar asesorías sobre casos puntuales.</w:t>
      </w:r>
      <w:bookmarkEnd w:id="9"/>
      <w:bookmarkEnd w:id="11"/>
    </w:p>
    <w:bookmarkEnd w:id="10"/>
    <w:p w:rsidRPr="003348F3" w:rsidR="00EA591E" w:rsidP="00EA591E" w:rsidRDefault="00EA591E" w14:paraId="1EDA45D7" w14:textId="77777777">
      <w:pPr>
        <w:spacing w:before="120" w:after="120" w:line="276" w:lineRule="auto"/>
        <w:ind w:firstLine="709"/>
        <w:jc w:val="both"/>
        <w:rPr>
          <w:rFonts w:ascii="Arial" w:hAnsi="Arial" w:eastAsia="Calibri" w:cs="Arial"/>
          <w:lang w:val="es-ES_tradnl" w:eastAsia="es-MX"/>
        </w:rPr>
      </w:pPr>
      <w:r w:rsidRPr="003348F3">
        <w:rPr>
          <w:rFonts w:ascii="Arial" w:hAnsi="Arial" w:eastAsia="Calibri" w:cs="Arial"/>
          <w:lang w:val="es-MX"/>
        </w:rPr>
        <w:t xml:space="preserve">Sin perjuicio de lo anterior, </w:t>
      </w:r>
      <w:r w:rsidRPr="003348F3">
        <w:rPr>
          <w:rFonts w:ascii="Arial" w:hAnsi="Arial" w:eastAsia="Calibri" w:cs="Arial"/>
          <w:lang w:val="es-ES"/>
        </w:rPr>
        <w:t>la Subdirección de Gestión Contractual dentro de los límites de sus atribuciones, resolverá la consulta conforme a las normas generales en materia de contratación estatal</w:t>
      </w:r>
      <w:r w:rsidRPr="003348F3">
        <w:rPr>
          <w:rFonts w:ascii="Arial" w:hAnsi="Arial" w:eastAsia="Calibri" w:cs="Arial"/>
          <w:lang w:val="es-ES_tradnl" w:eastAsia="es-MX"/>
        </w:rPr>
        <w:t xml:space="preserve">. Con este objetivo, se analizarán los siguientes temas: i) generalidades de los procesos de contratación adelantados bajo la modalidad de selección de mínima cuantía y </w:t>
      </w:r>
      <w:proofErr w:type="spellStart"/>
      <w:r w:rsidRPr="003348F3">
        <w:rPr>
          <w:rFonts w:ascii="Arial" w:hAnsi="Arial" w:eastAsia="Calibri" w:cs="Arial"/>
          <w:lang w:val="es-ES_tradnl" w:eastAsia="es-MX"/>
        </w:rPr>
        <w:t>ii</w:t>
      </w:r>
      <w:proofErr w:type="spellEnd"/>
      <w:r w:rsidRPr="003348F3">
        <w:rPr>
          <w:rFonts w:ascii="Arial" w:hAnsi="Arial" w:eastAsia="Calibri" w:cs="Arial"/>
          <w:lang w:val="es-ES_tradnl" w:eastAsia="es-MX"/>
        </w:rPr>
        <w:t>) subsanación</w:t>
      </w:r>
      <w:r w:rsidRPr="00F31CFF">
        <w:rPr>
          <w:rFonts w:ascii="Arial" w:hAnsi="Arial" w:eastAsia="Calibri" w:cs="Arial"/>
          <w:lang w:val="es-ES_tradnl" w:eastAsia="es-MX"/>
        </w:rPr>
        <w:t xml:space="preserve">, aclaración y rechazo de las ofertas en los procesos de selección de mínima cuantía </w:t>
      </w:r>
    </w:p>
    <w:p w:rsidRPr="003348F3" w:rsidR="00EA591E" w:rsidP="00EA591E" w:rsidRDefault="00EA591E" w14:paraId="36B614A2" w14:textId="77777777">
      <w:pPr>
        <w:spacing w:before="120" w:after="0" w:line="276" w:lineRule="auto"/>
        <w:ind w:firstLine="709"/>
        <w:jc w:val="both"/>
        <w:rPr>
          <w:rFonts w:ascii="Segoe UI" w:hAnsi="Segoe UI" w:cs="Segoe UI"/>
        </w:rPr>
      </w:pPr>
      <w:r w:rsidRPr="003348F3">
        <w:rPr>
          <w:rFonts w:ascii="Arial" w:hAnsi="Arial" w:cs="Arial"/>
          <w:lang w:eastAsia="es-ES_tradnl"/>
        </w:rPr>
        <w:t xml:space="preserve">La Agencia Nacional de Contratación Pública -Colombia Compra Eficiente- se ha referido previamente a las generalidades y el procedimiento atinente a la modalidad de selección de mínima cuantía en los conceptos </w:t>
      </w:r>
      <w:r w:rsidRPr="003348F3">
        <w:rPr>
          <w:rFonts w:ascii="Arial" w:hAnsi="Arial" w:eastAsia="Calibri" w:cs="Arial"/>
          <w:bCs/>
          <w:lang w:val="es-ES_tradnl"/>
        </w:rPr>
        <w:t xml:space="preserve">2201913000006236 del 26 de agosto de 2019, C-107 del 24 de febrero de 2020, C-121 del 3 de marzo de 2020, C-122 del 25 de marzo de 2020, C-213 del 3 de junio de 2020, C-295 del 30 de abril de 2020, C-500 del 3 de agosto de 2020, C-734 del 16 de diciembre de 2020, C-562 del 25 de otubre de 2021, C-647 del 5 de octubre de 2022, C-123 del 12 de mayo de 2023 y C-061 del 29 de mayo del 2023. Igualmente, se ha pronunciado sobre </w:t>
      </w:r>
      <w:r w:rsidRPr="003348F3">
        <w:rPr>
          <w:rFonts w:ascii="Arial" w:hAnsi="Arial" w:cs="Arial"/>
          <w:bCs/>
        </w:rPr>
        <w:t xml:space="preserve">el alcance de la regla de la subsanabilidad en los conceptos CU - 060 de 16 de enero de 2020 y C-791 del 24 de noviembre del 2022, , C−372 de 30 de junio de 2020, C−410 de 26 de junio de 2020, C−481 de 27 julio de 2020, C−420 de 28 de julio de 2020, C-730 de 14 de diciembre de 2020, C–779 de 18 de enero de 2020, C-077 de 14 de enero de 2021, C-010 de 16 de febrero de 2021, C-250 del 2 de junio de 2021 </w:t>
      </w:r>
      <w:r w:rsidRPr="003348F3">
        <w:rPr>
          <w:rFonts w:ascii="Arial" w:hAnsi="Arial" w:cs="Arial"/>
        </w:rPr>
        <w:t>C-568 del 11 de octubre de 2021, C-728 del 25 de enero de 2022, C-140 del 28 de marzo de 2022, C-285 del 20 de mayo de 2022, C-416 del 30 de junio de 2022, C-431 del 7 de julio de 2022, C-470 del 25 de julio de 2022, C-505 de 8 de agosto de 2022, C-681 de 19 de octubre de 2022, C-181 del 07 de julio de 2023, entre otros.</w:t>
      </w:r>
      <w:r w:rsidRPr="003348F3">
        <w:rPr>
          <w:rFonts w:ascii="Arial" w:hAnsi="Arial" w:cs="Arial"/>
          <w:lang w:val="es-ES"/>
        </w:rPr>
        <w:t xml:space="preserve"> Algunas de las consideraciones de estos conceptos se reiteran y se complementan en lo pertinente, teniendo en cuenta lo consultado.</w:t>
      </w:r>
      <w:r w:rsidRPr="003348F3">
        <w:rPr>
          <w:rFonts w:ascii="Arial" w:hAnsi="Arial" w:cs="Arial"/>
        </w:rPr>
        <w:t> </w:t>
      </w:r>
    </w:p>
    <w:p w:rsidRPr="003348F3" w:rsidR="00EA591E" w:rsidP="00EA591E" w:rsidRDefault="00EA591E" w14:paraId="0242684B" w14:textId="77777777">
      <w:pPr>
        <w:spacing w:after="0" w:line="240" w:lineRule="auto"/>
        <w:ind w:firstLine="705"/>
        <w:jc w:val="both"/>
        <w:textAlignment w:val="baseline"/>
        <w:rPr>
          <w:rFonts w:ascii="Arial" w:hAnsi="Arial" w:eastAsia="Times New Roman" w:cs="Arial"/>
          <w:lang w:eastAsia="es-CO"/>
        </w:rPr>
      </w:pPr>
    </w:p>
    <w:p w:rsidRPr="003348F3" w:rsidR="00EA591E" w:rsidP="00EA591E" w:rsidRDefault="00EA591E" w14:paraId="48A7A5C4" w14:textId="77777777">
      <w:pPr>
        <w:spacing w:after="0" w:line="276" w:lineRule="auto"/>
        <w:jc w:val="both"/>
        <w:rPr>
          <w:rFonts w:ascii="Arial" w:hAnsi="Arial" w:eastAsia="Cambria" w:cs="Arial"/>
          <w:b/>
          <w:lang w:val="es-ES"/>
        </w:rPr>
      </w:pPr>
      <w:r w:rsidRPr="003348F3">
        <w:rPr>
          <w:rFonts w:ascii="Arial" w:hAnsi="Arial" w:eastAsia="Cambria" w:cs="Arial"/>
          <w:b/>
          <w:lang w:val="es-ES"/>
        </w:rPr>
        <w:t>2.1. Generalidades de los procesos de contratación adelantados bajo la modalidad de selección de mínima cuantía. Reiteración de línea</w:t>
      </w:r>
    </w:p>
    <w:p w:rsidRPr="003348F3" w:rsidR="00EA591E" w:rsidP="00EA591E" w:rsidRDefault="00EA591E" w14:paraId="628F2399" w14:textId="77777777">
      <w:pPr>
        <w:spacing w:after="0" w:line="276" w:lineRule="auto"/>
        <w:jc w:val="both"/>
        <w:rPr>
          <w:rFonts w:ascii="Arial" w:hAnsi="Arial" w:eastAsia="Cambria" w:cs="Arial"/>
          <w:b/>
          <w:lang w:val="es-ES"/>
        </w:rPr>
      </w:pPr>
    </w:p>
    <w:p w:rsidRPr="003348F3" w:rsidR="00EA591E" w:rsidP="00EA591E" w:rsidRDefault="00EA591E" w14:paraId="28559BCB" w14:textId="77777777">
      <w:pPr>
        <w:spacing w:after="0" w:line="276" w:lineRule="auto"/>
        <w:jc w:val="both"/>
        <w:rPr>
          <w:rFonts w:ascii="Arial" w:hAnsi="Arial" w:eastAsia="Cambria" w:cs="Arial"/>
          <w:bCs/>
          <w:lang w:val="es-ES"/>
        </w:rPr>
      </w:pPr>
      <w:r w:rsidRPr="003348F3">
        <w:rPr>
          <w:rFonts w:ascii="Arial" w:hAnsi="Arial" w:eastAsia="Cambria" w:cs="Arial"/>
          <w:bCs/>
          <w:lang w:val="es-ES"/>
        </w:rPr>
        <w:t>La mínima cuantía es una modalidad de selección en función de la cual la Entidad Estatal realiza una convocatoria con el fin de recibir bienes, obras o servicios cuyo valor no excede el diez por ciento (10%) de la menor cuantía. Esta tipología contractual tiene fundamento en el artículo 94 de la Ley 1474 de 2011 –que adicionó el numeral 5 al artículo 2 de la Ley 1150 de 2007</w:t>
      </w:r>
      <w:r w:rsidRPr="003348F3">
        <w:rPr>
          <w:rFonts w:ascii="Arial" w:hAnsi="Arial" w:eastAsia="Calibri" w:cs="Arial"/>
          <w:vertAlign w:val="superscript"/>
          <w:lang w:val="es-ES_tradnl"/>
        </w:rPr>
        <w:footnoteReference w:id="2"/>
      </w:r>
      <w:r w:rsidRPr="003348F3">
        <w:rPr>
          <w:rFonts w:ascii="Arial" w:hAnsi="Arial" w:eastAsia="Cambria" w:cs="Arial"/>
          <w:bCs/>
          <w:lang w:val="es-ES"/>
        </w:rPr>
        <w:t>–, estableciendo que el factor determinante para adelantar tal procedimiento es la cuantía, calculada como presupuesto oficial a partir del estudio del sector, indistintamente de su objeto</w:t>
      </w:r>
      <w:r w:rsidRPr="003348F3">
        <w:rPr>
          <w:rFonts w:ascii="Arial" w:hAnsi="Arial" w:eastAsia="Calibri" w:cs="Arial"/>
          <w:vertAlign w:val="superscript"/>
          <w:lang w:val="es-ES_tradnl"/>
        </w:rPr>
        <w:footnoteReference w:id="3"/>
      </w:r>
      <w:r w:rsidRPr="003348F3">
        <w:rPr>
          <w:rFonts w:ascii="Arial" w:hAnsi="Arial" w:eastAsia="Calibri" w:cs="Arial"/>
          <w:lang w:val="es-ES_tradnl"/>
        </w:rPr>
        <w:t>.</w:t>
      </w:r>
    </w:p>
    <w:p w:rsidRPr="003348F3" w:rsidR="00EA591E" w:rsidP="00EA591E" w:rsidRDefault="00EA591E" w14:paraId="77469435" w14:textId="77777777">
      <w:pPr>
        <w:spacing w:before="120" w:after="0" w:line="276" w:lineRule="auto"/>
        <w:jc w:val="both"/>
        <w:rPr>
          <w:rFonts w:ascii="Arial" w:hAnsi="Arial" w:eastAsia="Calibri" w:cs="Arial"/>
          <w:lang w:val="es-ES_tradnl"/>
        </w:rPr>
      </w:pPr>
      <w:r w:rsidRPr="003348F3">
        <w:rPr>
          <w:rFonts w:ascii="Arial" w:hAnsi="Arial" w:eastAsia="Cambria" w:cs="Arial"/>
          <w:bCs/>
          <w:szCs w:val="20"/>
          <w:lang w:val="es-ES"/>
        </w:rPr>
        <w:tab/>
      </w:r>
      <w:r w:rsidRPr="003348F3">
        <w:rPr>
          <w:rFonts w:ascii="Arial" w:hAnsi="Arial" w:eastAsia="Cambria" w:cs="Arial"/>
          <w:bCs/>
          <w:szCs w:val="20"/>
          <w:lang w:val="es-ES"/>
        </w:rPr>
        <w:t>En otras palabras, la mínima cuantía es un procedimiento de selección “especial”</w:t>
      </w:r>
      <w:r w:rsidRPr="003348F3">
        <w:rPr>
          <w:rFonts w:ascii="Arial" w:hAnsi="Arial" w:eastAsia="Calibri" w:cs="Arial"/>
          <w:vertAlign w:val="superscript"/>
          <w:lang w:val="es-ES_tradnl"/>
        </w:rPr>
        <w:t xml:space="preserve"> </w:t>
      </w:r>
      <w:r w:rsidRPr="003348F3">
        <w:rPr>
          <w:rFonts w:ascii="Arial" w:hAnsi="Arial" w:eastAsia="Calibri" w:cs="Arial"/>
          <w:vertAlign w:val="superscript"/>
          <w:lang w:val="es-ES_tradnl"/>
        </w:rPr>
        <w:footnoteReference w:id="4"/>
      </w:r>
      <w:r w:rsidRPr="003348F3">
        <w:rPr>
          <w:rFonts w:ascii="Arial" w:hAnsi="Arial" w:eastAsia="Calibri" w:cs="Arial"/>
          <w:lang w:val="es-ES_tradnl"/>
        </w:rPr>
        <w:t>, porque deriva en una excepción a la regla general constituida por la licitación pública. Ciertamente, si bien ambas modalidades implican un llamado general a presentar ofertas, por parte de la Entidad Estatal interesada en contratar, la mínima cuantía es distinta a la licitación, cuando menos, en relación con su conducencia y su procedimiento: lo primero, debido a que solo procede por razón de una cuantía específica</w:t>
      </w:r>
      <w:r w:rsidRPr="003348F3">
        <w:rPr>
          <w:rFonts w:ascii="Arial" w:hAnsi="Arial" w:eastAsia="Calibri" w:cs="Arial"/>
          <w:vertAlign w:val="superscript"/>
          <w:lang w:val="es-ES_tradnl"/>
        </w:rPr>
        <w:footnoteReference w:id="5"/>
      </w:r>
      <w:r w:rsidRPr="003348F3">
        <w:rPr>
          <w:rFonts w:ascii="Arial" w:hAnsi="Arial" w:eastAsia="Calibri" w:cs="Arial"/>
          <w:lang w:val="es-ES_tradnl"/>
        </w:rPr>
        <w:t xml:space="preserve"> y lo segundo, porque sus requisitos, etapas y términos son especiales.</w:t>
      </w:r>
    </w:p>
    <w:p w:rsidRPr="003348F3" w:rsidR="00EA591E" w:rsidP="00EA591E" w:rsidRDefault="00EA591E" w14:paraId="69B0B0CF"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 xml:space="preserve">De otra parte, es importante señalar que con la expedición de la Ley 2069 de 2020 –conocida como la Ley de Emprendimiento–, se modificó mediante el artículo 30, el numeral 5 del artículo 2 de la Ley 1150 de 2007 que regula la mínima cuantía. Esta norma estableció aspectos de procedimiento como: i) el término mínimo para publicar la invitación; </w:t>
      </w:r>
      <w:proofErr w:type="spellStart"/>
      <w:r w:rsidRPr="003348F3">
        <w:rPr>
          <w:rFonts w:ascii="Arial" w:hAnsi="Arial" w:eastAsia="Calibri" w:cs="Arial"/>
          <w:lang w:val="es-ES_tradnl"/>
        </w:rPr>
        <w:t>ii</w:t>
      </w:r>
      <w:proofErr w:type="spellEnd"/>
      <w:r w:rsidRPr="003348F3">
        <w:rPr>
          <w:rFonts w:ascii="Arial" w:hAnsi="Arial" w:eastAsia="Calibri" w:cs="Arial"/>
          <w:lang w:val="es-ES_tradnl"/>
        </w:rPr>
        <w:t xml:space="preserve">) el plazo mínimo de recepción de las ofertas; </w:t>
      </w:r>
      <w:proofErr w:type="spellStart"/>
      <w:r w:rsidRPr="003348F3">
        <w:rPr>
          <w:rFonts w:ascii="Arial" w:hAnsi="Arial" w:eastAsia="Calibri" w:cs="Arial"/>
          <w:lang w:val="es-ES_tradnl"/>
        </w:rPr>
        <w:t>iii</w:t>
      </w:r>
      <w:proofErr w:type="spellEnd"/>
      <w:r w:rsidRPr="003348F3">
        <w:rPr>
          <w:rFonts w:ascii="Arial" w:hAnsi="Arial" w:eastAsia="Calibri" w:cs="Arial"/>
          <w:lang w:val="es-ES_tradnl"/>
        </w:rPr>
        <w:t xml:space="preserve">) el factor de evaluación que define la selección del proponente; y </w:t>
      </w:r>
      <w:proofErr w:type="spellStart"/>
      <w:r w:rsidRPr="003348F3">
        <w:rPr>
          <w:rFonts w:ascii="Arial" w:hAnsi="Arial" w:eastAsia="Calibri" w:cs="Arial"/>
          <w:lang w:val="es-ES_tradnl"/>
        </w:rPr>
        <w:t>iv</w:t>
      </w:r>
      <w:proofErr w:type="spellEnd"/>
      <w:r w:rsidRPr="003348F3">
        <w:rPr>
          <w:rFonts w:ascii="Arial" w:hAnsi="Arial" w:eastAsia="Calibri" w:cs="Arial"/>
          <w:lang w:val="es-ES_tradnl"/>
        </w:rPr>
        <w:t>) el perfeccionamiento del contrato.</w:t>
      </w:r>
    </w:p>
    <w:p w:rsidRPr="003348F3" w:rsidR="00EA591E" w:rsidP="00EA591E" w:rsidRDefault="00EA591E" w14:paraId="3A7BE345" w14:textId="77777777">
      <w:pPr>
        <w:tabs>
          <w:tab w:val="left" w:pos="709"/>
        </w:tabs>
        <w:spacing w:before="120" w:after="12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 xml:space="preserve">Adicionalmente, el Decreto 1860 de 2021, </w:t>
      </w:r>
      <w:r w:rsidRPr="003348F3">
        <w:rPr>
          <w:rFonts w:ascii="Arial" w:hAnsi="Arial" w:eastAsia="Calibri" w:cs="Arial"/>
          <w:bCs/>
          <w:lang w:val="es-ES_tradnl"/>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incluyó dentro de su reglamentación, el procedimiento de mínima cuantía. De esta manera, el artículo 2 modifica la Subsección 5 de la Sección 1 del Capítulo 2 del Título 1 de la Parte 2 del Libro 2 del Decreto 1082 de 2015, que se titula mínima cuantía, reglamentando así, esta modalidad de selección con fundamento en lo establecido en el artículo 30 de la Ley 2069 de 2020.</w:t>
      </w:r>
    </w:p>
    <w:p w:rsidRPr="003348F3" w:rsidR="00EA591E" w:rsidP="00EA591E" w:rsidRDefault="00EA591E" w14:paraId="3DCAA163" w14:textId="77777777">
      <w:pPr>
        <w:tabs>
          <w:tab w:val="left" w:pos="709"/>
        </w:tabs>
        <w:spacing w:after="120" w:line="276" w:lineRule="auto"/>
        <w:ind w:firstLine="709"/>
        <w:jc w:val="both"/>
        <w:rPr>
          <w:rFonts w:ascii="Arial" w:hAnsi="Arial" w:eastAsia="Calibri" w:cs="Arial"/>
          <w:bCs/>
          <w:lang w:val="es-ES_tradnl"/>
        </w:rPr>
      </w:pPr>
      <w:r w:rsidRPr="003348F3">
        <w:rPr>
          <w:rFonts w:ascii="Arial" w:hAnsi="Arial" w:eastAsia="Calibri" w:cs="Arial"/>
          <w:lang w:val="es-ES_tradnl"/>
        </w:rPr>
        <w:t>En virtud de lo anterior, la nueva Subsección 5 a la que se hizo referencia, contiene los siguientes artículos: i)</w:t>
      </w:r>
      <w:r w:rsidRPr="003348F3">
        <w:rPr>
          <w:rFonts w:ascii="Arial" w:hAnsi="Arial" w:eastAsia="Calibri" w:cs="Arial"/>
          <w:bCs/>
          <w:lang w:val="es-ES_tradnl"/>
        </w:rPr>
        <w:t xml:space="preserve"> 2.2.1.2.1.5.1 que se ocupa de desarrollar el contenido de los estudios previos para la contratación de mínima cuantía; </w:t>
      </w:r>
      <w:proofErr w:type="spellStart"/>
      <w:r w:rsidRPr="003348F3">
        <w:rPr>
          <w:rFonts w:ascii="Arial" w:hAnsi="Arial" w:eastAsia="Calibri" w:cs="Arial"/>
          <w:bCs/>
          <w:lang w:val="es-ES_tradnl"/>
        </w:rPr>
        <w:t>ii</w:t>
      </w:r>
      <w:proofErr w:type="spellEnd"/>
      <w:r w:rsidRPr="003348F3">
        <w:rPr>
          <w:rFonts w:ascii="Arial" w:hAnsi="Arial" w:eastAsia="Calibri" w:cs="Arial"/>
          <w:bCs/>
          <w:lang w:val="es-ES_tradnl"/>
        </w:rPr>
        <w:t>) 2.1.2.1.5.2 que contiene el procedimiento general de la mínima cuantía, señalando el contenido mínimo de la “invitación” y las distintas etapas y reglas que estructuran esta modalidad de selección, incluyendo, por supuesto, la forma en que procederán las convocatorias limitadas a Mipymes, de acuerdo con el mandato del parágrafo 1º del artículo 30 de la Ley 2069 de 2020</w:t>
      </w:r>
      <w:r w:rsidRPr="003348F3">
        <w:rPr>
          <w:rFonts w:ascii="Arial" w:hAnsi="Arial" w:eastAsia="Calibri" w:cs="Arial"/>
          <w:bCs/>
          <w:vertAlign w:val="superscript"/>
          <w:lang w:val="es-ES_tradnl"/>
        </w:rPr>
        <w:footnoteReference w:id="6"/>
      </w:r>
      <w:r w:rsidRPr="003348F3">
        <w:rPr>
          <w:rFonts w:ascii="Arial" w:hAnsi="Arial" w:eastAsia="Calibri" w:cs="Arial"/>
          <w:bCs/>
          <w:lang w:val="es-ES_tradnl"/>
        </w:rPr>
        <w:t xml:space="preserve">; </w:t>
      </w:r>
      <w:proofErr w:type="spellStart"/>
      <w:r w:rsidRPr="003348F3">
        <w:rPr>
          <w:rFonts w:ascii="Arial" w:hAnsi="Arial" w:eastAsia="Calibri" w:cs="Arial"/>
          <w:bCs/>
          <w:lang w:val="es-ES_tradnl"/>
        </w:rPr>
        <w:t>iii</w:t>
      </w:r>
      <w:proofErr w:type="spellEnd"/>
      <w:r w:rsidRPr="003348F3">
        <w:rPr>
          <w:rFonts w:ascii="Arial" w:hAnsi="Arial" w:eastAsia="Calibri" w:cs="Arial"/>
          <w:bCs/>
          <w:lang w:val="es-ES_tradnl"/>
        </w:rPr>
        <w:t xml:space="preserve">) 2.2.1.2.1.5.3 que regula un procedimiento especial para las adquisiciones en grandes almacenes cuando se trate de mínima cuantía; </w:t>
      </w:r>
      <w:proofErr w:type="spellStart"/>
      <w:r w:rsidRPr="003348F3">
        <w:rPr>
          <w:rFonts w:ascii="Arial" w:hAnsi="Arial" w:eastAsia="Calibri" w:cs="Arial"/>
          <w:bCs/>
          <w:lang w:val="es-ES_tradnl"/>
        </w:rPr>
        <w:t>iv</w:t>
      </w:r>
      <w:proofErr w:type="spellEnd"/>
      <w:r w:rsidRPr="003348F3">
        <w:rPr>
          <w:rFonts w:ascii="Arial" w:hAnsi="Arial" w:eastAsia="Calibri" w:cs="Arial"/>
          <w:bCs/>
          <w:lang w:val="es-ES_tradnl"/>
        </w:rPr>
        <w:t>) 2.2.1.2.1.5.4. que establece la posibilidad de que la Agencia Nacional de Contratación Pública – Colombia Compra Eficiente conciba y establezca las reglas para la utilización de instrumentos de agregación de demanda en la Tienda Virtual del Estado Colombiano para adquisiciones hasta el monto de la mínima cuantía con Mipymes y con grandes almacenes; y v) 2.2.1.2.1.5.5. que determina que la entidad estatal es libre de exigir o no garantías en el proceso de selección de mínima cuantía y en la adquisición de “grandes almacenes”.</w:t>
      </w:r>
    </w:p>
    <w:p w:rsidRPr="003348F3" w:rsidR="00EA591E" w:rsidP="00EA591E" w:rsidRDefault="00EA591E" w14:paraId="219E2C35" w14:textId="77777777">
      <w:pPr>
        <w:tabs>
          <w:tab w:val="left" w:pos="709"/>
        </w:tabs>
        <w:spacing w:after="120" w:line="276" w:lineRule="auto"/>
        <w:ind w:firstLine="709"/>
        <w:jc w:val="both"/>
        <w:rPr>
          <w:rFonts w:ascii="Arial" w:hAnsi="Arial" w:eastAsia="Calibri" w:cs="Arial"/>
          <w:lang w:val="es-ES_tradnl"/>
        </w:rPr>
      </w:pPr>
      <w:r w:rsidRPr="003348F3">
        <w:rPr>
          <w:rFonts w:ascii="Arial" w:hAnsi="Arial" w:eastAsia="Calibri" w:cs="Arial"/>
          <w:lang w:val="es-ES_tradnl"/>
        </w:rPr>
        <w:t>En ese contexto, el artículo 2 del Decreto 1860 de 2021, que modifica los artículos del Decreto 1082 de 2015 expuestos anteriormente, no sólo constituye la reglamentación del artículo 30 de la Ley 2069 de 2020, al desarrollar las reglas aplicables a esta modalidad de selección, sino, en términos generales, la nueva regulación de la modalidad de selección de mínima cuantía. Sin embargo, el artículo 8 del Decreto 1860 de 2021 estableció un término para la entrada en vigencia de sus disposiciones, al señalar específicamente que “aplicarán a los procedimientos de selección cuya invitación, aviso de convocatoria o documento equivalente se publique a los tres (3) meses contados a partir de su expedición”</w:t>
      </w:r>
      <w:r w:rsidRPr="003348F3">
        <w:rPr>
          <w:rFonts w:ascii="Arial" w:hAnsi="Arial" w:eastAsia="Calibri" w:cs="Arial"/>
          <w:vertAlign w:val="superscript"/>
          <w:lang w:val="es-ES_tradnl"/>
        </w:rPr>
        <w:t xml:space="preserve"> </w:t>
      </w:r>
      <w:r w:rsidRPr="003348F3">
        <w:rPr>
          <w:rFonts w:ascii="Arial" w:hAnsi="Arial" w:eastAsia="Calibri" w:cs="Arial"/>
          <w:vertAlign w:val="superscript"/>
          <w:lang w:val="es-ES_tradnl"/>
        </w:rPr>
        <w:footnoteReference w:id="7"/>
      </w:r>
      <w:r w:rsidRPr="003348F3">
        <w:rPr>
          <w:rFonts w:ascii="Arial" w:hAnsi="Arial" w:eastAsia="Calibri" w:cs="Arial"/>
          <w:lang w:val="es-ES_tradnl"/>
        </w:rPr>
        <w:t>. Lo anterior significa que para las invitaciones que se publiquen a partir del 24 de marzo de 2022, la regulación aplicable a la modalidad de mínima cuantía será la establecida en el artículo 30 de la Ley 2069 de 2020 y el artículo 2 del Decreto 1860 de 2021 que, a su vez, modificó los artículos 2.2.1.2.1.5.1. a 2.2.1.2.1.5.5. del Decreto 1082 de 2015.</w:t>
      </w:r>
    </w:p>
    <w:p w:rsidRPr="003348F3" w:rsidR="00EA591E" w:rsidP="00EA591E" w:rsidRDefault="00EA591E" w14:paraId="4C12AD8B"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 xml:space="preserve">Con fundamento en las modificaciones normativas previamente señaladas, resulta importante aclarar los requisitos relacionados con el procedimiento de esta modalidad de selección, como se muestra a continuación: </w:t>
      </w:r>
    </w:p>
    <w:p w:rsidRPr="003348F3" w:rsidR="00EA591E" w:rsidP="00EA591E" w:rsidRDefault="00EA591E" w14:paraId="0398817F"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i) La Entidad Estatal debe efectuar los estudios previos en los que señale cuál es la necesidad que pretende satisfacer, el objeto del contrato, sus condiciones técnicas, el valor estimado, el plazo de ejecución y el certificado de disponibilidad presupuestal.</w:t>
      </w:r>
    </w:p>
    <w:p w:rsidRPr="003348F3" w:rsidR="00EA591E" w:rsidP="00EA591E" w:rsidRDefault="00EA591E" w14:paraId="0CAC8A01"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proofErr w:type="spellStart"/>
      <w:r w:rsidRPr="003348F3">
        <w:rPr>
          <w:rFonts w:ascii="Arial" w:hAnsi="Arial" w:eastAsia="Calibri" w:cs="Arial"/>
          <w:lang w:val="es-ES_tradnl"/>
        </w:rPr>
        <w:t>ii</w:t>
      </w:r>
      <w:proofErr w:type="spellEnd"/>
      <w:r w:rsidRPr="003348F3">
        <w:rPr>
          <w:rFonts w:ascii="Arial" w:hAnsi="Arial" w:eastAsia="Calibri" w:cs="Arial"/>
          <w:lang w:val="es-ES_tradnl"/>
        </w:rPr>
        <w:t>) Luego de los trámites previos, la entidad debe publicar en el SECOP una invitación indicando además del objeto, las condiciones técnicas, el valor estimado del contrato y las razones que justifican el cálculo de la cuantía. Igualmente, puede exigir o no una capacidad financiera mínima. Al respecto,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Pr="003348F3">
        <w:rPr>
          <w:rFonts w:ascii="Arial" w:hAnsi="Arial" w:eastAsia="Calibri" w:cs="Arial"/>
          <w:vertAlign w:val="superscript"/>
          <w:lang w:val="es-ES_tradnl"/>
        </w:rPr>
        <w:footnoteReference w:id="8"/>
      </w:r>
      <w:r w:rsidRPr="003348F3">
        <w:rPr>
          <w:rFonts w:ascii="Arial" w:hAnsi="Arial" w:eastAsia="Calibri" w:cs="Arial"/>
          <w:lang w:val="es-ES_tradnl"/>
        </w:rPr>
        <w:t>.</w:t>
      </w:r>
    </w:p>
    <w:p w:rsidRPr="003348F3" w:rsidR="00EA591E" w:rsidP="00EA591E" w:rsidRDefault="00EA591E" w14:paraId="523709ED"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proofErr w:type="spellStart"/>
      <w:r w:rsidRPr="003348F3">
        <w:rPr>
          <w:rFonts w:ascii="Arial" w:hAnsi="Arial" w:eastAsia="Calibri" w:cs="Arial"/>
          <w:lang w:val="es-ES_tradnl"/>
        </w:rPr>
        <w:t>iii</w:t>
      </w:r>
      <w:proofErr w:type="spellEnd"/>
      <w:r w:rsidRPr="003348F3">
        <w:rPr>
          <w:rFonts w:ascii="Arial" w:hAnsi="Arial" w:eastAsia="Calibri" w:cs="Arial"/>
          <w:lang w:val="es-ES_tradnl"/>
        </w:rPr>
        <w:t>) La invitación se debe hacer por un término no inferior a un (1) día hábil.</w:t>
      </w:r>
    </w:p>
    <w:p w:rsidRPr="003348F3" w:rsidR="00EA591E" w:rsidP="00EA591E" w:rsidRDefault="00EA591E" w14:paraId="2484A077"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proofErr w:type="spellStart"/>
      <w:r w:rsidRPr="003348F3">
        <w:rPr>
          <w:rFonts w:ascii="Arial" w:hAnsi="Arial" w:eastAsia="Calibri" w:cs="Arial"/>
          <w:lang w:val="es-ES_tradnl"/>
        </w:rPr>
        <w:t>iv</w:t>
      </w:r>
      <w:proofErr w:type="spellEnd"/>
      <w:r w:rsidRPr="003348F3">
        <w:rPr>
          <w:rFonts w:ascii="Arial" w:hAnsi="Arial" w:eastAsia="Calibri" w:cs="Arial"/>
          <w:lang w:val="es-ES_tradnl"/>
        </w:rPr>
        <w:t>) Las observaciones que presenten los interesados a la invitación deben responderse a más tardar antes del vencimiento del término para presentar las ofertas.</w:t>
      </w:r>
    </w:p>
    <w:p w:rsidRPr="003348F3" w:rsidR="00EA591E" w:rsidP="00EA591E" w:rsidRDefault="00EA591E" w14:paraId="0F0CC721"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v) Presentadas las propuestas, la Entidad Estatal debe revisar las ofertas económicas y verificar que la de menor precio cumpla los requisitos de participación. Si no los satisface, debe revisar la oferta económica inmediatamente inferior y así sucesivamente. Esto significa que en la mínima cuantía el precio es el único factor de calificación</w:t>
      </w:r>
      <w:r w:rsidRPr="003348F3">
        <w:rPr>
          <w:rFonts w:ascii="Arial" w:hAnsi="Arial" w:eastAsia="Calibri" w:cs="Arial"/>
          <w:vertAlign w:val="superscript"/>
          <w:lang w:val="es-ES_tradnl"/>
        </w:rPr>
        <w:footnoteReference w:id="9"/>
      </w:r>
      <w:r w:rsidRPr="003348F3">
        <w:rPr>
          <w:rFonts w:ascii="Arial" w:hAnsi="Arial" w:eastAsia="Calibri" w:cs="Arial"/>
          <w:lang w:val="es-ES_tradnl"/>
        </w:rPr>
        <w:t>.</w:t>
      </w:r>
    </w:p>
    <w:p w:rsidRPr="003348F3" w:rsidR="00EA591E" w:rsidP="00EA591E" w:rsidRDefault="00EA591E" w14:paraId="784004EB"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vi) El informe de evaluación se debe publicar por lo menos un (1) día hábil.</w:t>
      </w:r>
    </w:p>
    <w:p w:rsidRPr="003348F3" w:rsidR="00EA591E" w:rsidP="00EA591E" w:rsidRDefault="00EA591E" w14:paraId="4B099399"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proofErr w:type="spellStart"/>
      <w:r w:rsidRPr="003348F3">
        <w:rPr>
          <w:rFonts w:ascii="Arial" w:hAnsi="Arial" w:eastAsia="Calibri" w:cs="Arial"/>
          <w:lang w:val="es-ES_tradnl"/>
        </w:rPr>
        <w:t>vii</w:t>
      </w:r>
      <w:proofErr w:type="spellEnd"/>
      <w:r w:rsidRPr="003348F3">
        <w:rPr>
          <w:rFonts w:ascii="Arial" w:hAnsi="Arial" w:eastAsia="Calibri" w:cs="Arial"/>
          <w:lang w:val="es-ES_tradnl"/>
        </w:rPr>
        <w:t>) El contrato se perfecciona con la comunicación de aceptación de la oferta que envía la Entidad Estatal al proponente que presentó la oferta económica de menor precio, no requiriéndose, entonces, la suscripción de una minuta, En la comunicación de aceptación de la oferta la Entidad Estatal le debe informar al proponente ganador quién será el supervisor del contrato.</w:t>
      </w:r>
    </w:p>
    <w:p w:rsidRPr="003348F3" w:rsidR="00EA591E" w:rsidP="00EA591E" w:rsidRDefault="00EA591E" w14:paraId="49702188"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proofErr w:type="spellStart"/>
      <w:r w:rsidRPr="003348F3">
        <w:rPr>
          <w:rFonts w:ascii="Arial" w:hAnsi="Arial" w:eastAsia="Calibri" w:cs="Arial"/>
          <w:lang w:val="es-ES_tradnl"/>
        </w:rPr>
        <w:t>viii</w:t>
      </w:r>
      <w:proofErr w:type="spellEnd"/>
      <w:r w:rsidRPr="003348F3">
        <w:rPr>
          <w:rFonts w:ascii="Arial" w:hAnsi="Arial" w:eastAsia="Calibri" w:cs="Arial"/>
          <w:lang w:val="es-ES_tradnl"/>
        </w:rPr>
        <w:t>) De existir empate debe preferirse la oferta que se presentó primero en el tiempo.</w:t>
      </w:r>
    </w:p>
    <w:p w:rsidRPr="003348F3" w:rsidR="00EA591E" w:rsidP="00EA591E" w:rsidRDefault="00EA591E" w14:paraId="6DC34D26"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 xml:space="preserve">Sintetizados los anteriores requisitos, puede concluirse, con base en lo dispuesto en el numeral 9 del artículo </w:t>
      </w:r>
      <w:r w:rsidRPr="003348F3">
        <w:rPr>
          <w:rFonts w:ascii="Arial" w:hAnsi="Arial" w:eastAsia="Calibri" w:cs="Arial"/>
          <w:bCs/>
          <w:lang w:val="es-ES_tradnl"/>
        </w:rPr>
        <w:t>2.2.1.2.1.5.2. del Decreto 1860 de 2021 sobre el procedimiento para la contratación de mínima cuantía, que tanto la oferta como su aceptación constituyen el contrato estatal en esta modalidad de selección. Dicho de otro modo, la comunicación de la aceptación de la oferta por parte de la Entidad Estatal al proponente perfecciona los requisitos de existencia de este tipo negocial.</w:t>
      </w:r>
    </w:p>
    <w:p w:rsidRPr="003348F3" w:rsidR="00EA591E" w:rsidP="00EA591E" w:rsidRDefault="00EA591E" w14:paraId="78739679" w14:textId="77777777">
      <w:pPr>
        <w:spacing w:after="0" w:line="276" w:lineRule="auto"/>
        <w:jc w:val="both"/>
        <w:rPr>
          <w:rFonts w:ascii="Arial" w:hAnsi="Arial" w:eastAsia="Calibri" w:cs="Arial"/>
          <w:lang w:val="es-ES_tradnl"/>
        </w:rPr>
      </w:pPr>
    </w:p>
    <w:p w:rsidRPr="003348F3" w:rsidR="00EA591E" w:rsidP="00EA591E" w:rsidRDefault="00EA591E" w14:paraId="0560A0EA" w14:textId="77777777">
      <w:pPr>
        <w:spacing w:after="0" w:line="276" w:lineRule="auto"/>
        <w:jc w:val="both"/>
        <w:rPr>
          <w:rFonts w:ascii="Arial" w:hAnsi="Arial" w:eastAsia="Calibri" w:cs="Arial"/>
          <w:b/>
          <w:bCs/>
          <w:lang w:val="es-ES_tradnl"/>
        </w:rPr>
      </w:pPr>
      <w:r w:rsidRPr="003348F3">
        <w:rPr>
          <w:rFonts w:ascii="Arial" w:hAnsi="Arial" w:eastAsia="Calibri" w:cs="Arial"/>
          <w:b/>
          <w:bCs/>
          <w:lang w:val="es-ES_tradnl"/>
        </w:rPr>
        <w:t>2.2. Subsanación</w:t>
      </w:r>
      <w:r>
        <w:rPr>
          <w:rFonts w:ascii="Arial" w:hAnsi="Arial" w:eastAsia="Calibri" w:cs="Arial"/>
          <w:b/>
          <w:bCs/>
          <w:lang w:val="es-ES_tradnl"/>
        </w:rPr>
        <w:t xml:space="preserve">, </w:t>
      </w:r>
      <w:r w:rsidRPr="003348F3">
        <w:rPr>
          <w:rFonts w:ascii="Arial" w:hAnsi="Arial" w:eastAsia="Calibri" w:cs="Arial"/>
          <w:b/>
          <w:bCs/>
          <w:lang w:val="es-ES_tradnl"/>
        </w:rPr>
        <w:t xml:space="preserve">aclaración </w:t>
      </w:r>
      <w:r>
        <w:rPr>
          <w:rFonts w:ascii="Arial" w:hAnsi="Arial" w:eastAsia="Calibri" w:cs="Arial"/>
          <w:b/>
          <w:bCs/>
          <w:lang w:val="es-ES_tradnl"/>
        </w:rPr>
        <w:t>y rechazo</w:t>
      </w:r>
      <w:r w:rsidRPr="003348F3">
        <w:rPr>
          <w:rFonts w:ascii="Arial" w:hAnsi="Arial" w:eastAsia="Calibri" w:cs="Arial"/>
          <w:b/>
          <w:bCs/>
          <w:lang w:val="es-ES_tradnl"/>
        </w:rPr>
        <w:t xml:space="preserve"> de las ofertas en los procesos de selección de mínima cuantía </w:t>
      </w:r>
    </w:p>
    <w:p w:rsidRPr="003348F3" w:rsidR="00EA591E" w:rsidP="00EA591E" w:rsidRDefault="00EA591E" w14:paraId="6709D559" w14:textId="77777777">
      <w:pPr>
        <w:spacing w:after="0" w:line="276" w:lineRule="auto"/>
        <w:jc w:val="both"/>
        <w:rPr>
          <w:rFonts w:ascii="Arial" w:hAnsi="Arial" w:eastAsia="Calibri" w:cs="Arial"/>
          <w:b/>
          <w:bCs/>
          <w:lang w:val="es-ES_tradnl"/>
        </w:rPr>
      </w:pPr>
    </w:p>
    <w:p w:rsidRPr="005317AF" w:rsidR="00EA591E" w:rsidP="00EA591E" w:rsidRDefault="00EA591E" w14:paraId="7F4A94D7" w14:textId="77777777">
      <w:pPr>
        <w:tabs>
          <w:tab w:val="left" w:pos="567"/>
        </w:tabs>
        <w:spacing w:after="120" w:line="276" w:lineRule="auto"/>
        <w:jc w:val="both"/>
        <w:rPr>
          <w:rFonts w:ascii="Arial" w:hAnsi="Arial" w:eastAsia="Calibri" w:cs="Arial"/>
        </w:rPr>
      </w:pPr>
      <w:r w:rsidRPr="003348F3">
        <w:rPr>
          <w:rFonts w:ascii="Arial" w:hAnsi="Arial" w:eastAsia="Calibri" w:cs="Arial"/>
        </w:rPr>
        <w:t>La regla de subsanabilidad es un mecanismo previsto en los Procesos de Contratación que se regulan por el Estatuto General de Contratación de la Administración Pública, en adelante EGCAP.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r w:rsidRPr="00C531FB">
        <w:rPr>
          <w:rFonts w:ascii="Arial" w:hAnsi="Arial" w:eastAsia="Calibri" w:cs="Arial"/>
        </w:rPr>
        <w:t xml:space="preserve"> </w:t>
      </w:r>
      <w:r w:rsidRPr="005317AF">
        <w:rPr>
          <w:rFonts w:ascii="Arial" w:hAnsi="Arial" w:eastAsia="Calibri" w:cs="Arial"/>
        </w:rPr>
        <w:t>“[…]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la misma, priven a la administración de considerar una oferta por causa de tales falencias</w:t>
      </w:r>
      <w:r>
        <w:rPr>
          <w:rFonts w:ascii="Arial" w:hAnsi="Arial" w:eastAsia="Calibri" w:cs="Arial"/>
        </w:rPr>
        <w:t>”</w:t>
      </w:r>
      <w:r w:rsidRPr="005317AF">
        <w:rPr>
          <w:rFonts w:ascii="Arial" w:hAnsi="Arial" w:eastAsia="Calibri" w:cs="Arial"/>
          <w:vertAlign w:val="superscript"/>
        </w:rPr>
        <w:footnoteReference w:id="10"/>
      </w:r>
      <w:r w:rsidRPr="005317AF">
        <w:rPr>
          <w:rFonts w:ascii="Arial" w:hAnsi="Arial" w:eastAsia="Calibri" w:cs="Arial"/>
        </w:rPr>
        <w:t xml:space="preserve">. </w:t>
      </w:r>
    </w:p>
    <w:p w:rsidRPr="003348F3" w:rsidR="00EA591E" w:rsidP="00EA591E" w:rsidRDefault="00EA591E" w14:paraId="6B3CF051" w14:textId="77777777">
      <w:pPr>
        <w:widowControl w:val="0"/>
        <w:autoSpaceDE w:val="0"/>
        <w:autoSpaceDN w:val="0"/>
        <w:spacing w:after="0" w:line="276" w:lineRule="auto"/>
        <w:ind w:firstLine="609"/>
        <w:jc w:val="both"/>
        <w:rPr>
          <w:rFonts w:ascii="Arial" w:hAnsi="Arial" w:eastAsia="Calibri" w:cs="Arial"/>
        </w:rPr>
      </w:pPr>
      <w:r w:rsidRPr="003348F3">
        <w:rPr>
          <w:rFonts w:ascii="Arial" w:hAnsi="Arial" w:eastAsia="Calibri" w:cs="Arial"/>
        </w:rPr>
        <w:t>Esta Subdirección se ha pronunciado en diversas oportunidades acerca del alcance de la regla de la subsanabilidad, contenida actualmente en el parágrafo 1 del artículo 5 de la Ley 1150 de 2007, modificado por el artículo 5 de la Ley 1882 de 2018</w:t>
      </w:r>
      <w:r w:rsidRPr="003348F3">
        <w:rPr>
          <w:rFonts w:ascii="Arial" w:hAnsi="Arial" w:eastAsia="Calibri" w:cs="Arial"/>
          <w:vertAlign w:val="superscript"/>
        </w:rPr>
        <w:footnoteReference w:id="11"/>
      </w:r>
      <w:r w:rsidRPr="003348F3">
        <w:rPr>
          <w:rFonts w:ascii="Arial" w:hAnsi="Arial" w:eastAsia="Calibri" w:cs="Arial"/>
        </w:rPr>
        <w:t>.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p>
    <w:p w:rsidRPr="003348F3" w:rsidR="00EA591E" w:rsidP="00EA591E" w:rsidRDefault="00EA591E" w14:paraId="1BDC4924" w14:textId="77777777">
      <w:pPr>
        <w:widowControl w:val="0"/>
        <w:tabs>
          <w:tab w:val="left" w:pos="284"/>
        </w:tabs>
        <w:autoSpaceDE w:val="0"/>
        <w:autoSpaceDN w:val="0"/>
        <w:spacing w:before="120" w:after="0" w:line="276" w:lineRule="auto"/>
        <w:ind w:firstLine="709"/>
        <w:jc w:val="both"/>
        <w:rPr>
          <w:rFonts w:ascii="Arial" w:hAnsi="Arial" w:eastAsia="Calibri" w:cs="Arial"/>
          <w:sz w:val="24"/>
          <w:lang w:val="es-ES_tradnl"/>
        </w:rPr>
      </w:pPr>
      <w:r w:rsidRPr="003348F3">
        <w:rPr>
          <w:rFonts w:ascii="Arial" w:hAnsi="Arial" w:eastAsia="Calibri" w:cs="Arial"/>
        </w:rPr>
        <w:t xml:space="preserve">En este sentido, bajo la normativa actual que regula la subsanabilidad de las ofertas debe tenerse en cuenta que </w:t>
      </w:r>
      <w:r w:rsidRPr="003348F3">
        <w:rPr>
          <w:rFonts w:ascii="Arial" w:hAnsi="Arial" w:eastAsia="Arial" w:cs="Arial"/>
          <w:lang w:val="es-ES"/>
        </w:rPr>
        <w:t>el</w:t>
      </w:r>
      <w:r w:rsidRPr="003348F3">
        <w:rPr>
          <w:rFonts w:ascii="Arial" w:hAnsi="Arial" w:eastAsia="Arial" w:cs="Arial"/>
          <w:spacing w:val="-12"/>
          <w:lang w:val="es-ES"/>
        </w:rPr>
        <w:t xml:space="preserve"> </w:t>
      </w:r>
      <w:r w:rsidRPr="003348F3">
        <w:rPr>
          <w:rFonts w:ascii="Arial" w:hAnsi="Arial" w:eastAsia="Arial" w:cs="Arial"/>
          <w:lang w:val="es-ES"/>
        </w:rPr>
        <w:t>legislador</w:t>
      </w:r>
      <w:r w:rsidRPr="003348F3">
        <w:rPr>
          <w:rFonts w:ascii="Arial" w:hAnsi="Arial" w:eastAsia="Arial" w:cs="Arial"/>
          <w:spacing w:val="-12"/>
          <w:lang w:val="es-ES"/>
        </w:rPr>
        <w:t xml:space="preserve"> </w:t>
      </w:r>
      <w:r w:rsidRPr="003348F3">
        <w:rPr>
          <w:rFonts w:ascii="Arial" w:hAnsi="Arial" w:eastAsia="Arial" w:cs="Arial"/>
          <w:lang w:val="es-ES"/>
        </w:rPr>
        <w:t>expidió</w:t>
      </w:r>
      <w:r w:rsidRPr="003348F3">
        <w:rPr>
          <w:rFonts w:ascii="Arial" w:hAnsi="Arial" w:eastAsia="Arial" w:cs="Arial"/>
          <w:spacing w:val="-13"/>
          <w:lang w:val="es-ES"/>
        </w:rPr>
        <w:t xml:space="preserve"> </w:t>
      </w:r>
      <w:r w:rsidRPr="003348F3">
        <w:rPr>
          <w:rFonts w:ascii="Arial" w:hAnsi="Arial" w:eastAsia="Arial" w:cs="Arial"/>
          <w:lang w:val="es-ES"/>
        </w:rPr>
        <w:t>la</w:t>
      </w:r>
      <w:r w:rsidRPr="003348F3">
        <w:rPr>
          <w:rFonts w:ascii="Arial" w:hAnsi="Arial" w:eastAsia="Arial" w:cs="Arial"/>
          <w:spacing w:val="-12"/>
          <w:lang w:val="es-ES"/>
        </w:rPr>
        <w:t xml:space="preserve"> </w:t>
      </w:r>
      <w:r w:rsidRPr="003348F3">
        <w:rPr>
          <w:rFonts w:ascii="Arial" w:hAnsi="Arial" w:eastAsia="Arial" w:cs="Arial"/>
          <w:lang w:val="es-ES"/>
        </w:rPr>
        <w:t>Ley</w:t>
      </w:r>
      <w:r w:rsidRPr="003348F3">
        <w:rPr>
          <w:rFonts w:ascii="Arial" w:hAnsi="Arial" w:eastAsia="Arial" w:cs="Arial"/>
          <w:spacing w:val="-13"/>
          <w:lang w:val="es-ES"/>
        </w:rPr>
        <w:t xml:space="preserve"> </w:t>
      </w:r>
      <w:r w:rsidRPr="003348F3">
        <w:rPr>
          <w:rFonts w:ascii="Arial" w:hAnsi="Arial" w:eastAsia="Arial" w:cs="Arial"/>
          <w:lang w:val="es-ES"/>
        </w:rPr>
        <w:t>1882</w:t>
      </w:r>
      <w:r w:rsidRPr="003348F3">
        <w:rPr>
          <w:rFonts w:ascii="Arial" w:hAnsi="Arial" w:eastAsia="Arial" w:cs="Arial"/>
          <w:spacing w:val="-13"/>
          <w:lang w:val="es-ES"/>
        </w:rPr>
        <w:t xml:space="preserve"> </w:t>
      </w:r>
      <w:r w:rsidRPr="003348F3">
        <w:rPr>
          <w:rFonts w:ascii="Arial" w:hAnsi="Arial" w:eastAsia="Arial" w:cs="Arial"/>
          <w:lang w:val="es-ES"/>
        </w:rPr>
        <w:t>de</w:t>
      </w:r>
      <w:r w:rsidRPr="003348F3">
        <w:rPr>
          <w:rFonts w:ascii="Arial" w:hAnsi="Arial" w:eastAsia="Arial" w:cs="Arial"/>
          <w:spacing w:val="-12"/>
          <w:lang w:val="es-ES"/>
        </w:rPr>
        <w:t xml:space="preserve"> </w:t>
      </w:r>
      <w:r w:rsidRPr="003348F3">
        <w:rPr>
          <w:rFonts w:ascii="Arial" w:hAnsi="Arial" w:eastAsia="Arial" w:cs="Arial"/>
          <w:lang w:val="es-ES"/>
        </w:rPr>
        <w:t>2018,</w:t>
      </w:r>
      <w:r w:rsidRPr="003348F3">
        <w:rPr>
          <w:rFonts w:ascii="Arial" w:hAnsi="Arial" w:eastAsia="Arial" w:cs="Arial"/>
          <w:spacing w:val="-13"/>
          <w:lang w:val="es-ES"/>
        </w:rPr>
        <w:t xml:space="preserve"> </w:t>
      </w:r>
      <w:r w:rsidRPr="003348F3">
        <w:rPr>
          <w:rFonts w:ascii="Arial" w:hAnsi="Arial" w:eastAsia="Arial" w:cs="Arial"/>
          <w:lang w:val="es-ES"/>
        </w:rPr>
        <w:t>con</w:t>
      </w:r>
      <w:r w:rsidRPr="003348F3">
        <w:rPr>
          <w:rFonts w:ascii="Arial" w:hAnsi="Arial" w:eastAsia="Arial" w:cs="Arial"/>
          <w:spacing w:val="-12"/>
          <w:lang w:val="es-ES"/>
        </w:rPr>
        <w:t xml:space="preserve"> </w:t>
      </w:r>
      <w:r w:rsidRPr="003348F3">
        <w:rPr>
          <w:rFonts w:ascii="Arial" w:hAnsi="Arial" w:eastAsia="Arial" w:cs="Arial"/>
          <w:lang w:val="es-ES"/>
        </w:rPr>
        <w:t>la</w:t>
      </w:r>
      <w:r w:rsidRPr="003348F3">
        <w:rPr>
          <w:rFonts w:ascii="Arial" w:hAnsi="Arial" w:eastAsia="Arial" w:cs="Arial"/>
          <w:spacing w:val="-13"/>
          <w:lang w:val="es-ES"/>
        </w:rPr>
        <w:t xml:space="preserve"> </w:t>
      </w:r>
      <w:r w:rsidRPr="003348F3">
        <w:rPr>
          <w:rFonts w:ascii="Arial" w:hAnsi="Arial" w:eastAsia="Arial" w:cs="Arial"/>
          <w:lang w:val="es-ES"/>
        </w:rPr>
        <w:t xml:space="preserve">finalidad de introducir cambios y ajustes para fortalecer la contratación pública. </w:t>
      </w:r>
      <w:r w:rsidRPr="003348F3">
        <w:rPr>
          <w:rFonts w:ascii="Arial" w:hAnsi="Arial" w:eastAsia="Arial" w:cs="Arial"/>
          <w:lang w:val="es-ES_tradnl"/>
        </w:rPr>
        <w:t>Particularmente, el artículo 5 de dicha norma, modificó el parágrafo 1º del artículo 5 de la Ley 1150 de 2007, así:</w:t>
      </w:r>
      <w:r w:rsidRPr="003348F3">
        <w:rPr>
          <w:rFonts w:ascii="Arial" w:hAnsi="Arial" w:eastAsia="Arial" w:cs="Arial"/>
          <w:sz w:val="24"/>
          <w:lang w:val="es-ES_tradnl"/>
        </w:rPr>
        <w:t xml:space="preserve"> </w:t>
      </w:r>
    </w:p>
    <w:p w:rsidRPr="003348F3" w:rsidR="00EA591E" w:rsidP="00EA591E" w:rsidRDefault="00EA591E" w14:paraId="6CEEAB57" w14:textId="77777777">
      <w:pPr>
        <w:spacing w:after="0" w:line="276" w:lineRule="auto"/>
        <w:jc w:val="both"/>
        <w:rPr>
          <w:rFonts w:ascii="Arial" w:hAnsi="Arial" w:eastAsia="Calibri" w:cs="Arial"/>
          <w:sz w:val="24"/>
          <w:lang w:val="es-ES_tradnl"/>
        </w:rPr>
      </w:pPr>
    </w:p>
    <w:p w:rsidRPr="003348F3" w:rsidR="00EA591E" w:rsidP="00EA591E" w:rsidRDefault="00EA591E" w14:paraId="1B300A77" w14:textId="77777777">
      <w:pPr>
        <w:spacing w:after="0" w:line="240" w:lineRule="auto"/>
        <w:ind w:left="709" w:right="709"/>
        <w:jc w:val="both"/>
        <w:rPr>
          <w:rFonts w:ascii="Arial" w:hAnsi="Arial" w:eastAsia="Calibri" w:cs="Arial"/>
          <w:sz w:val="21"/>
          <w:szCs w:val="21"/>
          <w:lang w:val="es-ES_tradnl"/>
        </w:rPr>
      </w:pPr>
      <w:r w:rsidRPr="003348F3">
        <w:rPr>
          <w:rFonts w:ascii="Arial" w:hAnsi="Arial" w:eastAsia="Calibri" w:cs="Arial"/>
          <w:sz w:val="21"/>
          <w:szCs w:val="21"/>
          <w:lang w:val="es-ES_tradnl"/>
        </w:rPr>
        <w:t xml:space="preserve">“Artículo 5°. De la selección objetiva. </w:t>
      </w:r>
    </w:p>
    <w:p w:rsidRPr="003348F3" w:rsidR="00EA591E" w:rsidP="00EA591E" w:rsidRDefault="00EA591E" w14:paraId="1D0E3366" w14:textId="77777777">
      <w:pPr>
        <w:spacing w:after="120" w:line="240" w:lineRule="auto"/>
        <w:ind w:left="709" w:right="709"/>
        <w:jc w:val="both"/>
        <w:rPr>
          <w:rFonts w:ascii="Arial" w:hAnsi="Arial" w:eastAsia="Calibri" w:cs="Arial"/>
          <w:sz w:val="21"/>
          <w:szCs w:val="21"/>
          <w:lang w:val="es-ES_tradnl"/>
        </w:rPr>
      </w:pPr>
      <w:r w:rsidRPr="003348F3">
        <w:rPr>
          <w:rFonts w:ascii="Arial" w:hAnsi="Arial" w:eastAsia="Calibri" w:cs="Arial"/>
          <w:sz w:val="21"/>
          <w:szCs w:val="21"/>
          <w:lang w:val="es-ES_tradnl"/>
        </w:rPr>
        <w:t xml:space="preserve">[...] </w:t>
      </w:r>
    </w:p>
    <w:p w:rsidRPr="003348F3" w:rsidR="00EA591E" w:rsidP="00EA591E" w:rsidRDefault="00EA591E" w14:paraId="44D6A46D" w14:textId="77777777">
      <w:pPr>
        <w:spacing w:after="0" w:line="240" w:lineRule="auto"/>
        <w:ind w:left="709" w:right="709"/>
        <w:jc w:val="both"/>
        <w:rPr>
          <w:rFonts w:ascii="Arial" w:hAnsi="Arial" w:eastAsia="Calibri" w:cs="Arial"/>
          <w:sz w:val="21"/>
          <w:szCs w:val="21"/>
          <w:lang w:val="es-ES_tradnl"/>
        </w:rPr>
      </w:pPr>
      <w:r w:rsidRPr="003348F3">
        <w:rPr>
          <w:rFonts w:ascii="Arial" w:hAnsi="Arial" w:eastAsia="Calibri"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rsidRPr="003348F3" w:rsidR="00EA591E" w:rsidP="00EA591E" w:rsidRDefault="00EA591E" w14:paraId="796EB14D" w14:textId="77777777">
      <w:pPr>
        <w:spacing w:after="0" w:line="240" w:lineRule="auto"/>
        <w:jc w:val="both"/>
        <w:rPr>
          <w:rFonts w:ascii="Arial" w:hAnsi="Arial" w:eastAsia="Calibri" w:cs="Arial"/>
          <w:b/>
          <w:sz w:val="24"/>
          <w:lang w:val="es-ES_tradnl"/>
        </w:rPr>
      </w:pPr>
    </w:p>
    <w:p w:rsidRPr="003348F3" w:rsidR="00EA591E" w:rsidP="00EA591E" w:rsidRDefault="00EA591E" w14:paraId="2694D0A8" w14:textId="77777777">
      <w:pPr>
        <w:spacing w:after="120" w:line="276" w:lineRule="auto"/>
        <w:ind w:firstLine="709"/>
        <w:jc w:val="both"/>
        <w:rPr>
          <w:rFonts w:ascii="Arial" w:hAnsi="Arial" w:eastAsia="Arial" w:cs="Arial"/>
          <w:szCs w:val="24"/>
          <w:lang w:val="es-ES" w:eastAsia="es-MX"/>
        </w:rPr>
      </w:pPr>
      <w:r w:rsidRPr="003348F3">
        <w:rPr>
          <w:rFonts w:ascii="Arial" w:hAnsi="Arial" w:eastAsia="Calibri" w:cs="Arial"/>
          <w:lang w:val="es-ES_tradnl"/>
        </w:rPr>
        <w:t xml:space="preserve">De lo anterior se colige, que la disposición precitada: i) mantiene el criterio de la Ley 80 de 1993, relativo a que todo lo que no sea necesario para la comparación de propuestas no es título suficiente para su rechazo, </w:t>
      </w:r>
      <w:proofErr w:type="spellStart"/>
      <w:r w:rsidRPr="003348F3">
        <w:rPr>
          <w:rFonts w:ascii="Arial" w:hAnsi="Arial" w:eastAsia="Calibri" w:cs="Arial"/>
          <w:lang w:val="es-ES_tradnl"/>
        </w:rPr>
        <w:t>ii</w:t>
      </w:r>
      <w:proofErr w:type="spellEnd"/>
      <w:r w:rsidRPr="003348F3">
        <w:rPr>
          <w:rFonts w:ascii="Arial" w:hAnsi="Arial" w:eastAsia="Calibri" w:cs="Arial"/>
          <w:lang w:val="es-ES_tradnl"/>
        </w:rPr>
        <w:t xml:space="preserve">) mantiene el criterio aclaratorio de la Ley 1150 de 2007, según el cual todo lo que no afecte la asignación de puntaje puede subsanarse e </w:t>
      </w:r>
      <w:proofErr w:type="spellStart"/>
      <w:r w:rsidRPr="003348F3">
        <w:rPr>
          <w:rFonts w:ascii="Arial" w:hAnsi="Arial" w:eastAsia="Calibri" w:cs="Arial"/>
          <w:lang w:val="es-ES_tradnl"/>
        </w:rPr>
        <w:t>iii</w:t>
      </w:r>
      <w:proofErr w:type="spellEnd"/>
      <w:r w:rsidRPr="003348F3">
        <w:rPr>
          <w:rFonts w:ascii="Arial" w:hAnsi="Arial" w:eastAsia="Calibri" w:cs="Arial"/>
          <w:lang w:val="es-ES_tradnl"/>
        </w:rPr>
        <w:t>) introduce modificaciones en relación con tres aspectos que se analizarán a continuación</w:t>
      </w:r>
      <w:r w:rsidRPr="003348F3">
        <w:rPr>
          <w:rFonts w:ascii="Arial" w:hAnsi="Arial" w:eastAsia="Arial" w:cs="Arial"/>
          <w:szCs w:val="24"/>
          <w:lang w:val="es-ES" w:eastAsia="es-MX"/>
        </w:rPr>
        <w:t xml:space="preserve">. </w:t>
      </w:r>
    </w:p>
    <w:p w:rsidRPr="003348F3" w:rsidR="00EA591E" w:rsidP="00EA591E" w:rsidRDefault="00EA591E" w14:paraId="36159646" w14:textId="77777777">
      <w:pPr>
        <w:spacing w:after="120" w:line="276" w:lineRule="auto"/>
        <w:ind w:firstLine="709"/>
        <w:jc w:val="both"/>
        <w:rPr>
          <w:rFonts w:ascii="Arial" w:hAnsi="Arial" w:eastAsia="Arial" w:cs="Arial"/>
          <w:szCs w:val="24"/>
          <w:lang w:val="es-ES" w:eastAsia="es-MX"/>
        </w:rPr>
      </w:pPr>
      <w:r w:rsidRPr="003348F3">
        <w:rPr>
          <w:rFonts w:ascii="Arial" w:hAnsi="Arial" w:eastAsia="Arial" w:cs="Arial"/>
          <w:szCs w:val="24"/>
          <w:lang w:val="es-ES" w:eastAsia="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el proceso de selección a través del sistema de subasta: en este último los documentos o requisitos subsanables deben solicitarse, como límite final, hasta el momento previo a su realización</w:t>
      </w:r>
      <w:r w:rsidRPr="003348F3">
        <w:rPr>
          <w:rFonts w:ascii="Arial" w:hAnsi="Arial" w:eastAsia="Arial" w:cs="Arial"/>
          <w:vertAlign w:val="superscript"/>
          <w:lang w:eastAsia="es-MX"/>
        </w:rPr>
        <w:footnoteReference w:id="12"/>
      </w:r>
      <w:r w:rsidRPr="003348F3">
        <w:rPr>
          <w:rFonts w:ascii="Arial" w:hAnsi="Arial" w:eastAsia="Arial" w:cs="Arial"/>
          <w:szCs w:val="24"/>
          <w:lang w:val="es-ES" w:eastAsia="es-MX"/>
        </w:rPr>
        <w:t>. Sin embargo, para el caso de los procesos de mínima cuantía, deberá tenerse en cuenta la regla dispuesta en el numeral 5 y 6 del artículo 2.2.1.2.1.5.2 del Decreto 1082 de 2015.</w:t>
      </w:r>
    </w:p>
    <w:p w:rsidRPr="003348F3" w:rsidR="00EA591E" w:rsidP="00EA591E" w:rsidRDefault="00EA591E" w14:paraId="7532BBB7" w14:textId="77777777">
      <w:pPr>
        <w:spacing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 xml:space="preserve">Así pues, para los procesos de mínima cuantía, el Decreto 1860 de 2021 que modifica el Decreto 1082 de 2015, en el numeral 5 del artículo </w:t>
      </w:r>
      <w:r w:rsidRPr="003348F3">
        <w:rPr>
          <w:rFonts w:ascii="Arial" w:hAnsi="Arial" w:eastAsia="Arial" w:cs="Arial"/>
          <w:szCs w:val="24"/>
          <w:lang w:val="es-ES" w:eastAsia="es-MX"/>
        </w:rPr>
        <w:t>2.2.1.2.1.5.2, dispone que sin perjuicio de la oportunidad que deben otorgar las entidades para subsanar las ofertas, de acuerdo con el artículo 5 de la Ley 1150 de 2007, se establecerá un término preclusivo para recibir los documentos subsanables. En el evento que no se regule este término, los proponentes podrán subsanar sus ofertas hasta antes que finalice el traslado del informe de evaluación</w:t>
      </w:r>
      <w:bookmarkStart w:name="_Hlk140658491" w:id="12"/>
      <w:r w:rsidRPr="003348F3">
        <w:rPr>
          <w:rFonts w:ascii="Arial" w:hAnsi="Arial" w:cs="Arial"/>
          <w:vertAlign w:val="superscript"/>
          <w:lang w:val="es-ES_tradnl"/>
        </w:rPr>
        <w:footnoteReference w:id="13"/>
      </w:r>
      <w:r w:rsidRPr="003348F3">
        <w:rPr>
          <w:rFonts w:ascii="Arial" w:hAnsi="Arial" w:cs="Arial"/>
          <w:lang w:val="es-ES_tradnl"/>
        </w:rPr>
        <w:t>.</w:t>
      </w:r>
      <w:bookmarkEnd w:id="12"/>
    </w:p>
    <w:p w:rsidRPr="003348F3" w:rsidR="00EA591E" w:rsidP="00EA591E" w:rsidRDefault="00EA591E" w14:paraId="365855D7"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w:t>
      </w:r>
    </w:p>
    <w:p w:rsidRPr="003348F3" w:rsidR="00EA591E" w:rsidP="00EA591E" w:rsidRDefault="00EA591E" w14:paraId="75E1E468"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 xml:space="preserve">Sin embargo, de lo anterior, podría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 traslado del informe de evaluación es el límite para la subsanación de ofertas, pero no el único momento para hacerlo. De acuerdo con la primera interpretación, el informe de evaluación se convierte en la oportunidad que adopta la entidad contratante para decirles a los oferentes qué documentos o requisitos omitieron y deben subsanar y, consecuentemente, el término del traslado es la oportunidad del proponente para cumplir con lo solicitado. </w:t>
      </w:r>
    </w:p>
    <w:p w:rsidRPr="003348F3" w:rsidR="00EA591E" w:rsidP="00EA591E" w:rsidRDefault="00EA591E" w14:paraId="760458AC" w14:textId="77777777">
      <w:pPr>
        <w:spacing w:before="120" w:after="0" w:line="276" w:lineRule="auto"/>
        <w:ind w:firstLine="708"/>
        <w:jc w:val="both"/>
        <w:rPr>
          <w:rFonts w:ascii="Arial" w:hAnsi="Arial" w:eastAsia="Calibri" w:cs="Arial"/>
          <w:lang w:val="es-ES_tradnl"/>
        </w:rPr>
      </w:pPr>
      <w:r w:rsidRPr="003348F3">
        <w:rPr>
          <w:rFonts w:ascii="Arial" w:hAnsi="Arial" w:eastAsia="Calibri" w:cs="Arial"/>
          <w:lang w:val="es-ES_tradnl"/>
        </w:rPr>
        <w:t>La segunda interpretación, permitiría que la entidad contratante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rsidRPr="003348F3" w:rsidR="00EA591E" w:rsidP="00EA591E" w:rsidRDefault="00EA591E" w14:paraId="1FCAB818" w14:textId="77777777">
      <w:pPr>
        <w:spacing w:before="120" w:after="120"/>
        <w:ind w:firstLine="709"/>
        <w:jc w:val="both"/>
        <w:rPr>
          <w:rFonts w:ascii="Arial" w:hAnsi="Arial" w:cs="Arial"/>
          <w:lang w:val="es-ES_tradnl"/>
        </w:rPr>
      </w:pPr>
      <w:r w:rsidRPr="003348F3">
        <w:rPr>
          <w:rFonts w:ascii="Arial" w:hAnsi="Arial" w:cs="Arial"/>
          <w:lang w:val="es-ES_tradnl"/>
        </w:rPr>
        <w:t>La disposición introducida por el artículo 5 de la Ley 1882 de 2018, si bien pudo significar, en la práctica de los procesos de selección, que el informe de evaluación fuera la oportunidad de la entidad contratante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entidad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rsidRPr="003348F3" w:rsidR="00EA591E" w:rsidP="00EA591E" w:rsidRDefault="00EA591E" w14:paraId="3F054311" w14:textId="77777777">
      <w:pPr>
        <w:spacing w:before="120" w:after="120"/>
        <w:ind w:firstLine="709"/>
        <w:jc w:val="both"/>
        <w:rPr>
          <w:rFonts w:ascii="Arial" w:hAnsi="Arial" w:cs="Arial"/>
          <w:lang w:val="es-ES_tradnl"/>
        </w:rPr>
      </w:pPr>
      <w:r w:rsidRPr="003348F3">
        <w:rPr>
          <w:rFonts w:ascii="Arial" w:hAnsi="Arial" w:cs="Arial"/>
          <w:lang w:val="es-ES_tradnl"/>
        </w:rPr>
        <w:t xml:space="preserve">El segundo cambio importante de la Ley 1882 de 2018 fue la introducción de un criterio material, directamente relacionado con los aspectos subsanables: “los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rsidRPr="003348F3" w:rsidR="00EA591E" w:rsidP="00EA591E" w:rsidRDefault="00EA591E" w14:paraId="47EAAE8E" w14:textId="77777777">
      <w:pPr>
        <w:spacing w:before="120" w:after="120"/>
        <w:ind w:firstLine="709"/>
        <w:jc w:val="both"/>
        <w:rPr>
          <w:rFonts w:ascii="Arial" w:hAnsi="Arial" w:cs="Arial"/>
          <w:lang w:val="es-ES_tradnl"/>
        </w:rPr>
      </w:pPr>
      <w:r w:rsidRPr="003348F3">
        <w:rPr>
          <w:rFonts w:ascii="Arial" w:hAnsi="Arial" w:cs="Arial"/>
          <w:lang w:val="es-ES_tradnl"/>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3348F3">
        <w:rPr>
          <w:rFonts w:ascii="Arial" w:hAnsi="Arial" w:cs="Arial"/>
          <w:vertAlign w:val="superscript"/>
          <w:lang w:val="es-ES_tradnl"/>
        </w:rPr>
        <w:footnoteReference w:id="14"/>
      </w:r>
      <w:r w:rsidRPr="003348F3">
        <w:rPr>
          <w:rFonts w:ascii="Arial" w:hAnsi="Arial" w:cs="Arial"/>
          <w:lang w:val="es-ES_tradnl"/>
        </w:rPr>
        <w:t>.</w:t>
      </w:r>
    </w:p>
    <w:p w:rsidRPr="003348F3" w:rsidR="00EA591E" w:rsidP="00EA591E" w:rsidRDefault="00EA591E" w14:paraId="11374D17" w14:textId="77777777">
      <w:pPr>
        <w:spacing w:before="120" w:after="120"/>
        <w:ind w:firstLine="709"/>
        <w:jc w:val="both"/>
        <w:rPr>
          <w:rFonts w:ascii="Arial" w:hAnsi="Arial" w:cs="Arial"/>
          <w:lang w:val="es-ES_tradnl"/>
        </w:rPr>
      </w:pPr>
      <w:r w:rsidRPr="003348F3">
        <w:rPr>
          <w:rFonts w:ascii="Arial" w:hAnsi="Arial" w:cs="Arial"/>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rsidRPr="003348F3" w:rsidR="00EA591E" w:rsidP="00EA591E" w:rsidRDefault="00EA591E" w14:paraId="1195141F" w14:textId="77777777">
      <w:pPr>
        <w:spacing w:before="120" w:after="120"/>
        <w:ind w:firstLine="709"/>
        <w:jc w:val="both"/>
        <w:rPr>
          <w:rFonts w:ascii="Arial" w:hAnsi="Arial" w:cs="Arial"/>
          <w:lang w:val="es-ES_tradnl"/>
        </w:rPr>
      </w:pPr>
      <w:r w:rsidRPr="003348F3">
        <w:rPr>
          <w:rFonts w:ascii="Arial" w:hAnsi="Arial" w:cs="Arial"/>
          <w:lang w:val="es-ES_tradnl"/>
        </w:rPr>
        <w:t>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3348F3">
        <w:rPr>
          <w:rFonts w:ascii="Arial" w:hAnsi="Arial" w:cs="Arial"/>
          <w:vertAlign w:val="superscript"/>
          <w:lang w:val="es-ES_tradnl"/>
        </w:rPr>
        <w:footnoteReference w:id="15"/>
      </w:r>
      <w:r w:rsidRPr="003348F3">
        <w:rPr>
          <w:rFonts w:ascii="Arial" w:hAnsi="Arial" w:cs="Arial"/>
          <w:lang w:val="es-ES_tradnl"/>
        </w:rPr>
        <w:t>.</w:t>
      </w:r>
    </w:p>
    <w:p w:rsidRPr="003348F3" w:rsidR="00EA591E" w:rsidP="00EA591E" w:rsidRDefault="00EA591E" w14:paraId="1F31958C" w14:textId="77777777">
      <w:pPr>
        <w:spacing w:before="120" w:after="120"/>
        <w:ind w:firstLine="709"/>
        <w:jc w:val="both"/>
        <w:rPr>
          <w:rFonts w:ascii="Arial" w:hAnsi="Arial" w:cs="Arial"/>
          <w:lang w:val="es-ES_tradnl"/>
        </w:rPr>
      </w:pPr>
      <w:r w:rsidRPr="003348F3">
        <w:rPr>
          <w:rFonts w:ascii="Arial" w:hAnsi="Arial" w:cs="Arial"/>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ésta en firme para dicho momento; </w:t>
      </w:r>
      <w:proofErr w:type="spellStart"/>
      <w:r w:rsidRPr="003348F3">
        <w:rPr>
          <w:rFonts w:ascii="Arial" w:hAnsi="Arial" w:cs="Arial"/>
          <w:lang w:val="es-ES_tradnl"/>
        </w:rPr>
        <w:t>ii</w:t>
      </w:r>
      <w:proofErr w:type="spellEnd"/>
      <w:r w:rsidRPr="003348F3">
        <w:rPr>
          <w:rFonts w:ascii="Arial" w:hAnsi="Arial" w:cs="Arial"/>
          <w:lang w:val="es-ES_tradnl"/>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3348F3">
        <w:rPr>
          <w:rFonts w:ascii="Arial" w:hAnsi="Arial" w:cs="Arial"/>
          <w:vertAlign w:val="superscript"/>
          <w:lang w:val="es-ES_tradnl"/>
        </w:rPr>
        <w:footnoteReference w:id="16"/>
      </w:r>
      <w:r w:rsidRPr="003348F3">
        <w:rPr>
          <w:rFonts w:ascii="Arial" w:hAnsi="Arial" w:cs="Arial"/>
          <w:lang w:val="es-ES_tradnl"/>
        </w:rPr>
        <w:t xml:space="preserve">; </w:t>
      </w:r>
      <w:proofErr w:type="spellStart"/>
      <w:r w:rsidRPr="003348F3">
        <w:rPr>
          <w:rFonts w:ascii="Arial" w:hAnsi="Arial" w:cs="Arial"/>
          <w:lang w:val="es-ES_tradnl"/>
        </w:rPr>
        <w:t>iii</w:t>
      </w:r>
      <w:proofErr w:type="spellEnd"/>
      <w:r w:rsidRPr="003348F3">
        <w:rPr>
          <w:rFonts w:ascii="Arial" w:hAnsi="Arial" w:cs="Arial"/>
          <w:lang w:val="es-ES_tradnl"/>
        </w:rPr>
        <w:t>) si un oferente no anexó el certificado de existencia y representación legal, el documento aportado con posterioridad debe dar cuenta de que la sociedad existía antes del cierre del proceso</w:t>
      </w:r>
      <w:r w:rsidRPr="003348F3">
        <w:rPr>
          <w:rFonts w:ascii="Arial" w:hAnsi="Arial" w:cs="Arial"/>
          <w:vertAlign w:val="superscript"/>
          <w:lang w:val="es-ES_tradnl"/>
        </w:rPr>
        <w:footnoteReference w:id="17"/>
      </w:r>
      <w:r w:rsidRPr="003348F3">
        <w:rPr>
          <w:rFonts w:ascii="Arial" w:hAnsi="Arial" w:cs="Arial"/>
          <w:lang w:val="es-ES_tradnl"/>
        </w:rPr>
        <w:t xml:space="preserve">; </w:t>
      </w:r>
      <w:proofErr w:type="spellStart"/>
      <w:r w:rsidRPr="003348F3">
        <w:rPr>
          <w:rFonts w:ascii="Arial" w:hAnsi="Arial" w:cs="Arial"/>
          <w:lang w:val="es-ES_tradnl"/>
        </w:rPr>
        <w:t>iv</w:t>
      </w:r>
      <w:proofErr w:type="spellEnd"/>
      <w:r w:rsidRPr="003348F3">
        <w:rPr>
          <w:rFonts w:ascii="Arial" w:hAnsi="Arial" w:cs="Arial"/>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rsidRPr="003348F3" w:rsidR="00EA591E" w:rsidP="00EA591E" w:rsidRDefault="00EA591E" w14:paraId="4C42DCBF" w14:textId="77777777">
      <w:pPr>
        <w:spacing w:before="120" w:after="120"/>
        <w:ind w:firstLine="709"/>
        <w:jc w:val="both"/>
        <w:rPr>
          <w:rFonts w:ascii="Arial" w:hAnsi="Arial" w:cs="Arial"/>
          <w:lang w:val="es-ES_tradnl"/>
        </w:rPr>
      </w:pPr>
      <w:r w:rsidRPr="003348F3">
        <w:rPr>
          <w:rFonts w:ascii="Arial" w:hAnsi="Arial" w:cs="Arial"/>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3348F3">
        <w:rPr>
          <w:rFonts w:ascii="Arial" w:hAnsi="Arial" w:cs="Arial"/>
          <w:lang w:val="es-ES_tradnl"/>
        </w:rPr>
        <w:t>que</w:t>
      </w:r>
      <w:proofErr w:type="gramEnd"/>
      <w:r w:rsidRPr="003348F3">
        <w:rPr>
          <w:rFonts w:ascii="Arial" w:hAnsi="Arial" w:cs="Arial"/>
          <w:lang w:val="es-ES_tradn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3348F3">
        <w:rPr>
          <w:rFonts w:ascii="Arial" w:hAnsi="Arial" w:cs="Arial"/>
          <w:vertAlign w:val="superscript"/>
          <w:lang w:val="es-ES_tradnl"/>
        </w:rPr>
        <w:footnoteReference w:id="18"/>
      </w:r>
      <w:r w:rsidRPr="003348F3">
        <w:rPr>
          <w:rFonts w:ascii="Arial" w:hAnsi="Arial" w:cs="Arial"/>
          <w:lang w:val="es-ES_tradnl"/>
        </w:rPr>
        <w:t xml:space="preserve">. </w:t>
      </w:r>
    </w:p>
    <w:p w:rsidRPr="003348F3" w:rsidR="00EA591E" w:rsidP="00EA591E" w:rsidRDefault="00EA591E" w14:paraId="3C1B70C4"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En línea con lo anterior, una vez verificada la ausencia de requisitos y/o documentos de la oferta, para efectos de saber si se pueden subsanar, la entidad contratante debe preguntarse,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rsidRPr="003348F3" w:rsidR="00EA591E" w:rsidP="00EA591E" w:rsidRDefault="00EA591E" w14:paraId="03C1DFD4"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Ahora bien, teniendo en cuenta el objeto bajo consulta, se hace necesario que esta Agencia se manifieste sobre la diferencia entre la regla sobre subsanación de ofertas en los procesos de selección antes explicada, y la aclaración de las ofertas, cuestiones que resultan ser distintas, pese a que ambas puedan contener considerandos como elementos propios del principio de selección objetiva. Así, es aras de que la Entidad Estatal al momento de evaluar las ofertas recibidas y, con el fin de comprender integralmente cada documento contenido en la oferta, podrá acudir a la facultad que le otorga expresamente el numeral 7 del artículo 30 de la Ley 80 de 1993. Dicha norma señala que entre los componentes que deberá contener el pliego de condiciones incluye al “plazo razonable dentro del cual la entidad deberá elaborar los estudios técnicos, económicos y jurídicos necesarios para la evaluación de las propuestas y para solicitar a los proponentes las aclaraciones y explicaciones que se estimen indispensables”.</w:t>
      </w:r>
    </w:p>
    <w:p w:rsidRPr="003348F3" w:rsidR="00EA591E" w:rsidP="00EA591E" w:rsidRDefault="00EA591E" w14:paraId="3FB48C93" w14:textId="77777777">
      <w:pPr>
        <w:spacing w:before="120" w:after="0" w:line="276" w:lineRule="auto"/>
        <w:jc w:val="both"/>
        <w:rPr>
          <w:rFonts w:ascii="Arial" w:hAnsi="Arial" w:cs="Arial"/>
          <w:bCs/>
        </w:rPr>
      </w:pPr>
      <w:r w:rsidRPr="003348F3">
        <w:rPr>
          <w:rFonts w:ascii="Arial" w:hAnsi="Arial" w:eastAsia="Calibri" w:cs="Arial"/>
          <w:lang w:val="es-ES_tradnl"/>
        </w:rPr>
        <w:tab/>
      </w:r>
      <w:r w:rsidRPr="003348F3">
        <w:rPr>
          <w:rFonts w:ascii="Arial" w:hAnsi="Arial" w:eastAsia="Calibri" w:cs="Arial"/>
          <w:lang w:val="es-ES_tradnl"/>
        </w:rPr>
        <w:t xml:space="preserve">Dicha facultad, a su vez se establece entre otras, en el artículo </w:t>
      </w:r>
      <w:r w:rsidRPr="003348F3">
        <w:rPr>
          <w:rFonts w:ascii="Arial" w:hAnsi="Arial" w:cs="Arial"/>
          <w:bCs/>
        </w:rPr>
        <w:t>2.2.1.1.2.2.4. del Decreto 1082 de 2015, referido a las explicaciones que la Entidad Estatal deberá solicitar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principio de selección objetiva, pues pretenden que la entidad u organismo que evaluará las respectiva oferta o iniciativa, según el caso, cuente con el conocimiento e información veraz y suficiente para tomar una decisión acertada.</w:t>
      </w:r>
    </w:p>
    <w:p w:rsidRPr="003348F3" w:rsidR="00EA591E" w:rsidP="00EA591E" w:rsidRDefault="00EA591E" w14:paraId="0C81C4F6" w14:textId="77777777">
      <w:pPr>
        <w:spacing w:before="120" w:after="0" w:line="276" w:lineRule="auto"/>
        <w:jc w:val="both"/>
        <w:rPr>
          <w:rFonts w:ascii="Arial" w:hAnsi="Arial" w:eastAsia="Calibri" w:cs="Arial"/>
          <w:lang w:val="es-ES_tradnl"/>
        </w:rPr>
      </w:pPr>
      <w:r w:rsidRPr="003348F3">
        <w:rPr>
          <w:rFonts w:ascii="Arial" w:hAnsi="Arial" w:cs="Arial"/>
          <w:bCs/>
        </w:rPr>
        <w:tab/>
      </w:r>
      <w:r w:rsidRPr="003348F3">
        <w:rPr>
          <w:rFonts w:ascii="Arial" w:hAnsi="Arial" w:cs="Arial"/>
          <w:bCs/>
        </w:rPr>
        <w:t>En ese sentido, la facultad de solicitar aclaraciones en cabeza de la entidad contratante, establecida principal y genéricamente en el artículo 30 de la Ley 80 de 1993, debe comprenderse bajo el entendido que el oferente cuya oferta requiera ser aclarada, no podrá, so pena de proceder de conformidad con el requerimiento de la Entidad Estatal, realizar modificaciones que impliquen una mejora o alteración sustancial de la oferta, tal y como ha sido expresado por el Consejo de Estado.</w:t>
      </w:r>
    </w:p>
    <w:p w:rsidRPr="003348F3" w:rsidR="00EA591E" w:rsidP="00EA591E" w:rsidRDefault="00EA591E" w14:paraId="696DD7DF"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 xml:space="preserve">Sin embargo, lo anterior no impide que se puedan realizar aclaraciones a las propuestas, bien sea porque la Entidad Estatal las solicite en la evaluación de las mismas, o porque las realicen los oferentes en la etapa dispuesta para las observaciones a los informes de evaluación; pero, siempre y cuando versen sobre aspectos meramente formales o adjetivos o que en todo caso, no impliquen una variación o corrección del fondo de la propuestas a favor de quien las presenta y en detrimento de la posición de los demás proponentes en la evaluación, es decir, que con las mismas no se altere de manera sustancial la información inicialmente suministrada y la situación de los oferentes en el Proceso de Contratación. </w:t>
      </w:r>
    </w:p>
    <w:p w:rsidRPr="003348F3" w:rsidR="00EA591E" w:rsidP="00EA591E" w:rsidRDefault="00EA591E" w14:paraId="35FF834B"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Así pues, como es posible que por vía aclaratoria los proponentes intenten modificar o mejorar sus ofertas, debe distinguirse entre las simples aclaraciones de las propuestas y las modificaciones a estas. Las primeras son los medios para que se pueda hacer perceptible, manifiesto, explícito o inteligible algún aspecto confuso de la propuesta, sin que ello implique una complementación, adición, modificación o mejora de dicho aspecto, que es, precisamente, en lo que consisten las segundas.</w:t>
      </w:r>
    </w:p>
    <w:p w:rsidRPr="003348F3" w:rsidR="00EA591E" w:rsidP="00EA591E" w:rsidRDefault="00EA591E" w14:paraId="265CA2B3"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La solicitud de aclaraciones permite que las Entidad Estatales requieran a los proponentes para esclarecer aspectos de sus propuestas que, en principio, resultan confusos para efectos de evaluación, diferenciándose de la subsanabilidad, pues no parte del supuesto de la ausencia de requisitos de la oferta sino de la existencia de dudas sobre esta, cuya explicación se requiere para su evaluación. Esta diferencia es importante, pues es posible aclarar los requisitos que asignan puntaje, tal y como lo ha señalado la jurisprudencia del Consejo de Estado en los siguientes términos:</w:t>
      </w:r>
    </w:p>
    <w:p w:rsidRPr="003348F3" w:rsidR="00EA591E" w:rsidP="00EA591E" w:rsidRDefault="00EA591E" w14:paraId="4ADA6752" w14:textId="77777777">
      <w:pPr>
        <w:spacing w:after="0"/>
        <w:ind w:left="709" w:right="709"/>
        <w:rPr>
          <w:rFonts w:ascii="Arial" w:hAnsi="Arial" w:cs="Arial"/>
          <w:bCs/>
        </w:rPr>
      </w:pPr>
    </w:p>
    <w:p w:rsidRPr="003348F3" w:rsidR="00EA591E" w:rsidP="00EA591E" w:rsidRDefault="00EA591E" w14:paraId="37BA9AC4" w14:textId="77777777">
      <w:pPr>
        <w:spacing w:after="0" w:line="240" w:lineRule="auto"/>
        <w:ind w:left="709" w:right="709"/>
        <w:jc w:val="both"/>
        <w:rPr>
          <w:rFonts w:ascii="Arial" w:hAnsi="Arial" w:cs="Arial"/>
          <w:bCs/>
          <w:sz w:val="21"/>
          <w:szCs w:val="21"/>
        </w:rPr>
      </w:pPr>
      <w:bookmarkStart w:name="_3znysh7" w:colFirst="0" w:colLast="0" w:id="13"/>
      <w:bookmarkEnd w:id="13"/>
      <w:r w:rsidRPr="003348F3">
        <w:rPr>
          <w:rFonts w:ascii="Arial" w:hAnsi="Arial" w:cs="Arial"/>
          <w:bCs/>
          <w:sz w:val="21"/>
          <w:szCs w:val="21"/>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3348F3">
        <w:rPr>
          <w:rFonts w:ascii="Arial" w:hAnsi="Arial" w:cs="Arial"/>
          <w:bCs/>
          <w:sz w:val="16"/>
          <w:szCs w:val="16"/>
          <w:vertAlign w:val="superscript"/>
        </w:rPr>
        <w:footnoteReference w:id="19"/>
      </w:r>
      <w:r w:rsidRPr="003348F3">
        <w:rPr>
          <w:rFonts w:ascii="Arial" w:hAnsi="Arial" w:cs="Arial"/>
          <w:bCs/>
          <w:sz w:val="21"/>
          <w:szCs w:val="21"/>
        </w:rPr>
        <w:t>.</w:t>
      </w:r>
    </w:p>
    <w:p w:rsidRPr="003348F3" w:rsidR="00EA591E" w:rsidP="00EA591E" w:rsidRDefault="00EA591E" w14:paraId="0CD03336" w14:textId="77777777">
      <w:pPr>
        <w:spacing w:after="0"/>
        <w:ind w:left="709" w:right="709"/>
        <w:rPr>
          <w:rFonts w:ascii="Arial" w:hAnsi="Arial" w:cs="Arial"/>
          <w:bCs/>
          <w:sz w:val="21"/>
          <w:szCs w:val="21"/>
        </w:rPr>
      </w:pPr>
    </w:p>
    <w:p w:rsidRPr="003348F3" w:rsidR="00EA591E" w:rsidP="00EA591E" w:rsidRDefault="00EA591E" w14:paraId="2A496893" w14:textId="77777777">
      <w:pPr>
        <w:spacing w:after="0" w:line="276" w:lineRule="auto"/>
        <w:jc w:val="both"/>
        <w:rPr>
          <w:rFonts w:ascii="Arial" w:hAnsi="Arial" w:cs="Arial"/>
          <w:bCs/>
        </w:rPr>
      </w:pPr>
      <w:r w:rsidRPr="003348F3">
        <w:rPr>
          <w:rFonts w:ascii="Arial" w:hAnsi="Arial" w:cs="Arial"/>
          <w:bCs/>
        </w:rPr>
        <w:tab/>
      </w:r>
      <w:r w:rsidRPr="003348F3">
        <w:rPr>
          <w:rFonts w:ascii="Arial" w:hAnsi="Arial" w:cs="Arial"/>
          <w:bCs/>
        </w:rPr>
        <w:t>De esta forma, así como lo expresó el Alto Tribunal Administrativo, aclarar una oferta no puede implicar su alteración sustancial o mejoría de sus componentes, sino limitarse a disipar lo que resulta borroso u otorgar claridad a lo que oscuro o intangible. En este punto, se concluye, es plausible la diferencia entre aclarar y subsanar una oferta, siendo este último una institución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por su parte, permite el mejor entendimiento de los elementos de la oferta, sean o no subsanables, para la correcta verificación y evaluación de estos por parte de la Entidad Estatal.</w:t>
      </w:r>
    </w:p>
    <w:p w:rsidRPr="003348F3" w:rsidR="00EA591E" w:rsidP="00EA591E" w:rsidRDefault="00EA591E" w14:paraId="5D3D8D97"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De acuerdo con lo dispuesto en el numeral 7 del artículo 30 de la Ley 80 de 1993, la aclaración de las propuestas se realiza durante la evaluación de estas, pues es necesario esclarecer los aspectos dudosos de las ofertas antes de la adjudicación</w:t>
      </w:r>
      <w:r w:rsidRPr="003348F3">
        <w:rPr>
          <w:rFonts w:ascii="Arial" w:hAnsi="Arial" w:cs="Arial"/>
          <w:vertAlign w:val="superscript"/>
        </w:rPr>
        <w:footnoteReference w:id="20"/>
      </w:r>
      <w:r w:rsidRPr="003348F3">
        <w:rPr>
          <w:rFonts w:ascii="Arial" w:hAnsi="Arial" w:cs="Arial"/>
          <w:bCs/>
        </w:rPr>
        <w:t>. De ahí que, la jurisprudencia explica a su vez que “[…] el proponente debe acogerse al tiempo que le otorga la administración para subsanar o aclarar la oferta, lapso que la entidad no puede extender más allá de la adjudicación […]”</w:t>
      </w:r>
      <w:r w:rsidRPr="003348F3">
        <w:rPr>
          <w:rFonts w:ascii="Arial" w:hAnsi="Arial" w:cs="Arial"/>
          <w:bCs/>
          <w:vertAlign w:val="superscript"/>
        </w:rPr>
        <w:footnoteReference w:id="21"/>
      </w:r>
      <w:r w:rsidRPr="003348F3">
        <w:rPr>
          <w:rFonts w:ascii="Arial" w:hAnsi="Arial" w:cs="Arial"/>
          <w:bCs/>
        </w:rPr>
        <w:t>. De esta manera, “lo ideal en un proceso de selección es que las aclaraciones y explicaciones se anticipen y soliciten durante la etapa de evaluación, lo más pronto posible, es decir, antes de que la entidad elabore el informe respectivo, de tal manera que las tenga en cuenta para producir este acto administrativo”</w:t>
      </w:r>
      <w:r w:rsidRPr="003348F3">
        <w:rPr>
          <w:rFonts w:ascii="Arial" w:hAnsi="Arial" w:cs="Arial"/>
          <w:bCs/>
          <w:vertAlign w:val="superscript"/>
        </w:rPr>
        <w:t xml:space="preserve"> </w:t>
      </w:r>
      <w:r w:rsidRPr="003348F3">
        <w:rPr>
          <w:rFonts w:ascii="Arial" w:hAnsi="Arial" w:cs="Arial"/>
          <w:bCs/>
          <w:vertAlign w:val="superscript"/>
        </w:rPr>
        <w:footnoteReference w:id="22"/>
      </w:r>
      <w:r w:rsidRPr="003348F3">
        <w:rPr>
          <w:rFonts w:ascii="Arial" w:hAnsi="Arial" w:cs="Arial"/>
          <w:bCs/>
          <w:vertAlign w:val="superscript"/>
        </w:rPr>
        <w:t>.</w:t>
      </w:r>
    </w:p>
    <w:p w:rsidRPr="003348F3" w:rsidR="00EA591E" w:rsidP="00EA591E" w:rsidRDefault="00EA591E" w14:paraId="1D6DD0EB"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En ese contexto, considerando la diferencia entre aclarar y subsanar en el evento en que la Entidad Estatal, con ocasión de la elaboración del informe de evaluación de las propuestas o de las observaciones presentadas por los proponentes a este, identifique en una propuesta aspectos que no sean claros o generen dudas, podrá requerir al proponente para que haga la aclaración correspondiente. De ahí que, habida consideración del principio de prevalencia de lo sustancial sobre lo formal, podrán aclararse aspectos puramente formales de las propuestas, inclusive aquellos que otorgan puntaje, siempre y cuando ese hecho no conlleve una adición, modificación o mejora sustancial de la oferta.</w:t>
      </w:r>
    </w:p>
    <w:p w:rsidRPr="003348F3" w:rsidR="00EA591E" w:rsidP="00EA591E" w:rsidRDefault="00EA591E" w14:paraId="18F492E7"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sidRPr="003348F3">
        <w:rPr>
          <w:rFonts w:ascii="Arial" w:hAnsi="Arial" w:eastAsia="Calibri" w:cs="Arial"/>
          <w:lang w:val="es-ES_tradnl"/>
        </w:rPr>
        <w:t>En los procedimientos adelantados en la modalidad de selección de mínima cuantía, al ser el precio el único factor de evaluación, no resulta procedente la subsanación de la oferta económica, esto, en virtud del alcance de la regla contenida en el parágrafo 1 del artículo 5 de la Ley 1150 de 2007, la cual excluye los aspectos relevantes para la comparación de ofertas. Sin embargo, asuntos relacionados con la oferta económica que no hayan resultado claros, podrían ser objeto de aclaración en los términos antes indicados. Una vez presentada la aclaración, la Entidad Estatal analizará y valorará la información allegada por el proponente, con el fin de establecer si efectivamente se trata de una aclaración o si en realidad comporta una adición, modificación o mejora sustancial de la oferta, hecho, que acarreará el rechazo de esta.</w:t>
      </w:r>
    </w:p>
    <w:p w:rsidR="00EA591E" w:rsidP="00EA591E" w:rsidRDefault="00EA591E" w14:paraId="79B45EFD"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_tradnl"/>
        </w:rPr>
        <w:tab/>
      </w:r>
      <w:r>
        <w:rPr>
          <w:rFonts w:ascii="Arial" w:hAnsi="Arial" w:eastAsia="Calibri" w:cs="Arial"/>
          <w:lang w:val="es-ES_tradnl"/>
        </w:rPr>
        <w:t xml:space="preserve">Sin perjuicio de lo anterior, </w:t>
      </w:r>
      <w:r w:rsidRPr="003348F3">
        <w:rPr>
          <w:rFonts w:ascii="Arial" w:hAnsi="Arial" w:eastAsia="Calibri" w:cs="Arial"/>
          <w:lang w:val="es-ES_tradnl"/>
        </w:rPr>
        <w:t>es importante aclarar que las Entidades Estatales en virtud de</w:t>
      </w:r>
      <w:r>
        <w:rPr>
          <w:rFonts w:ascii="Arial" w:hAnsi="Arial" w:eastAsia="Calibri" w:cs="Arial"/>
          <w:lang w:val="es-ES_tradnl"/>
        </w:rPr>
        <w:t xml:space="preserve"> la autonomía que les asiste en la dirección del Proceso de Contratación y la discrecionalidad con la que, por regla general, cuentan para configurar el contenido del pliego de condiciones están autorizadas para incluir las reglas que consideren adecuadas, con sujeción a las normas legales y reglamentarías que resulten aplicables. Esto supone la posibilidad de que se estructuren causales que impongan el rechazo de la oferta cuando se presenten situaciones que distorsionen la evaluación de la oferta, como bien puede ser considerado el supuesto en el que se presenta una propuesta económica con dos valores distintos, siendo el valor de la oferta el único criterio de evaluación. </w:t>
      </w:r>
    </w:p>
    <w:p w:rsidRPr="003348F3" w:rsidR="00EA591E" w:rsidP="00EA591E" w:rsidRDefault="00EA591E" w14:paraId="17ACFD29" w14:textId="77777777">
      <w:pPr>
        <w:spacing w:before="120" w:after="0" w:line="276" w:lineRule="auto"/>
        <w:ind w:firstLine="708"/>
        <w:jc w:val="both"/>
        <w:rPr>
          <w:rFonts w:ascii="Arial" w:hAnsi="Arial" w:eastAsia="Calibri" w:cs="Arial"/>
          <w:lang w:val="es-ES_tradnl"/>
        </w:rPr>
      </w:pPr>
      <w:r w:rsidRPr="00020B2E">
        <w:rPr>
          <w:rFonts w:ascii="Arial" w:hAnsi="Arial" w:eastAsia="Calibri" w:cs="Arial"/>
          <w:lang w:val="es-ES_tradnl"/>
        </w:rPr>
        <w:t xml:space="preserve">Este es el caso de los procesos en los que se aplican los documentos tipo para la contratación de obras públicas de infraestructura de transporte en la modalidad de mínima cuantía–versión 2, adoptados por esta Agencia mediante la Resolución 625 de 2022. Entre las causales de rechazo establecidas en el numeral 1.15 de la Invitación de </w:t>
      </w:r>
      <w:proofErr w:type="gramStart"/>
      <w:r w:rsidRPr="00020B2E">
        <w:rPr>
          <w:rFonts w:ascii="Arial" w:hAnsi="Arial" w:eastAsia="Calibri" w:cs="Arial"/>
          <w:lang w:val="es-ES_tradnl"/>
        </w:rPr>
        <w:t>estos documento</w:t>
      </w:r>
      <w:proofErr w:type="gramEnd"/>
      <w:r w:rsidRPr="00020B2E">
        <w:rPr>
          <w:rFonts w:ascii="Arial" w:hAnsi="Arial" w:eastAsia="Calibri" w:cs="Arial"/>
          <w:lang w:val="es-ES_tradnl"/>
        </w:rPr>
        <w:t xml:space="preserve"> se establece como causal de rechazo la siguiente: </w:t>
      </w:r>
      <w:r w:rsidRPr="005317AF">
        <w:rPr>
          <w:rFonts w:ascii="Arial" w:hAnsi="Arial" w:eastAsia="Calibri" w:cs="Arial"/>
          <w:i/>
          <w:iCs/>
          <w:lang w:val="es-ES_tradnl"/>
        </w:rPr>
        <w:t xml:space="preserve">“R. </w:t>
      </w:r>
      <w:r w:rsidRPr="005317AF">
        <w:rPr>
          <w:rFonts w:ascii="Arial" w:hAnsi="Arial" w:eastAsia="Arial Narrow" w:cs="Arial"/>
          <w:i/>
          <w:iCs/>
          <w:color w:val="000000" w:themeColor="text1"/>
          <w:lang w:eastAsia="es-CO"/>
        </w:rPr>
        <w:t>Presentar más de una oferta económica con valores distintos"</w:t>
      </w:r>
      <w:r w:rsidRPr="005317AF">
        <w:rPr>
          <w:rFonts w:ascii="Arial" w:hAnsi="Arial" w:eastAsia="Arial Narrow" w:cs="Arial"/>
          <w:color w:val="000000" w:themeColor="text1"/>
          <w:lang w:eastAsia="es-CO"/>
        </w:rPr>
        <w:t xml:space="preserve">. Conforme se </w:t>
      </w:r>
      <w:r>
        <w:rPr>
          <w:rFonts w:ascii="Arial" w:hAnsi="Arial" w:eastAsia="Arial Narrow" w:cs="Arial"/>
          <w:color w:val="000000" w:themeColor="text1"/>
          <w:lang w:eastAsia="es-CO"/>
        </w:rPr>
        <w:t xml:space="preserve">desprende del texto de esta causal, situaciones como la descrita en la consulta podrían ser sancionadas con el rechazo, en caso de que la Entidad Estatal encuentre configurada esta causal, de acuerdo con </w:t>
      </w:r>
      <w:proofErr w:type="gramStart"/>
      <w:r>
        <w:rPr>
          <w:rFonts w:ascii="Arial" w:hAnsi="Arial" w:eastAsia="Arial Narrow" w:cs="Arial"/>
          <w:color w:val="000000" w:themeColor="text1"/>
          <w:lang w:eastAsia="es-CO"/>
        </w:rPr>
        <w:t>el regla</w:t>
      </w:r>
      <w:proofErr w:type="gramEnd"/>
      <w:r>
        <w:rPr>
          <w:rFonts w:ascii="Arial" w:hAnsi="Arial" w:eastAsia="Arial Narrow" w:cs="Arial"/>
          <w:color w:val="000000" w:themeColor="text1"/>
          <w:lang w:eastAsia="es-CO"/>
        </w:rPr>
        <w:t xml:space="preserve"> de interpretación restrictiva que aplica en materia de aplicación de causales de rechazo.</w:t>
      </w:r>
    </w:p>
    <w:p w:rsidRPr="003348F3" w:rsidR="00EA591E" w:rsidP="00EA591E" w:rsidRDefault="00EA591E" w14:paraId="6278BB13" w14:textId="77777777">
      <w:pPr>
        <w:spacing w:after="0" w:line="240" w:lineRule="auto"/>
        <w:ind w:left="709" w:right="709"/>
        <w:jc w:val="both"/>
        <w:rPr>
          <w:rFonts w:ascii="Arial" w:hAnsi="Arial" w:cs="Arial"/>
        </w:rPr>
      </w:pPr>
    </w:p>
    <w:p w:rsidRPr="003348F3" w:rsidR="00EA591E" w:rsidP="00EA591E" w:rsidRDefault="00EA591E" w14:paraId="4CADB60C" w14:textId="77777777">
      <w:pPr>
        <w:spacing w:after="0" w:line="276" w:lineRule="auto"/>
        <w:contextualSpacing/>
        <w:jc w:val="both"/>
        <w:rPr>
          <w:rFonts w:ascii="Arial" w:hAnsi="Arial" w:eastAsia="Calibri" w:cs="Arial"/>
          <w:b/>
        </w:rPr>
      </w:pPr>
      <w:r w:rsidRPr="003348F3">
        <w:rPr>
          <w:rFonts w:ascii="Arial" w:hAnsi="Arial" w:eastAsia="Calibri" w:cs="Arial"/>
          <w:b/>
        </w:rPr>
        <w:t>3. Respuesta</w:t>
      </w:r>
    </w:p>
    <w:p w:rsidRPr="003348F3" w:rsidR="00EA591E" w:rsidP="00EA591E" w:rsidRDefault="00EA591E" w14:paraId="3F2DC4A6" w14:textId="77777777">
      <w:pPr>
        <w:spacing w:after="0" w:line="276" w:lineRule="auto"/>
        <w:contextualSpacing/>
        <w:jc w:val="both"/>
        <w:rPr>
          <w:rFonts w:ascii="Arial" w:hAnsi="Arial" w:eastAsia="Calibri" w:cs="Arial"/>
        </w:rPr>
      </w:pPr>
      <w:bookmarkStart w:name="_Hlk57650395" w:id="14"/>
    </w:p>
    <w:p w:rsidRPr="003348F3" w:rsidR="00EA591E" w:rsidP="00EA591E" w:rsidRDefault="00EA591E" w14:paraId="59DDE96C" w14:textId="77777777">
      <w:pPr>
        <w:spacing w:before="120" w:after="0" w:line="240" w:lineRule="auto"/>
        <w:ind w:left="709" w:right="709"/>
        <w:contextualSpacing/>
        <w:jc w:val="both"/>
        <w:rPr>
          <w:rFonts w:ascii="Arial" w:hAnsi="Arial" w:eastAsia="Calibri" w:cs="Arial"/>
          <w:sz w:val="21"/>
          <w:szCs w:val="21"/>
        </w:rPr>
      </w:pPr>
      <w:r w:rsidRPr="003348F3">
        <w:rPr>
          <w:rFonts w:ascii="Arial" w:hAnsi="Arial" w:eastAsia="Calibri" w:cs="Arial"/>
          <w:sz w:val="21"/>
          <w:szCs w:val="21"/>
        </w:rPr>
        <w:t>“En un proceso de selección de mínima cuantía se presentan dos ofertas de la siguiente manera:</w:t>
      </w:r>
    </w:p>
    <w:p w:rsidRPr="003348F3" w:rsidR="00EA591E" w:rsidP="00EA591E" w:rsidRDefault="00EA591E" w14:paraId="3150BB43" w14:textId="77777777">
      <w:pPr>
        <w:spacing w:before="120" w:after="120" w:line="240" w:lineRule="auto"/>
        <w:ind w:left="709" w:right="709"/>
        <w:jc w:val="both"/>
        <w:rPr>
          <w:rFonts w:ascii="Arial" w:hAnsi="Arial" w:eastAsia="Calibri" w:cs="Arial"/>
          <w:sz w:val="21"/>
          <w:szCs w:val="21"/>
        </w:rPr>
      </w:pPr>
      <w:r w:rsidRPr="003348F3">
        <w:rPr>
          <w:rFonts w:ascii="Arial" w:hAnsi="Arial" w:eastAsia="Calibri" w:cs="Arial"/>
          <w:sz w:val="21"/>
          <w:szCs w:val="21"/>
        </w:rPr>
        <w:t>[…] Oferta 1 ABC S.A.S., por un valor de $1.200.000 en la plataforma, pero a su vez en los documentos aparece por 1.000.000.</w:t>
      </w:r>
    </w:p>
    <w:p w:rsidRPr="003348F3" w:rsidR="00EA591E" w:rsidP="00EA591E" w:rsidRDefault="00EA591E" w14:paraId="012CC9D1" w14:textId="77777777">
      <w:pPr>
        <w:spacing w:before="120" w:after="120" w:line="240" w:lineRule="auto"/>
        <w:ind w:left="709" w:right="709"/>
        <w:jc w:val="both"/>
        <w:rPr>
          <w:rFonts w:ascii="Arial" w:hAnsi="Arial" w:eastAsia="Calibri" w:cs="Arial"/>
          <w:sz w:val="21"/>
          <w:szCs w:val="21"/>
        </w:rPr>
      </w:pPr>
      <w:r w:rsidRPr="003348F3">
        <w:rPr>
          <w:rFonts w:ascii="Arial" w:hAnsi="Arial" w:eastAsia="Calibri" w:cs="Arial"/>
          <w:sz w:val="21"/>
          <w:szCs w:val="21"/>
        </w:rPr>
        <w:t xml:space="preserve">Oferta 2 DEF S.A.S., por un valor de $1.000.000 tanto en la plataforma como en loa documentos. </w:t>
      </w:r>
    </w:p>
    <w:p w:rsidRPr="003348F3" w:rsidR="00EA591E" w:rsidP="00EA591E" w:rsidRDefault="00EA591E" w14:paraId="2E470D8D" w14:textId="77777777">
      <w:pPr>
        <w:spacing w:before="120" w:after="120" w:line="240" w:lineRule="auto"/>
        <w:ind w:left="709" w:right="709"/>
        <w:jc w:val="both"/>
        <w:rPr>
          <w:rFonts w:ascii="Arial" w:hAnsi="Arial" w:eastAsia="Calibri" w:cs="Arial"/>
          <w:sz w:val="21"/>
          <w:szCs w:val="21"/>
        </w:rPr>
      </w:pPr>
      <w:r w:rsidRPr="003348F3">
        <w:rPr>
          <w:rFonts w:ascii="Arial" w:hAnsi="Arial" w:eastAsia="Calibri" w:cs="Arial"/>
          <w:sz w:val="21"/>
          <w:szCs w:val="21"/>
        </w:rPr>
        <w:t>La consulta es: Sí existe una diferencia entre el valor ofrecido en la plataforma y el valor adjuntado en la oferta económica en los anexos de un mismo oferente, ¿cuál debe primar? ¿El valor de la plataforma? o ¿el valor del documento?” [</w:t>
      </w:r>
      <w:r w:rsidRPr="003348F3">
        <w:rPr>
          <w:rFonts w:ascii="Arial" w:hAnsi="Arial" w:eastAsia="Calibri" w:cs="Arial"/>
          <w:bCs/>
          <w:sz w:val="21"/>
          <w:szCs w:val="21"/>
          <w:lang w:val="es-MX"/>
        </w:rPr>
        <w:t>sic</w:t>
      </w:r>
      <w:r w:rsidRPr="003348F3">
        <w:rPr>
          <w:rFonts w:ascii="Arial" w:hAnsi="Arial" w:eastAsia="Calibri" w:cs="Arial"/>
          <w:sz w:val="21"/>
          <w:szCs w:val="21"/>
        </w:rPr>
        <w:t>]</w:t>
      </w:r>
    </w:p>
    <w:p w:rsidRPr="003348F3" w:rsidR="00EA591E" w:rsidP="00EA591E" w:rsidRDefault="00EA591E" w14:paraId="76DF9DA8" w14:textId="77777777">
      <w:pPr>
        <w:shd w:val="clear" w:color="auto" w:fill="FFFFFF"/>
        <w:spacing w:after="0" w:line="276" w:lineRule="auto"/>
        <w:jc w:val="both"/>
        <w:rPr>
          <w:rFonts w:ascii="Arial" w:hAnsi="Arial" w:cs="Arial"/>
        </w:rPr>
      </w:pPr>
    </w:p>
    <w:p w:rsidRPr="003348F3" w:rsidR="00EA591E" w:rsidP="00EA591E" w:rsidRDefault="00EA591E" w14:paraId="7BB02DA7" w14:textId="77777777">
      <w:pPr>
        <w:spacing w:after="0" w:line="276" w:lineRule="auto"/>
        <w:jc w:val="both"/>
        <w:rPr>
          <w:rFonts w:ascii="Arial" w:hAnsi="Arial" w:eastAsia="Calibri" w:cs="Arial"/>
          <w:lang w:val="es-ES" w:eastAsia="es-MX"/>
        </w:rPr>
      </w:pPr>
      <w:r w:rsidRPr="003348F3">
        <w:rPr>
          <w:rFonts w:ascii="Arial" w:hAnsi="Arial" w:eastAsia="Calibri" w:cs="Arial"/>
          <w:lang w:val="es-ES" w:eastAsia="es-MX"/>
        </w:rPr>
        <w:t>De manera preliminar es pertinente aclarar, que la Agencia Nacional de Contratación Pública – Colombia Compra Eficiente resuelve consultas sobre asuntos de su competencia, esto es, sobre las temáticas de la contratación y compras públicas relacionadas con la aplicación de normas de carácter general. Por ello, esta competencia no puede extenderse a la resolución de casos particulares, brindar asesorías o validar las actuaciones de las Entidades Estatales, toda vez que ello desborda las atribuciones asignadas a esta entidad por el legislador extraordinario.</w:t>
      </w:r>
    </w:p>
    <w:p w:rsidRPr="003348F3" w:rsidR="00EA591E" w:rsidP="00EA591E" w:rsidRDefault="00EA591E" w14:paraId="30D44C64" w14:textId="77777777">
      <w:pPr>
        <w:spacing w:before="120" w:after="0" w:line="276" w:lineRule="auto"/>
        <w:jc w:val="both"/>
        <w:rPr>
          <w:rFonts w:ascii="Arial" w:hAnsi="Arial" w:eastAsia="Calibri" w:cs="Arial"/>
          <w:lang w:val="es-ES_tradnl"/>
        </w:rPr>
      </w:pPr>
      <w:r w:rsidRPr="003348F3">
        <w:rPr>
          <w:rFonts w:ascii="Arial" w:hAnsi="Arial" w:eastAsia="Calibri" w:cs="Arial"/>
          <w:lang w:val="es-ES" w:eastAsia="es-MX"/>
        </w:rPr>
        <w:tab/>
      </w:r>
      <w:r w:rsidRPr="003348F3">
        <w:rPr>
          <w:rFonts w:ascii="Arial" w:hAnsi="Arial" w:cs="Arial"/>
          <w:lang w:val="es-ES_tradnl"/>
        </w:rPr>
        <w:t xml:space="preserve">Sin perjuicio de lo anterior, como se indicó en el considerando de este concepto, en el evento que la Entidad Estatal, con ocasión de la elaboración del informe de evaluación de las propuestas o de las observaciones presentadas por los proponentes, identifique en una oferta aspectos que no sean claros o generen dudas, podrá requerir al proponente para que haga la aclaración correspondiente. De ahí que, habida consideración del principio de lo </w:t>
      </w:r>
      <w:r w:rsidRPr="003348F3">
        <w:rPr>
          <w:rFonts w:ascii="Arial" w:hAnsi="Arial" w:eastAsia="Calibri" w:cs="Arial"/>
          <w:lang w:val="es-ES_tradnl"/>
        </w:rPr>
        <w:t>sustancial sobre lo formal, podrán aclararse aspectos puramente formales de las propuestas, inclusive aquellos que otorgan puntaje, siempre y cuando ese hecho no conlleve una adición, modificación o mejora sustancial de la oferta.</w:t>
      </w:r>
    </w:p>
    <w:p w:rsidRPr="003348F3" w:rsidR="00EA591E" w:rsidP="00EA591E" w:rsidRDefault="00EA591E" w14:paraId="5B836162" w14:textId="77777777">
      <w:pPr>
        <w:spacing w:before="120" w:after="120" w:line="276" w:lineRule="auto"/>
        <w:jc w:val="both"/>
        <w:rPr>
          <w:rFonts w:ascii="Arial" w:hAnsi="Arial" w:cs="Arial"/>
          <w:lang w:val="es-ES_tradnl"/>
        </w:rPr>
      </w:pPr>
      <w:r w:rsidRPr="003348F3">
        <w:rPr>
          <w:rFonts w:ascii="Arial" w:hAnsi="Arial" w:cs="Arial"/>
          <w:lang w:val="es-ES_tradnl"/>
        </w:rPr>
        <w:tab/>
      </w:r>
      <w:r w:rsidRPr="003348F3">
        <w:rPr>
          <w:rFonts w:ascii="Arial" w:hAnsi="Arial" w:cs="Arial"/>
          <w:lang w:val="es-ES_tradnl"/>
        </w:rPr>
        <w:t>Ahora bien, es importante señalar que en</w:t>
      </w:r>
      <w:r w:rsidRPr="003348F3">
        <w:t xml:space="preserve"> </w:t>
      </w:r>
      <w:r w:rsidRPr="003348F3">
        <w:rPr>
          <w:rFonts w:ascii="Arial" w:hAnsi="Arial" w:cs="Arial"/>
          <w:lang w:val="es-ES_tradnl"/>
        </w:rPr>
        <w:t>los procedimientos adelantados bajo la modalidad de selección de mínima cuantía, al ser el precio el único factor de evaluación, no resulta procedente la subsanación de la oferta económica, esto, en virtud del alcance de la regla contenida en el parágrafo 1 del artículo 5 de la Ley 1150 de 2007, la cual excluye los aspectos relevantes para la comparación de ofertas. Sin embargo, asuntos relacionados con la oferta económica que no hayan resultado claros, podrían ser objeto de aclaración en los términos antes indicados. Una vez presentada la aclaración, la Entidad Estatal analizará y valorará la información allegada por el proponente, con el fin de establecer si efectivamente se trata de una aclaración o si en realidad comporta una adición, modificación o mejora sustancial de la oferta, hecho, que acarreará el rechazo de esta.</w:t>
      </w:r>
    </w:p>
    <w:p w:rsidR="00EA591E" w:rsidP="00EA591E" w:rsidRDefault="00EA591E" w14:paraId="5A3BCA43" w14:textId="77777777">
      <w:pPr>
        <w:spacing w:before="120" w:after="0" w:line="276" w:lineRule="auto"/>
        <w:jc w:val="both"/>
        <w:rPr>
          <w:rFonts w:ascii="Arial" w:hAnsi="Arial" w:eastAsia="Calibri" w:cs="Arial"/>
          <w:lang w:val="es-ES_tradnl"/>
        </w:rPr>
      </w:pPr>
      <w:r>
        <w:rPr>
          <w:rFonts w:ascii="Arial" w:hAnsi="Arial" w:cs="Arial"/>
          <w:lang w:val="es-ES_tradnl"/>
        </w:rPr>
        <w:tab/>
      </w:r>
      <w:r>
        <w:rPr>
          <w:rFonts w:ascii="Arial" w:hAnsi="Arial" w:eastAsia="Calibri" w:cs="Arial"/>
          <w:lang w:val="es-ES_tradnl"/>
        </w:rPr>
        <w:t xml:space="preserve">Sin perjuicio de lo anterior, </w:t>
      </w:r>
      <w:r w:rsidRPr="003348F3">
        <w:rPr>
          <w:rFonts w:ascii="Arial" w:hAnsi="Arial" w:eastAsia="Calibri" w:cs="Arial"/>
          <w:lang w:val="es-ES_tradnl"/>
        </w:rPr>
        <w:t>es importante aclarar que las Entidades Estatales en virtud de</w:t>
      </w:r>
      <w:r>
        <w:rPr>
          <w:rFonts w:ascii="Arial" w:hAnsi="Arial" w:eastAsia="Calibri" w:cs="Arial"/>
          <w:lang w:val="es-ES_tradnl"/>
        </w:rPr>
        <w:t xml:space="preserve"> la autonomía que les asiste en la dirección del Proceso de Contratación y la discrecionalidad con la que, por regla general, cuentan para configurar el contenido del pliego de condiciones están autorizadas para incluir las reglas que consideren adecuadas, con sujeción a las normas legales y reglamentarías que resulten aplicables. Esto supone la posibilidad de que se estructuren causales que impongan el rechazo de la oferta cuando se presenten situaciones que distorsionen la evaluación de la oferta, como bien puede ser considerado el supuesto en el que se presenta una propuesta económica con dos valores distintos, siendo el valor de la oferta el único criterio de evaluación. </w:t>
      </w:r>
    </w:p>
    <w:p w:rsidRPr="003348F3" w:rsidR="00EA591E" w:rsidP="00EA591E" w:rsidRDefault="00EA591E" w14:paraId="42CB4821" w14:textId="77777777">
      <w:pPr>
        <w:spacing w:before="120" w:line="276" w:lineRule="auto"/>
        <w:ind w:firstLine="708"/>
        <w:jc w:val="both"/>
        <w:rPr>
          <w:rFonts w:ascii="Arial" w:hAnsi="Arial" w:eastAsia="Calibri" w:cs="Arial"/>
          <w:lang w:val="es-ES_tradnl"/>
        </w:rPr>
      </w:pPr>
      <w:r w:rsidRPr="00020B2E">
        <w:rPr>
          <w:rFonts w:ascii="Arial" w:hAnsi="Arial" w:eastAsia="Calibri" w:cs="Arial"/>
          <w:lang w:val="es-ES_tradnl"/>
        </w:rPr>
        <w:t>Este es el caso de los procesos en los que se aplican los documentos tipo para la contratación de obras públicas de infraestructura de transporte en la modalidad de mínima cuantía–versión 2, adoptados por esta Agencia mediante la Resolución 625 de 2022. Entre las causales de rechazo establecidas en el numeral 1.15 de la Invitación de estos documento</w:t>
      </w:r>
      <w:r>
        <w:rPr>
          <w:rFonts w:ascii="Arial" w:hAnsi="Arial" w:eastAsia="Calibri" w:cs="Arial"/>
          <w:lang w:val="es-ES_tradnl"/>
        </w:rPr>
        <w:t>s</w:t>
      </w:r>
      <w:r w:rsidRPr="00020B2E">
        <w:rPr>
          <w:rFonts w:ascii="Arial" w:hAnsi="Arial" w:eastAsia="Calibri" w:cs="Arial"/>
          <w:lang w:val="es-ES_tradnl"/>
        </w:rPr>
        <w:t xml:space="preserve"> se establece como causal de rechazo la siguiente: </w:t>
      </w:r>
      <w:r w:rsidRPr="002153B5">
        <w:rPr>
          <w:rFonts w:ascii="Arial" w:hAnsi="Arial" w:eastAsia="Calibri" w:cs="Arial"/>
          <w:i/>
          <w:iCs/>
          <w:lang w:val="es-ES_tradnl"/>
        </w:rPr>
        <w:t xml:space="preserve">“R. </w:t>
      </w:r>
      <w:r w:rsidRPr="002153B5">
        <w:rPr>
          <w:rFonts w:ascii="Arial" w:hAnsi="Arial" w:eastAsia="Arial Narrow" w:cs="Arial"/>
          <w:i/>
          <w:iCs/>
          <w:color w:val="000000" w:themeColor="text1"/>
          <w:lang w:eastAsia="es-CO"/>
        </w:rPr>
        <w:t>Presentar más de una oferta económica con valores distintos"</w:t>
      </w:r>
      <w:r w:rsidRPr="002153B5">
        <w:rPr>
          <w:rFonts w:ascii="Arial" w:hAnsi="Arial" w:eastAsia="Arial Narrow" w:cs="Arial"/>
          <w:color w:val="000000" w:themeColor="text1"/>
          <w:lang w:eastAsia="es-CO"/>
        </w:rPr>
        <w:t xml:space="preserve">. Conforme se </w:t>
      </w:r>
      <w:r>
        <w:rPr>
          <w:rFonts w:ascii="Arial" w:hAnsi="Arial" w:eastAsia="Arial Narrow" w:cs="Arial"/>
          <w:color w:val="000000" w:themeColor="text1"/>
          <w:lang w:eastAsia="es-CO"/>
        </w:rPr>
        <w:t xml:space="preserve">desprende del texto de esta causal, situaciones como la descrita en la consulta podrían ser sancionadas con el rechazo, en caso de que la Entidad Estatal encuentre configurada esta causal, de acuerdo con </w:t>
      </w:r>
      <w:proofErr w:type="gramStart"/>
      <w:r>
        <w:rPr>
          <w:rFonts w:ascii="Arial" w:hAnsi="Arial" w:eastAsia="Arial Narrow" w:cs="Arial"/>
          <w:color w:val="000000" w:themeColor="text1"/>
          <w:lang w:eastAsia="es-CO"/>
        </w:rPr>
        <w:t>el regla</w:t>
      </w:r>
      <w:proofErr w:type="gramEnd"/>
      <w:r>
        <w:rPr>
          <w:rFonts w:ascii="Arial" w:hAnsi="Arial" w:eastAsia="Arial Narrow" w:cs="Arial"/>
          <w:color w:val="000000" w:themeColor="text1"/>
          <w:lang w:eastAsia="es-CO"/>
        </w:rPr>
        <w:t xml:space="preserve"> de interpretación restrictiva que aplica en materia de aplicación de causales de rechazo.</w:t>
      </w:r>
    </w:p>
    <w:p w:rsidRPr="003348F3" w:rsidR="00EA591E" w:rsidP="00EA591E" w:rsidRDefault="00EA591E" w14:paraId="0B9AE106" w14:textId="77777777">
      <w:pPr>
        <w:spacing w:after="0" w:line="276" w:lineRule="auto"/>
        <w:jc w:val="both"/>
        <w:rPr>
          <w:rFonts w:ascii="Arial" w:hAnsi="Arial" w:cs="Arial"/>
          <w:lang w:val="es-ES_tradnl"/>
        </w:rPr>
      </w:pPr>
      <w:r w:rsidRPr="003348F3">
        <w:rPr>
          <w:rFonts w:ascii="Arial" w:hAnsi="Arial" w:cs="Arial"/>
          <w:lang w:val="es-ES_tradnl"/>
        </w:rPr>
        <w:tab/>
      </w:r>
      <w:r w:rsidRPr="003348F3">
        <w:rPr>
          <w:rFonts w:ascii="Arial" w:hAnsi="Arial" w:cs="Arial"/>
          <w:lang w:val="es-ES_tradnl"/>
        </w:rPr>
        <w:t>Sin embargo, para los efectos se aclara que las Entidades Estatales en virtud del principio de autonomía, están facultadas para establecer las reglas que regirán el Proceso de Contratación mediante la estructuración del pliego de condiciones. Documento, en el que podrán señalar el valor de la oferta que tendrán en cuenta a efectos de evaluación, cuando exista discrepancia entre los valorares relacionados en los documentos contentivos de esta y los referenciados en el SECOP. Lo anterior, bajo la observancia de la normativa contractual aplicable.</w:t>
      </w:r>
    </w:p>
    <w:p w:rsidRPr="003348F3" w:rsidR="00EA591E" w:rsidP="00EA591E" w:rsidRDefault="00EA591E" w14:paraId="4FB75E26" w14:textId="77777777">
      <w:pPr>
        <w:spacing w:before="120" w:after="0" w:line="276" w:lineRule="auto"/>
        <w:jc w:val="both"/>
        <w:rPr>
          <w:rFonts w:ascii="Arial" w:hAnsi="Arial" w:eastAsia="Calibri" w:cs="Arial"/>
          <w:lang w:val="es-ES" w:eastAsia="es-MX"/>
        </w:rPr>
      </w:pPr>
    </w:p>
    <w:p w:rsidRPr="003348F3" w:rsidR="00EA591E" w:rsidP="00EA591E" w:rsidRDefault="00EA591E" w14:paraId="48A3AFC5" w14:textId="77777777">
      <w:pPr>
        <w:widowControl w:val="0"/>
        <w:autoSpaceDE w:val="0"/>
        <w:autoSpaceDN w:val="0"/>
        <w:spacing w:after="0" w:line="276" w:lineRule="auto"/>
        <w:contextualSpacing/>
        <w:jc w:val="both"/>
        <w:rPr>
          <w:rFonts w:ascii="Arial" w:hAnsi="Arial" w:eastAsia="Times New Roman" w:cs="Arial"/>
          <w:lang w:eastAsia="es-ES_tradnl"/>
        </w:rPr>
      </w:pPr>
      <w:r w:rsidRPr="003348F3">
        <w:rPr>
          <w:rFonts w:ascii="Arial" w:hAnsi="Arial" w:eastAsia="Calibri" w:cs="Arial"/>
        </w:rPr>
        <w:t>Este concepto tiene el alcance previsto en el artículo 28 del Código de Procedimiento Administrativo y de lo Contencioso Administrativo</w:t>
      </w:r>
      <w:r w:rsidRPr="003348F3">
        <w:rPr>
          <w:rFonts w:ascii="Arial" w:hAnsi="Arial" w:eastAsia="Calibri" w:cs="Arial"/>
          <w:noProof/>
          <w:lang w:eastAsia="es-CO"/>
        </w:rPr>
        <mc:AlternateContent>
          <mc:Choice Requires="wps">
            <w:drawing>
              <wp:anchor distT="0" distB="0" distL="114300" distR="114300" simplePos="0" relativeHeight="251659264" behindDoc="0" locked="0" layoutInCell="1" allowOverlap="1" wp14:anchorId="58A62865" wp14:editId="79689BE8">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EAFAB9">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9147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w10:wrap anchorx="page"/>
              </v:line>
            </w:pict>
          </mc:Fallback>
        </mc:AlternateContent>
      </w:r>
      <w:r w:rsidRPr="003348F3">
        <w:rPr>
          <w:rFonts w:ascii="Arial" w:hAnsi="Arial" w:eastAsia="Calibri" w:cs="Arial"/>
        </w:rPr>
        <w:t xml:space="preserve"> y las expresiones utilizadas con mayúscula inicial deben ser entendidas con el significado que les otorga el artículo 2.2.1.1.1.3.1 del Decreto 1082 de 2015.</w:t>
      </w:r>
    </w:p>
    <w:p w:rsidRPr="003348F3" w:rsidR="00EA591E" w:rsidP="00EA591E" w:rsidRDefault="00EA591E" w14:paraId="4A9AFBD9" w14:textId="77777777">
      <w:pPr>
        <w:spacing w:after="120" w:line="276" w:lineRule="auto"/>
        <w:jc w:val="both"/>
        <w:rPr>
          <w:rFonts w:ascii="Arial" w:hAnsi="Arial" w:eastAsia="Times New Roman" w:cs="Arial"/>
          <w:lang w:eastAsia="es-ES_tradnl"/>
        </w:rPr>
      </w:pPr>
    </w:p>
    <w:p w:rsidRPr="003348F3" w:rsidR="00EA591E" w:rsidP="00EA591E" w:rsidRDefault="00EA591E" w14:paraId="36BC8129" w14:textId="77777777">
      <w:pPr>
        <w:spacing w:after="0" w:line="276" w:lineRule="auto"/>
        <w:jc w:val="both"/>
        <w:rPr>
          <w:rFonts w:ascii="Arial" w:hAnsi="Arial" w:eastAsia="Times New Roman" w:cs="Arial"/>
          <w:lang w:eastAsia="es-CO"/>
        </w:rPr>
      </w:pPr>
      <w:r w:rsidRPr="003348F3">
        <w:rPr>
          <w:rFonts w:ascii="Arial" w:hAnsi="Arial" w:eastAsia="Times New Roman" w:cs="Arial"/>
          <w:lang w:eastAsia="es-CO"/>
        </w:rPr>
        <w:t>Atentamente,</w:t>
      </w:r>
    </w:p>
    <w:p w:rsidR="00EA591E" w:rsidP="00EA591E" w:rsidRDefault="00AD3902" w14:paraId="78B3C6C0" w14:textId="02A67382">
      <w:pPr>
        <w:spacing w:after="200" w:line="276" w:lineRule="auto"/>
        <w:jc w:val="center"/>
        <w:rPr>
          <w:rFonts w:ascii="Arial" w:hAnsi="Arial" w:eastAsia="Calibri" w:cs="Arial"/>
          <w:b/>
          <w:bCs/>
          <w:sz w:val="20"/>
          <w:szCs w:val="20"/>
          <w:lang w:val="es-MX"/>
        </w:rPr>
      </w:pPr>
      <w:bookmarkStart w:name="_Hlk130981267" w:id="15"/>
      <w:bookmarkEnd w:id="0"/>
      <w:bookmarkEnd w:id="14"/>
      <w:r>
        <w:rPr>
          <w:rFonts w:ascii="Calibri" w:hAnsi="Calibri" w:cs="Calibri"/>
          <w:noProof/>
          <w:shd w:val="clear" w:color="auto" w:fill="FFFFFF"/>
        </w:rPr>
        <w:drawing>
          <wp:inline distT="0" distB="0" distL="0" distR="0" wp14:anchorId="0FA25EE9" wp14:editId="03EEFE82">
            <wp:extent cx="3152775" cy="1207135"/>
            <wp:effectExtent l="0" t="0" r="9525" b="0"/>
            <wp:docPr id="186245697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1207135"/>
                    </a:xfrm>
                    <a:prstGeom prst="rect">
                      <a:avLst/>
                    </a:prstGeom>
                    <a:noFill/>
                    <a:ln>
                      <a:noFill/>
                    </a:ln>
                  </pic:spPr>
                </pic:pic>
              </a:graphicData>
            </a:graphic>
          </wp:inline>
        </w:drawing>
      </w:r>
      <w:r>
        <w:rPr>
          <w:rFonts w:ascii="Calibri" w:hAnsi="Calibri" w:cs="Calibri"/>
          <w:color w:val="000000"/>
          <w:shd w:val="clear" w:color="auto" w:fill="FFFFFF"/>
        </w:rPr>
        <w:br/>
      </w:r>
      <w:r w:rsidRPr="003348F3" w:rsidR="00EA591E">
        <w:rPr>
          <w:rFonts w:ascii="Calibri" w:hAnsi="Calibri" w:cs="Calibri"/>
          <w:shd w:val="clear" w:color="auto" w:fill="FFFFFF"/>
        </w:rPr>
        <w:br/>
      </w:r>
    </w:p>
    <w:tbl>
      <w:tblPr>
        <w:tblStyle w:val="Tablaconcuadrcula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4957"/>
      </w:tblGrid>
      <w:tr w:rsidRPr="003348F3" w:rsidR="00EA591E" w:rsidTr="006D5F1A" w14:paraId="1AB49BA6" w14:textId="77777777">
        <w:trPr>
          <w:trHeight w:val="315"/>
        </w:trPr>
        <w:tc>
          <w:tcPr>
            <w:tcW w:w="855" w:type="dxa"/>
            <w:vAlign w:val="center"/>
            <w:hideMark/>
          </w:tcPr>
          <w:p w:rsidRPr="003348F3" w:rsidR="00EA591E" w:rsidP="006D5F1A" w:rsidRDefault="00EA591E" w14:paraId="23DCB12F" w14:textId="77777777">
            <w:pPr>
              <w:rPr>
                <w:rFonts w:ascii="Arial" w:hAnsi="Arial" w:eastAsia="Times New Roman" w:cs="Arial"/>
                <w:sz w:val="16"/>
                <w:szCs w:val="16"/>
                <w:lang w:eastAsia="es-ES"/>
              </w:rPr>
            </w:pPr>
            <w:r w:rsidRPr="003348F3">
              <w:rPr>
                <w:rFonts w:ascii="Arial" w:hAnsi="Arial" w:eastAsia="Times New Roman" w:cs="Arial"/>
                <w:sz w:val="16"/>
                <w:szCs w:val="16"/>
                <w:lang w:eastAsia="es-ES"/>
              </w:rPr>
              <w:t>Elaboró:</w:t>
            </w:r>
          </w:p>
        </w:tc>
        <w:tc>
          <w:tcPr>
            <w:tcW w:w="4957" w:type="dxa"/>
            <w:tcBorders>
              <w:top w:val="nil"/>
              <w:left w:val="nil"/>
              <w:bottom w:val="dotted" w:color="7F7F7F" w:sz="4" w:space="0"/>
              <w:right w:val="nil"/>
            </w:tcBorders>
            <w:vAlign w:val="center"/>
            <w:hideMark/>
          </w:tcPr>
          <w:p w:rsidRPr="003348F3" w:rsidR="00EA591E" w:rsidP="006D5F1A" w:rsidRDefault="00EA591E" w14:paraId="64860E3F" w14:textId="77777777">
            <w:pPr>
              <w:rPr>
                <w:rFonts w:ascii="Arial" w:hAnsi="Arial" w:eastAsia="Times New Roman" w:cs="Arial"/>
                <w:sz w:val="16"/>
                <w:szCs w:val="16"/>
                <w:lang w:eastAsia="es-ES"/>
              </w:rPr>
            </w:pPr>
            <w:r w:rsidRPr="003348F3">
              <w:rPr>
                <w:rFonts w:ascii="Arial" w:hAnsi="Arial" w:eastAsia="Times New Roman" w:cs="Arial"/>
                <w:sz w:val="16"/>
                <w:szCs w:val="16"/>
                <w:lang w:eastAsia="es-ES"/>
              </w:rPr>
              <w:t>Nasly Yeana Mosquera Rivas</w:t>
            </w:r>
          </w:p>
          <w:p w:rsidRPr="003348F3" w:rsidR="00EA591E" w:rsidP="006D5F1A" w:rsidRDefault="00EA591E" w14:paraId="05DD6D3E" w14:textId="77777777">
            <w:pPr>
              <w:rPr>
                <w:rFonts w:ascii="Arial" w:hAnsi="Arial" w:eastAsia="Times New Roman" w:cs="Arial"/>
                <w:sz w:val="16"/>
                <w:szCs w:val="16"/>
                <w:lang w:eastAsia="es-ES"/>
              </w:rPr>
            </w:pPr>
            <w:r w:rsidRPr="003348F3">
              <w:rPr>
                <w:rFonts w:ascii="Arial" w:hAnsi="Arial" w:eastAsia="Times New Roman" w:cs="Arial"/>
                <w:sz w:val="16"/>
                <w:szCs w:val="16"/>
                <w:lang w:eastAsia="es-ES"/>
              </w:rPr>
              <w:t>Analista T2–06 de la Subdirección de Gestión Contractual</w:t>
            </w:r>
          </w:p>
        </w:tc>
      </w:tr>
      <w:tr w:rsidRPr="003348F3" w:rsidR="00EA591E" w:rsidTr="006D5F1A" w14:paraId="1178BEBB" w14:textId="77777777">
        <w:trPr>
          <w:trHeight w:val="330"/>
        </w:trPr>
        <w:tc>
          <w:tcPr>
            <w:tcW w:w="855" w:type="dxa"/>
            <w:vAlign w:val="center"/>
            <w:hideMark/>
          </w:tcPr>
          <w:p w:rsidRPr="003348F3" w:rsidR="00EA591E" w:rsidP="006D5F1A" w:rsidRDefault="00EA591E" w14:paraId="1DC3E4A8" w14:textId="77777777">
            <w:pPr>
              <w:rPr>
                <w:rFonts w:ascii="Arial" w:hAnsi="Arial" w:eastAsia="Times New Roman" w:cs="Arial"/>
                <w:sz w:val="16"/>
                <w:szCs w:val="16"/>
                <w:lang w:eastAsia="es-ES"/>
              </w:rPr>
            </w:pPr>
            <w:r w:rsidRPr="003348F3">
              <w:rPr>
                <w:rFonts w:ascii="Arial" w:hAnsi="Arial" w:eastAsia="Times New Roman" w:cs="Arial"/>
                <w:sz w:val="16"/>
                <w:szCs w:val="16"/>
                <w:lang w:eastAsia="es-ES"/>
              </w:rPr>
              <w:t>Revisó:</w:t>
            </w:r>
          </w:p>
        </w:tc>
        <w:tc>
          <w:tcPr>
            <w:tcW w:w="4957" w:type="dxa"/>
            <w:tcBorders>
              <w:top w:val="dotted" w:color="7F7F7F" w:sz="4" w:space="0"/>
              <w:left w:val="nil"/>
              <w:bottom w:val="dotted" w:color="7F7F7F" w:sz="4" w:space="0"/>
              <w:right w:val="nil"/>
            </w:tcBorders>
            <w:vAlign w:val="center"/>
            <w:hideMark/>
          </w:tcPr>
          <w:p w:rsidRPr="003348F3" w:rsidR="00EA591E" w:rsidP="006D5F1A" w:rsidRDefault="00EA591E" w14:paraId="7F27C117" w14:textId="77777777">
            <w:pPr>
              <w:rPr>
                <w:rFonts w:ascii="Arial" w:hAnsi="Arial" w:eastAsia="Times New Roman" w:cs="Arial"/>
                <w:sz w:val="16"/>
                <w:szCs w:val="16"/>
                <w:lang w:eastAsia="es-ES"/>
              </w:rPr>
            </w:pPr>
            <w:r w:rsidRPr="003348F3">
              <w:rPr>
                <w:rFonts w:ascii="Arial" w:hAnsi="Arial" w:eastAsia="Times New Roman" w:cs="Arial"/>
                <w:sz w:val="16"/>
                <w:szCs w:val="16"/>
                <w:lang w:eastAsia="es-ES"/>
              </w:rPr>
              <w:t>Alejandro Sarmiento Cantillo</w:t>
            </w:r>
          </w:p>
          <w:p w:rsidRPr="003348F3" w:rsidR="00EA591E" w:rsidP="006D5F1A" w:rsidRDefault="00EA591E" w14:paraId="33279B2C" w14:textId="77777777">
            <w:pPr>
              <w:rPr>
                <w:rFonts w:ascii="Arial" w:hAnsi="Arial" w:eastAsia="Times New Roman" w:cs="Arial"/>
                <w:sz w:val="16"/>
                <w:szCs w:val="16"/>
                <w:lang w:eastAsia="es-ES"/>
              </w:rPr>
            </w:pPr>
            <w:r>
              <w:rPr>
                <w:rFonts w:ascii="Arial" w:hAnsi="Arial" w:eastAsia="Times New Roman" w:cs="Arial"/>
                <w:sz w:val="16"/>
                <w:szCs w:val="16"/>
                <w:lang w:eastAsia="es-ES"/>
              </w:rPr>
              <w:t>Gestor T1-15</w:t>
            </w:r>
            <w:r w:rsidRPr="003348F3">
              <w:rPr>
                <w:rFonts w:ascii="Arial" w:hAnsi="Arial" w:eastAsia="Times New Roman" w:cs="Arial"/>
                <w:sz w:val="16"/>
                <w:szCs w:val="16"/>
                <w:lang w:eastAsia="es-ES"/>
              </w:rPr>
              <w:t xml:space="preserve"> de la Subdirección de Gestión Contractual</w:t>
            </w:r>
          </w:p>
        </w:tc>
      </w:tr>
      <w:tr w:rsidRPr="003348F3" w:rsidR="00EA591E" w:rsidTr="006D5F1A" w14:paraId="0BC711A2" w14:textId="77777777">
        <w:trPr>
          <w:trHeight w:val="300"/>
        </w:trPr>
        <w:tc>
          <w:tcPr>
            <w:tcW w:w="855" w:type="dxa"/>
            <w:vAlign w:val="center"/>
            <w:hideMark/>
          </w:tcPr>
          <w:p w:rsidRPr="003348F3" w:rsidR="00EA591E" w:rsidP="006D5F1A" w:rsidRDefault="00EA591E" w14:paraId="6039B3F2" w14:textId="77777777">
            <w:pPr>
              <w:rPr>
                <w:rFonts w:ascii="Arial" w:hAnsi="Arial" w:eastAsia="Times New Roman" w:cs="Arial"/>
                <w:sz w:val="16"/>
                <w:szCs w:val="16"/>
                <w:lang w:eastAsia="es-ES"/>
              </w:rPr>
            </w:pPr>
            <w:r w:rsidRPr="003348F3">
              <w:rPr>
                <w:rFonts w:ascii="Arial" w:hAnsi="Arial" w:eastAsia="Times New Roman" w:cs="Arial"/>
                <w:sz w:val="16"/>
                <w:szCs w:val="16"/>
                <w:lang w:eastAsia="es-ES"/>
              </w:rPr>
              <w:t>Aprobó:</w:t>
            </w:r>
          </w:p>
        </w:tc>
        <w:tc>
          <w:tcPr>
            <w:tcW w:w="4957" w:type="dxa"/>
            <w:tcBorders>
              <w:top w:val="dotted" w:color="7F7F7F" w:sz="4" w:space="0"/>
              <w:left w:val="nil"/>
              <w:bottom w:val="dotted" w:color="7F7F7F" w:sz="4" w:space="0"/>
              <w:right w:val="nil"/>
            </w:tcBorders>
            <w:vAlign w:val="center"/>
            <w:hideMark/>
          </w:tcPr>
          <w:p w:rsidRPr="003348F3" w:rsidR="00EA591E" w:rsidP="006D5F1A" w:rsidRDefault="00EA591E" w14:paraId="20B9249B" w14:textId="77777777">
            <w:pPr>
              <w:rPr>
                <w:rFonts w:ascii="Arial" w:hAnsi="Arial" w:eastAsia="Times New Roman" w:cs="Arial"/>
                <w:sz w:val="16"/>
                <w:szCs w:val="16"/>
                <w:lang w:eastAsia="es-ES"/>
              </w:rPr>
            </w:pPr>
            <w:r w:rsidRPr="003348F3">
              <w:rPr>
                <w:rFonts w:ascii="Arial" w:hAnsi="Arial" w:eastAsia="Times New Roman" w:cs="Arial"/>
                <w:sz w:val="16"/>
                <w:szCs w:val="16"/>
                <w:lang w:eastAsia="es-ES"/>
              </w:rPr>
              <w:t xml:space="preserve">Nohelia del Carmen </w:t>
            </w:r>
            <w:proofErr w:type="spellStart"/>
            <w:r w:rsidRPr="003348F3">
              <w:rPr>
                <w:rFonts w:ascii="Arial" w:hAnsi="Arial" w:eastAsia="Times New Roman" w:cs="Arial"/>
                <w:sz w:val="16"/>
                <w:szCs w:val="16"/>
                <w:lang w:eastAsia="es-ES"/>
              </w:rPr>
              <w:t>Zawady</w:t>
            </w:r>
            <w:proofErr w:type="spellEnd"/>
            <w:r w:rsidRPr="003348F3">
              <w:rPr>
                <w:rFonts w:ascii="Arial" w:hAnsi="Arial" w:eastAsia="Times New Roman" w:cs="Arial"/>
                <w:sz w:val="16"/>
                <w:szCs w:val="16"/>
                <w:lang w:eastAsia="es-ES"/>
              </w:rPr>
              <w:t xml:space="preserve"> Palacio</w:t>
            </w:r>
          </w:p>
          <w:p w:rsidRPr="003348F3" w:rsidR="00EA591E" w:rsidP="006D5F1A" w:rsidRDefault="00EA591E" w14:paraId="79BE120A" w14:textId="77777777">
            <w:pPr>
              <w:rPr>
                <w:rFonts w:ascii="Arial" w:hAnsi="Arial" w:eastAsia="Times New Roman" w:cs="Arial"/>
                <w:sz w:val="16"/>
                <w:szCs w:val="16"/>
                <w:lang w:eastAsia="es-ES"/>
              </w:rPr>
            </w:pPr>
            <w:r w:rsidRPr="003348F3">
              <w:rPr>
                <w:rFonts w:ascii="Arial" w:hAnsi="Arial" w:eastAsia="Times New Roman" w:cs="Arial"/>
                <w:sz w:val="16"/>
                <w:szCs w:val="16"/>
                <w:lang w:eastAsia="es-ES"/>
              </w:rPr>
              <w:t>Subdirectora de Gestión Contractual ANCP – CCE</w:t>
            </w:r>
          </w:p>
        </w:tc>
      </w:tr>
      <w:bookmarkEnd w:id="1"/>
      <w:bookmarkEnd w:id="2"/>
      <w:bookmarkEnd w:id="3"/>
      <w:bookmarkEnd w:id="4"/>
      <w:bookmarkEnd w:id="15"/>
    </w:tbl>
    <w:p w:rsidRPr="003348F3" w:rsidR="00EA591E" w:rsidP="00EA591E" w:rsidRDefault="00EA591E" w14:paraId="6EFC1B09" w14:textId="77777777"/>
    <w:p w:rsidR="00EA591E" w:rsidRDefault="00EA591E" w14:paraId="5EE3B4A5" w14:textId="77777777"/>
    <w:sectPr w:rsidR="00EA591E" w:rsidSect="00923EEF">
      <w:headerReference w:type="default" r:id="rId11"/>
      <w:footerReference w:type="default" r:id="rId12"/>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1902" w:rsidP="00EA591E" w:rsidRDefault="00C31902" w14:paraId="69CF852F" w14:textId="77777777">
      <w:pPr>
        <w:spacing w:after="0" w:line="240" w:lineRule="auto"/>
      </w:pPr>
      <w:r>
        <w:separator/>
      </w:r>
    </w:p>
  </w:endnote>
  <w:endnote w:type="continuationSeparator" w:id="0">
    <w:p w:rsidR="00C31902" w:rsidP="00EA591E" w:rsidRDefault="00C31902" w14:paraId="6F10A2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panose1 w:val="020B05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D38FA" w:rsidRDefault="00EA591E" w14:paraId="44C97C30" w14:textId="77777777">
    <w:pPr>
      <w:pStyle w:val="Piedepgina"/>
    </w:pPr>
    <w:r>
      <w:rPr>
        <w:noProof/>
      </w:rPr>
      <w:drawing>
        <wp:inline distT="0" distB="0" distL="0" distR="0" wp14:anchorId="5C9EED36" wp14:editId="57FF0669">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2336" behindDoc="0" locked="0" layoutInCell="1" allowOverlap="1" wp14:anchorId="6DA5C328" wp14:editId="0B3CCDA5">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718B5582"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AD38FA" w:rsidP="006219F8" w:rsidRDefault="00EA591E" w14:paraId="00AE1183" w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AD38FA" w:rsidP="006219F8" w:rsidRDefault="00EA591E" w14:paraId="30E27A6D" w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AD38FA" w:rsidP="00FC2B5D" w:rsidRDefault="00EA591E" w14:paraId="7B7F6509" w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AD38FA" w:rsidP="00820278" w:rsidRDefault="00EA591E" w14:paraId="615413E0" w14:textId="77777777">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Pr="003F3941">
            <w:rPr>
              <w:rFonts w:ascii="Century Gothic" w:hAnsi="Century Gothic"/>
              <w:b/>
              <w:bCs/>
              <w:sz w:val="16"/>
              <w:szCs w:val="16"/>
            </w:rPr>
            <w:t>2</w:t>
          </w:r>
          <w:r w:rsidRPr="003F3941">
            <w:rPr>
              <w:rFonts w:ascii="Century Gothic" w:hAnsi="Century Gothic"/>
              <w:b/>
              <w:bCs/>
              <w:sz w:val="16"/>
              <w:szCs w:val="16"/>
            </w:rPr>
            <w:fldChar w:fldCharType="end"/>
          </w:r>
        </w:p>
      </w:tc>
    </w:tr>
  </w:tbl>
  <w:p w:rsidR="00AD38FA" w:rsidP="003E0499" w:rsidRDefault="00AD38FA" w14:paraId="095C53F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1902" w:rsidP="00EA591E" w:rsidRDefault="00C31902" w14:paraId="0B24A3D0" w14:textId="77777777">
      <w:pPr>
        <w:spacing w:after="0" w:line="240" w:lineRule="auto"/>
      </w:pPr>
      <w:r>
        <w:separator/>
      </w:r>
    </w:p>
  </w:footnote>
  <w:footnote w:type="continuationSeparator" w:id="0">
    <w:p w:rsidR="00C31902" w:rsidP="00EA591E" w:rsidRDefault="00C31902" w14:paraId="689A73A0" w14:textId="77777777">
      <w:pPr>
        <w:spacing w:after="0" w:line="240" w:lineRule="auto"/>
      </w:pPr>
      <w:r>
        <w:continuationSeparator/>
      </w:r>
    </w:p>
  </w:footnote>
  <w:footnote w:id="1">
    <w:p w:rsidRPr="003348F3" w:rsidR="00EA591E" w:rsidP="00EA591E" w:rsidRDefault="00EA591E" w14:paraId="7DE19142" w14:textId="77777777">
      <w:pPr>
        <w:pStyle w:val="Textonotapie"/>
        <w:ind w:firstLine="708"/>
        <w:jc w:val="both"/>
        <w:rPr>
          <w:rFonts w:ascii="Arial" w:hAnsi="Arial" w:cs="Arial"/>
          <w:sz w:val="19"/>
          <w:szCs w:val="19"/>
        </w:rPr>
      </w:pPr>
      <w:r w:rsidRPr="003348F3">
        <w:rPr>
          <w:rStyle w:val="Refdenotaalpie"/>
          <w:rFonts w:ascii="Arial" w:hAnsi="Arial" w:cs="Arial"/>
          <w:sz w:val="19"/>
          <w:szCs w:val="19"/>
        </w:rPr>
        <w:footnoteRef/>
      </w:r>
      <w:r w:rsidRPr="003348F3">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3348F3">
        <w:rPr>
          <w:rFonts w:ascii="Arial" w:hAnsi="Arial" w:cs="Arial"/>
          <w:i/>
          <w:iCs/>
          <w:sz w:val="19"/>
          <w:szCs w:val="19"/>
        </w:rPr>
        <w:t xml:space="preserve">ibidem </w:t>
      </w:r>
      <w:r w:rsidRPr="003348F3">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rsidRPr="003348F3" w:rsidR="00EA591E" w:rsidP="00EA591E" w:rsidRDefault="00EA591E" w14:paraId="518E88A3" w14:textId="77777777">
      <w:pPr>
        <w:pStyle w:val="Textonotapie"/>
        <w:ind w:firstLine="708"/>
        <w:jc w:val="both"/>
        <w:rPr>
          <w:rFonts w:ascii="Arial" w:hAnsi="Arial" w:cs="Arial"/>
          <w:sz w:val="19"/>
          <w:szCs w:val="19"/>
          <w:lang w:val="es-ES"/>
        </w:rPr>
      </w:pPr>
    </w:p>
  </w:footnote>
  <w:footnote w:id="2">
    <w:p w:rsidRPr="003348F3" w:rsidR="00EA591E" w:rsidP="00EA591E" w:rsidRDefault="00EA591E" w14:paraId="641CB233" w14:textId="77777777">
      <w:pPr>
        <w:pStyle w:val="Textonotapie"/>
        <w:ind w:firstLine="708"/>
        <w:jc w:val="both"/>
        <w:rPr>
          <w:rFonts w:ascii="Arial" w:hAnsi="Arial" w:cs="Arial"/>
          <w:color w:val="000000" w:themeColor="text1"/>
          <w:sz w:val="19"/>
          <w:szCs w:val="19"/>
          <w:lang w:val="es-ES_tradnl"/>
        </w:rPr>
      </w:pPr>
      <w:r w:rsidRPr="003348F3">
        <w:rPr>
          <w:rStyle w:val="Refdenotaalpie"/>
          <w:rFonts w:ascii="Arial" w:hAnsi="Arial" w:cs="Arial"/>
          <w:color w:val="000000" w:themeColor="text1"/>
          <w:sz w:val="19"/>
          <w:szCs w:val="19"/>
          <w:lang w:val="es-ES_tradnl"/>
        </w:rPr>
        <w:footnoteRef/>
      </w:r>
      <w:r w:rsidRPr="003348F3">
        <w:rPr>
          <w:rFonts w:ascii="Arial" w:hAnsi="Arial" w:cs="Arial"/>
          <w:color w:val="000000" w:themeColor="text1"/>
          <w:sz w:val="19"/>
          <w:szCs w:val="19"/>
          <w:lang w:val="es-ES_tradnl"/>
        </w:rPr>
        <w:t xml:space="preserve"> La regla vigente sobre la contratación de mínima cuantía contenida en el numeral 5 del artículo 2 de la Ley 1150 de 2007, es la siguiente: “5. Contratación mínima cuantía. La contratación cuyo valor no excede del 10 por ciento de la menor cuantía de la entidad independientemente de su objeto, se efectuará de conformidad con las siguientes reglas a) Se publicará una invitación, por un término no inferior a un día hábil, en la cual se señalará el objeto a contratar, el presupuesto destinado para tal fin, así como las condiciones técnicas exigidas; b) El término previsto en la invitación para presentar la oferta no podrá ser inferior a un día hábil; c) La entidad seleccionará, mediante comunicación de aceptación de la oferta, la propuesta con el menor precio, siempre y cuando cumpla con las condiciones exigidas; d) La comunicación de aceptación junto con la oferta constituyen para todos los efectos el contrato celebrado, con base en lo cual se efectuará el respectivo registro presupuestal.//</w:t>
      </w:r>
      <w:r w:rsidRPr="003348F3">
        <w:rPr>
          <w:rFonts w:ascii="Arial" w:hAnsi="Arial" w:cs="Arial"/>
          <w:sz w:val="19"/>
          <w:szCs w:val="19"/>
        </w:rPr>
        <w:t>Parágrafo</w:t>
      </w:r>
      <w:r w:rsidRPr="003348F3">
        <w:rPr>
          <w:rFonts w:ascii="Arial" w:hAnsi="Arial" w:cs="Arial"/>
          <w:color w:val="000000" w:themeColor="text1"/>
          <w:sz w:val="19"/>
          <w:szCs w:val="19"/>
          <w:lang w:val="es-ES_tradnl"/>
        </w:rPr>
        <w:t xml:space="preserve"> 1o. Las particularidades del procedimiento aquí previsto, así como la posibilidad que tengan las entidades de realizar estas adquisiciones a Mlpymes o establecimientos que correspondan a la definición de "gran almacén" señalada por la Superintendencia de Industria y Comercio, se determinarán en el reglamento que para el efecto expida el Gobierno Nacional.</w:t>
      </w:r>
      <w:r>
        <w:rPr>
          <w:rFonts w:ascii="Arial" w:hAnsi="Arial" w:cs="Arial"/>
          <w:color w:val="000000" w:themeColor="text1"/>
          <w:sz w:val="19"/>
          <w:szCs w:val="19"/>
          <w:lang w:val="es-ES_tradnl"/>
        </w:rPr>
        <w:t xml:space="preserve"> </w:t>
      </w:r>
      <w:r w:rsidRPr="003348F3">
        <w:rPr>
          <w:rFonts w:ascii="Arial" w:hAnsi="Arial" w:cs="Arial"/>
          <w:color w:val="000000" w:themeColor="text1"/>
          <w:sz w:val="19"/>
          <w:szCs w:val="19"/>
          <w:lang w:val="es-ES_tradnl"/>
        </w:rPr>
        <w:t>// Parágrafo 2o. La contratación a que se refiere el presente artículo se realizará exclusivamente con las reglas en él contempladas y en su reglamentación. En particular no se aplicará lo previsto en la Ley 816 de 2003”.</w:t>
      </w:r>
    </w:p>
  </w:footnote>
  <w:footnote w:id="3">
    <w:p w:rsidR="00EA591E" w:rsidP="00EA591E" w:rsidRDefault="00EA591E" w14:paraId="3BED3854" w14:textId="77777777">
      <w:pPr>
        <w:pStyle w:val="Textonotapie"/>
        <w:ind w:firstLine="708"/>
        <w:jc w:val="both"/>
        <w:rPr>
          <w:rFonts w:ascii="Arial" w:hAnsi="Arial" w:cs="Arial"/>
          <w:color w:val="000000" w:themeColor="text1"/>
          <w:sz w:val="19"/>
          <w:szCs w:val="19"/>
          <w:lang w:val="es-ES_tradnl"/>
        </w:rPr>
      </w:pPr>
      <w:r w:rsidRPr="003348F3">
        <w:rPr>
          <w:rStyle w:val="Refdenotaalpie"/>
          <w:rFonts w:ascii="Arial" w:hAnsi="Arial" w:cs="Arial"/>
          <w:color w:val="000000" w:themeColor="text1"/>
          <w:sz w:val="19"/>
          <w:szCs w:val="19"/>
          <w:lang w:val="es-ES_tradnl"/>
        </w:rPr>
        <w:footnoteRef/>
      </w:r>
      <w:r w:rsidRPr="003348F3">
        <w:rPr>
          <w:rFonts w:ascii="Arial" w:hAnsi="Arial" w:cs="Arial"/>
          <w:color w:val="000000" w:themeColor="text1"/>
          <w:sz w:val="19"/>
          <w:szCs w:val="19"/>
          <w:lang w:val="es-ES_tradnl"/>
        </w:rPr>
        <w:t xml:space="preserve"> Cfr. Artículo 2.2.1.2.1.5.2. del Decreto 1082 de 2015.</w:t>
      </w:r>
    </w:p>
    <w:p w:rsidRPr="003348F3" w:rsidR="00EA591E" w:rsidP="00EA591E" w:rsidRDefault="00EA591E" w14:paraId="1696B447" w14:textId="77777777">
      <w:pPr>
        <w:pStyle w:val="Textonotapie"/>
        <w:ind w:firstLine="708"/>
        <w:jc w:val="both"/>
        <w:rPr>
          <w:rFonts w:ascii="Arial" w:hAnsi="Arial" w:cs="Arial"/>
          <w:color w:val="000000" w:themeColor="text1"/>
          <w:sz w:val="19"/>
          <w:szCs w:val="19"/>
          <w:lang w:val="es-ES_tradnl"/>
        </w:rPr>
      </w:pPr>
    </w:p>
  </w:footnote>
  <w:footnote w:id="4">
    <w:p w:rsidR="00EA591E" w:rsidP="00EA591E" w:rsidRDefault="00EA591E" w14:paraId="2E8EBF64" w14:textId="77777777">
      <w:pPr>
        <w:pStyle w:val="Textonotapie"/>
        <w:ind w:firstLine="708"/>
        <w:jc w:val="both"/>
        <w:rPr>
          <w:rFonts w:ascii="Arial" w:hAnsi="Arial" w:cs="Arial"/>
          <w:color w:val="000000" w:themeColor="text1"/>
          <w:sz w:val="19"/>
          <w:szCs w:val="19"/>
          <w:lang w:val="es-ES_tradnl"/>
        </w:rPr>
      </w:pPr>
      <w:r w:rsidRPr="003348F3">
        <w:rPr>
          <w:rStyle w:val="Refdenotaalpie"/>
          <w:rFonts w:ascii="Arial" w:hAnsi="Arial" w:cs="Arial"/>
          <w:color w:val="000000" w:themeColor="text1"/>
          <w:sz w:val="19"/>
          <w:szCs w:val="19"/>
          <w:lang w:val="es-ES_tradnl"/>
        </w:rPr>
        <w:footnoteRef/>
      </w:r>
      <w:r w:rsidRPr="003348F3">
        <w:rPr>
          <w:rFonts w:ascii="Arial" w:hAnsi="Arial" w:cs="Arial"/>
          <w:color w:val="000000" w:themeColor="text1"/>
          <w:sz w:val="19"/>
          <w:szCs w:val="19"/>
          <w:lang w:val="es-ES_tradnl"/>
        </w:rPr>
        <w:t xml:space="preserve"> DÁVILA VINUEZA, Luis Guillermo. </w:t>
      </w:r>
      <w:r w:rsidRPr="003348F3">
        <w:rPr>
          <w:rFonts w:ascii="Arial" w:hAnsi="Arial" w:cs="Arial"/>
          <w:i/>
          <w:iCs/>
          <w:color w:val="000000" w:themeColor="text1"/>
          <w:sz w:val="19"/>
          <w:szCs w:val="19"/>
          <w:lang w:val="es-ES_tradnl"/>
        </w:rPr>
        <w:t>“Régimen jurídico de la contratación estatal”</w:t>
      </w:r>
      <w:r w:rsidRPr="003348F3">
        <w:rPr>
          <w:rFonts w:ascii="Arial" w:hAnsi="Arial" w:cs="Arial"/>
          <w:color w:val="000000" w:themeColor="text1"/>
          <w:sz w:val="19"/>
          <w:szCs w:val="19"/>
          <w:lang w:val="es-ES_tradnl"/>
        </w:rPr>
        <w:t>. 3ª ed. Bogotá: Legis, 2016. p. 463.</w:t>
      </w:r>
    </w:p>
    <w:p w:rsidRPr="003348F3" w:rsidR="00EA591E" w:rsidP="00EA591E" w:rsidRDefault="00EA591E" w14:paraId="355130A0" w14:textId="77777777">
      <w:pPr>
        <w:pStyle w:val="Textonotapie"/>
        <w:ind w:firstLine="708"/>
        <w:jc w:val="both"/>
        <w:rPr>
          <w:rFonts w:ascii="Arial" w:hAnsi="Arial" w:cs="Arial"/>
          <w:color w:val="000000" w:themeColor="text1"/>
          <w:sz w:val="19"/>
          <w:szCs w:val="19"/>
          <w:lang w:val="es-ES_tradnl"/>
        </w:rPr>
      </w:pPr>
    </w:p>
  </w:footnote>
  <w:footnote w:id="5">
    <w:p w:rsidRPr="003348F3" w:rsidR="00EA591E" w:rsidP="00EA591E" w:rsidRDefault="00EA591E" w14:paraId="06C3470A" w14:textId="77777777">
      <w:pPr>
        <w:pStyle w:val="Textonotapie"/>
        <w:ind w:firstLine="708"/>
        <w:jc w:val="both"/>
        <w:rPr>
          <w:rFonts w:ascii="Arial" w:hAnsi="Arial" w:cs="Arial"/>
          <w:color w:val="000000" w:themeColor="text1"/>
          <w:sz w:val="19"/>
          <w:szCs w:val="19"/>
          <w:lang w:val="es-ES_tradnl"/>
        </w:rPr>
      </w:pPr>
      <w:r w:rsidRPr="003348F3">
        <w:rPr>
          <w:rStyle w:val="Refdenotaalpie"/>
          <w:rFonts w:ascii="Arial" w:hAnsi="Arial" w:cs="Arial"/>
          <w:color w:val="000000" w:themeColor="text1"/>
          <w:sz w:val="19"/>
          <w:szCs w:val="19"/>
          <w:lang w:val="es-ES_tradnl"/>
        </w:rPr>
        <w:footnoteRef/>
      </w:r>
      <w:r w:rsidRPr="003348F3">
        <w:rPr>
          <w:rFonts w:ascii="Arial" w:hAnsi="Arial" w:cs="Arial"/>
          <w:color w:val="000000" w:themeColor="text1"/>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w:t>
      </w:r>
      <w:r w:rsidRPr="003348F3">
        <w:rPr>
          <w:rFonts w:ascii="Arial" w:hAnsi="Arial" w:cs="Arial"/>
          <w:i/>
          <w:iCs/>
          <w:color w:val="000000" w:themeColor="text1"/>
          <w:sz w:val="19"/>
          <w:szCs w:val="19"/>
          <w:lang w:val="es-ES_tradnl"/>
        </w:rPr>
        <w:t xml:space="preserve">“Se entenderá por menor cuantía los valores que a continuación se relacionan, determinados en función de los presupuestos anuales de las entidades públicas expresados en salarios mínimos legales mensuales. Para las entidades que tengan un presupuesto anual superior o igual a 1.200.000 salarios mínimos legales mensuales, la menor cuantía será hasta 1.000 salarios mínimos legales mensuales. Las que tengan un presupuesto anual superior o igual a 850.000 salarios mínimos legales mensuales e inferiores a 1.200.000 salarios mínimos legales mensuales, la menor cuantía será hasta 850 salarios mínimos legales mensuales. Las que tengan un presupuesto anual superior o igual a 400.000 salarios mínimos legales mensuales e inferior a 850.000 salarios mínimos legales mensuales, la menor cuantía será hasta 650 salarios mínimos legales mensuales. </w:t>
      </w:r>
      <w:r w:rsidRPr="003348F3">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 Las que tengan un presupuesto anual inferior a 120.000 salarios mínimos legales mensuales, la menor cuantía será hasta 280 salarios mínimos legales mensuales”.</w:t>
      </w:r>
    </w:p>
  </w:footnote>
  <w:footnote w:id="6">
    <w:p w:rsidR="00EA591E" w:rsidP="00EA591E" w:rsidRDefault="00EA591E" w14:paraId="0C89071A" w14:textId="77777777">
      <w:pPr>
        <w:pStyle w:val="Textonotapie"/>
        <w:ind w:firstLine="708"/>
        <w:jc w:val="both"/>
        <w:rPr>
          <w:rFonts w:ascii="Arial" w:hAnsi="Arial" w:cs="Arial"/>
          <w:sz w:val="19"/>
          <w:szCs w:val="19"/>
        </w:rPr>
      </w:pPr>
      <w:r w:rsidRPr="003348F3">
        <w:rPr>
          <w:rStyle w:val="Refdenotaalpie"/>
          <w:rFonts w:ascii="Arial" w:hAnsi="Arial" w:cs="Arial"/>
          <w:sz w:val="19"/>
          <w:szCs w:val="19"/>
        </w:rPr>
        <w:footnoteRef/>
      </w:r>
      <w:r w:rsidRPr="003348F3">
        <w:rPr>
          <w:rFonts w:ascii="Arial" w:hAnsi="Arial" w:cs="Arial"/>
          <w:sz w:val="19"/>
          <w:szCs w:val="19"/>
        </w:rPr>
        <w:t xml:space="preserv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w:t>
      </w:r>
    </w:p>
    <w:p w:rsidRPr="003348F3" w:rsidR="00EA591E" w:rsidP="00EA591E" w:rsidRDefault="00EA591E" w14:paraId="7FE23A52" w14:textId="77777777">
      <w:pPr>
        <w:pStyle w:val="Textonotapie"/>
        <w:ind w:firstLine="708"/>
        <w:jc w:val="both"/>
        <w:rPr>
          <w:rFonts w:ascii="Arial" w:hAnsi="Arial" w:cs="Arial"/>
          <w:sz w:val="19"/>
          <w:szCs w:val="19"/>
        </w:rPr>
      </w:pPr>
    </w:p>
  </w:footnote>
  <w:footnote w:id="7">
    <w:p w:rsidRPr="003348F3" w:rsidR="00EA591E" w:rsidP="00EA591E" w:rsidRDefault="00EA591E" w14:paraId="24E45FBD" w14:textId="77777777">
      <w:pPr>
        <w:pStyle w:val="Textonotapie"/>
        <w:ind w:firstLine="708"/>
        <w:jc w:val="both"/>
        <w:rPr>
          <w:rFonts w:ascii="Arial" w:hAnsi="Arial" w:cs="Arial"/>
          <w:sz w:val="19"/>
          <w:szCs w:val="19"/>
        </w:rPr>
      </w:pPr>
      <w:r w:rsidRPr="003348F3">
        <w:rPr>
          <w:rStyle w:val="Refdenotaalpie"/>
          <w:rFonts w:ascii="Arial" w:hAnsi="Arial" w:cs="Arial"/>
          <w:sz w:val="19"/>
          <w:szCs w:val="19"/>
        </w:rPr>
        <w:footnoteRef/>
      </w:r>
      <w:r w:rsidRPr="003348F3">
        <w:rPr>
          <w:rFonts w:ascii="Arial" w:hAnsi="Arial" w:cs="Arial"/>
          <w:sz w:val="19"/>
          <w:szCs w:val="19"/>
        </w:rPr>
        <w:t xml:space="preserve">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8">
    <w:p w:rsidR="00EA591E" w:rsidP="00EA591E" w:rsidRDefault="00EA591E" w14:paraId="6839AA8D" w14:textId="77777777">
      <w:pPr>
        <w:pStyle w:val="Textonotapie"/>
        <w:ind w:firstLine="708"/>
        <w:jc w:val="both"/>
        <w:rPr>
          <w:rFonts w:ascii="Arial" w:hAnsi="Arial" w:cs="Arial"/>
          <w:color w:val="000000"/>
          <w:sz w:val="19"/>
          <w:szCs w:val="19"/>
          <w:lang w:val="es-ES_tradnl"/>
        </w:rPr>
      </w:pPr>
      <w:r w:rsidRPr="003348F3">
        <w:rPr>
          <w:rStyle w:val="Refdenotaalpie"/>
          <w:rFonts w:ascii="Arial" w:hAnsi="Arial" w:cs="Arial"/>
          <w:color w:val="000000"/>
          <w:sz w:val="19"/>
          <w:szCs w:val="19"/>
          <w:lang w:val="es-ES_tradnl"/>
        </w:rPr>
        <w:footnoteRef/>
      </w:r>
      <w:r w:rsidRPr="003348F3">
        <w:rPr>
          <w:rFonts w:ascii="Arial" w:hAnsi="Arial" w:cs="Arial"/>
          <w:color w:val="000000"/>
          <w:sz w:val="19"/>
          <w:szCs w:val="19"/>
          <w:lang w:val="es-ES_tradnl"/>
        </w:rPr>
        <w:t xml:space="preserve"> Manual de la Modalidad de Selección de Mínima Cuantía disponible en enlace web: </w:t>
      </w:r>
      <w:hyperlink w:history="1" r:id="rId1">
        <w:r w:rsidRPr="003348F3">
          <w:rPr>
            <w:rStyle w:val="Hipervnculo"/>
            <w:rFonts w:ascii="Arial" w:hAnsi="Arial" w:cs="Arial"/>
            <w:sz w:val="19"/>
            <w:szCs w:val="19"/>
            <w:lang w:val="es-ES_tradnl"/>
          </w:rPr>
          <w:t>https://colombiacompra.gov.co/sites/cce_public/files/cce_documents/cce-eicp-ma-05._manual_de_modalidad_de_seleccion_de_minima_cuantia_v.02.pdf</w:t>
        </w:r>
      </w:hyperlink>
      <w:r w:rsidRPr="003348F3">
        <w:rPr>
          <w:rFonts w:ascii="Arial" w:hAnsi="Arial" w:cs="Arial"/>
          <w:color w:val="000000"/>
          <w:sz w:val="19"/>
          <w:szCs w:val="19"/>
          <w:lang w:val="es-ES_tradnl"/>
        </w:rPr>
        <w:t>.</w:t>
      </w:r>
    </w:p>
    <w:p w:rsidRPr="003348F3" w:rsidR="00EA591E" w:rsidP="00EA591E" w:rsidRDefault="00EA591E" w14:paraId="0750DBB6" w14:textId="77777777">
      <w:pPr>
        <w:pStyle w:val="Textonotapie"/>
        <w:ind w:firstLine="708"/>
        <w:jc w:val="both"/>
        <w:rPr>
          <w:rFonts w:ascii="Arial" w:hAnsi="Arial" w:cs="Arial"/>
          <w:color w:val="000000"/>
          <w:sz w:val="19"/>
          <w:szCs w:val="19"/>
          <w:lang w:val="es-ES_tradnl"/>
        </w:rPr>
      </w:pPr>
    </w:p>
  </w:footnote>
  <w:footnote w:id="9">
    <w:p w:rsidRPr="003348F3" w:rsidR="00EA591E" w:rsidP="00EA591E" w:rsidRDefault="00EA591E" w14:paraId="44098B97" w14:textId="77777777">
      <w:pPr>
        <w:pStyle w:val="Textonotapie"/>
        <w:ind w:firstLine="708"/>
        <w:jc w:val="both"/>
        <w:rPr>
          <w:rFonts w:ascii="Arial" w:hAnsi="Arial" w:cs="Arial"/>
          <w:color w:val="000000"/>
          <w:sz w:val="19"/>
          <w:szCs w:val="19"/>
          <w:lang w:val="es-ES_tradnl"/>
        </w:rPr>
      </w:pPr>
      <w:r w:rsidRPr="003348F3">
        <w:rPr>
          <w:rStyle w:val="Refdenotaalpie"/>
          <w:rFonts w:ascii="Arial" w:hAnsi="Arial" w:cs="Arial"/>
          <w:color w:val="000000"/>
          <w:sz w:val="19"/>
          <w:szCs w:val="19"/>
          <w:lang w:val="es-ES_tradnl"/>
        </w:rPr>
        <w:footnoteRef/>
      </w:r>
      <w:r w:rsidRPr="003348F3">
        <w:rPr>
          <w:rFonts w:ascii="Arial" w:hAnsi="Arial" w:cs="Arial"/>
          <w:color w:val="000000"/>
          <w:sz w:val="19"/>
          <w:szCs w:val="19"/>
          <w:lang w:val="es-ES_tradnl"/>
        </w:rPr>
        <w:t xml:space="preserve"> “El precio es el factor de selección del proponente. Es decir, la </w:t>
      </w:r>
      <w:r w:rsidRPr="003348F3">
        <w:rPr>
          <w:rFonts w:ascii="Arial" w:hAnsi="Arial" w:cs="Arial"/>
          <w:i/>
          <w:iCs/>
          <w:color w:val="000000"/>
          <w:sz w:val="19"/>
          <w:szCs w:val="19"/>
          <w:lang w:val="es-ES_tradnl"/>
        </w:rPr>
        <w:t>entidad estatal</w:t>
      </w:r>
      <w:r w:rsidRPr="003348F3">
        <w:rPr>
          <w:rFonts w:ascii="Arial" w:hAnsi="Arial" w:cs="Arial"/>
          <w:color w:val="000000"/>
          <w:sz w:val="19"/>
          <w:szCs w:val="19"/>
          <w:lang w:val="es-ES_tradnl"/>
        </w:rPr>
        <w:t xml:space="preserve"> debe adjudicar el </w:t>
      </w:r>
      <w:r w:rsidRPr="003348F3">
        <w:rPr>
          <w:rFonts w:ascii="Arial" w:hAnsi="Arial" w:cs="Arial"/>
          <w:i/>
          <w:iCs/>
          <w:color w:val="000000"/>
          <w:sz w:val="19"/>
          <w:szCs w:val="19"/>
          <w:lang w:val="es-ES_tradnl"/>
        </w:rPr>
        <w:t>proceso de contratación</w:t>
      </w:r>
      <w:r w:rsidRPr="003348F3">
        <w:rPr>
          <w:rFonts w:ascii="Arial" w:hAnsi="Arial" w:cs="Arial"/>
          <w:color w:val="000000"/>
          <w:sz w:val="19"/>
          <w:szCs w:val="19"/>
          <w:lang w:val="es-ES_tradnl"/>
        </w:rPr>
        <w:t xml:space="preserve"> al oferente que cumpla con todas las condiciones exigidas por la </w:t>
      </w:r>
      <w:r w:rsidRPr="003348F3">
        <w:rPr>
          <w:rFonts w:ascii="Arial" w:hAnsi="Arial" w:cs="Arial"/>
          <w:i/>
          <w:iCs/>
          <w:color w:val="000000"/>
          <w:sz w:val="19"/>
          <w:szCs w:val="19"/>
          <w:lang w:val="es-ES_tradnl"/>
        </w:rPr>
        <w:t>entidad estatal</w:t>
      </w:r>
      <w:r w:rsidRPr="003348F3">
        <w:rPr>
          <w:rFonts w:ascii="Arial" w:hAnsi="Arial" w:cs="Arial"/>
          <w:color w:val="000000"/>
          <w:sz w:val="19"/>
          <w:szCs w:val="19"/>
          <w:lang w:val="es-ES_tradnl"/>
        </w:rPr>
        <w:t xml:space="preserve"> en los </w:t>
      </w:r>
      <w:r w:rsidRPr="003348F3">
        <w:rPr>
          <w:rFonts w:ascii="Arial" w:hAnsi="Arial" w:cs="Arial"/>
          <w:i/>
          <w:iCs/>
          <w:color w:val="000000"/>
          <w:sz w:val="19"/>
          <w:szCs w:val="19"/>
          <w:lang w:val="es-ES_tradnl"/>
        </w:rPr>
        <w:t>documentos del proceso</w:t>
      </w:r>
      <w:r w:rsidRPr="003348F3">
        <w:rPr>
          <w:rFonts w:ascii="Arial" w:hAnsi="Arial" w:cs="Arial"/>
          <w:color w:val="000000"/>
          <w:sz w:val="19"/>
          <w:szCs w:val="19"/>
          <w:lang w:val="es-ES_tradnl"/>
        </w:rPr>
        <w:t xml:space="preserve"> (estudios previos e invitación a participar), y que ofrezca el menor valor. No hay lugar a puntajes para evaluar las ofertas sobre las características del objeto a contratar, su calidad o condiciones” (DÁVILA, Op. cit., p. 515).</w:t>
      </w:r>
    </w:p>
  </w:footnote>
  <w:footnote w:id="10">
    <w:p w:rsidRPr="003348F3" w:rsidR="00EA591E" w:rsidP="00EA591E" w:rsidRDefault="00EA591E" w14:paraId="3D3CFBB8" w14:textId="77777777">
      <w:pPr>
        <w:pStyle w:val="Textonotapie"/>
        <w:ind w:firstLine="708"/>
        <w:jc w:val="both"/>
        <w:rPr>
          <w:rFonts w:ascii="Arial" w:hAnsi="Arial" w:eastAsia="Times New Roman" w:cs="Arial"/>
          <w:color w:val="000000"/>
          <w:sz w:val="19"/>
          <w:szCs w:val="19"/>
          <w:lang w:eastAsia="es-CO"/>
        </w:rPr>
      </w:pPr>
      <w:r w:rsidRPr="003348F3">
        <w:rPr>
          <w:rStyle w:val="Refdenotaalpie"/>
          <w:rFonts w:ascii="Arial" w:hAnsi="Arial" w:cs="Arial"/>
          <w:color w:val="000000"/>
          <w:sz w:val="19"/>
          <w:szCs w:val="19"/>
        </w:rPr>
        <w:footnoteRef/>
      </w:r>
      <w:r w:rsidRPr="003348F3">
        <w:rPr>
          <w:rFonts w:ascii="Arial" w:hAnsi="Arial" w:cs="Arial"/>
          <w:color w:val="000000"/>
          <w:sz w:val="19"/>
          <w:szCs w:val="19"/>
        </w:rPr>
        <w:t xml:space="preserve"> </w:t>
      </w:r>
      <w:r w:rsidRPr="003348F3">
        <w:rPr>
          <w:rFonts w:ascii="Arial" w:hAnsi="Arial" w:eastAsia="Times New Roman" w:cs="Arial"/>
          <w:color w:val="000000"/>
          <w:sz w:val="19"/>
          <w:szCs w:val="19"/>
          <w:lang w:eastAsia="es-CO"/>
        </w:rPr>
        <w:t>Consejo de Estado. Sala de Consulta y Servicio Civil. Concepto del 20 de mayo de 2010. Exp. 1.992. C.P. Enrique José Arboleda Perdomo.</w:t>
      </w:r>
    </w:p>
    <w:p w:rsidRPr="003348F3" w:rsidR="00EA591E" w:rsidP="00EA591E" w:rsidRDefault="00EA591E" w14:paraId="67918FD8" w14:textId="77777777">
      <w:pPr>
        <w:pStyle w:val="Textonotapie"/>
        <w:ind w:firstLine="708"/>
        <w:jc w:val="both"/>
        <w:rPr>
          <w:rFonts w:ascii="Arial" w:hAnsi="Arial" w:eastAsia="Times New Roman" w:cs="Arial"/>
          <w:color w:val="000000"/>
          <w:sz w:val="19"/>
          <w:szCs w:val="19"/>
          <w:lang w:eastAsia="es-CO"/>
        </w:rPr>
      </w:pPr>
    </w:p>
  </w:footnote>
  <w:footnote w:id="11">
    <w:p w:rsidRPr="003348F3" w:rsidR="00EA591E" w:rsidP="00EA591E" w:rsidRDefault="00EA591E" w14:paraId="56482EAE" w14:textId="77777777">
      <w:pPr>
        <w:pStyle w:val="Textonotapie"/>
        <w:ind w:firstLine="708"/>
        <w:jc w:val="both"/>
        <w:rPr>
          <w:rFonts w:ascii="Arial" w:hAnsi="Arial" w:eastAsia="Times New Roman" w:cs="Arial"/>
          <w:color w:val="000000"/>
          <w:sz w:val="19"/>
          <w:szCs w:val="19"/>
          <w:lang w:eastAsia="es-CO"/>
        </w:rPr>
      </w:pPr>
      <w:r w:rsidRPr="003348F3">
        <w:rPr>
          <w:rStyle w:val="Refdenotaalpie"/>
          <w:rFonts w:ascii="Arial" w:hAnsi="Arial" w:cs="Arial"/>
          <w:color w:val="000000"/>
          <w:sz w:val="19"/>
          <w:szCs w:val="19"/>
        </w:rPr>
        <w:footnoteRef/>
      </w:r>
      <w:r w:rsidRPr="003348F3">
        <w:rPr>
          <w:rFonts w:ascii="Arial" w:hAnsi="Arial" w:cs="Arial"/>
          <w:color w:val="000000"/>
          <w:sz w:val="19"/>
          <w:szCs w:val="19"/>
        </w:rPr>
        <w:t xml:space="preserve"> </w:t>
      </w:r>
      <w:r w:rsidRPr="003348F3">
        <w:rPr>
          <w:rFonts w:ascii="Arial" w:hAnsi="Arial" w:eastAsia="Times New Roman" w:cs="Arial"/>
          <w:color w:val="000000"/>
          <w:sz w:val="19"/>
          <w:szCs w:val="19"/>
          <w:lang w:eastAsia="es-CO"/>
        </w:rPr>
        <w:t>Ver conceptos: C-008 del 4 de mayo de 2020, C-267 del 4 de mayo de 2020, C-283 del 4 de mayo de 2020, C-365 del 30 de junio de 2020 y C-730 del 14 de diciembre del 2020 y C-779 de 18 de enero de 2021.</w:t>
      </w:r>
    </w:p>
  </w:footnote>
  <w:footnote w:id="12">
    <w:p w:rsidRPr="003348F3" w:rsidR="00EA591E" w:rsidP="00EA591E" w:rsidRDefault="00EA591E" w14:paraId="2A33A18E" w14:textId="77777777">
      <w:pPr>
        <w:pBdr>
          <w:top w:val="nil"/>
          <w:left w:val="nil"/>
          <w:bottom w:val="nil"/>
          <w:right w:val="nil"/>
          <w:between w:val="nil"/>
        </w:pBdr>
        <w:spacing w:after="0"/>
        <w:ind w:firstLine="709"/>
        <w:jc w:val="both"/>
        <w:rPr>
          <w:rFonts w:ascii="Arial" w:hAnsi="Arial" w:eastAsia="Arial" w:cs="Arial"/>
          <w:color w:val="000000"/>
          <w:sz w:val="19"/>
          <w:szCs w:val="19"/>
        </w:rPr>
      </w:pPr>
      <w:r w:rsidRPr="003348F3">
        <w:rPr>
          <w:rFonts w:ascii="Arial" w:hAnsi="Arial" w:cs="Arial"/>
          <w:sz w:val="19"/>
          <w:szCs w:val="19"/>
          <w:vertAlign w:val="superscript"/>
        </w:rPr>
        <w:footnoteRef/>
      </w:r>
      <w:r w:rsidRPr="003348F3">
        <w:rPr>
          <w:rFonts w:ascii="Arial" w:hAnsi="Arial" w:eastAsia="Arial" w:cs="Arial"/>
          <w:color w:val="000000"/>
          <w:sz w:val="19"/>
          <w:szCs w:val="19"/>
          <w:vertAlign w:val="superscript"/>
        </w:rPr>
        <w:t xml:space="preserve"> </w:t>
      </w:r>
      <w:r w:rsidRPr="003348F3">
        <w:rPr>
          <w:rFonts w:ascii="Arial" w:hAnsi="Arial" w:eastAsia="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3">
    <w:p w:rsidRPr="003348F3" w:rsidR="00EA591E" w:rsidP="00EA591E" w:rsidRDefault="00EA591E" w14:paraId="19C97DFC" w14:textId="77777777">
      <w:pPr>
        <w:pStyle w:val="NormalWeb"/>
        <w:shd w:val="clear" w:color="auto" w:fill="FFFFFF"/>
        <w:spacing w:after="0"/>
        <w:ind w:firstLine="708"/>
        <w:jc w:val="both"/>
        <w:rPr>
          <w:rFonts w:ascii="Arial" w:hAnsi="Arial" w:cs="Arial"/>
          <w:sz w:val="19"/>
          <w:szCs w:val="19"/>
          <w:lang w:val="es-ES"/>
        </w:rPr>
      </w:pPr>
      <w:r w:rsidRPr="003348F3">
        <w:rPr>
          <w:rStyle w:val="Refdenotaalpie"/>
          <w:rFonts w:ascii="Arial" w:hAnsi="Arial" w:eastAsia="Arial" w:cs="Arial"/>
          <w:sz w:val="19"/>
          <w:szCs w:val="19"/>
        </w:rPr>
        <w:footnoteRef/>
      </w:r>
      <w:r w:rsidRPr="003348F3">
        <w:rPr>
          <w:rFonts w:ascii="Arial" w:hAnsi="Arial" w:cs="Arial"/>
          <w:sz w:val="19"/>
          <w:szCs w:val="19"/>
        </w:rPr>
        <w:t xml:space="preserve"> </w:t>
      </w:r>
      <w:r>
        <w:rPr>
          <w:rFonts w:ascii="Arial" w:hAnsi="Arial" w:cs="Arial"/>
          <w:sz w:val="19"/>
          <w:szCs w:val="19"/>
        </w:rPr>
        <w:t>“</w:t>
      </w:r>
      <w:r w:rsidRPr="003348F3">
        <w:rPr>
          <w:rFonts w:ascii="Arial" w:hAnsi="Arial" w:cs="Arial"/>
          <w:bCs/>
          <w:sz w:val="19"/>
          <w:szCs w:val="19"/>
          <w:shd w:val="clear" w:color="auto" w:fill="FFFFFF"/>
        </w:rPr>
        <w:t>2.2.1.2.1.5.2</w:t>
      </w:r>
      <w:r w:rsidRPr="003348F3">
        <w:rPr>
          <w:rFonts w:ascii="Arial" w:hAnsi="Arial" w:cs="Arial"/>
          <w:sz w:val="19"/>
          <w:szCs w:val="19"/>
          <w:lang w:val="es-ES"/>
        </w:rPr>
        <w:t xml:space="preserve">5. </w:t>
      </w:r>
      <w:r w:rsidRPr="003348F3">
        <w:rPr>
          <w:rFonts w:ascii="Arial" w:hAnsi="Arial" w:cs="Arial"/>
          <w:bCs/>
          <w:sz w:val="19"/>
          <w:szCs w:val="19"/>
          <w:lang w:val="es-ES"/>
        </w:rPr>
        <w:t>Procedimiento para la contratación de mínima cuantía.</w:t>
      </w:r>
      <w:r w:rsidRPr="003348F3">
        <w:rPr>
          <w:rFonts w:ascii="Arial" w:hAnsi="Arial" w:cs="Arial"/>
          <w:sz w:val="19"/>
          <w:szCs w:val="19"/>
          <w:lang w:val="es-ES"/>
        </w:rPr>
        <w:t> Las siguientes reglas son aplicables a la contratación cuyo valor no excede del diez por ciento (10%) de la menor cuantía de la Entidad Estatal, independientemente de su objeto:</w:t>
      </w:r>
    </w:p>
    <w:p w:rsidRPr="003348F3" w:rsidR="00EA591E" w:rsidP="00EA591E" w:rsidRDefault="00EA591E" w14:paraId="61F2E544" w14:textId="77777777">
      <w:pPr>
        <w:pStyle w:val="NormalWeb"/>
        <w:shd w:val="clear" w:color="auto" w:fill="FFFFFF"/>
        <w:spacing w:after="0"/>
        <w:ind w:firstLine="708"/>
        <w:jc w:val="both"/>
        <w:rPr>
          <w:rFonts w:ascii="Arial" w:hAnsi="Arial" w:cs="Arial"/>
          <w:sz w:val="19"/>
          <w:szCs w:val="19"/>
          <w:lang w:val="es-ES"/>
        </w:rPr>
      </w:pPr>
      <w:r w:rsidRPr="003348F3">
        <w:rPr>
          <w:rFonts w:ascii="Arial" w:hAnsi="Arial" w:cs="Arial"/>
          <w:sz w:val="19"/>
          <w:szCs w:val="19"/>
          <w:lang w:val="es-ES"/>
        </w:rPr>
        <w:t>[…]</w:t>
      </w:r>
    </w:p>
    <w:p w:rsidRPr="003348F3" w:rsidR="00EA591E" w:rsidP="00EA591E" w:rsidRDefault="00EA591E" w14:paraId="3E524ECD" w14:textId="77777777">
      <w:pPr>
        <w:pStyle w:val="NormalWeb"/>
        <w:shd w:val="clear" w:color="auto" w:fill="FFFFFF"/>
        <w:spacing w:after="0"/>
        <w:ind w:firstLine="708"/>
        <w:jc w:val="both"/>
        <w:rPr>
          <w:rFonts w:ascii="Arial" w:hAnsi="Arial" w:cs="Arial"/>
          <w:sz w:val="19"/>
          <w:szCs w:val="19"/>
          <w:lang w:val="es-ES"/>
        </w:rPr>
      </w:pPr>
      <w:r w:rsidRPr="003348F3">
        <w:rPr>
          <w:rFonts w:ascii="Arial" w:hAnsi="Arial" w:cs="Arial"/>
          <w:sz w:val="19"/>
          <w:szCs w:val="19"/>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w:history="1" w:anchor="5" r:id="rId2">
        <w:r w:rsidRPr="003348F3">
          <w:rPr>
            <w:rFonts w:ascii="Arial" w:hAnsi="Arial" w:cs="Arial"/>
            <w:sz w:val="19"/>
            <w:szCs w:val="19"/>
            <w:u w:val="single"/>
            <w:lang w:val="es-ES"/>
          </w:rPr>
          <w:t>5 </w:t>
        </w:r>
      </w:hyperlink>
      <w:r w:rsidRPr="003348F3">
        <w:rPr>
          <w:rFonts w:ascii="Arial" w:hAnsi="Arial" w:cs="Arial"/>
          <w:sz w:val="19"/>
          <w:szCs w:val="19"/>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Pr>
          <w:rFonts w:ascii="Arial" w:hAnsi="Arial" w:cs="Arial"/>
          <w:sz w:val="19"/>
          <w:szCs w:val="19"/>
        </w:rPr>
        <w:t>”</w:t>
      </w:r>
      <w:r w:rsidRPr="003348F3">
        <w:rPr>
          <w:rFonts w:ascii="Arial" w:hAnsi="Arial" w:cs="Arial"/>
          <w:sz w:val="19"/>
          <w:szCs w:val="19"/>
          <w:lang w:val="es-ES"/>
        </w:rPr>
        <w:t>.</w:t>
      </w:r>
    </w:p>
    <w:p w:rsidRPr="003348F3" w:rsidR="00EA591E" w:rsidP="00EA591E" w:rsidRDefault="00EA591E" w14:paraId="76A5D3EE" w14:textId="77777777">
      <w:pPr>
        <w:pStyle w:val="Textonotapie"/>
        <w:jc w:val="both"/>
        <w:rPr>
          <w:rFonts w:ascii="Arial" w:hAnsi="Arial" w:cs="Arial"/>
          <w:sz w:val="19"/>
          <w:szCs w:val="19"/>
          <w:lang w:val="es-ES"/>
        </w:rPr>
      </w:pPr>
    </w:p>
  </w:footnote>
  <w:footnote w:id="14">
    <w:p w:rsidRPr="003348F3" w:rsidR="00EA591E" w:rsidP="00EA591E" w:rsidRDefault="00EA591E" w14:paraId="52C039E9" w14:textId="77777777">
      <w:pPr>
        <w:pStyle w:val="Textonotapie"/>
        <w:ind w:firstLine="709"/>
        <w:jc w:val="both"/>
        <w:rPr>
          <w:rFonts w:ascii="Arial" w:hAnsi="Arial" w:cs="Arial"/>
          <w:color w:val="000000"/>
          <w:sz w:val="19"/>
          <w:szCs w:val="19"/>
        </w:rPr>
      </w:pPr>
      <w:r w:rsidRPr="003348F3">
        <w:rPr>
          <w:rStyle w:val="Refdenotaalpie"/>
          <w:rFonts w:ascii="Arial" w:hAnsi="Arial" w:cs="Arial"/>
          <w:color w:val="000000"/>
          <w:sz w:val="19"/>
          <w:szCs w:val="19"/>
        </w:rPr>
        <w:footnoteRef/>
      </w:r>
      <w:r w:rsidRPr="003348F3">
        <w:rPr>
          <w:rFonts w:ascii="Arial" w:hAnsi="Arial" w:cs="Arial"/>
          <w:color w:val="000000"/>
          <w:sz w:val="19"/>
          <w:szCs w:val="19"/>
        </w:rPr>
        <w:t xml:space="preserve"> </w:t>
      </w:r>
      <w:r>
        <w:rPr>
          <w:rFonts w:ascii="Arial" w:hAnsi="Arial" w:cs="Arial"/>
          <w:color w:val="000000"/>
          <w:sz w:val="19"/>
          <w:szCs w:val="19"/>
        </w:rPr>
        <w:t>“</w:t>
      </w:r>
      <w:r w:rsidRPr="003348F3">
        <w:rPr>
          <w:rFonts w:ascii="Arial" w:hAnsi="Arial" w:cs="Arial"/>
          <w:color w:val="000000"/>
          <w:sz w:val="19"/>
          <w:szCs w:val="19"/>
        </w:rPr>
        <w:t>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rsidRPr="003348F3" w:rsidR="00EA591E" w:rsidP="00EA591E" w:rsidRDefault="00EA591E" w14:paraId="337A8194" w14:textId="77777777">
      <w:pPr>
        <w:pStyle w:val="Textonotapie"/>
        <w:ind w:firstLine="709"/>
        <w:jc w:val="both"/>
        <w:rPr>
          <w:rFonts w:ascii="Arial" w:hAnsi="Arial" w:cs="Arial"/>
          <w:color w:val="000000"/>
          <w:sz w:val="19"/>
          <w:szCs w:val="19"/>
        </w:rPr>
      </w:pPr>
      <w:r w:rsidRPr="003348F3">
        <w:rPr>
          <w:rFonts w:ascii="Arial" w:hAnsi="Arial" w:cs="Arial"/>
          <w:color w:val="000000"/>
          <w:sz w:val="19"/>
          <w:szCs w:val="19"/>
        </w:rPr>
        <w:t xml:space="preserve"> 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Pr>
          <w:rFonts w:ascii="Arial" w:hAnsi="Arial" w:cs="Arial"/>
          <w:color w:val="000000"/>
          <w:sz w:val="19"/>
          <w:szCs w:val="19"/>
        </w:rPr>
        <w:t>”</w:t>
      </w:r>
      <w:r w:rsidRPr="003348F3">
        <w:rPr>
          <w:rFonts w:ascii="Arial" w:hAnsi="Arial" w:cs="Arial"/>
          <w:color w:val="000000"/>
          <w:sz w:val="19"/>
          <w:szCs w:val="19"/>
        </w:rPr>
        <w:t xml:space="preserve"> (Consejo de Estado. Sala de Consulta y Servicio Civil. Concepto del 6 de noviembre de 2008. Expediente: 1927. Consejero Ponente: William Zambrano Cetina).</w:t>
      </w:r>
    </w:p>
    <w:p w:rsidRPr="003348F3" w:rsidR="00EA591E" w:rsidP="00EA591E" w:rsidRDefault="00EA591E" w14:paraId="7DC9CDC0" w14:textId="77777777">
      <w:pPr>
        <w:pStyle w:val="Textonotapie"/>
        <w:ind w:firstLine="709"/>
        <w:jc w:val="both"/>
        <w:rPr>
          <w:rFonts w:ascii="Arial" w:hAnsi="Arial" w:cs="Arial"/>
          <w:color w:val="000000"/>
          <w:sz w:val="19"/>
          <w:szCs w:val="19"/>
        </w:rPr>
      </w:pPr>
    </w:p>
  </w:footnote>
  <w:footnote w:id="15">
    <w:p w:rsidRPr="003348F3" w:rsidR="00EA591E" w:rsidP="00EA591E" w:rsidRDefault="00EA591E" w14:paraId="41E7276D" w14:textId="77777777">
      <w:pPr>
        <w:pStyle w:val="Textonotapie"/>
        <w:spacing w:after="120"/>
        <w:ind w:firstLine="709"/>
        <w:jc w:val="both"/>
        <w:rPr>
          <w:rFonts w:ascii="Arial" w:hAnsi="Arial" w:cs="Arial"/>
          <w:color w:val="000000"/>
          <w:sz w:val="19"/>
          <w:szCs w:val="19"/>
        </w:rPr>
      </w:pPr>
      <w:r w:rsidRPr="003348F3">
        <w:rPr>
          <w:rStyle w:val="Refdenotaalpie"/>
          <w:rFonts w:ascii="Arial" w:hAnsi="Arial" w:cs="Arial"/>
          <w:sz w:val="19"/>
          <w:szCs w:val="19"/>
        </w:rPr>
        <w:footnoteRef/>
      </w:r>
      <w:r w:rsidRPr="003348F3">
        <w:rPr>
          <w:rFonts w:ascii="Arial" w:hAnsi="Arial" w:cs="Arial"/>
          <w:sz w:val="19"/>
          <w:szCs w:val="19"/>
        </w:rPr>
        <w:t xml:space="preserve"> </w:t>
      </w:r>
      <w:r w:rsidRPr="003348F3">
        <w:rPr>
          <w:rFonts w:ascii="Arial" w:hAnsi="Arial" w:cs="Arial"/>
          <w:color w:val="000000"/>
          <w:sz w:val="19"/>
          <w:szCs w:val="19"/>
        </w:rPr>
        <w:t xml:space="preserve">En armonía con lo anterior, actualmente la Circular Externa Única de Colombia Compra Eficiente señala lo siguiente: </w:t>
      </w:r>
      <w:r>
        <w:rPr>
          <w:rFonts w:ascii="Arial" w:hAnsi="Arial" w:cs="Arial"/>
          <w:color w:val="000000"/>
          <w:sz w:val="19"/>
          <w:szCs w:val="19"/>
        </w:rPr>
        <w:t>“</w:t>
      </w:r>
      <w:r w:rsidRPr="003348F3">
        <w:rPr>
          <w:rFonts w:ascii="Arial" w:hAnsi="Arial" w:cs="Arial"/>
          <w:color w:val="000000"/>
          <w:sz w:val="19"/>
          <w:szCs w:val="19"/>
        </w:rPr>
        <w:t xml:space="preserve">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rsidRPr="003348F3" w:rsidR="00EA591E" w:rsidP="00EA591E" w:rsidRDefault="00EA591E" w14:paraId="5BE050FF" w14:textId="77777777">
      <w:pPr>
        <w:pStyle w:val="Textonotapie"/>
        <w:ind w:firstLine="709"/>
        <w:jc w:val="both"/>
        <w:rPr>
          <w:rFonts w:ascii="Arial" w:hAnsi="Arial" w:cs="Arial"/>
          <w:sz w:val="19"/>
          <w:szCs w:val="19"/>
        </w:rPr>
      </w:pPr>
      <w:r w:rsidRPr="003348F3">
        <w:rPr>
          <w:rFonts w:ascii="Arial" w:hAnsi="Arial" w:cs="Arial"/>
          <w:color w:val="000000"/>
          <w:sz w:val="19"/>
          <w:szCs w:val="19"/>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w:t>
      </w:r>
      <w:r>
        <w:rPr>
          <w:rFonts w:ascii="Arial" w:hAnsi="Arial" w:cs="Arial"/>
          <w:color w:val="000000"/>
          <w:sz w:val="19"/>
          <w:szCs w:val="19"/>
        </w:rPr>
        <w:t>“</w:t>
      </w:r>
      <w:r w:rsidRPr="003348F3">
        <w:rPr>
          <w:rFonts w:ascii="Arial" w:hAnsi="Arial" w:cs="Arial"/>
          <w:color w:val="000000"/>
          <w:sz w:val="19"/>
          <w:szCs w:val="19"/>
        </w:rPr>
        <w:t>circunstancias ocurridas con posterioridad al cierre del proceso</w:t>
      </w:r>
      <w:r>
        <w:rPr>
          <w:rFonts w:ascii="Arial" w:hAnsi="Arial" w:cs="Arial"/>
          <w:color w:val="000000"/>
          <w:sz w:val="19"/>
          <w:szCs w:val="19"/>
        </w:rPr>
        <w:t>”</w:t>
      </w:r>
      <w:r w:rsidRPr="003348F3">
        <w:rPr>
          <w:rFonts w:ascii="Arial" w:hAnsi="Arial" w:cs="Arial"/>
          <w:color w:val="000000"/>
          <w:sz w:val="19"/>
          <w:szCs w:val="19"/>
        </w:rPr>
        <w:t xml:space="preserve">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w:t>
      </w:r>
      <w:r>
        <w:rPr>
          <w:rFonts w:ascii="Arial" w:hAnsi="Arial" w:cs="Arial"/>
          <w:color w:val="000000"/>
          <w:sz w:val="19"/>
          <w:szCs w:val="19"/>
        </w:rPr>
        <w:t>”</w:t>
      </w:r>
      <w:r w:rsidRPr="003348F3">
        <w:rPr>
          <w:rFonts w:ascii="Arial" w:hAnsi="Arial" w:cs="Arial"/>
          <w:color w:val="000000"/>
          <w:sz w:val="19"/>
          <w:szCs w:val="19"/>
        </w:rPr>
        <w:t xml:space="preserve">. Disponible en: </w:t>
      </w:r>
      <w:hyperlink w:history="1" r:id="rId3">
        <w:r w:rsidRPr="003348F3">
          <w:rPr>
            <w:rStyle w:val="Hipervnculo"/>
            <w:rFonts w:ascii="Arial" w:hAnsi="Arial" w:cs="Arial"/>
            <w:color w:val="000000"/>
            <w:sz w:val="19"/>
            <w:szCs w:val="19"/>
          </w:rPr>
          <w:t>https://www.colombiacompra.gov.co/content/circular-unica-externa</w:t>
        </w:r>
      </w:hyperlink>
      <w:r w:rsidRPr="003348F3">
        <w:rPr>
          <w:rFonts w:ascii="Arial" w:hAnsi="Arial" w:cs="Arial"/>
          <w:color w:val="000000"/>
          <w:sz w:val="19"/>
          <w:szCs w:val="19"/>
        </w:rPr>
        <w:t>.</w:t>
      </w:r>
    </w:p>
  </w:footnote>
  <w:footnote w:id="16">
    <w:p w:rsidRPr="003348F3" w:rsidR="00EA591E" w:rsidP="00EA591E" w:rsidRDefault="00EA591E" w14:paraId="47901CA7" w14:textId="77777777">
      <w:pPr>
        <w:pStyle w:val="Textonotapie"/>
        <w:ind w:firstLine="709"/>
        <w:jc w:val="both"/>
        <w:rPr>
          <w:rFonts w:ascii="Arial" w:hAnsi="Arial" w:cs="Arial"/>
          <w:color w:val="000000"/>
          <w:sz w:val="19"/>
          <w:szCs w:val="19"/>
        </w:rPr>
      </w:pPr>
      <w:r w:rsidRPr="003348F3">
        <w:rPr>
          <w:rStyle w:val="Refdenotaalpie"/>
          <w:rFonts w:ascii="Arial" w:hAnsi="Arial" w:cs="Arial"/>
          <w:color w:val="000000"/>
          <w:sz w:val="19"/>
          <w:szCs w:val="19"/>
        </w:rPr>
        <w:footnoteRef/>
      </w:r>
      <w:r w:rsidRPr="003348F3">
        <w:rPr>
          <w:rFonts w:ascii="Arial" w:hAnsi="Arial" w:cs="Arial"/>
          <w:color w:val="000000"/>
          <w:sz w:val="19"/>
          <w:szCs w:val="19"/>
        </w:rPr>
        <w:t xml:space="preserve"> Ver CONSEJO DE ESTADO, Sección Tercera, Subsección C. Sentencia del 26 de febrero de 2011. C.P. Jaime Orlando Santofimio. Rad. 36.408. </w:t>
      </w:r>
    </w:p>
    <w:p w:rsidRPr="003348F3" w:rsidR="00EA591E" w:rsidP="00EA591E" w:rsidRDefault="00EA591E" w14:paraId="7EA82096" w14:textId="77777777">
      <w:pPr>
        <w:pStyle w:val="Textonotapie"/>
        <w:ind w:firstLine="709"/>
        <w:jc w:val="both"/>
        <w:rPr>
          <w:rFonts w:ascii="Arial" w:hAnsi="Arial" w:cs="Arial"/>
          <w:color w:val="000000"/>
          <w:sz w:val="19"/>
          <w:szCs w:val="19"/>
        </w:rPr>
      </w:pPr>
    </w:p>
  </w:footnote>
  <w:footnote w:id="17">
    <w:p w:rsidRPr="003348F3" w:rsidR="00EA591E" w:rsidP="00EA591E" w:rsidRDefault="00EA591E" w14:paraId="12F7063E" w14:textId="77777777">
      <w:pPr>
        <w:pStyle w:val="Textonotapie"/>
        <w:ind w:firstLine="709"/>
        <w:jc w:val="both"/>
        <w:rPr>
          <w:rFonts w:ascii="Arial" w:hAnsi="Arial" w:cs="Arial"/>
          <w:color w:val="000000"/>
          <w:sz w:val="19"/>
          <w:szCs w:val="19"/>
        </w:rPr>
      </w:pPr>
      <w:r w:rsidRPr="003348F3">
        <w:rPr>
          <w:rStyle w:val="Refdenotaalpie"/>
          <w:rFonts w:ascii="Arial" w:hAnsi="Arial" w:cs="Arial"/>
          <w:color w:val="000000"/>
          <w:sz w:val="19"/>
          <w:szCs w:val="19"/>
        </w:rPr>
        <w:footnoteRef/>
      </w:r>
      <w:r w:rsidRPr="003348F3">
        <w:rPr>
          <w:rFonts w:ascii="Arial" w:hAnsi="Arial" w:cs="Arial"/>
          <w:color w:val="000000"/>
          <w:sz w:val="19"/>
          <w:szCs w:val="19"/>
        </w:rPr>
        <w:t xml:space="preserve"> Ver CONSEJO DE ESTADO, Sección Tercera, Subsección C. Sentencia del 26 de febrero de 2014. C.P. Enrique Gil Botero. Rad. 25.804. </w:t>
      </w:r>
    </w:p>
    <w:p w:rsidRPr="003348F3" w:rsidR="00EA591E" w:rsidP="00EA591E" w:rsidRDefault="00EA591E" w14:paraId="29B733CB" w14:textId="77777777">
      <w:pPr>
        <w:pStyle w:val="Textonotapie"/>
        <w:ind w:firstLine="709"/>
        <w:jc w:val="both"/>
        <w:rPr>
          <w:rFonts w:ascii="Arial" w:hAnsi="Arial" w:cs="Arial"/>
          <w:color w:val="000000"/>
          <w:sz w:val="19"/>
          <w:szCs w:val="19"/>
        </w:rPr>
      </w:pPr>
    </w:p>
  </w:footnote>
  <w:footnote w:id="18">
    <w:p w:rsidRPr="003348F3" w:rsidR="00EA591E" w:rsidP="00EA591E" w:rsidRDefault="00EA591E" w14:paraId="744AC038" w14:textId="77777777">
      <w:pPr>
        <w:pStyle w:val="Textonotapie"/>
        <w:ind w:firstLine="709"/>
        <w:jc w:val="both"/>
        <w:rPr>
          <w:rFonts w:ascii="Arial" w:hAnsi="Arial" w:cs="Arial"/>
          <w:color w:val="000000"/>
          <w:sz w:val="19"/>
          <w:szCs w:val="19"/>
        </w:rPr>
      </w:pPr>
      <w:r w:rsidRPr="003348F3">
        <w:rPr>
          <w:rStyle w:val="Refdenotaalpie"/>
          <w:rFonts w:ascii="Arial" w:hAnsi="Arial" w:cs="Arial"/>
          <w:color w:val="000000"/>
          <w:sz w:val="19"/>
          <w:szCs w:val="19"/>
        </w:rPr>
        <w:footnoteRef/>
      </w:r>
      <w:r w:rsidRPr="003348F3">
        <w:rPr>
          <w:rFonts w:ascii="Arial" w:hAnsi="Arial" w:cs="Arial"/>
          <w:color w:val="000000"/>
          <w:sz w:val="19"/>
          <w:szCs w:val="19"/>
        </w:rPr>
        <w:t xml:space="preserve"> CONSEJO DE ESTADO. Sala de Consulta y Servicio Civil. Concepto del 20 de mayo de 2010. Expediente: 1992. Consejero Ponente: Enrique José Arboleda Perdomo.</w:t>
      </w:r>
    </w:p>
  </w:footnote>
  <w:footnote w:id="19">
    <w:p w:rsidRPr="003348F3" w:rsidR="00EA591E" w:rsidP="00EA591E" w:rsidRDefault="00EA591E" w14:paraId="72BD1D80" w14:textId="77777777">
      <w:pPr>
        <w:pBdr>
          <w:top w:val="nil"/>
          <w:left w:val="nil"/>
          <w:bottom w:val="nil"/>
          <w:right w:val="nil"/>
          <w:between w:val="nil"/>
        </w:pBdr>
        <w:spacing w:after="0" w:line="240" w:lineRule="auto"/>
        <w:ind w:firstLine="709"/>
        <w:jc w:val="both"/>
        <w:rPr>
          <w:rFonts w:ascii="Arial" w:hAnsi="Arial" w:eastAsia="Arial" w:cs="Arial"/>
          <w:color w:val="000000"/>
          <w:sz w:val="19"/>
          <w:szCs w:val="19"/>
        </w:rPr>
      </w:pPr>
      <w:r w:rsidRPr="003348F3">
        <w:rPr>
          <w:rFonts w:ascii="Arial" w:hAnsi="Arial" w:cs="Arial"/>
          <w:sz w:val="19"/>
          <w:szCs w:val="19"/>
          <w:vertAlign w:val="superscript"/>
        </w:rPr>
        <w:footnoteRef/>
      </w:r>
      <w:r w:rsidRPr="003348F3">
        <w:rPr>
          <w:rFonts w:ascii="Arial" w:hAnsi="Arial" w:eastAsia="Arial" w:cs="Arial"/>
          <w:color w:val="000000"/>
          <w:sz w:val="19"/>
          <w:szCs w:val="19"/>
        </w:rPr>
        <w:t xml:space="preserve"> CONSEJO DE ESTADO. Sección Tercera. Subsección C. Sentencia del 12 de noviembre de 2014. Exp. 27.986. C.P. Enrique Gil Botero.</w:t>
      </w:r>
    </w:p>
    <w:p w:rsidRPr="003348F3" w:rsidR="00EA591E" w:rsidP="00EA591E" w:rsidRDefault="00EA591E" w14:paraId="5C21ACC3" w14:textId="77777777">
      <w:pPr>
        <w:pBdr>
          <w:top w:val="nil"/>
          <w:left w:val="nil"/>
          <w:bottom w:val="nil"/>
          <w:right w:val="nil"/>
          <w:between w:val="nil"/>
        </w:pBdr>
        <w:spacing w:after="0" w:line="240" w:lineRule="auto"/>
        <w:ind w:firstLine="709"/>
        <w:jc w:val="both"/>
        <w:rPr>
          <w:rFonts w:ascii="Arial" w:hAnsi="Arial" w:eastAsia="Arial" w:cs="Arial"/>
          <w:color w:val="000000"/>
          <w:sz w:val="19"/>
          <w:szCs w:val="19"/>
        </w:rPr>
      </w:pPr>
    </w:p>
  </w:footnote>
  <w:footnote w:id="20">
    <w:p w:rsidRPr="003348F3" w:rsidR="00EA591E" w:rsidP="00EA591E" w:rsidRDefault="00EA591E" w14:paraId="12ED9906" w14:textId="77777777">
      <w:pPr>
        <w:pStyle w:val="Textonotapie"/>
        <w:ind w:firstLine="709"/>
        <w:jc w:val="both"/>
        <w:rPr>
          <w:rFonts w:ascii="Arial" w:hAnsi="Arial" w:cs="Arial"/>
          <w:sz w:val="19"/>
          <w:szCs w:val="19"/>
          <w:lang w:val="es-CO"/>
        </w:rPr>
      </w:pPr>
      <w:r w:rsidRPr="003348F3">
        <w:rPr>
          <w:rStyle w:val="Refdenotaalpie"/>
          <w:rFonts w:ascii="Arial" w:hAnsi="Arial" w:cs="Arial"/>
          <w:sz w:val="19"/>
          <w:szCs w:val="19"/>
        </w:rPr>
        <w:footnoteRef/>
      </w:r>
      <w:r w:rsidRPr="003348F3">
        <w:rPr>
          <w:rFonts w:ascii="Arial" w:hAnsi="Arial" w:cs="Arial"/>
          <w:sz w:val="19"/>
          <w:szCs w:val="19"/>
        </w:rPr>
        <w:t xml:space="preserve"> </w:t>
      </w:r>
      <w:r w:rsidRPr="003348F3">
        <w:rPr>
          <w:rFonts w:ascii="Arial" w:hAnsi="Arial" w:cs="Arial"/>
          <w:bCs/>
          <w:sz w:val="19"/>
          <w:szCs w:val="19"/>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footnote>
  <w:footnote w:id="21">
    <w:p w:rsidRPr="003348F3" w:rsidR="00EA591E" w:rsidP="00EA591E" w:rsidRDefault="00EA591E" w14:paraId="40142909" w14:textId="77777777">
      <w:pPr>
        <w:pBdr>
          <w:top w:val="nil"/>
          <w:left w:val="nil"/>
          <w:bottom w:val="nil"/>
          <w:right w:val="nil"/>
          <w:between w:val="nil"/>
        </w:pBdr>
        <w:spacing w:after="0" w:line="240" w:lineRule="auto"/>
        <w:ind w:firstLine="709"/>
        <w:jc w:val="both"/>
        <w:rPr>
          <w:rFonts w:ascii="Arial" w:hAnsi="Arial" w:cs="Arial"/>
          <w:color w:val="000000"/>
          <w:sz w:val="19"/>
          <w:szCs w:val="19"/>
        </w:rPr>
      </w:pPr>
    </w:p>
    <w:p w:rsidR="00EA591E" w:rsidP="00EA591E" w:rsidRDefault="00EA591E" w14:paraId="60771E67" w14:textId="77777777">
      <w:pPr>
        <w:pBdr>
          <w:top w:val="nil"/>
          <w:left w:val="nil"/>
          <w:bottom w:val="nil"/>
          <w:right w:val="nil"/>
          <w:between w:val="nil"/>
        </w:pBdr>
        <w:spacing w:after="0" w:line="240" w:lineRule="auto"/>
        <w:ind w:firstLine="709"/>
        <w:jc w:val="both"/>
        <w:rPr>
          <w:rFonts w:ascii="Arial" w:hAnsi="Arial" w:eastAsia="Arial" w:cs="Arial"/>
          <w:i/>
          <w:color w:val="000000"/>
          <w:sz w:val="19"/>
          <w:szCs w:val="19"/>
        </w:rPr>
      </w:pPr>
      <w:r w:rsidRPr="003348F3">
        <w:rPr>
          <w:rFonts w:ascii="Arial" w:hAnsi="Arial" w:cs="Arial"/>
          <w:sz w:val="19"/>
          <w:szCs w:val="19"/>
          <w:vertAlign w:val="superscript"/>
        </w:rPr>
        <w:footnoteRef/>
      </w:r>
      <w:r w:rsidRPr="003348F3">
        <w:rPr>
          <w:rFonts w:ascii="Arial" w:hAnsi="Arial" w:cs="Arial"/>
          <w:color w:val="000000"/>
          <w:sz w:val="19"/>
          <w:szCs w:val="19"/>
        </w:rPr>
        <w:t xml:space="preserve"> </w:t>
      </w:r>
      <w:r w:rsidRPr="003348F3">
        <w:rPr>
          <w:rFonts w:ascii="Arial" w:hAnsi="Arial" w:eastAsia="Arial" w:cs="Arial"/>
          <w:color w:val="000000"/>
          <w:sz w:val="19"/>
          <w:szCs w:val="19"/>
        </w:rPr>
        <w:t>Ibídem</w:t>
      </w:r>
      <w:r w:rsidRPr="003348F3">
        <w:rPr>
          <w:rFonts w:ascii="Arial" w:hAnsi="Arial" w:eastAsia="Arial" w:cs="Arial"/>
          <w:i/>
          <w:color w:val="000000"/>
          <w:sz w:val="19"/>
          <w:szCs w:val="19"/>
        </w:rPr>
        <w:t>.</w:t>
      </w:r>
    </w:p>
    <w:p w:rsidRPr="003348F3" w:rsidR="00EA591E" w:rsidP="00EA591E" w:rsidRDefault="00EA591E" w14:paraId="54D630FB" w14:textId="77777777">
      <w:pPr>
        <w:pBdr>
          <w:top w:val="nil"/>
          <w:left w:val="nil"/>
          <w:bottom w:val="nil"/>
          <w:right w:val="nil"/>
          <w:between w:val="nil"/>
        </w:pBdr>
        <w:spacing w:after="0" w:line="240" w:lineRule="auto"/>
        <w:ind w:firstLine="709"/>
        <w:jc w:val="both"/>
        <w:rPr>
          <w:rFonts w:ascii="Arial" w:hAnsi="Arial" w:cs="Arial"/>
          <w:color w:val="000000"/>
          <w:sz w:val="19"/>
          <w:szCs w:val="19"/>
        </w:rPr>
      </w:pPr>
    </w:p>
  </w:footnote>
  <w:footnote w:id="22">
    <w:p w:rsidRPr="003348F3" w:rsidR="00EA591E" w:rsidP="00EA591E" w:rsidRDefault="00EA591E" w14:paraId="3821E5AD" w14:textId="77777777">
      <w:pPr>
        <w:pBdr>
          <w:top w:val="nil"/>
          <w:left w:val="nil"/>
          <w:bottom w:val="nil"/>
          <w:right w:val="nil"/>
          <w:between w:val="nil"/>
        </w:pBdr>
        <w:spacing w:after="0" w:line="240" w:lineRule="auto"/>
        <w:ind w:firstLine="709"/>
        <w:jc w:val="both"/>
        <w:rPr>
          <w:rFonts w:ascii="Arial" w:hAnsi="Arial" w:cs="Arial"/>
          <w:color w:val="000000"/>
          <w:sz w:val="19"/>
          <w:szCs w:val="19"/>
        </w:rPr>
      </w:pPr>
      <w:r w:rsidRPr="003348F3">
        <w:rPr>
          <w:rFonts w:ascii="Arial" w:hAnsi="Arial" w:cs="Arial"/>
          <w:sz w:val="19"/>
          <w:szCs w:val="19"/>
          <w:vertAlign w:val="superscript"/>
        </w:rPr>
        <w:footnoteRef/>
      </w:r>
      <w:r w:rsidRPr="003348F3">
        <w:rPr>
          <w:rFonts w:ascii="Arial" w:hAnsi="Arial" w:cs="Arial"/>
          <w:color w:val="000000"/>
          <w:sz w:val="19"/>
          <w:szCs w:val="19"/>
        </w:rPr>
        <w:t xml:space="preserve"> Ibídem</w:t>
      </w:r>
    </w:p>
    <w:p w:rsidRPr="003348F3" w:rsidR="00EA591E" w:rsidP="00EA591E" w:rsidRDefault="00EA591E" w14:paraId="0774E52F" w14:textId="77777777">
      <w:pPr>
        <w:pBdr>
          <w:top w:val="nil"/>
          <w:left w:val="nil"/>
          <w:bottom w:val="nil"/>
          <w:right w:val="nil"/>
          <w:between w:val="nil"/>
        </w:pBdr>
        <w:spacing w:after="0" w:line="240" w:lineRule="auto"/>
        <w:ind w:firstLine="709"/>
        <w:jc w:val="both"/>
        <w:rPr>
          <w:rFonts w:ascii="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D38FA" w:rsidRDefault="00EA591E" w14:paraId="2A88EC8E" w14:textId="77777777">
    <w:pPr>
      <w:pStyle w:val="Encabezado"/>
    </w:pPr>
    <w:r>
      <w:rPr>
        <w:noProof/>
      </w:rPr>
      <w:drawing>
        <wp:anchor distT="0" distB="0" distL="114300" distR="114300" simplePos="0" relativeHeight="251659264" behindDoc="1" locked="0" layoutInCell="1" allowOverlap="1" wp14:anchorId="4E995756" wp14:editId="6BB8669D">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rPr>
      <w:drawing>
        <wp:anchor distT="0" distB="0" distL="114300" distR="114300" simplePos="0" relativeHeight="251663360" behindDoc="0" locked="0" layoutInCell="1" allowOverlap="1" wp14:anchorId="1C459637" wp14:editId="34A07527">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61312" behindDoc="0" locked="0" layoutInCell="1" allowOverlap="1" wp14:anchorId="0ABB235A" wp14:editId="4847E06D">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879A04D" wp14:editId="3D075043">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AD38FA" w:rsidRDefault="00AD38FA" w14:paraId="61E7CB11" w14:textId="77777777">
    <w:pPr>
      <w:pStyle w:val="Encabezado"/>
    </w:pPr>
  </w:p>
  <w:p w:rsidR="00AD38FA" w:rsidRDefault="00AD38FA" w14:paraId="14662FF5" w14:textId="77777777">
    <w:pPr>
      <w:pStyle w:val="Encabezado"/>
    </w:pPr>
  </w:p>
  <w:p w:rsidRPr="004A305D" w:rsidR="00AD38FA" w:rsidP="004A305D" w:rsidRDefault="00EA591E" w14:paraId="2F4A893F"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AD38FA" w:rsidP="004A305D" w:rsidRDefault="00EA591E" w14:paraId="597FF50D" w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w:rsidRPr="004A305D" w:rsidR="00AD38FA" w:rsidP="004A305D" w:rsidRDefault="00EA591E" w14:paraId="1CE8D249" w14:textId="77777777">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w:rsidR="00AD38FA" w:rsidRDefault="00AD38FA" w14:paraId="2AD7F6D7" w14:textId="77777777">
    <w:pPr>
      <w:pStyle w:val="Encabezado"/>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1E"/>
    <w:rsid w:val="00560D81"/>
    <w:rsid w:val="00AD38FA"/>
    <w:rsid w:val="00AD3902"/>
    <w:rsid w:val="00AE05F6"/>
    <w:rsid w:val="00B076F6"/>
    <w:rsid w:val="00C31902"/>
    <w:rsid w:val="00EA591E"/>
    <w:rsid w:val="1114261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E08A"/>
  <w15:chartTrackingRefBased/>
  <w15:docId w15:val="{0C5B1151-E074-4783-9535-63684B872D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591E"/>
    <w:rPr>
      <w:kern w:val="0"/>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A591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A591E"/>
    <w:rPr>
      <w:kern w:val="0"/>
      <w14:ligatures w14:val="none"/>
    </w:rPr>
  </w:style>
  <w:style w:type="paragraph" w:styleId="Piedepgina">
    <w:name w:val="footer"/>
    <w:basedOn w:val="Normal"/>
    <w:link w:val="PiedepginaCar"/>
    <w:uiPriority w:val="99"/>
    <w:unhideWhenUsed/>
    <w:rsid w:val="00EA591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A591E"/>
    <w:rPr>
      <w:kern w:val="0"/>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A591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EA591E"/>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EA591E"/>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EA591E"/>
    <w:rPr>
      <w:vertAlign w:val="superscript"/>
    </w:rPr>
  </w:style>
  <w:style w:type="table" w:styleId="Tablaconcuadrcula">
    <w:name w:val="Table Grid"/>
    <w:basedOn w:val="Tablanormal"/>
    <w:uiPriority w:val="39"/>
    <w:rsid w:val="00EA591E"/>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semiHidden/>
    <w:unhideWhenUsed/>
    <w:rsid w:val="00EA591E"/>
    <w:rPr>
      <w:color w:val="0000FF"/>
      <w:u w:val="single"/>
    </w:rPr>
  </w:style>
  <w:style w:type="paragraph" w:styleId="Appelnotedebasde" w:customStyle="1">
    <w:name w:val="Appel note de bas de..."/>
    <w:basedOn w:val="Normal"/>
    <w:link w:val="Refdenotaalpie"/>
    <w:rsid w:val="00EA591E"/>
    <w:pPr>
      <w:spacing w:line="240" w:lineRule="exact"/>
    </w:pPr>
    <w:rPr>
      <w:kern w:val="2"/>
      <w:vertAlign w:val="superscript"/>
      <w14:ligatures w14:val="standardContextual"/>
    </w:rPr>
  </w:style>
  <w:style w:type="table" w:styleId="Tablaconcuadrcula1" w:customStyle="1">
    <w:name w:val="Tabla con cuadrícula1"/>
    <w:basedOn w:val="Tablanormal"/>
    <w:next w:val="Tablaconcuadrcula"/>
    <w:uiPriority w:val="39"/>
    <w:rsid w:val="00EA591E"/>
    <w:pPr>
      <w:spacing w:after="0" w:line="240" w:lineRule="auto"/>
      <w:jc w:val="both"/>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39"/>
    <w:rsid w:val="00EA591E"/>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link w:val="NormalWebCar"/>
    <w:uiPriority w:val="99"/>
    <w:unhideWhenUsed/>
    <w:rsid w:val="00EA591E"/>
    <w:rPr>
      <w:rFonts w:ascii="Times New Roman" w:hAnsi="Times New Roman" w:cs="Times New Roman"/>
      <w:sz w:val="24"/>
      <w:szCs w:val="24"/>
    </w:rPr>
  </w:style>
  <w:style w:type="character" w:styleId="NormalWebCar" w:customStyle="1">
    <w:name w:val="Normal (Web) Car"/>
    <w:link w:val="NormalWeb"/>
    <w:uiPriority w:val="99"/>
    <w:rsid w:val="00EA591E"/>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ontent/circular-unica-externa" TargetMode="External"/><Relationship Id="rId2" Type="http://schemas.openxmlformats.org/officeDocument/2006/relationships/hyperlink" Target="https://www.funcionpublica.gov.co/eva/gestornormativo/norma.php?i=25678" TargetMode="External"/><Relationship Id="rId1" Type="http://schemas.openxmlformats.org/officeDocument/2006/relationships/hyperlink" Target="https://colombiacompra.gov.co/sites/cce_public/files/cce_documents/cce-eicp-ma-05._manual_de_modalidad_de_seleccion_de_minima_cuantia_v.0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F7547-0712-4D54-8DDB-34AECD9875C9}">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EAC5AB5C-000F-49BD-836A-88EC7978E934}">
  <ds:schemaRefs>
    <ds:schemaRef ds:uri="http://schemas.microsoft.com/sharepoint/v3/contenttype/forms"/>
  </ds:schemaRefs>
</ds:datastoreItem>
</file>

<file path=customXml/itemProps3.xml><?xml version="1.0" encoding="utf-8"?>
<ds:datastoreItem xmlns:ds="http://schemas.openxmlformats.org/officeDocument/2006/customXml" ds:itemID="{6F09597D-BAE4-44D2-942B-81A3D0D2E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Nasly Yeana Mosquera Rivas</dc:creator>
  <keywords/>
  <dc:description/>
  <lastModifiedBy>Richard Andrés Montenegro Siefken</lastModifiedBy>
  <revision>4</revision>
  <dcterms:created xsi:type="dcterms:W3CDTF">2023-08-31T21:23:00.0000000Z</dcterms:created>
  <dcterms:modified xsi:type="dcterms:W3CDTF">2023-08-31T21:26:18.7318190Z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