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42FB" w14:textId="77777777" w:rsidR="00D772C9" w:rsidRPr="00FD7A7A" w:rsidRDefault="00D772C9" w:rsidP="00D772C9">
      <w:pPr>
        <w:spacing w:after="0" w:line="240" w:lineRule="auto"/>
        <w:rPr>
          <w:rFonts w:ascii="Arial" w:eastAsia="Calibri" w:hAnsi="Arial" w:cs="Arial"/>
          <w:b/>
          <w:lang w:val="es-MX" w:eastAsia="es-ES_tradnl"/>
        </w:rPr>
      </w:pPr>
      <w:bookmarkStart w:id="0" w:name="_Hlk96417464"/>
      <w:bookmarkStart w:id="1" w:name="_Hlk120036210"/>
      <w:bookmarkStart w:id="2" w:name="_Hlk98867631"/>
      <w:bookmarkStart w:id="3" w:name="_Hlk99546921"/>
      <w:bookmarkStart w:id="4" w:name="_Hlk34951122"/>
      <w:r w:rsidRPr="00FD7A7A">
        <w:rPr>
          <w:rFonts w:ascii="Arial" w:eastAsia="Calibri" w:hAnsi="Arial" w:cs="Arial"/>
          <w:b/>
          <w:lang w:val="es-MX" w:eastAsia="es-ES_tradnl"/>
        </w:rPr>
        <w:t>INHABILIDADES – Definición – Finalidad – Limitación capacidad contractual</w:t>
      </w:r>
    </w:p>
    <w:p w14:paraId="56F5639C" w14:textId="77777777" w:rsidR="00D772C9" w:rsidRPr="00FD7A7A" w:rsidRDefault="00D772C9" w:rsidP="00D772C9">
      <w:pPr>
        <w:spacing w:after="0" w:line="240" w:lineRule="auto"/>
        <w:rPr>
          <w:rFonts w:ascii="Arial" w:eastAsia="Calibri" w:hAnsi="Arial" w:cs="Arial"/>
          <w:bCs/>
          <w:sz w:val="20"/>
          <w:szCs w:val="20"/>
          <w:lang w:val="es-MX" w:eastAsia="es-ES_tradnl"/>
        </w:rPr>
      </w:pPr>
    </w:p>
    <w:p w14:paraId="1EFB3C01" w14:textId="77777777" w:rsidR="00D772C9" w:rsidRPr="00FD7A7A" w:rsidRDefault="00D772C9" w:rsidP="00D772C9">
      <w:pPr>
        <w:spacing w:after="0" w:line="240" w:lineRule="auto"/>
        <w:jc w:val="both"/>
        <w:rPr>
          <w:rFonts w:ascii="Arial" w:eastAsia="Geomanist Light" w:hAnsi="Arial" w:cs="Arial"/>
          <w:color w:val="000000" w:themeColor="text1"/>
          <w:sz w:val="20"/>
          <w:szCs w:val="20"/>
          <w:lang w:val="es-MX"/>
        </w:rPr>
      </w:pPr>
      <w:r w:rsidRPr="00FD7A7A">
        <w:rPr>
          <w:rFonts w:ascii="Arial" w:eastAsia="Geomanist Light" w:hAnsi="Arial" w:cs="Arial"/>
          <w:color w:val="000000" w:themeColor="text1"/>
          <w:sz w:val="20"/>
          <w:szCs w:val="20"/>
          <w:lang w:val="es-MX"/>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La consagración limitaciones que afectan la capacidad jurídica para contratar desarrolla los principios de la función administrativa consagrados en el artículo 209 de la Constitución Política, con especial énfasis el de moralidad.</w:t>
      </w:r>
    </w:p>
    <w:p w14:paraId="2739AE28" w14:textId="77777777" w:rsidR="00D772C9" w:rsidRPr="00FD7A7A" w:rsidRDefault="00D772C9" w:rsidP="00D772C9">
      <w:pPr>
        <w:spacing w:after="0" w:line="240" w:lineRule="auto"/>
        <w:contextualSpacing/>
        <w:jc w:val="both"/>
        <w:rPr>
          <w:rFonts w:ascii="Arial" w:eastAsia="Calibri" w:hAnsi="Arial" w:cs="Arial"/>
          <w:b/>
          <w:bCs/>
          <w:lang w:eastAsia="es-MX"/>
        </w:rPr>
      </w:pPr>
    </w:p>
    <w:p w14:paraId="6ADB0C6B" w14:textId="77777777" w:rsidR="00D772C9" w:rsidRPr="00FD7A7A" w:rsidRDefault="00D772C9" w:rsidP="00D772C9">
      <w:pPr>
        <w:spacing w:after="0" w:line="240" w:lineRule="auto"/>
        <w:contextualSpacing/>
        <w:jc w:val="both"/>
        <w:rPr>
          <w:rFonts w:ascii="Arial" w:eastAsia="Calibri" w:hAnsi="Arial" w:cs="Arial"/>
          <w:b/>
          <w:bCs/>
          <w:lang w:eastAsia="es-MX"/>
        </w:rPr>
      </w:pPr>
      <w:r w:rsidRPr="00FD7A7A">
        <w:rPr>
          <w:rFonts w:ascii="Arial" w:eastAsia="Calibri" w:hAnsi="Arial" w:cs="Arial"/>
          <w:b/>
          <w:bCs/>
          <w:lang w:eastAsia="es-MX"/>
        </w:rPr>
        <w:t>INHABILIDAD – Relación de parentesco – Vínculo natural – Personas naturales</w:t>
      </w:r>
    </w:p>
    <w:p w14:paraId="7078678B" w14:textId="77777777" w:rsidR="00D772C9" w:rsidRPr="00FD7A7A" w:rsidRDefault="00D772C9" w:rsidP="00D772C9">
      <w:pPr>
        <w:spacing w:after="0" w:line="240" w:lineRule="auto"/>
        <w:contextualSpacing/>
        <w:jc w:val="both"/>
        <w:rPr>
          <w:rFonts w:ascii="Arial" w:eastAsia="Calibri" w:hAnsi="Arial" w:cs="Arial"/>
          <w:b/>
          <w:bCs/>
          <w:lang w:eastAsia="es-MX"/>
        </w:rPr>
      </w:pPr>
    </w:p>
    <w:p w14:paraId="5629374E" w14:textId="77777777" w:rsidR="00D772C9" w:rsidRPr="00FD7A7A" w:rsidRDefault="00D772C9" w:rsidP="00D772C9">
      <w:pPr>
        <w:spacing w:after="0" w:line="240" w:lineRule="auto"/>
        <w:jc w:val="both"/>
        <w:rPr>
          <w:rFonts w:ascii="Arial" w:eastAsia="Calibri" w:hAnsi="Arial" w:cs="Arial"/>
          <w:sz w:val="20"/>
          <w:szCs w:val="20"/>
          <w:lang w:val="es-ES_tradnl"/>
        </w:rPr>
      </w:pPr>
      <w:r w:rsidRPr="00FD7A7A">
        <w:rPr>
          <w:rFonts w:ascii="Arial" w:eastAsia="Calibri" w:hAnsi="Arial" w:cs="Arial"/>
          <w:sz w:val="20"/>
          <w:szCs w:val="20"/>
          <w:lang w:val="es-ES_tradnl"/>
        </w:rPr>
        <w:t>El literal g) del numeral 1 del artículo 8 de la Ley 80 de 1993 determina que son inhábiles para participar en procesos de contratación o suscribir contratos con entidades estatales “Quienes sean cónyuges o compañeros permanentes y quienes se encuentren dentro del segundo grado de consanguinidad o segundo de afinidad con cualquier otra persona que formalmente haya presentado propuesta para una misma licitación”.</w:t>
      </w:r>
    </w:p>
    <w:p w14:paraId="063B9643" w14:textId="77777777" w:rsidR="00D772C9" w:rsidRPr="00FD7A7A" w:rsidRDefault="00D772C9" w:rsidP="00D772C9">
      <w:pPr>
        <w:spacing w:after="0" w:line="240" w:lineRule="auto"/>
        <w:jc w:val="both"/>
        <w:rPr>
          <w:rFonts w:ascii="Arial" w:eastAsia="Calibri" w:hAnsi="Arial" w:cs="Arial"/>
          <w:sz w:val="20"/>
          <w:szCs w:val="20"/>
          <w:lang w:val="es-ES_tradnl"/>
        </w:rPr>
      </w:pPr>
    </w:p>
    <w:p w14:paraId="37004389" w14:textId="77777777" w:rsidR="00D772C9" w:rsidRPr="00FD7A7A" w:rsidRDefault="00D772C9" w:rsidP="00D772C9">
      <w:pPr>
        <w:spacing w:after="0" w:line="240" w:lineRule="auto"/>
        <w:jc w:val="both"/>
        <w:rPr>
          <w:rFonts w:ascii="Arial" w:eastAsia="Calibri" w:hAnsi="Arial" w:cs="Arial"/>
          <w:sz w:val="20"/>
          <w:szCs w:val="20"/>
          <w:lang w:val="es-ES_tradnl"/>
        </w:rPr>
      </w:pPr>
      <w:r w:rsidRPr="00FD7A7A">
        <w:rPr>
          <w:rFonts w:ascii="Arial" w:eastAsia="Calibri" w:hAnsi="Arial" w:cs="Arial"/>
          <w:sz w:val="20"/>
          <w:szCs w:val="20"/>
          <w:lang w:val="es-ES_tradnl"/>
        </w:rPr>
        <w:t>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 esto es, sujetos de derechos y obligaciones de la especie humana unidos entre si ya sea por vínculos naturales o jurídicos.</w:t>
      </w:r>
    </w:p>
    <w:p w14:paraId="202BA548" w14:textId="77777777" w:rsidR="00D772C9" w:rsidRPr="00FD7A7A" w:rsidRDefault="00D772C9" w:rsidP="00D772C9">
      <w:pPr>
        <w:spacing w:after="0" w:line="240" w:lineRule="auto"/>
        <w:jc w:val="both"/>
        <w:rPr>
          <w:rFonts w:ascii="Arial" w:eastAsia="Calibri" w:hAnsi="Arial" w:cs="Arial"/>
          <w:sz w:val="20"/>
          <w:szCs w:val="20"/>
          <w:lang w:val="es-ES_tradnl"/>
        </w:rPr>
      </w:pPr>
    </w:p>
    <w:p w14:paraId="45706BB6" w14:textId="77777777" w:rsidR="00D772C9" w:rsidRPr="00FD7A7A" w:rsidRDefault="00D772C9" w:rsidP="00D772C9">
      <w:pPr>
        <w:spacing w:after="0"/>
        <w:jc w:val="both"/>
        <w:rPr>
          <w:rFonts w:ascii="Arial" w:eastAsia="Calibri" w:hAnsi="Arial" w:cs="Arial"/>
          <w:b/>
          <w:bCs/>
          <w:lang w:val="es-ES_tradnl"/>
        </w:rPr>
      </w:pPr>
      <w:r w:rsidRPr="00FD7A7A">
        <w:rPr>
          <w:rFonts w:ascii="Arial" w:eastAsia="Calibri" w:hAnsi="Arial" w:cs="Arial"/>
          <w:b/>
          <w:bCs/>
          <w:lang w:val="es-ES_tradnl"/>
        </w:rPr>
        <w:t>PARENTESCO – Clasificación – Consanguinidad – Afinidad – Grados</w:t>
      </w:r>
    </w:p>
    <w:p w14:paraId="04E0F392" w14:textId="77777777" w:rsidR="00D772C9" w:rsidRPr="00FD7A7A" w:rsidRDefault="00D772C9" w:rsidP="00D772C9">
      <w:pPr>
        <w:spacing w:after="0"/>
        <w:jc w:val="both"/>
        <w:rPr>
          <w:rFonts w:ascii="Arial" w:eastAsia="Calibri" w:hAnsi="Arial" w:cs="Arial"/>
          <w:lang w:val="es-ES_tradnl"/>
        </w:rPr>
      </w:pPr>
    </w:p>
    <w:p w14:paraId="44ECE255" w14:textId="77777777" w:rsidR="00D772C9" w:rsidRPr="00FD7A7A" w:rsidRDefault="00D772C9" w:rsidP="00D772C9">
      <w:pPr>
        <w:spacing w:after="0"/>
        <w:jc w:val="both"/>
        <w:rPr>
          <w:rFonts w:ascii="Arial" w:eastAsia="Calibri" w:hAnsi="Arial" w:cs="Arial"/>
          <w:sz w:val="20"/>
          <w:szCs w:val="20"/>
          <w:lang w:val="es-ES_tradnl"/>
        </w:rPr>
      </w:pPr>
      <w:r w:rsidRPr="00FD7A7A">
        <w:rPr>
          <w:rFonts w:ascii="Arial" w:eastAsia="Calibri" w:hAnsi="Arial" w:cs="Arial"/>
          <w:sz w:val="20"/>
          <w:szCs w:val="20"/>
          <w:lang w:val="es-ES_tradnl"/>
        </w:rPr>
        <w:t xml:space="preserve">De otra parte y </w:t>
      </w:r>
      <w:proofErr w:type="gramStart"/>
      <w:r w:rsidRPr="00FD7A7A">
        <w:rPr>
          <w:rFonts w:ascii="Arial" w:eastAsia="Calibri" w:hAnsi="Arial" w:cs="Arial"/>
          <w:sz w:val="20"/>
          <w:szCs w:val="20"/>
          <w:lang w:val="es-ES_tradnl"/>
        </w:rPr>
        <w:t>en relación al</w:t>
      </w:r>
      <w:proofErr w:type="gramEnd"/>
      <w:r w:rsidRPr="00FD7A7A">
        <w:rPr>
          <w:rFonts w:ascii="Arial" w:eastAsia="Calibri" w:hAnsi="Arial" w:cs="Arial"/>
          <w:sz w:val="20"/>
          <w:szCs w:val="20"/>
          <w:lang w:val="es-ES_tradnl"/>
        </w:rPr>
        <w:t xml:space="preserve">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 El parentesco de afinidad se refiere a la relación surgida entre una persona y los consanguíneos de su esposo, esposa o compañeros permanentes, según el caso. Es preciso señalar que la Corte Constitucional si bien declaró la inexequibilidad del parentesco de afinidad ilegítima, reconoció la vigencia de la denominada afinidad extramatrimonial.</w:t>
      </w:r>
    </w:p>
    <w:p w14:paraId="4EB3BCDB" w14:textId="77777777" w:rsidR="00D772C9" w:rsidRPr="00FD7A7A" w:rsidRDefault="00D772C9" w:rsidP="00D772C9">
      <w:pPr>
        <w:spacing w:after="0"/>
        <w:jc w:val="both"/>
        <w:rPr>
          <w:rFonts w:ascii="Arial" w:eastAsia="Calibri" w:hAnsi="Arial" w:cs="Arial"/>
          <w:sz w:val="20"/>
          <w:szCs w:val="20"/>
          <w:lang w:val="es-ES_tradnl"/>
        </w:rPr>
      </w:pPr>
    </w:p>
    <w:p w14:paraId="6060FF90" w14:textId="77777777" w:rsidR="00D772C9" w:rsidRPr="00FD7A7A" w:rsidRDefault="00D772C9" w:rsidP="00D772C9">
      <w:pPr>
        <w:spacing w:after="0"/>
        <w:jc w:val="both"/>
        <w:rPr>
          <w:rFonts w:ascii="Arial" w:eastAsia="Calibri" w:hAnsi="Arial" w:cs="Arial"/>
          <w:sz w:val="20"/>
          <w:szCs w:val="20"/>
          <w:lang w:val="es-ES_tradnl"/>
        </w:rPr>
      </w:pPr>
      <w:r w:rsidRPr="00FD7A7A">
        <w:rPr>
          <w:rFonts w:ascii="Arial" w:eastAsia="Calibri" w:hAnsi="Arial" w:cs="Arial"/>
          <w:sz w:val="20"/>
          <w:szCs w:val="20"/>
          <w:lang w:val="es-ES_tradnl"/>
        </w:rPr>
        <w:t>En cuanto a los grados del parentesco se refiere, ya sea de consanguinidad o de afinidad, estos se cuentan en consideración al número de generaciones existentes entre las personas. De esta manera, esta causal de inhabilidad se configura, por ejemplo, respecto de los hermanos, abuelos y nietos, quienes se encuentran en el segundo grado de consanguinidad. Mientras que, en segundo grado de afinidad están los hermanos (cuñados), abuelos y nietos del cónyuge o compañero(a) permanente.</w:t>
      </w:r>
    </w:p>
    <w:p w14:paraId="043927A2" w14:textId="77777777" w:rsidR="00D772C9" w:rsidRPr="00FD7A7A" w:rsidRDefault="00D772C9" w:rsidP="00D772C9">
      <w:pPr>
        <w:spacing w:after="0" w:line="240" w:lineRule="auto"/>
        <w:contextualSpacing/>
        <w:jc w:val="both"/>
        <w:rPr>
          <w:rFonts w:ascii="Arial" w:eastAsia="Calibri" w:hAnsi="Arial" w:cs="Arial"/>
          <w:b/>
          <w:bCs/>
          <w:lang w:eastAsia="es-MX"/>
        </w:rPr>
      </w:pPr>
    </w:p>
    <w:p w14:paraId="1FB2300B" w14:textId="77777777" w:rsidR="00D772C9" w:rsidRPr="00FD7A7A" w:rsidRDefault="00D772C9" w:rsidP="00D772C9">
      <w:pPr>
        <w:spacing w:after="0" w:line="240" w:lineRule="auto"/>
        <w:contextualSpacing/>
        <w:jc w:val="right"/>
        <w:rPr>
          <w:rFonts w:ascii="Arial" w:eastAsia="Calibri" w:hAnsi="Arial" w:cs="Arial"/>
        </w:rPr>
      </w:pPr>
    </w:p>
    <w:p w14:paraId="11E9E6B2" w14:textId="77777777" w:rsidR="00D772C9" w:rsidRPr="00FD7A7A" w:rsidRDefault="00D772C9" w:rsidP="00D772C9">
      <w:pPr>
        <w:spacing w:after="0" w:line="240" w:lineRule="auto"/>
        <w:contextualSpacing/>
        <w:jc w:val="right"/>
        <w:rPr>
          <w:rFonts w:ascii="Arial" w:eastAsia="Calibri" w:hAnsi="Arial" w:cs="Arial"/>
        </w:rPr>
      </w:pPr>
    </w:p>
    <w:p w14:paraId="55440631" w14:textId="77777777" w:rsidR="00D772C9" w:rsidRPr="00FD7A7A" w:rsidRDefault="00D772C9" w:rsidP="00D772C9">
      <w:pPr>
        <w:rPr>
          <w:rFonts w:ascii="Arial" w:eastAsia="Geomanist Light" w:hAnsi="Arial" w:cs="Arial"/>
          <w:color w:val="201F1E"/>
          <w:lang w:val="es-MX"/>
        </w:rPr>
      </w:pPr>
      <w:r w:rsidRPr="00FD7A7A">
        <w:rPr>
          <w:rFonts w:ascii="Arial" w:eastAsia="Geomanist Light" w:hAnsi="Arial" w:cs="Arial"/>
          <w:color w:val="000000" w:themeColor="text1"/>
          <w:lang w:val="es-MX"/>
        </w:rPr>
        <w:t>Bogotá D.C., </w:t>
      </w:r>
      <w:r w:rsidRPr="00FD7A7A">
        <w:rPr>
          <w:rFonts w:ascii="Arial" w:eastAsia="Geomanist Light" w:hAnsi="Arial" w:cs="Arial"/>
          <w:color w:val="201F1E"/>
          <w:lang w:val="es-MX"/>
        </w:rPr>
        <w:t>[Día] de [</w:t>
      </w:r>
      <w:proofErr w:type="spellStart"/>
      <w:r w:rsidRPr="00FD7A7A">
        <w:rPr>
          <w:rFonts w:ascii="Arial" w:eastAsia="Geomanist Light" w:hAnsi="Arial" w:cs="Arial"/>
          <w:color w:val="201F1E"/>
          <w:lang w:val="es-MX"/>
        </w:rPr>
        <w:t>Mes.NombreCapitalizado</w:t>
      </w:r>
      <w:proofErr w:type="spellEnd"/>
      <w:r w:rsidRPr="00FD7A7A">
        <w:rPr>
          <w:rFonts w:ascii="Arial" w:eastAsia="Geomanist Light" w:hAnsi="Arial" w:cs="Arial"/>
          <w:color w:val="201F1E"/>
          <w:lang w:val="es-MX"/>
        </w:rPr>
        <w:t>] de [Año]</w:t>
      </w:r>
    </w:p>
    <w:p w14:paraId="2DAE633D" w14:textId="77777777" w:rsidR="00D772C9" w:rsidRDefault="00D772C9" w:rsidP="00D772C9">
      <w:pPr>
        <w:spacing w:after="0" w:line="240" w:lineRule="auto"/>
        <w:contextualSpacing/>
        <w:jc w:val="both"/>
        <w:rPr>
          <w:rFonts w:ascii="Arial" w:eastAsia="Calibri" w:hAnsi="Arial" w:cs="Arial"/>
        </w:rPr>
      </w:pPr>
    </w:p>
    <w:p w14:paraId="3EB72A53" w14:textId="0A225BD4" w:rsidR="0097746A" w:rsidRPr="00FD7A7A" w:rsidRDefault="008632F1" w:rsidP="008632F1">
      <w:pPr>
        <w:spacing w:after="0" w:line="240" w:lineRule="auto"/>
        <w:contextualSpacing/>
        <w:jc w:val="right"/>
        <w:rPr>
          <w:rFonts w:ascii="Arial" w:eastAsia="Calibri" w:hAnsi="Arial" w:cs="Arial"/>
        </w:rPr>
      </w:pPr>
      <w:r w:rsidRPr="008632F1">
        <w:rPr>
          <w:rFonts w:ascii="Arial" w:eastAsia="Calibri" w:hAnsi="Arial" w:cs="Arial"/>
        </w:rPr>
        <w:drawing>
          <wp:inline distT="0" distB="0" distL="0" distR="0" wp14:anchorId="632977E8" wp14:editId="48E9D958">
            <wp:extent cx="2486372" cy="724001"/>
            <wp:effectExtent l="0" t="0" r="9525" b="0"/>
            <wp:docPr id="3363239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23940" name="Imagen 1" descr="Texto&#10;&#10;Descripción generada automáticamente"/>
                    <pic:cNvPicPr/>
                  </pic:nvPicPr>
                  <pic:blipFill>
                    <a:blip r:embed="rId9"/>
                    <a:stretch>
                      <a:fillRect/>
                    </a:stretch>
                  </pic:blipFill>
                  <pic:spPr>
                    <a:xfrm>
                      <a:off x="0" y="0"/>
                      <a:ext cx="2486372" cy="724001"/>
                    </a:xfrm>
                    <a:prstGeom prst="rect">
                      <a:avLst/>
                    </a:prstGeom>
                  </pic:spPr>
                </pic:pic>
              </a:graphicData>
            </a:graphic>
          </wp:inline>
        </w:drawing>
      </w:r>
    </w:p>
    <w:p w14:paraId="1621E20C" w14:textId="77777777" w:rsidR="00D772C9" w:rsidRPr="00FD7A7A" w:rsidRDefault="00D772C9" w:rsidP="00D772C9">
      <w:pPr>
        <w:spacing w:after="0" w:line="276" w:lineRule="auto"/>
        <w:contextualSpacing/>
        <w:jc w:val="both"/>
        <w:rPr>
          <w:rFonts w:ascii="Arial" w:eastAsia="Calibri" w:hAnsi="Arial" w:cs="Arial"/>
        </w:rPr>
      </w:pPr>
      <w:r w:rsidRPr="00FD7A7A">
        <w:rPr>
          <w:rFonts w:ascii="Arial" w:eastAsia="Calibri" w:hAnsi="Arial" w:cs="Arial"/>
        </w:rPr>
        <w:t>Señor</w:t>
      </w:r>
    </w:p>
    <w:p w14:paraId="2CE99365" w14:textId="77777777" w:rsidR="00D772C9" w:rsidRPr="00FD7A7A" w:rsidRDefault="00D772C9" w:rsidP="00D772C9">
      <w:pPr>
        <w:spacing w:after="0" w:line="276" w:lineRule="auto"/>
        <w:contextualSpacing/>
        <w:jc w:val="both"/>
        <w:rPr>
          <w:rFonts w:ascii="Arial" w:eastAsia="Calibri" w:hAnsi="Arial" w:cs="Arial"/>
          <w:b/>
          <w:bCs/>
        </w:rPr>
      </w:pPr>
      <w:r w:rsidRPr="00FD7A7A">
        <w:rPr>
          <w:rFonts w:ascii="Arial" w:eastAsia="Calibri" w:hAnsi="Arial" w:cs="Arial"/>
          <w:b/>
          <w:bCs/>
        </w:rPr>
        <w:t>Juan David Castillo Ortiz</w:t>
      </w:r>
    </w:p>
    <w:p w14:paraId="17C8438A" w14:textId="77777777" w:rsidR="00D772C9" w:rsidRPr="00FD7A7A" w:rsidRDefault="00E40294" w:rsidP="00D772C9">
      <w:pPr>
        <w:spacing w:after="0" w:line="276" w:lineRule="auto"/>
        <w:contextualSpacing/>
        <w:jc w:val="both"/>
        <w:rPr>
          <w:rFonts w:ascii="Arial" w:eastAsia="Calibri" w:hAnsi="Arial" w:cs="Arial"/>
        </w:rPr>
      </w:pPr>
      <w:hyperlink r:id="rId10" w:history="1">
        <w:r w:rsidR="00D772C9" w:rsidRPr="00FD7A7A">
          <w:rPr>
            <w:rFonts w:ascii="Arial" w:eastAsia="Calibri" w:hAnsi="Arial" w:cs="Arial"/>
            <w:color w:val="0563C1" w:themeColor="hyperlink"/>
            <w:u w:val="single"/>
          </w:rPr>
          <w:t>castillo_ortiz@msn.com</w:t>
        </w:r>
      </w:hyperlink>
      <w:r w:rsidR="00D772C9" w:rsidRPr="00FD7A7A">
        <w:rPr>
          <w:rFonts w:ascii="Arial" w:eastAsia="Calibri" w:hAnsi="Arial" w:cs="Arial"/>
        </w:rPr>
        <w:t xml:space="preserve"> </w:t>
      </w:r>
    </w:p>
    <w:p w14:paraId="78D3C14C" w14:textId="77777777" w:rsidR="00D772C9" w:rsidRPr="00FD7A7A" w:rsidRDefault="00D772C9" w:rsidP="00D772C9">
      <w:pPr>
        <w:spacing w:after="0" w:line="276" w:lineRule="auto"/>
        <w:contextualSpacing/>
        <w:jc w:val="both"/>
        <w:rPr>
          <w:rFonts w:ascii="Arial" w:eastAsia="Calibri" w:hAnsi="Arial" w:cs="Arial"/>
        </w:rPr>
      </w:pPr>
      <w:r w:rsidRPr="00FD7A7A">
        <w:rPr>
          <w:rFonts w:ascii="Arial" w:eastAsia="Calibri" w:hAnsi="Arial" w:cs="Arial"/>
        </w:rPr>
        <w:t>Neiva, Huila</w:t>
      </w:r>
    </w:p>
    <w:p w14:paraId="6EAB7B57" w14:textId="77777777" w:rsidR="00D772C9" w:rsidRPr="00FD7A7A" w:rsidRDefault="00D772C9" w:rsidP="00D772C9">
      <w:pPr>
        <w:spacing w:after="0" w:line="240" w:lineRule="auto"/>
        <w:contextualSpacing/>
        <w:jc w:val="both"/>
        <w:rPr>
          <w:rFonts w:ascii="Arial" w:eastAsia="Calibri" w:hAnsi="Arial" w:cs="Arial"/>
        </w:rPr>
      </w:pPr>
    </w:p>
    <w:p w14:paraId="43A7A6D3" w14:textId="77777777" w:rsidR="00D772C9" w:rsidRPr="00FD7A7A" w:rsidRDefault="00D772C9" w:rsidP="00D772C9">
      <w:pPr>
        <w:spacing w:after="0" w:line="240" w:lineRule="auto"/>
        <w:contextualSpacing/>
        <w:jc w:val="both"/>
        <w:rPr>
          <w:rFonts w:ascii="Arial" w:eastAsia="Calibri" w:hAnsi="Arial" w:cs="Arial"/>
        </w:rPr>
      </w:pPr>
      <w:r w:rsidRPr="00FD7A7A">
        <w:rPr>
          <w:rFonts w:ascii="Arial" w:eastAsia="Calibri" w:hAnsi="Arial" w:cs="Arial"/>
        </w:rPr>
        <w:t xml:space="preserve">                                            </w:t>
      </w:r>
      <w:r w:rsidRPr="00FD7A7A">
        <w:rPr>
          <w:rFonts w:ascii="Arial" w:eastAsia="Calibri" w:hAnsi="Arial" w:cs="Arial"/>
          <w:b/>
        </w:rPr>
        <w:t>Concepto C–347 de 2023</w:t>
      </w:r>
    </w:p>
    <w:p w14:paraId="11B7CDFD" w14:textId="77777777" w:rsidR="00D772C9" w:rsidRPr="00FD7A7A" w:rsidRDefault="00D772C9" w:rsidP="00D772C9">
      <w:pPr>
        <w:spacing w:after="0" w:line="240" w:lineRule="auto"/>
        <w:contextualSpacing/>
        <w:jc w:val="both"/>
        <w:rPr>
          <w:rFonts w:ascii="Arial" w:eastAsia="Calibri" w:hAnsi="Arial" w:cs="Arial"/>
          <w:b/>
        </w:rPr>
      </w:pPr>
    </w:p>
    <w:p w14:paraId="53661483" w14:textId="77777777" w:rsidR="00D772C9" w:rsidRPr="00FD7A7A" w:rsidRDefault="00D772C9" w:rsidP="00D772C9">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772C9" w:rsidRPr="00FD7A7A" w14:paraId="539CDA25" w14:textId="77777777" w:rsidTr="00BC1707">
        <w:trPr>
          <w:trHeight w:val="485"/>
        </w:trPr>
        <w:tc>
          <w:tcPr>
            <w:tcW w:w="2689" w:type="dxa"/>
            <w:hideMark/>
          </w:tcPr>
          <w:p w14:paraId="0E2DC8E0" w14:textId="77777777" w:rsidR="00D772C9" w:rsidRPr="00FD7A7A" w:rsidRDefault="00D772C9" w:rsidP="00BC1707">
            <w:pPr>
              <w:rPr>
                <w:rFonts w:ascii="Arial" w:eastAsia="Calibri" w:hAnsi="Arial" w:cs="Arial"/>
                <w:noProof/>
                <w:lang w:val="es-ES_tradnl"/>
              </w:rPr>
            </w:pPr>
            <w:r w:rsidRPr="00FD7A7A">
              <w:rPr>
                <w:rFonts w:ascii="Arial" w:eastAsia="Calibri" w:hAnsi="Arial" w:cs="Arial"/>
                <w:b/>
                <w:noProof/>
                <w:lang w:val="es-ES_tradnl"/>
              </w:rPr>
              <w:t>Temas:</w:t>
            </w:r>
            <w:r w:rsidRPr="00FD7A7A">
              <w:rPr>
                <w:rFonts w:ascii="Arial" w:eastAsia="Calibri" w:hAnsi="Arial" w:cs="Arial"/>
                <w:noProof/>
                <w:lang w:val="es-ES_tradnl"/>
              </w:rPr>
              <w:t xml:space="preserve">        </w:t>
            </w:r>
          </w:p>
        </w:tc>
        <w:tc>
          <w:tcPr>
            <w:tcW w:w="6237" w:type="dxa"/>
            <w:hideMark/>
          </w:tcPr>
          <w:p w14:paraId="0D7FE057" w14:textId="77777777" w:rsidR="00D772C9" w:rsidRPr="00FD7A7A" w:rsidRDefault="00D772C9" w:rsidP="00BC1707">
            <w:pPr>
              <w:ind w:right="703"/>
              <w:jc w:val="both"/>
              <w:rPr>
                <w:rFonts w:ascii="Arial" w:eastAsia="Times New Roman" w:hAnsi="Arial" w:cs="Arial"/>
                <w:lang w:val="es-ES_tradnl" w:eastAsia="es-ES_tradnl"/>
              </w:rPr>
            </w:pPr>
            <w:r w:rsidRPr="00FD7A7A">
              <w:rPr>
                <w:rFonts w:ascii="Arial" w:eastAsia="Times New Roman" w:hAnsi="Arial" w:cs="Arial"/>
                <w:lang w:val="es-ES_tradnl" w:eastAsia="es-ES_tradnl"/>
              </w:rPr>
              <w:t xml:space="preserve">INHABILIDADES – Definición – Finalidad – Limitación capacidad contractual / INHABILIDADES – Relación de parentesco – Vínculo natural – Personas naturales / PARENTESCO – Clasificación – Consanguinidad – Afinidad – Grados </w:t>
            </w:r>
          </w:p>
          <w:p w14:paraId="7DCE2E76" w14:textId="77777777" w:rsidR="00D772C9" w:rsidRPr="00FD7A7A" w:rsidRDefault="00D772C9" w:rsidP="00BC1707">
            <w:pPr>
              <w:ind w:right="703"/>
              <w:jc w:val="both"/>
              <w:rPr>
                <w:rFonts w:ascii="Arial" w:eastAsia="Times New Roman" w:hAnsi="Arial" w:cs="Arial"/>
                <w:bCs/>
                <w:lang w:val="es-ES_tradnl" w:eastAsia="es-ES_tradnl"/>
              </w:rPr>
            </w:pPr>
          </w:p>
          <w:p w14:paraId="69D9624C" w14:textId="77777777" w:rsidR="00D772C9" w:rsidRPr="00FD7A7A" w:rsidRDefault="00D772C9" w:rsidP="00BC1707">
            <w:pPr>
              <w:ind w:right="703"/>
              <w:jc w:val="both"/>
              <w:rPr>
                <w:rFonts w:ascii="Arial" w:eastAsia="Calibri" w:hAnsi="Arial" w:cs="Arial"/>
                <w:bCs/>
                <w:lang w:val="es-MX"/>
              </w:rPr>
            </w:pPr>
          </w:p>
        </w:tc>
      </w:tr>
      <w:tr w:rsidR="00D772C9" w:rsidRPr="00FD7A7A" w14:paraId="6F139025" w14:textId="77777777" w:rsidTr="00BC1707">
        <w:tc>
          <w:tcPr>
            <w:tcW w:w="2689" w:type="dxa"/>
          </w:tcPr>
          <w:p w14:paraId="4369A3CB" w14:textId="77777777" w:rsidR="00D772C9" w:rsidRPr="00FD7A7A" w:rsidRDefault="00D772C9" w:rsidP="00BC1707">
            <w:pPr>
              <w:rPr>
                <w:rFonts w:ascii="Arial" w:eastAsia="Calibri" w:hAnsi="Arial" w:cs="Arial"/>
                <w:b/>
                <w:noProof/>
                <w:lang w:val="es-ES_tradnl"/>
              </w:rPr>
            </w:pPr>
            <w:r w:rsidRPr="00FD7A7A">
              <w:rPr>
                <w:rFonts w:ascii="Arial" w:eastAsia="Calibri" w:hAnsi="Arial" w:cs="Arial"/>
                <w:b/>
                <w:noProof/>
                <w:lang w:val="es-ES_tradnl"/>
              </w:rPr>
              <w:t>Radicación:</w:t>
            </w:r>
            <w:r w:rsidRPr="00FD7A7A">
              <w:rPr>
                <w:rFonts w:ascii="Arial" w:eastAsia="Calibri" w:hAnsi="Arial" w:cs="Arial"/>
                <w:noProof/>
                <w:lang w:val="es-ES_tradnl"/>
              </w:rPr>
              <w:t xml:space="preserve">                              </w:t>
            </w:r>
          </w:p>
        </w:tc>
        <w:tc>
          <w:tcPr>
            <w:tcW w:w="6237" w:type="dxa"/>
          </w:tcPr>
          <w:p w14:paraId="46BD813B" w14:textId="77777777" w:rsidR="00D772C9" w:rsidRPr="00FD7A7A" w:rsidRDefault="00D772C9" w:rsidP="00BC1707">
            <w:pPr>
              <w:jc w:val="both"/>
              <w:rPr>
                <w:rFonts w:ascii="Arial" w:eastAsia="Calibri" w:hAnsi="Arial" w:cs="Arial"/>
                <w:noProof/>
                <w:lang w:val="es-ES_tradnl"/>
              </w:rPr>
            </w:pPr>
            <w:r w:rsidRPr="00FD7A7A">
              <w:rPr>
                <w:rFonts w:ascii="Arial" w:eastAsia="Calibri" w:hAnsi="Arial" w:cs="Arial"/>
                <w:noProof/>
                <w:lang w:val="es-ES_tradnl"/>
              </w:rPr>
              <w:t>Respuesta a consulta P20230706013000</w:t>
            </w:r>
            <w:r w:rsidRPr="00FD7A7A">
              <w:rPr>
                <w:rFonts w:ascii="Arial" w:eastAsia="Calibri" w:hAnsi="Arial" w:cs="Arial"/>
                <w:noProof/>
                <w:lang w:val="es-ES_tradnl"/>
              </w:rPr>
              <w:tab/>
            </w:r>
            <w:r w:rsidRPr="00FD7A7A">
              <w:rPr>
                <w:rFonts w:ascii="Arial" w:eastAsia="Calibri" w:hAnsi="Arial" w:cs="Arial"/>
                <w:noProof/>
                <w:lang w:val="es-ES_tradnl"/>
              </w:rPr>
              <w:tab/>
            </w:r>
            <w:r w:rsidRPr="00FD7A7A">
              <w:rPr>
                <w:rFonts w:ascii="Arial" w:eastAsia="Calibri" w:hAnsi="Arial" w:cs="Arial"/>
                <w:noProof/>
                <w:lang w:val="es-ES_tradnl"/>
              </w:rPr>
              <w:tab/>
            </w:r>
          </w:p>
        </w:tc>
      </w:tr>
    </w:tbl>
    <w:p w14:paraId="5C8DC1DE" w14:textId="77777777" w:rsidR="00D772C9" w:rsidRPr="00FD7A7A" w:rsidRDefault="00D772C9" w:rsidP="00D772C9">
      <w:pPr>
        <w:spacing w:after="0" w:line="240" w:lineRule="auto"/>
        <w:contextualSpacing/>
        <w:jc w:val="both"/>
        <w:rPr>
          <w:rFonts w:ascii="Arial" w:eastAsia="Calibri" w:hAnsi="Arial" w:cs="Arial"/>
        </w:rPr>
      </w:pPr>
    </w:p>
    <w:p w14:paraId="4553472D" w14:textId="77777777" w:rsidR="00D772C9" w:rsidRPr="00FD7A7A" w:rsidRDefault="00D772C9" w:rsidP="00D772C9">
      <w:pPr>
        <w:spacing w:after="0" w:line="240" w:lineRule="auto"/>
        <w:contextualSpacing/>
        <w:jc w:val="both"/>
        <w:rPr>
          <w:rFonts w:ascii="Arial" w:eastAsia="Calibri" w:hAnsi="Arial" w:cs="Arial"/>
        </w:rPr>
      </w:pPr>
    </w:p>
    <w:p w14:paraId="26DE67E9" w14:textId="77777777" w:rsidR="00D772C9" w:rsidRPr="00FD7A7A" w:rsidRDefault="00D772C9" w:rsidP="00D772C9">
      <w:pPr>
        <w:spacing w:after="0" w:line="276" w:lineRule="auto"/>
        <w:contextualSpacing/>
        <w:jc w:val="both"/>
        <w:rPr>
          <w:rFonts w:ascii="Arial" w:eastAsia="Calibri" w:hAnsi="Arial" w:cs="Arial"/>
        </w:rPr>
      </w:pPr>
      <w:r w:rsidRPr="00FD7A7A">
        <w:rPr>
          <w:rFonts w:ascii="Arial" w:eastAsia="Calibri" w:hAnsi="Arial" w:cs="Arial"/>
        </w:rPr>
        <w:t>Estimado señor Castillo:</w:t>
      </w:r>
    </w:p>
    <w:p w14:paraId="3D4511F6" w14:textId="77777777" w:rsidR="00D772C9" w:rsidRPr="00FD7A7A" w:rsidRDefault="00D772C9" w:rsidP="00D772C9">
      <w:pPr>
        <w:spacing w:after="0" w:line="276" w:lineRule="auto"/>
        <w:ind w:firstLine="709"/>
        <w:contextualSpacing/>
        <w:jc w:val="both"/>
        <w:rPr>
          <w:rFonts w:ascii="Arial" w:eastAsia="Calibri" w:hAnsi="Arial" w:cs="Arial"/>
        </w:rPr>
      </w:pPr>
    </w:p>
    <w:p w14:paraId="1DCEECAD" w14:textId="77777777" w:rsidR="00D772C9" w:rsidRPr="00FD7A7A" w:rsidRDefault="00D772C9" w:rsidP="00D772C9">
      <w:pPr>
        <w:spacing w:after="0" w:line="276" w:lineRule="auto"/>
        <w:contextualSpacing/>
        <w:jc w:val="both"/>
        <w:rPr>
          <w:rFonts w:ascii="Arial" w:eastAsia="Calibri" w:hAnsi="Arial" w:cs="Arial"/>
        </w:rPr>
      </w:pPr>
      <w:r w:rsidRPr="00FD7A7A">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recibida el 06 de julio de 2023. </w:t>
      </w:r>
    </w:p>
    <w:p w14:paraId="265A6850" w14:textId="77777777" w:rsidR="00D772C9" w:rsidRPr="00FD7A7A" w:rsidRDefault="00D772C9" w:rsidP="00D772C9">
      <w:pPr>
        <w:spacing w:after="0" w:line="276" w:lineRule="auto"/>
        <w:contextualSpacing/>
        <w:jc w:val="both"/>
        <w:rPr>
          <w:rFonts w:ascii="Arial" w:eastAsia="Calibri" w:hAnsi="Arial" w:cs="Arial"/>
        </w:rPr>
      </w:pPr>
    </w:p>
    <w:p w14:paraId="75609921" w14:textId="77777777" w:rsidR="00D772C9" w:rsidRPr="00FD7A7A" w:rsidRDefault="00D772C9" w:rsidP="00D772C9">
      <w:pPr>
        <w:tabs>
          <w:tab w:val="left" w:pos="284"/>
        </w:tabs>
        <w:spacing w:after="0" w:line="276" w:lineRule="auto"/>
        <w:contextualSpacing/>
        <w:jc w:val="both"/>
        <w:rPr>
          <w:rFonts w:ascii="Arial" w:eastAsia="Calibri" w:hAnsi="Arial" w:cs="Arial"/>
          <w:b/>
        </w:rPr>
      </w:pPr>
      <w:r w:rsidRPr="00FD7A7A">
        <w:rPr>
          <w:rFonts w:ascii="Arial" w:eastAsia="Calibri" w:hAnsi="Arial" w:cs="Arial"/>
          <w:b/>
        </w:rPr>
        <w:t xml:space="preserve">1. Problema planteado </w:t>
      </w:r>
    </w:p>
    <w:p w14:paraId="15DF7F8D" w14:textId="77777777" w:rsidR="00D772C9" w:rsidRPr="00FD7A7A" w:rsidRDefault="00D772C9" w:rsidP="00D772C9">
      <w:pPr>
        <w:tabs>
          <w:tab w:val="left" w:pos="284"/>
        </w:tabs>
        <w:spacing w:after="0" w:line="276" w:lineRule="auto"/>
        <w:ind w:firstLine="709"/>
        <w:contextualSpacing/>
        <w:jc w:val="both"/>
        <w:rPr>
          <w:rFonts w:ascii="Arial" w:eastAsia="Calibri" w:hAnsi="Arial" w:cs="Arial"/>
          <w:b/>
        </w:rPr>
      </w:pPr>
    </w:p>
    <w:p w14:paraId="3A2D01BD" w14:textId="77777777" w:rsidR="00D772C9" w:rsidRPr="00FD7A7A" w:rsidRDefault="00D772C9" w:rsidP="00D772C9">
      <w:pPr>
        <w:spacing w:after="0" w:line="276" w:lineRule="auto"/>
        <w:contextualSpacing/>
        <w:jc w:val="both"/>
        <w:rPr>
          <w:rFonts w:ascii="Arial" w:eastAsia="Calibri" w:hAnsi="Arial" w:cs="Arial"/>
        </w:rPr>
      </w:pPr>
      <w:bookmarkStart w:id="5" w:name="_Hlk58917991"/>
      <w:bookmarkStart w:id="6" w:name="_Hlk56103000"/>
      <w:r w:rsidRPr="00FD7A7A">
        <w:rPr>
          <w:rFonts w:ascii="Arial" w:eastAsia="Calibri" w:hAnsi="Arial" w:cs="Arial"/>
        </w:rPr>
        <w:t xml:space="preserve">Usted plantea los siguientes interrogantes: </w:t>
      </w:r>
      <w:bookmarkStart w:id="7" w:name="_Hlk116284008"/>
    </w:p>
    <w:p w14:paraId="6BA88E5E" w14:textId="77777777" w:rsidR="00D772C9" w:rsidRPr="00FD7A7A" w:rsidRDefault="00D772C9" w:rsidP="00D772C9">
      <w:pPr>
        <w:spacing w:after="0" w:line="276" w:lineRule="auto"/>
        <w:contextualSpacing/>
        <w:jc w:val="both"/>
        <w:rPr>
          <w:rFonts w:ascii="Arial" w:eastAsia="Calibri" w:hAnsi="Arial" w:cs="Arial"/>
        </w:rPr>
      </w:pPr>
    </w:p>
    <w:p w14:paraId="3C6A9CC4" w14:textId="77777777" w:rsidR="00D772C9" w:rsidRPr="00FD7A7A" w:rsidRDefault="00D772C9" w:rsidP="00D772C9">
      <w:pPr>
        <w:spacing w:before="120" w:after="0" w:line="240" w:lineRule="auto"/>
        <w:ind w:left="709" w:right="709"/>
        <w:contextualSpacing/>
        <w:jc w:val="both"/>
        <w:rPr>
          <w:rFonts w:ascii="Arial" w:eastAsia="Calibri" w:hAnsi="Arial" w:cs="Arial"/>
          <w:sz w:val="21"/>
          <w:szCs w:val="21"/>
          <w:lang w:val="es-MX"/>
        </w:rPr>
      </w:pPr>
      <w:bookmarkStart w:id="8" w:name="_Hlk133573383"/>
      <w:r w:rsidRPr="00FD7A7A">
        <w:rPr>
          <w:rFonts w:ascii="Arial" w:eastAsia="Calibri" w:hAnsi="Arial" w:cs="Arial"/>
          <w:sz w:val="21"/>
          <w:szCs w:val="21"/>
          <w:lang w:val="es-MX"/>
        </w:rPr>
        <w:t>“1. ¿Existe la inhabilidad contemplada en el literal g) del numeral 1° del artículo 8° de la Ley 80 de 1993, cuando se presentan en un mismo proceso de selección dos consorcios, dentro de los cuales uno de ellos es integrado por una persona natural, la cual es hermana del representante legal (ni socio ni accionista) de una persona jurídica que integra el otro consorcio?</w:t>
      </w:r>
    </w:p>
    <w:p w14:paraId="610CE557" w14:textId="77777777" w:rsidR="00D772C9" w:rsidRPr="00FD7A7A" w:rsidRDefault="00D772C9" w:rsidP="00D772C9">
      <w:pPr>
        <w:spacing w:before="120" w:after="0" w:line="240" w:lineRule="auto"/>
        <w:ind w:left="709" w:right="709"/>
        <w:jc w:val="both"/>
        <w:rPr>
          <w:rFonts w:ascii="Arial" w:eastAsia="Calibri" w:hAnsi="Arial" w:cs="Arial"/>
          <w:sz w:val="21"/>
          <w:szCs w:val="21"/>
          <w:lang w:val="es-MX"/>
        </w:rPr>
      </w:pPr>
      <w:r w:rsidRPr="00FD7A7A">
        <w:rPr>
          <w:rFonts w:ascii="Arial" w:eastAsia="Calibri" w:hAnsi="Arial" w:cs="Arial"/>
          <w:sz w:val="21"/>
          <w:szCs w:val="21"/>
          <w:lang w:val="es-MX"/>
        </w:rPr>
        <w:lastRenderedPageBreak/>
        <w:t>En otras palabras, es aplicable la causal cuando una persona natural integrante del consorcio A y representante del mismo es el hermano del representante legal de una persona jurídica integrante del consorcio B.</w:t>
      </w:r>
    </w:p>
    <w:p w14:paraId="46C72827" w14:textId="77777777" w:rsidR="00D772C9" w:rsidRPr="00FD7A7A" w:rsidRDefault="00D772C9" w:rsidP="00D772C9">
      <w:pPr>
        <w:spacing w:before="120" w:after="0" w:line="240" w:lineRule="auto"/>
        <w:ind w:left="709" w:right="709"/>
        <w:jc w:val="both"/>
        <w:rPr>
          <w:rFonts w:ascii="Arial" w:eastAsia="Calibri" w:hAnsi="Arial" w:cs="Arial"/>
          <w:sz w:val="21"/>
          <w:szCs w:val="21"/>
          <w:lang w:val="es-MX"/>
        </w:rPr>
      </w:pPr>
      <w:r w:rsidRPr="00FD7A7A">
        <w:rPr>
          <w:rFonts w:ascii="Arial" w:eastAsia="Calibri" w:hAnsi="Arial" w:cs="Arial"/>
          <w:sz w:val="21"/>
          <w:szCs w:val="21"/>
          <w:lang w:val="es-MX"/>
        </w:rPr>
        <w:t>2. ¿Existe la inhabilidad contemplada en el literal h) del numeral 1° del artículo 8° de la Ley 80 de 1993, cuando se presentan en un mismo proceso de selección dos consorcios, dentro de los cuales uno de ellos es integrado por una persona natural, la cual es hermana del representante legal (ni socio ni accionista) de una persona jurídica que integra otro consorcio?</w:t>
      </w:r>
    </w:p>
    <w:p w14:paraId="615C2912" w14:textId="77777777" w:rsidR="00D772C9" w:rsidRPr="00FD7A7A" w:rsidRDefault="00D772C9" w:rsidP="00D772C9">
      <w:pPr>
        <w:spacing w:before="120" w:after="0" w:line="240" w:lineRule="auto"/>
        <w:ind w:left="709" w:right="709"/>
        <w:jc w:val="both"/>
        <w:rPr>
          <w:rFonts w:ascii="Arial" w:eastAsia="Calibri" w:hAnsi="Arial" w:cs="Arial"/>
          <w:sz w:val="21"/>
          <w:szCs w:val="21"/>
          <w:lang w:val="es-MX"/>
        </w:rPr>
      </w:pPr>
      <w:r w:rsidRPr="00FD7A7A">
        <w:rPr>
          <w:rFonts w:ascii="Arial" w:eastAsia="Calibri" w:hAnsi="Arial" w:cs="Arial"/>
          <w:sz w:val="21"/>
          <w:szCs w:val="21"/>
          <w:lang w:val="es-MX"/>
        </w:rPr>
        <w:t>En otras palabras, es aplicable la causal cuando una persona natural integrante del consorcio A y representante del mismo es el hermano del representante legal de una persona jurídica integrante del consorcio B”. [sic]</w:t>
      </w:r>
    </w:p>
    <w:p w14:paraId="27A08DA1" w14:textId="77777777" w:rsidR="00D772C9" w:rsidRPr="00FD7A7A" w:rsidRDefault="00D772C9" w:rsidP="00D772C9">
      <w:pPr>
        <w:spacing w:after="0" w:line="276" w:lineRule="auto"/>
        <w:ind w:left="709" w:right="709"/>
        <w:jc w:val="both"/>
        <w:rPr>
          <w:rFonts w:ascii="Arial" w:eastAsia="Calibri" w:hAnsi="Arial" w:cs="Arial"/>
          <w:lang w:val="es-ES"/>
        </w:rPr>
      </w:pPr>
    </w:p>
    <w:bookmarkEnd w:id="5"/>
    <w:bookmarkEnd w:id="6"/>
    <w:bookmarkEnd w:id="7"/>
    <w:bookmarkEnd w:id="8"/>
    <w:p w14:paraId="55661727" w14:textId="77777777" w:rsidR="00D772C9" w:rsidRPr="00FD7A7A" w:rsidRDefault="00D772C9" w:rsidP="00D772C9">
      <w:pPr>
        <w:tabs>
          <w:tab w:val="left" w:pos="284"/>
        </w:tabs>
        <w:spacing w:after="0" w:line="276" w:lineRule="auto"/>
        <w:contextualSpacing/>
        <w:jc w:val="both"/>
        <w:rPr>
          <w:rFonts w:ascii="Arial" w:eastAsia="Calibri" w:hAnsi="Arial" w:cs="Arial"/>
          <w:b/>
        </w:rPr>
      </w:pPr>
      <w:r w:rsidRPr="00FD7A7A">
        <w:rPr>
          <w:rFonts w:ascii="Arial" w:eastAsia="Calibri" w:hAnsi="Arial" w:cs="Arial"/>
          <w:b/>
        </w:rPr>
        <w:t>2. Consideraciones</w:t>
      </w:r>
    </w:p>
    <w:p w14:paraId="48931FD0" w14:textId="77777777" w:rsidR="00D772C9" w:rsidRPr="00FD7A7A" w:rsidRDefault="00D772C9" w:rsidP="00D772C9">
      <w:pPr>
        <w:tabs>
          <w:tab w:val="left" w:pos="284"/>
        </w:tabs>
        <w:spacing w:after="0" w:line="276" w:lineRule="auto"/>
        <w:contextualSpacing/>
        <w:jc w:val="both"/>
        <w:rPr>
          <w:rFonts w:ascii="Arial" w:eastAsia="Calibri" w:hAnsi="Arial" w:cs="Arial"/>
          <w:b/>
        </w:rPr>
      </w:pPr>
    </w:p>
    <w:p w14:paraId="4F3856F0" w14:textId="77777777" w:rsidR="00D772C9" w:rsidRPr="00FD7A7A" w:rsidRDefault="00D772C9" w:rsidP="00D772C9">
      <w:pPr>
        <w:spacing w:after="120" w:line="276" w:lineRule="auto"/>
        <w:jc w:val="both"/>
        <w:rPr>
          <w:rFonts w:ascii="Arial" w:eastAsia="Calibri" w:hAnsi="Arial" w:cs="Arial"/>
          <w:lang w:val="es-ES"/>
        </w:rPr>
      </w:pPr>
      <w:r w:rsidRPr="00FD7A7A">
        <w:rPr>
          <w:rFonts w:ascii="Arial" w:eastAsia="Calibri" w:hAnsi="Arial" w:cs="Arial"/>
          <w:bCs/>
          <w:lang w:val="es-MX"/>
        </w:rPr>
        <w:t>En ejercicio de las competencias establecidas en los artículos 3, numeral 5° y 11, numeral 8° del Decreto 4170 de 2011, la Agencia Nacional de Contratación Pública – Colombia Compra Eficiente resuelve consultas sobre los asuntos de su competencia, esto es, atinente a las temáticas de la contratación estatal relacionados en los artículos citados.</w:t>
      </w:r>
      <w:r w:rsidRPr="00FD7A7A">
        <w:rPr>
          <w:rFonts w:ascii="Arial" w:eastAsia="Calibri" w:hAnsi="Arial" w:cs="Arial"/>
          <w:lang w:val="es-ES"/>
        </w:rPr>
        <w:t xml:space="preserve"> </w:t>
      </w:r>
      <w:bookmarkStart w:id="9" w:name="_Hlk61701014"/>
      <w:bookmarkStart w:id="10" w:name="_Hlk62136649"/>
      <w:r w:rsidRPr="00FD7A7A">
        <w:rPr>
          <w:rFonts w:ascii="Arial" w:eastAsia="Calibri" w:hAnsi="Arial" w:cs="Arial"/>
          <w:lang w:val="es-ES"/>
        </w:rPr>
        <w:t xml:space="preserve">Es necesario tener en cuenta que </w:t>
      </w:r>
      <w:bookmarkStart w:id="11" w:name="_Hlk61026958"/>
      <w:r w:rsidRPr="00FD7A7A">
        <w:rPr>
          <w:rFonts w:ascii="Arial" w:eastAsia="Calibri" w:hAnsi="Arial" w:cs="Arial"/>
          <w:lang w:val="es-ES"/>
        </w:rPr>
        <w:t>esta entidad sólo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D7A7A">
        <w:rPr>
          <w:rFonts w:ascii="Arial" w:eastAsia="Calibri" w:hAnsi="Arial" w:cs="Arial"/>
          <w:bCs/>
          <w:lang w:val="es-MX"/>
        </w:rPr>
        <w:t xml:space="preserve"> de todos los partícipes de la contratación estatal.</w:t>
      </w:r>
    </w:p>
    <w:p w14:paraId="3F6C1000" w14:textId="77777777" w:rsidR="00D772C9" w:rsidRPr="00FD7A7A" w:rsidRDefault="00D772C9" w:rsidP="00D772C9">
      <w:pPr>
        <w:spacing w:after="120" w:line="276" w:lineRule="auto"/>
        <w:ind w:firstLine="708"/>
        <w:jc w:val="both"/>
        <w:rPr>
          <w:rFonts w:ascii="Arial" w:eastAsia="Calibri" w:hAnsi="Arial" w:cs="Arial"/>
          <w:lang w:val="es-ES"/>
        </w:rPr>
      </w:pPr>
      <w:r w:rsidRPr="00FD7A7A">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D7A7A">
        <w:rPr>
          <w:rFonts w:ascii="Arial" w:eastAsia="Calibri" w:hAnsi="Arial" w:cs="Arial"/>
          <w:vertAlign w:val="superscript"/>
          <w:lang w:val="es-ES"/>
        </w:rPr>
        <w:footnoteReference w:id="1"/>
      </w:r>
      <w:r w:rsidRPr="00FD7A7A">
        <w:rPr>
          <w:rFonts w:ascii="Arial" w:eastAsia="Calibri" w:hAnsi="Arial" w:cs="Arial"/>
          <w:lang w:val="es-ES"/>
        </w:rPr>
        <w:t>. Esta competencia de interpretación de normas generales, por definición, no puede extenderse a la resolución de controversias, ni a brindar asesorías sobre casos puntuales.</w:t>
      </w:r>
      <w:bookmarkEnd w:id="9"/>
      <w:bookmarkEnd w:id="11"/>
    </w:p>
    <w:bookmarkEnd w:id="10"/>
    <w:p w14:paraId="2FAEAF89" w14:textId="77777777" w:rsidR="00D772C9" w:rsidRPr="00FD7A7A" w:rsidRDefault="00D772C9" w:rsidP="00D772C9">
      <w:pPr>
        <w:spacing w:before="120" w:after="120" w:line="276" w:lineRule="auto"/>
        <w:ind w:firstLine="709"/>
        <w:jc w:val="both"/>
        <w:rPr>
          <w:rFonts w:ascii="Arial" w:eastAsia="Calibri" w:hAnsi="Arial" w:cs="Arial"/>
          <w:lang w:val="es-ES_tradnl" w:eastAsia="es-MX"/>
        </w:rPr>
      </w:pPr>
      <w:r w:rsidRPr="00FD7A7A">
        <w:rPr>
          <w:rFonts w:ascii="Arial" w:eastAsia="Calibri" w:hAnsi="Arial" w:cs="Arial"/>
          <w:lang w:val="es-MX"/>
        </w:rPr>
        <w:t xml:space="preserve">Sin perjuicio de lo anterior, </w:t>
      </w:r>
      <w:r w:rsidRPr="00FD7A7A">
        <w:rPr>
          <w:rFonts w:ascii="Arial" w:eastAsia="Calibri" w:hAnsi="Arial" w:cs="Arial"/>
          <w:lang w:val="es-ES"/>
        </w:rPr>
        <w:t>la Subdirección de Gestión Contractual de esta Agencia dentro de los límites de sus atribuciones –esto es, haciendo abstracción del caso particular expuesto por el peticionario–, resolverá la consulta conforme a las normas generales en materia de contratación estatal</w:t>
      </w:r>
      <w:r w:rsidRPr="00FD7A7A">
        <w:rPr>
          <w:rFonts w:ascii="Arial" w:eastAsia="Calibri" w:hAnsi="Arial" w:cs="Arial"/>
          <w:lang w:val="es-ES_tradnl" w:eastAsia="es-MX"/>
        </w:rPr>
        <w:t xml:space="preserve">. Con este objetivo, se analizarán los siguientes temas: </w:t>
      </w:r>
      <w:r w:rsidRPr="00FD7A7A">
        <w:rPr>
          <w:rFonts w:ascii="Arial" w:hAnsi="Arial" w:cs="Arial"/>
          <w:color w:val="000000" w:themeColor="text1"/>
          <w:lang w:val="es-ES"/>
        </w:rPr>
        <w:t xml:space="preserve">i) </w:t>
      </w:r>
      <w:r w:rsidRPr="00FD7A7A">
        <w:rPr>
          <w:rFonts w:ascii="Arial" w:hAnsi="Arial" w:cs="Arial"/>
          <w:color w:val="000000" w:themeColor="text1"/>
          <w:lang w:val="es-ES"/>
        </w:rPr>
        <w:lastRenderedPageBreak/>
        <w:t xml:space="preserve">régimen de </w:t>
      </w:r>
      <w:r w:rsidRPr="00FD7A7A">
        <w:rPr>
          <w:rFonts w:ascii="Arial" w:hAnsi="Arial" w:cs="Arial"/>
          <w:lang w:val="es-ES"/>
        </w:rPr>
        <w:t xml:space="preserve">inhabilidades e incompatibilidades para contratar con el Estado y </w:t>
      </w:r>
      <w:proofErr w:type="spellStart"/>
      <w:r w:rsidRPr="00FD7A7A">
        <w:rPr>
          <w:rFonts w:ascii="Arial" w:hAnsi="Arial" w:cs="Arial"/>
          <w:lang w:val="es-ES"/>
        </w:rPr>
        <w:t>ii</w:t>
      </w:r>
      <w:proofErr w:type="spellEnd"/>
      <w:r w:rsidRPr="00FD7A7A">
        <w:rPr>
          <w:rFonts w:ascii="Arial" w:hAnsi="Arial" w:cs="Arial"/>
          <w:lang w:val="es-ES"/>
        </w:rPr>
        <w:t xml:space="preserve">) </w:t>
      </w:r>
      <w:r w:rsidRPr="00FD7A7A">
        <w:rPr>
          <w:rFonts w:ascii="Arial" w:eastAsia="Calibri" w:hAnsi="Arial" w:cs="Arial"/>
          <w:lang w:val="es-ES_tradnl"/>
        </w:rPr>
        <w:t>la inhabilidad de las personas por vínculos naturales o jurídicos.</w:t>
      </w:r>
      <w:r w:rsidRPr="00FD7A7A">
        <w:rPr>
          <w:rFonts w:ascii="Arial" w:hAnsi="Arial" w:cs="Arial"/>
          <w:lang w:val="es-ES"/>
        </w:rPr>
        <w:t xml:space="preserve"> </w:t>
      </w:r>
    </w:p>
    <w:p w14:paraId="5B90E4F2" w14:textId="77777777" w:rsidR="00D772C9" w:rsidRPr="00FD7A7A" w:rsidRDefault="00D772C9" w:rsidP="00D772C9">
      <w:pPr>
        <w:spacing w:after="0" w:line="276" w:lineRule="auto"/>
        <w:ind w:firstLine="709"/>
        <w:jc w:val="both"/>
        <w:rPr>
          <w:rFonts w:ascii="Arial" w:eastAsia="Arial" w:hAnsi="Arial" w:cs="Arial"/>
          <w:lang w:val="es-MX" w:eastAsia="es-ES_tradnl"/>
        </w:rPr>
      </w:pPr>
      <w:r w:rsidRPr="00FD7A7A">
        <w:rPr>
          <w:rFonts w:ascii="Arial" w:eastAsia="Calibri" w:hAnsi="Arial" w:cs="Arial"/>
          <w:color w:val="000000" w:themeColor="text1"/>
          <w:lang w:val="es-ES"/>
        </w:rPr>
        <w:t xml:space="preserve">La Agencia Nacional de Contratación Pública – Colombia Compra Eficiente, en los Conceptos </w:t>
      </w:r>
      <w:r w:rsidRPr="00FD7A7A">
        <w:rPr>
          <w:rFonts w:ascii="Arial" w:eastAsia="Calibri" w:hAnsi="Arial" w:cs="Arial"/>
          <w:color w:val="000000" w:themeColor="text1"/>
          <w:lang w:val="es-MX"/>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Pr="00FD7A7A">
        <w:rPr>
          <w:rFonts w:ascii="Arial" w:eastAsia="Calibri" w:hAnsi="Arial" w:cs="Arial"/>
          <w:color w:val="000000" w:themeColor="text1"/>
          <w:lang w:val="es-ES_tradnl"/>
        </w:rPr>
        <w:t xml:space="preserve">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w:t>
      </w:r>
      <w:r w:rsidRPr="00FD7A7A">
        <w:rPr>
          <w:rFonts w:ascii="Arial" w:eastAsia="Calibri" w:hAnsi="Arial" w:cs="Arial"/>
          <w:color w:val="000000" w:themeColor="text1"/>
          <w:lang w:val="es-ES"/>
        </w:rPr>
        <w:t>C-028 del 28 de febrero de 2022, C-318 del 18 de mayo de 2022, C-252 del 30 de mayo de 2022, C-001 del 14 de febrero de 2023 y el C-175 del 4 de mayo de 2023, analizó los contornos generales del régimen de inhabilidades e incompatibilidades en la contratación estatal</w:t>
      </w:r>
      <w:r w:rsidRPr="00FD7A7A">
        <w:rPr>
          <w:rFonts w:ascii="Arial" w:eastAsia="Calibri" w:hAnsi="Arial" w:cs="Arial"/>
          <w:vertAlign w:val="superscript"/>
        </w:rPr>
        <w:footnoteReference w:id="2"/>
      </w:r>
      <w:r w:rsidRPr="00FD7A7A">
        <w:rPr>
          <w:rFonts w:ascii="Arial" w:eastAsia="Calibri" w:hAnsi="Arial" w:cs="Arial"/>
          <w:color w:val="000000" w:themeColor="text1"/>
          <w:lang w:val="es-ES"/>
        </w:rPr>
        <w:t xml:space="preserve">. </w:t>
      </w:r>
      <w:r w:rsidRPr="00FD7A7A">
        <w:rPr>
          <w:rFonts w:ascii="Arial" w:eastAsia="Calibri" w:hAnsi="Arial" w:cs="Arial"/>
          <w:lang w:val="es-ES_tradnl" w:eastAsia="es-ES_tradnl"/>
        </w:rPr>
        <w:t>Algunas de las consideraciones de estos conceptos se reiteran y se complementan en lo pertinente, teniendo en cuenta lo consultado.</w:t>
      </w:r>
    </w:p>
    <w:p w14:paraId="60AC115F" w14:textId="77777777" w:rsidR="00D772C9" w:rsidRPr="00FD7A7A" w:rsidRDefault="00D772C9" w:rsidP="00D772C9">
      <w:pPr>
        <w:spacing w:after="0" w:line="276" w:lineRule="auto"/>
        <w:ind w:firstLine="709"/>
        <w:jc w:val="both"/>
        <w:rPr>
          <w:rFonts w:ascii="Arial" w:eastAsia="Times New Roman" w:hAnsi="Arial" w:cs="Arial"/>
          <w:b/>
          <w:bCs/>
          <w:iCs/>
          <w:szCs w:val="24"/>
          <w:lang w:val="es-ES_tradnl" w:eastAsia="es-ES_tradnl"/>
        </w:rPr>
      </w:pPr>
    </w:p>
    <w:p w14:paraId="44235436" w14:textId="77777777" w:rsidR="00D772C9" w:rsidRPr="00FD7A7A" w:rsidRDefault="00D772C9" w:rsidP="00D772C9">
      <w:pPr>
        <w:spacing w:after="0" w:line="276" w:lineRule="auto"/>
        <w:jc w:val="both"/>
        <w:rPr>
          <w:rFonts w:ascii="Arial" w:eastAsia="Times New Roman" w:hAnsi="Arial" w:cs="Arial"/>
          <w:b/>
          <w:bCs/>
          <w:iCs/>
          <w:szCs w:val="24"/>
          <w:lang w:val="es-ES_tradnl" w:eastAsia="es-ES_tradnl"/>
        </w:rPr>
      </w:pPr>
      <w:r w:rsidRPr="00FD7A7A">
        <w:rPr>
          <w:rFonts w:ascii="Arial" w:eastAsia="Times New Roman" w:hAnsi="Arial" w:cs="Arial"/>
          <w:b/>
          <w:bCs/>
          <w:iCs/>
          <w:szCs w:val="24"/>
          <w:lang w:val="es-ES_tradnl" w:eastAsia="es-ES_tradnl"/>
        </w:rPr>
        <w:t>2.1. Régimen de inhabilidades e incompatibilidades para contratar con el Estado. Reiteración de línea</w:t>
      </w:r>
    </w:p>
    <w:p w14:paraId="1A626845" w14:textId="77777777" w:rsidR="00D772C9" w:rsidRPr="00FD7A7A" w:rsidRDefault="00D772C9" w:rsidP="00D772C9">
      <w:pPr>
        <w:spacing w:after="0" w:line="240" w:lineRule="auto"/>
        <w:ind w:firstLine="709"/>
        <w:jc w:val="both"/>
        <w:rPr>
          <w:rFonts w:ascii="Arial" w:eastAsia="Times New Roman" w:hAnsi="Arial" w:cs="Arial"/>
          <w:iCs/>
          <w:szCs w:val="24"/>
          <w:lang w:val="es-ES_tradnl" w:eastAsia="es-ES_tradnl"/>
        </w:rPr>
      </w:pPr>
    </w:p>
    <w:p w14:paraId="4C46F1F0" w14:textId="77777777" w:rsidR="00D772C9" w:rsidRPr="00FD7A7A" w:rsidRDefault="00D772C9" w:rsidP="00D772C9">
      <w:pPr>
        <w:spacing w:after="120" w:line="276" w:lineRule="auto"/>
        <w:jc w:val="both"/>
        <w:rPr>
          <w:rFonts w:ascii="Arial" w:hAnsi="Arial" w:cs="Arial"/>
          <w:lang w:val="es-MX"/>
        </w:rPr>
      </w:pPr>
      <w:bookmarkStart w:id="12" w:name="_Hlk103955412"/>
      <w:r w:rsidRPr="00FD7A7A">
        <w:rPr>
          <w:rFonts w:ascii="Arial" w:hAnsi="Arial" w:cs="Arial"/>
          <w:lang w:val="es-MX"/>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58BC59FB" w14:textId="77777777" w:rsidR="00D772C9" w:rsidRPr="00FD7A7A" w:rsidRDefault="00D772C9" w:rsidP="00D772C9">
      <w:pPr>
        <w:spacing w:line="276" w:lineRule="auto"/>
        <w:ind w:firstLine="709"/>
        <w:jc w:val="both"/>
        <w:rPr>
          <w:rFonts w:ascii="Arial" w:hAnsi="Arial" w:cs="Arial"/>
        </w:rPr>
      </w:pPr>
      <w:r w:rsidRPr="00FD7A7A">
        <w:rPr>
          <w:rFonts w:ascii="Arial" w:hAnsi="Arial" w:cs="Arial"/>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w:t>
      </w:r>
      <w:r w:rsidRPr="00FD7A7A">
        <w:rPr>
          <w:rFonts w:ascii="Arial" w:hAnsi="Arial" w:cs="Arial"/>
        </w:rPr>
        <w:lastRenderedPageBreak/>
        <w:t>requisito en el sujeto incapacitado quien por esta razón no podrá hacer parte de una relación contractual”</w:t>
      </w:r>
      <w:r w:rsidRPr="00FD7A7A">
        <w:rPr>
          <w:rFonts w:ascii="Arial" w:hAnsi="Arial" w:cs="Arial"/>
          <w:vertAlign w:val="superscript"/>
        </w:rPr>
        <w:footnoteReference w:id="3"/>
      </w:r>
      <w:r w:rsidRPr="00FD7A7A">
        <w:rPr>
          <w:rFonts w:ascii="Arial" w:hAnsi="Arial" w:cs="Arial"/>
        </w:rPr>
        <w:t>.</w:t>
      </w:r>
    </w:p>
    <w:p w14:paraId="4CD4CB33" w14:textId="77777777" w:rsidR="00D772C9" w:rsidRPr="00FD7A7A" w:rsidRDefault="00D772C9" w:rsidP="00D772C9">
      <w:pPr>
        <w:spacing w:before="120" w:after="0" w:line="276" w:lineRule="auto"/>
        <w:ind w:firstLine="709"/>
        <w:jc w:val="both"/>
        <w:rPr>
          <w:rFonts w:ascii="Arial" w:hAnsi="Arial" w:cs="Arial"/>
          <w:lang w:val="es-MX"/>
        </w:rPr>
      </w:pPr>
      <w:r w:rsidRPr="00FD7A7A">
        <w:rPr>
          <w:rFonts w:ascii="Arial" w:hAnsi="Arial" w:cs="Arial"/>
          <w:lang w:val="es-MX"/>
        </w:rPr>
        <w:t>La consagración</w:t>
      </w:r>
      <w:r>
        <w:rPr>
          <w:rFonts w:ascii="Arial" w:hAnsi="Arial" w:cs="Arial"/>
          <w:lang w:val="es-MX"/>
        </w:rPr>
        <w:t xml:space="preserve"> de</w:t>
      </w:r>
      <w:r w:rsidRPr="00FD7A7A">
        <w:rPr>
          <w:rFonts w:ascii="Arial" w:hAnsi="Arial" w:cs="Arial"/>
          <w:lang w:val="es-MX"/>
        </w:rPr>
        <w:t xml:space="preserve"> limitaciones que afectan la capacidad jurídica para contratar desarrolla los principios de la función administrativa consagrados en el artículo 209 de la Constitución Política, con especial énfasis el de moralidad. Así lo entiende el Consejo de Estado: </w:t>
      </w:r>
    </w:p>
    <w:p w14:paraId="1A843547" w14:textId="77777777" w:rsidR="00D772C9" w:rsidRPr="00FD7A7A" w:rsidRDefault="00D772C9" w:rsidP="00D772C9">
      <w:pPr>
        <w:spacing w:after="0" w:line="276" w:lineRule="auto"/>
        <w:jc w:val="both"/>
        <w:rPr>
          <w:rFonts w:ascii="Arial" w:hAnsi="Arial" w:cs="Arial"/>
          <w:lang w:val="es-MX"/>
        </w:rPr>
      </w:pPr>
    </w:p>
    <w:p w14:paraId="5CFC9EC9" w14:textId="77777777" w:rsidR="00D772C9" w:rsidRPr="00FD7A7A" w:rsidRDefault="00D772C9" w:rsidP="00D772C9">
      <w:pPr>
        <w:shd w:val="clear" w:color="auto" w:fill="FFFFFF"/>
        <w:spacing w:after="120" w:line="240" w:lineRule="auto"/>
        <w:ind w:left="709" w:right="709"/>
        <w:jc w:val="both"/>
        <w:rPr>
          <w:rFonts w:ascii="Arial" w:hAnsi="Arial" w:cs="Arial"/>
          <w:sz w:val="21"/>
          <w:szCs w:val="21"/>
          <w:lang w:val="es-ES"/>
        </w:rPr>
      </w:pPr>
      <w:r w:rsidRPr="00FD7A7A">
        <w:rPr>
          <w:rFonts w:ascii="Arial" w:hAnsi="Arial" w:cs="Arial"/>
          <w:sz w:val="21"/>
          <w:szCs w:val="21"/>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6264757C" w14:textId="77777777" w:rsidR="00D772C9" w:rsidRPr="00FD7A7A" w:rsidRDefault="00D772C9" w:rsidP="00D772C9">
      <w:pPr>
        <w:shd w:val="clear" w:color="auto" w:fill="FFFFFF"/>
        <w:spacing w:after="0" w:line="240" w:lineRule="auto"/>
        <w:ind w:left="709" w:right="709"/>
        <w:jc w:val="both"/>
        <w:rPr>
          <w:rFonts w:ascii="Arial" w:hAnsi="Arial" w:cs="Arial"/>
          <w:sz w:val="21"/>
          <w:szCs w:val="21"/>
          <w:lang w:val="es-ES"/>
        </w:rPr>
      </w:pPr>
      <w:r w:rsidRPr="00FD7A7A">
        <w:rPr>
          <w:rFonts w:ascii="Arial" w:hAnsi="Arial" w:cs="Arial"/>
          <w:sz w:val="21"/>
          <w:szCs w:val="21"/>
          <w:lang w:val="es-E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FD7A7A">
        <w:rPr>
          <w:rFonts w:ascii="Arial" w:hAnsi="Arial" w:cs="Arial"/>
          <w:sz w:val="21"/>
          <w:szCs w:val="21"/>
          <w:vertAlign w:val="superscript"/>
          <w:lang w:val="es-ES"/>
        </w:rPr>
        <w:footnoteReference w:id="4"/>
      </w:r>
      <w:r w:rsidRPr="00FD7A7A">
        <w:rPr>
          <w:rFonts w:ascii="Arial" w:hAnsi="Arial" w:cs="Arial"/>
          <w:sz w:val="21"/>
          <w:szCs w:val="21"/>
          <w:lang w:val="es-ES"/>
        </w:rPr>
        <w:t>.</w:t>
      </w:r>
    </w:p>
    <w:p w14:paraId="42FC088A" w14:textId="77777777" w:rsidR="00D772C9" w:rsidRPr="00FD7A7A" w:rsidRDefault="00D772C9" w:rsidP="00D772C9">
      <w:pPr>
        <w:shd w:val="clear" w:color="auto" w:fill="FFFFFF"/>
        <w:spacing w:after="0" w:line="276" w:lineRule="auto"/>
        <w:ind w:left="709" w:right="709"/>
        <w:jc w:val="both"/>
        <w:rPr>
          <w:rFonts w:ascii="Arial" w:hAnsi="Arial" w:cs="Arial"/>
          <w:lang w:val="es-ES"/>
        </w:rPr>
      </w:pPr>
    </w:p>
    <w:p w14:paraId="59E05E96" w14:textId="77777777" w:rsidR="00D772C9" w:rsidRPr="00FD7A7A" w:rsidRDefault="00D772C9" w:rsidP="00D772C9">
      <w:pPr>
        <w:spacing w:after="0" w:line="276" w:lineRule="auto"/>
        <w:ind w:firstLine="709"/>
        <w:jc w:val="both"/>
        <w:rPr>
          <w:rFonts w:ascii="Arial" w:hAnsi="Arial" w:cs="Arial"/>
          <w:lang w:val="es-MX"/>
        </w:rPr>
      </w:pPr>
      <w:r w:rsidRPr="00FD7A7A">
        <w:rPr>
          <w:rFonts w:ascii="Arial" w:hAnsi="Arial" w:cs="Arial"/>
          <w:lang w:val="es-MX"/>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0F999323" w14:textId="77777777" w:rsidR="00D772C9" w:rsidRPr="00FD7A7A" w:rsidRDefault="00D772C9" w:rsidP="00D772C9">
      <w:pPr>
        <w:spacing w:after="0" w:line="276" w:lineRule="auto"/>
        <w:ind w:firstLine="709"/>
        <w:jc w:val="both"/>
        <w:rPr>
          <w:rFonts w:ascii="Arial" w:hAnsi="Arial" w:cs="Arial"/>
          <w:lang w:val="es-MX"/>
        </w:rPr>
      </w:pPr>
    </w:p>
    <w:p w14:paraId="11AE55BF" w14:textId="77777777" w:rsidR="00D772C9" w:rsidRPr="00FD7A7A" w:rsidRDefault="00D772C9" w:rsidP="00D772C9">
      <w:pPr>
        <w:spacing w:line="240" w:lineRule="auto"/>
        <w:ind w:left="709" w:right="709"/>
        <w:jc w:val="both"/>
        <w:rPr>
          <w:rFonts w:ascii="Arial" w:hAnsi="Arial" w:cs="Arial"/>
          <w:sz w:val="21"/>
          <w:szCs w:val="21"/>
        </w:rPr>
      </w:pPr>
      <w:r w:rsidRPr="00FD7A7A">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w:t>
      </w:r>
      <w:r w:rsidRPr="00FD7A7A">
        <w:rPr>
          <w:rFonts w:ascii="Arial" w:hAnsi="Arial" w:cs="Arial"/>
          <w:sz w:val="21"/>
          <w:szCs w:val="21"/>
        </w:rPr>
        <w:lastRenderedPageBreak/>
        <w:t>6]. De ordinario, como ocurre en la contratación estatal, la inobservancia del régimen de inhabilidades e incompatibilidades, se erige en causal de nulidad del contrato celebrado en esas condiciones (ley 80 de 1993, art. 44).</w:t>
      </w:r>
    </w:p>
    <w:p w14:paraId="681C446B" w14:textId="77777777" w:rsidR="00D772C9" w:rsidRPr="00FD7A7A" w:rsidRDefault="00D772C9" w:rsidP="00D772C9">
      <w:pPr>
        <w:spacing w:after="0" w:line="240" w:lineRule="auto"/>
        <w:ind w:left="709" w:right="709"/>
        <w:jc w:val="both"/>
        <w:rPr>
          <w:rFonts w:ascii="Arial" w:hAnsi="Arial" w:cs="Arial"/>
          <w:sz w:val="21"/>
          <w:szCs w:val="21"/>
        </w:rPr>
      </w:pPr>
      <w:r w:rsidRPr="00FD7A7A">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FD7A7A">
        <w:rPr>
          <w:rFonts w:ascii="Arial" w:hAnsi="Arial" w:cs="Arial"/>
          <w:sz w:val="21"/>
          <w:szCs w:val="21"/>
          <w:vertAlign w:val="superscript"/>
        </w:rPr>
        <w:footnoteReference w:id="5"/>
      </w:r>
      <w:r w:rsidRPr="00FD7A7A">
        <w:rPr>
          <w:rFonts w:ascii="Arial" w:hAnsi="Arial" w:cs="Arial"/>
          <w:sz w:val="21"/>
          <w:szCs w:val="21"/>
        </w:rPr>
        <w:t>.</w:t>
      </w:r>
    </w:p>
    <w:p w14:paraId="1F79BA61" w14:textId="77777777" w:rsidR="00D772C9" w:rsidRPr="00FD7A7A" w:rsidRDefault="00D772C9" w:rsidP="00D772C9">
      <w:pPr>
        <w:spacing w:after="0" w:line="276" w:lineRule="auto"/>
        <w:ind w:right="709"/>
        <w:jc w:val="both"/>
        <w:rPr>
          <w:rFonts w:ascii="Arial" w:hAnsi="Arial" w:cs="Arial"/>
        </w:rPr>
      </w:pPr>
    </w:p>
    <w:p w14:paraId="1BEFD83C" w14:textId="77777777" w:rsidR="00D772C9" w:rsidRPr="00FD7A7A" w:rsidRDefault="00D772C9" w:rsidP="00D772C9">
      <w:pPr>
        <w:spacing w:after="0" w:line="276" w:lineRule="auto"/>
        <w:ind w:firstLine="709"/>
        <w:jc w:val="both"/>
        <w:rPr>
          <w:rFonts w:ascii="Arial" w:hAnsi="Arial" w:cs="Arial"/>
        </w:rPr>
      </w:pPr>
      <w:r w:rsidRPr="00FD7A7A">
        <w:rPr>
          <w:rFonts w:ascii="Arial" w:hAnsi="Arial" w:cs="Arial"/>
        </w:rPr>
        <w:t>Además, la Corte Constitucional explica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a la luz del artículo 150 de la Constitución Política, y que en esta materia rige el principio de legalidad:</w:t>
      </w:r>
    </w:p>
    <w:p w14:paraId="5B4723BA" w14:textId="77777777" w:rsidR="00D772C9" w:rsidRPr="00FD7A7A" w:rsidRDefault="00D772C9" w:rsidP="00D772C9">
      <w:pPr>
        <w:tabs>
          <w:tab w:val="left" w:pos="1532"/>
        </w:tabs>
        <w:spacing w:after="0" w:line="276" w:lineRule="auto"/>
        <w:jc w:val="both"/>
        <w:rPr>
          <w:rFonts w:ascii="Arial" w:hAnsi="Arial" w:cs="Arial"/>
          <w:lang w:val="es-MX"/>
        </w:rPr>
      </w:pPr>
    </w:p>
    <w:p w14:paraId="53327DAC" w14:textId="77777777" w:rsidR="00D772C9" w:rsidRPr="00FD7A7A" w:rsidRDefault="00D772C9" w:rsidP="00D772C9">
      <w:pPr>
        <w:spacing w:after="0" w:line="240" w:lineRule="auto"/>
        <w:ind w:left="709" w:right="709"/>
        <w:jc w:val="both"/>
        <w:rPr>
          <w:rFonts w:ascii="Arial" w:hAnsi="Arial" w:cs="Arial"/>
          <w:sz w:val="21"/>
          <w:szCs w:val="21"/>
        </w:rPr>
      </w:pPr>
      <w:r w:rsidRPr="00FD7A7A">
        <w:rPr>
          <w:rFonts w:ascii="Arial" w:hAnsi="Arial" w:cs="Arial"/>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FD7A7A">
        <w:rPr>
          <w:rFonts w:ascii="Arial" w:hAnsi="Arial" w:cs="Arial"/>
          <w:i/>
          <w:iCs/>
          <w:sz w:val="21"/>
          <w:szCs w:val="21"/>
        </w:rPr>
        <w:t xml:space="preserve">pro </w:t>
      </w:r>
      <w:proofErr w:type="spellStart"/>
      <w:r w:rsidRPr="00FD7A7A">
        <w:rPr>
          <w:rFonts w:ascii="Arial" w:hAnsi="Arial" w:cs="Arial"/>
          <w:i/>
          <w:iCs/>
          <w:sz w:val="21"/>
          <w:szCs w:val="21"/>
        </w:rPr>
        <w:t>libertate</w:t>
      </w:r>
      <w:proofErr w:type="spellEnd"/>
      <w:r w:rsidRPr="00FD7A7A">
        <w:rPr>
          <w:rFonts w:ascii="Arial" w:hAnsi="Arial" w:cs="Arial"/>
          <w:sz w:val="21"/>
          <w:szCs w:val="21"/>
        </w:rPr>
        <w:t xml:space="preserve">, sino el de legalidad, el que ordena que la función pública debe someterse estrictamente a lo que disponga la Constitución y la ley (CP art. 6). </w:t>
      </w:r>
    </w:p>
    <w:p w14:paraId="530C06ED" w14:textId="77777777" w:rsidR="00D772C9" w:rsidRPr="00FD7A7A" w:rsidRDefault="00D772C9" w:rsidP="00D772C9">
      <w:pPr>
        <w:spacing w:after="120" w:line="240" w:lineRule="auto"/>
        <w:ind w:left="709" w:right="709"/>
        <w:jc w:val="both"/>
        <w:rPr>
          <w:rFonts w:ascii="Arial" w:hAnsi="Arial" w:cs="Arial"/>
          <w:sz w:val="21"/>
          <w:szCs w:val="21"/>
        </w:rPr>
      </w:pPr>
      <w:r w:rsidRPr="00FD7A7A">
        <w:rPr>
          <w:rFonts w:ascii="Arial" w:hAnsi="Arial" w:cs="Arial"/>
          <w:sz w:val="21"/>
          <w:szCs w:val="21"/>
        </w:rPr>
        <w:t xml:space="preserve">[…] </w:t>
      </w:r>
    </w:p>
    <w:p w14:paraId="0F728AF7" w14:textId="77777777" w:rsidR="00D772C9" w:rsidRPr="00FD7A7A" w:rsidRDefault="00D772C9" w:rsidP="00D772C9">
      <w:pPr>
        <w:spacing w:after="0" w:line="240" w:lineRule="auto"/>
        <w:ind w:left="709" w:right="709"/>
        <w:jc w:val="both"/>
        <w:rPr>
          <w:rFonts w:ascii="Arial" w:hAnsi="Arial" w:cs="Arial"/>
          <w:sz w:val="21"/>
          <w:szCs w:val="21"/>
        </w:rPr>
      </w:pPr>
      <w:r w:rsidRPr="00FD7A7A">
        <w:rPr>
          <w:rFonts w:ascii="Arial" w:hAnsi="Arial" w:cs="Arial"/>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FD7A7A">
        <w:rPr>
          <w:rFonts w:ascii="Arial" w:hAnsi="Arial" w:cs="Arial"/>
          <w:sz w:val="21"/>
          <w:szCs w:val="21"/>
          <w:vertAlign w:val="superscript"/>
        </w:rPr>
        <w:footnoteReference w:id="6"/>
      </w:r>
      <w:r w:rsidRPr="00FD7A7A">
        <w:rPr>
          <w:rFonts w:ascii="Arial" w:hAnsi="Arial" w:cs="Arial"/>
          <w:sz w:val="21"/>
          <w:szCs w:val="21"/>
        </w:rPr>
        <w:t>.</w:t>
      </w:r>
    </w:p>
    <w:p w14:paraId="3849E98B" w14:textId="77777777" w:rsidR="00D772C9" w:rsidRPr="00FD7A7A" w:rsidRDefault="00D772C9" w:rsidP="00D772C9">
      <w:pPr>
        <w:spacing w:after="0" w:line="276" w:lineRule="auto"/>
        <w:ind w:left="709" w:right="709"/>
        <w:jc w:val="both"/>
        <w:rPr>
          <w:rFonts w:ascii="Arial" w:hAnsi="Arial" w:cs="Arial"/>
        </w:rPr>
      </w:pPr>
    </w:p>
    <w:p w14:paraId="06913BBD" w14:textId="77777777" w:rsidR="00D772C9" w:rsidRPr="00FD7A7A" w:rsidRDefault="00D772C9" w:rsidP="00D772C9">
      <w:pPr>
        <w:spacing w:after="0" w:line="276" w:lineRule="auto"/>
        <w:ind w:firstLine="709"/>
        <w:jc w:val="both"/>
        <w:rPr>
          <w:rFonts w:ascii="Arial" w:hAnsi="Arial" w:cs="Arial"/>
        </w:rPr>
      </w:pPr>
      <w:r w:rsidRPr="00FD7A7A">
        <w:rPr>
          <w:rFonts w:ascii="Arial" w:hAnsi="Arial" w:cs="Arial"/>
        </w:rPr>
        <w:t xml:space="preserve">Conviene también distinguir las fuentes de las inhabilidades, las cuales han sido clasificadas en dos (2) grupos: i) inhabilidades-sanción y </w:t>
      </w:r>
      <w:proofErr w:type="spellStart"/>
      <w:r w:rsidRPr="00FD7A7A">
        <w:rPr>
          <w:rFonts w:ascii="Arial" w:hAnsi="Arial" w:cs="Arial"/>
        </w:rPr>
        <w:t>ii</w:t>
      </w:r>
      <w:proofErr w:type="spellEnd"/>
      <w:r w:rsidRPr="00FD7A7A">
        <w:rPr>
          <w:rFonts w:ascii="Arial" w:hAnsi="Arial" w:cs="Arial"/>
        </w:rPr>
        <w:t xml:space="preserve">) inhabilidades-requisito. En el primer grupo se encuentran las inhabilidades que surgen como consecuencia de un proceso </w:t>
      </w:r>
      <w:r w:rsidRPr="00FD7A7A">
        <w:rPr>
          <w:rFonts w:ascii="Arial" w:hAnsi="Arial" w:cs="Arial"/>
        </w:rPr>
        <w:lastRenderedPageBreak/>
        <w:t>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FD7A7A">
        <w:rPr>
          <w:rFonts w:ascii="Arial" w:hAnsi="Arial" w:cs="Arial"/>
          <w:vertAlign w:val="superscript"/>
        </w:rPr>
        <w:footnoteReference w:id="7"/>
      </w:r>
      <w:r w:rsidRPr="00FD7A7A">
        <w:rPr>
          <w:rFonts w:ascii="Arial" w:hAnsi="Arial" w:cs="Arial"/>
        </w:rPr>
        <w:t>.</w:t>
      </w:r>
    </w:p>
    <w:p w14:paraId="0CAD64A8" w14:textId="77777777" w:rsidR="00D772C9" w:rsidRPr="00FD7A7A" w:rsidRDefault="00D772C9" w:rsidP="00D772C9">
      <w:pPr>
        <w:spacing w:before="120" w:after="120" w:line="276" w:lineRule="auto"/>
        <w:ind w:firstLine="709"/>
        <w:jc w:val="both"/>
        <w:rPr>
          <w:rFonts w:ascii="Arial" w:hAnsi="Arial" w:cs="Arial"/>
        </w:rPr>
      </w:pPr>
      <w:r w:rsidRPr="00FD7A7A">
        <w:rPr>
          <w:rFonts w:ascii="Arial" w:hAnsi="Arial" w:cs="Arial"/>
        </w:rPr>
        <w:t>A manera de ejemplo, en materia contractual, los literales c), d) y j) del numeral 1 del artículo 8 de la Ley 80 de 1993</w:t>
      </w:r>
      <w:r w:rsidRPr="00FD7A7A">
        <w:rPr>
          <w:rFonts w:ascii="Arial" w:hAnsi="Arial" w:cs="Arial"/>
          <w:vertAlign w:val="superscript"/>
        </w:rPr>
        <w:footnoteReference w:id="8"/>
      </w:r>
      <w:r w:rsidRPr="00FD7A7A">
        <w:rPr>
          <w:rFonts w:ascii="Arial" w:hAnsi="Arial" w:cs="Arial"/>
        </w:rPr>
        <w:t xml:space="preserve">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w:t>
      </w:r>
      <w:r w:rsidRPr="00FD7A7A">
        <w:rPr>
          <w:rFonts w:ascii="Arial" w:hAnsi="Arial" w:cs="Arial"/>
        </w:rPr>
        <w:lastRenderedPageBreak/>
        <w:t xml:space="preserve">una falta o un delito que dio lugar a una declaratoria por parte de la Administración o el juez, sino de aspectos propios de la persona, derivados, por ejemplo, del parentesco o la afinidad o de la condición de servidor público. </w:t>
      </w:r>
      <w:bookmarkStart w:id="13" w:name="_Hlk40976328"/>
      <w:r w:rsidRPr="00FD7A7A">
        <w:rPr>
          <w:rFonts w:ascii="Arial" w:hAnsi="Arial"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13"/>
    </w:p>
    <w:p w14:paraId="72FB2DD6" w14:textId="77777777" w:rsidR="00D772C9" w:rsidRPr="00FD7A7A" w:rsidRDefault="00D772C9" w:rsidP="00D772C9">
      <w:pPr>
        <w:spacing w:after="120" w:line="276" w:lineRule="auto"/>
        <w:ind w:firstLine="708"/>
        <w:jc w:val="both"/>
        <w:rPr>
          <w:rFonts w:ascii="Arial" w:eastAsia="Calibri" w:hAnsi="Arial" w:cs="Arial"/>
          <w:lang w:val="es-ES_tradnl"/>
        </w:rPr>
      </w:pPr>
      <w:r w:rsidRPr="00FD7A7A">
        <w:rPr>
          <w:rFonts w:ascii="Arial" w:eastAsia="Calibri" w:hAnsi="Arial" w:cs="Arial"/>
          <w:i/>
          <w:iCs/>
          <w:lang w:val="es-ES_tradnl"/>
        </w:rPr>
        <w:t>Igualmente</w:t>
      </w:r>
      <w:r w:rsidRPr="00FD7A7A">
        <w:rPr>
          <w:rFonts w:ascii="Arial" w:eastAsia="Calibri" w:hAnsi="Arial" w:cs="Arial"/>
          <w:lang w:val="es-ES_tradnl"/>
        </w:rPr>
        <w:t xml:space="preserve">, en la contratación estatal, la </w:t>
      </w:r>
      <w:r w:rsidRPr="00FD7A7A">
        <w:rPr>
          <w:rFonts w:ascii="Arial" w:eastAsia="Calibri" w:hAnsi="Arial" w:cs="Arial"/>
          <w:i/>
          <w:iCs/>
          <w:lang w:val="es-ES_tradnl"/>
        </w:rPr>
        <w:t>capacidad</w:t>
      </w:r>
      <w:r w:rsidRPr="00FD7A7A">
        <w:rPr>
          <w:rFonts w:ascii="Arial" w:eastAsia="Calibri" w:hAnsi="Arial" w:cs="Arial"/>
          <w:lang w:val="es-ES_tradnl"/>
        </w:rPr>
        <w:t xml:space="preserve"> también es un requisito de validez de los contratos, tanto en el régimen de las entidades sujetas al Estatuto General de Contratación de la Administración Pública</w:t>
      </w:r>
      <w:r w:rsidRPr="00FD7A7A">
        <w:rPr>
          <w:rFonts w:ascii="Arial" w:eastAsia="Calibri" w:hAnsi="Arial" w:cs="Arial"/>
          <w:vertAlign w:val="superscript"/>
          <w:lang w:val="es-ES_tradnl"/>
        </w:rPr>
        <w:footnoteReference w:id="9"/>
      </w:r>
      <w:r w:rsidRPr="00FD7A7A">
        <w:rPr>
          <w:rFonts w:ascii="Arial" w:eastAsia="Calibri" w:hAnsi="Arial" w:cs="Arial"/>
          <w:lang w:val="es-ES_tradnl"/>
        </w:rPr>
        <w:t xml:space="preserve"> como en el de las entidades exceptuadas de aquel</w:t>
      </w:r>
      <w:r w:rsidRPr="00FD7A7A">
        <w:rPr>
          <w:rFonts w:ascii="Arial" w:eastAsia="Calibri" w:hAnsi="Arial" w:cs="Arial"/>
          <w:vertAlign w:val="superscript"/>
          <w:lang w:val="es-ES_tradnl"/>
        </w:rPr>
        <w:footnoteReference w:id="10"/>
      </w:r>
      <w:r w:rsidRPr="00FD7A7A">
        <w:rPr>
          <w:rFonts w:ascii="Arial" w:eastAsia="Calibri" w:hAnsi="Arial" w:cs="Arial"/>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FD7A7A">
        <w:rPr>
          <w:rFonts w:ascii="Arial" w:eastAsia="Calibri" w:hAnsi="Arial" w:cs="Arial"/>
          <w:vertAlign w:val="superscript"/>
          <w:lang w:val="es-ES_tradnl"/>
        </w:rPr>
        <w:footnoteReference w:id="11"/>
      </w:r>
      <w:r w:rsidRPr="00FD7A7A">
        <w:rPr>
          <w:rFonts w:ascii="Arial" w:eastAsia="Calibri" w:hAnsi="Arial"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sidRPr="00FD7A7A">
        <w:rPr>
          <w:rFonts w:ascii="Arial" w:eastAsia="Calibri" w:hAnsi="Arial" w:cs="Arial"/>
          <w:vertAlign w:val="superscript"/>
          <w:lang w:val="es-ES_tradnl"/>
        </w:rPr>
        <w:footnoteReference w:id="12"/>
      </w:r>
      <w:r w:rsidRPr="00FD7A7A">
        <w:rPr>
          <w:rFonts w:ascii="Arial" w:eastAsia="Calibri" w:hAnsi="Arial" w:cs="Arial"/>
          <w:lang w:val="es-ES_tradnl"/>
        </w:rPr>
        <w:t>.</w:t>
      </w:r>
    </w:p>
    <w:p w14:paraId="291A5C69" w14:textId="77777777" w:rsidR="00D772C9" w:rsidRPr="00FD7A7A" w:rsidRDefault="00D772C9" w:rsidP="00D772C9">
      <w:pPr>
        <w:spacing w:after="120" w:line="276" w:lineRule="auto"/>
        <w:ind w:firstLine="709"/>
        <w:jc w:val="both"/>
        <w:rPr>
          <w:rFonts w:ascii="Arial" w:eastAsia="Calibri" w:hAnsi="Arial" w:cs="Arial"/>
          <w:lang w:val="es-ES_tradnl"/>
        </w:rPr>
      </w:pPr>
      <w:r w:rsidRPr="00FD7A7A">
        <w:rPr>
          <w:rFonts w:ascii="Arial" w:eastAsia="Calibri" w:hAnsi="Arial" w:cs="Arial"/>
          <w:lang w:val="es-ES_tradnl"/>
        </w:rPr>
        <w:t>Las inhabilidades son prohibiciones para concurrir a los procedimientos de selección y para contratar con el Estado, que se derivan: i) de la existencia de comportamientos reprochables o de sanciones anteriormente impuestas</w:t>
      </w:r>
      <w:r w:rsidRPr="00FD7A7A">
        <w:rPr>
          <w:rFonts w:ascii="Arial" w:eastAsia="Calibri" w:hAnsi="Arial" w:cs="Arial"/>
          <w:vertAlign w:val="superscript"/>
          <w:lang w:val="es-ES_tradnl"/>
        </w:rPr>
        <w:footnoteReference w:id="13"/>
      </w:r>
      <w:r w:rsidRPr="00FD7A7A">
        <w:rPr>
          <w:rFonts w:ascii="Arial" w:eastAsia="Calibri" w:hAnsi="Arial" w:cs="Arial"/>
          <w:lang w:val="es-ES_tradnl"/>
        </w:rPr>
        <w:t xml:space="preserve">, </w:t>
      </w:r>
      <w:proofErr w:type="spellStart"/>
      <w:r w:rsidRPr="00FD7A7A">
        <w:rPr>
          <w:rFonts w:ascii="Arial" w:eastAsia="Calibri" w:hAnsi="Arial" w:cs="Arial"/>
          <w:lang w:val="es-ES_tradnl"/>
        </w:rPr>
        <w:t>ii</w:t>
      </w:r>
      <w:proofErr w:type="spellEnd"/>
      <w:r w:rsidRPr="00FD7A7A">
        <w:rPr>
          <w:rFonts w:ascii="Arial" w:eastAsia="Calibri" w:hAnsi="Arial" w:cs="Arial"/>
          <w:lang w:val="es-ES_tradnl"/>
        </w:rPr>
        <w:t xml:space="preserve">) de vínculos personales relativos </w:t>
      </w:r>
      <w:r w:rsidRPr="00FD7A7A">
        <w:rPr>
          <w:rFonts w:ascii="Arial" w:eastAsia="Calibri" w:hAnsi="Arial" w:cs="Arial"/>
          <w:lang w:val="es-ES_tradnl"/>
        </w:rPr>
        <w:lastRenderedPageBreak/>
        <w:t>al parentesco o al estado civil</w:t>
      </w:r>
      <w:r w:rsidRPr="00FD7A7A">
        <w:rPr>
          <w:rFonts w:ascii="Arial" w:eastAsia="Calibri" w:hAnsi="Arial" w:cs="Arial"/>
          <w:vertAlign w:val="superscript"/>
          <w:lang w:val="es-ES_tradnl"/>
        </w:rPr>
        <w:footnoteReference w:id="14"/>
      </w:r>
      <w:r w:rsidRPr="00FD7A7A">
        <w:rPr>
          <w:rFonts w:ascii="Arial" w:eastAsia="Calibri" w:hAnsi="Arial" w:cs="Arial"/>
          <w:lang w:val="es-ES_tradnl"/>
        </w:rPr>
        <w:t xml:space="preserve"> o </w:t>
      </w:r>
      <w:proofErr w:type="spellStart"/>
      <w:r w:rsidRPr="00FD7A7A">
        <w:rPr>
          <w:rFonts w:ascii="Arial" w:eastAsia="Calibri" w:hAnsi="Arial" w:cs="Arial"/>
          <w:lang w:val="es-ES_tradnl"/>
        </w:rPr>
        <w:t>iii</w:t>
      </w:r>
      <w:proofErr w:type="spellEnd"/>
      <w:r w:rsidRPr="00FD7A7A">
        <w:rPr>
          <w:rFonts w:ascii="Arial" w:eastAsia="Calibri" w:hAnsi="Arial" w:cs="Arial"/>
          <w:lang w:val="es-ES_tradnl"/>
        </w:rPr>
        <w:t>) de una actividad u oficio que se desempeñó en el pasado</w:t>
      </w:r>
      <w:r w:rsidRPr="00FD7A7A">
        <w:rPr>
          <w:rFonts w:ascii="Arial" w:eastAsia="Calibri" w:hAnsi="Arial" w:cs="Arial"/>
          <w:vertAlign w:val="superscript"/>
          <w:lang w:val="es-ES_tradnl"/>
        </w:rPr>
        <w:footnoteReference w:id="15"/>
      </w:r>
      <w:r w:rsidRPr="00FD7A7A">
        <w:rPr>
          <w:rFonts w:ascii="Arial" w:eastAsia="Calibri" w:hAnsi="Arial" w:cs="Arial"/>
          <w:lang w:val="es-ES_tradnl"/>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FD7A7A">
        <w:rPr>
          <w:rFonts w:ascii="Arial" w:eastAsia="Calibri" w:hAnsi="Arial" w:cs="Arial"/>
          <w:vertAlign w:val="superscript"/>
          <w:lang w:val="es-ES_tradnl"/>
        </w:rPr>
        <w:footnoteReference w:id="16"/>
      </w:r>
      <w:r w:rsidRPr="00FD7A7A">
        <w:rPr>
          <w:rFonts w:ascii="Arial" w:eastAsia="Calibri" w:hAnsi="Arial" w:cs="Arial"/>
          <w:lang w:val="es-ES_tradnl"/>
        </w:rPr>
        <w:t>.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00FD7A7A">
        <w:rPr>
          <w:rFonts w:ascii="Arial" w:eastAsia="Calibri" w:hAnsi="Arial" w:cs="Arial"/>
          <w:vertAlign w:val="superscript"/>
          <w:lang w:val="es-ES_tradnl"/>
        </w:rPr>
        <w:footnoteReference w:id="17"/>
      </w:r>
      <w:r w:rsidRPr="00FD7A7A">
        <w:rPr>
          <w:rFonts w:ascii="Arial" w:eastAsia="Calibri" w:hAnsi="Arial" w:cs="Arial"/>
          <w:lang w:val="es-ES_tradnl"/>
        </w:rPr>
        <w:t>.</w:t>
      </w:r>
    </w:p>
    <w:p w14:paraId="7357F0BF" w14:textId="77777777" w:rsidR="00D772C9" w:rsidRPr="00FD7A7A" w:rsidRDefault="00D772C9" w:rsidP="00D772C9">
      <w:pPr>
        <w:spacing w:before="120" w:after="120" w:line="276" w:lineRule="auto"/>
        <w:ind w:firstLine="709"/>
        <w:jc w:val="both"/>
        <w:rPr>
          <w:rFonts w:ascii="Arial" w:eastAsia="Calibri" w:hAnsi="Arial" w:cs="Arial"/>
          <w:lang w:val="es-ES_tradnl"/>
        </w:rPr>
      </w:pPr>
      <w:r w:rsidRPr="00FD7A7A">
        <w:rPr>
          <w:rFonts w:ascii="Arial" w:eastAsia="Calibri" w:hAnsi="Arial" w:cs="Arial"/>
          <w:lang w:val="es-ES_tradnl"/>
        </w:rPr>
        <w:t xml:space="preserve">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w:t>
      </w:r>
      <w:r w:rsidRPr="00FD7A7A">
        <w:rPr>
          <w:rFonts w:ascii="Arial" w:eastAsia="Calibri" w:hAnsi="Arial" w:cs="Arial"/>
          <w:lang w:val="es-ES_tradnl"/>
        </w:rPr>
        <w:lastRenderedPageBreak/>
        <w:t>naturaleza sancionatoria o “</w:t>
      </w:r>
      <w:proofErr w:type="spellStart"/>
      <w:r w:rsidRPr="00FD7A7A">
        <w:rPr>
          <w:rFonts w:ascii="Arial" w:eastAsia="Calibri" w:hAnsi="Arial" w:cs="Arial"/>
          <w:lang w:val="es-ES_tradnl"/>
        </w:rPr>
        <w:t>neopunitiva</w:t>
      </w:r>
      <w:proofErr w:type="spellEnd"/>
      <w:r w:rsidRPr="00FD7A7A">
        <w:rPr>
          <w:rFonts w:ascii="Arial" w:eastAsia="Calibri" w:hAnsi="Arial" w:cs="Arial"/>
          <w:lang w:val="es-ES_tradnl"/>
        </w:rPr>
        <w:t>”</w:t>
      </w:r>
      <w:r w:rsidRPr="00FD7A7A">
        <w:rPr>
          <w:rFonts w:ascii="Arial" w:eastAsia="Calibri" w:hAnsi="Arial" w:cs="Arial"/>
          <w:vertAlign w:val="superscript"/>
          <w:lang w:val="es-ES_tradnl"/>
        </w:rPr>
        <w:footnoteReference w:id="18"/>
      </w:r>
      <w:r w:rsidRPr="00FD7A7A">
        <w:rPr>
          <w:rFonts w:ascii="Arial" w:eastAsia="Calibri" w:hAnsi="Arial" w:cs="Arial"/>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0FBBCFF8" w14:textId="77777777" w:rsidR="00D772C9" w:rsidRPr="00FD7A7A" w:rsidRDefault="00D772C9" w:rsidP="00D772C9">
      <w:pPr>
        <w:spacing w:before="120" w:after="120" w:line="276" w:lineRule="auto"/>
        <w:ind w:firstLine="709"/>
        <w:jc w:val="both"/>
        <w:rPr>
          <w:rFonts w:ascii="Arial" w:eastAsia="Calibri" w:hAnsi="Arial" w:cs="Arial"/>
          <w:lang w:val="es-ES_tradnl"/>
        </w:rPr>
      </w:pPr>
      <w:r w:rsidRPr="00FD7A7A">
        <w:rPr>
          <w:rFonts w:ascii="Arial" w:eastAsia="Calibri" w:hAnsi="Arial"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FD7A7A">
        <w:rPr>
          <w:rFonts w:ascii="Arial" w:eastAsia="Calibri" w:hAnsi="Arial" w:cs="Arial"/>
          <w:i/>
          <w:iCs/>
          <w:lang w:val="es-ES_tradnl"/>
        </w:rPr>
        <w:t>restrictiva</w:t>
      </w:r>
      <w:r w:rsidRPr="00FD7A7A">
        <w:rPr>
          <w:rFonts w:ascii="Arial" w:eastAsia="Calibri" w:hAnsi="Arial" w:cs="Arial"/>
          <w:i/>
          <w:iCs/>
          <w:vertAlign w:val="superscript"/>
          <w:lang w:val="es-ES_tradnl"/>
        </w:rPr>
        <w:footnoteReference w:id="19"/>
      </w:r>
      <w:r w:rsidRPr="00FD7A7A">
        <w:rPr>
          <w:rFonts w:ascii="Arial" w:eastAsia="Calibri" w:hAnsi="Arial" w:cs="Arial"/>
          <w:i/>
          <w:iCs/>
          <w:lang w:val="es-ES_tradnl"/>
        </w:rPr>
        <w:t xml:space="preserve">, </w:t>
      </w:r>
      <w:r w:rsidRPr="00FD7A7A">
        <w:rPr>
          <w:rFonts w:ascii="Arial" w:eastAsia="Calibri" w:hAnsi="Arial"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14:paraId="332604E2" w14:textId="77777777" w:rsidR="00D772C9" w:rsidRPr="00FD7A7A" w:rsidRDefault="00D772C9" w:rsidP="00D772C9">
      <w:pPr>
        <w:spacing w:after="0" w:line="276" w:lineRule="auto"/>
        <w:ind w:firstLine="709"/>
        <w:jc w:val="both"/>
        <w:rPr>
          <w:rFonts w:ascii="Arial" w:eastAsia="Calibri" w:hAnsi="Arial" w:cs="Arial"/>
          <w:lang w:val="es-ES_tradnl"/>
        </w:rPr>
      </w:pPr>
      <w:r w:rsidRPr="00FD7A7A">
        <w:rPr>
          <w:rFonts w:ascii="Arial" w:eastAsia="Calibri" w:hAnsi="Arial" w:cs="Arial"/>
          <w:lang w:val="es-ES_tradnl"/>
        </w:rPr>
        <w:t>En efecto, el máximo tribunal constitucional ha indicado, al tratar de precisar el sentido de este tipo de normas, que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FD7A7A">
        <w:rPr>
          <w:rFonts w:ascii="Arial" w:eastAsia="Calibri" w:hAnsi="Arial" w:cs="Arial"/>
          <w:vertAlign w:val="superscript"/>
          <w:lang w:val="es-ES_tradnl"/>
        </w:rPr>
        <w:footnoteReference w:id="20"/>
      </w:r>
      <w:r w:rsidRPr="00FD7A7A">
        <w:rPr>
          <w:rFonts w:ascii="Arial" w:eastAsia="Calibri" w:hAnsi="Arial" w:cs="Arial"/>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FD7A7A">
        <w:rPr>
          <w:rFonts w:ascii="Arial" w:eastAsia="Calibri" w:hAnsi="Arial" w:cs="Arial"/>
          <w:vertAlign w:val="superscript"/>
          <w:lang w:val="es-ES_tradnl"/>
        </w:rPr>
        <w:footnoteReference w:id="21"/>
      </w:r>
      <w:r w:rsidRPr="00FD7A7A">
        <w:rPr>
          <w:rFonts w:ascii="Arial" w:eastAsia="Calibri" w:hAnsi="Arial" w:cs="Arial"/>
          <w:lang w:val="es-ES_tradnl"/>
        </w:rPr>
        <w:t>. En tal sentido, la Sección Tercera ha señalado que:</w:t>
      </w:r>
    </w:p>
    <w:p w14:paraId="549616E3" w14:textId="77777777" w:rsidR="00D772C9" w:rsidRPr="00FD7A7A" w:rsidRDefault="00D772C9" w:rsidP="00D772C9">
      <w:pPr>
        <w:spacing w:after="0"/>
        <w:ind w:firstLine="709"/>
        <w:jc w:val="both"/>
        <w:rPr>
          <w:rFonts w:ascii="Arial" w:eastAsia="Calibri" w:hAnsi="Arial" w:cs="Arial"/>
          <w:lang w:val="es-ES_tradnl"/>
        </w:rPr>
      </w:pPr>
    </w:p>
    <w:p w14:paraId="1CF8D291" w14:textId="77777777" w:rsidR="00D772C9" w:rsidRPr="00FD7A7A" w:rsidRDefault="00D772C9" w:rsidP="00D772C9">
      <w:pPr>
        <w:spacing w:after="0" w:line="240" w:lineRule="auto"/>
        <w:ind w:left="709" w:right="709"/>
        <w:jc w:val="both"/>
        <w:rPr>
          <w:rFonts w:ascii="Arial" w:eastAsia="Calibri" w:hAnsi="Arial" w:cs="Arial"/>
          <w:lang w:val="es-ES_tradnl"/>
        </w:rPr>
      </w:pPr>
      <w:r w:rsidRPr="00FD7A7A">
        <w:rPr>
          <w:rFonts w:ascii="Arial" w:hAnsi="Arial" w:cs="Arial"/>
          <w:sz w:val="21"/>
          <w:szCs w:val="21"/>
          <w:lang w:val="es-ES_tradnl"/>
        </w:rPr>
        <w:t xml:space="preserve">“[…]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w:t>
      </w:r>
      <w:r w:rsidRPr="00FD7A7A">
        <w:rPr>
          <w:rFonts w:ascii="Arial" w:hAnsi="Arial" w:cs="Arial"/>
          <w:sz w:val="21"/>
          <w:szCs w:val="21"/>
          <w:lang w:val="es-ES_tradnl"/>
        </w:rPr>
        <w:lastRenderedPageBreak/>
        <w:t>que no permite su extensión, por vía de la figura de la analogía, a supuestos no contemplados por el ordenamiento”</w:t>
      </w:r>
      <w:r w:rsidRPr="00FD7A7A">
        <w:rPr>
          <w:rFonts w:ascii="Arial" w:hAnsi="Arial" w:cs="Arial"/>
          <w:sz w:val="21"/>
          <w:szCs w:val="21"/>
          <w:vertAlign w:val="superscript"/>
          <w:lang w:val="es-ES_tradnl"/>
        </w:rPr>
        <w:footnoteReference w:id="22"/>
      </w:r>
      <w:r w:rsidRPr="00FD7A7A">
        <w:rPr>
          <w:rFonts w:ascii="Arial" w:hAnsi="Arial" w:cs="Arial"/>
          <w:sz w:val="21"/>
          <w:szCs w:val="21"/>
          <w:lang w:val="es-ES_tradnl"/>
        </w:rPr>
        <w:t>.</w:t>
      </w:r>
    </w:p>
    <w:p w14:paraId="10B2BED3" w14:textId="77777777" w:rsidR="00D772C9" w:rsidRPr="00FD7A7A" w:rsidRDefault="00D772C9" w:rsidP="00D772C9">
      <w:pPr>
        <w:spacing w:after="0" w:line="276" w:lineRule="auto"/>
        <w:ind w:firstLine="709"/>
        <w:jc w:val="both"/>
        <w:rPr>
          <w:rFonts w:ascii="Arial" w:eastAsia="Calibri" w:hAnsi="Arial" w:cs="Arial"/>
          <w:lang w:val="es-ES_tradnl"/>
        </w:rPr>
      </w:pPr>
    </w:p>
    <w:p w14:paraId="344F5655" w14:textId="77777777" w:rsidR="00D772C9" w:rsidRPr="00FD7A7A" w:rsidRDefault="00D772C9" w:rsidP="00D772C9">
      <w:pPr>
        <w:ind w:firstLine="709"/>
        <w:jc w:val="both"/>
        <w:rPr>
          <w:rFonts w:ascii="Arial" w:eastAsia="Calibri" w:hAnsi="Arial" w:cs="Arial"/>
          <w:lang w:val="es-ES_tradnl"/>
        </w:rPr>
      </w:pPr>
      <w:r w:rsidRPr="00FD7A7A">
        <w:rPr>
          <w:rFonts w:ascii="Arial" w:eastAsia="Calibri" w:hAnsi="Arial" w:cs="Arial"/>
          <w:lang w:val="es-ES_tradnl"/>
        </w:rPr>
        <w:t>También ha dicho que:</w:t>
      </w:r>
    </w:p>
    <w:p w14:paraId="62AFBEC3" w14:textId="77777777" w:rsidR="00D772C9" w:rsidRPr="00FD7A7A" w:rsidRDefault="00D772C9" w:rsidP="00D772C9">
      <w:pPr>
        <w:spacing w:after="0" w:line="240" w:lineRule="auto"/>
        <w:ind w:left="709" w:right="616"/>
        <w:jc w:val="both"/>
        <w:rPr>
          <w:rFonts w:ascii="Arial" w:hAnsi="Arial" w:cs="Arial"/>
          <w:sz w:val="21"/>
          <w:szCs w:val="21"/>
          <w:lang w:val="es-ES_tradnl"/>
        </w:rPr>
      </w:pPr>
      <w:r w:rsidRPr="00FD7A7A">
        <w:rPr>
          <w:rFonts w:ascii="Arial" w:hAnsi="Arial" w:cs="Arial"/>
          <w:sz w:val="21"/>
          <w:szCs w:val="21"/>
          <w:lang w:val="es-ES_tradnl"/>
        </w:rPr>
        <w:t xml:space="preserve">“[…] la aplicación de estos preceptos exige una interpretación restrictiva, dado que según el principio hermenéutico </w:t>
      </w:r>
      <w:r w:rsidRPr="00FD7A7A">
        <w:rPr>
          <w:rFonts w:ascii="Arial" w:hAnsi="Arial" w:cs="Arial"/>
          <w:i/>
          <w:iCs/>
          <w:sz w:val="21"/>
          <w:szCs w:val="21"/>
          <w:lang w:val="es-ES_tradnl"/>
        </w:rPr>
        <w:t xml:space="preserve">pro </w:t>
      </w:r>
      <w:proofErr w:type="spellStart"/>
      <w:r w:rsidRPr="00FD7A7A">
        <w:rPr>
          <w:rFonts w:ascii="Arial" w:hAnsi="Arial" w:cs="Arial"/>
          <w:i/>
          <w:iCs/>
          <w:sz w:val="21"/>
          <w:szCs w:val="21"/>
          <w:lang w:val="es-ES_tradnl"/>
        </w:rPr>
        <w:t>libertate</w:t>
      </w:r>
      <w:proofErr w:type="spellEnd"/>
      <w:r w:rsidRPr="00FD7A7A">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FD7A7A">
        <w:rPr>
          <w:rFonts w:ascii="Arial" w:hAnsi="Arial" w:cs="Arial"/>
          <w:sz w:val="21"/>
          <w:szCs w:val="21"/>
          <w:vertAlign w:val="superscript"/>
          <w:lang w:val="es-ES_tradnl"/>
        </w:rPr>
        <w:footnoteReference w:id="23"/>
      </w:r>
      <w:r w:rsidRPr="00FD7A7A">
        <w:rPr>
          <w:rFonts w:ascii="Arial" w:hAnsi="Arial" w:cs="Arial"/>
          <w:sz w:val="21"/>
          <w:szCs w:val="21"/>
          <w:lang w:val="es-ES_tradnl"/>
        </w:rPr>
        <w:t>.</w:t>
      </w:r>
    </w:p>
    <w:p w14:paraId="0B362E69" w14:textId="77777777" w:rsidR="00D772C9" w:rsidRPr="00FD7A7A" w:rsidRDefault="00D772C9" w:rsidP="00D772C9">
      <w:pPr>
        <w:spacing w:after="0"/>
        <w:ind w:firstLine="708"/>
        <w:jc w:val="both"/>
        <w:rPr>
          <w:rFonts w:ascii="Arial" w:eastAsia="Arial" w:hAnsi="Arial" w:cs="Arial"/>
          <w:color w:val="000000"/>
          <w:lang w:val="es-ES_tradnl"/>
        </w:rPr>
      </w:pPr>
    </w:p>
    <w:p w14:paraId="389F3761" w14:textId="77777777" w:rsidR="00D772C9" w:rsidRPr="00FD7A7A" w:rsidRDefault="00D772C9" w:rsidP="00D772C9">
      <w:pPr>
        <w:spacing w:after="0" w:line="276" w:lineRule="auto"/>
        <w:ind w:firstLine="708"/>
        <w:jc w:val="both"/>
        <w:rPr>
          <w:rFonts w:ascii="Arial" w:hAnsi="Arial" w:cs="Arial"/>
          <w:color w:val="000000" w:themeColor="text1"/>
        </w:rPr>
      </w:pPr>
      <w:r w:rsidRPr="00FD7A7A">
        <w:rPr>
          <w:rFonts w:ascii="Arial" w:eastAsia="Arial" w:hAnsi="Arial" w:cs="Arial"/>
          <w:color w:val="000000"/>
          <w:lang w:val="es-ES_tradnl"/>
        </w:rPr>
        <w:t xml:space="preserve">Como se aprecia, el principio </w:t>
      </w:r>
      <w:r w:rsidRPr="00FD7A7A">
        <w:rPr>
          <w:rFonts w:ascii="Arial" w:eastAsia="Arial" w:hAnsi="Arial" w:cs="Arial"/>
          <w:i/>
          <w:iCs/>
          <w:color w:val="000000"/>
          <w:lang w:val="es-ES_tradnl"/>
        </w:rPr>
        <w:t xml:space="preserve">pro </w:t>
      </w:r>
      <w:proofErr w:type="spellStart"/>
      <w:r w:rsidRPr="00FD7A7A">
        <w:rPr>
          <w:rFonts w:ascii="Arial" w:eastAsia="Arial" w:hAnsi="Arial" w:cs="Arial"/>
          <w:i/>
          <w:iCs/>
          <w:color w:val="000000"/>
          <w:lang w:val="es-ES_tradnl"/>
        </w:rPr>
        <w:t>libertate</w:t>
      </w:r>
      <w:proofErr w:type="spellEnd"/>
      <w:r w:rsidRPr="00FD7A7A">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FD7A7A">
        <w:rPr>
          <w:rFonts w:ascii="Arial" w:hAnsi="Arial"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r w:rsidRPr="00FD7A7A">
        <w:rPr>
          <w:rFonts w:ascii="Arial" w:hAnsi="Arial" w:cs="Arial"/>
          <w:color w:val="000000" w:themeColor="text1"/>
          <w:vertAlign w:val="superscript"/>
        </w:rPr>
        <w:footnoteReference w:id="24"/>
      </w:r>
      <w:r w:rsidRPr="00FD7A7A">
        <w:rPr>
          <w:rFonts w:ascii="Arial" w:hAnsi="Arial" w:cs="Arial"/>
          <w:color w:val="000000" w:themeColor="text1"/>
        </w:rPr>
        <w:t>.</w:t>
      </w:r>
    </w:p>
    <w:p w14:paraId="4F1C57C8" w14:textId="77777777" w:rsidR="00D772C9" w:rsidRPr="00FD7A7A" w:rsidRDefault="00D772C9" w:rsidP="00D772C9">
      <w:pPr>
        <w:spacing w:after="0" w:line="276" w:lineRule="auto"/>
        <w:jc w:val="both"/>
        <w:rPr>
          <w:rFonts w:ascii="Arial" w:eastAsia="Calibri" w:hAnsi="Arial" w:cs="Arial"/>
          <w:lang w:val="es-ES_tradnl"/>
        </w:rPr>
      </w:pPr>
    </w:p>
    <w:p w14:paraId="0D6081CE" w14:textId="77777777" w:rsidR="00D772C9" w:rsidRPr="00FD7A7A" w:rsidRDefault="00D772C9" w:rsidP="00D772C9">
      <w:pPr>
        <w:spacing w:after="0" w:line="276" w:lineRule="auto"/>
        <w:jc w:val="both"/>
        <w:rPr>
          <w:rFonts w:ascii="Arial" w:eastAsia="Calibri" w:hAnsi="Arial" w:cs="Arial"/>
          <w:b/>
          <w:bCs/>
          <w:lang w:val="es-ES_tradnl"/>
        </w:rPr>
      </w:pPr>
      <w:r w:rsidRPr="00FD7A7A">
        <w:rPr>
          <w:rFonts w:ascii="Arial" w:eastAsia="Calibri" w:hAnsi="Arial" w:cs="Arial"/>
          <w:b/>
          <w:bCs/>
          <w:lang w:val="es-ES_tradnl"/>
        </w:rPr>
        <w:t xml:space="preserve">2.2. </w:t>
      </w:r>
      <w:bookmarkStart w:id="14" w:name="_Hlk141426805"/>
      <w:r w:rsidRPr="00FD7A7A">
        <w:rPr>
          <w:rFonts w:ascii="Arial" w:eastAsia="Calibri" w:hAnsi="Arial" w:cs="Arial"/>
          <w:b/>
          <w:bCs/>
          <w:lang w:val="es-ES_tradnl"/>
        </w:rPr>
        <w:t>La inhabilidad de las personas por vínculos naturales o jurídicos</w:t>
      </w:r>
      <w:bookmarkEnd w:id="14"/>
      <w:r w:rsidRPr="00FD7A7A">
        <w:rPr>
          <w:rFonts w:ascii="Arial" w:eastAsia="Calibri" w:hAnsi="Arial" w:cs="Arial"/>
          <w:b/>
          <w:bCs/>
          <w:lang w:val="es-ES_tradnl"/>
        </w:rPr>
        <w:t>. Reiteración de línea</w:t>
      </w:r>
    </w:p>
    <w:p w14:paraId="4A606FC3" w14:textId="77777777" w:rsidR="00D772C9" w:rsidRPr="00FD7A7A" w:rsidRDefault="00D772C9" w:rsidP="00D772C9">
      <w:pPr>
        <w:spacing w:after="0" w:line="276" w:lineRule="auto"/>
        <w:jc w:val="both"/>
        <w:rPr>
          <w:rFonts w:ascii="Arial" w:eastAsia="Calibri" w:hAnsi="Arial" w:cs="Arial"/>
          <w:lang w:val="es-ES_tradnl"/>
        </w:rPr>
      </w:pPr>
    </w:p>
    <w:p w14:paraId="70AC60F5" w14:textId="77777777" w:rsidR="00D772C9" w:rsidRPr="00FD7A7A" w:rsidRDefault="00D772C9" w:rsidP="00D772C9">
      <w:pPr>
        <w:spacing w:after="120" w:line="276" w:lineRule="auto"/>
        <w:jc w:val="both"/>
        <w:rPr>
          <w:rFonts w:ascii="Arial" w:hAnsi="Arial" w:cs="Arial"/>
          <w:color w:val="000000"/>
          <w:shd w:val="clear" w:color="auto" w:fill="FFFFFF"/>
        </w:rPr>
      </w:pPr>
      <w:r w:rsidRPr="00FD7A7A">
        <w:rPr>
          <w:rFonts w:ascii="Arial" w:eastAsia="Calibri" w:hAnsi="Arial" w:cs="Arial"/>
          <w:lang w:val="es-ES_tradnl"/>
        </w:rPr>
        <w:t xml:space="preserve">Retomando la línea anterior, la doctrina y la jurisprudencia son pacíficas en considera que la creación de inhabilidades e incompatibilidades es un asunto con reserva de ley, en tanto, </w:t>
      </w:r>
      <w:r w:rsidRPr="00FD7A7A">
        <w:rPr>
          <w:rFonts w:ascii="Arial" w:hAnsi="Arial" w:cs="Arial"/>
          <w:shd w:val="clear" w:color="auto" w:fill="FFFFFF"/>
        </w:rPr>
        <w:t>“[…] su previsión y desarrollo es materia exclusiva del legislador (reserva de ley), quien en virtud del principio democrático debe definir y tipificar expresamente sus causas, vigencia, naturaleza y efectos”</w:t>
      </w:r>
      <w:r w:rsidRPr="00FD7A7A">
        <w:rPr>
          <w:rFonts w:ascii="Arial" w:hAnsi="Arial" w:cs="Arial"/>
          <w:shd w:val="clear" w:color="auto" w:fill="FFFFFF"/>
          <w:vertAlign w:val="superscript"/>
        </w:rPr>
        <w:footnoteReference w:id="25"/>
      </w:r>
      <w:r w:rsidRPr="00FD7A7A">
        <w:rPr>
          <w:rFonts w:ascii="Arial" w:hAnsi="Arial" w:cs="Arial"/>
          <w:shd w:val="clear" w:color="auto" w:fill="FFFFFF"/>
        </w:rPr>
        <w:t xml:space="preserve"> En similar sentido, la Sala de Consulta y Servicio Civil del Consejo de Estado expresó </w:t>
      </w:r>
      <w:r w:rsidRPr="00FD7A7A">
        <w:rPr>
          <w:rFonts w:ascii="Arial" w:hAnsi="Arial" w:cs="Arial"/>
          <w:color w:val="000000"/>
          <w:shd w:val="clear" w:color="auto" w:fill="FFFFFF"/>
        </w:rPr>
        <w:t xml:space="preserve">que “[…] las causales de inhabilidad e incompatibilidad deben estar expresa y taxativamente establecidas en la Constitución o en la ley y son de aplicación e </w:t>
      </w:r>
      <w:r w:rsidRPr="00FD7A7A">
        <w:rPr>
          <w:rFonts w:ascii="Arial" w:hAnsi="Arial" w:cs="Arial"/>
          <w:color w:val="000000"/>
          <w:shd w:val="clear" w:color="auto" w:fill="FFFFFF"/>
        </w:rPr>
        <w:lastRenderedPageBreak/>
        <w:t>interpretación restrictivas […]”</w:t>
      </w:r>
      <w:r w:rsidRPr="00FD7A7A">
        <w:rPr>
          <w:rFonts w:ascii="Arial" w:hAnsi="Arial" w:cs="Arial"/>
          <w:color w:val="000000"/>
          <w:shd w:val="clear" w:color="auto" w:fill="FFFFFF"/>
          <w:vertAlign w:val="superscript"/>
        </w:rPr>
        <w:footnoteReference w:id="26"/>
      </w:r>
      <w:r w:rsidRPr="00FD7A7A">
        <w:rPr>
          <w:rFonts w:ascii="Arial" w:hAnsi="Arial" w:cs="Arial"/>
          <w:color w:val="000000"/>
          <w:shd w:val="clear" w:color="auto" w:fill="FFFFFF"/>
        </w:rPr>
        <w:t xml:space="preserve">. En este sentido, como se observa, existe consenso, incluso como lo ha expresado esta Agencia en ocasiones anteriores, que la creación de inhabilidades o incompatibilidades está reservada al constituyente o al legislador. </w:t>
      </w:r>
    </w:p>
    <w:p w14:paraId="20107E08" w14:textId="77777777" w:rsidR="00D772C9" w:rsidRPr="00FD7A7A" w:rsidRDefault="00D772C9" w:rsidP="00D772C9">
      <w:pPr>
        <w:tabs>
          <w:tab w:val="left" w:pos="0"/>
        </w:tabs>
        <w:spacing w:after="120" w:line="276" w:lineRule="auto"/>
        <w:jc w:val="both"/>
        <w:rPr>
          <w:rFonts w:ascii="Arial" w:eastAsia="Calibri" w:hAnsi="Arial" w:cs="Arial"/>
          <w:lang w:val="es-ES_tradnl"/>
        </w:rPr>
      </w:pPr>
      <w:r w:rsidRPr="00FD7A7A">
        <w:rPr>
          <w:rFonts w:ascii="Arial" w:eastAsia="Calibri" w:hAnsi="Arial" w:cs="Arial"/>
          <w:lang w:val="es-ES_tradnl"/>
        </w:rPr>
        <w:tab/>
        <w:t xml:space="preserve">En ese contexto, resulta a bien señalar que el literal g) del numeral 1 del artículo 8 de la Ley 80 de 1993 determina que son inhábiles para participar en Procesos de Contratación o suscribir contratos con Entidades Estatales “Quienes sean cónyuges o compañeros permanentes y quiénes se encuentren dentro del segundo grado de consanguinidad o segundo de afinidad con cualquier otra persona que formalmente haya presentado propuesta para una misma licitación”. Similar prohibición, se encuentra en el literal h) del numeral 1 </w:t>
      </w:r>
      <w:r w:rsidRPr="00FD7A7A">
        <w:rPr>
          <w:rFonts w:ascii="Arial" w:eastAsia="Calibri" w:hAnsi="Arial" w:cs="Arial"/>
          <w:i/>
          <w:iCs/>
          <w:lang w:val="es-ES_tradnl"/>
        </w:rPr>
        <w:t xml:space="preserve">ibidem, </w:t>
      </w:r>
      <w:r w:rsidRPr="00FD7A7A">
        <w:rPr>
          <w:rFonts w:ascii="Arial" w:eastAsia="Calibri" w:hAnsi="Arial" w:cs="Arial"/>
          <w:lang w:val="es-ES_tradnl"/>
        </w:rPr>
        <w:t>cuando la participación simultánea en el proceso es de sociedades, distintas a las sociedades anónimas abiertas.</w:t>
      </w:r>
    </w:p>
    <w:p w14:paraId="33BFC975" w14:textId="77777777" w:rsidR="00D772C9" w:rsidRPr="00FD7A7A" w:rsidRDefault="00D772C9" w:rsidP="00D772C9">
      <w:pPr>
        <w:spacing w:before="120" w:after="0" w:line="276" w:lineRule="auto"/>
        <w:jc w:val="both"/>
        <w:rPr>
          <w:rFonts w:ascii="Arial" w:eastAsia="Calibri" w:hAnsi="Arial" w:cs="Arial"/>
          <w:lang w:val="es-ES_tradnl"/>
        </w:rPr>
      </w:pPr>
      <w:r w:rsidRPr="00FD7A7A">
        <w:rPr>
          <w:rFonts w:ascii="Arial" w:eastAsia="Calibri" w:hAnsi="Arial" w:cs="Arial"/>
          <w:lang w:val="es-ES_tradnl"/>
        </w:rPr>
        <w:tab/>
        <w:t>Dichas inhabilidades tienen fundamento en las relaciones familiares o de parentesco, tales como los cónyuges o compañeros permanentes, así como aquellas personas respecto de las cuales se predican relaciones de consanguinidad o afinidad hasta el segundo grado. Esto implica que las referidas causales de inhabilidad se instituyen, única y exclusivamente, con el propósito de limitar la capacidad en la participación en Procesos de Contratación de las denominadas personas naturales</w:t>
      </w:r>
      <w:r w:rsidRPr="00FD7A7A">
        <w:rPr>
          <w:rFonts w:ascii="Arial" w:eastAsia="Calibri" w:hAnsi="Arial" w:cs="Arial"/>
          <w:vertAlign w:val="superscript"/>
          <w:lang w:val="es-ES"/>
        </w:rPr>
        <w:footnoteReference w:id="27"/>
      </w:r>
      <w:r w:rsidRPr="00FD7A7A">
        <w:rPr>
          <w:rFonts w:ascii="Arial" w:eastAsia="Calibri" w:hAnsi="Arial" w:cs="Arial"/>
          <w:lang w:val="es-ES"/>
        </w:rPr>
        <w:t>, esto es, sujetos de derechos y obligaciones de la especie humana unidos entre sí, ya sea por vínculos naturales o jurídicos</w:t>
      </w:r>
      <w:r w:rsidRPr="00FD7A7A">
        <w:rPr>
          <w:rFonts w:ascii="Arial" w:eastAsia="Calibri" w:hAnsi="Arial" w:cs="Arial"/>
          <w:vertAlign w:val="superscript"/>
          <w:lang w:val="es-ES"/>
        </w:rPr>
        <w:footnoteReference w:id="28"/>
      </w:r>
      <w:r w:rsidRPr="00FD7A7A">
        <w:rPr>
          <w:rFonts w:ascii="Arial" w:eastAsia="Calibri" w:hAnsi="Arial" w:cs="Arial"/>
          <w:lang w:val="es-ES"/>
        </w:rPr>
        <w:t>.</w:t>
      </w:r>
    </w:p>
    <w:p w14:paraId="5FA04B18" w14:textId="77777777" w:rsidR="00D772C9" w:rsidRPr="00FD7A7A" w:rsidRDefault="00D772C9" w:rsidP="00D772C9">
      <w:pPr>
        <w:spacing w:before="120" w:after="0" w:line="276" w:lineRule="auto"/>
        <w:jc w:val="both"/>
        <w:rPr>
          <w:rFonts w:ascii="Arial" w:eastAsia="Calibri" w:hAnsi="Arial" w:cs="Arial"/>
          <w:lang w:val="es-ES_tradnl"/>
        </w:rPr>
      </w:pPr>
      <w:r w:rsidRPr="00FD7A7A">
        <w:rPr>
          <w:rFonts w:ascii="Arial" w:eastAsia="Calibri" w:hAnsi="Arial" w:cs="Arial"/>
          <w:lang w:val="es-ES_tradnl"/>
        </w:rPr>
        <w:tab/>
        <w:t>Los cónyuges son aquellas personas vinculadas entre sí a través del contrato de matrimonio</w:t>
      </w:r>
      <w:r w:rsidRPr="00FD7A7A">
        <w:rPr>
          <w:rFonts w:ascii="Arial" w:eastAsia="Calibri" w:hAnsi="Arial" w:cs="Arial"/>
          <w:vertAlign w:val="superscript"/>
          <w:lang w:val="es-ES_tradnl"/>
        </w:rPr>
        <w:footnoteReference w:id="29"/>
      </w:r>
      <w:r w:rsidRPr="00FD7A7A">
        <w:rPr>
          <w:rFonts w:ascii="Arial" w:eastAsia="Calibri" w:hAnsi="Arial" w:cs="Arial"/>
          <w:lang w:val="es-ES_tradnl"/>
        </w:rPr>
        <w:t>, que puede ser civil o religioso. Mientras que los compañeros permanentes son aquellas personas que integran una comunidad de vida, sin estar casados, denominada unión marital de hecho</w:t>
      </w:r>
      <w:r w:rsidRPr="00FD7A7A">
        <w:rPr>
          <w:rFonts w:ascii="Arial" w:eastAsia="Calibri" w:hAnsi="Arial" w:cs="Arial"/>
          <w:vertAlign w:val="superscript"/>
          <w:lang w:val="es-ES_tradnl"/>
        </w:rPr>
        <w:footnoteReference w:id="30"/>
      </w:r>
      <w:r w:rsidRPr="00FD7A7A">
        <w:rPr>
          <w:rFonts w:ascii="Arial" w:eastAsia="Calibri" w:hAnsi="Arial" w:cs="Arial"/>
          <w:lang w:val="es-ES_tradnl"/>
        </w:rPr>
        <w:t>. Tratándose de compañeros permanentes, la Corte Constitucional extendió los efectos de la inhabilidad objeto de estudio a las parejas del mismo sexo, considerando la protección o salvaguarda del principio de igualdad, para lo cual explicó que:</w:t>
      </w:r>
    </w:p>
    <w:p w14:paraId="236DBD66" w14:textId="77777777" w:rsidR="00D772C9" w:rsidRPr="00FD7A7A" w:rsidRDefault="00D772C9" w:rsidP="00D772C9">
      <w:pPr>
        <w:spacing w:after="0" w:line="276" w:lineRule="auto"/>
        <w:ind w:firstLine="709"/>
        <w:jc w:val="both"/>
        <w:rPr>
          <w:rFonts w:ascii="Arial" w:eastAsia="Calibri" w:hAnsi="Arial" w:cs="Arial"/>
          <w:lang w:val="es-ES_tradnl"/>
        </w:rPr>
      </w:pPr>
    </w:p>
    <w:p w14:paraId="4407B830" w14:textId="77777777" w:rsidR="00D772C9" w:rsidRPr="00FD7A7A" w:rsidRDefault="00D772C9" w:rsidP="00D772C9">
      <w:pPr>
        <w:spacing w:after="120" w:line="240" w:lineRule="auto"/>
        <w:ind w:left="709" w:right="709"/>
        <w:jc w:val="both"/>
        <w:rPr>
          <w:rFonts w:ascii="Arial" w:eastAsia="Calibri" w:hAnsi="Arial" w:cs="Arial"/>
          <w:sz w:val="21"/>
          <w:szCs w:val="21"/>
          <w:lang w:val="es-ES_tradnl"/>
        </w:rPr>
      </w:pPr>
      <w:r w:rsidRPr="00FD7A7A">
        <w:rPr>
          <w:rFonts w:ascii="Arial" w:eastAsia="Calibri" w:hAnsi="Arial" w:cs="Arial"/>
          <w:sz w:val="21"/>
          <w:szCs w:val="21"/>
          <w:lang w:val="es-ES_tradnl"/>
        </w:rPr>
        <w:t>“[…] la situación de los integrantes de las parejas homosexuales es asimilable a la de los compañeros permanentes y no se aprecia ninguna razón para establecer una diferencia de trato.</w:t>
      </w:r>
    </w:p>
    <w:p w14:paraId="7731E3DF" w14:textId="77777777" w:rsidR="00D772C9" w:rsidRPr="00FD7A7A" w:rsidRDefault="00D772C9" w:rsidP="00D772C9">
      <w:pPr>
        <w:spacing w:after="0" w:line="240" w:lineRule="auto"/>
        <w:ind w:left="709" w:right="709"/>
        <w:jc w:val="both"/>
        <w:rPr>
          <w:rFonts w:ascii="Arial" w:eastAsia="Calibri" w:hAnsi="Arial" w:cs="Arial"/>
          <w:lang w:val="es-ES_tradnl"/>
        </w:rPr>
      </w:pPr>
      <w:r w:rsidRPr="00FD7A7A">
        <w:rPr>
          <w:rFonts w:ascii="Arial" w:eastAsia="Calibri" w:hAnsi="Arial" w:cs="Arial"/>
          <w:sz w:val="21"/>
          <w:szCs w:val="21"/>
          <w:lang w:val="es-ES_tradnl"/>
        </w:rPr>
        <w:lastRenderedPageBreak/>
        <w:t>Así, en la medida en que entre los integrantes de parejas del mismo sexo surge un vínculo especial, basado en relaciones de afecto y de apoyo mutuo, y siendo ese el criterio empleado por el legislador en las disposiciones demandadas, la exclusión injustificada de estas personas de entre los destinatarios de tales disposiciones resulta contraria a la Constitución por desconocer el principio de igualdad”</w:t>
      </w:r>
      <w:r w:rsidRPr="00FD7A7A">
        <w:rPr>
          <w:rFonts w:ascii="Arial" w:eastAsia="Calibri" w:hAnsi="Arial" w:cs="Arial"/>
          <w:sz w:val="21"/>
          <w:szCs w:val="21"/>
          <w:vertAlign w:val="superscript"/>
          <w:lang w:val="es-ES_tradnl"/>
        </w:rPr>
        <w:footnoteReference w:id="31"/>
      </w:r>
      <w:r w:rsidRPr="00FD7A7A">
        <w:rPr>
          <w:rFonts w:ascii="Arial" w:eastAsia="Calibri" w:hAnsi="Arial" w:cs="Arial"/>
          <w:sz w:val="21"/>
          <w:szCs w:val="21"/>
          <w:lang w:val="es-ES_tradnl"/>
        </w:rPr>
        <w:t>.</w:t>
      </w:r>
    </w:p>
    <w:p w14:paraId="4FFFEB6E" w14:textId="77777777" w:rsidR="00D772C9" w:rsidRPr="00FD7A7A" w:rsidRDefault="00D772C9" w:rsidP="00D772C9">
      <w:pPr>
        <w:spacing w:after="0" w:line="240" w:lineRule="auto"/>
        <w:ind w:firstLine="709"/>
        <w:jc w:val="both"/>
        <w:rPr>
          <w:rFonts w:ascii="Arial" w:eastAsia="Calibri" w:hAnsi="Arial" w:cs="Arial"/>
          <w:lang w:val="es-ES_tradnl"/>
        </w:rPr>
      </w:pPr>
    </w:p>
    <w:p w14:paraId="27F7B9E6" w14:textId="77777777" w:rsidR="00D772C9" w:rsidRPr="00FD7A7A" w:rsidRDefault="00D772C9" w:rsidP="00D772C9">
      <w:pPr>
        <w:spacing w:after="0" w:line="276" w:lineRule="auto"/>
        <w:jc w:val="both"/>
        <w:rPr>
          <w:rFonts w:ascii="Arial" w:eastAsia="Calibri" w:hAnsi="Arial" w:cs="Arial"/>
          <w:lang w:val="es-ES_tradnl"/>
        </w:rPr>
      </w:pPr>
      <w:r w:rsidRPr="00FD7A7A">
        <w:rPr>
          <w:rFonts w:ascii="Arial" w:eastAsia="Calibri" w:hAnsi="Arial" w:cs="Arial"/>
          <w:lang w:val="es-ES_tradnl"/>
        </w:rPr>
        <w:tab/>
        <w:t xml:space="preserve">De otra parte, en relación con el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 </w:t>
      </w:r>
      <w:r w:rsidRPr="00FD7A7A">
        <w:rPr>
          <w:rFonts w:ascii="Arial" w:eastAsia="Calibri" w:hAnsi="Arial" w:cs="Arial"/>
          <w:vertAlign w:val="superscript"/>
          <w:lang w:val="es-ES_tradnl"/>
        </w:rPr>
        <w:footnoteReference w:id="32"/>
      </w:r>
      <w:r w:rsidRPr="00FD7A7A">
        <w:rPr>
          <w:rFonts w:ascii="Arial" w:eastAsia="Calibri" w:hAnsi="Arial" w:cs="Arial"/>
          <w:lang w:val="es-ES_tradnl"/>
        </w:rPr>
        <w:t>. El parentesco de afinidad se refiere a la relación surgida entre una persona y los consanguíneos de su esposo, esposa o compañeros permanentes, según el caso</w:t>
      </w:r>
      <w:r w:rsidRPr="00FD7A7A">
        <w:rPr>
          <w:rFonts w:ascii="Arial" w:eastAsia="Calibri" w:hAnsi="Arial" w:cs="Arial"/>
          <w:vertAlign w:val="superscript"/>
          <w:lang w:val="es-ES_tradnl"/>
        </w:rPr>
        <w:footnoteReference w:id="33"/>
      </w:r>
      <w:r w:rsidRPr="00FD7A7A">
        <w:rPr>
          <w:rFonts w:ascii="Arial" w:eastAsia="Calibri" w:hAnsi="Arial" w:cs="Arial"/>
          <w:lang w:val="es-ES_tradnl"/>
        </w:rPr>
        <w:t>. Es precio señalar que la Corte Constitucional si bien declaró la inexequibilidad del parentesco de afinidad ilegítima, reconoció la vigencia de la denominada afinidad extramatrimonial. Para estos efectos, sostuvo:</w:t>
      </w:r>
    </w:p>
    <w:p w14:paraId="65A36559" w14:textId="77777777" w:rsidR="00D772C9" w:rsidRPr="00FD7A7A" w:rsidRDefault="00D772C9" w:rsidP="00D772C9">
      <w:pPr>
        <w:spacing w:after="0" w:line="276" w:lineRule="auto"/>
        <w:jc w:val="both"/>
        <w:rPr>
          <w:rFonts w:ascii="Arial" w:eastAsia="Calibri" w:hAnsi="Arial" w:cs="Arial"/>
          <w:lang w:val="es-ES_tradnl"/>
        </w:rPr>
      </w:pPr>
    </w:p>
    <w:p w14:paraId="4873FB65" w14:textId="77777777" w:rsidR="00D772C9" w:rsidRPr="00FD7A7A" w:rsidRDefault="00D772C9" w:rsidP="00D772C9">
      <w:pPr>
        <w:spacing w:after="0" w:line="240" w:lineRule="auto"/>
        <w:ind w:left="709" w:right="709"/>
        <w:jc w:val="both"/>
        <w:rPr>
          <w:rFonts w:ascii="Arial" w:eastAsia="Calibri" w:hAnsi="Arial" w:cs="Arial"/>
          <w:sz w:val="21"/>
          <w:szCs w:val="21"/>
          <w:lang w:val="es-ES_tradnl"/>
        </w:rPr>
      </w:pPr>
      <w:r w:rsidRPr="00FD7A7A">
        <w:rPr>
          <w:rFonts w:ascii="Arial" w:eastAsia="Calibri" w:hAnsi="Arial" w:cs="Arial"/>
          <w:sz w:val="21"/>
          <w:szCs w:val="21"/>
          <w:lang w:val="es-ES_tradnl"/>
        </w:rPr>
        <w:t>“En primer lugar, si el inciso primero del artículo 42 de la Constitución reconoce, en un pie de igualdad, la familia constituida por vínculos "naturales o jurídicos", no se ve cómo la inexistencia del matrimonio origine una "consanguinidad ilegítima", entendiéndose ésta como ilícita.</w:t>
      </w:r>
    </w:p>
    <w:p w14:paraId="24803965" w14:textId="77777777" w:rsidR="00D772C9" w:rsidRPr="00FD7A7A" w:rsidRDefault="00D772C9" w:rsidP="00D772C9">
      <w:pPr>
        <w:spacing w:before="120" w:after="120" w:line="240" w:lineRule="auto"/>
        <w:ind w:left="709" w:right="709"/>
        <w:jc w:val="both"/>
        <w:rPr>
          <w:rFonts w:ascii="Arial" w:eastAsia="Calibri" w:hAnsi="Arial" w:cs="Arial"/>
          <w:sz w:val="21"/>
          <w:szCs w:val="21"/>
          <w:lang w:val="es-ES_tradnl"/>
        </w:rPr>
      </w:pPr>
      <w:r w:rsidRPr="00FD7A7A">
        <w:rPr>
          <w:rFonts w:ascii="Arial" w:eastAsia="Calibri" w:hAnsi="Arial" w:cs="Arial"/>
          <w:sz w:val="21"/>
          <w:szCs w:val="21"/>
          <w:lang w:val="es-ES_tradnl"/>
        </w:rPr>
        <w:t>[…]</w:t>
      </w:r>
    </w:p>
    <w:p w14:paraId="66269A27" w14:textId="77777777" w:rsidR="00D772C9" w:rsidRPr="00FD7A7A" w:rsidRDefault="00D772C9" w:rsidP="00D772C9">
      <w:pPr>
        <w:spacing w:after="0" w:line="240" w:lineRule="auto"/>
        <w:ind w:left="709" w:right="709"/>
        <w:jc w:val="both"/>
        <w:rPr>
          <w:rFonts w:ascii="Arial" w:eastAsia="Calibri" w:hAnsi="Arial" w:cs="Arial"/>
          <w:lang w:val="es-ES_tradnl"/>
        </w:rPr>
      </w:pPr>
      <w:r w:rsidRPr="00FD7A7A">
        <w:rPr>
          <w:rFonts w:ascii="Arial" w:eastAsia="Calibri" w:hAnsi="Arial" w:cs="Arial"/>
          <w:sz w:val="21"/>
          <w:szCs w:val="21"/>
          <w:lang w:val="es-ES_tradnl"/>
        </w:rPr>
        <w:t>Expresamente se advierte que la declaración de inexequibilidad de los artículos 39 y 48 no implica la desaparición de la afinidad extramatrimonial, es decir, la originada en la unión permanente a que se refieren los artículos 126 y 179 de la Constitución, entre otros. Para todos los efectos legales, la afinidad extramatrimonial sigue existiendo</w:t>
      </w:r>
      <w:r w:rsidRPr="00FD7A7A">
        <w:rPr>
          <w:rFonts w:ascii="Arial" w:eastAsia="Calibri" w:hAnsi="Arial" w:cs="Arial"/>
          <w:sz w:val="21"/>
          <w:szCs w:val="21"/>
          <w:vertAlign w:val="superscript"/>
          <w:lang w:val="es-ES_tradnl"/>
        </w:rPr>
        <w:footnoteReference w:id="34"/>
      </w:r>
      <w:r w:rsidRPr="00FD7A7A">
        <w:rPr>
          <w:rFonts w:ascii="Arial" w:eastAsia="Calibri" w:hAnsi="Arial" w:cs="Arial"/>
          <w:sz w:val="21"/>
          <w:szCs w:val="21"/>
          <w:lang w:val="es-ES_tradnl"/>
        </w:rPr>
        <w:t>”.</w:t>
      </w:r>
    </w:p>
    <w:p w14:paraId="71F4A86D" w14:textId="77777777" w:rsidR="00D772C9" w:rsidRPr="00FD7A7A" w:rsidRDefault="00D772C9" w:rsidP="00D772C9">
      <w:pPr>
        <w:spacing w:after="0" w:line="276" w:lineRule="auto"/>
        <w:ind w:left="709" w:right="709"/>
        <w:jc w:val="both"/>
        <w:rPr>
          <w:rFonts w:ascii="Arial" w:eastAsia="Calibri" w:hAnsi="Arial" w:cs="Arial"/>
          <w:lang w:val="es-ES_tradnl"/>
        </w:rPr>
      </w:pPr>
    </w:p>
    <w:p w14:paraId="51EE4AC4" w14:textId="77777777" w:rsidR="00D772C9" w:rsidRPr="00FD7A7A" w:rsidRDefault="00D772C9" w:rsidP="00D772C9">
      <w:pPr>
        <w:spacing w:after="0" w:line="276" w:lineRule="auto"/>
        <w:jc w:val="both"/>
        <w:rPr>
          <w:rFonts w:ascii="Arial" w:eastAsia="Calibri" w:hAnsi="Arial" w:cs="Arial"/>
          <w:lang w:val="es-ES_tradnl"/>
        </w:rPr>
      </w:pPr>
      <w:r w:rsidRPr="00FD7A7A">
        <w:rPr>
          <w:rFonts w:ascii="Arial" w:eastAsia="Calibri" w:hAnsi="Arial" w:cs="Arial"/>
          <w:lang w:val="es-ES_tradnl"/>
        </w:rPr>
        <w:tab/>
        <w:t>En cuanto a los grados del parentesco se refiere, ya sea de consanguinidad o de afinidad</w:t>
      </w:r>
      <w:r w:rsidRPr="00FD7A7A">
        <w:rPr>
          <w:rFonts w:ascii="Arial" w:eastAsia="Calibri" w:hAnsi="Arial" w:cs="Arial"/>
          <w:vertAlign w:val="superscript"/>
          <w:lang w:val="es-ES_tradnl"/>
        </w:rPr>
        <w:footnoteReference w:id="35"/>
      </w:r>
      <w:r w:rsidRPr="00FD7A7A">
        <w:rPr>
          <w:rFonts w:ascii="Arial" w:eastAsia="Calibri" w:hAnsi="Arial" w:cs="Arial"/>
          <w:lang w:val="es-ES_tradnl"/>
        </w:rPr>
        <w:t>, estos se cuentan en consideración al número de generaciones existentes entre las personas. De esta manera, esta causal de inhabilidad se configura, por ejemplo, respecto de los hermanos, abuelos y nietos, quienes se encuentran en el segundo grado de consanguinidad. Mientras que, en segundo grado de afinidad están los hermanos (cuñados), abuelos y nietos del cónyuge o compañero(a) permanente.</w:t>
      </w:r>
    </w:p>
    <w:p w14:paraId="3DB73412" w14:textId="77777777" w:rsidR="00D772C9" w:rsidRPr="00FD7A7A" w:rsidRDefault="00D772C9" w:rsidP="00D772C9">
      <w:pPr>
        <w:spacing w:before="120" w:after="0" w:line="276" w:lineRule="auto"/>
        <w:ind w:firstLine="709"/>
        <w:jc w:val="both"/>
        <w:rPr>
          <w:rFonts w:ascii="Arial" w:eastAsia="Calibri" w:hAnsi="Arial" w:cs="Arial"/>
          <w:lang w:val="es-ES_tradnl" w:eastAsia="es-CO"/>
        </w:rPr>
      </w:pPr>
      <w:r w:rsidRPr="00FD7A7A">
        <w:rPr>
          <w:rFonts w:ascii="Arial" w:eastAsia="Calibri" w:hAnsi="Arial" w:cs="Arial"/>
          <w:lang w:val="es-ES_tradnl" w:eastAsia="es-CO"/>
        </w:rPr>
        <w:lastRenderedPageBreak/>
        <w:t xml:space="preserve">La Corte Constitucional justifica estas inhabilidades en la medida que garantizan la competencia en igualdad de oportunidades para los proponentes que participan en los Procesos de Contratación, así como la selección objetiva del contratista que se traduce en la obtención de mejores condiciones en la celebración del negocio jurídico propuesto por la Entidad Estatal contratante, materializándose los fines de la contratación estatal, especialmente, la satisfacción del interés general. </w:t>
      </w:r>
      <w:r w:rsidRPr="00FD7A7A">
        <w:rPr>
          <w:rFonts w:ascii="Arial" w:eastAsia="Calibri" w:hAnsi="Arial" w:cs="Arial"/>
          <w:i/>
          <w:iCs/>
          <w:lang w:val="es-ES_tradnl" w:eastAsia="es-CO"/>
        </w:rPr>
        <w:t>Contrario sensu</w:t>
      </w:r>
      <w:r w:rsidRPr="00FD7A7A">
        <w:rPr>
          <w:rFonts w:ascii="Arial" w:eastAsia="Calibri" w:hAnsi="Arial" w:cs="Arial"/>
          <w:lang w:val="es-ES_tradnl" w:eastAsia="es-CO"/>
        </w:rPr>
        <w:t>, en virtud de la lealtad e intimidad propias de las relaciones familiares, la participación en Procesos de Contratación de personas unidas por vínculos familiares frustran la igualdad de oportunidades entre los participantes, así como la obtención de mejores condiciones de contratación para el Estado, pues los miembros de una misma familia pueden concertar entre sí con el propósito de hacerse al contrato y obtener un provecho económico, en perjuicio tanto de los demás participantes como del Estado, y en contravía de los principios que rigen la contratación pública y la función administrativa, especialmente, los de transparencia y moralidad. Por esas razones, la jurisprudencia explica que:</w:t>
      </w:r>
    </w:p>
    <w:p w14:paraId="38555B79" w14:textId="77777777" w:rsidR="00D772C9" w:rsidRPr="00FD7A7A" w:rsidRDefault="00D772C9" w:rsidP="00D772C9">
      <w:pPr>
        <w:spacing w:after="0" w:line="240" w:lineRule="auto"/>
        <w:ind w:left="709" w:right="709"/>
        <w:jc w:val="both"/>
        <w:rPr>
          <w:rFonts w:ascii="Arial" w:eastAsia="Times New Roman" w:hAnsi="Arial" w:cs="Arial"/>
          <w:sz w:val="21"/>
          <w:szCs w:val="21"/>
          <w:lang w:eastAsia="es-CO"/>
        </w:rPr>
      </w:pPr>
    </w:p>
    <w:p w14:paraId="3DA30EFE" w14:textId="77777777" w:rsidR="00D772C9" w:rsidRPr="00FD7A7A" w:rsidRDefault="00D772C9" w:rsidP="00D772C9">
      <w:pPr>
        <w:spacing w:after="0" w:line="240" w:lineRule="auto"/>
        <w:ind w:left="709" w:right="709"/>
        <w:jc w:val="both"/>
        <w:rPr>
          <w:rFonts w:ascii="Arial" w:eastAsia="Times New Roman" w:hAnsi="Arial" w:cs="Arial"/>
          <w:sz w:val="21"/>
          <w:szCs w:val="21"/>
          <w:lang w:eastAsia="es-CO"/>
        </w:rPr>
      </w:pPr>
      <w:r w:rsidRPr="00FD7A7A">
        <w:rPr>
          <w:rFonts w:ascii="Arial" w:eastAsia="Times New Roman" w:hAnsi="Arial" w:cs="Arial"/>
          <w:sz w:val="21"/>
          <w:szCs w:val="21"/>
          <w:lang w:eastAsia="es-CO"/>
        </w:rPr>
        <w:t xml:space="preserve">“Concluye la Corte que dado que los intereses de los miembros de una familia, tienen una alta probabilidad de incidir negativamente en la consecución de los objetivos que el Estado se traza al abrir una licitación o concurso, vale decir, obtener las mejores condiciones y promover al máximo la igualdad de acceso de los particulares, se justifica </w:t>
      </w:r>
      <w:proofErr w:type="gramStart"/>
      <w:r w:rsidRPr="00FD7A7A">
        <w:rPr>
          <w:rFonts w:ascii="Arial" w:eastAsia="Times New Roman" w:hAnsi="Arial" w:cs="Arial"/>
          <w:sz w:val="21"/>
          <w:szCs w:val="21"/>
          <w:lang w:eastAsia="es-CO"/>
        </w:rPr>
        <w:t>que</w:t>
      </w:r>
      <w:proofErr w:type="gramEnd"/>
      <w:r w:rsidRPr="00FD7A7A">
        <w:rPr>
          <w:rFonts w:ascii="Arial" w:eastAsia="Times New Roman" w:hAnsi="Arial" w:cs="Arial"/>
          <w:sz w:val="21"/>
          <w:szCs w:val="21"/>
          <w:lang w:eastAsia="es-CO"/>
        </w:rPr>
        <w:t xml:space="preserve"> en este caso, en razón del interés general, se dicte una regla que restrinja su participación”</w:t>
      </w:r>
      <w:r w:rsidRPr="00FD7A7A">
        <w:rPr>
          <w:rFonts w:ascii="Arial" w:eastAsia="Calibri" w:hAnsi="Arial" w:cs="Arial"/>
          <w:vertAlign w:val="superscript"/>
          <w:lang w:val="es-ES_tradnl" w:eastAsia="es-CO"/>
        </w:rPr>
        <w:t xml:space="preserve"> </w:t>
      </w:r>
      <w:r w:rsidRPr="00FD7A7A">
        <w:rPr>
          <w:rFonts w:ascii="Arial" w:eastAsia="Calibri" w:hAnsi="Arial" w:cs="Arial"/>
          <w:vertAlign w:val="superscript"/>
          <w:lang w:val="es-ES_tradnl" w:eastAsia="es-CO"/>
        </w:rPr>
        <w:footnoteReference w:id="36"/>
      </w:r>
      <w:r w:rsidRPr="00FD7A7A">
        <w:rPr>
          <w:rFonts w:ascii="Arial" w:eastAsia="Times New Roman" w:hAnsi="Arial" w:cs="Arial"/>
          <w:sz w:val="21"/>
          <w:szCs w:val="21"/>
          <w:lang w:eastAsia="es-CO"/>
        </w:rPr>
        <w:t>.</w:t>
      </w:r>
    </w:p>
    <w:p w14:paraId="3382FE8A" w14:textId="77777777" w:rsidR="00D772C9" w:rsidRPr="00FD7A7A" w:rsidRDefault="00D772C9" w:rsidP="00D772C9">
      <w:pPr>
        <w:spacing w:after="0"/>
        <w:ind w:firstLine="709"/>
        <w:jc w:val="both"/>
        <w:rPr>
          <w:rFonts w:ascii="Arial" w:eastAsia="Calibri" w:hAnsi="Arial" w:cs="Arial"/>
          <w:lang w:val="es-ES_tradnl"/>
        </w:rPr>
      </w:pPr>
    </w:p>
    <w:p w14:paraId="436BCCEC" w14:textId="77777777" w:rsidR="00D772C9" w:rsidRDefault="00D772C9" w:rsidP="00D772C9">
      <w:pPr>
        <w:spacing w:after="120" w:line="276" w:lineRule="auto"/>
        <w:ind w:firstLine="709"/>
        <w:jc w:val="both"/>
        <w:rPr>
          <w:rFonts w:ascii="Arial" w:eastAsia="Calibri" w:hAnsi="Arial" w:cs="Arial"/>
          <w:lang w:val="es-ES_tradnl"/>
        </w:rPr>
      </w:pPr>
      <w:r w:rsidRPr="00FD7A7A">
        <w:rPr>
          <w:rFonts w:ascii="Arial" w:eastAsia="Calibri" w:hAnsi="Arial" w:cs="Arial"/>
          <w:lang w:val="es-ES_tradnl"/>
        </w:rPr>
        <w:t>A su vez, el Consejo de Estado reconoce que, si bien estas inhabilidades son una limitación a la libertad negocial de las personas, las mismas se justifican en la medida que previene la utilización de factores de poder, consecuencia de relaciones familiares, cuyo propósito es obtener un provecho económico individual, en perjuicio del interés general que prevalece en el ejercicio de la función pública</w:t>
      </w:r>
      <w:r w:rsidRPr="00FD7A7A">
        <w:rPr>
          <w:rFonts w:ascii="Arial" w:eastAsia="Calibri" w:hAnsi="Arial" w:cs="Arial"/>
          <w:vertAlign w:val="superscript"/>
          <w:lang w:val="es-ES_tradnl"/>
        </w:rPr>
        <w:footnoteReference w:id="37"/>
      </w:r>
      <w:r w:rsidRPr="00FD7A7A">
        <w:rPr>
          <w:rFonts w:ascii="Arial" w:eastAsia="Calibri" w:hAnsi="Arial" w:cs="Arial"/>
          <w:lang w:val="es-ES_tradnl"/>
        </w:rPr>
        <w:t>.</w:t>
      </w:r>
      <w:r w:rsidRPr="00FD7A7A">
        <w:rPr>
          <w:rFonts w:ascii="Arial" w:eastAsia="Calibri" w:hAnsi="Arial" w:cs="Arial"/>
          <w:lang w:val="es-ES_tradnl"/>
        </w:rPr>
        <w:tab/>
      </w:r>
    </w:p>
    <w:p w14:paraId="19A15CF1" w14:textId="77777777" w:rsidR="00D772C9" w:rsidRPr="00270A52" w:rsidRDefault="00D772C9" w:rsidP="00D772C9">
      <w:pPr>
        <w:spacing w:after="120" w:line="276" w:lineRule="auto"/>
        <w:ind w:firstLine="709"/>
        <w:jc w:val="both"/>
        <w:rPr>
          <w:rFonts w:ascii="Arial" w:eastAsia="Calibri" w:hAnsi="Arial" w:cs="Arial"/>
          <w:lang w:val="es-MX"/>
        </w:rPr>
      </w:pPr>
      <w:r w:rsidRPr="00FD7A7A">
        <w:rPr>
          <w:rFonts w:ascii="Arial" w:eastAsia="Calibri" w:hAnsi="Arial" w:cs="Arial"/>
          <w:lang w:val="es-ES_tradnl"/>
        </w:rPr>
        <w:t xml:space="preserve">Ahora bien, teniendo en cuenta el objeto de la consulta, </w:t>
      </w:r>
      <w:r>
        <w:rPr>
          <w:rFonts w:ascii="Arial" w:eastAsia="Calibri" w:hAnsi="Arial" w:cs="Arial"/>
          <w:lang w:val="es-ES_tradnl"/>
        </w:rPr>
        <w:t>resulta importante aclarar</w:t>
      </w:r>
      <w:r w:rsidRPr="00C87E5C">
        <w:rPr>
          <w:rFonts w:ascii="Arial" w:eastAsia="Calibri" w:hAnsi="Arial" w:cs="Arial"/>
          <w:lang w:val="es-ES_tradnl"/>
        </w:rPr>
        <w:t xml:space="preserve"> </w:t>
      </w:r>
      <w:r>
        <w:rPr>
          <w:rFonts w:ascii="Arial" w:eastAsia="Calibri" w:hAnsi="Arial" w:cs="Arial"/>
          <w:lang w:val="es-ES_tradnl"/>
        </w:rPr>
        <w:t xml:space="preserve">en lo concerniente a los proponentes plurales, que el artículo </w:t>
      </w:r>
      <w:r w:rsidRPr="00270A52">
        <w:rPr>
          <w:rFonts w:ascii="Arial" w:eastAsia="Calibri" w:hAnsi="Arial" w:cs="Arial"/>
          <w:lang w:val="es-MX"/>
        </w:rPr>
        <w:t>7 de la Ley 80 de 1993 define al consorcio y a la unión temporal como la unión de dos o más personas que presentan la misma propuesta para la adjudicación, celebración y ejecución de un contrato, pero su responsabilidad por las obligaciones derivadas de la propuesta y el contrato es diferente</w:t>
      </w:r>
      <w:r w:rsidRPr="00270A52">
        <w:rPr>
          <w:rFonts w:ascii="Arial" w:eastAsia="Calibri" w:hAnsi="Arial" w:cs="Arial"/>
          <w:vertAlign w:val="superscript"/>
          <w:lang w:val="es-MX"/>
        </w:rPr>
        <w:footnoteReference w:id="38"/>
      </w:r>
      <w:r w:rsidRPr="00270A52">
        <w:rPr>
          <w:rFonts w:ascii="Arial" w:eastAsia="Calibri" w:hAnsi="Arial" w:cs="Arial"/>
          <w:lang w:val="es-MX"/>
        </w:rPr>
        <w:t xml:space="preserve">. </w:t>
      </w:r>
      <w:r w:rsidRPr="00270A52">
        <w:rPr>
          <w:rFonts w:ascii="Arial" w:eastAsia="Calibri" w:hAnsi="Arial" w:cs="Arial"/>
          <w:lang w:val="es-MX"/>
        </w:rPr>
        <w:lastRenderedPageBreak/>
        <w:t>Por su parte, la Corte Constitucional señala que el consorcio es una figura propia del derecho privado, utilizado como un instrumento de cooperación entre empresas, que les permita unir esfuerzos para la celebración y ejecución de un contrato con el Estado, sin que por ello pierdan su individualidad jurídica</w:t>
      </w:r>
      <w:r w:rsidRPr="00270A52">
        <w:rPr>
          <w:rFonts w:ascii="Arial" w:eastAsia="Calibri" w:hAnsi="Arial" w:cs="Arial"/>
          <w:vertAlign w:val="superscript"/>
          <w:lang w:val="es-MX"/>
        </w:rPr>
        <w:footnoteReference w:id="39"/>
      </w:r>
      <w:r w:rsidRPr="00270A52">
        <w:rPr>
          <w:rFonts w:ascii="Arial" w:eastAsia="Calibri" w:hAnsi="Arial" w:cs="Arial"/>
          <w:lang w:val="es-MX"/>
        </w:rPr>
        <w:t>.</w:t>
      </w:r>
    </w:p>
    <w:p w14:paraId="5E774FE8" w14:textId="77777777" w:rsidR="00D772C9" w:rsidRPr="00270A52" w:rsidRDefault="00D772C9" w:rsidP="00D772C9">
      <w:pPr>
        <w:spacing w:before="120" w:after="120" w:line="276" w:lineRule="auto"/>
        <w:ind w:firstLine="709"/>
        <w:jc w:val="both"/>
        <w:rPr>
          <w:rFonts w:ascii="Arial" w:eastAsia="Calibri" w:hAnsi="Arial" w:cs="Arial"/>
          <w:lang w:val="es-MX"/>
        </w:rPr>
      </w:pPr>
      <w:r w:rsidRPr="00270A52">
        <w:rPr>
          <w:rFonts w:ascii="Arial" w:eastAsia="Calibri" w:hAnsi="Arial" w:cs="Arial"/>
          <w:lang w:val="es-MX"/>
        </w:rPr>
        <w:t xml:space="preserve">De esta manera, la Ley 80 de 1993 permite que dos o más personas naturales o jurídicas se agrupen para la presentación de una propuesta y la celebración de un contrato con una </w:t>
      </w:r>
      <w:r>
        <w:rPr>
          <w:rFonts w:ascii="Arial" w:eastAsia="Calibri" w:hAnsi="Arial" w:cs="Arial"/>
          <w:lang w:val="es-MX"/>
        </w:rPr>
        <w:t>E</w:t>
      </w:r>
      <w:r w:rsidRPr="00270A52">
        <w:rPr>
          <w:rFonts w:ascii="Arial" w:eastAsia="Calibri" w:hAnsi="Arial" w:cs="Arial"/>
          <w:lang w:val="es-MX"/>
        </w:rPr>
        <w:t xml:space="preserve">ntidad </w:t>
      </w:r>
      <w:r>
        <w:rPr>
          <w:rFonts w:ascii="Arial" w:eastAsia="Calibri" w:hAnsi="Arial" w:cs="Arial"/>
          <w:lang w:val="es-MX"/>
        </w:rPr>
        <w:t>E</w:t>
      </w:r>
      <w:r w:rsidRPr="00270A52">
        <w:rPr>
          <w:rFonts w:ascii="Arial" w:eastAsia="Calibri" w:hAnsi="Arial" w:cs="Arial"/>
          <w:lang w:val="es-MX"/>
        </w:rPr>
        <w:t>statal, conservando su individualidad jurídica, es decir que el proponente plural no es una persona jurídica, y los requisitos habilitantes deben ser evaluados respecto de cada miembro, sin que ello desconozca la finalidad de esta figura, que es unir esfuerzos para la ejecución del objeto contractual.</w:t>
      </w:r>
    </w:p>
    <w:p w14:paraId="224166A0" w14:textId="77777777" w:rsidR="00D772C9" w:rsidRPr="00CD7909" w:rsidRDefault="00D772C9" w:rsidP="00D772C9">
      <w:pPr>
        <w:spacing w:before="120" w:after="0" w:line="276" w:lineRule="auto"/>
        <w:ind w:firstLine="709"/>
        <w:jc w:val="both"/>
        <w:rPr>
          <w:rFonts w:ascii="Arial" w:eastAsia="Calibri" w:hAnsi="Arial" w:cs="Arial"/>
          <w:lang w:val="es-MX"/>
        </w:rPr>
      </w:pPr>
      <w:r w:rsidRPr="00CD7909">
        <w:rPr>
          <w:rFonts w:ascii="Arial" w:eastAsia="Calibri" w:hAnsi="Arial" w:cs="Arial"/>
          <w:lang w:val="es-MX"/>
        </w:rPr>
        <w:t xml:space="preserve">Así pues, respecto de la capacidad jurídica, que es un requisito habilitante, de acuerdo con la Ley 1150 de 2007, y que se relaciona directamente con las inhabilidades e incompatibilidades, teniendo en cuenta que son un límite a la capacidad, que permite ofertar y contratar, esta debe ser evaluada respecto de cada miembro del proponente plural. En consecuencia, </w:t>
      </w:r>
      <w:bookmarkStart w:id="15" w:name="_Hlk21441913"/>
      <w:r w:rsidRPr="00CD7909">
        <w:rPr>
          <w:rFonts w:ascii="Arial" w:eastAsia="Calibri" w:hAnsi="Arial" w:cs="Arial"/>
          <w:lang w:val="es-MX"/>
        </w:rPr>
        <w:t>el Consejo de Estado, Sección Tercera, estableció lo que sucede con un consorcio o unión temporal cuando uno de sus miembros está inhabilitado, es decir que no tenga capacidad para presentar oferta y/o contratar:</w:t>
      </w:r>
    </w:p>
    <w:p w14:paraId="420ADED1" w14:textId="77777777" w:rsidR="00D772C9" w:rsidRPr="00CD7909" w:rsidRDefault="00D772C9" w:rsidP="00D772C9">
      <w:pPr>
        <w:spacing w:after="0" w:line="276" w:lineRule="auto"/>
        <w:jc w:val="both"/>
        <w:rPr>
          <w:rFonts w:ascii="Arial" w:eastAsia="Calibri" w:hAnsi="Arial" w:cs="Arial"/>
          <w:lang w:val="es-MX"/>
        </w:rPr>
      </w:pPr>
    </w:p>
    <w:p w14:paraId="3612D7D6" w14:textId="77777777" w:rsidR="00D772C9" w:rsidRPr="00CD7909" w:rsidRDefault="00D772C9" w:rsidP="00D772C9">
      <w:pPr>
        <w:spacing w:after="12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w:t>
      </w:r>
      <w:r w:rsidRPr="00CD7909">
        <w:rPr>
          <w:rFonts w:ascii="Arial" w:eastAsia="Calibri" w:hAnsi="Arial" w:cs="Arial"/>
          <w:sz w:val="21"/>
          <w:szCs w:val="21"/>
          <w:lang w:val="es-MX"/>
        </w:rPr>
        <w:t>Toda vez que el consorcio o la unión temporal no constituye una persona diferente de los miembros que lo conforman, no puede afirmarse, como lo hace la entidad pública demandada, que la inhabilidad que recaía sobre el señor Héctor Tangarife no afectaba al consorcio, toda vez que la capacidad legal para presentar propuestas y para celebrar contratos se predica de todos y cada uno de sus miembros, por cuanto la participación en la licitación mediante la figura del consorcio no puede servir de pretexto para esconder irregularidades.</w:t>
      </w:r>
    </w:p>
    <w:p w14:paraId="0BEEF367" w14:textId="77777777" w:rsidR="00D772C9" w:rsidRPr="00CD7909" w:rsidRDefault="00D772C9" w:rsidP="00D772C9">
      <w:pPr>
        <w:spacing w:after="0" w:line="240" w:lineRule="auto"/>
        <w:ind w:left="709" w:right="709"/>
        <w:jc w:val="both"/>
        <w:rPr>
          <w:rFonts w:ascii="Arial" w:eastAsia="Calibri" w:hAnsi="Arial" w:cs="Arial"/>
          <w:sz w:val="21"/>
          <w:szCs w:val="21"/>
          <w:lang w:val="es-MX"/>
        </w:rPr>
      </w:pPr>
      <w:r w:rsidRPr="00CD7909">
        <w:rPr>
          <w:rFonts w:ascii="Arial" w:eastAsia="Calibri" w:hAnsi="Arial" w:cs="Arial"/>
          <w:sz w:val="21"/>
          <w:szCs w:val="21"/>
          <w:lang w:val="es-MX"/>
        </w:rPr>
        <w:t>Cabe advertir que en tanto alguno de los miembros de un consorcio o de una unión temporal se encuentre en situación de inhabilidad o de incompatibilidad, el consorcio o la unión temporal no puede ser proponente o contratista del Estado</w:t>
      </w:r>
      <w:r>
        <w:rPr>
          <w:rFonts w:ascii="Arial" w:eastAsia="Calibri" w:hAnsi="Arial" w:cs="Arial"/>
          <w:sz w:val="21"/>
          <w:szCs w:val="21"/>
          <w:lang w:val="es-MX"/>
        </w:rPr>
        <w:t>”</w:t>
      </w:r>
      <w:r w:rsidRPr="00CD7909">
        <w:rPr>
          <w:rFonts w:ascii="Arial" w:eastAsia="Calibri" w:hAnsi="Arial" w:cs="Arial"/>
          <w:sz w:val="21"/>
          <w:szCs w:val="21"/>
          <w:vertAlign w:val="superscript"/>
          <w:lang w:val="es-MX"/>
        </w:rPr>
        <w:footnoteReference w:id="40"/>
      </w:r>
      <w:r w:rsidRPr="00CD7909">
        <w:rPr>
          <w:rFonts w:ascii="Arial" w:eastAsia="Calibri" w:hAnsi="Arial" w:cs="Arial"/>
          <w:sz w:val="21"/>
          <w:szCs w:val="21"/>
          <w:lang w:val="es-MX"/>
        </w:rPr>
        <w:t>.</w:t>
      </w:r>
      <w:bookmarkEnd w:id="15"/>
    </w:p>
    <w:p w14:paraId="68FC74E8" w14:textId="77777777" w:rsidR="00D772C9" w:rsidRPr="00CD7909" w:rsidRDefault="00D772C9" w:rsidP="00D772C9">
      <w:pPr>
        <w:spacing w:after="0" w:line="240" w:lineRule="auto"/>
        <w:ind w:left="709" w:right="709"/>
        <w:jc w:val="both"/>
        <w:rPr>
          <w:rFonts w:ascii="Arial" w:eastAsia="Calibri" w:hAnsi="Arial" w:cs="Arial"/>
          <w:lang w:val="es-ES_tradnl"/>
        </w:rPr>
      </w:pPr>
    </w:p>
    <w:p w14:paraId="381DD4DA" w14:textId="77777777" w:rsidR="00D772C9" w:rsidRPr="00CD7909" w:rsidRDefault="00D772C9" w:rsidP="00D772C9">
      <w:pPr>
        <w:spacing w:after="120" w:line="276" w:lineRule="auto"/>
        <w:ind w:firstLine="709"/>
        <w:jc w:val="both"/>
        <w:rPr>
          <w:rFonts w:ascii="Arial" w:eastAsia="Calibri" w:hAnsi="Arial" w:cs="Arial"/>
          <w:lang w:val="es-ES_tradnl"/>
        </w:rPr>
      </w:pPr>
      <w:r>
        <w:rPr>
          <w:rFonts w:ascii="Arial" w:eastAsia="Calibri" w:hAnsi="Arial" w:cs="Arial"/>
          <w:lang w:val="es-ES_tradnl"/>
        </w:rPr>
        <w:t xml:space="preserve">Bajo esa orbita, </w:t>
      </w:r>
      <w:r w:rsidRPr="00CD7909">
        <w:rPr>
          <w:rFonts w:ascii="Arial" w:eastAsia="Calibri" w:hAnsi="Arial" w:cs="Arial"/>
          <w:lang w:val="es-ES_tradnl"/>
        </w:rPr>
        <w:t xml:space="preserve">se precisa que la citada inhabilidad se predica de las personas que ostentan vínculos en los términos expuestos y que presenten formalmente ofertas en un proceso de contratación después que lo ha hecho su esposo, esposa, compañero(a) permanente o algún pariente hasta el segundo grado de consanguinidad o afinidad. Es por eso </w:t>
      </w:r>
      <w:proofErr w:type="gramStart"/>
      <w:r w:rsidRPr="00CD7909">
        <w:rPr>
          <w:rFonts w:ascii="Arial" w:eastAsia="Calibri" w:hAnsi="Arial" w:cs="Arial"/>
          <w:lang w:val="es-ES_tradnl"/>
        </w:rPr>
        <w:t>que</w:t>
      </w:r>
      <w:proofErr w:type="gramEnd"/>
      <w:r w:rsidRPr="00CD7909">
        <w:rPr>
          <w:rFonts w:ascii="Arial" w:eastAsia="Calibri" w:hAnsi="Arial" w:cs="Arial"/>
          <w:lang w:val="es-ES_tradnl"/>
        </w:rPr>
        <w:t xml:space="preserve"> en el artículo 2.2.1.1.2.2.5 del Decreto 1082 de 2015, se dispuso que la </w:t>
      </w:r>
      <w:r>
        <w:rPr>
          <w:rFonts w:ascii="Arial" w:eastAsia="Calibri" w:hAnsi="Arial" w:cs="Arial"/>
          <w:lang w:val="es-ES_tradnl"/>
        </w:rPr>
        <w:t>E</w:t>
      </w:r>
      <w:r w:rsidRPr="00CD7909">
        <w:rPr>
          <w:rFonts w:ascii="Arial" w:eastAsia="Calibri" w:hAnsi="Arial" w:cs="Arial"/>
          <w:lang w:val="es-ES_tradnl"/>
        </w:rPr>
        <w:t xml:space="preserve">ntidad </w:t>
      </w:r>
      <w:r>
        <w:rPr>
          <w:rFonts w:ascii="Arial" w:eastAsia="Calibri" w:hAnsi="Arial" w:cs="Arial"/>
          <w:lang w:val="es-ES_tradnl"/>
        </w:rPr>
        <w:t>E</w:t>
      </w:r>
      <w:r w:rsidRPr="00CD7909">
        <w:rPr>
          <w:rFonts w:ascii="Arial" w:eastAsia="Calibri" w:hAnsi="Arial" w:cs="Arial"/>
          <w:lang w:val="es-ES_tradnl"/>
        </w:rPr>
        <w:t xml:space="preserve">statal contratante dejará constancia de la fecha y hora en que recibió las correspondientes </w:t>
      </w:r>
      <w:r w:rsidRPr="00CD7909">
        <w:rPr>
          <w:rFonts w:ascii="Arial" w:eastAsia="Calibri" w:hAnsi="Arial" w:cs="Arial"/>
          <w:lang w:val="es-ES_tradnl"/>
        </w:rPr>
        <w:lastRenderedPageBreak/>
        <w:t xml:space="preserve">ofertas, para establecer cuál fue la primera en el tiempo y/o cual(es) se encuentra(n) inhabilitada(s) acorde al literal g) </w:t>
      </w:r>
      <w:r>
        <w:rPr>
          <w:rFonts w:ascii="Arial" w:eastAsia="Calibri" w:hAnsi="Arial" w:cs="Arial"/>
          <w:lang w:val="es-ES_tradnl"/>
        </w:rPr>
        <w:t xml:space="preserve">y h) </w:t>
      </w:r>
      <w:r w:rsidRPr="00CD7909">
        <w:rPr>
          <w:rFonts w:ascii="Arial" w:eastAsia="Calibri" w:hAnsi="Arial" w:cs="Arial"/>
          <w:lang w:val="es-ES_tradnl"/>
        </w:rPr>
        <w:t>del numeral 1 del artículo 8 de la Ley 80 de 1993.</w:t>
      </w:r>
    </w:p>
    <w:p w14:paraId="6B7B909A" w14:textId="77777777" w:rsidR="00D772C9" w:rsidRPr="00CD7909" w:rsidRDefault="00D772C9" w:rsidP="00D772C9">
      <w:pPr>
        <w:spacing w:before="120" w:after="120" w:line="276" w:lineRule="auto"/>
        <w:ind w:firstLine="709"/>
        <w:jc w:val="both"/>
        <w:rPr>
          <w:rFonts w:ascii="Arial" w:eastAsia="Calibri" w:hAnsi="Arial" w:cs="Arial"/>
          <w:lang w:val="es-ES_tradnl"/>
        </w:rPr>
      </w:pPr>
      <w:r w:rsidRPr="00CD7909">
        <w:rPr>
          <w:rFonts w:ascii="Arial" w:eastAsia="Calibri" w:hAnsi="Arial" w:cs="Arial"/>
          <w:lang w:val="es-ES_tradnl"/>
        </w:rPr>
        <w:t xml:space="preserve">En conclusión, </w:t>
      </w:r>
      <w:bookmarkStart w:id="16" w:name="_Hlk143237097"/>
      <w:r w:rsidRPr="00CD7909">
        <w:rPr>
          <w:rFonts w:ascii="Arial" w:eastAsia="Calibri" w:hAnsi="Arial" w:cs="Arial"/>
          <w:lang w:val="es-ES_tradnl"/>
        </w:rPr>
        <w:t>debido a que el régimen de inhabilidades se interpreta de manera restrictiva, la</w:t>
      </w:r>
      <w:r>
        <w:rPr>
          <w:rFonts w:ascii="Arial" w:eastAsia="Calibri" w:hAnsi="Arial" w:cs="Arial"/>
          <w:lang w:val="es-ES_tradnl"/>
        </w:rPr>
        <w:t>s</w:t>
      </w:r>
      <w:r w:rsidRPr="00CD7909">
        <w:rPr>
          <w:rFonts w:ascii="Arial" w:eastAsia="Calibri" w:hAnsi="Arial" w:cs="Arial"/>
          <w:lang w:val="es-ES_tradnl"/>
        </w:rPr>
        <w:t xml:space="preserve"> causal</w:t>
      </w:r>
      <w:r>
        <w:rPr>
          <w:rFonts w:ascii="Arial" w:eastAsia="Calibri" w:hAnsi="Arial" w:cs="Arial"/>
          <w:lang w:val="es-ES_tradnl"/>
        </w:rPr>
        <w:t>es</w:t>
      </w:r>
      <w:r w:rsidRPr="00CD7909">
        <w:rPr>
          <w:rFonts w:ascii="Arial" w:eastAsia="Calibri" w:hAnsi="Arial" w:cs="Arial"/>
          <w:lang w:val="es-ES_tradnl"/>
        </w:rPr>
        <w:t xml:space="preserve"> de inhabilidad dispuesta</w:t>
      </w:r>
      <w:r>
        <w:rPr>
          <w:rFonts w:ascii="Arial" w:eastAsia="Calibri" w:hAnsi="Arial" w:cs="Arial"/>
          <w:lang w:val="es-ES_tradnl"/>
        </w:rPr>
        <w:t>s</w:t>
      </w:r>
      <w:r w:rsidRPr="00CD7909">
        <w:rPr>
          <w:rFonts w:ascii="Arial" w:eastAsia="Calibri" w:hAnsi="Arial" w:cs="Arial"/>
          <w:lang w:val="es-ES_tradnl"/>
        </w:rPr>
        <w:t xml:space="preserve"> en el literal g) </w:t>
      </w:r>
      <w:r>
        <w:rPr>
          <w:rFonts w:ascii="Arial" w:eastAsia="Calibri" w:hAnsi="Arial" w:cs="Arial"/>
          <w:lang w:val="es-ES_tradnl"/>
        </w:rPr>
        <w:t xml:space="preserve">y h) </w:t>
      </w:r>
      <w:r w:rsidRPr="00CD7909">
        <w:rPr>
          <w:rFonts w:ascii="Arial" w:eastAsia="Calibri" w:hAnsi="Arial" w:cs="Arial"/>
          <w:lang w:val="es-ES_tradnl"/>
        </w:rPr>
        <w:t>del numeral 1 del artículo 8 de la Ley 80 de 1993 se refiere solamente de personas naturales, sin que exista posibilidad de extender su aplicación a personas jurídicas, entendidas estas últimas como sujetos capaces de ejercer derechos y contraer obligaciones</w:t>
      </w:r>
      <w:r w:rsidRPr="00CD7909">
        <w:rPr>
          <w:rFonts w:ascii="Arial" w:eastAsia="Calibri" w:hAnsi="Arial" w:cs="Arial"/>
          <w:vertAlign w:val="superscript"/>
          <w:lang w:val="es-ES_tradnl"/>
        </w:rPr>
        <w:footnoteReference w:id="41"/>
      </w:r>
      <w:r w:rsidRPr="00CD7909">
        <w:rPr>
          <w:rFonts w:ascii="Arial" w:eastAsia="Calibri" w:hAnsi="Arial" w:cs="Arial"/>
          <w:lang w:val="es-ES_tradnl"/>
        </w:rPr>
        <w:t>, cuya capacidad está determinada por su objeto social</w:t>
      </w:r>
      <w:r w:rsidRPr="00CD7909">
        <w:rPr>
          <w:rFonts w:ascii="Arial" w:eastAsia="Calibri" w:hAnsi="Arial" w:cs="Arial"/>
          <w:vertAlign w:val="superscript"/>
          <w:lang w:val="es-ES_tradnl"/>
        </w:rPr>
        <w:footnoteReference w:id="42"/>
      </w:r>
      <w:r w:rsidRPr="00CD7909">
        <w:rPr>
          <w:rFonts w:ascii="Arial" w:eastAsia="Calibri" w:hAnsi="Arial" w:cs="Arial"/>
          <w:lang w:val="es-ES_tradnl"/>
        </w:rPr>
        <w:t>.</w:t>
      </w:r>
    </w:p>
    <w:p w14:paraId="7E6742E0" w14:textId="77777777" w:rsidR="00D772C9" w:rsidRPr="00FD7A7A" w:rsidRDefault="00D772C9" w:rsidP="00D772C9">
      <w:pPr>
        <w:spacing w:before="120" w:after="0" w:line="276" w:lineRule="auto"/>
        <w:ind w:firstLine="709"/>
        <w:jc w:val="both"/>
        <w:rPr>
          <w:rFonts w:ascii="Arial" w:eastAsia="Calibri" w:hAnsi="Arial" w:cs="Arial"/>
          <w:lang w:val="es-ES_tradnl"/>
        </w:rPr>
      </w:pPr>
      <w:r w:rsidRPr="00CD7909">
        <w:rPr>
          <w:rFonts w:ascii="Arial" w:eastAsia="Calibri" w:hAnsi="Arial" w:cs="Arial"/>
          <w:lang w:val="es-ES_tradnl"/>
        </w:rPr>
        <w:t>De igual manera, esa</w:t>
      </w:r>
      <w:r>
        <w:rPr>
          <w:rFonts w:ascii="Arial" w:eastAsia="Calibri" w:hAnsi="Arial" w:cs="Arial"/>
          <w:lang w:val="es-ES_tradnl"/>
        </w:rPr>
        <w:t>s</w:t>
      </w:r>
      <w:r w:rsidRPr="00CD7909">
        <w:rPr>
          <w:rFonts w:ascii="Arial" w:eastAsia="Calibri" w:hAnsi="Arial" w:cs="Arial"/>
          <w:lang w:val="es-ES_tradnl"/>
        </w:rPr>
        <w:t xml:space="preserve"> causal</w:t>
      </w:r>
      <w:r>
        <w:rPr>
          <w:rFonts w:ascii="Arial" w:eastAsia="Calibri" w:hAnsi="Arial" w:cs="Arial"/>
          <w:lang w:val="es-ES_tradnl"/>
        </w:rPr>
        <w:t>es</w:t>
      </w:r>
      <w:r w:rsidRPr="00CD7909">
        <w:rPr>
          <w:rFonts w:ascii="Arial" w:eastAsia="Calibri" w:hAnsi="Arial" w:cs="Arial"/>
          <w:lang w:val="es-ES_tradnl"/>
        </w:rPr>
        <w:t xml:space="preserve"> de inhabilidad también se refiere</w:t>
      </w:r>
      <w:r>
        <w:rPr>
          <w:rFonts w:ascii="Arial" w:eastAsia="Calibri" w:hAnsi="Arial" w:cs="Arial"/>
          <w:lang w:val="es-ES_tradnl"/>
        </w:rPr>
        <w:t>n</w:t>
      </w:r>
      <w:r w:rsidRPr="00CD7909">
        <w:rPr>
          <w:rFonts w:ascii="Arial" w:eastAsia="Calibri" w:hAnsi="Arial" w:cs="Arial"/>
          <w:lang w:val="es-ES_tradnl"/>
        </w:rPr>
        <w:t xml:space="preserve"> a las personas naturales que integran</w:t>
      </w:r>
      <w:r>
        <w:rPr>
          <w:rFonts w:ascii="Arial" w:eastAsia="Calibri" w:hAnsi="Arial" w:cs="Arial"/>
          <w:lang w:val="es-ES_tradnl"/>
        </w:rPr>
        <w:t xml:space="preserve"> sociedades distintas a las anónimas,</w:t>
      </w:r>
      <w:r w:rsidRPr="00CD7909">
        <w:rPr>
          <w:rFonts w:ascii="Arial" w:eastAsia="Calibri" w:hAnsi="Arial" w:cs="Arial"/>
          <w:lang w:val="es-ES_tradnl"/>
        </w:rPr>
        <w:t xml:space="preserve"> proponentes plurales, consorcios o uniones temporales, así como la persona designada como representante de estos, ya que estas formas de asociación no constituyen una persona jurídica diferente o independiente los miembros que los integran, lo cual implica, que</w:t>
      </w:r>
      <w:r>
        <w:rPr>
          <w:rFonts w:ascii="Arial" w:eastAsia="Calibri" w:hAnsi="Arial" w:cs="Arial"/>
          <w:lang w:val="es-ES_tradnl"/>
        </w:rPr>
        <w:t xml:space="preserve"> la sociedad distinta a las anónimas,</w:t>
      </w:r>
      <w:r w:rsidRPr="00CD7909">
        <w:rPr>
          <w:rFonts w:ascii="Arial" w:eastAsia="Calibri" w:hAnsi="Arial" w:cs="Arial"/>
          <w:lang w:val="es-ES_tradnl"/>
        </w:rPr>
        <w:t xml:space="preserve"> el consorcio o unión temporal será</w:t>
      </w:r>
      <w:r>
        <w:rPr>
          <w:rFonts w:ascii="Arial" w:eastAsia="Calibri" w:hAnsi="Arial" w:cs="Arial"/>
          <w:lang w:val="es-ES_tradnl"/>
        </w:rPr>
        <w:t xml:space="preserve">n </w:t>
      </w:r>
      <w:r w:rsidRPr="00CD7909">
        <w:rPr>
          <w:rFonts w:ascii="Arial" w:eastAsia="Calibri" w:hAnsi="Arial" w:cs="Arial"/>
          <w:lang w:val="es-ES_tradnl"/>
        </w:rPr>
        <w:t>inhabilitado</w:t>
      </w:r>
      <w:r>
        <w:rPr>
          <w:rFonts w:ascii="Arial" w:eastAsia="Calibri" w:hAnsi="Arial" w:cs="Arial"/>
          <w:lang w:val="es-ES_tradnl"/>
        </w:rPr>
        <w:t>s</w:t>
      </w:r>
      <w:r w:rsidRPr="00CD7909">
        <w:rPr>
          <w:rFonts w:ascii="Arial" w:eastAsia="Calibri" w:hAnsi="Arial" w:cs="Arial"/>
          <w:lang w:val="es-ES_tradnl"/>
        </w:rPr>
        <w:t xml:space="preserve"> en un proceso de contratación, cuando uno de sus integrantes o representante designado se encuentra en alguna de las relaciones de parentesco determinadas en la</w:t>
      </w:r>
      <w:r>
        <w:rPr>
          <w:rFonts w:ascii="Arial" w:eastAsia="Calibri" w:hAnsi="Arial" w:cs="Arial"/>
          <w:lang w:val="es-ES_tradnl"/>
        </w:rPr>
        <w:t>s</w:t>
      </w:r>
      <w:r w:rsidRPr="00CD7909">
        <w:rPr>
          <w:rFonts w:ascii="Arial" w:eastAsia="Calibri" w:hAnsi="Arial" w:cs="Arial"/>
          <w:lang w:val="es-ES_tradnl"/>
        </w:rPr>
        <w:t xml:space="preserve"> mencionada</w:t>
      </w:r>
      <w:r>
        <w:rPr>
          <w:rFonts w:ascii="Arial" w:eastAsia="Calibri" w:hAnsi="Arial" w:cs="Arial"/>
          <w:lang w:val="es-ES_tradnl"/>
        </w:rPr>
        <w:t>s</w:t>
      </w:r>
      <w:r w:rsidRPr="00CD7909">
        <w:rPr>
          <w:rFonts w:ascii="Arial" w:eastAsia="Calibri" w:hAnsi="Arial" w:cs="Arial"/>
          <w:lang w:val="es-ES_tradnl"/>
        </w:rPr>
        <w:t xml:space="preserve"> disposici</w:t>
      </w:r>
      <w:r>
        <w:rPr>
          <w:rFonts w:ascii="Arial" w:eastAsia="Calibri" w:hAnsi="Arial" w:cs="Arial"/>
          <w:lang w:val="es-ES_tradnl"/>
        </w:rPr>
        <w:t>o</w:t>
      </w:r>
      <w:r w:rsidRPr="00CD7909">
        <w:rPr>
          <w:rFonts w:ascii="Arial" w:eastAsia="Calibri" w:hAnsi="Arial" w:cs="Arial"/>
          <w:lang w:val="es-ES_tradnl"/>
        </w:rPr>
        <w:t>n</w:t>
      </w:r>
      <w:r>
        <w:rPr>
          <w:rFonts w:ascii="Arial" w:eastAsia="Calibri" w:hAnsi="Arial" w:cs="Arial"/>
          <w:lang w:val="es-ES_tradnl"/>
        </w:rPr>
        <w:t>es</w:t>
      </w:r>
      <w:r w:rsidRPr="00CD7909">
        <w:rPr>
          <w:rFonts w:ascii="Arial" w:eastAsia="Calibri" w:hAnsi="Arial" w:cs="Arial"/>
          <w:lang w:val="es-ES_tradnl"/>
        </w:rPr>
        <w:t>.</w:t>
      </w:r>
      <w:bookmarkEnd w:id="16"/>
      <w:r w:rsidRPr="00FD7A7A">
        <w:rPr>
          <w:rFonts w:ascii="Arial" w:eastAsia="Calibri" w:hAnsi="Arial" w:cs="Arial"/>
          <w:lang w:val="es-ES_tradnl"/>
        </w:rPr>
        <w:tab/>
        <w:t xml:space="preserve"> </w:t>
      </w:r>
    </w:p>
    <w:p w14:paraId="5A7D90F9" w14:textId="77777777" w:rsidR="00D772C9" w:rsidRPr="00FD7A7A" w:rsidRDefault="00D772C9" w:rsidP="00D772C9">
      <w:pPr>
        <w:spacing w:before="120" w:after="0" w:line="276" w:lineRule="auto"/>
        <w:jc w:val="both"/>
        <w:rPr>
          <w:rFonts w:ascii="Arial" w:eastAsia="Calibri" w:hAnsi="Arial" w:cs="Arial"/>
          <w:lang w:val="es-ES_tradnl"/>
        </w:rPr>
      </w:pPr>
      <w:r w:rsidRPr="00FD7A7A">
        <w:rPr>
          <w:rFonts w:ascii="Arial" w:eastAsia="Calibri" w:hAnsi="Arial" w:cs="Arial"/>
          <w:lang w:val="es-ES_tradnl"/>
        </w:rPr>
        <w:tab/>
        <w:t>En ese sentido, para acreditar que los proponentes no se encuentran incursos en inhabilidades, es válido que las Entidades Estatales, al adelantar procesos de selección, exijan a los proponentes, declaraciones en las que, bajo la gravedad de juramento, manifiesten no estar incursos en causales de inhabilidad o incompatibilidad. Ello ciertamente corresponde una forma viable para demostrar el hecho al que se refiere, al ser el juramento un medio de prueba válido a la luz de las normas procesales</w:t>
      </w:r>
      <w:r w:rsidRPr="00FD7A7A">
        <w:rPr>
          <w:rFonts w:ascii="Arial" w:eastAsia="Calibri" w:hAnsi="Arial" w:cs="Arial"/>
          <w:vertAlign w:val="superscript"/>
          <w:lang w:val="es-ES_tradnl"/>
        </w:rPr>
        <w:footnoteReference w:id="43"/>
      </w:r>
      <w:r w:rsidRPr="00FD7A7A">
        <w:rPr>
          <w:rFonts w:ascii="Arial" w:eastAsia="Calibri" w:hAnsi="Arial" w:cs="Arial"/>
          <w:lang w:val="es-ES_tradnl"/>
        </w:rPr>
        <w:t xml:space="preserve">. La negación en la que consiste tal declaración, siempre que sea formulada de forma fidedigna o general, respecto del régimen de inhabilidades e incompatibilidades, o aludiendo específicamente a </w:t>
      </w:r>
      <w:proofErr w:type="spellStart"/>
      <w:r w:rsidRPr="00FD7A7A">
        <w:rPr>
          <w:rFonts w:ascii="Arial" w:eastAsia="Calibri" w:hAnsi="Arial" w:cs="Arial"/>
          <w:lang w:val="es-ES_tradnl"/>
        </w:rPr>
        <w:t>a</w:t>
      </w:r>
      <w:proofErr w:type="spellEnd"/>
      <w:r w:rsidRPr="00FD7A7A">
        <w:rPr>
          <w:rFonts w:ascii="Arial" w:eastAsia="Calibri" w:hAnsi="Arial" w:cs="Arial"/>
          <w:lang w:val="es-ES_tradnl"/>
        </w:rPr>
        <w:t xml:space="preserve"> los literales g) y h) del numeral 1 del artículo 8 de la Ley 80 de 1993, cobijan el supuesto de hecho al que se refiere dicha norma. En ese sentido, el proponente mediante tal declaración acredita no estar incurso en las inhabilidades bajo estudio.</w:t>
      </w:r>
    </w:p>
    <w:p w14:paraId="1E2F7534" w14:textId="77777777" w:rsidR="00D772C9" w:rsidRPr="00CD7909" w:rsidRDefault="00D772C9" w:rsidP="00D772C9">
      <w:pPr>
        <w:spacing w:before="120" w:after="0" w:line="276" w:lineRule="auto"/>
        <w:jc w:val="both"/>
        <w:rPr>
          <w:rFonts w:ascii="Arial" w:eastAsia="Calibri" w:hAnsi="Arial" w:cs="Arial"/>
          <w:lang w:val="es-ES_tradnl"/>
        </w:rPr>
      </w:pPr>
      <w:r w:rsidRPr="00FD7A7A">
        <w:rPr>
          <w:rFonts w:ascii="Arial" w:eastAsia="Calibri" w:hAnsi="Arial" w:cs="Arial"/>
          <w:lang w:val="es-ES_tradnl"/>
        </w:rPr>
        <w:lastRenderedPageBreak/>
        <w:tab/>
        <w:t>No obstante, tal declaración no exime a la Entidad Estatal del deber de ejercer la potestad verificadora que le compete, respecto de la acreditación de la capacidad jurídica, en lo atinente a las inhabilidades de los literales g) y h) del numeral 1 del artículo 8</w:t>
      </w:r>
      <w:r w:rsidRPr="00FD7A7A">
        <w:rPr>
          <w:rFonts w:ascii="Arial" w:hAnsi="Arial" w:cs="Arial"/>
          <w:i/>
          <w:iCs/>
        </w:rPr>
        <w:t xml:space="preserve"> ibidem, </w:t>
      </w:r>
      <w:r w:rsidRPr="00FD7A7A">
        <w:rPr>
          <w:rFonts w:ascii="Arial" w:hAnsi="Arial" w:cs="Arial"/>
        </w:rPr>
        <w:t xml:space="preserve">cuando en el marco de la evaluación de las propuestas, se tienen dudas en relación con la configuración de dicha </w:t>
      </w:r>
      <w:r w:rsidRPr="00FD7A7A">
        <w:rPr>
          <w:rFonts w:ascii="Arial" w:eastAsia="Calibri" w:hAnsi="Arial" w:cs="Arial"/>
          <w:lang w:val="es-ES_tradnl"/>
        </w:rPr>
        <w:t>inhabilidad. En ese sentido, en primer lugar, si en el marco de la evaluación de ofertas, antes de la publicación del respectivo informe, la Entidad Estatal tiene conocimiento de circunstancias que le indiquen la eventual configuración de la respectiva inhabilidad, tiene posibilidad de solicitar a los proponentes el esclarecimiento de dicha circunstancia, exigiendo las explicaciones y aclaraciones que sean procedentes.</w:t>
      </w:r>
    </w:p>
    <w:p w14:paraId="1DB01014" w14:textId="77777777" w:rsidR="00D772C9" w:rsidRPr="00FD7A7A" w:rsidRDefault="00D772C9" w:rsidP="00D772C9">
      <w:pPr>
        <w:spacing w:before="120" w:after="0" w:line="276" w:lineRule="auto"/>
        <w:jc w:val="both"/>
        <w:rPr>
          <w:rFonts w:ascii="Arial" w:eastAsia="Calibri" w:hAnsi="Arial" w:cs="Arial"/>
          <w:lang w:val="es-ES_tradnl"/>
        </w:rPr>
      </w:pPr>
      <w:r w:rsidRPr="00FD7A7A">
        <w:rPr>
          <w:rFonts w:ascii="Arial" w:eastAsia="Calibri" w:hAnsi="Arial" w:cs="Arial"/>
          <w:lang w:val="es-ES_tradnl"/>
        </w:rPr>
        <w:tab/>
        <w:t>En ese contexto,</w:t>
      </w:r>
      <w:r>
        <w:rPr>
          <w:rFonts w:ascii="Arial" w:eastAsia="Calibri" w:hAnsi="Arial" w:cs="Arial"/>
          <w:lang w:val="es-ES_tradnl"/>
        </w:rPr>
        <w:t xml:space="preserve"> como se indicó anteriormente, </w:t>
      </w:r>
      <w:r w:rsidRPr="00FD7A7A">
        <w:rPr>
          <w:rFonts w:ascii="Arial" w:eastAsia="Calibri" w:hAnsi="Arial" w:cs="Arial"/>
          <w:lang w:val="es-ES_tradnl"/>
        </w:rPr>
        <w:t>al ser capacidad jurídica un requisito habilitante, ante la ausencia de claridad en su acreditación, procede la regla de subsanabilidad prevista en el parágrafo 1 del artículo 5 de la Ley 1150 de 2007. Conforme a esta, hasta el término de traslado del informe de evaluación, la Entidad Estatal tiene la posibilidad de solicitar a los proponentes los proponentes los medios de prueba necesarios para verificar la configuración o no de las circunstancias y condiciones sancionadas con la inhabilidad, que confirmen o desvirtúen la negación indefinida hecha bajo la gravedad de juramento relativa a no estar incurso en inhabilidades e incompatibilidades.</w:t>
      </w:r>
    </w:p>
    <w:p w14:paraId="06658DFC" w14:textId="77777777" w:rsidR="00D772C9" w:rsidRPr="00FD7A7A" w:rsidRDefault="00D772C9" w:rsidP="00D772C9">
      <w:pPr>
        <w:spacing w:before="120" w:after="0" w:line="276" w:lineRule="auto"/>
        <w:ind w:firstLine="709"/>
        <w:jc w:val="both"/>
        <w:rPr>
          <w:rFonts w:ascii="Arial" w:hAnsi="Arial" w:cs="Arial"/>
          <w:lang w:val="es-ES"/>
        </w:rPr>
      </w:pPr>
      <w:r w:rsidRPr="00FD7A7A">
        <w:rPr>
          <w:rFonts w:ascii="Arial" w:eastAsia="Calibri" w:hAnsi="Arial" w:cs="Arial"/>
          <w:lang w:val="es-ES_tradnl"/>
        </w:rPr>
        <w:t>Sin perjuicio de lo anterior, también es posible que la configuración de la inhabilidad se evidencie en un estado más avanzado del proceso de selección, lo cual tampoco obsta para que la Entidad Estatal ejerza su potestad verificadora y descalifique la oferta del proponente afectado por la inhabilidad. Ello puede suceder si, por ejemplo, en el marco de las observaciones al informe de evaluación algún proponente pone de presente la configuración de la inhabilidad, suministrando información o documentación que así lo indique. En este caso, la entidad también debe verificar la configuración de la inhabilidad</w:t>
      </w:r>
      <w:r>
        <w:rPr>
          <w:rFonts w:ascii="Arial" w:eastAsia="Calibri" w:hAnsi="Arial" w:cs="Arial"/>
          <w:lang w:val="es-ES_tradnl"/>
        </w:rPr>
        <w:t>.</w:t>
      </w:r>
      <w:r w:rsidRPr="00FD7A7A">
        <w:rPr>
          <w:rFonts w:ascii="Arial" w:eastAsia="Calibri" w:hAnsi="Arial" w:cs="Arial"/>
          <w:lang w:val="es-ES_tradnl"/>
        </w:rPr>
        <w:t xml:space="preserve"> </w:t>
      </w:r>
    </w:p>
    <w:bookmarkEnd w:id="12"/>
    <w:p w14:paraId="0104B14D" w14:textId="77777777" w:rsidR="00D772C9" w:rsidRPr="00FD7A7A" w:rsidRDefault="00D772C9" w:rsidP="00D772C9">
      <w:pPr>
        <w:spacing w:after="0" w:line="276" w:lineRule="auto"/>
        <w:ind w:firstLine="709"/>
        <w:jc w:val="both"/>
        <w:rPr>
          <w:rFonts w:ascii="Arial" w:eastAsia="Arial" w:hAnsi="Arial" w:cs="Arial"/>
          <w:bCs/>
          <w:sz w:val="21"/>
          <w:szCs w:val="21"/>
          <w:lang w:val="es-ES"/>
        </w:rPr>
      </w:pPr>
    </w:p>
    <w:p w14:paraId="2C1285A8" w14:textId="77777777" w:rsidR="00D772C9" w:rsidRPr="00FD7A7A" w:rsidRDefault="00D772C9" w:rsidP="00D772C9">
      <w:pPr>
        <w:spacing w:after="0" w:line="276" w:lineRule="auto"/>
        <w:contextualSpacing/>
        <w:jc w:val="both"/>
        <w:rPr>
          <w:rFonts w:ascii="Arial" w:eastAsia="Calibri" w:hAnsi="Arial" w:cs="Arial"/>
          <w:b/>
        </w:rPr>
      </w:pPr>
      <w:r w:rsidRPr="00FD7A7A">
        <w:rPr>
          <w:rFonts w:ascii="Arial" w:eastAsia="Calibri" w:hAnsi="Arial" w:cs="Arial"/>
          <w:b/>
        </w:rPr>
        <w:t>3. Respuesta</w:t>
      </w:r>
    </w:p>
    <w:p w14:paraId="5D9E37BA" w14:textId="77777777" w:rsidR="00D772C9" w:rsidRPr="00FD7A7A" w:rsidRDefault="00D772C9" w:rsidP="00D772C9">
      <w:pPr>
        <w:spacing w:after="0" w:line="276" w:lineRule="auto"/>
        <w:contextualSpacing/>
        <w:jc w:val="both"/>
        <w:rPr>
          <w:rFonts w:ascii="Arial" w:eastAsia="Calibri" w:hAnsi="Arial" w:cs="Arial"/>
          <w:b/>
        </w:rPr>
      </w:pPr>
    </w:p>
    <w:p w14:paraId="19CCBAAB" w14:textId="77777777" w:rsidR="00D772C9" w:rsidRPr="00FD7A7A" w:rsidRDefault="00D772C9" w:rsidP="00D772C9">
      <w:pPr>
        <w:spacing w:before="120" w:after="0" w:line="240" w:lineRule="auto"/>
        <w:ind w:left="709" w:right="709"/>
        <w:contextualSpacing/>
        <w:jc w:val="both"/>
        <w:rPr>
          <w:rFonts w:ascii="Arial" w:eastAsia="Calibri" w:hAnsi="Arial" w:cs="Arial"/>
          <w:sz w:val="21"/>
          <w:szCs w:val="21"/>
          <w:lang w:val="es-MX"/>
        </w:rPr>
      </w:pPr>
      <w:bookmarkStart w:id="17" w:name="_Hlk57650395"/>
      <w:r w:rsidRPr="00FD7A7A">
        <w:rPr>
          <w:rFonts w:ascii="Arial" w:eastAsia="Calibri" w:hAnsi="Arial" w:cs="Arial"/>
          <w:sz w:val="21"/>
          <w:szCs w:val="21"/>
          <w:lang w:val="es-MX"/>
        </w:rPr>
        <w:t>“1. ¿Existe la inhabilidad contemplada en el literal g) del numeral 1° del artículo 8° de la Ley 80 de 1993, cuando se presentan en un mismo proceso de selección dos consorcios, dentro de los cuales uno de ellos es integrado por una persona natural, la cual es hermana del representante legal (ni socio ni accionista) de una persona jurídica que integra el otro consorcio?</w:t>
      </w:r>
    </w:p>
    <w:p w14:paraId="5E21F70E" w14:textId="77777777" w:rsidR="00D772C9" w:rsidRPr="00FD7A7A" w:rsidRDefault="00D772C9" w:rsidP="00D772C9">
      <w:pPr>
        <w:spacing w:before="120" w:after="0" w:line="240" w:lineRule="auto"/>
        <w:ind w:left="709" w:right="709"/>
        <w:jc w:val="both"/>
        <w:rPr>
          <w:rFonts w:ascii="Arial" w:eastAsia="Calibri" w:hAnsi="Arial" w:cs="Arial"/>
          <w:sz w:val="21"/>
          <w:szCs w:val="21"/>
          <w:lang w:val="es-MX"/>
        </w:rPr>
      </w:pPr>
      <w:r w:rsidRPr="00FD7A7A">
        <w:rPr>
          <w:rFonts w:ascii="Arial" w:eastAsia="Calibri" w:hAnsi="Arial" w:cs="Arial"/>
          <w:sz w:val="21"/>
          <w:szCs w:val="21"/>
          <w:lang w:val="es-MX"/>
        </w:rPr>
        <w:t>En otras palabras, es aplicable la causal cuando una persona natural integrante del consorcio A y representante del mismo es el hermano del representante legal de una persona jurídica integrante del consorcio B.</w:t>
      </w:r>
    </w:p>
    <w:p w14:paraId="580FB21F" w14:textId="77777777" w:rsidR="00D772C9" w:rsidRPr="00FD7A7A" w:rsidRDefault="00D772C9" w:rsidP="00D772C9">
      <w:pPr>
        <w:spacing w:before="120" w:after="0" w:line="240" w:lineRule="auto"/>
        <w:ind w:left="709" w:right="709"/>
        <w:jc w:val="both"/>
        <w:rPr>
          <w:rFonts w:ascii="Arial" w:eastAsia="Calibri" w:hAnsi="Arial" w:cs="Arial"/>
          <w:sz w:val="21"/>
          <w:szCs w:val="21"/>
          <w:lang w:val="es-MX"/>
        </w:rPr>
      </w:pPr>
      <w:r w:rsidRPr="00FD7A7A">
        <w:rPr>
          <w:rFonts w:ascii="Arial" w:eastAsia="Calibri" w:hAnsi="Arial" w:cs="Arial"/>
          <w:sz w:val="21"/>
          <w:szCs w:val="21"/>
          <w:lang w:val="es-MX"/>
        </w:rPr>
        <w:t>2. ¿Existe la inhabilidad contemplada en el literal h) del numeral 1° del artículo 8° de la Ley 80 de 1993, cuando se presentan en un mismo proceso de selección dos consorcios, dentro de los cuales uno de ellos es integrado por una persona natural, la cual es hermana del representante legal (ni socio ni accionista) de una persona jurídica que integra otro consorcio?</w:t>
      </w:r>
    </w:p>
    <w:p w14:paraId="6D312786" w14:textId="77777777" w:rsidR="00D772C9" w:rsidRPr="00FD7A7A" w:rsidRDefault="00D772C9" w:rsidP="00D772C9">
      <w:pPr>
        <w:spacing w:before="120" w:after="0" w:line="240" w:lineRule="auto"/>
        <w:ind w:left="709" w:right="709"/>
        <w:jc w:val="both"/>
        <w:rPr>
          <w:rFonts w:ascii="Arial" w:eastAsia="Calibri" w:hAnsi="Arial" w:cs="Arial"/>
          <w:sz w:val="21"/>
          <w:szCs w:val="21"/>
          <w:lang w:val="es-MX"/>
        </w:rPr>
      </w:pPr>
      <w:r w:rsidRPr="00FD7A7A">
        <w:rPr>
          <w:rFonts w:ascii="Arial" w:eastAsia="Calibri" w:hAnsi="Arial" w:cs="Arial"/>
          <w:sz w:val="21"/>
          <w:szCs w:val="21"/>
          <w:lang w:val="es-MX"/>
        </w:rPr>
        <w:lastRenderedPageBreak/>
        <w:t>En otras palabras, es aplicable la causal cuando una persona natural integrante del consorcio A y representante del mismo es el hermano del representante legal de una persona jurídica integrante del consorcio B”. [sic]</w:t>
      </w:r>
    </w:p>
    <w:p w14:paraId="11C63ED6" w14:textId="77777777" w:rsidR="00D772C9" w:rsidRPr="00FD7A7A" w:rsidRDefault="00D772C9" w:rsidP="00D772C9">
      <w:pPr>
        <w:spacing w:after="0" w:line="276" w:lineRule="auto"/>
        <w:jc w:val="both"/>
        <w:rPr>
          <w:rFonts w:ascii="Arial" w:eastAsia="Calibri" w:hAnsi="Arial" w:cs="Arial"/>
          <w:bCs/>
        </w:rPr>
      </w:pPr>
    </w:p>
    <w:p w14:paraId="7D6554A8" w14:textId="77777777" w:rsidR="00D772C9" w:rsidRPr="00FD7A7A" w:rsidRDefault="00D772C9" w:rsidP="00D772C9">
      <w:pPr>
        <w:spacing w:after="0" w:line="276" w:lineRule="auto"/>
        <w:jc w:val="both"/>
        <w:rPr>
          <w:rFonts w:ascii="Arial" w:eastAsia="Calibri" w:hAnsi="Arial" w:cs="Arial"/>
          <w:bCs/>
        </w:rPr>
      </w:pPr>
      <w:r w:rsidRPr="00FD7A7A">
        <w:rPr>
          <w:rFonts w:ascii="Arial" w:hAnsi="Arial" w:cs="Arial"/>
          <w:color w:val="000000"/>
          <w:shd w:val="clear" w:color="auto" w:fill="FFFFFF"/>
          <w:lang w:val="es-ES"/>
        </w:rPr>
        <w:t>De manera preliminar es pertinente indicar, que la Agencia Nacional de Contratación Pública – Colombia Compra Eficiente resuelve consultas sobre asuntos de su competencia, esto es, sobre las temáticas de la contratación y compras públicas relacionadas con la aplicación de normas de carácter general. Por ello, esta competencia no puede extenderse a la resolución de casos particulares, brindar asesorías o validar las actuaciones de las Entidades Estatales, toda vez que ello desborda las atribuciones asignadas a esta entidad por el legislador extraordinario.</w:t>
      </w:r>
      <w:r w:rsidRPr="00FD7A7A">
        <w:rPr>
          <w:rFonts w:ascii="Arial" w:hAnsi="Arial" w:cs="Arial"/>
          <w:color w:val="000000"/>
          <w:shd w:val="clear" w:color="auto" w:fill="FFFFFF"/>
        </w:rPr>
        <w:t> </w:t>
      </w:r>
    </w:p>
    <w:p w14:paraId="336DA4B9" w14:textId="77777777" w:rsidR="00D772C9" w:rsidRDefault="00D772C9" w:rsidP="00D772C9">
      <w:pPr>
        <w:spacing w:before="120" w:after="0" w:line="276" w:lineRule="auto"/>
        <w:jc w:val="both"/>
        <w:rPr>
          <w:rFonts w:ascii="Arial" w:eastAsia="Calibri" w:hAnsi="Arial" w:cs="Arial"/>
          <w:bCs/>
        </w:rPr>
      </w:pPr>
      <w:r w:rsidRPr="00FD7A7A">
        <w:rPr>
          <w:rFonts w:ascii="Arial" w:eastAsia="Calibri" w:hAnsi="Arial" w:cs="Arial"/>
          <w:bCs/>
        </w:rPr>
        <w:tab/>
        <w:t xml:space="preserve">Sin perjuicio de lo anterior, como se indicó en el considerando de este concepto, las inhabilidades son prohibiciones para concurrir a los procedimientos de selección y para contratar con el Estado, que se derivan: i) de la existencia de comportamientos reprochables o de sanciones anteriormente impuestas, </w:t>
      </w:r>
      <w:proofErr w:type="spellStart"/>
      <w:r w:rsidRPr="00FD7A7A">
        <w:rPr>
          <w:rFonts w:ascii="Arial" w:eastAsia="Calibri" w:hAnsi="Arial" w:cs="Arial"/>
          <w:bCs/>
        </w:rPr>
        <w:t>ii</w:t>
      </w:r>
      <w:proofErr w:type="spellEnd"/>
      <w:r w:rsidRPr="00FD7A7A">
        <w:rPr>
          <w:rFonts w:ascii="Arial" w:eastAsia="Calibri" w:hAnsi="Arial" w:cs="Arial"/>
          <w:bCs/>
        </w:rPr>
        <w:t xml:space="preserve">) de vínculos personales relativos al parentesco o al estado civil, o </w:t>
      </w:r>
      <w:proofErr w:type="spellStart"/>
      <w:r w:rsidRPr="00FD7A7A">
        <w:rPr>
          <w:rFonts w:ascii="Arial" w:eastAsia="Calibri" w:hAnsi="Arial" w:cs="Arial"/>
          <w:bCs/>
        </w:rPr>
        <w:t>iii</w:t>
      </w:r>
      <w:proofErr w:type="spellEnd"/>
      <w:r w:rsidRPr="00FD7A7A">
        <w:rPr>
          <w:rFonts w:ascii="Arial" w:eastAsia="Calibri" w:hAnsi="Arial" w:cs="Arial"/>
          <w:bCs/>
        </w:rPr>
        <w:t xml:space="preserve">) de una actividad u oficio que se desempeñó en el pasado. </w:t>
      </w:r>
    </w:p>
    <w:p w14:paraId="10551212" w14:textId="77777777" w:rsidR="00D772C9" w:rsidRPr="004325AA" w:rsidRDefault="00D772C9" w:rsidP="00D772C9">
      <w:pPr>
        <w:spacing w:before="120" w:after="0" w:line="276" w:lineRule="auto"/>
        <w:ind w:firstLine="708"/>
        <w:jc w:val="both"/>
        <w:rPr>
          <w:rFonts w:ascii="Arial" w:eastAsia="Calibri" w:hAnsi="Arial" w:cs="Arial"/>
          <w:bCs/>
        </w:rPr>
      </w:pPr>
      <w:r w:rsidRPr="00FD7A7A">
        <w:rPr>
          <w:rFonts w:ascii="Arial" w:eastAsia="Calibri" w:hAnsi="Arial" w:cs="Arial"/>
          <w:bCs/>
        </w:rPr>
        <w:t xml:space="preserve">Bajo esa órbita, </w:t>
      </w:r>
      <w:r w:rsidRPr="004325AA">
        <w:rPr>
          <w:rFonts w:ascii="Arial" w:eastAsia="Calibri" w:hAnsi="Arial" w:cs="Arial"/>
          <w:bCs/>
        </w:rPr>
        <w:t>debido a que el régimen de inhabilidades se interpreta de manera restrictiva, las causales de inhabilidad dispuestas en el literal g) y h) del numeral 1 del artículo 8 de la Ley 80 de 1993 se refiere solamente de personas naturales, sin que exista posibilidad de extender su aplicación a personas jurídicas, entendidas estas últimas como sujetos capaces de ejercer derechos y contraer obligaciones</w:t>
      </w:r>
      <w:r>
        <w:rPr>
          <w:rFonts w:ascii="Arial" w:eastAsia="Calibri" w:hAnsi="Arial" w:cs="Arial"/>
          <w:bCs/>
        </w:rPr>
        <w:t>,</w:t>
      </w:r>
      <w:r w:rsidRPr="004325AA">
        <w:rPr>
          <w:rFonts w:ascii="Arial" w:eastAsia="Calibri" w:hAnsi="Arial" w:cs="Arial"/>
          <w:bCs/>
        </w:rPr>
        <w:t xml:space="preserve"> cuya capacidad está determinada por su objeto social.</w:t>
      </w:r>
    </w:p>
    <w:p w14:paraId="2AA2ED3E" w14:textId="77777777" w:rsidR="00D772C9" w:rsidRDefault="00D772C9" w:rsidP="00D772C9">
      <w:pPr>
        <w:spacing w:before="120" w:after="0" w:line="276" w:lineRule="auto"/>
        <w:ind w:firstLine="708"/>
        <w:jc w:val="both"/>
        <w:rPr>
          <w:rFonts w:ascii="Arial" w:eastAsia="Calibri" w:hAnsi="Arial" w:cs="Arial"/>
          <w:bCs/>
        </w:rPr>
      </w:pPr>
      <w:r>
        <w:rPr>
          <w:rFonts w:ascii="Arial" w:eastAsia="Calibri" w:hAnsi="Arial" w:cs="Arial"/>
          <w:bCs/>
        </w:rPr>
        <w:t>Sin embargo</w:t>
      </w:r>
      <w:r w:rsidRPr="004325AA">
        <w:rPr>
          <w:rFonts w:ascii="Arial" w:eastAsia="Calibri" w:hAnsi="Arial" w:cs="Arial"/>
          <w:bCs/>
        </w:rPr>
        <w:t>, esas causales de inhabilidad también se refieren a las personas naturales que integran sociedades distintas a las anónimas, proponentes plurales, consorcios o uniones temporales, así como la persona designada como representante de estos, ya que estas formas de asociación no constituyen una persona jurídica diferente o independiente los miembros que los integran, lo cual implica, que la sociedad distinta a las anónimas, el consorcio o unión temporal serán inhabilitados en un proceso de contratación, cuando uno de sus integrantes o representante designado se encuentra en alguna de las relaciones de parentesco determinadas en las mencionadas disposiciones.</w:t>
      </w:r>
    </w:p>
    <w:p w14:paraId="47743FE9" w14:textId="77777777" w:rsidR="00D772C9" w:rsidRPr="00FD7A7A" w:rsidRDefault="00D772C9" w:rsidP="00D772C9">
      <w:pPr>
        <w:spacing w:before="120" w:after="0" w:line="276" w:lineRule="auto"/>
        <w:jc w:val="both"/>
        <w:rPr>
          <w:rFonts w:ascii="Arial" w:eastAsia="Calibri" w:hAnsi="Arial" w:cs="Arial"/>
          <w:bCs/>
        </w:rPr>
      </w:pPr>
      <w:r w:rsidRPr="00FD7A7A">
        <w:rPr>
          <w:rFonts w:ascii="Arial" w:eastAsia="Calibri" w:hAnsi="Arial" w:cs="Arial"/>
          <w:bCs/>
        </w:rPr>
        <w:tab/>
        <w:t>Finalmente, para los efectos se aclara que las Entidades Estatales dentro del marco de sus funciones y competencias, ejercerán su potestad verificadora respecto de la acreditación de la capacidad jurídica, en lo atinente a las inhabilidades dispuestas en los literales g) y h) del numeral 1 del artículo 8 de la Ley 80 de 1993. En ese sentido, la entidad, en el ejercicio de su potestad verificadora, descalificará las ofertas de los proponentes que sí se encuentren afectados por dichas inhabilidades.</w:t>
      </w:r>
    </w:p>
    <w:p w14:paraId="51C4A60F" w14:textId="77777777" w:rsidR="00D772C9" w:rsidRPr="00FD7A7A" w:rsidRDefault="00D772C9" w:rsidP="00D772C9">
      <w:pPr>
        <w:spacing w:after="0" w:line="276" w:lineRule="auto"/>
        <w:jc w:val="both"/>
        <w:rPr>
          <w:rFonts w:ascii="Arial" w:eastAsia="Calibri" w:hAnsi="Arial" w:cs="Arial"/>
          <w:bCs/>
        </w:rPr>
      </w:pPr>
    </w:p>
    <w:p w14:paraId="0023742E" w14:textId="77777777" w:rsidR="00D772C9" w:rsidRPr="00FD7A7A" w:rsidRDefault="00D772C9" w:rsidP="00D772C9">
      <w:pPr>
        <w:widowControl w:val="0"/>
        <w:autoSpaceDE w:val="0"/>
        <w:autoSpaceDN w:val="0"/>
        <w:spacing w:after="0" w:line="276" w:lineRule="auto"/>
        <w:contextualSpacing/>
        <w:jc w:val="both"/>
        <w:rPr>
          <w:rFonts w:ascii="Arial" w:eastAsia="Times New Roman" w:hAnsi="Arial" w:cs="Arial"/>
          <w:lang w:eastAsia="es-ES_tradnl"/>
        </w:rPr>
      </w:pPr>
      <w:r w:rsidRPr="00FD7A7A">
        <w:rPr>
          <w:rFonts w:ascii="Arial" w:eastAsia="Calibri" w:hAnsi="Arial" w:cs="Arial"/>
        </w:rPr>
        <w:lastRenderedPageBreak/>
        <w:t>Este concepto tiene el alcance previsto en el artículo 28 del Código de Procedimiento Administrativo y de lo Contencioso Administrativo</w:t>
      </w:r>
      <w:r w:rsidRPr="00FD7A7A">
        <w:rPr>
          <w:rFonts w:ascii="Arial" w:eastAsia="Calibri" w:hAnsi="Arial" w:cs="Arial"/>
          <w:noProof/>
          <w:lang w:eastAsia="es-CO"/>
        </w:rPr>
        <mc:AlternateContent>
          <mc:Choice Requires="wps">
            <w:drawing>
              <wp:anchor distT="0" distB="0" distL="114300" distR="114300" simplePos="0" relativeHeight="251659264" behindDoc="0" locked="0" layoutInCell="1" allowOverlap="1" wp14:anchorId="0E25D4E9" wp14:editId="5C65A8F0">
                <wp:simplePos x="0" y="0"/>
                <wp:positionH relativeFrom="page">
                  <wp:posOffset>1514475</wp:posOffset>
                </wp:positionH>
                <wp:positionV relativeFrom="paragraph">
                  <wp:posOffset>10160</wp:posOffset>
                </wp:positionV>
                <wp:extent cx="4686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15684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FD7A7A">
        <w:rPr>
          <w:rFonts w:ascii="Arial" w:eastAsia="Calibri" w:hAnsi="Arial" w:cs="Arial"/>
        </w:rPr>
        <w:t xml:space="preserve"> y las expresiones utilizadas con mayúscula inicial deben ser entendidas con el significado que les otorga el artículo 2.2.1.1.1.3.1 del Decreto 1082 de 2015.</w:t>
      </w:r>
    </w:p>
    <w:p w14:paraId="6B2CBD4F" w14:textId="77777777" w:rsidR="00D772C9" w:rsidRPr="00FD7A7A" w:rsidRDefault="00D772C9" w:rsidP="00D772C9">
      <w:pPr>
        <w:spacing w:after="120" w:line="276" w:lineRule="auto"/>
        <w:jc w:val="both"/>
        <w:rPr>
          <w:rFonts w:ascii="Arial" w:eastAsia="Times New Roman" w:hAnsi="Arial" w:cs="Arial"/>
          <w:lang w:eastAsia="es-ES_tradnl"/>
        </w:rPr>
      </w:pPr>
    </w:p>
    <w:p w14:paraId="2E676D2C" w14:textId="77777777" w:rsidR="00D772C9" w:rsidRPr="00FD7A7A" w:rsidRDefault="00D772C9" w:rsidP="00D772C9">
      <w:pPr>
        <w:spacing w:after="200" w:line="276" w:lineRule="auto"/>
        <w:jc w:val="both"/>
        <w:rPr>
          <w:rFonts w:ascii="Arial" w:eastAsia="Times New Roman" w:hAnsi="Arial" w:cs="Arial"/>
          <w:lang w:eastAsia="es-CO"/>
        </w:rPr>
      </w:pPr>
      <w:r w:rsidRPr="00FD7A7A">
        <w:rPr>
          <w:rFonts w:ascii="Arial" w:eastAsia="Times New Roman" w:hAnsi="Arial" w:cs="Arial"/>
          <w:lang w:eastAsia="es-CO"/>
        </w:rPr>
        <w:t>Atentamente,</w:t>
      </w:r>
    </w:p>
    <w:p w14:paraId="50D40162" w14:textId="34B62934" w:rsidR="00D772C9" w:rsidRPr="00FD7A7A" w:rsidRDefault="0097746A" w:rsidP="00D772C9">
      <w:pPr>
        <w:spacing w:after="200" w:line="276" w:lineRule="auto"/>
        <w:jc w:val="center"/>
        <w:rPr>
          <w:rFonts w:ascii="Arial" w:eastAsia="Calibri" w:hAnsi="Arial" w:cs="Arial"/>
          <w:b/>
          <w:bCs/>
          <w:sz w:val="20"/>
          <w:szCs w:val="20"/>
          <w:lang w:val="es-MX"/>
        </w:rPr>
      </w:pPr>
      <w:bookmarkStart w:id="18" w:name="_Hlk130981267"/>
      <w:bookmarkEnd w:id="0"/>
      <w:bookmarkEnd w:id="17"/>
      <w:r w:rsidRPr="00B90D53">
        <w:rPr>
          <w:rFonts w:ascii="Arial" w:hAnsi="Arial" w:cs="Arial"/>
          <w:noProof/>
          <w:shd w:val="clear" w:color="auto" w:fill="FFFFFF"/>
        </w:rPr>
        <w:drawing>
          <wp:inline distT="0" distB="0" distL="0" distR="0" wp14:anchorId="4B576F0E" wp14:editId="744C4AA4">
            <wp:extent cx="3156585" cy="1208405"/>
            <wp:effectExtent l="0" t="0" r="5715" b="0"/>
            <wp:docPr id="180825686" name="Imagen 18082568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6585" cy="1208405"/>
                    </a:xfrm>
                    <a:prstGeom prst="rect">
                      <a:avLst/>
                    </a:prstGeom>
                    <a:noFill/>
                    <a:ln>
                      <a:noFill/>
                    </a:ln>
                  </pic:spPr>
                </pic:pic>
              </a:graphicData>
            </a:graphic>
          </wp:inline>
        </w:drawing>
      </w:r>
      <w:r w:rsidR="00D772C9" w:rsidRPr="00FD7A7A">
        <w:rPr>
          <w:rFonts w:ascii="Calibri" w:hAnsi="Calibri" w:cs="Calibri"/>
          <w:color w:val="000000"/>
          <w:shd w:val="clear" w:color="auto" w:fill="FFFFFF"/>
        </w:rPr>
        <w:br/>
      </w:r>
      <w:r w:rsidR="00D772C9" w:rsidRPr="00FD7A7A">
        <w:rPr>
          <w:rFonts w:ascii="Calibri" w:hAnsi="Calibri" w:cs="Calibri"/>
          <w:color w:val="000000"/>
          <w:shd w:val="clear" w:color="auto" w:fill="FFFFFF"/>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57"/>
      </w:tblGrid>
      <w:tr w:rsidR="00D772C9" w:rsidRPr="00FD7A7A" w14:paraId="3684E956" w14:textId="77777777" w:rsidTr="00BC1707">
        <w:trPr>
          <w:trHeight w:val="315"/>
        </w:trPr>
        <w:tc>
          <w:tcPr>
            <w:tcW w:w="855" w:type="dxa"/>
            <w:vAlign w:val="center"/>
            <w:hideMark/>
          </w:tcPr>
          <w:p w14:paraId="7045E29E"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Elaboró:</w:t>
            </w:r>
          </w:p>
        </w:tc>
        <w:tc>
          <w:tcPr>
            <w:tcW w:w="4957" w:type="dxa"/>
            <w:tcBorders>
              <w:top w:val="nil"/>
              <w:left w:val="nil"/>
              <w:bottom w:val="dotted" w:sz="4" w:space="0" w:color="7F7F7F" w:themeColor="text1" w:themeTint="80"/>
              <w:right w:val="nil"/>
            </w:tcBorders>
            <w:vAlign w:val="center"/>
            <w:hideMark/>
          </w:tcPr>
          <w:p w14:paraId="4413B551"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Nasly Yeana Mosquera Rivas</w:t>
            </w:r>
          </w:p>
          <w:p w14:paraId="431FD03F"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Analista T2–06 de la Subdirección de Gestión Contractual</w:t>
            </w:r>
          </w:p>
        </w:tc>
      </w:tr>
      <w:tr w:rsidR="00D772C9" w:rsidRPr="00FD7A7A" w14:paraId="478FC381" w14:textId="77777777" w:rsidTr="00BC1707">
        <w:trPr>
          <w:trHeight w:val="330"/>
        </w:trPr>
        <w:tc>
          <w:tcPr>
            <w:tcW w:w="855" w:type="dxa"/>
            <w:vAlign w:val="center"/>
            <w:hideMark/>
          </w:tcPr>
          <w:p w14:paraId="23F86A07"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Revisó:</w:t>
            </w:r>
          </w:p>
        </w:tc>
        <w:tc>
          <w:tcPr>
            <w:tcW w:w="4957" w:type="dxa"/>
            <w:tcBorders>
              <w:top w:val="dotted" w:sz="4" w:space="0" w:color="7F7F7F" w:themeColor="text1" w:themeTint="80"/>
              <w:left w:val="nil"/>
              <w:bottom w:val="dotted" w:sz="4" w:space="0" w:color="7F7F7F" w:themeColor="text1" w:themeTint="80"/>
              <w:right w:val="nil"/>
            </w:tcBorders>
            <w:vAlign w:val="center"/>
            <w:hideMark/>
          </w:tcPr>
          <w:p w14:paraId="0C084398"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Ximena Ríos López</w:t>
            </w:r>
          </w:p>
          <w:p w14:paraId="3415E8C6"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Gestor T1–11 de la Subdirección de Gestión Contractual</w:t>
            </w:r>
          </w:p>
        </w:tc>
      </w:tr>
      <w:tr w:rsidR="00D772C9" w:rsidRPr="00FD7A7A" w14:paraId="6F924DFA" w14:textId="77777777" w:rsidTr="00BC1707">
        <w:trPr>
          <w:trHeight w:val="300"/>
        </w:trPr>
        <w:tc>
          <w:tcPr>
            <w:tcW w:w="855" w:type="dxa"/>
            <w:vAlign w:val="center"/>
            <w:hideMark/>
          </w:tcPr>
          <w:p w14:paraId="714C01F4"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Aprobó:</w:t>
            </w:r>
          </w:p>
        </w:tc>
        <w:tc>
          <w:tcPr>
            <w:tcW w:w="4957" w:type="dxa"/>
            <w:tcBorders>
              <w:top w:val="dotted" w:sz="4" w:space="0" w:color="7F7F7F" w:themeColor="text1" w:themeTint="80"/>
              <w:left w:val="nil"/>
              <w:bottom w:val="dotted" w:sz="4" w:space="0" w:color="7F7F7F" w:themeColor="text1" w:themeTint="80"/>
              <w:right w:val="nil"/>
            </w:tcBorders>
            <w:vAlign w:val="center"/>
            <w:hideMark/>
          </w:tcPr>
          <w:p w14:paraId="0BF3E288"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 xml:space="preserve">Nohelia del Carmen </w:t>
            </w:r>
            <w:proofErr w:type="spellStart"/>
            <w:r w:rsidRPr="00FD7A7A">
              <w:rPr>
                <w:rFonts w:ascii="Arial" w:eastAsia="Times New Roman" w:hAnsi="Arial" w:cs="Arial"/>
                <w:sz w:val="16"/>
                <w:szCs w:val="16"/>
                <w:lang w:eastAsia="es-ES"/>
              </w:rPr>
              <w:t>Zawady</w:t>
            </w:r>
            <w:proofErr w:type="spellEnd"/>
            <w:r w:rsidRPr="00FD7A7A">
              <w:rPr>
                <w:rFonts w:ascii="Arial" w:eastAsia="Times New Roman" w:hAnsi="Arial" w:cs="Arial"/>
                <w:sz w:val="16"/>
                <w:szCs w:val="16"/>
                <w:lang w:eastAsia="es-ES"/>
              </w:rPr>
              <w:t xml:space="preserve"> Palacio</w:t>
            </w:r>
          </w:p>
          <w:p w14:paraId="26463CAC" w14:textId="77777777" w:rsidR="00D772C9" w:rsidRPr="00FD7A7A" w:rsidRDefault="00D772C9" w:rsidP="00BC1707">
            <w:pPr>
              <w:rPr>
                <w:rFonts w:ascii="Arial" w:eastAsia="Times New Roman" w:hAnsi="Arial" w:cs="Arial"/>
                <w:sz w:val="16"/>
                <w:szCs w:val="16"/>
                <w:lang w:eastAsia="es-ES"/>
              </w:rPr>
            </w:pPr>
            <w:r w:rsidRPr="00FD7A7A">
              <w:rPr>
                <w:rFonts w:ascii="Arial" w:eastAsia="Times New Roman" w:hAnsi="Arial" w:cs="Arial"/>
                <w:sz w:val="16"/>
                <w:szCs w:val="16"/>
                <w:lang w:eastAsia="es-ES"/>
              </w:rPr>
              <w:t>Subdirectora de Gestión Contractual ANCP – CCE</w:t>
            </w:r>
          </w:p>
        </w:tc>
      </w:tr>
      <w:bookmarkEnd w:id="1"/>
      <w:bookmarkEnd w:id="2"/>
      <w:bookmarkEnd w:id="3"/>
      <w:bookmarkEnd w:id="4"/>
      <w:bookmarkEnd w:id="18"/>
    </w:tbl>
    <w:p w14:paraId="5AC65233" w14:textId="77777777" w:rsidR="00D772C9" w:rsidRPr="00FD7A7A" w:rsidRDefault="00D772C9" w:rsidP="00D772C9"/>
    <w:p w14:paraId="054C5B67" w14:textId="77777777" w:rsidR="00D772C9" w:rsidRPr="00FD7A7A" w:rsidRDefault="00D772C9" w:rsidP="00D772C9"/>
    <w:p w14:paraId="5D5B2EF8" w14:textId="77777777" w:rsidR="00D772C9" w:rsidRPr="00FD7A7A" w:rsidRDefault="00D772C9" w:rsidP="00D772C9"/>
    <w:p w14:paraId="622000CE" w14:textId="77777777" w:rsidR="008E5C2E" w:rsidRDefault="008E5C2E"/>
    <w:sectPr w:rsidR="008E5C2E"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D375" w14:textId="77777777" w:rsidR="00D772C9" w:rsidRDefault="00D772C9" w:rsidP="00D772C9">
      <w:pPr>
        <w:spacing w:after="0" w:line="240" w:lineRule="auto"/>
      </w:pPr>
      <w:r>
        <w:separator/>
      </w:r>
    </w:p>
  </w:endnote>
  <w:endnote w:type="continuationSeparator" w:id="0">
    <w:p w14:paraId="057C6BD8" w14:textId="77777777" w:rsidR="00D772C9" w:rsidRDefault="00D772C9" w:rsidP="00D7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6C4A" w14:textId="77777777" w:rsidR="00D772C9" w:rsidRDefault="00D772C9">
    <w:pPr>
      <w:pStyle w:val="Piedepgina"/>
    </w:pPr>
    <w:r>
      <w:rPr>
        <w:noProof/>
      </w:rPr>
      <w:drawing>
        <wp:inline distT="0" distB="0" distL="0" distR="0" wp14:anchorId="04354B8A" wp14:editId="0B9F9CA4">
          <wp:extent cx="5612130" cy="650240"/>
          <wp:effectExtent l="0" t="0" r="7620" b="0"/>
          <wp:docPr id="1013471023" name="Picture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0548F934" wp14:editId="5B8CE72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Picture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26AF5CA9"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29A822C2" w14:textId="77777777" w:rsidR="00D772C9" w:rsidRPr="003F3941" w:rsidRDefault="00D772C9"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24A3815" w14:textId="77777777" w:rsidR="00D772C9" w:rsidRPr="003F3941" w:rsidRDefault="00D772C9"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4563BAB" w14:textId="77777777" w:rsidR="00D772C9" w:rsidRPr="003F3941" w:rsidRDefault="00D772C9"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B3BF83F" w14:textId="77777777" w:rsidR="00D772C9" w:rsidRPr="003F3941" w:rsidRDefault="00D772C9"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308275B8" w14:textId="77777777" w:rsidR="00D772C9" w:rsidRDefault="00D772C9"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A485" w14:textId="77777777" w:rsidR="00D772C9" w:rsidRDefault="00D772C9" w:rsidP="00D772C9">
      <w:pPr>
        <w:spacing w:after="0" w:line="240" w:lineRule="auto"/>
      </w:pPr>
      <w:r>
        <w:separator/>
      </w:r>
    </w:p>
  </w:footnote>
  <w:footnote w:type="continuationSeparator" w:id="0">
    <w:p w14:paraId="20B75088" w14:textId="77777777" w:rsidR="00D772C9" w:rsidRDefault="00D772C9" w:rsidP="00D772C9">
      <w:pPr>
        <w:spacing w:after="0" w:line="240" w:lineRule="auto"/>
      </w:pPr>
      <w:r>
        <w:continuationSeparator/>
      </w:r>
    </w:p>
  </w:footnote>
  <w:footnote w:id="1">
    <w:p w14:paraId="4A7F20A8" w14:textId="77777777" w:rsidR="00D772C9" w:rsidRPr="00AE2707" w:rsidRDefault="00D772C9" w:rsidP="00D772C9">
      <w:pPr>
        <w:pStyle w:val="Textonotapie"/>
        <w:ind w:firstLine="708"/>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E2707">
        <w:rPr>
          <w:rFonts w:ascii="Arial" w:hAnsi="Arial" w:cs="Arial"/>
          <w:i/>
          <w:iCs/>
          <w:sz w:val="12"/>
          <w:szCs w:val="12"/>
        </w:rPr>
        <w:t xml:space="preserve">ibidem </w:t>
      </w:r>
      <w:r w:rsidRPr="00AE2707">
        <w:rPr>
          <w:rFonts w:ascii="Arial" w:hAnsi="Arial" w:cs="Arial"/>
          <w:sz w:val="12"/>
          <w:szCs w:val="12"/>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0A14B197" w14:textId="77777777" w:rsidR="00D772C9" w:rsidRPr="00AE2707" w:rsidRDefault="00D772C9" w:rsidP="00D772C9">
      <w:pPr>
        <w:pStyle w:val="Textonotapie"/>
        <w:ind w:firstLine="708"/>
        <w:jc w:val="both"/>
        <w:rPr>
          <w:rFonts w:ascii="Arial" w:hAnsi="Arial" w:cs="Arial"/>
          <w:sz w:val="12"/>
          <w:szCs w:val="12"/>
          <w:lang w:val="es-ES"/>
        </w:rPr>
      </w:pPr>
    </w:p>
  </w:footnote>
  <w:footnote w:id="2">
    <w:p w14:paraId="56ED9830" w14:textId="77777777" w:rsidR="00D772C9" w:rsidRDefault="00D772C9" w:rsidP="00D772C9">
      <w:pPr>
        <w:pStyle w:val="Textonotapie"/>
        <w:ind w:firstLine="709"/>
        <w:jc w:val="both"/>
        <w:rPr>
          <w:rStyle w:val="Hipervnculo"/>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AE2707">
          <w:rPr>
            <w:rStyle w:val="Hipervnculo"/>
            <w:rFonts w:ascii="Arial" w:hAnsi="Arial" w:cs="Arial"/>
            <w:sz w:val="12"/>
            <w:szCs w:val="12"/>
          </w:rPr>
          <w:t>https://relatoria.colombiacompra.gov.co/busqueda/conceptos</w:t>
        </w:r>
      </w:hyperlink>
    </w:p>
    <w:p w14:paraId="73F45B53" w14:textId="77777777" w:rsidR="00D772C9" w:rsidRPr="00AE2707" w:rsidRDefault="00D772C9" w:rsidP="00D772C9">
      <w:pPr>
        <w:pStyle w:val="Textonotapie"/>
        <w:ind w:firstLine="709"/>
        <w:jc w:val="both"/>
        <w:rPr>
          <w:rFonts w:ascii="Arial" w:hAnsi="Arial" w:cs="Arial"/>
          <w:sz w:val="12"/>
          <w:szCs w:val="12"/>
        </w:rPr>
      </w:pPr>
      <w:r w:rsidRPr="00AE2707">
        <w:rPr>
          <w:rStyle w:val="Hipervnculo"/>
          <w:rFonts w:ascii="Arial" w:hAnsi="Arial" w:cs="Arial"/>
          <w:sz w:val="12"/>
          <w:szCs w:val="12"/>
        </w:rPr>
        <w:t xml:space="preserve"> </w:t>
      </w:r>
      <w:r w:rsidRPr="00AE2707">
        <w:rPr>
          <w:rFonts w:ascii="Arial" w:hAnsi="Arial" w:cs="Arial"/>
          <w:sz w:val="12"/>
          <w:szCs w:val="12"/>
          <w:shd w:val="clear" w:color="auto" w:fill="E6E6E6"/>
        </w:rPr>
        <w:t xml:space="preserve"> </w:t>
      </w:r>
    </w:p>
  </w:footnote>
  <w:footnote w:id="3">
    <w:p w14:paraId="006082F5" w14:textId="77777777" w:rsidR="00D772C9" w:rsidRPr="00AE2707" w:rsidRDefault="00D772C9" w:rsidP="00D772C9">
      <w:pPr>
        <w:pStyle w:val="Textonotapie"/>
        <w:ind w:firstLine="709"/>
        <w:jc w:val="both"/>
        <w:rPr>
          <w:rFonts w:ascii="Arial" w:hAnsi="Arial" w:cs="Arial"/>
          <w:sz w:val="12"/>
          <w:szCs w:val="12"/>
          <w:lang w:val="es-ES_tradnl"/>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pt-BR"/>
        </w:rPr>
        <w:t>CORTE CONSTITUCIONAL. Sentencia C-1016 de 2012. M.P. Jorge Iván Palacio.</w:t>
      </w:r>
    </w:p>
  </w:footnote>
  <w:footnote w:id="4">
    <w:p w14:paraId="118C919A" w14:textId="77777777" w:rsidR="00D772C9" w:rsidRPr="00AE2707" w:rsidRDefault="00D772C9" w:rsidP="00D772C9">
      <w:pPr>
        <w:pStyle w:val="Textonotapie"/>
        <w:ind w:firstLine="709"/>
        <w:jc w:val="both"/>
        <w:rPr>
          <w:rFonts w:ascii="Arial" w:hAnsi="Arial" w:cs="Arial"/>
          <w:sz w:val="12"/>
          <w:szCs w:val="12"/>
          <w:lang w:val="pt-BR"/>
        </w:rPr>
      </w:pPr>
      <w:r w:rsidRPr="00AE2707">
        <w:rPr>
          <w:rStyle w:val="Refdenotaalpie"/>
          <w:rFonts w:ascii="Arial" w:hAnsi="Arial" w:cs="Arial"/>
          <w:sz w:val="12"/>
          <w:szCs w:val="12"/>
        </w:rPr>
        <w:footnoteRef/>
      </w:r>
      <w:r w:rsidRPr="00AE2707">
        <w:rPr>
          <w:rFonts w:ascii="Arial" w:hAnsi="Arial" w:cs="Arial"/>
          <w:sz w:val="12"/>
          <w:szCs w:val="12"/>
        </w:rPr>
        <w:t xml:space="preserve"> CONSEJO DE ESTADO. Sección Tercera. Subsección A. Sentencia del 13 de noviembre de 2013. </w:t>
      </w:r>
      <w:r w:rsidRPr="00AE2707">
        <w:rPr>
          <w:rFonts w:ascii="Arial" w:hAnsi="Arial" w:cs="Arial"/>
          <w:sz w:val="12"/>
          <w:szCs w:val="12"/>
          <w:lang w:val="pt-BR"/>
        </w:rPr>
        <w:t xml:space="preserve">Rad. 25.646. C.P. Mauricio Fajardo Gómez.  </w:t>
      </w:r>
    </w:p>
    <w:p w14:paraId="58BA74F2" w14:textId="77777777" w:rsidR="00D772C9" w:rsidRPr="00AE2707" w:rsidRDefault="00D772C9" w:rsidP="00D772C9">
      <w:pPr>
        <w:pStyle w:val="Textonotapie"/>
        <w:ind w:firstLine="709"/>
        <w:jc w:val="both"/>
        <w:rPr>
          <w:rFonts w:ascii="Arial" w:hAnsi="Arial" w:cs="Arial"/>
          <w:sz w:val="12"/>
          <w:szCs w:val="12"/>
          <w:lang w:val="es-ES_tradnl"/>
        </w:rPr>
      </w:pPr>
    </w:p>
  </w:footnote>
  <w:footnote w:id="5">
    <w:p w14:paraId="0425525F" w14:textId="77777777" w:rsidR="00D772C9" w:rsidRPr="00AE2707" w:rsidRDefault="00D772C9" w:rsidP="00D772C9">
      <w:pPr>
        <w:pStyle w:val="Textonotapie"/>
        <w:ind w:firstLine="709"/>
        <w:jc w:val="both"/>
        <w:rPr>
          <w:rFonts w:ascii="Arial" w:hAnsi="Arial" w:cs="Arial"/>
          <w:sz w:val="12"/>
          <w:szCs w:val="12"/>
          <w:lang w:val="es-ES_tradnl"/>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pt-BR"/>
        </w:rPr>
        <w:t>CORTE CONSTITUCIONAL. Sentencia C-415 de 1994. M.P. Eduardo Cifuentes Muñoz.</w:t>
      </w:r>
    </w:p>
  </w:footnote>
  <w:footnote w:id="6">
    <w:p w14:paraId="26D5C621" w14:textId="77777777" w:rsidR="00D772C9" w:rsidRPr="00AE2707" w:rsidRDefault="00D772C9" w:rsidP="00D772C9">
      <w:pPr>
        <w:pStyle w:val="Textonotapie"/>
        <w:ind w:firstLine="709"/>
        <w:jc w:val="both"/>
        <w:rPr>
          <w:rFonts w:ascii="Arial" w:hAnsi="Arial" w:cs="Arial"/>
          <w:sz w:val="12"/>
          <w:szCs w:val="12"/>
        </w:rPr>
      </w:pPr>
    </w:p>
    <w:p w14:paraId="721E9BA1" w14:textId="77777777" w:rsidR="00D772C9" w:rsidRPr="00AE2707" w:rsidRDefault="00D772C9" w:rsidP="00D772C9">
      <w:pPr>
        <w:pStyle w:val="Textonotapie"/>
        <w:ind w:firstLine="709"/>
        <w:jc w:val="both"/>
        <w:rPr>
          <w:rFonts w:ascii="Arial" w:hAnsi="Arial" w:cs="Arial"/>
          <w:sz w:val="12"/>
          <w:szCs w:val="12"/>
          <w:lang w:val="pt-BR"/>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pt-BR"/>
        </w:rPr>
        <w:t>Ibídem.</w:t>
      </w:r>
    </w:p>
    <w:p w14:paraId="1B455FCF" w14:textId="77777777" w:rsidR="00D772C9" w:rsidRPr="00AE2707" w:rsidRDefault="00D772C9" w:rsidP="00D772C9">
      <w:pPr>
        <w:pStyle w:val="Textonotapie"/>
        <w:ind w:firstLine="709"/>
        <w:jc w:val="both"/>
        <w:rPr>
          <w:rFonts w:ascii="Arial" w:hAnsi="Arial" w:cs="Arial"/>
          <w:sz w:val="12"/>
          <w:szCs w:val="12"/>
          <w:lang w:val="pt-BR"/>
        </w:rPr>
      </w:pPr>
    </w:p>
  </w:footnote>
  <w:footnote w:id="7">
    <w:p w14:paraId="4F794677" w14:textId="77777777" w:rsidR="00D772C9" w:rsidRPr="004D3F6E" w:rsidRDefault="00D772C9" w:rsidP="00D772C9">
      <w:pPr>
        <w:pStyle w:val="Textonotapie"/>
        <w:ind w:firstLine="709"/>
        <w:jc w:val="both"/>
        <w:rPr>
          <w:rFonts w:ascii="Arial" w:hAnsi="Arial" w:cs="Arial"/>
          <w:sz w:val="12"/>
          <w:szCs w:val="12"/>
          <w:lang w:val="es-CO"/>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pt-BR"/>
        </w:rPr>
        <w:t xml:space="preserve">CORTE CONSTITUCIONAL. </w:t>
      </w:r>
      <w:r w:rsidRPr="00AE2707">
        <w:rPr>
          <w:rFonts w:ascii="Arial" w:hAnsi="Arial" w:cs="Arial"/>
          <w:sz w:val="12"/>
          <w:szCs w:val="12"/>
        </w:rPr>
        <w:t xml:space="preserve">Sentencia C-780 de 2001. </w:t>
      </w:r>
      <w:r w:rsidRPr="004D3F6E">
        <w:rPr>
          <w:rFonts w:ascii="Arial" w:hAnsi="Arial" w:cs="Arial"/>
          <w:sz w:val="12"/>
          <w:szCs w:val="12"/>
          <w:lang w:val="es-CO"/>
        </w:rPr>
        <w:t xml:space="preserve">M.P. Jaime Córdoba Triviño. </w:t>
      </w:r>
    </w:p>
  </w:footnote>
  <w:footnote w:id="8">
    <w:p w14:paraId="7A911AE5" w14:textId="77777777" w:rsidR="00D772C9" w:rsidRPr="00AE2707" w:rsidRDefault="00D772C9" w:rsidP="00D772C9">
      <w:pPr>
        <w:pStyle w:val="NormalWeb"/>
        <w:spacing w:after="0"/>
        <w:ind w:firstLine="709"/>
        <w:jc w:val="both"/>
        <w:rPr>
          <w:rFonts w:ascii="Arial" w:hAnsi="Arial" w:cs="Arial"/>
          <w:sz w:val="12"/>
          <w:szCs w:val="12"/>
        </w:rPr>
      </w:pPr>
    </w:p>
    <w:p w14:paraId="2BC1B0F7"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Ley 80 de 1993: “Artículo 8: 1o. Son inhábiles para participar en licitaciones o concursos y para celebrar contratos con las entidades estatales: </w:t>
      </w:r>
    </w:p>
    <w:p w14:paraId="40AEAB41"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a) Las personas que se hallen inhabilitadas para contratar por la Constitución y las leyes. </w:t>
      </w:r>
    </w:p>
    <w:p w14:paraId="07ECA6F2"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b) Quienes participaron en las licitaciones o concursos o celebraron los contratos de que trata el literal anterior estando inhabilitados. </w:t>
      </w:r>
    </w:p>
    <w:p w14:paraId="1CCD4C96"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c) Quienes dieron lugar a la declaratoria de caducidad. </w:t>
      </w:r>
    </w:p>
    <w:p w14:paraId="0AFFD297"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d) Quienes en sentencia judicial hayan sido condenados a la pena accesoria de interdicción de derechos y funciones públicas y quienes hayan sido sancionados disciplinariamente con destitución. </w:t>
      </w:r>
    </w:p>
    <w:p w14:paraId="133E91E5"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e) Quienes sin justa causa se abstengan de suscribir el contrato estatal adjudicado. </w:t>
      </w:r>
    </w:p>
    <w:p w14:paraId="626FCA04"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f) Los servidores públicos. </w:t>
      </w:r>
    </w:p>
    <w:p w14:paraId="75A5F4C2"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g) Quienes sean cónyuges o compañeros permanentes y quienes se encuentren dentro del segundo grado de consanguinidad o segundo de afinidad con cualquier otra persona que formalmente haya presentado propuesta para una misma licitación o concurso. </w:t>
      </w:r>
    </w:p>
    <w:p w14:paraId="7AABB999"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28FC1DFE"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i) Los socios de sociedades de personas a las cuales se haya declarado la caducidad, así como las sociedades de personas de las que aquellos formen parte con posterioridad a dicha declaratoria. </w:t>
      </w:r>
    </w:p>
    <w:p w14:paraId="6B17530A"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78D9A88E"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51244E97"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AE2707">
        <w:rPr>
          <w:rFonts w:ascii="Arial" w:hAnsi="Arial" w:cs="Arial"/>
          <w:sz w:val="12"/>
          <w:szCs w:val="12"/>
          <w:lang w:val="es-E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AE2707">
        <w:rPr>
          <w:rFonts w:ascii="Arial" w:hAnsi="Arial" w:cs="Arial"/>
          <w:sz w:val="12"/>
          <w:szCs w:val="12"/>
          <w:lang w:val="es-ES"/>
        </w:rPr>
        <w:softHyphen/>
        <w:t>cepción de las sociedades anónimas abiertas. También se considerarán inhabilitadas para contratar, las personas jurídicas sobre las cuales se haya ordenado la suspensión de la perso</w:t>
      </w:r>
      <w:r w:rsidRPr="00AE2707">
        <w:rPr>
          <w:rFonts w:ascii="Arial" w:hAnsi="Arial" w:cs="Arial"/>
          <w:sz w:val="12"/>
          <w:szCs w:val="12"/>
          <w:lang w:val="es-ES"/>
        </w:rPr>
        <w:softHyphen/>
        <w:t>nería jurídica en los términos de ley, o cuyos representantes legales, ad</w:t>
      </w:r>
      <w:r w:rsidRPr="00AE2707">
        <w:rPr>
          <w:rFonts w:ascii="Arial" w:hAnsi="Arial" w:cs="Arial"/>
          <w:sz w:val="12"/>
          <w:szCs w:val="12"/>
          <w:lang w:val="es-E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AE2707">
        <w:rPr>
          <w:rFonts w:ascii="Arial" w:hAnsi="Arial" w:cs="Arial"/>
          <w:sz w:val="12"/>
          <w:szCs w:val="12"/>
          <w:lang w:val="es-E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78E7CC32"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w:t>
      </w:r>
    </w:p>
    <w:p w14:paraId="6F919618" w14:textId="77777777" w:rsidR="00D772C9" w:rsidRPr="00AE2707" w:rsidRDefault="00D772C9" w:rsidP="00D772C9">
      <w:pPr>
        <w:pStyle w:val="NormalWeb"/>
        <w:spacing w:after="0"/>
        <w:ind w:firstLine="709"/>
        <w:jc w:val="both"/>
        <w:rPr>
          <w:rFonts w:ascii="Arial" w:hAnsi="Arial" w:cs="Arial"/>
          <w:sz w:val="12"/>
          <w:szCs w:val="12"/>
          <w:lang w:val="es-ES"/>
        </w:rPr>
      </w:pPr>
      <w:r w:rsidRPr="00AE2707">
        <w:rPr>
          <w:rFonts w:ascii="Arial" w:hAnsi="Arial" w:cs="Arial"/>
          <w:sz w:val="12"/>
          <w:szCs w:val="12"/>
          <w:lang w:val="es-ES"/>
        </w:rPr>
        <w:t>2o. Tampoco podrán participar en licitaciones o concursos ni celebrar contratos estatales con la entidad respectiva: </w:t>
      </w:r>
    </w:p>
    <w:p w14:paraId="3F380158"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629852BA"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08AA8789"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c) El cónyuge, compañero o compañera permanente del servidor público en los niveles directivo, asesor, ejecutivo, o de un miembro de la junta o consejo directivo, o de quien ejerza funciones de control interno o de control fiscal. </w:t>
      </w:r>
    </w:p>
    <w:p w14:paraId="111E3DB5"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5031FF4D"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e) Los miembros de las juntas o consejos directivos. Esta incompatibilidad sólo se predica respecto de la entidad a la cual prestan sus servicios y de las del sector administrativo al que la misma esté adscrita o vinculada. </w:t>
      </w:r>
    </w:p>
    <w:p w14:paraId="291C0FCE" w14:textId="77777777" w:rsidR="00D772C9" w:rsidRPr="00AE2707" w:rsidRDefault="00D772C9" w:rsidP="00D772C9">
      <w:pPr>
        <w:pStyle w:val="NormalWeb"/>
        <w:spacing w:after="0"/>
        <w:ind w:firstLine="708"/>
        <w:jc w:val="both"/>
        <w:rPr>
          <w:rFonts w:ascii="Arial" w:hAnsi="Arial" w:cs="Arial"/>
          <w:sz w:val="12"/>
          <w:szCs w:val="12"/>
          <w:lang w:val="es-ES"/>
        </w:rPr>
      </w:pPr>
      <w:r w:rsidRPr="00AE2707">
        <w:rPr>
          <w:rFonts w:ascii="Arial" w:hAnsi="Arial" w:cs="Arial"/>
          <w:sz w:val="12"/>
          <w:szCs w:val="12"/>
          <w:lang w:val="es-E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 </w:t>
      </w:r>
    </w:p>
  </w:footnote>
  <w:footnote w:id="9">
    <w:p w14:paraId="34971BB7"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240F1911"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Las personas jurídicas nacionales y extranjeras deberán acreditar que su duración no será inferior a la del plazo del contrato y un año más”.</w:t>
      </w:r>
    </w:p>
  </w:footnote>
  <w:footnote w:id="10">
    <w:p w14:paraId="724175FE" w14:textId="77777777" w:rsidR="00D772C9" w:rsidRPr="00AE2707" w:rsidRDefault="00D772C9" w:rsidP="00D772C9">
      <w:pPr>
        <w:pStyle w:val="Textonotapie"/>
        <w:ind w:firstLine="709"/>
        <w:jc w:val="both"/>
        <w:rPr>
          <w:rFonts w:ascii="Arial" w:hAnsi="Arial" w:cs="Arial"/>
          <w:sz w:val="12"/>
          <w:szCs w:val="12"/>
        </w:rPr>
      </w:pPr>
    </w:p>
    <w:p w14:paraId="545882CA"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1502. Requisitos para obligarse. Para que una persona se obligue a otra por un acto o declaración de voluntad, es necesario:</w:t>
      </w:r>
    </w:p>
    <w:p w14:paraId="629E606A"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1o.) que sea legalmente capaz.</w:t>
      </w:r>
    </w:p>
    <w:p w14:paraId="70E5A4F6"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w:t>
      </w:r>
    </w:p>
    <w:p w14:paraId="34F66522"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La capacidad legal de una persona consiste en poderse obligar por sí misma, sin el ministerio o la autorización de otra”.</w:t>
      </w:r>
    </w:p>
  </w:footnote>
  <w:footnote w:id="11">
    <w:p w14:paraId="6B929540" w14:textId="77777777" w:rsidR="00D772C9" w:rsidRPr="00AE2707" w:rsidRDefault="00D772C9" w:rsidP="00D772C9">
      <w:pPr>
        <w:pStyle w:val="Textonotapie"/>
        <w:ind w:firstLine="709"/>
        <w:jc w:val="both"/>
        <w:rPr>
          <w:rFonts w:ascii="Arial" w:hAnsi="Arial" w:cs="Arial"/>
          <w:sz w:val="12"/>
          <w:szCs w:val="12"/>
        </w:rPr>
      </w:pPr>
    </w:p>
    <w:p w14:paraId="7174B886"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Decreto Ley 19 de 2012: “Artículo 221. El artículo 6 de la Ley 1150 de 2007, quedará así:</w:t>
      </w:r>
    </w:p>
    <w:p w14:paraId="25D7EBAF" w14:textId="77777777" w:rsidR="00D772C9" w:rsidRPr="00AE2707" w:rsidRDefault="00D772C9" w:rsidP="00D772C9">
      <w:pPr>
        <w:pStyle w:val="Textonotapie"/>
        <w:ind w:firstLine="709"/>
        <w:jc w:val="both"/>
        <w:rPr>
          <w:rFonts w:ascii="Arial" w:hAnsi="Arial" w:cs="Arial"/>
          <w:sz w:val="12"/>
          <w:szCs w:val="12"/>
          <w:lang w:val="es-ES"/>
        </w:rPr>
      </w:pPr>
      <w:r w:rsidRPr="00AE2707">
        <w:rPr>
          <w:rFonts w:ascii="Arial" w:hAnsi="Arial" w:cs="Arial"/>
          <w:sz w:val="12"/>
          <w:szCs w:val="12"/>
        </w:rPr>
        <w:t>Artículo 6. De la verificación de las condiciones de los proponentes. T</w:t>
      </w:r>
      <w:r w:rsidRPr="00AE2707">
        <w:rPr>
          <w:rFonts w:ascii="Arial" w:hAnsi="Arial" w:cs="Arial"/>
          <w:sz w:val="12"/>
          <w:szCs w:val="12"/>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7796DEA" w14:textId="77777777" w:rsidR="00D772C9" w:rsidRPr="00AE2707" w:rsidRDefault="00D772C9" w:rsidP="00D772C9">
      <w:pPr>
        <w:pStyle w:val="Textonotapie"/>
        <w:ind w:firstLine="709"/>
        <w:jc w:val="both"/>
        <w:rPr>
          <w:rFonts w:ascii="Arial" w:hAnsi="Arial" w:cs="Arial"/>
          <w:sz w:val="12"/>
          <w:szCs w:val="12"/>
          <w:lang w:val="es-ES"/>
        </w:rPr>
      </w:pPr>
      <w:r w:rsidRPr="00AE2707">
        <w:rPr>
          <w:rFonts w:ascii="Arial" w:hAnsi="Arial" w:cs="Arial"/>
          <w:sz w:val="12"/>
          <w:szCs w:val="12"/>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2">
    <w:p w14:paraId="387AA5F1" w14:textId="77777777" w:rsidR="00D772C9" w:rsidRPr="00AE2707"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AE2707">
        <w:rPr>
          <w:rFonts w:ascii="Arial" w:hAnsi="Arial" w:cs="Arial"/>
          <w:i/>
          <w:iCs/>
          <w:sz w:val="12"/>
          <w:szCs w:val="12"/>
          <w:lang w:val="es-ES"/>
        </w:rPr>
        <w:t>el régimen de inhabilidades e incompatibilidades</w:t>
      </w:r>
      <w:r w:rsidRPr="00AE2707">
        <w:rPr>
          <w:rFonts w:ascii="Arial" w:hAnsi="Arial" w:cs="Arial"/>
          <w:sz w:val="12"/>
          <w:szCs w:val="12"/>
          <w:lang w:val="es-ES"/>
        </w:rPr>
        <w:t xml:space="preserve"> (1) y la obligación de ciertos proponentes de inscribirse en el </w:t>
      </w:r>
      <w:r w:rsidRPr="00AE2707">
        <w:rPr>
          <w:rFonts w:ascii="Arial" w:hAnsi="Arial" w:cs="Arial"/>
          <w:i/>
          <w:iCs/>
          <w:sz w:val="12"/>
          <w:szCs w:val="12"/>
          <w:lang w:val="es-ES"/>
        </w:rPr>
        <w:t>registro único</w:t>
      </w:r>
      <w:r w:rsidRPr="00AE2707">
        <w:rPr>
          <w:rFonts w:ascii="Arial" w:hAnsi="Arial" w:cs="Arial"/>
          <w:sz w:val="12"/>
          <w:szCs w:val="12"/>
          <w:lang w:val="es-ES"/>
        </w:rPr>
        <w:t xml:space="preserve"> (2)” (BENAVIDES, José Luis. El contrato estatal. Entre el Derecho público y el Derecho privado. 2ª ed. Bogotá: Universidad Externado de Colombia, 2004. p. 278). </w:t>
      </w:r>
    </w:p>
  </w:footnote>
  <w:footnote w:id="13">
    <w:p w14:paraId="543CD2A9" w14:textId="77777777" w:rsidR="00D772C9" w:rsidRPr="00AE2707" w:rsidRDefault="00D772C9" w:rsidP="00D772C9">
      <w:pPr>
        <w:spacing w:after="0" w:line="240" w:lineRule="auto"/>
        <w:ind w:firstLine="709"/>
        <w:jc w:val="both"/>
        <w:rPr>
          <w:rFonts w:ascii="Arial" w:hAnsi="Arial" w:cs="Arial"/>
          <w:sz w:val="12"/>
          <w:szCs w:val="12"/>
        </w:rPr>
      </w:pPr>
    </w:p>
    <w:p w14:paraId="3C6A7B81" w14:textId="77777777" w:rsidR="00D772C9" w:rsidRPr="00AE2707" w:rsidRDefault="00D772C9" w:rsidP="00D772C9">
      <w:pPr>
        <w:spacing w:after="0" w:line="240" w:lineRule="auto"/>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footnote>
  <w:footnote w:id="14">
    <w:p w14:paraId="5C10E319" w14:textId="77777777" w:rsidR="00D772C9" w:rsidRPr="00AE2707" w:rsidRDefault="00D772C9" w:rsidP="00D772C9">
      <w:pPr>
        <w:pStyle w:val="Textonotapie"/>
        <w:ind w:firstLine="709"/>
        <w:jc w:val="both"/>
        <w:rPr>
          <w:rFonts w:ascii="Arial" w:hAnsi="Arial" w:cs="Arial"/>
          <w:sz w:val="12"/>
          <w:szCs w:val="12"/>
        </w:rPr>
      </w:pPr>
    </w:p>
    <w:p w14:paraId="0EE50AC1" w14:textId="77777777" w:rsidR="00D772C9" w:rsidRPr="00AE2707"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footnote>
  <w:footnote w:id="15">
    <w:p w14:paraId="03DA4B55" w14:textId="77777777" w:rsidR="00D772C9" w:rsidRPr="00AE2707" w:rsidRDefault="00D772C9" w:rsidP="00D772C9">
      <w:pPr>
        <w:pStyle w:val="Textonotapie"/>
        <w:ind w:firstLine="709"/>
        <w:jc w:val="both"/>
        <w:rPr>
          <w:rFonts w:ascii="Arial" w:hAnsi="Arial" w:cs="Arial"/>
          <w:sz w:val="12"/>
          <w:szCs w:val="12"/>
        </w:rPr>
      </w:pPr>
    </w:p>
    <w:p w14:paraId="6888BEB6" w14:textId="77777777" w:rsidR="00D772C9"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w:t>
      </w:r>
    </w:p>
    <w:p w14:paraId="61094D38" w14:textId="77777777" w:rsidR="00D772C9" w:rsidRPr="00AE2707" w:rsidRDefault="00D772C9" w:rsidP="00D772C9">
      <w:pPr>
        <w:pStyle w:val="Textonotapie"/>
        <w:ind w:firstLine="709"/>
        <w:jc w:val="both"/>
        <w:rPr>
          <w:rFonts w:ascii="Arial" w:hAnsi="Arial" w:cs="Arial"/>
          <w:sz w:val="12"/>
          <w:szCs w:val="12"/>
          <w:lang w:val="es-ES"/>
        </w:rPr>
      </w:pPr>
    </w:p>
  </w:footnote>
  <w:footnote w:id="16">
    <w:p w14:paraId="3CE435E9" w14:textId="77777777" w:rsidR="00D772C9" w:rsidRPr="00AE2707" w:rsidRDefault="00D772C9" w:rsidP="00D772C9">
      <w:pPr>
        <w:spacing w:after="0" w:line="240" w:lineRule="auto"/>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17">
    <w:p w14:paraId="19F4F9F2" w14:textId="77777777" w:rsidR="00D772C9" w:rsidRPr="00AE2707" w:rsidRDefault="00D772C9" w:rsidP="00D772C9">
      <w:pPr>
        <w:pStyle w:val="Textonotapie"/>
        <w:ind w:firstLine="709"/>
        <w:jc w:val="both"/>
        <w:rPr>
          <w:rFonts w:ascii="Arial" w:hAnsi="Arial" w:cs="Arial"/>
          <w:sz w:val="12"/>
          <w:szCs w:val="12"/>
        </w:rPr>
      </w:pPr>
    </w:p>
    <w:p w14:paraId="66258BA2"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8">
    <w:p w14:paraId="496AB412" w14:textId="77777777" w:rsidR="00D772C9" w:rsidRPr="00AE2707" w:rsidRDefault="00D772C9" w:rsidP="00D772C9">
      <w:pPr>
        <w:pStyle w:val="Textonotapie"/>
        <w:ind w:firstLine="709"/>
        <w:jc w:val="both"/>
        <w:rPr>
          <w:rFonts w:ascii="Arial" w:hAnsi="Arial" w:cs="Arial"/>
          <w:sz w:val="12"/>
          <w:szCs w:val="12"/>
        </w:rPr>
      </w:pPr>
    </w:p>
    <w:p w14:paraId="1D8AF7CC" w14:textId="77777777" w:rsidR="00D772C9" w:rsidRPr="00AE2707"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19">
    <w:p w14:paraId="77511E1B" w14:textId="77777777" w:rsidR="00D772C9" w:rsidRPr="00AE2707" w:rsidRDefault="00D772C9" w:rsidP="00D772C9">
      <w:pPr>
        <w:pStyle w:val="Textonotapie"/>
        <w:ind w:firstLine="709"/>
        <w:jc w:val="both"/>
        <w:rPr>
          <w:rFonts w:ascii="Arial" w:hAnsi="Arial" w:cs="Arial"/>
          <w:sz w:val="12"/>
          <w:szCs w:val="12"/>
        </w:rPr>
      </w:pPr>
    </w:p>
    <w:p w14:paraId="7DFCD935" w14:textId="77777777" w:rsidR="00D772C9" w:rsidRPr="00AE2707" w:rsidRDefault="00D772C9" w:rsidP="00D772C9">
      <w:pPr>
        <w:pStyle w:val="Textonotapie"/>
        <w:ind w:firstLine="709"/>
        <w:jc w:val="both"/>
        <w:rPr>
          <w:rFonts w:ascii="Arial" w:hAnsi="Arial" w:cs="Arial"/>
          <w:sz w:val="12"/>
          <w:szCs w:val="12"/>
          <w:lang w:val="es-ES_tradnl"/>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Ibídem. p. 69.</w:t>
      </w:r>
    </w:p>
  </w:footnote>
  <w:footnote w:id="20">
    <w:p w14:paraId="6825B991" w14:textId="77777777" w:rsidR="00D772C9" w:rsidRPr="00AE2707"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0A4CDE80" w14:textId="77777777" w:rsidR="00D772C9" w:rsidRPr="00AE2707" w:rsidRDefault="00D772C9" w:rsidP="00D772C9">
      <w:pPr>
        <w:pStyle w:val="Textonotapie"/>
        <w:ind w:firstLine="709"/>
        <w:jc w:val="both"/>
        <w:rPr>
          <w:rFonts w:ascii="Arial" w:hAnsi="Arial" w:cs="Arial"/>
          <w:sz w:val="12"/>
          <w:szCs w:val="12"/>
          <w:lang w:val="es-ES"/>
        </w:rPr>
      </w:pPr>
    </w:p>
  </w:footnote>
  <w:footnote w:id="21">
    <w:p w14:paraId="42007A6A" w14:textId="77777777" w:rsidR="00D772C9" w:rsidRPr="00AE2707" w:rsidRDefault="00D772C9" w:rsidP="00D772C9">
      <w:pPr>
        <w:pStyle w:val="Textonotapie"/>
        <w:ind w:firstLine="709"/>
        <w:jc w:val="both"/>
        <w:rPr>
          <w:rFonts w:ascii="Arial" w:hAnsi="Arial" w:cs="Arial"/>
          <w:sz w:val="12"/>
          <w:szCs w:val="12"/>
          <w:lang w:val="es-ES"/>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es-ES"/>
        </w:rPr>
        <w:t>CONSEJO DE ESTADO. Sala de Consulta y Servicio Civil. Concepto del 30 de abril de 2015. Exp. 2251. C.P. Álvaro Namén Vargas.</w:t>
      </w:r>
    </w:p>
  </w:footnote>
  <w:footnote w:id="22">
    <w:p w14:paraId="27650AE7" w14:textId="77777777" w:rsidR="00D772C9" w:rsidRPr="00AE2707" w:rsidRDefault="00D772C9" w:rsidP="00D772C9">
      <w:pPr>
        <w:pStyle w:val="Textonotapie"/>
        <w:ind w:firstLine="709"/>
        <w:jc w:val="both"/>
        <w:rPr>
          <w:rFonts w:ascii="Arial" w:hAnsi="Arial" w:cs="Arial"/>
          <w:sz w:val="12"/>
          <w:szCs w:val="12"/>
        </w:rPr>
      </w:pPr>
    </w:p>
    <w:p w14:paraId="6A6003F3"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CONSEJO DE ESTADO. Sección Tercera. Subsección A. Sentencia del 24 de junio de 2015. Exp. 40.635. C.P. Hernán Andrade Rincón (E).</w:t>
      </w:r>
    </w:p>
  </w:footnote>
  <w:footnote w:id="23">
    <w:p w14:paraId="00847EC9" w14:textId="77777777" w:rsidR="00D772C9" w:rsidRPr="00AE2707" w:rsidRDefault="00D772C9" w:rsidP="00D772C9">
      <w:pPr>
        <w:pStyle w:val="Textonotapie"/>
        <w:ind w:firstLine="709"/>
        <w:jc w:val="both"/>
        <w:rPr>
          <w:rFonts w:ascii="Arial" w:hAnsi="Arial" w:cs="Arial"/>
          <w:sz w:val="12"/>
          <w:szCs w:val="12"/>
          <w:lang w:val="es-ES_tradnl"/>
        </w:rPr>
      </w:pPr>
      <w:r w:rsidRPr="00AE2707">
        <w:rPr>
          <w:rStyle w:val="Refdenotaalpie"/>
          <w:rFonts w:ascii="Arial" w:hAnsi="Arial" w:cs="Arial"/>
          <w:sz w:val="12"/>
          <w:szCs w:val="12"/>
        </w:rPr>
        <w:footnoteRef/>
      </w:r>
      <w:r w:rsidRPr="00AE2707">
        <w:rPr>
          <w:rFonts w:ascii="Arial" w:hAnsi="Arial" w:cs="Arial"/>
          <w:sz w:val="12"/>
          <w:szCs w:val="12"/>
        </w:rPr>
        <w:t xml:space="preserve"> CONSEJO DE ESTADO. Sección Tercera. Subsección C. Sentencia del 22 de mayo de 2013. Rad. 24.057. C.P. Olga Mélida Valle De De La Hoz. </w:t>
      </w:r>
    </w:p>
  </w:footnote>
  <w:footnote w:id="24">
    <w:p w14:paraId="7600A202" w14:textId="77777777" w:rsidR="00D772C9" w:rsidRPr="00AE2707" w:rsidRDefault="00D772C9" w:rsidP="00D772C9">
      <w:pPr>
        <w:pStyle w:val="Textonotapie"/>
        <w:ind w:firstLine="709"/>
        <w:jc w:val="both"/>
        <w:rPr>
          <w:rFonts w:ascii="Arial" w:hAnsi="Arial" w:cs="Arial"/>
          <w:sz w:val="12"/>
          <w:szCs w:val="12"/>
        </w:rPr>
      </w:pPr>
    </w:p>
    <w:p w14:paraId="11542163" w14:textId="77777777" w:rsidR="00D772C9" w:rsidRPr="00AE2707" w:rsidRDefault="00D772C9" w:rsidP="00D772C9">
      <w:pPr>
        <w:pStyle w:val="Textonotapie"/>
        <w:ind w:firstLine="709"/>
        <w:jc w:val="both"/>
        <w:rPr>
          <w:rFonts w:ascii="Arial" w:hAnsi="Arial" w:cs="Arial"/>
          <w:sz w:val="12"/>
          <w:szCs w:val="12"/>
          <w:lang w:val="pt-BR"/>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sz w:val="12"/>
          <w:szCs w:val="12"/>
          <w:lang w:val="pt-BR"/>
        </w:rPr>
        <w:t>Corte Constitucional. Sentencia C-415 de 1994. M.P. Eduardo Cifuentes Muñoz.</w:t>
      </w:r>
    </w:p>
  </w:footnote>
  <w:footnote w:id="25">
    <w:p w14:paraId="63919F51" w14:textId="77777777" w:rsidR="00D772C9" w:rsidRPr="00AE2707" w:rsidRDefault="00D772C9" w:rsidP="00D772C9">
      <w:pPr>
        <w:pStyle w:val="Textonotapie"/>
        <w:ind w:firstLine="709"/>
        <w:jc w:val="both"/>
        <w:rPr>
          <w:rFonts w:ascii="Arial" w:hAnsi="Arial" w:cs="Arial"/>
          <w:sz w:val="12"/>
          <w:szCs w:val="12"/>
        </w:rPr>
      </w:pPr>
    </w:p>
    <w:p w14:paraId="6499C3C9" w14:textId="77777777" w:rsidR="00D772C9" w:rsidRPr="00AE2707" w:rsidRDefault="00D772C9" w:rsidP="00D772C9">
      <w:pPr>
        <w:pStyle w:val="Textonotapie"/>
        <w:ind w:firstLine="709"/>
        <w:jc w:val="both"/>
        <w:rPr>
          <w:rFonts w:ascii="Arial" w:hAnsi="Arial" w:cs="Arial"/>
          <w:color w:val="000000" w:themeColor="text1"/>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color w:val="000000" w:themeColor="text1"/>
          <w:sz w:val="12"/>
          <w:szCs w:val="12"/>
          <w:lang w:val="pt-BR"/>
        </w:rPr>
        <w:t xml:space="preserve">CONSEJO DE ESTADO. Sala de lo contencioso administrativo. Sentencia del 12 de diciembre de 2014. Exp. 26496. C.P. Ramiro Pazos Guerrero. </w:t>
      </w:r>
      <w:r w:rsidRPr="00AE2707">
        <w:rPr>
          <w:rFonts w:ascii="Arial" w:hAnsi="Arial" w:cs="Arial"/>
          <w:color w:val="000000" w:themeColor="text1"/>
          <w:sz w:val="12"/>
          <w:szCs w:val="12"/>
        </w:rPr>
        <w:t>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footnote>
  <w:footnote w:id="26">
    <w:p w14:paraId="79F8DC4B" w14:textId="77777777" w:rsidR="00D772C9" w:rsidRPr="00AE2707" w:rsidRDefault="00D772C9" w:rsidP="00D772C9">
      <w:pPr>
        <w:pStyle w:val="Textonotapie"/>
        <w:ind w:firstLine="709"/>
        <w:jc w:val="both"/>
        <w:rPr>
          <w:rFonts w:ascii="Arial" w:hAnsi="Arial" w:cs="Arial"/>
          <w:sz w:val="12"/>
          <w:szCs w:val="12"/>
        </w:rPr>
      </w:pPr>
    </w:p>
    <w:p w14:paraId="5B282720" w14:textId="77777777" w:rsidR="00D772C9" w:rsidRPr="00AE2707" w:rsidRDefault="00D772C9" w:rsidP="00D772C9">
      <w:pPr>
        <w:pStyle w:val="Textonotapie"/>
        <w:ind w:firstLine="709"/>
        <w:jc w:val="both"/>
        <w:rPr>
          <w:rFonts w:ascii="Arial" w:hAnsi="Arial" w:cs="Arial"/>
          <w:sz w:val="12"/>
          <w:szCs w:val="12"/>
          <w:lang w:val="es-ES_tradnl"/>
        </w:rPr>
      </w:pPr>
      <w:r w:rsidRPr="00AE2707">
        <w:rPr>
          <w:rStyle w:val="Refdenotaalpie"/>
          <w:rFonts w:ascii="Arial" w:hAnsi="Arial" w:cs="Arial"/>
          <w:sz w:val="12"/>
          <w:szCs w:val="12"/>
        </w:rPr>
        <w:footnoteRef/>
      </w:r>
      <w:r w:rsidRPr="00AE2707">
        <w:rPr>
          <w:rFonts w:ascii="Arial" w:hAnsi="Arial" w:cs="Arial"/>
          <w:sz w:val="12"/>
          <w:szCs w:val="12"/>
        </w:rPr>
        <w:t xml:space="preserve"> </w:t>
      </w:r>
      <w:r w:rsidRPr="00AE2707">
        <w:rPr>
          <w:rFonts w:ascii="Arial" w:hAnsi="Arial" w:cs="Arial"/>
          <w:color w:val="000000" w:themeColor="text1"/>
          <w:sz w:val="12"/>
          <w:szCs w:val="12"/>
        </w:rPr>
        <w:t>CONSEJO DE ESTADO. Sala de Consulta y Servicio Civil. Concepto del 29 de abril de 1998. Rad. 1097. C.P. Augusto Trejos Jaramillo.</w:t>
      </w:r>
    </w:p>
  </w:footnote>
  <w:footnote w:id="27">
    <w:p w14:paraId="2E71D676"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33. Palabras relacionadas con las personas. La palabra persona en su sentido general se aplica(rá) a la especie humana, sin distinción de sexo”.</w:t>
      </w:r>
    </w:p>
    <w:p w14:paraId="603D2C8E" w14:textId="77777777" w:rsidR="00D772C9" w:rsidRPr="00AE2707" w:rsidRDefault="00D772C9" w:rsidP="00D772C9">
      <w:pPr>
        <w:pStyle w:val="Textonotapie"/>
        <w:ind w:firstLine="709"/>
        <w:jc w:val="both"/>
        <w:rPr>
          <w:rFonts w:ascii="Arial" w:hAnsi="Arial" w:cs="Arial"/>
          <w:sz w:val="12"/>
          <w:szCs w:val="12"/>
          <w:lang w:val="es-CO"/>
        </w:rPr>
      </w:pPr>
    </w:p>
  </w:footnote>
  <w:footnote w:id="28">
    <w:p w14:paraId="25E32C90"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Constitución Política de Colombia: “Artículo 42. La familia es el núcleo fundamental de la sociedad. Se constituye por vínculos naturales o jurídicos, por la decisión libre de un hombre y una mujer de contraer matrimonio o por la voluntad responsable de conformarla”.</w:t>
      </w:r>
    </w:p>
    <w:p w14:paraId="17315626" w14:textId="77777777" w:rsidR="00D772C9" w:rsidRPr="00AE2707" w:rsidRDefault="00D772C9" w:rsidP="00D772C9">
      <w:pPr>
        <w:pStyle w:val="Textonotapie"/>
        <w:ind w:firstLine="709"/>
        <w:jc w:val="both"/>
        <w:rPr>
          <w:rFonts w:ascii="Arial" w:hAnsi="Arial" w:cs="Arial"/>
          <w:sz w:val="12"/>
          <w:szCs w:val="12"/>
          <w:lang w:val="es-CO"/>
        </w:rPr>
      </w:pPr>
    </w:p>
  </w:footnote>
  <w:footnote w:id="29">
    <w:p w14:paraId="5AC2AE5E"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113. Definición. El matrimonio es un contrato solemne por el cual un hombre y una mujer se unen con el fin de vivir juntos, de procrear y de auxiliarse mutuamente”.</w:t>
      </w:r>
    </w:p>
    <w:p w14:paraId="79A83FAF" w14:textId="77777777" w:rsidR="00D772C9" w:rsidRPr="00AE2707" w:rsidRDefault="00D772C9" w:rsidP="00D772C9">
      <w:pPr>
        <w:pStyle w:val="Textonotapie"/>
        <w:ind w:firstLine="709"/>
        <w:jc w:val="both"/>
        <w:rPr>
          <w:rFonts w:ascii="Arial" w:hAnsi="Arial" w:cs="Arial"/>
          <w:sz w:val="12"/>
          <w:szCs w:val="12"/>
          <w:lang w:val="es-CO"/>
        </w:rPr>
      </w:pPr>
    </w:p>
  </w:footnote>
  <w:footnote w:id="30">
    <w:p w14:paraId="46A02039"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Ley 54 de 1990: “Artículo 1. A partir de la vigencia de la presente Ley y para todos los efectos civiles, se denomina Unión Marital de Hecho, la formada entre un hombre y una mujer, que sin estar casados, hacen una comunidad de vida permanente y singular.</w:t>
      </w:r>
    </w:p>
    <w:p w14:paraId="08010A18"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Igualmente, y para todos los efectos civiles, se denominan compañero y compañera permanente, al hombre y la mujer que forman parte de la unión marital de hecho”.</w:t>
      </w:r>
    </w:p>
    <w:p w14:paraId="2AECF6F6" w14:textId="77777777" w:rsidR="00D772C9" w:rsidRPr="00AE2707" w:rsidRDefault="00D772C9" w:rsidP="00D772C9">
      <w:pPr>
        <w:pStyle w:val="Textonotapie"/>
        <w:ind w:firstLine="709"/>
        <w:jc w:val="both"/>
        <w:rPr>
          <w:rFonts w:ascii="Arial" w:hAnsi="Arial" w:cs="Arial"/>
          <w:sz w:val="12"/>
          <w:szCs w:val="12"/>
          <w:lang w:val="es-CO"/>
        </w:rPr>
      </w:pPr>
    </w:p>
  </w:footnote>
  <w:footnote w:id="31">
    <w:p w14:paraId="5FCB16B4"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CORTE CONSTITUCIONAL. Sentencia C-029 de 2009. M.P. Rodrigo Escobar Gil.</w:t>
      </w:r>
    </w:p>
    <w:p w14:paraId="0D32E158" w14:textId="77777777" w:rsidR="00D772C9" w:rsidRPr="00AE2707" w:rsidRDefault="00D772C9" w:rsidP="00D772C9">
      <w:pPr>
        <w:pStyle w:val="Textonotapie"/>
        <w:ind w:firstLine="709"/>
        <w:jc w:val="both"/>
        <w:rPr>
          <w:rFonts w:ascii="Arial" w:hAnsi="Arial" w:cs="Arial"/>
          <w:sz w:val="12"/>
          <w:szCs w:val="12"/>
          <w:lang w:val="es-CO"/>
        </w:rPr>
      </w:pPr>
    </w:p>
  </w:footnote>
  <w:footnote w:id="32">
    <w:p w14:paraId="73FB9A4C"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36”.</w:t>
      </w:r>
    </w:p>
    <w:p w14:paraId="165B51B2" w14:textId="77777777" w:rsidR="00D772C9" w:rsidRPr="00AE2707" w:rsidRDefault="00D772C9" w:rsidP="00D772C9">
      <w:pPr>
        <w:pStyle w:val="Textonotapie"/>
        <w:ind w:firstLine="709"/>
        <w:jc w:val="both"/>
        <w:rPr>
          <w:rFonts w:ascii="Arial" w:hAnsi="Arial" w:cs="Arial"/>
          <w:sz w:val="12"/>
          <w:szCs w:val="12"/>
          <w:lang w:val="es-CO"/>
        </w:rPr>
      </w:pPr>
    </w:p>
  </w:footnote>
  <w:footnote w:id="33">
    <w:p w14:paraId="4859C559"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36”.</w:t>
      </w:r>
    </w:p>
    <w:p w14:paraId="36F4BD33" w14:textId="77777777" w:rsidR="00D772C9" w:rsidRPr="00AE2707" w:rsidRDefault="00D772C9" w:rsidP="00D772C9">
      <w:pPr>
        <w:pStyle w:val="Textonotapie"/>
        <w:ind w:firstLine="709"/>
        <w:jc w:val="both"/>
        <w:rPr>
          <w:rFonts w:ascii="Arial" w:hAnsi="Arial" w:cs="Arial"/>
          <w:sz w:val="12"/>
          <w:szCs w:val="12"/>
          <w:lang w:val="es-CO"/>
        </w:rPr>
      </w:pPr>
    </w:p>
  </w:footnote>
  <w:footnote w:id="34">
    <w:p w14:paraId="660B2D82"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CORTE CONSTITUCIONAL. Sentencia C ‒ 595 de 1996. M.P. Jorge Arango Mejía.</w:t>
      </w:r>
    </w:p>
    <w:p w14:paraId="55DDC837" w14:textId="77777777" w:rsidR="00D772C9" w:rsidRPr="00AE2707" w:rsidRDefault="00D772C9" w:rsidP="00D772C9">
      <w:pPr>
        <w:pStyle w:val="Textonotapie"/>
        <w:ind w:firstLine="709"/>
        <w:jc w:val="both"/>
        <w:rPr>
          <w:rFonts w:ascii="Arial" w:hAnsi="Arial" w:cs="Arial"/>
          <w:sz w:val="12"/>
          <w:szCs w:val="12"/>
          <w:lang w:val="es-CO"/>
        </w:rPr>
      </w:pPr>
    </w:p>
  </w:footnote>
  <w:footnote w:id="35">
    <w:p w14:paraId="3856C6B7"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Código Civil: “Artículo 37. Grados de consanguinidad. Los grados de consanguinidad entre dos personas se cuentan por el número de generaciones. Así, el nieto está en segundo grado de consanguinidad con el abuelo, y dos primos hermanos en cuarto grado de consanguinidad entre sí”.</w:t>
      </w:r>
    </w:p>
    <w:p w14:paraId="7412210F"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w:t>
      </w:r>
    </w:p>
    <w:p w14:paraId="768B40B2" w14:textId="77777777" w:rsidR="00D772C9" w:rsidRPr="00AE2707" w:rsidRDefault="00D772C9" w:rsidP="00D772C9">
      <w:pPr>
        <w:pStyle w:val="Textonotapie"/>
        <w:ind w:firstLine="709"/>
        <w:jc w:val="both"/>
        <w:rPr>
          <w:rFonts w:ascii="Arial" w:hAnsi="Arial" w:cs="Arial"/>
          <w:sz w:val="12"/>
          <w:szCs w:val="12"/>
        </w:rPr>
      </w:pPr>
      <w:r w:rsidRPr="00AE2707">
        <w:rPr>
          <w:rFonts w:ascii="Arial" w:hAnsi="Arial" w:cs="Arial"/>
          <w:sz w:val="12"/>
          <w:szCs w:val="12"/>
        </w:rPr>
        <w:t>“Artículo 47. Afinidad legítima. […] La línea o grado de afinidad legítima de una persona con un consanguíneo de su marido o mujer, se califica por la línea o grado de consanguinidad legítima de dicho marido o mujer con el dicho consanguíneo […]”.</w:t>
      </w:r>
    </w:p>
    <w:p w14:paraId="573DDD6E" w14:textId="77777777" w:rsidR="00D772C9" w:rsidRPr="00AE2707" w:rsidRDefault="00D772C9" w:rsidP="00D772C9">
      <w:pPr>
        <w:pStyle w:val="Textonotapie"/>
        <w:ind w:firstLine="709"/>
        <w:jc w:val="both"/>
        <w:rPr>
          <w:rFonts w:ascii="Arial" w:hAnsi="Arial" w:cs="Arial"/>
          <w:sz w:val="12"/>
          <w:szCs w:val="12"/>
          <w:lang w:val="es-CO"/>
        </w:rPr>
      </w:pPr>
    </w:p>
  </w:footnote>
  <w:footnote w:id="36">
    <w:p w14:paraId="7B64AD08"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CORTE CONSTITUCIONAL. Sentencia C-415 de 1994. M.P. Eduardo Cifuentes Muñoz.</w:t>
      </w:r>
    </w:p>
    <w:p w14:paraId="604F1792" w14:textId="77777777" w:rsidR="00D772C9" w:rsidRPr="00AE2707" w:rsidRDefault="00D772C9" w:rsidP="00D772C9">
      <w:pPr>
        <w:pStyle w:val="Textonotapie"/>
        <w:ind w:firstLine="709"/>
        <w:jc w:val="both"/>
        <w:rPr>
          <w:rFonts w:ascii="Arial" w:hAnsi="Arial" w:cs="Arial"/>
          <w:sz w:val="12"/>
          <w:szCs w:val="12"/>
          <w:lang w:val="es-CO"/>
        </w:rPr>
      </w:pPr>
    </w:p>
  </w:footnote>
  <w:footnote w:id="37">
    <w:p w14:paraId="55482C0E" w14:textId="77777777" w:rsidR="00D772C9" w:rsidRPr="00AE2707" w:rsidRDefault="00D772C9" w:rsidP="00D772C9">
      <w:pPr>
        <w:pStyle w:val="Textonotapie"/>
        <w:ind w:firstLine="709"/>
        <w:jc w:val="both"/>
        <w:rPr>
          <w:rFonts w:ascii="Arial" w:hAnsi="Arial" w:cs="Arial"/>
          <w:sz w:val="12"/>
          <w:szCs w:val="12"/>
        </w:rPr>
      </w:pPr>
      <w:r w:rsidRPr="00AE2707">
        <w:rPr>
          <w:rStyle w:val="Refdenotaalpie"/>
          <w:rFonts w:ascii="Arial" w:hAnsi="Arial" w:cs="Arial"/>
          <w:sz w:val="12"/>
          <w:szCs w:val="12"/>
        </w:rPr>
        <w:footnoteRef/>
      </w:r>
      <w:r w:rsidRPr="00AE2707">
        <w:rPr>
          <w:rFonts w:ascii="Arial" w:hAnsi="Arial" w:cs="Arial"/>
          <w:sz w:val="12"/>
          <w:szCs w:val="12"/>
        </w:rPr>
        <w:t xml:space="preserve"> CONSEJO DE ESTADO. Sección Tercera. Subsección C. Sentencia del 9 de julio de 2014. Rad. 47.830. C.P. Jaime Orlando Santofimio Gamboa.</w:t>
      </w:r>
    </w:p>
    <w:p w14:paraId="4CCF0421" w14:textId="77777777" w:rsidR="00D772C9" w:rsidRPr="00AE2707" w:rsidRDefault="00D772C9" w:rsidP="00D772C9">
      <w:pPr>
        <w:pStyle w:val="Textonotapie"/>
        <w:ind w:firstLine="709"/>
        <w:jc w:val="both"/>
        <w:rPr>
          <w:rFonts w:ascii="Arial" w:hAnsi="Arial" w:cs="Arial"/>
          <w:sz w:val="12"/>
          <w:szCs w:val="12"/>
          <w:lang w:val="es-CO"/>
        </w:rPr>
      </w:pPr>
    </w:p>
  </w:footnote>
  <w:footnote w:id="38">
    <w:p w14:paraId="3CDE472C" w14:textId="77777777" w:rsidR="00D772C9" w:rsidRPr="00B52F1D" w:rsidRDefault="00D772C9" w:rsidP="00D772C9">
      <w:pPr>
        <w:pStyle w:val="Textonotapie"/>
        <w:ind w:firstLine="708"/>
        <w:jc w:val="both"/>
        <w:rPr>
          <w:rFonts w:ascii="Arial" w:hAnsi="Arial" w:cs="Arial"/>
          <w:sz w:val="12"/>
          <w:szCs w:val="12"/>
        </w:rPr>
      </w:pPr>
      <w:r w:rsidRPr="00B52F1D">
        <w:rPr>
          <w:rStyle w:val="Refdenotaalpie"/>
          <w:rFonts w:ascii="Arial" w:hAnsi="Arial" w:cs="Arial"/>
          <w:sz w:val="12"/>
          <w:szCs w:val="12"/>
        </w:rPr>
        <w:footnoteRef/>
      </w:r>
      <w:r w:rsidRPr="00B52F1D">
        <w:rPr>
          <w:rFonts w:ascii="Arial" w:hAnsi="Arial" w:cs="Arial"/>
          <w:sz w:val="12"/>
          <w:szCs w:val="12"/>
        </w:rPr>
        <w:t xml:space="preserve"> Ley 80 de 1993: </w:t>
      </w:r>
      <w:r>
        <w:rPr>
          <w:rFonts w:ascii="Arial" w:hAnsi="Arial" w:cs="Arial"/>
          <w:sz w:val="12"/>
          <w:szCs w:val="12"/>
        </w:rPr>
        <w:t>“</w:t>
      </w:r>
      <w:r w:rsidRPr="00B52F1D">
        <w:rPr>
          <w:rFonts w:ascii="Arial" w:hAnsi="Arial" w:cs="Arial"/>
          <w:sz w:val="12"/>
          <w:szCs w:val="12"/>
        </w:rPr>
        <w:t>Artículo 7. De los consorcios y uniones temporales.</w:t>
      </w:r>
    </w:p>
    <w:p w14:paraId="365D2D04"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Para los efectos de esta ley se entiende por:</w:t>
      </w:r>
    </w:p>
    <w:p w14:paraId="2F94B79D"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7754CE9C"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2. Unión Temporal:</w:t>
      </w:r>
    </w:p>
    <w:p w14:paraId="0B8728F1"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Pr>
          <w:rFonts w:ascii="Arial" w:hAnsi="Arial" w:cs="Arial"/>
          <w:sz w:val="12"/>
          <w:szCs w:val="12"/>
        </w:rPr>
        <w:t>”</w:t>
      </w:r>
      <w:r w:rsidRPr="00B52F1D">
        <w:rPr>
          <w:rFonts w:ascii="Arial" w:hAnsi="Arial" w:cs="Arial"/>
          <w:sz w:val="12"/>
          <w:szCs w:val="12"/>
        </w:rPr>
        <w:t>.</w:t>
      </w:r>
    </w:p>
    <w:p w14:paraId="5B3A592D" w14:textId="77777777" w:rsidR="00D772C9" w:rsidRPr="00B52F1D" w:rsidRDefault="00D772C9" w:rsidP="00D772C9">
      <w:pPr>
        <w:pStyle w:val="Textonotapie"/>
        <w:jc w:val="both"/>
        <w:rPr>
          <w:rFonts w:ascii="Arial" w:hAnsi="Arial" w:cs="Arial"/>
          <w:sz w:val="12"/>
          <w:szCs w:val="12"/>
        </w:rPr>
      </w:pPr>
    </w:p>
  </w:footnote>
  <w:footnote w:id="39">
    <w:p w14:paraId="687BF2F4" w14:textId="77777777" w:rsidR="00D772C9" w:rsidRPr="00B52F1D" w:rsidRDefault="00D772C9" w:rsidP="00D772C9">
      <w:pPr>
        <w:pStyle w:val="Textonotapie"/>
        <w:ind w:firstLine="708"/>
        <w:jc w:val="both"/>
        <w:rPr>
          <w:rFonts w:ascii="Arial" w:hAnsi="Arial" w:cs="Arial"/>
          <w:sz w:val="12"/>
          <w:szCs w:val="12"/>
        </w:rPr>
      </w:pPr>
      <w:r w:rsidRPr="00B52F1D">
        <w:rPr>
          <w:rFonts w:ascii="Arial" w:hAnsi="Arial" w:cs="Arial"/>
          <w:sz w:val="12"/>
          <w:szCs w:val="12"/>
          <w:vertAlign w:val="superscript"/>
        </w:rPr>
        <w:footnoteRef/>
      </w:r>
      <w:r w:rsidRPr="00B52F1D">
        <w:rPr>
          <w:rFonts w:ascii="Arial" w:hAnsi="Arial" w:cs="Arial"/>
          <w:sz w:val="12"/>
          <w:szCs w:val="12"/>
          <w:lang w:val="pt-BR"/>
        </w:rPr>
        <w:t xml:space="preserve"> CORTE CONSTITUCIONAL. Sentencia C ‒ 414 de 1996. </w:t>
      </w:r>
      <w:r w:rsidRPr="00B52F1D">
        <w:rPr>
          <w:rFonts w:ascii="Arial" w:hAnsi="Arial" w:cs="Arial"/>
          <w:sz w:val="12"/>
          <w:szCs w:val="12"/>
        </w:rPr>
        <w:t>M.P. Antonio Barrera Carbonell.</w:t>
      </w:r>
    </w:p>
    <w:p w14:paraId="76247226" w14:textId="77777777" w:rsidR="00D772C9" w:rsidRPr="00B52F1D" w:rsidRDefault="00D772C9" w:rsidP="00D772C9">
      <w:pPr>
        <w:pStyle w:val="Textonotapie"/>
        <w:jc w:val="both"/>
        <w:rPr>
          <w:rFonts w:ascii="Arial" w:hAnsi="Arial" w:cs="Arial"/>
          <w:sz w:val="12"/>
          <w:szCs w:val="12"/>
          <w:lang w:val="es-ES"/>
        </w:rPr>
      </w:pPr>
    </w:p>
  </w:footnote>
  <w:footnote w:id="40">
    <w:p w14:paraId="6F3C1124" w14:textId="77777777" w:rsidR="00D772C9" w:rsidRPr="00B52F1D" w:rsidRDefault="00D772C9" w:rsidP="00D772C9">
      <w:pPr>
        <w:pStyle w:val="Textonotapie"/>
        <w:ind w:firstLine="709"/>
        <w:jc w:val="both"/>
        <w:rPr>
          <w:rFonts w:ascii="Arial" w:hAnsi="Arial" w:cs="Arial"/>
          <w:sz w:val="12"/>
          <w:szCs w:val="12"/>
          <w:lang w:val="es-CO"/>
        </w:rPr>
      </w:pPr>
      <w:r w:rsidRPr="00B52F1D">
        <w:rPr>
          <w:rStyle w:val="Refdenotaalpie"/>
          <w:rFonts w:ascii="Arial" w:hAnsi="Arial" w:cs="Arial"/>
          <w:sz w:val="12"/>
          <w:szCs w:val="12"/>
        </w:rPr>
        <w:footnoteRef/>
      </w:r>
      <w:r w:rsidRPr="00B52F1D">
        <w:rPr>
          <w:rFonts w:ascii="Arial" w:hAnsi="Arial" w:cs="Arial"/>
          <w:sz w:val="12"/>
          <w:szCs w:val="12"/>
        </w:rPr>
        <w:t xml:space="preserve"> CONSEJO DE ESTADO. Sección Tercera. Subsección A. Sentencia del 10 de febrero de 2011. Rad. 16.306. C.P. Hernán Andrade Rincón.</w:t>
      </w:r>
    </w:p>
  </w:footnote>
  <w:footnote w:id="41">
    <w:p w14:paraId="6E6A7D4C" w14:textId="77777777" w:rsidR="00D772C9" w:rsidRPr="00B52F1D" w:rsidRDefault="00D772C9" w:rsidP="00D772C9">
      <w:pPr>
        <w:pStyle w:val="Textonotapie"/>
        <w:ind w:firstLine="709"/>
        <w:jc w:val="both"/>
        <w:rPr>
          <w:rFonts w:ascii="Arial" w:hAnsi="Arial" w:cs="Arial"/>
          <w:sz w:val="12"/>
          <w:szCs w:val="12"/>
        </w:rPr>
      </w:pPr>
      <w:r w:rsidRPr="00B52F1D">
        <w:rPr>
          <w:rStyle w:val="Refdenotaalpie"/>
          <w:rFonts w:ascii="Arial" w:hAnsi="Arial" w:cs="Arial"/>
          <w:sz w:val="12"/>
          <w:szCs w:val="12"/>
        </w:rPr>
        <w:footnoteRef/>
      </w:r>
      <w:r w:rsidRPr="00B52F1D">
        <w:rPr>
          <w:rFonts w:ascii="Arial" w:hAnsi="Arial" w:cs="Arial"/>
          <w:sz w:val="12"/>
          <w:szCs w:val="12"/>
        </w:rPr>
        <w:t xml:space="preserve"> Código Civil: </w:t>
      </w:r>
      <w:r>
        <w:rPr>
          <w:rFonts w:ascii="Arial" w:hAnsi="Arial" w:cs="Arial"/>
          <w:sz w:val="12"/>
          <w:szCs w:val="12"/>
        </w:rPr>
        <w:t>“</w:t>
      </w:r>
      <w:r w:rsidRPr="00B52F1D">
        <w:rPr>
          <w:rFonts w:ascii="Arial" w:hAnsi="Arial" w:cs="Arial"/>
          <w:sz w:val="12"/>
          <w:szCs w:val="12"/>
        </w:rPr>
        <w:t>Artículo 633. Definición de persona jurídica. Se llama persona jurídica, una persona ficticia, capaz de ejercer derechos y contraer obligaciones civiles, y de ser representada judicial y extrajudicialmente.</w:t>
      </w:r>
    </w:p>
    <w:p w14:paraId="0655CA1E"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Las personas jurídicas son de dos especies: corporaciones y fundaciones de beneficencia pública.</w:t>
      </w:r>
    </w:p>
    <w:p w14:paraId="24379DF8" w14:textId="77777777" w:rsidR="00D772C9" w:rsidRPr="00B52F1D" w:rsidRDefault="00D772C9" w:rsidP="00D772C9">
      <w:pPr>
        <w:pStyle w:val="Textonotapie"/>
        <w:ind w:firstLine="709"/>
        <w:jc w:val="both"/>
        <w:rPr>
          <w:rFonts w:ascii="Arial" w:hAnsi="Arial" w:cs="Arial"/>
          <w:sz w:val="12"/>
          <w:szCs w:val="12"/>
        </w:rPr>
      </w:pPr>
      <w:r w:rsidRPr="00B52F1D">
        <w:rPr>
          <w:rFonts w:ascii="Arial" w:hAnsi="Arial" w:cs="Arial"/>
          <w:sz w:val="12"/>
          <w:szCs w:val="12"/>
        </w:rPr>
        <w:t>Hay personas jurídicas que participan de uno y otro carácter</w:t>
      </w:r>
      <w:r>
        <w:rPr>
          <w:rFonts w:ascii="Arial" w:hAnsi="Arial" w:cs="Arial"/>
          <w:sz w:val="12"/>
          <w:szCs w:val="12"/>
        </w:rPr>
        <w:t>”</w:t>
      </w:r>
      <w:r w:rsidRPr="00B52F1D">
        <w:rPr>
          <w:rFonts w:ascii="Arial" w:hAnsi="Arial" w:cs="Arial"/>
          <w:sz w:val="12"/>
          <w:szCs w:val="12"/>
        </w:rPr>
        <w:t>.</w:t>
      </w:r>
    </w:p>
    <w:p w14:paraId="04B3E7FF" w14:textId="77777777" w:rsidR="00D772C9" w:rsidRPr="00B52F1D" w:rsidRDefault="00D772C9" w:rsidP="00D772C9">
      <w:pPr>
        <w:pStyle w:val="Textonotapie"/>
        <w:ind w:firstLine="709"/>
        <w:jc w:val="both"/>
        <w:rPr>
          <w:rFonts w:ascii="Arial" w:hAnsi="Arial" w:cs="Arial"/>
          <w:sz w:val="12"/>
          <w:szCs w:val="12"/>
          <w:lang w:val="es-CO"/>
        </w:rPr>
      </w:pPr>
    </w:p>
  </w:footnote>
  <w:footnote w:id="42">
    <w:p w14:paraId="04D7DE42" w14:textId="77777777" w:rsidR="00D772C9" w:rsidRDefault="00D772C9" w:rsidP="00D772C9">
      <w:pPr>
        <w:pStyle w:val="Textonotapie"/>
        <w:ind w:firstLine="709"/>
        <w:jc w:val="both"/>
        <w:rPr>
          <w:rFonts w:ascii="Arial" w:hAnsi="Arial" w:cs="Arial"/>
          <w:sz w:val="12"/>
          <w:szCs w:val="12"/>
        </w:rPr>
      </w:pPr>
      <w:r w:rsidRPr="00B52F1D">
        <w:rPr>
          <w:rStyle w:val="Refdenotaalpie"/>
          <w:rFonts w:ascii="Arial" w:hAnsi="Arial" w:cs="Arial"/>
          <w:sz w:val="12"/>
          <w:szCs w:val="12"/>
        </w:rPr>
        <w:footnoteRef/>
      </w:r>
      <w:r w:rsidRPr="00B52F1D">
        <w:rPr>
          <w:rFonts w:ascii="Arial" w:hAnsi="Arial" w:cs="Arial"/>
          <w:sz w:val="12"/>
          <w:szCs w:val="12"/>
        </w:rPr>
        <w:t xml:space="preserve"> Código de Comercio: </w:t>
      </w:r>
      <w:r>
        <w:rPr>
          <w:rFonts w:ascii="Arial" w:hAnsi="Arial" w:cs="Arial"/>
          <w:sz w:val="12"/>
          <w:szCs w:val="12"/>
        </w:rPr>
        <w:t>“</w:t>
      </w:r>
      <w:r w:rsidRPr="00B52F1D">
        <w:rPr>
          <w:rFonts w:ascii="Arial" w:hAnsi="Arial" w:cs="Arial"/>
          <w:sz w:val="12"/>
          <w:szCs w:val="12"/>
        </w:rPr>
        <w:t>Artículo 99. Capacidad de la sociedad.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w:t>
      </w:r>
      <w:r>
        <w:rPr>
          <w:rFonts w:ascii="Arial" w:hAnsi="Arial" w:cs="Arial"/>
          <w:sz w:val="12"/>
          <w:szCs w:val="12"/>
        </w:rPr>
        <w:t>”</w:t>
      </w:r>
      <w:r w:rsidRPr="00B52F1D">
        <w:rPr>
          <w:rFonts w:ascii="Arial" w:hAnsi="Arial" w:cs="Arial"/>
          <w:sz w:val="12"/>
          <w:szCs w:val="12"/>
        </w:rPr>
        <w:t>.</w:t>
      </w:r>
    </w:p>
    <w:p w14:paraId="68763B6D" w14:textId="77777777" w:rsidR="00D772C9" w:rsidRPr="00B52F1D" w:rsidRDefault="00D772C9" w:rsidP="00D772C9">
      <w:pPr>
        <w:pStyle w:val="Textonotapie"/>
        <w:ind w:firstLine="709"/>
        <w:jc w:val="both"/>
        <w:rPr>
          <w:rFonts w:ascii="Arial" w:hAnsi="Arial" w:cs="Arial"/>
          <w:sz w:val="12"/>
          <w:szCs w:val="12"/>
          <w:lang w:val="es-CO"/>
        </w:rPr>
      </w:pPr>
      <w:r w:rsidRPr="00B52F1D">
        <w:rPr>
          <w:rFonts w:ascii="Arial" w:hAnsi="Arial" w:cs="Arial"/>
          <w:sz w:val="12"/>
          <w:szCs w:val="12"/>
        </w:rPr>
        <w:t xml:space="preserve"> </w:t>
      </w:r>
    </w:p>
  </w:footnote>
  <w:footnote w:id="43">
    <w:p w14:paraId="1AD2C04F" w14:textId="77777777" w:rsidR="00D772C9" w:rsidRPr="00B52F1D" w:rsidRDefault="00D772C9" w:rsidP="00D772C9">
      <w:pPr>
        <w:pStyle w:val="NormalWeb"/>
        <w:spacing w:after="0"/>
        <w:ind w:firstLine="708"/>
        <w:jc w:val="both"/>
        <w:rPr>
          <w:rFonts w:ascii="Arial" w:hAnsi="Arial" w:cs="Arial"/>
          <w:color w:val="000000"/>
          <w:sz w:val="12"/>
          <w:szCs w:val="12"/>
        </w:rPr>
      </w:pPr>
      <w:r w:rsidRPr="00B52F1D">
        <w:rPr>
          <w:rStyle w:val="Refdenotaalpie"/>
          <w:rFonts w:ascii="Arial" w:hAnsi="Arial" w:cs="Arial"/>
          <w:sz w:val="12"/>
          <w:szCs w:val="12"/>
        </w:rPr>
        <w:footnoteRef/>
      </w:r>
      <w:r w:rsidRPr="00B52F1D">
        <w:rPr>
          <w:rFonts w:ascii="Arial" w:hAnsi="Arial" w:cs="Arial"/>
          <w:sz w:val="12"/>
          <w:szCs w:val="12"/>
        </w:rPr>
        <w:t xml:space="preserve"> En el marco del procedimiento administrativo general, previsto en los artículos 34 y ss. del Código de Procedimiento Administrativo y de lo Contencioso Administrativo, el artículo 40 de dicha norma señala que: “</w:t>
      </w:r>
      <w:r w:rsidRPr="00B52F1D">
        <w:rPr>
          <w:rFonts w:ascii="Arial" w:hAnsi="Arial" w:cs="Arial"/>
          <w:color w:val="000000"/>
          <w:sz w:val="12"/>
          <w:szCs w:val="12"/>
        </w:rPr>
        <w:t>Serán admisibles todos los medios de prueba señalados en el Código de Procedimiento Civil</w:t>
      </w:r>
      <w:r w:rsidRPr="00B52F1D">
        <w:rPr>
          <w:rFonts w:ascii="Arial" w:hAnsi="Arial" w:cs="Arial"/>
          <w:sz w:val="12"/>
          <w:szCs w:val="12"/>
        </w:rPr>
        <w:t>”</w:t>
      </w:r>
      <w:r w:rsidRPr="00B52F1D">
        <w:rPr>
          <w:rFonts w:ascii="Arial" w:hAnsi="Arial" w:cs="Arial"/>
          <w:color w:val="000000"/>
          <w:sz w:val="12"/>
          <w:szCs w:val="12"/>
        </w:rPr>
        <w:t xml:space="preserve">. Al respecto, la Ley 1564 de 2012, que subrogó el Código de Procedimiento Civil adoptando el Código General del Proceso, señala en su artículo 165 que: </w:t>
      </w:r>
      <w:r w:rsidRPr="00B52F1D">
        <w:rPr>
          <w:rFonts w:ascii="Arial" w:hAnsi="Arial" w:cs="Arial"/>
          <w:sz w:val="12"/>
          <w:szCs w:val="12"/>
        </w:rPr>
        <w:t>“</w:t>
      </w:r>
      <w:r w:rsidRPr="00B52F1D">
        <w:rPr>
          <w:rFonts w:ascii="Arial" w:hAnsi="Arial" w:cs="Arial"/>
          <w:color w:val="000000"/>
          <w:sz w:val="12"/>
          <w:szCs w:val="12"/>
        </w:rPr>
        <w:t>Son medios de prueba la declaración de parte, la confesión, el juramento, el testimonio de terceros, el dictamen pericial, la inspección judicial, los documentos, los indicios, los informes y cualesquiera otros medios que sean útiles para la formación del convencimiento del juez. El juez practicará las pruebas no previstas en este código de acuerdo con las disposiciones que regulen medios semejantes o según su prudente juicio, preservando los principios y garantías constitucionales</w:t>
      </w:r>
      <w:r w:rsidRPr="00B52F1D">
        <w:rPr>
          <w:rFonts w:ascii="Arial" w:hAnsi="Arial" w:cs="Arial"/>
          <w:sz w:val="12"/>
          <w:szCs w:val="12"/>
        </w:rPr>
        <w:t>”</w:t>
      </w:r>
      <w:r w:rsidRPr="00B52F1D">
        <w:rPr>
          <w:rFonts w:ascii="Arial" w:hAnsi="Arial" w:cs="Arial"/>
          <w:color w:val="000000"/>
          <w:sz w:val="12"/>
          <w:szCs w:val="12"/>
        </w:rPr>
        <w:t xml:space="preserve">. </w:t>
      </w:r>
    </w:p>
    <w:p w14:paraId="222845E8" w14:textId="77777777" w:rsidR="00D772C9" w:rsidRPr="00B52F1D" w:rsidRDefault="00D772C9" w:rsidP="00D772C9">
      <w:pPr>
        <w:pStyle w:val="NormalWeb"/>
        <w:spacing w:before="120" w:after="0"/>
        <w:ind w:firstLine="709"/>
        <w:jc w:val="both"/>
        <w:rPr>
          <w:rFonts w:ascii="Arial" w:hAnsi="Arial" w:cs="Arial"/>
          <w:sz w:val="12"/>
          <w:szCs w:val="12"/>
        </w:rPr>
      </w:pPr>
      <w:r w:rsidRPr="00B52F1D">
        <w:rPr>
          <w:rFonts w:ascii="Arial" w:hAnsi="Arial" w:cs="Arial"/>
          <w:color w:val="000000"/>
          <w:sz w:val="12"/>
          <w:szCs w:val="12"/>
        </w:rPr>
        <w:t>Es posible acudir a las disposiciones anteriores en relación con los procedimientos administrativos de selección, en virtud de la remisión que realiza el artículo 77 de la Ley 80 de 1993: “</w:t>
      </w:r>
      <w:r w:rsidRPr="00B52F1D">
        <w:rPr>
          <w:rStyle w:val="Textoennegrita"/>
          <w:rFonts w:ascii="Arial" w:hAnsi="Arial" w:cs="Arial"/>
          <w:color w:val="000000"/>
          <w:sz w:val="12"/>
          <w:szCs w:val="12"/>
        </w:rPr>
        <w:t>Artículo 77. De la normatividad aplicable en las actuaciones administrativas.</w:t>
      </w:r>
      <w:r w:rsidRPr="00B52F1D">
        <w:rPr>
          <w:rFonts w:ascii="Arial" w:hAnsi="Arial" w:cs="Arial"/>
          <w:color w:val="000000"/>
          <w:sz w:val="12"/>
          <w:szCs w:val="12"/>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9963" w14:textId="77777777" w:rsidR="00D772C9" w:rsidRDefault="00D772C9">
    <w:pPr>
      <w:pStyle w:val="Encabezado"/>
    </w:pPr>
    <w:r>
      <w:rPr>
        <w:noProof/>
      </w:rPr>
      <w:drawing>
        <wp:anchor distT="0" distB="0" distL="114300" distR="114300" simplePos="0" relativeHeight="251659264" behindDoc="1" locked="0" layoutInCell="1" allowOverlap="1" wp14:anchorId="28E418D0" wp14:editId="519899A9">
          <wp:simplePos x="0" y="0"/>
          <wp:positionH relativeFrom="margin">
            <wp:align>right</wp:align>
          </wp:positionH>
          <wp:positionV relativeFrom="margin">
            <wp:posOffset>-1135380</wp:posOffset>
          </wp:positionV>
          <wp:extent cx="1757045" cy="628650"/>
          <wp:effectExtent l="0" t="0" r="0" b="0"/>
          <wp:wrapNone/>
          <wp:docPr id="864305913" name="Picture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664BC7C7" wp14:editId="043BFFE7">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Picture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0CD4F5E5" wp14:editId="60EA15C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Picture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F5246FE" wp14:editId="627A2DA0">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Picture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111F6F71" w14:textId="77777777" w:rsidR="00D772C9" w:rsidRDefault="00D772C9">
    <w:pPr>
      <w:pStyle w:val="Encabezado"/>
    </w:pPr>
  </w:p>
  <w:p w14:paraId="7E02FAEB" w14:textId="77777777" w:rsidR="00D772C9" w:rsidRDefault="00D772C9">
    <w:pPr>
      <w:pStyle w:val="Encabezado"/>
    </w:pPr>
  </w:p>
  <w:p w14:paraId="53610467" w14:textId="77777777" w:rsidR="00D772C9" w:rsidRPr="004A305D" w:rsidRDefault="00D772C9"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4BF2C726" w14:textId="77777777" w:rsidR="00D772C9" w:rsidRPr="004A305D" w:rsidRDefault="00D772C9"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BCECD94" w14:textId="77777777" w:rsidR="00D772C9" w:rsidRPr="004A305D" w:rsidRDefault="00D772C9"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07B17944" w14:textId="77777777" w:rsidR="00D772C9" w:rsidRDefault="00D772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C9"/>
    <w:rsid w:val="005818E2"/>
    <w:rsid w:val="008632F1"/>
    <w:rsid w:val="008E5C2E"/>
    <w:rsid w:val="0097746A"/>
    <w:rsid w:val="00D772C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8809"/>
  <w15:chartTrackingRefBased/>
  <w15:docId w15:val="{5334F339-137F-45BF-8CCF-6DACF5AA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2C9"/>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72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2C9"/>
    <w:rPr>
      <w:kern w:val="0"/>
      <w14:ligatures w14:val="none"/>
    </w:rPr>
  </w:style>
  <w:style w:type="paragraph" w:styleId="Piedepgina">
    <w:name w:val="footer"/>
    <w:basedOn w:val="Normal"/>
    <w:link w:val="PiedepginaCar"/>
    <w:uiPriority w:val="99"/>
    <w:unhideWhenUsed/>
    <w:rsid w:val="00D772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2C9"/>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772C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772C9"/>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D772C9"/>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D772C9"/>
    <w:rPr>
      <w:vertAlign w:val="superscript"/>
    </w:rPr>
  </w:style>
  <w:style w:type="table" w:styleId="Tablaconcuadrcula">
    <w:name w:val="Table Grid"/>
    <w:basedOn w:val="Tablanormal"/>
    <w:uiPriority w:val="39"/>
    <w:rsid w:val="00D772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772C9"/>
    <w:rPr>
      <w:color w:val="0000FF"/>
      <w:u w:val="single"/>
    </w:rPr>
  </w:style>
  <w:style w:type="paragraph" w:customStyle="1" w:styleId="Appelnotedebasde">
    <w:name w:val="Appel note de bas de..."/>
    <w:basedOn w:val="Normal"/>
    <w:link w:val="Refdenotaalpie"/>
    <w:uiPriority w:val="99"/>
    <w:rsid w:val="00D772C9"/>
    <w:pPr>
      <w:spacing w:line="240" w:lineRule="exact"/>
    </w:pPr>
    <w:rPr>
      <w:kern w:val="2"/>
      <w:vertAlign w:val="superscript"/>
      <w14:ligatures w14:val="standardContextual"/>
    </w:rPr>
  </w:style>
  <w:style w:type="table" w:customStyle="1" w:styleId="Tablaconcuadrcula1">
    <w:name w:val="Tabla con cuadrícula1"/>
    <w:basedOn w:val="Tablanormal"/>
    <w:next w:val="Tablaconcuadrcula"/>
    <w:uiPriority w:val="39"/>
    <w:rsid w:val="00D772C9"/>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772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72C9"/>
    <w:rPr>
      <w:rFonts w:ascii="Times New Roman" w:hAnsi="Times New Roman" w:cs="Times New Roman"/>
      <w:sz w:val="24"/>
      <w:szCs w:val="24"/>
    </w:rPr>
  </w:style>
  <w:style w:type="character" w:styleId="Textoennegrita">
    <w:name w:val="Strong"/>
    <w:basedOn w:val="Fuentedeprrafopredeter"/>
    <w:uiPriority w:val="22"/>
    <w:qFormat/>
    <w:rsid w:val="00D7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stillo_ortiz@msn.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9807F-53AE-44C0-A3CB-8FBCCA609C10}">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a6cb9e4b-f1d1-4245-83ec-6cad768d538a"/>
    <ds:schemaRef ds:uri="9d85dbaf-23eb-4e57-a637-93dcacc8b1a1"/>
    <ds:schemaRef ds:uri="http://purl.org/dc/dcmitype/"/>
  </ds:schemaRefs>
</ds:datastoreItem>
</file>

<file path=customXml/itemProps2.xml><?xml version="1.0" encoding="utf-8"?>
<ds:datastoreItem xmlns:ds="http://schemas.openxmlformats.org/officeDocument/2006/customXml" ds:itemID="{0A11F1B0-2C81-45A8-8291-9D4CC2DDBB90}">
  <ds:schemaRefs>
    <ds:schemaRef ds:uri="http://schemas.microsoft.com/sharepoint/v3/contenttype/forms"/>
  </ds:schemaRefs>
</ds:datastoreItem>
</file>

<file path=customXml/itemProps3.xml><?xml version="1.0" encoding="utf-8"?>
<ds:datastoreItem xmlns:ds="http://schemas.openxmlformats.org/officeDocument/2006/customXml" ds:itemID="{B7050EFB-5657-4DE0-AF5A-3998472F5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6667</Words>
  <Characters>36669</Characters>
  <Application>Microsoft Office Word</Application>
  <DocSecurity>0</DocSecurity>
  <Lines>305</Lines>
  <Paragraphs>86</Paragraphs>
  <ScaleCrop>false</ScaleCrop>
  <Company/>
  <LinksUpToDate>false</LinksUpToDate>
  <CharactersWithSpaces>43250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2</cp:revision>
  <dcterms:created xsi:type="dcterms:W3CDTF">2023-08-31T16:45:00Z</dcterms:created>
  <dcterms:modified xsi:type="dcterms:W3CDTF">2023-08-31T16:45:00Z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