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1465F" w14:textId="77777777" w:rsidR="00756877" w:rsidRPr="000D6956" w:rsidRDefault="00756877" w:rsidP="00756877">
      <w:pPr>
        <w:jc w:val="both"/>
        <w:rPr>
          <w:rFonts w:ascii="Arial" w:eastAsia="Calibri" w:hAnsi="Arial" w:cs="Arial"/>
          <w:b/>
          <w:bCs/>
          <w:sz w:val="22"/>
          <w:szCs w:val="22"/>
        </w:rPr>
      </w:pPr>
      <w:bookmarkStart w:id="0" w:name="_Hlk140129101"/>
      <w:r w:rsidRPr="000D6956">
        <w:rPr>
          <w:rFonts w:ascii="Arial" w:eastAsia="Calibri" w:hAnsi="Arial" w:cs="Arial"/>
          <w:b/>
          <w:bCs/>
          <w:sz w:val="22"/>
          <w:szCs w:val="22"/>
          <w:lang w:eastAsia="es-ES_tradnl"/>
        </w:rPr>
        <w:t xml:space="preserve">COLOMBIA COMPRA EFICIENTE </w:t>
      </w:r>
      <w:bookmarkStart w:id="1" w:name="_Hlk140044303"/>
      <w:r w:rsidRPr="000D6956">
        <w:rPr>
          <w:rFonts w:ascii="Arial" w:eastAsia="Calibri" w:hAnsi="Arial" w:cs="Arial"/>
          <w:b/>
          <w:sz w:val="22"/>
          <w:szCs w:val="22"/>
          <w:lang w:eastAsia="es-ES_tradnl"/>
        </w:rPr>
        <w:t>–</w:t>
      </w:r>
      <w:bookmarkEnd w:id="1"/>
      <w:r w:rsidRPr="000D6956">
        <w:rPr>
          <w:rFonts w:ascii="Arial" w:eastAsia="Calibri" w:hAnsi="Arial" w:cs="Arial"/>
          <w:b/>
          <w:bCs/>
          <w:sz w:val="22"/>
          <w:szCs w:val="22"/>
          <w:lang w:eastAsia="es-ES_tradnl"/>
        </w:rPr>
        <w:t xml:space="preserve"> Competencia Consultiva </w:t>
      </w:r>
      <w:bookmarkStart w:id="2" w:name="_Hlk140036003"/>
      <w:r w:rsidRPr="000D6956">
        <w:rPr>
          <w:rFonts w:ascii="Arial" w:eastAsia="Calibri" w:hAnsi="Arial" w:cs="Arial"/>
          <w:b/>
          <w:bCs/>
          <w:sz w:val="22"/>
          <w:szCs w:val="22"/>
          <w:lang w:eastAsia="es-ES_tradnl"/>
        </w:rPr>
        <w:t>–</w:t>
      </w:r>
      <w:bookmarkEnd w:id="2"/>
      <w:r w:rsidRPr="000D6956">
        <w:rPr>
          <w:rFonts w:ascii="Arial" w:eastAsia="Calibri" w:hAnsi="Arial" w:cs="Arial"/>
          <w:b/>
          <w:bCs/>
          <w:sz w:val="22"/>
          <w:szCs w:val="22"/>
          <w:lang w:eastAsia="es-ES_tradnl"/>
        </w:rPr>
        <w:t xml:space="preserve"> Contratación Estatal – Normas Generales</w:t>
      </w:r>
    </w:p>
    <w:p w14:paraId="6605931C" w14:textId="77777777" w:rsidR="00756877" w:rsidRPr="00756877" w:rsidRDefault="00756877" w:rsidP="00756877">
      <w:pPr>
        <w:jc w:val="both"/>
        <w:rPr>
          <w:rFonts w:ascii="Arial" w:hAnsi="Arial" w:cs="Arial"/>
          <w:bCs/>
          <w:sz w:val="20"/>
          <w:szCs w:val="20"/>
          <w:lang w:eastAsia="es-ES_tradnl"/>
        </w:rPr>
      </w:pPr>
    </w:p>
    <w:p w14:paraId="7EE988E3" w14:textId="6F635BFE" w:rsidR="00756877" w:rsidRPr="00756877" w:rsidRDefault="00756877" w:rsidP="00756877">
      <w:pPr>
        <w:spacing w:after="120"/>
        <w:jc w:val="both"/>
        <w:rPr>
          <w:rFonts w:ascii="Arial" w:hAnsi="Arial" w:cs="Arial"/>
          <w:bCs/>
          <w:sz w:val="20"/>
          <w:szCs w:val="20"/>
          <w:lang w:eastAsia="es-ES_tradnl"/>
        </w:rPr>
      </w:pPr>
      <w:r>
        <w:rPr>
          <w:rFonts w:ascii="Arial" w:hAnsi="Arial" w:cs="Arial"/>
          <w:bCs/>
          <w:sz w:val="20"/>
          <w:szCs w:val="20"/>
          <w:lang w:eastAsia="es-ES_tradnl"/>
        </w:rPr>
        <w:t xml:space="preserve">Debe tenerse </w:t>
      </w:r>
      <w:r w:rsidRPr="00756877">
        <w:rPr>
          <w:rFonts w:ascii="Arial" w:hAnsi="Arial" w:cs="Arial"/>
          <w:bCs/>
          <w:sz w:val="20"/>
          <w:szCs w:val="20"/>
          <w:lang w:eastAsia="es-ES_tradnl"/>
        </w:rPr>
        <w:t>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2E771A34" w14:textId="77777777" w:rsidR="00973613" w:rsidRDefault="00756877" w:rsidP="00973613">
      <w:pPr>
        <w:jc w:val="both"/>
        <w:rPr>
          <w:rFonts w:ascii="Arial" w:hAnsi="Arial" w:cs="Arial"/>
          <w:bCs/>
          <w:sz w:val="20"/>
          <w:szCs w:val="20"/>
          <w:lang w:eastAsia="es-ES_tradnl"/>
        </w:rPr>
      </w:pPr>
      <w:r w:rsidRPr="00756877">
        <w:rPr>
          <w:rFonts w:ascii="Arial" w:hAnsi="Arial" w:cs="Arial"/>
          <w:bCs/>
          <w:sz w:val="20"/>
          <w:szCs w:val="20"/>
          <w:lang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r>
        <w:rPr>
          <w:rFonts w:ascii="Arial" w:hAnsi="Arial" w:cs="Arial"/>
          <w:bCs/>
          <w:sz w:val="20"/>
          <w:szCs w:val="20"/>
          <w:lang w:eastAsia="es-ES_tradnl"/>
        </w:rPr>
        <w:t>, según corresponda</w:t>
      </w:r>
      <w:r w:rsidR="000D6956">
        <w:rPr>
          <w:rFonts w:ascii="Arial" w:hAnsi="Arial" w:cs="Arial"/>
          <w:bCs/>
          <w:sz w:val="20"/>
          <w:szCs w:val="20"/>
          <w:lang w:eastAsia="es-ES_tradnl"/>
        </w:rPr>
        <w:t>.</w:t>
      </w:r>
    </w:p>
    <w:p w14:paraId="4FB62CA0" w14:textId="77777777" w:rsidR="00973613" w:rsidRDefault="00973613" w:rsidP="00973613">
      <w:pPr>
        <w:jc w:val="both"/>
        <w:rPr>
          <w:rFonts w:ascii="Arial" w:hAnsi="Arial" w:cs="Arial"/>
          <w:bCs/>
          <w:sz w:val="20"/>
          <w:szCs w:val="20"/>
          <w:lang w:eastAsia="es-ES_tradnl"/>
        </w:rPr>
      </w:pPr>
    </w:p>
    <w:p w14:paraId="04AC012D" w14:textId="77777777" w:rsidR="00973613" w:rsidRPr="00973613" w:rsidRDefault="00973613" w:rsidP="00973613">
      <w:pPr>
        <w:tabs>
          <w:tab w:val="left" w:pos="426"/>
        </w:tabs>
        <w:spacing w:after="160"/>
        <w:contextualSpacing/>
        <w:jc w:val="both"/>
        <w:rPr>
          <w:rFonts w:ascii="Arial" w:eastAsia="Calibri" w:hAnsi="Arial" w:cs="Arial"/>
          <w:sz w:val="22"/>
          <w:szCs w:val="22"/>
          <w:lang w:val="es-MX" w:eastAsia="en-US"/>
        </w:rPr>
      </w:pPr>
      <w:bookmarkStart w:id="3" w:name="_Hlk77152637"/>
      <w:bookmarkStart w:id="4" w:name="_Hlk77157066"/>
      <w:bookmarkStart w:id="5" w:name="_Hlk78821436"/>
      <w:bookmarkStart w:id="6" w:name="_Hlk133404182"/>
      <w:r w:rsidRPr="00973613">
        <w:rPr>
          <w:rFonts w:ascii="Arial" w:eastAsia="Calibri" w:hAnsi="Arial" w:cs="Arial"/>
          <w:b/>
          <w:bCs/>
          <w:sz w:val="22"/>
          <w:szCs w:val="22"/>
          <w:lang w:val="es-MX" w:eastAsia="en-US"/>
        </w:rPr>
        <w:t>LEY DE GARANTÍAS ELECTORALES ‒ Finalidad</w:t>
      </w:r>
    </w:p>
    <w:p w14:paraId="55B5C143" w14:textId="77777777" w:rsidR="00973613" w:rsidRPr="00973613" w:rsidRDefault="00973613" w:rsidP="00973613">
      <w:pPr>
        <w:tabs>
          <w:tab w:val="left" w:pos="426"/>
        </w:tabs>
        <w:spacing w:after="160"/>
        <w:contextualSpacing/>
        <w:jc w:val="both"/>
        <w:rPr>
          <w:rFonts w:ascii="Arial" w:eastAsia="Calibri" w:hAnsi="Arial" w:cs="Arial"/>
          <w:sz w:val="20"/>
          <w:szCs w:val="20"/>
          <w:lang w:val="es-MX" w:eastAsia="en-US"/>
        </w:rPr>
      </w:pPr>
    </w:p>
    <w:p w14:paraId="1087B6B7" w14:textId="77777777" w:rsidR="00973613" w:rsidRPr="00973613" w:rsidRDefault="00973613" w:rsidP="00973613">
      <w:pPr>
        <w:jc w:val="both"/>
        <w:rPr>
          <w:rFonts w:ascii="Arial" w:hAnsi="Arial" w:cs="Arial"/>
          <w:bCs/>
          <w:sz w:val="20"/>
          <w:szCs w:val="20"/>
          <w:lang w:eastAsia="es-ES_tradnl"/>
        </w:rPr>
      </w:pPr>
      <w:r>
        <w:rPr>
          <w:rFonts w:ascii="Arial" w:hAnsi="Arial" w:cs="Arial"/>
          <w:bCs/>
          <w:sz w:val="20"/>
          <w:szCs w:val="20"/>
          <w:lang w:eastAsia="es-ES_tradnl"/>
        </w:rPr>
        <w:t xml:space="preserve">“(…) </w:t>
      </w:r>
      <w:r w:rsidRPr="00973613">
        <w:rPr>
          <w:rFonts w:ascii="Arial" w:hAnsi="Arial" w:cs="Arial"/>
          <w:bCs/>
          <w:sz w:val="20"/>
          <w:szCs w:val="20"/>
          <w:lang w:val="es-MX"/>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r>
        <w:rPr>
          <w:rFonts w:ascii="Arial" w:hAnsi="Arial" w:cs="Arial"/>
          <w:bCs/>
          <w:sz w:val="20"/>
          <w:szCs w:val="20"/>
          <w:lang w:val="es-MX"/>
        </w:rPr>
        <w:t>”</w:t>
      </w:r>
      <w:r w:rsidRPr="00973613">
        <w:rPr>
          <w:rFonts w:ascii="Arial" w:hAnsi="Arial" w:cs="Arial"/>
          <w:bCs/>
          <w:sz w:val="20"/>
          <w:szCs w:val="20"/>
          <w:lang w:val="es-MX"/>
        </w:rPr>
        <w:t>.</w:t>
      </w:r>
    </w:p>
    <w:p w14:paraId="51E9D955" w14:textId="77777777" w:rsidR="00973613" w:rsidRPr="00973613" w:rsidRDefault="00973613" w:rsidP="00973613">
      <w:pPr>
        <w:tabs>
          <w:tab w:val="left" w:pos="426"/>
        </w:tabs>
        <w:spacing w:after="160"/>
        <w:contextualSpacing/>
        <w:jc w:val="both"/>
        <w:rPr>
          <w:rFonts w:ascii="Arial" w:eastAsia="Calibri" w:hAnsi="Arial" w:cs="Arial"/>
          <w:b/>
          <w:bCs/>
          <w:sz w:val="20"/>
          <w:szCs w:val="20"/>
          <w:lang w:val="es-MX" w:eastAsia="en-US"/>
        </w:rPr>
      </w:pPr>
    </w:p>
    <w:p w14:paraId="13436906" w14:textId="5D7E0343" w:rsidR="00973613" w:rsidRPr="00973613" w:rsidRDefault="00973613" w:rsidP="00973613">
      <w:pPr>
        <w:tabs>
          <w:tab w:val="left" w:pos="426"/>
        </w:tabs>
        <w:spacing w:after="160"/>
        <w:contextualSpacing/>
        <w:jc w:val="both"/>
        <w:rPr>
          <w:rFonts w:ascii="Arial" w:eastAsia="Calibri" w:hAnsi="Arial" w:cs="Arial"/>
          <w:b/>
          <w:bCs/>
          <w:sz w:val="22"/>
          <w:szCs w:val="22"/>
          <w:lang w:val="es-MX" w:eastAsia="en-US"/>
        </w:rPr>
      </w:pPr>
      <w:r w:rsidRPr="00973613">
        <w:rPr>
          <w:rFonts w:ascii="Arial" w:eastAsia="Calibri" w:hAnsi="Arial" w:cs="Arial"/>
          <w:b/>
          <w:bCs/>
          <w:sz w:val="22"/>
          <w:szCs w:val="22"/>
          <w:lang w:val="es-MX" w:eastAsia="en-US"/>
        </w:rPr>
        <w:t xml:space="preserve">LEY DE GARANTÍAS ELECTORALES </w:t>
      </w:r>
      <w:bookmarkStart w:id="7" w:name="_Hlk142922063"/>
      <w:r w:rsidRPr="00973613">
        <w:rPr>
          <w:rFonts w:ascii="Arial" w:eastAsia="Calibri" w:hAnsi="Arial" w:cs="Arial"/>
          <w:b/>
          <w:bCs/>
          <w:sz w:val="22"/>
          <w:szCs w:val="22"/>
          <w:lang w:val="es-MX" w:eastAsia="en-US"/>
        </w:rPr>
        <w:t>‒</w:t>
      </w:r>
      <w:bookmarkEnd w:id="3"/>
      <w:bookmarkEnd w:id="7"/>
      <w:r w:rsidRPr="00973613">
        <w:rPr>
          <w:rFonts w:ascii="Arial" w:eastAsia="Calibri" w:hAnsi="Arial" w:cs="Arial"/>
          <w:b/>
          <w:bCs/>
          <w:sz w:val="22"/>
          <w:szCs w:val="22"/>
          <w:lang w:val="es-MX" w:eastAsia="en-US"/>
        </w:rPr>
        <w:t xml:space="preserve"> Tipos de restricciones </w:t>
      </w:r>
      <w:bookmarkStart w:id="8" w:name="_Hlk77157034"/>
      <w:r w:rsidRPr="00973613">
        <w:rPr>
          <w:rFonts w:ascii="Arial" w:eastAsia="Calibri" w:hAnsi="Arial" w:cs="Arial"/>
          <w:b/>
          <w:bCs/>
          <w:sz w:val="22"/>
          <w:szCs w:val="22"/>
          <w:lang w:val="es-MX" w:eastAsia="en-US"/>
        </w:rPr>
        <w:t xml:space="preserve">‒ </w:t>
      </w:r>
      <w:bookmarkStart w:id="9" w:name="_Hlk77153098"/>
      <w:bookmarkEnd w:id="8"/>
      <w:r w:rsidRPr="00973613">
        <w:rPr>
          <w:rFonts w:ascii="Arial" w:eastAsia="Calibri" w:hAnsi="Arial" w:cs="Arial"/>
          <w:b/>
          <w:bCs/>
          <w:sz w:val="22"/>
          <w:szCs w:val="22"/>
          <w:lang w:val="es-MX" w:eastAsia="en-US"/>
        </w:rPr>
        <w:t>Ámbito temporal</w:t>
      </w:r>
      <w:bookmarkEnd w:id="9"/>
    </w:p>
    <w:p w14:paraId="1C20C82D" w14:textId="77777777" w:rsidR="00973613" w:rsidRPr="00973613" w:rsidRDefault="00973613" w:rsidP="00973613">
      <w:pPr>
        <w:tabs>
          <w:tab w:val="left" w:pos="426"/>
        </w:tabs>
        <w:spacing w:after="160"/>
        <w:contextualSpacing/>
        <w:jc w:val="both"/>
        <w:rPr>
          <w:rFonts w:ascii="Arial" w:eastAsia="Calibri" w:hAnsi="Arial" w:cs="Arial"/>
          <w:b/>
          <w:bCs/>
          <w:sz w:val="20"/>
          <w:szCs w:val="20"/>
          <w:lang w:val="es-MX" w:eastAsia="en-US"/>
        </w:rPr>
      </w:pPr>
    </w:p>
    <w:bookmarkEnd w:id="4"/>
    <w:p w14:paraId="30AC1448" w14:textId="5483C088" w:rsidR="00973613" w:rsidRPr="00973613" w:rsidRDefault="00973613" w:rsidP="00973613">
      <w:pPr>
        <w:spacing w:after="160"/>
        <w:contextualSpacing/>
        <w:jc w:val="both"/>
        <w:rPr>
          <w:rFonts w:ascii="Arial" w:eastAsia="Arial" w:hAnsi="Arial" w:cs="Arial"/>
          <w:sz w:val="20"/>
          <w:szCs w:val="20"/>
          <w:lang w:val="es-ES" w:eastAsia="es-ES" w:bidi="es-ES"/>
        </w:rPr>
      </w:pPr>
      <w:r>
        <w:rPr>
          <w:rFonts w:ascii="Arial" w:eastAsia="Calibri" w:hAnsi="Arial" w:cs="Arial"/>
          <w:noProof/>
          <w:sz w:val="20"/>
          <w:szCs w:val="20"/>
          <w:lang w:val="es-MX" w:eastAsia="en-US"/>
        </w:rPr>
        <w:t>“(…)</w:t>
      </w:r>
      <w:bookmarkStart w:id="10" w:name="_Hlk77165666"/>
      <w:r>
        <w:rPr>
          <w:rFonts w:ascii="Arial" w:eastAsia="Calibri" w:hAnsi="Arial" w:cs="Arial"/>
          <w:noProof/>
          <w:sz w:val="20"/>
          <w:szCs w:val="20"/>
          <w:lang w:val="es-MX" w:eastAsia="en-US"/>
        </w:rPr>
        <w:t xml:space="preserve"> </w:t>
      </w:r>
      <w:r w:rsidRPr="00973613">
        <w:rPr>
          <w:rFonts w:ascii="Arial" w:eastAsia="Arial" w:hAnsi="Arial" w:cs="Arial"/>
          <w:sz w:val="20"/>
          <w:szCs w:val="20"/>
          <w:lang w:val="es-ES" w:eastAsia="es-ES" w:bidi="es-ES"/>
        </w:rPr>
        <w:t xml:space="preserve">la Ley 996 de 2005 establece dos (2) tipos de restricciones en materia de contratación, las cuales coinciden parcialmente. </w:t>
      </w:r>
      <w:r w:rsidRPr="00973613">
        <w:rPr>
          <w:rFonts w:ascii="Arial" w:eastAsia="Arial" w:hAnsi="Arial" w:cs="Arial"/>
          <w:i/>
          <w:iCs/>
          <w:sz w:val="20"/>
          <w:szCs w:val="20"/>
          <w:lang w:val="es-ES" w:eastAsia="es-ES" w:bidi="es-ES"/>
        </w:rPr>
        <w:t>En primer lugar</w:t>
      </w:r>
      <w:r w:rsidRPr="00973613">
        <w:rPr>
          <w:rFonts w:ascii="Arial" w:eastAsia="Arial" w:hAnsi="Arial" w:cs="Arial"/>
          <w:sz w:val="20"/>
          <w:szCs w:val="20"/>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973613">
        <w:rPr>
          <w:rFonts w:ascii="Arial" w:eastAsia="Arial" w:hAnsi="Arial" w:cs="Arial"/>
          <w:i/>
          <w:iCs/>
          <w:sz w:val="20"/>
          <w:szCs w:val="20"/>
          <w:lang w:val="es-ES" w:eastAsia="es-ES" w:bidi="es-ES"/>
        </w:rPr>
        <w:t>En segundo lugar</w:t>
      </w:r>
      <w:r w:rsidRPr="00973613">
        <w:rPr>
          <w:rFonts w:ascii="Arial" w:eastAsia="Arial" w:hAnsi="Arial" w:cs="Arial"/>
          <w:sz w:val="20"/>
          <w:szCs w:val="20"/>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r>
        <w:rPr>
          <w:rFonts w:ascii="Arial" w:eastAsia="Arial" w:hAnsi="Arial" w:cs="Arial"/>
          <w:sz w:val="20"/>
          <w:szCs w:val="20"/>
          <w:lang w:val="es-ES" w:eastAsia="es-ES" w:bidi="es-ES"/>
        </w:rPr>
        <w:t xml:space="preserve"> (…)”.</w:t>
      </w:r>
    </w:p>
    <w:p w14:paraId="5492CEE5" w14:textId="77777777" w:rsidR="00973613" w:rsidRPr="00973613" w:rsidRDefault="00973613" w:rsidP="00973613">
      <w:pPr>
        <w:tabs>
          <w:tab w:val="left" w:pos="426"/>
        </w:tabs>
        <w:ind w:left="426" w:hanging="426"/>
        <w:contextualSpacing/>
        <w:jc w:val="both"/>
        <w:rPr>
          <w:rFonts w:ascii="Arial" w:eastAsia="Calibri" w:hAnsi="Arial" w:cs="Arial"/>
          <w:b/>
          <w:bCs/>
          <w:sz w:val="20"/>
          <w:szCs w:val="20"/>
          <w:lang w:val="es-MX" w:eastAsia="en-US"/>
        </w:rPr>
      </w:pPr>
    </w:p>
    <w:p w14:paraId="1F17FEA3" w14:textId="6F23AE0F" w:rsidR="00973613" w:rsidRPr="00973613" w:rsidRDefault="00973613" w:rsidP="00973613">
      <w:pPr>
        <w:tabs>
          <w:tab w:val="left" w:pos="426"/>
        </w:tabs>
        <w:ind w:left="426" w:hanging="426"/>
        <w:contextualSpacing/>
        <w:jc w:val="both"/>
        <w:rPr>
          <w:rFonts w:ascii="Arial" w:eastAsia="Calibri" w:hAnsi="Arial" w:cs="Arial"/>
          <w:b/>
          <w:bCs/>
          <w:sz w:val="22"/>
          <w:szCs w:val="22"/>
          <w:lang w:val="es-MX" w:eastAsia="en-US"/>
        </w:rPr>
      </w:pPr>
      <w:r w:rsidRPr="00973613">
        <w:rPr>
          <w:rFonts w:ascii="Arial" w:eastAsia="Calibri" w:hAnsi="Arial" w:cs="Arial"/>
          <w:b/>
          <w:bCs/>
          <w:sz w:val="22"/>
          <w:szCs w:val="22"/>
          <w:lang w:val="es-MX" w:eastAsia="en-US"/>
        </w:rPr>
        <w:t>LEY DE GARANTÍAS ELECTORALES ‒</w:t>
      </w:r>
      <w:r>
        <w:rPr>
          <w:rFonts w:ascii="Arial" w:eastAsia="Calibri" w:hAnsi="Arial" w:cs="Arial"/>
          <w:b/>
          <w:bCs/>
          <w:sz w:val="22"/>
          <w:szCs w:val="22"/>
          <w:lang w:val="es-MX" w:eastAsia="en-US"/>
        </w:rPr>
        <w:t xml:space="preserve"> </w:t>
      </w:r>
      <w:r w:rsidRPr="00973613">
        <w:rPr>
          <w:rFonts w:ascii="Arial" w:eastAsia="Calibri" w:hAnsi="Arial" w:cs="Arial"/>
          <w:b/>
          <w:bCs/>
          <w:sz w:val="22"/>
          <w:szCs w:val="22"/>
          <w:lang w:val="es-MX" w:eastAsia="en-US"/>
        </w:rPr>
        <w:t xml:space="preserve">Prohibición ‒ </w:t>
      </w:r>
      <w:bookmarkEnd w:id="10"/>
      <w:r w:rsidRPr="00973613">
        <w:rPr>
          <w:rFonts w:ascii="Arial" w:eastAsia="Calibri" w:hAnsi="Arial" w:cs="Arial"/>
          <w:b/>
          <w:bCs/>
          <w:sz w:val="22"/>
          <w:szCs w:val="22"/>
          <w:lang w:val="es-MX" w:eastAsia="en-US"/>
        </w:rPr>
        <w:t>Contratación directa ‒ Alcance</w:t>
      </w:r>
    </w:p>
    <w:p w14:paraId="769065B7" w14:textId="77777777" w:rsidR="00973613" w:rsidRPr="00973613" w:rsidRDefault="00973613" w:rsidP="00973613">
      <w:pPr>
        <w:tabs>
          <w:tab w:val="left" w:pos="426"/>
        </w:tabs>
        <w:spacing w:after="160"/>
        <w:contextualSpacing/>
        <w:jc w:val="both"/>
        <w:rPr>
          <w:rFonts w:ascii="Arial" w:eastAsia="Calibri" w:hAnsi="Arial" w:cs="Arial"/>
          <w:noProof/>
          <w:sz w:val="20"/>
          <w:szCs w:val="20"/>
          <w:lang w:val="es-MX" w:eastAsia="en-US"/>
        </w:rPr>
      </w:pPr>
    </w:p>
    <w:p w14:paraId="1C9B07A8" w14:textId="1CD95D06" w:rsidR="00973613" w:rsidRPr="00973613" w:rsidRDefault="00973613" w:rsidP="00973613">
      <w:pPr>
        <w:spacing w:after="160"/>
        <w:contextualSpacing/>
        <w:jc w:val="both"/>
        <w:rPr>
          <w:rFonts w:ascii="Arial" w:hAnsi="Arial" w:cs="Arial"/>
          <w:bCs/>
          <w:sz w:val="20"/>
          <w:szCs w:val="20"/>
          <w:lang w:val="es-MX" w:eastAsia="x-none"/>
        </w:rPr>
      </w:pPr>
      <w:r>
        <w:rPr>
          <w:rFonts w:ascii="Arial" w:eastAsia="Calibri" w:hAnsi="Arial" w:cs="Arial"/>
          <w:noProof/>
          <w:sz w:val="20"/>
          <w:szCs w:val="20"/>
          <w:lang w:val="es-ES_tradnl" w:eastAsia="en-US"/>
        </w:rPr>
        <w:t xml:space="preserve">(...) </w:t>
      </w:r>
      <w:r w:rsidRPr="00973613">
        <w:rPr>
          <w:rFonts w:ascii="Arial" w:hAnsi="Arial" w:cs="Arial"/>
          <w:bCs/>
          <w:sz w:val="20"/>
          <w:szCs w:val="20"/>
          <w:lang w:val="es-MX" w:eastAsia="x-none"/>
        </w:rPr>
        <w:t>ha de entenderse que, para los efectos de la Ley de Garantías Electorales y, en particular, para la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p>
    <w:p w14:paraId="02817A59" w14:textId="77777777" w:rsidR="00973613" w:rsidRPr="00973613" w:rsidRDefault="00973613" w:rsidP="00973613">
      <w:pPr>
        <w:spacing w:after="160"/>
        <w:contextualSpacing/>
        <w:jc w:val="both"/>
        <w:rPr>
          <w:rFonts w:ascii="Arial" w:hAnsi="Arial" w:cs="Arial"/>
          <w:bCs/>
          <w:sz w:val="20"/>
          <w:szCs w:val="20"/>
          <w:lang w:val="es-MX" w:eastAsia="x-none"/>
        </w:rPr>
      </w:pPr>
    </w:p>
    <w:p w14:paraId="3C3F524B" w14:textId="77777777" w:rsidR="00973613" w:rsidRPr="00973613" w:rsidRDefault="00973613" w:rsidP="00973613">
      <w:pPr>
        <w:spacing w:after="160"/>
        <w:contextualSpacing/>
        <w:jc w:val="both"/>
        <w:rPr>
          <w:rFonts w:ascii="Arial" w:hAnsi="Arial" w:cs="Arial"/>
          <w:sz w:val="20"/>
          <w:szCs w:val="20"/>
          <w:lang w:eastAsia="x-none"/>
        </w:rPr>
      </w:pPr>
      <w:r w:rsidRPr="00973613">
        <w:rPr>
          <w:rFonts w:ascii="Arial" w:hAnsi="Arial" w:cs="Arial"/>
          <w:bCs/>
          <w:sz w:val="20"/>
          <w:szCs w:val="20"/>
          <w:lang w:val="es-MX" w:eastAsia="x-none"/>
        </w:rPr>
        <w:lastRenderedPageBreak/>
        <w:t>De lo anterior se desprende que la restricción aplica, sin perjuicio de las excepciones establecidas en la misma ley, para celebrar cualquier contrato de forma directa, esto es, sin que exista un proceso abierto y competitivo.</w:t>
      </w:r>
      <w:r w:rsidRPr="00973613">
        <w:rPr>
          <w:rFonts w:ascii="Arial" w:hAnsi="Arial" w:cs="Arial"/>
          <w:sz w:val="20"/>
          <w:szCs w:val="20"/>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las entidades públicas pueden seguir contratando bajo estos sistemas.</w:t>
      </w:r>
    </w:p>
    <w:p w14:paraId="6444D64C" w14:textId="77777777" w:rsidR="00973613" w:rsidRPr="00973613" w:rsidRDefault="00973613" w:rsidP="00973613">
      <w:pPr>
        <w:spacing w:after="160"/>
        <w:contextualSpacing/>
        <w:jc w:val="both"/>
        <w:rPr>
          <w:rFonts w:ascii="Arial" w:hAnsi="Arial" w:cs="Arial"/>
          <w:sz w:val="22"/>
          <w:szCs w:val="22"/>
          <w:lang w:eastAsia="x-none"/>
        </w:rPr>
      </w:pPr>
    </w:p>
    <w:p w14:paraId="3FDE044A" w14:textId="2339D81D" w:rsidR="00973613" w:rsidRPr="00973613" w:rsidRDefault="00973613" w:rsidP="00973613">
      <w:pPr>
        <w:tabs>
          <w:tab w:val="left" w:pos="426"/>
        </w:tabs>
        <w:spacing w:after="160"/>
        <w:contextualSpacing/>
        <w:jc w:val="both"/>
        <w:rPr>
          <w:rFonts w:ascii="Arial" w:eastAsia="Calibri" w:hAnsi="Arial" w:cs="Arial"/>
          <w:b/>
          <w:bCs/>
          <w:sz w:val="20"/>
          <w:szCs w:val="20"/>
          <w:lang w:val="es-MX" w:eastAsia="en-US"/>
        </w:rPr>
      </w:pPr>
      <w:r w:rsidRPr="00973613">
        <w:rPr>
          <w:rFonts w:ascii="Arial" w:eastAsia="Calibri" w:hAnsi="Arial" w:cs="Arial"/>
          <w:b/>
          <w:bCs/>
          <w:sz w:val="22"/>
          <w:szCs w:val="22"/>
          <w:lang w:val="es-MX" w:eastAsia="en-US"/>
        </w:rPr>
        <w:t>LEY DE GARANTÍAS ELECTORALES</w:t>
      </w:r>
      <w:r>
        <w:rPr>
          <w:rFonts w:ascii="Arial" w:eastAsia="Calibri" w:hAnsi="Arial" w:cs="Arial"/>
          <w:b/>
          <w:bCs/>
          <w:sz w:val="22"/>
          <w:szCs w:val="22"/>
          <w:lang w:val="es-MX" w:eastAsia="en-US"/>
        </w:rPr>
        <w:t xml:space="preserve"> </w:t>
      </w:r>
      <w:r w:rsidRPr="00973613">
        <w:rPr>
          <w:rFonts w:ascii="Arial" w:eastAsia="Calibri" w:hAnsi="Arial" w:cs="Arial"/>
          <w:b/>
          <w:bCs/>
          <w:sz w:val="22"/>
          <w:szCs w:val="22"/>
          <w:lang w:val="es-MX" w:eastAsia="en-US"/>
        </w:rPr>
        <w:t>‒</w:t>
      </w:r>
      <w:r>
        <w:rPr>
          <w:rFonts w:ascii="Arial" w:eastAsia="Calibri" w:hAnsi="Arial" w:cs="Arial"/>
          <w:b/>
          <w:bCs/>
          <w:sz w:val="22"/>
          <w:szCs w:val="22"/>
          <w:lang w:val="es-MX" w:eastAsia="en-US"/>
        </w:rPr>
        <w:t xml:space="preserve"> </w:t>
      </w:r>
      <w:r w:rsidRPr="00973613">
        <w:rPr>
          <w:rFonts w:ascii="Arial" w:eastAsia="Calibri" w:hAnsi="Arial" w:cs="Arial"/>
          <w:b/>
          <w:bCs/>
          <w:sz w:val="22"/>
          <w:szCs w:val="22"/>
          <w:lang w:val="es-MX" w:eastAsia="en-US"/>
        </w:rPr>
        <w:t xml:space="preserve">Prohibición ‒ Contratación directa ‒ </w:t>
      </w:r>
      <w:r w:rsidRPr="00973613">
        <w:rPr>
          <w:rFonts w:ascii="Arial" w:hAnsi="Arial" w:cs="Arial"/>
          <w:b/>
          <w:bCs/>
          <w:sz w:val="22"/>
          <w:szCs w:val="22"/>
        </w:rPr>
        <w:t>Excepciones</w:t>
      </w:r>
      <w:r w:rsidRPr="00973613">
        <w:rPr>
          <w:rFonts w:ascii="Arial" w:eastAsia="Calibri" w:hAnsi="Arial" w:cs="Arial"/>
          <w:b/>
          <w:bCs/>
          <w:sz w:val="22"/>
          <w:szCs w:val="22"/>
          <w:lang w:val="es-MX" w:eastAsia="en-US"/>
        </w:rPr>
        <w:t xml:space="preserve"> </w:t>
      </w:r>
    </w:p>
    <w:p w14:paraId="43576D30" w14:textId="77777777" w:rsidR="00973613" w:rsidRPr="00973613" w:rsidRDefault="00973613" w:rsidP="00973613">
      <w:pPr>
        <w:tabs>
          <w:tab w:val="left" w:pos="426"/>
        </w:tabs>
        <w:spacing w:after="160"/>
        <w:contextualSpacing/>
        <w:jc w:val="both"/>
        <w:rPr>
          <w:rFonts w:ascii="Arial" w:hAnsi="Arial" w:cs="Arial"/>
          <w:sz w:val="20"/>
          <w:szCs w:val="20"/>
          <w:lang w:eastAsia="x-none"/>
        </w:rPr>
      </w:pPr>
    </w:p>
    <w:p w14:paraId="0C04B045" w14:textId="0785EBC9" w:rsidR="00973613" w:rsidRPr="00973613" w:rsidRDefault="00973613" w:rsidP="00973613">
      <w:pPr>
        <w:spacing w:after="160"/>
        <w:contextualSpacing/>
        <w:jc w:val="both"/>
        <w:rPr>
          <w:rFonts w:ascii="Arial" w:hAnsi="Arial" w:cs="Arial"/>
          <w:bCs/>
          <w:sz w:val="20"/>
          <w:szCs w:val="20"/>
          <w:lang w:val="es-MX"/>
        </w:rPr>
      </w:pPr>
      <w:r>
        <w:rPr>
          <w:rFonts w:ascii="Arial" w:eastAsia="Calibri" w:hAnsi="Arial" w:cs="Arial"/>
          <w:noProof/>
          <w:sz w:val="20"/>
          <w:szCs w:val="20"/>
          <w:lang w:eastAsia="en-US"/>
        </w:rPr>
        <w:t xml:space="preserve">(…) </w:t>
      </w:r>
      <w:r w:rsidRPr="00973613">
        <w:rPr>
          <w:rFonts w:ascii="Arial" w:hAnsi="Arial" w:cs="Arial"/>
          <w:bCs/>
          <w:sz w:val="20"/>
          <w:szCs w:val="20"/>
          <w:lang w:val="es-MX" w:eastAsia="x-none"/>
        </w:rPr>
        <w:t>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973613">
        <w:rPr>
          <w:rFonts w:ascii="Arial" w:hAnsi="Arial" w:cs="Arial"/>
          <w:bCs/>
          <w:sz w:val="20"/>
          <w:szCs w:val="20"/>
          <w:lang w:val="es-MX"/>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2AEAF4C6" w14:textId="77777777" w:rsidR="00973613" w:rsidRPr="00973613" w:rsidRDefault="00973613" w:rsidP="00973613">
      <w:pPr>
        <w:spacing w:after="160"/>
        <w:contextualSpacing/>
        <w:jc w:val="both"/>
        <w:rPr>
          <w:rFonts w:ascii="Arial" w:hAnsi="Arial" w:cs="Arial"/>
          <w:bCs/>
          <w:sz w:val="20"/>
          <w:szCs w:val="20"/>
          <w:lang w:val="es-MX"/>
        </w:rPr>
      </w:pPr>
    </w:p>
    <w:p w14:paraId="12BD2221" w14:textId="77777777" w:rsidR="00973613" w:rsidRPr="00973613" w:rsidRDefault="00973613" w:rsidP="00973613">
      <w:pPr>
        <w:spacing w:after="160"/>
        <w:contextualSpacing/>
        <w:jc w:val="both"/>
        <w:rPr>
          <w:rFonts w:ascii="Arial" w:hAnsi="Arial" w:cs="Arial"/>
          <w:b/>
          <w:sz w:val="22"/>
          <w:szCs w:val="22"/>
          <w:lang w:val="es-ES"/>
        </w:rPr>
      </w:pPr>
      <w:r w:rsidRPr="00973613">
        <w:rPr>
          <w:rFonts w:ascii="Arial" w:hAnsi="Arial" w:cs="Arial"/>
          <w:b/>
          <w:bCs/>
          <w:sz w:val="22"/>
          <w:szCs w:val="22"/>
        </w:rPr>
        <w:t xml:space="preserve">LEY DE GARANTÍAS ELECTORALES </w:t>
      </w:r>
      <w:bookmarkStart w:id="11" w:name="_Hlk77166669"/>
      <w:r w:rsidRPr="00973613">
        <w:rPr>
          <w:rFonts w:ascii="Arial" w:hAnsi="Arial" w:cs="Arial"/>
          <w:b/>
          <w:bCs/>
          <w:sz w:val="22"/>
          <w:szCs w:val="22"/>
        </w:rPr>
        <w:t>‒</w:t>
      </w:r>
      <w:bookmarkEnd w:id="11"/>
      <w:r w:rsidRPr="00973613">
        <w:rPr>
          <w:rFonts w:ascii="Arial" w:hAnsi="Arial" w:cs="Arial"/>
          <w:b/>
          <w:bCs/>
          <w:sz w:val="22"/>
          <w:szCs w:val="22"/>
        </w:rPr>
        <w:t xml:space="preserve"> </w:t>
      </w:r>
      <w:r w:rsidRPr="00973613">
        <w:rPr>
          <w:rFonts w:ascii="Arial" w:hAnsi="Arial" w:cs="Arial"/>
          <w:b/>
          <w:sz w:val="22"/>
          <w:szCs w:val="22"/>
          <w:lang w:val="es-ES"/>
        </w:rPr>
        <w:t xml:space="preserve">Prohibición del artículo 33 </w:t>
      </w:r>
      <w:r w:rsidRPr="00973613">
        <w:rPr>
          <w:rFonts w:ascii="Arial" w:hAnsi="Arial" w:cs="Arial"/>
          <w:b/>
          <w:bCs/>
          <w:sz w:val="22"/>
          <w:szCs w:val="22"/>
        </w:rPr>
        <w:t>‒ Destinatarios</w:t>
      </w:r>
    </w:p>
    <w:p w14:paraId="7CD3096D" w14:textId="77777777" w:rsidR="00973613" w:rsidRPr="00973613" w:rsidRDefault="00973613" w:rsidP="00973613">
      <w:pPr>
        <w:tabs>
          <w:tab w:val="left" w:pos="426"/>
        </w:tabs>
        <w:spacing w:after="160"/>
        <w:contextualSpacing/>
        <w:jc w:val="both"/>
        <w:rPr>
          <w:rFonts w:ascii="Arial" w:eastAsia="Calibri" w:hAnsi="Arial" w:cs="Arial"/>
          <w:noProof/>
          <w:sz w:val="20"/>
          <w:szCs w:val="20"/>
          <w:lang w:val="es-ES" w:eastAsia="en-US"/>
        </w:rPr>
      </w:pPr>
    </w:p>
    <w:p w14:paraId="471D98B4" w14:textId="23C96706" w:rsidR="00973613" w:rsidRPr="00973613" w:rsidRDefault="00973613" w:rsidP="00973613">
      <w:pPr>
        <w:tabs>
          <w:tab w:val="left" w:pos="426"/>
        </w:tabs>
        <w:spacing w:after="160"/>
        <w:contextualSpacing/>
        <w:jc w:val="both"/>
        <w:rPr>
          <w:rFonts w:ascii="Arial" w:hAnsi="Arial" w:cs="Arial"/>
          <w:bCs/>
          <w:sz w:val="20"/>
          <w:szCs w:val="20"/>
          <w:lang w:val="es-MX" w:eastAsia="x-none"/>
        </w:rPr>
      </w:pPr>
      <w:r>
        <w:rPr>
          <w:rFonts w:ascii="Arial" w:hAnsi="Arial" w:cs="Arial"/>
          <w:bCs/>
          <w:sz w:val="20"/>
          <w:szCs w:val="20"/>
          <w:lang w:val="es-MX" w:eastAsia="x-none"/>
        </w:rPr>
        <w:t xml:space="preserve">(…) </w:t>
      </w:r>
      <w:r w:rsidRPr="00973613">
        <w:rPr>
          <w:rFonts w:ascii="Arial" w:hAnsi="Arial" w:cs="Arial"/>
          <w:bCs/>
          <w:sz w:val="20"/>
          <w:szCs w:val="20"/>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973613">
        <w:rPr>
          <w:rFonts w:ascii="Arial" w:eastAsia="Calibri" w:hAnsi="Arial" w:cs="Arial"/>
          <w:sz w:val="20"/>
          <w:szCs w:val="20"/>
          <w:lang w:val="es-MX" w:eastAsia="en-US"/>
        </w:rPr>
        <w:t xml:space="preserve"> </w:t>
      </w:r>
      <w:r w:rsidRPr="00973613">
        <w:rPr>
          <w:rFonts w:ascii="Arial" w:hAnsi="Arial" w:cs="Arial"/>
          <w:bCs/>
          <w:sz w:val="20"/>
          <w:szCs w:val="20"/>
          <w:lang w:val="es-MX" w:eastAsia="x-none"/>
        </w:rPr>
        <w:t>En efecto, como ha sostenido el Consejo de Estado, el vocablo “todos” utilizado por el legislador comprende</w:t>
      </w:r>
      <w:r w:rsidRPr="00973613">
        <w:rPr>
          <w:rFonts w:ascii="Arial" w:eastAsia="Calibri" w:hAnsi="Arial" w:cs="Arial"/>
          <w:sz w:val="20"/>
          <w:szCs w:val="20"/>
          <w:lang w:val="es-MX" w:eastAsia="en-US"/>
        </w:rPr>
        <w:t xml:space="preserve"> </w:t>
      </w:r>
      <w:r w:rsidRPr="00973613">
        <w:rPr>
          <w:rFonts w:ascii="Arial" w:hAnsi="Arial" w:cs="Arial"/>
          <w:bCs/>
          <w:sz w:val="20"/>
          <w:szCs w:val="20"/>
          <w:lang w:val="es-MX"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5577FFD7" w14:textId="77777777" w:rsidR="00973613" w:rsidRPr="00973613" w:rsidRDefault="00973613" w:rsidP="00973613">
      <w:pPr>
        <w:tabs>
          <w:tab w:val="left" w:pos="426"/>
        </w:tabs>
        <w:spacing w:after="160"/>
        <w:contextualSpacing/>
        <w:jc w:val="both"/>
        <w:rPr>
          <w:rFonts w:ascii="Arial" w:eastAsia="Calibri" w:hAnsi="Arial" w:cs="Arial"/>
          <w:sz w:val="20"/>
          <w:szCs w:val="20"/>
          <w:lang w:val="es-MX" w:eastAsia="en-US"/>
        </w:rPr>
      </w:pPr>
    </w:p>
    <w:p w14:paraId="779EBBC3" w14:textId="77777777" w:rsidR="00973613" w:rsidRPr="00973613" w:rsidRDefault="00973613" w:rsidP="00973613">
      <w:pPr>
        <w:tabs>
          <w:tab w:val="left" w:pos="426"/>
        </w:tabs>
        <w:spacing w:after="160"/>
        <w:contextualSpacing/>
        <w:jc w:val="both"/>
        <w:rPr>
          <w:rFonts w:ascii="Arial" w:eastAsia="Calibri" w:hAnsi="Arial" w:cs="Arial"/>
          <w:b/>
          <w:bCs/>
          <w:sz w:val="22"/>
          <w:szCs w:val="22"/>
          <w:lang w:val="es-MX" w:eastAsia="en-US"/>
        </w:rPr>
      </w:pPr>
      <w:r w:rsidRPr="00973613">
        <w:rPr>
          <w:rFonts w:ascii="Arial" w:eastAsia="Calibri" w:hAnsi="Arial" w:cs="Arial"/>
          <w:b/>
          <w:bCs/>
          <w:sz w:val="22"/>
          <w:szCs w:val="22"/>
          <w:lang w:val="es-MX" w:eastAsia="en-US"/>
        </w:rPr>
        <w:t xml:space="preserve">LEY DE GARANTÍAS ELECTORALES ‒ Prohibición por elección de cargos populares – Convenios y contratos interadministrativos </w:t>
      </w:r>
      <w:r w:rsidRPr="00973613">
        <w:rPr>
          <w:rFonts w:ascii="Arial" w:eastAsia="Calibri" w:hAnsi="Arial" w:cs="Arial"/>
          <w:b/>
          <w:sz w:val="22"/>
          <w:szCs w:val="22"/>
          <w:lang w:val="es-MX" w:eastAsia="en-US"/>
        </w:rPr>
        <w:t>– Definición – Criterio orgánico</w:t>
      </w:r>
    </w:p>
    <w:p w14:paraId="1F960DD2" w14:textId="77777777" w:rsidR="00973613" w:rsidRPr="00973613" w:rsidRDefault="00973613" w:rsidP="00973613">
      <w:pPr>
        <w:tabs>
          <w:tab w:val="left" w:pos="426"/>
        </w:tabs>
        <w:spacing w:after="160"/>
        <w:contextualSpacing/>
        <w:jc w:val="both"/>
        <w:rPr>
          <w:rFonts w:ascii="Arial" w:eastAsia="Calibri" w:hAnsi="Arial" w:cs="Arial"/>
          <w:sz w:val="20"/>
          <w:szCs w:val="20"/>
          <w:lang w:val="es-MX" w:eastAsia="en-US"/>
        </w:rPr>
      </w:pPr>
    </w:p>
    <w:p w14:paraId="3B3BB6BC" w14:textId="77777777" w:rsidR="00973613" w:rsidRDefault="00973613" w:rsidP="00973613">
      <w:pPr>
        <w:tabs>
          <w:tab w:val="left" w:pos="426"/>
        </w:tabs>
        <w:spacing w:after="160"/>
        <w:contextualSpacing/>
        <w:jc w:val="both"/>
        <w:rPr>
          <w:rFonts w:ascii="Arial" w:eastAsia="Calibri" w:hAnsi="Arial" w:cs="Arial"/>
          <w:sz w:val="20"/>
          <w:szCs w:val="20"/>
          <w:lang w:val="es-MX" w:eastAsia="en-US"/>
        </w:rPr>
      </w:pPr>
      <w:r w:rsidRPr="00973613">
        <w:rPr>
          <w:rFonts w:ascii="Arial" w:eastAsia="Calibri" w:hAnsi="Arial" w:cs="Arial"/>
          <w:sz w:val="20"/>
          <w:szCs w:val="20"/>
          <w:lang w:val="es-MX" w:eastAsia="en-US"/>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14:paraId="700C10AC" w14:textId="77777777" w:rsidR="00973613" w:rsidRDefault="00973613" w:rsidP="00973613">
      <w:pPr>
        <w:tabs>
          <w:tab w:val="left" w:pos="426"/>
        </w:tabs>
        <w:spacing w:after="160"/>
        <w:contextualSpacing/>
        <w:jc w:val="both"/>
        <w:rPr>
          <w:rFonts w:ascii="Arial" w:eastAsia="Calibri" w:hAnsi="Arial" w:cs="Arial"/>
          <w:sz w:val="20"/>
          <w:szCs w:val="20"/>
          <w:lang w:val="es-MX" w:eastAsia="en-US"/>
        </w:rPr>
      </w:pPr>
    </w:p>
    <w:p w14:paraId="34665EBD" w14:textId="765F4DAD" w:rsidR="00973613" w:rsidRPr="00973613" w:rsidRDefault="00973613" w:rsidP="00973613">
      <w:pPr>
        <w:tabs>
          <w:tab w:val="left" w:pos="426"/>
        </w:tabs>
        <w:spacing w:after="160"/>
        <w:contextualSpacing/>
        <w:jc w:val="both"/>
        <w:rPr>
          <w:rFonts w:ascii="Arial" w:eastAsia="Calibri" w:hAnsi="Arial" w:cs="Arial"/>
          <w:sz w:val="20"/>
          <w:szCs w:val="20"/>
          <w:lang w:val="es-MX" w:eastAsia="en-US"/>
        </w:rPr>
      </w:pPr>
      <w:r>
        <w:rPr>
          <w:rFonts w:ascii="Arial" w:eastAsia="Calibri" w:hAnsi="Arial" w:cs="Arial"/>
          <w:sz w:val="20"/>
          <w:szCs w:val="20"/>
          <w:lang w:val="es-MX" w:eastAsia="en-US"/>
        </w:rPr>
        <w:t xml:space="preserve">(…) </w:t>
      </w:r>
      <w:r w:rsidRPr="00973613">
        <w:rPr>
          <w:rFonts w:ascii="Arial" w:eastAsia="Calibri" w:hAnsi="Arial" w:cs="Arial"/>
          <w:bCs/>
          <w:sz w:val="20"/>
          <w:szCs w:val="20"/>
          <w:lang w:eastAsia="es-ES" w:bidi="es-ES"/>
        </w:rPr>
        <w:t xml:space="preserve">para determinar el alcance de la prohibición consagrada por la Ley de Garantías Electorales, conviene precisar la tipología de convenios o contratos interadministrativos. </w:t>
      </w:r>
      <w:r w:rsidRPr="00973613">
        <w:rPr>
          <w:rFonts w:ascii="Arial" w:eastAsia="Arial" w:hAnsi="Arial" w:cs="Arial"/>
          <w:sz w:val="20"/>
          <w:szCs w:val="20"/>
          <w:lang w:val="es-ES" w:eastAsia="es-ES"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973613">
        <w:rPr>
          <w:rFonts w:ascii="Arial" w:eastAsia="Arial" w:hAnsi="Arial" w:cs="Arial"/>
          <w:spacing w:val="-6"/>
          <w:sz w:val="20"/>
          <w:szCs w:val="20"/>
          <w:lang w:val="es-ES" w:eastAsia="es-ES" w:bidi="es-ES"/>
        </w:rPr>
        <w:t xml:space="preserve"> </w:t>
      </w:r>
      <w:r w:rsidRPr="00973613">
        <w:rPr>
          <w:rFonts w:ascii="Arial" w:eastAsia="Arial" w:hAnsi="Arial" w:cs="Arial"/>
          <w:sz w:val="20"/>
          <w:szCs w:val="20"/>
          <w:lang w:val="es-ES" w:eastAsia="es-ES" w:bidi="es-ES"/>
        </w:rPr>
        <w:t>estatales.</w:t>
      </w:r>
      <w:bookmarkEnd w:id="5"/>
    </w:p>
    <w:p w14:paraId="564D49BB" w14:textId="77777777" w:rsidR="00973613" w:rsidRPr="00973613" w:rsidRDefault="00973613" w:rsidP="00973613">
      <w:pPr>
        <w:widowControl w:val="0"/>
        <w:autoSpaceDE w:val="0"/>
        <w:autoSpaceDN w:val="0"/>
        <w:spacing w:after="160"/>
        <w:contextualSpacing/>
        <w:jc w:val="both"/>
        <w:rPr>
          <w:rFonts w:ascii="Arial" w:eastAsia="Arial" w:hAnsi="Arial" w:cs="Arial"/>
          <w:sz w:val="20"/>
          <w:szCs w:val="20"/>
          <w:lang w:val="es-ES" w:eastAsia="es-ES" w:bidi="es-ES"/>
        </w:rPr>
      </w:pPr>
    </w:p>
    <w:p w14:paraId="6E12794D" w14:textId="436E7177" w:rsidR="00973613" w:rsidRPr="00973613" w:rsidRDefault="00973613" w:rsidP="00973613">
      <w:pPr>
        <w:widowControl w:val="0"/>
        <w:autoSpaceDE w:val="0"/>
        <w:autoSpaceDN w:val="0"/>
        <w:spacing w:after="160"/>
        <w:contextualSpacing/>
        <w:jc w:val="both"/>
        <w:rPr>
          <w:rFonts w:ascii="Arial" w:eastAsia="Arial" w:hAnsi="Arial" w:cs="Arial"/>
          <w:b/>
          <w:bCs/>
          <w:sz w:val="22"/>
          <w:szCs w:val="22"/>
          <w:lang w:val="es-ES" w:eastAsia="es-ES" w:bidi="es-ES"/>
        </w:rPr>
      </w:pPr>
      <w:r w:rsidRPr="000773B9">
        <w:rPr>
          <w:rFonts w:ascii="Arial" w:eastAsia="Arial" w:hAnsi="Arial" w:cs="Arial"/>
          <w:b/>
          <w:bCs/>
          <w:sz w:val="22"/>
          <w:szCs w:val="22"/>
          <w:lang w:val="es-ES" w:eastAsia="es-ES" w:bidi="es-ES"/>
        </w:rPr>
        <w:t xml:space="preserve">CORPORACIONES AUTÓNOMAS REGIONALES </w:t>
      </w:r>
      <w:r w:rsidRPr="00973613">
        <w:rPr>
          <w:rFonts w:ascii="Arial" w:eastAsia="Arial" w:hAnsi="Arial" w:cs="Arial"/>
          <w:b/>
          <w:bCs/>
          <w:sz w:val="22"/>
          <w:szCs w:val="22"/>
          <w:lang w:val="es-ES" w:eastAsia="es-ES" w:bidi="es-ES"/>
        </w:rPr>
        <w:t xml:space="preserve">– </w:t>
      </w:r>
      <w:r w:rsidR="000773B9" w:rsidRPr="000773B9">
        <w:rPr>
          <w:rFonts w:ascii="Arial" w:eastAsia="Arial" w:hAnsi="Arial" w:cs="Arial"/>
          <w:b/>
          <w:bCs/>
          <w:sz w:val="22"/>
          <w:szCs w:val="22"/>
          <w:lang w:val="es-ES" w:eastAsia="es-ES" w:bidi="es-ES"/>
        </w:rPr>
        <w:t>Naturaleza jurídica y alcance frente a las restricciones de la Ley 996 de 2005 o Ley de Garantías Electorales</w:t>
      </w:r>
    </w:p>
    <w:p w14:paraId="55C46E2A" w14:textId="77777777" w:rsidR="00973613" w:rsidRPr="00973613" w:rsidRDefault="00973613" w:rsidP="00973613">
      <w:pPr>
        <w:widowControl w:val="0"/>
        <w:autoSpaceDE w:val="0"/>
        <w:autoSpaceDN w:val="0"/>
        <w:spacing w:after="160"/>
        <w:contextualSpacing/>
        <w:jc w:val="both"/>
        <w:rPr>
          <w:rFonts w:ascii="Arial" w:eastAsia="Arial" w:hAnsi="Arial" w:cs="Arial"/>
          <w:sz w:val="20"/>
          <w:szCs w:val="20"/>
          <w:lang w:val="es-ES" w:eastAsia="es-ES" w:bidi="es-ES"/>
        </w:rPr>
      </w:pPr>
    </w:p>
    <w:p w14:paraId="2A2D7BFF" w14:textId="77777777" w:rsidR="000773B9" w:rsidRPr="000773B9" w:rsidRDefault="000773B9" w:rsidP="000773B9">
      <w:pPr>
        <w:widowControl w:val="0"/>
        <w:autoSpaceDE w:val="0"/>
        <w:autoSpaceDN w:val="0"/>
        <w:spacing w:after="160"/>
        <w:contextualSpacing/>
        <w:jc w:val="both"/>
        <w:rPr>
          <w:rFonts w:ascii="Arial" w:eastAsia="Calibri" w:hAnsi="Arial" w:cs="Arial"/>
          <w:sz w:val="20"/>
          <w:szCs w:val="20"/>
          <w:lang w:eastAsia="en-US"/>
        </w:rPr>
      </w:pPr>
      <w:r w:rsidRPr="000773B9">
        <w:rPr>
          <w:rFonts w:ascii="Arial" w:eastAsia="Calibri" w:hAnsi="Arial" w:cs="Arial"/>
          <w:sz w:val="20"/>
          <w:szCs w:val="20"/>
          <w:lang w:eastAsia="en-US"/>
        </w:rPr>
        <w:t>“L</w:t>
      </w:r>
      <w:r w:rsidRPr="007343A0">
        <w:rPr>
          <w:rFonts w:ascii="Arial" w:eastAsia="Calibri" w:hAnsi="Arial" w:cs="Arial"/>
          <w:sz w:val="20"/>
          <w:szCs w:val="20"/>
          <w:lang w:eastAsia="en-US"/>
        </w:rPr>
        <w:t>as Corporaciones Autónomas Regionales pueden definirse en el ordenamiento jurídico colombiano como organismos autónomos encargados de la protección del medio ambiente en su jurisdicción, cuya naturaleza jurídica es especial, pues sus competencias son de carácter regional, asociadas a ecosistemas específicos</w:t>
      </w:r>
      <w:r w:rsidRPr="000773B9">
        <w:rPr>
          <w:rFonts w:ascii="Arial" w:eastAsia="Calibri" w:hAnsi="Arial" w:cs="Arial"/>
          <w:sz w:val="20"/>
          <w:szCs w:val="20"/>
          <w:lang w:eastAsia="en-US"/>
        </w:rPr>
        <w:t>.</w:t>
      </w:r>
    </w:p>
    <w:p w14:paraId="7ACE7D33" w14:textId="77777777" w:rsidR="000773B9" w:rsidRPr="000773B9" w:rsidRDefault="000773B9" w:rsidP="000773B9">
      <w:pPr>
        <w:widowControl w:val="0"/>
        <w:autoSpaceDE w:val="0"/>
        <w:autoSpaceDN w:val="0"/>
        <w:spacing w:after="160"/>
        <w:contextualSpacing/>
        <w:jc w:val="both"/>
        <w:rPr>
          <w:rFonts w:ascii="Arial" w:hAnsi="Arial" w:cs="Arial"/>
          <w:color w:val="000000"/>
          <w:sz w:val="20"/>
          <w:szCs w:val="20"/>
          <w:bdr w:val="none" w:sz="0" w:space="0" w:color="auto" w:frame="1"/>
          <w:lang w:val="es-ES" w:eastAsia="es-ES"/>
        </w:rPr>
      </w:pPr>
    </w:p>
    <w:p w14:paraId="6BEF43C9" w14:textId="5A97EB68" w:rsidR="000773B9" w:rsidRPr="000773B9" w:rsidRDefault="000773B9" w:rsidP="000773B9">
      <w:pPr>
        <w:widowControl w:val="0"/>
        <w:autoSpaceDE w:val="0"/>
        <w:autoSpaceDN w:val="0"/>
        <w:spacing w:after="160"/>
        <w:contextualSpacing/>
        <w:jc w:val="both"/>
        <w:rPr>
          <w:rFonts w:ascii="Arial" w:hAnsi="Arial" w:cs="Arial"/>
          <w:color w:val="000000"/>
          <w:sz w:val="20"/>
          <w:szCs w:val="20"/>
          <w:bdr w:val="none" w:sz="0" w:space="0" w:color="auto" w:frame="1"/>
          <w:lang w:val="es-ES" w:eastAsia="es-ES"/>
        </w:rPr>
      </w:pPr>
      <w:r w:rsidRPr="000773B9">
        <w:rPr>
          <w:rFonts w:ascii="Arial" w:hAnsi="Arial" w:cs="Arial"/>
          <w:color w:val="000000"/>
          <w:sz w:val="20"/>
          <w:szCs w:val="20"/>
          <w:bdr w:val="none" w:sz="0" w:space="0" w:color="auto" w:frame="1"/>
          <w:lang w:val="es-ES" w:eastAsia="es-ES"/>
        </w:rPr>
        <w:t>(…)</w:t>
      </w:r>
    </w:p>
    <w:p w14:paraId="4CA530D4" w14:textId="77777777" w:rsidR="000773B9" w:rsidRPr="000773B9" w:rsidRDefault="000773B9" w:rsidP="000773B9">
      <w:pPr>
        <w:widowControl w:val="0"/>
        <w:autoSpaceDE w:val="0"/>
        <w:autoSpaceDN w:val="0"/>
        <w:spacing w:after="160"/>
        <w:contextualSpacing/>
        <w:jc w:val="both"/>
        <w:rPr>
          <w:rFonts w:ascii="Arial" w:hAnsi="Arial" w:cs="Arial"/>
          <w:color w:val="000000"/>
          <w:sz w:val="20"/>
          <w:szCs w:val="20"/>
          <w:bdr w:val="none" w:sz="0" w:space="0" w:color="auto" w:frame="1"/>
          <w:lang w:val="es-ES" w:eastAsia="es-ES"/>
        </w:rPr>
      </w:pPr>
    </w:p>
    <w:p w14:paraId="4056EC80" w14:textId="77777777" w:rsidR="000773B9" w:rsidRPr="000773B9" w:rsidRDefault="000773B9" w:rsidP="000773B9">
      <w:pPr>
        <w:widowControl w:val="0"/>
        <w:autoSpaceDE w:val="0"/>
        <w:autoSpaceDN w:val="0"/>
        <w:spacing w:after="160"/>
        <w:contextualSpacing/>
        <w:jc w:val="both"/>
        <w:rPr>
          <w:rFonts w:ascii="Arial" w:eastAsia="Arial" w:hAnsi="Arial" w:cs="Arial"/>
          <w:sz w:val="20"/>
          <w:szCs w:val="20"/>
          <w:lang w:val="es-ES" w:eastAsia="es-ES" w:bidi="es-ES"/>
        </w:rPr>
      </w:pPr>
      <w:r w:rsidRPr="000773B9">
        <w:rPr>
          <w:rFonts w:ascii="Arial" w:hAnsi="Arial" w:cs="Arial"/>
          <w:color w:val="000000"/>
          <w:sz w:val="20"/>
          <w:szCs w:val="20"/>
          <w:bdr w:val="none" w:sz="0" w:space="0" w:color="auto" w:frame="1"/>
          <w:lang w:val="es-ES" w:eastAsia="es-ES"/>
        </w:rPr>
        <w:t xml:space="preserve">Ahora bien, sobre el alcance del tema en particular que se analiza frente a las restricciones contenidas en la Ley 996 de 2005 o Ley de Garantías Electorales, esta Agencia, en los conceptos C-374 del 16 de septiembre de 2021 y C-099 del 22 de marzo de 2022, destacó que la referida Ley 99 de 1993, en su artículo 23, define la naturaleza jurídica pública especial de las Corporaciones Autónomas Regionales al caracterizarlas, en términos generales, como entes corporativos de carácter público creados por la ley e integrados por las entidades territoriales que, por sus características, constituyen geográficamente un mismo ecosistema o conforman una unidad geopolítica, biogeográfica o hidrogeográfica, dotados de autonomía administrativa y financiera, patrimonio propio y personería jurídica, encargados de administrar, dentro del área de su jurisdicción, el medio ambiente y los recursos naturales renovables y propender por su desarrollo sostenible. En otras palabras, esto significa que: (i) no </w:t>
      </w:r>
      <w:r w:rsidRPr="000773B9">
        <w:rPr>
          <w:rFonts w:ascii="Arial" w:hAnsi="Arial" w:cs="Arial"/>
          <w:bCs/>
          <w:sz w:val="20"/>
          <w:szCs w:val="20"/>
          <w:lang w:val="es-ES" w:bidi="es-ES"/>
        </w:rPr>
        <w:t>pertenecen al sector central de la administración (artículo 150 numeral 7 Constitución Política); (ii) no son entidades del sector descentralizado por servicios, ya que no están adscritas ni vinculadas a ningún ente del sector central; (iii) ni tampoco pueden tenerse por entidades territoriales, comoquiera que no están incluidas en el artículo 286 Superior que las reconoce en forma taxativa, a pesar de que, en la práctica, son organismos administrativos intermedios entre la Nación y las entidades territoriales.</w:t>
      </w:r>
    </w:p>
    <w:p w14:paraId="7C342618" w14:textId="77777777" w:rsidR="000773B9" w:rsidRPr="000773B9" w:rsidRDefault="000773B9" w:rsidP="000773B9">
      <w:pPr>
        <w:widowControl w:val="0"/>
        <w:autoSpaceDE w:val="0"/>
        <w:autoSpaceDN w:val="0"/>
        <w:spacing w:after="160"/>
        <w:contextualSpacing/>
        <w:jc w:val="both"/>
        <w:rPr>
          <w:rFonts w:ascii="Arial" w:eastAsia="Arial" w:hAnsi="Arial" w:cs="Arial"/>
          <w:sz w:val="20"/>
          <w:szCs w:val="20"/>
          <w:lang w:val="es-ES" w:eastAsia="es-ES" w:bidi="es-ES"/>
        </w:rPr>
      </w:pPr>
    </w:p>
    <w:p w14:paraId="28F0A51C" w14:textId="77777777" w:rsidR="000773B9" w:rsidRDefault="000773B9" w:rsidP="000773B9">
      <w:pPr>
        <w:widowControl w:val="0"/>
        <w:autoSpaceDE w:val="0"/>
        <w:autoSpaceDN w:val="0"/>
        <w:spacing w:after="160"/>
        <w:contextualSpacing/>
        <w:jc w:val="both"/>
        <w:rPr>
          <w:rFonts w:ascii="Arial" w:eastAsia="Arial" w:hAnsi="Arial" w:cs="Arial"/>
          <w:sz w:val="20"/>
          <w:szCs w:val="20"/>
          <w:lang w:val="es-ES" w:eastAsia="es-ES" w:bidi="es-ES"/>
        </w:rPr>
      </w:pPr>
      <w:r w:rsidRPr="000773B9">
        <w:rPr>
          <w:rFonts w:ascii="Arial" w:hAnsi="Arial" w:cs="Arial"/>
          <w:bCs/>
          <w:sz w:val="20"/>
          <w:szCs w:val="20"/>
          <w:lang w:val="es-ES" w:bidi="es-ES"/>
        </w:rPr>
        <w:t xml:space="preserve">Por lo dicho hasta ahora, es viable concluir que las Corporaciones Autónomas Regionales también entran en el ámbito de aplicación de las prohibiciones señaladas en la Ley 996 de 2005 o Ley de Garantías Electorales, puesto que al tratarse de un ente estatal del orden nacional, están incluidas en la prohibición de la contratación pública prevista en el artículo 33 </w:t>
      </w:r>
      <w:r w:rsidRPr="000773B9">
        <w:rPr>
          <w:rFonts w:ascii="Arial" w:hAnsi="Arial" w:cs="Arial"/>
          <w:bCs/>
          <w:i/>
          <w:iCs/>
          <w:sz w:val="20"/>
          <w:szCs w:val="20"/>
          <w:lang w:val="es-ES" w:bidi="es-ES"/>
        </w:rPr>
        <w:t>ibídem</w:t>
      </w:r>
      <w:r w:rsidRPr="000773B9">
        <w:rPr>
          <w:rFonts w:ascii="Arial" w:hAnsi="Arial" w:cs="Arial"/>
          <w:bCs/>
          <w:sz w:val="20"/>
          <w:szCs w:val="20"/>
          <w:lang w:val="es-ES" w:bidi="es-ES"/>
        </w:rPr>
        <w:t xml:space="preserve">, la cual aplica con cuatro (4) meses anteriores a la elección presidencial. No obstante, no les es aplicable la prohibición del parágrafo del artículo 38, toda vez que </w:t>
      </w:r>
      <w:r w:rsidRPr="000773B9">
        <w:rPr>
          <w:rFonts w:ascii="Arial" w:hAnsi="Arial" w:cs="Arial"/>
          <w:sz w:val="20"/>
          <w:szCs w:val="20"/>
        </w:rPr>
        <w:t>no tienen la calidad de entes territoriales y, por tanto, sujetos a esa restricción, sin perjuicio de reconocer que en la época en que aquella opera no puedan celebrar convenios interadministrativos con entidades del nivel territorial (gobernaciones y/o alcaldías), cuando los mismos conlleven la ejecución de recursos públicos, pues estas últimas sí se encuentran cobijadas por dicha limitación, como quedó explicado en el presente concepto y se colige fácilmente de la lectura del precepto bajo análisis.</w:t>
      </w:r>
    </w:p>
    <w:p w14:paraId="61507331" w14:textId="77777777" w:rsidR="000773B9" w:rsidRDefault="000773B9" w:rsidP="000773B9">
      <w:pPr>
        <w:widowControl w:val="0"/>
        <w:autoSpaceDE w:val="0"/>
        <w:autoSpaceDN w:val="0"/>
        <w:spacing w:after="160"/>
        <w:contextualSpacing/>
        <w:jc w:val="both"/>
        <w:rPr>
          <w:rFonts w:ascii="Arial" w:eastAsia="Arial" w:hAnsi="Arial" w:cs="Arial"/>
          <w:sz w:val="20"/>
          <w:szCs w:val="20"/>
          <w:lang w:val="es-ES" w:eastAsia="es-ES" w:bidi="es-ES"/>
        </w:rPr>
      </w:pPr>
    </w:p>
    <w:p w14:paraId="2CEA999A" w14:textId="32FAF9DD" w:rsidR="000773B9" w:rsidRPr="000773B9" w:rsidRDefault="000773B9" w:rsidP="000773B9">
      <w:pPr>
        <w:widowControl w:val="0"/>
        <w:autoSpaceDE w:val="0"/>
        <w:autoSpaceDN w:val="0"/>
        <w:spacing w:after="160"/>
        <w:contextualSpacing/>
        <w:jc w:val="both"/>
        <w:rPr>
          <w:rFonts w:ascii="Arial" w:eastAsia="Arial" w:hAnsi="Arial" w:cs="Arial"/>
          <w:sz w:val="20"/>
          <w:szCs w:val="20"/>
          <w:highlight w:val="yellow"/>
          <w:lang w:val="es-ES" w:eastAsia="es-ES" w:bidi="es-ES"/>
        </w:rPr>
      </w:pPr>
      <w:r w:rsidRPr="000773B9">
        <w:rPr>
          <w:rFonts w:ascii="Arial" w:hAnsi="Arial" w:cs="Arial"/>
          <w:sz w:val="20"/>
          <w:szCs w:val="20"/>
        </w:rPr>
        <w:t>En todo caso, por interesar a la presente consulta, es menester advertir que el propio artículo 23 de la Ley 99 de 1993 dispone que, del régimen jurídico aplicable por dicha Ley a las Corporaciones Autónomas Regionales, se encuentra exceptuada la Corporación Autónoma Regional del Río Grande de la Magdalena, creada por disposición expresa del artículo 331 de la Constitución Política. Según este precepto, tal Corporación se concibió con el fin de encargarse de “la recuperación de la navegación, de la actividad portuaria, la adecuación y la conservación de tierras, la generación y distribución de energía y el aprovechamiento y preservación del ambiente, los recursos ictiológicos y demás recursos naturales renovables”. Esta norma superior remite al Legislador la tarea de regular su organización y fuentes de financiación, así como la definición en favor de los municipios ribereños de un tratamiento especial en la asignación de regalías y en la participación que les corresponda en los ingresos corrientes de la Nación”.</w:t>
      </w:r>
    </w:p>
    <w:p w14:paraId="666E3A27" w14:textId="77777777" w:rsidR="000773B9" w:rsidRDefault="000773B9" w:rsidP="000773B9">
      <w:pPr>
        <w:spacing w:line="276" w:lineRule="auto"/>
        <w:jc w:val="both"/>
        <w:rPr>
          <w:rFonts w:ascii="Arial" w:hAnsi="Arial" w:cs="Arial"/>
          <w:sz w:val="22"/>
        </w:rPr>
      </w:pPr>
    </w:p>
    <w:bookmarkEnd w:id="6"/>
    <w:p w14:paraId="51F955EF" w14:textId="77777777" w:rsidR="00862A0E" w:rsidRDefault="00862A0E" w:rsidP="00862A0E">
      <w:pPr>
        <w:jc w:val="both"/>
        <w:rPr>
          <w:rFonts w:ascii="Arial" w:hAnsi="Arial" w:cs="Arial"/>
          <w:sz w:val="20"/>
          <w:szCs w:val="20"/>
          <w:lang w:eastAsia="es-MX"/>
        </w:rPr>
      </w:pPr>
    </w:p>
    <w:p w14:paraId="139CE784" w14:textId="77777777" w:rsidR="00862A0E" w:rsidRDefault="00862A0E" w:rsidP="00862A0E">
      <w:pPr>
        <w:jc w:val="both"/>
        <w:rPr>
          <w:rFonts w:ascii="Arial" w:hAnsi="Arial" w:cs="Arial"/>
          <w:sz w:val="20"/>
          <w:szCs w:val="20"/>
          <w:lang w:eastAsia="es-MX"/>
        </w:rPr>
      </w:pPr>
    </w:p>
    <w:p w14:paraId="5DD15CAA" w14:textId="77777777" w:rsidR="00862A0E" w:rsidRDefault="00862A0E" w:rsidP="00862A0E">
      <w:pPr>
        <w:jc w:val="both"/>
        <w:rPr>
          <w:rFonts w:ascii="Arial" w:eastAsia="Calibri" w:hAnsi="Arial" w:cs="Arial"/>
          <w:sz w:val="20"/>
          <w:szCs w:val="20"/>
          <w:lang w:eastAsia="en-US"/>
        </w:rPr>
      </w:pPr>
    </w:p>
    <w:p w14:paraId="7031F9B9" w14:textId="77777777" w:rsidR="00973613" w:rsidRDefault="00973613" w:rsidP="00862A0E">
      <w:pPr>
        <w:jc w:val="both"/>
        <w:rPr>
          <w:rFonts w:ascii="Arial" w:eastAsia="Calibri" w:hAnsi="Arial" w:cs="Arial"/>
          <w:sz w:val="20"/>
          <w:szCs w:val="20"/>
          <w:lang w:eastAsia="en-US"/>
        </w:rPr>
      </w:pPr>
    </w:p>
    <w:p w14:paraId="0680B2CC" w14:textId="77777777" w:rsidR="00CE3C9B" w:rsidRPr="003F4A14" w:rsidRDefault="00CE3C9B" w:rsidP="00876E88">
      <w:pPr>
        <w:spacing w:line="276" w:lineRule="auto"/>
        <w:contextualSpacing/>
        <w:rPr>
          <w:rFonts w:ascii="Arial" w:eastAsia="Calibri" w:hAnsi="Arial" w:cs="Arial"/>
          <w:sz w:val="20"/>
          <w:szCs w:val="20"/>
        </w:rPr>
      </w:pPr>
    </w:p>
    <w:p w14:paraId="019A512D" w14:textId="40B63619" w:rsidR="009E0B77" w:rsidRDefault="009E0B77" w:rsidP="009E0B77">
      <w:pPr>
        <w:rPr>
          <w:rFonts w:ascii="Arial" w:hAnsi="Arial" w:cs="Arial"/>
          <w:sz w:val="22"/>
          <w:shd w:val="clear" w:color="auto" w:fill="E6E6E6"/>
        </w:rPr>
      </w:pPr>
      <w:r w:rsidRPr="009E0B77">
        <w:rPr>
          <w:rFonts w:ascii="Arial" w:hAnsi="Arial" w:cs="Arial"/>
          <w:sz w:val="22"/>
          <w:shd w:val="clear" w:color="auto" w:fill="E6E6E6"/>
        </w:rPr>
        <w:t>Bogotá</w:t>
      </w:r>
      <w:r w:rsidR="003958C6">
        <w:rPr>
          <w:rFonts w:ascii="Arial" w:hAnsi="Arial" w:cs="Arial"/>
          <w:sz w:val="22"/>
          <w:shd w:val="clear" w:color="auto" w:fill="E6E6E6"/>
        </w:rPr>
        <w:t xml:space="preserve"> </w:t>
      </w:r>
      <w:r w:rsidRPr="009E0B77">
        <w:rPr>
          <w:rFonts w:ascii="Arial" w:hAnsi="Arial" w:cs="Arial"/>
          <w:sz w:val="22"/>
          <w:shd w:val="clear" w:color="auto" w:fill="E6E6E6"/>
        </w:rPr>
        <w:t>D.C.,</w:t>
      </w:r>
      <w:r w:rsidR="003958C6">
        <w:rPr>
          <w:rFonts w:ascii="Arial" w:hAnsi="Arial" w:cs="Arial"/>
          <w:sz w:val="22"/>
          <w:shd w:val="clear" w:color="auto" w:fill="E6E6E6"/>
        </w:rPr>
        <w:t xml:space="preserve"> </w:t>
      </w:r>
      <w:r w:rsidR="00B575B5">
        <w:rPr>
          <w:rFonts w:ascii="Arial" w:hAnsi="Arial" w:cs="Arial"/>
          <w:sz w:val="22"/>
          <w:shd w:val="clear" w:color="auto" w:fill="E6E6E6"/>
        </w:rPr>
        <w:t>1</w:t>
      </w:r>
      <w:r w:rsidR="003958C6">
        <w:rPr>
          <w:rFonts w:ascii="Arial" w:hAnsi="Arial" w:cs="Arial"/>
          <w:sz w:val="22"/>
          <w:shd w:val="clear" w:color="auto" w:fill="E6E6E6"/>
        </w:rPr>
        <w:t xml:space="preserve">6 </w:t>
      </w:r>
      <w:r w:rsidR="00B575B5">
        <w:rPr>
          <w:rFonts w:ascii="Arial" w:hAnsi="Arial" w:cs="Arial"/>
          <w:sz w:val="22"/>
          <w:shd w:val="clear" w:color="auto" w:fill="E6E6E6"/>
        </w:rPr>
        <w:t>de</w:t>
      </w:r>
      <w:r w:rsidR="003958C6">
        <w:rPr>
          <w:rFonts w:ascii="Arial" w:hAnsi="Arial" w:cs="Arial"/>
          <w:sz w:val="22"/>
          <w:shd w:val="clear" w:color="auto" w:fill="E6E6E6"/>
        </w:rPr>
        <w:t xml:space="preserve"> agosto </w:t>
      </w:r>
      <w:r w:rsidR="00B575B5">
        <w:rPr>
          <w:rFonts w:ascii="Arial" w:hAnsi="Arial" w:cs="Arial"/>
          <w:sz w:val="22"/>
          <w:shd w:val="clear" w:color="auto" w:fill="E6E6E6"/>
        </w:rPr>
        <w:t>de</w:t>
      </w:r>
      <w:r w:rsidR="003958C6">
        <w:rPr>
          <w:rFonts w:ascii="Arial" w:hAnsi="Arial" w:cs="Arial"/>
          <w:sz w:val="22"/>
          <w:shd w:val="clear" w:color="auto" w:fill="E6E6E6"/>
        </w:rPr>
        <w:t xml:space="preserve"> </w:t>
      </w:r>
      <w:r w:rsidR="00B575B5">
        <w:rPr>
          <w:rFonts w:ascii="Arial" w:hAnsi="Arial" w:cs="Arial"/>
          <w:sz w:val="22"/>
          <w:shd w:val="clear" w:color="auto" w:fill="E6E6E6"/>
        </w:rPr>
        <w:t>2023</w:t>
      </w:r>
    </w:p>
    <w:p w14:paraId="17DF00C0" w14:textId="77777777" w:rsidR="00B854B5" w:rsidRDefault="00B854B5" w:rsidP="009E0B77">
      <w:pPr>
        <w:rPr>
          <w:rFonts w:ascii="Arial" w:hAnsi="Arial" w:cs="Arial"/>
          <w:sz w:val="22"/>
          <w:shd w:val="clear" w:color="auto" w:fill="E6E6E6"/>
        </w:rPr>
      </w:pPr>
    </w:p>
    <w:p w14:paraId="052495DD" w14:textId="39C1C5A2" w:rsidR="00B854B5" w:rsidRPr="009E0B77" w:rsidRDefault="00B854B5" w:rsidP="009E0B77">
      <w:pPr>
        <w:rPr>
          <w:rFonts w:ascii="Arial" w:hAnsi="Arial" w:cs="Arial"/>
          <w:sz w:val="22"/>
          <w:lang w:eastAsia="es-ES_tradnl"/>
        </w:rPr>
      </w:pPr>
      <w:r w:rsidRPr="00B854B5">
        <w:rPr>
          <w:rFonts w:ascii="Arial" w:hAnsi="Arial" w:cs="Arial"/>
          <w:noProof/>
          <w:sz w:val="22"/>
          <w:lang w:eastAsia="es-ES_tradnl"/>
        </w:rPr>
        <w:drawing>
          <wp:anchor distT="0" distB="0" distL="114300" distR="114300" simplePos="0" relativeHeight="251658240" behindDoc="0" locked="0" layoutInCell="1" allowOverlap="1" wp14:anchorId="17EE32A0" wp14:editId="155538EF">
            <wp:simplePos x="0" y="0"/>
            <wp:positionH relativeFrom="column">
              <wp:posOffset>3114675</wp:posOffset>
            </wp:positionH>
            <wp:positionV relativeFrom="paragraph">
              <wp:posOffset>6350</wp:posOffset>
            </wp:positionV>
            <wp:extent cx="2771775" cy="725425"/>
            <wp:effectExtent l="0" t="0" r="0" b="0"/>
            <wp:wrapNone/>
            <wp:docPr id="187147602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476024"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789908" cy="730171"/>
                    </a:xfrm>
                    <a:prstGeom prst="rect">
                      <a:avLst/>
                    </a:prstGeom>
                  </pic:spPr>
                </pic:pic>
              </a:graphicData>
            </a:graphic>
            <wp14:sizeRelH relativeFrom="margin">
              <wp14:pctWidth>0</wp14:pctWidth>
            </wp14:sizeRelH>
            <wp14:sizeRelV relativeFrom="margin">
              <wp14:pctHeight>0</wp14:pctHeight>
            </wp14:sizeRelV>
          </wp:anchor>
        </w:drawing>
      </w:r>
    </w:p>
    <w:p w14:paraId="1828DB88" w14:textId="38FC1516" w:rsidR="009E0B77" w:rsidRDefault="009E0B77" w:rsidP="009E0B77">
      <w:pPr>
        <w:spacing w:line="276" w:lineRule="auto"/>
        <w:jc w:val="both"/>
        <w:rPr>
          <w:rFonts w:ascii="Arial" w:hAnsi="Arial" w:cs="Arial"/>
          <w:noProof/>
          <w:sz w:val="22"/>
          <w:lang w:eastAsia="es-ES_tradnl"/>
        </w:rPr>
      </w:pPr>
    </w:p>
    <w:p w14:paraId="34D8DF37" w14:textId="77777777" w:rsidR="00F41B63" w:rsidRPr="003958C6" w:rsidRDefault="00F41B63" w:rsidP="009E0B77">
      <w:pPr>
        <w:spacing w:line="276" w:lineRule="auto"/>
        <w:jc w:val="both"/>
        <w:rPr>
          <w:rFonts w:ascii="Arial" w:hAnsi="Arial" w:cs="Arial"/>
          <w:noProof/>
          <w:sz w:val="22"/>
          <w:lang w:eastAsia="es-ES_tradnl"/>
        </w:rPr>
      </w:pPr>
    </w:p>
    <w:p w14:paraId="659AD4EE" w14:textId="77777777" w:rsidR="000376A2" w:rsidRPr="000773B9" w:rsidRDefault="000376A2" w:rsidP="009E0B77">
      <w:pPr>
        <w:spacing w:line="276" w:lineRule="auto"/>
        <w:jc w:val="both"/>
        <w:rPr>
          <w:rFonts w:ascii="Arial" w:hAnsi="Arial" w:cs="Arial"/>
          <w:noProof/>
          <w:sz w:val="22"/>
          <w:lang w:eastAsia="es-ES_tradnl"/>
        </w:rPr>
      </w:pPr>
    </w:p>
    <w:p w14:paraId="18A0C747" w14:textId="70793705" w:rsidR="00D93385" w:rsidRPr="004C5FEF" w:rsidRDefault="00B26F7A" w:rsidP="00876E88">
      <w:pPr>
        <w:spacing w:line="276" w:lineRule="auto"/>
        <w:contextualSpacing/>
        <w:rPr>
          <w:rFonts w:ascii="Arial" w:eastAsia="Calibri" w:hAnsi="Arial" w:cs="Arial"/>
          <w:sz w:val="22"/>
          <w:szCs w:val="22"/>
        </w:rPr>
      </w:pPr>
      <w:r w:rsidRPr="004C5FEF">
        <w:rPr>
          <w:rFonts w:ascii="Arial" w:eastAsia="Calibri" w:hAnsi="Arial" w:cs="Arial"/>
          <w:sz w:val="22"/>
          <w:szCs w:val="22"/>
        </w:rPr>
        <w:t>Señor</w:t>
      </w:r>
    </w:p>
    <w:p w14:paraId="20C420EC" w14:textId="4968AE3A" w:rsidR="00B26F7A" w:rsidRPr="004C5FEF" w:rsidRDefault="003958C6" w:rsidP="00876E88">
      <w:pPr>
        <w:spacing w:line="276" w:lineRule="auto"/>
        <w:contextualSpacing/>
        <w:rPr>
          <w:rFonts w:ascii="Arial" w:eastAsia="Calibri" w:hAnsi="Arial" w:cs="Arial"/>
          <w:b/>
          <w:bCs/>
          <w:sz w:val="22"/>
          <w:szCs w:val="22"/>
        </w:rPr>
      </w:pPr>
      <w:r>
        <w:rPr>
          <w:rFonts w:ascii="Arial" w:eastAsia="Calibri" w:hAnsi="Arial" w:cs="Arial"/>
          <w:b/>
          <w:bCs/>
          <w:sz w:val="22"/>
          <w:szCs w:val="22"/>
        </w:rPr>
        <w:t>Antonio José Vargas Reyes</w:t>
      </w:r>
    </w:p>
    <w:p w14:paraId="5D7CC6C5" w14:textId="0E596A2B" w:rsidR="003958C6" w:rsidRDefault="00000000" w:rsidP="002B6363">
      <w:pPr>
        <w:spacing w:line="276" w:lineRule="auto"/>
        <w:contextualSpacing/>
        <w:rPr>
          <w:rFonts w:ascii="Arial" w:eastAsia="Calibri" w:hAnsi="Arial" w:cs="Arial"/>
          <w:sz w:val="22"/>
          <w:szCs w:val="22"/>
        </w:rPr>
      </w:pPr>
      <w:hyperlink r:id="rId12" w:history="1">
        <w:r w:rsidR="003958C6" w:rsidRPr="008B5074">
          <w:rPr>
            <w:rStyle w:val="Hipervnculo"/>
            <w:rFonts w:ascii="Arial" w:eastAsia="Calibri" w:hAnsi="Arial" w:cs="Arial"/>
            <w:sz w:val="22"/>
            <w:szCs w:val="22"/>
          </w:rPr>
          <w:t>avargas@barranquilla.gov.co</w:t>
        </w:r>
      </w:hyperlink>
      <w:r w:rsidR="003958C6">
        <w:rPr>
          <w:rFonts w:ascii="Arial" w:eastAsia="Calibri" w:hAnsi="Arial" w:cs="Arial"/>
          <w:sz w:val="22"/>
          <w:szCs w:val="22"/>
        </w:rPr>
        <w:t xml:space="preserve"> </w:t>
      </w:r>
    </w:p>
    <w:p w14:paraId="42DB4665" w14:textId="1FCED98D" w:rsidR="002B6363" w:rsidRPr="00804158" w:rsidRDefault="003958C6" w:rsidP="002B6363">
      <w:pPr>
        <w:spacing w:line="276" w:lineRule="auto"/>
        <w:contextualSpacing/>
        <w:rPr>
          <w:rFonts w:ascii="Arial" w:eastAsia="Calibri" w:hAnsi="Arial" w:cs="Arial"/>
          <w:sz w:val="22"/>
          <w:szCs w:val="22"/>
        </w:rPr>
      </w:pPr>
      <w:r>
        <w:rPr>
          <w:rFonts w:ascii="Arial" w:eastAsia="Calibri" w:hAnsi="Arial" w:cs="Arial"/>
          <w:sz w:val="22"/>
          <w:szCs w:val="22"/>
        </w:rPr>
        <w:t>Bogotá D.C.</w:t>
      </w:r>
    </w:p>
    <w:p w14:paraId="4CA12051" w14:textId="77777777" w:rsidR="004C5FEF" w:rsidRDefault="004C5FEF" w:rsidP="002C5E84">
      <w:pPr>
        <w:contextualSpacing/>
        <w:rPr>
          <w:rFonts w:ascii="Arial" w:eastAsia="Calibri" w:hAnsi="Arial" w:cs="Arial"/>
          <w:sz w:val="22"/>
        </w:rPr>
      </w:pPr>
    </w:p>
    <w:p w14:paraId="1DB4A47E" w14:textId="77777777" w:rsidR="00804158" w:rsidRDefault="00804158" w:rsidP="002C5E84">
      <w:pPr>
        <w:contextualSpacing/>
        <w:rPr>
          <w:rFonts w:ascii="Arial" w:eastAsia="Calibri" w:hAnsi="Arial" w:cs="Arial"/>
          <w:sz w:val="22"/>
        </w:rPr>
      </w:pPr>
    </w:p>
    <w:p w14:paraId="2F4DFAA3" w14:textId="2E758C7F" w:rsidR="002B6363" w:rsidRPr="000773B9" w:rsidRDefault="002B6363" w:rsidP="002C5E84">
      <w:pPr>
        <w:ind w:right="571"/>
        <w:contextualSpacing/>
        <w:jc w:val="center"/>
        <w:rPr>
          <w:rFonts w:ascii="Arial" w:eastAsia="Calibri" w:hAnsi="Arial" w:cs="Arial"/>
          <w:sz w:val="22"/>
        </w:rPr>
      </w:pPr>
      <w:r w:rsidRPr="002B6363">
        <w:rPr>
          <w:rFonts w:ascii="Arial" w:eastAsia="Calibri" w:hAnsi="Arial" w:cs="Arial"/>
          <w:b/>
          <w:bCs/>
          <w:sz w:val="22"/>
        </w:rPr>
        <w:t>Concepto C-</w:t>
      </w:r>
      <w:r w:rsidR="00973613">
        <w:rPr>
          <w:rFonts w:ascii="Arial" w:eastAsia="Calibri" w:hAnsi="Arial" w:cs="Arial"/>
          <w:b/>
          <w:bCs/>
          <w:sz w:val="22"/>
        </w:rPr>
        <w:t xml:space="preserve">332 </w:t>
      </w:r>
      <w:r w:rsidRPr="002B6363">
        <w:rPr>
          <w:rFonts w:ascii="Arial" w:eastAsia="Calibri" w:hAnsi="Arial" w:cs="Arial"/>
          <w:b/>
          <w:bCs/>
          <w:sz w:val="22"/>
        </w:rPr>
        <w:t>de 2023</w:t>
      </w:r>
    </w:p>
    <w:p w14:paraId="47490615" w14:textId="77777777" w:rsidR="009E0B77" w:rsidRPr="009E0B77" w:rsidRDefault="009E0B77" w:rsidP="002C5E84">
      <w:pPr>
        <w:jc w:val="both"/>
        <w:rPr>
          <w:rFonts w:ascii="Arial" w:eastAsia="Calibri" w:hAnsi="Arial" w:cs="Arial"/>
          <w:sz w:val="22"/>
          <w:lang w:val="es-ES_tradnl"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9E0B77" w:rsidRPr="009E0B77" w14:paraId="014CF652" w14:textId="77777777" w:rsidTr="00102897">
        <w:trPr>
          <w:jc w:val="right"/>
        </w:trPr>
        <w:tc>
          <w:tcPr>
            <w:tcW w:w="1838" w:type="dxa"/>
          </w:tcPr>
          <w:p w14:paraId="577B36E8" w14:textId="77777777" w:rsidR="009E0B77" w:rsidRPr="009E0B77" w:rsidRDefault="009E0B77" w:rsidP="002C5E84">
            <w:pPr>
              <w:jc w:val="center"/>
              <w:rPr>
                <w:rFonts w:ascii="Arial" w:eastAsia="Calibri" w:hAnsi="Arial" w:cs="Arial"/>
                <w:sz w:val="22"/>
                <w:lang w:val="es-ES_tradnl" w:eastAsia="es-ES_tradnl"/>
              </w:rPr>
            </w:pPr>
            <w:r w:rsidRPr="009E0B77">
              <w:rPr>
                <w:rFonts w:ascii="Arial" w:eastAsia="Calibri" w:hAnsi="Arial" w:cs="Arial"/>
                <w:b/>
                <w:sz w:val="22"/>
                <w:lang w:val="es-ES_tradnl" w:eastAsia="es-ES_tradnl"/>
              </w:rPr>
              <w:t>Temas:</w:t>
            </w:r>
          </w:p>
        </w:tc>
        <w:tc>
          <w:tcPr>
            <w:tcW w:w="6237" w:type="dxa"/>
          </w:tcPr>
          <w:p w14:paraId="36D594DC" w14:textId="08480529" w:rsidR="00973613" w:rsidRPr="00973613" w:rsidRDefault="009E0B77" w:rsidP="002C5E84">
            <w:pPr>
              <w:jc w:val="both"/>
              <w:rPr>
                <w:rFonts w:ascii="Arial" w:eastAsia="Calibri" w:hAnsi="Arial" w:cs="Arial"/>
                <w:sz w:val="22"/>
                <w:lang w:eastAsia="es-ES_tradnl"/>
              </w:rPr>
            </w:pPr>
            <w:r w:rsidRPr="009E0B77">
              <w:rPr>
                <w:rFonts w:ascii="Arial" w:eastAsia="Calibri" w:hAnsi="Arial" w:cs="Arial"/>
                <w:sz w:val="22"/>
                <w:lang w:eastAsia="es-ES_tradnl"/>
              </w:rPr>
              <w:t>COLOMBIA COMPRA EFICIENTE – Competencia Consultiva – Contratación Estatal – Normas Generales</w:t>
            </w:r>
            <w:r w:rsidRPr="009E0B77">
              <w:rPr>
                <w:rFonts w:ascii="Arial" w:eastAsia="Calibri" w:hAnsi="Arial" w:cs="Arial"/>
                <w:sz w:val="22"/>
                <w:lang w:val="es-ES_tradnl" w:eastAsia="es-ES_tradnl"/>
              </w:rPr>
              <w:t xml:space="preserve"> /</w:t>
            </w:r>
            <w:r w:rsidR="00973613">
              <w:rPr>
                <w:rFonts w:ascii="Arial" w:eastAsia="Calibri" w:hAnsi="Arial" w:cs="Arial"/>
                <w:sz w:val="22"/>
                <w:lang w:val="es-ES_tradnl" w:eastAsia="es-ES_tradnl"/>
              </w:rPr>
              <w:t xml:space="preserve"> </w:t>
            </w:r>
            <w:r w:rsidR="00973613" w:rsidRPr="00973613">
              <w:rPr>
                <w:rFonts w:ascii="Arial" w:eastAsia="Calibri" w:hAnsi="Arial" w:cs="Arial"/>
                <w:sz w:val="22"/>
                <w:szCs w:val="22"/>
                <w:lang w:val="es-MX" w:eastAsia="es-ES_tradnl"/>
              </w:rPr>
              <w:t xml:space="preserve">LEY DE GARANTÍAS ELECTORALES </w:t>
            </w:r>
            <w:r w:rsidR="00973613" w:rsidRPr="00973613">
              <w:rPr>
                <w:rFonts w:ascii="Arial" w:eastAsia="Calibri" w:hAnsi="Arial" w:cs="Arial"/>
                <w:bCs/>
                <w:sz w:val="22"/>
                <w:szCs w:val="22"/>
                <w:lang w:val="es-MX" w:eastAsia="es-ES_tradnl"/>
              </w:rPr>
              <w:t>‒</w:t>
            </w:r>
            <w:r w:rsidR="00973613" w:rsidRPr="00973613">
              <w:rPr>
                <w:rFonts w:ascii="Arial" w:eastAsia="Calibri" w:hAnsi="Arial" w:cs="Arial"/>
                <w:sz w:val="22"/>
                <w:szCs w:val="22"/>
                <w:lang w:val="es-MX" w:eastAsia="es-ES_tradnl"/>
              </w:rPr>
              <w:t xml:space="preserve"> Finalidad / LEY DE GARANTÍAS ELECTORALES </w:t>
            </w:r>
            <w:r w:rsidR="00973613" w:rsidRPr="00973613">
              <w:rPr>
                <w:rFonts w:ascii="Arial" w:eastAsia="Calibri" w:hAnsi="Arial" w:cs="Arial"/>
                <w:bCs/>
                <w:sz w:val="22"/>
                <w:szCs w:val="22"/>
                <w:lang w:val="es-MX" w:eastAsia="es-ES_tradnl"/>
              </w:rPr>
              <w:t>‒</w:t>
            </w:r>
            <w:r w:rsidR="00973613" w:rsidRPr="00973613">
              <w:rPr>
                <w:rFonts w:ascii="Arial" w:eastAsia="Calibri" w:hAnsi="Arial" w:cs="Arial"/>
                <w:sz w:val="22"/>
                <w:szCs w:val="22"/>
                <w:lang w:val="es-MX" w:eastAsia="es-ES_tradnl"/>
              </w:rPr>
              <w:t xml:space="preserve"> Tipos de restricciones </w:t>
            </w:r>
            <w:r w:rsidR="00973613" w:rsidRPr="00973613">
              <w:rPr>
                <w:rFonts w:ascii="Arial" w:eastAsia="Calibri" w:hAnsi="Arial" w:cs="Arial"/>
                <w:bCs/>
                <w:sz w:val="22"/>
                <w:szCs w:val="22"/>
                <w:lang w:val="es-MX" w:eastAsia="es-ES_tradnl"/>
              </w:rPr>
              <w:t>‒</w:t>
            </w:r>
            <w:r w:rsidR="00973613" w:rsidRPr="00973613">
              <w:rPr>
                <w:rFonts w:ascii="Arial" w:eastAsia="Calibri" w:hAnsi="Arial" w:cs="Arial"/>
                <w:sz w:val="22"/>
                <w:szCs w:val="22"/>
                <w:lang w:val="es-MX" w:eastAsia="es-ES_tradnl"/>
              </w:rPr>
              <w:t xml:space="preserve"> Ámbito temporal / LEY DE GARANTÍAS ELECTORALES ─ Prohibición </w:t>
            </w:r>
            <w:r w:rsidR="00973613" w:rsidRPr="00973613">
              <w:rPr>
                <w:rFonts w:ascii="Arial" w:eastAsia="Calibri" w:hAnsi="Arial" w:cs="Arial"/>
                <w:bCs/>
                <w:sz w:val="22"/>
                <w:szCs w:val="22"/>
                <w:lang w:val="es-MX" w:eastAsia="es-ES_tradnl"/>
              </w:rPr>
              <w:t>‒</w:t>
            </w:r>
            <w:r w:rsidR="00973613" w:rsidRPr="00973613">
              <w:rPr>
                <w:rFonts w:ascii="Arial" w:eastAsia="Calibri" w:hAnsi="Arial" w:cs="Arial"/>
                <w:sz w:val="22"/>
                <w:szCs w:val="22"/>
                <w:lang w:val="es-MX" w:eastAsia="es-ES_tradnl"/>
              </w:rPr>
              <w:t xml:space="preserve"> Contratación directa </w:t>
            </w:r>
            <w:r w:rsidR="00973613" w:rsidRPr="00973613">
              <w:rPr>
                <w:rFonts w:ascii="Arial" w:eastAsia="Calibri" w:hAnsi="Arial" w:cs="Arial"/>
                <w:bCs/>
                <w:sz w:val="22"/>
                <w:szCs w:val="22"/>
                <w:lang w:val="es-MX" w:eastAsia="es-ES_tradnl"/>
              </w:rPr>
              <w:t>‒</w:t>
            </w:r>
            <w:r w:rsidR="00973613" w:rsidRPr="00973613">
              <w:rPr>
                <w:rFonts w:ascii="Arial" w:eastAsia="Calibri" w:hAnsi="Arial" w:cs="Arial"/>
                <w:sz w:val="22"/>
                <w:szCs w:val="22"/>
                <w:lang w:val="es-MX" w:eastAsia="es-ES_tradnl"/>
              </w:rPr>
              <w:t xml:space="preserve"> Alcance / LEY DE GARANTÍAS ELECTORALES ─ Prohibición </w:t>
            </w:r>
            <w:r w:rsidR="00973613" w:rsidRPr="00973613">
              <w:rPr>
                <w:rFonts w:ascii="Arial" w:eastAsia="Calibri" w:hAnsi="Arial" w:cs="Arial"/>
                <w:bCs/>
                <w:sz w:val="22"/>
                <w:szCs w:val="22"/>
                <w:lang w:val="es-MX" w:eastAsia="es-ES_tradnl"/>
              </w:rPr>
              <w:t>‒</w:t>
            </w:r>
            <w:r w:rsidR="00973613" w:rsidRPr="00973613">
              <w:rPr>
                <w:rFonts w:ascii="Arial" w:eastAsia="Calibri" w:hAnsi="Arial" w:cs="Arial"/>
                <w:sz w:val="22"/>
                <w:szCs w:val="22"/>
                <w:lang w:val="es-MX" w:eastAsia="es-ES_tradnl"/>
              </w:rPr>
              <w:t xml:space="preserve"> Contratación directa </w:t>
            </w:r>
            <w:r w:rsidR="00973613" w:rsidRPr="00973613">
              <w:rPr>
                <w:rFonts w:ascii="Arial" w:eastAsia="Calibri" w:hAnsi="Arial" w:cs="Arial"/>
                <w:bCs/>
                <w:sz w:val="22"/>
                <w:szCs w:val="22"/>
                <w:lang w:val="es-MX" w:eastAsia="es-ES_tradnl"/>
              </w:rPr>
              <w:t>‒</w:t>
            </w:r>
            <w:r w:rsidR="00973613" w:rsidRPr="00973613">
              <w:rPr>
                <w:rFonts w:ascii="Arial" w:eastAsia="Calibri" w:hAnsi="Arial" w:cs="Arial"/>
                <w:sz w:val="22"/>
                <w:szCs w:val="22"/>
                <w:lang w:val="es-MX" w:eastAsia="es-ES_tradnl"/>
              </w:rPr>
              <w:t xml:space="preserve"> Excepciones / LEY DE GARANTÍAS ELECTORALES </w:t>
            </w:r>
            <w:r w:rsidR="00973613" w:rsidRPr="00973613">
              <w:rPr>
                <w:rFonts w:ascii="Arial" w:eastAsia="Calibri" w:hAnsi="Arial" w:cs="Arial"/>
                <w:bCs/>
                <w:sz w:val="22"/>
                <w:szCs w:val="22"/>
                <w:lang w:val="es-MX" w:eastAsia="es-ES_tradnl"/>
              </w:rPr>
              <w:t>‒</w:t>
            </w:r>
            <w:r w:rsidR="00973613" w:rsidRPr="00973613">
              <w:rPr>
                <w:rFonts w:ascii="Arial" w:eastAsia="Calibri" w:hAnsi="Arial" w:cs="Arial"/>
                <w:sz w:val="22"/>
                <w:szCs w:val="22"/>
                <w:lang w:val="es-MX" w:eastAsia="es-ES_tradnl"/>
              </w:rPr>
              <w:t xml:space="preserve"> Prohibición del artículo 33 </w:t>
            </w:r>
            <w:r w:rsidR="00973613" w:rsidRPr="00973613">
              <w:rPr>
                <w:rFonts w:ascii="Arial" w:eastAsia="Calibri" w:hAnsi="Arial" w:cs="Arial"/>
                <w:bCs/>
                <w:sz w:val="22"/>
                <w:szCs w:val="22"/>
                <w:lang w:val="es-MX" w:eastAsia="es-ES_tradnl"/>
              </w:rPr>
              <w:t>‒</w:t>
            </w:r>
            <w:r w:rsidR="00973613" w:rsidRPr="00973613">
              <w:rPr>
                <w:rFonts w:ascii="Arial" w:eastAsia="Calibri" w:hAnsi="Arial" w:cs="Arial"/>
                <w:sz w:val="22"/>
                <w:szCs w:val="22"/>
                <w:lang w:val="es-MX" w:eastAsia="es-ES_tradnl"/>
              </w:rPr>
              <w:t xml:space="preserve"> Destinatarios / LEY DE GARANTÍAS ELECTORALES </w:t>
            </w:r>
            <w:r w:rsidR="00973613" w:rsidRPr="00973613">
              <w:rPr>
                <w:rFonts w:ascii="Arial" w:eastAsia="Calibri" w:hAnsi="Arial" w:cs="Arial"/>
                <w:bCs/>
                <w:sz w:val="22"/>
                <w:szCs w:val="22"/>
                <w:lang w:val="es-MX" w:eastAsia="es-ES_tradnl"/>
              </w:rPr>
              <w:t>‒</w:t>
            </w:r>
            <w:r w:rsidR="00973613" w:rsidRPr="00973613">
              <w:rPr>
                <w:rFonts w:ascii="Arial" w:eastAsia="Calibri" w:hAnsi="Arial" w:cs="Arial"/>
                <w:sz w:val="22"/>
                <w:szCs w:val="22"/>
                <w:lang w:val="es-MX" w:eastAsia="es-ES_tradnl"/>
              </w:rPr>
              <w:t xml:space="preserve"> Prohibición por elección de cargos populares – Convenios y contratos interadministrativos – Definición – Criterio orgánico / </w:t>
            </w:r>
            <w:r w:rsidR="00973613">
              <w:rPr>
                <w:rFonts w:ascii="Arial" w:eastAsia="Calibri" w:hAnsi="Arial" w:cs="Arial"/>
                <w:sz w:val="22"/>
                <w:szCs w:val="22"/>
                <w:lang w:val="es-MX" w:eastAsia="es-ES_tradnl"/>
              </w:rPr>
              <w:t>CORPORACIONES AUTÓNOMAS REGIONALES</w:t>
            </w:r>
            <w:r w:rsidR="00973613" w:rsidRPr="00973613">
              <w:rPr>
                <w:rFonts w:ascii="Arial" w:eastAsia="Calibri" w:hAnsi="Arial" w:cs="Arial"/>
                <w:sz w:val="22"/>
                <w:szCs w:val="22"/>
                <w:lang w:val="es-MX" w:eastAsia="es-ES_tradnl"/>
              </w:rPr>
              <w:t xml:space="preserve"> – </w:t>
            </w:r>
            <w:r w:rsidR="00973613">
              <w:rPr>
                <w:rFonts w:ascii="Arial" w:eastAsia="Calibri" w:hAnsi="Arial" w:cs="Arial"/>
                <w:sz w:val="22"/>
                <w:szCs w:val="22"/>
                <w:lang w:val="es-MX" w:eastAsia="es-ES_tradnl"/>
              </w:rPr>
              <w:t xml:space="preserve">Naturaleza jurídica </w:t>
            </w:r>
            <w:r w:rsidR="00973613" w:rsidRPr="00973613">
              <w:rPr>
                <w:rFonts w:ascii="Arial" w:eastAsia="Calibri" w:hAnsi="Arial" w:cs="Arial"/>
                <w:sz w:val="22"/>
                <w:szCs w:val="22"/>
                <w:lang w:val="es-MX" w:eastAsia="es-ES_tradnl"/>
              </w:rPr>
              <w:t>–</w:t>
            </w:r>
            <w:r w:rsidR="00973613">
              <w:rPr>
                <w:rFonts w:ascii="Arial" w:eastAsia="Calibri" w:hAnsi="Arial" w:cs="Arial"/>
                <w:sz w:val="22"/>
                <w:szCs w:val="22"/>
                <w:lang w:val="es-MX" w:eastAsia="es-ES_tradnl"/>
              </w:rPr>
              <w:t xml:space="preserve"> Alcance de la Ley de Garantías</w:t>
            </w:r>
          </w:p>
          <w:p w14:paraId="2CF655F9" w14:textId="034295DB" w:rsidR="009E0B77" w:rsidRPr="009E0B77" w:rsidRDefault="009E0B77" w:rsidP="002C5E84">
            <w:pPr>
              <w:jc w:val="both"/>
              <w:rPr>
                <w:rFonts w:ascii="Arial" w:hAnsi="Arial" w:cs="Arial"/>
                <w:sz w:val="22"/>
                <w:lang w:val="es-ES_tradnl" w:eastAsia="es-ES_tradnl"/>
              </w:rPr>
            </w:pPr>
          </w:p>
        </w:tc>
      </w:tr>
      <w:tr w:rsidR="009E0B77" w:rsidRPr="009E0B77" w14:paraId="51AE26CF" w14:textId="77777777" w:rsidTr="00102897">
        <w:trPr>
          <w:jc w:val="right"/>
        </w:trPr>
        <w:tc>
          <w:tcPr>
            <w:tcW w:w="1838" w:type="dxa"/>
          </w:tcPr>
          <w:p w14:paraId="0092587F" w14:textId="77777777" w:rsidR="009E0B77" w:rsidRPr="009E0B77" w:rsidRDefault="009E0B77" w:rsidP="002C5E84">
            <w:pPr>
              <w:jc w:val="center"/>
              <w:rPr>
                <w:rFonts w:ascii="Arial" w:eastAsia="Calibri" w:hAnsi="Arial" w:cs="Arial"/>
                <w:b/>
                <w:sz w:val="22"/>
                <w:lang w:val="es-ES" w:eastAsia="es-ES_tradnl"/>
              </w:rPr>
            </w:pPr>
            <w:r w:rsidRPr="009E0B77">
              <w:rPr>
                <w:rFonts w:ascii="Arial" w:eastAsia="Calibri" w:hAnsi="Arial" w:cs="Arial"/>
                <w:b/>
                <w:sz w:val="22"/>
                <w:lang w:val="es-ES" w:eastAsia="es-ES_tradnl"/>
              </w:rPr>
              <w:t>Radicación:</w:t>
            </w:r>
          </w:p>
        </w:tc>
        <w:tc>
          <w:tcPr>
            <w:tcW w:w="6237" w:type="dxa"/>
          </w:tcPr>
          <w:p w14:paraId="0959B62A" w14:textId="0D281676" w:rsidR="009E0B77" w:rsidRPr="009E0B77" w:rsidRDefault="009E0B77" w:rsidP="002C5E84">
            <w:pPr>
              <w:jc w:val="both"/>
              <w:rPr>
                <w:rFonts w:ascii="Arial" w:eastAsia="Calibri" w:hAnsi="Arial" w:cs="Arial"/>
                <w:sz w:val="22"/>
                <w:lang w:val="es-ES" w:eastAsia="es-ES_tradnl"/>
              </w:rPr>
            </w:pPr>
            <w:r w:rsidRPr="009E0B77">
              <w:rPr>
                <w:rFonts w:ascii="Arial" w:eastAsia="Calibri" w:hAnsi="Arial" w:cs="Arial"/>
                <w:sz w:val="22"/>
                <w:lang w:val="es-ES" w:eastAsia="es-ES_tradnl"/>
              </w:rPr>
              <w:t>Respuesta a consulta P2023</w:t>
            </w:r>
            <w:r w:rsidR="00973613">
              <w:rPr>
                <w:rFonts w:ascii="Arial" w:eastAsia="Calibri" w:hAnsi="Arial" w:cs="Arial"/>
                <w:sz w:val="22"/>
                <w:lang w:val="es-ES" w:eastAsia="es-ES_tradnl"/>
              </w:rPr>
              <w:t>0704012938</w:t>
            </w:r>
          </w:p>
        </w:tc>
      </w:tr>
    </w:tbl>
    <w:p w14:paraId="6AE29627" w14:textId="77777777" w:rsidR="00973613" w:rsidRDefault="00973613" w:rsidP="002C5E84">
      <w:pPr>
        <w:spacing w:line="276" w:lineRule="auto"/>
        <w:jc w:val="both"/>
        <w:rPr>
          <w:rFonts w:ascii="Arial" w:eastAsia="Calibri" w:hAnsi="Arial" w:cs="Arial"/>
          <w:sz w:val="22"/>
          <w:lang w:val="es-ES_tradnl" w:eastAsia="es-ES_tradnl"/>
        </w:rPr>
      </w:pPr>
    </w:p>
    <w:p w14:paraId="27205214" w14:textId="77777777" w:rsidR="00973613" w:rsidRPr="009E0B77" w:rsidRDefault="00973613" w:rsidP="002C5E84">
      <w:pPr>
        <w:spacing w:line="276" w:lineRule="auto"/>
        <w:jc w:val="both"/>
        <w:rPr>
          <w:rFonts w:ascii="Arial" w:eastAsia="Calibri" w:hAnsi="Arial" w:cs="Arial"/>
          <w:sz w:val="22"/>
          <w:lang w:val="es-ES_tradnl" w:eastAsia="es-ES_tradnl"/>
        </w:rPr>
      </w:pPr>
    </w:p>
    <w:p w14:paraId="5132A2D0" w14:textId="79F5E4FC" w:rsidR="002C5E84" w:rsidRDefault="009E0B77" w:rsidP="002C5E84">
      <w:pPr>
        <w:spacing w:line="276" w:lineRule="auto"/>
        <w:jc w:val="both"/>
        <w:rPr>
          <w:rFonts w:ascii="Arial" w:eastAsia="Calibri" w:hAnsi="Arial" w:cs="Arial"/>
          <w:bCs/>
          <w:sz w:val="22"/>
          <w:lang w:val="es-ES_tradnl" w:eastAsia="es-ES_tradnl"/>
        </w:rPr>
      </w:pPr>
      <w:r w:rsidRPr="009E0B77">
        <w:rPr>
          <w:rFonts w:ascii="Arial" w:eastAsia="Calibri" w:hAnsi="Arial" w:cs="Arial"/>
          <w:sz w:val="22"/>
          <w:lang w:val="es-ES_tradnl" w:eastAsia="es-ES_tradnl"/>
        </w:rPr>
        <w:t>Estimad</w:t>
      </w:r>
      <w:r w:rsidR="00B10318">
        <w:rPr>
          <w:rFonts w:ascii="Arial" w:eastAsia="Calibri" w:hAnsi="Arial" w:cs="Arial"/>
          <w:sz w:val="22"/>
          <w:lang w:val="es-ES_tradnl" w:eastAsia="es-ES_tradnl"/>
        </w:rPr>
        <w:t>o</w:t>
      </w:r>
      <w:r w:rsidRPr="009E0B77">
        <w:rPr>
          <w:rFonts w:ascii="Arial" w:eastAsia="Calibri" w:hAnsi="Arial" w:cs="Arial"/>
          <w:sz w:val="22"/>
          <w:lang w:val="es-ES_tradnl" w:eastAsia="es-ES_tradnl"/>
        </w:rPr>
        <w:t xml:space="preserve"> señor </w:t>
      </w:r>
      <w:r w:rsidR="00B10318">
        <w:rPr>
          <w:rFonts w:ascii="Arial" w:eastAsia="Calibri" w:hAnsi="Arial" w:cs="Arial"/>
          <w:sz w:val="22"/>
          <w:lang w:val="es-ES_tradnl" w:eastAsia="es-ES_tradnl"/>
        </w:rPr>
        <w:t>Vargas</w:t>
      </w:r>
      <w:r w:rsidR="00197C79">
        <w:rPr>
          <w:rFonts w:ascii="Arial" w:eastAsia="Calibri" w:hAnsi="Arial" w:cs="Arial"/>
          <w:sz w:val="22"/>
          <w:lang w:val="es-ES_tradnl" w:eastAsia="es-ES_tradnl"/>
        </w:rPr>
        <w:t>:</w:t>
      </w:r>
    </w:p>
    <w:p w14:paraId="01DA539D" w14:textId="77777777" w:rsidR="002C5E84" w:rsidRDefault="002C5E84" w:rsidP="002C5E84">
      <w:pPr>
        <w:spacing w:line="276" w:lineRule="auto"/>
        <w:jc w:val="both"/>
        <w:rPr>
          <w:rFonts w:ascii="Arial" w:eastAsia="Calibri" w:hAnsi="Arial" w:cs="Arial"/>
          <w:bCs/>
          <w:sz w:val="22"/>
          <w:lang w:val="es-ES_tradnl" w:eastAsia="es-ES_tradnl"/>
        </w:rPr>
      </w:pPr>
    </w:p>
    <w:p w14:paraId="732D0390" w14:textId="54196096" w:rsidR="00804158" w:rsidRDefault="009E0B77" w:rsidP="00A949D0">
      <w:pPr>
        <w:spacing w:line="276" w:lineRule="auto"/>
        <w:jc w:val="both"/>
        <w:rPr>
          <w:rFonts w:ascii="Arial" w:eastAsia="Calibri" w:hAnsi="Arial" w:cs="Arial"/>
          <w:sz w:val="22"/>
          <w:lang w:val="es-ES" w:eastAsia="es-ES_tradnl"/>
        </w:rPr>
      </w:pPr>
      <w:r w:rsidRPr="00C85557">
        <w:rPr>
          <w:rFonts w:ascii="Arial" w:eastAsia="Calibri" w:hAnsi="Arial" w:cs="Arial"/>
          <w:sz w:val="22"/>
          <w:lang w:val="es-ES" w:eastAsia="es-ES_tradnl"/>
        </w:rPr>
        <w:t xml:space="preserve">En </w:t>
      </w:r>
      <w:r w:rsidR="002740B0" w:rsidRPr="00C85557">
        <w:rPr>
          <w:rFonts w:ascii="Arial" w:eastAsia="Calibri" w:hAnsi="Arial" w:cs="Arial"/>
          <w:sz w:val="22"/>
          <w:lang w:val="es-ES" w:eastAsia="es-ES_tradnl"/>
        </w:rPr>
        <w:t xml:space="preserve">virtud </w:t>
      </w:r>
      <w:r w:rsidRPr="00C85557">
        <w:rPr>
          <w:rFonts w:ascii="Arial" w:eastAsia="Calibri" w:hAnsi="Arial" w:cs="Arial"/>
          <w:sz w:val="22"/>
          <w:lang w:val="es-ES" w:eastAsia="es-ES_tradnl"/>
        </w:rPr>
        <w:t xml:space="preserve">de la competencia </w:t>
      </w:r>
      <w:r w:rsidR="002740B0" w:rsidRPr="00C85557">
        <w:rPr>
          <w:rFonts w:ascii="Arial" w:eastAsia="Calibri" w:hAnsi="Arial" w:cs="Arial"/>
          <w:sz w:val="22"/>
          <w:lang w:val="es-ES" w:eastAsia="es-ES_tradnl"/>
        </w:rPr>
        <w:t xml:space="preserve">conferida </w:t>
      </w:r>
      <w:r w:rsidRPr="00C85557">
        <w:rPr>
          <w:rFonts w:ascii="Arial" w:eastAsia="Calibri" w:hAnsi="Arial" w:cs="Arial"/>
          <w:sz w:val="22"/>
          <w:lang w:val="es-ES" w:eastAsia="es-ES_tradnl"/>
        </w:rPr>
        <w:t>por el numeral 8 del artículo 11 y el numeral 5 del artículo 3 del Decreto Ley 4170 de 2011, la Agenci</w:t>
      </w:r>
      <w:r w:rsidR="00A949D0" w:rsidRPr="00C85557">
        <w:rPr>
          <w:rFonts w:ascii="Arial" w:eastAsia="Calibri" w:hAnsi="Arial" w:cs="Arial"/>
          <w:sz w:val="22"/>
          <w:lang w:val="es-ES" w:eastAsia="es-ES_tradnl"/>
        </w:rPr>
        <w:t xml:space="preserve">a </w:t>
      </w:r>
      <w:r w:rsidRPr="00C85557">
        <w:rPr>
          <w:rFonts w:ascii="Arial" w:eastAsia="Calibri" w:hAnsi="Arial" w:cs="Arial"/>
          <w:sz w:val="22"/>
          <w:lang w:val="es-ES" w:eastAsia="es-ES_tradnl"/>
        </w:rPr>
        <w:t>Nacional de Contratación Pública</w:t>
      </w:r>
      <w:r w:rsidR="002740B0" w:rsidRPr="00C85557">
        <w:rPr>
          <w:rFonts w:ascii="Arial" w:eastAsia="Calibri" w:hAnsi="Arial" w:cs="Arial"/>
          <w:sz w:val="22"/>
          <w:lang w:val="es-ES" w:eastAsia="es-ES_tradnl"/>
        </w:rPr>
        <w:t xml:space="preserve"> -</w:t>
      </w:r>
      <w:r w:rsidRPr="00C85557">
        <w:rPr>
          <w:rFonts w:ascii="Arial" w:eastAsia="Calibri" w:hAnsi="Arial" w:cs="Arial"/>
          <w:sz w:val="22"/>
          <w:lang w:val="es-ES" w:eastAsia="es-ES_tradnl"/>
        </w:rPr>
        <w:t>Colombia Compra Eficiente</w:t>
      </w:r>
      <w:r w:rsidR="002740B0" w:rsidRPr="00C85557">
        <w:rPr>
          <w:rFonts w:ascii="Arial" w:eastAsia="Calibri" w:hAnsi="Arial" w:cs="Arial"/>
          <w:sz w:val="22"/>
          <w:lang w:val="es-ES" w:eastAsia="es-ES_tradnl"/>
        </w:rPr>
        <w:t xml:space="preserve">- </w:t>
      </w:r>
      <w:r w:rsidRPr="00C85557">
        <w:rPr>
          <w:rFonts w:ascii="Arial" w:eastAsia="Calibri" w:hAnsi="Arial" w:cs="Arial"/>
          <w:sz w:val="22"/>
          <w:lang w:val="es-ES" w:eastAsia="es-ES_tradnl"/>
        </w:rPr>
        <w:t>responde</w:t>
      </w:r>
      <w:r w:rsidR="00C85557" w:rsidRPr="00C85557">
        <w:rPr>
          <w:rFonts w:ascii="Arial" w:eastAsia="Calibri" w:hAnsi="Arial" w:cs="Arial"/>
          <w:sz w:val="22"/>
          <w:lang w:val="es-ES" w:eastAsia="es-ES_tradnl"/>
        </w:rPr>
        <w:t xml:space="preserve"> a </w:t>
      </w:r>
      <w:r w:rsidRPr="00C85557">
        <w:rPr>
          <w:rFonts w:ascii="Arial" w:eastAsia="Calibri" w:hAnsi="Arial" w:cs="Arial"/>
          <w:sz w:val="22"/>
          <w:lang w:val="es-ES" w:eastAsia="es-ES_tradnl"/>
        </w:rPr>
        <w:t>su consulta</w:t>
      </w:r>
      <w:r w:rsidR="00FE46F4">
        <w:rPr>
          <w:rFonts w:ascii="Arial" w:eastAsia="Calibri" w:hAnsi="Arial" w:cs="Arial"/>
          <w:sz w:val="22"/>
          <w:lang w:val="es-ES" w:eastAsia="es-ES_tradnl"/>
        </w:rPr>
        <w:t xml:space="preserve"> </w:t>
      </w:r>
      <w:r w:rsidRPr="00C85557">
        <w:rPr>
          <w:rFonts w:ascii="Arial" w:eastAsia="Calibri" w:hAnsi="Arial" w:cs="Arial"/>
          <w:sz w:val="22"/>
          <w:lang w:val="es-ES" w:eastAsia="es-ES_tradnl"/>
        </w:rPr>
        <w:t xml:space="preserve">del </w:t>
      </w:r>
      <w:r w:rsidR="005C25FD">
        <w:rPr>
          <w:rFonts w:ascii="Arial" w:eastAsia="Calibri" w:hAnsi="Arial" w:cs="Arial"/>
          <w:sz w:val="22"/>
          <w:lang w:val="es-ES" w:eastAsia="es-ES_tradnl"/>
        </w:rPr>
        <w:t xml:space="preserve">4 de julio </w:t>
      </w:r>
      <w:r w:rsidRPr="00C85557">
        <w:rPr>
          <w:rFonts w:ascii="Arial" w:eastAsia="Calibri" w:hAnsi="Arial" w:cs="Arial"/>
          <w:sz w:val="22"/>
          <w:lang w:val="es-ES" w:eastAsia="es-ES_tradnl"/>
        </w:rPr>
        <w:t>de</w:t>
      </w:r>
      <w:r w:rsidR="00931C88">
        <w:rPr>
          <w:rFonts w:ascii="Arial" w:eastAsia="Calibri" w:hAnsi="Arial" w:cs="Arial"/>
          <w:sz w:val="22"/>
          <w:lang w:val="es-ES" w:eastAsia="es-ES_tradnl"/>
        </w:rPr>
        <w:t xml:space="preserve"> </w:t>
      </w:r>
      <w:r w:rsidRPr="00C85557">
        <w:rPr>
          <w:rFonts w:ascii="Arial" w:eastAsia="Calibri" w:hAnsi="Arial" w:cs="Arial"/>
          <w:sz w:val="22"/>
          <w:lang w:val="es-ES" w:eastAsia="es-ES_tradnl"/>
        </w:rPr>
        <w:t>202</w:t>
      </w:r>
      <w:r w:rsidR="009F1FCB" w:rsidRPr="00C85557">
        <w:rPr>
          <w:rFonts w:ascii="Arial" w:eastAsia="Calibri" w:hAnsi="Arial" w:cs="Arial"/>
          <w:sz w:val="22"/>
          <w:lang w:val="es-ES" w:eastAsia="es-ES_tradnl"/>
        </w:rPr>
        <w:t>3</w:t>
      </w:r>
      <w:bookmarkStart w:id="12" w:name="_Hlk133234847"/>
      <w:bookmarkStart w:id="13" w:name="_Hlk133406549"/>
      <w:r w:rsidR="00931C88">
        <w:rPr>
          <w:rFonts w:ascii="Arial" w:eastAsia="Calibri" w:hAnsi="Arial" w:cs="Arial"/>
          <w:sz w:val="22"/>
          <w:lang w:val="es-ES" w:eastAsia="es-ES_tradnl"/>
        </w:rPr>
        <w:t>, remitida por el Departamento Administrativo de la Función Pública mediante oficio remisorio radicado con el número 20232040275761</w:t>
      </w:r>
      <w:r w:rsidR="005C25FD">
        <w:rPr>
          <w:rFonts w:ascii="Arial" w:eastAsia="Calibri" w:hAnsi="Arial" w:cs="Arial"/>
          <w:sz w:val="22"/>
          <w:lang w:val="es-ES" w:eastAsia="es-ES_tradnl"/>
        </w:rPr>
        <w:t>.</w:t>
      </w:r>
    </w:p>
    <w:p w14:paraId="2F165EB8" w14:textId="77777777" w:rsidR="005C25FD" w:rsidRPr="00353F60" w:rsidRDefault="005C25FD" w:rsidP="00367BC4">
      <w:pPr>
        <w:spacing w:line="276" w:lineRule="auto"/>
        <w:jc w:val="both"/>
        <w:rPr>
          <w:rFonts w:ascii="Arial" w:eastAsia="Calibri" w:hAnsi="Arial" w:cs="Arial"/>
          <w:bCs/>
          <w:sz w:val="22"/>
          <w:lang w:val="es-ES_tradnl"/>
        </w:rPr>
      </w:pPr>
      <w:bookmarkStart w:id="14" w:name="_Hlk133234829"/>
    </w:p>
    <w:p w14:paraId="3E5C43F8" w14:textId="51A20556" w:rsidR="00367BC4" w:rsidRPr="00367BC4" w:rsidRDefault="00367BC4" w:rsidP="00367BC4">
      <w:pPr>
        <w:spacing w:line="276" w:lineRule="auto"/>
        <w:jc w:val="both"/>
        <w:rPr>
          <w:rFonts w:ascii="Arial" w:eastAsia="Calibri" w:hAnsi="Arial" w:cs="Arial"/>
          <w:b/>
          <w:sz w:val="22"/>
          <w:lang w:val="es-ES_tradnl"/>
        </w:rPr>
      </w:pPr>
      <w:r>
        <w:rPr>
          <w:rFonts w:ascii="Arial" w:eastAsia="Calibri" w:hAnsi="Arial" w:cs="Arial"/>
          <w:b/>
          <w:sz w:val="22"/>
          <w:lang w:val="es-ES_tradnl"/>
        </w:rPr>
        <w:t>1</w:t>
      </w:r>
      <w:r w:rsidRPr="00367BC4">
        <w:rPr>
          <w:rFonts w:ascii="Arial" w:eastAsia="Calibri" w:hAnsi="Arial" w:cs="Arial"/>
          <w:b/>
          <w:sz w:val="22"/>
          <w:lang w:val="es-ES_tradnl"/>
        </w:rPr>
        <w:t>.</w:t>
      </w:r>
      <w:r>
        <w:rPr>
          <w:rFonts w:ascii="Arial" w:eastAsia="Calibri" w:hAnsi="Arial" w:cs="Arial"/>
          <w:b/>
          <w:sz w:val="22"/>
          <w:lang w:val="es-ES_tradnl"/>
        </w:rPr>
        <w:tab/>
        <w:t>Problema planteado</w:t>
      </w:r>
    </w:p>
    <w:p w14:paraId="0F107CB6" w14:textId="77777777" w:rsidR="00367BC4" w:rsidRDefault="00367BC4" w:rsidP="00367BC4">
      <w:pPr>
        <w:tabs>
          <w:tab w:val="left" w:pos="0"/>
          <w:tab w:val="left" w:pos="142"/>
          <w:tab w:val="left" w:pos="284"/>
        </w:tabs>
        <w:spacing w:line="276" w:lineRule="auto"/>
        <w:contextualSpacing/>
        <w:jc w:val="both"/>
        <w:rPr>
          <w:rFonts w:ascii="Arial" w:eastAsia="Calibri" w:hAnsi="Arial" w:cs="Arial"/>
          <w:bCs/>
          <w:sz w:val="22"/>
          <w:lang w:val="es-ES_tradnl" w:eastAsia="es-ES_tradnl"/>
        </w:rPr>
      </w:pPr>
    </w:p>
    <w:p w14:paraId="0BE24FF9" w14:textId="2C9BB5FA" w:rsidR="00DC51B5" w:rsidRDefault="00A949D0" w:rsidP="005A7715">
      <w:pPr>
        <w:spacing w:line="276" w:lineRule="auto"/>
        <w:jc w:val="both"/>
        <w:rPr>
          <w:rFonts w:ascii="Arial" w:hAnsi="Arial" w:cs="Arial"/>
          <w:i/>
          <w:iCs/>
          <w:sz w:val="22"/>
          <w:lang w:val="es-ES_tradnl" w:eastAsia="es-ES_tradnl"/>
        </w:rPr>
      </w:pPr>
      <w:bookmarkStart w:id="15" w:name="_Hlk133498899"/>
      <w:bookmarkEnd w:id="12"/>
      <w:bookmarkEnd w:id="14"/>
      <w:r>
        <w:rPr>
          <w:rFonts w:ascii="Arial" w:hAnsi="Arial" w:cs="Arial"/>
          <w:sz w:val="22"/>
          <w:lang w:val="es-ES_tradnl" w:eastAsia="es-ES_tradnl"/>
        </w:rPr>
        <w:lastRenderedPageBreak/>
        <w:t>En el respectivo escrito,</w:t>
      </w:r>
      <w:r w:rsidR="009C37D7">
        <w:rPr>
          <w:rFonts w:ascii="Arial" w:hAnsi="Arial" w:cs="Arial"/>
          <w:sz w:val="22"/>
          <w:lang w:val="es-ES_tradnl" w:eastAsia="es-ES_tradnl"/>
        </w:rPr>
        <w:t xml:space="preserve"> </w:t>
      </w:r>
      <w:r w:rsidR="00B10318">
        <w:rPr>
          <w:rFonts w:ascii="Arial" w:hAnsi="Arial" w:cs="Arial"/>
          <w:sz w:val="22"/>
          <w:lang w:val="es-ES_tradnl" w:eastAsia="es-ES_tradnl"/>
        </w:rPr>
        <w:t xml:space="preserve">en relación con </w:t>
      </w:r>
      <w:r w:rsidR="00DC51B5">
        <w:rPr>
          <w:rFonts w:ascii="Arial" w:hAnsi="Arial" w:cs="Arial"/>
          <w:sz w:val="22"/>
          <w:lang w:val="es-ES_tradnl" w:eastAsia="es-ES_tradnl"/>
        </w:rPr>
        <w:t xml:space="preserve">la Corporación Autónoma Regional del Río Grande de la Magdalena -Cormagdalena- y la aplicación de la Ley 996 de 2005, </w:t>
      </w:r>
      <w:r>
        <w:rPr>
          <w:rFonts w:ascii="Arial" w:hAnsi="Arial" w:cs="Arial"/>
          <w:sz w:val="22"/>
          <w:lang w:val="es-ES_tradnl" w:eastAsia="es-ES_tradnl"/>
        </w:rPr>
        <w:t xml:space="preserve">usted </w:t>
      </w:r>
      <w:r w:rsidR="009C37D7">
        <w:rPr>
          <w:rFonts w:ascii="Arial" w:hAnsi="Arial" w:cs="Arial"/>
          <w:sz w:val="22"/>
          <w:lang w:val="es-ES_tradnl" w:eastAsia="es-ES_tradnl"/>
        </w:rPr>
        <w:t xml:space="preserve">solicita sea emitido concepto jurídico </w:t>
      </w:r>
      <w:r w:rsidR="00DC51B5">
        <w:rPr>
          <w:rFonts w:ascii="Arial" w:hAnsi="Arial" w:cs="Arial"/>
          <w:sz w:val="22"/>
          <w:lang w:val="es-ES_tradnl" w:eastAsia="es-ES_tradnl"/>
        </w:rPr>
        <w:t>respecto de las siguientes inquietudes</w:t>
      </w:r>
      <w:r w:rsidR="009C37D7">
        <w:rPr>
          <w:rFonts w:ascii="Arial" w:hAnsi="Arial" w:cs="Arial"/>
          <w:sz w:val="22"/>
          <w:lang w:val="es-ES_tradnl" w:eastAsia="es-ES_tradnl"/>
        </w:rPr>
        <w:t xml:space="preserve">: </w:t>
      </w:r>
      <w:bookmarkStart w:id="16" w:name="_Hlk140044753"/>
      <w:bookmarkStart w:id="17" w:name="_Hlk139323233"/>
      <w:bookmarkStart w:id="18" w:name="_Hlk136199855"/>
      <w:r w:rsidR="009C37D7" w:rsidRPr="009C37D7">
        <w:rPr>
          <w:rFonts w:ascii="Arial" w:hAnsi="Arial" w:cs="Arial"/>
          <w:i/>
          <w:iCs/>
          <w:sz w:val="22"/>
          <w:lang w:val="es-ES_tradnl" w:eastAsia="es-ES_tradnl"/>
        </w:rPr>
        <w:t>“</w:t>
      </w:r>
      <w:r w:rsidR="00DC51B5">
        <w:rPr>
          <w:rFonts w:ascii="Arial" w:hAnsi="Arial" w:cs="Arial"/>
          <w:i/>
          <w:iCs/>
          <w:sz w:val="22"/>
          <w:lang w:val="es-ES_tradnl" w:eastAsia="es-ES_tradnl"/>
        </w:rPr>
        <w:t xml:space="preserve"> (…) ¿aplica la ley de garantías para esta Corporación?, ¿qué tipo de contratos o convenios puede celebrar?, ¿cuáles contratos o convenios no puede celebrar?; ¿puede realizar adiciones u otros sí?”.</w:t>
      </w:r>
    </w:p>
    <w:bookmarkEnd w:id="15"/>
    <w:bookmarkEnd w:id="16"/>
    <w:bookmarkEnd w:id="17"/>
    <w:bookmarkEnd w:id="18"/>
    <w:p w14:paraId="5C810F85" w14:textId="77777777" w:rsidR="00931C88" w:rsidRDefault="00931C88" w:rsidP="005A7715">
      <w:pPr>
        <w:spacing w:line="276" w:lineRule="auto"/>
        <w:jc w:val="both"/>
        <w:rPr>
          <w:rFonts w:ascii="Arial" w:hAnsi="Arial" w:cs="Arial"/>
          <w:sz w:val="22"/>
          <w:lang w:val="es-ES_tradnl" w:eastAsia="es-ES_tradnl"/>
        </w:rPr>
      </w:pPr>
    </w:p>
    <w:p w14:paraId="750D9A9C" w14:textId="3929D1B6" w:rsidR="005A7715" w:rsidRPr="00367BC4" w:rsidRDefault="00367BC4" w:rsidP="00367BC4">
      <w:pPr>
        <w:spacing w:line="276" w:lineRule="auto"/>
        <w:jc w:val="both"/>
        <w:rPr>
          <w:rFonts w:ascii="Arial" w:eastAsia="Calibri" w:hAnsi="Arial" w:cs="Arial"/>
          <w:b/>
          <w:sz w:val="22"/>
          <w:lang w:val="es-ES_tradnl"/>
        </w:rPr>
      </w:pPr>
      <w:bookmarkStart w:id="19" w:name="_Hlk133406532"/>
      <w:bookmarkStart w:id="20" w:name="_Hlk136199719"/>
      <w:bookmarkEnd w:id="13"/>
      <w:r w:rsidRPr="00367BC4">
        <w:rPr>
          <w:rFonts w:ascii="Arial" w:eastAsia="Calibri" w:hAnsi="Arial" w:cs="Arial"/>
          <w:b/>
          <w:sz w:val="22"/>
          <w:lang w:val="es-ES_tradnl"/>
        </w:rPr>
        <w:t>2.</w:t>
      </w:r>
      <w:r>
        <w:rPr>
          <w:rFonts w:ascii="Arial" w:eastAsia="Calibri" w:hAnsi="Arial" w:cs="Arial"/>
          <w:b/>
          <w:sz w:val="22"/>
          <w:lang w:val="es-ES_tradnl"/>
        </w:rPr>
        <w:tab/>
      </w:r>
      <w:r w:rsidR="005A7715" w:rsidRPr="00367BC4">
        <w:rPr>
          <w:rFonts w:ascii="Arial" w:eastAsia="Calibri" w:hAnsi="Arial" w:cs="Arial"/>
          <w:b/>
          <w:sz w:val="22"/>
          <w:lang w:val="es-ES_tradnl"/>
        </w:rPr>
        <w:t>Consideraciones</w:t>
      </w:r>
      <w:bookmarkEnd w:id="19"/>
    </w:p>
    <w:bookmarkEnd w:id="20"/>
    <w:p w14:paraId="7FFB6108" w14:textId="77777777" w:rsidR="00A949D0" w:rsidRDefault="00A949D0" w:rsidP="00A949D0">
      <w:pPr>
        <w:spacing w:line="276" w:lineRule="auto"/>
        <w:jc w:val="both"/>
        <w:rPr>
          <w:rFonts w:ascii="Arial" w:hAnsi="Arial" w:cs="Arial"/>
          <w:sz w:val="22"/>
          <w:lang w:val="es-ES_tradnl" w:eastAsia="es-ES_tradnl"/>
        </w:rPr>
      </w:pPr>
    </w:p>
    <w:p w14:paraId="1904CF79" w14:textId="53A03439" w:rsidR="00B01C8E" w:rsidRPr="00B01C8E" w:rsidRDefault="00B01C8E" w:rsidP="00B01C8E">
      <w:pPr>
        <w:spacing w:after="120" w:line="276" w:lineRule="auto"/>
        <w:jc w:val="both"/>
        <w:rPr>
          <w:rFonts w:ascii="Arial" w:hAnsi="Arial" w:cs="Arial"/>
          <w:sz w:val="22"/>
          <w:lang w:val="es-ES" w:eastAsia="es-ES_tradnl"/>
        </w:rPr>
      </w:pPr>
      <w:bookmarkStart w:id="21" w:name="_Hlk136161866"/>
      <w:bookmarkStart w:id="22" w:name="_Hlk131417155"/>
      <w:r w:rsidRPr="00B01C8E">
        <w:rPr>
          <w:rFonts w:ascii="Arial" w:hAnsi="Arial" w:cs="Arial"/>
          <w:sz w:val="22"/>
          <w:lang w:eastAsia="es-ES_tradnl"/>
        </w:rPr>
        <w:t xml:space="preserve">En ejercicio de las competencias </w:t>
      </w:r>
      <w:r>
        <w:rPr>
          <w:rFonts w:ascii="Arial" w:hAnsi="Arial" w:cs="Arial"/>
          <w:sz w:val="22"/>
          <w:lang w:eastAsia="es-ES_tradnl"/>
        </w:rPr>
        <w:t xml:space="preserve">previstas </w:t>
      </w:r>
      <w:r w:rsidRPr="00B01C8E">
        <w:rPr>
          <w:rFonts w:ascii="Arial" w:hAnsi="Arial" w:cs="Arial"/>
          <w:sz w:val="22"/>
          <w:lang w:eastAsia="es-ES_tradnl"/>
        </w:rPr>
        <w:t>en los artículos 3.5 y 11.8 del Decreto</w:t>
      </w:r>
      <w:r>
        <w:rPr>
          <w:rFonts w:ascii="Arial" w:hAnsi="Arial" w:cs="Arial"/>
          <w:sz w:val="22"/>
          <w:lang w:eastAsia="es-ES_tradnl"/>
        </w:rPr>
        <w:t>-</w:t>
      </w:r>
      <w:r w:rsidRPr="00B01C8E">
        <w:rPr>
          <w:rFonts w:ascii="Arial" w:hAnsi="Arial" w:cs="Arial"/>
          <w:sz w:val="22"/>
          <w:lang w:eastAsia="es-ES_tradnl"/>
        </w:rPr>
        <w:t>Ley 4170 de 2011, la Agencia Nacional de Contratación Pública</w:t>
      </w:r>
      <w:r>
        <w:rPr>
          <w:rFonts w:ascii="Arial" w:hAnsi="Arial" w:cs="Arial"/>
          <w:sz w:val="22"/>
          <w:lang w:eastAsia="es-ES_tradnl"/>
        </w:rPr>
        <w:t xml:space="preserve"> -</w:t>
      </w:r>
      <w:r w:rsidRPr="00B01C8E">
        <w:rPr>
          <w:rFonts w:ascii="Arial" w:hAnsi="Arial" w:cs="Arial"/>
          <w:sz w:val="22"/>
          <w:lang w:eastAsia="es-ES_tradnl"/>
        </w:rPr>
        <w:t>Colombia Compra Eficiente</w:t>
      </w:r>
      <w:r>
        <w:rPr>
          <w:rFonts w:ascii="Arial" w:hAnsi="Arial" w:cs="Arial"/>
          <w:sz w:val="22"/>
          <w:lang w:eastAsia="es-ES_tradnl"/>
        </w:rPr>
        <w:t xml:space="preserve">- </w:t>
      </w:r>
      <w:r w:rsidRPr="00B01C8E">
        <w:rPr>
          <w:rFonts w:ascii="Arial" w:hAnsi="Arial" w:cs="Arial"/>
          <w:sz w:val="22"/>
          <w:lang w:eastAsia="es-ES_tradnl"/>
        </w:rPr>
        <w:t>resuelve las consultas sobre los asuntos de su competencia, esto es, sobre las temáticas de la contratación estatal y compras públicas relacionadas en los artículos citados.</w:t>
      </w:r>
      <w:bookmarkStart w:id="23" w:name="_Hlk61701014"/>
      <w:bookmarkStart w:id="24" w:name="_Hlk62136649"/>
      <w:r w:rsidRPr="00B01C8E">
        <w:rPr>
          <w:rFonts w:ascii="Arial" w:hAnsi="Arial" w:cs="Arial"/>
          <w:sz w:val="22"/>
          <w:shd w:val="clear" w:color="auto" w:fill="E6E6E6"/>
          <w:lang w:eastAsia="es-ES_tradnl"/>
        </w:rPr>
        <w:t xml:space="preserve"> </w:t>
      </w:r>
      <w:r w:rsidRPr="00B01C8E">
        <w:rPr>
          <w:rFonts w:ascii="Arial" w:hAnsi="Arial" w:cs="Arial"/>
          <w:sz w:val="22"/>
          <w:lang w:val="es-ES" w:eastAsia="es-ES_tradnl"/>
        </w:rPr>
        <w:t xml:space="preserve">Es necesario tener en cuenta que </w:t>
      </w:r>
      <w:bookmarkStart w:id="25" w:name="_Hlk61026958"/>
      <w:r w:rsidRPr="00B01C8E">
        <w:rPr>
          <w:rFonts w:ascii="Arial" w:hAnsi="Arial" w:cs="Arial"/>
          <w:sz w:val="22"/>
          <w:lang w:val="es-ES" w:eastAsia="es-ES_tradnl"/>
        </w:rPr>
        <w:t>esta entidad solo tiene competencia para responder solicitudes sobre la aplicación de normas de carácter general en materia de compras y contratación pública. En es</w:t>
      </w:r>
      <w:r>
        <w:rPr>
          <w:rFonts w:ascii="Arial" w:hAnsi="Arial" w:cs="Arial"/>
          <w:sz w:val="22"/>
          <w:lang w:val="es-ES" w:eastAsia="es-ES_tradnl"/>
        </w:rPr>
        <w:t>t</w:t>
      </w:r>
      <w:r w:rsidRPr="00B01C8E">
        <w:rPr>
          <w:rFonts w:ascii="Arial" w:hAnsi="Arial" w:cs="Arial"/>
          <w:sz w:val="22"/>
          <w:lang w:val="es-ES" w:eastAsia="es-ES_tradnl"/>
        </w:rPr>
        <w:t>e sentido, resolver casos particulares desborda</w:t>
      </w:r>
      <w:r>
        <w:rPr>
          <w:rFonts w:ascii="Arial" w:hAnsi="Arial" w:cs="Arial"/>
          <w:sz w:val="22"/>
          <w:lang w:val="es-ES" w:eastAsia="es-ES_tradnl"/>
        </w:rPr>
        <w:t xml:space="preserve"> </w:t>
      </w:r>
      <w:r w:rsidRPr="00B01C8E">
        <w:rPr>
          <w:rFonts w:ascii="Arial" w:hAnsi="Arial" w:cs="Arial"/>
          <w:sz w:val="22"/>
          <w:lang w:val="es-ES" w:eastAsia="es-ES_tradnl"/>
        </w:rPr>
        <w:t>las atribuciones asignadas por el legislador extraordinario, que no concibió a Colombia Compra Eficiente como una autoridad para solucionar problemas jurídicos particulares</w:t>
      </w:r>
      <w:r w:rsidRPr="00B01C8E">
        <w:rPr>
          <w:rFonts w:ascii="Arial" w:hAnsi="Arial" w:cs="Arial"/>
          <w:sz w:val="22"/>
          <w:lang w:eastAsia="es-ES_tradnl"/>
        </w:rPr>
        <w:t xml:space="preserve"> de todos los partícipes de la contratación estatal.</w:t>
      </w:r>
      <w:bookmarkStart w:id="26" w:name="_Hlk133416774"/>
    </w:p>
    <w:p w14:paraId="67B3D30B" w14:textId="77777777" w:rsidR="00C028B2" w:rsidRDefault="00B01C8E" w:rsidP="00C028B2">
      <w:pPr>
        <w:spacing w:after="120" w:line="276" w:lineRule="auto"/>
        <w:ind w:firstLine="708"/>
        <w:jc w:val="both"/>
        <w:rPr>
          <w:rFonts w:ascii="Arial" w:hAnsi="Arial" w:cs="Arial"/>
          <w:sz w:val="22"/>
          <w:lang w:val="es-ES" w:eastAsia="es-ES_tradnl"/>
        </w:rPr>
      </w:pPr>
      <w:r w:rsidRPr="00B01C8E">
        <w:rPr>
          <w:rFonts w:ascii="Arial" w:hAnsi="Arial" w:cs="Arial"/>
          <w:sz w:val="22"/>
          <w:lang w:val="es-ES" w:eastAsia="es-ES_tradnl"/>
        </w:rPr>
        <w:t xml:space="preserve">La competencia de esta entidad se fija con límites claros, con el objeto de evitar que la Agencia </w:t>
      </w:r>
      <w:r w:rsidR="00FD5DFC">
        <w:rPr>
          <w:rFonts w:ascii="Arial" w:hAnsi="Arial" w:cs="Arial"/>
          <w:sz w:val="22"/>
          <w:lang w:val="es-ES" w:eastAsia="es-ES_tradnl"/>
        </w:rPr>
        <w:t xml:space="preserve">intervenga </w:t>
      </w:r>
      <w:r w:rsidRPr="00B01C8E">
        <w:rPr>
          <w:rFonts w:ascii="Arial" w:hAnsi="Arial" w:cs="Arial"/>
          <w:sz w:val="22"/>
          <w:lang w:val="es-ES" w:eastAsia="es-ES_tradnl"/>
        </w:rPr>
        <w:t>como una instancia de validación de las actuaciones de las entidades sujetas a la Ley 80 de 1993 o de los demás participantes de la contratación pública</w:t>
      </w:r>
      <w:r w:rsidRPr="00B01C8E">
        <w:rPr>
          <w:rFonts w:ascii="Arial" w:hAnsi="Arial" w:cs="Arial"/>
          <w:sz w:val="22"/>
          <w:vertAlign w:val="superscript"/>
          <w:lang w:val="es-ES" w:eastAsia="es-ES_tradnl"/>
        </w:rPr>
        <w:footnoteReference w:id="1"/>
      </w:r>
      <w:r w:rsidRPr="00B01C8E">
        <w:rPr>
          <w:rFonts w:ascii="Arial" w:hAnsi="Arial" w:cs="Arial"/>
          <w:sz w:val="22"/>
          <w:lang w:val="es-ES" w:eastAsia="es-ES_tradnl"/>
        </w:rPr>
        <w:t>. Esta competencia de interpretación de normas generales, por definición, no puede extenderse a la resolución de controversias, ni a brindar asesorías sobre casos puntuales. Esto</w:t>
      </w:r>
      <w:r w:rsidR="00FD5DFC">
        <w:rPr>
          <w:rFonts w:ascii="Arial" w:hAnsi="Arial" w:cs="Arial"/>
          <w:sz w:val="22"/>
          <w:lang w:val="es-ES" w:eastAsia="es-ES_tradnl"/>
        </w:rPr>
        <w:t xml:space="preserve">, </w:t>
      </w:r>
      <w:r w:rsidRPr="00B01C8E">
        <w:rPr>
          <w:rFonts w:ascii="Arial" w:hAnsi="Arial" w:cs="Arial"/>
          <w:sz w:val="22"/>
          <w:lang w:val="es-ES" w:eastAsia="es-ES_tradnl"/>
        </w:rPr>
        <w:t>en la medida en que, para resolver una consulta de carácter particular, además de conocer un sinnúmero de detalles de la actuación administrativa, es necesario acceder al expediente y a los documentos del procedimiento contractual donde surge la inquietud</w:t>
      </w:r>
      <w:bookmarkEnd w:id="25"/>
      <w:r w:rsidRPr="00B01C8E">
        <w:rPr>
          <w:rFonts w:ascii="Arial" w:hAnsi="Arial" w:cs="Arial"/>
          <w:sz w:val="22"/>
          <w:lang w:val="es-ES" w:eastAsia="es-ES_tradnl"/>
        </w:rPr>
        <w:t>. Por lo anterior, previo concepto de sus órganos asesores, la solución de estos temas corresponde a la entidad que adelanta el procedimiento de selección y, en caso de conflicto, a las autoridades judiciales, fiscales y</w:t>
      </w:r>
      <w:r w:rsidR="00FD5DFC">
        <w:rPr>
          <w:rFonts w:ascii="Arial" w:hAnsi="Arial" w:cs="Arial"/>
          <w:sz w:val="22"/>
          <w:lang w:val="es-ES" w:eastAsia="es-ES_tradnl"/>
        </w:rPr>
        <w:t>/o</w:t>
      </w:r>
      <w:r w:rsidRPr="00B01C8E">
        <w:rPr>
          <w:rFonts w:ascii="Arial" w:hAnsi="Arial" w:cs="Arial"/>
          <w:sz w:val="22"/>
          <w:lang w:val="es-ES" w:eastAsia="es-ES_tradnl"/>
        </w:rPr>
        <w:t xml:space="preserve"> disciplinarias</w:t>
      </w:r>
      <w:bookmarkEnd w:id="23"/>
      <w:r w:rsidR="00FD5DFC">
        <w:rPr>
          <w:rFonts w:ascii="Arial" w:hAnsi="Arial" w:cs="Arial"/>
          <w:sz w:val="22"/>
          <w:lang w:val="es-ES" w:eastAsia="es-ES_tradnl"/>
        </w:rPr>
        <w:t>, según corresponda.</w:t>
      </w:r>
      <w:bookmarkEnd w:id="21"/>
    </w:p>
    <w:p w14:paraId="702012B8" w14:textId="77777777" w:rsidR="00531A00" w:rsidRDefault="00FD5DFC" w:rsidP="00531A00">
      <w:pPr>
        <w:spacing w:after="120" w:line="276" w:lineRule="auto"/>
        <w:ind w:firstLine="708"/>
        <w:jc w:val="both"/>
        <w:rPr>
          <w:rFonts w:ascii="Arial" w:eastAsiaTheme="minorHAnsi" w:hAnsi="Arial" w:cs="Arial"/>
          <w:color w:val="000000" w:themeColor="text1"/>
          <w:sz w:val="22"/>
          <w:szCs w:val="22"/>
          <w:lang w:val="es-ES_tradnl" w:eastAsia="en-US"/>
        </w:rPr>
      </w:pPr>
      <w:r>
        <w:rPr>
          <w:rFonts w:ascii="Arial" w:hAnsi="Arial" w:cs="Arial"/>
          <w:sz w:val="22"/>
          <w:lang w:val="es-ES" w:eastAsia="es-ES_tradnl"/>
        </w:rPr>
        <w:t>Bajo este entendido</w:t>
      </w:r>
      <w:bookmarkEnd w:id="24"/>
      <w:r>
        <w:rPr>
          <w:rFonts w:ascii="Arial" w:hAnsi="Arial" w:cs="Arial"/>
          <w:sz w:val="22"/>
          <w:lang w:val="es-ES" w:eastAsia="es-ES_tradnl"/>
        </w:rPr>
        <w:t xml:space="preserve">, </w:t>
      </w:r>
      <w:r w:rsidRPr="00FD5DFC">
        <w:rPr>
          <w:rFonts w:ascii="Arial" w:hAnsi="Arial" w:cs="Arial"/>
          <w:sz w:val="22"/>
          <w:lang w:eastAsia="es-ES_tradnl"/>
        </w:rPr>
        <w:t xml:space="preserve">la Subdirección </w:t>
      </w:r>
      <w:r>
        <w:rPr>
          <w:rFonts w:ascii="Arial" w:hAnsi="Arial" w:cs="Arial"/>
          <w:sz w:val="22"/>
          <w:lang w:eastAsia="es-ES_tradnl"/>
        </w:rPr>
        <w:t>-</w:t>
      </w:r>
      <w:r w:rsidRPr="00FD5DFC">
        <w:rPr>
          <w:rFonts w:ascii="Arial" w:hAnsi="Arial" w:cs="Arial"/>
          <w:sz w:val="22"/>
          <w:lang w:eastAsia="es-ES_tradnl"/>
        </w:rPr>
        <w:t>dentro del límite</w:t>
      </w:r>
      <w:r>
        <w:rPr>
          <w:rFonts w:ascii="Arial" w:hAnsi="Arial" w:cs="Arial"/>
          <w:sz w:val="22"/>
          <w:lang w:eastAsia="es-ES_tradnl"/>
        </w:rPr>
        <w:t xml:space="preserve"> </w:t>
      </w:r>
      <w:r w:rsidRPr="00FD5DFC">
        <w:rPr>
          <w:rFonts w:ascii="Arial" w:hAnsi="Arial" w:cs="Arial"/>
          <w:sz w:val="22"/>
          <w:lang w:eastAsia="es-ES_tradnl"/>
        </w:rPr>
        <w:t>de sus atribuciones, esto es, haciendo abstracción de</w:t>
      </w:r>
      <w:r>
        <w:rPr>
          <w:rFonts w:ascii="Arial" w:hAnsi="Arial" w:cs="Arial"/>
          <w:sz w:val="22"/>
          <w:lang w:eastAsia="es-ES_tradnl"/>
        </w:rPr>
        <w:t xml:space="preserve"> cualquier </w:t>
      </w:r>
      <w:r w:rsidRPr="00FD5DFC">
        <w:rPr>
          <w:rFonts w:ascii="Arial" w:hAnsi="Arial" w:cs="Arial"/>
          <w:sz w:val="22"/>
          <w:lang w:eastAsia="es-ES_tradnl"/>
        </w:rPr>
        <w:t>caso</w:t>
      </w:r>
      <w:r>
        <w:rPr>
          <w:rFonts w:ascii="Arial" w:hAnsi="Arial" w:cs="Arial"/>
          <w:sz w:val="22"/>
          <w:lang w:eastAsia="es-ES_tradnl"/>
        </w:rPr>
        <w:t xml:space="preserve"> </w:t>
      </w:r>
      <w:r w:rsidRPr="00FD5DFC">
        <w:rPr>
          <w:rFonts w:ascii="Arial" w:hAnsi="Arial" w:cs="Arial"/>
          <w:sz w:val="22"/>
          <w:lang w:eastAsia="es-ES_tradnl"/>
        </w:rPr>
        <w:t>particular</w:t>
      </w:r>
      <w:r>
        <w:rPr>
          <w:rFonts w:ascii="Arial" w:hAnsi="Arial" w:cs="Arial"/>
          <w:sz w:val="22"/>
          <w:lang w:eastAsia="es-ES_tradnl"/>
        </w:rPr>
        <w:t xml:space="preserve"> que pueda llegar a proponer </w:t>
      </w:r>
      <w:r w:rsidR="00353F60">
        <w:rPr>
          <w:rFonts w:ascii="Arial" w:hAnsi="Arial" w:cs="Arial"/>
          <w:sz w:val="22"/>
          <w:lang w:eastAsia="es-ES_tradnl"/>
        </w:rPr>
        <w:t>e</w:t>
      </w:r>
      <w:r>
        <w:rPr>
          <w:rFonts w:ascii="Arial" w:hAnsi="Arial" w:cs="Arial"/>
          <w:sz w:val="22"/>
          <w:lang w:eastAsia="es-ES_tradnl"/>
        </w:rPr>
        <w:t xml:space="preserve">l </w:t>
      </w:r>
      <w:r w:rsidRPr="00FD5DFC">
        <w:rPr>
          <w:rFonts w:ascii="Arial" w:hAnsi="Arial" w:cs="Arial"/>
          <w:sz w:val="22"/>
          <w:lang w:eastAsia="es-ES_tradnl"/>
        </w:rPr>
        <w:t>peticionari</w:t>
      </w:r>
      <w:r w:rsidR="00353F60">
        <w:rPr>
          <w:rFonts w:ascii="Arial" w:hAnsi="Arial" w:cs="Arial"/>
          <w:sz w:val="22"/>
          <w:lang w:eastAsia="es-ES_tradnl"/>
        </w:rPr>
        <w:t>o</w:t>
      </w:r>
      <w:r>
        <w:rPr>
          <w:rFonts w:ascii="Arial" w:hAnsi="Arial" w:cs="Arial"/>
          <w:sz w:val="22"/>
          <w:lang w:eastAsia="es-ES_tradnl"/>
        </w:rPr>
        <w:t>-</w:t>
      </w:r>
      <w:r w:rsidRPr="00FD5DFC">
        <w:rPr>
          <w:rFonts w:ascii="Arial" w:hAnsi="Arial" w:cs="Arial"/>
          <w:sz w:val="22"/>
          <w:lang w:eastAsia="es-ES_tradnl"/>
        </w:rPr>
        <w:t xml:space="preserve"> resolverá la </w:t>
      </w:r>
      <w:r>
        <w:rPr>
          <w:rFonts w:ascii="Arial" w:hAnsi="Arial" w:cs="Arial"/>
          <w:sz w:val="22"/>
          <w:lang w:eastAsia="es-ES_tradnl"/>
        </w:rPr>
        <w:t xml:space="preserve">presente </w:t>
      </w:r>
      <w:r w:rsidRPr="00FD5DFC">
        <w:rPr>
          <w:rFonts w:ascii="Arial" w:hAnsi="Arial" w:cs="Arial"/>
          <w:sz w:val="22"/>
          <w:lang w:eastAsia="es-ES_tradnl"/>
        </w:rPr>
        <w:t>consulta</w:t>
      </w:r>
      <w:r>
        <w:rPr>
          <w:rFonts w:ascii="Arial" w:hAnsi="Arial" w:cs="Arial"/>
          <w:sz w:val="22"/>
          <w:lang w:eastAsia="es-ES_tradnl"/>
        </w:rPr>
        <w:t xml:space="preserve"> de acuerdo con el alcance general de </w:t>
      </w:r>
      <w:r w:rsidRPr="00FD5DFC">
        <w:rPr>
          <w:rFonts w:ascii="Arial" w:hAnsi="Arial" w:cs="Arial"/>
          <w:sz w:val="22"/>
          <w:lang w:eastAsia="es-ES_tradnl"/>
        </w:rPr>
        <w:t>las normas</w:t>
      </w:r>
      <w:r w:rsidR="00340FB6">
        <w:rPr>
          <w:rFonts w:ascii="Arial" w:hAnsi="Arial" w:cs="Arial"/>
          <w:sz w:val="22"/>
          <w:lang w:eastAsia="es-ES_tradnl"/>
        </w:rPr>
        <w:t xml:space="preserve"> </w:t>
      </w:r>
      <w:r w:rsidRPr="00FD5DFC">
        <w:rPr>
          <w:rFonts w:ascii="Arial" w:hAnsi="Arial" w:cs="Arial"/>
          <w:sz w:val="22"/>
          <w:lang w:eastAsia="es-ES_tradnl"/>
        </w:rPr>
        <w:t>en materia de contratación</w:t>
      </w:r>
      <w:r>
        <w:rPr>
          <w:rFonts w:ascii="Arial" w:hAnsi="Arial" w:cs="Arial"/>
          <w:sz w:val="22"/>
          <w:lang w:eastAsia="es-ES_tradnl"/>
        </w:rPr>
        <w:t xml:space="preserve"> </w:t>
      </w:r>
      <w:r w:rsidRPr="00FD5DFC">
        <w:rPr>
          <w:rFonts w:ascii="Arial" w:hAnsi="Arial" w:cs="Arial"/>
          <w:sz w:val="22"/>
          <w:lang w:eastAsia="es-ES_tradnl"/>
        </w:rPr>
        <w:t>estatal</w:t>
      </w:r>
      <w:r w:rsidR="007367DF">
        <w:rPr>
          <w:rFonts w:ascii="Arial" w:hAnsi="Arial" w:cs="Arial"/>
          <w:sz w:val="22"/>
          <w:lang w:eastAsia="es-ES_tradnl"/>
        </w:rPr>
        <w:t>.</w:t>
      </w:r>
      <w:r w:rsidR="00353F60">
        <w:rPr>
          <w:rFonts w:ascii="Arial" w:hAnsi="Arial" w:cs="Arial"/>
          <w:sz w:val="22"/>
          <w:lang w:eastAsia="es-ES_tradnl"/>
        </w:rPr>
        <w:t xml:space="preserve"> </w:t>
      </w:r>
      <w:r w:rsidR="00340FB6">
        <w:rPr>
          <w:rFonts w:ascii="Arial" w:hAnsi="Arial" w:cs="Arial"/>
          <w:sz w:val="22"/>
          <w:lang w:eastAsia="es-ES_tradnl"/>
        </w:rPr>
        <w:t xml:space="preserve">Con tal </w:t>
      </w:r>
      <w:r w:rsidR="00846E11">
        <w:rPr>
          <w:rFonts w:ascii="Arial" w:hAnsi="Arial" w:cs="Arial"/>
          <w:sz w:val="22"/>
          <w:lang w:eastAsia="es-ES_tradnl"/>
        </w:rPr>
        <w:t>propósito, analizará</w:t>
      </w:r>
      <w:r w:rsidR="007367DF">
        <w:rPr>
          <w:rFonts w:ascii="Arial" w:hAnsi="Arial" w:cs="Arial"/>
          <w:sz w:val="22"/>
          <w:lang w:eastAsia="es-ES_tradnl"/>
        </w:rPr>
        <w:t xml:space="preserve"> los siguientes temas:</w:t>
      </w:r>
      <w:r w:rsidR="00531A00">
        <w:rPr>
          <w:rFonts w:ascii="Arial" w:hAnsi="Arial" w:cs="Arial"/>
          <w:sz w:val="22"/>
          <w:lang w:eastAsia="es-ES_tradnl"/>
        </w:rPr>
        <w:t xml:space="preserve"> </w:t>
      </w:r>
      <w:r w:rsidR="00531A00" w:rsidRPr="00531A00">
        <w:rPr>
          <w:rFonts w:ascii="Arial" w:eastAsiaTheme="minorHAnsi" w:hAnsi="Arial" w:cs="Arial"/>
          <w:i/>
          <w:iCs/>
          <w:color w:val="000000" w:themeColor="text1"/>
          <w:sz w:val="22"/>
          <w:szCs w:val="22"/>
          <w:lang w:val="es-ES" w:eastAsia="en-US"/>
        </w:rPr>
        <w:t>(</w:t>
      </w:r>
      <w:r w:rsidR="00531A00" w:rsidRPr="00531A00">
        <w:rPr>
          <w:rFonts w:ascii="Arial" w:eastAsiaTheme="minorHAnsi" w:hAnsi="Arial" w:cs="Arial"/>
          <w:i/>
          <w:iCs/>
          <w:color w:val="000000" w:themeColor="text1"/>
          <w:sz w:val="22"/>
          <w:szCs w:val="22"/>
          <w:lang w:val="es-ES_tradnl" w:eastAsia="en-US"/>
        </w:rPr>
        <w:t>i)</w:t>
      </w:r>
      <w:r w:rsidR="00531A00" w:rsidRPr="00531A00">
        <w:rPr>
          <w:rFonts w:ascii="Arial" w:eastAsiaTheme="minorHAnsi" w:hAnsi="Arial" w:cs="Arial"/>
          <w:color w:val="000000" w:themeColor="text1"/>
          <w:sz w:val="22"/>
          <w:szCs w:val="22"/>
          <w:lang w:val="es-ES_tradnl" w:eastAsia="en-US"/>
        </w:rPr>
        <w:t xml:space="preserve"> definición y finalidad de </w:t>
      </w:r>
      <w:r w:rsidR="00531A00" w:rsidRPr="00531A00">
        <w:rPr>
          <w:rFonts w:ascii="Arial" w:eastAsiaTheme="minorHAnsi" w:hAnsi="Arial" w:cs="Arial"/>
          <w:color w:val="000000" w:themeColor="text1"/>
          <w:sz w:val="22"/>
          <w:szCs w:val="22"/>
          <w:lang w:val="es-ES_tradnl" w:eastAsia="en-US"/>
        </w:rPr>
        <w:lastRenderedPageBreak/>
        <w:t>la Ley de Garantías Electorales</w:t>
      </w:r>
      <w:r w:rsidR="00531A00">
        <w:rPr>
          <w:rFonts w:ascii="Arial" w:eastAsiaTheme="minorHAnsi" w:hAnsi="Arial" w:cs="Arial"/>
          <w:color w:val="000000" w:themeColor="text1"/>
          <w:sz w:val="22"/>
          <w:szCs w:val="22"/>
          <w:lang w:val="es-ES_tradnl" w:eastAsia="en-US"/>
        </w:rPr>
        <w:t>;</w:t>
      </w:r>
      <w:r w:rsidR="00531A00" w:rsidRPr="00531A00">
        <w:rPr>
          <w:rFonts w:ascii="Arial" w:eastAsiaTheme="minorHAnsi" w:hAnsi="Arial" w:cs="Arial"/>
          <w:color w:val="000000" w:themeColor="text1"/>
          <w:sz w:val="22"/>
          <w:szCs w:val="22"/>
          <w:lang w:val="es-ES_tradnl" w:eastAsia="en-US"/>
        </w:rPr>
        <w:t xml:space="preserve"> </w:t>
      </w:r>
      <w:r w:rsidR="00531A00" w:rsidRPr="00531A00">
        <w:rPr>
          <w:rFonts w:ascii="Arial" w:eastAsiaTheme="minorHAnsi" w:hAnsi="Arial" w:cs="Arial"/>
          <w:i/>
          <w:iCs/>
          <w:color w:val="000000" w:themeColor="text1"/>
          <w:sz w:val="22"/>
          <w:szCs w:val="22"/>
          <w:lang w:val="es-ES_tradnl" w:eastAsia="en-US"/>
        </w:rPr>
        <w:t>(ii)</w:t>
      </w:r>
      <w:r w:rsidR="00531A00" w:rsidRPr="00531A00">
        <w:rPr>
          <w:rFonts w:ascii="Arial" w:eastAsiaTheme="minorHAnsi" w:hAnsi="Arial" w:cs="Arial"/>
          <w:color w:val="000000" w:themeColor="text1"/>
          <w:sz w:val="22"/>
          <w:szCs w:val="22"/>
          <w:lang w:val="es-ES_tradnl" w:eastAsia="en-US"/>
        </w:rPr>
        <w:t xml:space="preserve"> restricciones para elecciones presidenciales</w:t>
      </w:r>
      <w:r w:rsidR="00531A00">
        <w:rPr>
          <w:rFonts w:ascii="Arial" w:eastAsiaTheme="minorHAnsi" w:hAnsi="Arial" w:cs="Arial"/>
          <w:color w:val="000000" w:themeColor="text1"/>
          <w:sz w:val="22"/>
          <w:szCs w:val="22"/>
          <w:lang w:val="es-ES_tradnl" w:eastAsia="en-US"/>
        </w:rPr>
        <w:t>;</w:t>
      </w:r>
      <w:r w:rsidR="00531A00" w:rsidRPr="00531A00">
        <w:rPr>
          <w:rFonts w:ascii="Arial" w:eastAsiaTheme="minorHAnsi" w:hAnsi="Arial" w:cs="Arial"/>
          <w:color w:val="000000" w:themeColor="text1"/>
          <w:sz w:val="22"/>
          <w:szCs w:val="22"/>
          <w:lang w:val="es-ES_tradnl" w:eastAsia="en-US"/>
        </w:rPr>
        <w:t xml:space="preserve"> </w:t>
      </w:r>
      <w:r w:rsidR="00531A00" w:rsidRPr="00531A00">
        <w:rPr>
          <w:rFonts w:ascii="Arial" w:eastAsiaTheme="minorHAnsi" w:hAnsi="Arial" w:cs="Arial"/>
          <w:i/>
          <w:iCs/>
          <w:color w:val="000000" w:themeColor="text1"/>
          <w:sz w:val="22"/>
          <w:szCs w:val="22"/>
          <w:lang w:val="es-ES_tradnl" w:eastAsia="en-US"/>
        </w:rPr>
        <w:t>(iii)</w:t>
      </w:r>
      <w:r w:rsidR="00531A00" w:rsidRPr="00531A00">
        <w:rPr>
          <w:rFonts w:ascii="Arial" w:eastAsiaTheme="minorHAnsi" w:hAnsi="Arial" w:cs="Arial"/>
          <w:color w:val="000000" w:themeColor="text1"/>
          <w:sz w:val="22"/>
          <w:szCs w:val="22"/>
          <w:lang w:val="es-ES_tradnl" w:eastAsia="en-US"/>
        </w:rPr>
        <w:t xml:space="preserve"> destinatarios de la prohibición </w:t>
      </w:r>
      <w:r w:rsidR="00531A00">
        <w:rPr>
          <w:rFonts w:ascii="Arial" w:eastAsiaTheme="minorHAnsi" w:hAnsi="Arial" w:cs="Arial"/>
          <w:color w:val="000000" w:themeColor="text1"/>
          <w:sz w:val="22"/>
          <w:szCs w:val="22"/>
          <w:lang w:val="es-ES_tradnl" w:eastAsia="en-US"/>
        </w:rPr>
        <w:t xml:space="preserve">contenida en </w:t>
      </w:r>
      <w:r w:rsidR="00531A00" w:rsidRPr="00531A00">
        <w:rPr>
          <w:rFonts w:ascii="Arial" w:eastAsiaTheme="minorHAnsi" w:hAnsi="Arial" w:cs="Arial"/>
          <w:color w:val="000000" w:themeColor="text1"/>
          <w:sz w:val="22"/>
          <w:szCs w:val="22"/>
          <w:lang w:val="es-ES_tradnl" w:eastAsia="en-US"/>
        </w:rPr>
        <w:t>el artículo 33 de la Ley 996 de 2005</w:t>
      </w:r>
      <w:r w:rsidR="00531A00">
        <w:rPr>
          <w:rFonts w:ascii="Arial" w:eastAsiaTheme="minorHAnsi" w:hAnsi="Arial" w:cs="Arial"/>
          <w:color w:val="000000" w:themeColor="text1"/>
          <w:sz w:val="22"/>
          <w:szCs w:val="22"/>
          <w:lang w:val="es-ES_tradnl" w:eastAsia="en-US"/>
        </w:rPr>
        <w:t>;</w:t>
      </w:r>
      <w:r w:rsidR="00531A00" w:rsidRPr="00531A00">
        <w:rPr>
          <w:rFonts w:ascii="Arial" w:eastAsiaTheme="minorHAnsi" w:hAnsi="Arial" w:cs="Arial"/>
          <w:color w:val="000000" w:themeColor="text1"/>
          <w:sz w:val="22"/>
          <w:szCs w:val="22"/>
          <w:lang w:val="es-ES_tradnl" w:eastAsia="en-US"/>
        </w:rPr>
        <w:t xml:space="preserve"> </w:t>
      </w:r>
      <w:r w:rsidR="00531A00" w:rsidRPr="00531A00">
        <w:rPr>
          <w:rFonts w:ascii="Arial" w:eastAsiaTheme="minorHAnsi" w:hAnsi="Arial" w:cs="Arial"/>
          <w:i/>
          <w:iCs/>
          <w:color w:val="000000" w:themeColor="text1"/>
          <w:sz w:val="22"/>
          <w:szCs w:val="22"/>
          <w:lang w:val="es-ES_tradnl" w:eastAsia="en-US"/>
        </w:rPr>
        <w:t>(iv)</w:t>
      </w:r>
      <w:r w:rsidR="00531A00" w:rsidRPr="00531A00">
        <w:rPr>
          <w:rFonts w:ascii="Arial" w:eastAsiaTheme="minorHAnsi" w:hAnsi="Arial" w:cs="Arial"/>
          <w:color w:val="000000" w:themeColor="text1"/>
          <w:sz w:val="22"/>
          <w:szCs w:val="22"/>
          <w:lang w:val="es-ES_tradnl" w:eastAsia="en-US"/>
        </w:rPr>
        <w:t xml:space="preserve"> restricciones en los comicios para cargos de elección popular</w:t>
      </w:r>
      <w:r w:rsidR="00531A00">
        <w:rPr>
          <w:rFonts w:ascii="Arial" w:eastAsiaTheme="minorHAnsi" w:hAnsi="Arial" w:cs="Arial"/>
          <w:color w:val="000000" w:themeColor="text1"/>
          <w:sz w:val="22"/>
          <w:szCs w:val="22"/>
          <w:lang w:val="es-ES_tradnl" w:eastAsia="en-US"/>
        </w:rPr>
        <w:t>;</w:t>
      </w:r>
      <w:r w:rsidR="00531A00" w:rsidRPr="00531A00">
        <w:rPr>
          <w:rFonts w:ascii="Arial" w:eastAsiaTheme="minorHAnsi" w:hAnsi="Arial" w:cs="Arial"/>
          <w:color w:val="000000" w:themeColor="text1"/>
          <w:sz w:val="22"/>
          <w:szCs w:val="22"/>
          <w:lang w:val="es-ES_tradnl" w:eastAsia="en-US"/>
        </w:rPr>
        <w:t xml:space="preserve"> y </w:t>
      </w:r>
      <w:r w:rsidR="00531A00" w:rsidRPr="00531A00">
        <w:rPr>
          <w:rFonts w:ascii="Arial" w:eastAsiaTheme="minorHAnsi" w:hAnsi="Arial" w:cs="Arial"/>
          <w:i/>
          <w:iCs/>
          <w:color w:val="000000" w:themeColor="text1"/>
          <w:sz w:val="22"/>
          <w:szCs w:val="22"/>
          <w:lang w:val="es-ES_tradnl" w:eastAsia="en-US"/>
        </w:rPr>
        <w:t>(v)</w:t>
      </w:r>
      <w:r w:rsidR="00531A00" w:rsidRPr="00531A00">
        <w:rPr>
          <w:rFonts w:ascii="Arial" w:eastAsiaTheme="minorHAnsi" w:hAnsi="Arial" w:cs="Arial"/>
          <w:color w:val="000000" w:themeColor="text1"/>
          <w:sz w:val="22"/>
          <w:szCs w:val="22"/>
          <w:lang w:val="es-ES_tradnl" w:eastAsia="en-US"/>
        </w:rPr>
        <w:t xml:space="preserve"> </w:t>
      </w:r>
      <w:r w:rsidR="00531A00">
        <w:rPr>
          <w:rFonts w:ascii="Arial" w:eastAsiaTheme="minorHAnsi" w:hAnsi="Arial" w:cs="Arial"/>
          <w:color w:val="000000" w:themeColor="text1"/>
          <w:sz w:val="22"/>
          <w:szCs w:val="22"/>
          <w:lang w:val="es-ES_tradnl" w:eastAsia="en-US"/>
        </w:rPr>
        <w:t>naturaleza jurídica y alcance de la Ley 996 de 2005 frente a Corporaciones Autónomas Regionales.</w:t>
      </w:r>
    </w:p>
    <w:p w14:paraId="1A90F067" w14:textId="3C94DE35" w:rsidR="00531A00" w:rsidRPr="00531A00" w:rsidRDefault="00531A00" w:rsidP="00531A00">
      <w:pPr>
        <w:spacing w:after="120" w:line="276" w:lineRule="auto"/>
        <w:ind w:firstLine="708"/>
        <w:jc w:val="both"/>
        <w:rPr>
          <w:rFonts w:ascii="Arial" w:hAnsi="Arial" w:cs="Arial"/>
          <w:sz w:val="22"/>
          <w:lang w:eastAsia="es-ES_tradnl"/>
        </w:rPr>
      </w:pPr>
      <w:r w:rsidRPr="00531A00">
        <w:rPr>
          <w:rFonts w:ascii="Arial" w:eastAsia="Calibri" w:hAnsi="Arial" w:cs="Arial"/>
          <w:color w:val="000000" w:themeColor="text1"/>
          <w:sz w:val="22"/>
          <w:szCs w:val="22"/>
          <w:lang w:val="es-ES" w:eastAsia="en-US"/>
        </w:rPr>
        <w:t xml:space="preserve">La Agencia Nacional de Contratación Pública </w:t>
      </w:r>
      <w:r>
        <w:rPr>
          <w:rFonts w:ascii="Arial" w:eastAsia="Calibri" w:hAnsi="Arial" w:cs="Arial"/>
          <w:color w:val="000000" w:themeColor="text1"/>
          <w:sz w:val="22"/>
          <w:szCs w:val="22"/>
          <w:lang w:val="es-ES" w:eastAsia="en-US"/>
        </w:rPr>
        <w:t>-</w:t>
      </w:r>
      <w:r w:rsidRPr="00531A00">
        <w:rPr>
          <w:rFonts w:ascii="Arial" w:eastAsia="Calibri" w:hAnsi="Arial" w:cs="Arial"/>
          <w:color w:val="000000" w:themeColor="text1"/>
          <w:sz w:val="22"/>
          <w:szCs w:val="22"/>
          <w:lang w:val="es-ES" w:eastAsia="en-US"/>
        </w:rPr>
        <w:t>Colombia Compra Eficiente</w:t>
      </w:r>
      <w:r>
        <w:rPr>
          <w:rFonts w:ascii="Arial" w:eastAsia="Calibri" w:hAnsi="Arial" w:cs="Arial"/>
          <w:color w:val="000000" w:themeColor="text1"/>
          <w:sz w:val="22"/>
          <w:szCs w:val="22"/>
          <w:lang w:val="es-ES" w:eastAsia="en-US"/>
        </w:rPr>
        <w:t>-</w:t>
      </w:r>
      <w:r w:rsidRPr="00531A00">
        <w:rPr>
          <w:rFonts w:ascii="Arial" w:eastAsia="Calibri" w:hAnsi="Arial" w:cs="Arial"/>
          <w:color w:val="000000" w:themeColor="text1"/>
          <w:sz w:val="22"/>
          <w:szCs w:val="22"/>
          <w:lang w:val="es-ES" w:eastAsia="en-US"/>
        </w:rPr>
        <w:t>, en los Conceptos</w:t>
      </w:r>
      <w:r w:rsidRPr="00531A00">
        <w:rPr>
          <w:rFonts w:ascii="Arial" w:eastAsia="Calibri" w:hAnsi="Arial" w:cs="Arial"/>
          <w:color w:val="000000" w:themeColor="text1"/>
          <w:sz w:val="22"/>
          <w:szCs w:val="22"/>
          <w:lang w:val="es-MX" w:eastAsia="en-GB"/>
        </w:rPr>
        <w:t xml:space="preserve"> </w:t>
      </w:r>
      <w:r w:rsidRPr="00531A00">
        <w:rPr>
          <w:rFonts w:ascii="Arial" w:eastAsiaTheme="minorHAnsi" w:hAnsi="Arial" w:cs="Arial"/>
          <w:color w:val="000000"/>
          <w:sz w:val="22"/>
          <w:szCs w:val="22"/>
          <w:shd w:val="clear" w:color="auto" w:fill="FFFFFF"/>
          <w:lang w:val="es-ES" w:eastAsia="en-US"/>
        </w:rPr>
        <w:t xml:space="preserve">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C-675 del 6 de enero de 2022, C-677 del 4 de diciembre de 2021, C-695 del 22 de diciembre de 2021, C-699 del 6 de enero de 2022, C-700 del 6 de enero de 2021, C-723 del 28 de diciembre de 2021, </w:t>
      </w:r>
      <w:r w:rsidRPr="00531A00">
        <w:rPr>
          <w:rFonts w:ascii="Arial" w:eastAsiaTheme="minorHAnsi" w:hAnsi="Arial" w:cs="Arial"/>
          <w:color w:val="000000"/>
          <w:sz w:val="22"/>
          <w:szCs w:val="22"/>
          <w:shd w:val="clear" w:color="auto" w:fill="FFFFFF"/>
          <w:lang w:eastAsia="en-US"/>
        </w:rPr>
        <w:t>C-715 del 21 de enero de 2022, C-718 del 24 de enero de 2022 y C-726 del 24 de enero de 2022, C-002 del 15 de febrero de 2022, C–005 del 16 de febrero de 2022, C-009 del 15 de febrero de 2022, C-014 del 18 de febrero de 2022, C-022 del 21 de febrero de 2022, C-023 del 22 de febrero de 2022, C-008 del 24 de febrero de 2022, C-045 del 3 de marzo de 2022, C-054 del 7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C-098 del 9 de marzo de 2022, C-099 del 22 de marzo de 2022, C-102 del 22 de marzo de 2022, C-107 del 18 de marzo de 2022, C-111 del 22 de marzo de 2022. C-115 del 22 de marzo de 2022, C-116 del 18 de marzo de 2022, C-127 del 22 de marzo de 2022, C-134 del 1° de abril de 2022, C-164 del 22 de marzo de 2022, C-170 del 5 de abril de 2022, C-175 del 17 de mayo de 2022, C-329 del 24 de mayo de 2022, C-027 del 22 de marzo de 2023, C-049 del 13 de abril de 2023, C-075 del 25 de abril de 2023, C-076 del 25 de abril de 2023, C-098 del 4 de mayo de 2023, C-105 del 14 de junio de 2023, C-107 del 8 de mayo de 2023, C-115 del 8 de junio de 2023, C-116 del 8 de junio de 2023, C-118 del 9 de junio de 2023</w:t>
      </w:r>
      <w:r w:rsidR="00B3235F">
        <w:rPr>
          <w:rFonts w:ascii="Arial" w:eastAsiaTheme="minorHAnsi" w:hAnsi="Arial" w:cs="Arial"/>
          <w:color w:val="000000"/>
          <w:sz w:val="22"/>
          <w:szCs w:val="22"/>
          <w:shd w:val="clear" w:color="auto" w:fill="FFFFFF"/>
          <w:lang w:eastAsia="en-US"/>
        </w:rPr>
        <w:t xml:space="preserve">, </w:t>
      </w:r>
      <w:r w:rsidRPr="00531A00">
        <w:rPr>
          <w:rFonts w:ascii="Arial" w:eastAsiaTheme="minorHAnsi" w:hAnsi="Arial" w:cs="Arial"/>
          <w:color w:val="000000"/>
          <w:sz w:val="22"/>
          <w:szCs w:val="22"/>
          <w:shd w:val="clear" w:color="auto" w:fill="FFFFFF"/>
          <w:lang w:eastAsia="en-US"/>
        </w:rPr>
        <w:t>C-134 del 26 de mayo de 2023, C-145 del 18 de mayo de 2023</w:t>
      </w:r>
      <w:r w:rsidR="00B3235F">
        <w:rPr>
          <w:rFonts w:ascii="Arial" w:eastAsiaTheme="minorHAnsi" w:hAnsi="Arial" w:cs="Arial"/>
          <w:color w:val="000000"/>
          <w:sz w:val="22"/>
          <w:szCs w:val="22"/>
          <w:shd w:val="clear" w:color="auto" w:fill="FFFFFF"/>
          <w:lang w:eastAsia="en-US"/>
        </w:rPr>
        <w:t xml:space="preserve">, </w:t>
      </w:r>
      <w:r w:rsidRPr="00531A00">
        <w:rPr>
          <w:rFonts w:ascii="Arial" w:eastAsiaTheme="minorHAnsi" w:hAnsi="Arial" w:cs="Arial"/>
          <w:color w:val="000000"/>
          <w:sz w:val="22"/>
          <w:szCs w:val="22"/>
          <w:shd w:val="clear" w:color="auto" w:fill="FFFFFF"/>
          <w:lang w:eastAsia="en-US"/>
        </w:rPr>
        <w:t>C-149 del 1° de junio de 2023,</w:t>
      </w:r>
      <w:r w:rsidR="00B3235F">
        <w:rPr>
          <w:rFonts w:ascii="Arial" w:eastAsiaTheme="minorHAnsi" w:hAnsi="Arial" w:cs="Arial"/>
          <w:color w:val="000000"/>
          <w:sz w:val="22"/>
          <w:szCs w:val="22"/>
          <w:shd w:val="clear" w:color="auto" w:fill="FFFFFF"/>
          <w:lang w:eastAsia="en-US"/>
        </w:rPr>
        <w:t xml:space="preserve"> C-193 del 13 de junio de </w:t>
      </w:r>
      <w:r w:rsidR="00B3235F">
        <w:rPr>
          <w:rFonts w:ascii="Arial" w:eastAsiaTheme="minorHAnsi" w:hAnsi="Arial" w:cs="Arial"/>
          <w:color w:val="000000"/>
          <w:sz w:val="22"/>
          <w:szCs w:val="22"/>
          <w:shd w:val="clear" w:color="auto" w:fill="FFFFFF"/>
          <w:lang w:eastAsia="en-US"/>
        </w:rPr>
        <w:lastRenderedPageBreak/>
        <w:t xml:space="preserve">2023, C-345 del 14 de julio de 2023 y C-358 del 19 de julio de 2023, </w:t>
      </w:r>
      <w:r w:rsidRPr="00531A00">
        <w:rPr>
          <w:rFonts w:ascii="Arial" w:eastAsiaTheme="minorHAnsi" w:hAnsi="Arial" w:cs="Arial"/>
          <w:color w:val="000000"/>
          <w:sz w:val="22"/>
          <w:szCs w:val="22"/>
          <w:shd w:val="clear" w:color="auto" w:fill="FFFFFF"/>
          <w:lang w:eastAsia="en-US"/>
        </w:rPr>
        <w:t>se ha pronunciado sobre</w:t>
      </w:r>
      <w:r w:rsidR="00B3235F">
        <w:rPr>
          <w:rFonts w:ascii="Arial" w:eastAsiaTheme="minorHAnsi" w:hAnsi="Arial" w:cs="Arial"/>
          <w:color w:val="000000"/>
          <w:sz w:val="22"/>
          <w:szCs w:val="22"/>
          <w:shd w:val="clear" w:color="auto" w:fill="FFFFFF"/>
          <w:lang w:eastAsia="en-US"/>
        </w:rPr>
        <w:t xml:space="preserve"> los contornos y principales características de la Ley 996 de 2005</w:t>
      </w:r>
      <w:r w:rsidRPr="00531A00">
        <w:rPr>
          <w:rFonts w:ascii="Arial" w:eastAsia="Calibri" w:hAnsi="Arial" w:cs="Arial"/>
          <w:sz w:val="22"/>
          <w:szCs w:val="22"/>
          <w:vertAlign w:val="superscript"/>
          <w:lang w:eastAsia="en-US"/>
        </w:rPr>
        <w:footnoteReference w:id="2"/>
      </w:r>
      <w:r w:rsidRPr="00531A00">
        <w:rPr>
          <w:rFonts w:ascii="Arial" w:eastAsiaTheme="minorHAnsi" w:hAnsi="Arial" w:cs="Arial"/>
          <w:color w:val="000000"/>
          <w:sz w:val="22"/>
          <w:szCs w:val="22"/>
          <w:shd w:val="clear" w:color="auto" w:fill="FFFFFF"/>
          <w:lang w:eastAsia="en-US"/>
        </w:rPr>
        <w:t xml:space="preserve">. </w:t>
      </w:r>
      <w:r w:rsidRPr="00531A00">
        <w:rPr>
          <w:rFonts w:ascii="Arial" w:eastAsia="Calibri" w:hAnsi="Arial" w:cs="Arial"/>
          <w:color w:val="000000" w:themeColor="text1"/>
          <w:sz w:val="22"/>
          <w:szCs w:val="22"/>
          <w:lang w:val="es-ES_tradnl" w:eastAsia="en-US"/>
        </w:rPr>
        <w:t>La</w:t>
      </w:r>
      <w:r w:rsidR="00B3235F">
        <w:rPr>
          <w:rFonts w:ascii="Arial" w:eastAsia="Calibri" w:hAnsi="Arial" w:cs="Arial"/>
          <w:color w:val="000000" w:themeColor="text1"/>
          <w:sz w:val="22"/>
          <w:szCs w:val="22"/>
          <w:lang w:val="es-ES_tradnl" w:eastAsia="en-US"/>
        </w:rPr>
        <w:t>s</w:t>
      </w:r>
      <w:r w:rsidRPr="00531A00">
        <w:rPr>
          <w:rFonts w:ascii="Arial" w:eastAsia="Calibri" w:hAnsi="Arial" w:cs="Arial"/>
          <w:color w:val="000000" w:themeColor="text1"/>
          <w:sz w:val="22"/>
          <w:szCs w:val="22"/>
          <w:lang w:val="es-ES_tradnl" w:eastAsia="en-US"/>
        </w:rPr>
        <w:t xml:space="preserve"> tesis </w:t>
      </w:r>
      <w:r w:rsidR="00B3235F">
        <w:rPr>
          <w:rFonts w:ascii="Arial" w:eastAsia="Calibri" w:hAnsi="Arial" w:cs="Arial"/>
          <w:color w:val="000000" w:themeColor="text1"/>
          <w:sz w:val="22"/>
          <w:szCs w:val="22"/>
          <w:lang w:val="es-ES_tradnl" w:eastAsia="en-US"/>
        </w:rPr>
        <w:t xml:space="preserve">y argumentos en ellos expuestos se reiteran, precisan y complementan </w:t>
      </w:r>
      <w:r w:rsidRPr="00531A00">
        <w:rPr>
          <w:rFonts w:ascii="Arial" w:eastAsia="Calibri" w:hAnsi="Arial" w:cs="Arial"/>
          <w:color w:val="000000" w:themeColor="text1"/>
          <w:sz w:val="22"/>
          <w:szCs w:val="22"/>
          <w:lang w:val="es-ES_tradnl" w:eastAsia="en-US"/>
        </w:rPr>
        <w:t>a continuación</w:t>
      </w:r>
      <w:r w:rsidR="00B3235F">
        <w:rPr>
          <w:rFonts w:ascii="Arial" w:eastAsia="Calibri" w:hAnsi="Arial" w:cs="Arial"/>
          <w:color w:val="000000" w:themeColor="text1"/>
          <w:sz w:val="22"/>
          <w:szCs w:val="22"/>
          <w:lang w:val="es-ES_tradnl" w:eastAsia="en-US"/>
        </w:rPr>
        <w:t>.</w:t>
      </w:r>
    </w:p>
    <w:p w14:paraId="563ED762" w14:textId="52D3DC6F" w:rsidR="00B3235F" w:rsidRPr="00B3235F" w:rsidRDefault="00416AF4" w:rsidP="006C1475">
      <w:pPr>
        <w:spacing w:after="120" w:line="276" w:lineRule="auto"/>
        <w:ind w:left="705" w:hanging="705"/>
        <w:jc w:val="both"/>
        <w:rPr>
          <w:rFonts w:ascii="Arial" w:hAnsi="Arial" w:cs="Arial"/>
          <w:sz w:val="22"/>
          <w:lang w:val="es-ES_tradnl" w:eastAsia="es-ES_tradnl"/>
        </w:rPr>
      </w:pPr>
      <w:bookmarkStart w:id="27" w:name="_Hlk133491084"/>
      <w:bookmarkEnd w:id="26"/>
      <w:r w:rsidRPr="00416AF4">
        <w:rPr>
          <w:rFonts w:ascii="Arial" w:eastAsia="Calibri" w:hAnsi="Arial" w:cs="Arial"/>
          <w:b/>
          <w:sz w:val="22"/>
          <w:lang w:val="es-ES_tradnl"/>
        </w:rPr>
        <w:t>2.1</w:t>
      </w:r>
      <w:r>
        <w:rPr>
          <w:rFonts w:ascii="Arial" w:eastAsia="Calibri" w:hAnsi="Arial" w:cs="Arial"/>
          <w:b/>
          <w:sz w:val="22"/>
          <w:lang w:val="es-ES_tradnl"/>
        </w:rPr>
        <w:t>.</w:t>
      </w:r>
      <w:bookmarkStart w:id="28" w:name="_Hlk133499202"/>
      <w:r w:rsidR="006A5EDE">
        <w:rPr>
          <w:rFonts w:ascii="Arial" w:eastAsia="Calibri" w:hAnsi="Arial" w:cs="Arial"/>
          <w:b/>
          <w:sz w:val="22"/>
          <w:lang w:val="es-ES_tradnl"/>
        </w:rPr>
        <w:tab/>
      </w:r>
      <w:bookmarkStart w:id="29" w:name="_Hlk140036501"/>
      <w:bookmarkStart w:id="30" w:name="_Hlk140037965"/>
      <w:bookmarkStart w:id="31" w:name="_Hlk140042942"/>
      <w:bookmarkStart w:id="32" w:name="_Hlk136187315"/>
      <w:bookmarkStart w:id="33" w:name="_Hlk136188490"/>
      <w:bookmarkStart w:id="34" w:name="_Hlk127422237"/>
      <w:bookmarkEnd w:id="22"/>
      <w:bookmarkEnd w:id="27"/>
      <w:bookmarkEnd w:id="28"/>
      <w:r w:rsidR="00B3235F" w:rsidRPr="00B3235F">
        <w:rPr>
          <w:rFonts w:ascii="Arial" w:eastAsia="Calibri" w:hAnsi="Arial" w:cs="Arial"/>
          <w:b/>
          <w:sz w:val="22"/>
          <w:szCs w:val="22"/>
          <w:lang w:eastAsia="en-US"/>
        </w:rPr>
        <w:t>Definición y finalidad de la</w:t>
      </w:r>
      <w:r w:rsidR="006C1475">
        <w:rPr>
          <w:rFonts w:ascii="Arial" w:eastAsia="Calibri" w:hAnsi="Arial" w:cs="Arial"/>
          <w:b/>
          <w:sz w:val="22"/>
          <w:szCs w:val="22"/>
          <w:lang w:eastAsia="en-US"/>
        </w:rPr>
        <w:t xml:space="preserve"> </w:t>
      </w:r>
      <w:r w:rsidR="00B3235F" w:rsidRPr="00B3235F">
        <w:rPr>
          <w:rFonts w:ascii="Arial" w:eastAsia="Calibri" w:hAnsi="Arial" w:cs="Arial"/>
          <w:b/>
          <w:sz w:val="22"/>
          <w:szCs w:val="22"/>
          <w:lang w:eastAsia="en-US"/>
        </w:rPr>
        <w:t>Ley</w:t>
      </w:r>
      <w:r w:rsidR="006C1475">
        <w:rPr>
          <w:rFonts w:ascii="Arial" w:eastAsia="Calibri" w:hAnsi="Arial" w:cs="Arial"/>
          <w:b/>
          <w:sz w:val="22"/>
          <w:szCs w:val="22"/>
          <w:lang w:eastAsia="en-US"/>
        </w:rPr>
        <w:t xml:space="preserve"> 996 de 2005 o Ley </w:t>
      </w:r>
      <w:r w:rsidR="00B3235F" w:rsidRPr="00B3235F">
        <w:rPr>
          <w:rFonts w:ascii="Arial" w:eastAsia="Calibri" w:hAnsi="Arial" w:cs="Arial"/>
          <w:b/>
          <w:sz w:val="22"/>
          <w:szCs w:val="22"/>
          <w:lang w:eastAsia="en-US"/>
        </w:rPr>
        <w:t>de</w:t>
      </w:r>
      <w:r w:rsidR="006C1475">
        <w:rPr>
          <w:rFonts w:ascii="Arial" w:eastAsia="Calibri" w:hAnsi="Arial" w:cs="Arial"/>
          <w:b/>
          <w:sz w:val="22"/>
          <w:szCs w:val="22"/>
          <w:lang w:eastAsia="en-US"/>
        </w:rPr>
        <w:t xml:space="preserve"> </w:t>
      </w:r>
      <w:r w:rsidR="00B3235F" w:rsidRPr="00B3235F">
        <w:rPr>
          <w:rFonts w:ascii="Arial" w:eastAsia="Calibri" w:hAnsi="Arial" w:cs="Arial"/>
          <w:b/>
          <w:sz w:val="22"/>
          <w:szCs w:val="22"/>
          <w:lang w:eastAsia="en-US"/>
        </w:rPr>
        <w:t>Garantías Electorales: alcance de las restricciones</w:t>
      </w:r>
    </w:p>
    <w:p w14:paraId="12A570C6" w14:textId="102AD11E" w:rsidR="00B3235F" w:rsidRPr="00B3235F" w:rsidRDefault="00B3235F" w:rsidP="00B3235F">
      <w:pPr>
        <w:tabs>
          <w:tab w:val="left" w:pos="426"/>
        </w:tabs>
        <w:spacing w:after="120" w:line="276" w:lineRule="auto"/>
        <w:jc w:val="both"/>
        <w:rPr>
          <w:rFonts w:ascii="Arial" w:hAnsi="Arial" w:cs="Arial"/>
          <w:sz w:val="22"/>
          <w:szCs w:val="22"/>
        </w:rPr>
      </w:pPr>
      <w:r w:rsidRPr="00B3235F">
        <w:rPr>
          <w:rFonts w:ascii="Arial" w:eastAsia="Calibri" w:hAnsi="Arial" w:cs="Arial"/>
          <w:sz w:val="22"/>
          <w:szCs w:val="22"/>
          <w:lang w:eastAsia="en-US"/>
        </w:rPr>
        <w:t>El</w:t>
      </w:r>
      <w:r w:rsidR="006C1475">
        <w:rPr>
          <w:rFonts w:ascii="Arial" w:eastAsia="Calibri" w:hAnsi="Arial" w:cs="Arial"/>
          <w:sz w:val="22"/>
          <w:szCs w:val="22"/>
          <w:lang w:eastAsia="en-US"/>
        </w:rPr>
        <w:t xml:space="preserve"> </w:t>
      </w:r>
      <w:r w:rsidRPr="00B3235F">
        <w:rPr>
          <w:rFonts w:ascii="Arial" w:eastAsia="Calibri" w:hAnsi="Arial" w:cs="Arial"/>
          <w:sz w:val="22"/>
          <w:szCs w:val="22"/>
          <w:lang w:eastAsia="en-US"/>
        </w:rPr>
        <w:t>ordenamiento jurídico colombiano contempla previsiones claras para evitar la obtención de beneficios personales en asuntos propios de la administración pública</w:t>
      </w:r>
      <w:r w:rsidRPr="00B3235F">
        <w:rPr>
          <w:rFonts w:ascii="Arial" w:eastAsia="Calibri" w:hAnsi="Arial" w:cs="Arial"/>
          <w:i/>
          <w:sz w:val="22"/>
          <w:szCs w:val="22"/>
          <w:lang w:eastAsia="en-US"/>
        </w:rPr>
        <w:t xml:space="preserve">. </w:t>
      </w:r>
      <w:r w:rsidRPr="00B3235F">
        <w:rPr>
          <w:rFonts w:ascii="Arial" w:eastAsia="Calibri" w:hAnsi="Arial" w:cs="Arial"/>
          <w:sz w:val="22"/>
          <w:szCs w:val="22"/>
          <w:lang w:eastAsia="en-US"/>
        </w:rPr>
        <w:t>Por ejemplo, el artículo 127 de la Constitución Política establece una prohibición contractual a los servidores públicos y en cuanto a aspectos políticos consagra restricciones a ciertos empleados del Estado, incluso en época no electoral</w:t>
      </w:r>
      <w:r w:rsidRPr="00B3235F">
        <w:rPr>
          <w:rFonts w:ascii="Arial" w:eastAsia="Calibri" w:hAnsi="Arial" w:cs="Arial"/>
          <w:sz w:val="22"/>
          <w:szCs w:val="22"/>
          <w:vertAlign w:val="superscript"/>
          <w:lang w:eastAsia="en-US"/>
        </w:rPr>
        <w:footnoteReference w:id="3"/>
      </w:r>
      <w:r w:rsidR="006C1475">
        <w:rPr>
          <w:rFonts w:ascii="Arial" w:eastAsia="Calibri" w:hAnsi="Arial" w:cs="Arial"/>
          <w:sz w:val="22"/>
          <w:szCs w:val="22"/>
          <w:lang w:eastAsia="en-US"/>
        </w:rPr>
        <w:t>.</w:t>
      </w:r>
    </w:p>
    <w:p w14:paraId="6FE41433" w14:textId="1270A262" w:rsidR="00B3235F" w:rsidRPr="00B3235F" w:rsidRDefault="00B3235F" w:rsidP="00B3235F">
      <w:pPr>
        <w:tabs>
          <w:tab w:val="left" w:pos="426"/>
        </w:tabs>
        <w:spacing w:line="276" w:lineRule="auto"/>
        <w:ind w:firstLine="709"/>
        <w:jc w:val="both"/>
        <w:rPr>
          <w:rFonts w:ascii="Arial" w:hAnsi="Arial" w:cs="Arial"/>
          <w:sz w:val="22"/>
          <w:szCs w:val="22"/>
          <w:lang w:val="es-MX"/>
        </w:rPr>
      </w:pPr>
      <w:r w:rsidRPr="00B3235F">
        <w:rPr>
          <w:rFonts w:ascii="Arial" w:hAnsi="Arial" w:cs="Arial"/>
          <w:sz w:val="22"/>
          <w:szCs w:val="22"/>
        </w:rPr>
        <w:t xml:space="preserve">En </w:t>
      </w:r>
      <w:r w:rsidR="006C1475">
        <w:rPr>
          <w:rFonts w:ascii="Arial" w:hAnsi="Arial" w:cs="Arial"/>
          <w:sz w:val="22"/>
          <w:szCs w:val="22"/>
        </w:rPr>
        <w:t>esta dirección</w:t>
      </w:r>
      <w:r w:rsidRPr="00B3235F">
        <w:rPr>
          <w:rFonts w:ascii="Arial" w:hAnsi="Arial" w:cs="Arial"/>
          <w:sz w:val="22"/>
          <w:szCs w:val="22"/>
          <w:lang w:val="es-MX"/>
        </w:rPr>
        <w:t>,</w:t>
      </w:r>
      <w:bookmarkStart w:id="35" w:name="_Hlk99576829"/>
      <w:r w:rsidR="006C1475">
        <w:rPr>
          <w:rFonts w:ascii="Arial" w:hAnsi="Arial" w:cs="Arial"/>
          <w:sz w:val="22"/>
          <w:szCs w:val="22"/>
          <w:lang w:val="es-MX"/>
        </w:rPr>
        <w:t xml:space="preserve"> </w:t>
      </w:r>
      <w:r w:rsidRPr="00B3235F">
        <w:rPr>
          <w:rFonts w:ascii="Arial" w:hAnsi="Arial" w:cs="Arial"/>
          <w:sz w:val="22"/>
          <w:szCs w:val="22"/>
          <w:lang w:val="es-MX"/>
        </w:rPr>
        <w:t>la Ley 996 de 2005, conocida como “Ley de Garantías Electorales”, se suma al andamiaje de orden constitucional y legal que se ha ocupado de evitar la injerencia inadecuada</w:t>
      </w:r>
      <w:r w:rsidR="006C1475">
        <w:rPr>
          <w:rFonts w:ascii="Arial" w:hAnsi="Arial" w:cs="Arial"/>
          <w:sz w:val="22"/>
          <w:szCs w:val="22"/>
          <w:lang w:val="es-MX"/>
        </w:rPr>
        <w:t xml:space="preserve"> </w:t>
      </w:r>
      <w:r w:rsidRPr="00B3235F">
        <w:rPr>
          <w:rFonts w:ascii="Arial" w:hAnsi="Arial" w:cs="Arial"/>
          <w:sz w:val="22"/>
          <w:szCs w:val="22"/>
          <w:lang w:val="es-MX"/>
        </w:rPr>
        <w:t>de intereses particulares en el ejercicio de la función pública.</w:t>
      </w:r>
      <w:r w:rsidR="006C1475">
        <w:rPr>
          <w:rFonts w:ascii="Arial" w:hAnsi="Arial" w:cs="Arial"/>
          <w:sz w:val="22"/>
          <w:szCs w:val="22"/>
          <w:lang w:val="es-MX"/>
        </w:rPr>
        <w:t xml:space="preserve"> </w:t>
      </w:r>
      <w:r w:rsidRPr="00B3235F">
        <w:rPr>
          <w:rFonts w:ascii="Arial" w:hAnsi="Arial" w:cs="Arial"/>
          <w:sz w:val="22"/>
          <w:szCs w:val="22"/>
          <w:lang w:val="es-MX"/>
        </w:rPr>
        <w:t xml:space="preserve">Esta </w:t>
      </w:r>
      <w:r w:rsidR="006C1475">
        <w:rPr>
          <w:rFonts w:ascii="Arial" w:hAnsi="Arial" w:cs="Arial"/>
          <w:sz w:val="22"/>
          <w:szCs w:val="22"/>
          <w:lang w:val="es-MX"/>
        </w:rPr>
        <w:t xml:space="preserve">norma </w:t>
      </w:r>
      <w:r w:rsidRPr="00B3235F">
        <w:rPr>
          <w:rFonts w:ascii="Arial" w:hAnsi="Arial" w:cs="Arial"/>
          <w:sz w:val="22"/>
          <w:szCs w:val="22"/>
          <w:lang w:val="es-MX"/>
        </w:rPr>
        <w:t>tiene como propósito evitar cualquier tipo de arbitrariedad,</w:t>
      </w:r>
      <w:r w:rsidR="006C1475">
        <w:rPr>
          <w:rFonts w:ascii="Arial" w:hAnsi="Arial" w:cs="Arial"/>
          <w:sz w:val="22"/>
          <w:szCs w:val="22"/>
          <w:lang w:val="es-MX"/>
        </w:rPr>
        <w:t xml:space="preserve"> </w:t>
      </w:r>
      <w:r w:rsidRPr="00B3235F">
        <w:rPr>
          <w:rFonts w:ascii="Arial" w:hAnsi="Arial" w:cs="Arial"/>
          <w:sz w:val="22"/>
          <w:szCs w:val="22"/>
          <w:lang w:val="es-MX"/>
        </w:rPr>
        <w:t>ventaja injustificada,</w:t>
      </w:r>
      <w:r w:rsidR="006C1475">
        <w:rPr>
          <w:rFonts w:ascii="Arial" w:hAnsi="Arial" w:cs="Arial"/>
          <w:sz w:val="22"/>
          <w:szCs w:val="22"/>
          <w:lang w:val="es-MX"/>
        </w:rPr>
        <w:t xml:space="preserve"> </w:t>
      </w:r>
      <w:r w:rsidRPr="00B3235F">
        <w:rPr>
          <w:rFonts w:ascii="Arial" w:hAnsi="Arial" w:cs="Arial"/>
          <w:sz w:val="22"/>
          <w:szCs w:val="22"/>
          <w:lang w:val="es-MX"/>
        </w:rPr>
        <w:t>uso irregular de los recursos del Estado en las campañas o falta de garantías en la elección presidencial</w:t>
      </w:r>
      <w:r w:rsidRPr="00B3235F">
        <w:rPr>
          <w:rFonts w:ascii="Arial" w:hAnsi="Arial" w:cs="Arial"/>
          <w:sz w:val="22"/>
          <w:szCs w:val="22"/>
          <w:vertAlign w:val="superscript"/>
          <w:lang w:val="es-MX"/>
        </w:rPr>
        <w:footnoteReference w:id="4"/>
      </w:r>
      <w:r w:rsidR="006C1475">
        <w:rPr>
          <w:rFonts w:ascii="Arial" w:hAnsi="Arial" w:cs="Arial"/>
          <w:sz w:val="22"/>
          <w:szCs w:val="22"/>
          <w:lang w:val="es-MX"/>
        </w:rPr>
        <w:t>. No en vano,</w:t>
      </w:r>
      <w:r w:rsidRPr="00B3235F">
        <w:rPr>
          <w:rFonts w:ascii="Arial" w:hAnsi="Arial" w:cs="Arial"/>
          <w:sz w:val="22"/>
          <w:szCs w:val="22"/>
          <w:lang w:val="es-MX"/>
        </w:rPr>
        <w:t xml:space="preserve"> introduce limitaciones</w:t>
      </w:r>
      <w:r w:rsidR="006C1475">
        <w:rPr>
          <w:rFonts w:ascii="Arial" w:hAnsi="Arial" w:cs="Arial"/>
          <w:sz w:val="22"/>
          <w:szCs w:val="22"/>
          <w:lang w:val="es-MX"/>
        </w:rPr>
        <w:t xml:space="preserve"> </w:t>
      </w:r>
      <w:r w:rsidRPr="00B3235F">
        <w:rPr>
          <w:rFonts w:ascii="Arial" w:hAnsi="Arial" w:cs="Arial"/>
          <w:sz w:val="22"/>
          <w:szCs w:val="22"/>
          <w:lang w:val="es-MX"/>
        </w:rPr>
        <w:t>para realizar</w:t>
      </w:r>
      <w:r w:rsidR="006C1475">
        <w:rPr>
          <w:rFonts w:ascii="Arial" w:hAnsi="Arial" w:cs="Arial"/>
          <w:sz w:val="22"/>
          <w:szCs w:val="22"/>
          <w:lang w:val="es-MX"/>
        </w:rPr>
        <w:t xml:space="preserve"> </w:t>
      </w:r>
      <w:r w:rsidRPr="00B3235F">
        <w:rPr>
          <w:rFonts w:ascii="Arial" w:hAnsi="Arial" w:cs="Arial"/>
          <w:sz w:val="22"/>
          <w:szCs w:val="22"/>
          <w:lang w:val="es-MX"/>
        </w:rPr>
        <w:t>nombramientos, postulaciones, contrataciones o cualquier otro tipo de actividad que implique destinación de recursos públicos bajo el devenir propio de las entidades estatales.</w:t>
      </w:r>
      <w:bookmarkEnd w:id="35"/>
      <w:r w:rsidR="006C1475">
        <w:rPr>
          <w:rFonts w:ascii="Arial" w:eastAsia="Calibri" w:hAnsi="Arial" w:cs="Arial"/>
          <w:sz w:val="22"/>
          <w:szCs w:val="22"/>
          <w:lang w:val="es-MX" w:eastAsia="en-US"/>
        </w:rPr>
        <w:t xml:space="preserve"> </w:t>
      </w:r>
      <w:r w:rsidR="006C1475">
        <w:rPr>
          <w:rFonts w:ascii="Arial" w:eastAsia="Calibri" w:hAnsi="Arial" w:cs="Arial"/>
          <w:sz w:val="22"/>
          <w:szCs w:val="22"/>
          <w:lang w:val="es-ES_tradnl" w:eastAsia="en-US"/>
        </w:rPr>
        <w:t xml:space="preserve">La </w:t>
      </w:r>
      <w:r w:rsidRPr="00B3235F">
        <w:rPr>
          <w:rFonts w:ascii="Arial" w:hAnsi="Arial" w:cs="Arial"/>
          <w:sz w:val="22"/>
          <w:szCs w:val="22"/>
          <w:lang w:val="es-MX"/>
        </w:rPr>
        <w:t>Corte Constitucional</w:t>
      </w:r>
      <w:r w:rsidR="006C1475">
        <w:rPr>
          <w:rFonts w:ascii="Arial" w:hAnsi="Arial" w:cs="Arial"/>
          <w:sz w:val="22"/>
          <w:szCs w:val="22"/>
          <w:lang w:val="es-MX"/>
        </w:rPr>
        <w:t xml:space="preserve">, en su jurisprudencia, abordó </w:t>
      </w:r>
      <w:r w:rsidRPr="00B3235F">
        <w:rPr>
          <w:rFonts w:ascii="Arial" w:hAnsi="Arial" w:cs="Arial"/>
          <w:sz w:val="22"/>
          <w:szCs w:val="22"/>
          <w:lang w:val="es-MX"/>
        </w:rPr>
        <w:t>la definición de la Ley de Garantías Electorales.</w:t>
      </w:r>
      <w:r w:rsidR="006C1475">
        <w:rPr>
          <w:rFonts w:ascii="Arial" w:hAnsi="Arial" w:cs="Arial"/>
          <w:sz w:val="22"/>
          <w:szCs w:val="22"/>
          <w:lang w:val="es-MX"/>
        </w:rPr>
        <w:t xml:space="preserve"> Puntualmente, explicó lo siguiente</w:t>
      </w:r>
      <w:r w:rsidRPr="00B3235F">
        <w:rPr>
          <w:rFonts w:ascii="Arial" w:hAnsi="Arial" w:cs="Arial"/>
          <w:sz w:val="22"/>
          <w:szCs w:val="22"/>
          <w:lang w:val="es-MX"/>
        </w:rPr>
        <w:t>:</w:t>
      </w:r>
    </w:p>
    <w:p w14:paraId="1BE7D22E" w14:textId="77777777" w:rsidR="00B3235F" w:rsidRPr="00B3235F" w:rsidRDefault="00B3235F" w:rsidP="00B3235F">
      <w:pPr>
        <w:spacing w:line="276" w:lineRule="auto"/>
        <w:ind w:right="709"/>
        <w:contextualSpacing/>
        <w:jc w:val="both"/>
        <w:rPr>
          <w:rFonts w:ascii="Arial" w:hAnsi="Arial" w:cs="Arial"/>
          <w:sz w:val="21"/>
          <w:szCs w:val="21"/>
          <w:lang w:val="es-ES"/>
        </w:rPr>
      </w:pPr>
    </w:p>
    <w:p w14:paraId="2776E6AF" w14:textId="6E9FE3C3" w:rsidR="00B3235F" w:rsidRDefault="00B3235F" w:rsidP="00B3235F">
      <w:pPr>
        <w:ind w:left="709" w:right="709"/>
        <w:contextualSpacing/>
        <w:jc w:val="both"/>
        <w:rPr>
          <w:rFonts w:ascii="Arial" w:hAnsi="Arial" w:cs="Arial"/>
          <w:sz w:val="21"/>
          <w:szCs w:val="21"/>
          <w:lang w:val="es-MX"/>
        </w:rPr>
      </w:pPr>
      <w:r w:rsidRPr="00B3235F">
        <w:rPr>
          <w:rFonts w:ascii="Arial" w:hAnsi="Arial" w:cs="Arial"/>
          <w:sz w:val="21"/>
          <w:szCs w:val="21"/>
          <w:lang w:val="es-ES"/>
        </w:rPr>
        <w:t>“</w:t>
      </w:r>
      <w:r w:rsidR="006C1475">
        <w:rPr>
          <w:rFonts w:ascii="Arial" w:hAnsi="Arial" w:cs="Arial"/>
          <w:sz w:val="21"/>
          <w:szCs w:val="21"/>
          <w:lang w:val="es-ES"/>
        </w:rPr>
        <w:t xml:space="preserve">(…) </w:t>
      </w:r>
      <w:r w:rsidRPr="00B3235F">
        <w:rPr>
          <w:rFonts w:ascii="Arial" w:hAnsi="Arial" w:cs="Arial"/>
          <w:sz w:val="21"/>
          <w:szCs w:val="21"/>
          <w:lang w:val="es-MX"/>
        </w:rPr>
        <w:t>la definición de reglas claras que permitan acceder a los canales de expresión democrática de manera efectiva e igualitaria. El objetivo de una ley de garantías es definir esas reglas.</w:t>
      </w:r>
    </w:p>
    <w:p w14:paraId="4EFFB03A" w14:textId="77777777" w:rsidR="006C1475" w:rsidRDefault="006C1475" w:rsidP="00B3235F">
      <w:pPr>
        <w:ind w:left="709" w:right="709"/>
        <w:contextualSpacing/>
        <w:jc w:val="both"/>
        <w:rPr>
          <w:rFonts w:ascii="Arial" w:hAnsi="Arial" w:cs="Arial"/>
          <w:sz w:val="21"/>
          <w:szCs w:val="21"/>
          <w:lang w:val="es-MX"/>
        </w:rPr>
      </w:pPr>
    </w:p>
    <w:p w14:paraId="57F52633" w14:textId="5AB4391B" w:rsidR="006C1475" w:rsidRPr="00B3235F" w:rsidRDefault="006C1475" w:rsidP="00B3235F">
      <w:pPr>
        <w:ind w:left="709" w:right="709"/>
        <w:contextualSpacing/>
        <w:jc w:val="both"/>
        <w:rPr>
          <w:rFonts w:ascii="Arial" w:hAnsi="Arial" w:cs="Arial"/>
          <w:sz w:val="21"/>
          <w:szCs w:val="21"/>
          <w:lang w:val="es-MX"/>
        </w:rPr>
      </w:pPr>
      <w:r>
        <w:rPr>
          <w:rFonts w:ascii="Arial" w:hAnsi="Arial" w:cs="Arial"/>
          <w:sz w:val="21"/>
          <w:szCs w:val="21"/>
          <w:lang w:val="es-MX"/>
        </w:rPr>
        <w:t>(…)</w:t>
      </w:r>
    </w:p>
    <w:p w14:paraId="40C2A7B9" w14:textId="77777777" w:rsidR="006C1475" w:rsidRDefault="006C1475" w:rsidP="00B3235F">
      <w:pPr>
        <w:ind w:left="709" w:right="709"/>
        <w:contextualSpacing/>
        <w:jc w:val="both"/>
        <w:rPr>
          <w:rFonts w:ascii="Arial" w:hAnsi="Arial" w:cs="Arial"/>
          <w:sz w:val="21"/>
          <w:szCs w:val="21"/>
          <w:lang w:val="es-MX"/>
        </w:rPr>
      </w:pPr>
    </w:p>
    <w:p w14:paraId="6FA7F2B3" w14:textId="2E370A38" w:rsidR="00B3235F" w:rsidRPr="00B3235F" w:rsidRDefault="00B3235F" w:rsidP="00B3235F">
      <w:pPr>
        <w:ind w:left="709" w:right="709"/>
        <w:contextualSpacing/>
        <w:jc w:val="both"/>
        <w:rPr>
          <w:rFonts w:ascii="Arial" w:hAnsi="Arial" w:cs="Arial"/>
          <w:sz w:val="21"/>
          <w:szCs w:val="21"/>
          <w:lang w:val="es-MX"/>
        </w:rPr>
      </w:pPr>
      <w:r w:rsidRPr="00B3235F">
        <w:rPr>
          <w:rFonts w:ascii="Arial" w:hAnsi="Arial" w:cs="Arial"/>
          <w:sz w:val="21"/>
          <w:szCs w:val="21"/>
          <w:lang w:val="es-MX"/>
        </w:rPr>
        <w:t xml:space="preserve">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w:t>
      </w:r>
      <w:r w:rsidRPr="00B3235F">
        <w:rPr>
          <w:rFonts w:ascii="Arial" w:hAnsi="Arial" w:cs="Arial"/>
          <w:sz w:val="21"/>
          <w:szCs w:val="21"/>
          <w:lang w:val="es-MX"/>
        </w:rPr>
        <w:lastRenderedPageBreak/>
        <w:t>ley de garantías debe permitir que, en el debate democrático, sean las ideas y las propuestas las que definan el ascenso al poder, y no el músculo económico de los que se lo disputan”</w:t>
      </w:r>
      <w:r w:rsidRPr="00B3235F">
        <w:rPr>
          <w:rFonts w:ascii="Arial" w:eastAsia="Calibri" w:hAnsi="Arial" w:cs="Arial"/>
          <w:sz w:val="20"/>
          <w:szCs w:val="20"/>
          <w:vertAlign w:val="superscript"/>
          <w:lang w:val="es-MX" w:eastAsia="en-US"/>
        </w:rPr>
        <w:footnoteReference w:id="5"/>
      </w:r>
      <w:r w:rsidR="00532362">
        <w:rPr>
          <w:rFonts w:ascii="Arial" w:hAnsi="Arial" w:cs="Arial"/>
          <w:sz w:val="21"/>
          <w:szCs w:val="21"/>
          <w:lang w:val="es-MX"/>
        </w:rPr>
        <w:t>.</w:t>
      </w:r>
    </w:p>
    <w:p w14:paraId="1916C207" w14:textId="77777777" w:rsidR="00B3235F" w:rsidRPr="00B3235F" w:rsidRDefault="00B3235F" w:rsidP="00B3235F">
      <w:pPr>
        <w:spacing w:line="276" w:lineRule="auto"/>
        <w:ind w:left="709" w:right="709"/>
        <w:contextualSpacing/>
        <w:jc w:val="both"/>
        <w:rPr>
          <w:rFonts w:ascii="Arial" w:hAnsi="Arial" w:cs="Arial"/>
          <w:sz w:val="21"/>
          <w:szCs w:val="21"/>
          <w:lang w:val="es-MX"/>
        </w:rPr>
      </w:pPr>
    </w:p>
    <w:p w14:paraId="191E49E8" w14:textId="2BDD8EE8" w:rsidR="00B3235F" w:rsidRPr="00B3235F" w:rsidRDefault="00532362" w:rsidP="00B3235F">
      <w:pPr>
        <w:spacing w:line="276" w:lineRule="auto"/>
        <w:ind w:firstLine="709"/>
        <w:jc w:val="both"/>
        <w:rPr>
          <w:rFonts w:ascii="Arial" w:hAnsi="Arial" w:cs="Arial"/>
          <w:sz w:val="22"/>
          <w:szCs w:val="22"/>
          <w:lang w:val="es-MX"/>
        </w:rPr>
      </w:pPr>
      <w:bookmarkStart w:id="36" w:name="_Hlk78818186"/>
      <w:r>
        <w:rPr>
          <w:rFonts w:ascii="Arial" w:hAnsi="Arial" w:cs="Arial"/>
          <w:sz w:val="22"/>
          <w:szCs w:val="22"/>
          <w:lang w:val="es-MX"/>
        </w:rPr>
        <w:t>Así las cosas</w:t>
      </w:r>
      <w:r w:rsidR="00B3235F" w:rsidRPr="00B3235F">
        <w:rPr>
          <w:rFonts w:ascii="Arial" w:hAnsi="Arial" w:cs="Arial"/>
          <w:sz w:val="22"/>
          <w:szCs w:val="22"/>
          <w:lang w:val="es-MX"/>
        </w:rPr>
        <w:t>,</w:t>
      </w:r>
      <w:r w:rsidR="006C1475">
        <w:rPr>
          <w:rFonts w:ascii="Arial" w:hAnsi="Arial" w:cs="Arial"/>
          <w:sz w:val="22"/>
          <w:szCs w:val="22"/>
          <w:lang w:val="es-MX"/>
        </w:rPr>
        <w:t xml:space="preserve"> </w:t>
      </w:r>
      <w:r w:rsidR="00B3235F" w:rsidRPr="00B3235F">
        <w:rPr>
          <w:rFonts w:ascii="Arial" w:hAnsi="Arial" w:cs="Arial"/>
          <w:sz w:val="22"/>
          <w:szCs w:val="22"/>
          <w:lang w:val="es-MX"/>
        </w:rPr>
        <w:t xml:space="preserve">la Ley de Garantías Electorales </w:t>
      </w:r>
      <w:r>
        <w:rPr>
          <w:rFonts w:ascii="Arial" w:hAnsi="Arial" w:cs="Arial"/>
          <w:sz w:val="22"/>
          <w:szCs w:val="22"/>
          <w:lang w:val="es-MX"/>
        </w:rPr>
        <w:t xml:space="preserve">no solo </w:t>
      </w:r>
      <w:r w:rsidR="00B3235F" w:rsidRPr="00B3235F">
        <w:rPr>
          <w:rFonts w:ascii="Arial" w:hAnsi="Arial" w:cs="Arial"/>
          <w:sz w:val="22"/>
          <w:szCs w:val="22"/>
          <w:lang w:val="es-MX"/>
        </w:rPr>
        <w:t>establece el marco jurídico para el desarrollo de las elecciones, procurando condiciones de igualdad y transparencia para los aspirantes</w:t>
      </w:r>
      <w:r>
        <w:rPr>
          <w:rFonts w:ascii="Arial" w:hAnsi="Arial" w:cs="Arial"/>
          <w:sz w:val="22"/>
          <w:szCs w:val="22"/>
          <w:lang w:val="es-MX"/>
        </w:rPr>
        <w:t xml:space="preserve">, sino también incluye </w:t>
      </w:r>
      <w:r w:rsidR="00B3235F" w:rsidRPr="00B3235F">
        <w:rPr>
          <w:rFonts w:ascii="Arial" w:hAnsi="Arial" w:cs="Arial"/>
          <w:sz w:val="22"/>
          <w:szCs w:val="22"/>
          <w:lang w:val="es-MX"/>
        </w:rPr>
        <w:t xml:space="preserve">restricciones </w:t>
      </w:r>
      <w:r>
        <w:rPr>
          <w:rFonts w:ascii="Arial" w:hAnsi="Arial" w:cs="Arial"/>
          <w:sz w:val="22"/>
          <w:szCs w:val="22"/>
          <w:lang w:val="es-MX"/>
        </w:rPr>
        <w:t xml:space="preserve">frente al </w:t>
      </w:r>
      <w:r w:rsidR="00B3235F" w:rsidRPr="00B3235F">
        <w:rPr>
          <w:rFonts w:ascii="Arial" w:hAnsi="Arial" w:cs="Arial"/>
          <w:sz w:val="22"/>
          <w:szCs w:val="22"/>
          <w:lang w:val="es-MX"/>
        </w:rPr>
        <w:t>actuar de los servidores públicos, evitando interferencias en la contienda electoral</w:t>
      </w:r>
      <w:r>
        <w:rPr>
          <w:rFonts w:ascii="Arial" w:hAnsi="Arial" w:cs="Arial"/>
          <w:sz w:val="22"/>
          <w:szCs w:val="22"/>
          <w:lang w:val="es-MX"/>
        </w:rPr>
        <w:t xml:space="preserve"> y la posible de</w:t>
      </w:r>
      <w:r w:rsidR="00B3235F" w:rsidRPr="00B3235F">
        <w:rPr>
          <w:rFonts w:ascii="Arial" w:hAnsi="Arial" w:cs="Arial"/>
          <w:sz w:val="22"/>
          <w:szCs w:val="22"/>
          <w:lang w:val="es-MX"/>
        </w:rPr>
        <w:t>sviación de recursos públicos en aspiraciones electorales.</w:t>
      </w:r>
      <w:bookmarkEnd w:id="36"/>
      <w:r>
        <w:rPr>
          <w:rFonts w:ascii="Arial" w:hAnsi="Arial" w:cs="Arial"/>
          <w:sz w:val="22"/>
          <w:szCs w:val="22"/>
          <w:lang w:val="es-MX"/>
        </w:rPr>
        <w:t xml:space="preserve"> Ello explica, preliminarmente, que </w:t>
      </w:r>
      <w:r w:rsidR="00B3235F" w:rsidRPr="00B3235F">
        <w:rPr>
          <w:rFonts w:ascii="Arial" w:hAnsi="Arial" w:cs="Arial"/>
          <w:sz w:val="22"/>
          <w:szCs w:val="22"/>
          <w:lang w:val="es-MX"/>
        </w:rPr>
        <w:t>varias de las</w:t>
      </w:r>
      <w:r>
        <w:rPr>
          <w:rFonts w:ascii="Arial" w:hAnsi="Arial" w:cs="Arial"/>
          <w:sz w:val="22"/>
          <w:szCs w:val="22"/>
          <w:lang w:val="es-MX"/>
        </w:rPr>
        <w:t xml:space="preserve"> </w:t>
      </w:r>
      <w:r w:rsidR="00B3235F" w:rsidRPr="00B3235F">
        <w:rPr>
          <w:rFonts w:ascii="Arial" w:hAnsi="Arial" w:cs="Arial"/>
          <w:sz w:val="22"/>
          <w:szCs w:val="22"/>
          <w:lang w:val="es-MX"/>
        </w:rPr>
        <w:t xml:space="preserve">disposiciones </w:t>
      </w:r>
      <w:r>
        <w:rPr>
          <w:rFonts w:ascii="Arial" w:hAnsi="Arial" w:cs="Arial"/>
          <w:sz w:val="22"/>
          <w:szCs w:val="22"/>
          <w:lang w:val="es-MX"/>
        </w:rPr>
        <w:t xml:space="preserve">contenidas en </w:t>
      </w:r>
      <w:r w:rsidR="00B3235F" w:rsidRPr="00B3235F">
        <w:rPr>
          <w:rFonts w:ascii="Arial" w:hAnsi="Arial" w:cs="Arial"/>
          <w:sz w:val="22"/>
          <w:szCs w:val="22"/>
          <w:lang w:val="es-MX"/>
        </w:rPr>
        <w:t>la Ley 996 de 2005</w:t>
      </w:r>
      <w:r>
        <w:rPr>
          <w:rFonts w:ascii="Arial" w:hAnsi="Arial" w:cs="Arial"/>
          <w:sz w:val="22"/>
          <w:szCs w:val="22"/>
          <w:lang w:val="es-MX"/>
        </w:rPr>
        <w:t xml:space="preserve"> ostenten naturaleza prohibitiva</w:t>
      </w:r>
      <w:r w:rsidR="00B3235F" w:rsidRPr="00B3235F">
        <w:rPr>
          <w:rFonts w:ascii="Arial" w:hAnsi="Arial" w:cs="Arial"/>
          <w:sz w:val="22"/>
          <w:szCs w:val="22"/>
          <w:lang w:val="es-MX"/>
        </w:rPr>
        <w:t>,</w:t>
      </w:r>
      <w:r>
        <w:rPr>
          <w:rFonts w:ascii="Arial" w:hAnsi="Arial" w:cs="Arial"/>
          <w:sz w:val="22"/>
          <w:szCs w:val="22"/>
          <w:lang w:val="es-MX"/>
        </w:rPr>
        <w:t xml:space="preserve"> es decir, que </w:t>
      </w:r>
      <w:r w:rsidR="00B3235F" w:rsidRPr="00B3235F">
        <w:rPr>
          <w:rFonts w:ascii="Arial" w:hAnsi="Arial" w:cs="Arial"/>
          <w:sz w:val="22"/>
          <w:szCs w:val="22"/>
          <w:lang w:val="es-MX"/>
        </w:rPr>
        <w:t xml:space="preserve">no admiten una </w:t>
      </w:r>
      <w:r>
        <w:rPr>
          <w:rFonts w:ascii="Arial" w:hAnsi="Arial" w:cs="Arial"/>
          <w:sz w:val="22"/>
          <w:szCs w:val="22"/>
          <w:lang w:val="es-MX"/>
        </w:rPr>
        <w:t xml:space="preserve">lectura </w:t>
      </w:r>
      <w:r w:rsidR="00B3235F" w:rsidRPr="00B3235F">
        <w:rPr>
          <w:rFonts w:ascii="Arial" w:hAnsi="Arial" w:cs="Arial"/>
          <w:sz w:val="22"/>
          <w:szCs w:val="22"/>
          <w:lang w:val="es-MX"/>
        </w:rPr>
        <w:t>amplia</w:t>
      </w:r>
      <w:r>
        <w:rPr>
          <w:rFonts w:ascii="Arial" w:hAnsi="Arial" w:cs="Arial"/>
          <w:sz w:val="22"/>
          <w:szCs w:val="22"/>
          <w:lang w:val="es-MX"/>
        </w:rPr>
        <w:t xml:space="preserve"> o extensiva</w:t>
      </w:r>
      <w:r w:rsidR="00B3235F" w:rsidRPr="00B3235F">
        <w:rPr>
          <w:rFonts w:ascii="Arial" w:hAnsi="Arial" w:cs="Arial"/>
          <w:sz w:val="22"/>
          <w:szCs w:val="22"/>
          <w:lang w:val="es-MX"/>
        </w:rPr>
        <w:t>, sino que deben</w:t>
      </w:r>
      <w:r>
        <w:rPr>
          <w:rFonts w:ascii="Arial" w:hAnsi="Arial" w:cs="Arial"/>
          <w:sz w:val="22"/>
          <w:szCs w:val="22"/>
          <w:lang w:val="es-MX"/>
        </w:rPr>
        <w:t xml:space="preserve"> </w:t>
      </w:r>
      <w:r w:rsidR="00B3235F" w:rsidRPr="00B3235F">
        <w:rPr>
          <w:rFonts w:ascii="Arial" w:hAnsi="Arial" w:cs="Arial"/>
          <w:sz w:val="22"/>
          <w:szCs w:val="22"/>
          <w:lang w:val="es-MX"/>
        </w:rPr>
        <w:t xml:space="preserve">interpretarse </w:t>
      </w:r>
      <w:r>
        <w:rPr>
          <w:rFonts w:ascii="Arial" w:hAnsi="Arial" w:cs="Arial"/>
          <w:sz w:val="22"/>
          <w:szCs w:val="22"/>
          <w:lang w:val="es-MX"/>
        </w:rPr>
        <w:t xml:space="preserve">en forma restrictiva. Sobre este particular, </w:t>
      </w:r>
      <w:r w:rsidR="00B3235F" w:rsidRPr="00B3235F">
        <w:rPr>
          <w:rFonts w:ascii="Arial" w:hAnsi="Arial" w:cs="Arial"/>
          <w:sz w:val="22"/>
          <w:szCs w:val="22"/>
          <w:lang w:val="es-MX"/>
        </w:rPr>
        <w:t>la Sala de Consulta y Servicio Civil del Consejo de Estado,</w:t>
      </w:r>
      <w:r>
        <w:rPr>
          <w:rFonts w:ascii="Arial" w:hAnsi="Arial" w:cs="Arial"/>
          <w:sz w:val="22"/>
          <w:szCs w:val="22"/>
          <w:lang w:val="es-MX"/>
        </w:rPr>
        <w:t xml:space="preserve"> señaló que:</w:t>
      </w:r>
    </w:p>
    <w:p w14:paraId="3A060812" w14:textId="77777777" w:rsidR="00B3235F" w:rsidRPr="00B3235F" w:rsidRDefault="00B3235F" w:rsidP="00B3235F">
      <w:pPr>
        <w:spacing w:line="276" w:lineRule="auto"/>
        <w:ind w:firstLine="709"/>
        <w:contextualSpacing/>
        <w:jc w:val="both"/>
        <w:rPr>
          <w:rFonts w:ascii="Arial" w:hAnsi="Arial" w:cs="Arial"/>
          <w:sz w:val="22"/>
          <w:szCs w:val="22"/>
          <w:lang w:val="es-MX"/>
        </w:rPr>
      </w:pPr>
    </w:p>
    <w:p w14:paraId="14707CA0" w14:textId="1A14B237" w:rsidR="00B3235F" w:rsidRDefault="00B3235F" w:rsidP="00B3235F">
      <w:pPr>
        <w:ind w:left="709" w:right="709"/>
        <w:contextualSpacing/>
        <w:jc w:val="both"/>
        <w:rPr>
          <w:rFonts w:ascii="Arial" w:hAnsi="Arial" w:cs="Arial"/>
          <w:sz w:val="21"/>
          <w:szCs w:val="21"/>
          <w:lang w:val="es-MX"/>
        </w:rPr>
      </w:pPr>
      <w:r w:rsidRPr="00B3235F">
        <w:rPr>
          <w:rFonts w:ascii="Arial" w:hAnsi="Arial" w:cs="Arial"/>
          <w:sz w:val="21"/>
          <w:szCs w:val="21"/>
          <w:lang w:val="es-MX"/>
        </w:rPr>
        <w:t>“</w:t>
      </w:r>
      <w:r w:rsidR="00532362">
        <w:rPr>
          <w:rFonts w:ascii="Arial" w:hAnsi="Arial" w:cs="Arial"/>
          <w:sz w:val="21"/>
          <w:szCs w:val="21"/>
          <w:lang w:val="es-MX"/>
        </w:rPr>
        <w:t>(…) [n]</w:t>
      </w:r>
      <w:r w:rsidRPr="00B3235F">
        <w:rPr>
          <w:rFonts w:ascii="Arial" w:hAnsi="Arial" w:cs="Arial"/>
          <w:sz w:val="21"/>
          <w:szCs w:val="21"/>
          <w:lang w:val="es-MX"/>
        </w:rPr>
        <w:t>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w:t>
      </w:r>
      <w:r w:rsidR="00532362">
        <w:rPr>
          <w:rFonts w:ascii="Arial" w:hAnsi="Arial" w:cs="Arial"/>
          <w:sz w:val="21"/>
          <w:szCs w:val="21"/>
          <w:lang w:val="es-MX"/>
        </w:rPr>
        <w:t xml:space="preserve"> </w:t>
      </w:r>
      <w:r w:rsidRPr="00B3235F">
        <w:rPr>
          <w:rFonts w:ascii="Arial" w:hAnsi="Arial" w:cs="Arial"/>
          <w:sz w:val="21"/>
          <w:szCs w:val="21"/>
          <w:lang w:val="es-MX"/>
        </w:rPr>
        <w:t>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1DF5BFFF" w14:textId="77777777" w:rsidR="00532362" w:rsidRPr="00B3235F" w:rsidRDefault="00532362" w:rsidP="00B3235F">
      <w:pPr>
        <w:ind w:left="709" w:right="709"/>
        <w:contextualSpacing/>
        <w:jc w:val="both"/>
        <w:rPr>
          <w:rFonts w:ascii="Arial" w:hAnsi="Arial" w:cs="Arial"/>
          <w:sz w:val="21"/>
          <w:szCs w:val="21"/>
          <w:lang w:val="es-MX"/>
        </w:rPr>
      </w:pPr>
    </w:p>
    <w:p w14:paraId="03AC0A03" w14:textId="0255EB49" w:rsidR="00B3235F" w:rsidRPr="00B3235F" w:rsidRDefault="00B3235F" w:rsidP="00B3235F">
      <w:pPr>
        <w:ind w:left="709" w:right="709"/>
        <w:contextualSpacing/>
        <w:jc w:val="both"/>
        <w:rPr>
          <w:rFonts w:ascii="Arial" w:hAnsi="Arial" w:cs="Arial"/>
          <w:sz w:val="21"/>
          <w:szCs w:val="21"/>
          <w:lang w:val="es-MX"/>
        </w:rPr>
      </w:pPr>
      <w:r w:rsidRPr="00B3235F">
        <w:rPr>
          <w:rFonts w:ascii="Arial" w:hAnsi="Arial" w:cs="Arial"/>
          <w:sz w:val="21"/>
          <w:szCs w:val="21"/>
          <w:lang w:val="es-MX"/>
        </w:rPr>
        <w:t>La jurisprudencia de la Corte Constitucional</w:t>
      </w:r>
      <w:r w:rsidRPr="00B3235F">
        <w:rPr>
          <w:rFonts w:ascii="Arial" w:hAnsi="Arial" w:cs="Arial"/>
          <w:sz w:val="21"/>
          <w:szCs w:val="21"/>
          <w:vertAlign w:val="superscript"/>
          <w:lang w:val="es-MX"/>
        </w:rPr>
        <w:footnoteReference w:id="6"/>
      </w:r>
      <w:r w:rsidRPr="00B3235F">
        <w:rPr>
          <w:rFonts w:ascii="Arial" w:hAnsi="Arial" w:cs="Arial"/>
          <w:sz w:val="21"/>
          <w:szCs w:val="21"/>
          <w:lang w:val="es-MX"/>
        </w:rPr>
        <w:t> y del Consejo de Estado</w:t>
      </w:r>
      <w:r w:rsidRPr="00B3235F">
        <w:rPr>
          <w:rFonts w:ascii="Arial" w:hAnsi="Arial" w:cs="Arial"/>
          <w:sz w:val="21"/>
          <w:szCs w:val="21"/>
          <w:vertAlign w:val="superscript"/>
          <w:lang w:val="es-MX"/>
        </w:rPr>
        <w:footnoteReference w:id="7"/>
      </w:r>
      <w:r w:rsidRPr="00B3235F">
        <w:rPr>
          <w:rFonts w:ascii="Arial" w:hAnsi="Arial" w:cs="Arial"/>
          <w:sz w:val="21"/>
          <w:szCs w:val="21"/>
          <w:lang w:val="es-MX"/>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B3235F">
        <w:rPr>
          <w:rFonts w:ascii="Arial" w:hAnsi="Arial" w:cs="Arial"/>
          <w:sz w:val="22"/>
          <w:szCs w:val="22"/>
          <w:vertAlign w:val="superscript"/>
          <w:lang w:val="es-MX"/>
        </w:rPr>
        <w:footnoteReference w:id="8"/>
      </w:r>
      <w:r w:rsidR="00532362">
        <w:rPr>
          <w:rFonts w:ascii="Arial" w:hAnsi="Arial" w:cs="Arial"/>
          <w:sz w:val="21"/>
          <w:szCs w:val="21"/>
          <w:lang w:val="es-MX"/>
        </w:rPr>
        <w:t>.</w:t>
      </w:r>
    </w:p>
    <w:p w14:paraId="7A08BFCC" w14:textId="77777777" w:rsidR="00B3235F" w:rsidRPr="00B3235F" w:rsidRDefault="00B3235F" w:rsidP="00B3235F">
      <w:pPr>
        <w:spacing w:line="276" w:lineRule="auto"/>
        <w:ind w:right="709"/>
        <w:contextualSpacing/>
        <w:jc w:val="both"/>
        <w:rPr>
          <w:rFonts w:ascii="Arial" w:hAnsi="Arial" w:cs="Arial"/>
          <w:sz w:val="21"/>
          <w:szCs w:val="21"/>
          <w:lang w:val="es-MX"/>
        </w:rPr>
      </w:pPr>
    </w:p>
    <w:p w14:paraId="3CB2E37B" w14:textId="1FAB9CF3" w:rsidR="00B3235F" w:rsidRPr="00B3235F" w:rsidRDefault="00532362" w:rsidP="00B3235F">
      <w:pPr>
        <w:spacing w:after="120" w:line="276" w:lineRule="auto"/>
        <w:jc w:val="both"/>
        <w:rPr>
          <w:rFonts w:ascii="Arial" w:eastAsia="Arial" w:hAnsi="Arial" w:cs="Arial"/>
          <w:sz w:val="22"/>
          <w:szCs w:val="22"/>
          <w:lang w:val="es-ES" w:eastAsia="es-ES" w:bidi="es-ES"/>
        </w:rPr>
      </w:pPr>
      <w:r>
        <w:rPr>
          <w:rFonts w:ascii="Arial" w:hAnsi="Arial" w:cs="Arial"/>
          <w:sz w:val="22"/>
          <w:szCs w:val="22"/>
          <w:lang w:val="es-MX"/>
        </w:rPr>
        <w:tab/>
      </w:r>
      <w:r w:rsidR="00B3235F" w:rsidRPr="00B3235F">
        <w:rPr>
          <w:rFonts w:ascii="Arial" w:hAnsi="Arial" w:cs="Arial"/>
          <w:sz w:val="22"/>
          <w:szCs w:val="22"/>
          <w:lang w:val="es-MX"/>
        </w:rPr>
        <w:t>De</w:t>
      </w:r>
      <w:r w:rsidR="00B3235F" w:rsidRPr="00B3235F">
        <w:rPr>
          <w:rFonts w:ascii="Arial" w:eastAsia="Arial" w:hAnsi="Arial" w:cs="Arial"/>
          <w:sz w:val="22"/>
          <w:szCs w:val="22"/>
          <w:lang w:val="es-ES" w:eastAsia="es-ES" w:bidi="es-ES"/>
        </w:rPr>
        <w:t xml:space="preserve"> </w:t>
      </w:r>
      <w:r>
        <w:rPr>
          <w:rFonts w:ascii="Arial" w:eastAsia="Arial" w:hAnsi="Arial" w:cs="Arial"/>
          <w:sz w:val="22"/>
          <w:szCs w:val="22"/>
          <w:lang w:val="es-ES" w:eastAsia="es-ES" w:bidi="es-ES"/>
        </w:rPr>
        <w:t xml:space="preserve">acuerdo </w:t>
      </w:r>
      <w:r w:rsidR="00B3235F" w:rsidRPr="00B3235F">
        <w:rPr>
          <w:rFonts w:ascii="Arial" w:eastAsia="Arial" w:hAnsi="Arial" w:cs="Arial"/>
          <w:sz w:val="22"/>
          <w:szCs w:val="22"/>
          <w:lang w:val="es-ES" w:eastAsia="es-ES" w:bidi="es-ES"/>
        </w:rPr>
        <w:t xml:space="preserve">con lo anterior, </w:t>
      </w:r>
      <w:bookmarkStart w:id="37" w:name="_Hlk77236098"/>
      <w:bookmarkStart w:id="38" w:name="_Hlk100679383"/>
      <w:r w:rsidR="00B3235F" w:rsidRPr="00B3235F">
        <w:rPr>
          <w:rFonts w:ascii="Arial" w:eastAsia="Arial" w:hAnsi="Arial" w:cs="Arial"/>
          <w:sz w:val="22"/>
          <w:szCs w:val="22"/>
          <w:lang w:val="es-ES" w:eastAsia="es-ES" w:bidi="es-ES"/>
        </w:rPr>
        <w:t xml:space="preserve">la Ley de Garantías Electorales fijó una serie de regulaciones y prohibiciones dirigidas a los servidores públicos. Con la finalidad de preservar la igualdad entre los candidatos en las elecciones, aumentó las garantías en materia de contratación, de </w:t>
      </w:r>
      <w:r>
        <w:rPr>
          <w:rFonts w:ascii="Arial" w:eastAsia="Arial" w:hAnsi="Arial" w:cs="Arial"/>
          <w:sz w:val="22"/>
          <w:szCs w:val="22"/>
          <w:lang w:val="es-ES" w:eastAsia="es-ES" w:bidi="es-ES"/>
        </w:rPr>
        <w:t xml:space="preserve">suerte </w:t>
      </w:r>
      <w:r w:rsidR="00B3235F" w:rsidRPr="00B3235F">
        <w:rPr>
          <w:rFonts w:ascii="Arial" w:eastAsia="Arial" w:hAnsi="Arial" w:cs="Arial"/>
          <w:sz w:val="22"/>
          <w:szCs w:val="22"/>
          <w:lang w:val="es-ES" w:eastAsia="es-ES" w:bidi="es-ES"/>
        </w:rPr>
        <w:t>que no exista siquiera</w:t>
      </w:r>
      <w:r>
        <w:rPr>
          <w:rFonts w:ascii="Arial" w:eastAsia="Arial" w:hAnsi="Arial" w:cs="Arial"/>
          <w:sz w:val="22"/>
          <w:szCs w:val="22"/>
          <w:lang w:val="es-ES" w:eastAsia="es-ES" w:bidi="es-ES"/>
        </w:rPr>
        <w:t xml:space="preserve"> </w:t>
      </w:r>
      <w:r w:rsidR="00B3235F" w:rsidRPr="00B3235F">
        <w:rPr>
          <w:rFonts w:ascii="Arial" w:eastAsia="Arial" w:hAnsi="Arial" w:cs="Arial"/>
          <w:sz w:val="22"/>
          <w:szCs w:val="22"/>
          <w:lang w:val="es-ES" w:eastAsia="es-ES" w:bidi="es-ES"/>
        </w:rPr>
        <w:t xml:space="preserve">sospecha de que, por ese medio, en los periodos previos a la contienda </w:t>
      </w:r>
      <w:r w:rsidR="00B3235F" w:rsidRPr="00B3235F">
        <w:rPr>
          <w:rFonts w:ascii="Arial" w:eastAsia="Arial" w:hAnsi="Arial" w:cs="Arial"/>
          <w:sz w:val="22"/>
          <w:szCs w:val="22"/>
          <w:lang w:val="es-ES" w:eastAsia="es-ES" w:bidi="es-ES"/>
        </w:rPr>
        <w:lastRenderedPageBreak/>
        <w:t>electoral, se altere</w:t>
      </w:r>
      <w:r>
        <w:rPr>
          <w:rFonts w:ascii="Arial" w:eastAsia="Arial" w:hAnsi="Arial" w:cs="Arial"/>
          <w:sz w:val="22"/>
          <w:szCs w:val="22"/>
          <w:lang w:val="es-ES" w:eastAsia="es-ES" w:bidi="es-ES"/>
        </w:rPr>
        <w:t xml:space="preserve">n </w:t>
      </w:r>
      <w:r w:rsidR="00B3235F" w:rsidRPr="00B3235F">
        <w:rPr>
          <w:rFonts w:ascii="Arial" w:eastAsia="Arial" w:hAnsi="Arial" w:cs="Arial"/>
          <w:sz w:val="22"/>
          <w:szCs w:val="22"/>
          <w:lang w:val="es-ES" w:eastAsia="es-ES" w:bidi="es-ES"/>
        </w:rPr>
        <w:t>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37"/>
    </w:p>
    <w:p w14:paraId="35CDAE97" w14:textId="671B1BF5" w:rsidR="00B3235F" w:rsidRPr="00B3235F" w:rsidRDefault="00B3235F" w:rsidP="00B3235F">
      <w:pPr>
        <w:spacing w:after="120" w:line="276" w:lineRule="auto"/>
        <w:ind w:firstLine="708"/>
        <w:jc w:val="both"/>
        <w:rPr>
          <w:rFonts w:ascii="Arial" w:eastAsia="Calibri" w:hAnsi="Arial" w:cs="Arial"/>
          <w:sz w:val="22"/>
          <w:szCs w:val="22"/>
          <w:lang w:eastAsia="en-US"/>
        </w:rPr>
      </w:pPr>
      <w:r w:rsidRPr="00B3235F">
        <w:rPr>
          <w:rFonts w:ascii="Arial" w:eastAsia="Calibri" w:hAnsi="Arial" w:cs="Arial"/>
          <w:sz w:val="22"/>
          <w:szCs w:val="22"/>
          <w:lang w:eastAsia="en-US"/>
        </w:rPr>
        <w:t>Por un lado, el artículo 33 de la Ley 996 de 2005 prohíbe “</w:t>
      </w:r>
      <w:r w:rsidR="00532362">
        <w:rPr>
          <w:rFonts w:ascii="Arial" w:eastAsia="Calibri" w:hAnsi="Arial" w:cs="Arial"/>
          <w:sz w:val="22"/>
          <w:szCs w:val="22"/>
          <w:lang w:eastAsia="en-US"/>
        </w:rPr>
        <w:t xml:space="preserve">(…) </w:t>
      </w:r>
      <w:r w:rsidRPr="00B3235F">
        <w:rPr>
          <w:rFonts w:ascii="Arial" w:eastAsia="Calibri" w:hAnsi="Arial" w:cs="Arial"/>
          <w:sz w:val="22"/>
          <w:szCs w:val="22"/>
          <w:lang w:eastAsia="en-US"/>
        </w:rPr>
        <w:t>la contratación directa por parte de todos los entes del Estado” durante los cuatro (4) meses anteriores a las elecciones presidenciales, salvo “</w:t>
      </w:r>
      <w:r w:rsidR="00532362">
        <w:rPr>
          <w:rFonts w:ascii="Arial" w:eastAsia="Calibri" w:hAnsi="Arial" w:cs="Arial"/>
          <w:sz w:val="22"/>
          <w:szCs w:val="22"/>
          <w:lang w:eastAsia="en-US"/>
        </w:rPr>
        <w:t xml:space="preserve">(…) </w:t>
      </w:r>
      <w:r w:rsidRPr="00B3235F">
        <w:rPr>
          <w:rFonts w:ascii="Arial" w:eastAsia="Calibri" w:hAnsi="Arial" w:cs="Arial"/>
          <w:sz w:val="22"/>
          <w:szCs w:val="22"/>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B3235F">
        <w:rPr>
          <w:rFonts w:ascii="Arial" w:eastAsia="Calibri" w:hAnsi="Arial" w:cs="Arial"/>
          <w:sz w:val="22"/>
          <w:szCs w:val="22"/>
          <w:vertAlign w:val="superscript"/>
          <w:lang w:eastAsia="en-US"/>
        </w:rPr>
        <w:footnoteReference w:id="9"/>
      </w:r>
      <w:r w:rsidR="00532362">
        <w:rPr>
          <w:rFonts w:ascii="Arial" w:eastAsia="Calibri" w:hAnsi="Arial" w:cs="Arial"/>
          <w:sz w:val="22"/>
          <w:szCs w:val="22"/>
          <w:lang w:eastAsia="en-US"/>
        </w:rPr>
        <w:t>.</w:t>
      </w:r>
    </w:p>
    <w:p w14:paraId="5858C77E" w14:textId="77777777" w:rsidR="00822941" w:rsidRDefault="00B3235F" w:rsidP="00B3235F">
      <w:pPr>
        <w:widowControl w:val="0"/>
        <w:autoSpaceDE w:val="0"/>
        <w:autoSpaceDN w:val="0"/>
        <w:spacing w:line="276" w:lineRule="auto"/>
        <w:ind w:right="113" w:firstLine="708"/>
        <w:contextualSpacing/>
        <w:jc w:val="both"/>
        <w:rPr>
          <w:rFonts w:ascii="Arial" w:eastAsia="Calibri" w:hAnsi="Arial" w:cs="Arial"/>
          <w:sz w:val="22"/>
          <w:szCs w:val="22"/>
          <w:lang w:eastAsia="en-US"/>
        </w:rPr>
      </w:pPr>
      <w:r w:rsidRPr="00B3235F">
        <w:rPr>
          <w:rFonts w:ascii="Arial" w:eastAsia="Calibri" w:hAnsi="Arial" w:cs="Arial"/>
          <w:sz w:val="22"/>
          <w:szCs w:val="22"/>
          <w:lang w:eastAsia="en-US"/>
        </w:rPr>
        <w:t>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00532362">
        <w:rPr>
          <w:rFonts w:ascii="Arial" w:eastAsia="Calibri" w:hAnsi="Arial" w:cs="Arial"/>
          <w:sz w:val="22"/>
          <w:szCs w:val="22"/>
          <w:lang w:eastAsia="en-US"/>
        </w:rPr>
        <w:t xml:space="preserve">(…) </w:t>
      </w:r>
      <w:r w:rsidRPr="00B3235F">
        <w:rPr>
          <w:rFonts w:ascii="Arial" w:eastAsia="Calibri" w:hAnsi="Arial" w:cs="Arial"/>
          <w:sz w:val="22"/>
          <w:szCs w:val="22"/>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B3235F">
        <w:rPr>
          <w:rFonts w:ascii="Arial" w:eastAsia="Calibri" w:hAnsi="Arial" w:cs="Arial"/>
          <w:sz w:val="19"/>
          <w:szCs w:val="19"/>
          <w:lang w:eastAsia="en-US"/>
        </w:rPr>
        <w:t>”</w:t>
      </w:r>
      <w:bookmarkEnd w:id="38"/>
      <w:r w:rsidRPr="00B3235F">
        <w:rPr>
          <w:rFonts w:ascii="Arial" w:eastAsia="Calibri" w:hAnsi="Arial" w:cs="Arial"/>
          <w:sz w:val="19"/>
          <w:szCs w:val="19"/>
          <w:vertAlign w:val="superscript"/>
          <w:lang w:eastAsia="en-US"/>
        </w:rPr>
        <w:footnoteReference w:id="10"/>
      </w:r>
      <w:r w:rsidR="00822941">
        <w:rPr>
          <w:rFonts w:ascii="Arial" w:eastAsia="Calibri" w:hAnsi="Arial" w:cs="Arial"/>
          <w:sz w:val="22"/>
          <w:szCs w:val="22"/>
          <w:lang w:eastAsia="en-US"/>
        </w:rPr>
        <w:t>.</w:t>
      </w:r>
    </w:p>
    <w:p w14:paraId="116214CA" w14:textId="77777777" w:rsidR="00822941" w:rsidRDefault="00822941" w:rsidP="00B3235F">
      <w:pPr>
        <w:widowControl w:val="0"/>
        <w:autoSpaceDE w:val="0"/>
        <w:autoSpaceDN w:val="0"/>
        <w:spacing w:line="276" w:lineRule="auto"/>
        <w:ind w:right="113" w:firstLine="708"/>
        <w:contextualSpacing/>
        <w:jc w:val="both"/>
        <w:rPr>
          <w:rFonts w:ascii="Arial" w:eastAsia="Calibri" w:hAnsi="Arial" w:cs="Arial"/>
          <w:sz w:val="22"/>
          <w:szCs w:val="22"/>
          <w:lang w:eastAsia="en-US"/>
        </w:rPr>
      </w:pPr>
    </w:p>
    <w:p w14:paraId="2EAFA695" w14:textId="53C2D715" w:rsidR="00B3235F" w:rsidRPr="00B3235F" w:rsidRDefault="00B3235F" w:rsidP="00B3235F">
      <w:pPr>
        <w:widowControl w:val="0"/>
        <w:autoSpaceDE w:val="0"/>
        <w:autoSpaceDN w:val="0"/>
        <w:spacing w:line="276" w:lineRule="auto"/>
        <w:ind w:right="113" w:firstLine="708"/>
        <w:contextualSpacing/>
        <w:jc w:val="both"/>
        <w:rPr>
          <w:rFonts w:ascii="Arial" w:eastAsia="Arial" w:hAnsi="Arial" w:cs="Arial"/>
          <w:sz w:val="22"/>
          <w:szCs w:val="22"/>
          <w:lang w:val="es-ES" w:eastAsia="es-ES" w:bidi="es-ES"/>
        </w:rPr>
      </w:pPr>
      <w:r w:rsidRPr="00B3235F">
        <w:rPr>
          <w:rFonts w:ascii="Arial" w:eastAsia="Arial" w:hAnsi="Arial" w:cs="Arial"/>
          <w:sz w:val="22"/>
          <w:szCs w:val="22"/>
          <w:lang w:val="es-ES" w:eastAsia="es-ES" w:bidi="es-ES"/>
        </w:rPr>
        <w:t>La Sala de Consulta y Servicio Civil del Consejo de Estado ha</w:t>
      </w:r>
      <w:r w:rsidR="00822941">
        <w:rPr>
          <w:rFonts w:ascii="Arial" w:eastAsia="Arial" w:hAnsi="Arial" w:cs="Arial"/>
          <w:sz w:val="22"/>
          <w:szCs w:val="22"/>
          <w:lang w:val="es-ES" w:eastAsia="es-ES" w:bidi="es-ES"/>
        </w:rPr>
        <w:t xml:space="preserve"> </w:t>
      </w:r>
      <w:r w:rsidRPr="00B3235F">
        <w:rPr>
          <w:rFonts w:ascii="Arial" w:eastAsia="Arial" w:hAnsi="Arial" w:cs="Arial"/>
          <w:sz w:val="22"/>
          <w:szCs w:val="22"/>
          <w:lang w:val="es-ES" w:eastAsia="es-ES" w:bidi="es-ES"/>
        </w:rPr>
        <w:t>aclarado la distinción en la aplicación de las prohibiciones de la Ley 996 de 2005, dependiendo del tipo de elección</w:t>
      </w:r>
      <w:r w:rsidR="00822941">
        <w:rPr>
          <w:rFonts w:ascii="Arial" w:eastAsia="Arial" w:hAnsi="Arial" w:cs="Arial"/>
          <w:sz w:val="22"/>
          <w:szCs w:val="22"/>
          <w:lang w:val="es-ES" w:eastAsia="es-ES" w:bidi="es-ES"/>
        </w:rPr>
        <w:t xml:space="preserve"> </w:t>
      </w:r>
      <w:r w:rsidRPr="00B3235F">
        <w:rPr>
          <w:rFonts w:ascii="Arial" w:eastAsia="Arial" w:hAnsi="Arial" w:cs="Arial"/>
          <w:sz w:val="22"/>
          <w:szCs w:val="22"/>
          <w:lang w:val="es-ES" w:eastAsia="es-ES" w:bidi="es-ES"/>
        </w:rPr>
        <w:t>que se trate.</w:t>
      </w:r>
      <w:r w:rsidR="00822941">
        <w:rPr>
          <w:rFonts w:ascii="Arial" w:eastAsia="Arial" w:hAnsi="Arial" w:cs="Arial"/>
          <w:sz w:val="22"/>
          <w:szCs w:val="22"/>
          <w:lang w:val="es-ES" w:eastAsia="es-ES" w:bidi="es-ES"/>
        </w:rPr>
        <w:t xml:space="preserve"> </w:t>
      </w:r>
      <w:r w:rsidRPr="00B3235F">
        <w:rPr>
          <w:rFonts w:ascii="Arial" w:eastAsia="Arial" w:hAnsi="Arial" w:cs="Arial"/>
          <w:sz w:val="22"/>
          <w:szCs w:val="22"/>
          <w:lang w:val="es-ES" w:eastAsia="es-ES" w:bidi="es-ES"/>
        </w:rPr>
        <w:t xml:space="preserve">Al respecto, </w:t>
      </w:r>
      <w:r w:rsidR="00822941">
        <w:rPr>
          <w:rFonts w:ascii="Arial" w:eastAsia="Arial" w:hAnsi="Arial" w:cs="Arial"/>
          <w:sz w:val="22"/>
          <w:szCs w:val="22"/>
          <w:lang w:val="es-ES" w:eastAsia="es-ES" w:bidi="es-ES"/>
        </w:rPr>
        <w:t>ha precisado lo siguiente</w:t>
      </w:r>
      <w:r w:rsidRPr="00B3235F">
        <w:rPr>
          <w:rFonts w:ascii="Arial" w:eastAsia="Arial" w:hAnsi="Arial" w:cs="Arial"/>
          <w:sz w:val="22"/>
          <w:szCs w:val="22"/>
          <w:lang w:val="es-ES" w:eastAsia="es-ES" w:bidi="es-ES"/>
        </w:rPr>
        <w:t>:</w:t>
      </w:r>
    </w:p>
    <w:p w14:paraId="23965FCC" w14:textId="77777777" w:rsidR="00B3235F" w:rsidRPr="00B3235F" w:rsidRDefault="00B3235F" w:rsidP="00B3235F">
      <w:pPr>
        <w:widowControl w:val="0"/>
        <w:autoSpaceDE w:val="0"/>
        <w:autoSpaceDN w:val="0"/>
        <w:spacing w:line="276" w:lineRule="auto"/>
        <w:ind w:left="805" w:right="812"/>
        <w:contextualSpacing/>
        <w:jc w:val="both"/>
        <w:rPr>
          <w:rFonts w:ascii="Arial" w:eastAsia="Arial" w:hAnsi="Arial" w:cs="Arial"/>
          <w:sz w:val="22"/>
          <w:szCs w:val="22"/>
          <w:lang w:val="es-ES" w:eastAsia="es-ES" w:bidi="es-ES"/>
        </w:rPr>
      </w:pPr>
    </w:p>
    <w:p w14:paraId="5AE5DB64" w14:textId="2B7EDF88" w:rsidR="00B3235F" w:rsidRPr="00B3235F" w:rsidRDefault="00B3235F" w:rsidP="00B3235F">
      <w:pPr>
        <w:widowControl w:val="0"/>
        <w:autoSpaceDE w:val="0"/>
        <w:autoSpaceDN w:val="0"/>
        <w:ind w:left="709" w:right="709"/>
        <w:contextualSpacing/>
        <w:jc w:val="both"/>
        <w:rPr>
          <w:rFonts w:ascii="Arial" w:eastAsia="Arial" w:hAnsi="Arial" w:cs="Arial"/>
          <w:sz w:val="21"/>
          <w:szCs w:val="21"/>
          <w:lang w:val="es-ES" w:eastAsia="es-ES" w:bidi="es-ES"/>
        </w:rPr>
      </w:pPr>
      <w:r w:rsidRPr="00B3235F">
        <w:rPr>
          <w:rFonts w:ascii="Arial" w:eastAsia="Arial" w:hAnsi="Arial" w:cs="Arial"/>
          <w:sz w:val="21"/>
          <w:szCs w:val="21"/>
          <w:lang w:val="es-ES" w:eastAsia="es-ES" w:bidi="es-ES"/>
        </w:rPr>
        <w:t>“</w:t>
      </w:r>
      <w:r w:rsidR="00822941">
        <w:rPr>
          <w:rFonts w:ascii="Arial" w:eastAsia="Arial" w:hAnsi="Arial" w:cs="Arial"/>
          <w:sz w:val="21"/>
          <w:szCs w:val="21"/>
          <w:lang w:val="es-ES" w:eastAsia="es-ES" w:bidi="es-ES"/>
        </w:rPr>
        <w:t>(…) l</w:t>
      </w:r>
      <w:r w:rsidRPr="00B3235F">
        <w:rPr>
          <w:rFonts w:ascii="Arial" w:eastAsia="Arial" w:hAnsi="Arial" w:cs="Arial"/>
          <w:sz w:val="21"/>
          <w:szCs w:val="21"/>
          <w:lang w:val="es-ES" w:eastAsia="es-ES" w:bidi="es-ES"/>
        </w:rPr>
        <w:t xml:space="preserve">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w:t>
      </w:r>
      <w:r w:rsidRPr="00B3235F">
        <w:rPr>
          <w:rFonts w:ascii="Arial" w:eastAsia="Arial" w:hAnsi="Arial" w:cs="Arial"/>
          <w:sz w:val="21"/>
          <w:szCs w:val="21"/>
          <w:lang w:val="es-ES" w:eastAsia="es-ES" w:bidi="es-ES"/>
        </w:rPr>
        <w:lastRenderedPageBreak/>
        <w:t xml:space="preserve">la ley –incluido el de Presidente de la República-; de manera que dichas restricciones no se excluyen sino que </w:t>
      </w:r>
      <w:bookmarkStart w:id="41" w:name="_Hlk76109421"/>
      <w:r w:rsidRPr="00B3235F">
        <w:rPr>
          <w:rFonts w:ascii="Arial" w:eastAsia="Arial" w:hAnsi="Arial" w:cs="Arial"/>
          <w:sz w:val="21"/>
          <w:szCs w:val="21"/>
          <w:lang w:val="es-ES" w:eastAsia="es-ES" w:bidi="es-ES"/>
        </w:rPr>
        <w:t>se integran parcialmente</w:t>
      </w:r>
      <w:bookmarkEnd w:id="41"/>
      <w:r w:rsidRPr="00B3235F">
        <w:rPr>
          <w:rFonts w:ascii="Arial" w:eastAsia="Arial" w:hAnsi="Arial" w:cs="Arial"/>
          <w:sz w:val="21"/>
          <w:szCs w:val="21"/>
          <w:lang w:val="es-ES" w:eastAsia="es-ES" w:bidi="es-ES"/>
        </w:rPr>
        <w:t>, lo que permite concluir que en periodo preelectoral para elección de Presidente de la República, a todos los entes del Estado, incluidos los territoriales, se aplican las restricciones de los artículos 32 y 33 con sus excepciones, así como las del parágrafo del artículo 38. En cambio, para elecciones en general, excluyendo las correspondientes a Presidente de la República, a las autoridades territoriales allí mencionadas sólo se aplican las restricciones contenidas en el parágrafo del artículo 38”.</w:t>
      </w:r>
      <w:r w:rsidRPr="00B3235F">
        <w:rPr>
          <w:rFonts w:ascii="Arial" w:eastAsia="Arial" w:hAnsi="Arial" w:cs="Arial"/>
          <w:sz w:val="21"/>
          <w:szCs w:val="21"/>
          <w:vertAlign w:val="superscript"/>
          <w:lang w:val="es-ES" w:eastAsia="es-ES" w:bidi="es-ES"/>
        </w:rPr>
        <w:footnoteReference w:id="11"/>
      </w:r>
    </w:p>
    <w:p w14:paraId="3F1E73B4" w14:textId="77777777" w:rsidR="00B3235F" w:rsidRPr="00B3235F" w:rsidRDefault="00B3235F" w:rsidP="00B3235F">
      <w:pPr>
        <w:widowControl w:val="0"/>
        <w:autoSpaceDE w:val="0"/>
        <w:autoSpaceDN w:val="0"/>
        <w:spacing w:line="276" w:lineRule="auto"/>
        <w:contextualSpacing/>
        <w:rPr>
          <w:rFonts w:ascii="Arial" w:eastAsia="Arial" w:hAnsi="Arial" w:cs="Arial"/>
          <w:sz w:val="22"/>
          <w:szCs w:val="22"/>
          <w:lang w:val="es-ES" w:eastAsia="es-ES" w:bidi="es-ES"/>
        </w:rPr>
      </w:pPr>
    </w:p>
    <w:p w14:paraId="0E499B35" w14:textId="014C870A" w:rsidR="00B3235F" w:rsidRPr="00B3235F" w:rsidRDefault="00822941" w:rsidP="00B3235F">
      <w:pPr>
        <w:spacing w:after="120" w:line="276" w:lineRule="auto"/>
        <w:ind w:firstLine="709"/>
        <w:jc w:val="both"/>
        <w:rPr>
          <w:rFonts w:ascii="Arial" w:eastAsia="Arial" w:hAnsi="Arial" w:cs="Arial"/>
          <w:sz w:val="22"/>
          <w:szCs w:val="22"/>
          <w:lang w:val="es-ES" w:eastAsia="es-ES" w:bidi="es-ES"/>
        </w:rPr>
      </w:pPr>
      <w:r>
        <w:rPr>
          <w:rFonts w:ascii="Arial" w:eastAsia="Arial" w:hAnsi="Arial" w:cs="Arial"/>
          <w:sz w:val="22"/>
          <w:szCs w:val="22"/>
          <w:lang w:val="es-ES" w:eastAsia="es-ES" w:bidi="es-ES"/>
        </w:rPr>
        <w:t>En línea con lo expuesto</w:t>
      </w:r>
      <w:r w:rsidR="00B3235F" w:rsidRPr="00B3235F">
        <w:rPr>
          <w:rFonts w:ascii="Arial" w:eastAsia="Arial" w:hAnsi="Arial" w:cs="Arial"/>
          <w:sz w:val="22"/>
          <w:szCs w:val="22"/>
          <w:lang w:val="es-ES" w:eastAsia="es-ES" w:bidi="es-ES"/>
        </w:rPr>
        <w:t>,</w:t>
      </w:r>
      <w:bookmarkStart w:id="42" w:name="_Hlk77236420"/>
      <w:bookmarkStart w:id="43" w:name="_Hlk78818435"/>
      <w:bookmarkStart w:id="44" w:name="_Hlk75780333"/>
      <w:r>
        <w:rPr>
          <w:rFonts w:ascii="Arial" w:eastAsia="Arial" w:hAnsi="Arial" w:cs="Arial"/>
          <w:sz w:val="22"/>
          <w:szCs w:val="22"/>
          <w:lang w:val="es-ES" w:eastAsia="es-ES" w:bidi="es-ES"/>
        </w:rPr>
        <w:t xml:space="preserve"> </w:t>
      </w:r>
      <w:r w:rsidR="00B3235F" w:rsidRPr="00B3235F">
        <w:rPr>
          <w:rFonts w:ascii="Arial" w:eastAsia="Arial" w:hAnsi="Arial" w:cs="Arial"/>
          <w:sz w:val="22"/>
          <w:szCs w:val="22"/>
          <w:lang w:val="es-ES" w:eastAsia="es-ES" w:bidi="es-ES"/>
        </w:rPr>
        <w:t xml:space="preserve">la Ley 996 de 2005 establece dos (2) tipos de restricciones en materia de contratación, las cuales coinciden parcialmente. </w:t>
      </w:r>
      <w:r w:rsidR="00B3235F" w:rsidRPr="00B3235F">
        <w:rPr>
          <w:rFonts w:ascii="Arial" w:eastAsia="Arial" w:hAnsi="Arial" w:cs="Arial"/>
          <w:i/>
          <w:sz w:val="22"/>
          <w:szCs w:val="22"/>
          <w:lang w:val="es-ES" w:eastAsia="es-ES" w:bidi="es-ES"/>
        </w:rPr>
        <w:t>En primer lugar</w:t>
      </w:r>
      <w:r w:rsidR="00B3235F" w:rsidRPr="00B3235F">
        <w:rPr>
          <w:rFonts w:ascii="Arial" w:eastAsia="Arial" w:hAnsi="Arial" w:cs="Arial"/>
          <w:sz w:val="22"/>
          <w:szCs w:val="22"/>
          <w:lang w:val="es-ES" w:eastAsia="es-ES" w:bidi="es-ES"/>
        </w:rPr>
        <w:t>, la del artículo 33 que opera solo respecto de las elecciones presidenciales, en virtud de la cual queda proscrita la contratación directa dentro de los cuatro (4) meses anteriores a la celebración de los comicios, salvo las citadas excepciones.</w:t>
      </w:r>
      <w:r>
        <w:rPr>
          <w:rFonts w:ascii="Arial" w:eastAsia="Arial" w:hAnsi="Arial" w:cs="Arial"/>
          <w:sz w:val="22"/>
          <w:szCs w:val="22"/>
          <w:lang w:val="es-ES" w:eastAsia="es-ES" w:bidi="es-ES"/>
        </w:rPr>
        <w:t xml:space="preserve"> </w:t>
      </w:r>
      <w:r w:rsidR="00B3235F" w:rsidRPr="00B3235F">
        <w:rPr>
          <w:rFonts w:ascii="Arial" w:eastAsia="Arial" w:hAnsi="Arial" w:cs="Arial"/>
          <w:sz w:val="22"/>
          <w:szCs w:val="22"/>
          <w:lang w:val="es-ES" w:eastAsia="es-ES" w:bidi="es-ES"/>
        </w:rPr>
        <w:t xml:space="preserve">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w:t>
      </w:r>
      <w:r>
        <w:rPr>
          <w:rFonts w:ascii="Arial" w:eastAsia="Arial" w:hAnsi="Arial" w:cs="Arial"/>
          <w:sz w:val="22"/>
          <w:szCs w:val="22"/>
          <w:lang w:val="es-ES" w:eastAsia="es-ES" w:bidi="es-ES"/>
        </w:rPr>
        <w:t>con arreglo a lo previsto en el a</w:t>
      </w:r>
      <w:r w:rsidR="00B3235F" w:rsidRPr="00B3235F">
        <w:rPr>
          <w:rFonts w:ascii="Arial" w:eastAsia="Arial" w:hAnsi="Arial" w:cs="Arial"/>
          <w:sz w:val="22"/>
          <w:szCs w:val="22"/>
          <w:lang w:val="es-ES" w:eastAsia="es-ES" w:bidi="es-ES"/>
        </w:rPr>
        <w:t xml:space="preserve">rtículo 190 de la Constitución Política. Para estos efectos, la restricción se extenderá hasta la fecha en la que se realice la segunda vuelta. </w:t>
      </w:r>
      <w:r w:rsidR="00B3235F" w:rsidRPr="00B3235F">
        <w:rPr>
          <w:rFonts w:ascii="Arial" w:eastAsia="Arial" w:hAnsi="Arial" w:cs="Arial"/>
          <w:i/>
          <w:sz w:val="22"/>
          <w:szCs w:val="22"/>
          <w:lang w:val="es-ES" w:eastAsia="es-ES" w:bidi="es-ES"/>
        </w:rPr>
        <w:t>En segundo lugar</w:t>
      </w:r>
      <w:r w:rsidR="00B3235F" w:rsidRPr="00B3235F">
        <w:rPr>
          <w:rFonts w:ascii="Arial" w:eastAsia="Arial" w:hAnsi="Arial" w:cs="Arial"/>
          <w:sz w:val="22"/>
          <w:szCs w:val="22"/>
          <w:lang w:val="es-ES" w:eastAsia="es-ES" w:bidi="es-ES"/>
        </w:rPr>
        <w:t>,</w:t>
      </w:r>
      <w:r>
        <w:rPr>
          <w:rFonts w:ascii="Arial" w:eastAsia="Arial" w:hAnsi="Arial" w:cs="Arial"/>
          <w:sz w:val="22"/>
          <w:szCs w:val="22"/>
          <w:lang w:val="es-ES" w:eastAsia="es-ES" w:bidi="es-ES"/>
        </w:rPr>
        <w:t xml:space="preserve"> </w:t>
      </w:r>
      <w:r w:rsidR="00B3235F" w:rsidRPr="00B3235F">
        <w:rPr>
          <w:rFonts w:ascii="Arial" w:eastAsia="Arial" w:hAnsi="Arial" w:cs="Arial"/>
          <w:sz w:val="22"/>
          <w:szCs w:val="22"/>
          <w:lang w:val="es-ES" w:eastAsia="es-ES" w:bidi="es-ES"/>
        </w:rPr>
        <w:t>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42"/>
      <w:r>
        <w:rPr>
          <w:rFonts w:ascii="Arial" w:eastAsia="Arial" w:hAnsi="Arial" w:cs="Arial"/>
          <w:sz w:val="22"/>
          <w:szCs w:val="22"/>
          <w:lang w:val="es-ES" w:eastAsia="es-ES" w:bidi="es-ES"/>
        </w:rPr>
        <w:t>.</w:t>
      </w:r>
    </w:p>
    <w:bookmarkEnd w:id="43"/>
    <w:p w14:paraId="38D3F96D" w14:textId="544D7A0A" w:rsidR="00B3235F" w:rsidRPr="00B3235F" w:rsidRDefault="00B3235F" w:rsidP="00B3235F">
      <w:pPr>
        <w:spacing w:after="120" w:line="276" w:lineRule="auto"/>
        <w:ind w:firstLine="709"/>
        <w:jc w:val="both"/>
        <w:rPr>
          <w:rFonts w:ascii="Arial" w:eastAsia="Arial" w:hAnsi="Arial" w:cs="Arial"/>
          <w:sz w:val="22"/>
          <w:szCs w:val="22"/>
          <w:lang w:val="es-ES" w:eastAsia="es-ES" w:bidi="es-ES"/>
        </w:rPr>
      </w:pPr>
      <w:r w:rsidRPr="00B3235F">
        <w:rPr>
          <w:rFonts w:ascii="Arial" w:eastAsia="Arial" w:hAnsi="Arial" w:cs="Arial"/>
          <w:sz w:val="22"/>
          <w:szCs w:val="22"/>
          <w:lang w:val="es-ES" w:eastAsia="es-ES" w:bidi="es-ES"/>
        </w:rPr>
        <w:t xml:space="preserve">Ambas restricciones no son excluyentes, </w:t>
      </w:r>
      <w:r w:rsidR="00822941">
        <w:rPr>
          <w:rFonts w:ascii="Arial" w:eastAsia="Arial" w:hAnsi="Arial" w:cs="Arial"/>
          <w:sz w:val="22"/>
          <w:szCs w:val="22"/>
          <w:lang w:val="es-ES" w:eastAsia="es-ES" w:bidi="es-ES"/>
        </w:rPr>
        <w:t xml:space="preserve">con lo cual puede colegirse </w:t>
      </w:r>
      <w:r w:rsidRPr="00B3235F">
        <w:rPr>
          <w:rFonts w:ascii="Arial" w:eastAsia="Arial" w:hAnsi="Arial" w:cs="Arial"/>
          <w:sz w:val="22"/>
          <w:szCs w:val="22"/>
          <w:lang w:val="es-ES" w:eastAsia="es-ES" w:bidi="es-ES"/>
        </w:rPr>
        <w:t>que en el período preelectoral para elección de Presidente de la República, a todos los entes del Estado, incluidos los territoriales, aplican las restricciones del artículo 33 con sus excepciones, así como las del parágrafo del artículo 38.</w:t>
      </w:r>
      <w:r w:rsidR="00822941">
        <w:rPr>
          <w:rFonts w:ascii="Arial" w:eastAsia="Arial" w:hAnsi="Arial" w:cs="Arial"/>
          <w:sz w:val="22"/>
          <w:szCs w:val="22"/>
          <w:lang w:val="es-ES" w:eastAsia="es-ES" w:bidi="es-ES"/>
        </w:rPr>
        <w:t xml:space="preserve"> </w:t>
      </w:r>
      <w:r w:rsidRPr="00B3235F">
        <w:rPr>
          <w:rFonts w:ascii="Arial" w:eastAsia="Arial" w:hAnsi="Arial" w:cs="Arial"/>
          <w:sz w:val="22"/>
          <w:szCs w:val="22"/>
          <w:lang w:val="es-ES" w:eastAsia="es-ES" w:bidi="es-ES"/>
        </w:rPr>
        <w:t xml:space="preserve">En </w:t>
      </w:r>
      <w:r w:rsidR="00822941">
        <w:rPr>
          <w:rFonts w:ascii="Arial" w:eastAsia="Arial" w:hAnsi="Arial" w:cs="Arial"/>
          <w:sz w:val="22"/>
          <w:szCs w:val="22"/>
          <w:lang w:val="es-ES" w:eastAsia="es-ES" w:bidi="es-ES"/>
        </w:rPr>
        <w:t>contraste</w:t>
      </w:r>
      <w:r w:rsidRPr="00B3235F">
        <w:rPr>
          <w:rFonts w:ascii="Arial" w:eastAsia="Arial" w:hAnsi="Arial" w:cs="Arial"/>
          <w:sz w:val="22"/>
          <w:szCs w:val="22"/>
          <w:lang w:val="es-ES" w:eastAsia="es-ES" w:bidi="es-ES"/>
        </w:rPr>
        <w:t>, tratándose de elecciones en general, excluyendo las correspondientes al Presidente de la República, las autoridades allí mencionadas sólo deben aplicar las restricciones contenidas en el parágrafo del artículo 38.</w:t>
      </w:r>
    </w:p>
    <w:bookmarkEnd w:id="44"/>
    <w:p w14:paraId="2F687D56" w14:textId="77439463" w:rsidR="00B3235F" w:rsidRDefault="00B3235F" w:rsidP="00B3235F">
      <w:pPr>
        <w:spacing w:after="120" w:line="276" w:lineRule="auto"/>
        <w:ind w:firstLine="708"/>
        <w:jc w:val="both"/>
        <w:rPr>
          <w:rFonts w:ascii="Arial" w:eastAsia="Calibri" w:hAnsi="Arial" w:cs="Arial"/>
          <w:bCs/>
          <w:color w:val="000000"/>
          <w:sz w:val="22"/>
          <w:szCs w:val="22"/>
          <w:lang w:val="es-ES_tradnl" w:eastAsia="en-US"/>
        </w:rPr>
      </w:pPr>
      <w:r w:rsidRPr="00B3235F">
        <w:rPr>
          <w:rFonts w:ascii="Arial" w:eastAsia="Arial" w:hAnsi="Arial" w:cs="Arial"/>
          <w:sz w:val="22"/>
          <w:szCs w:val="22"/>
          <w:lang w:val="es-ES" w:eastAsia="es-ES" w:bidi="es-ES"/>
        </w:rPr>
        <w:t xml:space="preserve">La Corte Constitucional, </w:t>
      </w:r>
      <w:r w:rsidR="00822941">
        <w:rPr>
          <w:rFonts w:ascii="Arial" w:eastAsia="Arial" w:hAnsi="Arial" w:cs="Arial"/>
          <w:sz w:val="22"/>
          <w:szCs w:val="22"/>
          <w:lang w:val="es-ES" w:eastAsia="es-ES" w:bidi="es-ES"/>
        </w:rPr>
        <w:t xml:space="preserve">mediante </w:t>
      </w:r>
      <w:r w:rsidRPr="00B3235F">
        <w:rPr>
          <w:rFonts w:ascii="Arial" w:eastAsia="Arial" w:hAnsi="Arial" w:cs="Arial"/>
          <w:sz w:val="22"/>
          <w:szCs w:val="22"/>
          <w:lang w:val="es-ES" w:eastAsia="es-ES" w:bidi="es-ES"/>
        </w:rPr>
        <w:t>la Sentencia C-1153 del 11 de noviembre de 2005,</w:t>
      </w:r>
      <w:r w:rsidR="00822941">
        <w:rPr>
          <w:rFonts w:ascii="Arial" w:eastAsia="Arial" w:hAnsi="Arial" w:cs="Arial"/>
          <w:sz w:val="22"/>
          <w:szCs w:val="22"/>
          <w:lang w:val="es-ES" w:eastAsia="es-ES" w:bidi="es-ES"/>
        </w:rPr>
        <w:t xml:space="preserve"> recalcó </w:t>
      </w:r>
      <w:r w:rsidRPr="00B3235F">
        <w:rPr>
          <w:rFonts w:ascii="Arial" w:eastAsia="Arial" w:hAnsi="Arial" w:cs="Arial"/>
          <w:sz w:val="22"/>
          <w:szCs w:val="22"/>
          <w:lang w:val="es-ES" w:eastAsia="es-ES" w:bidi="es-ES"/>
        </w:rPr>
        <w:t xml:space="preserve">que, para que la garantía sea plena, era necesario que la prohibición se aplicara para el Presidente o el Vicepresidente desde que éstos </w:t>
      </w:r>
      <w:r w:rsidR="00822941">
        <w:rPr>
          <w:rFonts w:ascii="Arial" w:eastAsia="Arial" w:hAnsi="Arial" w:cs="Arial"/>
          <w:sz w:val="22"/>
          <w:szCs w:val="22"/>
          <w:lang w:val="es-ES" w:eastAsia="es-ES" w:bidi="es-ES"/>
        </w:rPr>
        <w:t>-</w:t>
      </w:r>
      <w:r w:rsidRPr="00B3235F">
        <w:rPr>
          <w:rFonts w:ascii="Arial" w:eastAsia="Arial" w:hAnsi="Arial" w:cs="Arial"/>
          <w:sz w:val="22"/>
          <w:szCs w:val="22"/>
          <w:lang w:val="es-ES" w:eastAsia="es-ES" w:bidi="es-ES"/>
        </w:rPr>
        <w:t>estando en ejercicio de su cargo</w:t>
      </w:r>
      <w:r w:rsidR="00822941">
        <w:rPr>
          <w:rFonts w:ascii="Arial" w:eastAsia="Arial" w:hAnsi="Arial" w:cs="Arial"/>
          <w:sz w:val="22"/>
          <w:szCs w:val="22"/>
          <w:lang w:val="es-ES" w:eastAsia="es-ES" w:bidi="es-ES"/>
        </w:rPr>
        <w:t>-</w:t>
      </w:r>
      <w:r w:rsidRPr="00B3235F">
        <w:rPr>
          <w:rFonts w:ascii="Arial" w:eastAsia="Arial" w:hAnsi="Arial" w:cs="Arial"/>
          <w:sz w:val="22"/>
          <w:szCs w:val="22"/>
          <w:lang w:val="es-ES" w:eastAsia="es-ES" w:bidi="es-ES"/>
        </w:rPr>
        <w:t xml:space="preserve">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w:t>
      </w:r>
      <w:r w:rsidRPr="00B3235F">
        <w:rPr>
          <w:rFonts w:ascii="Arial" w:eastAsia="Arial" w:hAnsi="Arial" w:cs="Arial"/>
          <w:sz w:val="22"/>
          <w:szCs w:val="22"/>
          <w:lang w:val="es-ES" w:eastAsia="es-ES" w:bidi="es-ES"/>
        </w:rPr>
        <w:lastRenderedPageBreak/>
        <w:t>ejercido por un tiempo inferior a tres (3) meses durante el respectivo cuatrienio, en forma continua o discontinua, conforme al artículo 197 de la Constitución Política.</w:t>
      </w:r>
    </w:p>
    <w:p w14:paraId="65D364E9" w14:textId="77777777" w:rsidR="00B3235F" w:rsidRDefault="00B3235F" w:rsidP="00B3235F">
      <w:pPr>
        <w:spacing w:after="120" w:line="276" w:lineRule="auto"/>
        <w:ind w:firstLine="708"/>
        <w:jc w:val="both"/>
        <w:rPr>
          <w:rFonts w:ascii="Arial" w:eastAsia="Calibri" w:hAnsi="Arial" w:cs="Arial"/>
          <w:color w:val="000000"/>
          <w:sz w:val="22"/>
          <w:lang w:val="es-ES_tradnl" w:eastAsia="es-ES_tradnl"/>
        </w:rPr>
      </w:pPr>
    </w:p>
    <w:p w14:paraId="617BECBC" w14:textId="0E48A9DB" w:rsidR="00822941" w:rsidRPr="00822941" w:rsidRDefault="00073DB3" w:rsidP="00822941">
      <w:pPr>
        <w:spacing w:after="120" w:line="276" w:lineRule="auto"/>
        <w:jc w:val="both"/>
        <w:rPr>
          <w:rFonts w:ascii="Arial" w:eastAsia="Calibri" w:hAnsi="Arial" w:cs="Arial"/>
          <w:color w:val="000000"/>
          <w:sz w:val="22"/>
          <w:lang w:val="es-ES_tradnl" w:eastAsia="es-ES_tradnl"/>
        </w:rPr>
      </w:pPr>
      <w:bookmarkStart w:id="45" w:name="_Hlk140037929"/>
      <w:bookmarkEnd w:id="29"/>
      <w:r w:rsidRPr="004778FF">
        <w:rPr>
          <w:rFonts w:ascii="Arial" w:eastAsia="Calibri" w:hAnsi="Arial" w:cs="Arial"/>
          <w:b/>
          <w:bCs/>
          <w:iCs/>
          <w:sz w:val="22"/>
          <w:szCs w:val="22"/>
          <w:lang w:eastAsia="en-US"/>
        </w:rPr>
        <w:t>2.2.</w:t>
      </w:r>
      <w:r w:rsidR="006A5EDE" w:rsidRPr="004778FF">
        <w:rPr>
          <w:rFonts w:ascii="Arial" w:eastAsia="Calibri" w:hAnsi="Arial" w:cs="Arial"/>
          <w:b/>
          <w:bCs/>
          <w:iCs/>
          <w:sz w:val="22"/>
          <w:szCs w:val="22"/>
          <w:lang w:eastAsia="en-US"/>
        </w:rPr>
        <w:tab/>
      </w:r>
      <w:bookmarkStart w:id="46" w:name="_Hlk140044277"/>
      <w:bookmarkStart w:id="47" w:name="_Hlk136201775"/>
      <w:bookmarkEnd w:id="30"/>
      <w:bookmarkEnd w:id="45"/>
      <w:r w:rsidR="00822941" w:rsidRPr="00822941">
        <w:rPr>
          <w:rFonts w:ascii="Arial" w:hAnsi="Arial" w:cs="Arial"/>
          <w:b/>
          <w:sz w:val="22"/>
          <w:szCs w:val="22"/>
          <w:lang w:val="es-MX"/>
        </w:rPr>
        <w:t>Restricciones en elecciones presidenciales: prohibición del artículo 33 de la Ley 996 de 2005</w:t>
      </w:r>
    </w:p>
    <w:p w14:paraId="2DFD8C84" w14:textId="77777777" w:rsidR="00822941" w:rsidRPr="00822941" w:rsidRDefault="00822941" w:rsidP="00822941">
      <w:pPr>
        <w:spacing w:line="276" w:lineRule="auto"/>
        <w:contextualSpacing/>
        <w:jc w:val="both"/>
        <w:rPr>
          <w:rFonts w:ascii="Arial" w:hAnsi="Arial" w:cs="Arial"/>
          <w:sz w:val="22"/>
          <w:szCs w:val="22"/>
          <w:lang w:val="es-MX"/>
        </w:rPr>
      </w:pPr>
      <w:r w:rsidRPr="00822941">
        <w:rPr>
          <w:rFonts w:ascii="Arial" w:hAnsi="Arial" w:cs="Arial"/>
          <w:sz w:val="22"/>
          <w:szCs w:val="22"/>
          <w:lang w:val="es-MX" w:eastAsia="x-none"/>
        </w:rPr>
        <w:t xml:space="preserve">El ámbito material de la prohibición contenida </w:t>
      </w:r>
      <w:bookmarkStart w:id="48" w:name="_Hlk75628761"/>
      <w:r w:rsidRPr="00822941">
        <w:rPr>
          <w:rFonts w:ascii="Arial" w:hAnsi="Arial" w:cs="Arial"/>
          <w:sz w:val="22"/>
          <w:szCs w:val="22"/>
          <w:lang w:val="es-MX" w:eastAsia="x-none"/>
        </w:rPr>
        <w:t xml:space="preserve">en el artículo 33 de la Ley 996 de 2005 </w:t>
      </w:r>
      <w:bookmarkEnd w:id="48"/>
      <w:r w:rsidRPr="00822941">
        <w:rPr>
          <w:rFonts w:ascii="Arial" w:hAnsi="Arial" w:cs="Arial"/>
          <w:sz w:val="22"/>
          <w:szCs w:val="22"/>
          <w:lang w:val="es-MX" w:eastAsia="x-none"/>
        </w:rPr>
        <w:t xml:space="preserve">está delimitado por la expresión </w:t>
      </w:r>
      <w:r w:rsidRPr="00822941">
        <w:rPr>
          <w:rFonts w:ascii="Arial" w:eastAsia="Calibri" w:hAnsi="Arial" w:cs="Arial"/>
          <w:sz w:val="20"/>
          <w:szCs w:val="20"/>
          <w:lang w:val="es-MX" w:eastAsia="en-US"/>
        </w:rPr>
        <w:t>“</w:t>
      </w:r>
      <w:r w:rsidRPr="00822941">
        <w:rPr>
          <w:rFonts w:ascii="Arial" w:hAnsi="Arial" w:cs="Arial"/>
          <w:sz w:val="22"/>
          <w:szCs w:val="22"/>
          <w:lang w:val="es-MX" w:eastAsia="x-none"/>
        </w:rPr>
        <w:t>queda prohibida la contratación directa</w:t>
      </w:r>
      <w:r w:rsidRPr="00822941">
        <w:rPr>
          <w:rFonts w:ascii="Arial" w:eastAsia="Calibri" w:hAnsi="Arial" w:cs="Arial"/>
          <w:sz w:val="20"/>
          <w:szCs w:val="20"/>
          <w:lang w:val="es-MX" w:eastAsia="en-US"/>
        </w:rPr>
        <w:t>”</w:t>
      </w:r>
      <w:r w:rsidRPr="00822941">
        <w:rPr>
          <w:rFonts w:ascii="Arial" w:hAnsi="Arial" w:cs="Arial"/>
          <w:sz w:val="22"/>
          <w:szCs w:val="22"/>
          <w:lang w:val="es-MX" w:eastAsia="x-none"/>
        </w:rPr>
        <w:t>.</w:t>
      </w:r>
      <w:r w:rsidRPr="00822941">
        <w:rPr>
          <w:rFonts w:ascii="Arial" w:hAnsi="Arial" w:cs="Arial"/>
          <w:sz w:val="22"/>
          <w:szCs w:val="22"/>
          <w:lang w:val="es-MX"/>
        </w:rPr>
        <w:t xml:space="preserve"> A propósito de </w:t>
      </w:r>
      <w:r w:rsidRPr="00822941">
        <w:rPr>
          <w:rFonts w:ascii="Arial" w:hAnsi="Arial" w:cs="Arial"/>
          <w:sz w:val="22"/>
          <w:szCs w:val="22"/>
        </w:rPr>
        <w:t>esta restricción de la Ley de Garantías Electorales, la Sala de Consulta y Servicio Civil del Consejo de Estado ha considerado que:</w:t>
      </w:r>
    </w:p>
    <w:p w14:paraId="73045E18" w14:textId="77777777" w:rsidR="00822941" w:rsidRPr="00822941" w:rsidRDefault="00822941" w:rsidP="00822941">
      <w:pPr>
        <w:spacing w:line="276" w:lineRule="auto"/>
        <w:ind w:left="708" w:right="709"/>
        <w:contextualSpacing/>
        <w:jc w:val="both"/>
        <w:rPr>
          <w:rFonts w:ascii="Arial" w:eastAsia="Calibri" w:hAnsi="Arial" w:cs="Arial"/>
          <w:sz w:val="21"/>
          <w:szCs w:val="21"/>
          <w:lang w:val="es-MX" w:eastAsia="en-US"/>
        </w:rPr>
      </w:pPr>
    </w:p>
    <w:p w14:paraId="099ABD20" w14:textId="1A7343B8" w:rsidR="00822941" w:rsidRPr="00822941" w:rsidRDefault="00822941" w:rsidP="00822941">
      <w:pPr>
        <w:ind w:left="709" w:right="709"/>
        <w:contextualSpacing/>
        <w:jc w:val="both"/>
        <w:rPr>
          <w:rFonts w:ascii="Arial" w:eastAsia="Calibri" w:hAnsi="Arial" w:cs="Arial"/>
          <w:sz w:val="21"/>
          <w:szCs w:val="21"/>
          <w:lang w:val="es-MX" w:eastAsia="en-US"/>
        </w:rPr>
      </w:pPr>
      <w:r w:rsidRPr="00822941">
        <w:rPr>
          <w:rFonts w:ascii="Arial" w:eastAsia="Calibri" w:hAnsi="Arial" w:cs="Arial"/>
          <w:sz w:val="21"/>
          <w:szCs w:val="21"/>
          <w:lang w:val="es-MX" w:eastAsia="en-US"/>
        </w:rPr>
        <w:t>“</w:t>
      </w:r>
      <w:r>
        <w:rPr>
          <w:rFonts w:ascii="Arial" w:eastAsia="Calibri" w:hAnsi="Arial" w:cs="Arial"/>
          <w:sz w:val="21"/>
          <w:szCs w:val="21"/>
          <w:lang w:val="es-MX" w:eastAsia="en-US"/>
        </w:rPr>
        <w:t>(…) [l]</w:t>
      </w:r>
      <w:r w:rsidRPr="00822941">
        <w:rPr>
          <w:rFonts w:ascii="Arial" w:eastAsia="Calibri" w:hAnsi="Arial" w:cs="Arial"/>
          <w:sz w:val="21"/>
          <w:szCs w:val="21"/>
          <w:lang w:val="es-MX" w:eastAsia="en-US"/>
        </w:rPr>
        <w:t>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822941">
        <w:rPr>
          <w:rFonts w:ascii="Arial" w:hAnsi="Arial" w:cs="Arial"/>
          <w:sz w:val="22"/>
          <w:szCs w:val="22"/>
          <w:vertAlign w:val="superscript"/>
        </w:rPr>
        <w:footnoteReference w:id="12"/>
      </w:r>
      <w:r w:rsidRPr="00822941">
        <w:rPr>
          <w:rFonts w:ascii="Arial" w:eastAsia="Calibri" w:hAnsi="Arial" w:cs="Arial"/>
          <w:sz w:val="21"/>
          <w:szCs w:val="21"/>
          <w:lang w:val="es-MX" w:eastAsia="en-US"/>
        </w:rPr>
        <w:t>.</w:t>
      </w:r>
    </w:p>
    <w:p w14:paraId="10563897" w14:textId="77777777" w:rsidR="00822941" w:rsidRPr="00822941" w:rsidRDefault="00822941" w:rsidP="00822941">
      <w:pPr>
        <w:ind w:left="709" w:right="709"/>
        <w:contextualSpacing/>
        <w:jc w:val="both"/>
        <w:rPr>
          <w:rFonts w:ascii="Arial" w:eastAsia="Calibri" w:hAnsi="Arial" w:cs="Arial"/>
          <w:sz w:val="12"/>
          <w:szCs w:val="12"/>
          <w:lang w:val="es-MX" w:eastAsia="en-US"/>
        </w:rPr>
      </w:pPr>
    </w:p>
    <w:p w14:paraId="56C5A2AA" w14:textId="77777777" w:rsidR="00822941" w:rsidRPr="00822941" w:rsidRDefault="00822941" w:rsidP="00822941">
      <w:pPr>
        <w:ind w:left="708" w:right="709"/>
        <w:contextualSpacing/>
        <w:jc w:val="both"/>
        <w:rPr>
          <w:rFonts w:ascii="Arial" w:eastAsia="Calibri" w:hAnsi="Arial" w:cs="Arial"/>
          <w:sz w:val="21"/>
          <w:szCs w:val="21"/>
          <w:lang w:val="es-MX" w:eastAsia="en-US"/>
        </w:rPr>
      </w:pPr>
      <w:r w:rsidRPr="00822941">
        <w:rPr>
          <w:rFonts w:ascii="Arial" w:eastAsia="Calibri" w:hAnsi="Arial" w:cs="Arial"/>
          <w:sz w:val="21"/>
          <w:szCs w:val="21"/>
          <w:lang w:val="es-MX" w:eastAsia="en-US"/>
        </w:rPr>
        <w:t xml:space="preserve">Esta Sala ha entendido que para los efectos de la ley de garantías, y dada su finalidad, el enunciado ´contratación directa´ es sinónimo </w:t>
      </w:r>
      <w:bookmarkStart w:id="49" w:name="_Hlk75741738"/>
      <w:r w:rsidRPr="00822941">
        <w:rPr>
          <w:rFonts w:ascii="Arial" w:eastAsia="Calibri" w:hAnsi="Arial" w:cs="Arial"/>
          <w:sz w:val="21"/>
          <w:szCs w:val="21"/>
          <w:lang w:val="es-MX" w:eastAsia="en-US"/>
        </w:rPr>
        <w:t xml:space="preserve">de cualquier sistema que no implique convocatoria pública y posibilidad de pluralidad de oferentes, </w:t>
      </w:r>
      <w:bookmarkEnd w:id="49"/>
      <w:r w:rsidRPr="00822941">
        <w:rPr>
          <w:rFonts w:ascii="Arial" w:eastAsia="Calibri" w:hAnsi="Arial" w:cs="Arial"/>
          <w:sz w:val="21"/>
          <w:szCs w:val="21"/>
          <w:lang w:val="es-MX" w:eastAsia="en-US"/>
        </w:rPr>
        <w:t>y que, además, no necesariamente hace referencia al procedimiento especial regulado por la ley de contratación estatal, sino a cualquier otro que prescinda de un proceso de licitación pública o concurso</w:t>
      </w:r>
      <w:r w:rsidRPr="00822941">
        <w:rPr>
          <w:rFonts w:ascii="Arial" w:hAnsi="Arial" w:cs="Arial"/>
          <w:sz w:val="21"/>
          <w:szCs w:val="21"/>
          <w:vertAlign w:val="superscript"/>
          <w:lang w:val="es-MX" w:eastAsia="en-US"/>
        </w:rPr>
        <w:footnoteReference w:id="13"/>
      </w:r>
      <w:r w:rsidRPr="00822941">
        <w:rPr>
          <w:rFonts w:ascii="Arial" w:hAnsi="Arial" w:cs="Arial"/>
          <w:sz w:val="21"/>
          <w:szCs w:val="21"/>
          <w:vertAlign w:val="superscript"/>
          <w:lang w:val="es-MX" w:eastAsia="en-US"/>
        </w:rPr>
        <w:t>.</w:t>
      </w:r>
      <w:r w:rsidRPr="00822941">
        <w:rPr>
          <w:rFonts w:ascii="Arial" w:eastAsia="Calibri" w:hAnsi="Arial" w:cs="Arial"/>
          <w:sz w:val="21"/>
          <w:szCs w:val="21"/>
          <w:lang w:val="es-MX"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822941">
        <w:rPr>
          <w:rFonts w:ascii="Arial" w:hAnsi="Arial" w:cs="Arial"/>
          <w:sz w:val="22"/>
          <w:szCs w:val="22"/>
          <w:vertAlign w:val="superscript"/>
        </w:rPr>
        <w:footnoteReference w:id="14"/>
      </w:r>
      <w:r w:rsidRPr="00822941">
        <w:rPr>
          <w:rFonts w:ascii="Arial" w:eastAsia="Calibri" w:hAnsi="Arial" w:cs="Arial"/>
          <w:sz w:val="21"/>
          <w:szCs w:val="21"/>
          <w:lang w:val="es-MX" w:eastAsia="en-US"/>
        </w:rPr>
        <w:t xml:space="preserve"> .</w:t>
      </w:r>
    </w:p>
    <w:p w14:paraId="76FE3B3B" w14:textId="77777777" w:rsidR="00822941" w:rsidRPr="00822941" w:rsidRDefault="00822941" w:rsidP="00822941">
      <w:pPr>
        <w:shd w:val="clear" w:color="auto" w:fill="FFFFFF"/>
        <w:spacing w:line="276" w:lineRule="auto"/>
        <w:ind w:firstLine="709"/>
        <w:contextualSpacing/>
        <w:jc w:val="both"/>
        <w:rPr>
          <w:rFonts w:ascii="Arial" w:hAnsi="Arial" w:cs="Arial"/>
          <w:sz w:val="22"/>
          <w:szCs w:val="22"/>
          <w:lang w:eastAsia="x-none"/>
        </w:rPr>
      </w:pPr>
    </w:p>
    <w:p w14:paraId="123340B8" w14:textId="10B03F65" w:rsidR="00822941" w:rsidRPr="00822941" w:rsidRDefault="00822941" w:rsidP="00822941">
      <w:pPr>
        <w:spacing w:after="120" w:line="276" w:lineRule="auto"/>
        <w:ind w:firstLine="709"/>
        <w:jc w:val="both"/>
        <w:rPr>
          <w:rFonts w:ascii="Arial" w:hAnsi="Arial" w:cs="Arial"/>
          <w:sz w:val="22"/>
          <w:szCs w:val="22"/>
          <w:lang w:eastAsia="x-none"/>
        </w:rPr>
      </w:pPr>
      <w:bookmarkStart w:id="51" w:name="_Hlk94521748"/>
      <w:r>
        <w:rPr>
          <w:rFonts w:ascii="Arial" w:hAnsi="Arial" w:cs="Arial"/>
          <w:sz w:val="22"/>
          <w:szCs w:val="22"/>
          <w:lang w:eastAsia="x-none"/>
        </w:rPr>
        <w:t>Según el concepto en cita</w:t>
      </w:r>
      <w:r w:rsidRPr="00822941">
        <w:rPr>
          <w:rFonts w:ascii="Arial" w:hAnsi="Arial" w:cs="Arial"/>
          <w:sz w:val="22"/>
          <w:szCs w:val="22"/>
          <w:lang w:eastAsia="x-none"/>
        </w:rPr>
        <w:t>,</w:t>
      </w:r>
      <w:bookmarkStart w:id="52" w:name="_Hlk78818702"/>
      <w:r>
        <w:rPr>
          <w:rFonts w:ascii="Arial" w:hAnsi="Arial" w:cs="Arial"/>
          <w:sz w:val="22"/>
          <w:szCs w:val="22"/>
          <w:lang w:eastAsia="x-none"/>
        </w:rPr>
        <w:t xml:space="preserve"> </w:t>
      </w:r>
      <w:r w:rsidRPr="00822941">
        <w:rPr>
          <w:rFonts w:ascii="Arial" w:hAnsi="Arial" w:cs="Arial"/>
          <w:sz w:val="22"/>
          <w:szCs w:val="22"/>
          <w:lang w:eastAsia="x-none"/>
        </w:rPr>
        <w:t xml:space="preserve">la prohibición del artículo 33 de la Ley de Garantías Electorales se refiere a </w:t>
      </w:r>
      <w:r w:rsidRPr="00822941">
        <w:rPr>
          <w:rFonts w:ascii="Arial" w:hAnsi="Arial" w:cs="Arial"/>
          <w:sz w:val="19"/>
          <w:szCs w:val="19"/>
          <w:lang w:eastAsia="en-GB"/>
        </w:rPr>
        <w:t>“</w:t>
      </w:r>
      <w:r w:rsidRPr="00822941">
        <w:rPr>
          <w:rFonts w:ascii="Arial" w:hAnsi="Arial" w:cs="Arial"/>
          <w:sz w:val="22"/>
          <w:szCs w:val="22"/>
          <w:lang w:eastAsia="x-none"/>
        </w:rPr>
        <w:t>cualquier sistema que no implique convocatoria pública y posibilidad de pluralidad de oferentes</w:t>
      </w:r>
      <w:r w:rsidRPr="00822941">
        <w:rPr>
          <w:rFonts w:ascii="Arial" w:hAnsi="Arial" w:cs="Arial"/>
          <w:sz w:val="22"/>
          <w:szCs w:val="22"/>
          <w:lang w:eastAsia="en-GB"/>
        </w:rPr>
        <w:t>”</w:t>
      </w:r>
      <w:r w:rsidRPr="00822941">
        <w:rPr>
          <w:rFonts w:ascii="Arial" w:hAnsi="Arial" w:cs="Arial"/>
          <w:sz w:val="22"/>
          <w:szCs w:val="22"/>
          <w:lang w:eastAsia="x-none"/>
        </w:rPr>
        <w:t>, por lo que excluye las demás modalidades de contratación previstas en la Ley 1150 de 2007, es decir, la licitación pública, la selección abreviada y el concurso de méritos u otros previstos en normas especiales.</w:t>
      </w:r>
      <w:bookmarkEnd w:id="51"/>
      <w:bookmarkEnd w:id="52"/>
      <w:r>
        <w:rPr>
          <w:rFonts w:ascii="Arial" w:hAnsi="Arial" w:cs="Arial"/>
          <w:sz w:val="22"/>
          <w:szCs w:val="22"/>
          <w:lang w:eastAsia="x-none"/>
        </w:rPr>
        <w:t xml:space="preserve"> </w:t>
      </w:r>
      <w:r w:rsidRPr="00822941">
        <w:rPr>
          <w:rFonts w:ascii="Arial" w:hAnsi="Arial" w:cs="Arial"/>
          <w:sz w:val="22"/>
          <w:szCs w:val="22"/>
          <w:lang w:eastAsia="x-none"/>
        </w:rPr>
        <w:t xml:space="preserve">Esta posición </w:t>
      </w:r>
      <w:r>
        <w:rPr>
          <w:rFonts w:ascii="Arial" w:hAnsi="Arial" w:cs="Arial"/>
          <w:sz w:val="22"/>
          <w:szCs w:val="22"/>
          <w:lang w:eastAsia="x-none"/>
        </w:rPr>
        <w:t xml:space="preserve">se corresponde </w:t>
      </w:r>
      <w:r w:rsidRPr="00822941">
        <w:rPr>
          <w:rFonts w:ascii="Arial" w:hAnsi="Arial" w:cs="Arial"/>
          <w:sz w:val="22"/>
          <w:szCs w:val="22"/>
          <w:lang w:eastAsia="x-none"/>
        </w:rPr>
        <w:t>con la expedición de la Ley 1150 de 2007 que, entre otras reformas, introdujo la selección abreviada, rediseñó el concurso de méritos</w:t>
      </w:r>
      <w:r w:rsidRPr="00822941">
        <w:rPr>
          <w:rFonts w:ascii="Arial" w:hAnsi="Arial" w:cs="Arial"/>
          <w:sz w:val="22"/>
          <w:szCs w:val="22"/>
          <w:vertAlign w:val="superscript"/>
          <w:lang w:val="en-GB" w:eastAsia="x-none"/>
        </w:rPr>
        <w:footnoteReference w:id="15"/>
      </w:r>
      <w:r w:rsidRPr="00822941">
        <w:rPr>
          <w:rFonts w:ascii="Arial" w:hAnsi="Arial" w:cs="Arial"/>
          <w:sz w:val="22"/>
          <w:szCs w:val="22"/>
          <w:lang w:eastAsia="x-none"/>
        </w:rPr>
        <w:t xml:space="preserve"> y sistematizó las causales de contratación directa</w:t>
      </w:r>
      <w:r w:rsidRPr="00822941">
        <w:rPr>
          <w:rFonts w:ascii="Arial" w:hAnsi="Arial" w:cs="Arial"/>
          <w:sz w:val="22"/>
          <w:szCs w:val="22"/>
          <w:vertAlign w:val="superscript"/>
          <w:lang w:val="en-GB" w:eastAsia="x-none"/>
        </w:rPr>
        <w:footnoteReference w:id="16"/>
      </w:r>
      <w:r>
        <w:rPr>
          <w:rFonts w:ascii="Arial" w:hAnsi="Arial" w:cs="Arial"/>
          <w:sz w:val="22"/>
          <w:szCs w:val="22"/>
          <w:lang w:eastAsia="x-none"/>
        </w:rPr>
        <w:t>.</w:t>
      </w:r>
    </w:p>
    <w:p w14:paraId="5346971A" w14:textId="4D0ECF69" w:rsidR="00822941" w:rsidRPr="00822941" w:rsidRDefault="00822941" w:rsidP="00822941">
      <w:pPr>
        <w:spacing w:after="120" w:line="276" w:lineRule="auto"/>
        <w:ind w:firstLine="709"/>
        <w:jc w:val="both"/>
        <w:rPr>
          <w:rFonts w:ascii="Arial" w:hAnsi="Arial" w:cs="Arial"/>
          <w:sz w:val="22"/>
          <w:szCs w:val="22"/>
          <w:lang w:val="es-MX" w:eastAsia="x-none"/>
        </w:rPr>
      </w:pPr>
      <w:r w:rsidRPr="00822941">
        <w:rPr>
          <w:rFonts w:ascii="Arial" w:hAnsi="Arial" w:cs="Arial"/>
          <w:sz w:val="22"/>
          <w:szCs w:val="22"/>
          <w:lang w:eastAsia="x-none"/>
        </w:rPr>
        <w:lastRenderedPageBreak/>
        <w:t xml:space="preserve">De esta forma, se ha depurado la noción de </w:t>
      </w:r>
      <w:r w:rsidRPr="00822941">
        <w:rPr>
          <w:rFonts w:ascii="Arial" w:hAnsi="Arial" w:cs="Arial"/>
          <w:sz w:val="19"/>
          <w:szCs w:val="19"/>
          <w:lang w:eastAsia="en-GB"/>
        </w:rPr>
        <w:t>“</w:t>
      </w:r>
      <w:r w:rsidRPr="00822941">
        <w:rPr>
          <w:rFonts w:ascii="Arial" w:hAnsi="Arial" w:cs="Arial"/>
          <w:sz w:val="22"/>
          <w:szCs w:val="22"/>
          <w:lang w:eastAsia="x-none"/>
        </w:rPr>
        <w:t>contratación directa</w:t>
      </w:r>
      <w:r w:rsidRPr="00822941">
        <w:rPr>
          <w:rFonts w:ascii="Arial" w:hAnsi="Arial" w:cs="Arial"/>
          <w:sz w:val="22"/>
          <w:szCs w:val="22"/>
          <w:lang w:eastAsia="en-GB"/>
        </w:rPr>
        <w:t>”</w:t>
      </w:r>
      <w:r w:rsidRPr="00822941">
        <w:rPr>
          <w:rFonts w:ascii="Arial" w:hAnsi="Arial" w:cs="Arial"/>
          <w:sz w:val="22"/>
          <w:szCs w:val="22"/>
          <w:lang w:eastAsia="x-none"/>
        </w:rPr>
        <w:t xml:space="preserve">, precisando el Consejo de Estado </w:t>
      </w:r>
      <w:r w:rsidR="00753978">
        <w:rPr>
          <w:rFonts w:ascii="Arial" w:hAnsi="Arial" w:cs="Arial"/>
          <w:sz w:val="22"/>
          <w:szCs w:val="22"/>
          <w:lang w:eastAsia="x-none"/>
        </w:rPr>
        <w:t>-</w:t>
      </w:r>
      <w:r w:rsidRPr="00822941">
        <w:rPr>
          <w:rFonts w:ascii="Arial" w:hAnsi="Arial" w:cs="Arial"/>
          <w:sz w:val="22"/>
          <w:szCs w:val="22"/>
          <w:lang w:eastAsia="x-none"/>
        </w:rPr>
        <w:t xml:space="preserve">en el </w:t>
      </w:r>
      <w:r w:rsidR="00753978">
        <w:rPr>
          <w:rFonts w:ascii="Arial" w:hAnsi="Arial" w:cs="Arial"/>
          <w:sz w:val="22"/>
          <w:szCs w:val="22"/>
          <w:lang w:eastAsia="x-none"/>
        </w:rPr>
        <w:t xml:space="preserve">pronunciamiento parcialmente transcrito- </w:t>
      </w:r>
      <w:r w:rsidRPr="00822941">
        <w:rPr>
          <w:rFonts w:ascii="Arial" w:hAnsi="Arial" w:cs="Arial"/>
          <w:sz w:val="22"/>
          <w:szCs w:val="22"/>
          <w:lang w:eastAsia="x-none"/>
        </w:rPr>
        <w:t>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822941">
        <w:rPr>
          <w:rFonts w:ascii="Arial" w:hAnsi="Arial" w:cs="Arial"/>
          <w:sz w:val="22"/>
          <w:szCs w:val="22"/>
          <w:vertAlign w:val="superscript"/>
          <w:lang w:val="en-GB" w:eastAsia="x-none"/>
        </w:rPr>
        <w:footnoteReference w:id="17"/>
      </w:r>
      <w:r w:rsidRPr="00822941">
        <w:rPr>
          <w:rFonts w:ascii="Arial" w:hAnsi="Arial" w:cs="Arial"/>
          <w:sz w:val="22"/>
          <w:szCs w:val="22"/>
          <w:lang w:eastAsia="x-none"/>
        </w:rPr>
        <w:t>, han establecido sistemas de contratación que implican convocatoria pública y participación de varios oferentes</w:t>
      </w:r>
      <w:r w:rsidRPr="00822941">
        <w:rPr>
          <w:rFonts w:ascii="Arial" w:hAnsi="Arial" w:cs="Arial"/>
          <w:sz w:val="22"/>
          <w:szCs w:val="22"/>
          <w:lang w:eastAsia="en-GB"/>
        </w:rPr>
        <w:t>”</w:t>
      </w:r>
      <w:r w:rsidRPr="00822941">
        <w:rPr>
          <w:rFonts w:ascii="Arial" w:hAnsi="Arial" w:cs="Arial"/>
          <w:sz w:val="22"/>
          <w:szCs w:val="22"/>
          <w:lang w:eastAsia="x-none"/>
        </w:rPr>
        <w:t>.</w:t>
      </w:r>
    </w:p>
    <w:p w14:paraId="561FAC7E" w14:textId="00EF793B" w:rsidR="00822941" w:rsidRPr="00822941" w:rsidRDefault="00822941" w:rsidP="00822941">
      <w:pPr>
        <w:spacing w:after="120" w:line="276" w:lineRule="auto"/>
        <w:ind w:firstLine="709"/>
        <w:jc w:val="both"/>
        <w:rPr>
          <w:rFonts w:ascii="Arial" w:hAnsi="Arial" w:cs="Arial"/>
          <w:sz w:val="22"/>
          <w:szCs w:val="22"/>
          <w:lang w:val="es-MX"/>
        </w:rPr>
      </w:pPr>
      <w:r w:rsidRPr="00822941">
        <w:rPr>
          <w:rFonts w:ascii="Arial" w:hAnsi="Arial" w:cs="Arial"/>
          <w:sz w:val="22"/>
          <w:szCs w:val="22"/>
          <w:lang w:val="es-MX" w:eastAsia="x-none"/>
        </w:rPr>
        <w:t>E</w:t>
      </w:r>
      <w:r w:rsidRPr="00822941">
        <w:rPr>
          <w:rFonts w:ascii="Arial" w:hAnsi="Arial" w:cs="Arial"/>
          <w:sz w:val="22"/>
          <w:szCs w:val="22"/>
          <w:lang w:eastAsia="x-none"/>
        </w:rPr>
        <w:t xml:space="preserve">n efecto, </w:t>
      </w:r>
      <w:r w:rsidR="00753978">
        <w:rPr>
          <w:rFonts w:ascii="Arial" w:hAnsi="Arial" w:cs="Arial"/>
          <w:sz w:val="22"/>
          <w:szCs w:val="22"/>
          <w:lang w:eastAsia="x-none"/>
        </w:rPr>
        <w:t xml:space="preserve">interesa </w:t>
      </w:r>
      <w:r w:rsidRPr="00822941">
        <w:rPr>
          <w:rFonts w:ascii="Arial" w:hAnsi="Arial" w:cs="Arial"/>
          <w:sz w:val="22"/>
          <w:szCs w:val="22"/>
          <w:lang w:eastAsia="x-none"/>
        </w:rPr>
        <w:t xml:space="preserve">mencionar que, </w:t>
      </w:r>
      <w:bookmarkStart w:id="53" w:name="_Hlk75636073"/>
      <w:r w:rsidRPr="00822941">
        <w:rPr>
          <w:rFonts w:ascii="Arial" w:hAnsi="Arial" w:cs="Arial"/>
          <w:sz w:val="22"/>
          <w:szCs w:val="22"/>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53"/>
      <w:r w:rsidRPr="00822941">
        <w:rPr>
          <w:rFonts w:ascii="Arial" w:hAnsi="Arial" w:cs="Arial"/>
          <w:sz w:val="22"/>
          <w:szCs w:val="22"/>
          <w:vertAlign w:val="superscript"/>
          <w:lang w:eastAsia="x-none"/>
        </w:rPr>
        <w:footnoteReference w:id="18"/>
      </w:r>
      <w:r w:rsidR="00753978">
        <w:rPr>
          <w:rFonts w:ascii="Arial" w:hAnsi="Arial" w:cs="Arial"/>
          <w:sz w:val="22"/>
          <w:szCs w:val="22"/>
          <w:lang w:eastAsia="x-none"/>
        </w:rPr>
        <w:t>.</w:t>
      </w:r>
    </w:p>
    <w:p w14:paraId="182934C5" w14:textId="7E0A708C" w:rsidR="00822941" w:rsidRPr="00822941" w:rsidRDefault="00822941" w:rsidP="00822941">
      <w:pPr>
        <w:spacing w:after="120" w:line="276" w:lineRule="auto"/>
        <w:ind w:firstLine="709"/>
        <w:jc w:val="both"/>
        <w:rPr>
          <w:rFonts w:ascii="Arial" w:hAnsi="Arial" w:cs="Arial"/>
          <w:sz w:val="22"/>
          <w:szCs w:val="22"/>
          <w:lang w:val="es-MX"/>
        </w:rPr>
      </w:pPr>
      <w:r w:rsidRPr="00822941">
        <w:rPr>
          <w:rFonts w:ascii="Arial" w:hAnsi="Arial" w:cs="Arial"/>
          <w:sz w:val="22"/>
          <w:szCs w:val="22"/>
          <w:lang w:val="es-MX"/>
        </w:rPr>
        <w:t>Como se advierte de lo anterior, el Consejo de Estado realiza una interpretación amplia de la contratación directa para efectos de aplicar las restricciones establecidas en la Ley de Garantías Electorales,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7FDA189E" w14:textId="7FD60132" w:rsidR="00822941" w:rsidRPr="00822941" w:rsidRDefault="00822941" w:rsidP="00822941">
      <w:pPr>
        <w:spacing w:after="120" w:line="276" w:lineRule="auto"/>
        <w:ind w:firstLine="709"/>
        <w:jc w:val="both"/>
        <w:rPr>
          <w:rFonts w:ascii="Arial" w:hAnsi="Arial" w:cs="Arial"/>
          <w:sz w:val="22"/>
          <w:szCs w:val="22"/>
          <w:lang w:val="es-MX" w:eastAsia="x-none"/>
        </w:rPr>
      </w:pPr>
      <w:bookmarkStart w:id="54" w:name="_Hlk78818796"/>
      <w:r w:rsidRPr="00822941">
        <w:rPr>
          <w:rFonts w:ascii="Arial" w:hAnsi="Arial" w:cs="Arial"/>
          <w:sz w:val="22"/>
          <w:szCs w:val="22"/>
          <w:lang w:val="es-MX" w:eastAsia="x-none"/>
        </w:rPr>
        <w:t xml:space="preserve">Así las cosas, </w:t>
      </w:r>
      <w:bookmarkStart w:id="55" w:name="_Hlk99577798"/>
      <w:r w:rsidRPr="00822941">
        <w:rPr>
          <w:rFonts w:ascii="Arial" w:hAnsi="Arial" w:cs="Arial"/>
          <w:sz w:val="22"/>
          <w:szCs w:val="22"/>
          <w:lang w:val="es-MX" w:eastAsia="x-none"/>
        </w:rPr>
        <w:t>ha de entenderse que, para los efectos de la Ley de Garantías Electorales y, en particular, para la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822941">
        <w:rPr>
          <w:rFonts w:ascii="Arial" w:hAnsi="Arial" w:cs="Arial"/>
          <w:sz w:val="22"/>
          <w:szCs w:val="22"/>
          <w:vertAlign w:val="superscript"/>
          <w:lang w:eastAsia="x-none"/>
        </w:rPr>
        <w:footnoteReference w:id="19"/>
      </w:r>
      <w:r w:rsidR="00753978">
        <w:rPr>
          <w:rFonts w:ascii="Arial" w:hAnsi="Arial" w:cs="Arial"/>
          <w:sz w:val="22"/>
          <w:szCs w:val="22"/>
          <w:lang w:val="es-MX" w:eastAsia="x-none"/>
        </w:rPr>
        <w:t>.</w:t>
      </w:r>
    </w:p>
    <w:bookmarkEnd w:id="54"/>
    <w:p w14:paraId="6CEF684C" w14:textId="77777777" w:rsidR="00822941" w:rsidRPr="00822941" w:rsidRDefault="00822941" w:rsidP="00822941">
      <w:pPr>
        <w:spacing w:after="120" w:line="276" w:lineRule="auto"/>
        <w:ind w:firstLine="709"/>
        <w:jc w:val="both"/>
        <w:rPr>
          <w:rFonts w:ascii="Arial" w:hAnsi="Arial" w:cs="Arial"/>
          <w:sz w:val="22"/>
          <w:szCs w:val="22"/>
          <w:lang w:eastAsia="x-none"/>
        </w:rPr>
      </w:pPr>
      <w:r w:rsidRPr="00822941">
        <w:rPr>
          <w:rFonts w:ascii="Arial" w:hAnsi="Arial" w:cs="Arial"/>
          <w:sz w:val="22"/>
          <w:szCs w:val="22"/>
          <w:lang w:val="es-MX" w:eastAsia="x-none"/>
        </w:rPr>
        <w:t>De lo anterior se desprende que la restricción aplica, sin perjuicio de las excepciones establecidas en la misma ley, para celebrar cualquier contrato de forma directa, esto es, sin que exista un proceso abierto y competitivo.</w:t>
      </w:r>
      <w:r w:rsidRPr="00822941">
        <w:rPr>
          <w:rFonts w:ascii="Arial" w:hAnsi="Arial" w:cs="Arial"/>
          <w:sz w:val="22"/>
          <w:szCs w:val="22"/>
          <w:lang w:eastAsia="x-none"/>
        </w:rPr>
        <w:t xml:space="preserve">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sistemas.</w:t>
      </w:r>
    </w:p>
    <w:p w14:paraId="3781120A" w14:textId="77777777" w:rsidR="00822941" w:rsidRPr="00822941" w:rsidRDefault="00822941" w:rsidP="00822941">
      <w:pPr>
        <w:spacing w:after="120" w:line="276" w:lineRule="auto"/>
        <w:ind w:firstLine="709"/>
        <w:jc w:val="both"/>
        <w:rPr>
          <w:rFonts w:ascii="Arial" w:hAnsi="Arial" w:cs="Arial"/>
          <w:sz w:val="22"/>
          <w:szCs w:val="22"/>
          <w:lang w:val="es-MX" w:eastAsia="x-none"/>
        </w:rPr>
      </w:pPr>
      <w:bookmarkStart w:id="56" w:name="_Hlk77237094"/>
      <w:bookmarkEnd w:id="55"/>
      <w:r w:rsidRPr="00822941">
        <w:rPr>
          <w:rFonts w:ascii="Arial" w:hAnsi="Arial" w:cs="Arial"/>
          <w:sz w:val="22"/>
          <w:szCs w:val="22"/>
          <w:lang w:val="es-MX"/>
        </w:rPr>
        <w:lastRenderedPageBreak/>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56"/>
    </w:p>
    <w:p w14:paraId="6D9DC8CB" w14:textId="7C2CF05E" w:rsidR="00822941" w:rsidRPr="00822941" w:rsidRDefault="00822941" w:rsidP="00822941">
      <w:pPr>
        <w:spacing w:after="120" w:line="276" w:lineRule="auto"/>
        <w:ind w:firstLine="709"/>
        <w:jc w:val="both"/>
        <w:rPr>
          <w:rFonts w:ascii="Arial" w:hAnsi="Arial" w:cs="Arial"/>
          <w:sz w:val="22"/>
          <w:szCs w:val="22"/>
          <w:lang w:val="es-MX"/>
        </w:rPr>
      </w:pPr>
      <w:r w:rsidRPr="00822941">
        <w:rPr>
          <w:rFonts w:ascii="Arial" w:hAnsi="Arial" w:cs="Arial"/>
          <w:sz w:val="22"/>
          <w:szCs w:val="22"/>
          <w:lang w:val="es-MX" w:eastAsia="x-none"/>
        </w:rPr>
        <w:t xml:space="preserve">De otro lado, </w:t>
      </w:r>
      <w:bookmarkStart w:id="57" w:name="_Hlk99577887"/>
      <w:bookmarkStart w:id="58" w:name="_Hlk100679762"/>
      <w:r w:rsidRPr="00822941">
        <w:rPr>
          <w:rFonts w:ascii="Arial" w:hAnsi="Arial" w:cs="Arial"/>
          <w:sz w:val="22"/>
          <w:szCs w:val="22"/>
          <w:lang w:val="es-MX" w:eastAsia="x-none"/>
        </w:rPr>
        <w:t>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822941">
        <w:rPr>
          <w:rFonts w:ascii="Arial" w:hAnsi="Arial" w:cs="Arial"/>
          <w:sz w:val="22"/>
          <w:szCs w:val="22"/>
          <w:lang w:val="es-MX"/>
        </w:rPr>
        <w:t xml:space="preserve"> Es responsabilidad del respectivo ente del Estado</w:t>
      </w:r>
      <w:r w:rsidR="00753978">
        <w:rPr>
          <w:rFonts w:ascii="Arial" w:hAnsi="Arial" w:cs="Arial"/>
          <w:sz w:val="22"/>
          <w:szCs w:val="22"/>
          <w:lang w:val="es-MX"/>
        </w:rPr>
        <w:t>,</w:t>
      </w:r>
      <w:r w:rsidRPr="00822941">
        <w:rPr>
          <w:rFonts w:ascii="Arial" w:hAnsi="Arial" w:cs="Arial"/>
          <w:sz w:val="22"/>
          <w:szCs w:val="22"/>
          <w:lang w:val="es-MX"/>
        </w:rPr>
        <w:t xml:space="preserve"> examinar en cada caso la naturaleza de las actividades que adelanta y determinar si las mismas se enmarcan en alguna de las mencionadas excepciones, de </w:t>
      </w:r>
      <w:r w:rsidR="00753978">
        <w:rPr>
          <w:rFonts w:ascii="Arial" w:hAnsi="Arial" w:cs="Arial"/>
          <w:sz w:val="22"/>
          <w:szCs w:val="22"/>
          <w:lang w:val="es-MX"/>
        </w:rPr>
        <w:t xml:space="preserve">suerte </w:t>
      </w:r>
      <w:r w:rsidRPr="00822941">
        <w:rPr>
          <w:rFonts w:ascii="Arial" w:hAnsi="Arial" w:cs="Arial"/>
          <w:sz w:val="22"/>
          <w:szCs w:val="22"/>
          <w:lang w:val="es-MX"/>
        </w:rPr>
        <w:t>que se le permita realizar la contratación que necesite en forma directa.</w:t>
      </w:r>
      <w:bookmarkEnd w:id="57"/>
    </w:p>
    <w:bookmarkEnd w:id="58"/>
    <w:p w14:paraId="739ED86C" w14:textId="6895C8CF" w:rsidR="00753978" w:rsidRDefault="00822941" w:rsidP="00822941">
      <w:pPr>
        <w:spacing w:line="276" w:lineRule="auto"/>
        <w:ind w:firstLine="708"/>
        <w:jc w:val="both"/>
        <w:rPr>
          <w:rFonts w:ascii="Arial" w:hAnsi="Arial" w:cs="Arial"/>
          <w:sz w:val="22"/>
          <w:szCs w:val="22"/>
          <w:lang w:val="es-MX" w:eastAsia="x-none"/>
        </w:rPr>
      </w:pPr>
      <w:r w:rsidRPr="00822941">
        <w:rPr>
          <w:rFonts w:ascii="Arial" w:hAnsi="Arial" w:cs="Arial"/>
          <w:sz w:val="22"/>
          <w:szCs w:val="22"/>
          <w:lang w:val="es-MX" w:eastAsia="x-none"/>
        </w:rPr>
        <w:t>En esta labor es importante tener en cuenta, como lo a</w:t>
      </w:r>
      <w:r w:rsidR="00753978">
        <w:rPr>
          <w:rFonts w:ascii="Arial" w:hAnsi="Arial" w:cs="Arial"/>
          <w:sz w:val="22"/>
          <w:szCs w:val="22"/>
          <w:lang w:val="es-MX" w:eastAsia="x-none"/>
        </w:rPr>
        <w:t xml:space="preserve">puntó en su momento </w:t>
      </w:r>
      <w:r w:rsidRPr="00822941">
        <w:rPr>
          <w:rFonts w:ascii="Arial" w:hAnsi="Arial" w:cs="Arial"/>
          <w:sz w:val="22"/>
          <w:szCs w:val="22"/>
          <w:lang w:val="es-MX" w:eastAsia="x-none"/>
        </w:rPr>
        <w:t xml:space="preserve">la Corte Constitucional en </w:t>
      </w:r>
      <w:r w:rsidR="00753978">
        <w:rPr>
          <w:rFonts w:ascii="Arial" w:hAnsi="Arial" w:cs="Arial"/>
          <w:sz w:val="22"/>
          <w:szCs w:val="22"/>
          <w:lang w:val="es-MX" w:eastAsia="x-none"/>
        </w:rPr>
        <w:t xml:space="preserve">la </w:t>
      </w:r>
      <w:r w:rsidRPr="00822941">
        <w:rPr>
          <w:rFonts w:ascii="Arial" w:hAnsi="Arial" w:cs="Arial"/>
          <w:sz w:val="22"/>
          <w:szCs w:val="22"/>
          <w:lang w:val="es-MX" w:eastAsia="x-none"/>
        </w:rPr>
        <w:t>Sentencia C-1153 de noviembre 11 de 2005</w:t>
      </w:r>
      <w:r w:rsidRPr="00822941">
        <w:rPr>
          <w:rFonts w:ascii="Arial" w:eastAsia="Calibri" w:hAnsi="Arial" w:cs="Arial"/>
          <w:szCs w:val="22"/>
          <w:lang w:val="es-MX" w:eastAsia="en-US"/>
        </w:rPr>
        <w:t>,</w:t>
      </w:r>
      <w:r w:rsidRPr="00822941">
        <w:rPr>
          <w:rFonts w:ascii="Arial" w:hAnsi="Arial" w:cs="Arial"/>
          <w:sz w:val="22"/>
          <w:szCs w:val="22"/>
          <w:lang w:val="es-MX" w:eastAsia="x-none"/>
        </w:rPr>
        <w:t xml:space="preserve"> </w:t>
      </w:r>
      <w:bookmarkStart w:id="59" w:name="_Hlk74309042"/>
      <w:r w:rsidRPr="00822941">
        <w:rPr>
          <w:rFonts w:ascii="Arial" w:hAnsi="Arial" w:cs="Arial"/>
          <w:sz w:val="22"/>
          <w:szCs w:val="22"/>
          <w:lang w:val="es-MX" w:eastAsia="x-none"/>
        </w:rPr>
        <w:t>que “</w:t>
      </w:r>
      <w:bookmarkEnd w:id="59"/>
      <w:r w:rsidRPr="00822941">
        <w:rPr>
          <w:rFonts w:ascii="Arial" w:hAnsi="Arial" w:cs="Arial"/>
          <w:sz w:val="22"/>
          <w:szCs w:val="22"/>
          <w:lang w:val="es-MX" w:eastAsia="x-none"/>
        </w:rPr>
        <w:t xml:space="preserve">si bien la limitación garantiza la igualdad de condiciones, también es necesario que tal limitación que pretende la igualdad </w:t>
      </w:r>
      <w:bookmarkStart w:id="60" w:name="_Hlk75768308"/>
      <w:r w:rsidRPr="00822941">
        <w:rPr>
          <w:rFonts w:ascii="Arial" w:hAnsi="Arial" w:cs="Arial"/>
          <w:sz w:val="22"/>
          <w:szCs w:val="22"/>
          <w:lang w:val="es-MX" w:eastAsia="x-none"/>
        </w:rPr>
        <w:t>no termine yendo en detrimento de intereses públicos, cuya garantía está en cabeza del ejecutivo, como son los inmersos en las excepciones para la prohibición de contratación”</w:t>
      </w:r>
      <w:r w:rsidRPr="00822941">
        <w:rPr>
          <w:rFonts w:ascii="Arial" w:eastAsia="Calibri" w:hAnsi="Arial" w:cs="Arial"/>
          <w:sz w:val="22"/>
          <w:szCs w:val="22"/>
          <w:vertAlign w:val="superscript"/>
          <w:lang w:val="es-MX" w:eastAsia="en-US"/>
        </w:rPr>
        <w:footnoteReference w:id="20"/>
      </w:r>
      <w:r w:rsidRPr="00822941">
        <w:rPr>
          <w:rFonts w:ascii="Arial" w:hAnsi="Arial" w:cs="Arial"/>
          <w:sz w:val="22"/>
          <w:szCs w:val="22"/>
          <w:lang w:val="es-MX"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End w:id="60"/>
    </w:p>
    <w:p w14:paraId="68996DF3" w14:textId="77777777" w:rsidR="00753978" w:rsidRPr="00822941" w:rsidRDefault="00753978" w:rsidP="00822941">
      <w:pPr>
        <w:spacing w:line="276" w:lineRule="auto"/>
        <w:ind w:firstLine="708"/>
        <w:jc w:val="both"/>
        <w:rPr>
          <w:rFonts w:ascii="Arial" w:hAnsi="Arial" w:cs="Arial"/>
          <w:sz w:val="22"/>
          <w:szCs w:val="22"/>
          <w:lang w:val="es-MX" w:eastAsia="x-none"/>
        </w:rPr>
      </w:pPr>
    </w:p>
    <w:p w14:paraId="062BB181" w14:textId="11954428" w:rsidR="00753978" w:rsidRPr="00753978" w:rsidRDefault="003D6465" w:rsidP="00753978">
      <w:pPr>
        <w:spacing w:after="120" w:line="276" w:lineRule="auto"/>
        <w:jc w:val="both"/>
        <w:rPr>
          <w:rFonts w:ascii="Arial" w:eastAsia="Calibri" w:hAnsi="Arial" w:cs="Arial"/>
          <w:color w:val="000000"/>
          <w:sz w:val="22"/>
          <w:lang w:val="es-ES_tradnl" w:eastAsia="es-ES_tradnl"/>
        </w:rPr>
      </w:pPr>
      <w:bookmarkStart w:id="61" w:name="_Hlk142986943"/>
      <w:bookmarkEnd w:id="31"/>
      <w:bookmarkEnd w:id="46"/>
      <w:r w:rsidRPr="004778FF">
        <w:rPr>
          <w:rFonts w:ascii="Arial" w:eastAsia="Calibri" w:hAnsi="Arial" w:cs="Arial"/>
          <w:b/>
          <w:bCs/>
          <w:iCs/>
          <w:sz w:val="22"/>
          <w:szCs w:val="22"/>
          <w:lang w:eastAsia="en-US"/>
        </w:rPr>
        <w:t>2.</w:t>
      </w:r>
      <w:r>
        <w:rPr>
          <w:rFonts w:ascii="Arial" w:eastAsia="Calibri" w:hAnsi="Arial" w:cs="Arial"/>
          <w:b/>
          <w:bCs/>
          <w:iCs/>
          <w:sz w:val="22"/>
          <w:szCs w:val="22"/>
          <w:lang w:eastAsia="en-US"/>
        </w:rPr>
        <w:t>3</w:t>
      </w:r>
      <w:r w:rsidRPr="004778FF">
        <w:rPr>
          <w:rFonts w:ascii="Arial" w:eastAsia="Calibri" w:hAnsi="Arial" w:cs="Arial"/>
          <w:b/>
          <w:bCs/>
          <w:iCs/>
          <w:sz w:val="22"/>
          <w:szCs w:val="22"/>
          <w:lang w:eastAsia="en-US"/>
        </w:rPr>
        <w:t>.</w:t>
      </w:r>
      <w:r w:rsidRPr="004778FF">
        <w:rPr>
          <w:rFonts w:ascii="Arial" w:eastAsia="Calibri" w:hAnsi="Arial" w:cs="Arial"/>
          <w:b/>
          <w:bCs/>
          <w:iCs/>
          <w:sz w:val="22"/>
          <w:szCs w:val="22"/>
          <w:lang w:eastAsia="en-US"/>
        </w:rPr>
        <w:tab/>
      </w:r>
      <w:bookmarkStart w:id="62" w:name="_Hlk75783800"/>
      <w:bookmarkStart w:id="63" w:name="_Hlk140044483"/>
      <w:r w:rsidR="00753978" w:rsidRPr="00753978">
        <w:rPr>
          <w:rFonts w:ascii="Arial" w:hAnsi="Arial" w:cs="Arial"/>
          <w:b/>
          <w:sz w:val="22"/>
          <w:szCs w:val="22"/>
          <w:lang w:val="es-MX" w:eastAsia="x-none"/>
        </w:rPr>
        <w:t>Destinatarios de la restricción del artículo 33 de la Ley 996 de 2005</w:t>
      </w:r>
    </w:p>
    <w:p w14:paraId="5F3B4409" w14:textId="68E57C16" w:rsidR="00753978" w:rsidRPr="00753978" w:rsidRDefault="00753978" w:rsidP="00753978">
      <w:pPr>
        <w:spacing w:line="276" w:lineRule="auto"/>
        <w:jc w:val="both"/>
        <w:rPr>
          <w:rFonts w:ascii="Arial" w:hAnsi="Arial" w:cs="Arial"/>
          <w:sz w:val="22"/>
          <w:szCs w:val="22"/>
          <w:lang w:val="es-MX" w:eastAsia="x-none"/>
        </w:rPr>
      </w:pPr>
      <w:bookmarkStart w:id="64" w:name="_Hlk99578018"/>
      <w:r w:rsidRPr="00753978">
        <w:rPr>
          <w:rFonts w:ascii="Arial" w:hAnsi="Arial" w:cs="Arial"/>
          <w:sz w:val="22"/>
          <w:szCs w:val="22"/>
          <w:lang w:val="es-MX" w:eastAsia="x-none"/>
        </w:rPr>
        <w:t>El artículo</w:t>
      </w:r>
      <w:r>
        <w:rPr>
          <w:rFonts w:ascii="Arial" w:hAnsi="Arial" w:cs="Arial"/>
          <w:sz w:val="22"/>
          <w:szCs w:val="22"/>
          <w:lang w:val="es-MX" w:eastAsia="x-none"/>
        </w:rPr>
        <w:t xml:space="preserve"> </w:t>
      </w:r>
      <w:r w:rsidRPr="00753978">
        <w:rPr>
          <w:rFonts w:ascii="Arial" w:hAnsi="Arial" w:cs="Arial"/>
          <w:sz w:val="22"/>
          <w:szCs w:val="22"/>
          <w:lang w:val="es-MX" w:eastAsia="x-none"/>
        </w:rPr>
        <w:t>33 de la Ley 996 de 2005 señala expresamente a los destinatarios de la prohibición, en el sentido de que son “todos los entes del Estado”, expresión que contempla a los diferentes organismos o entidades autorizadas por la ley para suscribir contratos.</w:t>
      </w:r>
      <w:r w:rsidRPr="00753978">
        <w:rPr>
          <w:rFonts w:ascii="Arial" w:eastAsia="Calibri" w:hAnsi="Arial" w:cs="Arial"/>
          <w:szCs w:val="22"/>
          <w:lang w:val="es-MX" w:eastAsia="en-US"/>
        </w:rPr>
        <w:t xml:space="preserve"> </w:t>
      </w:r>
      <w:r w:rsidRPr="00753978">
        <w:rPr>
          <w:rFonts w:ascii="Arial" w:hAnsi="Arial" w:cs="Arial"/>
          <w:sz w:val="22"/>
          <w:szCs w:val="22"/>
          <w:lang w:val="es-MX" w:eastAsia="x-none"/>
        </w:rPr>
        <w:t>En efecto, como ha sostenido el Consejo de Estado, el vocablo “todos” utilizado por el legislador comprende</w:t>
      </w:r>
      <w:r w:rsidRPr="00753978">
        <w:rPr>
          <w:rFonts w:ascii="Arial" w:eastAsia="Calibri" w:hAnsi="Arial" w:cs="Arial"/>
          <w:szCs w:val="22"/>
          <w:lang w:val="es-MX" w:eastAsia="en-US"/>
        </w:rPr>
        <w:t xml:space="preserve"> </w:t>
      </w:r>
      <w:r w:rsidRPr="00753978">
        <w:rPr>
          <w:rFonts w:ascii="Arial" w:hAnsi="Arial" w:cs="Arial"/>
          <w:sz w:val="22"/>
          <w:szCs w:val="22"/>
          <w:lang w:val="es-MX" w:eastAsia="x-none"/>
        </w:rPr>
        <w:t>a la totalidad de los entes del Estado, sin distinción del régimen jurídico, forma de organización o naturaleza, su pertenencia a una u otra rama del poder público o su autonomía</w:t>
      </w:r>
      <w:bookmarkEnd w:id="62"/>
      <w:r w:rsidRPr="00753978">
        <w:rPr>
          <w:rFonts w:ascii="Arial" w:hAnsi="Arial" w:cs="Arial"/>
          <w:sz w:val="22"/>
          <w:szCs w:val="22"/>
          <w:lang w:val="es-MX" w:eastAsia="x-none"/>
        </w:rPr>
        <w:t xml:space="preserve">, e incluso si las entidades estatales tienen régimen especial de contratación y están exceptuadas del ámbito de </w:t>
      </w:r>
      <w:r w:rsidRPr="00753978">
        <w:rPr>
          <w:rFonts w:ascii="Arial" w:hAnsi="Arial" w:cs="Arial"/>
          <w:sz w:val="22"/>
          <w:szCs w:val="22"/>
          <w:lang w:val="es-MX" w:eastAsia="x-none"/>
        </w:rPr>
        <w:lastRenderedPageBreak/>
        <w:t xml:space="preserve">aplicación del Estatuto General de Contratación de la Administración Pública. </w:t>
      </w:r>
      <w:bookmarkEnd w:id="64"/>
      <w:r w:rsidRPr="00753978">
        <w:rPr>
          <w:rFonts w:ascii="Arial" w:hAnsi="Arial" w:cs="Arial"/>
          <w:sz w:val="22"/>
          <w:szCs w:val="22"/>
          <w:lang w:val="es-MX" w:eastAsia="x-none"/>
        </w:rPr>
        <w:t>El Consejo de Estado, en Concepto con radicado 1727 de fecha 20 de febrero de 2006, consideró que:</w:t>
      </w:r>
    </w:p>
    <w:bookmarkEnd w:id="61"/>
    <w:p w14:paraId="7FADF7BD" w14:textId="77777777" w:rsidR="00753978" w:rsidRPr="00753978" w:rsidRDefault="00753978" w:rsidP="00753978">
      <w:pPr>
        <w:spacing w:line="276" w:lineRule="auto"/>
        <w:ind w:firstLine="708"/>
        <w:contextualSpacing/>
        <w:jc w:val="both"/>
        <w:rPr>
          <w:rFonts w:ascii="Arial" w:hAnsi="Arial" w:cs="Arial"/>
          <w:sz w:val="22"/>
          <w:szCs w:val="22"/>
          <w:lang w:val="es-MX" w:eastAsia="x-none"/>
        </w:rPr>
      </w:pPr>
    </w:p>
    <w:p w14:paraId="50061222" w14:textId="77777777" w:rsidR="00753978" w:rsidRPr="00753978" w:rsidRDefault="00753978" w:rsidP="00753978">
      <w:pPr>
        <w:ind w:left="708" w:right="709"/>
        <w:contextualSpacing/>
        <w:jc w:val="both"/>
        <w:rPr>
          <w:rFonts w:ascii="Arial" w:hAnsi="Arial" w:cs="Arial"/>
          <w:sz w:val="21"/>
          <w:szCs w:val="21"/>
          <w:lang w:val="es-MX"/>
        </w:rPr>
      </w:pPr>
      <w:r w:rsidRPr="00753978">
        <w:rPr>
          <w:rFonts w:ascii="Arial" w:hAnsi="Arial" w:cs="Arial"/>
          <w:sz w:val="21"/>
          <w:szCs w:val="21"/>
          <w:lang w:val="es-MX" w:eastAsia="x-none"/>
        </w:rPr>
        <w:t xml:space="preserve">“El artículo 33 de la ley 996 de 2005, </w:t>
      </w:r>
      <w:bookmarkStart w:id="65" w:name="_Hlk75787147"/>
      <w:r w:rsidRPr="00753978">
        <w:rPr>
          <w:rFonts w:ascii="Arial" w:hAnsi="Arial" w:cs="Arial"/>
          <w:sz w:val="21"/>
          <w:szCs w:val="21"/>
          <w:lang w:val="es-MX" w:eastAsia="x-none"/>
        </w:rPr>
        <w:t xml:space="preserve">efectivamente se aplica </w:t>
      </w:r>
      <w:bookmarkStart w:id="66" w:name="_Hlk76074089"/>
      <w:r w:rsidRPr="00753978">
        <w:rPr>
          <w:rFonts w:ascii="Arial" w:hAnsi="Arial" w:cs="Arial"/>
          <w:sz w:val="21"/>
          <w:szCs w:val="21"/>
          <w:lang w:val="es-MX" w:eastAsia="x-none"/>
        </w:rPr>
        <w:t>incluso a las entidades estatales con régimen especial de contratación y que están exceptuadas del ámbito de aplicación del Estatuto General de Contratación de la Administración Pública</w:t>
      </w:r>
      <w:bookmarkEnd w:id="66"/>
      <w:r w:rsidRPr="00753978">
        <w:rPr>
          <w:rFonts w:ascii="Arial" w:hAnsi="Arial" w:cs="Arial"/>
          <w:sz w:val="21"/>
          <w:szCs w:val="21"/>
          <w:lang w:val="es-MX" w:eastAsia="x-none"/>
        </w:rPr>
        <w:t>,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753978">
        <w:rPr>
          <w:rFonts w:ascii="Arial" w:hAnsi="Arial" w:cs="Arial"/>
          <w:sz w:val="21"/>
          <w:szCs w:val="21"/>
          <w:vertAlign w:val="superscript"/>
          <w:lang w:val="es-MX" w:eastAsia="x-none"/>
        </w:rPr>
        <w:footnoteReference w:id="21"/>
      </w:r>
      <w:r w:rsidRPr="00753978">
        <w:rPr>
          <w:rFonts w:ascii="Arial" w:hAnsi="Arial" w:cs="Arial"/>
          <w:sz w:val="21"/>
          <w:szCs w:val="21"/>
          <w:lang w:val="es-MX" w:eastAsia="x-none"/>
        </w:rPr>
        <w:t>.</w:t>
      </w:r>
      <w:r w:rsidRPr="00753978">
        <w:rPr>
          <w:rFonts w:ascii="Arial" w:hAnsi="Arial" w:cs="Arial"/>
          <w:sz w:val="21"/>
          <w:szCs w:val="21"/>
          <w:lang w:val="es-MX"/>
        </w:rPr>
        <w:t xml:space="preserve"> </w:t>
      </w:r>
    </w:p>
    <w:p w14:paraId="13F28197" w14:textId="77777777" w:rsidR="00753978" w:rsidRPr="00753978" w:rsidRDefault="00753978" w:rsidP="00753978">
      <w:pPr>
        <w:spacing w:line="276" w:lineRule="auto"/>
        <w:ind w:firstLine="708"/>
        <w:contextualSpacing/>
        <w:jc w:val="both"/>
        <w:rPr>
          <w:rFonts w:ascii="Arial" w:hAnsi="Arial" w:cs="Arial"/>
          <w:sz w:val="22"/>
          <w:szCs w:val="22"/>
          <w:lang w:val="es-MX"/>
        </w:rPr>
      </w:pPr>
    </w:p>
    <w:p w14:paraId="59622C29" w14:textId="550884BE" w:rsidR="00753978" w:rsidRPr="00753978" w:rsidRDefault="00753978" w:rsidP="00753978">
      <w:pPr>
        <w:spacing w:line="276" w:lineRule="auto"/>
        <w:ind w:firstLine="708"/>
        <w:contextualSpacing/>
        <w:jc w:val="both"/>
        <w:rPr>
          <w:rFonts w:ascii="Arial" w:eastAsia="Calibri" w:hAnsi="Arial" w:cs="Arial"/>
          <w:sz w:val="22"/>
          <w:szCs w:val="22"/>
          <w:lang w:val="es-MX" w:eastAsia="en-US"/>
        </w:rPr>
      </w:pPr>
      <w:r w:rsidRPr="00753978">
        <w:rPr>
          <w:rFonts w:ascii="Arial" w:hAnsi="Arial" w:cs="Arial"/>
          <w:sz w:val="22"/>
          <w:szCs w:val="22"/>
          <w:lang w:val="es-MX" w:eastAsia="x-none"/>
        </w:rPr>
        <w:t>En Concepto con radicado 1738 de 6 de abril de 2006, esa misma Corporación manifestó que “</w:t>
      </w:r>
      <w:r>
        <w:rPr>
          <w:rFonts w:ascii="Arial" w:hAnsi="Arial" w:cs="Arial"/>
          <w:sz w:val="22"/>
          <w:szCs w:val="22"/>
          <w:lang w:val="es-MX" w:eastAsia="x-none"/>
        </w:rPr>
        <w:t>[l]</w:t>
      </w:r>
      <w:r w:rsidRPr="00753978">
        <w:rPr>
          <w:rFonts w:ascii="Arial" w:hAnsi="Arial" w:cs="Arial"/>
          <w:sz w:val="22"/>
          <w:szCs w:val="22"/>
          <w:lang w:val="es-MX" w:eastAsia="x-none"/>
        </w:rPr>
        <w:t>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67" w:name="_Hlk75758868"/>
      <w:bookmarkStart w:id="68" w:name="_Hlk75741220"/>
      <w:r w:rsidRPr="00753978">
        <w:rPr>
          <w:rFonts w:ascii="Arial" w:eastAsia="Calibri" w:hAnsi="Arial" w:cs="Arial"/>
          <w:szCs w:val="22"/>
          <w:vertAlign w:val="superscript"/>
          <w:lang w:val="es-MX" w:eastAsia="en-US"/>
        </w:rPr>
        <w:footnoteReference w:id="22"/>
      </w:r>
      <w:bookmarkEnd w:id="67"/>
      <w:bookmarkEnd w:id="68"/>
      <w:r>
        <w:rPr>
          <w:rFonts w:ascii="Arial" w:hAnsi="Arial" w:cs="Arial"/>
          <w:sz w:val="22"/>
          <w:szCs w:val="22"/>
          <w:lang w:val="es-MX" w:eastAsia="x-none"/>
        </w:rPr>
        <w:t xml:space="preserve">. </w:t>
      </w:r>
      <w:r w:rsidRPr="00753978">
        <w:rPr>
          <w:rFonts w:ascii="Arial" w:eastAsia="Calibri" w:hAnsi="Arial" w:cs="Arial"/>
          <w:sz w:val="22"/>
          <w:szCs w:val="22"/>
          <w:lang w:val="es-MX" w:eastAsia="en-US"/>
        </w:rPr>
        <w:t>Sin embargo, debe precisarse el siguiente aspecto que distinguió la Sala de Consulta y Servicio Civil:</w:t>
      </w:r>
    </w:p>
    <w:p w14:paraId="2645047A" w14:textId="77777777" w:rsidR="00753978" w:rsidRPr="00753978" w:rsidRDefault="00753978" w:rsidP="00753978">
      <w:pPr>
        <w:spacing w:line="276" w:lineRule="auto"/>
        <w:contextualSpacing/>
        <w:jc w:val="both"/>
        <w:rPr>
          <w:rFonts w:ascii="Arial" w:eastAsia="Calibri" w:hAnsi="Arial" w:cs="Arial"/>
          <w:sz w:val="22"/>
          <w:szCs w:val="22"/>
          <w:lang w:val="es-MX" w:eastAsia="en-US"/>
        </w:rPr>
      </w:pPr>
    </w:p>
    <w:p w14:paraId="40C97F28" w14:textId="77777777" w:rsidR="00753978" w:rsidRPr="00753978" w:rsidRDefault="00753978" w:rsidP="00753978">
      <w:pPr>
        <w:ind w:left="708" w:right="709"/>
        <w:contextualSpacing/>
        <w:jc w:val="both"/>
        <w:rPr>
          <w:rFonts w:ascii="Arial" w:eastAsia="Calibri" w:hAnsi="Arial" w:cs="Arial"/>
          <w:sz w:val="21"/>
          <w:szCs w:val="21"/>
          <w:lang w:val="es-MX" w:eastAsia="en-US"/>
        </w:rPr>
      </w:pPr>
      <w:bookmarkStart w:id="70" w:name="_Hlk75811446"/>
      <w:r w:rsidRPr="00753978">
        <w:rPr>
          <w:rFonts w:ascii="Arial" w:eastAsia="Calibri" w:hAnsi="Arial" w:cs="Arial"/>
          <w:sz w:val="21"/>
          <w:szCs w:val="21"/>
          <w:lang w:val="es-MX" w:eastAsia="en-US"/>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70"/>
      <w:r w:rsidRPr="00753978">
        <w:rPr>
          <w:rFonts w:ascii="Arial" w:eastAsia="Calibri" w:hAnsi="Arial" w:cs="Arial"/>
          <w:sz w:val="21"/>
          <w:szCs w:val="21"/>
          <w:lang w:val="es-MX" w:eastAsia="en-US"/>
        </w:rPr>
        <w:t>”</w:t>
      </w:r>
      <w:r w:rsidRPr="00753978">
        <w:rPr>
          <w:rFonts w:ascii="Arial" w:eastAsia="Calibri" w:hAnsi="Arial" w:cs="Arial"/>
          <w:szCs w:val="22"/>
          <w:vertAlign w:val="superscript"/>
          <w:lang w:val="es-MX" w:eastAsia="en-US"/>
        </w:rPr>
        <w:footnoteReference w:id="23"/>
      </w:r>
      <w:r w:rsidRPr="00753978">
        <w:rPr>
          <w:rFonts w:ascii="Arial" w:hAnsi="Arial" w:cs="Arial"/>
          <w:sz w:val="22"/>
          <w:szCs w:val="22"/>
          <w:lang w:val="es-MX" w:eastAsia="x-none"/>
        </w:rPr>
        <w:t>.</w:t>
      </w:r>
    </w:p>
    <w:p w14:paraId="0D1FFC46" w14:textId="77777777" w:rsidR="00753978" w:rsidRPr="00753978" w:rsidRDefault="00753978" w:rsidP="00753978">
      <w:pPr>
        <w:spacing w:line="276" w:lineRule="auto"/>
        <w:contextualSpacing/>
        <w:jc w:val="both"/>
        <w:rPr>
          <w:rFonts w:ascii="Arial" w:eastAsia="Calibri" w:hAnsi="Arial" w:cs="Arial"/>
          <w:sz w:val="22"/>
          <w:szCs w:val="22"/>
          <w:lang w:val="es-MX" w:eastAsia="en-US"/>
        </w:rPr>
      </w:pPr>
    </w:p>
    <w:p w14:paraId="1F1DBBA2" w14:textId="277E2315" w:rsidR="00753978" w:rsidRPr="00753978" w:rsidRDefault="00753978" w:rsidP="00753978">
      <w:pPr>
        <w:spacing w:after="120" w:line="276" w:lineRule="auto"/>
        <w:ind w:firstLine="709"/>
        <w:jc w:val="both"/>
        <w:rPr>
          <w:rFonts w:ascii="Arial" w:hAnsi="Arial" w:cs="Arial"/>
          <w:sz w:val="22"/>
          <w:szCs w:val="22"/>
          <w:lang w:val="es-MX" w:eastAsia="x-none"/>
        </w:rPr>
      </w:pPr>
      <w:r w:rsidRPr="00753978">
        <w:rPr>
          <w:rFonts w:ascii="Arial" w:eastAsia="Calibri" w:hAnsi="Arial" w:cs="Arial"/>
          <w:sz w:val="22"/>
          <w:szCs w:val="22"/>
          <w:lang w:val="es-MX" w:eastAsia="en-US"/>
        </w:rPr>
        <w:lastRenderedPageBreak/>
        <w:t>Aplicando este razonamiento,</w:t>
      </w:r>
      <w:bookmarkStart w:id="71" w:name="_Hlk75811096"/>
      <w:r w:rsidRPr="00753978">
        <w:rPr>
          <w:rFonts w:ascii="Arial" w:eastAsia="Calibri" w:hAnsi="Arial" w:cs="Arial"/>
          <w:sz w:val="22"/>
          <w:szCs w:val="22"/>
          <w:lang w:val="es-MX" w:eastAsia="en-US"/>
        </w:rPr>
        <w:t xml:space="preserve"> se tiene que 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71"/>
      <w:r w:rsidRPr="00753978">
        <w:rPr>
          <w:rFonts w:ascii="Arial" w:eastAsia="Calibri" w:hAnsi="Arial" w:cs="Arial"/>
          <w:sz w:val="22"/>
          <w:szCs w:val="22"/>
          <w:lang w:val="es-MX" w:eastAsia="en-US"/>
        </w:rPr>
        <w:t>”</w:t>
      </w:r>
      <w:r w:rsidRPr="00753978">
        <w:rPr>
          <w:rFonts w:ascii="Arial" w:eastAsia="Calibri" w:hAnsi="Arial" w:cs="Arial"/>
          <w:szCs w:val="22"/>
          <w:vertAlign w:val="superscript"/>
          <w:lang w:val="es-MX" w:eastAsia="en-US"/>
        </w:rPr>
        <w:t xml:space="preserve"> </w:t>
      </w:r>
      <w:r w:rsidRPr="00753978">
        <w:rPr>
          <w:rFonts w:ascii="Arial" w:eastAsia="Calibri" w:hAnsi="Arial" w:cs="Arial"/>
          <w:sz w:val="22"/>
          <w:szCs w:val="22"/>
          <w:vertAlign w:val="superscript"/>
          <w:lang w:val="es-MX" w:eastAsia="en-US"/>
        </w:rPr>
        <w:footnoteReference w:id="24"/>
      </w:r>
      <w:r w:rsidR="005173CA">
        <w:rPr>
          <w:rFonts w:ascii="Arial" w:eastAsia="Calibri" w:hAnsi="Arial" w:cs="Arial"/>
          <w:sz w:val="22"/>
          <w:szCs w:val="22"/>
          <w:lang w:val="es-MX" w:eastAsia="en-US"/>
        </w:rPr>
        <w:t>.</w:t>
      </w:r>
    </w:p>
    <w:p w14:paraId="52B40427" w14:textId="1DAF641C" w:rsidR="00753978" w:rsidRDefault="00753978" w:rsidP="00753978">
      <w:pPr>
        <w:spacing w:line="276" w:lineRule="auto"/>
        <w:ind w:firstLine="708"/>
        <w:jc w:val="both"/>
        <w:rPr>
          <w:rFonts w:ascii="Arial" w:hAnsi="Arial" w:cs="Arial"/>
          <w:sz w:val="22"/>
          <w:szCs w:val="22"/>
          <w:lang w:val="es-MX" w:eastAsia="x-none"/>
        </w:rPr>
      </w:pPr>
      <w:bookmarkStart w:id="72" w:name="_Hlk77237229"/>
      <w:bookmarkEnd w:id="65"/>
      <w:r w:rsidRPr="00753978">
        <w:rPr>
          <w:rFonts w:ascii="Arial" w:eastAsia="Calibri" w:hAnsi="Arial" w:cs="Arial"/>
          <w:sz w:val="22"/>
          <w:szCs w:val="22"/>
          <w:lang w:val="es-MX" w:eastAsia="en-US"/>
        </w:rPr>
        <w:t>Por lo tanto, la restricción prevista en la Ley 996 de 200</w:t>
      </w:r>
      <w:bookmarkStart w:id="73" w:name="_Hlk75741539"/>
      <w:r w:rsidRPr="00753978">
        <w:rPr>
          <w:rFonts w:ascii="Arial" w:eastAsia="Calibri" w:hAnsi="Arial" w:cs="Arial"/>
          <w:sz w:val="22"/>
          <w:szCs w:val="22"/>
          <w:lang w:val="es-MX" w:eastAsia="en-US"/>
        </w:rPr>
        <w:t xml:space="preserve">5, </w:t>
      </w:r>
      <w:r w:rsidRPr="00753978">
        <w:rPr>
          <w:rFonts w:ascii="Arial" w:hAnsi="Arial" w:cs="Arial"/>
          <w:sz w:val="22"/>
          <w:szCs w:val="22"/>
          <w:lang w:val="es-MX" w:eastAsia="x-none"/>
        </w:rPr>
        <w:t xml:space="preserve">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w:t>
      </w:r>
      <w:r w:rsidR="005173CA">
        <w:rPr>
          <w:rFonts w:ascii="Arial" w:hAnsi="Arial" w:cs="Arial"/>
          <w:sz w:val="22"/>
          <w:szCs w:val="22"/>
          <w:lang w:val="es-MX" w:eastAsia="x-none"/>
        </w:rPr>
        <w:t xml:space="preserve">toda vez que </w:t>
      </w:r>
      <w:r w:rsidRPr="00753978">
        <w:rPr>
          <w:rFonts w:ascii="Arial" w:hAnsi="Arial" w:cs="Arial"/>
          <w:sz w:val="22"/>
          <w:szCs w:val="22"/>
          <w:lang w:val="es-MX" w:eastAsia="x-none"/>
        </w:rPr>
        <w:t>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r w:rsidR="005173CA">
        <w:rPr>
          <w:rFonts w:ascii="Arial" w:hAnsi="Arial" w:cs="Arial"/>
          <w:sz w:val="22"/>
          <w:szCs w:val="22"/>
          <w:lang w:val="es-MX" w:eastAsia="x-none"/>
        </w:rPr>
        <w:t>.</w:t>
      </w:r>
    </w:p>
    <w:p w14:paraId="5C150CDA" w14:textId="77777777" w:rsidR="005173CA" w:rsidRDefault="005173CA" w:rsidP="00753978">
      <w:pPr>
        <w:spacing w:line="276" w:lineRule="auto"/>
        <w:ind w:firstLine="708"/>
        <w:jc w:val="both"/>
        <w:rPr>
          <w:rFonts w:ascii="Arial" w:hAnsi="Arial" w:cs="Arial"/>
          <w:sz w:val="22"/>
          <w:szCs w:val="22"/>
          <w:lang w:val="es-MX" w:eastAsia="x-none"/>
        </w:rPr>
      </w:pPr>
      <w:bookmarkStart w:id="74" w:name="_Hlk142993090"/>
    </w:p>
    <w:p w14:paraId="4B386D55" w14:textId="54BADC7A" w:rsidR="005173CA" w:rsidRPr="005173CA" w:rsidRDefault="005173CA" w:rsidP="005173CA">
      <w:pPr>
        <w:spacing w:after="120" w:line="276" w:lineRule="auto"/>
        <w:jc w:val="both"/>
        <w:rPr>
          <w:rFonts w:ascii="Arial" w:eastAsia="Calibri" w:hAnsi="Arial" w:cs="Arial"/>
          <w:color w:val="000000"/>
          <w:sz w:val="22"/>
          <w:lang w:val="es-ES_tradnl" w:eastAsia="es-ES_tradnl"/>
        </w:rPr>
      </w:pPr>
      <w:bookmarkStart w:id="75" w:name="_Hlk142992797"/>
      <w:r w:rsidRPr="004778FF">
        <w:rPr>
          <w:rFonts w:ascii="Arial" w:eastAsia="Calibri" w:hAnsi="Arial" w:cs="Arial"/>
          <w:b/>
          <w:bCs/>
          <w:iCs/>
          <w:sz w:val="22"/>
          <w:szCs w:val="22"/>
          <w:lang w:eastAsia="en-US"/>
        </w:rPr>
        <w:t>2.</w:t>
      </w:r>
      <w:r>
        <w:rPr>
          <w:rFonts w:ascii="Arial" w:eastAsia="Calibri" w:hAnsi="Arial" w:cs="Arial"/>
          <w:b/>
          <w:bCs/>
          <w:iCs/>
          <w:sz w:val="22"/>
          <w:szCs w:val="22"/>
          <w:lang w:eastAsia="en-US"/>
        </w:rPr>
        <w:t>4</w:t>
      </w:r>
      <w:r w:rsidRPr="004778FF">
        <w:rPr>
          <w:rFonts w:ascii="Arial" w:eastAsia="Calibri" w:hAnsi="Arial" w:cs="Arial"/>
          <w:b/>
          <w:bCs/>
          <w:iCs/>
          <w:sz w:val="22"/>
          <w:szCs w:val="22"/>
          <w:lang w:eastAsia="en-US"/>
        </w:rPr>
        <w:t>.</w:t>
      </w:r>
      <w:r w:rsidRPr="004778FF">
        <w:rPr>
          <w:rFonts w:ascii="Arial" w:eastAsia="Calibri" w:hAnsi="Arial" w:cs="Arial"/>
          <w:b/>
          <w:bCs/>
          <w:iCs/>
          <w:sz w:val="22"/>
          <w:szCs w:val="22"/>
          <w:lang w:eastAsia="en-US"/>
        </w:rPr>
        <w:tab/>
      </w:r>
      <w:bookmarkStart w:id="76" w:name="_Hlk77153296"/>
      <w:r w:rsidRPr="005173CA">
        <w:rPr>
          <w:rFonts w:ascii="Arial" w:hAnsi="Arial" w:cs="Arial"/>
          <w:b/>
          <w:sz w:val="22"/>
          <w:szCs w:val="22"/>
          <w:lang w:val="es-MX"/>
        </w:rPr>
        <w:t xml:space="preserve">Restricciones </w:t>
      </w:r>
      <w:bookmarkStart w:id="77" w:name="_Hlk75643279"/>
      <w:r w:rsidRPr="005173CA">
        <w:rPr>
          <w:rFonts w:ascii="Arial" w:hAnsi="Arial" w:cs="Arial"/>
          <w:b/>
          <w:sz w:val="22"/>
          <w:szCs w:val="22"/>
          <w:lang w:val="es-MX"/>
        </w:rPr>
        <w:t>para la celebración de contratos y convenios interadministrativos en los comicios para cargos de elección popular</w:t>
      </w:r>
    </w:p>
    <w:p w14:paraId="772AAC24" w14:textId="77777777" w:rsidR="005173CA" w:rsidRDefault="005173CA" w:rsidP="005173CA">
      <w:pPr>
        <w:tabs>
          <w:tab w:val="left" w:pos="426"/>
        </w:tabs>
        <w:spacing w:after="120" w:line="276" w:lineRule="auto"/>
        <w:jc w:val="both"/>
        <w:rPr>
          <w:rFonts w:ascii="Arial" w:eastAsia="Calibri" w:hAnsi="Arial" w:cs="Arial"/>
          <w:sz w:val="22"/>
          <w:szCs w:val="22"/>
          <w:lang w:eastAsia="en-US"/>
        </w:rPr>
      </w:pPr>
      <w:bookmarkStart w:id="78" w:name="_Hlk88210558"/>
      <w:bookmarkEnd w:id="75"/>
      <w:bookmarkEnd w:id="76"/>
      <w:bookmarkEnd w:id="77"/>
      <w:r w:rsidRPr="005173CA">
        <w:rPr>
          <w:rFonts w:ascii="Arial" w:eastAsia="Calibri" w:hAnsi="Arial" w:cs="Arial"/>
          <w:sz w:val="22"/>
          <w:szCs w:val="22"/>
          <w:lang w:eastAsia="en-US"/>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5173CA">
        <w:rPr>
          <w:rFonts w:ascii="Arial" w:hAnsi="Arial" w:cs="Arial"/>
          <w:sz w:val="22"/>
          <w:szCs w:val="22"/>
          <w:lang w:val="es-MX" w:eastAsia="x-none"/>
        </w:rPr>
        <w:t xml:space="preserve"> </w:t>
      </w:r>
      <w:bookmarkStart w:id="79" w:name="_Hlk99578153"/>
      <w:bookmarkEnd w:id="78"/>
      <w:r w:rsidRPr="005173CA">
        <w:rPr>
          <w:rFonts w:ascii="Arial" w:hAnsi="Arial" w:cs="Arial"/>
          <w:sz w:val="22"/>
          <w:szCs w:val="22"/>
          <w:lang w:val="es-MX"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bookmarkEnd w:id="79"/>
      <w:r w:rsidRPr="005173CA">
        <w:rPr>
          <w:rFonts w:ascii="Arial" w:hAnsi="Arial" w:cs="Arial"/>
          <w:sz w:val="22"/>
          <w:szCs w:val="22"/>
          <w:vertAlign w:val="superscript"/>
          <w:lang w:val="es-MX" w:eastAsia="x-none"/>
        </w:rPr>
        <w:footnoteReference w:id="25"/>
      </w:r>
      <w:r>
        <w:rPr>
          <w:rFonts w:ascii="Arial" w:hAnsi="Arial" w:cs="Arial"/>
          <w:sz w:val="22"/>
          <w:szCs w:val="22"/>
          <w:lang w:val="es-MX" w:eastAsia="x-none"/>
        </w:rPr>
        <w:t>.</w:t>
      </w:r>
    </w:p>
    <w:p w14:paraId="64D60F88" w14:textId="7DCA0783" w:rsidR="005173CA" w:rsidRPr="005173CA" w:rsidRDefault="005173CA" w:rsidP="005173CA">
      <w:pPr>
        <w:tabs>
          <w:tab w:val="left" w:pos="426"/>
        </w:tabs>
        <w:spacing w:after="120" w:line="276" w:lineRule="auto"/>
        <w:jc w:val="both"/>
        <w:rPr>
          <w:rFonts w:ascii="Arial" w:eastAsia="Calibri" w:hAnsi="Arial" w:cs="Arial"/>
          <w:sz w:val="22"/>
          <w:szCs w:val="22"/>
          <w:lang w:eastAsia="en-US"/>
        </w:rPr>
      </w:pPr>
      <w:r>
        <w:rPr>
          <w:rFonts w:ascii="Arial" w:eastAsia="Calibri" w:hAnsi="Arial" w:cs="Arial"/>
          <w:sz w:val="22"/>
          <w:szCs w:val="22"/>
          <w:lang w:eastAsia="en-US"/>
        </w:rPr>
        <w:tab/>
      </w:r>
      <w:r w:rsidRPr="005173CA">
        <w:rPr>
          <w:rFonts w:ascii="Arial" w:eastAsia="Calibri" w:hAnsi="Arial" w:cs="Arial"/>
          <w:sz w:val="22"/>
          <w:szCs w:val="22"/>
          <w:lang w:eastAsia="es-ES" w:bidi="es-ES"/>
        </w:rPr>
        <w:t xml:space="preserve">Ahora, </w:t>
      </w:r>
      <w:bookmarkStart w:id="80" w:name="_Hlk78820161"/>
      <w:r w:rsidRPr="005173CA">
        <w:rPr>
          <w:rFonts w:ascii="Arial" w:eastAsia="Calibri" w:hAnsi="Arial" w:cs="Arial"/>
          <w:sz w:val="22"/>
          <w:szCs w:val="22"/>
          <w:lang w:eastAsia="es-ES" w:bidi="es-ES"/>
        </w:rPr>
        <w:t xml:space="preserve">para determinar el alcance de la prohibición consagrada por la Ley de Garantías Electorales, conviene precisar la tipología de convenios o contratos interadministrativos. </w:t>
      </w:r>
      <w:r w:rsidRPr="005173CA">
        <w:rPr>
          <w:rFonts w:ascii="Arial" w:eastAsia="Arial" w:hAnsi="Arial" w:cs="Arial"/>
          <w:sz w:val="22"/>
          <w:szCs w:val="22"/>
          <w:lang w:val="es-ES" w:eastAsia="es-ES" w:bidi="es-ES"/>
        </w:rPr>
        <w:t>Aunque la ley no la definió ni desarrolló, el Decreto 1082 de 2015 califica a los convenios o contratos interadministrativos como aquella contratación entre entidades estatales</w:t>
      </w:r>
      <w:r w:rsidRPr="005173CA">
        <w:rPr>
          <w:rFonts w:ascii="Arial" w:eastAsia="Arial" w:hAnsi="Arial" w:cs="Arial"/>
          <w:sz w:val="22"/>
          <w:szCs w:val="22"/>
          <w:vertAlign w:val="superscript"/>
          <w:lang w:val="es-ES" w:eastAsia="es-ES" w:bidi="es-ES"/>
        </w:rPr>
        <w:footnoteReference w:id="26"/>
      </w:r>
      <w:r w:rsidRPr="005173CA">
        <w:rPr>
          <w:rFonts w:ascii="Arial" w:eastAsia="Arial" w:hAnsi="Arial" w:cs="Arial"/>
          <w:sz w:val="22"/>
          <w:szCs w:val="22"/>
          <w:lang w:val="es-ES" w:eastAsia="es-ES" w:bidi="es-ES"/>
        </w:rPr>
        <w:t xml:space="preserve">. </w:t>
      </w:r>
      <w:bookmarkEnd w:id="74"/>
      <w:r w:rsidRPr="005173CA">
        <w:rPr>
          <w:rFonts w:ascii="Arial" w:eastAsia="Arial" w:hAnsi="Arial" w:cs="Arial"/>
          <w:sz w:val="22"/>
          <w:szCs w:val="22"/>
          <w:lang w:val="es-ES" w:eastAsia="es-ES" w:bidi="es-ES"/>
        </w:rPr>
        <w:t xml:space="preserve">De acuerdo con lo anterior, el contrato o el convenio interadministrativo es el acuerdo donde concurre la voluntad </w:t>
      </w:r>
      <w:r w:rsidRPr="005173CA">
        <w:rPr>
          <w:rFonts w:ascii="Arial" w:eastAsia="Arial" w:hAnsi="Arial" w:cs="Arial"/>
          <w:sz w:val="22"/>
          <w:szCs w:val="22"/>
          <w:lang w:val="es-ES" w:eastAsia="es-ES" w:bidi="es-ES"/>
        </w:rPr>
        <w:lastRenderedPageBreak/>
        <w:t>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5173CA">
        <w:rPr>
          <w:rFonts w:ascii="Arial" w:eastAsia="Arial" w:hAnsi="Arial" w:cs="Arial"/>
          <w:spacing w:val="-6"/>
          <w:sz w:val="22"/>
          <w:szCs w:val="22"/>
          <w:lang w:val="es-ES" w:eastAsia="es-ES" w:bidi="es-ES"/>
        </w:rPr>
        <w:t xml:space="preserve"> </w:t>
      </w:r>
      <w:r w:rsidRPr="005173CA">
        <w:rPr>
          <w:rFonts w:ascii="Arial" w:eastAsia="Arial" w:hAnsi="Arial" w:cs="Arial"/>
          <w:sz w:val="22"/>
          <w:szCs w:val="22"/>
          <w:lang w:val="es-ES" w:eastAsia="es-ES" w:bidi="es-ES"/>
        </w:rPr>
        <w:t>estatales.</w:t>
      </w:r>
    </w:p>
    <w:p w14:paraId="031EB31F" w14:textId="26258B7F" w:rsidR="005173CA" w:rsidRPr="005173CA" w:rsidRDefault="005173CA" w:rsidP="005173CA">
      <w:pPr>
        <w:widowControl w:val="0"/>
        <w:autoSpaceDE w:val="0"/>
        <w:autoSpaceDN w:val="0"/>
        <w:spacing w:before="117" w:after="120" w:line="276" w:lineRule="auto"/>
        <w:ind w:firstLine="707"/>
        <w:jc w:val="both"/>
        <w:rPr>
          <w:rFonts w:ascii="Arial" w:eastAsia="Calibri" w:hAnsi="Arial" w:cs="Arial"/>
          <w:sz w:val="22"/>
          <w:szCs w:val="22"/>
          <w:lang w:val="es-ES" w:eastAsia="en-US"/>
        </w:rPr>
      </w:pPr>
      <w:bookmarkStart w:id="81" w:name="_Hlk78820654"/>
      <w:bookmarkEnd w:id="80"/>
      <w:r w:rsidRPr="005173CA">
        <w:rPr>
          <w:rFonts w:ascii="Arial" w:eastAsia="Arial" w:hAnsi="Arial" w:cs="Arial"/>
          <w:sz w:val="22"/>
          <w:szCs w:val="22"/>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 De esta manera, sin perjuicio de lo dispuesto en el artículo 56 de la Ley 2195 de 2022, el literal c) del artículo 2.4 de la Ley 1150 de 2007 dispone que “</w:t>
      </w:r>
      <w:r w:rsidRPr="005173CA">
        <w:rPr>
          <w:rFonts w:ascii="Arial" w:eastAsia="Arial" w:hAnsi="Arial" w:cs="Arial"/>
          <w:sz w:val="22"/>
          <w:szCs w:val="22"/>
          <w:lang w:eastAsia="es-ES" w:bidi="es-ES"/>
        </w:rPr>
        <w:t>En aquellos eventos en que el régimen aplicable a la contratación de la entidad ejecutora no sea el de la Ley</w:t>
      </w:r>
      <w:r>
        <w:rPr>
          <w:rFonts w:ascii="Arial" w:eastAsia="Arial" w:hAnsi="Arial" w:cs="Arial"/>
          <w:sz w:val="22"/>
          <w:szCs w:val="22"/>
          <w:lang w:eastAsia="es-ES" w:bidi="es-ES"/>
        </w:rPr>
        <w:t xml:space="preserve"> </w:t>
      </w:r>
      <w:r w:rsidRPr="005173CA">
        <w:rPr>
          <w:rFonts w:ascii="Arial" w:eastAsia="Arial" w:hAnsi="Arial" w:cs="Arial"/>
          <w:sz w:val="22"/>
          <w:szCs w:val="22"/>
          <w:lang w:eastAsia="es-ES" w:bidi="es-ES"/>
        </w:rPr>
        <w:t>80</w:t>
      </w:r>
      <w:r>
        <w:rPr>
          <w:rFonts w:ascii="Arial" w:eastAsia="Arial" w:hAnsi="Arial" w:cs="Arial"/>
          <w:sz w:val="22"/>
          <w:szCs w:val="22"/>
          <w:lang w:eastAsia="es-ES" w:bidi="es-ES"/>
        </w:rPr>
        <w:t xml:space="preserve"> </w:t>
      </w:r>
      <w:r w:rsidRPr="005173CA">
        <w:rPr>
          <w:rFonts w:ascii="Arial" w:eastAsia="Arial" w:hAnsi="Arial" w:cs="Arial"/>
          <w:sz w:val="22"/>
          <w:szCs w:val="22"/>
          <w:lang w:eastAsia="es-ES" w:bidi="es-ES"/>
        </w:rPr>
        <w:t>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w:t>
      </w:r>
    </w:p>
    <w:p w14:paraId="4BCA5027" w14:textId="563C0729" w:rsidR="005173CA" w:rsidRPr="005173CA" w:rsidRDefault="005173CA" w:rsidP="005173CA">
      <w:pPr>
        <w:widowControl w:val="0"/>
        <w:autoSpaceDE w:val="0"/>
        <w:autoSpaceDN w:val="0"/>
        <w:spacing w:before="121" w:after="120" w:line="276" w:lineRule="auto"/>
        <w:ind w:firstLine="707"/>
        <w:jc w:val="both"/>
        <w:rPr>
          <w:rFonts w:ascii="Arial" w:eastAsia="Arial" w:hAnsi="Arial" w:cs="Arial"/>
          <w:sz w:val="22"/>
          <w:szCs w:val="22"/>
          <w:lang w:val="es-ES" w:eastAsia="es-ES" w:bidi="es-ES"/>
        </w:rPr>
      </w:pPr>
      <w:bookmarkStart w:id="82" w:name="_Hlk99578261"/>
      <w:bookmarkEnd w:id="81"/>
      <w:r w:rsidRPr="005173CA">
        <w:rPr>
          <w:rFonts w:ascii="Arial" w:eastAsia="Arial" w:hAnsi="Arial" w:cs="Arial"/>
          <w:sz w:val="22"/>
          <w:szCs w:val="22"/>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5173CA">
        <w:rPr>
          <w:rFonts w:ascii="Arial" w:eastAsia="Arial" w:hAnsi="Arial" w:cs="Arial"/>
          <w:sz w:val="22"/>
          <w:szCs w:val="22"/>
          <w:vertAlign w:val="superscript"/>
          <w:lang w:val="es-ES" w:eastAsia="es-ES" w:bidi="es-ES"/>
        </w:rPr>
        <w:footnoteReference w:id="27"/>
      </w:r>
      <w:r w:rsidRPr="005173CA">
        <w:rPr>
          <w:rFonts w:ascii="Arial" w:eastAsia="Arial" w:hAnsi="Arial" w:cs="Arial"/>
          <w:sz w:val="22"/>
          <w:szCs w:val="22"/>
          <w:lang w:val="es-ES" w:eastAsia="es-ES" w:bidi="es-ES"/>
        </w:rPr>
        <w:t xml:space="preserve">. </w:t>
      </w:r>
      <w:r>
        <w:rPr>
          <w:rFonts w:ascii="Arial" w:eastAsia="Arial" w:hAnsi="Arial" w:cs="Arial"/>
          <w:sz w:val="22"/>
          <w:szCs w:val="22"/>
          <w:lang w:val="es-ES" w:eastAsia="es-ES" w:bidi="es-ES"/>
        </w:rPr>
        <w:t xml:space="preserve">Téngase en cuenta </w:t>
      </w:r>
      <w:r w:rsidRPr="005173CA">
        <w:rPr>
          <w:rFonts w:ascii="Arial" w:eastAsia="Arial" w:hAnsi="Arial" w:cs="Arial"/>
          <w:sz w:val="22"/>
          <w:szCs w:val="22"/>
          <w:lang w:val="es-ES" w:eastAsia="es-ES" w:bidi="es-ES"/>
        </w:rPr>
        <w:t>que, en este caso, lo que cambia es la modalidad de selección y no la naturaleza de contrato</w:t>
      </w:r>
      <w:r w:rsidRPr="005173CA">
        <w:rPr>
          <w:rFonts w:ascii="Arial" w:eastAsia="Arial" w:hAnsi="Arial" w:cs="Arial"/>
          <w:spacing w:val="-18"/>
          <w:sz w:val="22"/>
          <w:szCs w:val="22"/>
          <w:lang w:val="es-ES" w:eastAsia="es-ES" w:bidi="es-ES"/>
        </w:rPr>
        <w:t xml:space="preserve"> </w:t>
      </w:r>
      <w:r w:rsidRPr="005173CA">
        <w:rPr>
          <w:rFonts w:ascii="Arial" w:eastAsia="Arial" w:hAnsi="Arial" w:cs="Arial"/>
          <w:sz w:val="22"/>
          <w:szCs w:val="22"/>
          <w:lang w:val="es-ES" w:eastAsia="es-ES" w:bidi="es-ES"/>
        </w:rPr>
        <w:t>interadministrativo</w:t>
      </w:r>
      <w:r w:rsidR="00A34A9F">
        <w:rPr>
          <w:rFonts w:ascii="Arial" w:eastAsia="Arial" w:hAnsi="Arial" w:cs="Arial"/>
          <w:sz w:val="22"/>
          <w:szCs w:val="22"/>
          <w:lang w:val="es-ES" w:eastAsia="es-ES" w:bidi="es-ES"/>
        </w:rPr>
        <w:t>.</w:t>
      </w:r>
    </w:p>
    <w:bookmarkEnd w:id="82"/>
    <w:p w14:paraId="2B71C23C" w14:textId="72008D47" w:rsidR="005173CA" w:rsidRPr="005173CA" w:rsidRDefault="005173CA" w:rsidP="005173CA">
      <w:pPr>
        <w:widowControl w:val="0"/>
        <w:autoSpaceDE w:val="0"/>
        <w:autoSpaceDN w:val="0"/>
        <w:spacing w:before="114" w:line="276" w:lineRule="auto"/>
        <w:ind w:firstLine="707"/>
        <w:jc w:val="both"/>
        <w:rPr>
          <w:rFonts w:ascii="Arial" w:eastAsia="Arial" w:hAnsi="Arial" w:cs="Arial"/>
          <w:sz w:val="22"/>
          <w:szCs w:val="22"/>
          <w:lang w:val="es-ES" w:eastAsia="es-ES" w:bidi="es-ES"/>
        </w:rPr>
      </w:pPr>
      <w:r>
        <w:rPr>
          <w:rFonts w:ascii="Arial" w:eastAsia="Arial" w:hAnsi="Arial" w:cs="Arial"/>
          <w:sz w:val="22"/>
          <w:szCs w:val="22"/>
          <w:lang w:val="es-ES" w:eastAsia="es-ES" w:bidi="es-ES"/>
        </w:rPr>
        <w:t>Sobre el particular, l</w:t>
      </w:r>
      <w:r w:rsidRPr="005173CA">
        <w:rPr>
          <w:rFonts w:ascii="Arial" w:eastAsia="Arial" w:hAnsi="Arial" w:cs="Arial"/>
          <w:sz w:val="22"/>
          <w:szCs w:val="22"/>
          <w:lang w:val="es-ES" w:eastAsia="es-ES" w:bidi="es-ES"/>
        </w:rPr>
        <w:t>a Corte Constitucional</w:t>
      </w:r>
      <w:r>
        <w:rPr>
          <w:rFonts w:ascii="Arial" w:eastAsia="Arial" w:hAnsi="Arial" w:cs="Arial"/>
          <w:sz w:val="22"/>
          <w:szCs w:val="22"/>
          <w:lang w:val="es-ES" w:eastAsia="es-ES" w:bidi="es-ES"/>
        </w:rPr>
        <w:t xml:space="preserve">, </w:t>
      </w:r>
      <w:r w:rsidRPr="005173CA">
        <w:rPr>
          <w:rFonts w:ascii="Arial" w:eastAsia="Arial" w:hAnsi="Arial" w:cs="Arial"/>
          <w:sz w:val="22"/>
          <w:szCs w:val="22"/>
          <w:lang w:val="es-ES" w:eastAsia="es-ES" w:bidi="es-ES"/>
        </w:rPr>
        <w:t>en la Sentencia C</w:t>
      </w:r>
      <w:r>
        <w:rPr>
          <w:rFonts w:ascii="Arial" w:eastAsia="Arial" w:hAnsi="Arial" w:cs="Arial"/>
          <w:sz w:val="22"/>
          <w:szCs w:val="22"/>
          <w:lang w:val="es-ES" w:eastAsia="es-ES" w:bidi="es-ES"/>
        </w:rPr>
        <w:t>-</w:t>
      </w:r>
      <w:r w:rsidRPr="005173CA">
        <w:rPr>
          <w:rFonts w:ascii="Arial" w:eastAsia="Arial" w:hAnsi="Arial" w:cs="Arial"/>
          <w:sz w:val="22"/>
          <w:szCs w:val="22"/>
          <w:lang w:val="es-ES" w:eastAsia="es-ES" w:bidi="es-ES"/>
        </w:rPr>
        <w:t>671 de 2015</w:t>
      </w:r>
      <w:r w:rsidR="00A34A9F">
        <w:rPr>
          <w:rFonts w:ascii="Arial" w:eastAsia="Arial" w:hAnsi="Arial" w:cs="Arial"/>
          <w:sz w:val="22"/>
          <w:szCs w:val="22"/>
          <w:lang w:val="es-ES" w:eastAsia="es-ES" w:bidi="es-ES"/>
        </w:rPr>
        <w:t xml:space="preserve">, </w:t>
      </w:r>
      <w:r>
        <w:rPr>
          <w:rFonts w:ascii="Arial" w:eastAsia="Arial" w:hAnsi="Arial" w:cs="Arial"/>
          <w:sz w:val="22"/>
          <w:szCs w:val="22"/>
          <w:lang w:val="es-ES" w:eastAsia="es-ES" w:bidi="es-ES"/>
        </w:rPr>
        <w:t xml:space="preserve">señaló que </w:t>
      </w:r>
      <w:r w:rsidRPr="005173CA">
        <w:rPr>
          <w:rFonts w:ascii="Arial" w:eastAsia="Arial" w:hAnsi="Arial" w:cs="Arial"/>
          <w:sz w:val="22"/>
          <w:szCs w:val="22"/>
          <w:lang w:val="es-ES" w:eastAsia="es-ES" w:bidi="es-ES"/>
        </w:rPr>
        <w:t>“</w:t>
      </w:r>
      <w:r w:rsidR="00A34A9F">
        <w:rPr>
          <w:rFonts w:ascii="Arial" w:eastAsia="Arial" w:hAnsi="Arial" w:cs="Arial"/>
          <w:sz w:val="22"/>
          <w:szCs w:val="22"/>
          <w:lang w:val="es-ES" w:eastAsia="es-ES" w:bidi="es-ES"/>
        </w:rPr>
        <w:t>[l]</w:t>
      </w:r>
      <w:r w:rsidRPr="005173CA">
        <w:rPr>
          <w:rFonts w:ascii="Arial" w:eastAsia="Arial" w:hAnsi="Arial" w:cs="Arial"/>
          <w:sz w:val="22"/>
          <w:szCs w:val="22"/>
          <w:lang w:val="es-ES" w:eastAsia="es-ES" w:bidi="es-ES"/>
        </w:rPr>
        <w:t>o que hace interadministrativo a un contrato o convenio no es el procedimiento de selección aplicable, sino la calidad de los sujetos contratantes, esto es que las dos partes de la relación jurídica contractual formen parte de la administración pública”.</w:t>
      </w:r>
      <w:r>
        <w:rPr>
          <w:rFonts w:ascii="Arial" w:eastAsia="Arial" w:hAnsi="Arial" w:cs="Arial"/>
          <w:sz w:val="22"/>
          <w:szCs w:val="22"/>
          <w:lang w:val="es-ES" w:eastAsia="es-ES" w:bidi="es-ES"/>
        </w:rPr>
        <w:t xml:space="preserve"> De modo que, en esencia, esta </w:t>
      </w:r>
      <w:r w:rsidRPr="005173CA">
        <w:rPr>
          <w:rFonts w:ascii="Arial" w:eastAsia="Arial" w:hAnsi="Arial" w:cs="Arial"/>
          <w:sz w:val="22"/>
          <w:szCs w:val="22"/>
          <w:lang w:val="es-ES" w:eastAsia="es-ES" w:bidi="es-ES"/>
        </w:rPr>
        <w:t>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5173CA">
        <w:rPr>
          <w:rFonts w:ascii="Arial" w:eastAsia="Arial" w:hAnsi="Arial" w:cs="Arial"/>
          <w:spacing w:val="-13"/>
          <w:sz w:val="22"/>
          <w:szCs w:val="22"/>
          <w:lang w:val="es-ES" w:eastAsia="es-ES" w:bidi="es-ES"/>
        </w:rPr>
        <w:t xml:space="preserve"> </w:t>
      </w:r>
      <w:r w:rsidRPr="005173CA">
        <w:rPr>
          <w:rFonts w:ascii="Arial" w:eastAsia="Arial" w:hAnsi="Arial" w:cs="Arial"/>
          <w:sz w:val="22"/>
          <w:szCs w:val="22"/>
          <w:lang w:val="es-ES" w:eastAsia="es-ES" w:bidi="es-ES"/>
        </w:rPr>
        <w:t>que:</w:t>
      </w:r>
    </w:p>
    <w:p w14:paraId="46354F03" w14:textId="77777777" w:rsidR="005173CA" w:rsidRPr="005173CA" w:rsidRDefault="005173CA" w:rsidP="005173CA">
      <w:pPr>
        <w:widowControl w:val="0"/>
        <w:autoSpaceDE w:val="0"/>
        <w:autoSpaceDN w:val="0"/>
        <w:spacing w:line="276" w:lineRule="auto"/>
        <w:ind w:firstLine="707"/>
        <w:contextualSpacing/>
        <w:jc w:val="both"/>
        <w:rPr>
          <w:rFonts w:ascii="Arial" w:eastAsia="Arial" w:hAnsi="Arial" w:cs="Arial"/>
          <w:sz w:val="22"/>
          <w:szCs w:val="22"/>
          <w:lang w:val="es-ES" w:eastAsia="es-ES" w:bidi="es-ES"/>
        </w:rPr>
      </w:pPr>
    </w:p>
    <w:p w14:paraId="0625106B" w14:textId="1774D696" w:rsidR="005173CA" w:rsidRPr="005173CA" w:rsidRDefault="005173CA" w:rsidP="005173CA">
      <w:pPr>
        <w:ind w:left="709" w:right="709"/>
        <w:contextualSpacing/>
        <w:jc w:val="both"/>
        <w:rPr>
          <w:rFonts w:ascii="Arial" w:eastAsia="Calibri" w:hAnsi="Arial" w:cs="Arial"/>
          <w:sz w:val="21"/>
          <w:szCs w:val="22"/>
          <w:lang w:val="es-MX" w:eastAsia="en-US"/>
        </w:rPr>
      </w:pPr>
      <w:r w:rsidRPr="005173CA">
        <w:rPr>
          <w:rFonts w:ascii="Arial" w:eastAsia="Calibri" w:hAnsi="Arial" w:cs="Arial"/>
          <w:sz w:val="21"/>
          <w:szCs w:val="22"/>
          <w:lang w:val="es-MX" w:eastAsia="en-US"/>
        </w:rPr>
        <w:t>“</w:t>
      </w:r>
      <w:r>
        <w:rPr>
          <w:rFonts w:ascii="Arial" w:eastAsia="Calibri" w:hAnsi="Arial" w:cs="Arial"/>
          <w:sz w:val="21"/>
          <w:szCs w:val="22"/>
          <w:lang w:val="es-MX" w:eastAsia="en-US"/>
        </w:rPr>
        <w:t xml:space="preserve">(…) </w:t>
      </w:r>
      <w:r w:rsidRPr="005173CA">
        <w:rPr>
          <w:rFonts w:ascii="Arial" w:eastAsia="Calibri" w:hAnsi="Arial" w:cs="Arial"/>
          <w:sz w:val="21"/>
          <w:szCs w:val="22"/>
          <w:lang w:val="es-MX" w:eastAsia="en-US"/>
        </w:rPr>
        <w:t xml:space="preserve">se puede señalar que los convenios o contratos interadministrativos tienen como características principales las siguientes: (i) constituyen verdaderos contratos en los términos del Código de Comercio cuando su objeto lo constituyen obligaciones </w:t>
      </w:r>
      <w:r w:rsidRPr="005173CA">
        <w:rPr>
          <w:rFonts w:ascii="Arial" w:eastAsia="Calibri" w:hAnsi="Arial" w:cs="Arial"/>
          <w:sz w:val="21"/>
          <w:szCs w:val="22"/>
          <w:lang w:val="es-MX" w:eastAsia="en-US"/>
        </w:rPr>
        <w:lastRenderedPageBreak/>
        <w:t>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5173CA">
        <w:rPr>
          <w:rFonts w:ascii="Arial" w:eastAsia="Calibri" w:hAnsi="Arial" w:cs="Arial"/>
          <w:sz w:val="21"/>
          <w:szCs w:val="22"/>
          <w:vertAlign w:val="superscript"/>
          <w:lang w:val="es-MX" w:eastAsia="en-US"/>
        </w:rPr>
        <w:footnoteReference w:id="28"/>
      </w:r>
      <w:r>
        <w:rPr>
          <w:rFonts w:ascii="Arial" w:eastAsia="Calibri" w:hAnsi="Arial" w:cs="Arial"/>
          <w:sz w:val="21"/>
          <w:szCs w:val="22"/>
          <w:lang w:val="es-MX" w:eastAsia="en-US"/>
        </w:rPr>
        <w:t>.</w:t>
      </w:r>
    </w:p>
    <w:p w14:paraId="56F382AE" w14:textId="77777777" w:rsidR="005173CA" w:rsidRPr="005173CA" w:rsidRDefault="005173CA" w:rsidP="005173CA">
      <w:pPr>
        <w:spacing w:line="276" w:lineRule="auto"/>
        <w:ind w:left="709" w:right="709"/>
        <w:contextualSpacing/>
        <w:jc w:val="both"/>
        <w:rPr>
          <w:rFonts w:ascii="Arial" w:eastAsia="Calibri" w:hAnsi="Arial" w:cs="Arial"/>
          <w:sz w:val="22"/>
          <w:szCs w:val="22"/>
          <w:lang w:val="es-MX" w:eastAsia="en-US"/>
        </w:rPr>
      </w:pPr>
    </w:p>
    <w:p w14:paraId="56E934B0" w14:textId="77777777" w:rsidR="005173CA" w:rsidRPr="005173CA" w:rsidRDefault="005173CA" w:rsidP="005173CA">
      <w:pPr>
        <w:widowControl w:val="0"/>
        <w:autoSpaceDE w:val="0"/>
        <w:autoSpaceDN w:val="0"/>
        <w:spacing w:after="120" w:line="276" w:lineRule="auto"/>
        <w:ind w:firstLine="707"/>
        <w:jc w:val="both"/>
        <w:rPr>
          <w:rFonts w:ascii="Arial" w:eastAsia="Arial" w:hAnsi="Arial" w:cs="Arial"/>
          <w:sz w:val="22"/>
          <w:szCs w:val="22"/>
          <w:lang w:val="es-ES" w:eastAsia="es-ES" w:bidi="es-ES"/>
        </w:rPr>
      </w:pPr>
      <w:r w:rsidRPr="005173CA">
        <w:rPr>
          <w:rFonts w:ascii="Arial" w:eastAsia="Arial" w:hAnsi="Arial" w:cs="Arial"/>
          <w:sz w:val="22"/>
          <w:szCs w:val="22"/>
          <w:lang w:val="es-ES" w:eastAsia="es-ES" w:bidi="es-ES"/>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4B9717DB" w14:textId="1F9CABD3" w:rsidR="005173CA" w:rsidRPr="005173CA" w:rsidRDefault="005173CA" w:rsidP="005173CA">
      <w:pPr>
        <w:widowControl w:val="0"/>
        <w:autoSpaceDE w:val="0"/>
        <w:autoSpaceDN w:val="0"/>
        <w:spacing w:before="119" w:after="120" w:line="276" w:lineRule="auto"/>
        <w:ind w:firstLine="707"/>
        <w:jc w:val="both"/>
        <w:rPr>
          <w:rFonts w:ascii="Arial" w:eastAsia="Arial" w:hAnsi="Arial" w:cs="Arial"/>
          <w:sz w:val="22"/>
          <w:szCs w:val="22"/>
          <w:lang w:val="es-ES" w:eastAsia="es-ES" w:bidi="es-ES"/>
        </w:rPr>
      </w:pPr>
      <w:r w:rsidRPr="005173CA">
        <w:rPr>
          <w:rFonts w:ascii="Arial" w:eastAsia="Arial" w:hAnsi="Arial" w:cs="Arial"/>
          <w:sz w:val="22"/>
          <w:szCs w:val="22"/>
          <w:lang w:val="es-ES" w:eastAsia="es-ES" w:bidi="es-ES"/>
        </w:rPr>
        <w:t xml:space="preserve">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w:t>
      </w:r>
      <w:r w:rsidR="00A34A9F">
        <w:rPr>
          <w:rFonts w:ascii="Arial" w:eastAsia="Arial" w:hAnsi="Arial" w:cs="Arial"/>
          <w:sz w:val="22"/>
          <w:szCs w:val="22"/>
          <w:lang w:val="es-ES" w:eastAsia="es-ES" w:bidi="es-ES"/>
        </w:rPr>
        <w:t xml:space="preserve">en función de </w:t>
      </w:r>
      <w:r w:rsidRPr="005173CA">
        <w:rPr>
          <w:rFonts w:ascii="Arial" w:eastAsia="Arial" w:hAnsi="Arial" w:cs="Arial"/>
          <w:sz w:val="22"/>
          <w:szCs w:val="22"/>
          <w:lang w:val="es-ES" w:eastAsia="es-ES" w:bidi="es-ES"/>
        </w:rPr>
        <w:t>la calidad de las partes que lo suscriben</w:t>
      </w:r>
      <w:r w:rsidR="00A34A9F">
        <w:rPr>
          <w:rFonts w:ascii="Arial" w:eastAsia="Arial" w:hAnsi="Arial" w:cs="Arial"/>
          <w:sz w:val="22"/>
          <w:szCs w:val="22"/>
          <w:lang w:val="es-ES" w:eastAsia="es-ES" w:bidi="es-ES"/>
        </w:rPr>
        <w:t xml:space="preserve">. Esto implica que </w:t>
      </w:r>
      <w:r w:rsidRPr="005173CA">
        <w:rPr>
          <w:rFonts w:ascii="Arial" w:eastAsia="Arial" w:hAnsi="Arial" w:cs="Arial"/>
          <w:sz w:val="22"/>
          <w:szCs w:val="22"/>
          <w:lang w:val="es-ES" w:eastAsia="es-ES" w:bidi="es-ES"/>
        </w:rPr>
        <w:t>debe</w:t>
      </w:r>
      <w:r w:rsidR="00A34A9F">
        <w:rPr>
          <w:rFonts w:ascii="Arial" w:eastAsia="Arial" w:hAnsi="Arial" w:cs="Arial"/>
          <w:sz w:val="22"/>
          <w:szCs w:val="22"/>
          <w:lang w:val="es-ES" w:eastAsia="es-ES" w:bidi="es-ES"/>
        </w:rPr>
        <w:t xml:space="preserve"> </w:t>
      </w:r>
      <w:r w:rsidRPr="005173CA">
        <w:rPr>
          <w:rFonts w:ascii="Arial" w:eastAsia="Arial" w:hAnsi="Arial" w:cs="Arial"/>
          <w:sz w:val="22"/>
          <w:szCs w:val="22"/>
          <w:lang w:val="es-ES" w:eastAsia="es-ES" w:bidi="es-ES"/>
        </w:rPr>
        <w:t>tratarse</w:t>
      </w:r>
      <w:r w:rsidR="00A34A9F">
        <w:rPr>
          <w:rFonts w:ascii="Arial" w:eastAsia="Arial" w:hAnsi="Arial" w:cs="Arial"/>
          <w:sz w:val="22"/>
          <w:szCs w:val="22"/>
          <w:lang w:val="es-ES" w:eastAsia="es-ES" w:bidi="es-ES"/>
        </w:rPr>
        <w:t xml:space="preserve"> </w:t>
      </w:r>
      <w:r w:rsidRPr="005173CA">
        <w:rPr>
          <w:rFonts w:ascii="Arial" w:eastAsia="Arial" w:hAnsi="Arial" w:cs="Arial"/>
          <w:sz w:val="22"/>
          <w:szCs w:val="22"/>
          <w:lang w:val="es-ES" w:eastAsia="es-ES" w:bidi="es-ES"/>
        </w:rPr>
        <w:t>de</w:t>
      </w:r>
      <w:r w:rsidR="00A34A9F">
        <w:rPr>
          <w:rFonts w:ascii="Arial" w:eastAsia="Arial" w:hAnsi="Arial" w:cs="Arial"/>
          <w:sz w:val="22"/>
          <w:szCs w:val="22"/>
          <w:lang w:val="es-ES" w:eastAsia="es-ES" w:bidi="es-ES"/>
        </w:rPr>
        <w:t xml:space="preserve"> </w:t>
      </w:r>
      <w:r w:rsidRPr="005173CA">
        <w:rPr>
          <w:rFonts w:ascii="Arial" w:eastAsia="Arial" w:hAnsi="Arial" w:cs="Arial"/>
          <w:sz w:val="22"/>
          <w:szCs w:val="22"/>
          <w:lang w:val="es-ES" w:eastAsia="es-ES" w:bidi="es-ES"/>
        </w:rPr>
        <w:t>entidades</w:t>
      </w:r>
      <w:r w:rsidRPr="005173CA">
        <w:rPr>
          <w:rFonts w:ascii="Arial" w:eastAsia="Arial" w:hAnsi="Arial" w:cs="Arial"/>
          <w:spacing w:val="-3"/>
          <w:sz w:val="22"/>
          <w:szCs w:val="22"/>
          <w:lang w:val="es-ES" w:eastAsia="es-ES" w:bidi="es-ES"/>
        </w:rPr>
        <w:t xml:space="preserve"> </w:t>
      </w:r>
      <w:r w:rsidRPr="005173CA">
        <w:rPr>
          <w:rFonts w:ascii="Arial" w:eastAsia="Arial" w:hAnsi="Arial" w:cs="Arial"/>
          <w:sz w:val="22"/>
          <w:szCs w:val="22"/>
          <w:lang w:val="es-ES" w:eastAsia="es-ES" w:bidi="es-ES"/>
        </w:rPr>
        <w:t>estatales</w:t>
      </w:r>
      <w:r w:rsidR="00A34A9F">
        <w:rPr>
          <w:rFonts w:ascii="Arial" w:eastAsia="Arial" w:hAnsi="Arial" w:cs="Arial"/>
          <w:sz w:val="22"/>
          <w:szCs w:val="22"/>
          <w:lang w:val="es-ES" w:eastAsia="es-ES" w:bidi="es-ES"/>
        </w:rPr>
        <w:t>.</w:t>
      </w:r>
    </w:p>
    <w:p w14:paraId="7E7B172E" w14:textId="71AB46C3" w:rsidR="005173CA" w:rsidRPr="005173CA" w:rsidRDefault="00A34A9F" w:rsidP="005173CA">
      <w:pPr>
        <w:widowControl w:val="0"/>
        <w:autoSpaceDE w:val="0"/>
        <w:autoSpaceDN w:val="0"/>
        <w:spacing w:before="120" w:after="120" w:line="276" w:lineRule="auto"/>
        <w:ind w:firstLine="709"/>
        <w:jc w:val="both"/>
        <w:rPr>
          <w:rFonts w:ascii="Arial" w:eastAsia="Arial" w:hAnsi="Arial" w:cs="Arial"/>
          <w:sz w:val="22"/>
          <w:szCs w:val="22"/>
          <w:lang w:val="es-ES" w:eastAsia="es-ES" w:bidi="es-ES"/>
        </w:rPr>
      </w:pPr>
      <w:r>
        <w:rPr>
          <w:rFonts w:ascii="Arial" w:eastAsia="Arial" w:hAnsi="Arial" w:cs="Arial"/>
          <w:sz w:val="22"/>
          <w:szCs w:val="22"/>
          <w:lang w:val="es-ES" w:eastAsia="es-ES" w:bidi="es-ES"/>
        </w:rPr>
        <w:t>Pero además</w:t>
      </w:r>
      <w:r w:rsidR="005173CA" w:rsidRPr="005173CA">
        <w:rPr>
          <w:rFonts w:ascii="Arial" w:eastAsia="Arial" w:hAnsi="Arial" w:cs="Arial"/>
          <w:sz w:val="22"/>
          <w:szCs w:val="22"/>
          <w:lang w:val="es-ES" w:eastAsia="es-ES" w:bidi="es-ES"/>
        </w:rPr>
        <w:t>,</w:t>
      </w:r>
      <w:r>
        <w:rPr>
          <w:rFonts w:ascii="Arial" w:eastAsia="Arial" w:hAnsi="Arial" w:cs="Arial"/>
          <w:sz w:val="22"/>
          <w:szCs w:val="22"/>
          <w:lang w:val="es-ES" w:eastAsia="es-ES" w:bidi="es-ES"/>
        </w:rPr>
        <w:t xml:space="preserve"> </w:t>
      </w:r>
      <w:r w:rsidR="005173CA" w:rsidRPr="005173CA">
        <w:rPr>
          <w:rFonts w:ascii="Arial" w:eastAsia="Arial" w:hAnsi="Arial" w:cs="Arial"/>
          <w:sz w:val="22"/>
          <w:szCs w:val="22"/>
          <w:lang w:val="es-ES" w:eastAsia="es-ES" w:bidi="es-ES"/>
        </w:rPr>
        <w:t xml:space="preserve">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w:t>
      </w:r>
      <w:r w:rsidR="005173CA" w:rsidRPr="005173CA">
        <w:rPr>
          <w:rFonts w:ascii="Arial" w:eastAsia="Arial" w:hAnsi="Arial" w:cs="Arial"/>
          <w:sz w:val="22"/>
          <w:szCs w:val="22"/>
          <w:lang w:val="es-ES" w:eastAsia="es-ES" w:bidi="es-ES"/>
        </w:rPr>
        <w:lastRenderedPageBreak/>
        <w:t>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005173CA" w:rsidRPr="005173CA">
        <w:rPr>
          <w:rFonts w:ascii="Arial" w:eastAsia="Arial" w:hAnsi="Arial" w:cs="Arial"/>
          <w:spacing w:val="-4"/>
          <w:sz w:val="22"/>
          <w:szCs w:val="22"/>
          <w:lang w:val="es-ES" w:eastAsia="es-ES" w:bidi="es-ES"/>
        </w:rPr>
        <w:t xml:space="preserve"> </w:t>
      </w:r>
      <w:r w:rsidR="005173CA" w:rsidRPr="005173CA">
        <w:rPr>
          <w:rFonts w:ascii="Arial" w:eastAsia="Arial" w:hAnsi="Arial" w:cs="Arial"/>
          <w:sz w:val="22"/>
          <w:szCs w:val="22"/>
          <w:lang w:val="es-ES" w:eastAsia="es-ES" w:bidi="es-ES"/>
        </w:rPr>
        <w:t>estatales</w:t>
      </w:r>
      <w:r>
        <w:rPr>
          <w:rFonts w:ascii="Arial" w:eastAsia="Arial" w:hAnsi="Arial" w:cs="Arial"/>
          <w:sz w:val="22"/>
          <w:szCs w:val="22"/>
          <w:lang w:val="es-ES" w:eastAsia="es-ES" w:bidi="es-ES"/>
        </w:rPr>
        <w:t>.</w:t>
      </w:r>
    </w:p>
    <w:p w14:paraId="53352BC2" w14:textId="29CC8520" w:rsidR="005173CA" w:rsidRPr="005173CA" w:rsidRDefault="005173CA" w:rsidP="005173CA">
      <w:pPr>
        <w:widowControl w:val="0"/>
        <w:autoSpaceDE w:val="0"/>
        <w:autoSpaceDN w:val="0"/>
        <w:spacing w:before="122" w:after="120" w:line="276" w:lineRule="auto"/>
        <w:ind w:firstLine="708"/>
        <w:jc w:val="both"/>
        <w:rPr>
          <w:rFonts w:ascii="Arial" w:eastAsia="Arial" w:hAnsi="Arial" w:cs="Arial"/>
          <w:sz w:val="22"/>
          <w:szCs w:val="22"/>
          <w:lang w:val="es-ES" w:eastAsia="es-ES" w:bidi="es-ES"/>
        </w:rPr>
      </w:pPr>
      <w:r w:rsidRPr="005173CA">
        <w:rPr>
          <w:rFonts w:ascii="Arial" w:eastAsia="Arial" w:hAnsi="Arial" w:cs="Arial"/>
          <w:sz w:val="22"/>
          <w:szCs w:val="22"/>
          <w:lang w:val="es-ES" w:eastAsia="es-ES" w:bidi="es-ES"/>
        </w:rPr>
        <w:t>E</w:t>
      </w:r>
      <w:r w:rsidR="00A34A9F">
        <w:rPr>
          <w:rFonts w:ascii="Arial" w:eastAsia="Arial" w:hAnsi="Arial" w:cs="Arial"/>
          <w:sz w:val="22"/>
          <w:szCs w:val="22"/>
          <w:lang w:val="es-ES" w:eastAsia="es-ES" w:bidi="es-ES"/>
        </w:rPr>
        <w:t xml:space="preserve">n este punto, no sobra agregar que </w:t>
      </w:r>
      <w:r w:rsidRPr="005173CA">
        <w:rPr>
          <w:rFonts w:ascii="Arial" w:eastAsia="Arial" w:hAnsi="Arial" w:cs="Arial"/>
          <w:sz w:val="22"/>
          <w:szCs w:val="22"/>
          <w:lang w:val="es-ES" w:eastAsia="es-ES" w:bidi="es-ES"/>
        </w:rPr>
        <w:t>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w:t>
      </w:r>
      <w:r w:rsidR="00A34A9F">
        <w:rPr>
          <w:rFonts w:ascii="Arial" w:eastAsia="Arial" w:hAnsi="Arial" w:cs="Arial"/>
          <w:sz w:val="22"/>
          <w:szCs w:val="22"/>
          <w:lang w:val="es-ES" w:eastAsia="es-ES" w:bidi="es-ES"/>
        </w:rPr>
        <w:t xml:space="preserve"> </w:t>
      </w:r>
      <w:r w:rsidRPr="005173CA">
        <w:rPr>
          <w:rFonts w:ascii="Arial" w:eastAsia="Arial" w:hAnsi="Arial" w:cs="Arial"/>
          <w:sz w:val="22"/>
          <w:szCs w:val="22"/>
          <w:lang w:val="es-ES" w:eastAsia="es-ES" w:bidi="es-ES"/>
        </w:rPr>
        <w:t>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39DC889E" w14:textId="251AE43A" w:rsidR="005173CA" w:rsidRPr="005173CA" w:rsidRDefault="005173CA" w:rsidP="005173CA">
      <w:pPr>
        <w:widowControl w:val="0"/>
        <w:autoSpaceDE w:val="0"/>
        <w:autoSpaceDN w:val="0"/>
        <w:spacing w:after="120" w:line="276" w:lineRule="auto"/>
        <w:ind w:firstLine="708"/>
        <w:jc w:val="both"/>
        <w:rPr>
          <w:rFonts w:ascii="Arial" w:eastAsia="Calibri" w:hAnsi="Arial" w:cs="Arial"/>
          <w:sz w:val="22"/>
          <w:szCs w:val="22"/>
          <w:lang w:eastAsia="es-ES" w:bidi="es-ES"/>
        </w:rPr>
      </w:pPr>
      <w:r w:rsidRPr="005173CA">
        <w:rPr>
          <w:rFonts w:ascii="Arial" w:eastAsia="Arial" w:hAnsi="Arial" w:cs="Arial"/>
          <w:sz w:val="22"/>
          <w:szCs w:val="22"/>
          <w:lang w:val="es-ES" w:eastAsia="es-ES" w:bidi="es-ES"/>
        </w:rPr>
        <w:t xml:space="preserve">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w:t>
      </w:r>
      <w:r w:rsidR="00A34A9F">
        <w:rPr>
          <w:rFonts w:ascii="Arial" w:eastAsia="Arial" w:hAnsi="Arial" w:cs="Arial"/>
          <w:sz w:val="22"/>
          <w:szCs w:val="22"/>
          <w:lang w:val="es-ES" w:eastAsia="es-ES" w:bidi="es-ES"/>
        </w:rPr>
        <w:t>(…)</w:t>
      </w:r>
      <w:r w:rsidRPr="005173CA">
        <w:rPr>
          <w:rFonts w:ascii="Arial" w:eastAsia="Arial" w:hAnsi="Arial" w:cs="Arial"/>
          <w:sz w:val="22"/>
          <w:szCs w:val="22"/>
          <w:lang w:val="es-ES" w:eastAsia="es-ES" w:bidi="es-ES"/>
        </w:rPr>
        <w:t>”,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00A34A9F">
        <w:rPr>
          <w:rFonts w:ascii="Arial" w:eastAsia="Arial" w:hAnsi="Arial" w:cs="Arial"/>
          <w:sz w:val="22"/>
          <w:szCs w:val="22"/>
          <w:lang w:val="es-ES" w:eastAsia="es-ES" w:bidi="es-ES"/>
        </w:rPr>
        <w:t xml:space="preserve"> (…)</w:t>
      </w:r>
      <w:r w:rsidRPr="005173CA">
        <w:rPr>
          <w:rFonts w:ascii="Arial" w:eastAsia="Arial" w:hAnsi="Arial" w:cs="Arial"/>
          <w:sz w:val="22"/>
          <w:szCs w:val="22"/>
          <w:lang w:val="es-ES" w:eastAsia="es-ES" w:bidi="es-ES"/>
        </w:rPr>
        <w:t>”</w:t>
      </w:r>
      <w:r w:rsidRPr="005173CA">
        <w:rPr>
          <w:rFonts w:ascii="Arial" w:eastAsia="Arial" w:hAnsi="Arial" w:cs="Arial"/>
          <w:sz w:val="22"/>
          <w:szCs w:val="22"/>
          <w:vertAlign w:val="superscript"/>
          <w:lang w:val="es-ES" w:eastAsia="es-ES" w:bidi="es-ES"/>
        </w:rPr>
        <w:footnoteReference w:id="29"/>
      </w:r>
      <w:bookmarkStart w:id="83" w:name="_Hlk77171241"/>
      <w:r w:rsidR="00A34A9F">
        <w:rPr>
          <w:rFonts w:ascii="Arial" w:eastAsia="Arial" w:hAnsi="Arial" w:cs="Arial"/>
          <w:sz w:val="22"/>
          <w:szCs w:val="22"/>
          <w:lang w:val="es-ES" w:eastAsia="es-ES" w:bidi="es-ES"/>
        </w:rPr>
        <w:t>.</w:t>
      </w:r>
    </w:p>
    <w:p w14:paraId="5C71F8C0" w14:textId="0ACA9033" w:rsidR="005173CA" w:rsidRPr="005173CA" w:rsidRDefault="005173CA" w:rsidP="005173CA">
      <w:pPr>
        <w:widowControl w:val="0"/>
        <w:autoSpaceDE w:val="0"/>
        <w:autoSpaceDN w:val="0"/>
        <w:spacing w:line="276" w:lineRule="auto"/>
        <w:ind w:firstLine="709"/>
        <w:contextualSpacing/>
        <w:jc w:val="both"/>
        <w:rPr>
          <w:rFonts w:ascii="Arial" w:eastAsia="Arial" w:hAnsi="Arial" w:cs="Arial"/>
          <w:sz w:val="22"/>
          <w:szCs w:val="22"/>
          <w:lang w:val="es-ES" w:eastAsia="es-ES" w:bidi="es-ES"/>
        </w:rPr>
      </w:pPr>
      <w:r w:rsidRPr="005173CA">
        <w:rPr>
          <w:rFonts w:ascii="Arial" w:eastAsia="Arial" w:hAnsi="Arial" w:cs="Arial"/>
          <w:sz w:val="22"/>
          <w:szCs w:val="22"/>
          <w:lang w:val="es-ES" w:eastAsia="es-ES" w:bidi="es-ES"/>
        </w:rPr>
        <w:t xml:space="preserve">Sin perjuicio de lo anterior, vale la pena </w:t>
      </w:r>
      <w:r w:rsidR="00A34A9F">
        <w:rPr>
          <w:rFonts w:ascii="Arial" w:eastAsia="Arial" w:hAnsi="Arial" w:cs="Arial"/>
          <w:sz w:val="22"/>
          <w:szCs w:val="22"/>
          <w:lang w:val="es-ES" w:eastAsia="es-ES" w:bidi="es-ES"/>
        </w:rPr>
        <w:t xml:space="preserve">tomar en consideración </w:t>
      </w:r>
      <w:r w:rsidRPr="005173CA">
        <w:rPr>
          <w:rFonts w:ascii="Arial" w:eastAsia="Arial" w:hAnsi="Arial" w:cs="Arial"/>
          <w:sz w:val="22"/>
          <w:szCs w:val="22"/>
          <w:lang w:val="es-ES" w:eastAsia="es-ES" w:bidi="es-ES"/>
        </w:rPr>
        <w:t>que cierto sector de la doctrina y la jurisprudencia han establecido algunas diferencias o caracterización de los contratos interadministrativos frente a los convenios interadministrativos de que trata el artículo 95 de la Ley 489 de 1998. Por ejemplo, el Consejo de Estado</w:t>
      </w:r>
      <w:r w:rsidR="00A34A9F">
        <w:rPr>
          <w:rFonts w:ascii="Arial" w:eastAsia="Arial" w:hAnsi="Arial" w:cs="Arial"/>
          <w:sz w:val="22"/>
          <w:szCs w:val="22"/>
          <w:lang w:val="es-ES" w:eastAsia="es-ES" w:bidi="es-ES"/>
        </w:rPr>
        <w:t xml:space="preserve">, </w:t>
      </w:r>
      <w:r w:rsidRPr="005173CA">
        <w:rPr>
          <w:rFonts w:ascii="Arial" w:eastAsia="Arial" w:hAnsi="Arial" w:cs="Arial"/>
          <w:sz w:val="22"/>
          <w:szCs w:val="22"/>
          <w:lang w:val="es-ES" w:eastAsia="es-ES" w:bidi="es-ES"/>
        </w:rPr>
        <w:t>en sentencia del 14 de junio de 2019</w:t>
      </w:r>
      <w:r w:rsidR="00A34A9F">
        <w:rPr>
          <w:rFonts w:ascii="Arial" w:eastAsia="Arial" w:hAnsi="Arial" w:cs="Arial"/>
          <w:sz w:val="22"/>
          <w:szCs w:val="22"/>
          <w:lang w:val="es-ES" w:eastAsia="es-ES" w:bidi="es-ES"/>
        </w:rPr>
        <w:t xml:space="preserve">, </w:t>
      </w:r>
      <w:r w:rsidRPr="005173CA">
        <w:rPr>
          <w:rFonts w:ascii="Arial" w:eastAsia="Arial" w:hAnsi="Arial" w:cs="Arial"/>
          <w:sz w:val="22"/>
          <w:szCs w:val="22"/>
          <w:lang w:val="es-ES" w:eastAsia="es-ES" w:bidi="es-ES"/>
        </w:rPr>
        <w:t>expresó:</w:t>
      </w:r>
    </w:p>
    <w:p w14:paraId="1B60D869" w14:textId="77777777" w:rsidR="005173CA" w:rsidRPr="005173CA" w:rsidRDefault="005173CA" w:rsidP="005173CA">
      <w:pPr>
        <w:widowControl w:val="0"/>
        <w:autoSpaceDE w:val="0"/>
        <w:autoSpaceDN w:val="0"/>
        <w:spacing w:line="276" w:lineRule="auto"/>
        <w:ind w:firstLine="709"/>
        <w:contextualSpacing/>
        <w:jc w:val="both"/>
        <w:rPr>
          <w:rFonts w:ascii="Arial" w:eastAsia="Arial" w:hAnsi="Arial" w:cs="Arial"/>
          <w:sz w:val="22"/>
          <w:szCs w:val="22"/>
          <w:lang w:val="es-ES" w:eastAsia="es-ES" w:bidi="es-ES"/>
        </w:rPr>
      </w:pPr>
    </w:p>
    <w:p w14:paraId="6D5AF4E1" w14:textId="77777777" w:rsidR="005173CA" w:rsidRPr="005173CA" w:rsidRDefault="005173CA" w:rsidP="005173CA">
      <w:pPr>
        <w:ind w:left="709" w:right="709"/>
        <w:contextualSpacing/>
        <w:jc w:val="both"/>
        <w:rPr>
          <w:rFonts w:ascii="Arial" w:eastAsia="Calibri" w:hAnsi="Arial" w:cs="Arial"/>
          <w:sz w:val="21"/>
          <w:szCs w:val="21"/>
          <w:lang w:val="es-ES_tradnl" w:eastAsia="en-US"/>
        </w:rPr>
      </w:pPr>
      <w:r w:rsidRPr="005173CA">
        <w:rPr>
          <w:rFonts w:ascii="Arial" w:eastAsia="Calibri" w:hAnsi="Arial" w:cs="Arial"/>
          <w:sz w:val="21"/>
          <w:szCs w:val="21"/>
          <w:lang w:val="es-ES_tradnl" w:eastAsia="en-US"/>
        </w:rPr>
        <w:t>“La Sala de Consulta y Servicio Civil</w:t>
      </w:r>
      <w:r w:rsidRPr="005173CA">
        <w:rPr>
          <w:rFonts w:ascii="Arial" w:eastAsia="Calibri" w:hAnsi="Arial" w:cs="Arial"/>
          <w:sz w:val="21"/>
          <w:szCs w:val="21"/>
          <w:vertAlign w:val="superscript"/>
          <w:lang w:val="es-ES_tradnl" w:eastAsia="en-US"/>
        </w:rPr>
        <w:footnoteReference w:id="30"/>
      </w:r>
      <w:r w:rsidRPr="005173CA">
        <w:rPr>
          <w:rFonts w:ascii="Arial" w:eastAsia="Calibri" w:hAnsi="Arial" w:cs="Arial"/>
          <w:sz w:val="21"/>
          <w:szCs w:val="21"/>
          <w:lang w:val="es-ES_tradnl" w:eastAsia="en-US"/>
        </w:rPr>
        <w:t xml:space="preserve"> de esta Corporación se ha referido a los </w:t>
      </w:r>
      <w:r w:rsidRPr="005173CA">
        <w:rPr>
          <w:rFonts w:ascii="Arial" w:eastAsia="Calibri" w:hAnsi="Arial" w:cs="Arial"/>
          <w:i/>
          <w:sz w:val="21"/>
          <w:szCs w:val="21"/>
          <w:lang w:val="es-ES_tradnl" w:eastAsia="en-US"/>
        </w:rPr>
        <w:t>“convenios interadministrativos”</w:t>
      </w:r>
      <w:r w:rsidRPr="005173CA">
        <w:rPr>
          <w:rFonts w:ascii="Arial" w:eastAsia="Calibri" w:hAnsi="Arial" w:cs="Arial"/>
          <w:sz w:val="21"/>
          <w:szCs w:val="21"/>
          <w:lang w:val="es-ES_tradnl" w:eastAsia="en-US"/>
        </w:rPr>
        <w:t xml:space="preserve"> a los cuales alude el artículo 95 de la Ley 489 de 1998, calificándolos de </w:t>
      </w:r>
      <w:r w:rsidRPr="005173CA">
        <w:rPr>
          <w:rFonts w:ascii="Arial" w:eastAsia="Calibri" w:hAnsi="Arial" w:cs="Arial"/>
          <w:i/>
          <w:sz w:val="21"/>
          <w:szCs w:val="21"/>
          <w:lang w:val="es-ES_tradnl" w:eastAsia="en-US"/>
        </w:rPr>
        <w:t xml:space="preserve">“puros” </w:t>
      </w:r>
      <w:r w:rsidRPr="005173CA">
        <w:rPr>
          <w:rFonts w:ascii="Arial" w:eastAsia="Calibri" w:hAnsi="Arial" w:cs="Arial"/>
          <w:sz w:val="21"/>
          <w:szCs w:val="21"/>
          <w:lang w:val="es-ES_tradnl" w:eastAsia="en-US"/>
        </w:rPr>
        <w:t xml:space="preserve">y entendiendo que estos, además de perseguir la finalidad de cooperación antes indicada, no implican intereses contrapuestos ni tampoco se circunscriben a un </w:t>
      </w:r>
      <w:r w:rsidRPr="005173CA">
        <w:rPr>
          <w:rFonts w:ascii="Arial" w:eastAsia="Calibri" w:hAnsi="Arial" w:cs="Arial"/>
          <w:i/>
          <w:sz w:val="21"/>
          <w:szCs w:val="21"/>
          <w:lang w:val="es-ES_tradnl" w:eastAsia="en-US"/>
        </w:rPr>
        <w:t>“intercambio patrimonial”</w:t>
      </w:r>
      <w:r w:rsidRPr="005173CA">
        <w:rPr>
          <w:rFonts w:ascii="Arial" w:eastAsia="Calibri" w:hAnsi="Arial" w:cs="Arial"/>
          <w:sz w:val="21"/>
          <w:szCs w:val="21"/>
          <w:lang w:val="es-ES_tradnl" w:eastAsia="en-US"/>
        </w:rPr>
        <w:t>. Sin perjuicio de lo anterior, en otra oportunidad, la misma Sala</w:t>
      </w:r>
      <w:r w:rsidRPr="005173CA">
        <w:rPr>
          <w:rFonts w:ascii="Arial" w:eastAsia="Calibri" w:hAnsi="Arial" w:cs="Arial"/>
          <w:sz w:val="21"/>
          <w:szCs w:val="21"/>
          <w:vertAlign w:val="superscript"/>
          <w:lang w:val="es-ES_tradnl" w:eastAsia="en-US"/>
        </w:rPr>
        <w:footnoteReference w:id="31"/>
      </w:r>
      <w:r w:rsidRPr="005173CA">
        <w:rPr>
          <w:rFonts w:ascii="Arial" w:eastAsia="Calibri" w:hAnsi="Arial" w:cs="Arial"/>
          <w:sz w:val="21"/>
          <w:szCs w:val="21"/>
          <w:lang w:val="es-ES_tradnl" w:eastAsia="en-US"/>
        </w:rPr>
        <w:t xml:space="preserve"> había indicado que, si bien en dichos convenios no se daba un </w:t>
      </w:r>
      <w:r w:rsidRPr="005173CA">
        <w:rPr>
          <w:rFonts w:ascii="Arial" w:eastAsia="Calibri" w:hAnsi="Arial" w:cs="Arial"/>
          <w:i/>
          <w:sz w:val="21"/>
          <w:szCs w:val="21"/>
          <w:lang w:val="es-ES_tradnl" w:eastAsia="en-US"/>
        </w:rPr>
        <w:t>“verdadero intercambio de bienes o servicios (contrato conmutativo)”</w:t>
      </w:r>
      <w:r w:rsidRPr="005173CA">
        <w:rPr>
          <w:rFonts w:ascii="Arial" w:eastAsia="Calibri" w:hAnsi="Arial" w:cs="Arial"/>
          <w:sz w:val="21"/>
          <w:szCs w:val="21"/>
          <w:lang w:val="es-ES_tradnl" w:eastAsia="en-US"/>
        </w:rPr>
        <w:t>, ello no impedía que se conviniera una remuneración a cargo de alguna(s) entidad(es).</w:t>
      </w:r>
    </w:p>
    <w:p w14:paraId="5571598B" w14:textId="77777777" w:rsidR="005173CA" w:rsidRPr="005173CA" w:rsidRDefault="005173CA" w:rsidP="005173CA">
      <w:pPr>
        <w:ind w:left="709" w:right="709"/>
        <w:contextualSpacing/>
        <w:jc w:val="both"/>
        <w:rPr>
          <w:rFonts w:ascii="Arial" w:eastAsia="Calibri" w:hAnsi="Arial" w:cs="Arial"/>
          <w:sz w:val="12"/>
          <w:szCs w:val="12"/>
          <w:lang w:val="es-ES_tradnl" w:eastAsia="en-US"/>
        </w:rPr>
      </w:pPr>
    </w:p>
    <w:p w14:paraId="7885026F" w14:textId="77777777" w:rsidR="005173CA" w:rsidRPr="005173CA" w:rsidRDefault="005173CA" w:rsidP="005173CA">
      <w:pPr>
        <w:widowControl w:val="0"/>
        <w:autoSpaceDE w:val="0"/>
        <w:autoSpaceDN w:val="0"/>
        <w:ind w:left="709" w:right="709"/>
        <w:contextualSpacing/>
        <w:jc w:val="both"/>
        <w:rPr>
          <w:rFonts w:ascii="Arial" w:eastAsia="Arial" w:hAnsi="Arial" w:cs="Arial"/>
          <w:sz w:val="21"/>
          <w:szCs w:val="21"/>
          <w:lang w:val="es-ES" w:eastAsia="es-ES" w:bidi="es-ES"/>
        </w:rPr>
      </w:pPr>
      <w:r w:rsidRPr="005173CA">
        <w:rPr>
          <w:rFonts w:ascii="Arial" w:eastAsia="Arial" w:hAnsi="Arial" w:cs="Arial"/>
          <w:sz w:val="21"/>
          <w:szCs w:val="21"/>
          <w:lang w:val="es-ES_tradnl" w:eastAsia="es-ES" w:bidi="es-ES"/>
        </w:rPr>
        <w:t xml:space="preserve">Lo expuesto evidencia que, en general, las interpretaciones en torno a los </w:t>
      </w:r>
      <w:r w:rsidRPr="005173CA">
        <w:rPr>
          <w:rFonts w:ascii="Arial" w:eastAsia="Arial" w:hAnsi="Arial" w:cs="Arial"/>
          <w:i/>
          <w:sz w:val="21"/>
          <w:szCs w:val="21"/>
          <w:lang w:val="es-ES_tradnl" w:eastAsia="es-ES" w:bidi="es-ES"/>
        </w:rPr>
        <w:t>“convenios interadministrativos”</w:t>
      </w:r>
      <w:r w:rsidRPr="005173CA">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5173CA">
        <w:rPr>
          <w:rFonts w:ascii="Arial" w:eastAsia="Arial" w:hAnsi="Arial" w:cs="Arial"/>
          <w:sz w:val="21"/>
          <w:szCs w:val="21"/>
          <w:vertAlign w:val="superscript"/>
          <w:lang w:val="es-ES_tradnl" w:eastAsia="es-ES" w:bidi="es-ES"/>
        </w:rPr>
        <w:footnoteReference w:id="32"/>
      </w:r>
      <w:r w:rsidRPr="005173CA">
        <w:rPr>
          <w:rFonts w:ascii="Arial" w:eastAsia="Arial" w:hAnsi="Arial" w:cs="Arial"/>
          <w:sz w:val="21"/>
          <w:szCs w:val="21"/>
          <w:lang w:val="es-ES_tradnl" w:eastAsia="es-ES" w:bidi="es-ES"/>
        </w:rPr>
        <w:t xml:space="preserve"> </w:t>
      </w:r>
      <w:r w:rsidRPr="005173CA">
        <w:rPr>
          <w:rFonts w:ascii="Arial" w:eastAsia="Arial" w:hAnsi="Arial" w:cs="Arial"/>
          <w:sz w:val="21"/>
          <w:szCs w:val="21"/>
          <w:vertAlign w:val="superscript"/>
          <w:lang w:val="es-ES_tradnl" w:eastAsia="es-ES" w:bidi="es-ES"/>
        </w:rPr>
        <w:footnoteReference w:id="33"/>
      </w:r>
      <w:r w:rsidRPr="005173CA">
        <w:rPr>
          <w:rFonts w:ascii="Arial" w:eastAsia="Arial" w:hAnsi="Arial" w:cs="Arial"/>
          <w:sz w:val="21"/>
          <w:szCs w:val="21"/>
          <w:lang w:val="es-ES_tradnl" w:eastAsia="es-ES" w:bidi="es-ES"/>
        </w:rPr>
        <w:t>.</w:t>
      </w:r>
    </w:p>
    <w:p w14:paraId="21BB4D78" w14:textId="77777777" w:rsidR="005173CA" w:rsidRPr="005173CA" w:rsidRDefault="005173CA" w:rsidP="005173CA">
      <w:pPr>
        <w:widowControl w:val="0"/>
        <w:autoSpaceDE w:val="0"/>
        <w:autoSpaceDN w:val="0"/>
        <w:spacing w:line="276" w:lineRule="auto"/>
        <w:contextualSpacing/>
        <w:jc w:val="both"/>
        <w:rPr>
          <w:rFonts w:ascii="Arial" w:eastAsia="Arial" w:hAnsi="Arial" w:cs="Arial"/>
          <w:sz w:val="22"/>
          <w:szCs w:val="22"/>
          <w:lang w:val="es-ES" w:eastAsia="es-ES" w:bidi="es-ES"/>
        </w:rPr>
      </w:pPr>
    </w:p>
    <w:p w14:paraId="2997B2DC" w14:textId="3F7177FB" w:rsidR="005173CA" w:rsidRPr="005173CA" w:rsidRDefault="005173CA" w:rsidP="005173CA">
      <w:pPr>
        <w:widowControl w:val="0"/>
        <w:autoSpaceDE w:val="0"/>
        <w:autoSpaceDN w:val="0"/>
        <w:spacing w:after="120" w:line="276" w:lineRule="auto"/>
        <w:jc w:val="both"/>
        <w:rPr>
          <w:rFonts w:ascii="Arial" w:eastAsia="Arial" w:hAnsi="Arial" w:cs="Arial"/>
          <w:sz w:val="22"/>
          <w:szCs w:val="22"/>
          <w:lang w:val="es-ES" w:eastAsia="es-ES" w:bidi="es-ES"/>
        </w:rPr>
      </w:pPr>
      <w:r w:rsidRPr="005173CA">
        <w:rPr>
          <w:rFonts w:ascii="Arial" w:eastAsia="Arial" w:hAnsi="Arial" w:cs="Arial"/>
          <w:sz w:val="22"/>
          <w:szCs w:val="22"/>
          <w:lang w:val="es-ES" w:eastAsia="es-ES" w:bidi="es-ES"/>
        </w:rPr>
        <w:tab/>
      </w:r>
      <w:r w:rsidR="00A34A9F">
        <w:rPr>
          <w:rFonts w:ascii="Arial" w:eastAsia="Arial" w:hAnsi="Arial" w:cs="Arial"/>
          <w:sz w:val="22"/>
          <w:szCs w:val="22"/>
          <w:lang w:val="es-ES" w:eastAsia="es-ES" w:bidi="es-ES"/>
        </w:rPr>
        <w:t xml:space="preserve">Así las cosas, es de resaltar que </w:t>
      </w:r>
      <w:r w:rsidRPr="005173CA">
        <w:rPr>
          <w:rFonts w:ascii="Arial" w:eastAsia="Arial" w:hAnsi="Arial" w:cs="Arial"/>
          <w:sz w:val="22"/>
          <w:szCs w:val="22"/>
          <w:lang w:val="es-ES" w:eastAsia="es-ES" w:bidi="es-ES"/>
        </w:rPr>
        <w:t>el</w:t>
      </w:r>
      <w:r w:rsidR="00A34A9F">
        <w:rPr>
          <w:rFonts w:ascii="Arial" w:eastAsia="Arial" w:hAnsi="Arial" w:cs="Arial"/>
          <w:sz w:val="22"/>
          <w:szCs w:val="22"/>
          <w:lang w:val="es-ES" w:eastAsia="es-ES" w:bidi="es-ES"/>
        </w:rPr>
        <w:t xml:space="preserve"> </w:t>
      </w:r>
      <w:r w:rsidRPr="005173CA">
        <w:rPr>
          <w:rFonts w:ascii="Arial" w:eastAsia="Arial" w:hAnsi="Arial" w:cs="Arial"/>
          <w:sz w:val="22"/>
          <w:szCs w:val="22"/>
          <w:lang w:val="es-ES" w:eastAsia="es-ES" w:bidi="es-ES"/>
        </w:rPr>
        <w:t>legislador y el ordenamiento jurídico, en general, en distintas ocasiones utiliza de forma indistinta los conceptos de contrato o convenio para referirse a la misma institución jurídica</w:t>
      </w:r>
      <w:r w:rsidRPr="005173CA">
        <w:rPr>
          <w:rFonts w:ascii="Arial" w:eastAsia="Arial" w:hAnsi="Arial" w:cs="Arial"/>
          <w:sz w:val="22"/>
          <w:szCs w:val="22"/>
          <w:vertAlign w:val="superscript"/>
          <w:lang w:val="es-ES" w:eastAsia="es-ES" w:bidi="es-ES"/>
        </w:rPr>
        <w:footnoteReference w:id="34"/>
      </w:r>
      <w:r w:rsidRPr="005173CA">
        <w:rPr>
          <w:rFonts w:ascii="Arial" w:eastAsia="Arial" w:hAnsi="Arial" w:cs="Arial"/>
          <w:sz w:val="22"/>
          <w:szCs w:val="22"/>
          <w:lang w:val="es-ES" w:eastAsia="es-ES" w:bidi="es-ES"/>
        </w:rPr>
        <w:t xml:space="preserve">. Incluso, la Corte Constitucional fundamenta la posibilidad de celebrar convenios interadministrativos de forma directa, con fundamento en la causal establecida en la Ley 1150 de 2007 </w:t>
      </w:r>
      <w:r w:rsidR="00814622">
        <w:rPr>
          <w:rFonts w:ascii="Arial" w:eastAsia="Arial" w:hAnsi="Arial" w:cs="Arial"/>
          <w:sz w:val="22"/>
          <w:szCs w:val="22"/>
          <w:lang w:val="es-ES" w:eastAsia="es-ES" w:bidi="es-ES"/>
        </w:rPr>
        <w:t xml:space="preserve">frente </w:t>
      </w:r>
      <w:r w:rsidRPr="005173CA">
        <w:rPr>
          <w:rFonts w:ascii="Arial" w:eastAsia="Arial" w:hAnsi="Arial" w:cs="Arial"/>
          <w:sz w:val="22"/>
          <w:szCs w:val="22"/>
          <w:lang w:val="es-ES" w:eastAsia="es-ES" w:bidi="es-ES"/>
        </w:rPr>
        <w:t>a los contratos interadministrativos</w:t>
      </w:r>
      <w:r w:rsidRPr="005173CA">
        <w:rPr>
          <w:rFonts w:ascii="Arial" w:eastAsia="Arial" w:hAnsi="Arial" w:cs="Arial"/>
          <w:sz w:val="22"/>
          <w:szCs w:val="22"/>
          <w:vertAlign w:val="superscript"/>
          <w:lang w:val="es-ES" w:eastAsia="es-ES" w:bidi="es-ES"/>
        </w:rPr>
        <w:footnoteReference w:id="35"/>
      </w:r>
      <w:r w:rsidRPr="005173CA">
        <w:rPr>
          <w:rFonts w:ascii="Arial" w:eastAsia="Arial" w:hAnsi="Arial" w:cs="Arial"/>
          <w:sz w:val="22"/>
          <w:szCs w:val="22"/>
          <w:lang w:val="es-ES" w:eastAsia="es-ES" w:bidi="es-ES"/>
        </w:rPr>
        <w:t>.</w:t>
      </w:r>
    </w:p>
    <w:p w14:paraId="3BB57997" w14:textId="082631CC" w:rsidR="005173CA" w:rsidRPr="005173CA" w:rsidRDefault="005173CA" w:rsidP="005173CA">
      <w:pPr>
        <w:widowControl w:val="0"/>
        <w:autoSpaceDE w:val="0"/>
        <w:autoSpaceDN w:val="0"/>
        <w:spacing w:line="276" w:lineRule="auto"/>
        <w:contextualSpacing/>
        <w:jc w:val="both"/>
        <w:rPr>
          <w:rFonts w:ascii="Arial" w:eastAsia="Arial" w:hAnsi="Arial" w:cs="Arial"/>
          <w:sz w:val="22"/>
          <w:szCs w:val="22"/>
          <w:lang w:val="es-ES" w:eastAsia="es-ES" w:bidi="es-ES"/>
        </w:rPr>
      </w:pPr>
      <w:r w:rsidRPr="005173CA">
        <w:rPr>
          <w:rFonts w:ascii="Arial" w:eastAsia="Arial" w:hAnsi="Arial" w:cs="Arial"/>
          <w:sz w:val="22"/>
          <w:szCs w:val="22"/>
          <w:lang w:val="es-ES" w:eastAsia="es-ES" w:bidi="es-ES"/>
        </w:rPr>
        <w:tab/>
      </w:r>
      <w:r w:rsidR="00FB43DA">
        <w:rPr>
          <w:rFonts w:ascii="Arial" w:eastAsia="Arial" w:hAnsi="Arial" w:cs="Arial"/>
          <w:sz w:val="22"/>
          <w:szCs w:val="22"/>
          <w:lang w:val="es-ES" w:eastAsia="es-ES" w:bidi="es-ES"/>
        </w:rPr>
        <w:t>Al respecto, cabe destacar q</w:t>
      </w:r>
      <w:r w:rsidRPr="005173CA">
        <w:rPr>
          <w:rFonts w:ascii="Arial" w:eastAsia="Arial" w:hAnsi="Arial" w:cs="Arial"/>
          <w:sz w:val="22"/>
          <w:szCs w:val="22"/>
          <w:lang w:val="es-ES" w:eastAsia="es-ES" w:bidi="es-ES"/>
        </w:rPr>
        <w:t>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w:t>
      </w:r>
      <w:r w:rsidR="00FB43DA">
        <w:rPr>
          <w:rFonts w:ascii="Arial" w:eastAsia="Arial" w:hAnsi="Arial" w:cs="Arial"/>
          <w:sz w:val="22"/>
          <w:szCs w:val="22"/>
          <w:lang w:val="es-ES" w:eastAsia="es-ES" w:bidi="es-ES"/>
        </w:rPr>
        <w:t xml:space="preserve">, conforme a </w:t>
      </w:r>
      <w:r w:rsidRPr="005173CA">
        <w:rPr>
          <w:rFonts w:ascii="Arial" w:eastAsia="Arial" w:hAnsi="Arial" w:cs="Arial"/>
          <w:sz w:val="22"/>
          <w:szCs w:val="22"/>
          <w:lang w:val="es-ES" w:eastAsia="es-ES" w:bidi="es-ES"/>
        </w:rPr>
        <w:t xml:space="preserve">las consideraciones expuestas en </w:t>
      </w:r>
      <w:r w:rsidR="00A34A9F">
        <w:rPr>
          <w:rFonts w:ascii="Arial" w:eastAsia="Arial" w:hAnsi="Arial" w:cs="Arial"/>
          <w:sz w:val="22"/>
          <w:szCs w:val="22"/>
          <w:lang w:val="es-ES" w:eastAsia="es-ES" w:bidi="es-ES"/>
        </w:rPr>
        <w:t xml:space="preserve">el numeral 16.2. </w:t>
      </w:r>
      <w:r w:rsidR="00FB43DA">
        <w:rPr>
          <w:rFonts w:ascii="Arial" w:eastAsia="Arial" w:hAnsi="Arial" w:cs="Arial"/>
          <w:sz w:val="22"/>
          <w:szCs w:val="22"/>
          <w:lang w:val="es-ES" w:eastAsia="es-ES" w:bidi="es-ES"/>
        </w:rPr>
        <w:t xml:space="preserve">de dicha Circular, se </w:t>
      </w:r>
      <w:r w:rsidRPr="005173CA">
        <w:rPr>
          <w:rFonts w:ascii="Arial" w:eastAsia="Arial" w:hAnsi="Arial" w:cs="Arial"/>
          <w:sz w:val="22"/>
          <w:szCs w:val="22"/>
          <w:lang w:val="es-ES" w:eastAsia="es-ES" w:bidi="es-ES"/>
        </w:rPr>
        <w:t>los asimila para efectos de aplicar las disposiciones que tangencialmente se refieren a uno u otro vocablo, por ejemplo,</w:t>
      </w:r>
      <w:r w:rsidR="00FB43DA">
        <w:rPr>
          <w:rFonts w:ascii="Arial" w:eastAsia="Arial" w:hAnsi="Arial" w:cs="Arial"/>
          <w:sz w:val="22"/>
          <w:szCs w:val="22"/>
          <w:lang w:val="es-ES" w:eastAsia="es-ES" w:bidi="es-ES"/>
        </w:rPr>
        <w:t xml:space="preserve"> </w:t>
      </w:r>
      <w:r w:rsidRPr="005173CA">
        <w:rPr>
          <w:rFonts w:ascii="Arial" w:eastAsia="Arial" w:hAnsi="Arial" w:cs="Arial"/>
          <w:sz w:val="22"/>
          <w:szCs w:val="22"/>
          <w:lang w:val="es-ES" w:eastAsia="es-ES" w:bidi="es-ES"/>
        </w:rPr>
        <w:t>para la aplicación de la Ley de Garantías Electorales.</w:t>
      </w:r>
      <w:r w:rsidR="00FB43DA">
        <w:rPr>
          <w:rFonts w:ascii="Arial" w:eastAsia="Arial" w:hAnsi="Arial" w:cs="Arial"/>
          <w:sz w:val="22"/>
          <w:szCs w:val="22"/>
          <w:lang w:val="es-ES" w:eastAsia="es-ES" w:bidi="es-ES"/>
        </w:rPr>
        <w:t xml:space="preserve"> </w:t>
      </w:r>
      <w:r w:rsidRPr="005173CA">
        <w:rPr>
          <w:rFonts w:ascii="Arial" w:eastAsia="Arial" w:hAnsi="Arial" w:cs="Arial"/>
          <w:sz w:val="22"/>
          <w:szCs w:val="22"/>
          <w:lang w:val="es-ES" w:eastAsia="es-ES" w:bidi="es-ES"/>
        </w:rPr>
        <w:t xml:space="preserve">En </w:t>
      </w:r>
      <w:r w:rsidR="00FB43DA">
        <w:rPr>
          <w:rFonts w:ascii="Arial" w:eastAsia="Arial" w:hAnsi="Arial" w:cs="Arial"/>
          <w:sz w:val="22"/>
          <w:szCs w:val="22"/>
          <w:lang w:val="es-ES" w:eastAsia="es-ES" w:bidi="es-ES"/>
        </w:rPr>
        <w:t xml:space="preserve">dicho numeral de la Circular, al hacerse referencia </w:t>
      </w:r>
      <w:r w:rsidRPr="005173CA">
        <w:rPr>
          <w:rFonts w:ascii="Arial" w:eastAsia="Arial" w:hAnsi="Arial" w:cs="Arial"/>
          <w:sz w:val="22"/>
          <w:szCs w:val="22"/>
          <w:lang w:val="es-ES" w:eastAsia="es-ES" w:bidi="es-ES"/>
        </w:rPr>
        <w:t>al parágrafo del artículo 38 de la Ley 996 de 2005</w:t>
      </w:r>
      <w:r w:rsidR="00FB43DA">
        <w:rPr>
          <w:rFonts w:ascii="Arial" w:eastAsia="Arial" w:hAnsi="Arial" w:cs="Arial"/>
          <w:sz w:val="22"/>
          <w:szCs w:val="22"/>
          <w:lang w:val="es-ES" w:eastAsia="es-ES" w:bidi="es-ES"/>
        </w:rPr>
        <w:t>, se dejó en claro que:</w:t>
      </w:r>
    </w:p>
    <w:p w14:paraId="3C065D43" w14:textId="77777777" w:rsidR="005173CA" w:rsidRPr="005173CA" w:rsidRDefault="005173CA" w:rsidP="005173CA">
      <w:pPr>
        <w:widowControl w:val="0"/>
        <w:autoSpaceDE w:val="0"/>
        <w:autoSpaceDN w:val="0"/>
        <w:spacing w:line="276" w:lineRule="auto"/>
        <w:contextualSpacing/>
        <w:jc w:val="both"/>
        <w:rPr>
          <w:rFonts w:ascii="Arial" w:eastAsia="Arial" w:hAnsi="Arial" w:cs="Arial"/>
          <w:sz w:val="22"/>
          <w:szCs w:val="22"/>
          <w:lang w:val="es-ES" w:eastAsia="es-ES" w:bidi="es-ES"/>
        </w:rPr>
      </w:pPr>
    </w:p>
    <w:p w14:paraId="5B34B126" w14:textId="77777777" w:rsidR="005173CA" w:rsidRPr="005173CA" w:rsidRDefault="005173CA" w:rsidP="005173CA">
      <w:pPr>
        <w:spacing w:after="120"/>
        <w:ind w:left="709" w:right="709"/>
        <w:contextualSpacing/>
        <w:jc w:val="both"/>
        <w:rPr>
          <w:rFonts w:ascii="Arial" w:eastAsia="Calibri" w:hAnsi="Arial" w:cs="Arial"/>
          <w:sz w:val="21"/>
          <w:szCs w:val="21"/>
          <w:lang w:val="es-MX" w:eastAsia="en-US"/>
        </w:rPr>
      </w:pPr>
      <w:bookmarkStart w:id="84" w:name="_Hlk143000405"/>
      <w:r w:rsidRPr="005173CA">
        <w:rPr>
          <w:rFonts w:ascii="Arial" w:eastAsia="Calibri" w:hAnsi="Arial" w:cs="Arial"/>
          <w:sz w:val="21"/>
          <w:szCs w:val="21"/>
          <w:lang w:val="es-ES_tradnl" w:eastAsia="en-US"/>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5173CA">
        <w:rPr>
          <w:rFonts w:ascii="Arial" w:eastAsia="Calibri" w:hAnsi="Arial" w:cs="Arial"/>
          <w:sz w:val="21"/>
          <w:szCs w:val="21"/>
          <w:lang w:val="es-MX" w:eastAsia="en-US"/>
        </w:rPr>
        <w:t xml:space="preserve">para tal fin, se entenderán en el mismo sentido. Es así como el Decreto 1082 de 2015 trata indistintamente a los convenios y contratos </w:t>
      </w:r>
      <w:r w:rsidRPr="005173CA">
        <w:rPr>
          <w:rFonts w:ascii="Arial" w:eastAsia="Calibri" w:hAnsi="Arial" w:cs="Arial"/>
          <w:sz w:val="21"/>
          <w:szCs w:val="21"/>
          <w:lang w:val="es-MX" w:eastAsia="en-US"/>
        </w:rPr>
        <w:lastRenderedPageBreak/>
        <w:t>interadministrativos, al establecer la contratación directa como la modalidad de selección para la contratación entre entidades públicas a través de estas dos figuras jurídicas.</w:t>
      </w:r>
    </w:p>
    <w:p w14:paraId="0F7CE888" w14:textId="77777777" w:rsidR="005173CA" w:rsidRPr="005173CA" w:rsidRDefault="005173CA" w:rsidP="005173CA">
      <w:pPr>
        <w:spacing w:after="120"/>
        <w:ind w:left="709" w:right="709"/>
        <w:contextualSpacing/>
        <w:jc w:val="both"/>
        <w:rPr>
          <w:rFonts w:ascii="Arial" w:eastAsia="Calibri" w:hAnsi="Arial" w:cs="Arial"/>
          <w:sz w:val="12"/>
          <w:szCs w:val="12"/>
          <w:lang w:val="es-MX" w:eastAsia="en-US"/>
        </w:rPr>
      </w:pPr>
    </w:p>
    <w:bookmarkEnd w:id="84"/>
    <w:p w14:paraId="45F16832" w14:textId="77777777" w:rsidR="005173CA" w:rsidRPr="005173CA" w:rsidRDefault="005173CA" w:rsidP="005173CA">
      <w:pPr>
        <w:spacing w:after="120"/>
        <w:ind w:left="709" w:right="709"/>
        <w:contextualSpacing/>
        <w:jc w:val="both"/>
        <w:rPr>
          <w:rFonts w:ascii="Arial" w:eastAsia="Calibri" w:hAnsi="Arial" w:cs="Arial"/>
          <w:sz w:val="21"/>
          <w:szCs w:val="21"/>
          <w:lang w:val="es-MX" w:eastAsia="en-US"/>
        </w:rPr>
      </w:pPr>
      <w:r w:rsidRPr="005173CA">
        <w:rPr>
          <w:rFonts w:ascii="Arial" w:eastAsia="Calibri" w:hAnsi="Arial" w:cs="Arial"/>
          <w:sz w:val="21"/>
          <w:szCs w:val="21"/>
          <w:lang w:val="es-MX" w:eastAsia="en-US"/>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5937283E" w14:textId="77777777" w:rsidR="005173CA" w:rsidRPr="005173CA" w:rsidRDefault="005173CA" w:rsidP="005173CA">
      <w:pPr>
        <w:spacing w:after="120"/>
        <w:ind w:left="709" w:right="709"/>
        <w:contextualSpacing/>
        <w:jc w:val="both"/>
        <w:rPr>
          <w:rFonts w:ascii="Arial" w:eastAsia="Calibri" w:hAnsi="Arial" w:cs="Arial"/>
          <w:sz w:val="12"/>
          <w:szCs w:val="12"/>
          <w:lang w:val="es-MX" w:eastAsia="en-US"/>
        </w:rPr>
      </w:pPr>
    </w:p>
    <w:p w14:paraId="340FC9CF" w14:textId="77777777" w:rsidR="005173CA" w:rsidRPr="005173CA" w:rsidRDefault="005173CA" w:rsidP="005173CA">
      <w:pPr>
        <w:ind w:left="709" w:right="709"/>
        <w:contextualSpacing/>
        <w:jc w:val="both"/>
        <w:rPr>
          <w:rFonts w:ascii="Arial" w:eastAsia="Calibri" w:hAnsi="Arial" w:cs="Arial"/>
          <w:szCs w:val="22"/>
          <w:lang w:val="es-MX" w:eastAsia="en-US"/>
        </w:rPr>
      </w:pPr>
      <w:r w:rsidRPr="005173CA">
        <w:rPr>
          <w:rFonts w:ascii="Arial" w:eastAsia="Calibri" w:hAnsi="Arial" w:cs="Arial"/>
          <w:sz w:val="21"/>
          <w:szCs w:val="21"/>
          <w:lang w:val="es-MX" w:eastAsia="en-US"/>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5CBDEAA1" w14:textId="77777777" w:rsidR="005173CA" w:rsidRPr="005173CA" w:rsidRDefault="005173CA" w:rsidP="005173CA">
      <w:pPr>
        <w:widowControl w:val="0"/>
        <w:autoSpaceDE w:val="0"/>
        <w:autoSpaceDN w:val="0"/>
        <w:spacing w:line="276" w:lineRule="auto"/>
        <w:contextualSpacing/>
        <w:jc w:val="both"/>
        <w:rPr>
          <w:rFonts w:ascii="Arial" w:eastAsia="Arial" w:hAnsi="Arial" w:cs="Arial"/>
          <w:sz w:val="22"/>
          <w:szCs w:val="22"/>
          <w:lang w:val="es-ES" w:eastAsia="es-ES" w:bidi="es-ES"/>
        </w:rPr>
      </w:pPr>
    </w:p>
    <w:p w14:paraId="7CDF19EC" w14:textId="5FDA2F4C" w:rsidR="005173CA" w:rsidRPr="005173CA" w:rsidRDefault="005173CA" w:rsidP="005173CA">
      <w:pPr>
        <w:widowControl w:val="0"/>
        <w:autoSpaceDE w:val="0"/>
        <w:autoSpaceDN w:val="0"/>
        <w:spacing w:after="120" w:line="276" w:lineRule="auto"/>
        <w:jc w:val="both"/>
        <w:rPr>
          <w:rFonts w:ascii="Arial" w:eastAsia="Calibri" w:hAnsi="Arial" w:cs="Arial"/>
          <w:sz w:val="22"/>
          <w:szCs w:val="22"/>
          <w:lang w:eastAsia="es-ES" w:bidi="es-ES"/>
        </w:rPr>
      </w:pPr>
      <w:r w:rsidRPr="005173CA">
        <w:rPr>
          <w:rFonts w:ascii="Arial" w:eastAsia="Arial" w:hAnsi="Arial" w:cs="Arial"/>
          <w:sz w:val="22"/>
          <w:szCs w:val="22"/>
          <w:lang w:val="es-ES" w:eastAsia="es-ES" w:bidi="es-ES"/>
        </w:rPr>
        <w:tab/>
      </w:r>
      <w:r w:rsidR="00814622" w:rsidRPr="00814622">
        <w:rPr>
          <w:rFonts w:ascii="Arial" w:eastAsia="Arial" w:hAnsi="Arial" w:cs="Arial"/>
          <w:sz w:val="22"/>
          <w:szCs w:val="22"/>
          <w:lang w:val="es-ES" w:eastAsia="es-ES" w:bidi="es-ES"/>
        </w:rPr>
        <w:t>De</w:t>
      </w:r>
      <w:r w:rsidR="00C659DE">
        <w:rPr>
          <w:rFonts w:ascii="Arial" w:eastAsia="Arial" w:hAnsi="Arial" w:cs="Arial"/>
          <w:sz w:val="22"/>
          <w:szCs w:val="22"/>
          <w:lang w:val="es-ES" w:eastAsia="es-ES" w:bidi="es-ES"/>
        </w:rPr>
        <w:t xml:space="preserve"> </w:t>
      </w:r>
      <w:r w:rsidR="00814622">
        <w:rPr>
          <w:rFonts w:ascii="Arial" w:eastAsia="Arial" w:hAnsi="Arial" w:cs="Arial"/>
          <w:sz w:val="22"/>
          <w:szCs w:val="22"/>
          <w:lang w:val="es-ES" w:eastAsia="es-ES" w:bidi="es-ES"/>
        </w:rPr>
        <w:t>ahí</w:t>
      </w:r>
      <w:r w:rsidR="00C659DE">
        <w:rPr>
          <w:rFonts w:ascii="Arial" w:eastAsia="Arial" w:hAnsi="Arial" w:cs="Arial"/>
          <w:sz w:val="22"/>
          <w:szCs w:val="22"/>
          <w:lang w:val="es-ES" w:eastAsia="es-ES" w:bidi="es-ES"/>
        </w:rPr>
        <w:t xml:space="preserve"> </w:t>
      </w:r>
      <w:r w:rsidR="00814622">
        <w:rPr>
          <w:rFonts w:ascii="Arial" w:eastAsia="Arial" w:hAnsi="Arial" w:cs="Arial"/>
          <w:sz w:val="22"/>
          <w:szCs w:val="22"/>
          <w:lang w:val="es-ES" w:eastAsia="es-ES" w:bidi="es-ES"/>
        </w:rPr>
        <w:t>que</w:t>
      </w:r>
      <w:r w:rsidR="00C659DE">
        <w:rPr>
          <w:rFonts w:ascii="Arial" w:eastAsia="Arial" w:hAnsi="Arial" w:cs="Arial"/>
          <w:sz w:val="22"/>
          <w:szCs w:val="22"/>
          <w:lang w:val="es-ES" w:eastAsia="es-ES" w:bidi="es-ES"/>
        </w:rPr>
        <w:t xml:space="preserve"> en este concepto </w:t>
      </w:r>
      <w:r w:rsidR="00814622">
        <w:rPr>
          <w:rFonts w:ascii="Arial" w:eastAsia="Arial" w:hAnsi="Arial" w:cs="Arial"/>
          <w:sz w:val="22"/>
          <w:szCs w:val="22"/>
          <w:lang w:val="es-ES" w:eastAsia="es-ES" w:bidi="es-ES"/>
        </w:rPr>
        <w:t>quepa</w:t>
      </w:r>
      <w:r w:rsidR="00C659DE">
        <w:rPr>
          <w:rFonts w:ascii="Arial" w:eastAsia="Arial" w:hAnsi="Arial" w:cs="Arial"/>
          <w:sz w:val="22"/>
          <w:szCs w:val="22"/>
          <w:lang w:val="es-ES" w:eastAsia="es-ES" w:bidi="es-ES"/>
        </w:rPr>
        <w:t xml:space="preserve"> </w:t>
      </w:r>
      <w:r w:rsidR="00814622">
        <w:rPr>
          <w:rFonts w:ascii="Arial" w:eastAsia="Arial" w:hAnsi="Arial" w:cs="Arial"/>
          <w:sz w:val="22"/>
          <w:szCs w:val="22"/>
          <w:lang w:val="es-ES" w:eastAsia="es-ES" w:bidi="es-ES"/>
        </w:rPr>
        <w:t>insistir</w:t>
      </w:r>
      <w:r w:rsidR="00C659DE">
        <w:rPr>
          <w:rFonts w:ascii="Arial" w:eastAsia="Arial" w:hAnsi="Arial" w:cs="Arial"/>
          <w:sz w:val="22"/>
          <w:szCs w:val="22"/>
          <w:lang w:val="es-ES" w:eastAsia="es-ES" w:bidi="es-ES"/>
        </w:rPr>
        <w:t xml:space="preserve"> </w:t>
      </w:r>
      <w:r w:rsidR="00814622">
        <w:rPr>
          <w:rFonts w:ascii="Arial" w:eastAsia="Arial" w:hAnsi="Arial" w:cs="Arial"/>
          <w:sz w:val="22"/>
          <w:szCs w:val="22"/>
          <w:lang w:val="es-ES" w:eastAsia="es-ES" w:bidi="es-ES"/>
        </w:rPr>
        <w:t xml:space="preserve">en la conclusión según la cual </w:t>
      </w:r>
      <w:r w:rsidRPr="005173CA">
        <w:rPr>
          <w:rFonts w:ascii="Arial" w:eastAsia="Arial" w:hAnsi="Arial" w:cs="Arial"/>
          <w:sz w:val="22"/>
          <w:szCs w:val="22"/>
          <w:lang w:val="es-ES" w:eastAsia="es-ES" w:bidi="es-ES"/>
        </w:rPr>
        <w:t>lo que define los contratos o convenios interadministrativos es la naturaleza de las partes,</w:t>
      </w:r>
      <w:r w:rsidR="00C659DE">
        <w:rPr>
          <w:rFonts w:ascii="Arial" w:eastAsia="Arial" w:hAnsi="Arial" w:cs="Arial"/>
          <w:sz w:val="22"/>
          <w:szCs w:val="22"/>
          <w:lang w:val="es-ES" w:eastAsia="es-ES" w:bidi="es-ES"/>
        </w:rPr>
        <w:t xml:space="preserve"> </w:t>
      </w:r>
      <w:r w:rsidRPr="005173CA">
        <w:rPr>
          <w:rFonts w:ascii="Arial" w:eastAsia="Arial" w:hAnsi="Arial" w:cs="Arial"/>
          <w:sz w:val="22"/>
          <w:szCs w:val="22"/>
          <w:lang w:val="es-ES" w:eastAsia="es-ES" w:bidi="es-ES"/>
        </w:rPr>
        <w:t xml:space="preserve">de </w:t>
      </w:r>
      <w:r w:rsidR="00C659DE">
        <w:rPr>
          <w:rFonts w:ascii="Arial" w:eastAsia="Arial" w:hAnsi="Arial" w:cs="Arial"/>
          <w:sz w:val="22"/>
          <w:szCs w:val="22"/>
          <w:lang w:val="es-ES" w:eastAsia="es-ES" w:bidi="es-ES"/>
        </w:rPr>
        <w:t xml:space="preserve">suerte </w:t>
      </w:r>
      <w:r w:rsidRPr="005173CA">
        <w:rPr>
          <w:rFonts w:ascii="Arial" w:eastAsia="Arial" w:hAnsi="Arial" w:cs="Arial"/>
          <w:sz w:val="22"/>
          <w:szCs w:val="22"/>
          <w:lang w:val="es-ES" w:eastAsia="es-ES" w:bidi="es-ES"/>
        </w:rPr>
        <w:t xml:space="preserve">que están determinados por un criterio orgánico, en el sentido de que lo serán aquellos celebrados entre entidades estatales. </w:t>
      </w:r>
      <w:r w:rsidR="00C659DE">
        <w:rPr>
          <w:rFonts w:ascii="Arial" w:eastAsia="Arial" w:hAnsi="Arial" w:cs="Arial"/>
          <w:sz w:val="22"/>
          <w:szCs w:val="22"/>
          <w:lang w:val="es-ES" w:eastAsia="es-ES" w:bidi="es-ES"/>
        </w:rPr>
        <w:t>Por lo demás</w:t>
      </w:r>
      <w:r w:rsidRPr="005173CA">
        <w:rPr>
          <w:rFonts w:ascii="Arial" w:eastAsia="Arial" w:hAnsi="Arial" w:cs="Arial"/>
          <w:sz w:val="22"/>
          <w:szCs w:val="22"/>
          <w:lang w:val="es-ES" w:eastAsia="es-ES" w:bidi="es-ES"/>
        </w:rPr>
        <w:t xml:space="preserve">, como se </w:t>
      </w:r>
      <w:r w:rsidR="00C659DE">
        <w:rPr>
          <w:rFonts w:ascii="Arial" w:eastAsia="Arial" w:hAnsi="Arial" w:cs="Arial"/>
          <w:sz w:val="22"/>
          <w:szCs w:val="22"/>
          <w:lang w:val="es-ES" w:eastAsia="es-ES" w:bidi="es-ES"/>
        </w:rPr>
        <w:t xml:space="preserve">señaló </w:t>
      </w:r>
      <w:r w:rsidRPr="005173CA">
        <w:rPr>
          <w:rFonts w:ascii="Arial" w:eastAsia="Arial" w:hAnsi="Arial" w:cs="Arial"/>
          <w:sz w:val="22"/>
          <w:szCs w:val="22"/>
          <w:lang w:val="es-ES" w:eastAsia="es-ES" w:bidi="es-ES"/>
        </w:rPr>
        <w:t>en la Circular</w:t>
      </w:r>
      <w:r w:rsidR="00C659DE">
        <w:rPr>
          <w:rFonts w:ascii="Arial" w:eastAsia="Arial" w:hAnsi="Arial" w:cs="Arial"/>
          <w:sz w:val="22"/>
          <w:szCs w:val="22"/>
          <w:lang w:val="es-ES" w:eastAsia="es-ES" w:bidi="es-ES"/>
        </w:rPr>
        <w:t xml:space="preserve"> atrás </w:t>
      </w:r>
      <w:r w:rsidRPr="005173CA">
        <w:rPr>
          <w:rFonts w:ascii="Arial" w:eastAsia="Arial" w:hAnsi="Arial" w:cs="Arial"/>
          <w:sz w:val="22"/>
          <w:szCs w:val="22"/>
          <w:lang w:val="es-ES" w:eastAsia="es-ES" w:bidi="es-ES"/>
        </w:rPr>
        <w:t>citada, no existe una definición legal que diferencie los conceptos de contrato y convenio, por lo que se partió de su asimilación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83"/>
      <w:r w:rsidR="00C659DE">
        <w:rPr>
          <w:rFonts w:ascii="Arial" w:eastAsia="Arial" w:hAnsi="Arial" w:cs="Arial"/>
          <w:sz w:val="22"/>
          <w:szCs w:val="22"/>
          <w:lang w:val="es-ES" w:eastAsia="es-ES" w:bidi="es-ES"/>
        </w:rPr>
        <w:t>.</w:t>
      </w:r>
    </w:p>
    <w:p w14:paraId="15F2611B" w14:textId="465952C7" w:rsidR="005173CA" w:rsidRPr="005173CA" w:rsidRDefault="00C659DE" w:rsidP="005173CA">
      <w:pPr>
        <w:tabs>
          <w:tab w:val="left" w:pos="426"/>
        </w:tabs>
        <w:spacing w:after="120" w:line="276" w:lineRule="auto"/>
        <w:ind w:firstLine="709"/>
        <w:jc w:val="both"/>
        <w:rPr>
          <w:rFonts w:ascii="Arial" w:hAnsi="Arial" w:cs="Arial"/>
          <w:sz w:val="22"/>
          <w:szCs w:val="22"/>
          <w:lang w:val="es-MX"/>
        </w:rPr>
      </w:pPr>
      <w:r>
        <w:rPr>
          <w:rFonts w:ascii="Arial" w:hAnsi="Arial" w:cs="Arial"/>
          <w:sz w:val="22"/>
          <w:szCs w:val="22"/>
        </w:rPr>
        <w:t xml:space="preserve">En este contexto, </w:t>
      </w:r>
      <w:r w:rsidR="005173CA" w:rsidRPr="005173CA">
        <w:rPr>
          <w:rFonts w:ascii="Arial" w:hAnsi="Arial" w:cs="Arial"/>
          <w:sz w:val="22"/>
          <w:szCs w:val="22"/>
          <w:lang w:val="es-MX"/>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005173CA" w:rsidRPr="005173CA">
        <w:rPr>
          <w:rFonts w:ascii="Arial" w:hAnsi="Arial" w:cs="Arial"/>
          <w:i/>
          <w:sz w:val="22"/>
          <w:szCs w:val="22"/>
          <w:lang w:val="es-MX"/>
        </w:rPr>
        <w:t>ibidem</w:t>
      </w:r>
      <w:r w:rsidR="005173CA" w:rsidRPr="005173CA">
        <w:rPr>
          <w:rFonts w:ascii="Arial" w:hAnsi="Arial" w:cs="Arial"/>
          <w:sz w:val="22"/>
          <w:szCs w:val="22"/>
          <w:lang w:val="es-MX"/>
        </w:rPr>
        <w:t>, no podrá celebrar tales convenios o contratos durante la aplicación de la Ley de Garantías Electorales</w:t>
      </w:r>
      <w:r>
        <w:rPr>
          <w:rFonts w:ascii="Arial" w:hAnsi="Arial" w:cs="Arial"/>
          <w:sz w:val="22"/>
          <w:szCs w:val="22"/>
          <w:lang w:val="es-MX"/>
        </w:rPr>
        <w:t xml:space="preserve">, en cuanto </w:t>
      </w:r>
      <w:r w:rsidR="005173CA" w:rsidRPr="005173CA">
        <w:rPr>
          <w:rFonts w:ascii="Arial" w:hAnsi="Arial" w:cs="Arial"/>
          <w:sz w:val="22"/>
          <w:szCs w:val="22"/>
          <w:lang w:val="es-MX"/>
        </w:rPr>
        <w:t>la citada disposición hace referencia a dicha tipología contractual sin que el legislador hubiere contemplado excepción alguna frente a la modalidad de selección o naturaleza de su objeto.</w:t>
      </w:r>
    </w:p>
    <w:p w14:paraId="1CE30806" w14:textId="531507F0" w:rsidR="008F4441" w:rsidRDefault="00C659DE" w:rsidP="008F4441">
      <w:pPr>
        <w:widowControl w:val="0"/>
        <w:autoSpaceDE w:val="0"/>
        <w:autoSpaceDN w:val="0"/>
        <w:spacing w:line="276" w:lineRule="auto"/>
        <w:ind w:firstLine="709"/>
        <w:contextualSpacing/>
        <w:jc w:val="both"/>
        <w:rPr>
          <w:rFonts w:ascii="Arial" w:eastAsia="Calibri" w:hAnsi="Arial" w:cs="Arial"/>
          <w:sz w:val="22"/>
          <w:szCs w:val="22"/>
          <w:lang w:eastAsia="es-ES" w:bidi="es-ES"/>
        </w:rPr>
      </w:pPr>
      <w:bookmarkStart w:id="85" w:name="_Hlk77154098"/>
      <w:r>
        <w:rPr>
          <w:rFonts w:ascii="Arial" w:hAnsi="Arial" w:cs="Arial"/>
          <w:sz w:val="22"/>
          <w:szCs w:val="22"/>
          <w:lang w:val="es-ES" w:bidi="es-ES"/>
        </w:rPr>
        <w:t>Con todo</w:t>
      </w:r>
      <w:r w:rsidR="005173CA" w:rsidRPr="005173CA">
        <w:rPr>
          <w:rFonts w:ascii="Arial" w:eastAsia="Arial" w:hAnsi="Arial" w:cs="Arial"/>
          <w:sz w:val="22"/>
          <w:szCs w:val="22"/>
          <w:lang w:val="es-ES" w:eastAsia="es-ES" w:bidi="es-ES"/>
        </w:rPr>
        <w:t>,</w:t>
      </w:r>
      <w:r>
        <w:rPr>
          <w:rFonts w:ascii="Arial" w:eastAsia="Arial" w:hAnsi="Arial" w:cs="Arial"/>
          <w:sz w:val="22"/>
          <w:szCs w:val="22"/>
          <w:lang w:val="es-ES" w:eastAsia="es-ES" w:bidi="es-ES"/>
        </w:rPr>
        <w:t xml:space="preserve"> resulta importante señalar </w:t>
      </w:r>
      <w:r w:rsidR="005173CA" w:rsidRPr="005173CA">
        <w:rPr>
          <w:rFonts w:ascii="Arial" w:eastAsia="Arial" w:hAnsi="Arial" w:cs="Arial"/>
          <w:sz w:val="22"/>
          <w:szCs w:val="22"/>
          <w:lang w:val="es-ES" w:eastAsia="es-ES" w:bidi="es-ES"/>
        </w:rPr>
        <w:t xml:space="preserve">que la Sala de Consulta y Servicio Civil del Consejo de Estado se ha pronunciado en el sentido de </w:t>
      </w:r>
      <w:r>
        <w:rPr>
          <w:rFonts w:ascii="Arial" w:eastAsia="Arial" w:hAnsi="Arial" w:cs="Arial"/>
          <w:sz w:val="22"/>
          <w:szCs w:val="22"/>
          <w:lang w:val="es-ES" w:eastAsia="es-ES" w:bidi="es-ES"/>
        </w:rPr>
        <w:t xml:space="preserve">puntualizar </w:t>
      </w:r>
      <w:r w:rsidR="005173CA" w:rsidRPr="005173CA">
        <w:rPr>
          <w:rFonts w:ascii="Arial" w:eastAsia="Arial" w:hAnsi="Arial" w:cs="Arial"/>
          <w:sz w:val="22"/>
          <w:szCs w:val="22"/>
          <w:lang w:val="es-ES" w:eastAsia="es-ES" w:bidi="es-ES"/>
        </w:rPr>
        <w:t xml:space="preserve">que </w:t>
      </w:r>
      <w:bookmarkStart w:id="86" w:name="_Hlk78820889"/>
      <w:r w:rsidR="005173CA" w:rsidRPr="005173CA">
        <w:rPr>
          <w:rFonts w:ascii="Arial" w:eastAsia="Arial" w:hAnsi="Arial" w:cs="Arial"/>
          <w:sz w:val="22"/>
          <w:szCs w:val="22"/>
          <w:lang w:val="es-ES" w:eastAsia="es-ES" w:bidi="es-ES"/>
        </w:rPr>
        <w:t xml:space="preserve">no </w:t>
      </w:r>
      <w:r>
        <w:rPr>
          <w:rFonts w:ascii="Arial" w:eastAsia="Arial" w:hAnsi="Arial" w:cs="Arial"/>
          <w:sz w:val="22"/>
          <w:szCs w:val="22"/>
          <w:lang w:val="es-ES" w:eastAsia="es-ES" w:bidi="es-ES"/>
        </w:rPr>
        <w:t xml:space="preserve">es aplicable </w:t>
      </w:r>
      <w:r w:rsidR="005173CA" w:rsidRPr="005173CA">
        <w:rPr>
          <w:rFonts w:ascii="Arial" w:eastAsia="Arial" w:hAnsi="Arial" w:cs="Arial"/>
          <w:sz w:val="22"/>
          <w:szCs w:val="22"/>
          <w:lang w:val="es-ES" w:eastAsia="es-ES" w:bidi="es-ES"/>
        </w:rPr>
        <w:t>la restricción</w:t>
      </w:r>
      <w:r>
        <w:rPr>
          <w:rFonts w:ascii="Arial" w:eastAsia="Arial" w:hAnsi="Arial" w:cs="Arial"/>
          <w:sz w:val="22"/>
          <w:szCs w:val="22"/>
          <w:lang w:val="es-ES" w:eastAsia="es-ES" w:bidi="es-ES"/>
        </w:rPr>
        <w:t xml:space="preserve"> prevista </w:t>
      </w:r>
      <w:r w:rsidR="005173CA" w:rsidRPr="005173CA">
        <w:rPr>
          <w:rFonts w:ascii="Arial" w:eastAsia="Arial" w:hAnsi="Arial" w:cs="Arial"/>
          <w:sz w:val="22"/>
          <w:szCs w:val="22"/>
          <w:lang w:val="es-ES" w:eastAsia="es-ES" w:bidi="es-ES"/>
        </w:rPr>
        <w:t>en el artículo 38</w:t>
      </w:r>
      <w:r>
        <w:rPr>
          <w:rFonts w:ascii="Arial" w:eastAsia="Arial" w:hAnsi="Arial" w:cs="Arial"/>
          <w:sz w:val="22"/>
          <w:szCs w:val="22"/>
          <w:lang w:val="es-ES" w:eastAsia="es-ES" w:bidi="es-ES"/>
        </w:rPr>
        <w:t xml:space="preserve"> </w:t>
      </w:r>
      <w:r w:rsidR="005173CA" w:rsidRPr="005173CA">
        <w:rPr>
          <w:rFonts w:ascii="Arial" w:eastAsia="Arial" w:hAnsi="Arial" w:cs="Arial"/>
          <w:sz w:val="22"/>
          <w:szCs w:val="22"/>
          <w:lang w:val="es-ES" w:eastAsia="es-ES" w:bidi="es-ES"/>
        </w:rPr>
        <w:t>de la Ley de Garantías a los convenios o contratos interadministrativos que deben celebrarse en virtud de un fallo judicial. Esto</w:t>
      </w:r>
      <w:r>
        <w:rPr>
          <w:rFonts w:ascii="Arial" w:eastAsia="Arial" w:hAnsi="Arial" w:cs="Arial"/>
          <w:sz w:val="22"/>
          <w:szCs w:val="22"/>
          <w:lang w:val="es-ES" w:eastAsia="es-ES" w:bidi="es-ES"/>
        </w:rPr>
        <w:t>, debido al carácter obligatorio</w:t>
      </w:r>
      <w:r w:rsidR="0096003F">
        <w:rPr>
          <w:rFonts w:ascii="Arial" w:eastAsia="Arial" w:hAnsi="Arial" w:cs="Arial"/>
          <w:sz w:val="22"/>
          <w:szCs w:val="22"/>
          <w:lang w:val="es-ES" w:eastAsia="es-ES" w:bidi="es-ES"/>
        </w:rPr>
        <w:t xml:space="preserve"> </w:t>
      </w:r>
      <w:r>
        <w:rPr>
          <w:rFonts w:ascii="Arial" w:eastAsia="Arial" w:hAnsi="Arial" w:cs="Arial"/>
          <w:sz w:val="22"/>
          <w:szCs w:val="22"/>
          <w:lang w:val="es-ES" w:eastAsia="es-ES" w:bidi="es-ES"/>
        </w:rPr>
        <w:t>y</w:t>
      </w:r>
      <w:r w:rsidR="0096003F">
        <w:rPr>
          <w:rFonts w:ascii="Arial" w:eastAsia="Arial" w:hAnsi="Arial" w:cs="Arial"/>
          <w:sz w:val="22"/>
          <w:szCs w:val="22"/>
          <w:lang w:val="es-ES" w:eastAsia="es-ES" w:bidi="es-ES"/>
        </w:rPr>
        <w:t xml:space="preserve"> </w:t>
      </w:r>
      <w:r>
        <w:rPr>
          <w:rFonts w:ascii="Arial" w:eastAsia="Arial" w:hAnsi="Arial" w:cs="Arial"/>
          <w:sz w:val="22"/>
          <w:szCs w:val="22"/>
          <w:lang w:val="es-ES" w:eastAsia="es-ES" w:bidi="es-ES"/>
        </w:rPr>
        <w:t xml:space="preserve">fuerza </w:t>
      </w:r>
      <w:r>
        <w:rPr>
          <w:rFonts w:ascii="Arial" w:eastAsia="Arial" w:hAnsi="Arial" w:cs="Arial"/>
          <w:sz w:val="22"/>
          <w:szCs w:val="22"/>
          <w:lang w:val="es-ES" w:eastAsia="es-ES" w:bidi="es-ES"/>
        </w:rPr>
        <w:lastRenderedPageBreak/>
        <w:t xml:space="preserve">vinculante que acompaña </w:t>
      </w:r>
      <w:r w:rsidR="0096003F">
        <w:rPr>
          <w:rFonts w:ascii="Arial" w:eastAsia="Arial" w:hAnsi="Arial" w:cs="Arial"/>
          <w:sz w:val="22"/>
          <w:szCs w:val="22"/>
          <w:lang w:val="es-ES" w:eastAsia="es-ES" w:bidi="es-ES"/>
        </w:rPr>
        <w:t xml:space="preserve">a </w:t>
      </w:r>
      <w:r w:rsidR="005173CA" w:rsidRPr="005173CA">
        <w:rPr>
          <w:rFonts w:ascii="Arial" w:eastAsia="Arial" w:hAnsi="Arial" w:cs="Arial"/>
          <w:sz w:val="22"/>
          <w:szCs w:val="22"/>
          <w:lang w:val="es-ES" w:eastAsia="es-ES" w:bidi="es-ES"/>
        </w:rPr>
        <w:t xml:space="preserve">las sentencias ejecutoriadas proferidas por los funcionarios investidos del poder judicial </w:t>
      </w:r>
      <w:r>
        <w:rPr>
          <w:rFonts w:ascii="Arial" w:eastAsia="Arial" w:hAnsi="Arial" w:cs="Arial"/>
          <w:sz w:val="22"/>
          <w:szCs w:val="22"/>
          <w:lang w:val="es-ES" w:eastAsia="es-ES" w:bidi="es-ES"/>
        </w:rPr>
        <w:t xml:space="preserve">que, a su vez, emana </w:t>
      </w:r>
      <w:r w:rsidR="005173CA" w:rsidRPr="005173CA">
        <w:rPr>
          <w:rFonts w:ascii="Arial" w:eastAsia="Arial" w:hAnsi="Arial" w:cs="Arial"/>
          <w:sz w:val="22"/>
          <w:szCs w:val="22"/>
          <w:lang w:val="es-ES" w:eastAsia="es-ES" w:bidi="es-ES"/>
        </w:rPr>
        <w:t xml:space="preserve">de la autonomía conferida a estos por la </w:t>
      </w:r>
      <w:r>
        <w:rPr>
          <w:rFonts w:ascii="Arial" w:eastAsia="Arial" w:hAnsi="Arial" w:cs="Arial"/>
          <w:sz w:val="22"/>
          <w:szCs w:val="22"/>
          <w:lang w:val="es-ES" w:eastAsia="es-ES" w:bidi="es-ES"/>
        </w:rPr>
        <w:t xml:space="preserve">propia </w:t>
      </w:r>
      <w:r w:rsidR="005173CA" w:rsidRPr="005173CA">
        <w:rPr>
          <w:rFonts w:ascii="Arial" w:eastAsia="Arial" w:hAnsi="Arial" w:cs="Arial"/>
          <w:sz w:val="22"/>
          <w:szCs w:val="22"/>
          <w:lang w:val="es-ES" w:eastAsia="es-ES" w:bidi="es-ES"/>
        </w:rPr>
        <w:t>Constitución</w:t>
      </w:r>
      <w:r>
        <w:rPr>
          <w:rFonts w:ascii="Arial" w:eastAsia="Arial" w:hAnsi="Arial" w:cs="Arial"/>
          <w:sz w:val="22"/>
          <w:szCs w:val="22"/>
          <w:lang w:val="es-ES" w:eastAsia="es-ES" w:bidi="es-ES"/>
        </w:rPr>
        <w:t xml:space="preserve"> Política</w:t>
      </w:r>
      <w:r w:rsidR="005173CA" w:rsidRPr="005173CA">
        <w:rPr>
          <w:rFonts w:ascii="Arial" w:eastAsia="Arial" w:hAnsi="Arial" w:cs="Arial"/>
          <w:sz w:val="22"/>
          <w:szCs w:val="22"/>
          <w:lang w:val="es-ES" w:eastAsia="es-ES" w:bidi="es-ES"/>
        </w:rPr>
        <w:t xml:space="preserve"> y</w:t>
      </w:r>
      <w:r w:rsidR="00E27482">
        <w:rPr>
          <w:rFonts w:ascii="Arial" w:eastAsia="Arial" w:hAnsi="Arial" w:cs="Arial"/>
          <w:sz w:val="22"/>
          <w:szCs w:val="22"/>
          <w:lang w:val="es-ES" w:eastAsia="es-ES" w:bidi="es-ES"/>
        </w:rPr>
        <w:t xml:space="preserve"> tiene como principal objetivo garantizar la efectividad </w:t>
      </w:r>
      <w:r w:rsidR="005173CA" w:rsidRPr="005173CA">
        <w:rPr>
          <w:rFonts w:ascii="Arial" w:eastAsia="Arial" w:hAnsi="Arial" w:cs="Arial"/>
          <w:sz w:val="22"/>
          <w:szCs w:val="22"/>
          <w:lang w:val="es-ES" w:eastAsia="es-ES" w:bidi="es-ES"/>
        </w:rPr>
        <w:t xml:space="preserve">del derecho </w:t>
      </w:r>
      <w:r w:rsidR="00E27482">
        <w:rPr>
          <w:rFonts w:ascii="Arial" w:eastAsia="Arial" w:hAnsi="Arial" w:cs="Arial"/>
          <w:sz w:val="22"/>
          <w:szCs w:val="22"/>
          <w:lang w:val="es-ES" w:eastAsia="es-ES" w:bidi="es-ES"/>
        </w:rPr>
        <w:t xml:space="preserve">fundamental </w:t>
      </w:r>
      <w:r w:rsidR="005173CA" w:rsidRPr="005173CA">
        <w:rPr>
          <w:rFonts w:ascii="Arial" w:eastAsia="Arial" w:hAnsi="Arial" w:cs="Arial"/>
          <w:sz w:val="22"/>
          <w:szCs w:val="22"/>
          <w:lang w:val="es-ES" w:eastAsia="es-ES" w:bidi="es-ES"/>
        </w:rPr>
        <w:t>que tienen los ciudadanos al acceso y oportuna administración de justicia</w:t>
      </w:r>
      <w:bookmarkEnd w:id="86"/>
      <w:r w:rsidR="005173CA" w:rsidRPr="005173CA">
        <w:rPr>
          <w:rFonts w:ascii="Arial" w:eastAsia="Arial" w:hAnsi="Arial" w:cs="Arial"/>
          <w:sz w:val="22"/>
          <w:szCs w:val="22"/>
          <w:vertAlign w:val="superscript"/>
          <w:lang w:val="es-ES" w:eastAsia="es-ES" w:bidi="es-ES"/>
        </w:rPr>
        <w:footnoteReference w:id="36"/>
      </w:r>
      <w:bookmarkEnd w:id="85"/>
      <w:r w:rsidR="008F4441">
        <w:rPr>
          <w:rFonts w:ascii="Arial" w:eastAsia="Calibri" w:hAnsi="Arial" w:cs="Arial"/>
          <w:sz w:val="22"/>
          <w:szCs w:val="22"/>
          <w:lang w:eastAsia="es-ES" w:bidi="es-ES"/>
        </w:rPr>
        <w:t>.</w:t>
      </w:r>
    </w:p>
    <w:p w14:paraId="37D04F72" w14:textId="77777777" w:rsidR="008F4441" w:rsidRDefault="008F4441" w:rsidP="008F4441">
      <w:pPr>
        <w:widowControl w:val="0"/>
        <w:autoSpaceDE w:val="0"/>
        <w:autoSpaceDN w:val="0"/>
        <w:spacing w:line="276" w:lineRule="auto"/>
        <w:ind w:firstLine="709"/>
        <w:contextualSpacing/>
        <w:jc w:val="both"/>
        <w:rPr>
          <w:rFonts w:ascii="Arial" w:eastAsia="Calibri" w:hAnsi="Arial" w:cs="Arial"/>
          <w:sz w:val="22"/>
          <w:szCs w:val="22"/>
          <w:lang w:eastAsia="es-ES" w:bidi="es-ES"/>
        </w:rPr>
      </w:pPr>
    </w:p>
    <w:p w14:paraId="083FAB1C" w14:textId="0FDA95E3" w:rsidR="007343A0" w:rsidRPr="005173CA" w:rsidRDefault="007343A0" w:rsidP="008F4441">
      <w:pPr>
        <w:widowControl w:val="0"/>
        <w:autoSpaceDE w:val="0"/>
        <w:autoSpaceDN w:val="0"/>
        <w:spacing w:line="276" w:lineRule="auto"/>
        <w:contextualSpacing/>
        <w:jc w:val="both"/>
        <w:rPr>
          <w:rFonts w:ascii="Arial" w:eastAsia="Calibri" w:hAnsi="Arial" w:cs="Arial"/>
          <w:sz w:val="22"/>
          <w:szCs w:val="22"/>
          <w:lang w:eastAsia="es-ES" w:bidi="es-ES"/>
        </w:rPr>
      </w:pPr>
      <w:r w:rsidRPr="004778FF">
        <w:rPr>
          <w:rFonts w:ascii="Arial" w:eastAsia="Calibri" w:hAnsi="Arial" w:cs="Arial"/>
          <w:b/>
          <w:bCs/>
          <w:iCs/>
          <w:sz w:val="22"/>
          <w:szCs w:val="22"/>
          <w:lang w:eastAsia="en-US"/>
        </w:rPr>
        <w:t>2.</w:t>
      </w:r>
      <w:r>
        <w:rPr>
          <w:rFonts w:ascii="Arial" w:eastAsia="Calibri" w:hAnsi="Arial" w:cs="Arial"/>
          <w:b/>
          <w:bCs/>
          <w:iCs/>
          <w:sz w:val="22"/>
          <w:szCs w:val="22"/>
          <w:lang w:eastAsia="en-US"/>
        </w:rPr>
        <w:t>5</w:t>
      </w:r>
      <w:r w:rsidRPr="004778FF">
        <w:rPr>
          <w:rFonts w:ascii="Arial" w:eastAsia="Calibri" w:hAnsi="Arial" w:cs="Arial"/>
          <w:b/>
          <w:bCs/>
          <w:iCs/>
          <w:sz w:val="22"/>
          <w:szCs w:val="22"/>
          <w:lang w:eastAsia="en-US"/>
        </w:rPr>
        <w:t>.</w:t>
      </w:r>
      <w:r w:rsidRPr="004778FF">
        <w:rPr>
          <w:rFonts w:ascii="Arial" w:eastAsia="Calibri" w:hAnsi="Arial" w:cs="Arial"/>
          <w:b/>
          <w:bCs/>
          <w:iCs/>
          <w:sz w:val="22"/>
          <w:szCs w:val="22"/>
          <w:lang w:eastAsia="en-US"/>
        </w:rPr>
        <w:tab/>
      </w:r>
      <w:r>
        <w:rPr>
          <w:rFonts w:ascii="Arial" w:eastAsia="Calibri" w:hAnsi="Arial" w:cs="Arial"/>
          <w:b/>
          <w:bCs/>
          <w:iCs/>
          <w:sz w:val="22"/>
          <w:szCs w:val="22"/>
          <w:lang w:eastAsia="en-US"/>
        </w:rPr>
        <w:t xml:space="preserve">Naturaleza jurídica de las Corporaciones Autónomas Regionales en </w:t>
      </w:r>
      <w:r w:rsidR="008F4441">
        <w:rPr>
          <w:rFonts w:ascii="Arial" w:eastAsia="Calibri" w:hAnsi="Arial" w:cs="Arial"/>
          <w:b/>
          <w:bCs/>
          <w:iCs/>
          <w:sz w:val="22"/>
          <w:szCs w:val="22"/>
          <w:lang w:eastAsia="en-US"/>
        </w:rPr>
        <w:t xml:space="preserve">el ordenamiento jurídico colombiano y </w:t>
      </w:r>
      <w:r>
        <w:rPr>
          <w:rFonts w:ascii="Arial" w:eastAsia="Calibri" w:hAnsi="Arial" w:cs="Arial"/>
          <w:b/>
          <w:bCs/>
          <w:iCs/>
          <w:sz w:val="22"/>
          <w:szCs w:val="22"/>
          <w:lang w:eastAsia="en-US"/>
        </w:rPr>
        <w:t>su alcance</w:t>
      </w:r>
      <w:r w:rsidR="008F4441">
        <w:rPr>
          <w:rFonts w:ascii="Arial" w:eastAsia="Calibri" w:hAnsi="Arial" w:cs="Arial"/>
          <w:b/>
          <w:bCs/>
          <w:iCs/>
          <w:sz w:val="22"/>
          <w:szCs w:val="22"/>
          <w:lang w:eastAsia="en-US"/>
        </w:rPr>
        <w:t xml:space="preserve"> </w:t>
      </w:r>
      <w:r>
        <w:rPr>
          <w:rFonts w:ascii="Arial" w:eastAsia="Calibri" w:hAnsi="Arial" w:cs="Arial"/>
          <w:b/>
          <w:bCs/>
          <w:iCs/>
          <w:sz w:val="22"/>
          <w:szCs w:val="22"/>
          <w:lang w:eastAsia="en-US"/>
        </w:rPr>
        <w:t>frente</w:t>
      </w:r>
      <w:r w:rsidR="008F4441">
        <w:rPr>
          <w:rFonts w:ascii="Arial" w:eastAsia="Calibri" w:hAnsi="Arial" w:cs="Arial"/>
          <w:b/>
          <w:bCs/>
          <w:iCs/>
          <w:sz w:val="22"/>
          <w:szCs w:val="22"/>
          <w:lang w:eastAsia="en-US"/>
        </w:rPr>
        <w:t xml:space="preserve"> </w:t>
      </w:r>
      <w:r>
        <w:rPr>
          <w:rFonts w:ascii="Arial" w:eastAsia="Calibri" w:hAnsi="Arial" w:cs="Arial"/>
          <w:b/>
          <w:bCs/>
          <w:iCs/>
          <w:sz w:val="22"/>
          <w:szCs w:val="22"/>
          <w:lang w:eastAsia="en-US"/>
        </w:rPr>
        <w:t>a la aplicación de las restricciones previstas en la Ley 996 de 2005</w:t>
      </w:r>
    </w:p>
    <w:p w14:paraId="06E09C3C" w14:textId="77777777" w:rsidR="008F4441" w:rsidRDefault="008F4441" w:rsidP="007343A0">
      <w:pPr>
        <w:spacing w:line="276" w:lineRule="auto"/>
        <w:jc w:val="both"/>
        <w:rPr>
          <w:rFonts w:ascii="Arial" w:eastAsia="Calibri" w:hAnsi="Arial" w:cs="Arial"/>
          <w:sz w:val="22"/>
          <w:szCs w:val="22"/>
          <w:lang w:eastAsia="en-US"/>
        </w:rPr>
      </w:pPr>
      <w:bookmarkStart w:id="87" w:name="_Hlk143006863"/>
    </w:p>
    <w:p w14:paraId="427947B0" w14:textId="77777777" w:rsidR="005130E4" w:rsidRDefault="008F4441" w:rsidP="005130E4">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L</w:t>
      </w:r>
      <w:r w:rsidR="007343A0" w:rsidRPr="007343A0">
        <w:rPr>
          <w:rFonts w:ascii="Arial" w:eastAsia="Calibri" w:hAnsi="Arial" w:cs="Arial"/>
          <w:sz w:val="22"/>
          <w:szCs w:val="22"/>
          <w:lang w:eastAsia="en-US"/>
        </w:rPr>
        <w:t>as Corporaciones Autónomas Regionales pueden definirse en el ordenamiento jurídico colombiano como organismos autónomos encargados de la protección del medio ambiente en su jurisdicción, cuya naturaleza jurídica es especial, pues sus competencias son de carácter regional, asociadas a ecosistemas específicos</w:t>
      </w:r>
      <w:r w:rsidR="007343A0" w:rsidRPr="007343A0">
        <w:rPr>
          <w:rFonts w:ascii="Arial" w:eastAsia="Calibri" w:hAnsi="Arial" w:cs="Arial"/>
          <w:sz w:val="22"/>
          <w:szCs w:val="22"/>
          <w:vertAlign w:val="superscript"/>
          <w:lang w:eastAsia="en-US"/>
        </w:rPr>
        <w:footnoteReference w:id="37"/>
      </w:r>
      <w:r w:rsidR="005130E4">
        <w:rPr>
          <w:rFonts w:ascii="Arial" w:eastAsia="Calibri" w:hAnsi="Arial" w:cs="Arial"/>
          <w:sz w:val="22"/>
          <w:szCs w:val="22"/>
          <w:lang w:eastAsia="en-US"/>
        </w:rPr>
        <w:t>.</w:t>
      </w:r>
    </w:p>
    <w:p w14:paraId="7D7BA3DC" w14:textId="77777777" w:rsidR="005130E4" w:rsidRDefault="005130E4" w:rsidP="005130E4">
      <w:pPr>
        <w:spacing w:line="276" w:lineRule="auto"/>
        <w:jc w:val="both"/>
        <w:rPr>
          <w:rFonts w:ascii="Arial" w:eastAsia="Calibri" w:hAnsi="Arial" w:cs="Arial"/>
          <w:sz w:val="22"/>
          <w:szCs w:val="22"/>
          <w:lang w:eastAsia="en-US"/>
        </w:rPr>
      </w:pPr>
    </w:p>
    <w:p w14:paraId="5A93E9E6" w14:textId="2548FE4E" w:rsidR="002E2018" w:rsidRDefault="000D4428" w:rsidP="005130E4">
      <w:pPr>
        <w:spacing w:line="276" w:lineRule="auto"/>
        <w:jc w:val="both"/>
        <w:rPr>
          <w:rFonts w:ascii="Arial" w:hAnsi="Arial" w:cs="Arial"/>
          <w:color w:val="000000"/>
          <w:sz w:val="22"/>
          <w:szCs w:val="22"/>
          <w:bdr w:val="none" w:sz="0" w:space="0" w:color="auto" w:frame="1"/>
          <w:lang w:val="es-ES" w:eastAsia="es-ES"/>
        </w:rPr>
      </w:pPr>
      <w:r>
        <w:rPr>
          <w:rFonts w:ascii="Arial" w:hAnsi="Arial" w:cs="Arial"/>
          <w:color w:val="000000"/>
          <w:sz w:val="22"/>
          <w:szCs w:val="22"/>
          <w:bdr w:val="none" w:sz="0" w:space="0" w:color="auto" w:frame="1"/>
          <w:lang w:val="es-ES" w:eastAsia="es-ES"/>
        </w:rPr>
        <w:tab/>
      </w:r>
      <w:r w:rsidR="005130E4" w:rsidRPr="007343A0">
        <w:rPr>
          <w:rFonts w:ascii="Arial" w:hAnsi="Arial" w:cs="Arial"/>
          <w:color w:val="000000"/>
          <w:sz w:val="22"/>
          <w:szCs w:val="22"/>
          <w:bdr w:val="none" w:sz="0" w:space="0" w:color="auto" w:frame="1"/>
          <w:lang w:val="es-ES" w:eastAsia="es-ES"/>
        </w:rPr>
        <w:t>El Legislador, en ejercicio de la facultad prevista en el numeral 7º del artículo 150 Superior, expidió la Ley 99 de 1993, “</w:t>
      </w:r>
      <w:r w:rsidR="005130E4" w:rsidRPr="007343A0">
        <w:rPr>
          <w:rFonts w:ascii="Arial" w:hAnsi="Arial" w:cs="Arial"/>
          <w:i/>
          <w:iCs/>
          <w:color w:val="000000"/>
          <w:sz w:val="22"/>
          <w:szCs w:val="22"/>
          <w:bdr w:val="none" w:sz="0" w:space="0" w:color="auto" w:frame="1"/>
          <w:lang w:val="es-ES" w:eastAsia="es-ES"/>
        </w:rPr>
        <w:t>Por la cual se crea el Ministerio del Medio Ambiente, se reordena el Sector Público encargado de la gestión y conservación del medio ambiente y los recursos naturales renovables, se organiza el Sistema Nacional Ambiental, SINA</w:t>
      </w:r>
      <w:r w:rsidR="005130E4" w:rsidRPr="007343A0">
        <w:rPr>
          <w:rFonts w:ascii="Arial" w:hAnsi="Arial" w:cs="Arial"/>
          <w:color w:val="000000"/>
          <w:sz w:val="22"/>
          <w:szCs w:val="22"/>
          <w:bdr w:val="none" w:sz="0" w:space="0" w:color="auto" w:frame="1"/>
          <w:lang w:val="es-ES" w:eastAsia="es-ES"/>
        </w:rPr>
        <w:t>”, andamiaje dentro del cual se encuentran las Corporaciones Autónomas Regionales</w:t>
      </w:r>
      <w:r w:rsidR="005130E4">
        <w:rPr>
          <w:rFonts w:ascii="Arial" w:hAnsi="Arial" w:cs="Arial"/>
          <w:color w:val="000000"/>
          <w:sz w:val="22"/>
          <w:szCs w:val="22"/>
          <w:bdr w:val="none" w:sz="0" w:space="0" w:color="auto" w:frame="1"/>
          <w:lang w:val="es-ES" w:eastAsia="es-ES"/>
        </w:rPr>
        <w:t xml:space="preserve"> </w:t>
      </w:r>
      <w:r w:rsidR="005130E4" w:rsidRPr="007343A0">
        <w:rPr>
          <w:rFonts w:ascii="Arial" w:hAnsi="Arial" w:cs="Arial"/>
          <w:color w:val="000000"/>
          <w:sz w:val="22"/>
          <w:szCs w:val="22"/>
          <w:bdr w:val="none" w:sz="0" w:space="0" w:color="auto" w:frame="1"/>
          <w:lang w:val="es-ES" w:eastAsia="es-ES"/>
        </w:rPr>
        <w:t>como autoridades especializadas que siguen al Ministerio y preceden a los departamentos y municipios en todo lo concerniente a la gestión del medio ambiente y de los recursos naturales</w:t>
      </w:r>
      <w:r w:rsidR="005130E4" w:rsidRPr="007343A0">
        <w:rPr>
          <w:rFonts w:ascii="Arial" w:hAnsi="Arial" w:cs="Arial"/>
          <w:color w:val="000000"/>
          <w:sz w:val="22"/>
          <w:szCs w:val="22"/>
          <w:bdr w:val="none" w:sz="0" w:space="0" w:color="auto" w:frame="1"/>
          <w:vertAlign w:val="superscript"/>
          <w:lang w:val="es-ES" w:eastAsia="es-ES"/>
        </w:rPr>
        <w:footnoteReference w:id="38"/>
      </w:r>
      <w:r w:rsidR="005130E4">
        <w:rPr>
          <w:rFonts w:ascii="Arial" w:hAnsi="Arial" w:cs="Arial"/>
          <w:color w:val="000000"/>
          <w:sz w:val="22"/>
          <w:szCs w:val="22"/>
          <w:bdr w:val="none" w:sz="0" w:space="0" w:color="auto" w:frame="1"/>
          <w:lang w:val="es-ES" w:eastAsia="es-ES"/>
        </w:rPr>
        <w:t>.</w:t>
      </w:r>
      <w:r>
        <w:rPr>
          <w:rFonts w:ascii="Arial" w:hAnsi="Arial" w:cs="Arial"/>
          <w:color w:val="000000"/>
          <w:sz w:val="22"/>
          <w:szCs w:val="22"/>
          <w:bdr w:val="none" w:sz="0" w:space="0" w:color="auto" w:frame="1"/>
          <w:lang w:val="es-ES" w:eastAsia="es-ES"/>
        </w:rPr>
        <w:t xml:space="preserve"> </w:t>
      </w:r>
      <w:r w:rsidR="005130E4" w:rsidRPr="007343A0">
        <w:rPr>
          <w:rFonts w:ascii="Arial" w:hAnsi="Arial" w:cs="Arial"/>
          <w:color w:val="000000"/>
          <w:sz w:val="22"/>
          <w:szCs w:val="22"/>
          <w:bdr w:val="none" w:sz="0" w:space="0" w:color="auto" w:frame="1"/>
          <w:lang w:val="es-ES" w:eastAsia="es-ES"/>
        </w:rPr>
        <w:t>En es</w:t>
      </w:r>
      <w:r w:rsidR="003746C1">
        <w:rPr>
          <w:rFonts w:ascii="Arial" w:hAnsi="Arial" w:cs="Arial"/>
          <w:color w:val="000000"/>
          <w:sz w:val="22"/>
          <w:szCs w:val="22"/>
          <w:bdr w:val="none" w:sz="0" w:space="0" w:color="auto" w:frame="1"/>
          <w:lang w:val="es-ES" w:eastAsia="es-ES"/>
        </w:rPr>
        <w:t>t</w:t>
      </w:r>
      <w:r w:rsidR="005130E4" w:rsidRPr="007343A0">
        <w:rPr>
          <w:rFonts w:ascii="Arial" w:hAnsi="Arial" w:cs="Arial"/>
          <w:color w:val="000000"/>
          <w:sz w:val="22"/>
          <w:szCs w:val="22"/>
          <w:bdr w:val="none" w:sz="0" w:space="0" w:color="auto" w:frame="1"/>
          <w:lang w:val="es-ES" w:eastAsia="es-ES"/>
        </w:rPr>
        <w:t>e</w:t>
      </w:r>
      <w:r w:rsidR="003746C1">
        <w:rPr>
          <w:rFonts w:ascii="Arial" w:hAnsi="Arial" w:cs="Arial"/>
          <w:color w:val="000000"/>
          <w:sz w:val="22"/>
          <w:szCs w:val="22"/>
          <w:bdr w:val="none" w:sz="0" w:space="0" w:color="auto" w:frame="1"/>
          <w:lang w:val="es-ES" w:eastAsia="es-ES"/>
        </w:rPr>
        <w:t xml:space="preserve"> </w:t>
      </w:r>
      <w:r w:rsidR="005130E4" w:rsidRPr="007343A0">
        <w:rPr>
          <w:rFonts w:ascii="Arial" w:hAnsi="Arial" w:cs="Arial"/>
          <w:color w:val="000000"/>
          <w:sz w:val="22"/>
          <w:szCs w:val="22"/>
          <w:bdr w:val="none" w:sz="0" w:space="0" w:color="auto" w:frame="1"/>
          <w:lang w:val="es-ES" w:eastAsia="es-ES"/>
        </w:rPr>
        <w:t>orden, de acuerdo con la Ley que diseñó el Sistema Nacional Ambiental, las Corporaciones Autónomas Ambientales son la máxima autoridad ambiental en su jurisdicción, encargadas de ejecutar las políticas nacionales fijadas por el Ministerio de Ambiente en estrecha coordinación con las entidades territoriales</w:t>
      </w:r>
      <w:r w:rsidR="002E2018">
        <w:rPr>
          <w:rStyle w:val="Refdenotaalpie"/>
          <w:rFonts w:ascii="Arial" w:hAnsi="Arial" w:cs="Arial"/>
          <w:color w:val="000000"/>
          <w:sz w:val="22"/>
          <w:szCs w:val="22"/>
          <w:bdr w:val="none" w:sz="0" w:space="0" w:color="auto" w:frame="1"/>
          <w:lang w:val="es-ES" w:eastAsia="es-ES"/>
        </w:rPr>
        <w:footnoteReference w:id="39"/>
      </w:r>
      <w:r w:rsidR="005130E4" w:rsidRPr="007343A0">
        <w:rPr>
          <w:rFonts w:ascii="Arial" w:hAnsi="Arial" w:cs="Arial"/>
          <w:color w:val="000000"/>
          <w:sz w:val="22"/>
          <w:szCs w:val="22"/>
          <w:bdr w:val="none" w:sz="0" w:space="0" w:color="auto" w:frame="1"/>
          <w:lang w:val="es-ES" w:eastAsia="es-ES"/>
        </w:rPr>
        <w:t>.</w:t>
      </w:r>
    </w:p>
    <w:p w14:paraId="2CCF0BF4" w14:textId="77777777" w:rsidR="002E2018" w:rsidRDefault="002E2018" w:rsidP="005130E4">
      <w:pPr>
        <w:spacing w:line="276" w:lineRule="auto"/>
        <w:jc w:val="both"/>
        <w:rPr>
          <w:rFonts w:ascii="Arial" w:hAnsi="Arial" w:cs="Arial"/>
          <w:color w:val="000000"/>
          <w:sz w:val="22"/>
          <w:szCs w:val="22"/>
          <w:bdr w:val="none" w:sz="0" w:space="0" w:color="auto" w:frame="1"/>
          <w:lang w:val="es-ES" w:eastAsia="es-ES"/>
        </w:rPr>
      </w:pPr>
    </w:p>
    <w:p w14:paraId="053022B1" w14:textId="7A3691DC" w:rsidR="000D4428" w:rsidRPr="00CF3705" w:rsidRDefault="002E2018" w:rsidP="000D4428">
      <w:pPr>
        <w:spacing w:line="276" w:lineRule="auto"/>
        <w:jc w:val="both"/>
        <w:rPr>
          <w:rFonts w:ascii="Arial" w:hAnsi="Arial" w:cs="Arial"/>
          <w:bCs/>
          <w:sz w:val="22"/>
          <w:lang w:val="es-ES" w:bidi="es-ES"/>
        </w:rPr>
      </w:pPr>
      <w:r>
        <w:rPr>
          <w:rFonts w:ascii="Arial" w:hAnsi="Arial" w:cs="Arial"/>
          <w:color w:val="000000"/>
          <w:sz w:val="22"/>
          <w:szCs w:val="22"/>
          <w:bdr w:val="none" w:sz="0" w:space="0" w:color="auto" w:frame="1"/>
          <w:lang w:val="es-ES" w:eastAsia="es-ES"/>
        </w:rPr>
        <w:tab/>
        <w:t>Ahora</w:t>
      </w:r>
      <w:r w:rsidR="000D4428">
        <w:rPr>
          <w:rFonts w:ascii="Arial" w:hAnsi="Arial" w:cs="Arial"/>
          <w:color w:val="000000"/>
          <w:sz w:val="22"/>
          <w:szCs w:val="22"/>
          <w:bdr w:val="none" w:sz="0" w:space="0" w:color="auto" w:frame="1"/>
          <w:lang w:val="es-ES" w:eastAsia="es-ES"/>
        </w:rPr>
        <w:t xml:space="preserve"> bien</w:t>
      </w:r>
      <w:r>
        <w:rPr>
          <w:rFonts w:ascii="Arial" w:hAnsi="Arial" w:cs="Arial"/>
          <w:color w:val="000000"/>
          <w:sz w:val="22"/>
          <w:szCs w:val="22"/>
          <w:bdr w:val="none" w:sz="0" w:space="0" w:color="auto" w:frame="1"/>
          <w:lang w:val="es-ES" w:eastAsia="es-ES"/>
        </w:rPr>
        <w:t>, s</w:t>
      </w:r>
      <w:r w:rsidR="003746C1">
        <w:rPr>
          <w:rFonts w:ascii="Arial" w:hAnsi="Arial" w:cs="Arial"/>
          <w:color w:val="000000"/>
          <w:sz w:val="22"/>
          <w:szCs w:val="22"/>
          <w:bdr w:val="none" w:sz="0" w:space="0" w:color="auto" w:frame="1"/>
          <w:lang w:val="es-ES" w:eastAsia="es-ES"/>
        </w:rPr>
        <w:t xml:space="preserve">obre el </w:t>
      </w:r>
      <w:r>
        <w:rPr>
          <w:rFonts w:ascii="Arial" w:hAnsi="Arial" w:cs="Arial"/>
          <w:color w:val="000000"/>
          <w:sz w:val="22"/>
          <w:szCs w:val="22"/>
          <w:bdr w:val="none" w:sz="0" w:space="0" w:color="auto" w:frame="1"/>
          <w:lang w:val="es-ES" w:eastAsia="es-ES"/>
        </w:rPr>
        <w:t>alcance del tema</w:t>
      </w:r>
      <w:r w:rsidR="000D4428">
        <w:rPr>
          <w:rFonts w:ascii="Arial" w:hAnsi="Arial" w:cs="Arial"/>
          <w:color w:val="000000"/>
          <w:sz w:val="22"/>
          <w:szCs w:val="22"/>
          <w:bdr w:val="none" w:sz="0" w:space="0" w:color="auto" w:frame="1"/>
          <w:lang w:val="es-ES" w:eastAsia="es-ES"/>
        </w:rPr>
        <w:t xml:space="preserve"> en </w:t>
      </w:r>
      <w:r>
        <w:rPr>
          <w:rFonts w:ascii="Arial" w:hAnsi="Arial" w:cs="Arial"/>
          <w:color w:val="000000"/>
          <w:sz w:val="22"/>
          <w:szCs w:val="22"/>
          <w:bdr w:val="none" w:sz="0" w:space="0" w:color="auto" w:frame="1"/>
          <w:lang w:val="es-ES" w:eastAsia="es-ES"/>
        </w:rPr>
        <w:t xml:space="preserve">particular que se analiza frente a las restricciones contenidas en la Ley 996 de 2005 o Ley de Garantías Electorales, </w:t>
      </w:r>
      <w:r w:rsidR="003746C1">
        <w:rPr>
          <w:rFonts w:ascii="Arial" w:hAnsi="Arial" w:cs="Arial"/>
          <w:color w:val="000000"/>
          <w:sz w:val="22"/>
          <w:szCs w:val="22"/>
          <w:bdr w:val="none" w:sz="0" w:space="0" w:color="auto" w:frame="1"/>
          <w:lang w:val="es-ES" w:eastAsia="es-ES"/>
        </w:rPr>
        <w:t xml:space="preserve">esta Agencia, en los conceptos C-374 del 16 de septiembre de 2021 y C-099 del 22 de marzo de 2022, destacó que </w:t>
      </w:r>
      <w:r>
        <w:rPr>
          <w:rFonts w:ascii="Arial" w:hAnsi="Arial" w:cs="Arial"/>
          <w:color w:val="000000"/>
          <w:sz w:val="22"/>
          <w:szCs w:val="22"/>
          <w:bdr w:val="none" w:sz="0" w:space="0" w:color="auto" w:frame="1"/>
          <w:lang w:val="es-ES" w:eastAsia="es-ES"/>
        </w:rPr>
        <w:t xml:space="preserve">la referida Ley 99 de 1993, en su artículo 23, define la naturaleza jurídica </w:t>
      </w:r>
      <w:r w:rsidR="000D4428">
        <w:rPr>
          <w:rFonts w:ascii="Arial" w:hAnsi="Arial" w:cs="Arial"/>
          <w:color w:val="000000"/>
          <w:sz w:val="22"/>
          <w:szCs w:val="22"/>
          <w:bdr w:val="none" w:sz="0" w:space="0" w:color="auto" w:frame="1"/>
          <w:lang w:val="es-ES" w:eastAsia="es-ES"/>
        </w:rPr>
        <w:t xml:space="preserve">pública especial </w:t>
      </w:r>
      <w:r>
        <w:rPr>
          <w:rFonts w:ascii="Arial" w:hAnsi="Arial" w:cs="Arial"/>
          <w:color w:val="000000"/>
          <w:sz w:val="22"/>
          <w:szCs w:val="22"/>
          <w:bdr w:val="none" w:sz="0" w:space="0" w:color="auto" w:frame="1"/>
          <w:lang w:val="es-ES" w:eastAsia="es-ES"/>
        </w:rPr>
        <w:t>de las Corporaciones Autónomas Regionales al caracterizarlas, en términos generales, como entes corporativos de carácter público creados por la ley e integrados por las entidades territoriales que, por sus características, constituyen geográficamente un mismo ecosistema o conforman una unidad geopolítica, biogeográfica o hidrogeográfica, dotados de autonomía administrativa y financiera, patrimonio propio y personería jurídica</w:t>
      </w:r>
      <w:r w:rsidR="000D4428">
        <w:rPr>
          <w:rFonts w:ascii="Arial" w:hAnsi="Arial" w:cs="Arial"/>
          <w:color w:val="000000"/>
          <w:sz w:val="22"/>
          <w:szCs w:val="22"/>
          <w:bdr w:val="none" w:sz="0" w:space="0" w:color="auto" w:frame="1"/>
          <w:lang w:val="es-ES" w:eastAsia="es-ES"/>
        </w:rPr>
        <w:t xml:space="preserve">, encargados de administrar, dentro del </w:t>
      </w:r>
      <w:r w:rsidR="000D4428" w:rsidRPr="00CF3705">
        <w:rPr>
          <w:rFonts w:ascii="Arial" w:hAnsi="Arial" w:cs="Arial"/>
          <w:color w:val="000000"/>
          <w:sz w:val="22"/>
          <w:szCs w:val="22"/>
          <w:bdr w:val="none" w:sz="0" w:space="0" w:color="auto" w:frame="1"/>
          <w:lang w:val="es-ES" w:eastAsia="es-ES"/>
        </w:rPr>
        <w:t xml:space="preserve">área de su jurisdicción, el medio ambiente y los recursos naturales renovables y </w:t>
      </w:r>
      <w:r w:rsidR="000D4428" w:rsidRPr="00CF3705">
        <w:rPr>
          <w:rFonts w:ascii="Arial" w:hAnsi="Arial" w:cs="Arial"/>
          <w:color w:val="000000"/>
          <w:sz w:val="22"/>
          <w:szCs w:val="22"/>
          <w:bdr w:val="none" w:sz="0" w:space="0" w:color="auto" w:frame="1"/>
          <w:lang w:val="es-ES" w:eastAsia="es-ES"/>
        </w:rPr>
        <w:lastRenderedPageBreak/>
        <w:t xml:space="preserve">propender por su desarrollo sostenible. En otras palabras, esto significa que: (i) no </w:t>
      </w:r>
      <w:r w:rsidR="000D4428" w:rsidRPr="00CF3705">
        <w:rPr>
          <w:rFonts w:ascii="Arial" w:hAnsi="Arial" w:cs="Arial"/>
          <w:bCs/>
          <w:sz w:val="22"/>
          <w:lang w:val="es-ES" w:bidi="es-ES"/>
        </w:rPr>
        <w:t>pertenecen al sector central de la administración (artículo 150 numeral 7 Constitución Política); (ii) no son entidades del sector descentralizado por servicios, ya que no están adscritas ni vinculadas a ningún ente del sector central; (iii) ni tampoco pueden tenerse por entidades territoriales, comoquiera que no están incluidas en el artículo 286 Superior que las reconoce en forma taxativa, a pesar de que, en la práctica, son organismos administrativos intermedios entre la Nación y las entidades territoriales</w:t>
      </w:r>
      <w:r w:rsidR="007464A7" w:rsidRPr="00CF3705">
        <w:rPr>
          <w:rFonts w:ascii="Arial" w:hAnsi="Arial" w:cs="Arial"/>
          <w:bCs/>
          <w:sz w:val="22"/>
          <w:lang w:val="es-ES" w:bidi="es-ES"/>
        </w:rPr>
        <w:t>.</w:t>
      </w:r>
    </w:p>
    <w:p w14:paraId="45DBDE6C" w14:textId="77777777" w:rsidR="000D4428" w:rsidRPr="00CF3705" w:rsidRDefault="000D4428" w:rsidP="000D4428">
      <w:pPr>
        <w:spacing w:line="276" w:lineRule="auto"/>
        <w:jc w:val="both"/>
        <w:rPr>
          <w:rFonts w:ascii="Arial" w:hAnsi="Arial" w:cs="Arial"/>
          <w:bCs/>
          <w:sz w:val="22"/>
          <w:lang w:val="es-ES" w:bidi="es-ES"/>
        </w:rPr>
      </w:pPr>
    </w:p>
    <w:p w14:paraId="24F080AA" w14:textId="73E47E8D" w:rsidR="000D4428" w:rsidRPr="00CF3705" w:rsidRDefault="000D4428" w:rsidP="000D4428">
      <w:pPr>
        <w:spacing w:line="276" w:lineRule="auto"/>
        <w:jc w:val="both"/>
        <w:rPr>
          <w:rFonts w:ascii="Arial" w:hAnsi="Arial" w:cs="Arial"/>
          <w:sz w:val="22"/>
        </w:rPr>
      </w:pPr>
      <w:r w:rsidRPr="00CF3705">
        <w:rPr>
          <w:rFonts w:ascii="Arial" w:hAnsi="Arial" w:cs="Arial"/>
          <w:bCs/>
          <w:sz w:val="22"/>
          <w:lang w:val="es-ES" w:bidi="es-ES"/>
        </w:rPr>
        <w:tab/>
        <w:t xml:space="preserve">Por lo dicho hasta ahora, es viable concluir que las Corporaciones Autónomas Regionales también entran en el ámbito de aplicación de las prohibiciones señaladas en la Ley 996 de 2005 o Ley de Garantías Electorales, puesto que al tratarse de un ente estatal del orden nacional, están incluidas en la prohibición de la contratación pública prevista en el artículo 33 </w:t>
      </w:r>
      <w:r w:rsidRPr="00CF3705">
        <w:rPr>
          <w:rFonts w:ascii="Arial" w:hAnsi="Arial" w:cs="Arial"/>
          <w:bCs/>
          <w:i/>
          <w:iCs/>
          <w:sz w:val="22"/>
          <w:lang w:val="es-ES" w:bidi="es-ES"/>
        </w:rPr>
        <w:t>ibídem</w:t>
      </w:r>
      <w:r w:rsidRPr="00CF3705">
        <w:rPr>
          <w:rFonts w:ascii="Arial" w:hAnsi="Arial" w:cs="Arial"/>
          <w:bCs/>
          <w:sz w:val="22"/>
          <w:lang w:val="es-ES" w:bidi="es-ES"/>
        </w:rPr>
        <w:t>, la cual aplica con cuatro (4) meses anteriores a la elección presidencial</w:t>
      </w:r>
      <w:bookmarkStart w:id="88" w:name="_Hlk75792614"/>
      <w:r w:rsidRPr="00CF3705">
        <w:rPr>
          <w:rFonts w:ascii="Arial" w:hAnsi="Arial" w:cs="Arial"/>
          <w:bCs/>
          <w:sz w:val="22"/>
          <w:lang w:val="es-ES" w:bidi="es-ES"/>
        </w:rPr>
        <w:t>.</w:t>
      </w:r>
      <w:r w:rsidR="007464A7" w:rsidRPr="00CF3705">
        <w:rPr>
          <w:rFonts w:ascii="Arial" w:hAnsi="Arial" w:cs="Arial"/>
          <w:bCs/>
          <w:sz w:val="22"/>
          <w:lang w:val="es-ES" w:bidi="es-ES"/>
        </w:rPr>
        <w:t xml:space="preserve"> No obstante, no les es aplicable la prohibición del parágrafo del artículo 38, toda vez que </w:t>
      </w:r>
      <w:r w:rsidRPr="00CF3705">
        <w:rPr>
          <w:rFonts w:ascii="Arial" w:hAnsi="Arial" w:cs="Arial"/>
          <w:sz w:val="22"/>
        </w:rPr>
        <w:t xml:space="preserve">no </w:t>
      </w:r>
      <w:r w:rsidR="007464A7" w:rsidRPr="00CF3705">
        <w:rPr>
          <w:rFonts w:ascii="Arial" w:hAnsi="Arial" w:cs="Arial"/>
          <w:sz w:val="22"/>
        </w:rPr>
        <w:t xml:space="preserve">tienen la calidad de entes territoriales </w:t>
      </w:r>
      <w:r w:rsidRPr="00CF3705">
        <w:rPr>
          <w:rFonts w:ascii="Arial" w:hAnsi="Arial" w:cs="Arial"/>
          <w:sz w:val="22"/>
        </w:rPr>
        <w:t>y, por tanto,</w:t>
      </w:r>
      <w:r w:rsidR="007464A7" w:rsidRPr="00CF3705">
        <w:rPr>
          <w:rFonts w:ascii="Arial" w:hAnsi="Arial" w:cs="Arial"/>
          <w:sz w:val="22"/>
        </w:rPr>
        <w:t xml:space="preserve"> </w:t>
      </w:r>
      <w:r w:rsidRPr="00CF3705">
        <w:rPr>
          <w:rFonts w:ascii="Arial" w:hAnsi="Arial" w:cs="Arial"/>
          <w:sz w:val="22"/>
        </w:rPr>
        <w:t>sujeto</w:t>
      </w:r>
      <w:r w:rsidR="007464A7" w:rsidRPr="00CF3705">
        <w:rPr>
          <w:rFonts w:ascii="Arial" w:hAnsi="Arial" w:cs="Arial"/>
          <w:sz w:val="22"/>
        </w:rPr>
        <w:t>s</w:t>
      </w:r>
      <w:r w:rsidRPr="00CF3705">
        <w:rPr>
          <w:rFonts w:ascii="Arial" w:hAnsi="Arial" w:cs="Arial"/>
          <w:sz w:val="22"/>
        </w:rPr>
        <w:t xml:space="preserve"> a esa restricción, sin perjuicio de </w:t>
      </w:r>
      <w:r w:rsidR="007464A7" w:rsidRPr="00CF3705">
        <w:rPr>
          <w:rFonts w:ascii="Arial" w:hAnsi="Arial" w:cs="Arial"/>
          <w:sz w:val="22"/>
        </w:rPr>
        <w:t xml:space="preserve">reconocer </w:t>
      </w:r>
      <w:r w:rsidRPr="00CF3705">
        <w:rPr>
          <w:rFonts w:ascii="Arial" w:hAnsi="Arial" w:cs="Arial"/>
          <w:sz w:val="22"/>
        </w:rPr>
        <w:t>que en la época en que</w:t>
      </w:r>
      <w:r w:rsidR="007464A7" w:rsidRPr="00CF3705">
        <w:rPr>
          <w:rFonts w:ascii="Arial" w:hAnsi="Arial" w:cs="Arial"/>
          <w:sz w:val="22"/>
        </w:rPr>
        <w:t xml:space="preserve"> aquella </w:t>
      </w:r>
      <w:r w:rsidRPr="00CF3705">
        <w:rPr>
          <w:rFonts w:ascii="Arial" w:hAnsi="Arial" w:cs="Arial"/>
          <w:sz w:val="22"/>
        </w:rPr>
        <w:t>opera no puedan celebrar convenios interadministrativos con entidades del nivel territorial</w:t>
      </w:r>
      <w:r w:rsidR="007464A7" w:rsidRPr="00CF3705">
        <w:rPr>
          <w:rFonts w:ascii="Arial" w:hAnsi="Arial" w:cs="Arial"/>
          <w:sz w:val="22"/>
        </w:rPr>
        <w:t xml:space="preserve"> (</w:t>
      </w:r>
      <w:r w:rsidRPr="00CF3705">
        <w:rPr>
          <w:rFonts w:ascii="Arial" w:hAnsi="Arial" w:cs="Arial"/>
          <w:sz w:val="22"/>
        </w:rPr>
        <w:t>gobernaciones</w:t>
      </w:r>
      <w:r w:rsidR="007464A7" w:rsidRPr="00CF3705">
        <w:rPr>
          <w:rFonts w:ascii="Arial" w:hAnsi="Arial" w:cs="Arial"/>
          <w:sz w:val="22"/>
        </w:rPr>
        <w:t xml:space="preserve"> y/o </w:t>
      </w:r>
      <w:r w:rsidRPr="00CF3705">
        <w:rPr>
          <w:rFonts w:ascii="Arial" w:hAnsi="Arial" w:cs="Arial"/>
          <w:sz w:val="22"/>
        </w:rPr>
        <w:t>alcaldías</w:t>
      </w:r>
      <w:r w:rsidR="007464A7" w:rsidRPr="00CF3705">
        <w:rPr>
          <w:rFonts w:ascii="Arial" w:hAnsi="Arial" w:cs="Arial"/>
          <w:sz w:val="22"/>
        </w:rPr>
        <w:t>)</w:t>
      </w:r>
      <w:r w:rsidRPr="00CF3705">
        <w:rPr>
          <w:rFonts w:ascii="Arial" w:hAnsi="Arial" w:cs="Arial"/>
          <w:sz w:val="22"/>
        </w:rPr>
        <w:t xml:space="preserve">, cuando los mismos conlleven la ejecución de recursos públicos, pues estas últimas sí se encuentran cobijadas por dicha limitación, </w:t>
      </w:r>
      <w:bookmarkEnd w:id="88"/>
      <w:r w:rsidR="007464A7" w:rsidRPr="00CF3705">
        <w:rPr>
          <w:rFonts w:ascii="Arial" w:hAnsi="Arial" w:cs="Arial"/>
          <w:sz w:val="22"/>
        </w:rPr>
        <w:t>como quedó explicado en el presente concepto y se colige fácilmente de la lectura del precepto bajo análisis.</w:t>
      </w:r>
    </w:p>
    <w:p w14:paraId="79A938AF" w14:textId="77777777" w:rsidR="005403EB" w:rsidRPr="00CF3705" w:rsidRDefault="005403EB" w:rsidP="000D4428">
      <w:pPr>
        <w:spacing w:line="276" w:lineRule="auto"/>
        <w:jc w:val="both"/>
        <w:rPr>
          <w:rFonts w:ascii="Arial" w:hAnsi="Arial" w:cs="Arial"/>
          <w:sz w:val="22"/>
        </w:rPr>
      </w:pPr>
    </w:p>
    <w:p w14:paraId="6D019D35" w14:textId="60FE419D" w:rsidR="008D75BC" w:rsidRPr="00CF3705" w:rsidRDefault="005403EB" w:rsidP="000D4428">
      <w:pPr>
        <w:spacing w:line="276" w:lineRule="auto"/>
        <w:jc w:val="both"/>
        <w:rPr>
          <w:rFonts w:ascii="Arial" w:hAnsi="Arial" w:cs="Arial"/>
          <w:sz w:val="22"/>
        </w:rPr>
      </w:pPr>
      <w:r w:rsidRPr="00CF3705">
        <w:rPr>
          <w:rFonts w:ascii="Arial" w:hAnsi="Arial" w:cs="Arial"/>
          <w:sz w:val="22"/>
        </w:rPr>
        <w:tab/>
        <w:t>En todo caso, por interesar a la presente consulta, es menester advertir que el propio artículo 23 de la Ley 99 de 1993 dispone que, del régimen jurídico aplicable por dicha Ley a las Corporaciones Autónomas Regionales, se encuentra exceptuada la Corporación Autónoma Regional del Río Grande de la Magdalena, creada por disposición expresa del artículo 331 de la Constitución Política.</w:t>
      </w:r>
      <w:r w:rsidR="005E7389" w:rsidRPr="00CF3705">
        <w:rPr>
          <w:rFonts w:ascii="Arial" w:hAnsi="Arial" w:cs="Arial"/>
          <w:sz w:val="22"/>
        </w:rPr>
        <w:t xml:space="preserve"> Según este precepto</w:t>
      </w:r>
      <w:r w:rsidR="008D75BC" w:rsidRPr="00CF3705">
        <w:rPr>
          <w:rFonts w:ascii="Arial" w:hAnsi="Arial" w:cs="Arial"/>
          <w:sz w:val="22"/>
        </w:rPr>
        <w:t>,</w:t>
      </w:r>
      <w:r w:rsidR="005E7389" w:rsidRPr="00CF3705">
        <w:rPr>
          <w:rFonts w:ascii="Arial" w:hAnsi="Arial" w:cs="Arial"/>
          <w:sz w:val="22"/>
        </w:rPr>
        <w:t xml:space="preserve"> tal Corporación se concibió con el fin de encargarse de “la recuperación de la navegación, de la actividad portuaria, la adecuación y la conservación de tierras, la generación y distribución de energía y el aprovechamiento y preservación del ambiente, los recursos ictiológicos y demás recursos naturales renovables”. Esta norma superior remite al Legislador la tarea de regular su organización y fuentes de financiación</w:t>
      </w:r>
      <w:r w:rsidR="009078F6" w:rsidRPr="00CF3705">
        <w:rPr>
          <w:rFonts w:ascii="Arial" w:hAnsi="Arial" w:cs="Arial"/>
          <w:sz w:val="22"/>
        </w:rPr>
        <w:t>, así como la definición en favor de los municipios ribereños de un tratamiento especial en la asignación de regalías y en la participación que les corresponda en los ingresos corrientes de la Nació</w:t>
      </w:r>
      <w:r w:rsidR="00A87B89" w:rsidRPr="00CF3705">
        <w:rPr>
          <w:rFonts w:ascii="Arial" w:hAnsi="Arial" w:cs="Arial"/>
          <w:sz w:val="22"/>
        </w:rPr>
        <w:t>n.</w:t>
      </w:r>
    </w:p>
    <w:p w14:paraId="001FF8FF" w14:textId="77777777" w:rsidR="009078F6" w:rsidRPr="00CF3705" w:rsidRDefault="009078F6" w:rsidP="000D4428">
      <w:pPr>
        <w:spacing w:line="276" w:lineRule="auto"/>
        <w:jc w:val="both"/>
        <w:rPr>
          <w:rFonts w:ascii="Arial" w:hAnsi="Arial" w:cs="Arial"/>
          <w:sz w:val="22"/>
        </w:rPr>
      </w:pPr>
    </w:p>
    <w:p w14:paraId="0AD63D1E" w14:textId="77777777" w:rsidR="00CF3705" w:rsidRPr="00CF3705" w:rsidRDefault="009078F6" w:rsidP="002444A5">
      <w:pPr>
        <w:spacing w:line="276" w:lineRule="auto"/>
        <w:jc w:val="both"/>
        <w:rPr>
          <w:rFonts w:ascii="Arial" w:hAnsi="Arial" w:cs="Arial"/>
          <w:sz w:val="22"/>
        </w:rPr>
      </w:pPr>
      <w:r w:rsidRPr="00CF3705">
        <w:rPr>
          <w:rFonts w:ascii="Arial" w:hAnsi="Arial" w:cs="Arial"/>
          <w:sz w:val="22"/>
        </w:rPr>
        <w:tab/>
        <w:t>Pues bien, en desarrollo del mencionado mandato constitucional, la Ley 161 de 1994 organizó la Corporación Autónoma Regional del Río Grande de la Magdalena como un ente corporativo especial del orden nacional con autonomía administrativa y financiera, dotado de personería jurídica propia, el cual funcionará como una Empresa Industrial y Comercial del Estado sometida a las reglas de las Sociedades Anónimas, en lo no previsto por la ley.</w:t>
      </w:r>
      <w:r w:rsidR="00A87B89" w:rsidRPr="00CF3705">
        <w:rPr>
          <w:rFonts w:ascii="Arial" w:hAnsi="Arial" w:cs="Arial"/>
          <w:sz w:val="22"/>
        </w:rPr>
        <w:t xml:space="preserve"> De ahí que la propia Corte Constitucional haya reconocido en su jurisprudencia que la naturaleza jurídica de la mencionada Corporación aludía específicamente a: (i) una corporación autónoma regional; (ii) una entidad administrativa de creación constitucional; (iii) de regulación legal; (iv) del orden </w:t>
      </w:r>
      <w:r w:rsidR="00A87B89" w:rsidRPr="00CF3705">
        <w:rPr>
          <w:rFonts w:ascii="Arial" w:hAnsi="Arial" w:cs="Arial"/>
          <w:sz w:val="22"/>
        </w:rPr>
        <w:lastRenderedPageBreak/>
        <w:t>nacional; (v) que funciona como empresa industrial y comercial del Estado; (vi) que goza de autonomía, sin ser independiente del Estado y de la Nación; y (vii) puede adquirir compromisos financieros para la mejor ejecución de su objeto</w:t>
      </w:r>
      <w:r w:rsidR="00A87B89" w:rsidRPr="00CF3705">
        <w:rPr>
          <w:rStyle w:val="Refdenotaalpie"/>
          <w:rFonts w:ascii="Arial" w:hAnsi="Arial" w:cs="Arial"/>
          <w:sz w:val="22"/>
        </w:rPr>
        <w:footnoteReference w:id="40"/>
      </w:r>
      <w:r w:rsidR="00CF3705" w:rsidRPr="00CF3705">
        <w:rPr>
          <w:rFonts w:ascii="Arial" w:hAnsi="Arial" w:cs="Arial"/>
          <w:sz w:val="22"/>
        </w:rPr>
        <w:t>.</w:t>
      </w:r>
    </w:p>
    <w:p w14:paraId="2C789565" w14:textId="77777777" w:rsidR="00CF3705" w:rsidRPr="00CF3705" w:rsidRDefault="00CF3705" w:rsidP="002444A5">
      <w:pPr>
        <w:spacing w:line="276" w:lineRule="auto"/>
        <w:jc w:val="both"/>
        <w:rPr>
          <w:rFonts w:ascii="Arial" w:hAnsi="Arial" w:cs="Arial"/>
          <w:sz w:val="22"/>
        </w:rPr>
      </w:pPr>
    </w:p>
    <w:p w14:paraId="6A60EF5C" w14:textId="77777777" w:rsidR="005C25FD" w:rsidRPr="005C25FD" w:rsidRDefault="00CF3705" w:rsidP="00CF3705">
      <w:pPr>
        <w:spacing w:line="276" w:lineRule="auto"/>
        <w:jc w:val="both"/>
        <w:rPr>
          <w:rFonts w:ascii="Arial" w:hAnsi="Arial" w:cs="Arial"/>
          <w:bCs/>
          <w:sz w:val="22"/>
          <w:szCs w:val="22"/>
          <w:lang w:val="es-ES" w:bidi="es-ES"/>
        </w:rPr>
      </w:pPr>
      <w:r w:rsidRPr="00CF3705">
        <w:rPr>
          <w:rFonts w:ascii="Arial" w:hAnsi="Arial" w:cs="Arial"/>
          <w:sz w:val="22"/>
        </w:rPr>
        <w:tab/>
      </w:r>
      <w:bookmarkStart w:id="89" w:name="_Hlk143006346"/>
      <w:r w:rsidR="002444A5" w:rsidRPr="00CF3705">
        <w:rPr>
          <w:rFonts w:ascii="Arial" w:hAnsi="Arial" w:cs="Arial"/>
          <w:sz w:val="22"/>
        </w:rPr>
        <w:t>En los referidos términos, si bien debe tenerse en cuenta que, conforme a lo establecido en</w:t>
      </w:r>
      <w:bookmarkStart w:id="90" w:name="ver_113378"/>
      <w:bookmarkStart w:id="91" w:name="ver_113379"/>
      <w:bookmarkStart w:id="92" w:name="_Hlk98838822"/>
      <w:bookmarkEnd w:id="90"/>
      <w:bookmarkEnd w:id="91"/>
      <w:r w:rsidR="002444A5" w:rsidRPr="00CF3705">
        <w:rPr>
          <w:rFonts w:ascii="Arial" w:hAnsi="Arial" w:cs="Arial"/>
          <w:sz w:val="22"/>
        </w:rPr>
        <w:t xml:space="preserve"> </w:t>
      </w:r>
      <w:r w:rsidR="002444A5" w:rsidRPr="002444A5">
        <w:rPr>
          <w:rFonts w:ascii="Arial" w:hAnsi="Arial" w:cs="Arial"/>
          <w:bCs/>
          <w:sz w:val="22"/>
          <w:szCs w:val="22"/>
          <w:lang w:val="es-ES" w:bidi="es-ES"/>
        </w:rPr>
        <w:t xml:space="preserve">el artículo 14 de la Ley 1150 de 2007, modificado por el artículo 93 de la Ley 1474 del 2011, las </w:t>
      </w:r>
      <w:bookmarkStart w:id="93" w:name="_Hlk98838774"/>
      <w:r w:rsidR="002444A5" w:rsidRPr="002444A5">
        <w:rPr>
          <w:rFonts w:ascii="Arial" w:hAnsi="Arial" w:cs="Arial"/>
          <w:bCs/>
          <w:sz w:val="22"/>
          <w:szCs w:val="22"/>
          <w:lang w:val="es-ES" w:bidi="es-ES"/>
        </w:rPr>
        <w:t>empresas industriales y comerciales del Estado</w:t>
      </w:r>
      <w:bookmarkEnd w:id="93"/>
      <w:r w:rsidR="002444A5" w:rsidRPr="002444A5">
        <w:rPr>
          <w:rFonts w:ascii="Arial" w:hAnsi="Arial" w:cs="Arial"/>
          <w:bCs/>
          <w:sz w:val="22"/>
          <w:szCs w:val="22"/>
          <w:lang w:val="es-ES" w:bidi="es-ES"/>
        </w:rPr>
        <w:t>, con una participación pública superior al cincuenta por ciento (50%), sus filiales y las sociedades entre entidades públicas con participación mayoritaria del Estado superior al cincuenta por ciento (50%) que desarrollan actividades comerciales en competencia con el sector privado y/o público, nacional o internacional o en mercados regulados, se rigen por las disposiciones legales y reglamentarias aplicables a sus actividades económicas y comerciales, es decir, se rigen por las normas del derecho privado, esta circunstancia</w:t>
      </w:r>
      <w:r w:rsidRPr="00CF3705">
        <w:rPr>
          <w:rFonts w:ascii="Arial" w:hAnsi="Arial" w:cs="Arial"/>
          <w:bCs/>
          <w:sz w:val="22"/>
          <w:szCs w:val="22"/>
          <w:lang w:val="es-ES" w:bidi="es-ES"/>
        </w:rPr>
        <w:t xml:space="preserve"> </w:t>
      </w:r>
      <w:r w:rsidR="002444A5" w:rsidRPr="002444A5">
        <w:rPr>
          <w:rFonts w:ascii="Arial" w:hAnsi="Arial" w:cs="Arial"/>
          <w:bCs/>
          <w:sz w:val="22"/>
          <w:szCs w:val="22"/>
          <w:lang w:val="es-ES" w:bidi="es-ES"/>
        </w:rPr>
        <w:t>no</w:t>
      </w:r>
      <w:r w:rsidRPr="00CF3705">
        <w:rPr>
          <w:rFonts w:ascii="Arial" w:hAnsi="Arial" w:cs="Arial"/>
          <w:bCs/>
          <w:sz w:val="22"/>
          <w:szCs w:val="22"/>
          <w:lang w:val="es-ES" w:bidi="es-ES"/>
        </w:rPr>
        <w:t xml:space="preserve"> </w:t>
      </w:r>
      <w:r w:rsidR="002444A5" w:rsidRPr="002444A5">
        <w:rPr>
          <w:rFonts w:ascii="Arial" w:hAnsi="Arial" w:cs="Arial"/>
          <w:bCs/>
          <w:sz w:val="22"/>
          <w:szCs w:val="22"/>
          <w:lang w:val="es-ES" w:bidi="es-ES"/>
        </w:rPr>
        <w:t>las</w:t>
      </w:r>
      <w:r w:rsidRPr="00CF3705">
        <w:rPr>
          <w:rFonts w:ascii="Arial" w:hAnsi="Arial" w:cs="Arial"/>
          <w:bCs/>
          <w:sz w:val="22"/>
          <w:szCs w:val="22"/>
          <w:lang w:val="es-ES" w:bidi="es-ES"/>
        </w:rPr>
        <w:t xml:space="preserve"> </w:t>
      </w:r>
      <w:r w:rsidR="002444A5" w:rsidRPr="002444A5">
        <w:rPr>
          <w:rFonts w:ascii="Arial" w:hAnsi="Arial" w:cs="Arial"/>
          <w:bCs/>
          <w:sz w:val="22"/>
          <w:szCs w:val="22"/>
          <w:lang w:val="es-ES" w:bidi="es-ES"/>
        </w:rPr>
        <w:t xml:space="preserve">excluye de la aplicación de las restricciones establecidas en la Ley </w:t>
      </w:r>
      <w:r w:rsidRPr="00CF3705">
        <w:rPr>
          <w:rFonts w:ascii="Arial" w:hAnsi="Arial" w:cs="Arial"/>
          <w:bCs/>
          <w:sz w:val="22"/>
          <w:szCs w:val="22"/>
          <w:lang w:val="es-ES" w:bidi="es-ES"/>
        </w:rPr>
        <w:t xml:space="preserve">996 de 2005 o Ley de </w:t>
      </w:r>
      <w:r w:rsidR="002444A5" w:rsidRPr="002444A5">
        <w:rPr>
          <w:rFonts w:ascii="Arial" w:hAnsi="Arial" w:cs="Arial"/>
          <w:bCs/>
          <w:sz w:val="22"/>
          <w:szCs w:val="22"/>
          <w:lang w:val="es-ES" w:bidi="es-ES"/>
        </w:rPr>
        <w:t>Garantías Electorales</w:t>
      </w:r>
      <w:r w:rsidRPr="00CF3705">
        <w:rPr>
          <w:rFonts w:ascii="Arial" w:hAnsi="Arial" w:cs="Arial"/>
          <w:bCs/>
          <w:sz w:val="22"/>
          <w:szCs w:val="22"/>
          <w:lang w:val="es-ES" w:bidi="es-ES"/>
        </w:rPr>
        <w:t xml:space="preserve">. De hecho, </w:t>
      </w:r>
      <w:r w:rsidR="002444A5" w:rsidRPr="002444A5">
        <w:rPr>
          <w:rFonts w:ascii="Arial" w:hAnsi="Arial" w:cs="Arial"/>
          <w:bCs/>
          <w:sz w:val="22"/>
          <w:szCs w:val="22"/>
          <w:lang w:val="es-ES" w:bidi="es-ES"/>
        </w:rPr>
        <w:t>la</w:t>
      </w:r>
      <w:r w:rsidRPr="00CF3705">
        <w:rPr>
          <w:rFonts w:ascii="Arial" w:hAnsi="Arial" w:cs="Arial"/>
          <w:bCs/>
          <w:sz w:val="22"/>
          <w:szCs w:val="22"/>
          <w:lang w:val="es-ES" w:bidi="es-ES"/>
        </w:rPr>
        <w:t>s</w:t>
      </w:r>
      <w:r w:rsidR="002444A5" w:rsidRPr="002444A5">
        <w:rPr>
          <w:rFonts w:ascii="Arial" w:hAnsi="Arial" w:cs="Arial"/>
          <w:bCs/>
          <w:sz w:val="22"/>
          <w:szCs w:val="22"/>
          <w:lang w:val="es-ES" w:bidi="es-ES"/>
        </w:rPr>
        <w:t xml:space="preserve"> restricci</w:t>
      </w:r>
      <w:r w:rsidRPr="00CF3705">
        <w:rPr>
          <w:rFonts w:ascii="Arial" w:hAnsi="Arial" w:cs="Arial"/>
          <w:bCs/>
          <w:sz w:val="22"/>
          <w:szCs w:val="22"/>
          <w:lang w:val="es-ES" w:bidi="es-ES"/>
        </w:rPr>
        <w:t xml:space="preserve">ones </w:t>
      </w:r>
      <w:r w:rsidR="002444A5" w:rsidRPr="002444A5">
        <w:rPr>
          <w:rFonts w:ascii="Arial" w:hAnsi="Arial" w:cs="Arial"/>
          <w:bCs/>
          <w:sz w:val="22"/>
          <w:szCs w:val="22"/>
          <w:lang w:val="es-ES" w:bidi="es-ES"/>
        </w:rPr>
        <w:t>consagrada</w:t>
      </w:r>
      <w:r w:rsidRPr="00CF3705">
        <w:rPr>
          <w:rFonts w:ascii="Arial" w:hAnsi="Arial" w:cs="Arial"/>
          <w:bCs/>
          <w:sz w:val="22"/>
          <w:szCs w:val="22"/>
          <w:lang w:val="es-ES" w:bidi="es-ES"/>
        </w:rPr>
        <w:t xml:space="preserve">s </w:t>
      </w:r>
      <w:r w:rsidR="002444A5" w:rsidRPr="002444A5">
        <w:rPr>
          <w:rFonts w:ascii="Arial" w:hAnsi="Arial" w:cs="Arial"/>
          <w:bCs/>
          <w:sz w:val="22"/>
          <w:szCs w:val="22"/>
          <w:lang w:val="es-ES" w:bidi="es-ES"/>
        </w:rPr>
        <w:t xml:space="preserve">en la Ley de Garantías en materia de contratación directa y </w:t>
      </w:r>
      <w:r w:rsidRPr="00CF3705">
        <w:rPr>
          <w:rFonts w:ascii="Arial" w:hAnsi="Arial" w:cs="Arial"/>
          <w:bCs/>
          <w:sz w:val="22"/>
          <w:szCs w:val="22"/>
          <w:lang w:val="es-ES" w:bidi="es-ES"/>
        </w:rPr>
        <w:t xml:space="preserve">de </w:t>
      </w:r>
      <w:r w:rsidR="002444A5" w:rsidRPr="002444A5">
        <w:rPr>
          <w:rFonts w:ascii="Arial" w:hAnsi="Arial" w:cs="Arial"/>
          <w:bCs/>
          <w:sz w:val="22"/>
          <w:szCs w:val="22"/>
          <w:lang w:val="es-ES" w:bidi="es-ES"/>
        </w:rPr>
        <w:t xml:space="preserve">celebración de convenios </w:t>
      </w:r>
      <w:r w:rsidR="002444A5" w:rsidRPr="005C25FD">
        <w:rPr>
          <w:rFonts w:ascii="Arial" w:hAnsi="Arial" w:cs="Arial"/>
          <w:bCs/>
          <w:sz w:val="22"/>
          <w:szCs w:val="22"/>
          <w:lang w:val="es-ES" w:bidi="es-ES"/>
        </w:rPr>
        <w:t xml:space="preserve">interadministrativos se aplican también a las Empresas Industriales y Comerciales del Estado, en la medida </w:t>
      </w:r>
      <w:r w:rsidRPr="005C25FD">
        <w:rPr>
          <w:rFonts w:ascii="Arial" w:hAnsi="Arial" w:cs="Arial"/>
          <w:bCs/>
          <w:sz w:val="22"/>
          <w:szCs w:val="22"/>
          <w:lang w:val="es-ES" w:bidi="es-ES"/>
        </w:rPr>
        <w:t xml:space="preserve">en </w:t>
      </w:r>
      <w:r w:rsidR="002444A5" w:rsidRPr="005C25FD">
        <w:rPr>
          <w:rFonts w:ascii="Arial" w:hAnsi="Arial" w:cs="Arial"/>
          <w:bCs/>
          <w:sz w:val="22"/>
          <w:szCs w:val="22"/>
          <w:lang w:val="es-ES" w:bidi="es-ES"/>
        </w:rPr>
        <w:t>que</w:t>
      </w:r>
      <w:r w:rsidRPr="005C25FD">
        <w:rPr>
          <w:rFonts w:ascii="Arial" w:hAnsi="Arial" w:cs="Arial"/>
          <w:bCs/>
          <w:sz w:val="22"/>
          <w:szCs w:val="22"/>
          <w:lang w:val="es-ES" w:bidi="es-ES"/>
        </w:rPr>
        <w:t>, como se ha explicado,</w:t>
      </w:r>
      <w:r w:rsidR="002444A5" w:rsidRPr="005C25FD">
        <w:rPr>
          <w:rFonts w:ascii="Arial" w:hAnsi="Arial" w:cs="Arial"/>
          <w:bCs/>
          <w:sz w:val="22"/>
          <w:szCs w:val="22"/>
          <w:lang w:val="es-ES" w:bidi="es-ES"/>
        </w:rPr>
        <w:t xml:space="preserve"> el hecho de que estén exceptuadas del Estatuto General de Contratación de la Administración Pública no implica que sean exceptuadas de las demás normas del ordenamiento jurídico colombiano</w:t>
      </w:r>
      <w:bookmarkStart w:id="94" w:name="_Hlk98838985"/>
      <w:bookmarkEnd w:id="92"/>
      <w:r w:rsidRPr="005C25FD">
        <w:rPr>
          <w:rFonts w:ascii="Arial" w:hAnsi="Arial" w:cs="Arial"/>
          <w:bCs/>
          <w:sz w:val="22"/>
          <w:szCs w:val="22"/>
          <w:lang w:val="es-ES" w:bidi="es-ES"/>
        </w:rPr>
        <w:t>.</w:t>
      </w:r>
    </w:p>
    <w:p w14:paraId="558694D2" w14:textId="77777777" w:rsidR="005C25FD" w:rsidRPr="005C25FD" w:rsidRDefault="005C25FD" w:rsidP="00CF3705">
      <w:pPr>
        <w:spacing w:line="276" w:lineRule="auto"/>
        <w:jc w:val="both"/>
        <w:rPr>
          <w:rFonts w:ascii="Arial" w:hAnsi="Arial" w:cs="Arial"/>
          <w:bCs/>
          <w:sz w:val="22"/>
          <w:szCs w:val="22"/>
          <w:lang w:val="es-ES" w:bidi="es-ES"/>
        </w:rPr>
      </w:pPr>
    </w:p>
    <w:p w14:paraId="129FEAE1" w14:textId="270829FC" w:rsidR="005C25FD" w:rsidRPr="005C25FD" w:rsidRDefault="005C25FD" w:rsidP="00CF3705">
      <w:pPr>
        <w:spacing w:line="276" w:lineRule="auto"/>
        <w:jc w:val="both"/>
        <w:rPr>
          <w:rFonts w:ascii="Arial" w:hAnsi="Arial" w:cs="Arial"/>
          <w:bCs/>
          <w:sz w:val="22"/>
          <w:szCs w:val="22"/>
          <w:lang w:val="es-ES" w:bidi="es-ES"/>
        </w:rPr>
      </w:pPr>
      <w:r w:rsidRPr="005C25FD">
        <w:rPr>
          <w:rFonts w:ascii="Arial" w:hAnsi="Arial" w:cs="Arial"/>
          <w:bCs/>
          <w:sz w:val="22"/>
          <w:szCs w:val="22"/>
          <w:lang w:val="es-ES" w:bidi="es-ES"/>
        </w:rPr>
        <w:tab/>
      </w:r>
      <w:r w:rsidRPr="005C25FD">
        <w:rPr>
          <w:rFonts w:ascii="Arial" w:hAnsi="Arial" w:cs="Arial"/>
          <w:sz w:val="22"/>
          <w:szCs w:val="22"/>
        </w:rPr>
        <w:t>En concreto, de cara a la aplicación de la Ley de Garantías Electorales, las empresas industriales y comerciales del Estado, durante el periodo de aplicación de la prohibición establecida en el artículo 33 de la Ley 996 de 2005, podrán celebrar contratos siempre que se realice un procedimiento competitivo, que permita la participación de pluralidad de oferentes. Sin embargo, no podrán celebrar contratos a través de una contratación directa, entendiendo esta como aquel sistema de selección de contratistas en el que no exista convocatoria pública, ni sea posible la participación de pluralidad de oferentes. Por su parte, en cuanto tiene que ver con el parágrafo del artículo 38 de la norma bajo análisis, dicha restricción no les resulta aplicable en caso de ser entidades descentralizadas del orden nacional, debido a que tal normativa se predica de entidades descentralizadas del orden municipal, departamental o distrital.</w:t>
      </w:r>
    </w:p>
    <w:bookmarkEnd w:id="32"/>
    <w:bookmarkEnd w:id="33"/>
    <w:bookmarkEnd w:id="47"/>
    <w:bookmarkEnd w:id="63"/>
    <w:bookmarkEnd w:id="72"/>
    <w:bookmarkEnd w:id="73"/>
    <w:bookmarkEnd w:id="87"/>
    <w:bookmarkEnd w:id="89"/>
    <w:bookmarkEnd w:id="94"/>
    <w:p w14:paraId="0F705962" w14:textId="2A99670E" w:rsidR="006622AC" w:rsidRPr="001C12A0" w:rsidRDefault="001C12A0" w:rsidP="001C12A0">
      <w:pPr>
        <w:spacing w:before="120" w:line="276" w:lineRule="auto"/>
        <w:jc w:val="both"/>
        <w:rPr>
          <w:rFonts w:ascii="Arial" w:hAnsi="Arial" w:cs="Arial"/>
          <w:b/>
          <w:bCs/>
          <w:sz w:val="22"/>
          <w:lang w:eastAsia="es-MX"/>
        </w:rPr>
      </w:pPr>
      <w:r w:rsidRPr="00CF3705">
        <w:rPr>
          <w:rFonts w:ascii="Arial" w:hAnsi="Arial" w:cs="Arial"/>
          <w:b/>
          <w:bCs/>
          <w:sz w:val="22"/>
          <w:lang w:eastAsia="es-MX"/>
        </w:rPr>
        <w:t>3.</w:t>
      </w:r>
      <w:r w:rsidRPr="00CF3705">
        <w:rPr>
          <w:rFonts w:ascii="Arial" w:hAnsi="Arial" w:cs="Arial"/>
          <w:b/>
          <w:bCs/>
          <w:sz w:val="22"/>
          <w:lang w:eastAsia="es-MX"/>
        </w:rPr>
        <w:tab/>
        <w:t>Respuesta</w:t>
      </w:r>
    </w:p>
    <w:p w14:paraId="3E06EBEA" w14:textId="77777777" w:rsidR="000C7279" w:rsidRDefault="000C7279" w:rsidP="000C7279">
      <w:pPr>
        <w:ind w:right="714"/>
        <w:jc w:val="both"/>
        <w:rPr>
          <w:rFonts w:ascii="Arial" w:hAnsi="Arial" w:cs="Arial"/>
          <w:i/>
          <w:iCs/>
          <w:sz w:val="22"/>
          <w:lang w:val="es-ES_tradnl" w:eastAsia="es-ES_tradnl"/>
        </w:rPr>
      </w:pPr>
    </w:p>
    <w:p w14:paraId="78D74990" w14:textId="4A0B2E9C" w:rsidR="00CF3705" w:rsidRPr="00CF3705" w:rsidRDefault="00CF3705" w:rsidP="00CF3705">
      <w:pPr>
        <w:ind w:left="709" w:right="714"/>
        <w:jc w:val="both"/>
        <w:rPr>
          <w:rFonts w:ascii="Arial" w:eastAsia="Calibri" w:hAnsi="Arial" w:cs="Arial"/>
          <w:iCs/>
          <w:sz w:val="21"/>
          <w:szCs w:val="21"/>
          <w:lang w:val="es-ES_tradnl" w:eastAsia="en-US"/>
        </w:rPr>
      </w:pPr>
      <w:r w:rsidRPr="009C37D7">
        <w:rPr>
          <w:rFonts w:ascii="Arial" w:hAnsi="Arial" w:cs="Arial"/>
          <w:i/>
          <w:iCs/>
          <w:sz w:val="22"/>
          <w:lang w:val="es-ES_tradnl" w:eastAsia="es-ES_tradnl"/>
        </w:rPr>
        <w:t>“</w:t>
      </w:r>
      <w:r>
        <w:rPr>
          <w:rFonts w:ascii="Arial" w:hAnsi="Arial" w:cs="Arial"/>
          <w:i/>
          <w:iCs/>
          <w:sz w:val="22"/>
          <w:lang w:val="es-ES_tradnl" w:eastAsia="es-ES_tradnl"/>
        </w:rPr>
        <w:t xml:space="preserve"> (…) ¿aplica la ley de garantías para esta Corporación?, ¿qué tipo de contratos o convenios puede celebrar?, ¿cuáles contratos o convenios no puede celebrar?; ¿puede realizar adiciones u otros sí?”.</w:t>
      </w:r>
    </w:p>
    <w:p w14:paraId="0A4E7FCE" w14:textId="77777777" w:rsidR="00CF3705" w:rsidRDefault="00CF3705" w:rsidP="001C12A0">
      <w:pPr>
        <w:spacing w:line="276" w:lineRule="auto"/>
        <w:jc w:val="both"/>
        <w:rPr>
          <w:rFonts w:ascii="Arial" w:hAnsi="Arial" w:cs="Arial"/>
          <w:sz w:val="22"/>
          <w:szCs w:val="22"/>
          <w:lang w:val="es-ES"/>
        </w:rPr>
      </w:pPr>
    </w:p>
    <w:p w14:paraId="758D7FFD" w14:textId="77777777" w:rsidR="00CF3705" w:rsidRDefault="00315DA5" w:rsidP="00CF3705">
      <w:pPr>
        <w:spacing w:line="276" w:lineRule="auto"/>
        <w:ind w:firstLine="709"/>
        <w:jc w:val="both"/>
        <w:rPr>
          <w:rFonts w:ascii="Arial" w:hAnsi="Arial" w:cs="Arial"/>
          <w:sz w:val="22"/>
          <w:szCs w:val="22"/>
        </w:rPr>
      </w:pPr>
      <w:r w:rsidRPr="00781AC2">
        <w:rPr>
          <w:rFonts w:ascii="Arial" w:hAnsi="Arial" w:cs="Arial"/>
          <w:sz w:val="22"/>
          <w:szCs w:val="22"/>
          <w:lang w:val="es-ES"/>
        </w:rPr>
        <w:t>En ejercicio de las competencias establecidas en los artículos 3.5 y 11.8 del Decreto 4170 de 2011, la Agencia Nacional de Contratación Pública</w:t>
      </w:r>
      <w:r>
        <w:rPr>
          <w:rFonts w:ascii="Arial" w:hAnsi="Arial" w:cs="Arial"/>
          <w:sz w:val="22"/>
          <w:szCs w:val="22"/>
          <w:lang w:val="es-ES"/>
        </w:rPr>
        <w:t xml:space="preserve"> -</w:t>
      </w:r>
      <w:r w:rsidRPr="00781AC2">
        <w:rPr>
          <w:rFonts w:ascii="Arial" w:hAnsi="Arial" w:cs="Arial"/>
          <w:sz w:val="22"/>
          <w:szCs w:val="22"/>
          <w:lang w:val="es-ES"/>
        </w:rPr>
        <w:t>Colombia Compra Eficiente</w:t>
      </w:r>
      <w:r>
        <w:rPr>
          <w:rFonts w:ascii="Arial" w:hAnsi="Arial" w:cs="Arial"/>
          <w:sz w:val="22"/>
          <w:szCs w:val="22"/>
          <w:lang w:val="es-ES"/>
        </w:rPr>
        <w:t xml:space="preserve">- </w:t>
      </w:r>
      <w:r w:rsidRPr="00781AC2">
        <w:rPr>
          <w:rFonts w:ascii="Arial" w:hAnsi="Arial" w:cs="Arial"/>
          <w:sz w:val="22"/>
          <w:szCs w:val="22"/>
          <w:lang w:val="es-ES"/>
        </w:rPr>
        <w:t xml:space="preserve">solo tiene </w:t>
      </w:r>
      <w:r w:rsidRPr="00781AC2">
        <w:rPr>
          <w:rFonts w:ascii="Arial" w:hAnsi="Arial" w:cs="Arial"/>
          <w:sz w:val="22"/>
          <w:szCs w:val="22"/>
          <w:lang w:val="es-ES"/>
        </w:rPr>
        <w:lastRenderedPageBreak/>
        <w:t xml:space="preserve">competencia para responder solicitudes sobre la aplicación de normas de carácter general en materia de compras y contratación pública. En ese sentido, esta Agencia no tiene competencia para </w:t>
      </w:r>
      <w:r w:rsidRPr="00781AC2">
        <w:rPr>
          <w:rFonts w:ascii="Arial" w:hAnsi="Arial" w:cs="Arial"/>
          <w:sz w:val="22"/>
          <w:szCs w:val="22"/>
        </w:rPr>
        <w:t xml:space="preserve">brindar asesorías, ni para </w:t>
      </w:r>
      <w:r w:rsidR="001C12A0">
        <w:rPr>
          <w:rFonts w:ascii="Arial" w:hAnsi="Arial" w:cs="Arial"/>
          <w:sz w:val="22"/>
          <w:szCs w:val="22"/>
        </w:rPr>
        <w:t xml:space="preserve">pronunciarse sobre asuntos particulares, mucho menos para brindar directrices </w:t>
      </w:r>
      <w:r>
        <w:rPr>
          <w:rFonts w:ascii="Arial" w:hAnsi="Arial" w:cs="Arial"/>
          <w:sz w:val="22"/>
          <w:szCs w:val="22"/>
        </w:rPr>
        <w:t>especiales en materia de</w:t>
      </w:r>
      <w:r w:rsidR="001C12A0">
        <w:rPr>
          <w:rFonts w:ascii="Arial" w:hAnsi="Arial" w:cs="Arial"/>
          <w:sz w:val="22"/>
          <w:szCs w:val="22"/>
        </w:rPr>
        <w:t xml:space="preserve"> </w:t>
      </w:r>
      <w:r w:rsidR="00CF3705">
        <w:rPr>
          <w:rFonts w:ascii="Arial" w:hAnsi="Arial" w:cs="Arial"/>
          <w:sz w:val="22"/>
          <w:szCs w:val="22"/>
        </w:rPr>
        <w:t>restricciones aplicables a las Corporaciones Autónomas Regionales en materia de Ley de Garantías Electorales.</w:t>
      </w:r>
    </w:p>
    <w:p w14:paraId="102D7797" w14:textId="77777777" w:rsidR="00CF3705" w:rsidRDefault="00CF3705" w:rsidP="00CF3705">
      <w:pPr>
        <w:spacing w:line="276" w:lineRule="auto"/>
        <w:ind w:firstLine="709"/>
        <w:jc w:val="both"/>
        <w:rPr>
          <w:rFonts w:ascii="Arial" w:hAnsi="Arial" w:cs="Arial"/>
          <w:sz w:val="22"/>
          <w:szCs w:val="22"/>
        </w:rPr>
      </w:pPr>
    </w:p>
    <w:p w14:paraId="46755041" w14:textId="507413EE" w:rsidR="00CF3705" w:rsidRDefault="00161FA6" w:rsidP="00CF3705">
      <w:pPr>
        <w:spacing w:line="276" w:lineRule="auto"/>
        <w:ind w:firstLine="709"/>
        <w:jc w:val="both"/>
        <w:rPr>
          <w:rFonts w:ascii="Arial" w:eastAsia="Arial" w:hAnsi="Arial" w:cs="Arial"/>
          <w:sz w:val="22"/>
          <w:szCs w:val="22"/>
          <w:lang w:val="es-ES" w:eastAsia="es-ES" w:bidi="es-ES"/>
        </w:rPr>
      </w:pPr>
      <w:r w:rsidRPr="00CF3705">
        <w:rPr>
          <w:rFonts w:ascii="Arial" w:eastAsia="Calibri" w:hAnsi="Arial" w:cs="Arial"/>
          <w:sz w:val="22"/>
          <w:szCs w:val="22"/>
          <w:lang w:val="es-MX" w:eastAsia="en-US"/>
        </w:rPr>
        <w:t xml:space="preserve">Sin embargo, </w:t>
      </w:r>
      <w:r w:rsidR="00315DA5" w:rsidRPr="00CF3705">
        <w:rPr>
          <w:rFonts w:ascii="Arial" w:eastAsia="Calibri" w:hAnsi="Arial" w:cs="Arial"/>
          <w:sz w:val="22"/>
          <w:szCs w:val="22"/>
          <w:lang w:val="es-MX" w:eastAsia="en-US"/>
        </w:rPr>
        <w:t>e</w:t>
      </w:r>
      <w:r w:rsidR="007A72A3" w:rsidRPr="00CF3705">
        <w:rPr>
          <w:rFonts w:ascii="Arial" w:eastAsia="Calibri" w:hAnsi="Arial" w:cs="Arial"/>
          <w:sz w:val="22"/>
          <w:szCs w:val="22"/>
          <w:lang w:val="es-MX" w:eastAsia="en-US"/>
        </w:rPr>
        <w:t xml:space="preserve">n línea con </w:t>
      </w:r>
      <w:r w:rsidR="00B5433C" w:rsidRPr="00CF3705">
        <w:rPr>
          <w:rFonts w:ascii="Arial" w:eastAsia="Calibri" w:hAnsi="Arial" w:cs="Arial"/>
          <w:sz w:val="22"/>
          <w:szCs w:val="22"/>
          <w:lang w:val="es-MX" w:eastAsia="en-US"/>
        </w:rPr>
        <w:t>l</w:t>
      </w:r>
      <w:r w:rsidR="007A72A3" w:rsidRPr="00CF3705">
        <w:rPr>
          <w:rFonts w:ascii="Arial" w:eastAsia="Calibri" w:hAnsi="Arial" w:cs="Arial"/>
          <w:sz w:val="22"/>
          <w:szCs w:val="22"/>
          <w:lang w:val="es-MX" w:eastAsia="en-US"/>
        </w:rPr>
        <w:t>as</w:t>
      </w:r>
      <w:r w:rsidRPr="00CF3705">
        <w:rPr>
          <w:rFonts w:ascii="Arial" w:eastAsia="Calibri" w:hAnsi="Arial" w:cs="Arial"/>
          <w:sz w:val="22"/>
          <w:szCs w:val="22"/>
          <w:lang w:val="es-MX" w:eastAsia="en-US"/>
        </w:rPr>
        <w:t xml:space="preserve"> </w:t>
      </w:r>
      <w:r w:rsidR="00B5433C" w:rsidRPr="00CF3705">
        <w:rPr>
          <w:rFonts w:ascii="Arial" w:eastAsia="Calibri" w:hAnsi="Arial" w:cs="Arial"/>
          <w:sz w:val="22"/>
          <w:szCs w:val="22"/>
          <w:lang w:val="es-MX" w:eastAsia="en-US"/>
        </w:rPr>
        <w:t>precisiones normativas</w:t>
      </w:r>
      <w:r w:rsidR="003F376B" w:rsidRPr="00CF3705">
        <w:rPr>
          <w:rFonts w:ascii="Arial" w:eastAsia="Calibri" w:hAnsi="Arial" w:cs="Arial"/>
          <w:sz w:val="22"/>
          <w:szCs w:val="22"/>
          <w:lang w:val="es-MX" w:eastAsia="en-US"/>
        </w:rPr>
        <w:t xml:space="preserve"> </w:t>
      </w:r>
      <w:r w:rsidR="007A72A3" w:rsidRPr="00CF3705">
        <w:rPr>
          <w:rFonts w:ascii="Arial" w:eastAsia="Calibri" w:hAnsi="Arial" w:cs="Arial"/>
          <w:sz w:val="22"/>
          <w:szCs w:val="22"/>
          <w:lang w:val="es-MX" w:eastAsia="en-US"/>
        </w:rPr>
        <w:t xml:space="preserve">previamente </w:t>
      </w:r>
      <w:r w:rsidR="00B5433C" w:rsidRPr="00CF3705">
        <w:rPr>
          <w:rFonts w:ascii="Arial" w:eastAsia="Calibri" w:hAnsi="Arial" w:cs="Arial"/>
          <w:sz w:val="22"/>
          <w:szCs w:val="22"/>
          <w:lang w:val="es-MX" w:eastAsia="en-US"/>
        </w:rPr>
        <w:t>realizadas</w:t>
      </w:r>
      <w:r w:rsidR="002A5A2D" w:rsidRPr="00CF3705">
        <w:rPr>
          <w:rFonts w:ascii="Arial" w:eastAsia="Calibri" w:hAnsi="Arial" w:cs="Arial"/>
          <w:sz w:val="22"/>
          <w:szCs w:val="22"/>
          <w:lang w:val="es-MX" w:eastAsia="en-US"/>
        </w:rPr>
        <w:t>,</w:t>
      </w:r>
      <w:r w:rsidR="007A72A3" w:rsidRPr="00CF3705">
        <w:rPr>
          <w:rFonts w:ascii="Arial" w:eastAsia="Calibri" w:hAnsi="Arial" w:cs="Arial"/>
          <w:sz w:val="22"/>
          <w:szCs w:val="22"/>
          <w:lang w:val="es-MX" w:eastAsia="en-US"/>
        </w:rPr>
        <w:t xml:space="preserve"> </w:t>
      </w:r>
      <w:r w:rsidRPr="00CF3705">
        <w:rPr>
          <w:rFonts w:ascii="Arial" w:eastAsia="Calibri" w:hAnsi="Arial" w:cs="Arial"/>
          <w:sz w:val="22"/>
          <w:szCs w:val="22"/>
          <w:lang w:val="es-MX" w:eastAsia="en-US"/>
        </w:rPr>
        <w:t>conviene</w:t>
      </w:r>
      <w:bookmarkStart w:id="95" w:name="_Hlk98489914"/>
      <w:r w:rsidR="00917C46" w:rsidRPr="00CF3705">
        <w:rPr>
          <w:rFonts w:ascii="Arial" w:eastAsia="Calibri" w:hAnsi="Arial" w:cs="Arial"/>
          <w:sz w:val="22"/>
          <w:szCs w:val="22"/>
          <w:lang w:val="es-MX" w:eastAsia="en-US"/>
        </w:rPr>
        <w:t xml:space="preserve"> señalar que</w:t>
      </w:r>
      <w:r w:rsidR="00CF3705">
        <w:rPr>
          <w:rFonts w:ascii="Arial" w:eastAsia="Calibri" w:hAnsi="Arial" w:cs="Arial"/>
          <w:sz w:val="22"/>
          <w:szCs w:val="22"/>
          <w:lang w:val="es-MX" w:eastAsia="en-US"/>
        </w:rPr>
        <w:t xml:space="preserve">, de conformidad </w:t>
      </w:r>
      <w:r w:rsidR="00CF3705" w:rsidRPr="00CF3705">
        <w:rPr>
          <w:rFonts w:ascii="Arial" w:eastAsia="Arial" w:hAnsi="Arial" w:cs="Arial"/>
          <w:sz w:val="22"/>
          <w:szCs w:val="22"/>
          <w:lang w:val="es-MX" w:eastAsia="en-US"/>
        </w:rPr>
        <w:t xml:space="preserve">con la interpretación de las normas generales del sistema de compras y contratación pública, </w:t>
      </w:r>
      <w:r w:rsidR="00CF3705" w:rsidRPr="00CF3705">
        <w:rPr>
          <w:rFonts w:ascii="Arial" w:eastAsia="Arial" w:hAnsi="Arial" w:cs="Arial"/>
          <w:sz w:val="22"/>
          <w:szCs w:val="22"/>
          <w:lang w:val="es-ES" w:eastAsia="es-ES" w:bidi="es-ES"/>
        </w:rPr>
        <w:t xml:space="preserve">la </w:t>
      </w:r>
      <w:r w:rsidR="00CF3705">
        <w:rPr>
          <w:rFonts w:ascii="Arial" w:eastAsia="Arial" w:hAnsi="Arial" w:cs="Arial"/>
          <w:sz w:val="22"/>
          <w:szCs w:val="22"/>
          <w:lang w:val="es-ES" w:eastAsia="es-ES" w:bidi="es-ES"/>
        </w:rPr>
        <w:t xml:space="preserve">Ley 996 de 2005 o </w:t>
      </w:r>
      <w:r w:rsidR="00CF3705" w:rsidRPr="00CF3705">
        <w:rPr>
          <w:rFonts w:ascii="Arial" w:eastAsia="Arial" w:hAnsi="Arial" w:cs="Arial"/>
          <w:sz w:val="22"/>
          <w:szCs w:val="22"/>
          <w:lang w:val="es-ES" w:eastAsia="es-ES" w:bidi="es-ES"/>
        </w:rPr>
        <w:t>Ley de Garantías Electorales consagra una serie de restricciones que se dirigen a dos (2) tipos de campañas electorales claramente diferenciadas: las presidenciales y las demás que se adelanten para la elección de los demás cargos de elección popular, tanto a nivel nacional como territorial.</w:t>
      </w:r>
    </w:p>
    <w:p w14:paraId="46447B66" w14:textId="77777777" w:rsidR="00CF3705" w:rsidRPr="00CF3705" w:rsidRDefault="00CF3705" w:rsidP="00CF3705">
      <w:pPr>
        <w:spacing w:line="276" w:lineRule="auto"/>
        <w:ind w:firstLine="709"/>
        <w:jc w:val="both"/>
        <w:rPr>
          <w:rFonts w:ascii="Arial" w:hAnsi="Arial" w:cs="Arial"/>
          <w:sz w:val="22"/>
          <w:szCs w:val="22"/>
        </w:rPr>
      </w:pPr>
    </w:p>
    <w:p w14:paraId="41F7F41F" w14:textId="77777777" w:rsidR="00CF3705" w:rsidRDefault="00CF3705" w:rsidP="00CF3705">
      <w:pPr>
        <w:spacing w:after="120" w:line="276" w:lineRule="auto"/>
        <w:jc w:val="both"/>
        <w:rPr>
          <w:rFonts w:ascii="Arial" w:eastAsiaTheme="minorHAnsi" w:hAnsi="Arial" w:cs="Arial"/>
          <w:bCs/>
          <w:sz w:val="22"/>
          <w:szCs w:val="22"/>
          <w:lang w:val="es-MX"/>
        </w:rPr>
      </w:pPr>
      <w:r>
        <w:rPr>
          <w:rFonts w:ascii="Arial" w:eastAsia="Arial" w:hAnsi="Arial" w:cs="Arial"/>
          <w:sz w:val="22"/>
          <w:szCs w:val="22"/>
          <w:lang w:val="es-ES" w:eastAsia="es-ES" w:bidi="es-ES"/>
        </w:rPr>
        <w:tab/>
      </w:r>
      <w:r w:rsidRPr="00CF3705">
        <w:rPr>
          <w:rFonts w:ascii="Arial" w:eastAsiaTheme="minorHAnsi" w:hAnsi="Arial" w:cs="Arial"/>
          <w:bCs/>
          <w:sz w:val="22"/>
          <w:szCs w:val="22"/>
          <w:lang w:val="es-ES_tradnl"/>
        </w:rPr>
        <w:t xml:space="preserve">Por un lado, el artículo 33 de la Ley 996 de 2005 establece una restricción en atención a la cual, durante los cuatro meses anteriores a la elección presidencial y hasta la realización de la elección en la segunda vuelta, si fuere el caso, está prohibida la contratación directa por parte de todos las Entidades Estatales. </w:t>
      </w:r>
      <w:r w:rsidRPr="00CF3705">
        <w:rPr>
          <w:rFonts w:ascii="Arial" w:eastAsiaTheme="minorHAnsi" w:hAnsi="Arial" w:cs="Arial"/>
          <w:bCs/>
          <w:sz w:val="22"/>
          <w:szCs w:val="22"/>
          <w:lang w:val="es-MX"/>
        </w:rPr>
        <w:t>Los destinatarios de la prohibición son “todos los entes del Estado”, expresión que contempla a los diferentes organismos o entidades autorizadas por la ley para suscribir contratos. En efecto, como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1B932628" w14:textId="54B4E918" w:rsidR="007E2FF8" w:rsidRDefault="00CF3705" w:rsidP="007E2FF8">
      <w:pPr>
        <w:spacing w:after="120" w:line="276" w:lineRule="auto"/>
        <w:jc w:val="both"/>
        <w:rPr>
          <w:rFonts w:ascii="Arial" w:eastAsiaTheme="minorHAnsi" w:hAnsi="Arial" w:cs="Arial"/>
          <w:bCs/>
          <w:sz w:val="22"/>
          <w:szCs w:val="22"/>
          <w:lang w:val="es-ES_tradnl"/>
        </w:rPr>
      </w:pPr>
      <w:r>
        <w:rPr>
          <w:rFonts w:ascii="Arial" w:eastAsiaTheme="minorHAnsi" w:hAnsi="Arial" w:cs="Arial"/>
          <w:bCs/>
          <w:sz w:val="22"/>
          <w:szCs w:val="22"/>
          <w:lang w:val="es-MX"/>
        </w:rPr>
        <w:tab/>
        <w:t>Por otro lado</w:t>
      </w:r>
      <w:r w:rsidRPr="00CF3705">
        <w:rPr>
          <w:rFonts w:ascii="Arial" w:eastAsiaTheme="minorHAnsi" w:hAnsi="Arial" w:cs="Arial"/>
          <w:bCs/>
          <w:sz w:val="22"/>
          <w:szCs w:val="22"/>
          <w:lang w:val="es-MX"/>
        </w:rPr>
        <w:t>, el parágrafo del artículo 38 de la Ley de Garantías Electorales, establece una restricción en virtud de la cual, durante el periodo de cuatro (4) meses anteriores a cualquier jornada de elecciones, las entidades territoriales no pueden suscribir convenios interadministrativos que impliquen la ejecución de recursos públicos</w:t>
      </w:r>
      <w:r>
        <w:rPr>
          <w:rFonts w:ascii="Arial" w:eastAsiaTheme="minorHAnsi" w:hAnsi="Arial" w:cs="Arial"/>
          <w:bCs/>
          <w:sz w:val="22"/>
          <w:szCs w:val="22"/>
          <w:lang w:val="es-MX"/>
        </w:rPr>
        <w:t xml:space="preserve">. </w:t>
      </w:r>
      <w:r w:rsidRPr="00CF3705">
        <w:rPr>
          <w:rFonts w:ascii="Arial" w:eastAsiaTheme="minorHAnsi" w:hAnsi="Arial" w:cs="Arial"/>
          <w:bCs/>
          <w:sz w:val="22"/>
          <w:szCs w:val="22"/>
          <w:lang w:val="es-MX"/>
        </w:rPr>
        <w:t xml:space="preserve">Para determinar el alcance de la prohibición consagrada por la Ley de Garantías Electorales, conviene precisar la tipología de convenios o contratos interadministrativos. </w:t>
      </w:r>
      <w:r w:rsidRPr="00CF3705">
        <w:rPr>
          <w:rFonts w:ascii="Arial" w:eastAsiaTheme="minorHAnsi" w:hAnsi="Arial" w:cs="Arial"/>
          <w:bCs/>
          <w:sz w:val="22"/>
          <w:szCs w:val="22"/>
          <w:lang w:val="es-ES_tradnl"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w:t>
      </w:r>
      <w:r w:rsidR="007E2FF8">
        <w:rPr>
          <w:rFonts w:ascii="Arial" w:eastAsiaTheme="minorHAnsi" w:hAnsi="Arial" w:cs="Arial"/>
          <w:bCs/>
          <w:sz w:val="22"/>
          <w:szCs w:val="22"/>
          <w:lang w:val="es-ES_tradnl" w:bidi="es-ES"/>
        </w:rPr>
        <w:t xml:space="preserve"> </w:t>
      </w:r>
      <w:r w:rsidRPr="00CF3705">
        <w:rPr>
          <w:rFonts w:ascii="Arial" w:eastAsiaTheme="minorHAnsi" w:hAnsi="Arial" w:cs="Arial"/>
          <w:bCs/>
          <w:sz w:val="22"/>
          <w:szCs w:val="22"/>
          <w:lang w:val="es-ES_tradnl" w:bidi="es-ES"/>
        </w:rPr>
        <w:t>los</w:t>
      </w:r>
      <w:r w:rsidR="007E2FF8">
        <w:rPr>
          <w:rFonts w:ascii="Arial" w:eastAsiaTheme="minorHAnsi" w:hAnsi="Arial" w:cs="Arial"/>
          <w:bCs/>
          <w:sz w:val="22"/>
          <w:szCs w:val="22"/>
          <w:lang w:val="es-ES_tradnl" w:bidi="es-ES"/>
        </w:rPr>
        <w:t xml:space="preserve"> </w:t>
      </w:r>
      <w:r w:rsidRPr="00CF3705">
        <w:rPr>
          <w:rFonts w:ascii="Arial" w:eastAsiaTheme="minorHAnsi" w:hAnsi="Arial" w:cs="Arial"/>
          <w:bCs/>
          <w:sz w:val="22"/>
          <w:szCs w:val="22"/>
          <w:lang w:val="es-ES_tradnl" w:bidi="es-ES"/>
        </w:rPr>
        <w:t>contratos o convenios interadministrativos están determinados por un criterio orgánico, pues es necesario que los extremos de la relación contractual sean entidades estatales.</w:t>
      </w:r>
    </w:p>
    <w:p w14:paraId="70C92400" w14:textId="77777777" w:rsidR="00053D5E" w:rsidRDefault="007E2FF8" w:rsidP="007E2FF8">
      <w:pPr>
        <w:spacing w:after="120" w:line="276" w:lineRule="auto"/>
        <w:jc w:val="both"/>
        <w:rPr>
          <w:rFonts w:ascii="Arial" w:hAnsi="Arial" w:cs="Arial"/>
          <w:sz w:val="22"/>
        </w:rPr>
      </w:pPr>
      <w:r>
        <w:rPr>
          <w:rFonts w:ascii="Arial" w:eastAsiaTheme="minorHAnsi" w:hAnsi="Arial" w:cs="Arial"/>
          <w:bCs/>
          <w:sz w:val="22"/>
          <w:szCs w:val="22"/>
          <w:lang w:val="es-ES_tradnl"/>
        </w:rPr>
        <w:tab/>
      </w:r>
      <w:r w:rsidRPr="00CF3705">
        <w:rPr>
          <w:rFonts w:ascii="Arial" w:hAnsi="Arial" w:cs="Arial"/>
          <w:bCs/>
          <w:sz w:val="22"/>
          <w:lang w:val="es-ES" w:bidi="es-ES"/>
        </w:rPr>
        <w:t>P</w:t>
      </w:r>
      <w:r>
        <w:rPr>
          <w:rFonts w:ascii="Arial" w:hAnsi="Arial" w:cs="Arial"/>
          <w:bCs/>
          <w:sz w:val="22"/>
          <w:lang w:val="es-ES" w:bidi="es-ES"/>
        </w:rPr>
        <w:t xml:space="preserve">ara el caso particular de </w:t>
      </w:r>
      <w:r w:rsidRPr="00CF3705">
        <w:rPr>
          <w:rFonts w:ascii="Arial" w:hAnsi="Arial" w:cs="Arial"/>
          <w:bCs/>
          <w:sz w:val="22"/>
          <w:lang w:val="es-ES" w:bidi="es-ES"/>
        </w:rPr>
        <w:t>las Corporaciones Autónomas Regionales</w:t>
      </w:r>
      <w:r>
        <w:rPr>
          <w:rFonts w:ascii="Arial" w:hAnsi="Arial" w:cs="Arial"/>
          <w:bCs/>
          <w:sz w:val="22"/>
          <w:lang w:val="es-ES" w:bidi="es-ES"/>
        </w:rPr>
        <w:t xml:space="preserve">, estas </w:t>
      </w:r>
      <w:r w:rsidRPr="00CF3705">
        <w:rPr>
          <w:rFonts w:ascii="Arial" w:hAnsi="Arial" w:cs="Arial"/>
          <w:bCs/>
          <w:sz w:val="22"/>
          <w:lang w:val="es-ES" w:bidi="es-ES"/>
        </w:rPr>
        <w:t xml:space="preserve">también entran en el ámbito de aplicación de las prohibiciones señaladas en la Ley 996 de 2005 o Ley de </w:t>
      </w:r>
      <w:r w:rsidRPr="00CF3705">
        <w:rPr>
          <w:rFonts w:ascii="Arial" w:hAnsi="Arial" w:cs="Arial"/>
          <w:bCs/>
          <w:sz w:val="22"/>
          <w:lang w:val="es-ES" w:bidi="es-ES"/>
        </w:rPr>
        <w:lastRenderedPageBreak/>
        <w:t xml:space="preserve">Garantías Electorales, puesto que al tratarse de </w:t>
      </w:r>
      <w:r>
        <w:rPr>
          <w:rFonts w:ascii="Arial" w:hAnsi="Arial" w:cs="Arial"/>
          <w:bCs/>
          <w:sz w:val="22"/>
          <w:lang w:val="es-ES" w:bidi="es-ES"/>
        </w:rPr>
        <w:t xml:space="preserve">entes </w:t>
      </w:r>
      <w:r w:rsidRPr="00CF3705">
        <w:rPr>
          <w:rFonts w:ascii="Arial" w:hAnsi="Arial" w:cs="Arial"/>
          <w:bCs/>
          <w:sz w:val="22"/>
          <w:lang w:val="es-ES" w:bidi="es-ES"/>
        </w:rPr>
        <w:t>estatal</w:t>
      </w:r>
      <w:r>
        <w:rPr>
          <w:rFonts w:ascii="Arial" w:hAnsi="Arial" w:cs="Arial"/>
          <w:bCs/>
          <w:sz w:val="22"/>
          <w:lang w:val="es-ES" w:bidi="es-ES"/>
        </w:rPr>
        <w:t>es</w:t>
      </w:r>
      <w:r w:rsidRPr="00CF3705">
        <w:rPr>
          <w:rFonts w:ascii="Arial" w:hAnsi="Arial" w:cs="Arial"/>
          <w:bCs/>
          <w:sz w:val="22"/>
          <w:lang w:val="es-ES" w:bidi="es-ES"/>
        </w:rPr>
        <w:t xml:space="preserve"> del orden nacional, están incluidas en la prohibición de la contratación pública prevista en el artículo 33 </w:t>
      </w:r>
      <w:r w:rsidRPr="00CF3705">
        <w:rPr>
          <w:rFonts w:ascii="Arial" w:hAnsi="Arial" w:cs="Arial"/>
          <w:bCs/>
          <w:i/>
          <w:iCs/>
          <w:sz w:val="22"/>
          <w:lang w:val="es-ES" w:bidi="es-ES"/>
        </w:rPr>
        <w:t>ibídem</w:t>
      </w:r>
      <w:r w:rsidRPr="00CF3705">
        <w:rPr>
          <w:rFonts w:ascii="Arial" w:hAnsi="Arial" w:cs="Arial"/>
          <w:bCs/>
          <w:sz w:val="22"/>
          <w:lang w:val="es-ES" w:bidi="es-ES"/>
        </w:rPr>
        <w:t xml:space="preserve">, la cual aplica con cuatro (4) meses anteriores a la elección presidencial. No obstante, no les es aplicable la prohibición del parágrafo del artículo 38, toda vez que </w:t>
      </w:r>
      <w:r w:rsidRPr="00CF3705">
        <w:rPr>
          <w:rFonts w:ascii="Arial" w:hAnsi="Arial" w:cs="Arial"/>
          <w:sz w:val="22"/>
        </w:rPr>
        <w:t>no tienen la calidad de entes territoriales y, por tanto, sujetos a esa restricción, sin perjuicio de reconocer que en la época en que aquella opera no puedan celebrar convenios interadministrativos con entidades del nivel territorial (gobernaciones y/o alcaldías), cuando los mismos conlleven la ejecución de recursos públicos, pues estas últimas sí se encuentran cobijadas por dicha limitación, como quedó explicado en el presente concepto y se colige fácilmente de la lectura del precepto bajo análisis</w:t>
      </w:r>
      <w:r w:rsidR="00053D5E">
        <w:rPr>
          <w:rFonts w:ascii="Arial" w:hAnsi="Arial" w:cs="Arial"/>
          <w:sz w:val="22"/>
        </w:rPr>
        <w:t>.</w:t>
      </w:r>
    </w:p>
    <w:p w14:paraId="40D9F41E" w14:textId="77777777" w:rsidR="005C25FD" w:rsidRDefault="00053D5E" w:rsidP="00297E0A">
      <w:pPr>
        <w:spacing w:after="120" w:line="276" w:lineRule="auto"/>
        <w:jc w:val="both"/>
        <w:rPr>
          <w:rFonts w:ascii="Arial" w:hAnsi="Arial" w:cs="Arial"/>
          <w:bCs/>
          <w:sz w:val="22"/>
          <w:szCs w:val="22"/>
          <w:lang w:val="es-ES" w:bidi="es-ES"/>
        </w:rPr>
      </w:pPr>
      <w:r>
        <w:rPr>
          <w:rFonts w:ascii="Arial" w:hAnsi="Arial" w:cs="Arial"/>
          <w:sz w:val="22"/>
        </w:rPr>
        <w:tab/>
      </w:r>
      <w:r w:rsidR="007E2FF8">
        <w:rPr>
          <w:rFonts w:ascii="Arial" w:hAnsi="Arial" w:cs="Arial"/>
          <w:sz w:val="22"/>
        </w:rPr>
        <w:t>Específicamente, tratándose de la Corporación Autónoma</w:t>
      </w:r>
      <w:r>
        <w:rPr>
          <w:rFonts w:ascii="Arial" w:hAnsi="Arial" w:cs="Arial"/>
          <w:sz w:val="22"/>
        </w:rPr>
        <w:t xml:space="preserve"> Regional del Río Grande de la Magdalena, cuya naturaleza jurídica especial se corresponde con el régimen de una empresa industrial y comercial del Estado</w:t>
      </w:r>
      <w:r w:rsidR="004C50FB">
        <w:rPr>
          <w:rFonts w:ascii="Arial" w:hAnsi="Arial" w:cs="Arial"/>
          <w:sz w:val="22"/>
        </w:rPr>
        <w:t>, debe señalarse que</w:t>
      </w:r>
      <w:r w:rsidR="00297E0A">
        <w:rPr>
          <w:rFonts w:ascii="Arial" w:hAnsi="Arial" w:cs="Arial"/>
          <w:sz w:val="22"/>
        </w:rPr>
        <w:t xml:space="preserve"> si bien su actuar, preliminarmente, se rige </w:t>
      </w:r>
      <w:r w:rsidR="007E2FF8" w:rsidRPr="002444A5">
        <w:rPr>
          <w:rFonts w:ascii="Arial" w:hAnsi="Arial" w:cs="Arial"/>
          <w:bCs/>
          <w:sz w:val="22"/>
          <w:szCs w:val="22"/>
          <w:lang w:val="es-ES" w:bidi="es-ES"/>
        </w:rPr>
        <w:t>por las disposiciones legales y reglamentarias aplicables a sus actividades económicas y comerciales, es decir,</w:t>
      </w:r>
      <w:r w:rsidR="00297E0A">
        <w:rPr>
          <w:rFonts w:ascii="Arial" w:hAnsi="Arial" w:cs="Arial"/>
          <w:bCs/>
          <w:sz w:val="22"/>
          <w:szCs w:val="22"/>
          <w:lang w:val="es-ES" w:bidi="es-ES"/>
        </w:rPr>
        <w:t xml:space="preserve"> bajo el amparo de </w:t>
      </w:r>
      <w:r w:rsidR="007E2FF8" w:rsidRPr="002444A5">
        <w:rPr>
          <w:rFonts w:ascii="Arial" w:hAnsi="Arial" w:cs="Arial"/>
          <w:bCs/>
          <w:sz w:val="22"/>
          <w:szCs w:val="22"/>
          <w:lang w:val="es-ES" w:bidi="es-ES"/>
        </w:rPr>
        <w:t>las normas del derecho privado, esta circunstancia</w:t>
      </w:r>
      <w:r w:rsidR="007E2FF8" w:rsidRPr="00CF3705">
        <w:rPr>
          <w:rFonts w:ascii="Arial" w:hAnsi="Arial" w:cs="Arial"/>
          <w:bCs/>
          <w:sz w:val="22"/>
          <w:szCs w:val="22"/>
          <w:lang w:val="es-ES" w:bidi="es-ES"/>
        </w:rPr>
        <w:t xml:space="preserve"> </w:t>
      </w:r>
      <w:r w:rsidR="007E2FF8" w:rsidRPr="002444A5">
        <w:rPr>
          <w:rFonts w:ascii="Arial" w:hAnsi="Arial" w:cs="Arial"/>
          <w:bCs/>
          <w:sz w:val="22"/>
          <w:szCs w:val="22"/>
          <w:lang w:val="es-ES" w:bidi="es-ES"/>
        </w:rPr>
        <w:t>no</w:t>
      </w:r>
      <w:r w:rsidR="007E2FF8" w:rsidRPr="00CF3705">
        <w:rPr>
          <w:rFonts w:ascii="Arial" w:hAnsi="Arial" w:cs="Arial"/>
          <w:bCs/>
          <w:sz w:val="22"/>
          <w:szCs w:val="22"/>
          <w:lang w:val="es-ES" w:bidi="es-ES"/>
        </w:rPr>
        <w:t xml:space="preserve"> </w:t>
      </w:r>
      <w:r w:rsidR="007E2FF8" w:rsidRPr="002444A5">
        <w:rPr>
          <w:rFonts w:ascii="Arial" w:hAnsi="Arial" w:cs="Arial"/>
          <w:bCs/>
          <w:sz w:val="22"/>
          <w:szCs w:val="22"/>
          <w:lang w:val="es-ES" w:bidi="es-ES"/>
        </w:rPr>
        <w:t>la</w:t>
      </w:r>
      <w:r w:rsidR="00297E0A">
        <w:rPr>
          <w:rFonts w:ascii="Arial" w:hAnsi="Arial" w:cs="Arial"/>
          <w:bCs/>
          <w:sz w:val="22"/>
          <w:szCs w:val="22"/>
          <w:lang w:val="es-ES" w:bidi="es-ES"/>
        </w:rPr>
        <w:t xml:space="preserve"> </w:t>
      </w:r>
      <w:r w:rsidR="007E2FF8" w:rsidRPr="002444A5">
        <w:rPr>
          <w:rFonts w:ascii="Arial" w:hAnsi="Arial" w:cs="Arial"/>
          <w:bCs/>
          <w:sz w:val="22"/>
          <w:szCs w:val="22"/>
          <w:lang w:val="es-ES" w:bidi="es-ES"/>
        </w:rPr>
        <w:t xml:space="preserve">excluye de la aplicación de las restricciones establecidas en la Ley </w:t>
      </w:r>
      <w:r w:rsidR="007E2FF8" w:rsidRPr="00CF3705">
        <w:rPr>
          <w:rFonts w:ascii="Arial" w:hAnsi="Arial" w:cs="Arial"/>
          <w:bCs/>
          <w:sz w:val="22"/>
          <w:szCs w:val="22"/>
          <w:lang w:val="es-ES" w:bidi="es-ES"/>
        </w:rPr>
        <w:t xml:space="preserve">996 de 2005 o Ley de </w:t>
      </w:r>
      <w:r w:rsidR="007E2FF8" w:rsidRPr="002444A5">
        <w:rPr>
          <w:rFonts w:ascii="Arial" w:hAnsi="Arial" w:cs="Arial"/>
          <w:bCs/>
          <w:sz w:val="22"/>
          <w:szCs w:val="22"/>
          <w:lang w:val="es-ES" w:bidi="es-ES"/>
        </w:rPr>
        <w:t>Garantías Electorales</w:t>
      </w:r>
      <w:r w:rsidR="007E2FF8" w:rsidRPr="00CF3705">
        <w:rPr>
          <w:rFonts w:ascii="Arial" w:hAnsi="Arial" w:cs="Arial"/>
          <w:bCs/>
          <w:sz w:val="22"/>
          <w:szCs w:val="22"/>
          <w:lang w:val="es-ES" w:bidi="es-ES"/>
        </w:rPr>
        <w:t xml:space="preserve">. </w:t>
      </w:r>
      <w:r w:rsidR="00297E0A">
        <w:rPr>
          <w:rFonts w:ascii="Arial" w:hAnsi="Arial" w:cs="Arial"/>
          <w:bCs/>
          <w:sz w:val="22"/>
          <w:szCs w:val="22"/>
          <w:lang w:val="es-ES" w:bidi="es-ES"/>
        </w:rPr>
        <w:t>En líneas generales</w:t>
      </w:r>
      <w:r w:rsidR="007E2FF8" w:rsidRPr="00CF3705">
        <w:rPr>
          <w:rFonts w:ascii="Arial" w:hAnsi="Arial" w:cs="Arial"/>
          <w:bCs/>
          <w:sz w:val="22"/>
          <w:szCs w:val="22"/>
          <w:lang w:val="es-ES" w:bidi="es-ES"/>
        </w:rPr>
        <w:t>,</w:t>
      </w:r>
      <w:r w:rsidR="00297E0A">
        <w:rPr>
          <w:rFonts w:ascii="Arial" w:hAnsi="Arial" w:cs="Arial"/>
          <w:bCs/>
          <w:sz w:val="22"/>
          <w:szCs w:val="22"/>
          <w:lang w:val="es-ES" w:bidi="es-ES"/>
        </w:rPr>
        <w:t xml:space="preserve"> </w:t>
      </w:r>
      <w:r w:rsidR="007E2FF8" w:rsidRPr="002444A5">
        <w:rPr>
          <w:rFonts w:ascii="Arial" w:hAnsi="Arial" w:cs="Arial"/>
          <w:bCs/>
          <w:sz w:val="22"/>
          <w:szCs w:val="22"/>
          <w:lang w:val="es-ES" w:bidi="es-ES"/>
        </w:rPr>
        <w:t>la</w:t>
      </w:r>
      <w:r w:rsidR="007E2FF8" w:rsidRPr="00CF3705">
        <w:rPr>
          <w:rFonts w:ascii="Arial" w:hAnsi="Arial" w:cs="Arial"/>
          <w:bCs/>
          <w:sz w:val="22"/>
          <w:szCs w:val="22"/>
          <w:lang w:val="es-ES" w:bidi="es-ES"/>
        </w:rPr>
        <w:t>s</w:t>
      </w:r>
      <w:r w:rsidR="00297E0A">
        <w:rPr>
          <w:rFonts w:ascii="Arial" w:hAnsi="Arial" w:cs="Arial"/>
          <w:bCs/>
          <w:sz w:val="22"/>
          <w:szCs w:val="22"/>
          <w:lang w:val="es-ES" w:bidi="es-ES"/>
        </w:rPr>
        <w:t xml:space="preserve"> </w:t>
      </w:r>
      <w:r w:rsidR="007E2FF8" w:rsidRPr="002444A5">
        <w:rPr>
          <w:rFonts w:ascii="Arial" w:hAnsi="Arial" w:cs="Arial"/>
          <w:bCs/>
          <w:sz w:val="22"/>
          <w:szCs w:val="22"/>
          <w:lang w:val="es-ES" w:bidi="es-ES"/>
        </w:rPr>
        <w:t>restricci</w:t>
      </w:r>
      <w:r w:rsidR="007E2FF8" w:rsidRPr="00CF3705">
        <w:rPr>
          <w:rFonts w:ascii="Arial" w:hAnsi="Arial" w:cs="Arial"/>
          <w:bCs/>
          <w:sz w:val="22"/>
          <w:szCs w:val="22"/>
          <w:lang w:val="es-ES" w:bidi="es-ES"/>
        </w:rPr>
        <w:t>ones</w:t>
      </w:r>
      <w:r w:rsidR="00297E0A">
        <w:rPr>
          <w:rFonts w:ascii="Arial" w:hAnsi="Arial" w:cs="Arial"/>
          <w:bCs/>
          <w:sz w:val="22"/>
          <w:szCs w:val="22"/>
          <w:lang w:val="es-ES" w:bidi="es-ES"/>
        </w:rPr>
        <w:t xml:space="preserve"> </w:t>
      </w:r>
      <w:r w:rsidR="007E2FF8" w:rsidRPr="002444A5">
        <w:rPr>
          <w:rFonts w:ascii="Arial" w:hAnsi="Arial" w:cs="Arial"/>
          <w:bCs/>
          <w:sz w:val="22"/>
          <w:szCs w:val="22"/>
          <w:lang w:val="es-ES" w:bidi="es-ES"/>
        </w:rPr>
        <w:t>consagrada</w:t>
      </w:r>
      <w:r w:rsidR="007E2FF8" w:rsidRPr="00CF3705">
        <w:rPr>
          <w:rFonts w:ascii="Arial" w:hAnsi="Arial" w:cs="Arial"/>
          <w:bCs/>
          <w:sz w:val="22"/>
          <w:szCs w:val="22"/>
          <w:lang w:val="es-ES" w:bidi="es-ES"/>
        </w:rPr>
        <w:t xml:space="preserve">s </w:t>
      </w:r>
      <w:r w:rsidR="007E2FF8" w:rsidRPr="002444A5">
        <w:rPr>
          <w:rFonts w:ascii="Arial" w:hAnsi="Arial" w:cs="Arial"/>
          <w:bCs/>
          <w:sz w:val="22"/>
          <w:szCs w:val="22"/>
          <w:lang w:val="es-ES" w:bidi="es-ES"/>
        </w:rPr>
        <w:t xml:space="preserve">en la Ley de Garantías en materia de contratación directa y </w:t>
      </w:r>
      <w:r w:rsidR="007E2FF8" w:rsidRPr="00CF3705">
        <w:rPr>
          <w:rFonts w:ascii="Arial" w:hAnsi="Arial" w:cs="Arial"/>
          <w:bCs/>
          <w:sz w:val="22"/>
          <w:szCs w:val="22"/>
          <w:lang w:val="es-ES" w:bidi="es-ES"/>
        </w:rPr>
        <w:t xml:space="preserve">de </w:t>
      </w:r>
      <w:r w:rsidR="007E2FF8" w:rsidRPr="002444A5">
        <w:rPr>
          <w:rFonts w:ascii="Arial" w:hAnsi="Arial" w:cs="Arial"/>
          <w:bCs/>
          <w:sz w:val="22"/>
          <w:szCs w:val="22"/>
          <w:lang w:val="es-ES" w:bidi="es-ES"/>
        </w:rPr>
        <w:t xml:space="preserve">celebración de convenios interadministrativos se aplican </w:t>
      </w:r>
      <w:r w:rsidR="007E2FF8" w:rsidRPr="005C25FD">
        <w:rPr>
          <w:rFonts w:ascii="Arial" w:hAnsi="Arial" w:cs="Arial"/>
          <w:bCs/>
          <w:sz w:val="22"/>
          <w:szCs w:val="22"/>
          <w:lang w:val="es-ES" w:bidi="es-ES"/>
        </w:rPr>
        <w:t xml:space="preserve">también a las Empresas Industriales y Comerciales del Estado, </w:t>
      </w:r>
      <w:r w:rsidR="00297E0A" w:rsidRPr="005C25FD">
        <w:rPr>
          <w:rFonts w:ascii="Arial" w:hAnsi="Arial" w:cs="Arial"/>
          <w:bCs/>
          <w:sz w:val="22"/>
          <w:szCs w:val="22"/>
          <w:lang w:val="es-ES" w:bidi="es-ES"/>
        </w:rPr>
        <w:t xml:space="preserve">pues </w:t>
      </w:r>
      <w:r w:rsidR="007E2FF8" w:rsidRPr="005C25FD">
        <w:rPr>
          <w:rFonts w:ascii="Arial" w:hAnsi="Arial" w:cs="Arial"/>
          <w:bCs/>
          <w:sz w:val="22"/>
          <w:szCs w:val="22"/>
          <w:lang w:val="es-ES" w:bidi="es-ES"/>
        </w:rPr>
        <w:t>el hecho de que estén exceptuadas del Estatuto General de Contratación de la Administración Pública</w:t>
      </w:r>
      <w:r w:rsidR="00297E0A" w:rsidRPr="005C25FD">
        <w:rPr>
          <w:rFonts w:ascii="Arial" w:hAnsi="Arial" w:cs="Arial"/>
          <w:bCs/>
          <w:sz w:val="22"/>
          <w:szCs w:val="22"/>
          <w:lang w:val="es-ES" w:bidi="es-ES"/>
        </w:rPr>
        <w:t xml:space="preserve"> </w:t>
      </w:r>
      <w:r w:rsidR="007E2FF8" w:rsidRPr="005C25FD">
        <w:rPr>
          <w:rFonts w:ascii="Arial" w:hAnsi="Arial" w:cs="Arial"/>
          <w:bCs/>
          <w:sz w:val="22"/>
          <w:szCs w:val="22"/>
          <w:lang w:val="es-ES" w:bidi="es-ES"/>
        </w:rPr>
        <w:t>no implica</w:t>
      </w:r>
      <w:r w:rsidR="00297E0A" w:rsidRPr="005C25FD">
        <w:rPr>
          <w:rFonts w:ascii="Arial" w:hAnsi="Arial" w:cs="Arial"/>
          <w:bCs/>
          <w:sz w:val="22"/>
          <w:szCs w:val="22"/>
          <w:lang w:val="es-ES" w:bidi="es-ES"/>
        </w:rPr>
        <w:t xml:space="preserve">, </w:t>
      </w:r>
      <w:r w:rsidR="00297E0A" w:rsidRPr="005C25FD">
        <w:rPr>
          <w:rFonts w:ascii="Arial" w:hAnsi="Arial" w:cs="Arial"/>
          <w:bCs/>
          <w:i/>
          <w:iCs/>
          <w:sz w:val="22"/>
          <w:szCs w:val="22"/>
          <w:lang w:val="es-ES" w:bidi="es-ES"/>
        </w:rPr>
        <w:t>per se</w:t>
      </w:r>
      <w:r w:rsidR="00297E0A" w:rsidRPr="005C25FD">
        <w:rPr>
          <w:rFonts w:ascii="Arial" w:hAnsi="Arial" w:cs="Arial"/>
          <w:bCs/>
          <w:sz w:val="22"/>
          <w:szCs w:val="22"/>
          <w:lang w:val="es-ES" w:bidi="es-ES"/>
        </w:rPr>
        <w:t xml:space="preserve">, </w:t>
      </w:r>
      <w:r w:rsidR="007E2FF8" w:rsidRPr="005C25FD">
        <w:rPr>
          <w:rFonts w:ascii="Arial" w:hAnsi="Arial" w:cs="Arial"/>
          <w:bCs/>
          <w:sz w:val="22"/>
          <w:szCs w:val="22"/>
          <w:lang w:val="es-ES" w:bidi="es-ES"/>
        </w:rPr>
        <w:t>que sean exceptuadas de las demás normas del ordenamiento jurídico colombiano.</w:t>
      </w:r>
    </w:p>
    <w:p w14:paraId="0A434A6E" w14:textId="77777777" w:rsidR="005C25FD" w:rsidRDefault="005C25FD" w:rsidP="00297E0A">
      <w:pPr>
        <w:spacing w:after="120" w:line="276" w:lineRule="auto"/>
        <w:jc w:val="both"/>
        <w:rPr>
          <w:rFonts w:ascii="Arial" w:hAnsi="Arial" w:cs="Arial"/>
          <w:sz w:val="22"/>
          <w:szCs w:val="22"/>
        </w:rPr>
      </w:pPr>
      <w:r>
        <w:rPr>
          <w:rFonts w:ascii="Arial" w:hAnsi="Arial" w:cs="Arial"/>
          <w:bCs/>
          <w:sz w:val="22"/>
          <w:szCs w:val="22"/>
          <w:lang w:val="es-ES" w:bidi="es-ES"/>
        </w:rPr>
        <w:tab/>
      </w:r>
      <w:r w:rsidRPr="005C25FD">
        <w:rPr>
          <w:rFonts w:ascii="Arial" w:hAnsi="Arial" w:cs="Arial"/>
          <w:sz w:val="22"/>
          <w:szCs w:val="22"/>
        </w:rPr>
        <w:t>Esto quiere decir, en últimas, de cara a la aplicación de la Ley de Garantías Electorales, que las empresas industriales y comerciales del Estado, durante el periodo de aplicación de la prohibición establecida en el artículo 33 de la Ley 996 de 2005, podrán celebrar contratos siempre que se realice un procedimiento competitivo, que permita la participación de pluralidad de oferentes. Sin embargo, no podrán celebrar contratos a través de una contratación directa, entendiendo esta como aquel sistema de selección de contratistas en el que no exista convocatoria pública, ni sea posible la participación de pluralidad de oferentes. Por su parte, en cuanto tiene que ver con el parágrafo del artículo 38 de la norma bajo análisis, dicha restricción no les resulta aplicable en caso de ser entidades descentralizadas del orden nacional, debido a que tal normativa se predica de entidades descentralizadas del orden municipal, departamental o distrital.</w:t>
      </w:r>
    </w:p>
    <w:p w14:paraId="09DEFC97" w14:textId="77777777" w:rsidR="005C25FD" w:rsidRDefault="005C25FD" w:rsidP="005C25FD">
      <w:pPr>
        <w:spacing w:after="120" w:line="276" w:lineRule="auto"/>
        <w:jc w:val="both"/>
        <w:rPr>
          <w:rFonts w:ascii="Arial" w:hAnsi="Arial" w:cs="Arial"/>
          <w:bCs/>
          <w:sz w:val="22"/>
          <w:szCs w:val="22"/>
          <w:lang w:bidi="es-ES"/>
        </w:rPr>
      </w:pPr>
      <w:r>
        <w:rPr>
          <w:rFonts w:ascii="Arial" w:hAnsi="Arial" w:cs="Arial"/>
          <w:sz w:val="22"/>
          <w:szCs w:val="22"/>
        </w:rPr>
        <w:tab/>
      </w:r>
      <w:r w:rsidRPr="005C25FD">
        <w:rPr>
          <w:rFonts w:ascii="Arial" w:hAnsi="Arial" w:cs="Arial"/>
          <w:sz w:val="22"/>
          <w:szCs w:val="22"/>
        </w:rPr>
        <w:t>Adicionalmente, no está de más reiterar que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de la celebración de convenios interadministrativos, y siempre que cumplan los principios de planeación, transparencia y responsabilidad.</w:t>
      </w:r>
      <w:bookmarkEnd w:id="95"/>
    </w:p>
    <w:p w14:paraId="2861B197" w14:textId="40DD6E58" w:rsidR="00297E0A" w:rsidRPr="005C25FD" w:rsidRDefault="00297E0A" w:rsidP="005C25FD">
      <w:pPr>
        <w:spacing w:after="120" w:line="276" w:lineRule="auto"/>
        <w:jc w:val="both"/>
        <w:rPr>
          <w:rFonts w:ascii="Arial" w:hAnsi="Arial" w:cs="Arial"/>
          <w:bCs/>
          <w:sz w:val="22"/>
          <w:szCs w:val="22"/>
          <w:lang w:val="es-ES" w:bidi="es-ES"/>
        </w:rPr>
      </w:pPr>
      <w:r>
        <w:rPr>
          <w:rFonts w:ascii="Arial" w:eastAsiaTheme="minorHAnsi" w:hAnsi="Arial" w:cs="Arial"/>
          <w:color w:val="000000"/>
          <w:sz w:val="22"/>
          <w:szCs w:val="22"/>
          <w:shd w:val="clear" w:color="auto" w:fill="FFFFFF"/>
          <w:lang w:val="es-ES" w:eastAsia="en-US"/>
        </w:rPr>
        <w:lastRenderedPageBreak/>
        <w:t xml:space="preserve">Con todo, no sobra mencionar que, al amparo de las anteriores consideraciones, </w:t>
      </w:r>
      <w:r w:rsidR="00CF3705" w:rsidRPr="00CF3705">
        <w:rPr>
          <w:rFonts w:ascii="Arial" w:eastAsiaTheme="minorHAnsi" w:hAnsi="Arial" w:cs="Arial"/>
          <w:color w:val="000000"/>
          <w:sz w:val="22"/>
          <w:szCs w:val="22"/>
          <w:shd w:val="clear" w:color="auto" w:fill="FFFFFF"/>
          <w:lang w:eastAsia="en-US"/>
        </w:rPr>
        <w:t>corresponde a cada entidad pública, en ejercicio de su competencia y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5EFA6318" w14:textId="46E6A90C" w:rsidR="00714037" w:rsidRPr="00297E0A" w:rsidRDefault="00005C5B" w:rsidP="00297E0A">
      <w:pPr>
        <w:tabs>
          <w:tab w:val="left" w:pos="426"/>
        </w:tabs>
        <w:spacing w:line="276" w:lineRule="auto"/>
        <w:ind w:firstLine="709"/>
        <w:jc w:val="both"/>
        <w:rPr>
          <w:rFonts w:ascii="Arial" w:eastAsiaTheme="minorHAnsi" w:hAnsi="Arial" w:cs="Arial"/>
          <w:color w:val="000000"/>
          <w:sz w:val="22"/>
          <w:szCs w:val="22"/>
          <w:shd w:val="clear" w:color="auto" w:fill="FFFFFF"/>
          <w:lang w:eastAsia="en-US"/>
        </w:rPr>
      </w:pPr>
      <w:r w:rsidRPr="00005C5B">
        <w:rPr>
          <w:rFonts w:ascii="Arial" w:hAnsi="Arial" w:cs="Arial"/>
          <w:sz w:val="22"/>
        </w:rPr>
        <w:t>Este concepto tiene el alcance previsto en el artículo 28 del Código de Procedimiento Administrativo y de lo Contencioso Administrativo</w:t>
      </w:r>
      <w:r>
        <w:rPr>
          <w:rFonts w:ascii="Arial" w:hAnsi="Arial" w:cs="Arial"/>
          <w:sz w:val="22"/>
        </w:rPr>
        <w:t xml:space="preserve">, </w:t>
      </w:r>
      <w:r w:rsidRPr="00005C5B">
        <w:rPr>
          <w:rFonts w:ascii="Arial" w:hAnsi="Arial" w:cs="Arial"/>
          <w:sz w:val="22"/>
        </w:rPr>
        <w:t>y las expresiones aquí utilizadas con mayúscula inicial deben ser entendidas con el significado que les otorga el artículo 2.2.1.1.1.3.1. del Decreto 1082 de 2015.</w:t>
      </w:r>
      <w:bookmarkStart w:id="96" w:name="_Hlk34951122"/>
      <w:bookmarkEnd w:id="34"/>
    </w:p>
    <w:p w14:paraId="44093F7A" w14:textId="77777777" w:rsidR="000B35F6" w:rsidRPr="000A7648" w:rsidRDefault="000B35F6" w:rsidP="000A7648">
      <w:pPr>
        <w:spacing w:line="276" w:lineRule="auto"/>
        <w:ind w:firstLine="709"/>
        <w:jc w:val="both"/>
        <w:rPr>
          <w:rFonts w:ascii="Arial" w:eastAsia="Calibri" w:hAnsi="Arial" w:cs="Arial"/>
          <w:sz w:val="22"/>
          <w:szCs w:val="22"/>
          <w:lang w:val="es-MX" w:eastAsia="en-US"/>
        </w:rPr>
      </w:pPr>
    </w:p>
    <w:p w14:paraId="0AB98133" w14:textId="10F9ECB4" w:rsidR="00011723" w:rsidRPr="00714037" w:rsidRDefault="00011723" w:rsidP="00714037">
      <w:pPr>
        <w:spacing w:after="120" w:line="276" w:lineRule="auto"/>
        <w:jc w:val="both"/>
        <w:rPr>
          <w:rFonts w:ascii="Arial" w:eastAsia="Calibri" w:hAnsi="Arial" w:cs="Arial"/>
          <w:iCs/>
          <w:sz w:val="22"/>
          <w:szCs w:val="22"/>
          <w:lang w:eastAsia="en-US"/>
        </w:rPr>
      </w:pPr>
      <w:r w:rsidRPr="00011723">
        <w:rPr>
          <w:rFonts w:ascii="Arial" w:hAnsi="Arial" w:cs="Arial"/>
          <w:sz w:val="22"/>
          <w:szCs w:val="22"/>
          <w:lang w:val="es-MX"/>
        </w:rPr>
        <w:t>Atentamente,</w:t>
      </w:r>
    </w:p>
    <w:p w14:paraId="138FAE1E" w14:textId="4BFB0270" w:rsidR="00011723" w:rsidRPr="00011723" w:rsidRDefault="00B854B5" w:rsidP="00011723">
      <w:pPr>
        <w:spacing w:line="276" w:lineRule="auto"/>
        <w:jc w:val="center"/>
        <w:textAlignment w:val="baseline"/>
        <w:rPr>
          <w:rFonts w:ascii="Arial" w:hAnsi="Arial" w:cs="Arial"/>
        </w:rPr>
      </w:pPr>
      <w:r>
        <w:rPr>
          <w:rFonts w:ascii="Arial" w:hAnsi="Arial" w:cs="Arial"/>
          <w:noProof/>
        </w:rPr>
        <w:drawing>
          <wp:inline distT="0" distB="0" distL="0" distR="0" wp14:anchorId="77995272" wp14:editId="4F4B53A7">
            <wp:extent cx="3153215" cy="1209844"/>
            <wp:effectExtent l="0" t="0" r="9525" b="9525"/>
            <wp:docPr id="172078025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780254" name="Imagen 1" descr="Text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3153215" cy="1209844"/>
                    </a:xfrm>
                    <a:prstGeom prst="rect">
                      <a:avLst/>
                    </a:prstGeom>
                  </pic:spPr>
                </pic:pic>
              </a:graphicData>
            </a:graphic>
          </wp:inline>
        </w:drawing>
      </w:r>
    </w:p>
    <w:tbl>
      <w:tblPr>
        <w:tblW w:w="58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
        <w:gridCol w:w="5220"/>
      </w:tblGrid>
      <w:tr w:rsidR="00011723" w:rsidRPr="00011723" w14:paraId="1EA5AC2B" w14:textId="77777777" w:rsidTr="00367BC4">
        <w:trPr>
          <w:trHeight w:val="315"/>
        </w:trPr>
        <w:tc>
          <w:tcPr>
            <w:tcW w:w="596" w:type="dxa"/>
            <w:tcBorders>
              <w:top w:val="nil"/>
              <w:left w:val="nil"/>
              <w:bottom w:val="nil"/>
              <w:right w:val="nil"/>
            </w:tcBorders>
            <w:shd w:val="clear" w:color="auto" w:fill="auto"/>
            <w:vAlign w:val="center"/>
            <w:hideMark/>
          </w:tcPr>
          <w:p w14:paraId="41E8FB92" w14:textId="77777777" w:rsidR="00011723" w:rsidRPr="00011723" w:rsidRDefault="00011723" w:rsidP="00011723">
            <w:pPr>
              <w:textAlignment w:val="baseline"/>
              <w:rPr>
                <w:rFonts w:ascii="Arial" w:hAnsi="Arial" w:cs="Arial"/>
                <w:sz w:val="16"/>
                <w:szCs w:val="16"/>
                <w:lang w:val="es-MX"/>
              </w:rPr>
            </w:pPr>
            <w:bookmarkStart w:id="97" w:name="_Hlk140049914"/>
            <w:r w:rsidRPr="00011723">
              <w:rPr>
                <w:rFonts w:ascii="Arial" w:hAnsi="Arial" w:cs="Arial"/>
                <w:sz w:val="16"/>
                <w:szCs w:val="16"/>
                <w:lang w:val="es-MX"/>
              </w:rPr>
              <w:t>Elaboró:</w:t>
            </w:r>
          </w:p>
        </w:tc>
        <w:tc>
          <w:tcPr>
            <w:tcW w:w="5220" w:type="dxa"/>
            <w:tcBorders>
              <w:top w:val="nil"/>
              <w:left w:val="nil"/>
              <w:bottom w:val="dotted" w:sz="6" w:space="0" w:color="7F7F7F"/>
              <w:right w:val="nil"/>
            </w:tcBorders>
            <w:shd w:val="clear" w:color="auto" w:fill="auto"/>
            <w:vAlign w:val="center"/>
            <w:hideMark/>
          </w:tcPr>
          <w:p w14:paraId="2207DA5F"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Diego Andrés Zambrano Pérez</w:t>
            </w:r>
          </w:p>
          <w:p w14:paraId="2251292F"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Contratista de la Subdirección de Gestión Contractual</w:t>
            </w:r>
          </w:p>
        </w:tc>
      </w:tr>
      <w:tr w:rsidR="00011723" w:rsidRPr="00011723" w14:paraId="34BD4F3F" w14:textId="77777777" w:rsidTr="00367BC4">
        <w:trPr>
          <w:trHeight w:val="315"/>
        </w:trPr>
        <w:tc>
          <w:tcPr>
            <w:tcW w:w="596" w:type="dxa"/>
            <w:tcBorders>
              <w:top w:val="nil"/>
              <w:left w:val="nil"/>
              <w:bottom w:val="nil"/>
              <w:right w:val="nil"/>
            </w:tcBorders>
            <w:shd w:val="clear" w:color="auto" w:fill="auto"/>
            <w:vAlign w:val="center"/>
            <w:hideMark/>
          </w:tcPr>
          <w:p w14:paraId="54CABB05"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Revisó:</w:t>
            </w:r>
          </w:p>
        </w:tc>
        <w:tc>
          <w:tcPr>
            <w:tcW w:w="5220" w:type="dxa"/>
            <w:tcBorders>
              <w:top w:val="dotted" w:sz="6" w:space="0" w:color="7F7F7F"/>
              <w:left w:val="nil"/>
              <w:bottom w:val="dotted" w:sz="6" w:space="0" w:color="7F7F7F"/>
              <w:right w:val="nil"/>
            </w:tcBorders>
            <w:shd w:val="clear" w:color="auto" w:fill="auto"/>
            <w:vAlign w:val="center"/>
            <w:hideMark/>
          </w:tcPr>
          <w:p w14:paraId="0075A103" w14:textId="739E0CFB" w:rsidR="00011723" w:rsidRPr="00011723" w:rsidRDefault="00297E0A" w:rsidP="00011723">
            <w:pPr>
              <w:textAlignment w:val="baseline"/>
              <w:rPr>
                <w:rFonts w:ascii="Arial" w:hAnsi="Arial" w:cs="Arial"/>
                <w:sz w:val="16"/>
                <w:szCs w:val="16"/>
                <w:lang w:val="es-MX"/>
              </w:rPr>
            </w:pPr>
            <w:r>
              <w:rPr>
                <w:rFonts w:ascii="Arial" w:hAnsi="Arial" w:cs="Arial"/>
                <w:sz w:val="16"/>
                <w:szCs w:val="16"/>
                <w:lang w:val="es-MX"/>
              </w:rPr>
              <w:t>Ximena Ríos López</w:t>
            </w:r>
          </w:p>
          <w:p w14:paraId="3BAE9CAC" w14:textId="2F7C0F26" w:rsidR="00011723" w:rsidRPr="00011723" w:rsidRDefault="00367BC4" w:rsidP="00011723">
            <w:pPr>
              <w:textAlignment w:val="baseline"/>
              <w:rPr>
                <w:rFonts w:ascii="Arial" w:hAnsi="Arial" w:cs="Arial"/>
                <w:sz w:val="16"/>
                <w:szCs w:val="16"/>
                <w:lang w:val="es-MX"/>
              </w:rPr>
            </w:pPr>
            <w:r>
              <w:rPr>
                <w:rFonts w:ascii="Arial" w:hAnsi="Arial" w:cs="Arial"/>
                <w:sz w:val="16"/>
                <w:szCs w:val="16"/>
                <w:lang w:val="es-MX"/>
              </w:rPr>
              <w:t>Gestor T1-1</w:t>
            </w:r>
            <w:r w:rsidR="00297E0A">
              <w:rPr>
                <w:rFonts w:ascii="Arial" w:hAnsi="Arial" w:cs="Arial"/>
                <w:sz w:val="16"/>
                <w:szCs w:val="16"/>
                <w:lang w:val="es-MX"/>
              </w:rPr>
              <w:t>1</w:t>
            </w:r>
            <w:r>
              <w:rPr>
                <w:rFonts w:ascii="Arial" w:hAnsi="Arial" w:cs="Arial"/>
                <w:sz w:val="16"/>
                <w:szCs w:val="16"/>
                <w:lang w:val="es-MX"/>
              </w:rPr>
              <w:t xml:space="preserve"> </w:t>
            </w:r>
            <w:r w:rsidR="00011723" w:rsidRPr="00011723">
              <w:rPr>
                <w:rFonts w:ascii="Arial" w:hAnsi="Arial" w:cs="Arial"/>
                <w:sz w:val="16"/>
                <w:szCs w:val="16"/>
                <w:lang w:val="es-MX"/>
              </w:rPr>
              <w:t>de la Subdirección de Gestión Contractual</w:t>
            </w:r>
          </w:p>
        </w:tc>
      </w:tr>
      <w:tr w:rsidR="00011723" w:rsidRPr="00011723" w14:paraId="4F91C1DF" w14:textId="77777777" w:rsidTr="00367BC4">
        <w:trPr>
          <w:trHeight w:val="300"/>
        </w:trPr>
        <w:tc>
          <w:tcPr>
            <w:tcW w:w="596" w:type="dxa"/>
            <w:tcBorders>
              <w:top w:val="nil"/>
              <w:left w:val="nil"/>
              <w:bottom w:val="nil"/>
              <w:right w:val="nil"/>
            </w:tcBorders>
            <w:shd w:val="clear" w:color="auto" w:fill="auto"/>
            <w:vAlign w:val="center"/>
            <w:hideMark/>
          </w:tcPr>
          <w:p w14:paraId="5D96043E"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Aprobó:</w:t>
            </w:r>
          </w:p>
        </w:tc>
        <w:tc>
          <w:tcPr>
            <w:tcW w:w="5220" w:type="dxa"/>
            <w:tcBorders>
              <w:top w:val="dotted" w:sz="6" w:space="0" w:color="7F7F7F"/>
              <w:left w:val="nil"/>
              <w:bottom w:val="dotted" w:sz="6" w:space="0" w:color="7F7F7F"/>
              <w:right w:val="nil"/>
            </w:tcBorders>
            <w:shd w:val="clear" w:color="auto" w:fill="auto"/>
            <w:vAlign w:val="center"/>
            <w:hideMark/>
          </w:tcPr>
          <w:p w14:paraId="5F2DAEFD"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Nohelia del Carmen Zawady Palacio</w:t>
            </w:r>
          </w:p>
          <w:p w14:paraId="769F1266" w14:textId="77777777" w:rsidR="00011723" w:rsidRPr="00011723" w:rsidRDefault="00011723" w:rsidP="00011723">
            <w:pPr>
              <w:textAlignment w:val="baseline"/>
              <w:rPr>
                <w:rFonts w:ascii="Arial" w:hAnsi="Arial" w:cs="Arial"/>
                <w:sz w:val="16"/>
                <w:szCs w:val="16"/>
                <w:lang w:val="es-MX"/>
              </w:rPr>
            </w:pPr>
            <w:r w:rsidRPr="00011723">
              <w:rPr>
                <w:rFonts w:ascii="Arial" w:hAnsi="Arial" w:cs="Arial"/>
                <w:sz w:val="16"/>
                <w:szCs w:val="16"/>
                <w:lang w:val="es-MX"/>
              </w:rPr>
              <w:t>Subdirectora de Gestión Contractual</w:t>
            </w:r>
          </w:p>
        </w:tc>
      </w:tr>
      <w:bookmarkEnd w:id="0"/>
      <w:bookmarkEnd w:id="96"/>
      <w:bookmarkEnd w:id="97"/>
    </w:tbl>
    <w:p w14:paraId="385B3094" w14:textId="77777777" w:rsidR="00005C5B" w:rsidRDefault="00005C5B" w:rsidP="000E7640">
      <w:pPr>
        <w:spacing w:line="276" w:lineRule="auto"/>
        <w:jc w:val="both"/>
        <w:textAlignment w:val="baseline"/>
        <w:rPr>
          <w:rFonts w:ascii="Arial" w:hAnsi="Arial" w:cs="Arial"/>
          <w:sz w:val="22"/>
          <w:lang w:val="es-MX"/>
        </w:rPr>
      </w:pPr>
    </w:p>
    <w:sectPr w:rsidR="00005C5B" w:rsidSect="00F76AFC">
      <w:headerReference w:type="default" r:id="rId14"/>
      <w:footerReference w:type="default" r:id="rId15"/>
      <w:pgSz w:w="12240" w:h="15840"/>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44EA5" w14:textId="77777777" w:rsidR="00883895" w:rsidRDefault="00883895" w:rsidP="004A1847">
      <w:r>
        <w:separator/>
      </w:r>
    </w:p>
  </w:endnote>
  <w:endnote w:type="continuationSeparator" w:id="0">
    <w:p w14:paraId="2492A75E" w14:textId="77777777" w:rsidR="00883895" w:rsidRDefault="00883895" w:rsidP="004A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charset w:val="4D"/>
    <w:family w:val="auto"/>
    <w:pitch w:val="variable"/>
    <w:sig w:usb0="A000002F" w:usb1="1000004A" w:usb2="00000000" w:usb3="00000000" w:csb0="00000193" w:csb1="00000000"/>
  </w:font>
  <w:font w:name="Geomanist">
    <w:charset w:val="00"/>
    <w:family w:val="modern"/>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pPr>
      <w:pStyle w:val="Piedepgina"/>
    </w:pPr>
    <w:r>
      <w:rPr>
        <w:noProof/>
      </w:rPr>
      <w:drawing>
        <wp:inline distT="0" distB="0" distL="0" distR="0" wp14:anchorId="1F77499E" wp14:editId="58F58CA2">
          <wp:extent cx="5885180" cy="914400"/>
          <wp:effectExtent l="0" t="0" r="1270" b="0"/>
          <wp:docPr id="76759312" name="Imagen 76759312"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p w14:paraId="744661F5" w14:textId="77777777" w:rsidR="006219F8" w:rsidRDefault="006219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BC2A8" w14:textId="77777777" w:rsidR="00883895" w:rsidRDefault="00883895" w:rsidP="004A1847">
      <w:r>
        <w:separator/>
      </w:r>
    </w:p>
  </w:footnote>
  <w:footnote w:type="continuationSeparator" w:id="0">
    <w:p w14:paraId="2726986B" w14:textId="77777777" w:rsidR="00883895" w:rsidRDefault="00883895" w:rsidP="004A1847">
      <w:r>
        <w:continuationSeparator/>
      </w:r>
    </w:p>
  </w:footnote>
  <w:footnote w:id="1">
    <w:p w14:paraId="7F234913" w14:textId="4AEB038C" w:rsidR="00B01C8E" w:rsidRPr="003D6465" w:rsidRDefault="00B01C8E" w:rsidP="00782B79">
      <w:pPr>
        <w:pStyle w:val="Textonotapie"/>
        <w:ind w:firstLine="708"/>
        <w:jc w:val="both"/>
        <w:rPr>
          <w:rFonts w:ascii="Arial" w:hAnsi="Arial" w:cs="Arial"/>
          <w:sz w:val="18"/>
          <w:szCs w:val="18"/>
          <w:lang w:val="es-ES"/>
        </w:rPr>
      </w:pPr>
      <w:r w:rsidRPr="003D6465">
        <w:rPr>
          <w:rStyle w:val="Refdenotaalpie"/>
          <w:rFonts w:ascii="Arial" w:eastAsiaTheme="majorEastAsia" w:hAnsi="Arial" w:cs="Arial"/>
          <w:sz w:val="18"/>
          <w:szCs w:val="18"/>
        </w:rPr>
        <w:footnoteRef/>
      </w:r>
      <w:r w:rsidRPr="003D6465">
        <w:rPr>
          <w:rFonts w:ascii="Arial" w:hAnsi="Arial" w:cs="Arial"/>
          <w:sz w:val="18"/>
          <w:szCs w:val="18"/>
        </w:rPr>
        <w:t xml:space="preserve"> La Agencia Nacional de Contratación Pública</w:t>
      </w:r>
      <w:r w:rsidR="008D2E9B" w:rsidRPr="003D6465">
        <w:rPr>
          <w:rFonts w:ascii="Arial" w:hAnsi="Arial" w:cs="Arial"/>
          <w:sz w:val="18"/>
          <w:szCs w:val="18"/>
        </w:rPr>
        <w:t xml:space="preserve"> -</w:t>
      </w:r>
      <w:r w:rsidRPr="003D6465">
        <w:rPr>
          <w:rFonts w:ascii="Arial" w:hAnsi="Arial" w:cs="Arial"/>
          <w:sz w:val="18"/>
          <w:szCs w:val="18"/>
        </w:rPr>
        <w:t>Colombia Compra Eficiente</w:t>
      </w:r>
      <w:r w:rsidR="008D2E9B" w:rsidRPr="003D6465">
        <w:rPr>
          <w:rFonts w:ascii="Arial" w:hAnsi="Arial" w:cs="Arial"/>
          <w:sz w:val="18"/>
          <w:szCs w:val="18"/>
        </w:rPr>
        <w:t xml:space="preserve">- </w:t>
      </w:r>
      <w:r w:rsidRPr="003D6465">
        <w:rPr>
          <w:rFonts w:ascii="Arial" w:hAnsi="Arial" w:cs="Arial"/>
          <w:sz w:val="18"/>
          <w:szCs w:val="18"/>
        </w:rPr>
        <w:t>fue creada por el Decreto</w:t>
      </w:r>
      <w:r w:rsidR="008D2E9B" w:rsidRPr="003D6465">
        <w:rPr>
          <w:rFonts w:ascii="Arial" w:hAnsi="Arial" w:cs="Arial"/>
          <w:sz w:val="18"/>
          <w:szCs w:val="18"/>
        </w:rPr>
        <w:t>-</w:t>
      </w:r>
      <w:r w:rsidRPr="003D6465">
        <w:rPr>
          <w:rFonts w:ascii="Arial" w:hAnsi="Arial" w:cs="Arial"/>
          <w:sz w:val="18"/>
          <w:szCs w:val="18"/>
        </w:rPr>
        <w:t xml:space="preserve">Ley 4170 de 2011. Su objetivo es servir como ente rector de la política de compras y contratación </w:t>
      </w:r>
      <w:r w:rsidR="008D2E9B" w:rsidRPr="003D6465">
        <w:rPr>
          <w:rFonts w:ascii="Arial" w:hAnsi="Arial" w:cs="Arial"/>
          <w:sz w:val="18"/>
          <w:szCs w:val="18"/>
        </w:rPr>
        <w:t xml:space="preserve">pública </w:t>
      </w:r>
      <w:r w:rsidRPr="003D6465">
        <w:rPr>
          <w:rFonts w:ascii="Arial" w:hAnsi="Arial" w:cs="Arial"/>
          <w:sz w:val="18"/>
          <w:szCs w:val="18"/>
        </w:rPr>
        <w:t>del Estado. Para tales fines, como órgano técnico especializado, le corresponde formular políticas públicas</w:t>
      </w:r>
      <w:r w:rsidR="008D2E9B" w:rsidRPr="003D6465">
        <w:rPr>
          <w:rFonts w:ascii="Arial" w:hAnsi="Arial" w:cs="Arial"/>
          <w:sz w:val="18"/>
          <w:szCs w:val="18"/>
        </w:rPr>
        <w:t xml:space="preserve">, </w:t>
      </w:r>
      <w:r w:rsidRPr="003D6465">
        <w:rPr>
          <w:rFonts w:ascii="Arial" w:hAnsi="Arial" w:cs="Arial"/>
          <w:sz w:val="18"/>
          <w:szCs w:val="18"/>
        </w:rPr>
        <w:t xml:space="preserve">normas y unificar los procesos de contratación estatal, con el </w:t>
      </w:r>
      <w:r w:rsidR="008D2E9B" w:rsidRPr="003D6465">
        <w:rPr>
          <w:rFonts w:ascii="Arial" w:hAnsi="Arial" w:cs="Arial"/>
          <w:sz w:val="18"/>
          <w:szCs w:val="18"/>
        </w:rPr>
        <w:t xml:space="preserve">objetivo </w:t>
      </w:r>
      <w:r w:rsidRPr="003D6465">
        <w:rPr>
          <w:rFonts w:ascii="Arial" w:hAnsi="Arial" w:cs="Arial"/>
          <w:sz w:val="18"/>
          <w:szCs w:val="18"/>
        </w:rPr>
        <w:t>de lograr una mayor eficiencia, transparencia y optimización de los recursos del Estado. El artículo 3</w:t>
      </w:r>
      <w:r w:rsidR="008D2E9B" w:rsidRPr="003D6465">
        <w:rPr>
          <w:rFonts w:ascii="Arial" w:hAnsi="Arial" w:cs="Arial"/>
          <w:sz w:val="18"/>
          <w:szCs w:val="18"/>
        </w:rPr>
        <w:t>º</w:t>
      </w:r>
      <w:r w:rsidRPr="003D6465">
        <w:rPr>
          <w:rFonts w:ascii="Arial" w:hAnsi="Arial" w:cs="Arial"/>
          <w:sz w:val="18"/>
          <w:szCs w:val="18"/>
        </w:rPr>
        <w:t xml:space="preserve"> </w:t>
      </w:r>
      <w:r w:rsidRPr="003D6465">
        <w:rPr>
          <w:rFonts w:ascii="Arial" w:hAnsi="Arial" w:cs="Arial"/>
          <w:i/>
          <w:iCs/>
          <w:sz w:val="18"/>
          <w:szCs w:val="18"/>
        </w:rPr>
        <w:t xml:space="preserve">ibidem </w:t>
      </w:r>
      <w:r w:rsidRPr="003D6465">
        <w:rPr>
          <w:rFonts w:ascii="Arial" w:hAnsi="Arial" w:cs="Arial"/>
          <w:sz w:val="18"/>
          <w:szCs w:val="18"/>
        </w:rPr>
        <w:t>señala, de manera precisa, las funciones d</w:t>
      </w:r>
      <w:r w:rsidR="008D2E9B" w:rsidRPr="003D6465">
        <w:rPr>
          <w:rFonts w:ascii="Arial" w:hAnsi="Arial" w:cs="Arial"/>
          <w:sz w:val="18"/>
          <w:szCs w:val="18"/>
        </w:rPr>
        <w:t>e la entidad</w:t>
      </w:r>
      <w:r w:rsidRPr="003D6465">
        <w:rPr>
          <w:rFonts w:ascii="Arial" w:hAnsi="Arial" w:cs="Arial"/>
          <w:sz w:val="18"/>
          <w:szCs w:val="18"/>
        </w:rPr>
        <w:t>.</w:t>
      </w:r>
      <w:r w:rsidR="008D2E9B" w:rsidRPr="003D6465">
        <w:rPr>
          <w:rFonts w:ascii="Arial" w:hAnsi="Arial" w:cs="Arial"/>
          <w:sz w:val="18"/>
          <w:szCs w:val="18"/>
        </w:rPr>
        <w:t xml:space="preserve"> </w:t>
      </w:r>
      <w:r w:rsidRPr="003D6465">
        <w:rPr>
          <w:rFonts w:ascii="Arial" w:hAnsi="Arial" w:cs="Arial"/>
          <w:sz w:val="18"/>
          <w:szCs w:val="18"/>
        </w:rPr>
        <w:t>Concretamente, el numeral 5º de</w:t>
      </w:r>
      <w:r w:rsidR="008D2E9B" w:rsidRPr="003D6465">
        <w:rPr>
          <w:rFonts w:ascii="Arial" w:hAnsi="Arial" w:cs="Arial"/>
          <w:sz w:val="18"/>
          <w:szCs w:val="18"/>
        </w:rPr>
        <w:t xml:space="preserve">l citado </w:t>
      </w:r>
      <w:r w:rsidRPr="003D6465">
        <w:rPr>
          <w:rFonts w:ascii="Arial" w:hAnsi="Arial" w:cs="Arial"/>
          <w:sz w:val="18"/>
          <w:szCs w:val="18"/>
        </w:rPr>
        <w:t>artículo establece que le corresponde a esta entidad:</w:t>
      </w:r>
      <w:r w:rsidR="008D2E9B" w:rsidRPr="003D6465">
        <w:rPr>
          <w:rFonts w:ascii="Arial" w:hAnsi="Arial" w:cs="Arial"/>
          <w:sz w:val="18"/>
          <w:szCs w:val="18"/>
        </w:rPr>
        <w:t xml:space="preserve"> </w:t>
      </w:r>
      <w:r w:rsidR="008D2E9B" w:rsidRPr="003D6465">
        <w:rPr>
          <w:rFonts w:ascii="Arial" w:hAnsi="Arial" w:cs="Arial"/>
          <w:i/>
          <w:iCs/>
          <w:sz w:val="18"/>
          <w:szCs w:val="18"/>
        </w:rPr>
        <w:t>“</w:t>
      </w:r>
      <w:r w:rsidRPr="003D6465">
        <w:rPr>
          <w:rFonts w:ascii="Arial" w:hAnsi="Arial" w:cs="Arial"/>
          <w:i/>
          <w:iCs/>
          <w:sz w:val="18"/>
          <w:szCs w:val="18"/>
        </w:rPr>
        <w:t>[a]bsolver consultas sobre la aplicación de normas de carácter general y expedir circulares externas en materia de compras y contratación pública</w:t>
      </w:r>
      <w:r w:rsidR="008D2E9B" w:rsidRPr="003D6465">
        <w:rPr>
          <w:rFonts w:ascii="Arial" w:hAnsi="Arial" w:cs="Arial"/>
          <w:i/>
          <w:iCs/>
          <w:sz w:val="18"/>
          <w:szCs w:val="18"/>
        </w:rPr>
        <w:t>”</w:t>
      </w:r>
      <w:r w:rsidR="008D2E9B" w:rsidRPr="003D6465">
        <w:rPr>
          <w:rFonts w:ascii="Arial" w:hAnsi="Arial" w:cs="Arial"/>
          <w:sz w:val="18"/>
          <w:szCs w:val="18"/>
        </w:rPr>
        <w:t xml:space="preserve">. A su turno, </w:t>
      </w:r>
      <w:r w:rsidRPr="003D6465">
        <w:rPr>
          <w:rFonts w:ascii="Arial" w:hAnsi="Arial" w:cs="Arial"/>
          <w:sz w:val="18"/>
          <w:szCs w:val="18"/>
        </w:rPr>
        <w:t>el</w:t>
      </w:r>
      <w:r w:rsidR="008D2E9B" w:rsidRPr="003D6465">
        <w:rPr>
          <w:rFonts w:ascii="Arial" w:hAnsi="Arial" w:cs="Arial"/>
          <w:sz w:val="18"/>
          <w:szCs w:val="18"/>
        </w:rPr>
        <w:t xml:space="preserve"> </w:t>
      </w:r>
      <w:r w:rsidRPr="003D6465">
        <w:rPr>
          <w:rFonts w:ascii="Arial" w:hAnsi="Arial" w:cs="Arial"/>
          <w:sz w:val="18"/>
          <w:szCs w:val="18"/>
        </w:rPr>
        <w:t>numeral 8º del artículo 11</w:t>
      </w:r>
      <w:r w:rsidR="008D2E9B" w:rsidRPr="003D6465">
        <w:rPr>
          <w:rFonts w:ascii="Arial" w:hAnsi="Arial" w:cs="Arial"/>
          <w:sz w:val="18"/>
          <w:szCs w:val="18"/>
        </w:rPr>
        <w:t xml:space="preserve"> </w:t>
      </w:r>
      <w:r w:rsidRPr="003D6465">
        <w:rPr>
          <w:rFonts w:ascii="Arial" w:hAnsi="Arial" w:cs="Arial"/>
          <w:i/>
          <w:iCs/>
          <w:sz w:val="18"/>
          <w:szCs w:val="18"/>
        </w:rPr>
        <w:t>ibidem</w:t>
      </w:r>
      <w:r w:rsidRPr="003D6465">
        <w:rPr>
          <w:rFonts w:ascii="Arial" w:hAnsi="Arial" w:cs="Arial"/>
          <w:sz w:val="18"/>
          <w:szCs w:val="18"/>
        </w:rPr>
        <w:t xml:space="preserve"> </w:t>
      </w:r>
      <w:r w:rsidR="008D2E9B" w:rsidRPr="003D6465">
        <w:rPr>
          <w:rFonts w:ascii="Arial" w:hAnsi="Arial" w:cs="Arial"/>
          <w:sz w:val="18"/>
          <w:szCs w:val="18"/>
        </w:rPr>
        <w:t xml:space="preserve">indica </w:t>
      </w:r>
      <w:r w:rsidRPr="003D6465">
        <w:rPr>
          <w:rFonts w:ascii="Arial" w:hAnsi="Arial" w:cs="Arial"/>
          <w:sz w:val="18"/>
          <w:szCs w:val="18"/>
        </w:rPr>
        <w:t>que es función de la Subdirección de Gestión Contractual:</w:t>
      </w:r>
      <w:r w:rsidR="008D2E9B" w:rsidRPr="003D6465">
        <w:rPr>
          <w:rFonts w:ascii="Arial" w:hAnsi="Arial" w:cs="Arial"/>
          <w:sz w:val="18"/>
          <w:szCs w:val="18"/>
        </w:rPr>
        <w:t xml:space="preserve"> </w:t>
      </w:r>
      <w:r w:rsidR="008D2E9B" w:rsidRPr="003D6465">
        <w:rPr>
          <w:rFonts w:ascii="Arial" w:hAnsi="Arial" w:cs="Arial"/>
          <w:i/>
          <w:iCs/>
          <w:sz w:val="18"/>
          <w:szCs w:val="18"/>
        </w:rPr>
        <w:t>“</w:t>
      </w:r>
      <w:r w:rsidRPr="003D6465">
        <w:rPr>
          <w:rFonts w:ascii="Arial" w:hAnsi="Arial" w:cs="Arial"/>
          <w:i/>
          <w:iCs/>
          <w:sz w:val="18"/>
          <w:szCs w:val="18"/>
        </w:rPr>
        <w:t>[a]bsolver consultas sobre la aplicación de normas de carácter general</w:t>
      </w:r>
      <w:r w:rsidR="008D2E9B" w:rsidRPr="003D6465">
        <w:rPr>
          <w:rFonts w:ascii="Arial" w:hAnsi="Arial" w:cs="Arial"/>
          <w:i/>
          <w:iCs/>
          <w:sz w:val="18"/>
          <w:szCs w:val="18"/>
        </w:rPr>
        <w:t>”</w:t>
      </w:r>
      <w:r w:rsidR="008D2E9B" w:rsidRPr="003D6465">
        <w:rPr>
          <w:rFonts w:ascii="Arial" w:hAnsi="Arial" w:cs="Arial"/>
          <w:sz w:val="18"/>
          <w:szCs w:val="18"/>
        </w:rPr>
        <w:t>.</w:t>
      </w:r>
    </w:p>
  </w:footnote>
  <w:footnote w:id="2">
    <w:p w14:paraId="4563724A" w14:textId="77777777" w:rsidR="00531A00" w:rsidRPr="00262D58" w:rsidRDefault="00531A00" w:rsidP="00531A00">
      <w:pPr>
        <w:pStyle w:val="Textonotapie"/>
        <w:ind w:firstLine="708"/>
        <w:jc w:val="both"/>
        <w:rPr>
          <w:rFonts w:ascii="Arial" w:hAnsi="Arial" w:cs="Arial"/>
          <w:sz w:val="16"/>
          <w:szCs w:val="16"/>
        </w:rPr>
      </w:pPr>
      <w:r w:rsidRPr="00262D58">
        <w:rPr>
          <w:rStyle w:val="Refdenotaalpie"/>
          <w:rFonts w:ascii="Arial" w:hAnsi="Arial" w:cs="Arial"/>
          <w:sz w:val="16"/>
          <w:szCs w:val="16"/>
        </w:rPr>
        <w:footnoteRef/>
      </w:r>
      <w:r w:rsidRPr="00262D58">
        <w:rPr>
          <w:rFonts w:ascii="Arial" w:hAnsi="Arial"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262D58">
          <w:rPr>
            <w:rStyle w:val="Hipervnculo"/>
            <w:rFonts w:ascii="Arial" w:hAnsi="Arial" w:cs="Arial"/>
            <w:sz w:val="16"/>
            <w:szCs w:val="16"/>
          </w:rPr>
          <w:t>https://relatoria.colombiacompra.gov.co/busqueda/conceptos</w:t>
        </w:r>
      </w:hyperlink>
      <w:r w:rsidRPr="00262D58">
        <w:rPr>
          <w:rStyle w:val="Hipervnculo"/>
          <w:rFonts w:ascii="Arial" w:hAnsi="Arial" w:cs="Arial"/>
          <w:sz w:val="16"/>
          <w:szCs w:val="16"/>
        </w:rPr>
        <w:t xml:space="preserve">. </w:t>
      </w:r>
      <w:r w:rsidRPr="00262D58">
        <w:rPr>
          <w:rFonts w:ascii="Arial" w:hAnsi="Arial" w:cs="Arial"/>
          <w:sz w:val="16"/>
          <w:szCs w:val="16"/>
          <w:shd w:val="clear" w:color="auto" w:fill="E6E6E6"/>
        </w:rPr>
        <w:t xml:space="preserve"> </w:t>
      </w:r>
    </w:p>
  </w:footnote>
  <w:footnote w:id="3">
    <w:p w14:paraId="2B9C6964" w14:textId="77777777" w:rsidR="00B3235F" w:rsidRPr="00262D58" w:rsidRDefault="00B3235F" w:rsidP="00B3235F">
      <w:pPr>
        <w:pStyle w:val="Textonotapie"/>
        <w:ind w:firstLine="709"/>
        <w:contextualSpacing/>
        <w:jc w:val="both"/>
        <w:rPr>
          <w:rFonts w:ascii="Arial" w:hAnsi="Arial" w:cs="Arial"/>
          <w:sz w:val="16"/>
          <w:szCs w:val="16"/>
        </w:rPr>
      </w:pPr>
      <w:r w:rsidRPr="00262D58">
        <w:rPr>
          <w:rStyle w:val="Refdenotaalpie"/>
          <w:rFonts w:ascii="Arial" w:hAnsi="Arial" w:cs="Arial"/>
          <w:sz w:val="16"/>
          <w:szCs w:val="16"/>
        </w:rPr>
        <w:footnoteRef/>
      </w:r>
      <w:r w:rsidRPr="00262D58">
        <w:rPr>
          <w:rFonts w:ascii="Arial" w:hAnsi="Arial" w:cs="Arial"/>
          <w:sz w:val="16"/>
          <w:szCs w:val="16"/>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2A83E5AA" w14:textId="77777777" w:rsidR="00B3235F" w:rsidRPr="00262D58" w:rsidRDefault="00B3235F" w:rsidP="00B3235F">
      <w:pPr>
        <w:pStyle w:val="Textonotapie"/>
        <w:ind w:firstLine="709"/>
        <w:contextualSpacing/>
        <w:jc w:val="both"/>
        <w:rPr>
          <w:rFonts w:ascii="Arial" w:hAnsi="Arial" w:cs="Arial"/>
          <w:sz w:val="16"/>
          <w:szCs w:val="16"/>
        </w:rPr>
      </w:pPr>
      <w:r w:rsidRPr="00262D58">
        <w:rPr>
          <w:rFonts w:ascii="Arial" w:hAnsi="Arial" w:cs="Arial"/>
          <w:sz w:val="16"/>
          <w:szCs w:val="16"/>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4">
    <w:p w14:paraId="210E7769" w14:textId="77777777" w:rsidR="00B3235F" w:rsidRPr="00262D58" w:rsidRDefault="00B3235F" w:rsidP="00B3235F">
      <w:pPr>
        <w:pStyle w:val="Textonotapie"/>
        <w:ind w:firstLine="709"/>
        <w:contextualSpacing/>
        <w:jc w:val="both"/>
        <w:rPr>
          <w:rFonts w:ascii="Arial" w:hAnsi="Arial" w:cs="Arial"/>
          <w:sz w:val="16"/>
          <w:szCs w:val="16"/>
        </w:rPr>
      </w:pPr>
      <w:r w:rsidRPr="00262D58">
        <w:rPr>
          <w:rStyle w:val="Refdenotaalpie"/>
          <w:rFonts w:ascii="Arial" w:hAnsi="Arial" w:cs="Arial"/>
          <w:sz w:val="16"/>
          <w:szCs w:val="16"/>
        </w:rPr>
        <w:footnoteRef/>
      </w:r>
      <w:r w:rsidRPr="00262D58">
        <w:rPr>
          <w:rFonts w:ascii="Arial" w:hAnsi="Arial" w:cs="Arial"/>
          <w:sz w:val="16"/>
          <w:szCs w:val="16"/>
        </w:rPr>
        <w:t xml:space="preserve"> Gaceta del Congreso de la República No. 71 del 2005.</w:t>
      </w:r>
    </w:p>
  </w:footnote>
  <w:footnote w:id="5">
    <w:p w14:paraId="1CDDD140" w14:textId="34D594B4" w:rsidR="00B3235F" w:rsidRPr="00C744C3" w:rsidRDefault="00B3235F" w:rsidP="00B3235F">
      <w:pPr>
        <w:pStyle w:val="Textonotapie"/>
        <w:ind w:firstLine="709"/>
        <w:contextualSpacing/>
        <w:jc w:val="both"/>
        <w:rPr>
          <w:rFonts w:ascii="Arial" w:hAnsi="Arial" w:cs="Arial"/>
          <w:sz w:val="16"/>
          <w:szCs w:val="16"/>
        </w:rPr>
      </w:pPr>
      <w:r w:rsidRPr="00262D58">
        <w:rPr>
          <w:rStyle w:val="Refdenotaalpie"/>
          <w:rFonts w:ascii="Arial" w:hAnsi="Arial" w:cs="Arial"/>
          <w:sz w:val="16"/>
          <w:szCs w:val="16"/>
        </w:rPr>
        <w:footnoteRef/>
      </w:r>
      <w:r w:rsidRPr="00262D58">
        <w:rPr>
          <w:rFonts w:ascii="Arial" w:hAnsi="Arial" w:cs="Arial"/>
          <w:sz w:val="16"/>
          <w:szCs w:val="16"/>
        </w:rPr>
        <w:t xml:space="preserve"> Corte Constitucional, Sentencia C- 1153 de 2005, M.P. Marco Gerardo Monroy Cabra.</w:t>
      </w:r>
    </w:p>
  </w:footnote>
  <w:footnote w:id="6">
    <w:p w14:paraId="04B136E8" w14:textId="77777777" w:rsidR="00B3235F" w:rsidRPr="00C744C3" w:rsidRDefault="00B3235F" w:rsidP="00B3235F">
      <w:pPr>
        <w:pStyle w:val="Textonotapie"/>
        <w:ind w:firstLine="709"/>
        <w:contextualSpacing/>
        <w:jc w:val="both"/>
        <w:rPr>
          <w:rFonts w:ascii="Arial" w:hAnsi="Arial" w:cs="Arial"/>
          <w:sz w:val="16"/>
          <w:szCs w:val="16"/>
        </w:rPr>
      </w:pPr>
      <w:r w:rsidRPr="00262D58">
        <w:rPr>
          <w:rStyle w:val="Refdenotaalpie"/>
          <w:rFonts w:ascii="Arial" w:hAnsi="Arial" w:cs="Arial"/>
          <w:sz w:val="16"/>
          <w:szCs w:val="16"/>
        </w:rPr>
        <w:footnoteRef/>
      </w:r>
      <w:r w:rsidRPr="00262D58">
        <w:rPr>
          <w:rFonts w:ascii="Arial" w:hAnsi="Arial" w:cs="Arial"/>
          <w:sz w:val="16"/>
          <w:szCs w:val="16"/>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7">
    <w:p w14:paraId="1D940DAB" w14:textId="77777777" w:rsidR="00B3235F" w:rsidRPr="00C744C3" w:rsidRDefault="00B3235F" w:rsidP="00B3235F">
      <w:pPr>
        <w:pStyle w:val="Textonotapie"/>
        <w:ind w:firstLine="709"/>
        <w:contextualSpacing/>
        <w:jc w:val="both"/>
        <w:rPr>
          <w:rFonts w:ascii="Arial" w:hAnsi="Arial" w:cs="Arial"/>
          <w:sz w:val="16"/>
          <w:szCs w:val="16"/>
        </w:rPr>
      </w:pPr>
      <w:r w:rsidRPr="00262D58">
        <w:rPr>
          <w:rStyle w:val="Refdenotaalpie"/>
          <w:rFonts w:ascii="Arial" w:hAnsi="Arial" w:cs="Arial"/>
          <w:sz w:val="16"/>
          <w:szCs w:val="16"/>
        </w:rPr>
        <w:footnoteRef/>
      </w:r>
      <w:r w:rsidRPr="00262D58">
        <w:rPr>
          <w:rFonts w:ascii="Arial" w:hAnsi="Arial" w:cs="Arial"/>
          <w:sz w:val="16"/>
          <w:szCs w:val="16"/>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8">
    <w:p w14:paraId="53DD131D" w14:textId="77777777" w:rsidR="00B3235F" w:rsidRPr="00C744C3" w:rsidRDefault="00B3235F" w:rsidP="00B3235F">
      <w:pPr>
        <w:pStyle w:val="Textonotapie"/>
        <w:ind w:firstLine="709"/>
        <w:contextualSpacing/>
        <w:jc w:val="both"/>
        <w:rPr>
          <w:rFonts w:ascii="Arial" w:hAnsi="Arial" w:cs="Arial"/>
          <w:sz w:val="16"/>
          <w:szCs w:val="16"/>
        </w:rPr>
      </w:pPr>
      <w:r w:rsidRPr="00262D58">
        <w:rPr>
          <w:rStyle w:val="Refdenotaalpie"/>
          <w:rFonts w:ascii="Arial" w:hAnsi="Arial" w:cs="Arial"/>
          <w:sz w:val="16"/>
          <w:szCs w:val="16"/>
        </w:rPr>
        <w:footnoteRef/>
      </w:r>
      <w:r w:rsidRPr="00262D58">
        <w:rPr>
          <w:rFonts w:ascii="Arial" w:hAnsi="Arial" w:cs="Arial"/>
          <w:sz w:val="16"/>
          <w:szCs w:val="16"/>
        </w:rPr>
        <w:t xml:space="preserve"> Consejo de Estado, Sala de Consulta y Servicio Civil de fecha 24 de julio de 2013, radicado 2166, Consejero Ponente: Álvaro Namén Vargas.  </w:t>
      </w:r>
    </w:p>
  </w:footnote>
  <w:footnote w:id="9">
    <w:p w14:paraId="63333000" w14:textId="77777777" w:rsidR="00B3235F" w:rsidRPr="00262D58" w:rsidRDefault="00B3235F" w:rsidP="00B3235F">
      <w:pPr>
        <w:ind w:firstLine="709"/>
        <w:contextualSpacing/>
        <w:jc w:val="both"/>
        <w:rPr>
          <w:rFonts w:ascii="Arial" w:hAnsi="Arial" w:cs="Arial"/>
          <w:sz w:val="16"/>
          <w:szCs w:val="16"/>
        </w:rPr>
      </w:pPr>
      <w:r w:rsidRPr="00262D58">
        <w:rPr>
          <w:rStyle w:val="Refdenotaalpie"/>
          <w:rFonts w:ascii="Arial" w:hAnsi="Arial" w:cs="Arial"/>
          <w:sz w:val="16"/>
          <w:szCs w:val="16"/>
        </w:rPr>
        <w:footnoteRef/>
      </w:r>
      <w:r w:rsidRPr="00262D58">
        <w:rPr>
          <w:rFonts w:ascii="Arial" w:hAnsi="Arial" w:cs="Arial"/>
          <w:sz w:val="16"/>
          <w:szCs w:val="16"/>
        </w:rPr>
        <w:t xml:space="preserve"> </w:t>
      </w:r>
      <w:bookmarkStart w:id="39" w:name="33"/>
      <w:r w:rsidRPr="00262D58">
        <w:rPr>
          <w:rFonts w:ascii="Arial" w:eastAsia="Calibri" w:hAnsi="Arial" w:cs="Arial"/>
          <w:color w:val="000000"/>
          <w:sz w:val="16"/>
          <w:szCs w:val="16"/>
        </w:rPr>
        <w:t>“</w:t>
      </w:r>
      <w:r w:rsidRPr="00262D58">
        <w:rPr>
          <w:rFonts w:ascii="Arial" w:hAnsi="Arial" w:cs="Arial"/>
          <w:sz w:val="16"/>
          <w:szCs w:val="16"/>
        </w:rPr>
        <w:t>Artículo 33. Restricciones a la contratación pública.</w:t>
      </w:r>
      <w:bookmarkEnd w:id="39"/>
      <w:r w:rsidRPr="00262D58">
        <w:rPr>
          <w:rFonts w:ascii="Arial" w:hAnsi="Arial" w:cs="Arial"/>
          <w:sz w:val="16"/>
          <w:szCs w:val="16"/>
        </w:rPr>
        <w:t> Durante los cuatro (4) meses anteriores a la elección presidencial y hasta la realización de la elección en la segunda vuelta, si fuere el caso, queda prohibida la contratación directa por parte de todos los entes del Estado.</w:t>
      </w:r>
    </w:p>
    <w:p w14:paraId="3DC5627E" w14:textId="77777777" w:rsidR="00B3235F" w:rsidRPr="00262D58" w:rsidRDefault="00B3235F" w:rsidP="00B3235F">
      <w:pPr>
        <w:ind w:firstLine="709"/>
        <w:contextualSpacing/>
        <w:jc w:val="both"/>
        <w:rPr>
          <w:rFonts w:ascii="Arial" w:hAnsi="Arial" w:cs="Arial"/>
          <w:sz w:val="16"/>
          <w:szCs w:val="16"/>
        </w:rPr>
      </w:pPr>
      <w:r w:rsidRPr="00262D58">
        <w:rPr>
          <w:rFonts w:ascii="Arial" w:hAnsi="Arial" w:cs="Arial"/>
          <w:sz w:val="16"/>
          <w:szCs w:val="16"/>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262D58">
        <w:rPr>
          <w:rFonts w:ascii="Arial" w:eastAsia="Calibri" w:hAnsi="Arial" w:cs="Arial"/>
          <w:color w:val="000000"/>
          <w:sz w:val="16"/>
          <w:szCs w:val="16"/>
        </w:rPr>
        <w:t>”</w:t>
      </w:r>
      <w:r w:rsidRPr="00262D58">
        <w:rPr>
          <w:rFonts w:ascii="Arial" w:hAnsi="Arial" w:cs="Arial"/>
          <w:sz w:val="16"/>
          <w:szCs w:val="16"/>
        </w:rPr>
        <w:t>.</w:t>
      </w:r>
    </w:p>
  </w:footnote>
  <w:footnote w:id="10">
    <w:p w14:paraId="5860443A" w14:textId="77777777" w:rsidR="00B3235F" w:rsidRPr="00262D58" w:rsidRDefault="00B3235F" w:rsidP="00B3235F">
      <w:pPr>
        <w:pStyle w:val="NormalWeb"/>
        <w:spacing w:before="0" w:beforeAutospacing="0" w:after="0" w:afterAutospacing="0"/>
        <w:ind w:firstLine="709"/>
        <w:contextualSpacing/>
        <w:jc w:val="both"/>
        <w:rPr>
          <w:rFonts w:ascii="Arial" w:hAnsi="Arial" w:cs="Arial"/>
          <w:sz w:val="16"/>
          <w:szCs w:val="16"/>
          <w:lang w:val="es-MX"/>
        </w:rPr>
      </w:pPr>
      <w:r w:rsidRPr="00262D58">
        <w:rPr>
          <w:rStyle w:val="Refdenotaalpie"/>
          <w:rFonts w:ascii="Arial" w:hAnsi="Arial" w:cs="Arial"/>
          <w:sz w:val="16"/>
          <w:szCs w:val="16"/>
        </w:rPr>
        <w:footnoteRef/>
      </w:r>
      <w:r w:rsidRPr="00262D58">
        <w:rPr>
          <w:rFonts w:ascii="Arial" w:hAnsi="Arial" w:cs="Arial"/>
          <w:sz w:val="16"/>
          <w:szCs w:val="16"/>
        </w:rPr>
        <w:t xml:space="preserve"> </w:t>
      </w:r>
      <w:bookmarkStart w:id="40" w:name="38"/>
      <w:r w:rsidRPr="00262D58">
        <w:rPr>
          <w:rFonts w:ascii="Arial" w:eastAsia="Calibri" w:hAnsi="Arial" w:cs="Arial"/>
          <w:color w:val="000000"/>
          <w:sz w:val="16"/>
          <w:szCs w:val="16"/>
        </w:rPr>
        <w:t>“</w:t>
      </w:r>
      <w:r w:rsidRPr="00262D58">
        <w:rPr>
          <w:rFonts w:ascii="Arial" w:hAnsi="Arial" w:cs="Arial"/>
          <w:sz w:val="16"/>
          <w:szCs w:val="16"/>
          <w:lang w:val="es-MX"/>
        </w:rPr>
        <w:t>Artículo 38. Prohibiciones para los servidores públicos. A los empleados del Estado les está prohibido:</w:t>
      </w:r>
      <w:bookmarkEnd w:id="40"/>
    </w:p>
    <w:p w14:paraId="002657B7" w14:textId="77777777" w:rsidR="00B3235F" w:rsidRPr="00262D58" w:rsidRDefault="00B3235F" w:rsidP="00B3235F">
      <w:pPr>
        <w:pStyle w:val="NormalWeb"/>
        <w:spacing w:before="0" w:beforeAutospacing="0" w:after="0" w:afterAutospacing="0"/>
        <w:ind w:firstLine="709"/>
        <w:contextualSpacing/>
        <w:jc w:val="both"/>
        <w:rPr>
          <w:rFonts w:ascii="Arial" w:hAnsi="Arial" w:cs="Arial"/>
          <w:sz w:val="16"/>
          <w:szCs w:val="16"/>
          <w:lang w:val="es-MX"/>
        </w:rPr>
      </w:pPr>
      <w:r w:rsidRPr="00262D58">
        <w:rPr>
          <w:rFonts w:ascii="Arial" w:hAnsi="Arial" w:cs="Arial"/>
          <w:sz w:val="16"/>
          <w:szCs w:val="16"/>
          <w:lang w:val="es-MX"/>
        </w:rPr>
        <w:t>[…]</w:t>
      </w:r>
    </w:p>
    <w:p w14:paraId="59FFB782" w14:textId="77777777" w:rsidR="00B3235F" w:rsidRPr="00262D58" w:rsidRDefault="00B3235F" w:rsidP="00B3235F">
      <w:pPr>
        <w:pStyle w:val="NormalWeb"/>
        <w:spacing w:before="0" w:beforeAutospacing="0" w:after="0" w:afterAutospacing="0"/>
        <w:ind w:firstLine="709"/>
        <w:contextualSpacing/>
        <w:jc w:val="both"/>
        <w:rPr>
          <w:rFonts w:ascii="Arial" w:hAnsi="Arial" w:cs="Arial"/>
          <w:sz w:val="16"/>
          <w:szCs w:val="16"/>
          <w:lang w:val="es-MX"/>
        </w:rPr>
      </w:pPr>
      <w:r w:rsidRPr="00262D58">
        <w:rPr>
          <w:rStyle w:val="baj"/>
          <w:rFonts w:ascii="Arial" w:hAnsi="Arial" w:cs="Arial"/>
          <w:sz w:val="16"/>
          <w:szCs w:val="16"/>
          <w:lang w:val="es-MX"/>
        </w:rPr>
        <w:t>Parágrafo.</w:t>
      </w:r>
      <w:r w:rsidRPr="00262D58">
        <w:rPr>
          <w:rFonts w:ascii="Arial" w:hAnsi="Arial" w:cs="Arial"/>
          <w:sz w:val="16"/>
          <w:szCs w:val="16"/>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262D58">
        <w:rPr>
          <w:rFonts w:ascii="Arial" w:eastAsia="Calibri" w:hAnsi="Arial" w:cs="Arial"/>
          <w:color w:val="000000"/>
          <w:sz w:val="16"/>
          <w:szCs w:val="16"/>
        </w:rPr>
        <w:t>”</w:t>
      </w:r>
      <w:r w:rsidRPr="00262D58">
        <w:rPr>
          <w:rFonts w:ascii="Arial" w:hAnsi="Arial" w:cs="Arial"/>
          <w:sz w:val="16"/>
          <w:szCs w:val="16"/>
          <w:lang w:val="es-MX"/>
        </w:rPr>
        <w:t>.</w:t>
      </w:r>
    </w:p>
  </w:footnote>
  <w:footnote w:id="11">
    <w:p w14:paraId="422FE0A0" w14:textId="77777777" w:rsidR="00B3235F" w:rsidRPr="00262D58" w:rsidRDefault="00B3235F" w:rsidP="00B3235F">
      <w:pPr>
        <w:ind w:left="100" w:right="244" w:firstLine="709"/>
        <w:contextualSpacing/>
        <w:jc w:val="both"/>
        <w:rPr>
          <w:rFonts w:ascii="Arial" w:hAnsi="Arial" w:cs="Arial"/>
          <w:sz w:val="16"/>
          <w:szCs w:val="16"/>
          <w:lang w:val="es-ES"/>
        </w:rPr>
      </w:pPr>
      <w:r w:rsidRPr="00262D58">
        <w:rPr>
          <w:rStyle w:val="Refdenotaalpie"/>
          <w:rFonts w:ascii="Arial" w:hAnsi="Arial" w:cs="Arial"/>
          <w:sz w:val="16"/>
          <w:szCs w:val="16"/>
        </w:rPr>
        <w:footnoteRef/>
      </w:r>
      <w:r w:rsidRPr="00262D58">
        <w:rPr>
          <w:rFonts w:ascii="Arial" w:hAnsi="Arial" w:cs="Arial"/>
          <w:sz w:val="16"/>
          <w:szCs w:val="16"/>
        </w:rPr>
        <w:t xml:space="preserve"> Consejo de Estado. Sala de Consulta y Servicio Civil. Concepto del 17 de febrero de 2015. C.P. William Zambrano Cetina. Radicación No. 11001-03-06-000-2015-00164-00(2269).</w:t>
      </w:r>
    </w:p>
  </w:footnote>
  <w:footnote w:id="12">
    <w:p w14:paraId="32183AF4" w14:textId="77777777" w:rsidR="00822941" w:rsidRPr="00262D58" w:rsidRDefault="00822941" w:rsidP="00822941">
      <w:pPr>
        <w:pStyle w:val="Textonotapie"/>
        <w:ind w:right="51" w:firstLine="709"/>
        <w:contextualSpacing/>
        <w:jc w:val="both"/>
        <w:rPr>
          <w:rFonts w:ascii="Arial" w:hAnsi="Arial" w:cs="Arial"/>
          <w:sz w:val="16"/>
          <w:szCs w:val="16"/>
        </w:rPr>
      </w:pPr>
      <w:r w:rsidRPr="00262D58">
        <w:rPr>
          <w:rStyle w:val="Refdenotaalpie"/>
          <w:rFonts w:ascii="Arial" w:hAnsi="Arial" w:cs="Arial"/>
          <w:sz w:val="16"/>
          <w:szCs w:val="16"/>
        </w:rPr>
        <w:footnoteRef/>
      </w:r>
      <w:r w:rsidRPr="00262D58">
        <w:rPr>
          <w:rFonts w:ascii="Arial" w:hAnsi="Arial" w:cs="Arial"/>
          <w:sz w:val="16"/>
          <w:szCs w:val="16"/>
        </w:rPr>
        <w:t xml:space="preserve"> “</w:t>
      </w:r>
      <w:r w:rsidRPr="00262D58">
        <w:rPr>
          <w:rFonts w:ascii="Arial" w:hAnsi="Arial" w:cs="Arial"/>
          <w:sz w:val="16"/>
          <w:szCs w:val="16"/>
          <w:lang w:val="es-ES"/>
        </w:rPr>
        <w:t xml:space="preserve">[25] </w:t>
      </w:r>
      <w:r w:rsidRPr="00262D58">
        <w:rPr>
          <w:rFonts w:ascii="Arial" w:hAnsi="Arial" w:cs="Arial"/>
          <w:sz w:val="16"/>
          <w:szCs w:val="16"/>
        </w:rPr>
        <w:t>Cfr. Consejo de Estado. Sección Tercera. Sentencia de 3 de diciembre de 2007. Radicados: 24.715, 25.206, 25.409, 24.524, 27.834, 25.410, 26.105, 28.244, 31.447 -acumulados-”.</w:t>
      </w:r>
    </w:p>
  </w:footnote>
  <w:footnote w:id="13">
    <w:p w14:paraId="669A6C85" w14:textId="77777777" w:rsidR="00822941" w:rsidRPr="00262D58" w:rsidRDefault="00822941" w:rsidP="00822941">
      <w:pPr>
        <w:pStyle w:val="Textonotapie"/>
        <w:ind w:right="51" w:firstLine="709"/>
        <w:contextualSpacing/>
        <w:jc w:val="both"/>
        <w:rPr>
          <w:rFonts w:ascii="Arial" w:hAnsi="Arial" w:cs="Arial"/>
          <w:sz w:val="16"/>
          <w:szCs w:val="16"/>
        </w:rPr>
      </w:pPr>
      <w:r w:rsidRPr="00262D58">
        <w:rPr>
          <w:rStyle w:val="Refdenotaalpie"/>
          <w:rFonts w:ascii="Arial" w:hAnsi="Arial" w:cs="Arial"/>
          <w:sz w:val="16"/>
          <w:szCs w:val="16"/>
        </w:rPr>
        <w:footnoteRef/>
      </w:r>
      <w:r w:rsidRPr="00262D58">
        <w:rPr>
          <w:rFonts w:ascii="Arial" w:hAnsi="Arial" w:cs="Arial"/>
          <w:sz w:val="16"/>
          <w:szCs w:val="16"/>
        </w:rPr>
        <w:t xml:space="preserve"> </w:t>
      </w:r>
      <w:bookmarkStart w:id="50" w:name="_Hlk74294506"/>
      <w:r w:rsidRPr="00262D58">
        <w:rPr>
          <w:rFonts w:ascii="Arial" w:hAnsi="Arial" w:cs="Arial"/>
          <w:sz w:val="16"/>
          <w:szCs w:val="16"/>
        </w:rPr>
        <w:t>“</w:t>
      </w:r>
      <w:r w:rsidRPr="00262D58">
        <w:rPr>
          <w:rFonts w:ascii="Arial" w:hAnsi="Arial" w:cs="Arial"/>
          <w:sz w:val="16"/>
          <w:szCs w:val="16"/>
          <w:lang w:val="es-ES"/>
        </w:rPr>
        <w:t xml:space="preserve">[26] </w:t>
      </w:r>
      <w:bookmarkEnd w:id="50"/>
      <w:r w:rsidRPr="00262D58">
        <w:rPr>
          <w:rFonts w:ascii="Arial" w:hAnsi="Arial" w:cs="Arial"/>
          <w:sz w:val="16"/>
          <w:szCs w:val="16"/>
        </w:rPr>
        <w:t>Al respecto ver el concepto 1712 de 2 de febrero de 2006. Consejo de Estado Sala de Consulta y Servicio Civil”.</w:t>
      </w:r>
    </w:p>
  </w:footnote>
  <w:footnote w:id="14">
    <w:p w14:paraId="4D4207E7" w14:textId="77777777" w:rsidR="00822941" w:rsidRPr="00262D58" w:rsidRDefault="00822941" w:rsidP="00822941">
      <w:pPr>
        <w:pStyle w:val="Textonotapie"/>
        <w:ind w:firstLine="709"/>
        <w:contextualSpacing/>
        <w:jc w:val="both"/>
        <w:rPr>
          <w:rFonts w:ascii="Arial" w:hAnsi="Arial" w:cs="Arial"/>
          <w:sz w:val="16"/>
          <w:szCs w:val="16"/>
        </w:rPr>
      </w:pPr>
      <w:r w:rsidRPr="00262D58">
        <w:rPr>
          <w:rStyle w:val="Refdenotaalpie"/>
          <w:rFonts w:ascii="Arial" w:hAnsi="Arial" w:cs="Arial"/>
          <w:sz w:val="16"/>
          <w:szCs w:val="16"/>
        </w:rPr>
        <w:footnoteRef/>
      </w:r>
      <w:r w:rsidRPr="00262D58">
        <w:rPr>
          <w:rFonts w:ascii="Arial" w:hAnsi="Arial" w:cs="Arial"/>
          <w:sz w:val="16"/>
          <w:szCs w:val="16"/>
        </w:rPr>
        <w:t xml:space="preserve"> Consejo de Estado. Sala de Consulta y Servicio Civil. Concepto del 2 de septiembre de 2013. Radicación número: 11001-03-06-000-2013-00412-00 (2168). Consejero Ponente: Álvaro Namén Vargas.</w:t>
      </w:r>
    </w:p>
  </w:footnote>
  <w:footnote w:id="15">
    <w:p w14:paraId="7935FDBC" w14:textId="77777777" w:rsidR="00822941" w:rsidRPr="00262D58" w:rsidRDefault="00822941" w:rsidP="00822941">
      <w:pPr>
        <w:pStyle w:val="Textonotapie"/>
        <w:ind w:firstLine="709"/>
        <w:contextualSpacing/>
        <w:jc w:val="both"/>
        <w:rPr>
          <w:rFonts w:ascii="Arial" w:hAnsi="Arial" w:cs="Arial"/>
          <w:sz w:val="16"/>
          <w:szCs w:val="16"/>
          <w:lang w:val="es-ES"/>
        </w:rPr>
      </w:pPr>
      <w:r w:rsidRPr="00262D58">
        <w:rPr>
          <w:rStyle w:val="Refdenotaalpie"/>
          <w:rFonts w:ascii="Arial" w:hAnsi="Arial" w:cs="Arial"/>
          <w:sz w:val="16"/>
          <w:szCs w:val="16"/>
        </w:rPr>
        <w:footnoteRef/>
      </w:r>
      <w:r w:rsidRPr="00262D58">
        <w:rPr>
          <w:rFonts w:ascii="Arial" w:hAnsi="Arial" w:cs="Arial"/>
          <w:sz w:val="16"/>
          <w:szCs w:val="16"/>
        </w:rPr>
        <w:t xml:space="preserve"> </w:t>
      </w:r>
      <w:r w:rsidRPr="00262D58">
        <w:rPr>
          <w:rFonts w:ascii="Arial" w:hAnsi="Arial" w:cs="Arial"/>
          <w:sz w:val="16"/>
          <w:szCs w:val="16"/>
          <w:lang w:val="es-ES"/>
        </w:rPr>
        <w:t xml:space="preserve">Artículo 2. </w:t>
      </w:r>
    </w:p>
  </w:footnote>
  <w:footnote w:id="16">
    <w:p w14:paraId="275406D1" w14:textId="77777777" w:rsidR="00822941" w:rsidRPr="00262D58" w:rsidRDefault="00822941" w:rsidP="00822941">
      <w:pPr>
        <w:pStyle w:val="Textonotapie"/>
        <w:ind w:firstLine="709"/>
        <w:contextualSpacing/>
        <w:jc w:val="both"/>
        <w:rPr>
          <w:rFonts w:ascii="Arial" w:hAnsi="Arial" w:cs="Arial"/>
          <w:sz w:val="16"/>
          <w:szCs w:val="16"/>
          <w:lang w:val="es-ES"/>
        </w:rPr>
      </w:pPr>
      <w:r w:rsidRPr="00262D58">
        <w:rPr>
          <w:rStyle w:val="Refdenotaalpie"/>
          <w:rFonts w:ascii="Arial" w:hAnsi="Arial" w:cs="Arial"/>
          <w:sz w:val="16"/>
          <w:szCs w:val="16"/>
        </w:rPr>
        <w:footnoteRef/>
      </w:r>
      <w:r w:rsidRPr="00262D58">
        <w:rPr>
          <w:rFonts w:ascii="Arial" w:hAnsi="Arial" w:cs="Arial"/>
          <w:sz w:val="16"/>
          <w:szCs w:val="16"/>
        </w:rPr>
        <w:t xml:space="preserve"> </w:t>
      </w:r>
      <w:r w:rsidRPr="00262D58">
        <w:rPr>
          <w:rFonts w:ascii="Arial" w:hAnsi="Arial" w:cs="Arial"/>
          <w:i/>
          <w:sz w:val="16"/>
          <w:szCs w:val="16"/>
          <w:lang w:val="es-ES"/>
        </w:rPr>
        <w:t>Ídem</w:t>
      </w:r>
      <w:r w:rsidRPr="00262D58">
        <w:rPr>
          <w:rFonts w:ascii="Arial" w:hAnsi="Arial" w:cs="Arial"/>
          <w:sz w:val="16"/>
          <w:szCs w:val="16"/>
          <w:lang w:val="es-ES"/>
        </w:rPr>
        <w:t>.</w:t>
      </w:r>
    </w:p>
  </w:footnote>
  <w:footnote w:id="17">
    <w:p w14:paraId="5D963A98" w14:textId="77777777" w:rsidR="00822941" w:rsidRPr="00262D58" w:rsidRDefault="00822941" w:rsidP="00822941">
      <w:pPr>
        <w:pStyle w:val="Textonotapie"/>
        <w:ind w:firstLine="709"/>
        <w:contextualSpacing/>
        <w:jc w:val="both"/>
        <w:rPr>
          <w:rFonts w:ascii="Arial" w:hAnsi="Arial" w:cs="Arial"/>
          <w:sz w:val="16"/>
          <w:szCs w:val="16"/>
          <w:lang w:val="es-ES"/>
        </w:rPr>
      </w:pPr>
      <w:r w:rsidRPr="00262D58">
        <w:rPr>
          <w:rStyle w:val="Refdenotaalpie"/>
          <w:rFonts w:ascii="Arial" w:hAnsi="Arial" w:cs="Arial"/>
          <w:sz w:val="16"/>
          <w:szCs w:val="16"/>
        </w:rPr>
        <w:footnoteRef/>
      </w:r>
      <w:r w:rsidRPr="00262D58">
        <w:rPr>
          <w:rStyle w:val="Refdenotaalpie"/>
          <w:rFonts w:ascii="Arial" w:hAnsi="Arial" w:cs="Arial"/>
          <w:sz w:val="16"/>
          <w:szCs w:val="16"/>
        </w:rPr>
        <w:t xml:space="preserve"> </w:t>
      </w:r>
      <w:r w:rsidRPr="00262D58">
        <w:rPr>
          <w:rFonts w:ascii="Arial" w:hAnsi="Arial" w:cs="Arial"/>
          <w:sz w:val="16"/>
          <w:szCs w:val="16"/>
          <w:lang w:val="es-ES"/>
        </w:rPr>
        <w:t xml:space="preserve">“[…] A este respecto, cabe recordar que el artículo 860 del Código de Comercio regula la licitación en el derecho privado”. </w:t>
      </w:r>
    </w:p>
  </w:footnote>
  <w:footnote w:id="18">
    <w:p w14:paraId="6752BBAC" w14:textId="77777777" w:rsidR="00822941" w:rsidRPr="00262D58" w:rsidRDefault="00822941" w:rsidP="00822941">
      <w:pPr>
        <w:shd w:val="clear" w:color="auto" w:fill="FFFFFF"/>
        <w:ind w:firstLine="709"/>
        <w:contextualSpacing/>
        <w:jc w:val="both"/>
        <w:rPr>
          <w:rFonts w:ascii="Arial" w:hAnsi="Arial" w:cs="Arial"/>
          <w:sz w:val="16"/>
          <w:szCs w:val="16"/>
          <w:lang w:val="es-ES"/>
        </w:rPr>
      </w:pPr>
      <w:r w:rsidRPr="00262D58">
        <w:rPr>
          <w:rStyle w:val="Refdenotaalpie"/>
          <w:rFonts w:ascii="Arial" w:hAnsi="Arial" w:cs="Arial"/>
          <w:sz w:val="16"/>
          <w:szCs w:val="16"/>
        </w:rPr>
        <w:footnoteRef/>
      </w:r>
      <w:r w:rsidRPr="00262D58">
        <w:rPr>
          <w:rStyle w:val="Refdenotaalpie"/>
          <w:rFonts w:ascii="Arial" w:hAnsi="Arial" w:cs="Arial"/>
          <w:sz w:val="16"/>
          <w:szCs w:val="16"/>
        </w:rPr>
        <w:t xml:space="preserve"> </w:t>
      </w:r>
      <w:r w:rsidRPr="00262D58">
        <w:rPr>
          <w:rFonts w:ascii="Arial" w:hAnsi="Arial" w:cs="Arial"/>
          <w:sz w:val="16"/>
          <w:szCs w:val="16"/>
          <w:lang w:val="es-ES"/>
        </w:rPr>
        <w:t>Consejo de Estado. Sala de Consulta y Servicio Civil, Concepto de 8 de mayo de 2018. Radicación Número: 11001-03-06-000-2018-00095-00(2382). Consejero Ponente: Álvaro Namén Vargas.</w:t>
      </w:r>
    </w:p>
  </w:footnote>
  <w:footnote w:id="19">
    <w:p w14:paraId="6BF6A93F" w14:textId="77777777" w:rsidR="00822941" w:rsidRPr="00262D58" w:rsidRDefault="00822941" w:rsidP="00822941">
      <w:pPr>
        <w:pStyle w:val="Textonotapie"/>
        <w:ind w:firstLine="709"/>
        <w:contextualSpacing/>
        <w:jc w:val="both"/>
        <w:rPr>
          <w:rFonts w:ascii="Arial" w:hAnsi="Arial" w:cs="Arial"/>
          <w:sz w:val="16"/>
          <w:szCs w:val="16"/>
        </w:rPr>
      </w:pPr>
      <w:r w:rsidRPr="00262D58">
        <w:rPr>
          <w:rStyle w:val="Refdenotaalpie"/>
          <w:rFonts w:ascii="Arial" w:hAnsi="Arial" w:cs="Arial"/>
          <w:sz w:val="16"/>
          <w:szCs w:val="16"/>
        </w:rPr>
        <w:footnoteRef/>
      </w:r>
      <w:r w:rsidRPr="00262D58">
        <w:rPr>
          <w:rFonts w:ascii="Arial" w:hAnsi="Arial" w:cs="Arial"/>
          <w:sz w:val="16"/>
          <w:szCs w:val="16"/>
        </w:rPr>
        <w:t xml:space="preserve"> Consejo de Estado. Sala de Consulta y Servicio Civil. Concepto del 08 de mayo de 2018. Exp. 2.382. C.P. Álvaro Namén Vargas.</w:t>
      </w:r>
    </w:p>
  </w:footnote>
  <w:footnote w:id="20">
    <w:p w14:paraId="70C7C813" w14:textId="77777777" w:rsidR="00822941" w:rsidRPr="00262D58" w:rsidRDefault="00822941" w:rsidP="00822941">
      <w:pPr>
        <w:pStyle w:val="Textonotapie"/>
        <w:ind w:firstLine="709"/>
        <w:contextualSpacing/>
        <w:jc w:val="both"/>
        <w:rPr>
          <w:rFonts w:ascii="Arial" w:hAnsi="Arial" w:cs="Arial"/>
          <w:sz w:val="16"/>
          <w:szCs w:val="16"/>
        </w:rPr>
      </w:pPr>
      <w:r w:rsidRPr="00262D58">
        <w:rPr>
          <w:rStyle w:val="Refdenotaalpie"/>
          <w:rFonts w:ascii="Arial" w:hAnsi="Arial" w:cs="Arial"/>
          <w:sz w:val="16"/>
          <w:szCs w:val="16"/>
        </w:rPr>
        <w:footnoteRef/>
      </w:r>
      <w:r w:rsidRPr="00262D58">
        <w:rPr>
          <w:rFonts w:ascii="Arial" w:hAnsi="Arial" w:cs="Arial"/>
          <w:sz w:val="16"/>
          <w:szCs w:val="16"/>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1">
    <w:p w14:paraId="5F101EE3" w14:textId="77777777" w:rsidR="00753978" w:rsidRPr="00262D58" w:rsidRDefault="00753978" w:rsidP="00753978">
      <w:pPr>
        <w:ind w:firstLine="709"/>
        <w:contextualSpacing/>
        <w:jc w:val="both"/>
        <w:rPr>
          <w:rFonts w:ascii="Arial" w:hAnsi="Arial" w:cs="Arial"/>
          <w:sz w:val="16"/>
          <w:szCs w:val="16"/>
        </w:rPr>
      </w:pPr>
      <w:r w:rsidRPr="00262D58">
        <w:rPr>
          <w:rStyle w:val="Refdenotaalpie"/>
          <w:rFonts w:ascii="Arial" w:hAnsi="Arial" w:cs="Arial"/>
          <w:sz w:val="16"/>
          <w:szCs w:val="16"/>
        </w:rPr>
        <w:footnoteRef/>
      </w:r>
      <w:r w:rsidRPr="00262D58">
        <w:rPr>
          <w:rFonts w:ascii="Arial" w:hAnsi="Arial" w:cs="Arial"/>
          <w:sz w:val="16"/>
          <w:szCs w:val="16"/>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2">
    <w:p w14:paraId="087DD8B0" w14:textId="77777777" w:rsidR="00753978" w:rsidRPr="00262D58" w:rsidRDefault="00753978" w:rsidP="00753978">
      <w:pPr>
        <w:pStyle w:val="Textonotapie"/>
        <w:ind w:right="51" w:firstLine="709"/>
        <w:contextualSpacing/>
        <w:jc w:val="both"/>
        <w:rPr>
          <w:rFonts w:ascii="Arial" w:hAnsi="Arial" w:cs="Arial"/>
          <w:sz w:val="16"/>
          <w:szCs w:val="16"/>
        </w:rPr>
      </w:pPr>
      <w:r w:rsidRPr="00262D58">
        <w:rPr>
          <w:rStyle w:val="Refdenotaalpie"/>
          <w:rFonts w:ascii="Arial" w:hAnsi="Arial" w:cs="Arial"/>
          <w:sz w:val="16"/>
          <w:szCs w:val="16"/>
        </w:rPr>
        <w:footnoteRef/>
      </w:r>
      <w:r w:rsidRPr="00262D58">
        <w:rPr>
          <w:rFonts w:ascii="Arial" w:hAnsi="Arial" w:cs="Arial"/>
          <w:sz w:val="16"/>
          <w:szCs w:val="16"/>
        </w:rPr>
        <w:t xml:space="preserve"> </w:t>
      </w:r>
      <w:bookmarkStart w:id="69" w:name="_Hlk75633115"/>
      <w:r w:rsidRPr="00262D58">
        <w:rPr>
          <w:rFonts w:ascii="Arial" w:hAnsi="Arial" w:cs="Arial"/>
          <w:sz w:val="16"/>
          <w:szCs w:val="16"/>
        </w:rPr>
        <w:t xml:space="preserve">Consejo de Estado. Sala de Consulta y Servicio Civil. Concepto </w:t>
      </w:r>
      <w:bookmarkEnd w:id="69"/>
      <w:r w:rsidRPr="00262D58">
        <w:rPr>
          <w:rFonts w:ascii="Arial" w:hAnsi="Arial" w:cs="Arial"/>
          <w:sz w:val="16"/>
          <w:szCs w:val="16"/>
        </w:rPr>
        <w:t>de 6 de abril de 2006. Radicación Número: 11001-03-06-000-2006-00038-00(1738). Consejero Ponente: Enrique José Arboleda Perdomo:</w:t>
      </w:r>
      <w:r w:rsidRPr="00262D58">
        <w:rPr>
          <w:rFonts w:ascii="Arial" w:hAnsi="Arial" w:cs="Arial"/>
          <w:sz w:val="16"/>
          <w:szCs w:val="16"/>
          <w:lang w:eastAsia="x-none"/>
        </w:rPr>
        <w:t xml:space="preserve"> “</w:t>
      </w:r>
      <w:r w:rsidRPr="00262D58">
        <w:rPr>
          <w:rFonts w:ascii="Arial" w:hAnsi="Arial" w:cs="Arial"/>
          <w:sz w:val="16"/>
          <w:szCs w:val="16"/>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262D58">
        <w:rPr>
          <w:rFonts w:ascii="Arial" w:hAnsi="Arial" w:cs="Arial"/>
          <w:sz w:val="16"/>
          <w:szCs w:val="16"/>
          <w:lang w:eastAsia="x-none"/>
        </w:rPr>
        <w:t>”.</w:t>
      </w:r>
    </w:p>
  </w:footnote>
  <w:footnote w:id="23">
    <w:p w14:paraId="5EEE92D4" w14:textId="77777777" w:rsidR="00753978" w:rsidRPr="00262D58" w:rsidRDefault="00753978" w:rsidP="00753978">
      <w:pPr>
        <w:pStyle w:val="Textonotapie"/>
        <w:ind w:right="51" w:firstLine="709"/>
        <w:contextualSpacing/>
        <w:jc w:val="both"/>
        <w:rPr>
          <w:rFonts w:ascii="Arial" w:hAnsi="Arial" w:cs="Arial"/>
          <w:sz w:val="16"/>
          <w:szCs w:val="16"/>
        </w:rPr>
      </w:pPr>
      <w:r w:rsidRPr="00262D58">
        <w:rPr>
          <w:rStyle w:val="Refdenotaalpie"/>
          <w:rFonts w:ascii="Arial" w:hAnsi="Arial" w:cs="Arial"/>
          <w:sz w:val="16"/>
          <w:szCs w:val="16"/>
        </w:rPr>
        <w:footnoteRef/>
      </w:r>
      <w:r w:rsidRPr="00262D58">
        <w:rPr>
          <w:rFonts w:ascii="Arial" w:hAnsi="Arial" w:cs="Arial"/>
          <w:sz w:val="16"/>
          <w:szCs w:val="16"/>
        </w:rPr>
        <w:t xml:space="preserve"> Consejo de Estado. Sala de Consulta y Servicio Civil. Concepto de 6 de abril de 2006. Radicación Número: 11001-03-06-000-2006-00038-00(1738). Consejero Ponente: Enrique José Arboleda Perdomo.</w:t>
      </w:r>
    </w:p>
  </w:footnote>
  <w:footnote w:id="24">
    <w:p w14:paraId="0183C661" w14:textId="77777777" w:rsidR="00753978" w:rsidRPr="00262D58" w:rsidRDefault="00753978" w:rsidP="00753978">
      <w:pPr>
        <w:pStyle w:val="Textonotapie"/>
        <w:ind w:right="51" w:firstLine="709"/>
        <w:contextualSpacing/>
        <w:jc w:val="both"/>
        <w:rPr>
          <w:rFonts w:ascii="Arial" w:hAnsi="Arial" w:cs="Arial"/>
          <w:sz w:val="16"/>
          <w:szCs w:val="16"/>
        </w:rPr>
      </w:pPr>
      <w:r w:rsidRPr="00262D58">
        <w:rPr>
          <w:rStyle w:val="Refdenotaalpie"/>
          <w:rFonts w:ascii="Arial" w:hAnsi="Arial" w:cs="Arial"/>
          <w:sz w:val="16"/>
          <w:szCs w:val="16"/>
        </w:rPr>
        <w:footnoteRef/>
      </w:r>
      <w:r w:rsidRPr="00262D58">
        <w:rPr>
          <w:rFonts w:ascii="Arial" w:hAnsi="Arial" w:cs="Arial"/>
          <w:sz w:val="16"/>
          <w:szCs w:val="16"/>
        </w:rPr>
        <w:t xml:space="preserve"> Consejo de Estado. Sala de Consulta y Servicio Civil, ídem.</w:t>
      </w:r>
    </w:p>
  </w:footnote>
  <w:footnote w:id="25">
    <w:p w14:paraId="7BA86933" w14:textId="77777777" w:rsidR="005173CA" w:rsidRPr="00262D58" w:rsidRDefault="005173CA" w:rsidP="005173CA">
      <w:pPr>
        <w:pStyle w:val="Textonotapie"/>
        <w:ind w:firstLine="709"/>
        <w:contextualSpacing/>
        <w:jc w:val="both"/>
        <w:rPr>
          <w:rFonts w:ascii="Arial" w:hAnsi="Arial" w:cs="Arial"/>
          <w:sz w:val="16"/>
          <w:szCs w:val="16"/>
        </w:rPr>
      </w:pPr>
      <w:r w:rsidRPr="00262D58">
        <w:rPr>
          <w:rStyle w:val="Refdenotaalpie"/>
          <w:rFonts w:ascii="Arial" w:hAnsi="Arial" w:cs="Arial"/>
          <w:sz w:val="16"/>
          <w:szCs w:val="16"/>
        </w:rPr>
        <w:footnoteRef/>
      </w:r>
      <w:r w:rsidRPr="00262D58">
        <w:rPr>
          <w:rFonts w:ascii="Arial" w:hAnsi="Arial" w:cs="Arial"/>
          <w:sz w:val="16"/>
          <w:szCs w:val="16"/>
        </w:rPr>
        <w:t xml:space="preserve"> Consejo de Estado. Sala de Consulta y Servicio Civil. Concepto de 20 de febrero de2006. Radicación 11001-03-06-000-2006-00023-00(1724). Consejero Ponente: Flavio Augusto Rodríguez Arce.</w:t>
      </w:r>
    </w:p>
  </w:footnote>
  <w:footnote w:id="26">
    <w:p w14:paraId="06D8D3EC" w14:textId="77777777" w:rsidR="005173CA" w:rsidRPr="00262D58" w:rsidRDefault="005173CA" w:rsidP="005173CA">
      <w:pPr>
        <w:ind w:firstLine="709"/>
        <w:contextualSpacing/>
        <w:jc w:val="both"/>
        <w:rPr>
          <w:rFonts w:ascii="Arial" w:hAnsi="Arial" w:cs="Arial"/>
          <w:sz w:val="16"/>
          <w:szCs w:val="16"/>
        </w:rPr>
      </w:pPr>
      <w:r w:rsidRPr="00262D58">
        <w:rPr>
          <w:rStyle w:val="Refdenotaalpie"/>
          <w:rFonts w:ascii="Arial" w:hAnsi="Arial" w:cs="Arial"/>
          <w:sz w:val="16"/>
          <w:szCs w:val="16"/>
        </w:rPr>
        <w:footnoteRef/>
      </w:r>
      <w:r w:rsidRPr="00262D58">
        <w:rPr>
          <w:rFonts w:ascii="Arial" w:hAnsi="Arial" w:cs="Arial"/>
          <w:sz w:val="16"/>
          <w:szCs w:val="16"/>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4746CB18" w14:textId="77777777" w:rsidR="005173CA" w:rsidRPr="00262D58" w:rsidRDefault="005173CA" w:rsidP="005173CA">
      <w:pPr>
        <w:ind w:firstLine="709"/>
        <w:contextualSpacing/>
        <w:jc w:val="both"/>
        <w:rPr>
          <w:rFonts w:ascii="Arial" w:hAnsi="Arial" w:cs="Arial"/>
          <w:sz w:val="16"/>
          <w:szCs w:val="16"/>
        </w:rPr>
      </w:pPr>
      <w:r w:rsidRPr="00262D58">
        <w:rPr>
          <w:rFonts w:ascii="Arial" w:hAnsi="Arial" w:cs="Arial"/>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262D58">
        <w:rPr>
          <w:rFonts w:ascii="Arial" w:hAnsi="Arial" w:cs="Arial"/>
          <w:spacing w:val="-1"/>
          <w:sz w:val="16"/>
          <w:szCs w:val="16"/>
        </w:rPr>
        <w:t xml:space="preserve"> </w:t>
      </w:r>
      <w:r w:rsidRPr="00262D58">
        <w:rPr>
          <w:rFonts w:ascii="Arial" w:hAnsi="Arial" w:cs="Arial"/>
          <w:sz w:val="16"/>
          <w:szCs w:val="16"/>
        </w:rPr>
        <w:t>Estatales”.</w:t>
      </w:r>
    </w:p>
  </w:footnote>
  <w:footnote w:id="27">
    <w:p w14:paraId="01EA20B4" w14:textId="77777777" w:rsidR="005173CA" w:rsidRPr="00262D58" w:rsidRDefault="005173CA" w:rsidP="005173CA">
      <w:pPr>
        <w:ind w:firstLine="709"/>
        <w:contextualSpacing/>
        <w:jc w:val="both"/>
        <w:rPr>
          <w:rFonts w:ascii="Arial" w:hAnsi="Arial" w:cs="Arial"/>
          <w:sz w:val="16"/>
          <w:szCs w:val="16"/>
        </w:rPr>
      </w:pPr>
      <w:r w:rsidRPr="00262D58">
        <w:rPr>
          <w:rStyle w:val="Refdenotaalpie"/>
          <w:rFonts w:ascii="Arial" w:hAnsi="Arial" w:cs="Arial"/>
          <w:sz w:val="16"/>
          <w:szCs w:val="16"/>
        </w:rPr>
        <w:footnoteRef/>
      </w:r>
      <w:r w:rsidRPr="00262D58">
        <w:rPr>
          <w:rFonts w:ascii="Arial" w:hAnsi="Arial" w:cs="Arial"/>
          <w:sz w:val="16"/>
          <w:szCs w:val="16"/>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262D58">
        <w:rPr>
          <w:rFonts w:ascii="Arial" w:hAnsi="Arial" w:cs="Arial"/>
          <w:spacing w:val="-6"/>
          <w:sz w:val="16"/>
          <w:szCs w:val="16"/>
        </w:rPr>
        <w:t xml:space="preserve"> </w:t>
      </w:r>
      <w:r w:rsidRPr="00262D58">
        <w:rPr>
          <w:rFonts w:ascii="Arial" w:hAnsi="Arial" w:cs="Arial"/>
          <w:sz w:val="16"/>
          <w:szCs w:val="16"/>
        </w:rPr>
        <w:t>artículo”.</w:t>
      </w:r>
    </w:p>
  </w:footnote>
  <w:footnote w:id="28">
    <w:p w14:paraId="0DF549B9" w14:textId="77777777" w:rsidR="005173CA" w:rsidRPr="00262D58" w:rsidRDefault="005173CA" w:rsidP="005173CA">
      <w:pPr>
        <w:ind w:right="454" w:firstLine="709"/>
        <w:contextualSpacing/>
        <w:jc w:val="both"/>
        <w:rPr>
          <w:rFonts w:ascii="Arial" w:hAnsi="Arial" w:cs="Arial"/>
          <w:sz w:val="16"/>
          <w:szCs w:val="16"/>
        </w:rPr>
      </w:pPr>
      <w:r w:rsidRPr="00262D58">
        <w:rPr>
          <w:rStyle w:val="Refdenotaalpie"/>
          <w:rFonts w:ascii="Arial" w:hAnsi="Arial" w:cs="Arial"/>
          <w:sz w:val="16"/>
          <w:szCs w:val="16"/>
        </w:rPr>
        <w:footnoteRef/>
      </w:r>
      <w:r w:rsidRPr="00262D58">
        <w:rPr>
          <w:rFonts w:ascii="Arial" w:hAnsi="Arial" w:cs="Arial"/>
          <w:position w:val="7"/>
          <w:sz w:val="16"/>
          <w:szCs w:val="16"/>
        </w:rPr>
        <w:t xml:space="preserve"> </w:t>
      </w:r>
      <w:r w:rsidRPr="00262D58">
        <w:rPr>
          <w:rFonts w:ascii="Arial" w:hAnsi="Arial" w:cs="Arial"/>
          <w:sz w:val="16"/>
          <w:szCs w:val="16"/>
        </w:rPr>
        <w:t>Consejo de Estado. Sección Tercera. Sentencia del 23 de junio de 2010. Radicación No. 66001-23-31-000-1998-00261-01(17.860). Consejero Ponente: Mauricio Fajardo Gómez.</w:t>
      </w:r>
    </w:p>
  </w:footnote>
  <w:footnote w:id="29">
    <w:p w14:paraId="1619F7C2" w14:textId="77777777" w:rsidR="005173CA" w:rsidRPr="00262D58" w:rsidRDefault="005173CA" w:rsidP="005173CA">
      <w:pPr>
        <w:ind w:firstLine="709"/>
        <w:contextualSpacing/>
        <w:jc w:val="both"/>
        <w:rPr>
          <w:rFonts w:ascii="Arial" w:hAnsi="Arial" w:cs="Arial"/>
          <w:sz w:val="16"/>
          <w:szCs w:val="16"/>
        </w:rPr>
      </w:pPr>
      <w:r w:rsidRPr="00262D58">
        <w:rPr>
          <w:rStyle w:val="Refdenotaalpie"/>
          <w:rFonts w:ascii="Arial" w:hAnsi="Arial" w:cs="Arial"/>
          <w:sz w:val="16"/>
          <w:szCs w:val="16"/>
        </w:rPr>
        <w:footnoteRef/>
      </w:r>
      <w:r w:rsidRPr="00262D58">
        <w:rPr>
          <w:rFonts w:ascii="Arial" w:hAnsi="Arial" w:cs="Arial"/>
          <w:sz w:val="16"/>
          <w:szCs w:val="16"/>
        </w:rPr>
        <w:t xml:space="preserve"> Consejo de Estado. Sección Tercera. Subsección C. Sentencia del 11 de diciembre de 2019. Exp. 46.986. C.P. Jaime Enrique Rodríguez Navas.</w:t>
      </w:r>
    </w:p>
  </w:footnote>
  <w:footnote w:id="30">
    <w:p w14:paraId="7D4284C5" w14:textId="77777777" w:rsidR="005173CA" w:rsidRPr="00262D58" w:rsidRDefault="005173CA" w:rsidP="005173CA">
      <w:pPr>
        <w:pStyle w:val="Textonotapie"/>
        <w:ind w:firstLine="708"/>
        <w:contextualSpacing/>
        <w:jc w:val="both"/>
        <w:rPr>
          <w:rFonts w:ascii="Arial" w:hAnsi="Arial" w:cs="Arial"/>
          <w:sz w:val="16"/>
          <w:szCs w:val="16"/>
        </w:rPr>
      </w:pPr>
      <w:r w:rsidRPr="00262D58">
        <w:rPr>
          <w:rStyle w:val="Refdenotaalpie"/>
          <w:rFonts w:ascii="Arial" w:hAnsi="Arial" w:cs="Arial"/>
          <w:sz w:val="16"/>
          <w:szCs w:val="16"/>
        </w:rPr>
        <w:footnoteRef/>
      </w:r>
      <w:r w:rsidRPr="00262D58">
        <w:rPr>
          <w:rFonts w:ascii="Arial" w:hAnsi="Arial" w:cs="Arial"/>
          <w:sz w:val="16"/>
          <w:szCs w:val="16"/>
        </w:rPr>
        <w:t xml:space="preserve"> [Referencia propia de la cita] “CE. SCSC. Concepto de 1 de noviembre de 2016 [Rad. 11001-03-06-000-2016-00125-00(2305)]. MP. Germán Alberto Bula Escobar”.</w:t>
      </w:r>
    </w:p>
  </w:footnote>
  <w:footnote w:id="31">
    <w:p w14:paraId="7BEC7BB7" w14:textId="77777777" w:rsidR="005173CA" w:rsidRPr="00262D58" w:rsidRDefault="005173CA" w:rsidP="005173CA">
      <w:pPr>
        <w:pStyle w:val="Textonotapie"/>
        <w:ind w:firstLine="708"/>
        <w:contextualSpacing/>
        <w:jc w:val="both"/>
        <w:rPr>
          <w:rFonts w:ascii="Arial" w:hAnsi="Arial" w:cs="Arial"/>
          <w:sz w:val="16"/>
          <w:szCs w:val="16"/>
        </w:rPr>
      </w:pPr>
      <w:r w:rsidRPr="00262D58">
        <w:rPr>
          <w:rStyle w:val="Refdenotaalpie"/>
          <w:rFonts w:ascii="Arial" w:hAnsi="Arial" w:cs="Arial"/>
          <w:sz w:val="16"/>
          <w:szCs w:val="16"/>
        </w:rPr>
        <w:footnoteRef/>
      </w:r>
      <w:r w:rsidRPr="00262D58">
        <w:rPr>
          <w:rFonts w:ascii="Arial" w:hAnsi="Arial" w:cs="Arial"/>
          <w:sz w:val="16"/>
          <w:szCs w:val="16"/>
        </w:rPr>
        <w:t xml:space="preserve"> [Referencia propia de la cita] “CE. SCSC. Concepto de 30 de abril de 2008 [Rad. 11001-03-06-000-2008-00013-00(1881)]. MP. Enrique José Arboleda Perdomo. En esta oportunidad, la Sala indicó que el contenido </w:t>
      </w:r>
      <w:r w:rsidRPr="00262D58">
        <w:rPr>
          <w:rFonts w:ascii="Arial" w:hAnsi="Arial" w:cs="Arial"/>
          <w:i/>
          <w:sz w:val="16"/>
          <w:szCs w:val="16"/>
        </w:rPr>
        <w:t>“obligacional”</w:t>
      </w:r>
      <w:r w:rsidRPr="00262D58">
        <w:rPr>
          <w:rFonts w:ascii="Arial" w:hAnsi="Arial" w:cs="Arial"/>
          <w:sz w:val="16"/>
          <w:szCs w:val="16"/>
        </w:rPr>
        <w:t xml:space="preserve"> de los convenios se estructura definiendo el resultado querido por las partes y los medios que cada entidad despliega para la obtención del respectivo objeto”.</w:t>
      </w:r>
    </w:p>
  </w:footnote>
  <w:footnote w:id="32">
    <w:p w14:paraId="3A5308F4" w14:textId="77777777" w:rsidR="005173CA" w:rsidRPr="003746C1" w:rsidRDefault="005173CA" w:rsidP="005173CA">
      <w:pPr>
        <w:pStyle w:val="Textonotapie"/>
        <w:ind w:firstLine="708"/>
        <w:contextualSpacing/>
        <w:jc w:val="both"/>
        <w:rPr>
          <w:rFonts w:ascii="Arial" w:hAnsi="Arial" w:cs="Arial"/>
          <w:sz w:val="16"/>
          <w:szCs w:val="16"/>
        </w:rPr>
      </w:pPr>
      <w:r w:rsidRPr="00262D58">
        <w:rPr>
          <w:rStyle w:val="Refdenotaalpie"/>
          <w:rFonts w:ascii="Arial" w:hAnsi="Arial" w:cs="Arial"/>
          <w:sz w:val="16"/>
          <w:szCs w:val="16"/>
        </w:rPr>
        <w:footnoteRef/>
      </w:r>
      <w:r w:rsidRPr="00262D58">
        <w:rPr>
          <w:rFonts w:ascii="Arial" w:hAnsi="Arial" w:cs="Arial"/>
          <w:sz w:val="16"/>
          <w:szCs w:val="16"/>
        </w:rPr>
        <w:t xml:space="preserve"> [Referencia </w:t>
      </w:r>
      <w:r w:rsidRPr="003746C1">
        <w:rPr>
          <w:rFonts w:ascii="Arial" w:hAnsi="Arial" w:cs="Arial"/>
          <w:sz w:val="16"/>
          <w:szCs w:val="16"/>
        </w:rPr>
        <w:t xml:space="preserve">propia de la cita] “La normativa vigente del EGCAP </w:t>
      </w:r>
      <w:r w:rsidRPr="003746C1">
        <w:rPr>
          <w:rFonts w:ascii="Arial" w:hAnsi="Arial" w:cs="Arial"/>
          <w:i/>
          <w:sz w:val="16"/>
          <w:szCs w:val="16"/>
        </w:rPr>
        <w:t>[literal c) del numeral 4. del artículo 2 de la Ley 1150/07]</w:t>
      </w:r>
      <w:r w:rsidRPr="003746C1">
        <w:rPr>
          <w:rFonts w:ascii="Arial" w:hAnsi="Arial" w:cs="Arial"/>
          <w:sz w:val="16"/>
          <w:szCs w:val="16"/>
        </w:rPr>
        <w:t xml:space="preserve"> se refiere a </w:t>
      </w:r>
      <w:r w:rsidRPr="003746C1">
        <w:rPr>
          <w:rFonts w:ascii="Arial" w:hAnsi="Arial" w:cs="Arial"/>
          <w:i/>
          <w:sz w:val="16"/>
          <w:szCs w:val="16"/>
        </w:rPr>
        <w:t>“contratos interadministrativos”</w:t>
      </w:r>
      <w:r w:rsidRPr="003746C1">
        <w:rPr>
          <w:rFonts w:ascii="Arial" w:hAnsi="Arial" w:cs="Arial"/>
          <w:sz w:val="16"/>
          <w:szCs w:val="16"/>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3">
    <w:p w14:paraId="1E8B3AA8" w14:textId="77777777" w:rsidR="005173CA" w:rsidRPr="003746C1" w:rsidRDefault="005173CA" w:rsidP="005173CA">
      <w:pPr>
        <w:pStyle w:val="Textonotapie"/>
        <w:ind w:firstLine="708"/>
        <w:contextualSpacing/>
        <w:jc w:val="both"/>
        <w:rPr>
          <w:rFonts w:ascii="Arial" w:hAnsi="Arial" w:cs="Arial"/>
          <w:sz w:val="16"/>
          <w:szCs w:val="16"/>
        </w:rPr>
      </w:pPr>
      <w:r w:rsidRPr="003746C1">
        <w:rPr>
          <w:rStyle w:val="Refdenotaalpie"/>
          <w:rFonts w:ascii="Arial" w:hAnsi="Arial" w:cs="Arial"/>
          <w:sz w:val="16"/>
          <w:szCs w:val="16"/>
        </w:rPr>
        <w:footnoteRef/>
      </w:r>
      <w:r w:rsidRPr="003746C1">
        <w:rPr>
          <w:rFonts w:ascii="Arial" w:hAnsi="Arial" w:cs="Arial"/>
          <w:sz w:val="16"/>
          <w:szCs w:val="16"/>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footnote>
  <w:footnote w:id="34">
    <w:p w14:paraId="5E55F37B" w14:textId="77777777" w:rsidR="005173CA" w:rsidRPr="003746C1" w:rsidRDefault="005173CA" w:rsidP="005173CA">
      <w:pPr>
        <w:pStyle w:val="Textonotapie"/>
        <w:ind w:firstLine="708"/>
        <w:contextualSpacing/>
        <w:jc w:val="both"/>
        <w:rPr>
          <w:rFonts w:ascii="Arial" w:hAnsi="Arial" w:cs="Arial"/>
          <w:sz w:val="16"/>
          <w:szCs w:val="16"/>
        </w:rPr>
      </w:pPr>
      <w:r w:rsidRPr="003746C1">
        <w:rPr>
          <w:rStyle w:val="Refdenotaalpie"/>
          <w:rFonts w:ascii="Arial" w:hAnsi="Arial" w:cs="Arial"/>
          <w:sz w:val="16"/>
          <w:szCs w:val="16"/>
        </w:rPr>
        <w:footnoteRef/>
      </w:r>
      <w:r w:rsidRPr="003746C1">
        <w:rPr>
          <w:rFonts w:ascii="Arial" w:hAnsi="Arial" w:cs="Arial"/>
          <w:sz w:val="16"/>
          <w:szCs w:val="16"/>
        </w:rPr>
        <w:t xml:space="preserve"> Es lo que sucede, por ejemplo, con el Decreto 092 de 2017, que en su desarrollo hace referencia tanto a los “contratos” como a los “convenios”. </w:t>
      </w:r>
    </w:p>
  </w:footnote>
  <w:footnote w:id="35">
    <w:p w14:paraId="226A9538" w14:textId="77777777" w:rsidR="005173CA" w:rsidRPr="003746C1" w:rsidRDefault="005173CA" w:rsidP="005173CA">
      <w:pPr>
        <w:pStyle w:val="Textonotapie"/>
        <w:ind w:firstLine="708"/>
        <w:contextualSpacing/>
        <w:jc w:val="both"/>
        <w:rPr>
          <w:rFonts w:ascii="Arial" w:hAnsi="Arial" w:cs="Arial"/>
          <w:sz w:val="16"/>
          <w:szCs w:val="16"/>
        </w:rPr>
      </w:pPr>
      <w:r w:rsidRPr="003746C1">
        <w:rPr>
          <w:rStyle w:val="Refdenotaalpie"/>
          <w:rFonts w:ascii="Arial" w:hAnsi="Arial" w:cs="Arial"/>
          <w:sz w:val="16"/>
          <w:szCs w:val="16"/>
        </w:rPr>
        <w:footnoteRef/>
      </w:r>
      <w:r w:rsidRPr="003746C1">
        <w:rPr>
          <w:rFonts w:ascii="Arial" w:hAnsi="Arial" w:cs="Arial"/>
          <w:sz w:val="16"/>
          <w:szCs w:val="16"/>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6">
    <w:p w14:paraId="6DEB4F85" w14:textId="77777777" w:rsidR="005173CA" w:rsidRPr="002E2018" w:rsidRDefault="005173CA" w:rsidP="005173CA">
      <w:pPr>
        <w:pStyle w:val="Textonotapie"/>
        <w:ind w:firstLine="709"/>
        <w:contextualSpacing/>
        <w:jc w:val="both"/>
        <w:rPr>
          <w:rFonts w:ascii="Arial" w:hAnsi="Arial" w:cs="Arial"/>
          <w:sz w:val="16"/>
          <w:szCs w:val="16"/>
        </w:rPr>
      </w:pPr>
      <w:r w:rsidRPr="002E2018">
        <w:rPr>
          <w:rStyle w:val="Refdenotaalpie"/>
          <w:rFonts w:ascii="Arial" w:hAnsi="Arial" w:cs="Arial"/>
          <w:sz w:val="16"/>
          <w:szCs w:val="16"/>
        </w:rPr>
        <w:footnoteRef/>
      </w:r>
      <w:r w:rsidRPr="002E2018">
        <w:rPr>
          <w:rFonts w:ascii="Arial" w:hAnsi="Arial" w:cs="Arial"/>
          <w:sz w:val="16"/>
          <w:szCs w:val="16"/>
        </w:rPr>
        <w:t xml:space="preserve"> Consejo de Estado. Sala de Consulta y Servicio Civil. Concepto del 15 de noviembre de 2007. Expediente número 1863. Consejero Ponente: Luis Fernando Álvarez Jaramillo.</w:t>
      </w:r>
    </w:p>
  </w:footnote>
  <w:footnote w:id="37">
    <w:p w14:paraId="4678CCA6" w14:textId="099E0002" w:rsidR="007343A0" w:rsidRPr="002E2018" w:rsidRDefault="00F97310" w:rsidP="007343A0">
      <w:pPr>
        <w:pStyle w:val="Textonotapie"/>
        <w:jc w:val="both"/>
        <w:rPr>
          <w:rFonts w:ascii="Arial" w:hAnsi="Arial" w:cs="Arial"/>
          <w:sz w:val="16"/>
          <w:szCs w:val="16"/>
        </w:rPr>
      </w:pPr>
      <w:r w:rsidRPr="002E2018">
        <w:rPr>
          <w:rFonts w:ascii="Arial" w:hAnsi="Arial" w:cs="Arial"/>
          <w:sz w:val="16"/>
          <w:szCs w:val="16"/>
        </w:rPr>
        <w:tab/>
      </w:r>
      <w:r w:rsidR="007343A0" w:rsidRPr="002E2018">
        <w:rPr>
          <w:rStyle w:val="Refdenotaalpie"/>
          <w:rFonts w:ascii="Arial" w:hAnsi="Arial" w:cs="Arial"/>
          <w:sz w:val="16"/>
          <w:szCs w:val="16"/>
        </w:rPr>
        <w:footnoteRef/>
      </w:r>
      <w:r w:rsidR="007343A0" w:rsidRPr="002E2018">
        <w:rPr>
          <w:rFonts w:ascii="Arial" w:hAnsi="Arial" w:cs="Arial"/>
          <w:sz w:val="16"/>
          <w:szCs w:val="16"/>
        </w:rPr>
        <w:t xml:space="preserve"> Cfr. Sentencias C-578 de 1999 y C-035 de 2016 de la Corte Constitucional.</w:t>
      </w:r>
    </w:p>
  </w:footnote>
  <w:footnote w:id="38">
    <w:p w14:paraId="6ADB6C51" w14:textId="3441FC2C" w:rsidR="005130E4" w:rsidRPr="002E2018" w:rsidRDefault="003746C1" w:rsidP="005130E4">
      <w:pPr>
        <w:pStyle w:val="Textonotapie"/>
        <w:jc w:val="both"/>
        <w:rPr>
          <w:rFonts w:ascii="Arial" w:hAnsi="Arial" w:cs="Arial"/>
          <w:sz w:val="16"/>
          <w:szCs w:val="16"/>
        </w:rPr>
      </w:pPr>
      <w:r w:rsidRPr="002E2018">
        <w:rPr>
          <w:rFonts w:ascii="Arial" w:hAnsi="Arial" w:cs="Arial"/>
          <w:sz w:val="16"/>
          <w:szCs w:val="16"/>
        </w:rPr>
        <w:tab/>
      </w:r>
      <w:r w:rsidR="005130E4" w:rsidRPr="002E2018">
        <w:rPr>
          <w:rStyle w:val="Refdenotaalpie"/>
          <w:rFonts w:ascii="Arial" w:hAnsi="Arial" w:cs="Arial"/>
          <w:sz w:val="16"/>
          <w:szCs w:val="16"/>
        </w:rPr>
        <w:footnoteRef/>
      </w:r>
      <w:r w:rsidR="005130E4" w:rsidRPr="002E2018">
        <w:rPr>
          <w:rFonts w:ascii="Arial" w:hAnsi="Arial" w:cs="Arial"/>
          <w:sz w:val="16"/>
          <w:szCs w:val="16"/>
        </w:rPr>
        <w:t xml:space="preserve"> Cfr. Sentencia T-123 de 2009 de la Corte Constitucional.</w:t>
      </w:r>
    </w:p>
  </w:footnote>
  <w:footnote w:id="39">
    <w:p w14:paraId="4B5B19FB" w14:textId="1FBA7CE8" w:rsidR="002E2018" w:rsidRDefault="002E2018">
      <w:pPr>
        <w:pStyle w:val="Textonotapie"/>
      </w:pPr>
      <w:r w:rsidRPr="002E2018">
        <w:rPr>
          <w:rFonts w:ascii="Arial" w:hAnsi="Arial" w:cs="Arial"/>
          <w:sz w:val="16"/>
          <w:szCs w:val="16"/>
        </w:rPr>
        <w:tab/>
      </w:r>
      <w:r w:rsidRPr="002E2018">
        <w:rPr>
          <w:rStyle w:val="Refdenotaalpie"/>
          <w:rFonts w:ascii="Arial" w:hAnsi="Arial" w:cs="Arial"/>
          <w:sz w:val="16"/>
          <w:szCs w:val="16"/>
        </w:rPr>
        <w:footnoteRef/>
      </w:r>
      <w:r w:rsidRPr="002E2018">
        <w:rPr>
          <w:rFonts w:ascii="Arial" w:hAnsi="Arial" w:cs="Arial"/>
          <w:sz w:val="16"/>
          <w:szCs w:val="16"/>
        </w:rPr>
        <w:t xml:space="preserve"> Cfr. Artículo 2</w:t>
      </w:r>
      <w:r>
        <w:rPr>
          <w:rFonts w:ascii="Arial" w:hAnsi="Arial" w:cs="Arial"/>
          <w:sz w:val="16"/>
          <w:szCs w:val="16"/>
        </w:rPr>
        <w:t>3</w:t>
      </w:r>
      <w:r w:rsidRPr="002E2018">
        <w:rPr>
          <w:rFonts w:ascii="Arial" w:hAnsi="Arial" w:cs="Arial"/>
          <w:sz w:val="16"/>
          <w:szCs w:val="16"/>
        </w:rPr>
        <w:t xml:space="preserve"> de la Ley 99 de 1993.</w:t>
      </w:r>
    </w:p>
  </w:footnote>
  <w:footnote w:id="40">
    <w:p w14:paraId="3DEB8257" w14:textId="2DD34F27" w:rsidR="00A87B89" w:rsidRDefault="00A87B89">
      <w:pPr>
        <w:pStyle w:val="Textonotapie"/>
      </w:pPr>
      <w:r>
        <w:tab/>
      </w:r>
      <w:r>
        <w:rPr>
          <w:rStyle w:val="Refdenotaalpie"/>
        </w:rPr>
        <w:footnoteRef/>
      </w:r>
      <w:r>
        <w:t xml:space="preserve"> Sentencia C-689 de 2011, M.P. Luis Ernesto Vargas Silva.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D711" w14:textId="77617239" w:rsidR="004A1847" w:rsidRDefault="004A1847">
    <w:pPr>
      <w:pStyle w:val="Encabezado"/>
    </w:pPr>
    <w:r>
      <w:rPr>
        <w:noProof/>
      </w:rPr>
      <w:drawing>
        <wp:anchor distT="0" distB="0" distL="114300" distR="114300" simplePos="0" relativeHeight="251658240" behindDoc="0" locked="0" layoutInCell="1" allowOverlap="1" wp14:anchorId="392843FB" wp14:editId="567E39B0">
          <wp:simplePos x="0" y="0"/>
          <wp:positionH relativeFrom="margin">
            <wp:align>right</wp:align>
          </wp:positionH>
          <wp:positionV relativeFrom="paragraph">
            <wp:posOffset>-233883</wp:posOffset>
          </wp:positionV>
          <wp:extent cx="1688592" cy="701040"/>
          <wp:effectExtent l="0" t="0" r="6985" b="3810"/>
          <wp:wrapNone/>
          <wp:docPr id="1894654915" name="Imagen 189465491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FBA240D"/>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0426F1F"/>
    <w:multiLevelType w:val="hybridMultilevel"/>
    <w:tmpl w:val="FFFFFFFF"/>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6" w15:restartNumberingAfterBreak="0">
    <w:nsid w:val="4A4450DC"/>
    <w:multiLevelType w:val="hybridMultilevel"/>
    <w:tmpl w:val="450C3B6E"/>
    <w:lvl w:ilvl="0" w:tplc="645A4624">
      <w:start w:val="1"/>
      <w:numFmt w:val="decimal"/>
      <w:lvlText w:val="%1."/>
      <w:lvlJc w:val="left"/>
      <w:pPr>
        <w:tabs>
          <w:tab w:val="num" w:pos="1670"/>
        </w:tabs>
        <w:ind w:left="1670" w:hanging="360"/>
      </w:pPr>
      <w:rPr>
        <w:rFonts w:hint="default"/>
      </w:rPr>
    </w:lvl>
    <w:lvl w:ilvl="1" w:tplc="0C0A0019" w:tentative="1">
      <w:start w:val="1"/>
      <w:numFmt w:val="lowerLetter"/>
      <w:lvlText w:val="%2."/>
      <w:lvlJc w:val="left"/>
      <w:pPr>
        <w:tabs>
          <w:tab w:val="num" w:pos="2390"/>
        </w:tabs>
        <w:ind w:left="2390" w:hanging="360"/>
      </w:pPr>
    </w:lvl>
    <w:lvl w:ilvl="2" w:tplc="0C0A001B" w:tentative="1">
      <w:start w:val="1"/>
      <w:numFmt w:val="lowerRoman"/>
      <w:lvlText w:val="%3."/>
      <w:lvlJc w:val="right"/>
      <w:pPr>
        <w:tabs>
          <w:tab w:val="num" w:pos="3110"/>
        </w:tabs>
        <w:ind w:left="3110" w:hanging="180"/>
      </w:pPr>
    </w:lvl>
    <w:lvl w:ilvl="3" w:tplc="0C0A000F" w:tentative="1">
      <w:start w:val="1"/>
      <w:numFmt w:val="decimal"/>
      <w:lvlText w:val="%4."/>
      <w:lvlJc w:val="left"/>
      <w:pPr>
        <w:tabs>
          <w:tab w:val="num" w:pos="3830"/>
        </w:tabs>
        <w:ind w:left="3830" w:hanging="360"/>
      </w:pPr>
    </w:lvl>
    <w:lvl w:ilvl="4" w:tplc="0C0A0019" w:tentative="1">
      <w:start w:val="1"/>
      <w:numFmt w:val="lowerLetter"/>
      <w:lvlText w:val="%5."/>
      <w:lvlJc w:val="left"/>
      <w:pPr>
        <w:tabs>
          <w:tab w:val="num" w:pos="4550"/>
        </w:tabs>
        <w:ind w:left="4550" w:hanging="360"/>
      </w:pPr>
    </w:lvl>
    <w:lvl w:ilvl="5" w:tplc="0C0A001B" w:tentative="1">
      <w:start w:val="1"/>
      <w:numFmt w:val="lowerRoman"/>
      <w:lvlText w:val="%6."/>
      <w:lvlJc w:val="right"/>
      <w:pPr>
        <w:tabs>
          <w:tab w:val="num" w:pos="5270"/>
        </w:tabs>
        <w:ind w:left="5270" w:hanging="180"/>
      </w:pPr>
    </w:lvl>
    <w:lvl w:ilvl="6" w:tplc="0C0A000F" w:tentative="1">
      <w:start w:val="1"/>
      <w:numFmt w:val="decimal"/>
      <w:lvlText w:val="%7."/>
      <w:lvlJc w:val="left"/>
      <w:pPr>
        <w:tabs>
          <w:tab w:val="num" w:pos="5990"/>
        </w:tabs>
        <w:ind w:left="5990" w:hanging="360"/>
      </w:pPr>
    </w:lvl>
    <w:lvl w:ilvl="7" w:tplc="0C0A0019" w:tentative="1">
      <w:start w:val="1"/>
      <w:numFmt w:val="lowerLetter"/>
      <w:lvlText w:val="%8."/>
      <w:lvlJc w:val="left"/>
      <w:pPr>
        <w:tabs>
          <w:tab w:val="num" w:pos="6710"/>
        </w:tabs>
        <w:ind w:left="6710" w:hanging="360"/>
      </w:pPr>
    </w:lvl>
    <w:lvl w:ilvl="8" w:tplc="0C0A001B" w:tentative="1">
      <w:start w:val="1"/>
      <w:numFmt w:val="lowerRoman"/>
      <w:lvlText w:val="%9."/>
      <w:lvlJc w:val="right"/>
      <w:pPr>
        <w:tabs>
          <w:tab w:val="num" w:pos="7430"/>
        </w:tabs>
        <w:ind w:left="7430" w:hanging="180"/>
      </w:pPr>
    </w:lvl>
  </w:abstractNum>
  <w:abstractNum w:abstractNumId="7" w15:restartNumberingAfterBreak="0">
    <w:nsid w:val="4C8A1377"/>
    <w:multiLevelType w:val="hybridMultilevel"/>
    <w:tmpl w:val="D72C479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8F43F16"/>
    <w:multiLevelType w:val="hybridMultilevel"/>
    <w:tmpl w:val="8D1AB136"/>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B104A96"/>
    <w:multiLevelType w:val="hybridMultilevel"/>
    <w:tmpl w:val="EA2A0F6A"/>
    <w:lvl w:ilvl="0" w:tplc="7004B75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708B5B7C"/>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948779781">
    <w:abstractNumId w:val="3"/>
  </w:num>
  <w:num w:numId="2" w16cid:durableId="19822139">
    <w:abstractNumId w:val="1"/>
  </w:num>
  <w:num w:numId="3" w16cid:durableId="909074849">
    <w:abstractNumId w:val="9"/>
  </w:num>
  <w:num w:numId="4" w16cid:durableId="700783666">
    <w:abstractNumId w:val="5"/>
  </w:num>
  <w:num w:numId="5" w16cid:durableId="939681132">
    <w:abstractNumId w:val="4"/>
  </w:num>
  <w:num w:numId="6" w16cid:durableId="1746608719">
    <w:abstractNumId w:val="0"/>
  </w:num>
  <w:num w:numId="7" w16cid:durableId="1623270066">
    <w:abstractNumId w:val="10"/>
  </w:num>
  <w:num w:numId="8" w16cid:durableId="1614480891">
    <w:abstractNumId w:val="2"/>
  </w:num>
  <w:num w:numId="9" w16cid:durableId="876813715">
    <w:abstractNumId w:val="6"/>
  </w:num>
  <w:num w:numId="10" w16cid:durableId="1551847127">
    <w:abstractNumId w:val="7"/>
  </w:num>
  <w:num w:numId="11" w16cid:durableId="3233623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9AF"/>
    <w:rsid w:val="00005C5B"/>
    <w:rsid w:val="00006C96"/>
    <w:rsid w:val="00011723"/>
    <w:rsid w:val="00015F3C"/>
    <w:rsid w:val="00016C9F"/>
    <w:rsid w:val="0002069E"/>
    <w:rsid w:val="00030FA9"/>
    <w:rsid w:val="0003313C"/>
    <w:rsid w:val="00033622"/>
    <w:rsid w:val="000342DF"/>
    <w:rsid w:val="000376A2"/>
    <w:rsid w:val="000429AA"/>
    <w:rsid w:val="00044964"/>
    <w:rsid w:val="00045C9E"/>
    <w:rsid w:val="00052EE1"/>
    <w:rsid w:val="00053D5E"/>
    <w:rsid w:val="00057652"/>
    <w:rsid w:val="000611B9"/>
    <w:rsid w:val="00073392"/>
    <w:rsid w:val="00073DB3"/>
    <w:rsid w:val="000773B9"/>
    <w:rsid w:val="000901AC"/>
    <w:rsid w:val="0009044B"/>
    <w:rsid w:val="00090C92"/>
    <w:rsid w:val="000A3617"/>
    <w:rsid w:val="000A57A9"/>
    <w:rsid w:val="000A6EE3"/>
    <w:rsid w:val="000A7648"/>
    <w:rsid w:val="000B35F6"/>
    <w:rsid w:val="000B4D4B"/>
    <w:rsid w:val="000B6F6D"/>
    <w:rsid w:val="000C100B"/>
    <w:rsid w:val="000C117A"/>
    <w:rsid w:val="000C7279"/>
    <w:rsid w:val="000D1D69"/>
    <w:rsid w:val="000D4428"/>
    <w:rsid w:val="000D6956"/>
    <w:rsid w:val="000E0CBA"/>
    <w:rsid w:val="000E3D40"/>
    <w:rsid w:val="000E441B"/>
    <w:rsid w:val="000E6803"/>
    <w:rsid w:val="000E7640"/>
    <w:rsid w:val="000F361C"/>
    <w:rsid w:val="000F4CEA"/>
    <w:rsid w:val="000F6317"/>
    <w:rsid w:val="00102897"/>
    <w:rsid w:val="00102CA8"/>
    <w:rsid w:val="00105A5E"/>
    <w:rsid w:val="001062BE"/>
    <w:rsid w:val="00112673"/>
    <w:rsid w:val="001157F0"/>
    <w:rsid w:val="00120DBE"/>
    <w:rsid w:val="00127233"/>
    <w:rsid w:val="001332CB"/>
    <w:rsid w:val="00133859"/>
    <w:rsid w:val="0014510C"/>
    <w:rsid w:val="00147189"/>
    <w:rsid w:val="0015046C"/>
    <w:rsid w:val="00155B32"/>
    <w:rsid w:val="00157613"/>
    <w:rsid w:val="00157E9F"/>
    <w:rsid w:val="001605B9"/>
    <w:rsid w:val="001619EF"/>
    <w:rsid w:val="00161FA6"/>
    <w:rsid w:val="00165E51"/>
    <w:rsid w:val="001704CC"/>
    <w:rsid w:val="001705DA"/>
    <w:rsid w:val="00174522"/>
    <w:rsid w:val="00177A73"/>
    <w:rsid w:val="00177D8E"/>
    <w:rsid w:val="00185930"/>
    <w:rsid w:val="0018763A"/>
    <w:rsid w:val="001920F0"/>
    <w:rsid w:val="0019389F"/>
    <w:rsid w:val="00197C79"/>
    <w:rsid w:val="001A1131"/>
    <w:rsid w:val="001A661E"/>
    <w:rsid w:val="001B368A"/>
    <w:rsid w:val="001B74DC"/>
    <w:rsid w:val="001C0F63"/>
    <w:rsid w:val="001C12A0"/>
    <w:rsid w:val="001C2AFF"/>
    <w:rsid w:val="001C4AFC"/>
    <w:rsid w:val="001D2001"/>
    <w:rsid w:val="001E0DBB"/>
    <w:rsid w:val="001E468D"/>
    <w:rsid w:val="001E5744"/>
    <w:rsid w:val="001F1091"/>
    <w:rsid w:val="001F7F95"/>
    <w:rsid w:val="00202996"/>
    <w:rsid w:val="0020655F"/>
    <w:rsid w:val="00223CC8"/>
    <w:rsid w:val="0024149D"/>
    <w:rsid w:val="002444A5"/>
    <w:rsid w:val="0024797F"/>
    <w:rsid w:val="00247E73"/>
    <w:rsid w:val="00261794"/>
    <w:rsid w:val="0026539A"/>
    <w:rsid w:val="00271F64"/>
    <w:rsid w:val="002727A4"/>
    <w:rsid w:val="00273710"/>
    <w:rsid w:val="002738F5"/>
    <w:rsid w:val="002740B0"/>
    <w:rsid w:val="00280BE0"/>
    <w:rsid w:val="00286DCA"/>
    <w:rsid w:val="00287C4C"/>
    <w:rsid w:val="002951A0"/>
    <w:rsid w:val="0029529F"/>
    <w:rsid w:val="00297E0A"/>
    <w:rsid w:val="002A5A2D"/>
    <w:rsid w:val="002A64FD"/>
    <w:rsid w:val="002B6363"/>
    <w:rsid w:val="002C1E2B"/>
    <w:rsid w:val="002C349C"/>
    <w:rsid w:val="002C500D"/>
    <w:rsid w:val="002C5C62"/>
    <w:rsid w:val="002C5E84"/>
    <w:rsid w:val="002D4E81"/>
    <w:rsid w:val="002D5CEC"/>
    <w:rsid w:val="002D6E11"/>
    <w:rsid w:val="002E1E87"/>
    <w:rsid w:val="002E2018"/>
    <w:rsid w:val="002E39EF"/>
    <w:rsid w:val="002F14A8"/>
    <w:rsid w:val="002F1891"/>
    <w:rsid w:val="002F3960"/>
    <w:rsid w:val="00302744"/>
    <w:rsid w:val="003053CB"/>
    <w:rsid w:val="00311E9B"/>
    <w:rsid w:val="003128DD"/>
    <w:rsid w:val="00315DA5"/>
    <w:rsid w:val="0031797A"/>
    <w:rsid w:val="00317DF7"/>
    <w:rsid w:val="003211A8"/>
    <w:rsid w:val="00325068"/>
    <w:rsid w:val="00326D2A"/>
    <w:rsid w:val="00332DF6"/>
    <w:rsid w:val="00337C19"/>
    <w:rsid w:val="00340FB6"/>
    <w:rsid w:val="00350B77"/>
    <w:rsid w:val="00350EC8"/>
    <w:rsid w:val="00353F60"/>
    <w:rsid w:val="00355CEA"/>
    <w:rsid w:val="003630BA"/>
    <w:rsid w:val="0036575C"/>
    <w:rsid w:val="00367BC4"/>
    <w:rsid w:val="003746C1"/>
    <w:rsid w:val="003748DA"/>
    <w:rsid w:val="00381DAF"/>
    <w:rsid w:val="0038212D"/>
    <w:rsid w:val="00384A55"/>
    <w:rsid w:val="00390872"/>
    <w:rsid w:val="00394C98"/>
    <w:rsid w:val="003958C6"/>
    <w:rsid w:val="003A53CC"/>
    <w:rsid w:val="003B172C"/>
    <w:rsid w:val="003B192E"/>
    <w:rsid w:val="003B455C"/>
    <w:rsid w:val="003B5D17"/>
    <w:rsid w:val="003B652A"/>
    <w:rsid w:val="003C0266"/>
    <w:rsid w:val="003C22FF"/>
    <w:rsid w:val="003C43CC"/>
    <w:rsid w:val="003C4AF5"/>
    <w:rsid w:val="003D0F4D"/>
    <w:rsid w:val="003D6465"/>
    <w:rsid w:val="003F1B64"/>
    <w:rsid w:val="003F20D9"/>
    <w:rsid w:val="003F364D"/>
    <w:rsid w:val="003F376B"/>
    <w:rsid w:val="003F4A14"/>
    <w:rsid w:val="00411471"/>
    <w:rsid w:val="00416AF4"/>
    <w:rsid w:val="00430EF2"/>
    <w:rsid w:val="00436EEF"/>
    <w:rsid w:val="00440AB9"/>
    <w:rsid w:val="00443AA4"/>
    <w:rsid w:val="00450BB7"/>
    <w:rsid w:val="00450F3B"/>
    <w:rsid w:val="00452FEF"/>
    <w:rsid w:val="004573DE"/>
    <w:rsid w:val="00464C26"/>
    <w:rsid w:val="004727E7"/>
    <w:rsid w:val="00472908"/>
    <w:rsid w:val="004778FF"/>
    <w:rsid w:val="00490369"/>
    <w:rsid w:val="00492C65"/>
    <w:rsid w:val="004A1847"/>
    <w:rsid w:val="004A55AD"/>
    <w:rsid w:val="004A7AC1"/>
    <w:rsid w:val="004B22FB"/>
    <w:rsid w:val="004B5497"/>
    <w:rsid w:val="004B55F5"/>
    <w:rsid w:val="004C1905"/>
    <w:rsid w:val="004C50FB"/>
    <w:rsid w:val="004C5D85"/>
    <w:rsid w:val="004C5FEF"/>
    <w:rsid w:val="004D024A"/>
    <w:rsid w:val="004D2760"/>
    <w:rsid w:val="004D614B"/>
    <w:rsid w:val="004D7845"/>
    <w:rsid w:val="004E0C3B"/>
    <w:rsid w:val="004E1B20"/>
    <w:rsid w:val="004E3274"/>
    <w:rsid w:val="004E4AE9"/>
    <w:rsid w:val="004F0492"/>
    <w:rsid w:val="004F0B24"/>
    <w:rsid w:val="004F76C5"/>
    <w:rsid w:val="0050314B"/>
    <w:rsid w:val="005037A4"/>
    <w:rsid w:val="00510520"/>
    <w:rsid w:val="005130E4"/>
    <w:rsid w:val="005173CA"/>
    <w:rsid w:val="00531A00"/>
    <w:rsid w:val="00532362"/>
    <w:rsid w:val="00534A50"/>
    <w:rsid w:val="005358C0"/>
    <w:rsid w:val="005403EB"/>
    <w:rsid w:val="005413CC"/>
    <w:rsid w:val="0054322B"/>
    <w:rsid w:val="00543A02"/>
    <w:rsid w:val="00554061"/>
    <w:rsid w:val="005566E8"/>
    <w:rsid w:val="005574CA"/>
    <w:rsid w:val="0056765E"/>
    <w:rsid w:val="0057211C"/>
    <w:rsid w:val="00574913"/>
    <w:rsid w:val="005773E8"/>
    <w:rsid w:val="0058027E"/>
    <w:rsid w:val="005859BA"/>
    <w:rsid w:val="00587A2C"/>
    <w:rsid w:val="005920AE"/>
    <w:rsid w:val="005A17AE"/>
    <w:rsid w:val="005A5489"/>
    <w:rsid w:val="005A5C10"/>
    <w:rsid w:val="005A7315"/>
    <w:rsid w:val="005A74A5"/>
    <w:rsid w:val="005A7715"/>
    <w:rsid w:val="005B0225"/>
    <w:rsid w:val="005B35E8"/>
    <w:rsid w:val="005B4C0A"/>
    <w:rsid w:val="005B553F"/>
    <w:rsid w:val="005B634F"/>
    <w:rsid w:val="005C1C84"/>
    <w:rsid w:val="005C25FD"/>
    <w:rsid w:val="005C5D99"/>
    <w:rsid w:val="005C62BB"/>
    <w:rsid w:val="005C65E8"/>
    <w:rsid w:val="005C66A3"/>
    <w:rsid w:val="005C7725"/>
    <w:rsid w:val="005D0E55"/>
    <w:rsid w:val="005D6643"/>
    <w:rsid w:val="005E11E8"/>
    <w:rsid w:val="005E21BB"/>
    <w:rsid w:val="005E3506"/>
    <w:rsid w:val="005E7389"/>
    <w:rsid w:val="005F0534"/>
    <w:rsid w:val="005F44E4"/>
    <w:rsid w:val="00602595"/>
    <w:rsid w:val="00602712"/>
    <w:rsid w:val="00613742"/>
    <w:rsid w:val="006219F8"/>
    <w:rsid w:val="00622574"/>
    <w:rsid w:val="006244A4"/>
    <w:rsid w:val="006267CA"/>
    <w:rsid w:val="00632268"/>
    <w:rsid w:val="00641E24"/>
    <w:rsid w:val="0064473D"/>
    <w:rsid w:val="00647100"/>
    <w:rsid w:val="00652BEA"/>
    <w:rsid w:val="00662025"/>
    <w:rsid w:val="006622AC"/>
    <w:rsid w:val="0066546F"/>
    <w:rsid w:val="00671014"/>
    <w:rsid w:val="00672EC2"/>
    <w:rsid w:val="00675043"/>
    <w:rsid w:val="00680543"/>
    <w:rsid w:val="006806AF"/>
    <w:rsid w:val="006822B7"/>
    <w:rsid w:val="00687243"/>
    <w:rsid w:val="006917FA"/>
    <w:rsid w:val="00694A92"/>
    <w:rsid w:val="0069673C"/>
    <w:rsid w:val="006A1ED1"/>
    <w:rsid w:val="006A5EDE"/>
    <w:rsid w:val="006B656C"/>
    <w:rsid w:val="006B7614"/>
    <w:rsid w:val="006C1475"/>
    <w:rsid w:val="006C280C"/>
    <w:rsid w:val="006C2D9D"/>
    <w:rsid w:val="006C6BF6"/>
    <w:rsid w:val="006D2C7B"/>
    <w:rsid w:val="006D671C"/>
    <w:rsid w:val="006E2EDF"/>
    <w:rsid w:val="006E74D3"/>
    <w:rsid w:val="006E7653"/>
    <w:rsid w:val="006F15B3"/>
    <w:rsid w:val="006F194E"/>
    <w:rsid w:val="00701558"/>
    <w:rsid w:val="00714037"/>
    <w:rsid w:val="00715A1B"/>
    <w:rsid w:val="00722A90"/>
    <w:rsid w:val="00722DE8"/>
    <w:rsid w:val="00723F3B"/>
    <w:rsid w:val="00726DFD"/>
    <w:rsid w:val="00730C11"/>
    <w:rsid w:val="007343A0"/>
    <w:rsid w:val="007367DF"/>
    <w:rsid w:val="007377CC"/>
    <w:rsid w:val="00737800"/>
    <w:rsid w:val="00740D45"/>
    <w:rsid w:val="00741E40"/>
    <w:rsid w:val="0074293B"/>
    <w:rsid w:val="007430F6"/>
    <w:rsid w:val="00744D25"/>
    <w:rsid w:val="007450BA"/>
    <w:rsid w:val="007464A7"/>
    <w:rsid w:val="00753978"/>
    <w:rsid w:val="00754CFD"/>
    <w:rsid w:val="00755E2A"/>
    <w:rsid w:val="00756877"/>
    <w:rsid w:val="0076185E"/>
    <w:rsid w:val="00763684"/>
    <w:rsid w:val="00780972"/>
    <w:rsid w:val="00782B79"/>
    <w:rsid w:val="00787E9B"/>
    <w:rsid w:val="00791066"/>
    <w:rsid w:val="007928FC"/>
    <w:rsid w:val="007956CD"/>
    <w:rsid w:val="007969B1"/>
    <w:rsid w:val="007A71E7"/>
    <w:rsid w:val="007A72A3"/>
    <w:rsid w:val="007B0CA2"/>
    <w:rsid w:val="007B5997"/>
    <w:rsid w:val="007B5BBB"/>
    <w:rsid w:val="007C2C23"/>
    <w:rsid w:val="007C55A2"/>
    <w:rsid w:val="007D6E60"/>
    <w:rsid w:val="007E2BB3"/>
    <w:rsid w:val="007E2FF8"/>
    <w:rsid w:val="007E3C61"/>
    <w:rsid w:val="007F0D17"/>
    <w:rsid w:val="007F2714"/>
    <w:rsid w:val="00801D99"/>
    <w:rsid w:val="00804158"/>
    <w:rsid w:val="00804251"/>
    <w:rsid w:val="00804754"/>
    <w:rsid w:val="00814622"/>
    <w:rsid w:val="00820527"/>
    <w:rsid w:val="00822941"/>
    <w:rsid w:val="00824B67"/>
    <w:rsid w:val="00827EAB"/>
    <w:rsid w:val="00831F9F"/>
    <w:rsid w:val="00834D8A"/>
    <w:rsid w:val="0084299B"/>
    <w:rsid w:val="00842A30"/>
    <w:rsid w:val="008453C0"/>
    <w:rsid w:val="00845710"/>
    <w:rsid w:val="00846E11"/>
    <w:rsid w:val="00850F8B"/>
    <w:rsid w:val="008557DE"/>
    <w:rsid w:val="00857CA4"/>
    <w:rsid w:val="008602E9"/>
    <w:rsid w:val="00862A0E"/>
    <w:rsid w:val="00864AFE"/>
    <w:rsid w:val="00864FD7"/>
    <w:rsid w:val="00875B8A"/>
    <w:rsid w:val="00876068"/>
    <w:rsid w:val="00876E88"/>
    <w:rsid w:val="00881957"/>
    <w:rsid w:val="00883895"/>
    <w:rsid w:val="0089041B"/>
    <w:rsid w:val="00890D9A"/>
    <w:rsid w:val="008A2666"/>
    <w:rsid w:val="008A787D"/>
    <w:rsid w:val="008A7E39"/>
    <w:rsid w:val="008B2FED"/>
    <w:rsid w:val="008B3179"/>
    <w:rsid w:val="008B4670"/>
    <w:rsid w:val="008B6B98"/>
    <w:rsid w:val="008C2D63"/>
    <w:rsid w:val="008C2EE2"/>
    <w:rsid w:val="008C4C47"/>
    <w:rsid w:val="008D2E9B"/>
    <w:rsid w:val="008D613B"/>
    <w:rsid w:val="008D75BC"/>
    <w:rsid w:val="008F4441"/>
    <w:rsid w:val="00905165"/>
    <w:rsid w:val="00905423"/>
    <w:rsid w:val="009078F6"/>
    <w:rsid w:val="009100C8"/>
    <w:rsid w:val="00917C46"/>
    <w:rsid w:val="00921DE6"/>
    <w:rsid w:val="0092368C"/>
    <w:rsid w:val="00924882"/>
    <w:rsid w:val="00925674"/>
    <w:rsid w:val="00930097"/>
    <w:rsid w:val="00931C88"/>
    <w:rsid w:val="009369AB"/>
    <w:rsid w:val="00942B72"/>
    <w:rsid w:val="0094303B"/>
    <w:rsid w:val="00952CDB"/>
    <w:rsid w:val="00955BFA"/>
    <w:rsid w:val="00957B1C"/>
    <w:rsid w:val="0096003F"/>
    <w:rsid w:val="00961429"/>
    <w:rsid w:val="009717B6"/>
    <w:rsid w:val="00971C69"/>
    <w:rsid w:val="00973613"/>
    <w:rsid w:val="009778F9"/>
    <w:rsid w:val="00983DE9"/>
    <w:rsid w:val="00987F2B"/>
    <w:rsid w:val="0099039A"/>
    <w:rsid w:val="00994E01"/>
    <w:rsid w:val="00997AC4"/>
    <w:rsid w:val="009B3AEB"/>
    <w:rsid w:val="009B58F3"/>
    <w:rsid w:val="009C2754"/>
    <w:rsid w:val="009C3475"/>
    <w:rsid w:val="009C37D7"/>
    <w:rsid w:val="009C5278"/>
    <w:rsid w:val="009D075D"/>
    <w:rsid w:val="009D0C9A"/>
    <w:rsid w:val="009D5330"/>
    <w:rsid w:val="009E081D"/>
    <w:rsid w:val="009E0B77"/>
    <w:rsid w:val="009E70FB"/>
    <w:rsid w:val="009F1E8D"/>
    <w:rsid w:val="009F1FCB"/>
    <w:rsid w:val="009F307E"/>
    <w:rsid w:val="009F64DA"/>
    <w:rsid w:val="00A01D89"/>
    <w:rsid w:val="00A037B8"/>
    <w:rsid w:val="00A05E1B"/>
    <w:rsid w:val="00A06075"/>
    <w:rsid w:val="00A21E0B"/>
    <w:rsid w:val="00A26667"/>
    <w:rsid w:val="00A27A7D"/>
    <w:rsid w:val="00A27C89"/>
    <w:rsid w:val="00A32983"/>
    <w:rsid w:val="00A335C4"/>
    <w:rsid w:val="00A34A9F"/>
    <w:rsid w:val="00A45B81"/>
    <w:rsid w:val="00A52403"/>
    <w:rsid w:val="00A52A27"/>
    <w:rsid w:val="00A553A4"/>
    <w:rsid w:val="00A65DD4"/>
    <w:rsid w:val="00A71987"/>
    <w:rsid w:val="00A7543D"/>
    <w:rsid w:val="00A76067"/>
    <w:rsid w:val="00A82876"/>
    <w:rsid w:val="00A84864"/>
    <w:rsid w:val="00A87B89"/>
    <w:rsid w:val="00A949D0"/>
    <w:rsid w:val="00AA54AC"/>
    <w:rsid w:val="00AA6ABB"/>
    <w:rsid w:val="00AB0E0F"/>
    <w:rsid w:val="00AB3E14"/>
    <w:rsid w:val="00AC0E60"/>
    <w:rsid w:val="00AC40F8"/>
    <w:rsid w:val="00AD1802"/>
    <w:rsid w:val="00AD4FC7"/>
    <w:rsid w:val="00AD5AAB"/>
    <w:rsid w:val="00AD7300"/>
    <w:rsid w:val="00AE232B"/>
    <w:rsid w:val="00AE2B13"/>
    <w:rsid w:val="00AE3788"/>
    <w:rsid w:val="00AE516E"/>
    <w:rsid w:val="00AF110F"/>
    <w:rsid w:val="00AF16DC"/>
    <w:rsid w:val="00AF32CA"/>
    <w:rsid w:val="00B0068F"/>
    <w:rsid w:val="00B016A2"/>
    <w:rsid w:val="00B01C8E"/>
    <w:rsid w:val="00B04664"/>
    <w:rsid w:val="00B04BC3"/>
    <w:rsid w:val="00B10318"/>
    <w:rsid w:val="00B1068A"/>
    <w:rsid w:val="00B13E67"/>
    <w:rsid w:val="00B167BA"/>
    <w:rsid w:val="00B17E7E"/>
    <w:rsid w:val="00B235CE"/>
    <w:rsid w:val="00B246B5"/>
    <w:rsid w:val="00B25F22"/>
    <w:rsid w:val="00B26F7A"/>
    <w:rsid w:val="00B3235F"/>
    <w:rsid w:val="00B35F6D"/>
    <w:rsid w:val="00B4098E"/>
    <w:rsid w:val="00B5433C"/>
    <w:rsid w:val="00B575B5"/>
    <w:rsid w:val="00B6518B"/>
    <w:rsid w:val="00B65A58"/>
    <w:rsid w:val="00B719D1"/>
    <w:rsid w:val="00B71E6A"/>
    <w:rsid w:val="00B71F90"/>
    <w:rsid w:val="00B74B70"/>
    <w:rsid w:val="00B770C3"/>
    <w:rsid w:val="00B854B5"/>
    <w:rsid w:val="00B85CFA"/>
    <w:rsid w:val="00B86A03"/>
    <w:rsid w:val="00B93DBE"/>
    <w:rsid w:val="00B95F68"/>
    <w:rsid w:val="00BA7513"/>
    <w:rsid w:val="00BB0041"/>
    <w:rsid w:val="00BB3833"/>
    <w:rsid w:val="00BB64CD"/>
    <w:rsid w:val="00BC26D9"/>
    <w:rsid w:val="00BC3059"/>
    <w:rsid w:val="00BD179E"/>
    <w:rsid w:val="00BD3B1F"/>
    <w:rsid w:val="00BE5065"/>
    <w:rsid w:val="00BF0476"/>
    <w:rsid w:val="00BF1184"/>
    <w:rsid w:val="00BF2C54"/>
    <w:rsid w:val="00BF41BC"/>
    <w:rsid w:val="00C00A52"/>
    <w:rsid w:val="00C028B2"/>
    <w:rsid w:val="00C110BF"/>
    <w:rsid w:val="00C1127C"/>
    <w:rsid w:val="00C11E70"/>
    <w:rsid w:val="00C12335"/>
    <w:rsid w:val="00C169AA"/>
    <w:rsid w:val="00C26495"/>
    <w:rsid w:val="00C30F78"/>
    <w:rsid w:val="00C371AB"/>
    <w:rsid w:val="00C44780"/>
    <w:rsid w:val="00C45B9F"/>
    <w:rsid w:val="00C50703"/>
    <w:rsid w:val="00C55D3F"/>
    <w:rsid w:val="00C61517"/>
    <w:rsid w:val="00C659DE"/>
    <w:rsid w:val="00C669FC"/>
    <w:rsid w:val="00C702A3"/>
    <w:rsid w:val="00C751D9"/>
    <w:rsid w:val="00C754BE"/>
    <w:rsid w:val="00C8442A"/>
    <w:rsid w:val="00C85557"/>
    <w:rsid w:val="00C86F6F"/>
    <w:rsid w:val="00C9130A"/>
    <w:rsid w:val="00C92FAC"/>
    <w:rsid w:val="00C96E18"/>
    <w:rsid w:val="00C97538"/>
    <w:rsid w:val="00CA4D29"/>
    <w:rsid w:val="00CB220F"/>
    <w:rsid w:val="00CC07B2"/>
    <w:rsid w:val="00CC1B26"/>
    <w:rsid w:val="00CC5646"/>
    <w:rsid w:val="00CC7E8B"/>
    <w:rsid w:val="00CD0D0F"/>
    <w:rsid w:val="00CD50F1"/>
    <w:rsid w:val="00CD597C"/>
    <w:rsid w:val="00CE3C9B"/>
    <w:rsid w:val="00CF31A1"/>
    <w:rsid w:val="00CF3705"/>
    <w:rsid w:val="00CF48F7"/>
    <w:rsid w:val="00CF7822"/>
    <w:rsid w:val="00D02469"/>
    <w:rsid w:val="00D029CB"/>
    <w:rsid w:val="00D02BC5"/>
    <w:rsid w:val="00D055D0"/>
    <w:rsid w:val="00D057ED"/>
    <w:rsid w:val="00D0600F"/>
    <w:rsid w:val="00D14D90"/>
    <w:rsid w:val="00D17396"/>
    <w:rsid w:val="00D2009B"/>
    <w:rsid w:val="00D20573"/>
    <w:rsid w:val="00D2546C"/>
    <w:rsid w:val="00D4742B"/>
    <w:rsid w:val="00D607F5"/>
    <w:rsid w:val="00D62CE6"/>
    <w:rsid w:val="00D66863"/>
    <w:rsid w:val="00D74F7B"/>
    <w:rsid w:val="00D77249"/>
    <w:rsid w:val="00D8154C"/>
    <w:rsid w:val="00D826FA"/>
    <w:rsid w:val="00D84B98"/>
    <w:rsid w:val="00D87979"/>
    <w:rsid w:val="00D93385"/>
    <w:rsid w:val="00D95A05"/>
    <w:rsid w:val="00D972CC"/>
    <w:rsid w:val="00DA1818"/>
    <w:rsid w:val="00DA45BD"/>
    <w:rsid w:val="00DB31CF"/>
    <w:rsid w:val="00DB36CB"/>
    <w:rsid w:val="00DB4D8D"/>
    <w:rsid w:val="00DC1F95"/>
    <w:rsid w:val="00DC51B5"/>
    <w:rsid w:val="00DD566E"/>
    <w:rsid w:val="00DD759F"/>
    <w:rsid w:val="00DE09C0"/>
    <w:rsid w:val="00DE10F9"/>
    <w:rsid w:val="00DE666E"/>
    <w:rsid w:val="00DF267D"/>
    <w:rsid w:val="00DF2DD4"/>
    <w:rsid w:val="00DF580C"/>
    <w:rsid w:val="00E00641"/>
    <w:rsid w:val="00E00D89"/>
    <w:rsid w:val="00E03B67"/>
    <w:rsid w:val="00E05793"/>
    <w:rsid w:val="00E07271"/>
    <w:rsid w:val="00E1422B"/>
    <w:rsid w:val="00E20894"/>
    <w:rsid w:val="00E26FBC"/>
    <w:rsid w:val="00E27482"/>
    <w:rsid w:val="00E31444"/>
    <w:rsid w:val="00E3250E"/>
    <w:rsid w:val="00E3592A"/>
    <w:rsid w:val="00E4222C"/>
    <w:rsid w:val="00E430E0"/>
    <w:rsid w:val="00E43AC7"/>
    <w:rsid w:val="00E5028F"/>
    <w:rsid w:val="00E54A02"/>
    <w:rsid w:val="00E56CE4"/>
    <w:rsid w:val="00E67DD6"/>
    <w:rsid w:val="00E71ADB"/>
    <w:rsid w:val="00E7786E"/>
    <w:rsid w:val="00E82E5E"/>
    <w:rsid w:val="00E83054"/>
    <w:rsid w:val="00E8331F"/>
    <w:rsid w:val="00E87175"/>
    <w:rsid w:val="00E947BF"/>
    <w:rsid w:val="00E95E9E"/>
    <w:rsid w:val="00E967A5"/>
    <w:rsid w:val="00EA1E57"/>
    <w:rsid w:val="00EA3983"/>
    <w:rsid w:val="00EA5904"/>
    <w:rsid w:val="00EA70E8"/>
    <w:rsid w:val="00EB0E7A"/>
    <w:rsid w:val="00EB4961"/>
    <w:rsid w:val="00EB5A88"/>
    <w:rsid w:val="00EC0188"/>
    <w:rsid w:val="00EC2ACC"/>
    <w:rsid w:val="00EC54EA"/>
    <w:rsid w:val="00EE69AF"/>
    <w:rsid w:val="00EF2081"/>
    <w:rsid w:val="00EF4CAB"/>
    <w:rsid w:val="00F01510"/>
    <w:rsid w:val="00F01DCE"/>
    <w:rsid w:val="00F04C2A"/>
    <w:rsid w:val="00F06F20"/>
    <w:rsid w:val="00F1443D"/>
    <w:rsid w:val="00F16213"/>
    <w:rsid w:val="00F2030E"/>
    <w:rsid w:val="00F21506"/>
    <w:rsid w:val="00F25158"/>
    <w:rsid w:val="00F26C43"/>
    <w:rsid w:val="00F27AA4"/>
    <w:rsid w:val="00F31BB9"/>
    <w:rsid w:val="00F3425F"/>
    <w:rsid w:val="00F349CF"/>
    <w:rsid w:val="00F37561"/>
    <w:rsid w:val="00F40CE2"/>
    <w:rsid w:val="00F41763"/>
    <w:rsid w:val="00F41B63"/>
    <w:rsid w:val="00F44E11"/>
    <w:rsid w:val="00F46501"/>
    <w:rsid w:val="00F5352B"/>
    <w:rsid w:val="00F53FB9"/>
    <w:rsid w:val="00F569B7"/>
    <w:rsid w:val="00F615C9"/>
    <w:rsid w:val="00F61784"/>
    <w:rsid w:val="00F6560D"/>
    <w:rsid w:val="00F65F88"/>
    <w:rsid w:val="00F76AFC"/>
    <w:rsid w:val="00F771A1"/>
    <w:rsid w:val="00F82A08"/>
    <w:rsid w:val="00F90D74"/>
    <w:rsid w:val="00F94AED"/>
    <w:rsid w:val="00F95101"/>
    <w:rsid w:val="00F96FBE"/>
    <w:rsid w:val="00F97310"/>
    <w:rsid w:val="00F975F3"/>
    <w:rsid w:val="00FA3BF2"/>
    <w:rsid w:val="00FB1B9D"/>
    <w:rsid w:val="00FB43DA"/>
    <w:rsid w:val="00FB49C4"/>
    <w:rsid w:val="00FD5DFC"/>
    <w:rsid w:val="00FE367E"/>
    <w:rsid w:val="00FE46F4"/>
    <w:rsid w:val="00FE5CB2"/>
    <w:rsid w:val="00FF4857"/>
    <w:rsid w:val="00FF78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docId w15:val="{010D3FCC-4873-4CBA-8298-1F5EA668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FBE"/>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link w:val="Ttulo1Car"/>
    <w:uiPriority w:val="1"/>
    <w:qFormat/>
    <w:rsid w:val="00DB31CF"/>
    <w:pPr>
      <w:widowControl w:val="0"/>
      <w:autoSpaceDE w:val="0"/>
      <w:autoSpaceDN w:val="0"/>
      <w:ind w:left="725" w:hanging="42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rPr>
      <w:sz w:val="20"/>
      <w:szCs w:val="20"/>
    </w:rPr>
  </w:style>
  <w:style w:type="character" w:customStyle="1" w:styleId="TextonotapieCar1">
    <w:name w:val="Texto nota pie Car1"/>
    <w:aliases w:val="Footnote Text Char Char Char Char Car,Texto nota pie Car Car,Footnote Text Char Car,Footnote Text Char Char Char Char Char Char Char Char Car"/>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styleId="Hipervnculo">
    <w:name w:val="Hyperlink"/>
    <w:basedOn w:val="Fuentedeprrafopredeter"/>
    <w:uiPriority w:val="99"/>
    <w:unhideWhenUsed/>
    <w:rsid w:val="00715A1B"/>
    <w:rPr>
      <w:color w:val="0563C1" w:themeColor="hyperlink"/>
      <w:u w:val="single"/>
    </w:rPr>
  </w:style>
  <w:style w:type="character" w:styleId="Textoennegrita">
    <w:name w:val="Strong"/>
    <w:basedOn w:val="Fuentedeprrafopredeter"/>
    <w:uiPriority w:val="22"/>
    <w:qFormat/>
    <w:rsid w:val="00715A1B"/>
    <w:rPr>
      <w:b/>
      <w:bC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15A1B"/>
    <w:rPr>
      <w:rFonts w:ascii="Geomanist Light" w:hAnsi="Geomanist Light"/>
      <w:lang w:val="es-ES"/>
    </w:rPr>
  </w:style>
  <w:style w:type="paragraph" w:customStyle="1" w:styleId="Appelnotedebasde">
    <w:name w:val="Appel note de bas de..."/>
    <w:basedOn w:val="Normal"/>
    <w:link w:val="Refdenotaalpie"/>
    <w:rsid w:val="00715A1B"/>
    <w:pPr>
      <w:spacing w:after="160" w:line="240" w:lineRule="exact"/>
    </w:pPr>
    <w:rPr>
      <w:sz w:val="22"/>
      <w:vertAlign w:val="superscript"/>
    </w:rPr>
  </w:style>
  <w:style w:type="table" w:customStyle="1" w:styleId="Tablaconcuadrcula1">
    <w:name w:val="Tabla con cuadrícula1"/>
    <w:basedOn w:val="Tablanormal"/>
    <w:next w:val="Tablaconcuadrcula"/>
    <w:uiPriority w:val="59"/>
    <w:rsid w:val="00C123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C12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D93385"/>
    <w:rPr>
      <w:color w:val="F2F2F2"/>
      <w:u w:val="single"/>
    </w:rPr>
  </w:style>
  <w:style w:type="paragraph" w:customStyle="1" w:styleId="paragraph">
    <w:name w:val="paragraph"/>
    <w:basedOn w:val="Normal"/>
    <w:rsid w:val="00D93385"/>
    <w:pPr>
      <w:spacing w:before="100" w:beforeAutospacing="1" w:after="100" w:afterAutospacing="1"/>
    </w:pPr>
  </w:style>
  <w:style w:type="character" w:customStyle="1" w:styleId="eop">
    <w:name w:val="eop"/>
    <w:basedOn w:val="Fuentedeprrafopredeter"/>
    <w:rsid w:val="00D93385"/>
  </w:style>
  <w:style w:type="character" w:styleId="Mencinsinresolver">
    <w:name w:val="Unresolved Mention"/>
    <w:basedOn w:val="Fuentedeprrafopredeter"/>
    <w:uiPriority w:val="99"/>
    <w:semiHidden/>
    <w:unhideWhenUsed/>
    <w:rsid w:val="00317DF7"/>
    <w:rPr>
      <w:color w:val="605E5C"/>
      <w:shd w:val="clear" w:color="auto" w:fill="E1DFDD"/>
    </w:rPr>
  </w:style>
  <w:style w:type="paragraph" w:styleId="Revisin">
    <w:name w:val="Revision"/>
    <w:hidden/>
    <w:uiPriority w:val="99"/>
    <w:semiHidden/>
    <w:rsid w:val="00804251"/>
    <w:pPr>
      <w:spacing w:after="0" w:line="240" w:lineRule="auto"/>
    </w:pPr>
    <w:rPr>
      <w:sz w:val="24"/>
      <w:lang w:val="es-MX"/>
    </w:rPr>
  </w:style>
  <w:style w:type="character" w:styleId="Refdecomentario">
    <w:name w:val="annotation reference"/>
    <w:basedOn w:val="Fuentedeprrafopredeter"/>
    <w:uiPriority w:val="99"/>
    <w:semiHidden/>
    <w:unhideWhenUsed/>
    <w:rsid w:val="00F65F88"/>
    <w:rPr>
      <w:sz w:val="16"/>
      <w:szCs w:val="16"/>
    </w:rPr>
  </w:style>
  <w:style w:type="paragraph" w:styleId="Textocomentario">
    <w:name w:val="annotation text"/>
    <w:basedOn w:val="Normal"/>
    <w:link w:val="TextocomentarioCar"/>
    <w:uiPriority w:val="99"/>
    <w:unhideWhenUsed/>
    <w:rsid w:val="00F65F88"/>
    <w:rPr>
      <w:sz w:val="20"/>
      <w:szCs w:val="20"/>
    </w:rPr>
  </w:style>
  <w:style w:type="character" w:customStyle="1" w:styleId="TextocomentarioCar">
    <w:name w:val="Texto comentario Car"/>
    <w:basedOn w:val="Fuentedeprrafopredeter"/>
    <w:link w:val="Textocomentario"/>
    <w:uiPriority w:val="99"/>
    <w:rsid w:val="00F65F88"/>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F65F88"/>
    <w:rPr>
      <w:b/>
      <w:bCs/>
    </w:rPr>
  </w:style>
  <w:style w:type="character" w:customStyle="1" w:styleId="AsuntodelcomentarioCar">
    <w:name w:val="Asunto del comentario Car"/>
    <w:basedOn w:val="TextocomentarioCar"/>
    <w:link w:val="Asuntodelcomentario"/>
    <w:uiPriority w:val="99"/>
    <w:semiHidden/>
    <w:rsid w:val="00F65F88"/>
    <w:rPr>
      <w:b/>
      <w:bCs/>
      <w:sz w:val="20"/>
      <w:szCs w:val="20"/>
      <w:lang w:val="es-MX"/>
    </w:rPr>
  </w:style>
  <w:style w:type="paragraph" w:styleId="NormalWeb">
    <w:name w:val="Normal (Web)"/>
    <w:basedOn w:val="Normal"/>
    <w:link w:val="NormalWebCar"/>
    <w:uiPriority w:val="99"/>
    <w:unhideWhenUsed/>
    <w:rsid w:val="00332DF6"/>
    <w:pPr>
      <w:spacing w:before="100" w:beforeAutospacing="1" w:after="100" w:afterAutospacing="1"/>
    </w:pPr>
  </w:style>
  <w:style w:type="character" w:customStyle="1" w:styleId="baj">
    <w:name w:val="b_aj"/>
    <w:basedOn w:val="Fuentedeprrafopredeter"/>
    <w:rsid w:val="00332DF6"/>
  </w:style>
  <w:style w:type="paragraph" w:customStyle="1" w:styleId="xmsonormal">
    <w:name w:val="x_msonormal"/>
    <w:basedOn w:val="Normal"/>
    <w:rsid w:val="00E31444"/>
    <w:pPr>
      <w:spacing w:before="100" w:beforeAutospacing="1" w:after="100" w:afterAutospacing="1"/>
    </w:pPr>
  </w:style>
  <w:style w:type="character" w:customStyle="1" w:styleId="Ttulo1Car">
    <w:name w:val="Título 1 Car"/>
    <w:basedOn w:val="Fuentedeprrafopredeter"/>
    <w:link w:val="Ttulo1"/>
    <w:uiPriority w:val="1"/>
    <w:rsid w:val="00DB31CF"/>
    <w:rPr>
      <w:rFonts w:ascii="Arial" w:eastAsia="Arial" w:hAnsi="Arial" w:cs="Arial"/>
      <w:b/>
      <w:bCs/>
      <w:lang w:val="es-ES"/>
    </w:rPr>
  </w:style>
  <w:style w:type="paragraph" w:styleId="Textoindependiente">
    <w:name w:val="Body Text"/>
    <w:basedOn w:val="Normal"/>
    <w:link w:val="TextoindependienteCar"/>
    <w:uiPriority w:val="1"/>
    <w:qFormat/>
    <w:rsid w:val="00DB31CF"/>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DB31CF"/>
    <w:rPr>
      <w:rFonts w:ascii="Arial" w:eastAsia="Arial" w:hAnsi="Arial" w:cs="Arial"/>
      <w:lang w:val="es-ES"/>
    </w:rPr>
  </w:style>
  <w:style w:type="paragraph" w:styleId="Sinespaciado">
    <w:name w:val="No Spacing"/>
    <w:aliases w:val="No Indent"/>
    <w:link w:val="SinespaciadoCar"/>
    <w:uiPriority w:val="3"/>
    <w:qFormat/>
    <w:rsid w:val="00DB31CF"/>
    <w:pPr>
      <w:spacing w:after="0" w:line="240" w:lineRule="auto"/>
    </w:pPr>
    <w:rPr>
      <w:sz w:val="24"/>
      <w:lang w:val="es-MX"/>
    </w:rPr>
  </w:style>
  <w:style w:type="character" w:customStyle="1" w:styleId="SinespaciadoCar">
    <w:name w:val="Sin espaciado Car"/>
    <w:aliases w:val="No Indent Car"/>
    <w:link w:val="Sinespaciado"/>
    <w:uiPriority w:val="3"/>
    <w:rsid w:val="00DB31CF"/>
    <w:rPr>
      <w:sz w:val="24"/>
      <w:lang w:val="es-MX"/>
    </w:rPr>
  </w:style>
  <w:style w:type="character" w:styleId="nfasis">
    <w:name w:val="Emphasis"/>
    <w:basedOn w:val="Fuentedeprrafopredeter"/>
    <w:uiPriority w:val="20"/>
    <w:qFormat/>
    <w:rsid w:val="004D7845"/>
    <w:rPr>
      <w:i/>
      <w:iCs/>
    </w:rPr>
  </w:style>
  <w:style w:type="paragraph" w:customStyle="1" w:styleId="pa4">
    <w:name w:val="pa4"/>
    <w:basedOn w:val="Normal"/>
    <w:rsid w:val="00A553A4"/>
    <w:pPr>
      <w:autoSpaceDE w:val="0"/>
      <w:autoSpaceDN w:val="0"/>
    </w:pPr>
    <w:rPr>
      <w:lang w:val="es-ES" w:eastAsia="es-ES"/>
    </w:rPr>
  </w:style>
  <w:style w:type="character" w:customStyle="1" w:styleId="NormalWebCar">
    <w:name w:val="Normal (Web) Car"/>
    <w:link w:val="NormalWeb"/>
    <w:uiPriority w:val="99"/>
    <w:rsid w:val="002D6E11"/>
    <w:rPr>
      <w:rFonts w:ascii="Times New Roman" w:eastAsia="Times New Roman" w:hAnsi="Times New Roman" w:cs="Times New Roman"/>
      <w:sz w:val="24"/>
      <w:szCs w:val="24"/>
      <w:lang w:eastAsia="es-CO"/>
    </w:rPr>
  </w:style>
  <w:style w:type="paragraph" w:customStyle="1" w:styleId="Normal11pt">
    <w:name w:val="Normal + 11 pt"/>
    <w:aliases w:val="Negro,Justificado,Izquierda:  -0,95 cm,Derecha:  0,04 cm"/>
    <w:basedOn w:val="Normal"/>
    <w:uiPriority w:val="99"/>
    <w:rsid w:val="00E430E0"/>
    <w:pPr>
      <w:ind w:left="-540"/>
      <w:jc w:val="both"/>
    </w:pPr>
    <w:rPr>
      <w:rFonts w:ascii="Arial" w:hAnsi="Arial" w:cs="Arial"/>
      <w:color w:val="000000"/>
      <w:sz w:val="22"/>
      <w:lang w:val="es-ES_tradnl" w:eastAsia="es-ES"/>
    </w:rPr>
  </w:style>
  <w:style w:type="paragraph" w:customStyle="1" w:styleId="MIPARRAFONORMAL">
    <w:name w:val="MI PARRAFO NORMAL"/>
    <w:basedOn w:val="Textoindependiente"/>
    <w:rsid w:val="003F1B64"/>
    <w:pPr>
      <w:widowControl/>
      <w:spacing w:after="360" w:line="360" w:lineRule="auto"/>
      <w:jc w:val="both"/>
    </w:pPr>
    <w:rPr>
      <w:rFonts w:eastAsia="Times New Roman"/>
      <w:sz w:val="24"/>
      <w:lang w:eastAsia="es-ES"/>
    </w:rPr>
  </w:style>
  <w:style w:type="paragraph" w:styleId="Textoindependiente2">
    <w:name w:val="Body Text 2"/>
    <w:basedOn w:val="Normal"/>
    <w:link w:val="Textoindependiente2Car"/>
    <w:uiPriority w:val="99"/>
    <w:semiHidden/>
    <w:unhideWhenUsed/>
    <w:rsid w:val="003B192E"/>
    <w:pPr>
      <w:spacing w:after="120" w:line="480" w:lineRule="auto"/>
    </w:pPr>
  </w:style>
  <w:style w:type="character" w:customStyle="1" w:styleId="Textoindependiente2Car">
    <w:name w:val="Texto independiente 2 Car"/>
    <w:basedOn w:val="Fuentedeprrafopredeter"/>
    <w:link w:val="Textoindependiente2"/>
    <w:uiPriority w:val="99"/>
    <w:semiHidden/>
    <w:rsid w:val="003B192E"/>
    <w:rPr>
      <w:rFonts w:ascii="Times New Roman" w:eastAsia="Times New Roman" w:hAnsi="Times New Roman" w:cs="Times New Roman"/>
      <w:sz w:val="24"/>
      <w:szCs w:val="24"/>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780972"/>
    <w:pPr>
      <w:jc w:val="both"/>
    </w:pPr>
    <w:rPr>
      <w:rFonts w:ascii="Calibri" w:eastAsia="Calibri" w:hAnsi="Calibri"/>
      <w:sz w:val="22"/>
      <w:szCs w:val="22"/>
      <w:vertAlign w:val="superscript"/>
      <w:lang w:eastAsia="en-US"/>
    </w:rPr>
  </w:style>
  <w:style w:type="paragraph" w:customStyle="1" w:styleId="sangradetindependiente">
    <w:name w:val="sangradetindependiente"/>
    <w:basedOn w:val="Normal"/>
    <w:rsid w:val="005E73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3312">
      <w:bodyDiv w:val="1"/>
      <w:marLeft w:val="0"/>
      <w:marRight w:val="0"/>
      <w:marTop w:val="0"/>
      <w:marBottom w:val="0"/>
      <w:divBdr>
        <w:top w:val="none" w:sz="0" w:space="0" w:color="auto"/>
        <w:left w:val="none" w:sz="0" w:space="0" w:color="auto"/>
        <w:bottom w:val="none" w:sz="0" w:space="0" w:color="auto"/>
        <w:right w:val="none" w:sz="0" w:space="0" w:color="auto"/>
      </w:divBdr>
    </w:div>
    <w:div w:id="51121999">
      <w:bodyDiv w:val="1"/>
      <w:marLeft w:val="0"/>
      <w:marRight w:val="0"/>
      <w:marTop w:val="0"/>
      <w:marBottom w:val="0"/>
      <w:divBdr>
        <w:top w:val="none" w:sz="0" w:space="0" w:color="auto"/>
        <w:left w:val="none" w:sz="0" w:space="0" w:color="auto"/>
        <w:bottom w:val="none" w:sz="0" w:space="0" w:color="auto"/>
        <w:right w:val="none" w:sz="0" w:space="0" w:color="auto"/>
      </w:divBdr>
    </w:div>
    <w:div w:id="57750176">
      <w:bodyDiv w:val="1"/>
      <w:marLeft w:val="0"/>
      <w:marRight w:val="0"/>
      <w:marTop w:val="0"/>
      <w:marBottom w:val="0"/>
      <w:divBdr>
        <w:top w:val="none" w:sz="0" w:space="0" w:color="auto"/>
        <w:left w:val="none" w:sz="0" w:space="0" w:color="auto"/>
        <w:bottom w:val="none" w:sz="0" w:space="0" w:color="auto"/>
        <w:right w:val="none" w:sz="0" w:space="0" w:color="auto"/>
      </w:divBdr>
    </w:div>
    <w:div w:id="125122828">
      <w:bodyDiv w:val="1"/>
      <w:marLeft w:val="0"/>
      <w:marRight w:val="0"/>
      <w:marTop w:val="0"/>
      <w:marBottom w:val="0"/>
      <w:divBdr>
        <w:top w:val="none" w:sz="0" w:space="0" w:color="auto"/>
        <w:left w:val="none" w:sz="0" w:space="0" w:color="auto"/>
        <w:bottom w:val="none" w:sz="0" w:space="0" w:color="auto"/>
        <w:right w:val="none" w:sz="0" w:space="0" w:color="auto"/>
      </w:divBdr>
    </w:div>
    <w:div w:id="163329287">
      <w:bodyDiv w:val="1"/>
      <w:marLeft w:val="0"/>
      <w:marRight w:val="0"/>
      <w:marTop w:val="0"/>
      <w:marBottom w:val="0"/>
      <w:divBdr>
        <w:top w:val="none" w:sz="0" w:space="0" w:color="auto"/>
        <w:left w:val="none" w:sz="0" w:space="0" w:color="auto"/>
        <w:bottom w:val="none" w:sz="0" w:space="0" w:color="auto"/>
        <w:right w:val="none" w:sz="0" w:space="0" w:color="auto"/>
      </w:divBdr>
    </w:div>
    <w:div w:id="193152151">
      <w:bodyDiv w:val="1"/>
      <w:marLeft w:val="0"/>
      <w:marRight w:val="0"/>
      <w:marTop w:val="0"/>
      <w:marBottom w:val="0"/>
      <w:divBdr>
        <w:top w:val="none" w:sz="0" w:space="0" w:color="auto"/>
        <w:left w:val="none" w:sz="0" w:space="0" w:color="auto"/>
        <w:bottom w:val="none" w:sz="0" w:space="0" w:color="auto"/>
        <w:right w:val="none" w:sz="0" w:space="0" w:color="auto"/>
      </w:divBdr>
    </w:div>
    <w:div w:id="278142926">
      <w:bodyDiv w:val="1"/>
      <w:marLeft w:val="0"/>
      <w:marRight w:val="0"/>
      <w:marTop w:val="0"/>
      <w:marBottom w:val="0"/>
      <w:divBdr>
        <w:top w:val="none" w:sz="0" w:space="0" w:color="auto"/>
        <w:left w:val="none" w:sz="0" w:space="0" w:color="auto"/>
        <w:bottom w:val="none" w:sz="0" w:space="0" w:color="auto"/>
        <w:right w:val="none" w:sz="0" w:space="0" w:color="auto"/>
      </w:divBdr>
    </w:div>
    <w:div w:id="294410174">
      <w:bodyDiv w:val="1"/>
      <w:marLeft w:val="0"/>
      <w:marRight w:val="0"/>
      <w:marTop w:val="0"/>
      <w:marBottom w:val="0"/>
      <w:divBdr>
        <w:top w:val="none" w:sz="0" w:space="0" w:color="auto"/>
        <w:left w:val="none" w:sz="0" w:space="0" w:color="auto"/>
        <w:bottom w:val="none" w:sz="0" w:space="0" w:color="auto"/>
        <w:right w:val="none" w:sz="0" w:space="0" w:color="auto"/>
      </w:divBdr>
    </w:div>
    <w:div w:id="360128540">
      <w:bodyDiv w:val="1"/>
      <w:marLeft w:val="0"/>
      <w:marRight w:val="0"/>
      <w:marTop w:val="0"/>
      <w:marBottom w:val="0"/>
      <w:divBdr>
        <w:top w:val="none" w:sz="0" w:space="0" w:color="auto"/>
        <w:left w:val="none" w:sz="0" w:space="0" w:color="auto"/>
        <w:bottom w:val="none" w:sz="0" w:space="0" w:color="auto"/>
        <w:right w:val="none" w:sz="0" w:space="0" w:color="auto"/>
      </w:divBdr>
    </w:div>
    <w:div w:id="373045142">
      <w:bodyDiv w:val="1"/>
      <w:marLeft w:val="0"/>
      <w:marRight w:val="0"/>
      <w:marTop w:val="0"/>
      <w:marBottom w:val="0"/>
      <w:divBdr>
        <w:top w:val="none" w:sz="0" w:space="0" w:color="auto"/>
        <w:left w:val="none" w:sz="0" w:space="0" w:color="auto"/>
        <w:bottom w:val="none" w:sz="0" w:space="0" w:color="auto"/>
        <w:right w:val="none" w:sz="0" w:space="0" w:color="auto"/>
      </w:divBdr>
    </w:div>
    <w:div w:id="477914816">
      <w:bodyDiv w:val="1"/>
      <w:marLeft w:val="0"/>
      <w:marRight w:val="0"/>
      <w:marTop w:val="0"/>
      <w:marBottom w:val="0"/>
      <w:divBdr>
        <w:top w:val="none" w:sz="0" w:space="0" w:color="auto"/>
        <w:left w:val="none" w:sz="0" w:space="0" w:color="auto"/>
        <w:bottom w:val="none" w:sz="0" w:space="0" w:color="auto"/>
        <w:right w:val="none" w:sz="0" w:space="0" w:color="auto"/>
      </w:divBdr>
    </w:div>
    <w:div w:id="533008578">
      <w:bodyDiv w:val="1"/>
      <w:marLeft w:val="0"/>
      <w:marRight w:val="0"/>
      <w:marTop w:val="0"/>
      <w:marBottom w:val="0"/>
      <w:divBdr>
        <w:top w:val="none" w:sz="0" w:space="0" w:color="auto"/>
        <w:left w:val="none" w:sz="0" w:space="0" w:color="auto"/>
        <w:bottom w:val="none" w:sz="0" w:space="0" w:color="auto"/>
        <w:right w:val="none" w:sz="0" w:space="0" w:color="auto"/>
      </w:divBdr>
    </w:div>
    <w:div w:id="553929023">
      <w:bodyDiv w:val="1"/>
      <w:marLeft w:val="0"/>
      <w:marRight w:val="0"/>
      <w:marTop w:val="0"/>
      <w:marBottom w:val="0"/>
      <w:divBdr>
        <w:top w:val="none" w:sz="0" w:space="0" w:color="auto"/>
        <w:left w:val="none" w:sz="0" w:space="0" w:color="auto"/>
        <w:bottom w:val="none" w:sz="0" w:space="0" w:color="auto"/>
        <w:right w:val="none" w:sz="0" w:space="0" w:color="auto"/>
      </w:divBdr>
    </w:div>
    <w:div w:id="561408446">
      <w:bodyDiv w:val="1"/>
      <w:marLeft w:val="0"/>
      <w:marRight w:val="0"/>
      <w:marTop w:val="0"/>
      <w:marBottom w:val="0"/>
      <w:divBdr>
        <w:top w:val="none" w:sz="0" w:space="0" w:color="auto"/>
        <w:left w:val="none" w:sz="0" w:space="0" w:color="auto"/>
        <w:bottom w:val="none" w:sz="0" w:space="0" w:color="auto"/>
        <w:right w:val="none" w:sz="0" w:space="0" w:color="auto"/>
      </w:divBdr>
    </w:div>
    <w:div w:id="692269451">
      <w:bodyDiv w:val="1"/>
      <w:marLeft w:val="0"/>
      <w:marRight w:val="0"/>
      <w:marTop w:val="0"/>
      <w:marBottom w:val="0"/>
      <w:divBdr>
        <w:top w:val="none" w:sz="0" w:space="0" w:color="auto"/>
        <w:left w:val="none" w:sz="0" w:space="0" w:color="auto"/>
        <w:bottom w:val="none" w:sz="0" w:space="0" w:color="auto"/>
        <w:right w:val="none" w:sz="0" w:space="0" w:color="auto"/>
      </w:divBdr>
    </w:div>
    <w:div w:id="742869962">
      <w:bodyDiv w:val="1"/>
      <w:marLeft w:val="0"/>
      <w:marRight w:val="0"/>
      <w:marTop w:val="0"/>
      <w:marBottom w:val="0"/>
      <w:divBdr>
        <w:top w:val="none" w:sz="0" w:space="0" w:color="auto"/>
        <w:left w:val="none" w:sz="0" w:space="0" w:color="auto"/>
        <w:bottom w:val="none" w:sz="0" w:space="0" w:color="auto"/>
        <w:right w:val="none" w:sz="0" w:space="0" w:color="auto"/>
      </w:divBdr>
    </w:div>
    <w:div w:id="876969807">
      <w:bodyDiv w:val="1"/>
      <w:marLeft w:val="0"/>
      <w:marRight w:val="0"/>
      <w:marTop w:val="0"/>
      <w:marBottom w:val="0"/>
      <w:divBdr>
        <w:top w:val="none" w:sz="0" w:space="0" w:color="auto"/>
        <w:left w:val="none" w:sz="0" w:space="0" w:color="auto"/>
        <w:bottom w:val="none" w:sz="0" w:space="0" w:color="auto"/>
        <w:right w:val="none" w:sz="0" w:space="0" w:color="auto"/>
      </w:divBdr>
    </w:div>
    <w:div w:id="930698808">
      <w:bodyDiv w:val="1"/>
      <w:marLeft w:val="0"/>
      <w:marRight w:val="0"/>
      <w:marTop w:val="0"/>
      <w:marBottom w:val="0"/>
      <w:divBdr>
        <w:top w:val="none" w:sz="0" w:space="0" w:color="auto"/>
        <w:left w:val="none" w:sz="0" w:space="0" w:color="auto"/>
        <w:bottom w:val="none" w:sz="0" w:space="0" w:color="auto"/>
        <w:right w:val="none" w:sz="0" w:space="0" w:color="auto"/>
      </w:divBdr>
    </w:div>
    <w:div w:id="1236625059">
      <w:bodyDiv w:val="1"/>
      <w:marLeft w:val="0"/>
      <w:marRight w:val="0"/>
      <w:marTop w:val="0"/>
      <w:marBottom w:val="0"/>
      <w:divBdr>
        <w:top w:val="none" w:sz="0" w:space="0" w:color="auto"/>
        <w:left w:val="none" w:sz="0" w:space="0" w:color="auto"/>
        <w:bottom w:val="none" w:sz="0" w:space="0" w:color="auto"/>
        <w:right w:val="none" w:sz="0" w:space="0" w:color="auto"/>
      </w:divBdr>
    </w:div>
    <w:div w:id="1245064876">
      <w:bodyDiv w:val="1"/>
      <w:marLeft w:val="0"/>
      <w:marRight w:val="0"/>
      <w:marTop w:val="0"/>
      <w:marBottom w:val="0"/>
      <w:divBdr>
        <w:top w:val="none" w:sz="0" w:space="0" w:color="auto"/>
        <w:left w:val="none" w:sz="0" w:space="0" w:color="auto"/>
        <w:bottom w:val="none" w:sz="0" w:space="0" w:color="auto"/>
        <w:right w:val="none" w:sz="0" w:space="0" w:color="auto"/>
      </w:divBdr>
    </w:div>
    <w:div w:id="1281648886">
      <w:bodyDiv w:val="1"/>
      <w:marLeft w:val="0"/>
      <w:marRight w:val="0"/>
      <w:marTop w:val="0"/>
      <w:marBottom w:val="0"/>
      <w:divBdr>
        <w:top w:val="none" w:sz="0" w:space="0" w:color="auto"/>
        <w:left w:val="none" w:sz="0" w:space="0" w:color="auto"/>
        <w:bottom w:val="none" w:sz="0" w:space="0" w:color="auto"/>
        <w:right w:val="none" w:sz="0" w:space="0" w:color="auto"/>
      </w:divBdr>
    </w:div>
    <w:div w:id="1294483887">
      <w:bodyDiv w:val="1"/>
      <w:marLeft w:val="0"/>
      <w:marRight w:val="0"/>
      <w:marTop w:val="0"/>
      <w:marBottom w:val="0"/>
      <w:divBdr>
        <w:top w:val="none" w:sz="0" w:space="0" w:color="auto"/>
        <w:left w:val="none" w:sz="0" w:space="0" w:color="auto"/>
        <w:bottom w:val="none" w:sz="0" w:space="0" w:color="auto"/>
        <w:right w:val="none" w:sz="0" w:space="0" w:color="auto"/>
      </w:divBdr>
    </w:div>
    <w:div w:id="1338577398">
      <w:bodyDiv w:val="1"/>
      <w:marLeft w:val="0"/>
      <w:marRight w:val="0"/>
      <w:marTop w:val="0"/>
      <w:marBottom w:val="0"/>
      <w:divBdr>
        <w:top w:val="none" w:sz="0" w:space="0" w:color="auto"/>
        <w:left w:val="none" w:sz="0" w:space="0" w:color="auto"/>
        <w:bottom w:val="none" w:sz="0" w:space="0" w:color="auto"/>
        <w:right w:val="none" w:sz="0" w:space="0" w:color="auto"/>
      </w:divBdr>
    </w:div>
    <w:div w:id="1354576923">
      <w:bodyDiv w:val="1"/>
      <w:marLeft w:val="0"/>
      <w:marRight w:val="0"/>
      <w:marTop w:val="0"/>
      <w:marBottom w:val="0"/>
      <w:divBdr>
        <w:top w:val="none" w:sz="0" w:space="0" w:color="auto"/>
        <w:left w:val="none" w:sz="0" w:space="0" w:color="auto"/>
        <w:bottom w:val="none" w:sz="0" w:space="0" w:color="auto"/>
        <w:right w:val="none" w:sz="0" w:space="0" w:color="auto"/>
      </w:divBdr>
    </w:div>
    <w:div w:id="1354960904">
      <w:bodyDiv w:val="1"/>
      <w:marLeft w:val="0"/>
      <w:marRight w:val="0"/>
      <w:marTop w:val="0"/>
      <w:marBottom w:val="0"/>
      <w:divBdr>
        <w:top w:val="none" w:sz="0" w:space="0" w:color="auto"/>
        <w:left w:val="none" w:sz="0" w:space="0" w:color="auto"/>
        <w:bottom w:val="none" w:sz="0" w:space="0" w:color="auto"/>
        <w:right w:val="none" w:sz="0" w:space="0" w:color="auto"/>
      </w:divBdr>
    </w:div>
    <w:div w:id="1355154893">
      <w:bodyDiv w:val="1"/>
      <w:marLeft w:val="0"/>
      <w:marRight w:val="0"/>
      <w:marTop w:val="0"/>
      <w:marBottom w:val="0"/>
      <w:divBdr>
        <w:top w:val="none" w:sz="0" w:space="0" w:color="auto"/>
        <w:left w:val="none" w:sz="0" w:space="0" w:color="auto"/>
        <w:bottom w:val="none" w:sz="0" w:space="0" w:color="auto"/>
        <w:right w:val="none" w:sz="0" w:space="0" w:color="auto"/>
      </w:divBdr>
    </w:div>
    <w:div w:id="1423183881">
      <w:bodyDiv w:val="1"/>
      <w:marLeft w:val="0"/>
      <w:marRight w:val="0"/>
      <w:marTop w:val="0"/>
      <w:marBottom w:val="0"/>
      <w:divBdr>
        <w:top w:val="none" w:sz="0" w:space="0" w:color="auto"/>
        <w:left w:val="none" w:sz="0" w:space="0" w:color="auto"/>
        <w:bottom w:val="none" w:sz="0" w:space="0" w:color="auto"/>
        <w:right w:val="none" w:sz="0" w:space="0" w:color="auto"/>
      </w:divBdr>
    </w:div>
    <w:div w:id="1425226119">
      <w:bodyDiv w:val="1"/>
      <w:marLeft w:val="0"/>
      <w:marRight w:val="0"/>
      <w:marTop w:val="0"/>
      <w:marBottom w:val="0"/>
      <w:divBdr>
        <w:top w:val="none" w:sz="0" w:space="0" w:color="auto"/>
        <w:left w:val="none" w:sz="0" w:space="0" w:color="auto"/>
        <w:bottom w:val="none" w:sz="0" w:space="0" w:color="auto"/>
        <w:right w:val="none" w:sz="0" w:space="0" w:color="auto"/>
      </w:divBdr>
    </w:div>
    <w:div w:id="1455056594">
      <w:bodyDiv w:val="1"/>
      <w:marLeft w:val="0"/>
      <w:marRight w:val="0"/>
      <w:marTop w:val="0"/>
      <w:marBottom w:val="0"/>
      <w:divBdr>
        <w:top w:val="none" w:sz="0" w:space="0" w:color="auto"/>
        <w:left w:val="none" w:sz="0" w:space="0" w:color="auto"/>
        <w:bottom w:val="none" w:sz="0" w:space="0" w:color="auto"/>
        <w:right w:val="none" w:sz="0" w:space="0" w:color="auto"/>
      </w:divBdr>
    </w:div>
    <w:div w:id="1529757128">
      <w:bodyDiv w:val="1"/>
      <w:marLeft w:val="0"/>
      <w:marRight w:val="0"/>
      <w:marTop w:val="0"/>
      <w:marBottom w:val="0"/>
      <w:divBdr>
        <w:top w:val="none" w:sz="0" w:space="0" w:color="auto"/>
        <w:left w:val="none" w:sz="0" w:space="0" w:color="auto"/>
        <w:bottom w:val="none" w:sz="0" w:space="0" w:color="auto"/>
        <w:right w:val="none" w:sz="0" w:space="0" w:color="auto"/>
      </w:divBdr>
    </w:div>
    <w:div w:id="1674185951">
      <w:bodyDiv w:val="1"/>
      <w:marLeft w:val="0"/>
      <w:marRight w:val="0"/>
      <w:marTop w:val="0"/>
      <w:marBottom w:val="0"/>
      <w:divBdr>
        <w:top w:val="none" w:sz="0" w:space="0" w:color="auto"/>
        <w:left w:val="none" w:sz="0" w:space="0" w:color="auto"/>
        <w:bottom w:val="none" w:sz="0" w:space="0" w:color="auto"/>
        <w:right w:val="none" w:sz="0" w:space="0" w:color="auto"/>
      </w:divBdr>
    </w:div>
    <w:div w:id="1901669370">
      <w:bodyDiv w:val="1"/>
      <w:marLeft w:val="0"/>
      <w:marRight w:val="0"/>
      <w:marTop w:val="0"/>
      <w:marBottom w:val="0"/>
      <w:divBdr>
        <w:top w:val="none" w:sz="0" w:space="0" w:color="auto"/>
        <w:left w:val="none" w:sz="0" w:space="0" w:color="auto"/>
        <w:bottom w:val="none" w:sz="0" w:space="0" w:color="auto"/>
        <w:right w:val="none" w:sz="0" w:space="0" w:color="auto"/>
      </w:divBdr>
    </w:div>
    <w:div w:id="1930969502">
      <w:bodyDiv w:val="1"/>
      <w:marLeft w:val="0"/>
      <w:marRight w:val="0"/>
      <w:marTop w:val="0"/>
      <w:marBottom w:val="0"/>
      <w:divBdr>
        <w:top w:val="none" w:sz="0" w:space="0" w:color="auto"/>
        <w:left w:val="none" w:sz="0" w:space="0" w:color="auto"/>
        <w:bottom w:val="none" w:sz="0" w:space="0" w:color="auto"/>
        <w:right w:val="none" w:sz="0" w:space="0" w:color="auto"/>
      </w:divBdr>
    </w:div>
    <w:div w:id="1956519712">
      <w:bodyDiv w:val="1"/>
      <w:marLeft w:val="0"/>
      <w:marRight w:val="0"/>
      <w:marTop w:val="0"/>
      <w:marBottom w:val="0"/>
      <w:divBdr>
        <w:top w:val="none" w:sz="0" w:space="0" w:color="auto"/>
        <w:left w:val="none" w:sz="0" w:space="0" w:color="auto"/>
        <w:bottom w:val="none" w:sz="0" w:space="0" w:color="auto"/>
        <w:right w:val="none" w:sz="0" w:space="0" w:color="auto"/>
      </w:divBdr>
    </w:div>
    <w:div w:id="1994136427">
      <w:bodyDiv w:val="1"/>
      <w:marLeft w:val="0"/>
      <w:marRight w:val="0"/>
      <w:marTop w:val="0"/>
      <w:marBottom w:val="0"/>
      <w:divBdr>
        <w:top w:val="none" w:sz="0" w:space="0" w:color="auto"/>
        <w:left w:val="none" w:sz="0" w:space="0" w:color="auto"/>
        <w:bottom w:val="none" w:sz="0" w:space="0" w:color="auto"/>
        <w:right w:val="none" w:sz="0" w:space="0" w:color="auto"/>
      </w:divBdr>
    </w:div>
    <w:div w:id="2086490158">
      <w:bodyDiv w:val="1"/>
      <w:marLeft w:val="0"/>
      <w:marRight w:val="0"/>
      <w:marTop w:val="0"/>
      <w:marBottom w:val="0"/>
      <w:divBdr>
        <w:top w:val="none" w:sz="0" w:space="0" w:color="auto"/>
        <w:left w:val="none" w:sz="0" w:space="0" w:color="auto"/>
        <w:bottom w:val="none" w:sz="0" w:space="0" w:color="auto"/>
        <w:right w:val="none" w:sz="0" w:space="0" w:color="auto"/>
      </w:divBdr>
    </w:div>
    <w:div w:id="2093895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vargas@barranquilla.gov.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6759BB5E-095A-447D-B26F-AC5262A95B4B}">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E2D92320-D5C9-4127-B6FB-E796DA1E4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2540</TotalTime>
  <Pages>26</Pages>
  <Words>11558</Words>
  <Characters>63570</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Andreina Cerpa Muñoz</cp:lastModifiedBy>
  <cp:revision>146</cp:revision>
  <dcterms:created xsi:type="dcterms:W3CDTF">2023-04-27T20:26:00Z</dcterms:created>
  <dcterms:modified xsi:type="dcterms:W3CDTF">2023-09-01T14:00:00Z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