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69AF" w:rsidR="00502003" w:rsidP="00502003" w:rsidRDefault="00502003" w14:paraId="742D05AE" w14:textId="77777777">
      <w:pPr>
        <w:spacing w:after="0" w:line="240" w:lineRule="auto"/>
        <w:jc w:val="both"/>
        <w:rPr>
          <w:rFonts w:ascii="Arial" w:hAnsi="Arial" w:eastAsia="Calibri" w:cs="Arial"/>
          <w:b/>
          <w:bCs/>
          <w:color w:val="000000" w:themeColor="text1"/>
          <w:lang w:val="es-MX"/>
        </w:rPr>
      </w:pPr>
      <w:bookmarkStart w:name="_Hlk94281581" w:id="0"/>
      <w:bookmarkStart w:name="_Hlk102489058" w:id="1"/>
      <w:bookmarkStart w:name="_Hlk34951122" w:id="2"/>
      <w:r w:rsidRPr="008A0F3C">
        <w:rPr>
          <w:rFonts w:ascii="Arial" w:hAnsi="Arial" w:eastAsia="Calibri" w:cs="Arial"/>
          <w:b/>
          <w:bCs/>
          <w:color w:val="000000" w:themeColor="text1"/>
          <w:lang w:val="es-MX"/>
        </w:rPr>
        <w:t>CONTRATOS Y CONVENIOS – Semejanzas – Diferencias – Contraprestación – Cooperación</w:t>
      </w:r>
      <w:r w:rsidRPr="00A869AF">
        <w:rPr>
          <w:rFonts w:ascii="Arial" w:hAnsi="Arial" w:eastAsia="Calibri" w:cs="Arial"/>
          <w:b/>
          <w:bCs/>
          <w:color w:val="000000" w:themeColor="text1"/>
          <w:lang w:val="es-MX"/>
        </w:rPr>
        <w:t xml:space="preserve"> </w:t>
      </w:r>
    </w:p>
    <w:p w:rsidR="00502003" w:rsidP="00502003" w:rsidRDefault="00502003" w14:paraId="7E3FDFFD" w14:textId="77777777">
      <w:pPr>
        <w:spacing w:after="0" w:line="240" w:lineRule="auto"/>
        <w:jc w:val="both"/>
        <w:rPr>
          <w:rFonts w:ascii="Arial" w:hAnsi="Arial" w:eastAsia="Calibri" w:cs="Arial"/>
          <w:b/>
          <w:bCs/>
          <w:color w:val="000000" w:themeColor="text1"/>
          <w:sz w:val="20"/>
          <w:szCs w:val="20"/>
          <w:lang w:val="es-MX"/>
        </w:rPr>
      </w:pPr>
    </w:p>
    <w:p w:rsidRPr="006A41CF" w:rsidR="00502003" w:rsidP="00502003" w:rsidRDefault="00502003" w14:paraId="7380FB59" w14:textId="77777777">
      <w:pPr>
        <w:spacing w:after="0" w:line="240" w:lineRule="auto"/>
        <w:jc w:val="both"/>
        <w:rPr>
          <w:rFonts w:ascii="Arial" w:hAnsi="Arial" w:eastAsia="Calibri" w:cs="Arial"/>
          <w:bCs/>
          <w:color w:val="000000" w:themeColor="text1"/>
          <w:sz w:val="20"/>
          <w:szCs w:val="20"/>
        </w:rPr>
      </w:pPr>
      <w:r>
        <w:rPr>
          <w:rFonts w:ascii="Arial" w:hAnsi="Arial" w:eastAsia="Calibri" w:cs="Arial"/>
          <w:color w:val="000000" w:themeColor="text1"/>
          <w:sz w:val="20"/>
          <w:szCs w:val="20"/>
        </w:rPr>
        <w:t>L</w:t>
      </w:r>
      <w:r w:rsidRPr="006A41CF">
        <w:rPr>
          <w:rFonts w:ascii="Arial" w:hAnsi="Arial" w:eastAsia="Calibri" w:cs="Arial"/>
          <w:color w:val="000000" w:themeColor="text1"/>
          <w:sz w:val="20"/>
          <w:szCs w:val="20"/>
        </w:rPr>
        <w:t>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sino simplemente que sus diferencias, en determinados casos, no resultan relevantes o determinantes para efectos de definir la aplicación de cierta normativa, como sucede con el alcance de la Ley 996 de 2005. De hecho,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w:t>
      </w:r>
      <w:r>
        <w:rPr>
          <w:rFonts w:ascii="Arial" w:hAnsi="Arial" w:eastAsia="Calibri" w:cs="Arial"/>
          <w:color w:val="000000" w:themeColor="text1"/>
          <w:sz w:val="20"/>
          <w:szCs w:val="20"/>
        </w:rPr>
        <w:t xml:space="preserve"> </w:t>
      </w:r>
      <w:r w:rsidRPr="006A41CF">
        <w:rPr>
          <w:rFonts w:ascii="Arial" w:hAnsi="Arial" w:eastAsia="Calibri" w:cs="Arial"/>
          <w:bCs/>
          <w:color w:val="000000" w:themeColor="text1"/>
          <w:sz w:val="20"/>
          <w:szCs w:val="20"/>
        </w:rPr>
        <w:t xml:space="preserve">Si bien estas tienen un tronco común, se diferencian en su naturaleza y finalidad en la medida en que los </w:t>
      </w:r>
      <w:r w:rsidRPr="006A41CF">
        <w:rPr>
          <w:rFonts w:ascii="Arial" w:hAnsi="Arial" w:eastAsia="Calibri" w:cs="Arial"/>
          <w:bCs/>
          <w:i/>
          <w:iCs/>
          <w:color w:val="000000" w:themeColor="text1"/>
          <w:sz w:val="20"/>
          <w:szCs w:val="20"/>
        </w:rPr>
        <w:t>contratos</w:t>
      </w:r>
      <w:r w:rsidRPr="006A41CF">
        <w:rPr>
          <w:rFonts w:ascii="Arial" w:hAnsi="Arial" w:eastAsia="Calibri" w:cs="Arial"/>
          <w:bCs/>
          <w:color w:val="000000" w:themeColor="text1"/>
          <w:sz w:val="20"/>
          <w:szCs w:val="20"/>
        </w:rPr>
        <w:t xml:space="preserve"> –en general– comportan obligaciones de contenido patrimonial que se traducen en intereses contrapuestos entre las partes pues implican un gravamen a cambio de un beneficio en una relación de carácter conmutativo, mientras que los </w:t>
      </w:r>
      <w:r w:rsidRPr="006A41CF">
        <w:rPr>
          <w:rFonts w:ascii="Arial" w:hAnsi="Arial" w:eastAsia="Calibri" w:cs="Arial"/>
          <w:bCs/>
          <w:i/>
          <w:iCs/>
          <w:color w:val="000000" w:themeColor="text1"/>
          <w:sz w:val="20"/>
          <w:szCs w:val="20"/>
        </w:rPr>
        <w:t>convenios</w:t>
      </w:r>
      <w:r w:rsidRPr="006A41CF">
        <w:rPr>
          <w:rFonts w:ascii="Arial" w:hAnsi="Arial" w:eastAsia="Calibri" w:cs="Arial"/>
          <w:bCs/>
          <w:color w:val="000000" w:themeColor="text1"/>
          <w:sz w:val="20"/>
          <w:szCs w:val="20"/>
        </w:rPr>
        <w:t xml:space="preserve"> involucran la ejecución de actividades en función de un interés común para las partes; si bien se puede pactar remuneración, en esencia se pretende el cumplimiento de fines coincidentes entre quienes lo ejecutan. </w:t>
      </w:r>
    </w:p>
    <w:p w:rsidRPr="006A41CF" w:rsidR="00502003" w:rsidP="00502003" w:rsidRDefault="00502003" w14:paraId="36376AB6" w14:textId="77777777">
      <w:pPr>
        <w:spacing w:after="0" w:line="240" w:lineRule="auto"/>
        <w:jc w:val="both"/>
        <w:rPr>
          <w:rFonts w:ascii="Arial" w:hAnsi="Arial" w:eastAsia="Calibri" w:cs="Arial"/>
          <w:color w:val="000000" w:themeColor="text1"/>
          <w:sz w:val="20"/>
          <w:szCs w:val="20"/>
        </w:rPr>
      </w:pPr>
      <w:r w:rsidRPr="006A41CF">
        <w:rPr>
          <w:rFonts w:ascii="Arial" w:hAnsi="Arial" w:eastAsia="Calibri" w:cs="Arial"/>
          <w:color w:val="000000" w:themeColor="text1"/>
          <w:sz w:val="20"/>
          <w:szCs w:val="20"/>
        </w:rPr>
        <w:t xml:space="preserve"> </w:t>
      </w:r>
    </w:p>
    <w:p w:rsidR="00746BA3" w:rsidP="00FC2D03" w:rsidRDefault="00746BA3" w14:paraId="13C52610" w14:textId="77777777">
      <w:pPr>
        <w:shd w:val="clear" w:color="auto" w:fill="FFFFFF" w:themeFill="background1"/>
        <w:spacing w:after="0"/>
        <w:rPr>
          <w:rFonts w:ascii="Arial" w:hAnsi="Arial" w:eastAsia="Calibri" w:cs="Arial"/>
          <w:b/>
          <w:bCs/>
          <w:color w:val="000000" w:themeColor="text1"/>
          <w:lang w:val="es-MX"/>
        </w:rPr>
      </w:pPr>
    </w:p>
    <w:p w:rsidR="002E656B" w:rsidP="002E656B" w:rsidRDefault="002E656B" w14:paraId="793D392B" w14:textId="77777777">
      <w:pPr>
        <w:spacing w:after="0"/>
        <w:rPr>
          <w:rFonts w:ascii="Arial" w:hAnsi="Arial" w:eastAsia="Geomanist Light" w:cs="Arial"/>
          <w:b/>
          <w:bCs/>
          <w:color w:val="000000" w:themeColor="text1"/>
          <w:lang w:val="es-MX"/>
        </w:rPr>
      </w:pPr>
      <w:r w:rsidRPr="0018158D">
        <w:rPr>
          <w:rFonts w:ascii="Arial" w:hAnsi="Arial" w:eastAsia="Geomanist Light" w:cs="Arial"/>
          <w:b/>
          <w:bCs/>
          <w:color w:val="000000" w:themeColor="text1"/>
          <w:lang w:val="es-MX"/>
        </w:rPr>
        <w:t xml:space="preserve">CONTRATOS O CONVENIOS INTERADMINISTRATIVOS – Definición – Criterio orgánico </w:t>
      </w:r>
    </w:p>
    <w:p w:rsidRPr="0018158D" w:rsidR="002E656B" w:rsidP="002E656B" w:rsidRDefault="002E656B" w14:paraId="3CC70ED9" w14:textId="77777777">
      <w:pPr>
        <w:spacing w:after="0" w:line="240" w:lineRule="auto"/>
        <w:rPr>
          <w:rFonts w:ascii="Arial" w:hAnsi="Arial" w:eastAsia="Geomanist Light" w:cs="Arial"/>
          <w:b/>
          <w:bCs/>
          <w:color w:val="000000" w:themeColor="text1"/>
          <w:sz w:val="20"/>
          <w:szCs w:val="20"/>
          <w:lang w:val="es-MX"/>
        </w:rPr>
      </w:pPr>
    </w:p>
    <w:p w:rsidRPr="0018158D" w:rsidR="002E656B" w:rsidP="002E656B" w:rsidRDefault="002E656B" w14:paraId="3B9167C9" w14:textId="77777777">
      <w:pPr>
        <w:spacing w:after="0" w:line="240" w:lineRule="auto"/>
        <w:jc w:val="both"/>
        <w:rPr>
          <w:rFonts w:ascii="Arial" w:hAnsi="Arial" w:eastAsia="Geomanist Light" w:cs="Arial"/>
          <w:color w:val="000000" w:themeColor="text1"/>
          <w:sz w:val="20"/>
          <w:szCs w:val="20"/>
        </w:rPr>
      </w:pPr>
      <w:r w:rsidRPr="00AB0BF6">
        <w:rPr>
          <w:rFonts w:ascii="Arial" w:hAnsi="Arial" w:eastAsia="Geomanist Light" w:cs="Arial"/>
          <w:color w:val="000000" w:themeColor="text1"/>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AB0BF6" w:rsidR="002E656B" w:rsidP="002E656B" w:rsidRDefault="002E656B" w14:paraId="54475266" w14:textId="77777777">
      <w:pPr>
        <w:spacing w:after="0" w:line="240" w:lineRule="auto"/>
        <w:jc w:val="both"/>
        <w:rPr>
          <w:rFonts w:ascii="Arial" w:hAnsi="Arial" w:eastAsia="Geomanist Light" w:cs="Arial"/>
          <w:color w:val="000000" w:themeColor="text1"/>
          <w:sz w:val="20"/>
          <w:szCs w:val="20"/>
        </w:rPr>
      </w:pPr>
    </w:p>
    <w:p w:rsidR="002E656B" w:rsidP="002E656B" w:rsidRDefault="002E656B" w14:paraId="4F30FEBA" w14:textId="77777777">
      <w:pPr>
        <w:spacing w:after="0" w:line="240" w:lineRule="auto"/>
        <w:jc w:val="both"/>
        <w:rPr>
          <w:rFonts w:ascii="Arial" w:hAnsi="Arial" w:eastAsia="Geomanist Light" w:cs="Arial"/>
          <w:color w:val="000000" w:themeColor="text1"/>
          <w:sz w:val="20"/>
          <w:szCs w:val="20"/>
        </w:rPr>
      </w:pPr>
      <w:r w:rsidRPr="00AB0BF6">
        <w:rPr>
          <w:rFonts w:ascii="Arial" w:hAnsi="Arial" w:eastAsia="Geomanist Light" w:cs="Arial"/>
          <w:color w:val="000000" w:themeColor="text1"/>
          <w:sz w:val="20"/>
          <w:szCs w:val="20"/>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rsidR="00FA21E1" w:rsidP="002E656B" w:rsidRDefault="00FA21E1" w14:paraId="55B58B52" w14:textId="77777777">
      <w:pPr>
        <w:spacing w:after="0" w:line="240" w:lineRule="auto"/>
        <w:jc w:val="both"/>
        <w:rPr>
          <w:rFonts w:ascii="Arial" w:hAnsi="Arial" w:eastAsia="Geomanist Light" w:cs="Arial"/>
          <w:color w:val="000000" w:themeColor="text1"/>
          <w:sz w:val="20"/>
          <w:szCs w:val="20"/>
        </w:rPr>
      </w:pPr>
    </w:p>
    <w:p w:rsidRPr="007A07CB" w:rsidR="00FA21E1" w:rsidP="00FA21E1" w:rsidRDefault="00FA21E1" w14:paraId="629ABC0C" w14:textId="77777777">
      <w:pPr>
        <w:spacing w:after="0" w:line="240" w:lineRule="auto"/>
        <w:contextualSpacing/>
        <w:jc w:val="both"/>
        <w:rPr>
          <w:rFonts w:ascii="Arial" w:hAnsi="Arial" w:cs="Arial"/>
          <w:b/>
          <w:lang w:val="es-ES_tradnl"/>
        </w:rPr>
      </w:pPr>
      <w:r w:rsidRPr="007A07CB">
        <w:rPr>
          <w:rFonts w:ascii="Arial" w:hAnsi="Arial" w:cs="Arial"/>
          <w:b/>
          <w:lang w:val="es-ES_tradnl"/>
        </w:rPr>
        <w:t xml:space="preserve">PRINCIPIO DE SELECCIÓN OBJETIVA – Noción – Normativa – Requisitos habilitantes – Requisitos ponderables </w:t>
      </w:r>
    </w:p>
    <w:p w:rsidR="00FA21E1" w:rsidP="002E656B" w:rsidRDefault="00FA21E1" w14:paraId="35D5B558" w14:textId="77777777">
      <w:pPr>
        <w:spacing w:after="0" w:line="240" w:lineRule="auto"/>
        <w:jc w:val="both"/>
        <w:rPr>
          <w:rFonts w:ascii="Arial" w:hAnsi="Arial" w:eastAsia="Geomanist Light" w:cs="Arial"/>
          <w:color w:val="000000" w:themeColor="text1"/>
          <w:sz w:val="20"/>
          <w:szCs w:val="20"/>
        </w:rPr>
      </w:pPr>
    </w:p>
    <w:p w:rsidRPr="0018158D" w:rsidR="00FA21E1" w:rsidP="002E656B" w:rsidRDefault="00FA21E1" w14:paraId="105F7495" w14:textId="77777777">
      <w:pPr>
        <w:spacing w:after="0" w:line="240" w:lineRule="auto"/>
        <w:jc w:val="both"/>
        <w:rPr>
          <w:rFonts w:ascii="Arial" w:hAnsi="Arial" w:eastAsia="Geomanist Light" w:cs="Arial"/>
          <w:color w:val="000000" w:themeColor="text1"/>
          <w:sz w:val="20"/>
          <w:szCs w:val="20"/>
        </w:rPr>
      </w:pPr>
    </w:p>
    <w:p w:rsidRPr="007D1662" w:rsidR="00B50D7B" w:rsidP="007D1662" w:rsidRDefault="007D1662" w14:paraId="25C2FA0E" w14:textId="61BF1E5B">
      <w:pPr>
        <w:spacing w:after="0" w:line="240" w:lineRule="auto"/>
        <w:jc w:val="both"/>
        <w:rPr>
          <w:rFonts w:ascii="Arial" w:hAnsi="Arial" w:eastAsia="Geomanist Light" w:cs="Arial"/>
          <w:color w:val="000000" w:themeColor="text1"/>
          <w:sz w:val="20"/>
          <w:szCs w:val="20"/>
        </w:rPr>
      </w:pPr>
      <w:r w:rsidRPr="007D1662">
        <w:rPr>
          <w:rFonts w:ascii="Arial" w:hAnsi="Arial" w:eastAsia="Geomanist Light" w:cs="Arial"/>
          <w:color w:val="000000" w:themeColor="text1"/>
          <w:sz w:val="20"/>
          <w:szCs w:val="20"/>
        </w:rPr>
        <w:t>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w:t>
      </w:r>
    </w:p>
    <w:p w:rsidR="00B50D7B" w:rsidP="00FC2D03" w:rsidRDefault="00B50D7B" w14:paraId="45A5B01B" w14:textId="77777777">
      <w:pPr>
        <w:shd w:val="clear" w:color="auto" w:fill="FFFFFF" w:themeFill="background1"/>
        <w:spacing w:after="0"/>
        <w:rPr>
          <w:rFonts w:ascii="Arial" w:hAnsi="Arial" w:eastAsia="Calibri" w:cs="Arial"/>
          <w:b/>
          <w:bCs/>
          <w:color w:val="000000" w:themeColor="text1"/>
          <w:lang w:val="es-MX"/>
        </w:rPr>
      </w:pPr>
    </w:p>
    <w:p w:rsidR="00B50D7B" w:rsidP="003415AF" w:rsidRDefault="003415AF" w14:paraId="45C0E24B" w14:textId="0F6D8C2B">
      <w:pPr>
        <w:spacing w:after="0" w:line="240" w:lineRule="auto"/>
        <w:contextualSpacing/>
        <w:jc w:val="both"/>
        <w:rPr>
          <w:rFonts w:ascii="Arial" w:hAnsi="Arial" w:cs="Arial"/>
          <w:b/>
          <w:lang w:val="es-ES_tradnl"/>
        </w:rPr>
      </w:pPr>
      <w:r w:rsidRPr="003415AF">
        <w:rPr>
          <w:rFonts w:ascii="Arial" w:hAnsi="Arial" w:cs="Arial"/>
          <w:b/>
          <w:lang w:val="es-ES_tradnl"/>
        </w:rPr>
        <w:t>REGISTRO ÚNICO DE PROPONENTES – Finalidad</w:t>
      </w:r>
    </w:p>
    <w:p w:rsidR="00B23059" w:rsidP="003415AF" w:rsidRDefault="00B23059" w14:paraId="1C10963F" w14:textId="77777777">
      <w:pPr>
        <w:spacing w:after="0" w:line="240" w:lineRule="auto"/>
        <w:contextualSpacing/>
        <w:jc w:val="both"/>
        <w:rPr>
          <w:rFonts w:ascii="Arial" w:hAnsi="Arial" w:cs="Arial"/>
          <w:b/>
          <w:lang w:val="es-ES_tradnl"/>
        </w:rPr>
      </w:pPr>
    </w:p>
    <w:p w:rsidRPr="00B23059" w:rsidR="00B23059" w:rsidP="003415AF" w:rsidRDefault="00B23059" w14:paraId="6F808197" w14:textId="695DE5D8">
      <w:pPr>
        <w:spacing w:after="0" w:line="240" w:lineRule="auto"/>
        <w:jc w:val="both"/>
        <w:rPr>
          <w:rFonts w:ascii="Arial" w:hAnsi="Arial" w:eastAsia="Geomanist Light" w:cs="Arial"/>
          <w:color w:val="000000" w:themeColor="text1"/>
          <w:sz w:val="20"/>
          <w:szCs w:val="20"/>
        </w:rPr>
      </w:pPr>
      <w:r w:rsidRPr="00B23059">
        <w:rPr>
          <w:rFonts w:ascii="Arial" w:hAnsi="Arial" w:eastAsia="Geomanist Light" w:cs="Arial"/>
          <w:color w:val="000000" w:themeColor="text1"/>
          <w:sz w:val="20"/>
          <w:szCs w:val="20"/>
        </w:rPr>
        <w:t>[…] 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las circunstancias necesarias.</w:t>
      </w:r>
    </w:p>
    <w:p w:rsidR="00B50D7B" w:rsidP="00FC2D03" w:rsidRDefault="00B50D7B" w14:paraId="50469062" w14:textId="77777777">
      <w:pPr>
        <w:shd w:val="clear" w:color="auto" w:fill="FFFFFF" w:themeFill="background1"/>
        <w:spacing w:after="0"/>
        <w:rPr>
          <w:rFonts w:ascii="Arial" w:hAnsi="Arial" w:eastAsia="Calibri" w:cs="Arial"/>
          <w:b/>
          <w:bCs/>
          <w:color w:val="000000" w:themeColor="text1"/>
          <w:lang w:val="es-MX"/>
        </w:rPr>
      </w:pPr>
    </w:p>
    <w:p w:rsidR="00B50D7B" w:rsidP="00B23059" w:rsidRDefault="00B23059" w14:paraId="6CDC7631" w14:textId="675C110C">
      <w:pPr>
        <w:spacing w:after="0" w:line="240" w:lineRule="auto"/>
        <w:contextualSpacing/>
        <w:jc w:val="both"/>
        <w:rPr>
          <w:rFonts w:ascii="Arial" w:hAnsi="Arial" w:cs="Arial"/>
          <w:b/>
          <w:lang w:val="es-ES_tradnl"/>
        </w:rPr>
      </w:pPr>
      <w:r w:rsidRPr="00B23059">
        <w:rPr>
          <w:rFonts w:ascii="Arial" w:hAnsi="Arial" w:cs="Arial"/>
          <w:b/>
          <w:lang w:val="es-ES_tradnl"/>
        </w:rPr>
        <w:t>CLASIFICADOR DE BIENES Y SERVICIOS DE LAS NACIONES UNIDAS – Normativa</w:t>
      </w:r>
    </w:p>
    <w:p w:rsidRPr="00B6744F" w:rsidR="00B6744F" w:rsidP="00B23059" w:rsidRDefault="00B6744F" w14:paraId="2EDC81AD" w14:textId="77777777">
      <w:pPr>
        <w:spacing w:after="0" w:line="240" w:lineRule="auto"/>
        <w:jc w:val="both"/>
        <w:rPr>
          <w:rFonts w:ascii="Arial" w:hAnsi="Arial" w:eastAsia="Geomanist Light" w:cs="Arial"/>
          <w:color w:val="000000" w:themeColor="text1"/>
          <w:sz w:val="20"/>
          <w:szCs w:val="20"/>
        </w:rPr>
      </w:pPr>
    </w:p>
    <w:p w:rsidRPr="00B6744F" w:rsidR="00B6744F" w:rsidP="00B6744F" w:rsidRDefault="00B6744F" w14:paraId="2A1EE3CC" w14:textId="77777777">
      <w:pPr>
        <w:spacing w:after="0" w:line="240" w:lineRule="auto"/>
        <w:jc w:val="both"/>
        <w:rPr>
          <w:rFonts w:ascii="Arial" w:hAnsi="Arial" w:eastAsia="Geomanist Light" w:cs="Arial"/>
          <w:color w:val="000000" w:themeColor="text1"/>
          <w:sz w:val="20"/>
          <w:szCs w:val="20"/>
        </w:rPr>
      </w:pPr>
      <w:r w:rsidRPr="00B6744F">
        <w:rPr>
          <w:rFonts w:ascii="Arial" w:hAnsi="Arial" w:eastAsia="Geomanist Light" w:cs="Arial"/>
          <w:color w:val="000000" w:themeColor="text1"/>
          <w:sz w:val="20"/>
          <w:szCs w:val="20"/>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p>
    <w:p w:rsidRPr="00B6744F" w:rsidR="00B6744F" w:rsidP="00B6744F" w:rsidRDefault="00B6744F" w14:paraId="7E15E172" w14:textId="77777777">
      <w:pPr>
        <w:spacing w:after="0" w:line="240" w:lineRule="auto"/>
        <w:jc w:val="both"/>
        <w:rPr>
          <w:rFonts w:ascii="Arial" w:hAnsi="Arial" w:eastAsia="Geomanist Light" w:cs="Arial"/>
          <w:color w:val="000000" w:themeColor="text1"/>
          <w:sz w:val="20"/>
          <w:szCs w:val="20"/>
        </w:rPr>
      </w:pPr>
    </w:p>
    <w:p w:rsidRPr="00B6744F" w:rsidR="00B6744F" w:rsidP="00B6744F" w:rsidRDefault="00B6744F" w14:paraId="0F4185A3" w14:textId="2876D88A">
      <w:pPr>
        <w:spacing w:after="0" w:line="240" w:lineRule="auto"/>
        <w:jc w:val="both"/>
        <w:rPr>
          <w:rFonts w:ascii="Arial" w:hAnsi="Arial" w:eastAsia="Geomanist Light" w:cs="Arial"/>
          <w:color w:val="000000" w:themeColor="text1"/>
          <w:sz w:val="20"/>
          <w:szCs w:val="20"/>
        </w:rPr>
      </w:pPr>
      <w:r w:rsidRPr="00B6744F">
        <w:rPr>
          <w:rFonts w:ascii="Arial" w:hAnsi="Arial" w:eastAsia="Geomanist Light" w:cs="Arial"/>
          <w:color w:val="000000" w:themeColor="text1"/>
          <w:sz w:val="20"/>
          <w:szCs w:val="20"/>
        </w:rPr>
        <w:t>Por un lado, 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B6744F">
        <w:rPr>
          <w:rFonts w:ascii="Arial" w:hAnsi="Arial" w:eastAsia="Geomanist Light" w:cs="Arial"/>
          <w:color w:val="000000" w:themeColor="text1"/>
          <w:sz w:val="20"/>
          <w:szCs w:val="20"/>
        </w:rPr>
        <w:t>The</w:t>
      </w:r>
      <w:proofErr w:type="spellEnd"/>
      <w:r w:rsidRPr="00B6744F">
        <w:rPr>
          <w:rFonts w:ascii="Arial" w:hAnsi="Arial" w:eastAsia="Geomanist Light" w:cs="Arial"/>
          <w:color w:val="000000" w:themeColor="text1"/>
          <w:sz w:val="20"/>
          <w:szCs w:val="20"/>
        </w:rPr>
        <w:t xml:space="preserve"> </w:t>
      </w:r>
      <w:proofErr w:type="spellStart"/>
      <w:r w:rsidRPr="00B6744F">
        <w:rPr>
          <w:rFonts w:ascii="Arial" w:hAnsi="Arial" w:eastAsia="Geomanist Light" w:cs="Arial"/>
          <w:color w:val="000000" w:themeColor="text1"/>
          <w:sz w:val="20"/>
          <w:szCs w:val="20"/>
        </w:rPr>
        <w:t>United</w:t>
      </w:r>
      <w:proofErr w:type="spellEnd"/>
      <w:r w:rsidRPr="00B6744F">
        <w:rPr>
          <w:rFonts w:ascii="Arial" w:hAnsi="Arial" w:eastAsia="Geomanist Light" w:cs="Arial"/>
          <w:color w:val="000000" w:themeColor="text1"/>
          <w:sz w:val="20"/>
          <w:szCs w:val="20"/>
        </w:rPr>
        <w:t xml:space="preserve"> </w:t>
      </w:r>
      <w:proofErr w:type="spellStart"/>
      <w:r w:rsidRPr="00B6744F">
        <w:rPr>
          <w:rFonts w:ascii="Arial" w:hAnsi="Arial" w:eastAsia="Geomanist Light" w:cs="Arial"/>
          <w:color w:val="000000" w:themeColor="text1"/>
          <w:sz w:val="20"/>
          <w:szCs w:val="20"/>
        </w:rPr>
        <w:t>Nations</w:t>
      </w:r>
      <w:proofErr w:type="spellEnd"/>
      <w:r w:rsidRPr="00B6744F">
        <w:rPr>
          <w:rFonts w:ascii="Arial" w:hAnsi="Arial" w:eastAsia="Geomanist Light" w:cs="Arial"/>
          <w:color w:val="000000" w:themeColor="text1"/>
          <w:sz w:val="20"/>
          <w:szCs w:val="20"/>
        </w:rPr>
        <w:t xml:space="preserve"> Standard </w:t>
      </w:r>
      <w:proofErr w:type="spellStart"/>
      <w:r w:rsidRPr="00B6744F">
        <w:rPr>
          <w:rFonts w:ascii="Arial" w:hAnsi="Arial" w:eastAsia="Geomanist Light" w:cs="Arial"/>
          <w:color w:val="000000" w:themeColor="text1"/>
          <w:sz w:val="20"/>
          <w:szCs w:val="20"/>
        </w:rPr>
        <w:t>Products</w:t>
      </w:r>
      <w:proofErr w:type="spellEnd"/>
      <w:r w:rsidRPr="00B6744F">
        <w:rPr>
          <w:rFonts w:ascii="Arial" w:hAnsi="Arial" w:eastAsia="Geomanist Light" w:cs="Arial"/>
          <w:color w:val="000000" w:themeColor="text1"/>
          <w:sz w:val="20"/>
          <w:szCs w:val="20"/>
        </w:rPr>
        <w:t xml:space="preserve"> and Services </w:t>
      </w:r>
      <w:proofErr w:type="spellStart"/>
      <w:r w:rsidRPr="00B6744F">
        <w:rPr>
          <w:rFonts w:ascii="Arial" w:hAnsi="Arial" w:eastAsia="Geomanist Light" w:cs="Arial"/>
          <w:color w:val="000000" w:themeColor="text1"/>
          <w:sz w:val="20"/>
          <w:szCs w:val="20"/>
        </w:rPr>
        <w:t>Code</w:t>
      </w:r>
      <w:proofErr w:type="spellEnd"/>
      <w:r w:rsidRPr="00B6744F">
        <w:rPr>
          <w:rFonts w:ascii="Arial" w:hAnsi="Arial" w:eastAsia="Geomanist Light" w:cs="Arial"/>
          <w:color w:val="000000" w:themeColor="text1"/>
          <w:sz w:val="20"/>
          <w:szCs w:val="20"/>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
    <w:p w:rsidR="00B6744F" w:rsidP="00B23059" w:rsidRDefault="00B6744F" w14:paraId="120022B4" w14:textId="77777777">
      <w:pPr>
        <w:spacing w:after="0" w:line="240" w:lineRule="auto"/>
        <w:contextualSpacing/>
        <w:jc w:val="both"/>
        <w:rPr>
          <w:rFonts w:ascii="Arial" w:hAnsi="Arial" w:cs="Arial"/>
          <w:b/>
          <w:lang w:val="es-ES_tradnl"/>
        </w:rPr>
      </w:pPr>
    </w:p>
    <w:p w:rsidR="00B6744F" w:rsidP="00B23059" w:rsidRDefault="005C29DC" w14:paraId="7853C1CA" w14:textId="7893B8AB">
      <w:pPr>
        <w:spacing w:after="0" w:line="240" w:lineRule="auto"/>
        <w:contextualSpacing/>
        <w:jc w:val="both"/>
        <w:rPr>
          <w:rFonts w:ascii="Arial" w:hAnsi="Arial" w:cs="Arial"/>
          <w:b/>
          <w:lang w:val="es-ES_tradnl"/>
        </w:rPr>
      </w:pPr>
      <w:r>
        <w:rPr>
          <w:rFonts w:ascii="Arial" w:hAnsi="Arial" w:cs="Arial"/>
          <w:b/>
          <w:lang w:val="es-ES_tradnl"/>
        </w:rPr>
        <w:t xml:space="preserve">OFERTA </w:t>
      </w:r>
      <w:r w:rsidRPr="00B23059" w:rsidR="00131881">
        <w:rPr>
          <w:rFonts w:ascii="Arial" w:hAnsi="Arial" w:cs="Arial"/>
          <w:b/>
          <w:lang w:val="es-ES_tradnl"/>
        </w:rPr>
        <w:t>–</w:t>
      </w:r>
      <w:r w:rsidR="00131881">
        <w:rPr>
          <w:rFonts w:ascii="Arial" w:hAnsi="Arial" w:cs="Arial"/>
          <w:b/>
          <w:lang w:val="es-ES_tradnl"/>
        </w:rPr>
        <w:t xml:space="preserve"> Irrevocabilidad de la oferta </w:t>
      </w:r>
      <w:r w:rsidRPr="00131881" w:rsidR="00131881">
        <w:rPr>
          <w:rFonts w:ascii="Arial" w:hAnsi="Arial" w:cs="Arial"/>
          <w:b/>
          <w:lang w:val="es-ES_tradnl"/>
        </w:rPr>
        <w:t>–</w:t>
      </w:r>
      <w:r w:rsidR="00131881">
        <w:rPr>
          <w:rFonts w:ascii="Arial" w:hAnsi="Arial" w:cs="Arial"/>
          <w:b/>
          <w:lang w:val="es-ES_tradnl"/>
        </w:rPr>
        <w:t xml:space="preserve"> </w:t>
      </w:r>
      <w:r w:rsidR="00E759F2">
        <w:rPr>
          <w:rFonts w:ascii="Arial" w:hAnsi="Arial" w:cs="Arial"/>
          <w:b/>
          <w:lang w:val="es-ES_tradnl"/>
        </w:rPr>
        <w:t xml:space="preserve">Entidades de régimen especial </w:t>
      </w:r>
      <w:r w:rsidRPr="00E759F2" w:rsidR="00E759F2">
        <w:rPr>
          <w:rFonts w:ascii="Arial" w:hAnsi="Arial" w:cs="Arial"/>
          <w:b/>
          <w:lang w:val="es-ES_tradnl"/>
        </w:rPr>
        <w:t>–</w:t>
      </w:r>
      <w:r w:rsidR="00E759F2">
        <w:rPr>
          <w:rFonts w:ascii="Arial" w:hAnsi="Arial" w:cs="Arial"/>
          <w:b/>
          <w:lang w:val="es-ES_tradnl"/>
        </w:rPr>
        <w:t xml:space="preserve"> </w:t>
      </w:r>
      <w:r w:rsidRPr="00110C64" w:rsidR="00110C64">
        <w:rPr>
          <w:rFonts w:ascii="Arial" w:hAnsi="Arial" w:cs="Arial"/>
          <w:b/>
          <w:lang w:val="es-ES_tradnl"/>
        </w:rPr>
        <w:t>Manual de Contratación</w:t>
      </w:r>
      <w:r w:rsidR="00110C64">
        <w:rPr>
          <w:rFonts w:ascii="Arial" w:hAnsi="Arial" w:cs="Arial"/>
          <w:b/>
          <w:lang w:val="es-ES_tradnl"/>
        </w:rPr>
        <w:t xml:space="preserve"> </w:t>
      </w:r>
    </w:p>
    <w:p w:rsidR="00B6744F" w:rsidP="00B23059" w:rsidRDefault="00B6744F" w14:paraId="305C7413" w14:textId="77777777">
      <w:pPr>
        <w:spacing w:after="0" w:line="240" w:lineRule="auto"/>
        <w:contextualSpacing/>
        <w:jc w:val="both"/>
        <w:rPr>
          <w:rFonts w:ascii="Arial" w:hAnsi="Arial" w:cs="Arial"/>
          <w:b/>
          <w:lang w:val="es-ES_tradnl"/>
        </w:rPr>
      </w:pPr>
    </w:p>
    <w:p w:rsidR="00B6744F" w:rsidP="00B23059" w:rsidRDefault="00B6744F" w14:paraId="0B39208D" w14:textId="77777777">
      <w:pPr>
        <w:spacing w:after="0" w:line="240" w:lineRule="auto"/>
        <w:contextualSpacing/>
        <w:jc w:val="both"/>
        <w:rPr>
          <w:rFonts w:ascii="Arial" w:hAnsi="Arial" w:cs="Arial"/>
          <w:b/>
          <w:lang w:val="es-ES_tradnl"/>
        </w:rPr>
      </w:pPr>
    </w:p>
    <w:p w:rsidRPr="00C728E1" w:rsidR="00C728E1" w:rsidP="00C728E1" w:rsidRDefault="00C728E1" w14:paraId="09AF8A50" w14:textId="77777777">
      <w:pPr>
        <w:spacing w:after="0" w:line="240" w:lineRule="auto"/>
        <w:jc w:val="both"/>
        <w:rPr>
          <w:rFonts w:ascii="Arial" w:hAnsi="Arial" w:eastAsia="Geomanist Light" w:cs="Arial"/>
          <w:color w:val="000000" w:themeColor="text1"/>
          <w:sz w:val="20"/>
          <w:szCs w:val="20"/>
        </w:rPr>
      </w:pPr>
      <w:r w:rsidRPr="00C728E1">
        <w:rPr>
          <w:rFonts w:ascii="Arial" w:hAnsi="Arial" w:eastAsia="Geomanist Light" w:cs="Arial"/>
          <w:color w:val="000000" w:themeColor="text1"/>
          <w:sz w:val="20"/>
          <w:szCs w:val="20"/>
        </w:rPr>
        <w:t>De conformidad con él, anteriormente mencionado, artículo 846 del Código de Comercio, la oferta o propuesta es irrevocable, por lo que una vez presentada el proponente no puede retractarse. Sin perder de vista este precepto legal, debe aclararse que, para el caso de las entidades con régimen especial, en el evento en que éstas adelantan sus procesos de contratación, la oferta no es obligatoria. Sus procedimientos contractuales tienen su normativa propia para su desarrollo, esto es, el derecho privado. Este aspecto se determina en las normas de creación de las entidades de régimen especial y en sus manuales de contratación, es precisamente a través de los referidos manuales de contratación de cada entidad en donde se encontrará las particularidades sobre la vinculatoriedad de la oferta, es decir, las ofertas se evaluarán conforme  a lo reglado en el manual de contratación de la entidad.</w:t>
      </w:r>
    </w:p>
    <w:p w:rsidRPr="00C728E1" w:rsidR="00C728E1" w:rsidP="00C728E1" w:rsidRDefault="00C728E1" w14:paraId="2E59E067" w14:textId="77777777">
      <w:pPr>
        <w:spacing w:after="0" w:line="240" w:lineRule="auto"/>
        <w:jc w:val="both"/>
        <w:rPr>
          <w:rFonts w:ascii="Arial" w:hAnsi="Arial" w:eastAsia="Geomanist Light" w:cs="Arial"/>
          <w:color w:val="000000" w:themeColor="text1"/>
          <w:sz w:val="20"/>
          <w:szCs w:val="20"/>
        </w:rPr>
      </w:pPr>
    </w:p>
    <w:p w:rsidRPr="00C728E1" w:rsidR="00C728E1" w:rsidP="00C728E1" w:rsidRDefault="00C728E1" w14:paraId="490291E1" w14:textId="77777777">
      <w:pPr>
        <w:spacing w:after="0" w:line="240" w:lineRule="auto"/>
        <w:jc w:val="both"/>
        <w:rPr>
          <w:rFonts w:ascii="Arial" w:hAnsi="Arial" w:eastAsia="Geomanist Light" w:cs="Arial"/>
          <w:color w:val="000000" w:themeColor="text1"/>
          <w:sz w:val="20"/>
          <w:szCs w:val="20"/>
        </w:rPr>
      </w:pPr>
      <w:r w:rsidRPr="00C728E1">
        <w:rPr>
          <w:rFonts w:ascii="Arial" w:hAnsi="Arial" w:eastAsia="Geomanist Light" w:cs="Arial"/>
          <w:color w:val="000000" w:themeColor="text1"/>
          <w:sz w:val="20"/>
          <w:szCs w:val="20"/>
        </w:rPr>
        <w:t>Es imperante aclarar que el manual de contratación de las entidades de régimen especial y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rsidR="00B6744F" w:rsidP="00B23059" w:rsidRDefault="00B6744F" w14:paraId="59A89A16" w14:textId="77777777">
      <w:pPr>
        <w:spacing w:after="0" w:line="240" w:lineRule="auto"/>
        <w:contextualSpacing/>
        <w:jc w:val="both"/>
        <w:rPr>
          <w:rFonts w:ascii="Arial" w:hAnsi="Arial" w:cs="Arial"/>
          <w:b/>
          <w:lang w:val="es-ES_tradnl"/>
        </w:rPr>
      </w:pPr>
    </w:p>
    <w:p w:rsidR="00B6744F" w:rsidP="00B23059" w:rsidRDefault="00585768" w14:paraId="19BDC203" w14:textId="03A9438C">
      <w:pPr>
        <w:spacing w:after="0" w:line="240" w:lineRule="auto"/>
        <w:contextualSpacing/>
        <w:jc w:val="both"/>
        <w:rPr>
          <w:rFonts w:ascii="Arial" w:hAnsi="Arial" w:cs="Arial"/>
          <w:b/>
          <w:lang w:val="es-ES_tradnl"/>
        </w:rPr>
      </w:pPr>
      <w:r>
        <w:rPr>
          <w:rFonts w:ascii="Arial" w:hAnsi="Arial" w:cs="Arial"/>
          <w:b/>
          <w:lang w:val="es-ES_tradnl"/>
        </w:rPr>
        <w:t xml:space="preserve">DOCUMENTOS TÉCNICOS ADICIONALES </w:t>
      </w:r>
      <w:r w:rsidR="00C934E1">
        <w:rPr>
          <w:rFonts w:ascii="Arial" w:hAnsi="Arial" w:cs="Arial"/>
          <w:b/>
          <w:lang w:val="es-ES_tradnl"/>
        </w:rPr>
        <w:t>–</w:t>
      </w:r>
      <w:r>
        <w:rPr>
          <w:rFonts w:ascii="Arial" w:hAnsi="Arial" w:cs="Arial"/>
          <w:b/>
          <w:lang w:val="es-ES_tradnl"/>
        </w:rPr>
        <w:t xml:space="preserve"> </w:t>
      </w:r>
      <w:r w:rsidR="00C934E1">
        <w:rPr>
          <w:rFonts w:ascii="Arial" w:hAnsi="Arial" w:cs="Arial"/>
          <w:b/>
          <w:lang w:val="es-ES_tradnl"/>
        </w:rPr>
        <w:t xml:space="preserve">Exigencias técnicas – Lex </w:t>
      </w:r>
      <w:proofErr w:type="spellStart"/>
      <w:r w:rsidR="00C934E1">
        <w:rPr>
          <w:rFonts w:ascii="Arial" w:hAnsi="Arial" w:cs="Arial"/>
          <w:b/>
          <w:lang w:val="es-ES_tradnl"/>
        </w:rPr>
        <w:t>artis</w:t>
      </w:r>
      <w:proofErr w:type="spellEnd"/>
      <w:r w:rsidR="00C934E1">
        <w:rPr>
          <w:rFonts w:ascii="Arial" w:hAnsi="Arial" w:cs="Arial"/>
          <w:b/>
          <w:lang w:val="es-ES_tradnl"/>
        </w:rPr>
        <w:t xml:space="preserve"> </w:t>
      </w:r>
    </w:p>
    <w:p w:rsidR="00B6744F" w:rsidP="00B23059" w:rsidRDefault="00B6744F" w14:paraId="7042FB25" w14:textId="77777777">
      <w:pPr>
        <w:spacing w:after="0" w:line="240" w:lineRule="auto"/>
        <w:contextualSpacing/>
        <w:jc w:val="both"/>
        <w:rPr>
          <w:rFonts w:ascii="Arial" w:hAnsi="Arial" w:cs="Arial"/>
          <w:b/>
          <w:lang w:val="es-ES_tradnl"/>
        </w:rPr>
      </w:pPr>
    </w:p>
    <w:p w:rsidRPr="00576868" w:rsidR="00576868" w:rsidP="00576868" w:rsidRDefault="00576868" w14:paraId="1CC02E5D" w14:textId="77777777">
      <w:pPr>
        <w:spacing w:after="0" w:line="240" w:lineRule="auto"/>
        <w:jc w:val="both"/>
        <w:rPr>
          <w:rFonts w:ascii="Arial" w:hAnsi="Arial" w:eastAsia="Geomanist Light" w:cs="Arial"/>
          <w:color w:val="000000" w:themeColor="text1"/>
          <w:sz w:val="20"/>
          <w:szCs w:val="20"/>
        </w:rPr>
      </w:pPr>
      <w:r w:rsidRPr="00576868">
        <w:rPr>
          <w:rFonts w:ascii="Arial" w:hAnsi="Arial" w:eastAsia="Geomanist Light" w:cs="Arial"/>
          <w:color w:val="000000" w:themeColor="text1"/>
          <w:sz w:val="20"/>
          <w:szCs w:val="20"/>
        </w:rPr>
        <w:t xml:space="preserve">El referido “Anexo 1- Anexo Técnico” describe el contenido mínimo que debe considerar la entidad estatal durante la estructuración del proceso, sin perjuicio de que se requieran aspectos adicionales, acordes con el alcance y magnitud de las obras contenidos en otros documentos. </w:t>
      </w:r>
    </w:p>
    <w:p w:rsidRPr="00576868" w:rsidR="00576868" w:rsidP="00576868" w:rsidRDefault="00576868" w14:paraId="13BF6E52" w14:textId="77777777">
      <w:pPr>
        <w:spacing w:after="0" w:line="240" w:lineRule="auto"/>
        <w:jc w:val="both"/>
        <w:rPr>
          <w:rFonts w:ascii="Arial" w:hAnsi="Arial" w:eastAsia="Geomanist Light" w:cs="Arial"/>
          <w:color w:val="000000" w:themeColor="text1"/>
          <w:sz w:val="20"/>
          <w:szCs w:val="20"/>
        </w:rPr>
      </w:pPr>
    </w:p>
    <w:p w:rsidRPr="00576868" w:rsidR="00B6744F" w:rsidP="00576868" w:rsidRDefault="00576868" w14:paraId="6BED2641" w14:textId="31F7ECAC">
      <w:pPr>
        <w:spacing w:after="0" w:line="240" w:lineRule="auto"/>
        <w:jc w:val="both"/>
        <w:rPr>
          <w:rFonts w:ascii="Arial" w:hAnsi="Arial" w:eastAsia="Geomanist Light" w:cs="Arial"/>
          <w:color w:val="000000" w:themeColor="text1"/>
          <w:sz w:val="20"/>
          <w:szCs w:val="20"/>
        </w:rPr>
      </w:pPr>
      <w:r w:rsidRPr="00576868">
        <w:rPr>
          <w:rFonts w:ascii="Arial" w:hAnsi="Arial" w:eastAsia="Geomanist Light" w:cs="Arial"/>
          <w:color w:val="000000" w:themeColor="text1"/>
          <w:sz w:val="20"/>
          <w:szCs w:val="20"/>
        </w:rPr>
        <w:t xml:space="preserve">Así pues, en cuanto a los requisitos y la determinación de las exigencias técnicas,  y bajo la noción de lex </w:t>
      </w:r>
      <w:proofErr w:type="spellStart"/>
      <w:r w:rsidRPr="00576868">
        <w:rPr>
          <w:rFonts w:ascii="Arial" w:hAnsi="Arial" w:eastAsia="Geomanist Light" w:cs="Arial"/>
          <w:color w:val="000000" w:themeColor="text1"/>
          <w:sz w:val="20"/>
          <w:szCs w:val="20"/>
        </w:rPr>
        <w:t>artis</w:t>
      </w:r>
      <w:proofErr w:type="spellEnd"/>
      <w:r w:rsidRPr="00576868">
        <w:rPr>
          <w:rFonts w:ascii="Arial" w:hAnsi="Arial" w:eastAsia="Geomanist Light" w:cs="Arial"/>
          <w:color w:val="000000" w:themeColor="text1"/>
          <w:sz w:val="20"/>
          <w:szCs w:val="20"/>
        </w:rPr>
        <w:t>, entendida esta como “un contenido ético y técnico científico que dirige la labor, la cual tiene especial trascendencia social y que está marcada por la autonomía”  corresponderá a cada entidad estatal, como estructuradora del proceso de contratación y a su personal técnico,  definir las condiciones y especificaciones sobre las exigencias técnicas y los documentos técnicos adicionales, siempre observando los preceptos del Estatuto General de Contratación de la Administración pública -EGCA- y, de ser aplicables,  los requisitos definidos en los Documentos Tipo.</w:t>
      </w:r>
    </w:p>
    <w:p w:rsidRPr="00576868" w:rsidR="00B6744F" w:rsidP="00B23059" w:rsidRDefault="00B6744F" w14:paraId="7CE35815" w14:textId="77777777">
      <w:pPr>
        <w:spacing w:after="0" w:line="240" w:lineRule="auto"/>
        <w:jc w:val="both"/>
        <w:rPr>
          <w:rFonts w:ascii="Arial" w:hAnsi="Arial" w:eastAsia="Geomanist Light" w:cs="Arial"/>
          <w:color w:val="000000" w:themeColor="text1"/>
          <w:sz w:val="20"/>
          <w:szCs w:val="20"/>
        </w:rPr>
      </w:pPr>
    </w:p>
    <w:p w:rsidR="00B6744F" w:rsidP="00B23059" w:rsidRDefault="00B6744F" w14:paraId="64706128" w14:textId="77777777">
      <w:pPr>
        <w:spacing w:after="0" w:line="240" w:lineRule="auto"/>
        <w:contextualSpacing/>
        <w:jc w:val="both"/>
        <w:rPr>
          <w:rFonts w:ascii="Arial" w:hAnsi="Arial" w:cs="Arial"/>
          <w:b/>
          <w:lang w:val="es-ES_tradnl"/>
        </w:rPr>
      </w:pPr>
    </w:p>
    <w:p w:rsidRPr="006E557E" w:rsidR="006E557E" w:rsidP="006E557E" w:rsidRDefault="006E557E" w14:paraId="0EF110B1" w14:textId="77777777">
      <w:pPr>
        <w:spacing w:after="0" w:line="240" w:lineRule="auto"/>
        <w:contextualSpacing/>
        <w:jc w:val="both"/>
        <w:rPr>
          <w:rFonts w:ascii="Arial" w:hAnsi="Arial" w:cs="Arial"/>
          <w:b/>
          <w:lang w:val="es-ES_tradnl"/>
        </w:rPr>
      </w:pPr>
      <w:r w:rsidRPr="006E557E">
        <w:rPr>
          <w:rFonts w:ascii="Arial" w:hAnsi="Arial" w:cs="Arial"/>
          <w:b/>
          <w:lang w:val="es-ES_tradnl"/>
        </w:rPr>
        <w:t>EXPERIENCIA – Acreditación experiencia – Socios – Sociedades con menos de 3 años de constitución – Proceso de mínima cuantía – Exceptuados – Registro único de proponentes</w:t>
      </w:r>
    </w:p>
    <w:p w:rsidR="00B6744F" w:rsidP="00B23059" w:rsidRDefault="00B6744F" w14:paraId="70CB4472" w14:textId="77777777">
      <w:pPr>
        <w:spacing w:after="0" w:line="240" w:lineRule="auto"/>
        <w:contextualSpacing/>
        <w:jc w:val="both"/>
        <w:rPr>
          <w:rFonts w:ascii="Arial" w:hAnsi="Arial" w:cs="Arial"/>
          <w:b/>
          <w:lang w:val="es-ES_tradnl"/>
        </w:rPr>
      </w:pPr>
    </w:p>
    <w:p w:rsidR="00B6744F" w:rsidP="00B23059" w:rsidRDefault="00B6744F" w14:paraId="4966DF49" w14:textId="77777777">
      <w:pPr>
        <w:spacing w:after="0" w:line="240" w:lineRule="auto"/>
        <w:contextualSpacing/>
        <w:jc w:val="both"/>
        <w:rPr>
          <w:rFonts w:ascii="Arial" w:hAnsi="Arial" w:cs="Arial"/>
          <w:b/>
          <w:lang w:val="es-ES_tradnl"/>
        </w:rPr>
      </w:pPr>
    </w:p>
    <w:p w:rsidRPr="00232C31" w:rsidR="00232C31" w:rsidP="00232C31" w:rsidRDefault="00232C31" w14:paraId="11BDD44B" w14:textId="77777777">
      <w:pPr>
        <w:spacing w:after="0" w:line="240" w:lineRule="auto"/>
        <w:jc w:val="both"/>
        <w:rPr>
          <w:rFonts w:ascii="Arial" w:hAnsi="Arial" w:eastAsia="Geomanist Light" w:cs="Arial"/>
          <w:color w:val="000000" w:themeColor="text1"/>
          <w:sz w:val="20"/>
          <w:szCs w:val="20"/>
        </w:rPr>
      </w:pPr>
      <w:r w:rsidRPr="00232C31">
        <w:rPr>
          <w:rFonts w:ascii="Arial" w:hAnsi="Arial" w:eastAsia="Geomanist Light" w:cs="Arial"/>
          <w:color w:val="000000" w:themeColor="text1"/>
          <w:sz w:val="20"/>
          <w:szCs w:val="20"/>
        </w:rPr>
        <w:t>Así las cosas, frente a la acreditación de la experiencia de los socios, accionistas o constituyentes de una persona jurídica con menos de 3 años de constitución, para participar en los eventos exceptuados al deber de inscripción en el RUP, como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w:t>
      </w:r>
    </w:p>
    <w:p w:rsidRPr="00232C31" w:rsidR="00232C31" w:rsidP="00232C31" w:rsidRDefault="00232C31" w14:paraId="3A85F1CD" w14:textId="77777777">
      <w:pPr>
        <w:spacing w:after="0" w:line="240" w:lineRule="auto"/>
        <w:jc w:val="both"/>
        <w:rPr>
          <w:rFonts w:ascii="Arial" w:hAnsi="Arial" w:eastAsia="Geomanist Light" w:cs="Arial"/>
          <w:color w:val="000000" w:themeColor="text1"/>
          <w:sz w:val="20"/>
          <w:szCs w:val="20"/>
        </w:rPr>
      </w:pPr>
    </w:p>
    <w:p w:rsidRPr="00232C31" w:rsidR="00B6744F" w:rsidP="00232C31" w:rsidRDefault="00232C31" w14:paraId="70373330" w14:textId="3F9A13EC">
      <w:pPr>
        <w:spacing w:after="0" w:line="240" w:lineRule="auto"/>
        <w:jc w:val="both"/>
        <w:rPr>
          <w:rFonts w:ascii="Arial" w:hAnsi="Arial" w:eastAsia="Geomanist Light" w:cs="Arial"/>
          <w:color w:val="000000" w:themeColor="text1"/>
          <w:sz w:val="20"/>
          <w:szCs w:val="20"/>
        </w:rPr>
      </w:pPr>
      <w:r w:rsidRPr="00232C31">
        <w:rPr>
          <w:rFonts w:ascii="Arial" w:hAnsi="Arial" w:eastAsia="Geomanist Light" w:cs="Arial"/>
          <w:color w:val="000000" w:themeColor="text1"/>
          <w:sz w:val="20"/>
          <w:szCs w:val="20"/>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00E34950" w:rsidP="00FC2D03" w:rsidRDefault="00E34950" w14:paraId="4F535F43" w14:textId="77777777">
      <w:pPr>
        <w:shd w:val="clear" w:color="auto" w:fill="FFFFFF" w:themeFill="background1"/>
        <w:spacing w:after="0"/>
        <w:contextualSpacing/>
        <w:jc w:val="both"/>
        <w:rPr>
          <w:rFonts w:ascii="Arial" w:hAnsi="Arial" w:cs="Arial"/>
          <w:b/>
          <w:lang w:val="es-ES_tradnl"/>
        </w:rPr>
      </w:pPr>
    </w:p>
    <w:p w:rsidRPr="003A099B" w:rsidR="003A099B" w:rsidP="003A099B" w:rsidRDefault="003A099B" w14:paraId="693121CD" w14:textId="7016E1C0">
      <w:pPr>
        <w:spacing w:after="0" w:line="240" w:lineRule="auto"/>
        <w:contextualSpacing/>
        <w:jc w:val="both"/>
        <w:rPr>
          <w:rFonts w:ascii="Arial" w:hAnsi="Arial" w:cs="Arial"/>
          <w:b/>
          <w:lang w:val="es-ES_tradnl"/>
        </w:rPr>
      </w:pPr>
      <w:r w:rsidRPr="003A099B">
        <w:rPr>
          <w:rFonts w:ascii="Arial" w:hAnsi="Arial" w:cs="Arial"/>
          <w:b/>
          <w:lang w:val="es-ES_tradnl"/>
        </w:rPr>
        <w:t>CERTIFICACIONES DE SISTEMAS DE GESTIÓN DE CALIDAD – No se pueden exigir como requisito habilitante o puntuable</w:t>
      </w:r>
      <w:r w:rsidR="000E3958">
        <w:rPr>
          <w:rFonts w:ascii="Arial" w:hAnsi="Arial" w:cs="Arial"/>
          <w:b/>
          <w:lang w:val="es-ES_tradnl"/>
        </w:rPr>
        <w:t xml:space="preserve"> </w:t>
      </w:r>
      <w:r w:rsidRPr="000E3958" w:rsidR="000E3958">
        <w:rPr>
          <w:rFonts w:ascii="Arial" w:hAnsi="Arial" w:cs="Arial"/>
          <w:b/>
          <w:lang w:val="es-ES_tradnl"/>
        </w:rPr>
        <w:t>– Entidades de régimen especial</w:t>
      </w:r>
      <w:r w:rsidR="000E3958">
        <w:rPr>
          <w:rFonts w:ascii="Arial" w:hAnsi="Arial" w:cs="Arial"/>
          <w:b/>
          <w:lang w:val="es-ES_tradnl"/>
        </w:rPr>
        <w:t xml:space="preserve"> </w:t>
      </w:r>
    </w:p>
    <w:p w:rsidR="009A6159" w:rsidP="001333B6" w:rsidRDefault="009A6159" w14:paraId="317F7285" w14:textId="77777777">
      <w:pPr>
        <w:spacing w:after="0" w:line="240" w:lineRule="auto"/>
        <w:jc w:val="both"/>
        <w:rPr>
          <w:rFonts w:ascii="Arial" w:hAnsi="Arial" w:eastAsia="Geomanist Light" w:cs="Arial"/>
          <w:color w:val="000000" w:themeColor="text1"/>
          <w:sz w:val="20"/>
          <w:szCs w:val="20"/>
        </w:rPr>
      </w:pPr>
    </w:p>
    <w:p w:rsidRPr="003A099B" w:rsidR="003A099B" w:rsidP="001333B6" w:rsidRDefault="001333B6" w14:paraId="2433FD63" w14:textId="4BFFDAF3">
      <w:pPr>
        <w:spacing w:after="0" w:line="240" w:lineRule="auto"/>
        <w:jc w:val="both"/>
        <w:rPr>
          <w:rFonts w:ascii="Arial" w:hAnsi="Arial" w:eastAsia="Geomanist Light" w:cs="Arial"/>
          <w:color w:val="000000" w:themeColor="text1"/>
          <w:sz w:val="20"/>
          <w:szCs w:val="20"/>
        </w:rPr>
      </w:pPr>
      <w:r w:rsidRPr="001333B6">
        <w:rPr>
          <w:rFonts w:ascii="Arial" w:hAnsi="Arial" w:eastAsia="Geomanist Light" w:cs="Arial"/>
          <w:color w:val="000000" w:themeColor="text1"/>
          <w:sz w:val="20"/>
          <w:szCs w:val="20"/>
        </w:rPr>
        <w:t>Ahora bien, partiendo de que 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 La prohibición prevista en el artículo 5, parágrafo 2, de la Ley 1150 de 2007 no se aplica de manera directa sobre las entidades de régimen especial, precisamente debe observarse las disposiciones consagradas en el mencionado manual de contratación de cada entidad.</w:t>
      </w:r>
    </w:p>
    <w:p w:rsidR="003A099B" w:rsidP="00FC2D03" w:rsidRDefault="003A099B" w14:paraId="64D20C5C" w14:textId="77777777">
      <w:pPr>
        <w:shd w:val="clear" w:color="auto" w:fill="FFFFFF" w:themeFill="background1"/>
        <w:spacing w:after="0"/>
        <w:contextualSpacing/>
        <w:jc w:val="both"/>
        <w:rPr>
          <w:rFonts w:ascii="Arial" w:hAnsi="Arial" w:cs="Arial"/>
          <w:b/>
          <w:lang w:val="es-ES_tradnl"/>
        </w:rPr>
      </w:pPr>
    </w:p>
    <w:p w:rsidR="00232C31" w:rsidP="00FC2D03" w:rsidRDefault="00232C31" w14:paraId="06884613" w14:textId="77777777">
      <w:pPr>
        <w:shd w:val="clear" w:color="auto" w:fill="FFFFFF" w:themeFill="background1"/>
        <w:spacing w:after="0"/>
        <w:contextualSpacing/>
        <w:jc w:val="both"/>
        <w:rPr>
          <w:rFonts w:ascii="Arial" w:hAnsi="Arial" w:cs="Arial"/>
          <w:b/>
          <w:lang w:val="es-ES_tradnl"/>
        </w:rPr>
      </w:pPr>
    </w:p>
    <w:p w:rsidR="00232C31" w:rsidP="00FC2D03" w:rsidRDefault="00232C31" w14:paraId="33AF3E80"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489CF4FA"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637ECB22"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4E0207A8"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153A62F6"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3D0F9780"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52D65B97"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6A0B15B3"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79B87F48"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01710A28"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45E1E5D2"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0B2A78AB"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4ECDE434"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7E94F442"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3E7F6807"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39CC0F63"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46404FE2"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7E554F05"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17C8EDE8"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604E374F"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026E7C9C" w14:textId="77777777">
      <w:pPr>
        <w:shd w:val="clear" w:color="auto" w:fill="FFFFFF" w:themeFill="background1"/>
        <w:spacing w:after="0"/>
        <w:contextualSpacing/>
        <w:jc w:val="both"/>
        <w:rPr>
          <w:rFonts w:ascii="Arial" w:hAnsi="Arial" w:eastAsia="Calibri" w:cs="Arial"/>
          <w:lang w:val="es-ES_tradnl" w:eastAsia="es-ES_tradnl"/>
        </w:rPr>
      </w:pPr>
    </w:p>
    <w:p w:rsidR="003A099B" w:rsidP="53494C6D" w:rsidRDefault="003A099B" w14:paraId="515FB8BE" w14:textId="1A5BAF48">
      <w:pPr>
        <w:shd w:val="clear" w:color="auto" w:fill="FFFFFF" w:themeFill="background1"/>
        <w:spacing w:after="0"/>
        <w:contextualSpacing/>
        <w:jc w:val="both"/>
        <w:rPr>
          <w:rFonts w:ascii="Arial" w:hAnsi="Arial" w:eastAsia="Calibri" w:cs="Arial"/>
          <w:lang w:val="es-ES" w:eastAsia="es-ES"/>
        </w:rPr>
      </w:pPr>
      <w:r w:rsidRPr="53494C6D" w:rsidR="15F948C8">
        <w:rPr>
          <w:rFonts w:ascii="Arial" w:hAnsi="Arial" w:eastAsia="Calibri" w:cs="Arial"/>
          <w:lang w:val="es-ES" w:eastAsia="es-ES"/>
        </w:rPr>
        <w:t>Bogotá D.C., 14 de agosto de 2023</w:t>
      </w:r>
    </w:p>
    <w:p w:rsidR="003A099B" w:rsidP="00FC2D03" w:rsidRDefault="003A099B" w14:paraId="76390577"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2F987FBF"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5237414F" w14:textId="77777777">
      <w:pPr>
        <w:shd w:val="clear" w:color="auto" w:fill="FFFFFF" w:themeFill="background1"/>
        <w:spacing w:after="0"/>
        <w:contextualSpacing/>
        <w:jc w:val="both"/>
        <w:rPr>
          <w:rFonts w:ascii="Arial" w:hAnsi="Arial" w:eastAsia="Calibri" w:cs="Arial"/>
          <w:lang w:val="es-ES_tradnl" w:eastAsia="es-ES_tradnl"/>
        </w:rPr>
      </w:pPr>
    </w:p>
    <w:p w:rsidR="003A099B" w:rsidP="00FC2D03" w:rsidRDefault="003A099B" w14:paraId="21E46597" w14:textId="77777777">
      <w:pPr>
        <w:shd w:val="clear" w:color="auto" w:fill="FFFFFF" w:themeFill="background1"/>
        <w:spacing w:after="0"/>
        <w:contextualSpacing/>
        <w:jc w:val="both"/>
        <w:rPr>
          <w:rFonts w:ascii="Arial" w:hAnsi="Arial" w:eastAsia="Calibri" w:cs="Arial"/>
          <w:lang w:val="es-ES_tradnl" w:eastAsia="es-ES_tradnl"/>
        </w:rPr>
      </w:pPr>
    </w:p>
    <w:p w:rsidRPr="00FC2D03" w:rsidR="003A099B" w:rsidP="00FC2D03" w:rsidRDefault="003A099B" w14:paraId="7F8648E5" w14:textId="77777777">
      <w:pPr>
        <w:shd w:val="clear" w:color="auto" w:fill="FFFFFF" w:themeFill="background1"/>
        <w:spacing w:after="0"/>
        <w:contextualSpacing/>
        <w:jc w:val="both"/>
        <w:rPr>
          <w:rFonts w:ascii="Arial" w:hAnsi="Arial" w:eastAsia="Calibri" w:cs="Arial"/>
          <w:lang w:val="es-ES_tradnl" w:eastAsia="es-ES_tradnl"/>
        </w:rPr>
      </w:pPr>
    </w:p>
    <w:p w:rsidR="008A0F3C" w:rsidP="00C0185E" w:rsidRDefault="00C0185E" w14:paraId="63966F85" w14:textId="5482C265">
      <w:pPr>
        <w:shd w:val="clear" w:color="auto" w:fill="FFFFFF" w:themeFill="background1"/>
        <w:contextualSpacing/>
        <w:jc w:val="right"/>
        <w:rPr>
          <w:rFonts w:ascii="Arial" w:hAnsi="Arial" w:eastAsia="Calibri" w:cs="Arial"/>
          <w:lang w:eastAsia="es-ES_tradnl"/>
        </w:rPr>
      </w:pPr>
      <w:r w:rsidRPr="00C0185E">
        <w:rPr>
          <w:rFonts w:ascii="Arial" w:hAnsi="Arial" w:eastAsia="Calibri" w:cs="Arial"/>
          <w:noProof/>
          <w:lang w:eastAsia="es-ES_tradnl"/>
        </w:rPr>
        <w:drawing>
          <wp:inline distT="0" distB="0" distL="0" distR="0" wp14:anchorId="0040C4D2" wp14:editId="28ABCF68">
            <wp:extent cx="4711700" cy="1041400"/>
            <wp:effectExtent l="0" t="0" r="0" b="6350"/>
            <wp:docPr id="2061567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1700" cy="1041400"/>
                    </a:xfrm>
                    <a:prstGeom prst="rect">
                      <a:avLst/>
                    </a:prstGeom>
                    <a:noFill/>
                    <a:ln>
                      <a:noFill/>
                    </a:ln>
                  </pic:spPr>
                </pic:pic>
              </a:graphicData>
            </a:graphic>
          </wp:inline>
        </w:drawing>
      </w:r>
    </w:p>
    <w:p w:rsidR="008A0F3C" w:rsidP="00FC2D03" w:rsidRDefault="008A0F3C" w14:paraId="67E6663E" w14:textId="77777777">
      <w:pPr>
        <w:shd w:val="clear" w:color="auto" w:fill="FFFFFF" w:themeFill="background1"/>
        <w:contextualSpacing/>
        <w:jc w:val="both"/>
        <w:rPr>
          <w:rFonts w:ascii="Arial" w:hAnsi="Arial" w:eastAsia="Calibri" w:cs="Arial"/>
          <w:lang w:eastAsia="es-ES_tradnl"/>
        </w:rPr>
      </w:pPr>
    </w:p>
    <w:p w:rsidRPr="00FC2D03" w:rsidR="00746BA3" w:rsidP="00FC2D03" w:rsidRDefault="00746BA3" w14:paraId="1B08C936" w14:textId="1D41299E">
      <w:pPr>
        <w:shd w:val="clear" w:color="auto" w:fill="FFFFFF" w:themeFill="background1"/>
        <w:contextualSpacing/>
        <w:jc w:val="both"/>
        <w:rPr>
          <w:rFonts w:ascii="Arial" w:hAnsi="Arial" w:eastAsia="Calibri" w:cs="Arial"/>
          <w:lang w:eastAsia="es-ES_tradnl"/>
        </w:rPr>
      </w:pPr>
      <w:r w:rsidRPr="00FC2D03">
        <w:rPr>
          <w:rFonts w:ascii="Arial" w:hAnsi="Arial" w:eastAsia="Calibri" w:cs="Arial"/>
          <w:lang w:eastAsia="es-ES_tradnl"/>
        </w:rPr>
        <w:t>Señor</w:t>
      </w:r>
    </w:p>
    <w:p w:rsidR="00746BA3" w:rsidP="00FC2D03" w:rsidRDefault="00E43270" w14:paraId="3B1BDF3B" w14:textId="23FED938">
      <w:pPr>
        <w:shd w:val="clear" w:color="auto" w:fill="FFFFFF" w:themeFill="background1"/>
        <w:contextualSpacing/>
        <w:jc w:val="both"/>
        <w:rPr>
          <w:rFonts w:ascii="Arial" w:hAnsi="Arial" w:eastAsia="Calibri" w:cs="Arial"/>
          <w:b/>
          <w:lang w:eastAsia="es-ES_tradnl"/>
        </w:rPr>
      </w:pPr>
      <w:r>
        <w:rPr>
          <w:rFonts w:ascii="Arial" w:hAnsi="Arial" w:eastAsia="Calibri" w:cs="Arial"/>
          <w:b/>
          <w:lang w:eastAsia="es-ES_tradnl"/>
        </w:rPr>
        <w:t xml:space="preserve">Andrés Eduardo Salcedo Camacho </w:t>
      </w:r>
    </w:p>
    <w:p w:rsidRPr="004C1F70" w:rsidR="004C1F70" w:rsidP="00FC2D03" w:rsidRDefault="00000000" w14:paraId="7C2B0B91" w14:textId="142F80B5">
      <w:pPr>
        <w:shd w:val="clear" w:color="auto" w:fill="FFFFFF" w:themeFill="background1"/>
        <w:contextualSpacing/>
        <w:jc w:val="both"/>
        <w:rPr>
          <w:rFonts w:ascii="Arial" w:hAnsi="Arial" w:eastAsia="Calibri" w:cs="Arial"/>
          <w:bCs/>
          <w:lang w:eastAsia="es-ES_tradnl"/>
        </w:rPr>
      </w:pPr>
      <w:hyperlink w:history="1" r:id="rId12">
        <w:r w:rsidRPr="004C1F70" w:rsidR="004C1F70">
          <w:rPr>
            <w:rStyle w:val="Hipervnculo"/>
            <w:rFonts w:ascii="Arial" w:hAnsi="Arial" w:eastAsia="Calibri" w:cs="Arial"/>
            <w:bCs/>
            <w:lang w:eastAsia="es-ES_tradnl"/>
          </w:rPr>
          <w:t>andressc94@gmail.com</w:t>
        </w:r>
      </w:hyperlink>
      <w:r w:rsidRPr="004C1F70" w:rsidR="004C1F70">
        <w:rPr>
          <w:rFonts w:ascii="Arial" w:hAnsi="Arial" w:eastAsia="Calibri" w:cs="Arial"/>
          <w:bCs/>
          <w:lang w:eastAsia="es-ES_tradnl"/>
        </w:rPr>
        <w:t xml:space="preserve"> </w:t>
      </w:r>
    </w:p>
    <w:p w:rsidRPr="00FC2D03" w:rsidR="00746BA3" w:rsidP="00FC2D03" w:rsidRDefault="00746BA3" w14:paraId="04C435A3" w14:textId="77777777">
      <w:pPr>
        <w:shd w:val="clear" w:color="auto" w:fill="FFFFFF" w:themeFill="background1"/>
        <w:contextualSpacing/>
        <w:jc w:val="both"/>
        <w:rPr>
          <w:rFonts w:ascii="Arial" w:hAnsi="Arial" w:eastAsia="Calibri" w:cs="Arial"/>
          <w:bCs/>
          <w:lang w:eastAsia="es-ES_tradnl"/>
        </w:rPr>
      </w:pPr>
      <w:r w:rsidRPr="00FC2D03">
        <w:rPr>
          <w:rFonts w:ascii="Arial" w:hAnsi="Arial" w:eastAsia="Calibri" w:cs="Arial"/>
          <w:lang w:eastAsia="es-ES_tradnl"/>
        </w:rPr>
        <w:t>Bogotá D.C.</w:t>
      </w:r>
      <w:r w:rsidRPr="00FC2D03">
        <w:rPr>
          <w:rFonts w:ascii="Arial" w:hAnsi="Arial" w:eastAsia="Calibri" w:cs="Arial"/>
          <w:bCs/>
          <w:lang w:eastAsia="es-ES_tradnl"/>
        </w:rPr>
        <w:t xml:space="preserve"> </w:t>
      </w:r>
    </w:p>
    <w:p w:rsidRPr="00FC2D03" w:rsidR="00746BA3" w:rsidP="00FC2D03" w:rsidRDefault="00746BA3" w14:paraId="764A5506" w14:textId="77777777">
      <w:pPr>
        <w:shd w:val="clear" w:color="auto" w:fill="FFFFFF" w:themeFill="background1"/>
        <w:contextualSpacing/>
        <w:jc w:val="both"/>
        <w:rPr>
          <w:rFonts w:ascii="Arial" w:hAnsi="Arial" w:eastAsia="Calibri" w:cs="Arial"/>
          <w:lang w:val="es-ES_tradnl" w:eastAsia="es-ES_tradnl"/>
        </w:rPr>
      </w:pPr>
    </w:p>
    <w:p w:rsidRPr="00FC2D03" w:rsidR="00746BA3" w:rsidP="00FC2D03" w:rsidRDefault="00746BA3" w14:paraId="1CACCAD5" w14:textId="77777777">
      <w:pPr>
        <w:shd w:val="clear" w:color="auto" w:fill="FFFFFF" w:themeFill="background1"/>
        <w:contextualSpacing/>
        <w:rPr>
          <w:rFonts w:ascii="Arial" w:hAnsi="Arial" w:eastAsia="Calibri" w:cs="Arial"/>
          <w:b/>
          <w:bCs/>
          <w:lang w:val="es-ES_tradnl" w:eastAsia="es-ES_tradnl"/>
        </w:rPr>
      </w:pPr>
    </w:p>
    <w:p w:rsidRPr="00FC2D03" w:rsidR="00746BA3" w:rsidP="00FC2D03" w:rsidRDefault="00746BA3" w14:paraId="2BEE0667" w14:textId="1FE838C5">
      <w:pPr>
        <w:shd w:val="clear" w:color="auto" w:fill="FFFFFF" w:themeFill="background1"/>
        <w:ind w:left="2124" w:firstLine="570"/>
        <w:contextualSpacing/>
        <w:rPr>
          <w:rFonts w:ascii="Arial" w:hAnsi="Arial" w:eastAsia="Calibri" w:cs="Arial"/>
          <w:b/>
          <w:bCs/>
          <w:lang w:val="es-ES_tradnl" w:eastAsia="es-ES_tradnl"/>
        </w:rPr>
      </w:pPr>
      <w:r w:rsidRPr="00FC2D03">
        <w:rPr>
          <w:rFonts w:ascii="Arial" w:hAnsi="Arial" w:eastAsia="Calibri" w:cs="Arial"/>
          <w:b/>
          <w:bCs/>
          <w:lang w:val="es-ES_tradnl" w:eastAsia="es-ES_tradnl"/>
        </w:rPr>
        <w:t xml:space="preserve">Concepto C – </w:t>
      </w:r>
      <w:r w:rsidR="00E43270">
        <w:rPr>
          <w:rFonts w:ascii="Arial" w:hAnsi="Arial" w:eastAsia="Calibri" w:cs="Arial"/>
          <w:b/>
          <w:bCs/>
          <w:lang w:val="es-ES_tradnl" w:eastAsia="es-ES_tradnl"/>
        </w:rPr>
        <w:t>308</w:t>
      </w:r>
      <w:r w:rsidRPr="00FC2D03">
        <w:rPr>
          <w:rFonts w:ascii="Arial" w:hAnsi="Arial" w:eastAsia="Calibri" w:cs="Arial"/>
          <w:b/>
          <w:bCs/>
          <w:lang w:val="es-ES_tradnl" w:eastAsia="es-ES_tradnl"/>
        </w:rPr>
        <w:t xml:space="preserve"> de 2023</w:t>
      </w:r>
    </w:p>
    <w:p w:rsidRPr="00FC2D03" w:rsidR="00746BA3" w:rsidP="00FC2D03" w:rsidRDefault="00746BA3" w14:paraId="657859A9" w14:textId="77777777">
      <w:pPr>
        <w:shd w:val="clear" w:color="auto" w:fill="FFFFFF" w:themeFill="background1"/>
        <w:contextualSpacing/>
        <w:jc w:val="both"/>
        <w:rPr>
          <w:rFonts w:ascii="Arial" w:hAnsi="Arial"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C2D03" w:rsidR="00746BA3" w:rsidTr="00787D06" w14:paraId="6EBCEAD3" w14:textId="77777777">
        <w:tc>
          <w:tcPr>
            <w:tcW w:w="2689" w:type="dxa"/>
          </w:tcPr>
          <w:p w:rsidRPr="00FC2D03" w:rsidR="00746BA3" w:rsidP="00FC2D03" w:rsidRDefault="00746BA3" w14:paraId="551483BB" w14:textId="77777777">
            <w:pPr>
              <w:shd w:val="clear" w:color="auto" w:fill="FFFFFF" w:themeFill="background1"/>
              <w:contextualSpacing/>
              <w:jc w:val="both"/>
              <w:rPr>
                <w:rFonts w:ascii="Arial" w:hAnsi="Arial" w:eastAsia="Calibri" w:cs="Arial"/>
                <w:lang w:val="es-ES_tradnl" w:eastAsia="es-ES_tradnl"/>
              </w:rPr>
            </w:pPr>
            <w:r w:rsidRPr="00FC2D03">
              <w:rPr>
                <w:rFonts w:ascii="Arial" w:hAnsi="Arial" w:eastAsia="Calibri" w:cs="Arial"/>
                <w:b/>
                <w:lang w:val="es-ES_tradnl" w:eastAsia="es-ES_tradnl"/>
              </w:rPr>
              <w:t>Temas:</w:t>
            </w:r>
            <w:r w:rsidRPr="00FC2D03">
              <w:rPr>
                <w:rFonts w:ascii="Arial" w:hAnsi="Arial" w:eastAsia="Calibri" w:cs="Arial"/>
                <w:lang w:val="es-ES_tradnl" w:eastAsia="es-ES_tradnl"/>
              </w:rPr>
              <w:t xml:space="preserve">                                      </w:t>
            </w:r>
          </w:p>
        </w:tc>
        <w:tc>
          <w:tcPr>
            <w:tcW w:w="6237" w:type="dxa"/>
          </w:tcPr>
          <w:p w:rsidRPr="00E1349B" w:rsidR="00E1349B" w:rsidP="005272CC" w:rsidRDefault="00746BA3" w14:paraId="6B0C47A1" w14:textId="5F809C06">
            <w:pPr>
              <w:jc w:val="both"/>
              <w:rPr>
                <w:rFonts w:ascii="Arial" w:hAnsi="Arial" w:eastAsia="Calibri" w:cs="Arial"/>
                <w:bCs/>
                <w:lang w:val="es-MX" w:eastAsia="es-ES_tradnl"/>
              </w:rPr>
            </w:pPr>
            <w:r w:rsidRPr="00B6744F">
              <w:rPr>
                <w:rFonts w:ascii="Arial" w:hAnsi="Arial" w:eastAsia="Calibri" w:cs="Arial"/>
                <w:bCs/>
                <w:lang w:val="es-MX" w:eastAsia="es-ES_tradnl"/>
              </w:rPr>
              <w:t>CONTRATOS Y CONVENIOS – Semejanzas – Diferencias – Contraprestación – Cooperación</w:t>
            </w:r>
            <w:r w:rsidRPr="00FC2D03">
              <w:rPr>
                <w:rFonts w:ascii="Arial" w:hAnsi="Arial" w:eastAsia="Calibri" w:cs="Arial"/>
                <w:bCs/>
                <w:lang w:val="es-MX" w:eastAsia="es-ES_tradnl"/>
              </w:rPr>
              <w:t xml:space="preserve"> / </w:t>
            </w:r>
            <w:r w:rsidRPr="002E656B" w:rsidR="002E656B">
              <w:rPr>
                <w:rFonts w:ascii="Arial" w:hAnsi="Arial" w:eastAsia="Calibri" w:cs="Arial"/>
                <w:bCs/>
                <w:lang w:val="es-MX" w:eastAsia="es-ES_tradnl"/>
              </w:rPr>
              <w:t>CONTRATOS O CONVENIOS INTERADMINISTRATIVOS – Definición – Criterio orgánico</w:t>
            </w:r>
            <w:r w:rsidR="002E656B">
              <w:rPr>
                <w:rFonts w:ascii="Arial" w:hAnsi="Arial" w:eastAsia="Calibri" w:cs="Arial"/>
                <w:bCs/>
                <w:lang w:val="es-MX" w:eastAsia="es-ES_tradnl"/>
              </w:rPr>
              <w:t xml:space="preserve"> / </w:t>
            </w:r>
            <w:r w:rsidRPr="000B307E" w:rsidR="000B307E">
              <w:rPr>
                <w:rFonts w:ascii="Arial" w:hAnsi="Arial" w:eastAsia="Calibri" w:cs="Arial"/>
                <w:bCs/>
                <w:lang w:val="es-MX" w:eastAsia="es-ES_tradnl"/>
              </w:rPr>
              <w:t>PRINCIPIO DE SELECCIÓN OBJETIVA – Noción – Normativa – Requisitos habilitantes – Requisitos ponderables</w:t>
            </w:r>
            <w:r w:rsidR="000B307E">
              <w:rPr>
                <w:rFonts w:ascii="Arial" w:hAnsi="Arial" w:eastAsia="Calibri" w:cs="Arial"/>
                <w:bCs/>
                <w:lang w:val="es-MX" w:eastAsia="es-ES_tradnl"/>
              </w:rPr>
              <w:t xml:space="preserve"> /</w:t>
            </w:r>
            <w:r w:rsidR="00B6744F">
              <w:t xml:space="preserve"> </w:t>
            </w:r>
            <w:r w:rsidRPr="00B6744F" w:rsidR="00B6744F">
              <w:rPr>
                <w:rFonts w:ascii="Arial" w:hAnsi="Arial" w:eastAsia="Calibri" w:cs="Arial"/>
                <w:bCs/>
                <w:lang w:val="es-MX" w:eastAsia="es-ES_tradnl"/>
              </w:rPr>
              <w:t>REGISTRO ÚNICO DE PROPONENTES – Finalidad</w:t>
            </w:r>
            <w:r w:rsidR="00B6744F">
              <w:rPr>
                <w:rFonts w:ascii="Arial" w:hAnsi="Arial" w:eastAsia="Calibri" w:cs="Arial"/>
                <w:bCs/>
                <w:lang w:val="es-MX" w:eastAsia="es-ES_tradnl"/>
              </w:rPr>
              <w:t xml:space="preserve"> / </w:t>
            </w:r>
            <w:r w:rsidR="000B307E">
              <w:rPr>
                <w:rFonts w:ascii="Arial" w:hAnsi="Arial" w:eastAsia="Calibri" w:cs="Arial"/>
                <w:bCs/>
                <w:lang w:val="es-MX" w:eastAsia="es-ES_tradnl"/>
              </w:rPr>
              <w:t xml:space="preserve"> </w:t>
            </w:r>
            <w:r w:rsidRPr="00B6744F" w:rsidR="00B6744F">
              <w:rPr>
                <w:rFonts w:ascii="Arial" w:hAnsi="Arial" w:eastAsia="Calibri" w:cs="Arial"/>
                <w:bCs/>
                <w:lang w:val="es-MX" w:eastAsia="es-ES_tradnl"/>
              </w:rPr>
              <w:t>CLASIFICADOR DE BIENES Y SERVICIOS DE LAS NACIONES UNIDAS – Normativa</w:t>
            </w:r>
            <w:r w:rsidR="00B6744F">
              <w:rPr>
                <w:rFonts w:ascii="Arial" w:hAnsi="Arial" w:eastAsia="Calibri" w:cs="Arial"/>
                <w:bCs/>
                <w:lang w:val="es-MX" w:eastAsia="es-ES_tradnl"/>
              </w:rPr>
              <w:t xml:space="preserve"> / </w:t>
            </w:r>
            <w:r w:rsidRPr="00110C64" w:rsidR="00110C64">
              <w:rPr>
                <w:rFonts w:ascii="Arial" w:hAnsi="Arial" w:eastAsia="Calibri" w:cs="Arial"/>
                <w:bCs/>
                <w:lang w:val="es-MX" w:eastAsia="es-ES_tradnl"/>
              </w:rPr>
              <w:t>OFERTA – Irrevocabilidad de la oferta – Entidades de régimen especial – Manual de Contratación</w:t>
            </w:r>
            <w:r w:rsidR="00110C64">
              <w:rPr>
                <w:rFonts w:ascii="Arial" w:hAnsi="Arial" w:eastAsia="Calibri" w:cs="Arial"/>
                <w:bCs/>
                <w:lang w:val="es-MX" w:eastAsia="es-ES_tradnl"/>
              </w:rPr>
              <w:t xml:space="preserve"> / </w:t>
            </w:r>
            <w:r w:rsidRPr="00E1349B" w:rsidR="00E1349B">
              <w:rPr>
                <w:rFonts w:ascii="Arial" w:hAnsi="Arial" w:eastAsia="Calibri" w:cs="Arial"/>
                <w:bCs/>
                <w:lang w:val="es-MX" w:eastAsia="es-ES_tradnl"/>
              </w:rPr>
              <w:t xml:space="preserve">DOCUMENTOS TÉCNICOS ADICIONALES – Exigencias técnicas – Lex </w:t>
            </w:r>
            <w:proofErr w:type="spellStart"/>
            <w:r w:rsidRPr="00E1349B" w:rsidR="00E1349B">
              <w:rPr>
                <w:rFonts w:ascii="Arial" w:hAnsi="Arial" w:eastAsia="Calibri" w:cs="Arial"/>
                <w:bCs/>
                <w:lang w:val="es-MX" w:eastAsia="es-ES_tradnl"/>
              </w:rPr>
              <w:t>artis</w:t>
            </w:r>
            <w:proofErr w:type="spellEnd"/>
            <w:r w:rsidRPr="00E1349B" w:rsidR="00E1349B">
              <w:rPr>
                <w:rFonts w:ascii="Arial" w:hAnsi="Arial" w:eastAsia="Calibri" w:cs="Arial"/>
                <w:bCs/>
                <w:lang w:val="es-MX" w:eastAsia="es-ES_tradnl"/>
              </w:rPr>
              <w:t xml:space="preserve"> </w:t>
            </w:r>
            <w:r w:rsidR="007E3582">
              <w:rPr>
                <w:rFonts w:ascii="Arial" w:hAnsi="Arial" w:eastAsia="Calibri" w:cs="Arial"/>
                <w:bCs/>
                <w:lang w:val="es-MX" w:eastAsia="es-ES_tradnl"/>
              </w:rPr>
              <w:t xml:space="preserve">/ </w:t>
            </w:r>
            <w:r w:rsidRPr="004F1F79" w:rsidR="004F1F79">
              <w:rPr>
                <w:rFonts w:ascii="Arial" w:hAnsi="Arial" w:eastAsia="Calibri" w:cs="Arial"/>
                <w:bCs/>
                <w:lang w:val="es-MX" w:eastAsia="es-ES_tradnl"/>
              </w:rPr>
              <w:t>EXPERIENCIA – Acreditación experiencia – Socios – Sociedades con menos de 3 años de constitución – Proceso de mínima cuantía – Exceptuados – Registro único de proponentes</w:t>
            </w:r>
            <w:r w:rsidR="004F1F79">
              <w:rPr>
                <w:rFonts w:ascii="Arial" w:hAnsi="Arial" w:eastAsia="Calibri" w:cs="Arial"/>
                <w:bCs/>
                <w:lang w:val="es-MX" w:eastAsia="es-ES_tradnl"/>
              </w:rPr>
              <w:t xml:space="preserve"> </w:t>
            </w:r>
            <w:r w:rsidR="005272CC">
              <w:rPr>
                <w:rFonts w:ascii="Arial" w:hAnsi="Arial" w:eastAsia="Calibri" w:cs="Arial"/>
                <w:bCs/>
                <w:lang w:val="es-MX" w:eastAsia="es-ES_tradnl"/>
              </w:rPr>
              <w:t xml:space="preserve">/ </w:t>
            </w:r>
            <w:r w:rsidRPr="005272CC" w:rsidR="005272CC">
              <w:rPr>
                <w:rFonts w:ascii="Arial" w:hAnsi="Arial" w:eastAsia="Calibri" w:cs="Arial"/>
                <w:bCs/>
                <w:lang w:val="es-MX" w:eastAsia="es-ES_tradnl"/>
              </w:rPr>
              <w:t>CERTIFICACIONES DE SISTEMAS DE GESTIÓN DE CALIDAD – No se pueden exigir como requisito habilitante o puntuable – Entidades de régimen especial</w:t>
            </w:r>
          </w:p>
          <w:p w:rsidR="00746BA3" w:rsidP="00C1168D" w:rsidRDefault="00746BA3" w14:paraId="1B313D9E" w14:textId="5124EEB0">
            <w:pPr>
              <w:shd w:val="clear" w:color="auto" w:fill="FFFFFF" w:themeFill="background1"/>
              <w:spacing w:after="120"/>
              <w:contextualSpacing/>
              <w:jc w:val="both"/>
              <w:rPr>
                <w:rFonts w:ascii="Arial" w:hAnsi="Arial" w:eastAsia="Calibri" w:cs="Arial"/>
                <w:bCs/>
                <w:lang w:val="es-MX" w:eastAsia="es-ES_tradnl"/>
              </w:rPr>
            </w:pPr>
          </w:p>
          <w:p w:rsidR="000B307E" w:rsidP="00C1168D" w:rsidRDefault="000B307E" w14:paraId="18287C14" w14:textId="77777777">
            <w:pPr>
              <w:shd w:val="clear" w:color="auto" w:fill="FFFFFF" w:themeFill="background1"/>
              <w:spacing w:after="120"/>
              <w:contextualSpacing/>
              <w:jc w:val="both"/>
              <w:rPr>
                <w:rFonts w:ascii="Arial" w:hAnsi="Arial" w:eastAsia="Calibri" w:cs="Arial"/>
                <w:bCs/>
                <w:sz w:val="12"/>
                <w:szCs w:val="12"/>
                <w:lang w:val="es-ES_tradnl" w:eastAsia="es-ES_tradnl"/>
              </w:rPr>
            </w:pPr>
          </w:p>
          <w:p w:rsidRPr="00FC2D03" w:rsidR="000B307E" w:rsidP="00C1168D" w:rsidRDefault="000B307E" w14:paraId="3B595FCC" w14:textId="2A0ABF7E">
            <w:pPr>
              <w:shd w:val="clear" w:color="auto" w:fill="FFFFFF" w:themeFill="background1"/>
              <w:spacing w:after="120"/>
              <w:contextualSpacing/>
              <w:jc w:val="both"/>
              <w:rPr>
                <w:rFonts w:ascii="Arial" w:hAnsi="Arial" w:eastAsia="Calibri" w:cs="Arial"/>
                <w:bCs/>
                <w:sz w:val="12"/>
                <w:szCs w:val="12"/>
                <w:lang w:val="es-ES_tradnl" w:eastAsia="es-ES_tradnl"/>
              </w:rPr>
            </w:pPr>
          </w:p>
        </w:tc>
      </w:tr>
      <w:tr w:rsidRPr="00FC2D03" w:rsidR="00746BA3" w:rsidTr="00787D06" w14:paraId="3B726311" w14:textId="77777777">
        <w:trPr>
          <w:trHeight w:val="227"/>
        </w:trPr>
        <w:tc>
          <w:tcPr>
            <w:tcW w:w="2689" w:type="dxa"/>
          </w:tcPr>
          <w:p w:rsidRPr="00FC2D03" w:rsidR="00746BA3" w:rsidP="00FC2D03" w:rsidRDefault="00746BA3" w14:paraId="6089990F" w14:textId="77777777">
            <w:pPr>
              <w:shd w:val="clear" w:color="auto" w:fill="FFFFFF" w:themeFill="background1"/>
              <w:contextualSpacing/>
              <w:jc w:val="both"/>
              <w:rPr>
                <w:rFonts w:ascii="Arial" w:hAnsi="Arial" w:eastAsia="Calibri" w:cs="Arial"/>
                <w:b/>
                <w:lang w:val="es-ES_tradnl" w:eastAsia="es-ES_tradnl"/>
              </w:rPr>
            </w:pPr>
            <w:r w:rsidRPr="00FC2D03">
              <w:rPr>
                <w:rFonts w:ascii="Arial" w:hAnsi="Arial" w:eastAsia="Calibri" w:cs="Arial"/>
                <w:b/>
                <w:lang w:val="es-ES_tradnl" w:eastAsia="es-ES_tradnl"/>
              </w:rPr>
              <w:t>Radicación:</w:t>
            </w:r>
            <w:r w:rsidRPr="00FC2D03">
              <w:rPr>
                <w:rFonts w:ascii="Arial" w:hAnsi="Arial" w:eastAsia="Calibri" w:cs="Arial"/>
                <w:lang w:val="es-ES_tradnl" w:eastAsia="es-ES_tradnl"/>
              </w:rPr>
              <w:t xml:space="preserve">                             </w:t>
            </w:r>
          </w:p>
        </w:tc>
        <w:tc>
          <w:tcPr>
            <w:tcW w:w="6237" w:type="dxa"/>
          </w:tcPr>
          <w:p w:rsidRPr="00FC2D03" w:rsidR="00746BA3" w:rsidP="00FC2D03" w:rsidRDefault="00746BA3" w14:paraId="19C1D0C2" w14:textId="310690DA">
            <w:pPr>
              <w:shd w:val="clear" w:color="auto" w:fill="FFFFFF" w:themeFill="background1"/>
              <w:contextualSpacing/>
              <w:jc w:val="both"/>
              <w:rPr>
                <w:rFonts w:ascii="Arial" w:hAnsi="Arial" w:eastAsia="Calibri" w:cs="Arial"/>
                <w:lang w:val="es-ES_tradnl" w:eastAsia="es-ES_tradnl"/>
              </w:rPr>
            </w:pPr>
            <w:r w:rsidRPr="00FC2D03">
              <w:rPr>
                <w:rFonts w:ascii="Arial" w:hAnsi="Arial" w:eastAsia="Calibri" w:cs="Arial"/>
                <w:lang w:val="es-ES_tradnl" w:eastAsia="es-ES_tradnl"/>
              </w:rPr>
              <w:t>Respuesta a consulta P2023</w:t>
            </w:r>
            <w:r w:rsidR="00E43270">
              <w:rPr>
                <w:rFonts w:ascii="Arial" w:hAnsi="Arial" w:eastAsia="Calibri" w:cs="Arial"/>
                <w:lang w:val="es-ES_tradnl" w:eastAsia="es-ES_tradnl"/>
              </w:rPr>
              <w:t>0609012246</w:t>
            </w:r>
          </w:p>
        </w:tc>
      </w:tr>
    </w:tbl>
    <w:p w:rsidRPr="00FC2D03" w:rsidR="00746BA3" w:rsidP="00FC2D03" w:rsidRDefault="00746BA3" w14:paraId="2E4F4CAF" w14:textId="77777777">
      <w:pPr>
        <w:shd w:val="clear" w:color="auto" w:fill="FFFFFF" w:themeFill="background1"/>
        <w:contextualSpacing/>
        <w:jc w:val="both"/>
        <w:rPr>
          <w:rFonts w:ascii="Arial" w:hAnsi="Arial" w:eastAsia="Calibri" w:cs="Arial"/>
          <w:lang w:val="es-ES_tradnl" w:eastAsia="es-ES_tradnl"/>
        </w:rPr>
      </w:pPr>
    </w:p>
    <w:p w:rsidRPr="00FC2D03" w:rsidR="00746BA3" w:rsidP="00FC2D03" w:rsidRDefault="00746BA3" w14:paraId="333D9052" w14:textId="77777777">
      <w:pPr>
        <w:shd w:val="clear" w:color="auto" w:fill="FFFFFF" w:themeFill="background1"/>
        <w:contextualSpacing/>
        <w:jc w:val="both"/>
        <w:rPr>
          <w:rFonts w:ascii="Arial" w:hAnsi="Arial" w:eastAsia="Calibri" w:cs="Arial"/>
          <w:lang w:val="es-ES_tradnl" w:eastAsia="es-ES_tradnl"/>
        </w:rPr>
      </w:pPr>
    </w:p>
    <w:p w:rsidRPr="00FC2D03" w:rsidR="00746BA3" w:rsidP="00FC2D03" w:rsidRDefault="00746BA3" w14:paraId="5BD65CD9" w14:textId="5119C6BF">
      <w:pPr>
        <w:shd w:val="clear" w:color="auto" w:fill="FFFFFF" w:themeFill="background1"/>
        <w:contextualSpacing/>
        <w:jc w:val="both"/>
        <w:rPr>
          <w:rFonts w:ascii="Arial" w:hAnsi="Arial" w:eastAsia="Calibri" w:cs="Arial"/>
          <w:lang w:val="es-ES" w:eastAsia="es-ES"/>
        </w:rPr>
      </w:pPr>
      <w:r w:rsidRPr="00FC2D03">
        <w:rPr>
          <w:rFonts w:ascii="Arial" w:hAnsi="Arial" w:eastAsia="Calibri" w:cs="Arial"/>
          <w:lang w:val="es-ES" w:eastAsia="es-ES"/>
        </w:rPr>
        <w:t xml:space="preserve">Respetado señor </w:t>
      </w:r>
      <w:r w:rsidRPr="00FC2D03">
        <w:rPr>
          <w:rFonts w:ascii="Arial" w:hAnsi="Arial" w:eastAsia="Times New Roman" w:cs="Arial"/>
          <w:lang w:eastAsia="es-ES"/>
        </w:rPr>
        <w:t>S</w:t>
      </w:r>
      <w:r w:rsidR="00E43270">
        <w:rPr>
          <w:rFonts w:ascii="Arial" w:hAnsi="Arial" w:eastAsia="Times New Roman" w:cs="Arial"/>
          <w:lang w:eastAsia="es-ES"/>
        </w:rPr>
        <w:t>alcedo</w:t>
      </w:r>
      <w:r w:rsidRPr="00FC2D03">
        <w:rPr>
          <w:rFonts w:ascii="Arial" w:hAnsi="Arial" w:eastAsia="Calibri" w:cs="Arial"/>
          <w:lang w:val="es-ES" w:eastAsia="es-ES"/>
        </w:rPr>
        <w:t xml:space="preserve">: </w:t>
      </w:r>
    </w:p>
    <w:p w:rsidRPr="00FC2D03" w:rsidR="00746BA3" w:rsidP="00FC2D03" w:rsidRDefault="00746BA3" w14:paraId="49B4E07A" w14:textId="77777777">
      <w:pPr>
        <w:shd w:val="clear" w:color="auto" w:fill="FFFFFF" w:themeFill="background1"/>
        <w:spacing w:line="276" w:lineRule="auto"/>
        <w:contextualSpacing/>
        <w:jc w:val="both"/>
        <w:rPr>
          <w:rFonts w:ascii="Arial" w:hAnsi="Arial" w:eastAsia="Calibri" w:cs="Arial"/>
          <w:szCs w:val="24"/>
          <w:lang w:val="es-ES_tradnl" w:eastAsia="es-ES_tradnl"/>
        </w:rPr>
      </w:pPr>
    </w:p>
    <w:bookmarkEnd w:id="0"/>
    <w:bookmarkEnd w:id="1"/>
    <w:p w:rsidRPr="00FC2D03" w:rsidR="00746BA3" w:rsidP="00FC2D03" w:rsidRDefault="00746BA3" w14:paraId="3B147486" w14:textId="378C993F">
      <w:pPr>
        <w:shd w:val="clear" w:color="auto" w:fill="FFFFFF" w:themeFill="background1"/>
        <w:spacing w:after="0" w:line="276" w:lineRule="auto"/>
        <w:jc w:val="both"/>
        <w:rPr>
          <w:rFonts w:ascii="Arial" w:hAnsi="Arial" w:eastAsia="Calibri" w:cs="Arial"/>
          <w:color w:val="000000" w:themeColor="text1"/>
          <w:lang w:val="es-ES_tradnl"/>
        </w:rPr>
      </w:pPr>
      <w:r w:rsidRPr="00FC2D03">
        <w:rPr>
          <w:rFonts w:ascii="Arial" w:hAnsi="Arial"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FC2D03">
        <w:rPr>
          <w:rFonts w:ascii="Arial MT" w:hAnsi="Arial MT" w:eastAsia="Arial MT" w:cs="Arial MT"/>
          <w:lang w:val="es-ES"/>
        </w:rPr>
        <w:t xml:space="preserve">, </w:t>
      </w:r>
      <w:bookmarkEnd w:id="3"/>
      <w:r w:rsidRPr="00FC2D03">
        <w:rPr>
          <w:rFonts w:ascii="Arial" w:hAnsi="Arial" w:eastAsia="Calibri" w:cs="Arial"/>
          <w:color w:val="000000" w:themeColor="text1"/>
          <w:lang w:val="es-ES_tradnl"/>
        </w:rPr>
        <w:t xml:space="preserve">la Agencia Nacional de Contratación Pública – Colombia Compra Eficiente responde la consulta radicada el </w:t>
      </w:r>
      <w:r w:rsidR="00E43270">
        <w:rPr>
          <w:rFonts w:ascii="Arial" w:hAnsi="Arial" w:eastAsia="Calibri" w:cs="Arial"/>
          <w:color w:val="000000" w:themeColor="text1"/>
          <w:lang w:val="es-ES_tradnl"/>
        </w:rPr>
        <w:t>9</w:t>
      </w:r>
      <w:r w:rsidRPr="00FC2D03">
        <w:rPr>
          <w:rFonts w:ascii="Arial" w:hAnsi="Arial" w:eastAsia="Calibri" w:cs="Arial"/>
          <w:color w:val="000000" w:themeColor="text1"/>
          <w:lang w:val="es-ES_tradnl"/>
        </w:rPr>
        <w:t xml:space="preserve"> de </w:t>
      </w:r>
      <w:r w:rsidR="00E43270">
        <w:rPr>
          <w:rFonts w:ascii="Arial" w:hAnsi="Arial" w:eastAsia="Calibri" w:cs="Arial"/>
          <w:color w:val="000000" w:themeColor="text1"/>
          <w:lang w:val="es-ES_tradnl"/>
        </w:rPr>
        <w:t>junio</w:t>
      </w:r>
      <w:r w:rsidRPr="00FC2D03">
        <w:rPr>
          <w:rFonts w:ascii="Arial" w:hAnsi="Arial" w:eastAsia="Calibri" w:cs="Arial"/>
          <w:color w:val="000000" w:themeColor="text1"/>
          <w:lang w:val="es-ES_tradnl"/>
        </w:rPr>
        <w:t xml:space="preserve"> de 2023.</w:t>
      </w:r>
    </w:p>
    <w:p w:rsidRPr="00FC2D03" w:rsidR="00746BA3" w:rsidP="00FC2D03" w:rsidRDefault="00746BA3" w14:paraId="1AC7081B" w14:textId="77777777">
      <w:pPr>
        <w:shd w:val="clear" w:color="auto" w:fill="FFFFFF" w:themeFill="background1"/>
        <w:spacing w:after="0" w:line="276" w:lineRule="auto"/>
        <w:jc w:val="both"/>
        <w:rPr>
          <w:rFonts w:ascii="Arial" w:hAnsi="Arial" w:eastAsia="Calibri" w:cs="Arial"/>
          <w:b/>
          <w:color w:val="000000" w:themeColor="text1"/>
          <w:lang w:val="es-ES_tradnl"/>
        </w:rPr>
      </w:pPr>
    </w:p>
    <w:p w:rsidRPr="00FC2D03" w:rsidR="00746BA3" w:rsidP="00FC2D03" w:rsidRDefault="00746BA3" w14:paraId="608EBBF6" w14:textId="77777777">
      <w:pPr>
        <w:pStyle w:val="Prrafodelista"/>
        <w:numPr>
          <w:ilvl w:val="0"/>
          <w:numId w:val="4"/>
        </w:numPr>
        <w:shd w:val="clear" w:color="auto" w:fill="FFFFFF" w:themeFill="background1"/>
        <w:tabs>
          <w:tab w:val="left" w:pos="0"/>
          <w:tab w:val="left" w:pos="142"/>
          <w:tab w:val="left" w:pos="284"/>
        </w:tabs>
        <w:spacing w:after="0" w:line="276" w:lineRule="auto"/>
        <w:ind w:left="0" w:firstLine="0"/>
        <w:jc w:val="both"/>
        <w:rPr>
          <w:rFonts w:ascii="Arial" w:hAnsi="Arial" w:eastAsia="Calibri" w:cs="Arial"/>
          <w:b/>
          <w:color w:val="000000" w:themeColor="text1"/>
          <w:lang w:val="es-ES_tradnl"/>
        </w:rPr>
      </w:pPr>
      <w:r w:rsidRPr="00FC2D03">
        <w:rPr>
          <w:rFonts w:ascii="Arial" w:hAnsi="Arial" w:eastAsia="Calibri" w:cs="Arial"/>
          <w:b/>
          <w:color w:val="000000" w:themeColor="text1"/>
          <w:lang w:val="es-ES_tradnl"/>
        </w:rPr>
        <w:t xml:space="preserve">Problemas planteados </w:t>
      </w:r>
    </w:p>
    <w:p w:rsidRPr="00FC2D03" w:rsidR="00746BA3" w:rsidP="00FC2D03" w:rsidRDefault="00746BA3" w14:paraId="5ECDC97F" w14:textId="77777777">
      <w:pPr>
        <w:shd w:val="clear" w:color="auto" w:fill="FFFFFF" w:themeFill="background1"/>
        <w:tabs>
          <w:tab w:val="left" w:pos="426"/>
        </w:tabs>
        <w:spacing w:after="0" w:line="276" w:lineRule="auto"/>
        <w:jc w:val="both"/>
        <w:rPr>
          <w:rFonts w:ascii="Arial" w:hAnsi="Arial" w:eastAsia="Calibri" w:cs="Arial"/>
          <w:b/>
          <w:color w:val="000000" w:themeColor="text1"/>
          <w:lang w:val="es-ES_tradnl"/>
        </w:rPr>
      </w:pPr>
    </w:p>
    <w:p w:rsidRPr="00FC2D03" w:rsidR="00746BA3" w:rsidP="00FC2D03" w:rsidRDefault="00746BA3" w14:paraId="17B7F404" w14:textId="270E6097">
      <w:pPr>
        <w:shd w:val="clear" w:color="auto" w:fill="FFFFFF" w:themeFill="background1"/>
        <w:spacing w:after="0" w:line="276" w:lineRule="auto"/>
        <w:jc w:val="both"/>
        <w:rPr>
          <w:color w:val="000000" w:themeColor="text1"/>
        </w:rPr>
      </w:pPr>
      <w:r w:rsidRPr="00FC2D03">
        <w:rPr>
          <w:rFonts w:ascii="Arial" w:hAnsi="Arial" w:cs="Arial"/>
          <w:color w:val="000000" w:themeColor="text1"/>
          <w:lang w:val="es-ES_tradnl"/>
        </w:rPr>
        <w:t xml:space="preserve">De acuerdo con el marco normativo para la </w:t>
      </w:r>
      <w:r w:rsidR="00E43270">
        <w:rPr>
          <w:rFonts w:ascii="Arial" w:hAnsi="Arial" w:cs="Arial"/>
          <w:color w:val="000000" w:themeColor="text1"/>
          <w:lang w:val="es-ES_tradnl"/>
        </w:rPr>
        <w:t>celebración de contratos y convenios interadministrativos y el principio de selección objetiva</w:t>
      </w:r>
      <w:r w:rsidRPr="00FC2D03">
        <w:rPr>
          <w:rFonts w:ascii="Arial" w:hAnsi="Arial" w:cs="Arial"/>
          <w:color w:val="000000" w:themeColor="text1"/>
          <w:lang w:val="es-ES_tradnl"/>
        </w:rPr>
        <w:t xml:space="preserve">, </w:t>
      </w:r>
      <w:r w:rsidR="00E43270">
        <w:rPr>
          <w:rFonts w:ascii="Arial" w:hAnsi="Arial" w:cs="Arial"/>
          <w:color w:val="000000" w:themeColor="text1"/>
          <w:lang w:val="es-ES_tradnl"/>
        </w:rPr>
        <w:t xml:space="preserve">entre otros temas generales derivados del régimen de contratación estatal, </w:t>
      </w:r>
      <w:r w:rsidRPr="00FC2D03">
        <w:rPr>
          <w:rFonts w:ascii="Arial" w:hAnsi="Arial" w:cs="Arial"/>
          <w:color w:val="000000" w:themeColor="text1"/>
          <w:lang w:val="es-ES_tradnl"/>
        </w:rPr>
        <w:t>usted realiza las siguientes preguntas:</w:t>
      </w:r>
      <w:r w:rsidRPr="00FC2D03">
        <w:rPr>
          <w:color w:val="000000" w:themeColor="text1"/>
        </w:rPr>
        <w:t xml:space="preserve"> </w:t>
      </w:r>
    </w:p>
    <w:p w:rsidRPr="00FC2D03" w:rsidR="00746BA3" w:rsidP="00FC2D03" w:rsidRDefault="00746BA3" w14:paraId="0718FFFE" w14:textId="77777777">
      <w:pPr>
        <w:shd w:val="clear" w:color="auto" w:fill="FFFFFF" w:themeFill="background1"/>
        <w:spacing w:after="0" w:line="276" w:lineRule="auto"/>
        <w:jc w:val="both"/>
        <w:rPr>
          <w:color w:val="000000" w:themeColor="text1"/>
        </w:rPr>
      </w:pPr>
    </w:p>
    <w:p w:rsidRPr="00E43270" w:rsidR="00E43270" w:rsidP="00E43270" w:rsidRDefault="00746BA3" w14:paraId="4484A403" w14:textId="2CEE2549">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w:t>
      </w:r>
      <w:r w:rsidRPr="00E43270" w:rsidR="00E43270">
        <w:rPr>
          <w:rFonts w:ascii="Arial" w:hAnsi="Arial" w:cs="Arial"/>
          <w:color w:val="000000" w:themeColor="text1"/>
          <w:sz w:val="21"/>
          <w:szCs w:val="21"/>
          <w:lang w:val="es-ES_tradnl"/>
        </w:rPr>
        <w:t>1. ¿Existe alguna diferencia entre un convenio interadministrativo y un contrato</w:t>
      </w:r>
      <w:r w:rsidR="00E43270">
        <w:rPr>
          <w:rFonts w:ascii="Arial" w:hAnsi="Arial" w:cs="Arial"/>
          <w:color w:val="000000" w:themeColor="text1"/>
          <w:sz w:val="21"/>
          <w:szCs w:val="21"/>
          <w:lang w:val="es-ES_tradnl"/>
        </w:rPr>
        <w:t xml:space="preserve"> </w:t>
      </w:r>
      <w:r w:rsidRPr="00E43270" w:rsidR="00E43270">
        <w:rPr>
          <w:rFonts w:ascii="Arial" w:hAnsi="Arial" w:cs="Arial"/>
          <w:color w:val="000000" w:themeColor="text1"/>
          <w:sz w:val="21"/>
          <w:szCs w:val="21"/>
          <w:lang w:val="es-ES_tradnl"/>
        </w:rPr>
        <w:t>interadministrativo?</w:t>
      </w:r>
    </w:p>
    <w:p w:rsidRPr="00E43270" w:rsidR="00E43270" w:rsidP="00E43270" w:rsidRDefault="00E43270" w14:paraId="77E09918" w14:textId="330020FF">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2. ¿Qué requisitos deben cumplir las entidades para celebrar contratos y</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 xml:space="preserve">convenios interadministrativos? ¿En </w:t>
      </w:r>
      <w:proofErr w:type="spellStart"/>
      <w:r w:rsidRPr="00E43270">
        <w:rPr>
          <w:rFonts w:ascii="Arial" w:hAnsi="Arial" w:cs="Arial"/>
          <w:color w:val="000000" w:themeColor="text1"/>
          <w:sz w:val="21"/>
          <w:szCs w:val="21"/>
          <w:lang w:val="es-ES_tradnl"/>
        </w:rPr>
        <w:t>que</w:t>
      </w:r>
      <w:proofErr w:type="spellEnd"/>
      <w:r w:rsidRPr="00E43270">
        <w:rPr>
          <w:rFonts w:ascii="Arial" w:hAnsi="Arial" w:cs="Arial"/>
          <w:color w:val="000000" w:themeColor="text1"/>
          <w:sz w:val="21"/>
          <w:szCs w:val="21"/>
          <w:lang w:val="es-ES_tradnl"/>
        </w:rPr>
        <w:t xml:space="preserve"> normas se encuentran regulados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estos requisitos?</w:t>
      </w:r>
    </w:p>
    <w:p w:rsidRPr="00E43270" w:rsidR="00E43270" w:rsidP="00E43270" w:rsidRDefault="00E43270" w14:paraId="7F5679FE" w14:textId="2C713DC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 xml:space="preserve">3. ¿Cómo garantizar la pluralidad de oferentes y el principio de </w:t>
      </w:r>
      <w:proofErr w:type="spellStart"/>
      <w:r w:rsidRPr="00E43270">
        <w:rPr>
          <w:rFonts w:ascii="Arial" w:hAnsi="Arial" w:cs="Arial"/>
          <w:color w:val="000000" w:themeColor="text1"/>
          <w:sz w:val="21"/>
          <w:szCs w:val="21"/>
          <w:lang w:val="es-ES_tradnl"/>
        </w:rPr>
        <w:t>selecciónobjetiva</w:t>
      </w:r>
      <w:proofErr w:type="spellEnd"/>
      <w:r w:rsidRPr="00E43270">
        <w:rPr>
          <w:rFonts w:ascii="Arial" w:hAnsi="Arial" w:cs="Arial"/>
          <w:color w:val="000000" w:themeColor="text1"/>
          <w:sz w:val="21"/>
          <w:szCs w:val="21"/>
          <w:lang w:val="es-ES_tradnl"/>
        </w:rPr>
        <w:t xml:space="preserve"> cuando se celebran contratos y convenios interadministrativos?</w:t>
      </w:r>
    </w:p>
    <w:p w:rsidRPr="00E43270" w:rsidR="00E43270" w:rsidP="00E43270" w:rsidRDefault="00E43270" w14:paraId="5B2593A9" w14:textId="40B06256">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¿Cómo evitar que los contratos y convenios interadministrativos sean usados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para eludir los procesos de selección objetiva, tales como la licitación,</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selección abreviada, mínima cuantía, entre otros?</w:t>
      </w:r>
    </w:p>
    <w:p w:rsidR="00E43270" w:rsidP="00E43270" w:rsidRDefault="00E43270" w14:paraId="65217223" w14:textId="13150FD6">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4. ¿Es válido que las entidades públicas restrinjan la participación de oferentes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al exigir que los contratos registrados en el RUP tengan determinados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códigos UNSPSC, aun cuando al mismo tiempo la entidad pida</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certificaciones de experiencia de dichos contratos, donde podrá validar de</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forma adecuada el objeto de los contratos aportados por el oferente y, por</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ende, la idoneidad de dicha experiencia?</w:t>
      </w:r>
    </w:p>
    <w:p w:rsidR="00E43270" w:rsidP="00E43270" w:rsidRDefault="00E43270" w14:paraId="1B5746F2" w14:textId="22397185">
      <w:pPr>
        <w:shd w:val="clear" w:color="auto" w:fill="FFFFFF" w:themeFill="background1"/>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p>
    <w:p w:rsidRPr="00E43270" w:rsidR="00E43270" w:rsidP="00E43270" w:rsidRDefault="00E43270" w14:paraId="62251A34" w14:textId="50154811">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6. En caso de entidades con regímenes especiales de contratación ¿La</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presentación de la oferta por parte del oferente es vinculante para la entidad?</w:t>
      </w:r>
    </w:p>
    <w:p w:rsidR="00E43270" w:rsidP="00E43270" w:rsidRDefault="00E43270" w14:paraId="50029B93" w14:textId="1538814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¿Es obligatorio que este tipo de entidades con régimen especial adjudiquen</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procesos de contratación una vez recibidas las ofertas?</w:t>
      </w:r>
    </w:p>
    <w:p w:rsidR="00E43270" w:rsidP="00E43270" w:rsidRDefault="00E43270" w14:paraId="7131600B"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p>
    <w:p w:rsidRPr="00274852" w:rsidR="00274852" w:rsidP="00274852" w:rsidRDefault="00274852" w14:paraId="785C3F07" w14:textId="1D8C72FC">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8. ¿Qué requisitos deben cumplir las entidades para justificar las exigencias</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técnicas dentro de un proceso de contratación?</w:t>
      </w:r>
    </w:p>
    <w:p w:rsidRPr="00274852" w:rsidR="00274852" w:rsidP="00274852" w:rsidRDefault="00274852" w14:paraId="7CEAE763" w14:textId="07D9F583">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9. ¿En qué momento determinada exigencia técnica sobre un producto 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servicio vulnera el principio de pluralidad de oferentes o de selección</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objetiva?</w:t>
      </w:r>
    </w:p>
    <w:p w:rsidRPr="00274852" w:rsidR="00274852" w:rsidP="00274852" w:rsidRDefault="00274852" w14:paraId="780C6A50" w14:textId="7798AA23">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10. En virtud de los conceptos de Colombia Compra Eficiente sobre la posibilidad</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de seguir utilizando la experiencia registrada en el RUP de un oferente 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través de sus socios, aun cuando hayan pasado más de tres años de</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constitución, ¿Es viable que la experiencia de los socios, aun cuando la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empresa haya cumplido más de tres años de constitución, pueda ser utilizada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por el oferente en procesos de mínima cuantía donde no se exija el RUP?</w:t>
      </w:r>
    </w:p>
    <w:p w:rsidRPr="00274852" w:rsidR="00746BA3" w:rsidP="00274852" w:rsidRDefault="00274852" w14:paraId="698F6C05" w14:textId="75A7D40F">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11. ¿Las entidades con régimen especial de contratación pueden solicitar como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requisito habilitante o ponderable certificaciones de calidad, aun cuando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dicha exigencia esté prohibida de acuerdo con lo dispuesto en la Ley 1150</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de 2007?</w:t>
      </w:r>
      <w:r w:rsidRPr="00FC2D03" w:rsidR="00746BA3">
        <w:rPr>
          <w:rFonts w:ascii="Arial" w:hAnsi="Arial" w:cs="Arial"/>
          <w:color w:val="000000" w:themeColor="text1"/>
          <w:sz w:val="21"/>
          <w:szCs w:val="21"/>
        </w:rPr>
        <w:t>”.</w:t>
      </w:r>
    </w:p>
    <w:p w:rsidRPr="00FC2D03" w:rsidR="00746BA3" w:rsidP="00FC2D03" w:rsidRDefault="00746BA3" w14:paraId="3E2FFC18" w14:textId="77777777">
      <w:pPr>
        <w:shd w:val="clear" w:color="auto" w:fill="FFFFFF" w:themeFill="background1"/>
        <w:spacing w:after="0" w:line="276" w:lineRule="auto"/>
        <w:ind w:right="709"/>
        <w:jc w:val="both"/>
        <w:rPr>
          <w:rFonts w:ascii="Arial" w:hAnsi="Arial" w:cs="Arial"/>
          <w:color w:val="000000" w:themeColor="text1"/>
          <w:sz w:val="21"/>
          <w:szCs w:val="21"/>
        </w:rPr>
      </w:pPr>
    </w:p>
    <w:p w:rsidRPr="00FC2D03" w:rsidR="00746BA3" w:rsidP="00FC2D03" w:rsidRDefault="00746BA3" w14:paraId="51E6FD5C" w14:textId="77777777">
      <w:pPr>
        <w:pStyle w:val="Prrafodelista"/>
        <w:numPr>
          <w:ilvl w:val="0"/>
          <w:numId w:val="4"/>
        </w:numPr>
        <w:shd w:val="clear" w:color="auto" w:fill="FFFFFF" w:themeFill="background1"/>
        <w:tabs>
          <w:tab w:val="left" w:pos="0"/>
          <w:tab w:val="left" w:pos="284"/>
        </w:tabs>
        <w:spacing w:after="0" w:line="240" w:lineRule="auto"/>
        <w:ind w:left="0" w:firstLine="0"/>
        <w:jc w:val="both"/>
        <w:rPr>
          <w:rFonts w:ascii="Arial" w:hAnsi="Arial" w:eastAsia="Calibri" w:cs="Arial"/>
          <w:b/>
          <w:color w:val="000000" w:themeColor="text1"/>
          <w:lang w:val="es-ES_tradnl"/>
        </w:rPr>
      </w:pPr>
      <w:r w:rsidRPr="00FC2D03">
        <w:rPr>
          <w:rFonts w:ascii="Arial" w:hAnsi="Arial" w:eastAsia="Calibri" w:cs="Arial"/>
          <w:b/>
          <w:color w:val="000000" w:themeColor="text1"/>
          <w:lang w:val="es-ES_tradnl"/>
        </w:rPr>
        <w:t>Consideraciones</w:t>
      </w:r>
    </w:p>
    <w:p w:rsidR="00746BA3" w:rsidP="00FC2D03" w:rsidRDefault="00746BA3" w14:paraId="259287B1" w14:textId="77777777">
      <w:pPr>
        <w:shd w:val="clear" w:color="auto" w:fill="FFFFFF" w:themeFill="background1"/>
        <w:spacing w:after="0" w:line="276" w:lineRule="auto"/>
        <w:jc w:val="both"/>
        <w:rPr>
          <w:rFonts w:ascii="Arial" w:hAnsi="Arial" w:eastAsia="Calibri" w:cs="Arial"/>
          <w:color w:val="000000" w:themeColor="text1"/>
          <w:lang w:val="es-ES"/>
        </w:rPr>
      </w:pPr>
    </w:p>
    <w:p w:rsidR="004C1F70" w:rsidP="00FC2D03" w:rsidRDefault="004C1F70" w14:paraId="5A648560" w14:textId="48B6B24A">
      <w:pPr>
        <w:shd w:val="clear" w:color="auto" w:fill="FFFFFF" w:themeFill="background1"/>
        <w:spacing w:after="0" w:line="276" w:lineRule="auto"/>
        <w:jc w:val="both"/>
        <w:rPr>
          <w:rFonts w:ascii="Arial" w:hAnsi="Arial" w:cs="Arial"/>
        </w:rPr>
      </w:pPr>
      <w:r w:rsidRPr="00A66965">
        <w:rPr>
          <w:rFonts w:ascii="Arial" w:hAnsi="Arial" w:eastAsia="Calibri" w:cs="Arial"/>
          <w:lang w:val="es-MX"/>
        </w:rPr>
        <w:t xml:space="preserve">De acuerdo con </w:t>
      </w:r>
      <w:r w:rsidRPr="00A66965">
        <w:rPr>
          <w:rFonts w:ascii="Arial" w:hAnsi="Arial" w:cs="Arial"/>
        </w:rPr>
        <w:t xml:space="preserve">las facultades otorgadas por el numeral 5 del artículo 3 y el numeral 8 del artículo 11 del Decreto 4170 de 2011, la Agencia Nacional de Contratación Pública tiene competencia para atender consultas relativas a temas contractuales, pero solo para </w:t>
      </w:r>
      <w:r>
        <w:rPr>
          <w:rFonts w:ascii="Arial" w:hAnsi="Arial" w:cs="Arial"/>
        </w:rPr>
        <w:t>“</w:t>
      </w:r>
      <w:r w:rsidRPr="00A66965">
        <w:rPr>
          <w:rFonts w:ascii="Arial" w:hAnsi="Arial" w:cs="Arial"/>
        </w:rPr>
        <w:t>absolver consultas sobre la aplicación de normas de carácter general</w:t>
      </w:r>
      <w:r>
        <w:rPr>
          <w:rFonts w:ascii="Arial" w:hAnsi="Arial" w:cs="Arial"/>
        </w:rPr>
        <w:t>”</w:t>
      </w:r>
      <w:r w:rsidRPr="006F557D">
        <w:rPr>
          <w:rFonts w:ascii="Arial" w:hAnsi="Arial" w:cs="Arial"/>
          <w:vertAlign w:val="superscript"/>
        </w:rPr>
        <w:footnoteReference w:id="2"/>
      </w:r>
      <w:r w:rsidRPr="006F557D">
        <w:rPr>
          <w:rFonts w:ascii="Arial" w:hAnsi="Arial" w:cs="Arial"/>
        </w:rPr>
        <w:t>.</w:t>
      </w:r>
      <w:r w:rsidRPr="00A66965">
        <w:rPr>
          <w:rFonts w:ascii="Arial" w:hAnsi="Arial" w:cs="Arial"/>
        </w:rPr>
        <w:t xml:space="preserve"> Esto significa que no podemos pronunciarnos sobre casos particulares o sobre preguntas que no contengan dudas sobre la aplicación de una norma general en materia de contratación pública, así las cosas, en esta respuesta nos centraremos en la explicación normativa alrededor de su consulta</w:t>
      </w:r>
      <w:r>
        <w:rPr>
          <w:rFonts w:ascii="Arial" w:hAnsi="Arial" w:cs="Arial"/>
        </w:rPr>
        <w:t>.</w:t>
      </w:r>
    </w:p>
    <w:p w:rsidR="004C1F70" w:rsidP="00FC2D03" w:rsidRDefault="004C1F70" w14:paraId="58FD8F83" w14:textId="77777777">
      <w:pPr>
        <w:shd w:val="clear" w:color="auto" w:fill="FFFFFF" w:themeFill="background1"/>
        <w:spacing w:after="0" w:line="276" w:lineRule="auto"/>
        <w:jc w:val="both"/>
        <w:rPr>
          <w:rFonts w:ascii="Arial" w:hAnsi="Arial" w:cs="Arial"/>
        </w:rPr>
      </w:pPr>
    </w:p>
    <w:p w:rsidR="004C1F70" w:rsidP="004C1F70" w:rsidRDefault="004C1F70" w14:paraId="0D7D84FC" w14:textId="2EE5D999">
      <w:pPr>
        <w:shd w:val="clear" w:color="auto" w:fill="FFFFFF" w:themeFill="background1"/>
        <w:spacing w:after="0" w:line="276" w:lineRule="auto"/>
        <w:jc w:val="both"/>
        <w:rPr>
          <w:rFonts w:ascii="Arial" w:hAnsi="Arial" w:cs="Arial"/>
        </w:rPr>
      </w:pPr>
      <w:r>
        <w:rPr>
          <w:rFonts w:ascii="Arial" w:hAnsi="Arial" w:cs="Arial"/>
        </w:rPr>
        <w:t xml:space="preserve">De igual forma, es pertinente aclarar que mediante el radicado de salida </w:t>
      </w:r>
      <w:r w:rsidR="00570AA3">
        <w:rPr>
          <w:rFonts w:ascii="Arial" w:hAnsi="Arial" w:cs="Arial"/>
        </w:rPr>
        <w:t xml:space="preserve">número </w:t>
      </w:r>
      <w:r>
        <w:rPr>
          <w:rFonts w:ascii="Arial" w:hAnsi="Arial" w:cs="Arial"/>
        </w:rPr>
        <w:t>RS20230615006162 del 15 de junio de 2023 esta Subdirección resolvió, como falta de competencia la pregunta número cinco (5) de su consulta, a saber: “</w:t>
      </w:r>
      <w:r w:rsidRPr="004C1F70">
        <w:rPr>
          <w:rFonts w:ascii="Arial" w:hAnsi="Arial" w:cs="Arial"/>
        </w:rPr>
        <w:t>5. ¿Cuál es el medio de control administrativo y la vía judicial idónea para</w:t>
      </w:r>
      <w:r>
        <w:rPr>
          <w:rFonts w:ascii="Arial" w:hAnsi="Arial" w:cs="Arial"/>
        </w:rPr>
        <w:t xml:space="preserve"> </w:t>
      </w:r>
      <w:r w:rsidRPr="004C1F70">
        <w:rPr>
          <w:rFonts w:ascii="Arial" w:hAnsi="Arial" w:cs="Arial"/>
        </w:rPr>
        <w:t>demandar actos de adjudicación proferidos por entidades con régimen</w:t>
      </w:r>
      <w:r>
        <w:rPr>
          <w:rFonts w:ascii="Arial" w:hAnsi="Arial" w:cs="Arial"/>
        </w:rPr>
        <w:t xml:space="preserve"> </w:t>
      </w:r>
      <w:r w:rsidRPr="004C1F70">
        <w:rPr>
          <w:rFonts w:ascii="Arial" w:hAnsi="Arial" w:cs="Arial"/>
        </w:rPr>
        <w:t>especial de contratación?</w:t>
      </w:r>
      <w:r>
        <w:rPr>
          <w:rFonts w:ascii="Arial" w:hAnsi="Arial" w:cs="Arial"/>
        </w:rPr>
        <w:t xml:space="preserve">” </w:t>
      </w:r>
    </w:p>
    <w:p w:rsidR="004C1F70" w:rsidP="00FC2D03" w:rsidRDefault="004C1F70" w14:paraId="4AEFB20A" w14:textId="77777777">
      <w:pPr>
        <w:shd w:val="clear" w:color="auto" w:fill="FFFFFF" w:themeFill="background1"/>
        <w:spacing w:after="0" w:line="276" w:lineRule="auto"/>
        <w:jc w:val="both"/>
        <w:rPr>
          <w:rFonts w:ascii="Arial" w:hAnsi="Arial" w:cs="Arial"/>
        </w:rPr>
      </w:pPr>
    </w:p>
    <w:p w:rsidR="004C1F70" w:rsidP="00FC2D03" w:rsidRDefault="004C1F70" w14:paraId="2C97FA14" w14:textId="12F28B69">
      <w:pPr>
        <w:shd w:val="clear" w:color="auto" w:fill="FFFFFF" w:themeFill="background1"/>
        <w:spacing w:after="0" w:line="276" w:lineRule="auto"/>
        <w:jc w:val="both"/>
        <w:rPr>
          <w:rFonts w:ascii="Arial" w:hAnsi="Arial" w:cs="Arial"/>
        </w:rPr>
      </w:pPr>
      <w:r>
        <w:rPr>
          <w:rFonts w:ascii="Arial" w:hAnsi="Arial" w:cs="Arial"/>
        </w:rPr>
        <w:t>Por otro lado, en  lo que atañe a las preguntas siete (7) y quince (15) de su consulta</w:t>
      </w:r>
      <w:r w:rsidR="00570AA3">
        <w:rPr>
          <w:rFonts w:ascii="Arial" w:hAnsi="Arial" w:cs="Arial"/>
        </w:rPr>
        <w:t xml:space="preserve">, las mismas fueron resueltas por la Subdirección de Negocios de esta Agencia mediante el radicado </w:t>
      </w:r>
      <w:r w:rsidRPr="00570AA3" w:rsidR="00570AA3">
        <w:rPr>
          <w:rFonts w:ascii="Arial" w:hAnsi="Arial" w:cs="Arial"/>
        </w:rPr>
        <w:t>P20230609012246</w:t>
      </w:r>
      <w:r w:rsidR="00570AA3">
        <w:rPr>
          <w:rFonts w:ascii="Arial" w:hAnsi="Arial" w:cs="Arial"/>
        </w:rPr>
        <w:t xml:space="preserve"> del 25 de julio de 2023, la mencionada respuesta se adjunta al presente documento en formato PDF. </w:t>
      </w:r>
      <w:r w:rsidRPr="00570AA3" w:rsidR="00570AA3">
        <w:rPr>
          <w:rFonts w:ascii="Arial" w:hAnsi="Arial" w:cs="Arial"/>
        </w:rPr>
        <w:t>Para visualizar los anexos se recomienda utilizar un aplicativo de visualización de PDF como Adobe Reader que permite la descarga de los archivos anexos. Si presenta inconvenientes para ver los anexos, en el siguiente enlace podrá ver el instructivo</w:t>
      </w:r>
      <w:r w:rsidR="00570AA3">
        <w:rPr>
          <w:rFonts w:ascii="Arial" w:hAnsi="Arial" w:cs="Arial"/>
        </w:rPr>
        <w:t xml:space="preserve">: </w:t>
      </w:r>
      <w:hyperlink w:history="1" r:id="rId13">
        <w:r w:rsidRPr="00574C18" w:rsidR="00570AA3">
          <w:rPr>
            <w:rStyle w:val="Hipervnculo"/>
            <w:rFonts w:ascii="Arial" w:hAnsi="Arial" w:cs="Arial"/>
          </w:rPr>
          <w:t>https://www.colombiacompra.gov.co/sala-de-prensa/infografias/instructivo-para-visualizar-anexos-en-un-archivo-pdf</w:t>
        </w:r>
      </w:hyperlink>
    </w:p>
    <w:p w:rsidRPr="00FC2D03" w:rsidR="004C1F70" w:rsidP="00FC2D03" w:rsidRDefault="004C1F70" w14:paraId="6D0089E3" w14:textId="77777777">
      <w:pPr>
        <w:shd w:val="clear" w:color="auto" w:fill="FFFFFF" w:themeFill="background1"/>
        <w:spacing w:after="0" w:line="276" w:lineRule="auto"/>
        <w:jc w:val="both"/>
        <w:rPr>
          <w:rFonts w:ascii="Arial" w:hAnsi="Arial" w:eastAsia="Calibri" w:cs="Arial"/>
          <w:color w:val="000000" w:themeColor="text1"/>
          <w:lang w:val="es-ES"/>
        </w:rPr>
      </w:pPr>
    </w:p>
    <w:p w:rsidRPr="00FC2D03" w:rsidR="00746BA3" w:rsidP="00FC2D03" w:rsidRDefault="004C1F70" w14:paraId="016C5FE8" w14:textId="3E33EE80">
      <w:pPr>
        <w:shd w:val="clear" w:color="auto" w:fill="FFFFFF" w:themeFill="background1"/>
        <w:spacing w:line="276" w:lineRule="auto"/>
        <w:jc w:val="both"/>
        <w:rPr>
          <w:rFonts w:ascii="Arial" w:hAnsi="Arial" w:cs="Arial"/>
          <w:bCs/>
          <w:color w:val="000000" w:themeColor="text1"/>
          <w:lang w:val="es-ES"/>
        </w:rPr>
      </w:pPr>
      <w:r>
        <w:rPr>
          <w:rFonts w:ascii="Arial" w:hAnsi="Arial" w:eastAsia="Calibri" w:cs="Arial"/>
          <w:color w:val="000000" w:themeColor="text1"/>
        </w:rPr>
        <w:t>Una vez realizada la anterior aclaración, p</w:t>
      </w:r>
      <w:r w:rsidRPr="00FC2D03" w:rsidR="00746BA3">
        <w:rPr>
          <w:rFonts w:ascii="Arial" w:hAnsi="Arial" w:eastAsia="Calibri" w:cs="Arial"/>
          <w:color w:val="000000" w:themeColor="text1"/>
        </w:rPr>
        <w:t xml:space="preserve">ara responder los problemas planteados </w:t>
      </w:r>
      <w:r w:rsidRPr="00FC2D03" w:rsidR="00746BA3">
        <w:rPr>
          <w:rFonts w:ascii="Arial" w:hAnsi="Arial" w:eastAsia="Calibri" w:cs="Arial"/>
          <w:color w:val="000000" w:themeColor="text1"/>
          <w:lang w:val="es-ES"/>
        </w:rPr>
        <w:t>se abordarán los siguientes temas</w:t>
      </w:r>
      <w:r w:rsidRPr="001A33FF" w:rsidR="00746BA3">
        <w:rPr>
          <w:rFonts w:ascii="Arial" w:hAnsi="Arial" w:cs="Arial"/>
          <w:color w:val="000000" w:themeColor="text1"/>
          <w:lang w:val="es-ES"/>
        </w:rPr>
        <w:t xml:space="preserve">: </w:t>
      </w:r>
      <w:r w:rsidRPr="001A33FF" w:rsidR="00746BA3">
        <w:rPr>
          <w:rFonts w:ascii="Arial" w:hAnsi="Arial" w:cs="Arial"/>
          <w:color w:val="000000" w:themeColor="text1"/>
          <w:lang w:val="es-ES_tradnl"/>
        </w:rPr>
        <w:t>i) análisis de la figura de los contratos y convenios en el ordenamiento colombiano</w:t>
      </w:r>
      <w:r w:rsidRPr="00FC2D03" w:rsidR="00746BA3">
        <w:rPr>
          <w:rFonts w:ascii="Arial" w:hAnsi="Arial" w:cs="Arial"/>
          <w:color w:val="000000" w:themeColor="text1"/>
          <w:lang w:val="es-ES_tradnl"/>
        </w:rPr>
        <w:t>, ii)</w:t>
      </w:r>
      <w:r w:rsidR="006577DC">
        <w:rPr>
          <w:rFonts w:ascii="Arial" w:hAnsi="Arial" w:cs="Arial"/>
          <w:color w:val="000000" w:themeColor="text1"/>
          <w:lang w:val="es-ES_tradnl"/>
        </w:rPr>
        <w:t xml:space="preserve"> p</w:t>
      </w:r>
      <w:r w:rsidRPr="006577DC" w:rsidR="006577DC">
        <w:rPr>
          <w:rFonts w:ascii="Arial" w:hAnsi="Arial" w:cs="Arial"/>
          <w:color w:val="000000" w:themeColor="text1"/>
          <w:lang w:val="es-ES_tradnl"/>
        </w:rPr>
        <w:t>rincipio de selección objetiva en la contratación estatal</w:t>
      </w:r>
      <w:r w:rsidR="00BC10D6">
        <w:rPr>
          <w:rFonts w:ascii="Arial" w:hAnsi="Arial" w:cs="Arial"/>
          <w:color w:val="000000" w:themeColor="text1"/>
          <w:lang w:val="es-ES_tradnl"/>
        </w:rPr>
        <w:t>,</w:t>
      </w:r>
      <w:r w:rsidRPr="00FC2D03" w:rsidR="00746BA3">
        <w:rPr>
          <w:rFonts w:ascii="Arial" w:hAnsi="Arial" w:cs="Arial"/>
          <w:color w:val="000000" w:themeColor="text1"/>
          <w:lang w:val="es-ES"/>
        </w:rPr>
        <w:t xml:space="preserve"> </w:t>
      </w:r>
      <w:proofErr w:type="spellStart"/>
      <w:r w:rsidRPr="00FC2D03" w:rsidR="00746BA3">
        <w:rPr>
          <w:rFonts w:ascii="Arial" w:hAnsi="Arial" w:cs="Arial"/>
          <w:color w:val="000000" w:themeColor="text1"/>
          <w:lang w:val="es-ES"/>
        </w:rPr>
        <w:t>iii</w:t>
      </w:r>
      <w:proofErr w:type="spellEnd"/>
      <w:r w:rsidRPr="00FC2D03" w:rsidR="00746BA3">
        <w:rPr>
          <w:rFonts w:ascii="Arial" w:hAnsi="Arial" w:cs="Arial"/>
          <w:color w:val="000000" w:themeColor="text1"/>
          <w:lang w:val="es-ES"/>
        </w:rPr>
        <w:t>)</w:t>
      </w:r>
      <w:r w:rsidR="00784CCB">
        <w:rPr>
          <w:rFonts w:ascii="Arial" w:hAnsi="Arial" w:cs="Arial"/>
          <w:color w:val="000000" w:themeColor="text1"/>
          <w:lang w:val="es-ES"/>
        </w:rPr>
        <w:t xml:space="preserve"> </w:t>
      </w:r>
      <w:r w:rsidRPr="005E31F4" w:rsidR="005E31F4">
        <w:rPr>
          <w:rFonts w:ascii="Arial" w:hAnsi="Arial" w:cs="Arial"/>
          <w:color w:val="000000" w:themeColor="text1"/>
          <w:lang w:val="es-ES"/>
        </w:rPr>
        <w:t>incorporación normativa del Clasificador de Bienes y Servicios de las Naciones Unidas en la contratación pública</w:t>
      </w:r>
      <w:r w:rsidR="00C22B66">
        <w:rPr>
          <w:rFonts w:ascii="Arial" w:hAnsi="Arial" w:cs="Arial"/>
          <w:color w:val="000000" w:themeColor="text1"/>
          <w:lang w:val="es-ES"/>
        </w:rPr>
        <w:t xml:space="preserve"> </w:t>
      </w:r>
      <w:r w:rsidR="002F3927">
        <w:rPr>
          <w:rFonts w:ascii="Arial" w:hAnsi="Arial" w:cs="Arial"/>
          <w:color w:val="000000" w:themeColor="text1"/>
          <w:lang w:val="es-ES"/>
        </w:rPr>
        <w:t>–</w:t>
      </w:r>
      <w:r w:rsidR="00C22B66">
        <w:rPr>
          <w:rFonts w:ascii="Arial" w:hAnsi="Arial" w:cs="Arial"/>
          <w:color w:val="000000" w:themeColor="text1"/>
          <w:lang w:val="es-ES"/>
        </w:rPr>
        <w:t xml:space="preserve"> </w:t>
      </w:r>
      <w:r w:rsidR="002F3927">
        <w:rPr>
          <w:rFonts w:ascii="Arial" w:hAnsi="Arial" w:cs="Arial"/>
          <w:color w:val="000000" w:themeColor="text1"/>
          <w:lang w:val="es-ES"/>
        </w:rPr>
        <w:t>apreciaciones frente al RUP</w:t>
      </w:r>
      <w:r w:rsidR="00BC10D6">
        <w:rPr>
          <w:rFonts w:ascii="Arial" w:hAnsi="Arial" w:eastAsia="Calibri" w:cs="Arial"/>
          <w:bCs/>
          <w:color w:val="000000" w:themeColor="text1"/>
        </w:rPr>
        <w:t xml:space="preserve"> iv)</w:t>
      </w:r>
      <w:r w:rsidR="00304903">
        <w:rPr>
          <w:rFonts w:ascii="Arial" w:hAnsi="Arial" w:eastAsia="Calibri" w:cs="Arial"/>
          <w:bCs/>
          <w:color w:val="000000" w:themeColor="text1"/>
        </w:rPr>
        <w:t xml:space="preserve"> Irrevocabilidad de la oferta</w:t>
      </w:r>
      <w:r w:rsidR="00BC10D6">
        <w:rPr>
          <w:rFonts w:ascii="Arial" w:hAnsi="Arial" w:eastAsia="Calibri" w:cs="Arial"/>
          <w:bCs/>
          <w:color w:val="000000" w:themeColor="text1"/>
        </w:rPr>
        <w:t>, v)</w:t>
      </w:r>
      <w:r w:rsidR="00BE58C2">
        <w:rPr>
          <w:rFonts w:ascii="Arial" w:hAnsi="Arial" w:eastAsia="Calibri" w:cs="Arial"/>
          <w:bCs/>
          <w:color w:val="000000" w:themeColor="text1"/>
        </w:rPr>
        <w:t xml:space="preserve"> Documentos </w:t>
      </w:r>
      <w:r w:rsidR="007A6C93">
        <w:rPr>
          <w:rFonts w:ascii="Arial" w:hAnsi="Arial" w:eastAsia="Calibri" w:cs="Arial"/>
          <w:bCs/>
          <w:color w:val="000000" w:themeColor="text1"/>
        </w:rPr>
        <w:t>técnicos adicionales</w:t>
      </w:r>
      <w:r w:rsidR="007E3582">
        <w:rPr>
          <w:rFonts w:ascii="Arial" w:hAnsi="Arial" w:eastAsia="Calibri" w:cs="Arial"/>
          <w:bCs/>
          <w:color w:val="000000" w:themeColor="text1"/>
        </w:rPr>
        <w:t xml:space="preserve">, </w:t>
      </w:r>
      <w:r w:rsidR="00BC10D6">
        <w:rPr>
          <w:rFonts w:ascii="Arial" w:hAnsi="Arial" w:eastAsia="Calibri" w:cs="Arial"/>
          <w:bCs/>
          <w:color w:val="000000" w:themeColor="text1"/>
        </w:rPr>
        <w:t xml:space="preserve">vi) </w:t>
      </w:r>
      <w:r w:rsidRPr="007E3582" w:rsidR="007E3582">
        <w:rPr>
          <w:rFonts w:ascii="Arial" w:hAnsi="Arial" w:eastAsia="Calibri" w:cs="Arial"/>
          <w:bCs/>
          <w:color w:val="000000" w:themeColor="text1"/>
        </w:rPr>
        <w:t>Acreditación de experiencia en las excepciones al RUP, el caso de la  mínima cuantía</w:t>
      </w:r>
      <w:r w:rsidR="009A5B75">
        <w:rPr>
          <w:rFonts w:ascii="Arial" w:hAnsi="Arial" w:eastAsia="Calibri" w:cs="Arial"/>
          <w:bCs/>
          <w:color w:val="000000" w:themeColor="text1"/>
        </w:rPr>
        <w:t xml:space="preserve"> y </w:t>
      </w:r>
      <w:proofErr w:type="spellStart"/>
      <w:r w:rsidR="009A5B75">
        <w:rPr>
          <w:rFonts w:ascii="Arial" w:hAnsi="Arial" w:eastAsia="Calibri" w:cs="Arial"/>
          <w:bCs/>
          <w:color w:val="000000" w:themeColor="text1"/>
        </w:rPr>
        <w:t>vii</w:t>
      </w:r>
      <w:proofErr w:type="spellEnd"/>
      <w:r w:rsidR="009A5B75">
        <w:rPr>
          <w:rFonts w:ascii="Arial" w:hAnsi="Arial" w:eastAsia="Calibri" w:cs="Arial"/>
          <w:bCs/>
          <w:color w:val="000000" w:themeColor="text1"/>
        </w:rPr>
        <w:t xml:space="preserve">) </w:t>
      </w:r>
      <w:r w:rsidR="006851A7">
        <w:rPr>
          <w:rFonts w:ascii="Arial" w:hAnsi="Arial" w:eastAsia="Calibri" w:cs="Arial"/>
          <w:bCs/>
          <w:color w:val="000000" w:themeColor="text1"/>
        </w:rPr>
        <w:t>Certificaciones de sistemas de gestión de calidad.</w:t>
      </w:r>
    </w:p>
    <w:p w:rsidR="0071026A" w:rsidP="00FC2D03" w:rsidRDefault="00746BA3" w14:paraId="17745C55" w14:textId="753C8BBD">
      <w:pPr>
        <w:shd w:val="clear" w:color="auto" w:fill="FFFFFF" w:themeFill="background1"/>
        <w:spacing w:before="120" w:after="0" w:line="276" w:lineRule="auto"/>
        <w:ind w:firstLine="709"/>
        <w:jc w:val="both"/>
        <w:rPr>
          <w:rFonts w:ascii="Arial" w:hAnsi="Arial" w:eastAsia="Calibri" w:cs="Arial"/>
          <w:color w:val="000000" w:themeColor="text1"/>
          <w:lang w:val="es-ES"/>
        </w:rPr>
      </w:pPr>
      <w:r w:rsidRPr="00FC2D03">
        <w:rPr>
          <w:rFonts w:ascii="Arial" w:hAnsi="Arial" w:eastAsia="Calibri" w:cs="Arial"/>
          <w:color w:val="000000" w:themeColor="text1"/>
          <w:lang w:val="es-ES"/>
        </w:rPr>
        <w:t xml:space="preserve">La Agencia Nacional de Contratación Pública – Colombia Compra Eficiente, en los Conceptos </w:t>
      </w:r>
      <w:r w:rsidRPr="00FC2D03">
        <w:rPr>
          <w:rFonts w:ascii="Arial" w:hAnsi="Arial" w:eastAsia="Calibri" w:cs="Arial"/>
          <w:color w:val="000000" w:themeColor="text1"/>
          <w:lang w:eastAsia="en-GB"/>
        </w:rPr>
        <w:t xml:space="preserve">C-168 del 14 de abril de 2021, </w:t>
      </w:r>
      <w:r w:rsidRPr="00FC2D03">
        <w:rPr>
          <w:rFonts w:ascii="Arial" w:hAnsi="Arial" w:eastAsia="Calibri" w:cs="Arial"/>
          <w:color w:val="000000" w:themeColor="text1"/>
          <w:lang w:val="es-ES"/>
        </w:rPr>
        <w:t xml:space="preserve">C-585 de 15 de octubre de 2021, C-639 del 14 de marzo de 2021, </w:t>
      </w:r>
      <w:r w:rsidRPr="00FC2D03">
        <w:rPr>
          <w:rFonts w:ascii="Arial" w:hAnsi="Arial" w:eastAsia="Calibri" w:cs="Arial"/>
          <w:color w:val="000000" w:themeColor="text1"/>
          <w:lang w:eastAsia="en-GB"/>
        </w:rPr>
        <w:t xml:space="preserve">C-664 del 1° de septiembre de 2022, </w:t>
      </w:r>
      <w:r w:rsidRPr="00FC2D03">
        <w:rPr>
          <w:rFonts w:ascii="Arial" w:hAnsi="Arial" w:eastAsia="Calibri" w:cs="Arial"/>
          <w:color w:val="000000" w:themeColor="text1"/>
          <w:lang w:val="es-ES"/>
        </w:rPr>
        <w:t xml:space="preserve">C-771 del 29 de diciembre de 2022, analizó el régimen de los contratos y los convenios. Por otra parte, </w:t>
      </w:r>
      <w:r w:rsidR="00961FC4">
        <w:rPr>
          <w:rFonts w:ascii="Arial" w:hAnsi="Arial" w:eastAsia="Calibri" w:cs="Arial"/>
          <w:color w:val="000000" w:themeColor="text1"/>
          <w:lang w:val="es-ES"/>
        </w:rPr>
        <w:t xml:space="preserve">analizó el principio de selección objetiva </w:t>
      </w:r>
      <w:r w:rsidRPr="00FC2D03">
        <w:rPr>
          <w:rFonts w:ascii="Arial" w:hAnsi="Arial" w:eastAsia="Calibri" w:cs="Arial"/>
          <w:color w:val="000000" w:themeColor="text1"/>
          <w:lang w:val="es-ES"/>
        </w:rPr>
        <w:t xml:space="preserve">en los Conceptos </w:t>
      </w:r>
      <w:r w:rsidRPr="00961FC4" w:rsidR="00961FC4">
        <w:rPr>
          <w:rFonts w:ascii="Arial" w:hAnsi="Arial" w:eastAsia="Calibri" w:cs="Arial"/>
          <w:color w:val="000000" w:themeColor="text1"/>
          <w:lang w:val="es-ES"/>
        </w:rPr>
        <w:t>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w:t>
      </w:r>
      <w:r w:rsidR="001806D5">
        <w:rPr>
          <w:rFonts w:ascii="Arial" w:hAnsi="Arial" w:eastAsia="Calibri" w:cs="Arial"/>
          <w:color w:val="000000" w:themeColor="text1"/>
          <w:lang w:val="es-ES"/>
        </w:rPr>
        <w:t xml:space="preserve">, </w:t>
      </w:r>
      <w:r w:rsidRPr="00961FC4" w:rsidR="00961FC4">
        <w:rPr>
          <w:rFonts w:ascii="Arial" w:hAnsi="Arial" w:eastAsia="Calibri" w:cs="Arial"/>
          <w:color w:val="000000" w:themeColor="text1"/>
          <w:lang w:val="es-ES"/>
        </w:rPr>
        <w:t>C-285 del 20 de mayo de 2022</w:t>
      </w:r>
      <w:r w:rsidR="001806D5">
        <w:rPr>
          <w:rFonts w:ascii="Arial" w:hAnsi="Arial" w:eastAsia="Calibri" w:cs="Arial"/>
          <w:color w:val="000000" w:themeColor="text1"/>
          <w:lang w:val="es-ES"/>
        </w:rPr>
        <w:t xml:space="preserve"> y C-170 del </w:t>
      </w:r>
      <w:r w:rsidR="007C4227">
        <w:rPr>
          <w:rFonts w:ascii="Arial" w:hAnsi="Arial" w:eastAsia="Calibri" w:cs="Arial"/>
          <w:color w:val="000000" w:themeColor="text1"/>
          <w:lang w:val="es-ES"/>
        </w:rPr>
        <w:t>20 de junio de 2023</w:t>
      </w:r>
      <w:r w:rsidRPr="00FC2D03">
        <w:rPr>
          <w:rFonts w:ascii="Arial" w:hAnsi="Arial" w:eastAsia="Calibri" w:cs="Arial"/>
          <w:color w:val="000000" w:themeColor="text1"/>
          <w:lang w:val="es-ES"/>
        </w:rPr>
        <w:t xml:space="preserve">. </w:t>
      </w:r>
      <w:r w:rsidR="00C51124">
        <w:rPr>
          <w:rFonts w:ascii="Arial" w:hAnsi="Arial" w:eastAsia="Calibri" w:cs="Arial"/>
          <w:color w:val="000000" w:themeColor="text1"/>
          <w:lang w:val="es-ES"/>
        </w:rPr>
        <w:t xml:space="preserve"> </w:t>
      </w:r>
    </w:p>
    <w:p w:rsidR="00746BA3" w:rsidP="00FC2D03" w:rsidRDefault="00BE0A4D" w14:paraId="35A7E926" w14:textId="2EC9CA25">
      <w:pPr>
        <w:shd w:val="clear" w:color="auto" w:fill="FFFFFF" w:themeFill="background1"/>
        <w:spacing w:before="120" w:after="0" w:line="276" w:lineRule="auto"/>
        <w:ind w:firstLine="709"/>
        <w:jc w:val="both"/>
        <w:rPr>
          <w:rFonts w:ascii="Arial" w:hAnsi="Arial" w:eastAsia="Calibri" w:cs="Arial"/>
          <w:color w:val="000000" w:themeColor="text1"/>
          <w:lang w:val="es-ES_tradnl"/>
        </w:rPr>
      </w:pPr>
      <w:r>
        <w:rPr>
          <w:rFonts w:ascii="Arial" w:hAnsi="Arial" w:eastAsia="Calibri" w:cs="Arial"/>
          <w:color w:val="000000" w:themeColor="text1"/>
          <w:lang w:val="es-ES_tradnl"/>
        </w:rPr>
        <w:t xml:space="preserve">Además, </w:t>
      </w:r>
      <w:r w:rsidRPr="00BE0A4D">
        <w:rPr>
          <w:rFonts w:ascii="Arial" w:hAnsi="Arial" w:eastAsia="Calibri" w:cs="Arial"/>
          <w:color w:val="000000" w:themeColor="text1"/>
          <w:lang w:val="es-ES_tradnl"/>
        </w:rPr>
        <w:t>esta Agencia se ha pronunciado en diferentes conceptos sobre uso del Clasificador de Bienes y Servicios de Naciones Unidas en los conceptos con radicado 2201913000006036 del 20 de agosto de 2019, 2201913000007322 del 2 de octubre de 2019, 2201913000007496 del 7 de octubre de 2020, 2201913000008870 del 2 de diciembre de 2019, 2201913000009643 del 26 de diciembre de 2019, C-052 del 18 de marzo de 2020,  C-017 del 22 de febrero de 2020, C- 522 del 1 de octubre de 2021, C-760 del 8 de febrero de 2022, C-223 del 25 de abril de 2022, C-319 del 16 de mayo de 2022, entre otros</w:t>
      </w:r>
      <w:r>
        <w:rPr>
          <w:rFonts w:ascii="Arial" w:hAnsi="Arial" w:eastAsia="Calibri" w:cs="Arial"/>
          <w:color w:val="000000" w:themeColor="text1"/>
          <w:lang w:val="es-ES_tradnl"/>
        </w:rPr>
        <w:t>.</w:t>
      </w:r>
      <w:r w:rsidRPr="000C231C" w:rsidR="000C231C">
        <w:t xml:space="preserve"> </w:t>
      </w:r>
      <w:r w:rsidRPr="000C231C" w:rsidR="000C231C">
        <w:rPr>
          <w:rFonts w:ascii="Arial" w:hAnsi="Arial" w:eastAsia="Calibri" w:cs="Arial"/>
          <w:color w:val="000000" w:themeColor="text1"/>
          <w:lang w:val="es-ES_tradnl"/>
        </w:rPr>
        <w:t xml:space="preserve">De igual forma esta Agencia se ha pronunciado sobre el alcance del numeral 2.5. del artículo 2.2.1.1.1.5.2 del Decreto 1082 de 2015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w:t>
      </w:r>
      <w:r w:rsidRPr="000C231C" w:rsidR="000C231C">
        <w:rPr>
          <w:rFonts w:ascii="Arial" w:hAnsi="Arial" w:eastAsia="Calibri" w:cs="Arial"/>
          <w:color w:val="000000" w:themeColor="text1"/>
          <w:lang w:val="es-ES_tradnl"/>
        </w:rPr>
        <w:t>10 de diciembre de 2020, C-729 del 11 de diciembre de 2020, C-008 del 15 de febrero de 2021, C-103 del 24 de marzo del 2021, C-140 del 9 de abril del 2021, C-230 del 25 de mayo de 2021, C-249 del 1 de junio de 2021, C-278 del 10 de junio de 2021, C-318 del 1 de julio de 2022, C-326 del 2 de julio de 2021, C-660 del 22 diciembre de 2021, C-034 del 2 de marzo de 2022, C-144 del 28 de marzo de 2022 y C-239 del 26 de abril de 2022, C-319 del 19 de mayo de 2022, C-324 del 19 de  mayo de 2022, C-447 del 19 de julio de 2022, C-456 del 15 de julio de 2022, C-517 del 11 de agosto de 2022 y C-580 de 2022</w:t>
      </w:r>
      <w:r w:rsidR="00592C19">
        <w:rPr>
          <w:rStyle w:val="Refdenotaalpie"/>
          <w:rFonts w:ascii="Arial" w:hAnsi="Arial" w:eastAsia="Calibri" w:cs="Arial"/>
          <w:color w:val="000000" w:themeColor="text1"/>
          <w:lang w:val="es-ES_tradnl"/>
        </w:rPr>
        <w:footnoteReference w:id="3"/>
      </w:r>
      <w:r w:rsidR="000C231C">
        <w:rPr>
          <w:rFonts w:ascii="Arial" w:hAnsi="Arial" w:eastAsia="Calibri" w:cs="Arial"/>
          <w:color w:val="000000" w:themeColor="text1"/>
          <w:lang w:val="es-ES_tradnl"/>
        </w:rPr>
        <w:t>.</w:t>
      </w:r>
      <w:r>
        <w:rPr>
          <w:rFonts w:ascii="Arial" w:hAnsi="Arial" w:eastAsia="Calibri" w:cs="Arial"/>
          <w:color w:val="000000" w:themeColor="text1"/>
          <w:lang w:val="es-ES_tradnl"/>
        </w:rPr>
        <w:t xml:space="preserve"> </w:t>
      </w:r>
      <w:r w:rsidRPr="00FC2D03" w:rsidR="00746BA3">
        <w:rPr>
          <w:rFonts w:ascii="Arial" w:hAnsi="Arial" w:eastAsia="Calibri" w:cs="Arial"/>
          <w:color w:val="000000" w:themeColor="text1"/>
          <w:lang w:val="es-ES_tradnl"/>
        </w:rPr>
        <w:t xml:space="preserve">La tesis propuesta en estos conceptos se reitera a continuación y se complementa en lo pertinente de acuerdo con las preguntas realizadas. </w:t>
      </w:r>
    </w:p>
    <w:p w:rsidRPr="00FC2D03" w:rsidR="00260DB0" w:rsidP="00FC2D03" w:rsidRDefault="00260DB0" w14:paraId="2059C2B1" w14:textId="77777777">
      <w:pPr>
        <w:shd w:val="clear" w:color="auto" w:fill="FFFFFF" w:themeFill="background1"/>
        <w:spacing w:before="120" w:after="0" w:line="276" w:lineRule="auto"/>
        <w:ind w:firstLine="709"/>
        <w:jc w:val="both"/>
        <w:rPr>
          <w:rFonts w:ascii="Arial" w:hAnsi="Arial" w:eastAsia="Calibri" w:cs="Arial"/>
          <w:color w:val="000000" w:themeColor="text1"/>
          <w:lang w:val="es-ES_tradnl"/>
        </w:rPr>
      </w:pPr>
    </w:p>
    <w:p w:rsidRPr="00FC2D03" w:rsidR="00746BA3" w:rsidP="00FC2D03" w:rsidRDefault="00746BA3" w14:paraId="05A8348C" w14:textId="77777777">
      <w:pPr>
        <w:shd w:val="clear" w:color="auto" w:fill="FFFFFF" w:themeFill="background1"/>
        <w:tabs>
          <w:tab w:val="left" w:pos="0"/>
        </w:tabs>
        <w:spacing w:after="0" w:line="276" w:lineRule="auto"/>
        <w:jc w:val="both"/>
        <w:rPr>
          <w:rFonts w:ascii="Arial" w:hAnsi="Arial" w:eastAsia="Calibri" w:cs="Arial"/>
          <w:b/>
          <w:color w:val="000000" w:themeColor="text1"/>
        </w:rPr>
      </w:pPr>
    </w:p>
    <w:p w:rsidRPr="00FC2D03" w:rsidR="00746BA3" w:rsidP="00FC2D03" w:rsidRDefault="00746BA3" w14:paraId="20F4805B" w14:textId="77777777">
      <w:pPr>
        <w:shd w:val="clear" w:color="auto" w:fill="FFFFFF" w:themeFill="background1"/>
        <w:tabs>
          <w:tab w:val="left" w:pos="426"/>
        </w:tabs>
        <w:spacing w:after="0"/>
        <w:jc w:val="both"/>
        <w:rPr>
          <w:rFonts w:ascii="Arial" w:hAnsi="Arial" w:cs="Arial"/>
          <w:b/>
          <w:bCs/>
          <w:color w:val="000000" w:themeColor="text1"/>
          <w:lang w:val="es-ES_tradnl"/>
        </w:rPr>
      </w:pPr>
      <w:r w:rsidRPr="00AD3CE4">
        <w:rPr>
          <w:rFonts w:ascii="Arial" w:hAnsi="Arial" w:eastAsia="Calibri" w:cs="Arial"/>
          <w:b/>
          <w:bCs/>
          <w:color w:val="000000" w:themeColor="text1"/>
          <w:lang w:eastAsia="en-GB"/>
        </w:rPr>
        <w:t xml:space="preserve">2.1. </w:t>
      </w:r>
      <w:r w:rsidRPr="00AD3CE4">
        <w:rPr>
          <w:rFonts w:ascii="Arial" w:hAnsi="Arial" w:cs="Arial"/>
          <w:b/>
          <w:bCs/>
          <w:color w:val="000000" w:themeColor="text1"/>
          <w:lang w:val="es-ES_tradnl"/>
        </w:rPr>
        <w:t>Análisis de la figura de los contratos y los convenios en el ordenamiento colombiano</w:t>
      </w:r>
    </w:p>
    <w:p w:rsidRPr="00FC2D03" w:rsidR="00746BA3" w:rsidP="00FC2D03" w:rsidRDefault="00746BA3" w14:paraId="5EECDDF3" w14:textId="77777777">
      <w:pPr>
        <w:shd w:val="clear" w:color="auto" w:fill="FFFFFF" w:themeFill="background1"/>
        <w:tabs>
          <w:tab w:val="left" w:pos="426"/>
        </w:tabs>
        <w:spacing w:after="0"/>
        <w:jc w:val="both"/>
        <w:rPr>
          <w:rFonts w:ascii="Arial" w:hAnsi="Arial" w:cs="Arial"/>
          <w:b/>
          <w:bCs/>
          <w:color w:val="000000" w:themeColor="text1"/>
          <w:lang w:val="es-ES_tradnl"/>
        </w:rPr>
      </w:pPr>
    </w:p>
    <w:p w:rsidRPr="00FC2D03" w:rsidR="00746BA3" w:rsidP="00FC2D03" w:rsidRDefault="00595B87" w14:paraId="400BAAA3" w14:textId="49D8F687">
      <w:pPr>
        <w:shd w:val="clear" w:color="auto" w:fill="FFFFFF" w:themeFill="background1"/>
        <w:tabs>
          <w:tab w:val="left" w:pos="426"/>
        </w:tabs>
        <w:spacing w:after="0" w:line="276" w:lineRule="auto"/>
        <w:jc w:val="both"/>
        <w:rPr>
          <w:rFonts w:ascii="Arial" w:hAnsi="Arial" w:eastAsia="Calibri" w:cs="Arial"/>
          <w:color w:val="000000" w:themeColor="text1"/>
          <w:lang w:eastAsia="en-GB"/>
        </w:rPr>
      </w:pPr>
      <w:r>
        <w:rPr>
          <w:rFonts w:ascii="Arial" w:hAnsi="Arial" w:eastAsia="Calibri" w:cs="Arial"/>
          <w:color w:val="000000" w:themeColor="text1"/>
          <w:lang w:eastAsia="en-GB"/>
        </w:rPr>
        <w:t>En primer lugar, corres</w:t>
      </w:r>
      <w:r w:rsidR="000F6D24">
        <w:rPr>
          <w:rFonts w:ascii="Arial" w:hAnsi="Arial" w:eastAsia="Calibri" w:cs="Arial"/>
          <w:color w:val="000000" w:themeColor="text1"/>
          <w:lang w:eastAsia="en-GB"/>
        </w:rPr>
        <w:t>ponde a</w:t>
      </w:r>
      <w:r w:rsidRPr="00FC2D03" w:rsidR="00746BA3">
        <w:rPr>
          <w:rFonts w:ascii="Arial" w:hAnsi="Arial" w:eastAsia="Calibri" w:cs="Arial"/>
          <w:color w:val="000000" w:themeColor="text1"/>
          <w:lang w:eastAsia="en-GB"/>
        </w:rPr>
        <w:t xml:space="preserve"> esta Agencia precisar la diferencia conceptual existente entre los convenios y los contratos administrativos, con el fin de aclarar su posición al respecto. Lo anterior, ante la advertencia de aparentes divergencias entre los criterios interpretativos expresados en conceptos anteriores emitidos por esta Subdirección. En efecto, esta Agencia, en múltiples ocasiones, ha sostenido, al referirse a las diferencias entre los contratos y convenios, que ambas figuras resultan “equivalentes”, dado que en el régimen normativo de la contratación estatal no existen mayores diferencias entre ellas. Por ejemplo, en el Concepto C-608 del 23 de septiembre de 2022, se expresó lo siguiente:</w:t>
      </w:r>
    </w:p>
    <w:p w:rsidRPr="00FC2D03" w:rsidR="00746BA3" w:rsidP="00FC2D03" w:rsidRDefault="00746BA3" w14:paraId="1A9E169E" w14:textId="77777777">
      <w:pPr>
        <w:shd w:val="clear" w:color="auto" w:fill="FFFFFF" w:themeFill="background1"/>
        <w:tabs>
          <w:tab w:val="left" w:pos="426"/>
        </w:tabs>
        <w:spacing w:after="0"/>
        <w:jc w:val="both"/>
        <w:rPr>
          <w:rFonts w:ascii="Arial" w:hAnsi="Arial" w:eastAsia="Calibri" w:cs="Arial"/>
          <w:color w:val="000000" w:themeColor="text1"/>
          <w:lang w:eastAsia="en-GB"/>
        </w:rPr>
      </w:pPr>
    </w:p>
    <w:p w:rsidRPr="00FC2D03" w:rsidR="00746BA3" w:rsidP="00FC2D03" w:rsidRDefault="00746BA3" w14:paraId="3DD6785A" w14:textId="77777777">
      <w:pPr>
        <w:shd w:val="clear" w:color="auto" w:fill="FFFFFF" w:themeFill="background1"/>
        <w:tabs>
          <w:tab w:val="left" w:pos="426"/>
        </w:tabs>
        <w:spacing w:after="0" w:line="240" w:lineRule="auto"/>
        <w:ind w:left="709" w:right="709"/>
        <w:jc w:val="both"/>
        <w:rPr>
          <w:rFonts w:ascii="Arial" w:hAnsi="Arial" w:eastAsia="Calibri" w:cs="Arial"/>
          <w:color w:val="000000" w:themeColor="text1"/>
          <w:sz w:val="21"/>
          <w:szCs w:val="21"/>
          <w:lang w:eastAsia="en-GB"/>
        </w:rPr>
      </w:pPr>
      <w:r w:rsidRPr="00FC2D03">
        <w:rPr>
          <w:rFonts w:ascii="Arial" w:hAnsi="Arial" w:eastAsia="Calibri" w:cs="Arial"/>
          <w:color w:val="000000" w:themeColor="text1"/>
          <w:sz w:val="21"/>
          <w:szCs w:val="21"/>
          <w:lang w:eastAsia="en-GB"/>
        </w:rPr>
        <w:t xml:space="preserve">“Es bueno destacar que el Decreto 1082 de 2015 dispone que los convenios o contratos interadministrativos, así denominados en su artículo 2.2.1.2.1.4.4, </w:t>
      </w:r>
      <w:r w:rsidRPr="00330143">
        <w:rPr>
          <w:rFonts w:ascii="Arial" w:hAnsi="Arial" w:eastAsia="Calibri" w:cs="Arial"/>
          <w:color w:val="000000" w:themeColor="text1"/>
          <w:sz w:val="21"/>
          <w:szCs w:val="21"/>
          <w:u w:val="single"/>
          <w:lang w:eastAsia="en-GB"/>
        </w:rPr>
        <w:t>se contratan directamente</w:t>
      </w:r>
      <w:r w:rsidRPr="00FC2D03">
        <w:rPr>
          <w:rFonts w:ascii="Arial" w:hAnsi="Arial" w:eastAsia="Calibri" w:cs="Arial"/>
          <w:color w:val="000000" w:themeColor="text1"/>
          <w:sz w:val="21"/>
          <w:szCs w:val="21"/>
          <w:lang w:eastAsia="en-GB"/>
        </w:rPr>
        <w:t>,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FC2D03" w:rsidR="00746BA3" w:rsidP="00FC2D03" w:rsidRDefault="00746BA3" w14:paraId="67D3DD13" w14:textId="77777777">
      <w:pPr>
        <w:shd w:val="clear" w:color="auto" w:fill="FFFFFF" w:themeFill="background1"/>
        <w:tabs>
          <w:tab w:val="left" w:pos="426"/>
        </w:tabs>
        <w:spacing w:after="0"/>
        <w:jc w:val="both"/>
        <w:rPr>
          <w:rFonts w:ascii="Arial" w:hAnsi="Arial" w:eastAsia="Calibri" w:cs="Arial"/>
          <w:color w:val="000000" w:themeColor="text1"/>
          <w:lang w:eastAsia="en-GB"/>
        </w:rPr>
      </w:pPr>
    </w:p>
    <w:p w:rsidRPr="00FC2D03" w:rsidR="00746BA3" w:rsidP="00FC2D03" w:rsidRDefault="00746BA3" w14:paraId="45D50D93" w14:textId="77777777">
      <w:pPr>
        <w:shd w:val="clear" w:color="auto" w:fill="FFFFFF" w:themeFill="background1"/>
        <w:tabs>
          <w:tab w:val="left" w:pos="426"/>
        </w:tabs>
        <w:spacing w:after="120" w:line="276" w:lineRule="auto"/>
        <w:jc w:val="both"/>
        <w:rPr>
          <w:rFonts w:ascii="Arial" w:hAnsi="Arial" w:eastAsia="Calibri" w:cs="Arial"/>
          <w:color w:val="000000" w:themeColor="text1"/>
          <w:lang w:eastAsia="en-GB"/>
        </w:rPr>
      </w:pP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 xml:space="preserve">Sin embargo, cabe aclarar que la equivalencia a la cual se hizo referencia en el concepto mencionado debe entenderse en el sentido de que </w:t>
      </w:r>
      <w:bookmarkStart w:name="_Hlk131064898" w:id="4"/>
      <w:r w:rsidRPr="00FC2D03">
        <w:rPr>
          <w:rFonts w:ascii="Arial" w:hAnsi="Arial" w:eastAsia="Calibri" w:cs="Arial"/>
          <w:color w:val="000000" w:themeColor="text1"/>
          <w:lang w:eastAsia="en-GB"/>
        </w:rPr>
        <w:t xml:space="preserve">las normas del Estatuto General de Contratación de la Administración Pública se aplican tanto para los contratos como para los convenios en el marco de la Ley de Garantías Electorales. Sin embargo, esto no implica asumir que los contratos y los convenios sean figuras idénticas, </w:t>
      </w:r>
      <w:r w:rsidRPr="000C2B2B">
        <w:rPr>
          <w:rFonts w:ascii="Arial" w:hAnsi="Arial" w:eastAsia="Calibri" w:cs="Arial"/>
          <w:color w:val="000000" w:themeColor="text1"/>
          <w:u w:val="single"/>
          <w:lang w:eastAsia="en-GB"/>
        </w:rPr>
        <w:t xml:space="preserve">sino simplemente que sus diferencias, </w:t>
      </w:r>
      <w:r w:rsidRPr="000C2B2B">
        <w:rPr>
          <w:rFonts w:ascii="Arial" w:hAnsi="Arial" w:eastAsia="Calibri" w:cs="Arial"/>
          <w:color w:val="000000" w:themeColor="text1"/>
          <w:u w:val="single"/>
          <w:lang w:eastAsia="en-GB"/>
        </w:rPr>
        <w:t>en determinados casos, no resultan relevantes o determinantes para efectos de definir la aplicación de cierta normativa, como sucede con el alcance de la Ley 996 de 2005</w:t>
      </w:r>
      <w:r w:rsidRPr="00FC2D03">
        <w:rPr>
          <w:rFonts w:ascii="Arial" w:hAnsi="Arial" w:eastAsia="Calibri" w:cs="Arial"/>
          <w:color w:val="000000" w:themeColor="text1"/>
          <w:lang w:eastAsia="en-GB"/>
        </w:rPr>
        <w:t>. De hecho, la distinción también se plantea en el ámbito del derecho privado con la referencia a los contratos de contraprestación y de colaboración</w:t>
      </w:r>
      <w:r w:rsidRPr="00FC2D03">
        <w:rPr>
          <w:rStyle w:val="Refdenotaalpie"/>
          <w:rFonts w:ascii="Arial" w:hAnsi="Arial" w:eastAsia="Calibri" w:cs="Arial"/>
          <w:color w:val="000000" w:themeColor="text1"/>
          <w:lang w:eastAsia="en-GB"/>
        </w:rPr>
        <w:footnoteReference w:id="4"/>
      </w:r>
      <w:r w:rsidRPr="00FC2D03">
        <w:rPr>
          <w:rFonts w:ascii="Arial" w:hAnsi="Arial" w:eastAsia="Calibri"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FC2D03">
        <w:rPr>
          <w:rStyle w:val="Refdenotaalpie"/>
          <w:rFonts w:ascii="Arial" w:hAnsi="Arial" w:eastAsia="Calibri" w:cs="Arial"/>
          <w:color w:val="000000" w:themeColor="text1"/>
          <w:lang w:eastAsia="en-GB"/>
        </w:rPr>
        <w:footnoteReference w:id="5"/>
      </w:r>
      <w:r w:rsidRPr="00FC2D03">
        <w:rPr>
          <w:rFonts w:ascii="Arial" w:hAnsi="Arial" w:eastAsia="Calibri" w:cs="Arial"/>
          <w:color w:val="000000" w:themeColor="text1"/>
          <w:lang w:eastAsia="en-GB"/>
        </w:rPr>
        <w:t xml:space="preserve">. </w:t>
      </w:r>
    </w:p>
    <w:bookmarkEnd w:id="4"/>
    <w:p w:rsidRPr="00FC2D03" w:rsidR="00746BA3" w:rsidP="00FC2D03" w:rsidRDefault="00746BA3" w14:paraId="19769AEB" w14:textId="77777777">
      <w:pPr>
        <w:shd w:val="clear" w:color="auto" w:fill="FFFFFF" w:themeFill="background1"/>
        <w:tabs>
          <w:tab w:val="left" w:pos="426"/>
        </w:tabs>
        <w:spacing w:after="120" w:line="276" w:lineRule="auto"/>
        <w:jc w:val="both"/>
        <w:rPr>
          <w:rFonts w:ascii="Arial" w:hAnsi="Arial" w:eastAsia="Calibri" w:cs="Arial"/>
          <w:color w:val="000000" w:themeColor="text1"/>
          <w:lang w:eastAsia="en-GB"/>
        </w:rPr>
      </w:pP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 xml:space="preserve">En otras palabras, lo que se ha querido significar con la supuesta equivalencia entre convenio y contrato es que, si bien son institutos distintos desde el punto de vista conceptual, sus diferencias, bajo ciertas circunstancias, no resultan relevantes para aplicar determinada norma o derivar de ellos ciertos efectos. Lo anterior se corrobora con el hecho de que, inclusive, en los conceptos emitidos por esta Agencia relativos a la aplicación de la Ley de Garantías y en los que se adujo la denominada “equivalencia” se advirtió que, tanto jurisprudencial como doctrinariamente, se han hecho diferenciaciones conceptuales entre las dos figuras comentadas. </w:t>
      </w:r>
    </w:p>
    <w:p w:rsidRPr="00FC2D03" w:rsidR="00746BA3" w:rsidP="00FC2D03" w:rsidRDefault="00746BA3" w14:paraId="7621ED07" w14:textId="682E7386">
      <w:pPr>
        <w:shd w:val="clear" w:color="auto" w:fill="FFFFFF" w:themeFill="background1"/>
        <w:tabs>
          <w:tab w:val="left" w:pos="426"/>
        </w:tabs>
        <w:spacing w:after="120" w:line="276" w:lineRule="auto"/>
        <w:jc w:val="both"/>
        <w:rPr>
          <w:rFonts w:ascii="Arial" w:hAnsi="Arial" w:eastAsia="Calibri" w:cs="Arial"/>
          <w:color w:val="000000" w:themeColor="text1"/>
          <w:lang w:eastAsia="en-GB"/>
        </w:rPr>
      </w:pP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ab/>
      </w:r>
      <w:r w:rsidRPr="00FC2D03">
        <w:rPr>
          <w:rFonts w:ascii="Arial" w:hAnsi="Arial" w:eastAsia="Calibri" w:cs="Arial"/>
          <w:color w:val="000000" w:themeColor="text1"/>
          <w:lang w:eastAsia="en-GB"/>
        </w:rPr>
        <w:t xml:space="preserve">En este contexto, existen algunos supuestos bajo las cuales las diferencias entre las características propias de los contratos y convenios definen la aplicación o inaplicación de ciertas normas, ante lo cual no podrán verse como “equivalentes” sino como instituciones negociales </w:t>
      </w:r>
      <w:r w:rsidRPr="00FC2D03" w:rsidR="00416371">
        <w:rPr>
          <w:rFonts w:ascii="Arial" w:hAnsi="Arial" w:eastAsia="Calibri" w:cs="Arial"/>
          <w:color w:val="000000" w:themeColor="text1"/>
          <w:lang w:eastAsia="en-GB"/>
        </w:rPr>
        <w:t>disímiles,</w:t>
      </w:r>
      <w:r w:rsidRPr="00FC2D03">
        <w:rPr>
          <w:rFonts w:ascii="Arial" w:hAnsi="Arial" w:eastAsia="Calibri" w:cs="Arial"/>
          <w:color w:val="000000" w:themeColor="text1"/>
          <w:lang w:eastAsia="en-GB"/>
        </w:rPr>
        <w:t xml:space="preserve"> aunque, indudablemente, con algunos atributos comunes. En otras palabras, diferenciar entre los conceptos de convenio y contrato, así como establecer con precisión las características y elementos esenciales de cada uno, resulta necesario de cara a definir la aplicación de ciertas figuras contractuales y normativas a cada uno de ellos.</w:t>
      </w:r>
    </w:p>
    <w:p w:rsidRPr="00FC2D03" w:rsidR="00746BA3" w:rsidP="00FC2D03" w:rsidRDefault="00746BA3" w14:paraId="0E8F2693" w14:textId="77777777">
      <w:pPr>
        <w:shd w:val="clear" w:color="auto" w:fill="FFFFFF" w:themeFill="background1"/>
        <w:spacing w:after="120" w:line="276" w:lineRule="auto"/>
        <w:ind w:firstLine="709"/>
        <w:jc w:val="both"/>
        <w:rPr>
          <w:rFonts w:ascii="Arial" w:hAnsi="Arial" w:eastAsia="Calibri" w:cs="Arial"/>
          <w:color w:val="000000" w:themeColor="text1"/>
          <w:lang w:eastAsia="en-GB"/>
        </w:rPr>
      </w:pPr>
      <w:r w:rsidRPr="00FC2D03">
        <w:rPr>
          <w:rFonts w:ascii="Arial" w:hAnsi="Arial" w:eastAsia="Calibri" w:cs="Arial"/>
          <w:color w:val="000000" w:themeColor="text1"/>
          <w:lang w:eastAsia="en-GB"/>
        </w:rPr>
        <w:t>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las diferencias entre los convenios y contratos a efectos de concluir la improcedencia de la liquidación unilateral en los primeros. De igual forma, esta escisión conceptual se planteó en el Concepto C-664 del 1° de septiembre de 2022, a través del cual se concluyó que el límite de la adición del valor inicial no es aplicable a los convenios que carecen de contenido patrimonial y que no están sujetos al Estatuto General de Contratación de la Administración Pública.</w:t>
      </w:r>
    </w:p>
    <w:p w:rsidRPr="00FC2D03" w:rsidR="00746BA3" w:rsidP="00FC2D03" w:rsidRDefault="00746BA3" w14:paraId="24C780CA" w14:textId="77777777">
      <w:pPr>
        <w:shd w:val="clear" w:color="auto" w:fill="FFFFFF" w:themeFill="background1"/>
        <w:spacing w:after="120" w:line="276" w:lineRule="auto"/>
        <w:ind w:firstLine="709"/>
        <w:jc w:val="both"/>
        <w:rPr>
          <w:rFonts w:ascii="Arial" w:hAnsi="Arial" w:eastAsia="Calibri" w:cs="Arial"/>
          <w:color w:val="000000" w:themeColor="text1"/>
          <w:lang w:eastAsia="en-GB"/>
        </w:rPr>
      </w:pPr>
      <w:r w:rsidRPr="00FC2D03">
        <w:rPr>
          <w:rFonts w:ascii="Arial" w:hAnsi="Arial" w:eastAsia="Calibri" w:cs="Arial"/>
          <w:color w:val="000000" w:themeColor="text1"/>
          <w:lang w:eastAsia="en-GB"/>
        </w:rPr>
        <w:t xml:space="preserve">La argumentación planteada en este último concepto se reitera y complementa a continuación con el fin de aclarar la posición de esta Agencia frente a la materia en cuestión. Actualmente, 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w:t>
      </w:r>
      <w:r w:rsidRPr="008239A3">
        <w:rPr>
          <w:rFonts w:ascii="Arial" w:hAnsi="Arial" w:eastAsia="Calibri" w:cs="Arial"/>
          <w:color w:val="000000" w:themeColor="text1"/>
          <w:u w:val="single"/>
          <w:lang w:eastAsia="en-GB"/>
        </w:rPr>
        <w:t>siempre que su objeto de creación les permita cumplirlas</w:t>
      </w:r>
      <w:r w:rsidRPr="00FC2D03">
        <w:rPr>
          <w:rFonts w:ascii="Arial" w:hAnsi="Arial" w:eastAsia="Calibri" w:cs="Arial"/>
          <w:color w:val="000000" w:themeColor="text1"/>
          <w:lang w:eastAsia="en-GB"/>
        </w:rPr>
        <w:t xml:space="preserve">, con el objetivo común de materializar los fines del Estado. Por este motivo, puede entenderse que cuando la Ley 80 de 1993 se refiere a contratos interadministrativos de la misma forma lo hace frente a los convenios, entre otras razones, porque </w:t>
      </w:r>
      <w:r w:rsidRPr="003A082D">
        <w:rPr>
          <w:rFonts w:ascii="Arial" w:hAnsi="Arial" w:eastAsia="Calibri" w:cs="Arial"/>
          <w:color w:val="000000" w:themeColor="text1"/>
          <w:u w:val="single"/>
          <w:lang w:eastAsia="en-GB"/>
        </w:rPr>
        <w:t>este cuerpo normativo faculta a las entidades públicas a celebrar los demás acuerdos que permitan la autonomía de la voluntad y requieran el cumplimiento de los fines estatales</w:t>
      </w:r>
      <w:r w:rsidRPr="00FC2D03">
        <w:rPr>
          <w:rFonts w:ascii="Arial" w:hAnsi="Arial" w:eastAsia="Calibri" w:cs="Arial"/>
          <w:color w:val="000000" w:themeColor="text1"/>
          <w:lang w:eastAsia="en-GB"/>
        </w:rPr>
        <w:t>.</w:t>
      </w:r>
    </w:p>
    <w:p w:rsidRPr="00FC2D03" w:rsidR="00746BA3" w:rsidP="00FC2D03" w:rsidRDefault="00746BA3" w14:paraId="14A47F61" w14:textId="77777777">
      <w:pPr>
        <w:shd w:val="clear" w:color="auto" w:fill="FFFFFF" w:themeFill="background1"/>
        <w:spacing w:before="120" w:line="276" w:lineRule="auto"/>
        <w:ind w:firstLine="709"/>
        <w:jc w:val="both"/>
        <w:rPr>
          <w:rFonts w:ascii="Arial" w:hAnsi="Arial" w:eastAsia="Calibri" w:cs="Arial"/>
          <w:color w:val="000000" w:themeColor="text1"/>
          <w:lang w:val="es-ES_tradnl"/>
        </w:rPr>
      </w:pPr>
      <w:r w:rsidRPr="00FC2D03">
        <w:rPr>
          <w:rFonts w:ascii="Arial" w:hAnsi="Arial" w:eastAsia="Calibri" w:cs="Arial"/>
          <w:bCs/>
          <w:color w:val="000000" w:themeColor="text1"/>
          <w:lang w:bidi="es-ES"/>
        </w:rPr>
        <w:t xml:space="preserve">Además, el Decreto 1082 de 2015 dispone que los convenios o contratos interadministrativos, así denominados en su artículo 2.2.1.2.1.4.4, </w:t>
      </w:r>
      <w:r w:rsidRPr="000E5446">
        <w:rPr>
          <w:rFonts w:ascii="Arial" w:hAnsi="Arial" w:eastAsia="Calibri" w:cs="Arial"/>
          <w:bCs/>
          <w:color w:val="000000" w:themeColor="text1"/>
          <w:u w:val="single"/>
          <w:lang w:bidi="es-ES"/>
        </w:rPr>
        <w:t>se contratan directamente</w:t>
      </w:r>
      <w:r w:rsidRPr="00FC2D03">
        <w:rPr>
          <w:rFonts w:ascii="Arial" w:hAnsi="Arial" w:eastAsia="Calibri" w:cs="Arial"/>
          <w:bCs/>
          <w:color w:val="000000" w:themeColor="text1"/>
          <w:lang w:bidi="es-ES"/>
        </w:rPr>
        <w:t>,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voluntades. Así sucede también al aplicar el derecho privado y a la definición contenida en el Código Civil respecto de cada una de estas figuras.</w:t>
      </w:r>
    </w:p>
    <w:p w:rsidRPr="00FC2D03" w:rsidR="00746BA3" w:rsidP="00FC2D03" w:rsidRDefault="00746BA3" w14:paraId="05B77659" w14:textId="77777777">
      <w:pPr>
        <w:shd w:val="clear" w:color="auto" w:fill="FFFFFF" w:themeFill="background1"/>
        <w:spacing w:before="120" w:after="0" w:line="276" w:lineRule="auto"/>
        <w:ind w:firstLine="709"/>
        <w:jc w:val="both"/>
        <w:rPr>
          <w:rFonts w:ascii="Arial" w:hAnsi="Arial" w:eastAsia="Calibri" w:cs="Arial"/>
          <w:color w:val="000000" w:themeColor="text1"/>
          <w:lang w:val="es-ES_tradnl"/>
        </w:rPr>
      </w:pPr>
      <w:r w:rsidRPr="00FC2D03">
        <w:rPr>
          <w:rFonts w:ascii="Arial" w:hAnsi="Arial" w:eastAsia="Calibri" w:cs="Arial"/>
          <w:bCs/>
          <w:color w:val="000000" w:themeColor="text1"/>
          <w:lang w:bidi="es-ES"/>
        </w:rPr>
        <w:t xml:space="preserve">No obstante, la doctrina y la jurisprudencia recientes han resaltado las diferencias entre los contratos interadministrativos y los convenios interadministrativos de que trata el artículo 95 de la Ley 489 de 1998.  Al respecto, la Sala de Consulta y Servicio Civil del Consejo de Estado expresó lo siguiente: </w:t>
      </w:r>
    </w:p>
    <w:p w:rsidRPr="00FC2D03" w:rsidR="00746BA3" w:rsidP="00FC2D03" w:rsidRDefault="00746BA3" w14:paraId="6A43DA18" w14:textId="77777777">
      <w:pPr>
        <w:shd w:val="clear" w:color="auto" w:fill="FFFFFF" w:themeFill="background1"/>
        <w:spacing w:before="288" w:beforeLines="120" w:after="288" w:afterLines="120" w:line="276" w:lineRule="auto"/>
        <w:ind w:firstLine="708"/>
        <w:contextualSpacing/>
        <w:jc w:val="both"/>
        <w:rPr>
          <w:rFonts w:ascii="Arial" w:hAnsi="Arial" w:eastAsia="Calibri" w:cs="Arial"/>
          <w:bCs/>
          <w:color w:val="000000" w:themeColor="text1"/>
          <w:lang w:bidi="es-ES"/>
        </w:rPr>
      </w:pPr>
    </w:p>
    <w:p w:rsidRPr="00FC2D03" w:rsidR="00746BA3" w:rsidP="00FC2D03" w:rsidRDefault="00746BA3" w14:paraId="4812B98A" w14:textId="77777777">
      <w:pPr>
        <w:shd w:val="clear" w:color="auto" w:fill="FFFFFF" w:themeFill="background1"/>
        <w:spacing w:line="240" w:lineRule="auto"/>
        <w:ind w:left="709" w:right="709"/>
        <w:contextualSpacing/>
        <w:jc w:val="both"/>
        <w:rPr>
          <w:rFonts w:ascii="Arial" w:hAnsi="Arial" w:eastAsia="Calibri" w:cs="Arial"/>
          <w:bCs/>
          <w:color w:val="000000" w:themeColor="text1"/>
          <w:sz w:val="21"/>
          <w:szCs w:val="21"/>
          <w:lang w:bidi="es-ES"/>
        </w:rPr>
      </w:pPr>
      <w:r w:rsidRPr="00FC2D03">
        <w:rPr>
          <w:rFonts w:ascii="Arial" w:hAnsi="Arial" w:eastAsia="Calibri" w:cs="Arial"/>
          <w:bCs/>
          <w:color w:val="000000" w:themeColor="text1"/>
          <w:sz w:val="21"/>
          <w:szCs w:val="21"/>
          <w:lang w:bidi="es-ES"/>
        </w:rPr>
        <w:t xml:space="preserve">“La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w:t>
      </w:r>
      <w:r w:rsidRPr="00FC2D03">
        <w:rPr>
          <w:rFonts w:ascii="Arial" w:hAnsi="Arial" w:eastAsia="Calibri" w:cs="Arial"/>
          <w:bCs/>
          <w:color w:val="000000" w:themeColor="text1"/>
          <w:sz w:val="21"/>
          <w:szCs w:val="21"/>
          <w:lang w:bidi="es-ES"/>
        </w:rPr>
        <w:t>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Pr="00FC2D03">
        <w:rPr>
          <w:rFonts w:ascii="Arial" w:hAnsi="Arial" w:eastAsia="Calibri" w:cs="Arial"/>
          <w:bCs/>
          <w:color w:val="000000" w:themeColor="text1"/>
          <w:sz w:val="21"/>
          <w:vertAlign w:val="superscript"/>
          <w:lang w:val="es-ES_tradnl" w:bidi="es-ES"/>
        </w:rPr>
        <w:footnoteReference w:id="6"/>
      </w:r>
    </w:p>
    <w:p w:rsidRPr="00FC2D03" w:rsidR="00746BA3" w:rsidP="00FC2D03" w:rsidRDefault="00746BA3" w14:paraId="1164AF6A" w14:textId="77777777">
      <w:pPr>
        <w:shd w:val="clear" w:color="auto" w:fill="FFFFFF" w:themeFill="background1"/>
        <w:spacing w:before="288" w:beforeLines="120" w:after="288" w:afterLines="120" w:line="276" w:lineRule="auto"/>
        <w:ind w:firstLine="708"/>
        <w:contextualSpacing/>
        <w:jc w:val="both"/>
        <w:rPr>
          <w:rFonts w:ascii="Arial" w:hAnsi="Arial" w:eastAsia="Calibri" w:cs="Arial"/>
          <w:bCs/>
          <w:color w:val="000000" w:themeColor="text1"/>
          <w:lang w:bidi="es-ES"/>
        </w:rPr>
      </w:pPr>
    </w:p>
    <w:p w:rsidRPr="00FC2D03" w:rsidR="00746BA3" w:rsidP="00FC2D03" w:rsidRDefault="00746BA3" w14:paraId="5EAA2589" w14:textId="77777777">
      <w:pPr>
        <w:shd w:val="clear" w:color="auto" w:fill="FFFFFF" w:themeFill="background1"/>
        <w:spacing w:line="276" w:lineRule="auto"/>
        <w:ind w:firstLine="709"/>
        <w:contextualSpacing/>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En línea con lo anterior, la Sala Contenciosa Administrativa del Consejo de Estado en sentencia del 14 de junio de 2019 también señaló:</w:t>
      </w:r>
    </w:p>
    <w:p w:rsidRPr="00FC2D03" w:rsidR="00746BA3" w:rsidP="00FC2D03" w:rsidRDefault="00746BA3" w14:paraId="406EE32B" w14:textId="77777777">
      <w:pPr>
        <w:shd w:val="clear" w:color="auto" w:fill="FFFFFF" w:themeFill="background1"/>
        <w:spacing w:before="288" w:beforeLines="120" w:after="288" w:afterLines="120" w:line="276" w:lineRule="auto"/>
        <w:contextualSpacing/>
        <w:rPr>
          <w:rFonts w:ascii="Arial" w:hAnsi="Arial" w:eastAsia="Calibri" w:cs="Arial"/>
          <w:bCs/>
          <w:color w:val="000000" w:themeColor="text1"/>
          <w:lang w:bidi="es-ES"/>
        </w:rPr>
      </w:pPr>
    </w:p>
    <w:p w:rsidRPr="00FC2D03" w:rsidR="00746BA3" w:rsidP="00FC2D03" w:rsidRDefault="00746BA3" w14:paraId="790DBFC2" w14:textId="77777777">
      <w:pPr>
        <w:shd w:val="clear" w:color="auto" w:fill="FFFFFF" w:themeFill="background1"/>
        <w:spacing w:after="120" w:line="240" w:lineRule="auto"/>
        <w:ind w:left="709" w:right="709"/>
        <w:contextualSpacing/>
        <w:jc w:val="both"/>
        <w:rPr>
          <w:rFonts w:ascii="Arial" w:hAnsi="Arial" w:eastAsia="Calibri" w:cs="Arial"/>
          <w:bCs/>
          <w:color w:val="000000" w:themeColor="text1"/>
          <w:sz w:val="21"/>
          <w:szCs w:val="21"/>
          <w:lang w:val="es-ES_tradnl" w:bidi="es-ES"/>
        </w:rPr>
      </w:pPr>
      <w:r w:rsidRPr="00FC2D03">
        <w:rPr>
          <w:rFonts w:ascii="Arial" w:hAnsi="Arial" w:eastAsia="Calibri" w:cs="Arial"/>
          <w:bCs/>
          <w:color w:val="000000" w:themeColor="text1"/>
          <w:sz w:val="21"/>
          <w:szCs w:val="21"/>
          <w:lang w:val="es-ES_tradnl" w:bidi="es-ES"/>
        </w:rPr>
        <w:t>“La Sala de Consulta y Servicio Civil</w:t>
      </w:r>
      <w:r w:rsidRPr="00FC2D03">
        <w:rPr>
          <w:rFonts w:ascii="Arial" w:hAnsi="Arial" w:eastAsia="Calibri" w:cs="Arial"/>
          <w:bCs/>
          <w:color w:val="000000" w:themeColor="text1"/>
          <w:sz w:val="21"/>
          <w:szCs w:val="21"/>
          <w:vertAlign w:val="superscript"/>
          <w:lang w:val="es-ES_tradnl" w:bidi="es-ES"/>
        </w:rPr>
        <w:footnoteReference w:id="7"/>
      </w:r>
      <w:r w:rsidRPr="00FC2D03">
        <w:rPr>
          <w:rFonts w:ascii="Arial" w:hAnsi="Arial" w:eastAsia="Calibri" w:cs="Arial"/>
          <w:bCs/>
          <w:color w:val="000000" w:themeColor="text1"/>
          <w:sz w:val="21"/>
          <w:szCs w:val="21"/>
          <w:lang w:val="es-ES_tradnl" w:bidi="es-ES"/>
        </w:rPr>
        <w:t xml:space="preserve"> de esta Corporación se ha referido a los </w:t>
      </w:r>
      <w:r w:rsidRPr="00FC2D03">
        <w:rPr>
          <w:rFonts w:ascii="Arial" w:hAnsi="Arial" w:eastAsia="Calibri" w:cs="Arial"/>
          <w:bCs/>
          <w:i/>
          <w:color w:val="000000" w:themeColor="text1"/>
          <w:sz w:val="21"/>
          <w:szCs w:val="21"/>
          <w:lang w:val="es-ES_tradnl" w:bidi="es-ES"/>
        </w:rPr>
        <w:t>“convenios interadministrativos”</w:t>
      </w:r>
      <w:r w:rsidRPr="00FC2D03">
        <w:rPr>
          <w:rFonts w:ascii="Arial" w:hAnsi="Arial" w:eastAsia="Calibri" w:cs="Arial"/>
          <w:bCs/>
          <w:color w:val="000000" w:themeColor="text1"/>
          <w:sz w:val="21"/>
          <w:szCs w:val="21"/>
          <w:lang w:val="es-ES_tradnl" w:bidi="es-ES"/>
        </w:rPr>
        <w:t xml:space="preserve"> a los cuales alude el artículo 95 de la Ley 489 de 1998, calificándolos de </w:t>
      </w:r>
      <w:r w:rsidRPr="00FC2D03">
        <w:rPr>
          <w:rFonts w:ascii="Arial" w:hAnsi="Arial" w:eastAsia="Calibri" w:cs="Arial"/>
          <w:bCs/>
          <w:i/>
          <w:color w:val="000000" w:themeColor="text1"/>
          <w:sz w:val="21"/>
          <w:szCs w:val="21"/>
          <w:lang w:val="es-ES_tradnl" w:bidi="es-ES"/>
        </w:rPr>
        <w:t xml:space="preserve">“puros” </w:t>
      </w:r>
      <w:r w:rsidRPr="00FC2D03">
        <w:rPr>
          <w:rFonts w:ascii="Arial" w:hAnsi="Arial" w:eastAsia="Calibri" w:cs="Arial"/>
          <w:bCs/>
          <w:color w:val="000000" w:themeColor="text1"/>
          <w:sz w:val="21"/>
          <w:szCs w:val="21"/>
          <w:lang w:val="es-ES_tradnl" w:bidi="es-ES"/>
        </w:rPr>
        <w:t xml:space="preserve">y entendiendo que estos, además de perseguir la finalidad de cooperación antes indicada, no implican intereses contrapuestos ni tampoco se circunscriben a un </w:t>
      </w:r>
      <w:r w:rsidRPr="00FC2D03">
        <w:rPr>
          <w:rFonts w:ascii="Arial" w:hAnsi="Arial" w:eastAsia="Calibri" w:cs="Arial"/>
          <w:bCs/>
          <w:i/>
          <w:color w:val="000000" w:themeColor="text1"/>
          <w:sz w:val="21"/>
          <w:szCs w:val="21"/>
          <w:lang w:val="es-ES_tradnl" w:bidi="es-ES"/>
        </w:rPr>
        <w:t>“intercambio patrimonial”</w:t>
      </w:r>
      <w:r w:rsidRPr="00FC2D03">
        <w:rPr>
          <w:rFonts w:ascii="Arial" w:hAnsi="Arial" w:eastAsia="Calibri" w:cs="Arial"/>
          <w:bCs/>
          <w:color w:val="000000" w:themeColor="text1"/>
          <w:sz w:val="21"/>
          <w:szCs w:val="21"/>
          <w:lang w:val="es-ES_tradnl" w:bidi="es-ES"/>
        </w:rPr>
        <w:t>. Sin perjuicio de lo anterior, en otra oportunidad, la misma Sala</w:t>
      </w:r>
      <w:r w:rsidRPr="00FC2D03">
        <w:rPr>
          <w:rFonts w:ascii="Arial" w:hAnsi="Arial" w:eastAsia="Calibri" w:cs="Arial"/>
          <w:bCs/>
          <w:color w:val="000000" w:themeColor="text1"/>
          <w:sz w:val="21"/>
          <w:szCs w:val="21"/>
          <w:vertAlign w:val="superscript"/>
          <w:lang w:val="es-ES_tradnl" w:bidi="es-ES"/>
        </w:rPr>
        <w:footnoteReference w:id="8"/>
      </w:r>
      <w:r w:rsidRPr="00FC2D03">
        <w:rPr>
          <w:rFonts w:ascii="Arial" w:hAnsi="Arial" w:eastAsia="Calibri" w:cs="Arial"/>
          <w:bCs/>
          <w:color w:val="000000" w:themeColor="text1"/>
          <w:sz w:val="21"/>
          <w:szCs w:val="21"/>
          <w:lang w:val="es-ES_tradnl" w:bidi="es-ES"/>
        </w:rPr>
        <w:t xml:space="preserve"> había indicado que, si bien en dichos convenios no se daba un </w:t>
      </w:r>
      <w:r w:rsidRPr="00FC2D03">
        <w:rPr>
          <w:rFonts w:ascii="Arial" w:hAnsi="Arial" w:eastAsia="Calibri" w:cs="Arial"/>
          <w:bCs/>
          <w:i/>
          <w:color w:val="000000" w:themeColor="text1"/>
          <w:sz w:val="21"/>
          <w:szCs w:val="21"/>
          <w:lang w:val="es-ES_tradnl" w:bidi="es-ES"/>
        </w:rPr>
        <w:t>“verdadero intercambio de bienes o servicios (contrato conmutativo)”</w:t>
      </w:r>
      <w:r w:rsidRPr="00FC2D03">
        <w:rPr>
          <w:rFonts w:ascii="Arial" w:hAnsi="Arial" w:eastAsia="Calibri" w:cs="Arial"/>
          <w:bCs/>
          <w:color w:val="000000" w:themeColor="text1"/>
          <w:sz w:val="21"/>
          <w:szCs w:val="21"/>
          <w:lang w:val="es-ES_tradnl" w:bidi="es-ES"/>
        </w:rPr>
        <w:t>, ello no impedía que se conviniera una remuneración a cargo de alguna(s) entidad(es).</w:t>
      </w:r>
    </w:p>
    <w:p w:rsidRPr="00FC2D03" w:rsidR="00746BA3" w:rsidP="00FC2D03" w:rsidRDefault="00746BA3" w14:paraId="1F827F32" w14:textId="77777777">
      <w:pPr>
        <w:shd w:val="clear" w:color="auto" w:fill="FFFFFF" w:themeFill="background1"/>
        <w:spacing w:after="120" w:line="240" w:lineRule="auto"/>
        <w:ind w:left="709" w:right="709"/>
        <w:contextualSpacing/>
        <w:jc w:val="both"/>
        <w:rPr>
          <w:rFonts w:ascii="Arial" w:hAnsi="Arial" w:eastAsia="Calibri" w:cs="Arial"/>
          <w:bCs/>
          <w:color w:val="000000" w:themeColor="text1"/>
          <w:sz w:val="12"/>
          <w:szCs w:val="12"/>
          <w:lang w:val="es-ES_tradnl" w:bidi="es-ES"/>
        </w:rPr>
      </w:pPr>
    </w:p>
    <w:p w:rsidRPr="00FC2D03" w:rsidR="00746BA3" w:rsidP="00FC2D03" w:rsidRDefault="00746BA3" w14:paraId="6C56759B" w14:textId="77777777">
      <w:pPr>
        <w:shd w:val="clear" w:color="auto" w:fill="FFFFFF" w:themeFill="background1"/>
        <w:spacing w:before="288" w:beforeLines="120" w:after="288" w:afterLines="120" w:line="240" w:lineRule="auto"/>
        <w:ind w:left="708" w:right="709"/>
        <w:contextualSpacing/>
        <w:jc w:val="both"/>
        <w:rPr>
          <w:rFonts w:ascii="Arial" w:hAnsi="Arial" w:eastAsia="Calibri" w:cs="Arial"/>
          <w:bCs/>
          <w:color w:val="000000" w:themeColor="text1"/>
          <w:sz w:val="21"/>
          <w:szCs w:val="21"/>
          <w:lang w:bidi="es-ES"/>
        </w:rPr>
      </w:pPr>
      <w:r w:rsidRPr="00FC2D03">
        <w:rPr>
          <w:rFonts w:ascii="Arial" w:hAnsi="Arial" w:eastAsia="Calibri" w:cs="Arial"/>
          <w:bCs/>
          <w:color w:val="000000" w:themeColor="text1"/>
          <w:sz w:val="21"/>
          <w:szCs w:val="21"/>
          <w:lang w:val="es-ES_tradnl" w:bidi="es-ES"/>
        </w:rPr>
        <w:t xml:space="preserve">Lo expuesto evidencia que, en general, las interpretaciones en torno a los </w:t>
      </w:r>
      <w:r w:rsidRPr="00FC2D03">
        <w:rPr>
          <w:rFonts w:ascii="Arial" w:hAnsi="Arial" w:eastAsia="Calibri" w:cs="Arial"/>
          <w:bCs/>
          <w:i/>
          <w:color w:val="000000" w:themeColor="text1"/>
          <w:sz w:val="21"/>
          <w:szCs w:val="21"/>
          <w:lang w:val="es-ES_tradnl" w:bidi="es-ES"/>
        </w:rPr>
        <w:t>“convenios interadministrativos”</w:t>
      </w:r>
      <w:r w:rsidRPr="00FC2D03">
        <w:rPr>
          <w:rFonts w:ascii="Arial" w:hAnsi="Arial" w:eastAsia="Calibri" w:cs="Arial"/>
          <w:bCs/>
          <w:color w:val="000000" w:themeColor="text1"/>
          <w:sz w:val="21"/>
          <w:szCs w:val="21"/>
          <w:lang w:val="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C2D03">
        <w:rPr>
          <w:rFonts w:ascii="Arial" w:hAnsi="Arial" w:eastAsia="Calibri" w:cs="Arial"/>
          <w:bCs/>
          <w:color w:val="000000" w:themeColor="text1"/>
          <w:sz w:val="21"/>
          <w:szCs w:val="21"/>
          <w:vertAlign w:val="superscript"/>
          <w:lang w:val="es-ES_tradnl" w:bidi="es-ES"/>
        </w:rPr>
        <w:footnoteReference w:id="9"/>
      </w:r>
      <w:r w:rsidRPr="00FC2D03">
        <w:rPr>
          <w:rFonts w:ascii="Arial" w:hAnsi="Arial" w:eastAsia="Calibri" w:cs="Arial"/>
          <w:bCs/>
          <w:color w:val="000000" w:themeColor="text1"/>
          <w:sz w:val="21"/>
          <w:szCs w:val="21"/>
          <w:lang w:val="es-ES_tradnl" w:bidi="es-ES"/>
        </w:rPr>
        <w:t>.</w:t>
      </w:r>
      <w:r w:rsidRPr="00FC2D03">
        <w:rPr>
          <w:rStyle w:val="Refdenotaalpie"/>
          <w:rFonts w:ascii="Arial" w:hAnsi="Arial" w:eastAsia="Calibri" w:cs="Arial"/>
          <w:bCs/>
          <w:color w:val="000000" w:themeColor="text1"/>
          <w:sz w:val="21"/>
          <w:szCs w:val="21"/>
          <w:lang w:bidi="es-ES"/>
        </w:rPr>
        <w:footnoteReference w:id="10"/>
      </w:r>
      <w:r w:rsidRPr="00FC2D03">
        <w:rPr>
          <w:rFonts w:ascii="Arial" w:hAnsi="Arial" w:eastAsia="Calibri" w:cs="Arial"/>
          <w:bCs/>
          <w:color w:val="000000" w:themeColor="text1"/>
          <w:sz w:val="21"/>
          <w:szCs w:val="21"/>
          <w:lang w:val="es-ES_tradnl" w:bidi="es-ES"/>
        </w:rPr>
        <w:t xml:space="preserve"> </w:t>
      </w:r>
    </w:p>
    <w:p w:rsidRPr="00FC2D03" w:rsidR="00746BA3" w:rsidP="00FC2D03" w:rsidRDefault="00746BA3" w14:paraId="4BEAB059" w14:textId="77777777">
      <w:pPr>
        <w:shd w:val="clear" w:color="auto" w:fill="FFFFFF" w:themeFill="background1"/>
        <w:spacing w:before="288" w:beforeLines="120" w:after="288" w:afterLines="120" w:line="276" w:lineRule="auto"/>
        <w:contextualSpacing/>
        <w:rPr>
          <w:rFonts w:ascii="Arial" w:hAnsi="Arial" w:eastAsia="Calibri" w:cs="Arial"/>
          <w:bCs/>
          <w:color w:val="000000" w:themeColor="text1"/>
          <w:lang w:bidi="es-ES"/>
        </w:rPr>
      </w:pPr>
    </w:p>
    <w:p w:rsidRPr="00FC2D03" w:rsidR="00746BA3" w:rsidP="00FC2D03" w:rsidRDefault="00746BA3" w14:paraId="057C15AF" w14:textId="77777777">
      <w:pPr>
        <w:shd w:val="clear" w:color="auto" w:fill="FFFFFF" w:themeFill="background1"/>
        <w:spacing w:after="120" w:line="276" w:lineRule="auto"/>
        <w:ind w:firstLine="709"/>
        <w:contextualSpacing/>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 xml:space="preserve">En esta ocasión la referida corporación judicial resaltó la finalidad del acuerdo de voluntades como un factor de diferenciación entre las dos figuras. Si bien estas tienen un tronco común, se diferencian en su naturaleza y finalidad en la medida en que los </w:t>
      </w:r>
      <w:r w:rsidRPr="00FC2D03">
        <w:rPr>
          <w:rFonts w:ascii="Arial" w:hAnsi="Arial" w:eastAsia="Calibri" w:cs="Arial"/>
          <w:bCs/>
          <w:i/>
          <w:iCs/>
          <w:color w:val="000000" w:themeColor="text1"/>
          <w:lang w:bidi="es-ES"/>
        </w:rPr>
        <w:t>contratos</w:t>
      </w:r>
      <w:r w:rsidRPr="00FC2D03">
        <w:rPr>
          <w:rFonts w:ascii="Arial" w:hAnsi="Arial" w:eastAsia="Calibri" w:cs="Arial"/>
          <w:bCs/>
          <w:color w:val="000000" w:themeColor="text1"/>
          <w:lang w:bidi="es-ES"/>
        </w:rPr>
        <w:t xml:space="preserve"> –en general– </w:t>
      </w:r>
      <w:r w:rsidRPr="00FC2D03">
        <w:rPr>
          <w:rFonts w:ascii="Arial" w:hAnsi="Arial" w:eastAsia="Calibri" w:cs="Arial"/>
          <w:bCs/>
          <w:color w:val="000000" w:themeColor="text1"/>
          <w:lang w:bidi="es-ES"/>
        </w:rPr>
        <w:t xml:space="preserve">comportan obligaciones de contenido patrimonial que se traducen en intereses contrapuestos entre las partes pues implican un gravamen a cambio de un beneficio en una relación de carácter conmutativo, mientras que los </w:t>
      </w:r>
      <w:r w:rsidRPr="00FC2D03">
        <w:rPr>
          <w:rFonts w:ascii="Arial" w:hAnsi="Arial" w:eastAsia="Calibri" w:cs="Arial"/>
          <w:bCs/>
          <w:i/>
          <w:iCs/>
          <w:color w:val="000000" w:themeColor="text1"/>
          <w:lang w:bidi="es-ES"/>
        </w:rPr>
        <w:t>convenios</w:t>
      </w:r>
      <w:r w:rsidRPr="00FC2D03">
        <w:rPr>
          <w:rFonts w:ascii="Arial" w:hAnsi="Arial" w:eastAsia="Calibri" w:cs="Arial"/>
          <w:bCs/>
          <w:color w:val="000000" w:themeColor="text1"/>
          <w:lang w:bidi="es-ES"/>
        </w:rPr>
        <w:t xml:space="preserve"> involucran la ejecución de actividades en función de un interés común para las partes; si bien se puede pactar remuneración</w:t>
      </w:r>
      <w:r w:rsidRPr="00FC2D03">
        <w:rPr>
          <w:rStyle w:val="Refdenotaalpie"/>
          <w:rFonts w:ascii="Arial" w:hAnsi="Arial" w:eastAsia="Calibri" w:cs="Arial"/>
          <w:bCs/>
          <w:color w:val="000000" w:themeColor="text1"/>
          <w:lang w:bidi="es-ES"/>
        </w:rPr>
        <w:footnoteReference w:id="11"/>
      </w:r>
      <w:r w:rsidRPr="00FC2D03">
        <w:rPr>
          <w:rFonts w:ascii="Arial" w:hAnsi="Arial" w:eastAsia="Calibri" w:cs="Arial"/>
          <w:bCs/>
          <w:color w:val="000000" w:themeColor="text1"/>
          <w:lang w:bidi="es-ES"/>
        </w:rPr>
        <w:t xml:space="preserve">, en esencia se pretende el cumplimiento de fines coincidentes entre quienes lo ejecutan. </w:t>
      </w:r>
    </w:p>
    <w:p w:rsidRPr="00FC2D03" w:rsidR="00746BA3" w:rsidP="00FC2D03" w:rsidRDefault="00746BA3" w14:paraId="04589BC4" w14:textId="77777777">
      <w:pPr>
        <w:shd w:val="clear" w:color="auto" w:fill="FFFFFF" w:themeFill="background1"/>
        <w:spacing w:after="120" w:line="276" w:lineRule="auto"/>
        <w:ind w:firstLine="709"/>
        <w:contextualSpacing/>
        <w:jc w:val="both"/>
        <w:rPr>
          <w:rFonts w:ascii="Arial" w:hAnsi="Arial" w:eastAsia="Calibri" w:cs="Arial"/>
          <w:bCs/>
          <w:color w:val="000000" w:themeColor="text1"/>
          <w:sz w:val="12"/>
          <w:szCs w:val="12"/>
          <w:lang w:bidi="es-ES"/>
        </w:rPr>
      </w:pPr>
    </w:p>
    <w:p w:rsidRPr="00FC2D03" w:rsidR="00746BA3" w:rsidP="00FC2D03" w:rsidRDefault="00746BA3" w14:paraId="565C62BA" w14:textId="77777777">
      <w:pPr>
        <w:shd w:val="clear" w:color="auto" w:fill="FFFFFF" w:themeFill="background1"/>
        <w:spacing w:before="120"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 xml:space="preserve">Mientras que en el </w:t>
      </w:r>
      <w:r w:rsidRPr="00FC2D03">
        <w:rPr>
          <w:rFonts w:ascii="Arial" w:hAnsi="Arial" w:eastAsia="Calibri" w:cs="Arial"/>
          <w:bCs/>
          <w:i/>
          <w:iCs/>
          <w:color w:val="000000" w:themeColor="text1"/>
          <w:lang w:bidi="es-ES"/>
        </w:rPr>
        <w:t>contrato</w:t>
      </w:r>
      <w:r w:rsidRPr="00FC2D03">
        <w:rPr>
          <w:rFonts w:ascii="Arial" w:hAnsi="Arial" w:eastAsia="Calibri" w:cs="Arial"/>
          <w:bCs/>
          <w:color w:val="000000" w:themeColor="text1"/>
          <w:lang w:bidi="es-ES"/>
        </w:rPr>
        <w:t xml:space="preserve"> las finalidades de las partes divergen, en el </w:t>
      </w:r>
      <w:r w:rsidRPr="00FC2D03">
        <w:rPr>
          <w:rFonts w:ascii="Arial" w:hAnsi="Arial" w:eastAsia="Calibri" w:cs="Arial"/>
          <w:bCs/>
          <w:i/>
          <w:iCs/>
          <w:color w:val="000000" w:themeColor="text1"/>
          <w:lang w:bidi="es-ES"/>
        </w:rPr>
        <w:t xml:space="preserve">convenio </w:t>
      </w:r>
      <w:r w:rsidRPr="00FC2D03">
        <w:rPr>
          <w:rFonts w:ascii="Arial" w:hAnsi="Arial" w:eastAsia="Calibri" w:cs="Arial"/>
          <w:bCs/>
          <w:color w:val="000000" w:themeColor="text1"/>
          <w:lang w:bidi="es-ES"/>
        </w:rPr>
        <w:t xml:space="preserve">convergen y cooperan en función del cumplimiento eficiente de un propósito estatal común superior. En esa línea, una interpretación sistemática de las leyes 80 de 1993, 1150 de 2007 y 1474 de 2011 invitaría a considerar el contrato administrativo como una relación jurídica patrimonial, onerosa y conmutativa, en la que existen unas exigencias y restricciones normativas adicionales, de manera que, en efecto, dista de la naturaleza y esencia del convenio interadministrativo. </w:t>
      </w:r>
    </w:p>
    <w:p w:rsidRPr="00FC2D03" w:rsidR="00746BA3" w:rsidP="00FC2D03" w:rsidRDefault="00746BA3" w14:paraId="31446013" w14:textId="5912C8C6">
      <w:pPr>
        <w:shd w:val="clear" w:color="auto" w:fill="FFFFFF" w:themeFill="background1"/>
        <w:spacing w:before="120"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Esta diferencia está mucho más apuntalada en el derecho español de acuerdo con el artículo 47.1 de la Ley 40 de 2015, la cual regula el régimen jurídico del sector público</w:t>
      </w:r>
      <w:r w:rsidRPr="00FC2D03">
        <w:rPr>
          <w:rStyle w:val="Refdenotaalpie"/>
          <w:rFonts w:ascii="Arial" w:hAnsi="Arial" w:eastAsia="Calibri" w:cs="Arial"/>
          <w:bCs/>
          <w:color w:val="000000" w:themeColor="text1"/>
          <w:lang w:bidi="es-ES"/>
        </w:rPr>
        <w:footnoteReference w:id="12"/>
      </w:r>
      <w:r w:rsidRPr="00FC2D03">
        <w:rPr>
          <w:rFonts w:ascii="Arial" w:hAnsi="Arial" w:eastAsia="Calibri" w:cs="Arial"/>
          <w:bCs/>
          <w:color w:val="000000" w:themeColor="text1"/>
          <w:lang w:bidi="es-ES"/>
        </w:rPr>
        <w:t xml:space="preserve">.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colaboración interadministrativa. El convenio tiene una función esencialmente </w:t>
      </w:r>
      <w:proofErr w:type="spellStart"/>
      <w:r w:rsidRPr="00FC2D03">
        <w:rPr>
          <w:rFonts w:ascii="Arial" w:hAnsi="Arial" w:eastAsia="Calibri" w:cs="Arial"/>
          <w:bCs/>
          <w:color w:val="000000" w:themeColor="text1"/>
          <w:lang w:bidi="es-ES"/>
        </w:rPr>
        <w:t>organizatoria</w:t>
      </w:r>
      <w:proofErr w:type="spellEnd"/>
      <w:r w:rsidRPr="00FC2D03">
        <w:rPr>
          <w:rFonts w:ascii="Arial" w:hAnsi="Arial" w:eastAsia="Calibri" w:cs="Arial"/>
          <w:bCs/>
          <w:color w:val="000000" w:themeColor="text1"/>
          <w:lang w:bidi="es-ES"/>
        </w:rPr>
        <w:t>, o de promoción y fomento de actividades públicas y privadas; de forma indirecta el convenio puede tener efectos económicos, pero el fundamento de la celebración del convenio es la colaboración entre dos personas”.</w:t>
      </w:r>
      <w:r w:rsidRPr="00FC2D03">
        <w:rPr>
          <w:rStyle w:val="Refdenotaalpie"/>
          <w:rFonts w:ascii="Arial" w:hAnsi="Arial" w:eastAsia="Calibri" w:cs="Arial"/>
          <w:bCs/>
          <w:color w:val="000000" w:themeColor="text1"/>
          <w:lang w:bidi="es-ES"/>
        </w:rPr>
        <w:footnoteReference w:id="13"/>
      </w:r>
      <w:r w:rsidRPr="00FC2D03">
        <w:rPr>
          <w:rFonts w:ascii="Arial" w:hAnsi="Arial" w:eastAsia="Calibri" w:cs="Arial"/>
          <w:bCs/>
          <w:color w:val="000000" w:themeColor="text1"/>
          <w:lang w:bidi="es-ES"/>
        </w:rPr>
        <w:t xml:space="preserve">       </w:t>
      </w:r>
    </w:p>
    <w:p w:rsidRPr="00FC2D03" w:rsidR="00746BA3" w:rsidP="00FC2D03" w:rsidRDefault="00746BA3" w14:paraId="27267EF6" w14:textId="77777777">
      <w:pPr>
        <w:shd w:val="clear" w:color="auto" w:fill="FFFFFF" w:themeFill="background1"/>
        <w:spacing w:before="120" w:line="276" w:lineRule="auto"/>
        <w:ind w:firstLine="709"/>
        <w:jc w:val="both"/>
        <w:rPr>
          <w:rFonts w:ascii="Arial" w:hAnsi="Arial" w:eastAsia="Calibri" w:cs="Arial"/>
          <w:bCs/>
          <w:color w:val="000000" w:themeColor="text1"/>
          <w:lang w:bidi="es-ES"/>
        </w:rPr>
      </w:pPr>
      <w:r w:rsidRPr="007E17B7">
        <w:rPr>
          <w:rFonts w:ascii="Arial" w:hAnsi="Arial" w:eastAsia="Calibri" w:cs="Arial"/>
          <w:bCs/>
          <w:color w:val="000000" w:themeColor="text1"/>
          <w:highlight w:val="yellow"/>
          <w:lang w:bidi="es-ES"/>
        </w:rPr>
        <w:t xml:space="preserve">En suma, el </w:t>
      </w:r>
      <w:r w:rsidRPr="007E17B7">
        <w:rPr>
          <w:rFonts w:ascii="Arial" w:hAnsi="Arial" w:eastAsia="Calibri" w:cs="Arial"/>
          <w:bCs/>
          <w:i/>
          <w:iCs/>
          <w:color w:val="000000" w:themeColor="text1"/>
          <w:highlight w:val="yellow"/>
          <w:lang w:bidi="es-ES"/>
        </w:rPr>
        <w:t>convenio</w:t>
      </w:r>
      <w:r w:rsidRPr="007E17B7">
        <w:rPr>
          <w:rFonts w:ascii="Arial" w:hAnsi="Arial" w:eastAsia="Calibri" w:cs="Arial"/>
          <w:bCs/>
          <w:color w:val="000000" w:themeColor="text1"/>
          <w:highlight w:val="yellow"/>
          <w:lang w:bidi="es-ES"/>
        </w:rPr>
        <w:t xml:space="preserve"> es un negocio jurídico cuyo objeto es coordinar, cooperar, colaborar o distribuir competencias en la realización de funciones administrativas de interés común y, por </w:t>
      </w:r>
      <w:r w:rsidRPr="007E17B7">
        <w:rPr>
          <w:rFonts w:ascii="Arial" w:hAnsi="Arial" w:eastAsia="Calibri" w:cs="Arial"/>
          <w:bCs/>
          <w:color w:val="000000" w:themeColor="text1"/>
          <w:highlight w:val="yellow"/>
          <w:lang w:bidi="es-ES"/>
        </w:rPr>
        <w:t xml:space="preserve">tanto, tienen intereses convergentes o coincidentes, sin que se reciba por alguna de ellas el pago de un precio o contraprestación. Por su parte, el </w:t>
      </w:r>
      <w:r w:rsidRPr="007E17B7">
        <w:rPr>
          <w:rFonts w:ascii="Arial" w:hAnsi="Arial" w:eastAsia="Calibri" w:cs="Arial"/>
          <w:bCs/>
          <w:i/>
          <w:iCs/>
          <w:color w:val="000000" w:themeColor="text1"/>
          <w:highlight w:val="yellow"/>
          <w:lang w:bidi="es-ES"/>
        </w:rPr>
        <w:t>contrato</w:t>
      </w:r>
      <w:r w:rsidRPr="007E17B7">
        <w:rPr>
          <w:rFonts w:ascii="Arial" w:hAnsi="Arial" w:eastAsia="Calibri" w:cs="Arial"/>
          <w:bCs/>
          <w:color w:val="000000" w:themeColor="text1"/>
          <w:highlight w:val="yellow"/>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w:t>
      </w:r>
      <w:r w:rsidRPr="00FC2D03">
        <w:rPr>
          <w:rFonts w:ascii="Arial" w:hAnsi="Arial" w:eastAsia="Calibri" w:cs="Arial"/>
          <w:bCs/>
          <w:color w:val="000000" w:themeColor="text1"/>
          <w:lang w:bidi="es-ES"/>
        </w:rPr>
        <w:t xml:space="preserve"> </w:t>
      </w:r>
    </w:p>
    <w:p w:rsidRPr="00FC2D03" w:rsidR="00746BA3" w:rsidP="00FC2D03" w:rsidRDefault="00746BA3" w14:paraId="0AE176D7" w14:textId="77777777">
      <w:pPr>
        <w:shd w:val="clear" w:color="auto" w:fill="FFFFFF" w:themeFill="background1"/>
        <w:spacing w:before="120" w:after="0"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De aquí que la Sala de Consulta y Servicio Civil del Consejo de Estado</w:t>
      </w:r>
      <w:r w:rsidRPr="00FC2D03">
        <w:rPr>
          <w:rFonts w:ascii="Arial" w:hAnsi="Arial" w:eastAsia="Calibri" w:cs="Arial"/>
          <w:bCs/>
          <w:color w:val="000000" w:themeColor="text1"/>
          <w:vertAlign w:val="superscript"/>
          <w:lang w:bidi="es-ES"/>
        </w:rPr>
        <w:footnoteReference w:id="14"/>
      </w:r>
      <w:r w:rsidRPr="00FC2D03">
        <w:rPr>
          <w:rFonts w:ascii="Arial" w:hAnsi="Arial" w:eastAsia="Calibri" w:cs="Arial"/>
          <w:bCs/>
          <w:color w:val="000000" w:themeColor="text1"/>
          <w:lang w:bidi="es-ES"/>
        </w:rPr>
        <w:t xml:space="preserve"> haya señalado la necesidad de diferenciar el régimen jurídico aplicable a ciertas situaciones específicas del convenio interadministrativo que se separan del régimen jurídico común:</w:t>
      </w:r>
    </w:p>
    <w:p w:rsidRPr="00FC2D03" w:rsidR="00746BA3" w:rsidP="00FC2D03" w:rsidRDefault="00746BA3" w14:paraId="0698D6EC" w14:textId="77777777">
      <w:pPr>
        <w:shd w:val="clear" w:color="auto" w:fill="FFFFFF" w:themeFill="background1"/>
        <w:spacing w:before="288" w:beforeLines="120" w:after="288" w:afterLines="120" w:line="276" w:lineRule="auto"/>
        <w:ind w:firstLine="708"/>
        <w:contextualSpacing/>
        <w:rPr>
          <w:rFonts w:ascii="Arial" w:hAnsi="Arial" w:eastAsia="Calibri" w:cs="Arial"/>
          <w:bCs/>
          <w:color w:val="000000" w:themeColor="text1"/>
          <w:lang w:bidi="es-ES"/>
        </w:rPr>
      </w:pPr>
    </w:p>
    <w:p w:rsidRPr="00FC2D03" w:rsidR="00746BA3" w:rsidP="00FC2D03" w:rsidRDefault="00746BA3" w14:paraId="3079D3C8" w14:textId="77777777">
      <w:pPr>
        <w:shd w:val="clear" w:color="auto" w:fill="FFFFFF" w:themeFill="background1"/>
        <w:spacing w:before="288" w:beforeLines="120" w:after="288" w:afterLines="120" w:line="240" w:lineRule="auto"/>
        <w:ind w:left="709" w:right="709"/>
        <w:contextualSpacing/>
        <w:jc w:val="both"/>
        <w:rPr>
          <w:rFonts w:ascii="Arial" w:hAnsi="Arial" w:eastAsia="Calibri" w:cs="Arial"/>
          <w:bCs/>
          <w:color w:val="000000" w:themeColor="text1"/>
          <w:sz w:val="21"/>
          <w:lang w:bidi="es-ES"/>
        </w:rPr>
      </w:pPr>
      <w:r w:rsidRPr="00FC2D03">
        <w:rPr>
          <w:rFonts w:ascii="Arial" w:hAnsi="Arial" w:eastAsia="Calibri"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rsidRPr="00FC2D03" w:rsidR="00746BA3" w:rsidP="00FC2D03" w:rsidRDefault="00746BA3" w14:paraId="4CBE7466" w14:textId="77777777">
      <w:pPr>
        <w:shd w:val="clear" w:color="auto" w:fill="FFFFFF" w:themeFill="background1"/>
        <w:spacing w:before="288" w:beforeLines="120" w:after="288" w:afterLines="120" w:line="240" w:lineRule="auto"/>
        <w:ind w:left="709" w:right="709"/>
        <w:contextualSpacing/>
        <w:jc w:val="both"/>
        <w:rPr>
          <w:rFonts w:ascii="Arial" w:hAnsi="Arial" w:eastAsia="Calibri" w:cs="Arial"/>
          <w:bCs/>
          <w:color w:val="000000" w:themeColor="text1"/>
          <w:sz w:val="12"/>
          <w:szCs w:val="12"/>
          <w:lang w:bidi="es-ES"/>
        </w:rPr>
      </w:pPr>
    </w:p>
    <w:p w:rsidRPr="00FC2D03" w:rsidR="00746BA3" w:rsidP="00FC2D03" w:rsidRDefault="00746BA3" w14:paraId="4184579A" w14:textId="77777777">
      <w:pPr>
        <w:shd w:val="clear" w:color="auto" w:fill="FFFFFF" w:themeFill="background1"/>
        <w:spacing w:before="288" w:beforeLines="120" w:after="288" w:afterLines="120" w:line="240" w:lineRule="auto"/>
        <w:ind w:left="709" w:right="709"/>
        <w:contextualSpacing/>
        <w:jc w:val="both"/>
        <w:rPr>
          <w:rFonts w:ascii="Arial" w:hAnsi="Arial" w:eastAsia="Calibri" w:cs="Arial"/>
          <w:bCs/>
          <w:color w:val="000000" w:themeColor="text1"/>
          <w:sz w:val="21"/>
          <w:lang w:bidi="es-ES"/>
        </w:rPr>
      </w:pPr>
      <w:r w:rsidRPr="00FC2D03">
        <w:rPr>
          <w:rFonts w:ascii="Arial" w:hAnsi="Arial" w:eastAsia="Calibri" w:cs="Arial"/>
          <w:bCs/>
          <w:color w:val="000000" w:themeColor="text1"/>
          <w:sz w:val="21"/>
          <w:lang w:bidi="es-ES"/>
        </w:rPr>
        <w:t>Ahora, dada la naturaleza jurídica explicada de los convenios interadministrativos</w:t>
      </w:r>
      <w:r w:rsidRPr="00FC2D03">
        <w:rPr>
          <w:rFonts w:ascii="Arial" w:hAnsi="Arial" w:eastAsia="Calibri"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FC2D03">
        <w:rPr>
          <w:rFonts w:ascii="Arial" w:hAnsi="Arial" w:eastAsia="Calibri" w:cs="Arial"/>
          <w:bCs/>
          <w:color w:val="000000" w:themeColor="text1"/>
          <w:sz w:val="21"/>
          <w:lang w:bidi="es-ES"/>
        </w:rPr>
        <w:t xml:space="preserve">. (Cursiva fuera del texto original) </w:t>
      </w:r>
    </w:p>
    <w:p w:rsidRPr="00FC2D03" w:rsidR="00746BA3" w:rsidP="00FC2D03" w:rsidRDefault="00746BA3" w14:paraId="0D219407" w14:textId="77777777">
      <w:pPr>
        <w:shd w:val="clear" w:color="auto" w:fill="FFFFFF" w:themeFill="background1"/>
        <w:spacing w:before="288" w:beforeLines="120" w:after="288" w:afterLines="120" w:line="276" w:lineRule="auto"/>
        <w:ind w:firstLine="708"/>
        <w:contextualSpacing/>
        <w:rPr>
          <w:rFonts w:ascii="Arial" w:hAnsi="Arial" w:eastAsia="Calibri" w:cs="Arial"/>
          <w:bCs/>
          <w:color w:val="000000" w:themeColor="text1"/>
          <w:lang w:bidi="es-ES"/>
        </w:rPr>
      </w:pPr>
    </w:p>
    <w:p w:rsidRPr="00FC2D03" w:rsidR="00746BA3" w:rsidP="00FC2D03" w:rsidRDefault="00746BA3" w14:paraId="5C38854B" w14:textId="77777777">
      <w:pPr>
        <w:shd w:val="clear" w:color="auto" w:fill="FFFFFF" w:themeFill="background1"/>
        <w:snapToGrid w:val="0"/>
        <w:spacing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rsidRPr="00FC2D03" w:rsidR="00746BA3" w:rsidP="00FC2D03" w:rsidRDefault="00746BA3" w14:paraId="7F5E6349" w14:textId="77777777">
      <w:pPr>
        <w:shd w:val="clear" w:color="auto" w:fill="FFFFFF" w:themeFill="background1"/>
        <w:snapToGrid w:val="0"/>
        <w:spacing w:before="120"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En ese orden, por ejemplo, no serán aplicables, en principio, para los convenios, las cláusulas excepcionales al derecho común</w:t>
      </w:r>
      <w:r w:rsidRPr="00FC2D03">
        <w:rPr>
          <w:rFonts w:ascii="Arial" w:hAnsi="Arial" w:eastAsia="Calibri" w:cs="Arial"/>
          <w:bCs/>
          <w:color w:val="000000" w:themeColor="text1"/>
          <w:vertAlign w:val="superscript"/>
          <w:lang w:bidi="es-ES"/>
        </w:rPr>
        <w:footnoteReference w:id="15"/>
      </w:r>
      <w:r w:rsidRPr="00FC2D03">
        <w:rPr>
          <w:rFonts w:ascii="Arial" w:hAnsi="Arial" w:eastAsia="Calibri" w:cs="Arial"/>
          <w:bCs/>
          <w:color w:val="000000" w:themeColor="text1"/>
          <w:lang w:bidi="es-ES"/>
        </w:rPr>
        <w:t xml:space="preserve"> y tampoco sería procedente la inclusión de figuras contractuales como liquidación unilateral</w:t>
      </w:r>
      <w:r w:rsidRPr="00FC2D03">
        <w:rPr>
          <w:rStyle w:val="Refdenotaalpie"/>
          <w:rFonts w:ascii="Arial" w:hAnsi="Arial" w:eastAsia="Calibri" w:cs="Arial"/>
          <w:bCs/>
          <w:color w:val="000000" w:themeColor="text1"/>
          <w:lang w:bidi="es-ES"/>
        </w:rPr>
        <w:footnoteReference w:id="16"/>
      </w:r>
      <w:r w:rsidRPr="00FC2D03">
        <w:rPr>
          <w:rFonts w:ascii="Arial" w:hAnsi="Arial" w:eastAsia="Calibri" w:cs="Arial"/>
          <w:bCs/>
          <w:color w:val="000000" w:themeColor="text1"/>
          <w:lang w:bidi="es-ES"/>
        </w:rPr>
        <w:t xml:space="preserve">. En todo caso, siguiendo la senda interpretativa expuesta por la Sala de Consulta y Servicio Civil en el concepto que acaba de citarse, </w:t>
      </w:r>
      <w:r w:rsidRPr="006C6616">
        <w:rPr>
          <w:rFonts w:ascii="Arial" w:hAnsi="Arial" w:eastAsia="Calibri" w:cs="Arial"/>
          <w:bCs/>
          <w:color w:val="000000" w:themeColor="text1"/>
          <w:u w:val="single"/>
          <w:lang w:bidi="es-ES"/>
        </w:rPr>
        <w:t xml:space="preserve">la aplicación o inaplicación de estas y otras instituciones contractuales deberá definirse al analizar el contenido preciso de cada convenio celebrado y tal cuestión no puede concluirse </w:t>
      </w:r>
      <w:r w:rsidRPr="006C6616">
        <w:rPr>
          <w:rFonts w:ascii="Arial" w:hAnsi="Arial" w:eastAsia="Calibri" w:cs="Arial"/>
          <w:bCs/>
          <w:i/>
          <w:iCs/>
          <w:color w:val="000000" w:themeColor="text1"/>
          <w:u w:val="single"/>
          <w:lang w:bidi="es-ES"/>
        </w:rPr>
        <w:t>a priori</w:t>
      </w:r>
      <w:r w:rsidRPr="006C6616">
        <w:rPr>
          <w:rFonts w:ascii="Arial" w:hAnsi="Arial" w:eastAsia="Calibri" w:cs="Arial"/>
          <w:bCs/>
          <w:color w:val="000000" w:themeColor="text1"/>
          <w:u w:val="single"/>
          <w:lang w:bidi="es-ES"/>
        </w:rPr>
        <w:t xml:space="preserve"> o de manera automática</w:t>
      </w:r>
      <w:r w:rsidRPr="00FC2D03">
        <w:rPr>
          <w:rFonts w:ascii="Arial" w:hAnsi="Arial" w:eastAsia="Calibri" w:cs="Arial"/>
          <w:bCs/>
          <w:color w:val="000000" w:themeColor="text1"/>
          <w:lang w:bidi="es-ES"/>
        </w:rPr>
        <w:t xml:space="preserve">. </w:t>
      </w:r>
    </w:p>
    <w:p w:rsidR="00746BA3" w:rsidP="00FC2D03" w:rsidRDefault="00746BA3" w14:paraId="6313EDF0" w14:textId="77777777">
      <w:pPr>
        <w:shd w:val="clear" w:color="auto" w:fill="FFFFFF" w:themeFill="background1"/>
        <w:snapToGrid w:val="0"/>
        <w:spacing w:before="120" w:line="276" w:lineRule="auto"/>
        <w:ind w:firstLine="709"/>
        <w:jc w:val="both"/>
        <w:rPr>
          <w:rFonts w:ascii="Arial" w:hAnsi="Arial" w:eastAsia="Calibri" w:cs="Arial"/>
          <w:bCs/>
          <w:color w:val="000000" w:themeColor="text1"/>
          <w:lang w:bidi="es-ES"/>
        </w:rPr>
      </w:pPr>
      <w:r w:rsidRPr="00FC2D03">
        <w:rPr>
          <w:rFonts w:ascii="Arial" w:hAnsi="Arial" w:eastAsia="Calibri" w:cs="Arial"/>
          <w:bCs/>
          <w:color w:val="000000" w:themeColor="text1"/>
          <w:lang w:bidi="es-ES"/>
        </w:rPr>
        <w:t>Esto por cuanto, por una parte, el carácter de convenio administrativo no se deriva de su simple denominación como tal, sino de que el acuerdo de voluntades respectivo cumpla a cabalidad con las características que la normativa, la jurisprudencia y la doctrina le han atribuido y que han sido explicados en este concepto</w:t>
      </w:r>
      <w:r w:rsidRPr="00FC2D03">
        <w:rPr>
          <w:rStyle w:val="Refdenotaalpie"/>
          <w:rFonts w:ascii="Arial" w:hAnsi="Arial" w:eastAsia="Calibri" w:cs="Arial"/>
          <w:bCs/>
          <w:color w:val="000000" w:themeColor="text1"/>
          <w:lang w:bidi="es-ES"/>
        </w:rPr>
        <w:footnoteReference w:id="17"/>
      </w:r>
      <w:r w:rsidRPr="00FC2D03">
        <w:rPr>
          <w:rFonts w:ascii="Arial" w:hAnsi="Arial" w:eastAsia="Calibri" w:cs="Arial"/>
          <w:bCs/>
          <w:color w:val="000000" w:themeColor="text1"/>
          <w:lang w:bidi="es-ES"/>
        </w:rPr>
        <w:t xml:space="preserve">. Así, aun si el negocio jurídico de que se trate se suscriba bajo la denominación de “convenio interadministrativo” o algo similar, pero de la lectura de sus cláusulas se concluya una relación conmutativa y claramente onerosa entre las partes y se nota ausente la finalidad asociativa o colaborativa entre las entidades suscribientes, entonces, tal acuerdo no podría corresponder a la figura de convenio por carecer de sus elementos esenciales. En ese sentido, en tal caso, será distinto el análisis sobre la aplicación de institutos como la liquidación unilateral y de las demás figuras contractuales que se analicen en determinado caso. Además, para efectos de definir si la respectiva figura es o no aplicable al convenio, habrá que determinar si la misma es o no compatible con la naturaleza y contenido de dicho negocio jurídico, es decir, si es acorde con su finalidad asociativa, su carácter no oneroso o la ausencia de un objeto o finalidad patrimonial. </w:t>
      </w:r>
    </w:p>
    <w:p w:rsidRPr="00D74F6F" w:rsidR="0067454A" w:rsidP="00582E2A" w:rsidRDefault="00A87A3A" w14:paraId="70A2C79E" w14:textId="0C45634D">
      <w:pPr>
        <w:pStyle w:val="Textoindependiente"/>
        <w:spacing w:after="0"/>
        <w:ind w:firstLine="707"/>
        <w:jc w:val="both"/>
        <w:rPr>
          <w:rFonts w:ascii="Arial" w:hAnsi="Arial" w:cs="Arial"/>
        </w:rPr>
      </w:pPr>
      <w:r>
        <w:rPr>
          <w:rFonts w:ascii="Arial" w:hAnsi="Arial" w:eastAsia="Calibri" w:cs="Arial"/>
          <w:bCs/>
          <w:color w:val="000000" w:themeColor="text1"/>
          <w:lang w:bidi="es-ES"/>
        </w:rPr>
        <w:t xml:space="preserve">Conforme se ha venido explicando, y en relación </w:t>
      </w:r>
      <w:r w:rsidR="0067454A">
        <w:rPr>
          <w:rFonts w:ascii="Arial" w:hAnsi="Arial" w:eastAsia="Calibri" w:cs="Arial"/>
          <w:bCs/>
          <w:color w:val="000000" w:themeColor="text1"/>
          <w:lang w:bidi="es-ES"/>
        </w:rPr>
        <w:t xml:space="preserve">con el criterio orgánico de los contratos y convenios interadministrativos, </w:t>
      </w:r>
      <w:bookmarkStart w:name="_Hlk78820161" w:id="6"/>
      <w:r w:rsidR="00582E2A">
        <w:rPr>
          <w:rFonts w:ascii="Arial" w:hAnsi="Arial" w:cs="Arial"/>
        </w:rPr>
        <w:t>l</w:t>
      </w:r>
      <w:r w:rsidRPr="00D74F6F" w:rsidR="0067454A">
        <w:rPr>
          <w:rFonts w:ascii="Arial" w:hAnsi="Arial" w:cs="Arial"/>
        </w:rPr>
        <w:t>a tipología del contrato o convenio interadministrativo fue creada en la Ley 80 de 1993, y el Decreto 1082 de 2015 la califica como aquella contratación entre entidades estatales</w:t>
      </w:r>
      <w:r w:rsidRPr="00D74F6F" w:rsidR="0067454A">
        <w:rPr>
          <w:rStyle w:val="Refdenotaalpie"/>
          <w:rFonts w:ascii="Arial" w:hAnsi="Arial" w:cs="Arial"/>
        </w:rPr>
        <w:footnoteReference w:id="18"/>
      </w:r>
      <w:r w:rsidRPr="00D74F6F" w:rsidR="0067454A">
        <w:rPr>
          <w:rFonts w:ascii="Arial" w:hAnsi="Arial" w:cs="Arial"/>
        </w:rPr>
        <w:t xml:space="preserve">. De acuerdo con lo anterior, </w:t>
      </w:r>
      <w:r w:rsidRPr="00662098" w:rsidR="0067454A">
        <w:rPr>
          <w:rFonts w:ascii="Arial" w:hAnsi="Arial" w:cs="Arial"/>
          <w:u w:val="single"/>
        </w:rPr>
        <w:t>el contrato o el convenio interadministrativo es el acuerdo donde concurre la voluntad de dos o más personas jurídicas de derecho público con la finalidad de cumplir, en el marco de sus objetivos misionales y sus competencias, con los fines del Estado</w:t>
      </w:r>
      <w:r w:rsidRPr="00D74F6F" w:rsidR="0067454A">
        <w:rPr>
          <w:rFonts w:ascii="Arial" w:hAnsi="Arial" w:cs="Arial"/>
        </w:rPr>
        <w:t>. Es decir, los contratos o convenios interadministrativos están determinados por un criterio orgánico, pues es necesario que los extremos de la relación contractual sean entidades</w:t>
      </w:r>
      <w:r w:rsidRPr="00D74F6F" w:rsidR="0067454A">
        <w:rPr>
          <w:rFonts w:ascii="Arial" w:hAnsi="Arial" w:cs="Arial"/>
          <w:spacing w:val="-6"/>
        </w:rPr>
        <w:t xml:space="preserve"> </w:t>
      </w:r>
      <w:r w:rsidRPr="00D74F6F" w:rsidR="0067454A">
        <w:rPr>
          <w:rFonts w:ascii="Arial" w:hAnsi="Arial" w:cs="Arial"/>
        </w:rPr>
        <w:t>estatales.</w:t>
      </w:r>
      <w:r w:rsidR="00582E2A">
        <w:rPr>
          <w:rFonts w:ascii="Arial" w:hAnsi="Arial" w:cs="Arial"/>
        </w:rPr>
        <w:t xml:space="preserve"> </w:t>
      </w:r>
    </w:p>
    <w:p w:rsidRPr="00D74F6F" w:rsidR="0067454A" w:rsidP="0067454A" w:rsidRDefault="0067454A" w14:paraId="2FD0DF47" w14:textId="77777777">
      <w:pPr>
        <w:pStyle w:val="Textoindependiente"/>
        <w:spacing w:before="117" w:after="0"/>
        <w:ind w:firstLine="707"/>
        <w:jc w:val="both"/>
        <w:rPr>
          <w:rFonts w:ascii="Arial" w:hAnsi="Arial" w:cs="Arial"/>
        </w:rPr>
      </w:pPr>
      <w:bookmarkStart w:name="_Hlk78820654" w:id="8"/>
      <w:bookmarkEnd w:id="6"/>
      <w:r w:rsidRPr="00D74F6F">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8"/>
    <w:p w:rsidRPr="00D74F6F" w:rsidR="0067454A" w:rsidP="0067454A" w:rsidRDefault="0067454A" w14:paraId="7B126967" w14:textId="77777777">
      <w:pPr>
        <w:pStyle w:val="Textoindependiente"/>
        <w:spacing w:before="121" w:after="0"/>
        <w:ind w:firstLine="707"/>
        <w:jc w:val="both"/>
        <w:rPr>
          <w:rFonts w:ascii="Arial" w:hAnsi="Arial" w:cs="Arial"/>
        </w:rPr>
      </w:pPr>
      <w:r w:rsidRPr="00D74F6F">
        <w:rPr>
          <w:rFonts w:ascii="Arial" w:hAnsi="Arial" w:cs="Arial"/>
        </w:rPr>
        <w:t xml:space="preserve">Un contrato o convenio interadministrativo </w:t>
      </w:r>
      <w:r w:rsidRPr="000B7A6A">
        <w:rPr>
          <w:rFonts w:ascii="Arial" w:hAnsi="Arial" w:cs="Arial"/>
          <w:u w:val="single"/>
        </w:rPr>
        <w:t>no está determinado por la modalidad de selección utilizada para celebrarlo</w:t>
      </w:r>
      <w:r w:rsidRPr="00D74F6F">
        <w:rPr>
          <w:rFonts w:ascii="Arial" w:hAnsi="Arial" w:cs="Arial"/>
        </w:rPr>
        <w:t>.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D74F6F">
        <w:rPr>
          <w:rStyle w:val="Refdenotaalpie"/>
          <w:rFonts w:ascii="Arial" w:hAnsi="Arial" w:cs="Arial"/>
        </w:rPr>
        <w:footnoteReference w:id="19"/>
      </w:r>
      <w:r w:rsidRPr="00D74F6F">
        <w:rPr>
          <w:rFonts w:ascii="Arial" w:hAnsi="Arial" w:cs="Arial"/>
        </w:rPr>
        <w:t>. Nótese que, en este caso, lo que cambia es la modalidad de selección y no la naturaleza de contrato</w:t>
      </w:r>
      <w:r w:rsidRPr="00D74F6F">
        <w:rPr>
          <w:rFonts w:ascii="Arial" w:hAnsi="Arial" w:cs="Arial"/>
          <w:spacing w:val="-18"/>
        </w:rPr>
        <w:t xml:space="preserve"> </w:t>
      </w:r>
      <w:r w:rsidRPr="00D74F6F">
        <w:rPr>
          <w:rFonts w:ascii="Arial" w:hAnsi="Arial" w:cs="Arial"/>
        </w:rPr>
        <w:t>interadministrativo.</w:t>
      </w:r>
    </w:p>
    <w:p w:rsidRPr="00D74F6F" w:rsidR="0067454A" w:rsidP="0067454A" w:rsidRDefault="0067454A" w14:paraId="0C62809E" w14:textId="77777777">
      <w:pPr>
        <w:pStyle w:val="Textoindependiente"/>
        <w:spacing w:before="114" w:after="0"/>
        <w:ind w:firstLine="707"/>
        <w:jc w:val="both"/>
        <w:rPr>
          <w:rFonts w:ascii="Arial" w:hAnsi="Arial" w:cs="Arial"/>
        </w:rPr>
      </w:pPr>
      <w:r w:rsidRPr="00D74F6F">
        <w:rPr>
          <w:rFonts w:ascii="Arial" w:hAnsi="Arial" w:cs="Arial"/>
        </w:rPr>
        <w:t>La Corte Constitucional, en Sentencia C</w:t>
      </w:r>
      <w:r>
        <w:rPr>
          <w:rFonts w:ascii="Arial" w:hAnsi="Arial" w:cs="Arial"/>
        </w:rPr>
        <w:t>-</w:t>
      </w:r>
      <w:r w:rsidRPr="00D74F6F">
        <w:rPr>
          <w:rFonts w:ascii="Arial" w:hAnsi="Arial" w:cs="Arial"/>
        </w:rPr>
        <w:t>671 de 2015</w:t>
      </w:r>
      <w:r>
        <w:rPr>
          <w:rFonts w:ascii="Arial" w:hAnsi="Arial" w:cs="Arial"/>
        </w:rPr>
        <w:t>,</w:t>
      </w:r>
      <w:r w:rsidRPr="00D74F6F">
        <w:rPr>
          <w:rFonts w:ascii="Arial" w:hAnsi="Arial" w:cs="Arial"/>
        </w:rPr>
        <w:t xml:space="preserve"> expresó que “Lo que hace interadministrativo a un contrato o convenio no es el procedimiento de selección aplicable, sino la calidad de los sujetos contratantes, esto es que las dos partes de la relación jurídica contractual </w:t>
      </w:r>
      <w:r w:rsidRPr="00D74F6F">
        <w:rPr>
          <w:rFonts w:ascii="Arial" w:hAnsi="Arial" w:cs="Arial"/>
        </w:rPr>
        <w:t>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D74F6F">
        <w:rPr>
          <w:rFonts w:ascii="Arial" w:hAnsi="Arial" w:cs="Arial"/>
          <w:spacing w:val="-13"/>
        </w:rPr>
        <w:t xml:space="preserve"> </w:t>
      </w:r>
      <w:r w:rsidRPr="00D74F6F">
        <w:rPr>
          <w:rFonts w:ascii="Arial" w:hAnsi="Arial" w:cs="Arial"/>
        </w:rPr>
        <w:t>que:</w:t>
      </w:r>
    </w:p>
    <w:p w:rsidRPr="002B5545" w:rsidR="0067454A" w:rsidP="0067454A" w:rsidRDefault="0067454A" w14:paraId="39ECEBF7" w14:textId="77777777">
      <w:pPr>
        <w:pStyle w:val="Textoindependiente"/>
        <w:spacing w:after="0"/>
        <w:ind w:firstLine="707"/>
        <w:jc w:val="both"/>
        <w:rPr>
          <w:rFonts w:ascii="Arial" w:hAnsi="Arial" w:cs="Arial"/>
        </w:rPr>
      </w:pPr>
    </w:p>
    <w:p w:rsidRPr="00446B03" w:rsidR="0067454A" w:rsidP="0067454A" w:rsidRDefault="0067454A" w14:paraId="51252FE8" w14:textId="77777777">
      <w:pPr>
        <w:spacing w:after="0" w:line="240" w:lineRule="auto"/>
        <w:ind w:left="709" w:right="709"/>
        <w:jc w:val="both"/>
        <w:rPr>
          <w:rFonts w:ascii="Arial" w:hAnsi="Arial" w:cs="Arial"/>
          <w:sz w:val="21"/>
        </w:rPr>
      </w:pPr>
      <w:r>
        <w:rPr>
          <w:rFonts w:ascii="Arial" w:hAnsi="Arial" w:cs="Arial"/>
          <w:sz w:val="21"/>
        </w:rPr>
        <w:t>“</w:t>
      </w: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446B03">
        <w:rPr>
          <w:rFonts w:ascii="Arial" w:hAnsi="Arial" w:cs="Arial"/>
          <w:sz w:val="21"/>
        </w:rPr>
        <w:t>iii</w:t>
      </w:r>
      <w:proofErr w:type="spellEnd"/>
      <w:r w:rsidRPr="00446B03">
        <w:rPr>
          <w:rFonts w:ascii="Arial" w:hAnsi="Arial" w:cs="Arial"/>
          <w:sz w:val="21"/>
        </w:rPr>
        <w:t>)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46B03">
        <w:rPr>
          <w:rFonts w:ascii="Arial" w:hAnsi="Arial" w:cs="Arial"/>
          <w:sz w:val="21"/>
        </w:rPr>
        <w:t>vii</w:t>
      </w:r>
      <w:proofErr w:type="spellEnd"/>
      <w:r w:rsidRPr="00446B03">
        <w:rPr>
          <w:rFonts w:ascii="Arial" w:hAnsi="Arial" w:cs="Arial"/>
          <w:sz w:val="21"/>
        </w:rPr>
        <w:t>) persiguen  una finalidad común a través de la realización de intereses compartidos entre las entidades vinculadas; (</w:t>
      </w:r>
      <w:proofErr w:type="spellStart"/>
      <w:r w:rsidRPr="00446B03">
        <w:rPr>
          <w:rFonts w:ascii="Arial" w:hAnsi="Arial" w:cs="Arial"/>
          <w:sz w:val="21"/>
        </w:rPr>
        <w:t>viii</w:t>
      </w:r>
      <w:proofErr w:type="spellEnd"/>
      <w:r w:rsidRPr="00446B03">
        <w:rPr>
          <w:rFonts w:ascii="Arial" w:hAnsi="Arial" w:cs="Arial"/>
          <w:sz w:val="21"/>
        </w:rPr>
        <w:t>) la acción mediante la cual se deben ventilar las diferencias que sobre el particular surjan es la de controversias contractuales</w:t>
      </w:r>
      <w:r>
        <w:rPr>
          <w:rFonts w:ascii="Arial" w:hAnsi="Arial" w:cs="Arial"/>
          <w:sz w:val="21"/>
        </w:rPr>
        <w:t>”</w:t>
      </w:r>
      <w:r w:rsidRPr="00446B03">
        <w:rPr>
          <w:rStyle w:val="Refdenotaalpie"/>
          <w:rFonts w:ascii="Arial" w:hAnsi="Arial" w:cs="Arial"/>
          <w:sz w:val="21"/>
        </w:rPr>
        <w:footnoteReference w:id="20"/>
      </w:r>
      <w:r w:rsidRPr="00446B03">
        <w:rPr>
          <w:rFonts w:ascii="Arial" w:hAnsi="Arial" w:cs="Arial"/>
          <w:sz w:val="21"/>
        </w:rPr>
        <w:t>.</w:t>
      </w:r>
    </w:p>
    <w:p w:rsidRPr="002816F3" w:rsidR="0067454A" w:rsidP="0067454A" w:rsidRDefault="0067454A" w14:paraId="1AABB492" w14:textId="77777777">
      <w:pPr>
        <w:spacing w:after="0"/>
        <w:ind w:left="709" w:right="709"/>
        <w:jc w:val="both"/>
        <w:rPr>
          <w:rFonts w:ascii="Arial" w:hAnsi="Arial" w:cs="Arial"/>
        </w:rPr>
      </w:pPr>
    </w:p>
    <w:p w:rsidRPr="00917A86" w:rsidR="0067454A" w:rsidP="0067454A" w:rsidRDefault="0067454A" w14:paraId="483AFDFC" w14:textId="77777777">
      <w:pPr>
        <w:pStyle w:val="Textoindependiente"/>
        <w:spacing w:after="0"/>
        <w:ind w:firstLine="707"/>
        <w:jc w:val="both"/>
        <w:rPr>
          <w:rFonts w:ascii="Arial" w:hAnsi="Arial" w:cs="Arial"/>
        </w:rPr>
      </w:pPr>
      <w:r w:rsidRPr="00917A86">
        <w:rPr>
          <w:rFonts w:ascii="Arial" w:hAnsi="Arial" w:cs="Arial"/>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w:t>
      </w:r>
      <w:r w:rsidRPr="00917A86">
        <w:rPr>
          <w:rFonts w:ascii="Arial" w:hAnsi="Arial" w:cs="Arial"/>
          <w:u w:val="single"/>
        </w:rPr>
        <w:t>contratación directa</w:t>
      </w:r>
      <w:r w:rsidRPr="00917A86">
        <w:rPr>
          <w:rFonts w:ascii="Arial" w:hAnsi="Arial" w:cs="Arial"/>
        </w:rPr>
        <w:t xml:space="preserve"> como la modalidad de selección aplicable, por regla general, a la celebración de los contratos interadministrativos.</w:t>
      </w:r>
    </w:p>
    <w:p w:rsidR="0067454A" w:rsidP="0067454A" w:rsidRDefault="0067454A" w14:paraId="1A2E8830" w14:textId="77777777">
      <w:pPr>
        <w:pStyle w:val="Textoindependiente"/>
        <w:spacing w:before="119" w:after="0"/>
        <w:ind w:firstLine="707"/>
        <w:jc w:val="both"/>
        <w:rPr>
          <w:rFonts w:ascii="Arial" w:hAnsi="Arial" w:cs="Arial"/>
        </w:rPr>
      </w:pPr>
      <w:r w:rsidRPr="002816F3">
        <w:rPr>
          <w:rFonts w:ascii="Arial" w:hAnsi="Arial" w:cs="Arial"/>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w:t>
      </w:r>
      <w:r w:rsidRPr="00917A86">
        <w:rPr>
          <w:rFonts w:ascii="Arial" w:hAnsi="Arial" w:cs="Arial"/>
          <w:u w:val="single"/>
        </w:rPr>
        <w:t xml:space="preserve">es posible que se celebren contratos interadministrativos en el marco de un proceso donde sea posible la participación de los interesados en ofertar, es decir, a través de las otras </w:t>
      </w:r>
      <w:r w:rsidRPr="00917A86">
        <w:rPr>
          <w:rFonts w:ascii="Arial" w:hAnsi="Arial" w:cs="Arial"/>
          <w:u w:val="single"/>
        </w:rPr>
        <w:t>modalidades de selección previstas en la Ley 1150 de 2007 diferentes a la de contratación directa</w:t>
      </w:r>
      <w:r w:rsidRPr="002816F3">
        <w:rPr>
          <w:rFonts w:ascii="Arial" w:hAnsi="Arial" w:cs="Arial"/>
        </w:rPr>
        <w:t>. Como se indicó, la existencia de un contrato interadministrativo no está determinada por la modalidad de selección sino, entre otras cosas, de la calidad de las partes que lo suscriben, es decir, debe tratarse de entidades</w:t>
      </w:r>
      <w:r w:rsidRPr="002816F3">
        <w:rPr>
          <w:rFonts w:ascii="Arial" w:hAnsi="Arial" w:cs="Arial"/>
          <w:spacing w:val="-3"/>
        </w:rPr>
        <w:t xml:space="preserve"> </w:t>
      </w:r>
      <w:r w:rsidRPr="002816F3">
        <w:rPr>
          <w:rFonts w:ascii="Arial" w:hAnsi="Arial" w:cs="Arial"/>
        </w:rPr>
        <w:t>estatales.</w:t>
      </w:r>
    </w:p>
    <w:p w:rsidRPr="002816F3" w:rsidR="0096180B" w:rsidP="00B50D7B" w:rsidRDefault="009E445E" w14:paraId="1A08C15B" w14:textId="24290B10">
      <w:pPr>
        <w:pStyle w:val="Textoindependiente"/>
        <w:spacing w:before="119" w:after="0"/>
        <w:ind w:firstLine="707"/>
        <w:jc w:val="both"/>
        <w:rPr>
          <w:rFonts w:ascii="Arial" w:hAnsi="Arial" w:cs="Arial"/>
        </w:rPr>
      </w:pPr>
      <w:r>
        <w:rPr>
          <w:rFonts w:ascii="Arial" w:hAnsi="Arial" w:cs="Arial"/>
        </w:rPr>
        <w:t>Conforme a lo</w:t>
      </w:r>
      <w:r w:rsidR="00106F91">
        <w:rPr>
          <w:rFonts w:ascii="Arial" w:hAnsi="Arial" w:cs="Arial"/>
        </w:rPr>
        <w:t xml:space="preserve"> </w:t>
      </w:r>
      <w:r>
        <w:rPr>
          <w:rFonts w:ascii="Arial" w:hAnsi="Arial" w:cs="Arial"/>
        </w:rPr>
        <w:t>anterior,</w:t>
      </w:r>
      <w:r w:rsidR="00106F91">
        <w:rPr>
          <w:rFonts w:ascii="Arial" w:hAnsi="Arial" w:cs="Arial"/>
        </w:rPr>
        <w:t xml:space="preserve"> y superando el tema de que la modalidad de selección, por regla  general,</w:t>
      </w:r>
      <w:r w:rsidR="00F308B2">
        <w:rPr>
          <w:rFonts w:ascii="Arial" w:hAnsi="Arial" w:cs="Arial"/>
        </w:rPr>
        <w:t xml:space="preserve"> aplicable a los contratos y convenios </w:t>
      </w:r>
      <w:r w:rsidR="00662FDE">
        <w:rPr>
          <w:rFonts w:ascii="Arial" w:hAnsi="Arial" w:cs="Arial"/>
        </w:rPr>
        <w:t xml:space="preserve">interadministrativos es la contratación directa, pero que esta </w:t>
      </w:r>
      <w:r w:rsidR="007834B5">
        <w:rPr>
          <w:rFonts w:ascii="Arial" w:hAnsi="Arial" w:cs="Arial"/>
        </w:rPr>
        <w:t xml:space="preserve">puede diferir en </w:t>
      </w:r>
      <w:r w:rsidR="00141E19">
        <w:rPr>
          <w:rFonts w:ascii="Arial" w:hAnsi="Arial" w:cs="Arial"/>
        </w:rPr>
        <w:t>algunos</w:t>
      </w:r>
      <w:r w:rsidR="00CE5474">
        <w:rPr>
          <w:rFonts w:ascii="Arial" w:hAnsi="Arial" w:cs="Arial"/>
        </w:rPr>
        <w:t xml:space="preserve"> </w:t>
      </w:r>
      <w:r w:rsidR="00141E19">
        <w:rPr>
          <w:rFonts w:ascii="Arial" w:hAnsi="Arial" w:cs="Arial"/>
        </w:rPr>
        <w:t>procesos y permitir la celebración a través de otra modalidad</w:t>
      </w:r>
      <w:r w:rsidR="00CE5474">
        <w:rPr>
          <w:rFonts w:ascii="Arial" w:hAnsi="Arial" w:cs="Arial"/>
        </w:rPr>
        <w:t xml:space="preserve"> </w:t>
      </w:r>
      <w:r w:rsidRPr="00CE5474" w:rsidR="00CE5474">
        <w:rPr>
          <w:rFonts w:ascii="Arial" w:hAnsi="Arial" w:cs="Arial"/>
        </w:rPr>
        <w:t>donde sea posible la participación de</w:t>
      </w:r>
      <w:r w:rsidR="00CE5474">
        <w:rPr>
          <w:rFonts w:ascii="Arial" w:hAnsi="Arial" w:cs="Arial"/>
        </w:rPr>
        <w:t xml:space="preserve"> pluralidad de oferentes, </w:t>
      </w:r>
      <w:r w:rsidR="005E4A1B">
        <w:rPr>
          <w:rFonts w:ascii="Arial" w:hAnsi="Arial" w:cs="Arial"/>
        </w:rPr>
        <w:t xml:space="preserve">y reiterando </w:t>
      </w:r>
      <w:r w:rsidR="00457E89">
        <w:rPr>
          <w:rFonts w:ascii="Arial" w:hAnsi="Arial" w:cs="Arial"/>
        </w:rPr>
        <w:t xml:space="preserve">que el factor </w:t>
      </w:r>
      <w:r w:rsidR="00875DAF">
        <w:rPr>
          <w:rFonts w:ascii="Arial" w:hAnsi="Arial" w:cs="Arial"/>
        </w:rPr>
        <w:t>orgánico</w:t>
      </w:r>
      <w:r w:rsidR="00457E89">
        <w:rPr>
          <w:rFonts w:ascii="Arial" w:hAnsi="Arial" w:cs="Arial"/>
        </w:rPr>
        <w:t xml:space="preserve"> de la calidad de las  partes</w:t>
      </w:r>
      <w:r w:rsidR="00D37F57">
        <w:rPr>
          <w:rFonts w:ascii="Arial" w:hAnsi="Arial" w:cs="Arial"/>
        </w:rPr>
        <w:t>,</w:t>
      </w:r>
      <w:r w:rsidRPr="00D37F57" w:rsidR="00D37F57">
        <w:t xml:space="preserve"> </w:t>
      </w:r>
      <w:r w:rsidRPr="00D37F57" w:rsidR="00D37F57">
        <w:rPr>
          <w:rFonts w:ascii="Arial" w:hAnsi="Arial" w:cs="Arial"/>
        </w:rPr>
        <w:t>entidades estatales</w:t>
      </w:r>
      <w:r w:rsidR="00D37F57">
        <w:rPr>
          <w:rFonts w:ascii="Arial" w:hAnsi="Arial" w:cs="Arial"/>
        </w:rPr>
        <w:t>, es el factor fundamental para la existencia de estos convenios y contratos</w:t>
      </w:r>
      <w:r w:rsidR="00842576">
        <w:rPr>
          <w:rFonts w:ascii="Arial" w:hAnsi="Arial" w:cs="Arial"/>
        </w:rPr>
        <w:t>. C</w:t>
      </w:r>
      <w:r w:rsidR="00D37F57">
        <w:rPr>
          <w:rFonts w:ascii="Arial" w:hAnsi="Arial" w:cs="Arial"/>
        </w:rPr>
        <w:t xml:space="preserve">onviene </w:t>
      </w:r>
      <w:r w:rsidR="001A6CBA">
        <w:rPr>
          <w:rFonts w:ascii="Arial" w:hAnsi="Arial" w:cs="Arial"/>
        </w:rPr>
        <w:t>mencionar ejemplos en los cuales</w:t>
      </w:r>
      <w:r w:rsidR="00842576">
        <w:rPr>
          <w:rFonts w:ascii="Arial" w:hAnsi="Arial" w:cs="Arial"/>
        </w:rPr>
        <w:t>, por disposición legal,</w:t>
      </w:r>
      <w:r w:rsidR="001A6CBA">
        <w:rPr>
          <w:rFonts w:ascii="Arial" w:hAnsi="Arial" w:cs="Arial"/>
        </w:rPr>
        <w:t xml:space="preserve"> </w:t>
      </w:r>
      <w:r w:rsidR="00842576">
        <w:rPr>
          <w:rFonts w:ascii="Arial" w:hAnsi="Arial" w:cs="Arial"/>
        </w:rPr>
        <w:t>es posible</w:t>
      </w:r>
      <w:r w:rsidR="000C7A2F">
        <w:rPr>
          <w:rFonts w:ascii="Arial" w:hAnsi="Arial" w:cs="Arial"/>
        </w:rPr>
        <w:t xml:space="preserve"> la concurrencia de pluralidad de oferentes </w:t>
      </w:r>
      <w:r w:rsidR="00842576">
        <w:rPr>
          <w:rFonts w:ascii="Arial" w:hAnsi="Arial" w:cs="Arial"/>
        </w:rPr>
        <w:t xml:space="preserve"> </w:t>
      </w:r>
      <w:r w:rsidR="000C7A2F">
        <w:rPr>
          <w:rFonts w:ascii="Arial" w:hAnsi="Arial" w:cs="Arial"/>
        </w:rPr>
        <w:t xml:space="preserve">de cara a la celebración de </w:t>
      </w:r>
      <w:r w:rsidR="00B07F23">
        <w:rPr>
          <w:rFonts w:ascii="Arial" w:hAnsi="Arial" w:cs="Arial"/>
        </w:rPr>
        <w:t xml:space="preserve">convenios y contratos interadministrativos, </w:t>
      </w:r>
      <w:r w:rsidR="0062177D">
        <w:rPr>
          <w:rFonts w:ascii="Arial" w:hAnsi="Arial" w:cs="Arial"/>
        </w:rPr>
        <w:t>un ejemplo claro son los contratos y convenios celebrados en el marco de l</w:t>
      </w:r>
      <w:r w:rsidRPr="0062177D" w:rsidR="0062177D">
        <w:rPr>
          <w:rFonts w:ascii="Arial" w:hAnsi="Arial" w:cs="Arial"/>
        </w:rPr>
        <w:t>as asociaciones conformadas por entidades territoriales</w:t>
      </w:r>
      <w:r w:rsidR="00AF4C4E">
        <w:rPr>
          <w:rFonts w:ascii="Arial" w:hAnsi="Arial" w:cs="Arial"/>
        </w:rPr>
        <w:t xml:space="preserve"> previsto en el artículo 10 de la Ley 1150 de </w:t>
      </w:r>
      <w:r w:rsidR="00394423">
        <w:rPr>
          <w:rFonts w:ascii="Arial" w:hAnsi="Arial" w:cs="Arial"/>
        </w:rPr>
        <w:t>2007, allí la referida Ley dispone que: “</w:t>
      </w:r>
      <w:r w:rsidRPr="002851DC" w:rsidR="002851DC">
        <w:rPr>
          <w:rFonts w:ascii="Arial" w:hAnsi="Arial" w:cs="Arial"/>
        </w:rPr>
        <w:t>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r w:rsidR="002851DC">
        <w:rPr>
          <w:rFonts w:ascii="Arial" w:hAnsi="Arial" w:cs="Arial"/>
        </w:rPr>
        <w:t xml:space="preserve">” </w:t>
      </w:r>
      <w:r w:rsidR="00AD0AEC">
        <w:rPr>
          <w:rFonts w:ascii="Arial" w:hAnsi="Arial" w:cs="Arial"/>
        </w:rPr>
        <w:t>otro ejemplo</w:t>
      </w:r>
      <w:r w:rsidR="003F31F9">
        <w:rPr>
          <w:rFonts w:ascii="Arial" w:hAnsi="Arial" w:cs="Arial"/>
        </w:rPr>
        <w:t>,</w:t>
      </w:r>
      <w:r w:rsidR="009A2C7A">
        <w:rPr>
          <w:rFonts w:ascii="Arial" w:hAnsi="Arial" w:cs="Arial"/>
        </w:rPr>
        <w:t xml:space="preserve"> </w:t>
      </w:r>
      <w:r w:rsidR="003F31F9">
        <w:rPr>
          <w:rFonts w:ascii="Arial" w:hAnsi="Arial" w:cs="Arial"/>
        </w:rPr>
        <w:t>ya</w:t>
      </w:r>
      <w:r w:rsidR="009A2C7A">
        <w:rPr>
          <w:rFonts w:ascii="Arial" w:hAnsi="Arial" w:cs="Arial"/>
        </w:rPr>
        <w:t xml:space="preserve"> mencionado previamente</w:t>
      </w:r>
      <w:r w:rsidR="00213286">
        <w:rPr>
          <w:rFonts w:ascii="Arial" w:hAnsi="Arial" w:cs="Arial"/>
        </w:rPr>
        <w:t xml:space="preserve">, </w:t>
      </w:r>
      <w:r w:rsidR="004E660F">
        <w:rPr>
          <w:rFonts w:ascii="Arial" w:hAnsi="Arial" w:cs="Arial"/>
        </w:rPr>
        <w:t xml:space="preserve">es el que se refiere a los </w:t>
      </w:r>
      <w:r w:rsidRPr="004E660F" w:rsidR="004E660F">
        <w:rPr>
          <w:rFonts w:ascii="Arial" w:hAnsi="Arial" w:cs="Arial"/>
        </w:rPr>
        <w:t xml:space="preserve"> contratos de obra</w:t>
      </w:r>
      <w:r w:rsidR="004E660F">
        <w:rPr>
          <w:rFonts w:ascii="Arial" w:hAnsi="Arial" w:cs="Arial"/>
        </w:rPr>
        <w:t xml:space="preserve"> y </w:t>
      </w:r>
      <w:r w:rsidRPr="004E660F" w:rsidR="004E660F">
        <w:rPr>
          <w:rFonts w:ascii="Arial" w:hAnsi="Arial" w:cs="Arial"/>
        </w:rPr>
        <w:t xml:space="preserve"> suministro</w:t>
      </w:r>
      <w:r w:rsidR="00CC36D5">
        <w:rPr>
          <w:rFonts w:ascii="Arial" w:hAnsi="Arial" w:cs="Arial"/>
        </w:rPr>
        <w:t xml:space="preserve">, y demás, </w:t>
      </w:r>
      <w:r w:rsidR="004E660F">
        <w:rPr>
          <w:rFonts w:ascii="Arial" w:hAnsi="Arial" w:cs="Arial"/>
        </w:rPr>
        <w:t xml:space="preserve"> previstos en el</w:t>
      </w:r>
      <w:r w:rsidR="005A37EA">
        <w:rPr>
          <w:rFonts w:ascii="Arial" w:hAnsi="Arial" w:cs="Arial"/>
        </w:rPr>
        <w:t xml:space="preserve"> tercer inciso del</w:t>
      </w:r>
      <w:r w:rsidR="004E660F">
        <w:rPr>
          <w:rFonts w:ascii="Arial" w:hAnsi="Arial" w:cs="Arial"/>
        </w:rPr>
        <w:t xml:space="preserve"> artículo </w:t>
      </w:r>
      <w:r w:rsidR="00FA12BC">
        <w:rPr>
          <w:rFonts w:ascii="Arial" w:hAnsi="Arial" w:cs="Arial"/>
        </w:rPr>
        <w:t>92 de la Ley 1474 de 2011</w:t>
      </w:r>
      <w:r w:rsidR="00FA12BC">
        <w:rPr>
          <w:rStyle w:val="Refdenotaalpie"/>
          <w:rFonts w:ascii="Arial" w:hAnsi="Arial" w:cs="Arial"/>
        </w:rPr>
        <w:footnoteReference w:id="21"/>
      </w:r>
      <w:r w:rsidR="00D22181">
        <w:rPr>
          <w:rFonts w:ascii="Arial" w:hAnsi="Arial" w:cs="Arial"/>
        </w:rPr>
        <w:t xml:space="preserve"> esta norma refiere de manera expresa: “</w:t>
      </w:r>
      <w:r w:rsidRPr="00300567" w:rsidR="00300567">
        <w:rPr>
          <w:rFonts w:ascii="Arial" w:hAnsi="Arial" w:cs="Arial"/>
        </w:rPr>
        <w:t>Estos contratos podrán ser ejecutados por las mismas, siempre que participen en procesos de licitación pública o contratación abreviada de acuerdo con lo dispuesto por los numerales 1 y 2 del presente artículo</w:t>
      </w:r>
      <w:r w:rsidR="00D22181">
        <w:rPr>
          <w:rFonts w:ascii="Arial" w:hAnsi="Arial" w:cs="Arial"/>
        </w:rPr>
        <w:t>”</w:t>
      </w:r>
      <w:r w:rsidR="00FA12BC">
        <w:rPr>
          <w:rFonts w:ascii="Arial" w:hAnsi="Arial" w:cs="Arial"/>
        </w:rPr>
        <w:t>.</w:t>
      </w:r>
    </w:p>
    <w:p w:rsidR="00746BA3" w:rsidP="00833BE5" w:rsidRDefault="0067454A" w14:paraId="0E9C0B4C" w14:textId="4C5FF273">
      <w:pPr>
        <w:pStyle w:val="Textoindependiente"/>
        <w:spacing w:before="120" w:after="0"/>
        <w:ind w:firstLine="709"/>
        <w:jc w:val="both"/>
        <w:rPr>
          <w:rFonts w:ascii="Arial" w:hAnsi="Arial" w:eastAsia="Calibri" w:cs="Arial"/>
          <w:bCs/>
          <w:color w:val="000000" w:themeColor="text1"/>
          <w:lang w:bidi="es-ES"/>
        </w:rPr>
      </w:pPr>
      <w:r w:rsidRPr="002816F3">
        <w:rPr>
          <w:rFonts w:ascii="Arial" w:hAnsi="Arial" w:cs="Arial"/>
        </w:rPr>
        <w:t xml:space="preserve">Además, es necesario tener en cuenta que para que un contrato o convenio interadministrativo exista, debe cumplir con los siguientes elementos: acuerdo sobre el objeto y la contraprestación, y que se eleve a </w:t>
      </w:r>
      <w:r w:rsidRPr="002816F3" w:rsidR="00833BE5">
        <w:rPr>
          <w:rFonts w:ascii="Arial" w:hAnsi="Arial" w:cs="Arial"/>
        </w:rPr>
        <w:t>escrito</w:t>
      </w:r>
      <w:r w:rsidRPr="00DB59F4" w:rsidR="00833BE5">
        <w:rPr>
          <w:rFonts w:ascii="Arial" w:hAnsi="Arial" w:cs="Arial"/>
        </w:rPr>
        <w:t>.</w:t>
      </w:r>
      <w:r w:rsidRPr="00DB59F4" w:rsidR="00833BE5">
        <w:rPr>
          <w:rFonts w:ascii="Arial" w:hAnsi="Arial" w:eastAsia="Calibri" w:cs="Arial"/>
          <w:bCs/>
          <w:color w:val="000000" w:themeColor="text1"/>
          <w:lang w:bidi="es-ES"/>
        </w:rPr>
        <w:t xml:space="preserve"> En</w:t>
      </w:r>
      <w:r w:rsidRPr="00DB59F4" w:rsidR="00746BA3">
        <w:rPr>
          <w:rFonts w:ascii="Arial" w:hAnsi="Arial" w:eastAsia="Calibri" w:cs="Arial"/>
          <w:bCs/>
          <w:color w:val="000000" w:themeColor="text1"/>
          <w:lang w:bidi="es-ES"/>
        </w:rPr>
        <w:t xml:space="preserve"> suma, esta Agencia aclara su postura interpretativa en el sentido de que, si bien tanto los contratos como convenios comparten características comunes, difieren en cuanto a ciertos aspectos esenciales</w:t>
      </w:r>
      <w:r w:rsidRPr="00DB59F4" w:rsidR="00746BA3">
        <w:rPr>
          <w:rFonts w:ascii="Arial" w:hAnsi="Arial" w:eastAsia="Calibri" w:cs="Arial"/>
          <w:color w:val="000000" w:themeColor="text1"/>
          <w:lang w:bidi="es-ES"/>
        </w:rPr>
        <w:t xml:space="preserve">, según lo ha venido señalando el Consejo de Estado. </w:t>
      </w:r>
      <w:r w:rsidRPr="00DB59F4" w:rsidR="00746BA3">
        <w:rPr>
          <w:rFonts w:ascii="Arial" w:hAnsi="Arial" w:eastAsia="Calibri" w:cs="Arial"/>
          <w:bCs/>
          <w:color w:val="000000" w:themeColor="text1"/>
          <w:lang w:bidi="es-ES"/>
        </w:rPr>
        <w:t xml:space="preserve">Así, mientras que el </w:t>
      </w:r>
      <w:r w:rsidRPr="00DB59F4" w:rsidR="00746BA3">
        <w:rPr>
          <w:rFonts w:ascii="Arial" w:hAnsi="Arial" w:eastAsia="Calibri" w:cs="Arial"/>
          <w:bCs/>
          <w:i/>
          <w:iCs/>
          <w:color w:val="000000" w:themeColor="text1"/>
          <w:lang w:bidi="es-ES"/>
        </w:rPr>
        <w:t>contrato administrativo</w:t>
      </w:r>
      <w:r w:rsidRPr="00DB59F4" w:rsidR="00746BA3">
        <w:rPr>
          <w:rFonts w:ascii="Arial" w:hAnsi="Arial" w:eastAsia="Calibri" w:cs="Arial"/>
          <w:bCs/>
          <w:color w:val="000000" w:themeColor="text1"/>
          <w:lang w:bidi="es-ES"/>
        </w:rPr>
        <w:t xml:space="preserve"> se caracteriza por su naturaleza onerosa, patrimonial y se conforma por intereses básicamente contrapuestos, los </w:t>
      </w:r>
      <w:r w:rsidRPr="00DB59F4" w:rsidR="00746BA3">
        <w:rPr>
          <w:rFonts w:ascii="Arial" w:hAnsi="Arial" w:eastAsia="Calibri" w:cs="Arial"/>
          <w:bCs/>
          <w:i/>
          <w:iCs/>
          <w:color w:val="000000" w:themeColor="text1"/>
          <w:lang w:bidi="es-ES"/>
        </w:rPr>
        <w:t>convenios administrativos</w:t>
      </w:r>
      <w:r w:rsidRPr="00DB59F4" w:rsidR="00746BA3">
        <w:rPr>
          <w:rFonts w:ascii="Arial" w:hAnsi="Arial" w:eastAsia="Calibri" w:cs="Arial"/>
          <w:bCs/>
          <w:color w:val="000000" w:themeColor="text1"/>
          <w:lang w:bidi="es-ES"/>
        </w:rPr>
        <w:t xml:space="preserve">, por su parte, tienen una finalidad asociativa perseguida por las partes suscriptoras cuyos intereses se encaminan en la misma dirección y persiguen los mismos </w:t>
      </w:r>
      <w:r w:rsidRPr="00DB59F4" w:rsidR="00746BA3">
        <w:rPr>
          <w:rFonts w:ascii="Arial" w:hAnsi="Arial" w:eastAsia="Calibri" w:cs="Arial"/>
          <w:bCs/>
          <w:color w:val="000000" w:themeColor="text1"/>
          <w:lang w:bidi="es-ES"/>
        </w:rPr>
        <w:t xml:space="preserve">objetivos, de conformidad con el ejercicio de las funciones y competencias que les son propias y propendiendo por la cooperación interinstitucional. </w:t>
      </w:r>
    </w:p>
    <w:p w:rsidRPr="00833BE5" w:rsidR="00833BE5" w:rsidP="00C96FE5" w:rsidRDefault="00833BE5" w14:paraId="067853C0" w14:textId="77777777">
      <w:pPr>
        <w:pStyle w:val="Textoindependiente"/>
        <w:spacing w:before="120" w:after="0"/>
        <w:jc w:val="both"/>
        <w:rPr>
          <w:rFonts w:ascii="Arial" w:hAnsi="Arial" w:cs="Arial"/>
        </w:rPr>
      </w:pPr>
    </w:p>
    <w:p w:rsidR="00746BA3" w:rsidP="00FC2D03" w:rsidRDefault="00746BA3" w14:paraId="136A26CC" w14:textId="63BA2FF0">
      <w:pPr>
        <w:shd w:val="clear" w:color="auto" w:fill="FFFFFF" w:themeFill="background1"/>
        <w:snapToGrid w:val="0"/>
        <w:spacing w:after="0" w:line="276" w:lineRule="auto"/>
        <w:ind w:firstLine="709"/>
        <w:jc w:val="both"/>
        <w:rPr>
          <w:rFonts w:ascii="Arial" w:hAnsi="Arial" w:eastAsia="Calibri" w:cs="Arial"/>
          <w:bCs/>
          <w:color w:val="000000" w:themeColor="text1"/>
          <w:lang w:bidi="es-ES"/>
        </w:rPr>
      </w:pPr>
      <w:r w:rsidRPr="00DB59F4">
        <w:rPr>
          <w:rFonts w:ascii="Arial" w:hAnsi="Arial" w:eastAsia="Calibri" w:cs="Arial"/>
          <w:bCs/>
          <w:color w:val="000000" w:themeColor="text1"/>
          <w:lang w:bidi="es-ES"/>
        </w:rPr>
        <w:t>Por lo tanto, se da el alcance debido a las manifestaciones anteriores de esta Subdirección en las que se expresó que contratos y convenios administrativos son figuras “equivalentes”, en la medida en que dicha equiparación hace referencia a la existencia de eventos en los que las distinciones conceptuales entre dichos negocios jurídicos resultan indiferentes para definir la aplicación de cierta norma o figura contractual. Si</w:t>
      </w:r>
      <w:r w:rsidRPr="00DB59F4" w:rsidR="003438BA">
        <w:rPr>
          <w:rFonts w:ascii="Arial" w:hAnsi="Arial" w:eastAsia="Calibri" w:cs="Arial"/>
          <w:bCs/>
          <w:color w:val="000000" w:themeColor="text1"/>
          <w:lang w:bidi="es-ES"/>
        </w:rPr>
        <w:t>n</w:t>
      </w:r>
      <w:r w:rsidRPr="00DB59F4">
        <w:rPr>
          <w:rFonts w:ascii="Arial" w:hAnsi="Arial" w:eastAsia="Calibri" w:cs="Arial"/>
          <w:bCs/>
          <w:color w:val="000000" w:themeColor="text1"/>
          <w:lang w:bidi="es-ES"/>
        </w:rPr>
        <w:t xml:space="preserve"> embargo, esto no implica desconocer que ambos cuentan con elementos que los diferencian y distinguen, y que, en determinados casos, sí pueden resultar relevantes y determinantes para definir el régimen normativo aplicable a uno y otro negocio jurídico.</w:t>
      </w:r>
    </w:p>
    <w:p w:rsidR="007F4B9E" w:rsidP="00FC2D03" w:rsidRDefault="007F4B9E" w14:paraId="5BB3D5FE" w14:textId="77777777">
      <w:pPr>
        <w:shd w:val="clear" w:color="auto" w:fill="FFFFFF" w:themeFill="background1"/>
        <w:snapToGrid w:val="0"/>
        <w:spacing w:after="0" w:line="276" w:lineRule="auto"/>
        <w:ind w:firstLine="709"/>
        <w:jc w:val="both"/>
        <w:rPr>
          <w:rFonts w:ascii="Arial" w:hAnsi="Arial" w:eastAsia="Calibri" w:cs="Arial"/>
          <w:bCs/>
          <w:color w:val="000000" w:themeColor="text1"/>
          <w:lang w:bidi="es-ES"/>
        </w:rPr>
      </w:pPr>
    </w:p>
    <w:p w:rsidRPr="008176E1" w:rsidR="007F4B9E" w:rsidP="005B6FE9" w:rsidRDefault="007F4B9E" w14:paraId="675F0DD0" w14:textId="77777777">
      <w:pPr>
        <w:shd w:val="clear" w:color="auto" w:fill="FFFFFF" w:themeFill="background1"/>
        <w:tabs>
          <w:tab w:val="left" w:pos="426"/>
        </w:tabs>
        <w:spacing w:after="0"/>
        <w:jc w:val="both"/>
        <w:rPr>
          <w:rFonts w:ascii="Arial" w:hAnsi="Arial" w:eastAsia="Calibri" w:cs="Arial"/>
          <w:b/>
          <w:bCs/>
          <w:color w:val="000000" w:themeColor="text1"/>
          <w:lang w:eastAsia="en-GB"/>
        </w:rPr>
      </w:pPr>
      <w:r w:rsidRPr="008176E1">
        <w:rPr>
          <w:rFonts w:ascii="Arial" w:hAnsi="Arial" w:eastAsia="Calibri" w:cs="Arial"/>
          <w:b/>
          <w:bCs/>
          <w:color w:val="000000" w:themeColor="text1"/>
          <w:lang w:eastAsia="en-GB"/>
        </w:rPr>
        <w:t xml:space="preserve">2.2. Principio de selección objetiva en la contratación estatal </w:t>
      </w:r>
    </w:p>
    <w:p w:rsidR="00C326D3" w:rsidP="005B6FE9" w:rsidRDefault="00C326D3" w14:paraId="6BFEFC15" w14:textId="77777777">
      <w:pPr>
        <w:shd w:val="clear" w:color="auto" w:fill="FFFFFF" w:themeFill="background1"/>
        <w:tabs>
          <w:tab w:val="left" w:pos="426"/>
        </w:tabs>
        <w:spacing w:after="0"/>
        <w:jc w:val="both"/>
        <w:rPr>
          <w:rFonts w:ascii="Arial" w:hAnsi="Arial" w:eastAsia="Calibri" w:cs="Arial"/>
          <w:b/>
          <w:bCs/>
          <w:color w:val="000000" w:themeColor="text1"/>
          <w:highlight w:val="yellow"/>
          <w:lang w:eastAsia="en-GB"/>
        </w:rPr>
      </w:pPr>
    </w:p>
    <w:p w:rsidRPr="00252793" w:rsidR="00EA2881" w:rsidP="00EA2881" w:rsidRDefault="00EA2881" w14:paraId="23010C88" w14:textId="77777777">
      <w:pPr>
        <w:spacing w:after="0" w:line="276" w:lineRule="auto"/>
        <w:ind w:right="49"/>
        <w:jc w:val="both"/>
        <w:rPr>
          <w:rFonts w:ascii="Arial" w:hAnsi="Arial" w:eastAsia="Calibri" w:cs="Arial"/>
          <w:bCs/>
          <w:lang w:val="es-ES_tradnl"/>
        </w:rPr>
      </w:pPr>
      <w:r w:rsidRPr="00252793">
        <w:rPr>
          <w:rFonts w:ascii="Arial" w:hAnsi="Arial" w:eastAsia="Calibri" w:cs="Arial"/>
          <w:bCs/>
          <w:lang w:val="es-ES_tradnl"/>
        </w:rPr>
        <w:t xml:space="preserve">Uno de los principios transversales de los procedimientos de selección es el de </w:t>
      </w:r>
      <w:r w:rsidRPr="00252793">
        <w:rPr>
          <w:rFonts w:ascii="Arial" w:hAnsi="Arial" w:eastAsia="Calibri" w:cs="Arial"/>
          <w:bCs/>
          <w:i/>
          <w:iCs/>
          <w:lang w:val="es-ES_tradnl"/>
        </w:rPr>
        <w:t>selección objetiva</w:t>
      </w:r>
      <w:r w:rsidRPr="00252793">
        <w:rPr>
          <w:rFonts w:ascii="Arial" w:hAnsi="Arial" w:eastAsia="Calibri" w:cs="Arial"/>
          <w:bCs/>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rsidRPr="00252793" w:rsidR="00EA2881" w:rsidP="00EA2881" w:rsidRDefault="00EA2881" w14:paraId="7A4A7C58" w14:textId="77777777">
      <w:pPr>
        <w:spacing w:before="120" w:after="0" w:line="276" w:lineRule="auto"/>
        <w:ind w:right="51" w:firstLine="709"/>
        <w:jc w:val="both"/>
        <w:rPr>
          <w:rFonts w:ascii="Arial" w:hAnsi="Arial" w:eastAsia="Calibri" w:cs="Arial"/>
          <w:bCs/>
          <w:lang w:val="es-MX"/>
        </w:rPr>
      </w:pPr>
      <w:r w:rsidRPr="00252793">
        <w:rPr>
          <w:rFonts w:ascii="Arial" w:hAnsi="Arial" w:eastAsia="Calibri" w:cs="Arial"/>
          <w:bCs/>
          <w:lang w:val="es-MX"/>
        </w:rPr>
        <w:t>Si bien dentro de la historia de la contratación pública en Colombia, se vislumbran antecedentes normativos que consagraban dicho principio</w:t>
      </w:r>
      <w:r w:rsidRPr="00252793">
        <w:rPr>
          <w:rFonts w:ascii="Arial" w:hAnsi="Arial" w:eastAsia="Calibri" w:cs="Arial"/>
          <w:bCs/>
          <w:vertAlign w:val="superscript"/>
          <w:lang w:val="es-MX"/>
        </w:rPr>
        <w:footnoteReference w:id="22"/>
      </w:r>
      <w:r w:rsidRPr="00252793">
        <w:rPr>
          <w:rFonts w:ascii="Arial" w:hAnsi="Arial" w:eastAsia="Calibri" w:cs="Arial"/>
          <w:bCs/>
          <w:lang w:val="es-MX"/>
        </w:rPr>
        <w:t xml:space="preserve">, en la actualidad la disposición legal que lo prevé de manera más clara y contundente es el artículo 5 de la Ley 1150 de 2007, modificado por el artículo 88 de la Ley 1474 de 2011 y por el artículo 5 de la Ley 1882 de 2018, enunciado normativo en el que se lee: </w:t>
      </w:r>
    </w:p>
    <w:p w:rsidRPr="00252793" w:rsidR="00EA2881" w:rsidP="00EA2881" w:rsidRDefault="00EA2881" w14:paraId="16912BFD" w14:textId="77777777">
      <w:pPr>
        <w:spacing w:after="0" w:line="276" w:lineRule="auto"/>
        <w:ind w:right="51" w:firstLine="709"/>
        <w:jc w:val="both"/>
        <w:rPr>
          <w:rFonts w:ascii="Arial" w:hAnsi="Arial" w:eastAsia="Calibri" w:cs="Arial"/>
          <w:bCs/>
          <w:lang w:val="es-MX"/>
        </w:rPr>
      </w:pPr>
    </w:p>
    <w:p w:rsidRPr="00252793" w:rsidR="00EA2881" w:rsidP="00EA2881" w:rsidRDefault="00EA2881" w14:paraId="5A5151AA"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 xml:space="preserve">“Artículo 5o. De la selección objetiva. Es objetiva la selección en la cual la escogencia se haga al ofrecimiento más favorable a la entidad y a los fines que ella busca, sin tener en </w:t>
      </w:r>
      <w:r w:rsidRPr="00252793">
        <w:rPr>
          <w:rFonts w:ascii="Arial" w:hAnsi="Arial" w:eastAsia="Calibri" w:cs="Arial"/>
          <w:color w:val="000000" w:themeColor="text1"/>
          <w:kern w:val="2"/>
          <w:sz w:val="20"/>
          <w:szCs w:val="20"/>
          <w:lang w:val="es-ES_tradnl"/>
          <w14:ligatures w14:val="standardContextual"/>
        </w:rPr>
        <w:t>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252793" w:rsidR="00EA2881" w:rsidP="00EA2881" w:rsidRDefault="00EA2881" w14:paraId="7CB6CEE8"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0C2C868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252793" w:rsidR="00EA2881" w:rsidP="00EA2881" w:rsidRDefault="00EA2881" w14:paraId="2332BB32"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6C443D2F"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252793" w:rsidR="00EA2881" w:rsidP="00EA2881" w:rsidRDefault="00EA2881" w14:paraId="10EC33FB"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5092DA0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En los procesos de selección en los que se tenga en cuenta los factores técnicos y económicos, la oferta más ventajosa será la que resulte de aplicar alguna de las siguientes alternativas:</w:t>
      </w:r>
    </w:p>
    <w:p w:rsidRPr="00252793" w:rsidR="00EA2881" w:rsidP="00EA2881" w:rsidRDefault="00EA2881" w14:paraId="2CC43BE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7F3BE210"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a) La ponderación de los elementos de calidad y precio soportados en puntajes o fórmulas señaladas en el pliego de condiciones; o</w:t>
      </w:r>
    </w:p>
    <w:p w:rsidRPr="00252793" w:rsidR="00EA2881" w:rsidP="00EA2881" w:rsidRDefault="00EA2881" w14:paraId="375C8064"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72B64A7A"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b) La ponderación de los elementos de calidad y precio que representen la mejor relación de costo-beneficio para la entidad.</w:t>
      </w:r>
    </w:p>
    <w:p w:rsidRPr="00252793" w:rsidR="00EA2881" w:rsidP="00EA2881" w:rsidRDefault="00EA2881" w14:paraId="56541577"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72C86CD7"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rsidRPr="00252793" w:rsidR="00EA2881" w:rsidP="00EA2881" w:rsidRDefault="00EA2881" w14:paraId="0E04628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59458B2C"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rsidRPr="00252793" w:rsidR="00EA2881" w:rsidP="00EA2881" w:rsidRDefault="00EA2881" w14:paraId="5BF8E98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En ningún caso se podrá incluir el precio, como factor de escogencia para la selección de consultores.</w:t>
      </w:r>
    </w:p>
    <w:p w:rsidRPr="00252793" w:rsidR="00EA2881" w:rsidP="00EA2881" w:rsidRDefault="00EA2881" w14:paraId="7724CCD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59D44A25"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rsidRPr="00252793" w:rsidR="00EA2881" w:rsidP="00EA2881" w:rsidRDefault="00EA2881" w14:paraId="402D640E"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2864352B"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Durante el término otorgado para subsanar las ofertas, los proponentes no podrán acreditar circunstancias ocurridas con posterioridad al cierre del proceso.</w:t>
      </w:r>
    </w:p>
    <w:p w:rsidRPr="00252793" w:rsidR="00EA2881" w:rsidP="00EA2881" w:rsidRDefault="00EA2881" w14:paraId="2758826C"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09902DDF"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PARÁGRAFO 2o. Las certificaciones de sistemas de gestión de calidad no serán objeto de calificación, ni podrán establecerse como documento habilitante para participar en licitaciones o concursos.</w:t>
      </w:r>
    </w:p>
    <w:p w:rsidRPr="00252793" w:rsidR="00EA2881" w:rsidP="00EA2881" w:rsidRDefault="00EA2881" w14:paraId="7B3C862C"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5BF42EBC"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PARÁGRAFO 3o. &lt;Parágrafo adicionado por el artículo 5 de la Ley 1882 de 2018. El nuevo texto es el siguiente:&gt; La no entrega de la garantía de seriedad junto con la propuesta no será subsanable y será causal de rechazo de la misma.</w:t>
      </w:r>
    </w:p>
    <w:p w:rsidRPr="00252793" w:rsidR="00EA2881" w:rsidP="00EA2881" w:rsidRDefault="00EA2881" w14:paraId="41B1B9BD"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5A2F6086"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rsidRPr="00252793" w:rsidR="00EA2881" w:rsidP="00EA2881" w:rsidRDefault="00EA2881" w14:paraId="6696DEDA"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p>
    <w:p w:rsidRPr="00252793" w:rsidR="00EA2881" w:rsidP="00EA2881" w:rsidRDefault="00EA2881" w14:paraId="44F039CC" w14:textId="77777777">
      <w:pPr>
        <w:spacing w:after="0" w:line="240" w:lineRule="auto"/>
        <w:ind w:left="709" w:right="709"/>
        <w:jc w:val="both"/>
        <w:rPr>
          <w:rFonts w:ascii="Arial" w:hAnsi="Arial" w:eastAsia="Calibri" w:cs="Arial"/>
          <w:color w:val="000000" w:themeColor="text1"/>
          <w:kern w:val="2"/>
          <w:sz w:val="20"/>
          <w:szCs w:val="20"/>
          <w:lang w:val="es-ES_tradnl"/>
          <w14:ligatures w14:val="standardContextual"/>
        </w:rPr>
      </w:pPr>
      <w:r w:rsidRPr="00252793">
        <w:rPr>
          <w:rFonts w:ascii="Arial" w:hAnsi="Arial" w:eastAsia="Calibri" w:cs="Arial"/>
          <w:color w:val="000000" w:themeColor="text1"/>
          <w:kern w:val="2"/>
          <w:sz w:val="20"/>
          <w:szCs w:val="20"/>
          <w:lang w:val="es-ES_tradnl"/>
          <w14:ligatures w14:val="standardContextua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p>
    <w:p w:rsidRPr="00252793" w:rsidR="00EA2881" w:rsidP="00EA2881" w:rsidRDefault="00EA2881" w14:paraId="4EE61077" w14:textId="77777777">
      <w:pPr>
        <w:spacing w:after="0" w:line="276" w:lineRule="auto"/>
        <w:ind w:left="709" w:right="709"/>
        <w:jc w:val="both"/>
        <w:rPr>
          <w:rFonts w:ascii="Arial" w:hAnsi="Arial" w:eastAsia="Calibri" w:cs="Arial"/>
          <w:color w:val="000000" w:themeColor="text1"/>
          <w:kern w:val="2"/>
          <w:lang w:val="es-ES_tradnl"/>
          <w14:ligatures w14:val="standardContextual"/>
        </w:rPr>
      </w:pPr>
    </w:p>
    <w:p w:rsidR="00C326D3" w:rsidP="00EA2881" w:rsidRDefault="006349F2" w14:paraId="6080DB79" w14:textId="0C2F8198">
      <w:pPr>
        <w:shd w:val="clear" w:color="auto" w:fill="FFFFFF" w:themeFill="background1"/>
        <w:tabs>
          <w:tab w:val="left" w:pos="426"/>
        </w:tabs>
        <w:spacing w:after="0"/>
        <w:jc w:val="both"/>
        <w:rPr>
          <w:rFonts w:ascii="Arial" w:hAnsi="Arial" w:eastAsia="Calibri" w:cs="Arial"/>
          <w:bCs/>
          <w:lang w:val="es-MX"/>
        </w:rPr>
      </w:pPr>
      <w:r>
        <w:rPr>
          <w:rFonts w:ascii="Arial" w:hAnsi="Arial" w:eastAsia="Calibri" w:cs="Arial"/>
          <w:bCs/>
          <w:lang w:val="es-MX"/>
        </w:rPr>
        <w:tab/>
      </w:r>
      <w:r w:rsidRPr="00252793" w:rsidR="00EA2881">
        <w:rPr>
          <w:rFonts w:ascii="Arial" w:hAnsi="Arial" w:eastAsia="Calibri" w:cs="Arial"/>
          <w:bCs/>
          <w:lang w:val="es-MX"/>
        </w:rPr>
        <w:t>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p>
    <w:p w:rsidR="00B664E6" w:rsidP="00EA2881" w:rsidRDefault="00B664E6" w14:paraId="343B383D" w14:textId="77777777">
      <w:pPr>
        <w:shd w:val="clear" w:color="auto" w:fill="FFFFFF" w:themeFill="background1"/>
        <w:tabs>
          <w:tab w:val="left" w:pos="426"/>
        </w:tabs>
        <w:spacing w:after="0"/>
        <w:jc w:val="both"/>
        <w:rPr>
          <w:rFonts w:ascii="Arial" w:hAnsi="Arial" w:eastAsia="Calibri" w:cs="Arial"/>
          <w:bCs/>
          <w:lang w:val="es-MX"/>
        </w:rPr>
      </w:pPr>
    </w:p>
    <w:p w:rsidRPr="00252793" w:rsidR="00B664E6" w:rsidP="00B664E6" w:rsidRDefault="00B664E6" w14:paraId="6B51953D" w14:textId="77777777">
      <w:pPr>
        <w:spacing w:after="120" w:line="276" w:lineRule="auto"/>
        <w:ind w:right="51" w:firstLine="709"/>
        <w:jc w:val="both"/>
        <w:rPr>
          <w:rFonts w:ascii="Arial" w:hAnsi="Arial" w:eastAsia="Calibri" w:cs="Arial"/>
          <w:bCs/>
          <w:lang w:val="es-MX"/>
        </w:rPr>
      </w:pPr>
      <w:r w:rsidRPr="00252793">
        <w:rPr>
          <w:rFonts w:ascii="Arial" w:hAnsi="Arial" w:eastAsia="Calibri" w:cs="Arial"/>
          <w:bCs/>
          <w:lang w:val="es-MX"/>
        </w:rPr>
        <w:t xml:space="preserve">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w:t>
      </w:r>
      <w:r w:rsidRPr="00BA1A36">
        <w:rPr>
          <w:rFonts w:ascii="Arial" w:hAnsi="Arial" w:eastAsia="Calibri" w:cs="Arial"/>
          <w:bCs/>
          <w:u w:val="single"/>
          <w:lang w:val="es-MX"/>
        </w:rPr>
        <w:t>idoneidad del oferente</w:t>
      </w:r>
      <w:r w:rsidRPr="00252793">
        <w:rPr>
          <w:rFonts w:ascii="Arial" w:hAnsi="Arial" w:eastAsia="Calibri" w:cs="Arial"/>
          <w:bCs/>
          <w:lang w:val="es-MX"/>
        </w:rPr>
        <w:t xml:space="preserve"> para asumir adecuadamente la ejecución del contrato</w:t>
      </w:r>
      <w:r w:rsidRPr="00252793">
        <w:rPr>
          <w:rFonts w:ascii="Arial" w:hAnsi="Arial" w:eastAsia="Calibri" w:cs="Arial"/>
          <w:bCs/>
          <w:vertAlign w:val="superscript"/>
          <w:lang w:val="es-MX"/>
        </w:rPr>
        <w:footnoteReference w:id="23"/>
      </w:r>
      <w:r w:rsidRPr="00252793">
        <w:rPr>
          <w:rFonts w:ascii="Arial" w:hAnsi="Arial" w:eastAsia="Calibri" w:cs="Arial"/>
          <w:bCs/>
          <w:lang w:val="es-MX"/>
        </w:rPr>
        <w:t xml:space="preserve">.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00252793">
        <w:rPr>
          <w:rFonts w:ascii="Arial" w:hAnsi="Arial" w:eastAsia="Calibri" w:cs="Arial"/>
          <w:bCs/>
          <w:i/>
          <w:lang w:val="es-MX"/>
        </w:rPr>
        <w:t xml:space="preserve">habilitantes </w:t>
      </w:r>
      <w:r w:rsidRPr="00252793">
        <w:rPr>
          <w:rFonts w:ascii="Arial" w:hAnsi="Arial" w:eastAsia="Calibri" w:cs="Arial"/>
          <w:bCs/>
          <w:lang w:val="es-MX"/>
        </w:rPr>
        <w:t>son aquellos que deben cumplir en igualdad de condiciones los proponentes, haciendo que estos se habiliten en el procedimiento de selección y sean susceptibles de ser seleccionados como futuros contratistas.</w:t>
      </w:r>
    </w:p>
    <w:p w:rsidR="00B664E6" w:rsidP="00B664E6" w:rsidRDefault="00B664E6" w14:paraId="33D74789" w14:textId="77777777">
      <w:pPr>
        <w:spacing w:after="120" w:line="276" w:lineRule="auto"/>
        <w:ind w:right="51" w:firstLine="709"/>
        <w:jc w:val="both"/>
        <w:rPr>
          <w:rFonts w:ascii="Arial" w:hAnsi="Arial" w:eastAsia="Calibri" w:cs="Arial"/>
          <w:bCs/>
          <w:lang w:val="es-MX"/>
        </w:rPr>
      </w:pPr>
      <w:r w:rsidRPr="00252793">
        <w:rPr>
          <w:rFonts w:ascii="Arial" w:hAnsi="Arial" w:eastAsia="Calibri" w:cs="Arial"/>
          <w:bCs/>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w:t>
      </w:r>
      <w:r w:rsidRPr="00E946D3">
        <w:rPr>
          <w:rFonts w:ascii="Arial" w:hAnsi="Arial" w:eastAsia="Calibri" w:cs="Arial"/>
          <w:bCs/>
          <w:u w:val="single"/>
          <w:lang w:val="es-MX"/>
        </w:rPr>
        <w:t>que la oferta más favorable es aquella que resulte ser la más ventajosa para la entidad</w:t>
      </w:r>
      <w:r w:rsidRPr="00252793">
        <w:rPr>
          <w:rFonts w:ascii="Arial" w:hAnsi="Arial" w:eastAsia="Calibri" w:cs="Arial"/>
          <w:bCs/>
          <w:lang w:val="es-MX"/>
        </w:rPr>
        <w:t xml:space="preserve">,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w:t>
      </w:r>
      <w:r w:rsidRPr="00252793">
        <w:rPr>
          <w:rFonts w:ascii="Arial" w:hAnsi="Arial" w:eastAsia="Calibri" w:cs="Arial"/>
          <w:bCs/>
          <w:i/>
          <w:iCs/>
          <w:lang w:val="es-MX"/>
        </w:rPr>
        <w:t>puntajes o fórmulas</w:t>
      </w:r>
      <w:r w:rsidRPr="00252793">
        <w:rPr>
          <w:rFonts w:ascii="Arial" w:hAnsi="Arial" w:eastAsia="Calibri" w:cs="Arial"/>
          <w:bCs/>
          <w:lang w:val="es-MX"/>
        </w:rPr>
        <w:t xml:space="preserve">, mientras que el literal b) se refiere la elección de la oferta que represente la mejor relación </w:t>
      </w:r>
      <w:r w:rsidRPr="00252793">
        <w:rPr>
          <w:rFonts w:ascii="Arial" w:hAnsi="Arial" w:eastAsia="Calibri" w:cs="Arial"/>
          <w:bCs/>
          <w:i/>
          <w:iCs/>
          <w:lang w:val="es-MX"/>
        </w:rPr>
        <w:t>costo-beneficio</w:t>
      </w:r>
      <w:r w:rsidRPr="00252793">
        <w:rPr>
          <w:rFonts w:ascii="Arial" w:hAnsi="Arial" w:eastAsia="Calibri" w:cs="Arial"/>
          <w:bCs/>
          <w:lang w:val="es-MX"/>
        </w:rPr>
        <w:t xml:space="preserve"> para la entidad. </w:t>
      </w:r>
    </w:p>
    <w:p w:rsidRPr="00252793" w:rsidR="00BC4B70" w:rsidP="00B664E6" w:rsidRDefault="00BC4B70" w14:paraId="636797BD" w14:textId="2CFE25D1">
      <w:pPr>
        <w:spacing w:after="120" w:line="276" w:lineRule="auto"/>
        <w:ind w:right="51" w:firstLine="709"/>
        <w:jc w:val="both"/>
        <w:rPr>
          <w:rFonts w:ascii="Arial" w:hAnsi="Arial" w:eastAsia="Calibri" w:cs="Arial"/>
          <w:bCs/>
          <w:lang w:val="es-MX"/>
        </w:rPr>
      </w:pPr>
      <w:r>
        <w:rPr>
          <w:rFonts w:ascii="Arial" w:hAnsi="Arial" w:eastAsia="Calibri" w:cs="Arial"/>
          <w:bCs/>
          <w:lang w:val="es-MX"/>
        </w:rPr>
        <w:t>En síntesis,</w:t>
      </w:r>
      <w:r w:rsidRPr="00BC4B70">
        <w:t xml:space="preserve"> </w:t>
      </w:r>
      <w:r w:rsidRPr="00BC4B70">
        <w:rPr>
          <w:rFonts w:ascii="Arial" w:hAnsi="Arial" w:eastAsia="Calibri" w:cs="Arial"/>
          <w:bCs/>
          <w:lang w:val="es-MX"/>
        </w:rPr>
        <w:t xml:space="preserve">el deber de selección objetiva supone que la Entidad Estatal escoja en los procesos de selección el “[…] ofrecimiento más favorable a la entidad y a los fines que ella busca […]”. Tal favorabilidad debe determinarse a partir de criterios que pueden variar </w:t>
      </w:r>
      <w:r w:rsidRPr="00EB6826">
        <w:rPr>
          <w:rFonts w:ascii="Arial" w:hAnsi="Arial" w:eastAsia="Calibri" w:cs="Arial"/>
          <w:bCs/>
          <w:u w:val="single"/>
          <w:lang w:val="es-MX"/>
        </w:rPr>
        <w:t>de acuerdo con el objeto contractual o la modalidad de selección aplicable</w:t>
      </w:r>
      <w:r w:rsidRPr="00BC4B70">
        <w:rPr>
          <w:rFonts w:ascii="Arial" w:hAnsi="Arial" w:eastAsia="Calibri" w:cs="Arial"/>
          <w:bCs/>
          <w:lang w:val="es-MX"/>
        </w:rPr>
        <w:t>.</w:t>
      </w:r>
    </w:p>
    <w:p w:rsidR="00AD3CE4" w:rsidP="005B6FE9" w:rsidRDefault="00AD3CE4" w14:paraId="68868616" w14:textId="77777777">
      <w:pPr>
        <w:shd w:val="clear" w:color="auto" w:fill="FFFFFF" w:themeFill="background1"/>
        <w:tabs>
          <w:tab w:val="left" w:pos="426"/>
        </w:tabs>
        <w:spacing w:after="0"/>
        <w:jc w:val="both"/>
        <w:rPr>
          <w:rFonts w:ascii="Arial" w:hAnsi="Arial" w:eastAsia="Calibri" w:cs="Arial"/>
          <w:b/>
          <w:bCs/>
          <w:color w:val="000000" w:themeColor="text1"/>
          <w:highlight w:val="yellow"/>
          <w:lang w:eastAsia="en-GB"/>
        </w:rPr>
      </w:pPr>
    </w:p>
    <w:p w:rsidRPr="00252793" w:rsidR="00C326D3" w:rsidP="00C326D3" w:rsidRDefault="00C326D3" w14:paraId="481070C7" w14:textId="77777777">
      <w:pPr>
        <w:tabs>
          <w:tab w:val="left" w:pos="7938"/>
        </w:tabs>
        <w:spacing w:after="0" w:line="276" w:lineRule="auto"/>
        <w:ind w:firstLine="709"/>
        <w:jc w:val="both"/>
        <w:rPr>
          <w:rFonts w:ascii="Arial" w:hAnsi="Arial" w:eastAsia="Calibri" w:cs="Arial"/>
          <w:bCs/>
          <w:lang w:val="es-MX"/>
        </w:rPr>
      </w:pPr>
      <w:r w:rsidRPr="00DE75FD">
        <w:rPr>
          <w:rFonts w:ascii="Arial" w:hAnsi="Arial" w:eastAsia="Calibri" w:cs="Arial"/>
          <w:bCs/>
          <w:highlight w:val="yellow"/>
          <w:lang w:val="es-MX"/>
        </w:rPr>
        <w:t xml:space="preserve">Igualmente, ha señalado que “el principio de escogencia o selección objetiva de los contratistas fundamenta uno de los principales deberes de todos los responsables de la </w:t>
      </w:r>
      <w:r w:rsidRPr="00DE75FD">
        <w:rPr>
          <w:rFonts w:ascii="Arial" w:hAnsi="Arial" w:eastAsia="Calibri" w:cs="Arial"/>
          <w:bCs/>
          <w:highlight w:val="yellow"/>
          <w:lang w:val="es-MX"/>
        </w:rPr>
        <w:t xml:space="preserve">contratación estatal en el derecho colombiano, cual es el de mantener intacta la institucionalidad por encima de los intereses personales, individuales o subjetivos cuando se trate de escoger al contratista, </w:t>
      </w:r>
      <w:r w:rsidRPr="00DE75FD">
        <w:rPr>
          <w:rFonts w:ascii="Arial" w:hAnsi="Arial" w:eastAsia="Calibri" w:cs="Arial"/>
          <w:bCs/>
          <w:highlight w:val="yellow"/>
          <w:u w:val="single"/>
          <w:lang w:val="es-MX"/>
        </w:rPr>
        <w:t xml:space="preserve">al margen del procedimiento utilizado, </w:t>
      </w:r>
      <w:r w:rsidRPr="00DE75FD">
        <w:rPr>
          <w:rFonts w:ascii="Arial" w:hAnsi="Arial" w:eastAsia="Calibri" w:cs="Arial"/>
          <w:bCs/>
          <w:highlight w:val="yellow"/>
          <w:lang w:val="es-MX"/>
        </w:rPr>
        <w:t>con miras a evitar el actuar arbitrario, abusivo o violatorio de norma superior (numeral 8, art. 24, ley 80) por parte de los servidores públicos”</w:t>
      </w:r>
      <w:r w:rsidRPr="00DE75FD">
        <w:rPr>
          <w:rFonts w:ascii="Arial" w:hAnsi="Arial" w:eastAsia="Calibri" w:cs="Arial"/>
          <w:bCs/>
          <w:highlight w:val="yellow"/>
          <w:vertAlign w:val="superscript"/>
          <w:lang w:val="es-MX"/>
        </w:rPr>
        <w:footnoteReference w:id="24"/>
      </w:r>
      <w:r w:rsidRPr="00DE75FD">
        <w:rPr>
          <w:rFonts w:ascii="Arial" w:hAnsi="Arial" w:eastAsia="Calibri" w:cs="Arial"/>
          <w:bCs/>
          <w:highlight w:val="yellow"/>
          <w:lang w:val="es-MX"/>
        </w:rPr>
        <w:t>.</w:t>
      </w:r>
    </w:p>
    <w:p w:rsidRPr="005B6FE9" w:rsidR="00AD3CE4" w:rsidP="005B6FE9" w:rsidRDefault="00AD3CE4" w14:paraId="38117F1F" w14:textId="77777777">
      <w:pPr>
        <w:shd w:val="clear" w:color="auto" w:fill="FFFFFF" w:themeFill="background1"/>
        <w:tabs>
          <w:tab w:val="left" w:pos="426"/>
        </w:tabs>
        <w:spacing w:after="0"/>
        <w:jc w:val="both"/>
        <w:rPr>
          <w:rFonts w:ascii="Arial" w:hAnsi="Arial" w:eastAsia="Calibri" w:cs="Arial"/>
          <w:b/>
          <w:bCs/>
          <w:color w:val="000000" w:themeColor="text1"/>
          <w:highlight w:val="yellow"/>
          <w:lang w:eastAsia="en-GB"/>
        </w:rPr>
      </w:pPr>
    </w:p>
    <w:p w:rsidRPr="00210B35" w:rsidR="00210B35" w:rsidP="00210B35" w:rsidRDefault="00210B35" w14:paraId="1747243A" w14:textId="77777777">
      <w:pPr>
        <w:shd w:val="clear" w:color="auto" w:fill="FFFFFF" w:themeFill="background1"/>
        <w:snapToGrid w:val="0"/>
        <w:spacing w:after="0" w:line="276" w:lineRule="auto"/>
        <w:ind w:firstLine="709"/>
        <w:jc w:val="both"/>
        <w:rPr>
          <w:rFonts w:ascii="Arial" w:hAnsi="Arial" w:eastAsia="Calibri" w:cs="Arial"/>
          <w:bCs/>
          <w:color w:val="000000" w:themeColor="text1"/>
          <w:lang w:bidi="es-ES"/>
        </w:rPr>
      </w:pPr>
    </w:p>
    <w:p w:rsidR="007F4B9E" w:rsidP="00210B35" w:rsidRDefault="00210B35" w14:paraId="3EA1FC76" w14:textId="46FB18EF">
      <w:pPr>
        <w:shd w:val="clear" w:color="auto" w:fill="FFFFFF" w:themeFill="background1"/>
        <w:tabs>
          <w:tab w:val="left" w:pos="426"/>
        </w:tabs>
        <w:spacing w:after="0"/>
        <w:jc w:val="both"/>
        <w:rPr>
          <w:rFonts w:ascii="Arial" w:hAnsi="Arial" w:eastAsia="Calibri" w:cs="Arial"/>
          <w:b/>
          <w:bCs/>
          <w:color w:val="000000" w:themeColor="text1"/>
          <w:lang w:eastAsia="en-GB"/>
        </w:rPr>
      </w:pPr>
      <w:r w:rsidRPr="00210B35">
        <w:rPr>
          <w:rFonts w:ascii="Arial" w:hAnsi="Arial" w:eastAsia="Calibri" w:cs="Arial"/>
          <w:b/>
          <w:bCs/>
          <w:color w:val="000000" w:themeColor="text1"/>
          <w:lang w:eastAsia="en-GB"/>
        </w:rPr>
        <w:t>2.3.</w:t>
      </w:r>
      <w:r w:rsidRPr="00210B35">
        <w:rPr>
          <w:rFonts w:ascii="Arial" w:hAnsi="Arial" w:eastAsia="Calibri" w:cs="Arial"/>
          <w:b/>
          <w:bCs/>
          <w:color w:val="000000" w:themeColor="text1"/>
          <w:lang w:eastAsia="en-GB"/>
        </w:rPr>
        <w:tab/>
      </w:r>
      <w:r w:rsidRPr="00210B35">
        <w:rPr>
          <w:rFonts w:ascii="Arial" w:hAnsi="Arial" w:eastAsia="Calibri" w:cs="Arial"/>
          <w:b/>
          <w:bCs/>
          <w:color w:val="000000" w:themeColor="text1"/>
          <w:lang w:eastAsia="en-GB"/>
        </w:rPr>
        <w:t>Incorporación normativa del Clasificador de Bienes y Servicios de las Naciones Unidas en la contratación pública</w:t>
      </w:r>
    </w:p>
    <w:p w:rsidR="008010E2" w:rsidP="00210B35" w:rsidRDefault="008010E2" w14:paraId="4B35FA15" w14:textId="77777777">
      <w:pPr>
        <w:shd w:val="clear" w:color="auto" w:fill="FFFFFF" w:themeFill="background1"/>
        <w:tabs>
          <w:tab w:val="left" w:pos="426"/>
        </w:tabs>
        <w:spacing w:after="0"/>
        <w:jc w:val="both"/>
        <w:rPr>
          <w:rFonts w:ascii="Arial" w:hAnsi="Arial" w:eastAsia="Calibri" w:cs="Arial"/>
          <w:b/>
          <w:bCs/>
          <w:color w:val="000000" w:themeColor="text1"/>
          <w:lang w:eastAsia="en-GB"/>
        </w:rPr>
      </w:pPr>
    </w:p>
    <w:p w:rsidRPr="000547C2" w:rsidR="00D50653" w:rsidP="00D50653" w:rsidRDefault="008010E2" w14:paraId="15F8C2E4" w14:textId="77777777">
      <w:pPr>
        <w:spacing w:after="0" w:line="276" w:lineRule="auto"/>
        <w:contextualSpacing/>
        <w:jc w:val="both"/>
        <w:rPr>
          <w:rFonts w:ascii="Arial" w:hAnsi="Arial" w:eastAsia="Times New Roman" w:cs="Arial"/>
          <w:color w:val="000000" w:themeColor="text1"/>
          <w:szCs w:val="24"/>
          <w:lang w:val="es-ES"/>
        </w:rPr>
      </w:pPr>
      <w:r>
        <w:rPr>
          <w:rFonts w:ascii="Arial" w:hAnsi="Arial" w:eastAsia="Calibri" w:cs="Arial"/>
          <w:color w:val="000000" w:themeColor="text1"/>
          <w:lang w:eastAsia="en-GB"/>
        </w:rPr>
        <w:t xml:space="preserve">Es menester de esta Agencia, </w:t>
      </w:r>
      <w:r w:rsidR="00C03759">
        <w:rPr>
          <w:rFonts w:ascii="Arial" w:hAnsi="Arial" w:eastAsia="Calibri" w:cs="Arial"/>
          <w:color w:val="000000" w:themeColor="text1"/>
          <w:lang w:eastAsia="en-GB"/>
        </w:rPr>
        <w:t xml:space="preserve">en aras de abordar de manera completa la consulta pertinente planteada, abordar de manera previa </w:t>
      </w:r>
      <w:r w:rsidR="00774881">
        <w:rPr>
          <w:rFonts w:ascii="Arial" w:hAnsi="Arial" w:eastAsia="Calibri" w:cs="Arial"/>
          <w:color w:val="000000" w:themeColor="text1"/>
          <w:lang w:eastAsia="en-GB"/>
        </w:rPr>
        <w:t xml:space="preserve">la </w:t>
      </w:r>
      <w:r w:rsidR="007B4E00">
        <w:rPr>
          <w:rFonts w:ascii="Arial" w:hAnsi="Arial" w:eastAsia="Calibri" w:cs="Arial"/>
          <w:color w:val="000000" w:themeColor="text1"/>
          <w:lang w:eastAsia="en-GB"/>
        </w:rPr>
        <w:t>temática referente a la acreditación de experiencia contenida en el</w:t>
      </w:r>
      <w:r w:rsidR="00804BCD">
        <w:rPr>
          <w:rFonts w:ascii="Arial" w:hAnsi="Arial" w:eastAsia="Calibri" w:cs="Arial"/>
          <w:color w:val="000000" w:themeColor="text1"/>
          <w:lang w:eastAsia="en-GB"/>
        </w:rPr>
        <w:t xml:space="preserve"> </w:t>
      </w:r>
      <w:r w:rsidRPr="00804BCD" w:rsidR="00804BCD">
        <w:rPr>
          <w:rFonts w:ascii="Arial" w:hAnsi="Arial" w:eastAsia="Calibri" w:cs="Arial"/>
          <w:color w:val="000000" w:themeColor="text1"/>
          <w:lang w:eastAsia="en-GB"/>
        </w:rPr>
        <w:t>Registro Único de Proponentes -RUP-</w:t>
      </w:r>
      <w:r w:rsidR="00C9311E">
        <w:rPr>
          <w:rFonts w:ascii="Arial" w:hAnsi="Arial" w:eastAsia="Calibri" w:cs="Arial"/>
          <w:color w:val="000000" w:themeColor="text1"/>
          <w:lang w:eastAsia="en-GB"/>
        </w:rPr>
        <w:t xml:space="preserve">, entendido este como el </w:t>
      </w:r>
      <w:r w:rsidRPr="000547C2" w:rsidR="00D50653">
        <w:rPr>
          <w:rFonts w:ascii="Arial" w:hAnsi="Arial" w:cs="Arial"/>
          <w:color w:val="000000" w:themeColor="text1"/>
        </w:rPr>
        <w:t>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rsidR="00D50653" w:rsidP="00D50653" w:rsidRDefault="00D50653" w14:paraId="03596FD6" w14:textId="77777777">
      <w:pPr>
        <w:tabs>
          <w:tab w:val="left" w:pos="8505"/>
        </w:tabs>
        <w:ind w:left="709" w:right="709"/>
        <w:contextualSpacing/>
        <w:jc w:val="both"/>
        <w:rPr>
          <w:rFonts w:ascii="Arial" w:hAnsi="Arial" w:eastAsia="Calibri" w:cs="Arial"/>
          <w:sz w:val="21"/>
          <w:szCs w:val="21"/>
        </w:rPr>
      </w:pPr>
    </w:p>
    <w:p w:rsidRPr="000547C2" w:rsidR="00D50653" w:rsidP="00D50653" w:rsidRDefault="00D50653" w14:paraId="19241167" w14:textId="77777777">
      <w:pPr>
        <w:tabs>
          <w:tab w:val="left" w:pos="8505"/>
        </w:tabs>
        <w:spacing w:after="0"/>
        <w:ind w:left="709" w:right="709"/>
        <w:contextualSpacing/>
        <w:jc w:val="both"/>
        <w:rPr>
          <w:rFonts w:ascii="Arial" w:hAnsi="Arial" w:cs="Arial"/>
          <w:color w:val="000000" w:themeColor="text1"/>
          <w:sz w:val="21"/>
          <w:szCs w:val="21"/>
        </w:rPr>
      </w:pPr>
      <w:r w:rsidRPr="000547C2">
        <w:rPr>
          <w:rFonts w:ascii="Arial" w:hAnsi="Arial" w:eastAsia="Calibri" w:cs="Arial"/>
          <w:sz w:val="21"/>
          <w:szCs w:val="21"/>
        </w:rPr>
        <w:t>“</w:t>
      </w:r>
      <w:r w:rsidRPr="000547C2">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0547C2">
        <w:rPr>
          <w:rFonts w:ascii="Arial" w:hAnsi="Arial" w:eastAsia="Calibri" w:cs="Arial"/>
          <w:sz w:val="21"/>
          <w:szCs w:val="21"/>
        </w:rPr>
        <w:t>”</w:t>
      </w:r>
      <w:r w:rsidRPr="000547C2">
        <w:rPr>
          <w:rStyle w:val="Refdenotaalpie"/>
          <w:rFonts w:ascii="Arial" w:hAnsi="Arial" w:cs="Arial"/>
          <w:color w:val="000000" w:themeColor="text1"/>
          <w:sz w:val="21"/>
          <w:szCs w:val="21"/>
        </w:rPr>
        <w:footnoteReference w:id="25"/>
      </w:r>
      <w:r w:rsidRPr="000547C2">
        <w:rPr>
          <w:rFonts w:ascii="Arial" w:hAnsi="Arial" w:cs="Arial"/>
          <w:color w:val="000000" w:themeColor="text1"/>
          <w:sz w:val="21"/>
          <w:szCs w:val="21"/>
        </w:rPr>
        <w:t>.</w:t>
      </w:r>
    </w:p>
    <w:p w:rsidR="00D50653" w:rsidP="00D50653" w:rsidRDefault="00D50653" w14:paraId="17BC59C9" w14:textId="77777777">
      <w:pPr>
        <w:spacing w:after="0" w:line="276" w:lineRule="auto"/>
        <w:ind w:firstLine="708"/>
        <w:jc w:val="both"/>
        <w:rPr>
          <w:rFonts w:ascii="Arial" w:hAnsi="Arial" w:cs="Arial"/>
          <w:color w:val="000000" w:themeColor="text1"/>
        </w:rPr>
      </w:pPr>
      <w:bookmarkStart w:name="_Hlk101793164" w:id="9"/>
    </w:p>
    <w:p w:rsidR="00D50653" w:rsidP="00D50653" w:rsidRDefault="00D50653" w14:paraId="2FCD44CB" w14:textId="77777777">
      <w:pPr>
        <w:spacing w:after="120" w:line="276" w:lineRule="auto"/>
        <w:ind w:firstLine="708"/>
        <w:jc w:val="both"/>
        <w:rPr>
          <w:rFonts w:ascii="Arial" w:hAnsi="Arial" w:cs="Arial"/>
          <w:color w:val="000000" w:themeColor="text1"/>
        </w:rPr>
      </w:pPr>
      <w:r w:rsidRPr="000547C2">
        <w:rPr>
          <w:rFonts w:ascii="Arial" w:hAnsi="Arial" w:cs="Arial"/>
          <w:color w:val="000000" w:themeColor="text1"/>
        </w:rPr>
        <w:t>El artículo 6.1 de la Ley 1150 de 2007 dispone que el RUP es plena prueba de la información que contiene</w:t>
      </w:r>
      <w:r w:rsidRPr="000547C2">
        <w:rPr>
          <w:rStyle w:val="Refdenotaalpie"/>
          <w:rFonts w:ascii="Arial" w:hAnsi="Arial" w:cs="Arial"/>
          <w:color w:val="000000" w:themeColor="text1"/>
        </w:rPr>
        <w:footnoteReference w:id="26"/>
      </w:r>
      <w:r w:rsidRPr="000547C2">
        <w:rPr>
          <w:rFonts w:ascii="Arial" w:hAnsi="Arial" w:cs="Arial"/>
          <w:color w:val="000000" w:themeColor="text1"/>
        </w:rPr>
        <w:t xml:space="preserve">. Por su parte, el artículo 5.1 </w:t>
      </w:r>
      <w:r w:rsidRPr="000547C2">
        <w:rPr>
          <w:rFonts w:ascii="Arial" w:hAnsi="Arial" w:cs="Arial"/>
          <w:i/>
          <w:iCs/>
          <w:color w:val="000000" w:themeColor="text1"/>
        </w:rPr>
        <w:t>ibidem</w:t>
      </w:r>
      <w:r w:rsidRPr="000547C2">
        <w:rPr>
          <w:rFonts w:ascii="Arial" w:hAnsi="Arial" w:cs="Arial"/>
          <w:color w:val="000000" w:themeColor="text1"/>
        </w:rPr>
        <w:t xml:space="preserve">, al fijar los criterios que deben </w:t>
      </w:r>
      <w:r w:rsidRPr="000547C2">
        <w:rPr>
          <w:rFonts w:ascii="Arial" w:hAnsi="Arial" w:cs="Arial"/>
          <w:color w:val="000000" w:themeColor="text1"/>
        </w:rPr>
        <w:t>tener en cuenta las entidades estatales para garantizar la selección objetiva, indica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9"/>
      <w:r w:rsidRPr="000547C2">
        <w:rPr>
          <w:rStyle w:val="Refdenotaalpie"/>
          <w:rFonts w:ascii="Arial" w:hAnsi="Arial" w:cs="Arial"/>
          <w:color w:val="000000" w:themeColor="text1"/>
        </w:rPr>
        <w:footnoteReference w:id="27"/>
      </w:r>
      <w:r w:rsidRPr="000547C2">
        <w:rPr>
          <w:rFonts w:ascii="Arial" w:hAnsi="Arial" w:cs="Arial"/>
          <w:color w:val="000000" w:themeColor="text1"/>
        </w:rPr>
        <w:t>.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r w:rsidRPr="000547C2">
        <w:rPr>
          <w:rStyle w:val="Refdenotaalpie"/>
          <w:rFonts w:ascii="Arial" w:hAnsi="Arial" w:cs="Arial"/>
          <w:color w:val="000000" w:themeColor="text1"/>
        </w:rPr>
        <w:footnoteReference w:id="28"/>
      </w:r>
      <w:r w:rsidRPr="000547C2">
        <w:rPr>
          <w:rFonts w:ascii="Arial" w:hAnsi="Arial" w:cs="Arial"/>
          <w:color w:val="000000" w:themeColor="text1"/>
        </w:rPr>
        <w:t xml:space="preserve">. </w:t>
      </w:r>
    </w:p>
    <w:p w:rsidRPr="000547C2" w:rsidR="00DB6CDF" w:rsidP="00DB6CDF" w:rsidRDefault="00DB6CDF" w14:paraId="41715F4D" w14:textId="77777777">
      <w:pPr>
        <w:spacing w:after="120" w:line="276" w:lineRule="auto"/>
        <w:ind w:firstLine="708"/>
        <w:jc w:val="both"/>
        <w:rPr>
          <w:rFonts w:ascii="Arial" w:hAnsi="Arial" w:cs="Arial"/>
          <w:color w:val="000000" w:themeColor="text1"/>
        </w:rPr>
      </w:pPr>
      <w:r w:rsidRPr="000547C2">
        <w:rPr>
          <w:rFonts w:ascii="Arial" w:hAnsi="Arial" w:cs="Arial"/>
          <w:color w:val="000000" w:themeColor="text1"/>
        </w:rPr>
        <w:t>Ahora bien, el inciso 1 del artículo 6 de la Ley 1150 de 2007</w:t>
      </w:r>
      <w:r w:rsidRPr="000547C2">
        <w:rPr>
          <w:rStyle w:val="Refdenotaalpie"/>
          <w:rFonts w:ascii="Arial" w:hAnsi="Arial" w:cs="Arial"/>
          <w:color w:val="000000" w:themeColor="text1"/>
        </w:rPr>
        <w:footnoteReference w:id="29"/>
      </w:r>
      <w:r w:rsidRPr="000547C2">
        <w:rPr>
          <w:rFonts w:ascii="Arial" w:hAnsi="Arial" w:cs="Arial"/>
          <w:color w:val="000000" w:themeColor="text1"/>
        </w:rPr>
        <w:t xml:space="preserve">, al regular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w:t>
      </w:r>
      <w:r w:rsidRPr="000547C2">
        <w:rPr>
          <w:rFonts w:ascii="Arial" w:hAnsi="Arial" w:cs="Arial"/>
          <w:color w:val="000000" w:themeColor="text1"/>
        </w:rPr>
        <w:t>acuerdo con el inciso 2 del artículo 6 de la Ley 1150 de 2007</w:t>
      </w:r>
      <w:r w:rsidRPr="000547C2">
        <w:rPr>
          <w:rStyle w:val="Refdenotaalpie"/>
          <w:rFonts w:ascii="Arial" w:hAnsi="Arial" w:cs="Arial"/>
          <w:color w:val="000000" w:themeColor="text1"/>
        </w:rPr>
        <w:footnoteReference w:id="30"/>
      </w:r>
      <w:r w:rsidRPr="000547C2">
        <w:rPr>
          <w:rFonts w:ascii="Arial" w:hAnsi="Arial" w:cs="Arial"/>
          <w:color w:val="000000" w:themeColor="text1"/>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antes citado.</w:t>
      </w:r>
    </w:p>
    <w:p w:rsidRPr="000547C2" w:rsidR="00DB6CDF" w:rsidP="00DB6CDF" w:rsidRDefault="00DB6CDF" w14:paraId="3561F3A0" w14:textId="77777777">
      <w:pPr>
        <w:spacing w:after="120" w:line="276" w:lineRule="auto"/>
        <w:ind w:firstLine="708"/>
        <w:jc w:val="both"/>
        <w:rPr>
          <w:rFonts w:ascii="Arial" w:hAnsi="Arial" w:cs="Arial"/>
          <w:color w:val="000000" w:themeColor="text1"/>
        </w:rPr>
      </w:pPr>
      <w:r w:rsidRPr="000547C2">
        <w:rPr>
          <w:rFonts w:ascii="Arial" w:hAnsi="Arial" w:cs="Arial"/>
          <w:color w:val="000000" w:themeColor="text1"/>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0547C2">
        <w:rPr>
          <w:rStyle w:val="Refdenotaalpie"/>
          <w:rFonts w:ascii="Arial" w:hAnsi="Arial" w:cs="Arial"/>
          <w:color w:val="000000" w:themeColor="text1"/>
        </w:rPr>
        <w:footnoteReference w:id="31"/>
      </w:r>
      <w:r w:rsidRPr="000547C2">
        <w:rPr>
          <w:rFonts w:ascii="Arial" w:hAnsi="Arial" w:cs="Arial"/>
          <w:color w:val="000000" w:themeColor="text1"/>
        </w:rPr>
        <w:t xml:space="preserve">. </w:t>
      </w:r>
    </w:p>
    <w:p w:rsidR="00DB6CDF" w:rsidP="00DB6CDF" w:rsidRDefault="00DB6CDF" w14:paraId="09CC1520" w14:textId="77777777">
      <w:pPr>
        <w:spacing w:after="120" w:line="276" w:lineRule="auto"/>
        <w:ind w:firstLine="708"/>
        <w:contextualSpacing/>
        <w:jc w:val="both"/>
        <w:rPr>
          <w:rFonts w:ascii="Arial" w:hAnsi="Arial" w:eastAsia="Calibri" w:cs="Arial"/>
        </w:rPr>
      </w:pPr>
      <w:r w:rsidRPr="000547C2">
        <w:rPr>
          <w:rFonts w:ascii="Arial" w:hAnsi="Arial" w:eastAsia="Calibri" w:cs="Arial"/>
        </w:rPr>
        <w:t xml:space="preserve">Conforme a lo anterior, el RUP constituye </w:t>
      </w:r>
      <w:r w:rsidRPr="000547C2">
        <w:rPr>
          <w:rFonts w:ascii="Arial" w:hAnsi="Arial" w:cs="Arial"/>
        </w:rPr>
        <w:t xml:space="preserve">plena prueba de las circunstancias que consten en él y que hayan sido verificadas por las Cámaras de Comercio, por lo cual es a través de este documento, en los casos en que es exigible, que las entidades estatales deben verificar las condiciones establecidas en el numeral 1 del artículo 5 de la Ley 1150 de 2007, es decir, los requisitos habilitantes para participar en el proceso de selección. </w:t>
      </w:r>
      <w:r w:rsidRPr="00CC6AB2">
        <w:rPr>
          <w:rFonts w:ascii="Arial" w:hAnsi="Arial" w:cs="Arial"/>
          <w:color w:val="000000" w:themeColor="text1"/>
          <w:highlight w:val="yellow"/>
        </w:rPr>
        <w:t xml:space="preserve">En contraste, </w:t>
      </w:r>
      <w:r w:rsidRPr="00384CC1">
        <w:rPr>
          <w:rFonts w:ascii="Arial" w:hAnsi="Arial" w:eastAsia="Calibri" w:cs="Arial"/>
          <w:highlight w:val="yellow"/>
          <w:u w:val="single"/>
        </w:rPr>
        <w:t>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w:t>
      </w:r>
      <w:r w:rsidRPr="000547C2">
        <w:rPr>
          <w:rFonts w:ascii="Arial" w:hAnsi="Arial" w:eastAsia="Calibri" w:cs="Arial"/>
        </w:rPr>
        <w:t xml:space="preserve">. </w:t>
      </w:r>
      <w:r w:rsidRPr="00CC6AB2">
        <w:rPr>
          <w:rFonts w:ascii="Arial" w:hAnsi="Arial" w:eastAsia="Calibri" w:cs="Arial"/>
          <w:highlight w:val="yellow"/>
        </w:rPr>
        <w:t>Esto también sucede en los procedimientos de selección en los cuales no es exigible el RUP, de acuerdo con lo establecido en el inciso segundo del artículo 6 de la Ley 1150 de 2007</w:t>
      </w:r>
      <w:r w:rsidRPr="00CC6AB2">
        <w:rPr>
          <w:rStyle w:val="Refdenotaalpie"/>
          <w:rFonts w:ascii="Arial" w:hAnsi="Arial" w:eastAsia="Calibri" w:cs="Arial"/>
          <w:highlight w:val="yellow"/>
        </w:rPr>
        <w:footnoteReference w:id="32"/>
      </w:r>
      <w:r w:rsidRPr="00CC6AB2">
        <w:rPr>
          <w:rFonts w:ascii="Arial" w:hAnsi="Arial" w:eastAsia="Calibri" w:cs="Arial"/>
          <w:highlight w:val="yellow"/>
        </w:rPr>
        <w:t xml:space="preserve">. </w:t>
      </w:r>
      <w:r w:rsidRPr="00384CC1">
        <w:rPr>
          <w:rFonts w:ascii="Arial" w:hAnsi="Arial" w:eastAsia="Calibri" w:cs="Arial"/>
          <w:highlight w:val="yellow"/>
          <w:u w:val="single"/>
        </w:rPr>
        <w:t>En ambos supuestos, la Entidad Estatal, en el marco de la autonomía y la potestad de dirección que le asiste en los procesos de contratación que adelanta, debe establecer en los Documentos del Proceso –</w:t>
      </w:r>
      <w:r w:rsidRPr="00384CC1">
        <w:rPr>
          <w:rFonts w:ascii="Arial" w:hAnsi="Arial" w:eastAsia="Calibri" w:cs="Arial"/>
          <w:highlight w:val="yellow"/>
          <w:u w:val="single"/>
        </w:rPr>
        <w:t>particularmente en el pliego de condiciones o la invitación– los documentos o instrumentos que exigirá a los proponentes para acreditar las circunstancias necesarias</w:t>
      </w:r>
      <w:r w:rsidRPr="00CC6AB2">
        <w:rPr>
          <w:rFonts w:ascii="Arial" w:hAnsi="Arial" w:eastAsia="Calibri" w:cs="Arial"/>
          <w:highlight w:val="yellow"/>
        </w:rPr>
        <w:t>.</w:t>
      </w:r>
    </w:p>
    <w:p w:rsidR="00441C17" w:rsidP="00DB6CDF" w:rsidRDefault="00441C17" w14:paraId="0CFA89C2" w14:textId="77777777">
      <w:pPr>
        <w:spacing w:after="120" w:line="276" w:lineRule="auto"/>
        <w:ind w:firstLine="708"/>
        <w:contextualSpacing/>
        <w:jc w:val="both"/>
        <w:rPr>
          <w:rFonts w:ascii="Arial" w:hAnsi="Arial" w:eastAsia="Calibri" w:cs="Arial"/>
        </w:rPr>
      </w:pPr>
    </w:p>
    <w:p w:rsidRPr="009B69C0" w:rsidR="009B69C0" w:rsidP="009B69C0" w:rsidRDefault="00CD76EC" w14:paraId="6F1AA273" w14:textId="3019FE3E">
      <w:pPr>
        <w:pStyle w:val="Textoindependiente"/>
        <w:ind w:firstLine="708"/>
        <w:jc w:val="both"/>
        <w:rPr>
          <w:rFonts w:ascii="Arial" w:hAnsi="Arial" w:eastAsia="Arial MT" w:cs="Arial"/>
          <w:lang w:val="es-ES"/>
        </w:rPr>
      </w:pPr>
      <w:r>
        <w:rPr>
          <w:rFonts w:ascii="Arial" w:hAnsi="Arial" w:eastAsia="Calibri" w:cs="Arial"/>
        </w:rPr>
        <w:t>Visto lo anterior</w:t>
      </w:r>
      <w:r w:rsidR="00CD4189">
        <w:rPr>
          <w:rFonts w:ascii="Arial" w:hAnsi="Arial" w:eastAsia="Calibri" w:cs="Arial"/>
        </w:rPr>
        <w:t xml:space="preserve">, </w:t>
      </w:r>
      <w:r w:rsidRPr="009B69C0" w:rsidR="009B69C0">
        <w:rPr>
          <w:rFonts w:ascii="Arial" w:hAnsi="Arial" w:eastAsia="Arial MT" w:cs="Arial"/>
          <w:lang w:val="es-ES"/>
        </w:rPr>
        <w:t>las normas de contratación estatal establecen que las personas naturales o jurídicas nacionales o extranjeras que deseen celebrar contratos estatales deberán estar inscritos en el RUP</w:t>
      </w:r>
      <w:r w:rsidRPr="009B69C0" w:rsidR="009B69C0">
        <w:rPr>
          <w:rFonts w:ascii="Arial" w:hAnsi="Arial" w:eastAsia="Arial MT" w:cs="Arial"/>
          <w:vertAlign w:val="superscript"/>
          <w:lang w:val="es-ES"/>
        </w:rPr>
        <w:footnoteReference w:id="33"/>
      </w:r>
      <w:r w:rsidRPr="009B69C0" w:rsidR="009B69C0">
        <w:rPr>
          <w:rFonts w:ascii="Arial" w:hAnsi="Arial" w:eastAsia="Arial MT" w:cs="Arial"/>
          <w:lang w:val="es-ES"/>
        </w:rPr>
        <w:t xml:space="preserve">. De acuerdo con esto, el artículo 6 de la Ley 1150 de 2007, al determinar la información contenida en el RUP, dispone que en el registro constará la información relacionada con la experiencia, capacidad jurídica, financiera y de organización del proponente, así como su </w:t>
      </w:r>
      <w:r w:rsidRPr="000B10F3" w:rsidR="009B69C0">
        <w:rPr>
          <w:rFonts w:ascii="Arial" w:hAnsi="Arial" w:eastAsia="Arial MT" w:cs="Arial"/>
          <w:i/>
          <w:iCs/>
          <w:u w:val="single"/>
          <w:lang w:val="es-ES"/>
        </w:rPr>
        <w:t>clasificación</w:t>
      </w:r>
      <w:r w:rsidRPr="009B69C0" w:rsidR="009B69C0">
        <w:rPr>
          <w:rFonts w:ascii="Arial" w:hAnsi="Arial" w:eastAsia="Arial MT" w:cs="Arial"/>
          <w:vertAlign w:val="superscript"/>
          <w:lang w:val="es-ES"/>
        </w:rPr>
        <w:footnoteReference w:id="34"/>
      </w:r>
      <w:r w:rsidRPr="009B69C0" w:rsidR="009B69C0">
        <w:rPr>
          <w:rFonts w:ascii="Arial" w:hAnsi="Arial" w:eastAsia="Arial MT" w:cs="Arial"/>
          <w:lang w:val="es-ES"/>
        </w:rPr>
        <w:t>.</w:t>
      </w:r>
      <w:r w:rsidR="009B69C0">
        <w:rPr>
          <w:rFonts w:ascii="Arial" w:hAnsi="Arial" w:eastAsia="Arial MT" w:cs="Arial"/>
          <w:lang w:val="es-ES"/>
        </w:rPr>
        <w:t xml:space="preserve"> </w:t>
      </w:r>
    </w:p>
    <w:p w:rsidR="00441C17" w:rsidP="00DB6CDF" w:rsidRDefault="007343E7" w14:paraId="0D313066" w14:textId="31D63F58">
      <w:pPr>
        <w:spacing w:after="120" w:line="276" w:lineRule="auto"/>
        <w:ind w:firstLine="708"/>
        <w:contextualSpacing/>
        <w:jc w:val="both"/>
        <w:rPr>
          <w:rFonts w:ascii="Arial" w:hAnsi="Arial" w:cs="Arial"/>
        </w:rPr>
      </w:pPr>
      <w:r w:rsidRPr="000547C2">
        <w:rPr>
          <w:rFonts w:ascii="Arial" w:hAnsi="Arial" w:cs="Arial"/>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p>
    <w:p w:rsidR="00F54323" w:rsidP="00DB6CDF" w:rsidRDefault="00F54323" w14:paraId="63CF00A8" w14:textId="77777777">
      <w:pPr>
        <w:spacing w:after="120" w:line="276" w:lineRule="auto"/>
        <w:ind w:firstLine="708"/>
        <w:contextualSpacing/>
        <w:jc w:val="both"/>
        <w:rPr>
          <w:rFonts w:ascii="Arial" w:hAnsi="Arial" w:eastAsia="Calibri" w:cs="Arial"/>
        </w:rPr>
      </w:pPr>
    </w:p>
    <w:p w:rsidR="00E779AA" w:rsidP="00E779AA" w:rsidRDefault="00E779AA" w14:paraId="24F318DB" w14:textId="77777777">
      <w:pPr>
        <w:shd w:val="clear" w:color="auto" w:fill="FFFFFF"/>
        <w:spacing w:after="120" w:line="276" w:lineRule="auto"/>
        <w:ind w:firstLine="709"/>
        <w:jc w:val="both"/>
        <w:textAlignment w:val="baseline"/>
        <w:rPr>
          <w:rFonts w:ascii="Arial" w:hAnsi="Arial" w:eastAsia="Times New Roman" w:cs="Arial"/>
          <w:bdr w:val="none" w:color="auto" w:sz="0" w:space="0" w:frame="1"/>
          <w:lang w:eastAsia="es-CO"/>
        </w:rPr>
      </w:pPr>
      <w:bookmarkStart w:name="_Hlk101793468" w:id="10"/>
      <w:r w:rsidRPr="000547C2">
        <w:rPr>
          <w:rFonts w:ascii="Arial" w:hAnsi="Arial" w:eastAsia="Times New Roman" w:cs="Arial"/>
          <w:bdr w:val="none" w:color="auto" w:sz="0" w:space="0" w:frame="1"/>
          <w:lang w:eastAsia="es-CO"/>
        </w:rPr>
        <w:t>Por un lado, 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0547C2">
        <w:rPr>
          <w:rFonts w:ascii="Arial" w:hAnsi="Arial" w:eastAsia="Times New Roman" w:cs="Arial"/>
          <w:bdr w:val="none" w:color="auto" w:sz="0" w:space="0" w:frame="1"/>
          <w:lang w:eastAsia="es-CO"/>
        </w:rPr>
        <w:t>The</w:t>
      </w:r>
      <w:proofErr w:type="spellEnd"/>
      <w:r w:rsidRPr="000547C2">
        <w:rPr>
          <w:rFonts w:ascii="Arial" w:hAnsi="Arial" w:eastAsia="Times New Roman" w:cs="Arial"/>
          <w:bdr w:val="none" w:color="auto" w:sz="0" w:space="0" w:frame="1"/>
          <w:lang w:eastAsia="es-CO"/>
        </w:rPr>
        <w:t xml:space="preserve"> </w:t>
      </w:r>
      <w:proofErr w:type="spellStart"/>
      <w:r w:rsidRPr="000547C2">
        <w:rPr>
          <w:rFonts w:ascii="Arial" w:hAnsi="Arial" w:eastAsia="Times New Roman" w:cs="Arial"/>
          <w:bdr w:val="none" w:color="auto" w:sz="0" w:space="0" w:frame="1"/>
          <w:lang w:eastAsia="es-CO"/>
        </w:rPr>
        <w:t>United</w:t>
      </w:r>
      <w:proofErr w:type="spellEnd"/>
      <w:r w:rsidRPr="000547C2">
        <w:rPr>
          <w:rFonts w:ascii="Arial" w:hAnsi="Arial" w:eastAsia="Times New Roman" w:cs="Arial"/>
          <w:bdr w:val="none" w:color="auto" w:sz="0" w:space="0" w:frame="1"/>
          <w:lang w:eastAsia="es-CO"/>
        </w:rPr>
        <w:t xml:space="preserve"> </w:t>
      </w:r>
      <w:proofErr w:type="spellStart"/>
      <w:r w:rsidRPr="000547C2">
        <w:rPr>
          <w:rFonts w:ascii="Arial" w:hAnsi="Arial" w:eastAsia="Times New Roman" w:cs="Arial"/>
          <w:bdr w:val="none" w:color="auto" w:sz="0" w:space="0" w:frame="1"/>
          <w:lang w:eastAsia="es-CO"/>
        </w:rPr>
        <w:t>Nations</w:t>
      </w:r>
      <w:proofErr w:type="spellEnd"/>
      <w:r w:rsidRPr="000547C2">
        <w:rPr>
          <w:rFonts w:ascii="Arial" w:hAnsi="Arial" w:eastAsia="Times New Roman" w:cs="Arial"/>
          <w:bdr w:val="none" w:color="auto" w:sz="0" w:space="0" w:frame="1"/>
          <w:lang w:eastAsia="es-CO"/>
        </w:rPr>
        <w:t xml:space="preserve"> Standard </w:t>
      </w:r>
      <w:proofErr w:type="spellStart"/>
      <w:r w:rsidRPr="000547C2">
        <w:rPr>
          <w:rFonts w:ascii="Arial" w:hAnsi="Arial" w:eastAsia="Times New Roman" w:cs="Arial"/>
          <w:bdr w:val="none" w:color="auto" w:sz="0" w:space="0" w:frame="1"/>
          <w:lang w:eastAsia="es-CO"/>
        </w:rPr>
        <w:t>Products</w:t>
      </w:r>
      <w:proofErr w:type="spellEnd"/>
      <w:r w:rsidRPr="000547C2">
        <w:rPr>
          <w:rFonts w:ascii="Arial" w:hAnsi="Arial" w:eastAsia="Times New Roman" w:cs="Arial"/>
          <w:bdr w:val="none" w:color="auto" w:sz="0" w:space="0" w:frame="1"/>
          <w:lang w:eastAsia="es-CO"/>
        </w:rPr>
        <w:t xml:space="preserve"> and Services </w:t>
      </w:r>
      <w:proofErr w:type="spellStart"/>
      <w:r w:rsidRPr="000547C2">
        <w:rPr>
          <w:rFonts w:ascii="Arial" w:hAnsi="Arial" w:eastAsia="Times New Roman" w:cs="Arial"/>
          <w:bdr w:val="none" w:color="auto" w:sz="0" w:space="0" w:frame="1"/>
          <w:lang w:eastAsia="es-CO"/>
        </w:rPr>
        <w:t>Code</w:t>
      </w:r>
      <w:proofErr w:type="spellEnd"/>
      <w:r w:rsidRPr="000547C2">
        <w:rPr>
          <w:rFonts w:ascii="Arial" w:hAnsi="Arial" w:eastAsia="Times New Roman" w:cs="Arial"/>
          <w:bdr w:val="none" w:color="auto" w:sz="0" w:space="0" w:frame="1"/>
          <w:lang w:eastAsia="es-CO"/>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bookmarkEnd w:id="10"/>
      <w:r w:rsidRPr="000547C2">
        <w:rPr>
          <w:rStyle w:val="Refdenotaalpie"/>
          <w:rFonts w:ascii="Arial" w:hAnsi="Arial" w:eastAsia="Times New Roman" w:cs="Arial"/>
          <w:bdr w:val="none" w:color="auto" w:sz="0" w:space="0" w:frame="1"/>
          <w:lang w:eastAsia="es-CO"/>
        </w:rPr>
        <w:footnoteReference w:id="35"/>
      </w:r>
      <w:r w:rsidRPr="000547C2">
        <w:rPr>
          <w:rFonts w:ascii="Arial" w:hAnsi="Arial" w:eastAsia="Times New Roman" w:cs="Arial"/>
          <w:bdr w:val="none" w:color="auto" w:sz="0" w:space="0" w:frame="1"/>
          <w:lang w:eastAsia="es-CO"/>
        </w:rPr>
        <w:t>.</w:t>
      </w:r>
    </w:p>
    <w:p w:rsidRPr="00D9463B" w:rsidR="00D9463B" w:rsidP="00D9463B" w:rsidRDefault="00D9463B" w14:paraId="49B85B7C" w14:textId="77777777">
      <w:pPr>
        <w:widowControl w:val="0"/>
        <w:autoSpaceDE w:val="0"/>
        <w:autoSpaceDN w:val="0"/>
        <w:spacing w:after="120" w:line="276" w:lineRule="auto"/>
        <w:ind w:firstLine="607"/>
        <w:jc w:val="both"/>
        <w:rPr>
          <w:rFonts w:ascii="Arial" w:hAnsi="Arial" w:eastAsia="Arial MT" w:cs="Arial"/>
          <w:lang w:val="es-ES"/>
        </w:rPr>
      </w:pPr>
      <w:r w:rsidRPr="00D9463B">
        <w:rPr>
          <w:rFonts w:ascii="Arial" w:hAnsi="Arial" w:eastAsia="Times New Roman" w:cs="Arial"/>
          <w:bdr w:val="none" w:color="auto" w:sz="0" w:space="0" w:frame="1"/>
          <w:lang w:val="es-ES"/>
        </w:rPr>
        <w:t xml:space="preserve">Por otro lado, </w:t>
      </w:r>
      <w:r w:rsidRPr="00D9463B">
        <w:rPr>
          <w:rFonts w:ascii="Arial" w:hAnsi="Arial" w:eastAsia="Arial MT" w:cs="Arial"/>
          <w:lang w:val="es-ES"/>
        </w:rPr>
        <w:t xml:space="preserve">el artículo 2.2.1.1.1.5.2 del Decreto 1082 de 2015, al desarrollar la información requerida para la inscripción, actualización y renovación del RUP, establece que </w:t>
      </w:r>
      <w:r w:rsidRPr="00D9463B">
        <w:rPr>
          <w:rFonts w:ascii="Arial" w:hAnsi="Arial" w:eastAsia="Arial MT" w:cs="Arial"/>
          <w:u w:val="single"/>
          <w:lang w:val="es-ES"/>
        </w:rPr>
        <w:t>los proponentes deben establecer los bienes y servicios que ofrecerán identificados Clasificador de Bienes y Servicios en el tercer nivel</w:t>
      </w:r>
      <w:r w:rsidRPr="00D9463B">
        <w:rPr>
          <w:rFonts w:ascii="Arial" w:hAnsi="Arial" w:eastAsia="Arial MT" w:cs="Arial"/>
          <w:vertAlign w:val="superscript"/>
          <w:lang w:val="es-ES"/>
        </w:rPr>
        <w:footnoteReference w:id="36"/>
      </w:r>
      <w:r w:rsidRPr="00D9463B">
        <w:rPr>
          <w:rFonts w:ascii="Arial" w:hAnsi="Arial" w:eastAsia="Arial MT" w:cs="Arial"/>
          <w:lang w:val="es-ES"/>
        </w:rPr>
        <w:t>. Asimismo, los numerales 1.2 y 2.5 de este artículo establecen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D9463B">
        <w:rPr>
          <w:rFonts w:ascii="Arial" w:hAnsi="Arial" w:eastAsia="Arial MT" w:cs="Arial"/>
          <w:vertAlign w:val="superscript"/>
          <w:lang w:val="es-ES"/>
        </w:rPr>
        <w:footnoteReference w:id="37"/>
      </w:r>
      <w:r w:rsidRPr="00D9463B">
        <w:rPr>
          <w:rFonts w:ascii="Arial" w:hAnsi="Arial" w:eastAsia="Arial MT" w:cs="Arial"/>
          <w:lang w:val="es-ES"/>
        </w:rPr>
        <w:t xml:space="preserve">. </w:t>
      </w:r>
    </w:p>
    <w:p w:rsidRPr="001605A2" w:rsidR="001605A2" w:rsidP="001605A2" w:rsidRDefault="001605A2" w14:paraId="62D7C24B" w14:textId="77777777">
      <w:pPr>
        <w:widowControl w:val="0"/>
        <w:autoSpaceDE w:val="0"/>
        <w:autoSpaceDN w:val="0"/>
        <w:spacing w:after="120" w:line="276" w:lineRule="auto"/>
        <w:ind w:firstLine="709"/>
        <w:jc w:val="both"/>
        <w:rPr>
          <w:rFonts w:ascii="Arial" w:hAnsi="Arial" w:eastAsia="Times New Roman" w:cs="Arial"/>
          <w:bdr w:val="none" w:color="auto" w:sz="0" w:space="0" w:frame="1"/>
          <w:lang w:val="es-ES"/>
        </w:rPr>
      </w:pPr>
      <w:r w:rsidRPr="001605A2">
        <w:rPr>
          <w:rFonts w:ascii="Arial" w:hAnsi="Arial" w:eastAsia="Times New Roman" w:cs="Arial"/>
          <w:highlight w:val="yellow"/>
          <w:bdr w:val="none" w:color="auto" w:sz="0" w:space="0" w:frame="1"/>
          <w:lang w:val="es-ES"/>
        </w:rPr>
        <w:t xml:space="preserve">Conforme a lo anterior, la inscripción en el RUP, la valoración de la experiencia de los proponentes y el desarrollo de los procesos de contratación son ámbitos de la contratación estatal en los que se incorpora el uso del Clasificador de Bienes y Servicios para la mencionada contratación. </w:t>
      </w:r>
      <w:r w:rsidRPr="001605A2">
        <w:rPr>
          <w:rFonts w:ascii="Arial" w:hAnsi="Arial" w:eastAsia="Times New Roman" w:cs="Arial"/>
          <w:highlight w:val="yellow"/>
          <w:u w:val="single"/>
          <w:bdr w:val="none" w:color="auto" w:sz="0" w:space="0" w:frame="1"/>
          <w:lang w:val="es-ES"/>
        </w:rPr>
        <w:t>La utilización de este clasificador es una medida que incrementa la eficiencia y la efectividad en procedimientos de selección</w:t>
      </w:r>
      <w:r w:rsidRPr="001605A2">
        <w:rPr>
          <w:rFonts w:ascii="Arial" w:hAnsi="Arial" w:eastAsia="Times New Roman" w:cs="Arial"/>
          <w:highlight w:val="yellow"/>
          <w:bdr w:val="none" w:color="auto" w:sz="0" w:space="0" w:frame="1"/>
          <w:lang w:val="es-ES"/>
        </w:rPr>
        <w:t xml:space="preserve">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Pr="001605A2">
        <w:rPr>
          <w:rFonts w:ascii="Arial" w:hAnsi="Arial" w:eastAsia="Arial MT" w:cs="Arial"/>
          <w:highlight w:val="yellow"/>
          <w:vertAlign w:val="superscript"/>
          <w:lang w:val="es-ES"/>
        </w:rPr>
        <w:footnoteReference w:id="38"/>
      </w:r>
      <w:r w:rsidRPr="001605A2">
        <w:rPr>
          <w:rFonts w:ascii="Arial" w:hAnsi="Arial" w:eastAsia="Times New Roman" w:cs="Arial"/>
          <w:highlight w:val="yellow"/>
          <w:bdr w:val="none" w:color="auto" w:sz="0" w:space="0" w:frame="1"/>
          <w:lang w:val="es-ES"/>
        </w:rPr>
        <w:t>.</w:t>
      </w:r>
    </w:p>
    <w:p w:rsidRPr="001605A2" w:rsidR="001605A2" w:rsidP="001605A2" w:rsidRDefault="001605A2" w14:paraId="0A459390" w14:textId="77777777">
      <w:pPr>
        <w:widowControl w:val="0"/>
        <w:autoSpaceDE w:val="0"/>
        <w:autoSpaceDN w:val="0"/>
        <w:spacing w:after="120" w:line="276" w:lineRule="auto"/>
        <w:ind w:firstLine="709"/>
        <w:jc w:val="both"/>
        <w:rPr>
          <w:rFonts w:ascii="Arial" w:hAnsi="Arial" w:eastAsia="Times New Roman" w:cs="Arial"/>
          <w:highlight w:val="yellow"/>
          <w:bdr w:val="none" w:color="auto" w:sz="0" w:space="0" w:frame="1"/>
          <w:lang w:val="es-ES"/>
        </w:rPr>
      </w:pPr>
      <w:r w:rsidRPr="001605A2">
        <w:rPr>
          <w:rFonts w:ascii="Arial" w:hAnsi="Arial" w:eastAsia="Times New Roman" w:cs="Arial"/>
          <w:highlight w:val="yellow"/>
          <w:bdr w:val="none" w:color="auto" w:sz="0" w:space="0" w:frame="1"/>
          <w:lang w:val="es-ES"/>
        </w:rPr>
        <w:t>La Circular Externa Única emitida por esta Agencia, señala que las entidades estatales no podrán rechazar las ofertas presentadas por oferentes que cumplan con los requisitos habilitantes exigidos, pese a que hubiesen incurrido en yerros frente a la identificación o inscripción del oferente en el código de clasificador de bienes y servicios del objeto del proceso de contratación, lo anterior debido a que como se expuso, el RUP contiene por una parte, la lista de bienes, obras y servicios que el proveedor está en capacidad de ofrecer a las Entidades Estatales, identificados con el Código de Bienes y Servicios en el tercer nivel. Lo anterior, en vista de que, para esta agencia, la clasificación del proponente no es un requisito habilitante, sino un mecanismo para establecer un lenguaje común entre los partícipes del Sistema de Compra Pública.</w:t>
      </w:r>
    </w:p>
    <w:p w:rsidRPr="001605A2" w:rsidR="001605A2" w:rsidP="001605A2" w:rsidRDefault="001605A2" w14:paraId="2A3AA666" w14:textId="77777777">
      <w:pPr>
        <w:widowControl w:val="0"/>
        <w:autoSpaceDE w:val="0"/>
        <w:autoSpaceDN w:val="0"/>
        <w:spacing w:after="0" w:line="276" w:lineRule="auto"/>
        <w:ind w:firstLine="708"/>
        <w:jc w:val="both"/>
        <w:rPr>
          <w:rFonts w:ascii="Arial" w:hAnsi="Arial" w:eastAsia="Times New Roman" w:cs="Arial"/>
          <w:bdr w:val="none" w:color="auto" w:sz="0" w:space="0" w:frame="1"/>
          <w:lang w:val="es-ES"/>
        </w:rPr>
      </w:pPr>
      <w:r w:rsidRPr="001605A2">
        <w:rPr>
          <w:rFonts w:ascii="Arial" w:hAnsi="Arial" w:eastAsia="Times New Roman" w:cs="Arial"/>
          <w:highlight w:val="yellow"/>
          <w:bdr w:val="none" w:color="auto" w:sz="0" w:space="0" w:frame="1"/>
          <w:lang w:val="es-ES"/>
        </w:rPr>
        <w:t xml:space="preserve">Por lo tanto, las Entidades Estatales no pueden excluir a un proponente que ha acreditado los requisitos habilitantes exigidos en un Proceso de Contratación por no estar inscrito en el aparte de clasificación del RUP con el código de bienes, obras y servicios del objeto del Proceso de Contratación adelantado, es decir, por la información de clasificación del proponente, </w:t>
      </w:r>
      <w:r w:rsidRPr="001605A2">
        <w:rPr>
          <w:rFonts w:ascii="Arial" w:hAnsi="Arial" w:eastAsia="Times New Roman" w:cs="Arial"/>
          <w:highlight w:val="yellow"/>
          <w:u w:val="single"/>
          <w:bdr w:val="none" w:color="auto" w:sz="0" w:space="0" w:frame="1"/>
          <w:lang w:val="es-ES"/>
        </w:rPr>
        <w:t>pero sí deben verificar que las condiciones de la experiencia corresponden a las exigencias previstas para el Proceso de Contratación.</w:t>
      </w:r>
    </w:p>
    <w:p w:rsidR="00746BA3" w:rsidP="00116D1A" w:rsidRDefault="00746BA3" w14:paraId="6A5F1ED2" w14:textId="374C834E">
      <w:pPr>
        <w:shd w:val="clear" w:color="auto" w:fill="FFFFFF"/>
        <w:spacing w:after="120" w:line="276" w:lineRule="auto"/>
        <w:ind w:firstLine="709"/>
        <w:jc w:val="both"/>
        <w:textAlignment w:val="baseline"/>
        <w:rPr>
          <w:rFonts w:ascii="Arial" w:hAnsi="Arial" w:eastAsia="Times New Roman" w:cs="Arial"/>
          <w:bdr w:val="none" w:color="auto" w:sz="0" w:space="0" w:frame="1"/>
          <w:lang w:eastAsia="es-CO"/>
        </w:rPr>
      </w:pPr>
    </w:p>
    <w:p w:rsidR="00304903" w:rsidP="00304903" w:rsidRDefault="00304903" w14:paraId="718024AC" w14:textId="2AC5A049">
      <w:pPr>
        <w:shd w:val="clear" w:color="auto" w:fill="FFFFFF" w:themeFill="background1"/>
        <w:tabs>
          <w:tab w:val="left" w:pos="426"/>
        </w:tabs>
        <w:spacing w:after="0"/>
        <w:jc w:val="both"/>
        <w:rPr>
          <w:rFonts w:ascii="Arial" w:hAnsi="Arial" w:eastAsia="Calibri" w:cs="Arial"/>
          <w:b/>
          <w:bCs/>
          <w:color w:val="000000" w:themeColor="text1"/>
          <w:lang w:eastAsia="en-GB"/>
        </w:rPr>
      </w:pPr>
      <w:r w:rsidRPr="00304903">
        <w:rPr>
          <w:rFonts w:ascii="Arial" w:hAnsi="Arial" w:eastAsia="Calibri" w:cs="Arial"/>
          <w:b/>
          <w:bCs/>
          <w:color w:val="000000" w:themeColor="text1"/>
          <w:lang w:eastAsia="en-GB"/>
        </w:rPr>
        <w:t>2.4 Irrevocabilidad de la oferta</w:t>
      </w:r>
    </w:p>
    <w:p w:rsidR="00304903" w:rsidP="00304903" w:rsidRDefault="00304903" w14:paraId="7BF56AFF" w14:textId="77777777">
      <w:pPr>
        <w:shd w:val="clear" w:color="auto" w:fill="FFFFFF" w:themeFill="background1"/>
        <w:tabs>
          <w:tab w:val="left" w:pos="426"/>
        </w:tabs>
        <w:spacing w:after="0"/>
        <w:jc w:val="both"/>
        <w:rPr>
          <w:rFonts w:ascii="Arial" w:hAnsi="Arial" w:eastAsia="Calibri" w:cs="Arial"/>
          <w:b/>
          <w:bCs/>
          <w:color w:val="000000" w:themeColor="text1"/>
          <w:lang w:eastAsia="en-GB"/>
        </w:rPr>
      </w:pPr>
    </w:p>
    <w:p w:rsidRPr="00EF3752" w:rsidR="00EF3752" w:rsidP="00EF3752" w:rsidRDefault="00D27D0E" w14:paraId="5099EF33" w14:textId="51B36FFF">
      <w:pPr>
        <w:spacing w:after="0" w:line="276" w:lineRule="auto"/>
        <w:contextualSpacing/>
        <w:jc w:val="both"/>
        <w:rPr>
          <w:rFonts w:ascii="Arial" w:hAnsi="Arial" w:eastAsia="Calibri" w:cs="Arial"/>
          <w:color w:val="000000" w:themeColor="text1"/>
          <w:lang w:eastAsia="en-GB"/>
        </w:rPr>
      </w:pPr>
      <w:r w:rsidRPr="00D27D0E">
        <w:rPr>
          <w:rFonts w:ascii="Arial" w:hAnsi="Arial" w:eastAsia="Calibri" w:cs="Arial"/>
          <w:color w:val="000000" w:themeColor="text1"/>
          <w:lang w:eastAsia="en-GB"/>
        </w:rPr>
        <w:t xml:space="preserve">Corresponde </w:t>
      </w:r>
      <w:r>
        <w:rPr>
          <w:rFonts w:ascii="Arial" w:hAnsi="Arial" w:eastAsia="Calibri" w:cs="Arial"/>
          <w:color w:val="000000" w:themeColor="text1"/>
          <w:lang w:eastAsia="en-GB"/>
        </w:rPr>
        <w:t>ahora referirnos a</w:t>
      </w:r>
      <w:r w:rsidR="00061746">
        <w:rPr>
          <w:rFonts w:ascii="Arial" w:hAnsi="Arial" w:eastAsia="Calibri" w:cs="Arial"/>
          <w:color w:val="000000" w:themeColor="text1"/>
          <w:lang w:eastAsia="en-GB"/>
        </w:rPr>
        <w:t xml:space="preserve">l carácter de irrevocabilidad de la  oferta, </w:t>
      </w:r>
      <w:r w:rsidRPr="00EF3752" w:rsidR="00EF3752">
        <w:rPr>
          <w:rFonts w:ascii="Arial" w:hAnsi="Arial" w:eastAsia="Calibri" w:cs="Arial"/>
          <w:color w:val="000000" w:themeColor="text1"/>
          <w:lang w:eastAsia="en-GB"/>
        </w:rPr>
        <w:t>Según el artículo 846 del Código de Comercio</w:t>
      </w:r>
      <w:r w:rsidR="00EF3752">
        <w:rPr>
          <w:rStyle w:val="Refdenotaalpie"/>
          <w:rFonts w:ascii="Arial" w:hAnsi="Arial" w:eastAsia="Calibri" w:cs="Arial"/>
          <w:color w:val="000000" w:themeColor="text1"/>
          <w:lang w:eastAsia="en-GB"/>
        </w:rPr>
        <w:footnoteReference w:id="39"/>
      </w:r>
      <w:r w:rsidRPr="00EF3752" w:rsidR="00EF3752">
        <w:rPr>
          <w:rFonts w:ascii="Arial" w:hAnsi="Arial" w:eastAsia="Calibri" w:cs="Arial"/>
          <w:color w:val="000000" w:themeColor="text1"/>
          <w:lang w:eastAsia="en-GB"/>
        </w:rPr>
        <w:t xml:space="preserve">, la oferta o propuesta es irrevocable, por lo que una vez presentada el proponente no puede retractarse. El Consejo de Estado ha sido enfático en señalar que en los </w:t>
      </w:r>
      <w:r w:rsidRPr="00EF3752" w:rsidR="00EF3752">
        <w:rPr>
          <w:rFonts w:ascii="Arial" w:hAnsi="Arial" w:eastAsia="Calibri" w:cs="Arial"/>
          <w:color w:val="000000" w:themeColor="text1"/>
          <w:lang w:eastAsia="en-GB"/>
        </w:rPr>
        <w:t>procesos de contratación estatal la propuesta presentada adquiere el carácter de seria e irrevocable:</w:t>
      </w:r>
    </w:p>
    <w:p w:rsidRPr="00EF3752" w:rsidR="00EF3752" w:rsidP="00EF3752" w:rsidRDefault="00EF3752" w14:paraId="3C7A6A9E" w14:textId="77777777">
      <w:pPr>
        <w:spacing w:after="0" w:line="276" w:lineRule="auto"/>
        <w:contextualSpacing/>
        <w:jc w:val="both"/>
        <w:rPr>
          <w:rFonts w:ascii="Arial" w:hAnsi="Arial" w:eastAsia="Calibri" w:cs="Arial"/>
          <w:color w:val="000000" w:themeColor="text1"/>
          <w:lang w:eastAsia="en-GB"/>
        </w:rPr>
      </w:pPr>
    </w:p>
    <w:p w:rsidRPr="001F5784" w:rsidR="00EF3752" w:rsidP="001F5784" w:rsidRDefault="00EF3752" w14:paraId="3F59093D" w14:textId="77777777">
      <w:pPr>
        <w:tabs>
          <w:tab w:val="left" w:pos="8505"/>
        </w:tabs>
        <w:spacing w:after="0"/>
        <w:ind w:left="709" w:right="709"/>
        <w:contextualSpacing/>
        <w:jc w:val="both"/>
        <w:rPr>
          <w:rFonts w:ascii="Arial" w:hAnsi="Arial" w:eastAsia="Calibri" w:cs="Arial"/>
          <w:sz w:val="21"/>
          <w:szCs w:val="21"/>
        </w:rPr>
      </w:pPr>
      <w:r w:rsidRPr="001F5784">
        <w:rPr>
          <w:rFonts w:ascii="Arial" w:hAnsi="Arial" w:eastAsia="Calibri" w:cs="Arial"/>
          <w:sz w:val="21"/>
          <w:szCs w:val="21"/>
        </w:rPr>
        <w:t>Así las cosas, encuentra la Sala que un proponente al presentarse en una licitación o concurso, además de sujetarse a todos y cada uno de los puntos contenidos en el pliego de condiciones o términos de referencia, tiene la obligación de mantener las condiciones (legales, técnicas, financieras, económicas etc.) de la denominada propuesta básica, de responder y atender adecuada y oportunamente los requerimientos que formule la entidad licitante durante la etapa de evaluación, hasta la adjudicación y de suscribir y perfeccionar el contrato, cuando resulte adjudicatario del mismo, pues de lo contrario tendrá que indemnizar los perjuicios que se causen como consecuencia de la defraudación de la confianza de la administración en la seriedad de la oferta, los cuales se encuentran previamente cuantificados a título de sanción por el valor del depósito o garantía constituidos para responder por la seriedad de la propuesta, sin perjuicio de que la entidad pública licitante inicie las acciones legales para reclamar los perjuicios que excedan lo garantizado. (“deberán proceder de buena fe exenta de culpa en el período precontractual, so pena de indemnizar los perjuicios que se causen”- artículo 863 del Código de Comercio).</w:t>
      </w:r>
    </w:p>
    <w:p w:rsidRPr="001F5784" w:rsidR="00EF3752" w:rsidP="001F5784" w:rsidRDefault="00EF3752" w14:paraId="55C43AD5" w14:textId="77777777">
      <w:pPr>
        <w:tabs>
          <w:tab w:val="left" w:pos="8505"/>
        </w:tabs>
        <w:spacing w:after="0"/>
        <w:ind w:left="709" w:right="709"/>
        <w:contextualSpacing/>
        <w:jc w:val="both"/>
        <w:rPr>
          <w:rFonts w:ascii="Arial" w:hAnsi="Arial" w:eastAsia="Calibri" w:cs="Arial"/>
          <w:sz w:val="21"/>
          <w:szCs w:val="21"/>
        </w:rPr>
      </w:pPr>
    </w:p>
    <w:p w:rsidRPr="001F5784" w:rsidR="00EF3752" w:rsidP="000B1F4B" w:rsidRDefault="00EF3752" w14:paraId="7E0A0BC9" w14:textId="7D3E0B4B">
      <w:pPr>
        <w:tabs>
          <w:tab w:val="left" w:pos="8505"/>
        </w:tabs>
        <w:spacing w:after="0"/>
        <w:ind w:left="709" w:right="709"/>
        <w:contextualSpacing/>
        <w:jc w:val="both"/>
        <w:rPr>
          <w:rFonts w:ascii="Arial" w:hAnsi="Arial" w:eastAsia="Calibri" w:cs="Arial"/>
          <w:sz w:val="21"/>
          <w:szCs w:val="21"/>
        </w:rPr>
      </w:pPr>
      <w:r w:rsidRPr="001F5784">
        <w:rPr>
          <w:rFonts w:ascii="Arial" w:hAnsi="Arial" w:eastAsia="Calibri" w:cs="Arial"/>
          <w:sz w:val="21"/>
          <w:szCs w:val="21"/>
        </w:rPr>
        <w:t>El derecho constitucional de la igualdad de los administrados en sus actuaciones ante la administración (Art. 13 C.P.), el principio de la buena fe que debe acompañar a los participantes en el proceso de licitación pública ( Arts. 83 C.P.) así como el también principio de concurrencia que tiene por finalidad garantizar al Estado la escogencia de la oferta más favorable en términos técnicos y económico-financieros, hacen que quienes respondan con su propuesta a la invitación pública de contratación formulada por las entidades públicas, quedan obligatoriamente vinculados a dicho procedimiento desde el momento de su presentación, pues a partir de allí, el interés colectivo ínsito en el proceso y el derecho de todos los intervinientes a la inalterabilidad de las reglas de juego, obligan a los proponentes a mantener sus propuestas y a la administración a considerarlas, examinarlas, evaluarlas, con el fin de garantizar y defender la unidad del procedimiento y evitar distorsiones en los resultados,</w:t>
      </w:r>
      <w:r w:rsidR="000B1F4B">
        <w:rPr>
          <w:rFonts w:ascii="Arial" w:hAnsi="Arial" w:eastAsia="Calibri" w:cs="Arial"/>
          <w:sz w:val="21"/>
          <w:szCs w:val="21"/>
        </w:rPr>
        <w:t xml:space="preserve"> </w:t>
      </w:r>
      <w:r w:rsidRPr="001F5784">
        <w:rPr>
          <w:rFonts w:ascii="Arial" w:hAnsi="Arial" w:eastAsia="Calibri" w:cs="Arial"/>
          <w:sz w:val="21"/>
          <w:szCs w:val="21"/>
        </w:rPr>
        <w:t>que podrían llevar a que el contrato no se adjudicara a la propuesta más conveniente.</w:t>
      </w:r>
    </w:p>
    <w:p w:rsidRPr="001F5784" w:rsidR="00EF3752" w:rsidP="001F5784" w:rsidRDefault="00EF3752" w14:paraId="62730F76" w14:textId="77777777">
      <w:pPr>
        <w:tabs>
          <w:tab w:val="left" w:pos="8505"/>
        </w:tabs>
        <w:spacing w:after="0"/>
        <w:ind w:left="709" w:right="709"/>
        <w:contextualSpacing/>
        <w:jc w:val="both"/>
        <w:rPr>
          <w:rFonts w:ascii="Arial" w:hAnsi="Arial" w:eastAsia="Calibri" w:cs="Arial"/>
          <w:sz w:val="21"/>
          <w:szCs w:val="21"/>
        </w:rPr>
      </w:pPr>
    </w:p>
    <w:p w:rsidRPr="001F5784" w:rsidR="00EF3752" w:rsidP="001F5784" w:rsidRDefault="00EF3752" w14:paraId="7324FC01" w14:textId="472DD0DE">
      <w:pPr>
        <w:tabs>
          <w:tab w:val="left" w:pos="8505"/>
        </w:tabs>
        <w:spacing w:after="0"/>
        <w:ind w:left="709" w:right="709"/>
        <w:contextualSpacing/>
        <w:jc w:val="both"/>
        <w:rPr>
          <w:rFonts w:ascii="Arial" w:hAnsi="Arial" w:eastAsia="Calibri" w:cs="Arial"/>
          <w:sz w:val="21"/>
          <w:szCs w:val="21"/>
        </w:rPr>
      </w:pPr>
      <w:r w:rsidRPr="001F5784">
        <w:rPr>
          <w:rFonts w:ascii="Arial" w:hAnsi="Arial" w:eastAsia="Calibri" w:cs="Arial"/>
          <w:sz w:val="21"/>
          <w:szCs w:val="21"/>
        </w:rPr>
        <w:t xml:space="preserve">Ahora bien, el hecho de que los proponentes que se encuentran participando en un proceso de licitación o concurso, queden obligatoriamente vinculados a dicho procedimiento desde el momento de la presentación de su propuesta y por tanto no puedan jurídicamente retractarse o desistir de la misma, sirve de argumento principal para sustentar su </w:t>
      </w:r>
      <w:r w:rsidRPr="00C1395E">
        <w:rPr>
          <w:rFonts w:ascii="Arial" w:hAnsi="Arial" w:eastAsia="Calibri" w:cs="Arial"/>
          <w:b/>
          <w:bCs/>
          <w:sz w:val="21"/>
          <w:szCs w:val="21"/>
        </w:rPr>
        <w:t>carácter de irrevocable</w:t>
      </w:r>
      <w:r w:rsidRPr="001F5784" w:rsidR="009C6B47">
        <w:rPr>
          <w:rStyle w:val="Refdenotaalpie"/>
          <w:rFonts w:ascii="Arial" w:hAnsi="Arial" w:cs="Arial"/>
          <w:sz w:val="18"/>
          <w:szCs w:val="18"/>
          <w:lang w:val="es-MX"/>
        </w:rPr>
        <w:footnoteReference w:id="40"/>
      </w:r>
      <w:r w:rsidRPr="001F5784">
        <w:rPr>
          <w:rFonts w:ascii="Arial" w:hAnsi="Arial" w:eastAsia="Calibri" w:cs="Arial"/>
          <w:sz w:val="21"/>
          <w:szCs w:val="21"/>
        </w:rPr>
        <w:t>. (Negrillas fuera de texto).</w:t>
      </w:r>
    </w:p>
    <w:p w:rsidRPr="00EF3752" w:rsidR="00EF3752" w:rsidP="00EF3752" w:rsidRDefault="00EF3752" w14:paraId="6CE49FE8" w14:textId="77777777">
      <w:pPr>
        <w:spacing w:after="0" w:line="276" w:lineRule="auto"/>
        <w:contextualSpacing/>
        <w:jc w:val="both"/>
        <w:rPr>
          <w:rFonts w:ascii="Arial" w:hAnsi="Arial" w:eastAsia="Calibri" w:cs="Arial"/>
          <w:color w:val="000000" w:themeColor="text1"/>
          <w:lang w:eastAsia="en-GB"/>
        </w:rPr>
      </w:pPr>
    </w:p>
    <w:p w:rsidR="00304903" w:rsidP="00607DC8" w:rsidRDefault="00EF3752" w14:paraId="2D879B68" w14:textId="19D776B4">
      <w:pPr>
        <w:spacing w:after="0" w:line="276" w:lineRule="auto"/>
        <w:ind w:firstLine="708"/>
        <w:contextualSpacing/>
        <w:jc w:val="both"/>
        <w:rPr>
          <w:rFonts w:ascii="Arial" w:hAnsi="Arial" w:eastAsia="Calibri" w:cs="Arial"/>
          <w:color w:val="000000" w:themeColor="text1"/>
          <w:lang w:eastAsia="en-GB"/>
        </w:rPr>
      </w:pPr>
      <w:r w:rsidRPr="00EF3752">
        <w:rPr>
          <w:rFonts w:ascii="Arial" w:hAnsi="Arial" w:eastAsia="Calibri" w:cs="Arial"/>
          <w:color w:val="000000" w:themeColor="text1"/>
          <w:lang w:eastAsia="en-GB"/>
        </w:rPr>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w:t>
      </w:r>
    </w:p>
    <w:p w:rsidR="00607DC8" w:rsidP="00607DC8" w:rsidRDefault="00607DC8" w14:paraId="05203E18" w14:textId="77777777">
      <w:pPr>
        <w:spacing w:after="0" w:line="276" w:lineRule="auto"/>
        <w:ind w:firstLine="708"/>
        <w:contextualSpacing/>
        <w:jc w:val="both"/>
        <w:rPr>
          <w:rFonts w:ascii="Arial" w:hAnsi="Arial" w:eastAsia="Calibri" w:cs="Arial"/>
          <w:color w:val="000000" w:themeColor="text1"/>
          <w:lang w:eastAsia="en-GB"/>
        </w:rPr>
      </w:pPr>
    </w:p>
    <w:p w:rsidR="00607DC8" w:rsidP="00607DC8" w:rsidRDefault="00607DC8" w14:paraId="716CF930" w14:textId="3C42B1A0">
      <w:pPr>
        <w:spacing w:after="0" w:line="276" w:lineRule="auto"/>
        <w:ind w:firstLine="708"/>
        <w:contextualSpacing/>
        <w:jc w:val="both"/>
        <w:rPr>
          <w:rFonts w:ascii="Arial" w:hAnsi="Arial" w:eastAsia="Calibri" w:cs="Arial"/>
          <w:color w:val="000000" w:themeColor="text1"/>
          <w:lang w:eastAsia="en-GB"/>
        </w:rPr>
      </w:pPr>
      <w:r>
        <w:rPr>
          <w:rFonts w:ascii="Arial" w:hAnsi="Arial" w:eastAsia="Calibri" w:cs="Arial"/>
          <w:color w:val="000000" w:themeColor="text1"/>
          <w:lang w:eastAsia="en-GB"/>
        </w:rPr>
        <w:t>Ahora bien,</w:t>
      </w:r>
      <w:r w:rsidR="0087117B">
        <w:rPr>
          <w:rFonts w:ascii="Arial" w:hAnsi="Arial" w:eastAsia="Calibri" w:cs="Arial"/>
          <w:color w:val="000000" w:themeColor="text1"/>
          <w:lang w:eastAsia="en-GB"/>
        </w:rPr>
        <w:t xml:space="preserve"> de conformidad con la consulta </w:t>
      </w:r>
      <w:r w:rsidR="005D44B0">
        <w:rPr>
          <w:rFonts w:ascii="Arial" w:hAnsi="Arial" w:eastAsia="Calibri" w:cs="Arial"/>
          <w:color w:val="000000" w:themeColor="text1"/>
          <w:lang w:eastAsia="en-GB"/>
        </w:rPr>
        <w:t>planteada, teniendo</w:t>
      </w:r>
      <w:r>
        <w:rPr>
          <w:rFonts w:ascii="Arial" w:hAnsi="Arial" w:eastAsia="Calibri" w:cs="Arial"/>
          <w:color w:val="000000" w:themeColor="text1"/>
          <w:lang w:eastAsia="en-GB"/>
        </w:rPr>
        <w:t xml:space="preserve"> en</w:t>
      </w:r>
      <w:r w:rsidR="00534923">
        <w:rPr>
          <w:rFonts w:ascii="Arial" w:hAnsi="Arial" w:eastAsia="Calibri" w:cs="Arial"/>
          <w:color w:val="000000" w:themeColor="text1"/>
          <w:lang w:eastAsia="en-GB"/>
        </w:rPr>
        <w:t xml:space="preserve"> </w:t>
      </w:r>
      <w:r>
        <w:rPr>
          <w:rFonts w:ascii="Arial" w:hAnsi="Arial" w:eastAsia="Calibri" w:cs="Arial"/>
          <w:color w:val="000000" w:themeColor="text1"/>
          <w:lang w:eastAsia="en-GB"/>
        </w:rPr>
        <w:t xml:space="preserve">cuenta </w:t>
      </w:r>
      <w:r w:rsidR="0087117B">
        <w:rPr>
          <w:rFonts w:ascii="Arial" w:hAnsi="Arial" w:eastAsia="Calibri" w:cs="Arial"/>
          <w:color w:val="000000" w:themeColor="text1"/>
          <w:lang w:eastAsia="en-GB"/>
        </w:rPr>
        <w:t xml:space="preserve">que </w:t>
      </w:r>
      <w:r w:rsidR="00E27804">
        <w:rPr>
          <w:rFonts w:ascii="Arial" w:hAnsi="Arial" w:eastAsia="Calibri" w:cs="Arial"/>
          <w:color w:val="000000" w:themeColor="text1"/>
          <w:lang w:eastAsia="en-GB"/>
        </w:rPr>
        <w:t>l</w:t>
      </w:r>
      <w:r w:rsidRPr="005D44B0" w:rsidR="005D44B0">
        <w:rPr>
          <w:rFonts w:ascii="Arial" w:hAnsi="Arial" w:eastAsia="Calibri" w:cs="Arial"/>
          <w:color w:val="000000" w:themeColor="text1"/>
          <w:lang w:eastAsia="en-GB"/>
        </w:rPr>
        <w:t xml:space="preserve">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w:t>
      </w:r>
      <w:r w:rsidRPr="0002106C" w:rsidR="005D44B0">
        <w:rPr>
          <w:rFonts w:ascii="Arial" w:hAnsi="Arial" w:eastAsia="Calibri" w:cs="Arial"/>
          <w:color w:val="000000" w:themeColor="text1"/>
          <w:u w:val="single"/>
          <w:lang w:eastAsia="en-GB"/>
        </w:rPr>
        <w:t>manuales de contratación</w:t>
      </w:r>
      <w:r w:rsidR="00BD6E1D">
        <w:rPr>
          <w:rFonts w:ascii="Arial" w:hAnsi="Arial" w:eastAsia="Calibri" w:cs="Arial"/>
          <w:color w:val="000000" w:themeColor="text1"/>
          <w:lang w:eastAsia="en-GB"/>
        </w:rPr>
        <w:t>, es</w:t>
      </w:r>
      <w:r w:rsidR="00802D0B">
        <w:rPr>
          <w:rFonts w:ascii="Arial" w:hAnsi="Arial" w:eastAsia="Calibri" w:cs="Arial"/>
          <w:color w:val="000000" w:themeColor="text1"/>
          <w:lang w:eastAsia="en-GB"/>
        </w:rPr>
        <w:t xml:space="preserve"> precisamente a través de los referidos </w:t>
      </w:r>
      <w:r w:rsidRPr="00802D0B" w:rsidR="00802D0B">
        <w:rPr>
          <w:rFonts w:ascii="Arial" w:hAnsi="Arial" w:eastAsia="Calibri" w:cs="Arial"/>
          <w:color w:val="000000" w:themeColor="text1"/>
          <w:lang w:eastAsia="en-GB"/>
        </w:rPr>
        <w:t>manuales de contratación</w:t>
      </w:r>
      <w:r w:rsidR="00802D0B">
        <w:rPr>
          <w:rFonts w:ascii="Arial" w:hAnsi="Arial" w:eastAsia="Calibri" w:cs="Arial"/>
          <w:color w:val="000000" w:themeColor="text1"/>
          <w:lang w:eastAsia="en-GB"/>
        </w:rPr>
        <w:t xml:space="preserve"> de cada entidad </w:t>
      </w:r>
      <w:r w:rsidR="0010022C">
        <w:rPr>
          <w:rFonts w:ascii="Arial" w:hAnsi="Arial" w:eastAsia="Calibri" w:cs="Arial"/>
          <w:color w:val="000000" w:themeColor="text1"/>
          <w:lang w:eastAsia="en-GB"/>
        </w:rPr>
        <w:t xml:space="preserve">en donde se encontrará </w:t>
      </w:r>
      <w:r w:rsidR="005F399A">
        <w:rPr>
          <w:rFonts w:ascii="Arial" w:hAnsi="Arial" w:eastAsia="Calibri" w:cs="Arial"/>
          <w:color w:val="000000" w:themeColor="text1"/>
          <w:lang w:eastAsia="en-GB"/>
        </w:rPr>
        <w:t>las particularidades sobre la vinculatoriedad de la oferta, es decir</w:t>
      </w:r>
      <w:r w:rsidR="00122B62">
        <w:rPr>
          <w:rFonts w:ascii="Arial" w:hAnsi="Arial" w:eastAsia="Calibri" w:cs="Arial"/>
          <w:color w:val="000000" w:themeColor="text1"/>
          <w:lang w:eastAsia="en-GB"/>
        </w:rPr>
        <w:t xml:space="preserve">, </w:t>
      </w:r>
      <w:r w:rsidR="009D28AD">
        <w:rPr>
          <w:rFonts w:ascii="Arial" w:hAnsi="Arial" w:eastAsia="Calibri" w:cs="Arial"/>
          <w:color w:val="000000" w:themeColor="text1"/>
          <w:lang w:eastAsia="en-GB"/>
        </w:rPr>
        <w:t>las ofertas</w:t>
      </w:r>
      <w:r w:rsidR="00122B62">
        <w:rPr>
          <w:rFonts w:ascii="Arial" w:hAnsi="Arial" w:eastAsia="Calibri" w:cs="Arial"/>
          <w:color w:val="000000" w:themeColor="text1"/>
          <w:lang w:eastAsia="en-GB"/>
        </w:rPr>
        <w:t xml:space="preserve"> se evaluarán conforme  a lo reglado en el </w:t>
      </w:r>
      <w:r w:rsidRPr="00122B62" w:rsidR="00122B62">
        <w:rPr>
          <w:rFonts w:ascii="Arial" w:hAnsi="Arial" w:eastAsia="Calibri" w:cs="Arial"/>
          <w:color w:val="000000" w:themeColor="text1"/>
          <w:lang w:eastAsia="en-GB"/>
        </w:rPr>
        <w:t>manual de contratación</w:t>
      </w:r>
      <w:r w:rsidR="00122B62">
        <w:rPr>
          <w:rFonts w:ascii="Arial" w:hAnsi="Arial" w:eastAsia="Calibri" w:cs="Arial"/>
          <w:color w:val="000000" w:themeColor="text1"/>
          <w:lang w:eastAsia="en-GB"/>
        </w:rPr>
        <w:t xml:space="preserve"> de la entidad</w:t>
      </w:r>
      <w:r w:rsidR="00786457">
        <w:rPr>
          <w:rFonts w:ascii="Arial" w:hAnsi="Arial" w:eastAsia="Calibri" w:cs="Arial"/>
          <w:color w:val="000000" w:themeColor="text1"/>
          <w:lang w:eastAsia="en-GB"/>
        </w:rPr>
        <w:t xml:space="preserve">. </w:t>
      </w:r>
    </w:p>
    <w:p w:rsidR="00E9369F" w:rsidP="00607DC8" w:rsidRDefault="00E9369F" w14:paraId="38FDD8EE" w14:textId="77777777">
      <w:pPr>
        <w:spacing w:after="0" w:line="276" w:lineRule="auto"/>
        <w:ind w:firstLine="708"/>
        <w:contextualSpacing/>
        <w:jc w:val="both"/>
        <w:rPr>
          <w:rFonts w:ascii="Arial" w:hAnsi="Arial" w:eastAsia="Calibri" w:cs="Arial"/>
          <w:color w:val="000000" w:themeColor="text1"/>
          <w:lang w:eastAsia="en-GB"/>
        </w:rPr>
      </w:pPr>
    </w:p>
    <w:p w:rsidR="00E9369F" w:rsidP="00607DC8" w:rsidRDefault="00E9369F" w14:paraId="7B2BB4C7" w14:textId="0AA77E59">
      <w:pPr>
        <w:spacing w:after="0" w:line="276" w:lineRule="auto"/>
        <w:ind w:firstLine="708"/>
        <w:contextualSpacing/>
        <w:jc w:val="both"/>
        <w:rPr>
          <w:rFonts w:ascii="Arial" w:hAnsi="Arial" w:eastAsia="Calibri" w:cs="Arial"/>
          <w:color w:val="000000" w:themeColor="text1"/>
          <w:lang w:eastAsia="en-GB"/>
        </w:rPr>
      </w:pPr>
      <w:r>
        <w:rPr>
          <w:rFonts w:ascii="Arial" w:hAnsi="Arial" w:eastAsia="Calibri" w:cs="Arial"/>
          <w:color w:val="000000" w:themeColor="text1"/>
          <w:lang w:eastAsia="en-GB"/>
        </w:rPr>
        <w:t xml:space="preserve">No </w:t>
      </w:r>
      <w:r w:rsidR="006F3634">
        <w:rPr>
          <w:rFonts w:ascii="Arial" w:hAnsi="Arial" w:eastAsia="Calibri" w:cs="Arial"/>
          <w:color w:val="000000" w:themeColor="text1"/>
          <w:lang w:eastAsia="en-GB"/>
        </w:rPr>
        <w:t>obstante</w:t>
      </w:r>
      <w:r>
        <w:rPr>
          <w:rFonts w:ascii="Arial" w:hAnsi="Arial" w:eastAsia="Calibri" w:cs="Arial"/>
          <w:color w:val="000000" w:themeColor="text1"/>
          <w:lang w:eastAsia="en-GB"/>
        </w:rPr>
        <w:t xml:space="preserve"> lo anterior, y teniendo en cuenta que </w:t>
      </w:r>
      <w:r w:rsidRPr="00E9369F">
        <w:rPr>
          <w:rFonts w:ascii="Arial" w:hAnsi="Arial" w:eastAsia="Calibri" w:cs="Arial"/>
          <w:color w:val="000000" w:themeColor="text1"/>
          <w:lang w:eastAsia="en-GB"/>
        </w:rPr>
        <w:t>las entidades de régimen especial cumplen una finalidad pública y contratan con recursos públicos para lograrlo, no son ajenas a los principios de la función administrativa y de la gestión fiscal, entre otras reglas dispuestas en la normativa de contratación pública que son transversales a todas las entidades, sin importar su régimen contractual.</w:t>
      </w:r>
    </w:p>
    <w:p w:rsidR="00457196" w:rsidP="00607DC8" w:rsidRDefault="00457196" w14:paraId="30DC92E7" w14:textId="77777777">
      <w:pPr>
        <w:spacing w:after="0" w:line="276" w:lineRule="auto"/>
        <w:ind w:firstLine="708"/>
        <w:contextualSpacing/>
        <w:jc w:val="both"/>
        <w:rPr>
          <w:rFonts w:ascii="Arial" w:hAnsi="Arial" w:eastAsia="Calibri" w:cs="Arial"/>
          <w:color w:val="000000" w:themeColor="text1"/>
          <w:lang w:eastAsia="en-GB"/>
        </w:rPr>
      </w:pPr>
    </w:p>
    <w:p w:rsidR="00457196" w:rsidP="00607DC8" w:rsidRDefault="00457196" w14:paraId="29C8A420" w14:textId="314C86A4">
      <w:pPr>
        <w:spacing w:after="0" w:line="276" w:lineRule="auto"/>
        <w:ind w:firstLine="708"/>
        <w:contextualSpacing/>
        <w:jc w:val="both"/>
        <w:rPr>
          <w:rFonts w:ascii="Arial" w:hAnsi="Arial" w:eastAsia="Calibri" w:cs="Arial"/>
          <w:color w:val="000000" w:themeColor="text1"/>
          <w:lang w:eastAsia="en-GB"/>
        </w:rPr>
      </w:pPr>
      <w:r>
        <w:rPr>
          <w:rFonts w:ascii="Arial" w:hAnsi="Arial" w:eastAsia="Calibri" w:cs="Arial"/>
          <w:color w:val="000000" w:themeColor="text1"/>
          <w:lang w:eastAsia="en-GB"/>
        </w:rPr>
        <w:t>En síntesis, se debe tener en cuenta</w:t>
      </w:r>
      <w:r w:rsidR="00E44849">
        <w:rPr>
          <w:rFonts w:ascii="Arial" w:hAnsi="Arial" w:eastAsia="Calibri" w:cs="Arial"/>
          <w:color w:val="000000" w:themeColor="text1"/>
          <w:lang w:eastAsia="en-GB"/>
        </w:rPr>
        <w:t>,</w:t>
      </w:r>
      <w:r>
        <w:rPr>
          <w:rFonts w:ascii="Arial" w:hAnsi="Arial" w:eastAsia="Calibri" w:cs="Arial"/>
          <w:color w:val="000000" w:themeColor="text1"/>
          <w:lang w:eastAsia="en-GB"/>
        </w:rPr>
        <w:t xml:space="preserve"> en este punto</w:t>
      </w:r>
      <w:r w:rsidR="00E44849">
        <w:rPr>
          <w:rFonts w:ascii="Arial" w:hAnsi="Arial" w:eastAsia="Calibri" w:cs="Arial"/>
          <w:color w:val="000000" w:themeColor="text1"/>
          <w:lang w:eastAsia="en-GB"/>
        </w:rPr>
        <w:t>,</w:t>
      </w:r>
      <w:r>
        <w:rPr>
          <w:rFonts w:ascii="Arial" w:hAnsi="Arial" w:eastAsia="Calibri" w:cs="Arial"/>
          <w:color w:val="000000" w:themeColor="text1"/>
          <w:lang w:eastAsia="en-GB"/>
        </w:rPr>
        <w:t xml:space="preserve"> que </w:t>
      </w:r>
      <w:r w:rsidRPr="00457196">
        <w:rPr>
          <w:rFonts w:ascii="Arial" w:hAnsi="Arial" w:eastAsia="Calibri" w:cs="Arial"/>
          <w:color w:val="000000" w:themeColor="text1"/>
          <w:lang w:eastAsia="en-GB"/>
        </w:rPr>
        <w:t xml:space="preserve">el manual de contratación de las entidades </w:t>
      </w:r>
      <w:r w:rsidRPr="00E44849" w:rsidR="00E44849">
        <w:rPr>
          <w:rFonts w:ascii="Arial" w:hAnsi="Arial" w:eastAsia="Calibri" w:cs="Arial"/>
          <w:color w:val="000000" w:themeColor="text1"/>
          <w:lang w:eastAsia="en-GB"/>
        </w:rPr>
        <w:t xml:space="preserve">de régimen especial </w:t>
      </w:r>
      <w:r w:rsidR="00E44849">
        <w:rPr>
          <w:rFonts w:ascii="Arial" w:hAnsi="Arial" w:eastAsia="Calibri" w:cs="Arial"/>
          <w:color w:val="000000" w:themeColor="text1"/>
          <w:lang w:eastAsia="en-GB"/>
        </w:rPr>
        <w:t xml:space="preserve">y </w:t>
      </w:r>
      <w:r w:rsidRPr="00457196">
        <w:rPr>
          <w:rFonts w:ascii="Arial" w:hAnsi="Arial" w:eastAsia="Calibri" w:cs="Arial"/>
          <w:color w:val="000000" w:themeColor="text1"/>
          <w:lang w:eastAsia="en-GB"/>
        </w:rPr>
        <w:t xml:space="preserve">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w:t>
      </w:r>
      <w:r w:rsidRPr="00C2255A">
        <w:rPr>
          <w:rFonts w:ascii="Arial" w:hAnsi="Arial" w:eastAsia="Calibri" w:cs="Arial"/>
          <w:color w:val="000000" w:themeColor="text1"/>
          <w:u w:val="single"/>
          <w:lang w:eastAsia="en-GB"/>
        </w:rPr>
        <w:t>pese a que existe un alto grado de discrecionalidad en su elaboración, el manual de contratación, al ser un reglamento vincula a la propia entidad</w:t>
      </w:r>
      <w:r w:rsidRPr="00457196">
        <w:rPr>
          <w:rFonts w:ascii="Arial" w:hAnsi="Arial" w:eastAsia="Calibri" w:cs="Arial"/>
          <w:color w:val="000000" w:themeColor="text1"/>
          <w:lang w:eastAsia="en-GB"/>
        </w:rPr>
        <w:t>.</w:t>
      </w:r>
    </w:p>
    <w:p w:rsidR="00157225" w:rsidP="00157225" w:rsidRDefault="00157225" w14:paraId="18D180FB" w14:textId="7B438FAB">
      <w:pPr>
        <w:spacing w:after="0" w:line="276" w:lineRule="auto"/>
        <w:contextualSpacing/>
        <w:jc w:val="both"/>
        <w:rPr>
          <w:rFonts w:ascii="Arial" w:hAnsi="Arial" w:eastAsia="Calibri" w:cs="Arial"/>
          <w:color w:val="000000" w:themeColor="text1"/>
          <w:lang w:eastAsia="en-GB"/>
        </w:rPr>
      </w:pPr>
    </w:p>
    <w:p w:rsidR="007A6C93" w:rsidP="007A6C93" w:rsidRDefault="007A6C93" w14:paraId="6682AC83" w14:textId="101165D9">
      <w:pPr>
        <w:shd w:val="clear" w:color="auto" w:fill="FFFFFF" w:themeFill="background1"/>
        <w:tabs>
          <w:tab w:val="left" w:pos="426"/>
        </w:tabs>
        <w:spacing w:after="0"/>
        <w:jc w:val="both"/>
        <w:rPr>
          <w:rFonts w:ascii="Arial" w:hAnsi="Arial" w:eastAsia="Calibri" w:cs="Arial"/>
          <w:b/>
          <w:bCs/>
          <w:color w:val="000000" w:themeColor="text1"/>
          <w:lang w:eastAsia="en-GB"/>
        </w:rPr>
      </w:pPr>
      <w:r w:rsidRPr="007A6C93">
        <w:rPr>
          <w:rFonts w:ascii="Arial" w:hAnsi="Arial" w:eastAsia="Calibri" w:cs="Arial"/>
          <w:b/>
          <w:bCs/>
          <w:color w:val="000000" w:themeColor="text1"/>
          <w:lang w:eastAsia="en-GB"/>
        </w:rPr>
        <w:t>2.5 Documentos técnicos adicionales</w:t>
      </w:r>
    </w:p>
    <w:p w:rsidR="00AD3603" w:rsidP="007A6C93" w:rsidRDefault="00AD3603" w14:paraId="4FC68DEB" w14:textId="77777777">
      <w:pPr>
        <w:shd w:val="clear" w:color="auto" w:fill="FFFFFF" w:themeFill="background1"/>
        <w:tabs>
          <w:tab w:val="left" w:pos="426"/>
        </w:tabs>
        <w:spacing w:after="0"/>
        <w:jc w:val="both"/>
        <w:rPr>
          <w:rFonts w:ascii="Arial" w:hAnsi="Arial" w:eastAsia="Calibri" w:cs="Arial"/>
          <w:b/>
          <w:bCs/>
          <w:color w:val="000000" w:themeColor="text1"/>
          <w:lang w:eastAsia="en-GB"/>
        </w:rPr>
      </w:pPr>
    </w:p>
    <w:p w:rsidR="005C12DE" w:rsidP="003D3A6C" w:rsidRDefault="003D3A6C" w14:paraId="3FF8EE66" w14:textId="77777777">
      <w:pPr>
        <w:spacing w:after="0" w:line="276" w:lineRule="auto"/>
        <w:contextualSpacing/>
        <w:jc w:val="both"/>
        <w:rPr>
          <w:rFonts w:ascii="Arial" w:hAnsi="Arial" w:eastAsia="Calibri" w:cs="Arial"/>
          <w:color w:val="000000" w:themeColor="text1"/>
          <w:lang w:eastAsia="en-GB"/>
        </w:rPr>
      </w:pPr>
      <w:r w:rsidRPr="003D3A6C">
        <w:rPr>
          <w:rFonts w:ascii="Arial" w:hAnsi="Arial" w:eastAsia="Calibri" w:cs="Arial"/>
          <w:color w:val="000000" w:themeColor="text1"/>
          <w:lang w:eastAsia="en-GB"/>
        </w:rPr>
        <w:t xml:space="preserve">Ahora </w:t>
      </w:r>
      <w:r>
        <w:rPr>
          <w:rFonts w:ascii="Arial" w:hAnsi="Arial" w:eastAsia="Calibri" w:cs="Arial"/>
          <w:color w:val="000000" w:themeColor="text1"/>
          <w:lang w:eastAsia="en-GB"/>
        </w:rPr>
        <w:t xml:space="preserve">corresponde referirnos al </w:t>
      </w:r>
      <w:r w:rsidRPr="000B5DA0" w:rsidR="000B5DA0">
        <w:rPr>
          <w:rFonts w:ascii="Arial" w:hAnsi="Arial" w:eastAsia="Calibri" w:cs="Arial"/>
          <w:color w:val="000000" w:themeColor="text1"/>
          <w:lang w:eastAsia="en-GB"/>
        </w:rPr>
        <w:t>“Anexo 1- Anexo Técnico”</w:t>
      </w:r>
      <w:r w:rsidR="00B85AB9">
        <w:rPr>
          <w:rFonts w:ascii="Arial" w:hAnsi="Arial" w:eastAsia="Calibri" w:cs="Arial"/>
          <w:color w:val="000000" w:themeColor="text1"/>
          <w:lang w:eastAsia="en-GB"/>
        </w:rPr>
        <w:t xml:space="preserve"> de los Documentos Tipo</w:t>
      </w:r>
      <w:r w:rsidR="00BB333D">
        <w:rPr>
          <w:rFonts w:ascii="Arial" w:hAnsi="Arial" w:eastAsia="Calibri" w:cs="Arial"/>
          <w:color w:val="000000" w:themeColor="text1"/>
          <w:lang w:eastAsia="en-GB"/>
        </w:rPr>
        <w:t>, sobre los documentos técnicos adicionales</w:t>
      </w:r>
      <w:r w:rsidR="001A6966">
        <w:rPr>
          <w:rFonts w:ascii="Arial" w:hAnsi="Arial" w:eastAsia="Calibri" w:cs="Arial"/>
          <w:color w:val="000000" w:themeColor="text1"/>
          <w:lang w:eastAsia="en-GB"/>
        </w:rPr>
        <w:t>, en razón a las siguientes preguntas planteadas “</w:t>
      </w:r>
      <w:r w:rsidRPr="001A6966" w:rsidR="001A6966">
        <w:rPr>
          <w:rFonts w:ascii="Arial" w:hAnsi="Arial" w:eastAsia="Calibri" w:cs="Arial"/>
          <w:color w:val="000000" w:themeColor="text1"/>
          <w:lang w:eastAsia="en-GB"/>
        </w:rPr>
        <w:t xml:space="preserve">¿Qué </w:t>
      </w:r>
      <w:r w:rsidRPr="001A6966" w:rsidR="001A6966">
        <w:rPr>
          <w:rFonts w:ascii="Arial" w:hAnsi="Arial" w:eastAsia="Calibri" w:cs="Arial"/>
          <w:color w:val="000000" w:themeColor="text1"/>
          <w:lang w:eastAsia="en-GB"/>
        </w:rPr>
        <w:t>requisitos deben cumplir las entidades para justificar las exigencias técnicas dentro de un proceso de contratación?</w:t>
      </w:r>
      <w:r w:rsidR="001A6966">
        <w:rPr>
          <w:rFonts w:ascii="Arial" w:hAnsi="Arial" w:eastAsia="Calibri" w:cs="Arial"/>
          <w:color w:val="000000" w:themeColor="text1"/>
          <w:lang w:eastAsia="en-GB"/>
        </w:rPr>
        <w:t>” “</w:t>
      </w:r>
      <w:r w:rsidRPr="005C12DE" w:rsidR="005C12DE">
        <w:rPr>
          <w:rFonts w:ascii="Arial" w:hAnsi="Arial" w:eastAsia="Calibri" w:cs="Arial"/>
          <w:color w:val="000000" w:themeColor="text1"/>
          <w:lang w:eastAsia="en-GB"/>
        </w:rPr>
        <w:t>¿En qué momento determinada exigencia técnica sobre un producto o servicio vulnera el principio de pluralidad de oferentes o de selección objetiva?</w:t>
      </w:r>
      <w:r w:rsidR="001A6966">
        <w:rPr>
          <w:rFonts w:ascii="Arial" w:hAnsi="Arial" w:eastAsia="Calibri" w:cs="Arial"/>
          <w:color w:val="000000" w:themeColor="text1"/>
          <w:lang w:eastAsia="en-GB"/>
        </w:rPr>
        <w:t>”</w:t>
      </w:r>
      <w:r w:rsidR="005C12DE">
        <w:rPr>
          <w:rFonts w:ascii="Arial" w:hAnsi="Arial" w:eastAsia="Calibri" w:cs="Arial"/>
          <w:color w:val="000000" w:themeColor="text1"/>
          <w:lang w:eastAsia="en-GB"/>
        </w:rPr>
        <w:t>.</w:t>
      </w:r>
    </w:p>
    <w:p w:rsidR="00B85AB9" w:rsidP="003D3A6C" w:rsidRDefault="001A6966" w14:paraId="3B15CCE4" w14:textId="48CD1CEE">
      <w:pPr>
        <w:spacing w:after="0" w:line="276" w:lineRule="auto"/>
        <w:contextualSpacing/>
        <w:jc w:val="both"/>
        <w:rPr>
          <w:rFonts w:ascii="Arial" w:hAnsi="Arial" w:eastAsia="Calibri" w:cs="Arial"/>
          <w:color w:val="000000" w:themeColor="text1"/>
          <w:lang w:eastAsia="en-GB"/>
        </w:rPr>
      </w:pPr>
      <w:r>
        <w:rPr>
          <w:rFonts w:ascii="Arial" w:hAnsi="Arial" w:eastAsia="Calibri" w:cs="Arial"/>
          <w:color w:val="000000" w:themeColor="text1"/>
          <w:lang w:eastAsia="en-GB"/>
        </w:rPr>
        <w:t xml:space="preserve"> </w:t>
      </w:r>
    </w:p>
    <w:p w:rsidRPr="00382176" w:rsidR="00382176" w:rsidP="00382176" w:rsidRDefault="00B85AB9" w14:paraId="02C5795C" w14:textId="50F84480">
      <w:pPr>
        <w:spacing w:after="0" w:line="276" w:lineRule="auto"/>
        <w:ind w:firstLine="708"/>
        <w:contextualSpacing/>
        <w:jc w:val="both"/>
        <w:rPr>
          <w:rFonts w:ascii="Arial" w:hAnsi="Arial" w:eastAsia="Calibri" w:cs="Arial"/>
          <w:color w:val="000000" w:themeColor="text1"/>
          <w:lang w:eastAsia="en-GB"/>
        </w:rPr>
      </w:pPr>
      <w:r>
        <w:rPr>
          <w:rFonts w:ascii="Arial" w:hAnsi="Arial" w:eastAsia="Calibri" w:cs="Arial"/>
          <w:color w:val="000000" w:themeColor="text1"/>
          <w:lang w:eastAsia="en-GB"/>
        </w:rPr>
        <w:t xml:space="preserve">Es menester aclarar, en primer lugar, </w:t>
      </w:r>
      <w:r w:rsidR="00382176">
        <w:rPr>
          <w:rFonts w:ascii="Arial" w:hAnsi="Arial" w:eastAsia="Calibri" w:cs="Arial"/>
          <w:color w:val="000000" w:themeColor="text1"/>
          <w:lang w:eastAsia="en-GB"/>
        </w:rPr>
        <w:t xml:space="preserve">que </w:t>
      </w:r>
      <w:r w:rsidR="00A05984">
        <w:rPr>
          <w:rFonts w:ascii="Arial" w:hAnsi="Arial" w:eastAsia="Calibri" w:cs="Arial"/>
          <w:color w:val="000000" w:themeColor="text1"/>
          <w:lang w:eastAsia="en-GB"/>
        </w:rPr>
        <w:t>e</w:t>
      </w:r>
      <w:r w:rsidRPr="00382176" w:rsidR="00382176">
        <w:rPr>
          <w:rFonts w:ascii="Arial" w:hAnsi="Arial" w:eastAsia="Calibri" w:cs="Arial"/>
          <w:color w:val="000000" w:themeColor="text1"/>
          <w:lang w:eastAsia="en-GB"/>
        </w:rPr>
        <w:t>l artículo 1 de la Ley 2022 de 2020 otorgó a la Agencia Nacional de Contratación Pública – Colombia Compra Eficiente la competencia para adoptar los documentos tipo</w:t>
      </w:r>
      <w:r w:rsidRPr="00382176" w:rsidR="00382176">
        <w:rPr>
          <w:rFonts w:ascii="Arial" w:hAnsi="Arial" w:eastAsia="Calibri" w:cs="Arial"/>
          <w:color w:val="000000" w:themeColor="text1"/>
          <w:lang w:eastAsia="en-GB"/>
        </w:rPr>
        <w:footnoteReference w:id="41"/>
      </w:r>
      <w:r w:rsidRPr="00382176" w:rsidR="00382176">
        <w:rPr>
          <w:rFonts w:ascii="Arial" w:hAnsi="Arial" w:eastAsia="Calibri" w:cs="Arial"/>
          <w:color w:val="000000" w:themeColor="text1"/>
          <w:lang w:eastAsia="en-GB"/>
        </w:rPr>
        <w:t>. Asimismo, reiteró la obligatoriedad de su uso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rsidR="00382176" w:rsidP="00382176" w:rsidRDefault="00382176" w14:paraId="6CCD7A53" w14:textId="77777777">
      <w:pPr>
        <w:widowControl w:val="0"/>
        <w:tabs>
          <w:tab w:val="left" w:pos="1134"/>
        </w:tabs>
        <w:autoSpaceDE w:val="0"/>
        <w:autoSpaceDN w:val="0"/>
        <w:spacing w:before="120" w:after="0" w:line="276" w:lineRule="auto"/>
        <w:ind w:firstLine="709"/>
        <w:jc w:val="both"/>
        <w:rPr>
          <w:rFonts w:ascii="Arial" w:hAnsi="Arial" w:eastAsia="Calibri" w:cs="Arial"/>
        </w:rPr>
      </w:pPr>
      <w:r w:rsidRPr="0073186E">
        <w:rPr>
          <w:rFonts w:ascii="Arial" w:hAnsi="Arial" w:eastAsia="Times New Roman" w:cs="Arial"/>
          <w:color w:val="000000"/>
          <w:bdr w:val="none" w:color="auto" w:sz="0" w:space="0" w:frame="1"/>
          <w:lang w:eastAsia="es-ES_tradnl"/>
        </w:rPr>
        <w:t xml:space="preserve">Así, en desarrollo del artículo 1 de la Ley 2022 de 2020, esta Agencia expidió </w:t>
      </w:r>
      <w:r w:rsidRPr="0073186E">
        <w:rPr>
          <w:rFonts w:ascii="Arial" w:hAnsi="Arial" w:eastAsia="Calibri" w:cs="Arial"/>
          <w:lang w:val="es-MX"/>
        </w:rPr>
        <w:t>las Resoluciones 248 y 249 del 1 de diciembre de 2020, modificadas por las</w:t>
      </w:r>
      <w:r w:rsidRPr="0073186E">
        <w:rPr>
          <w:rFonts w:ascii="Arial" w:hAnsi="Arial" w:eastAsia="Calibri" w:cs="Arial"/>
          <w:color w:val="0D0D0D"/>
        </w:rPr>
        <w:t xml:space="preserve"> Resoluciones 161 del 17 de junio de 2021, 173 del 30 de junio de 2021, 304 del 13 de octubre de 2021 y 275 de 2022 que empezó a regir a partir del 29 de agosto de 2022</w:t>
      </w:r>
      <w:r w:rsidRPr="0073186E">
        <w:rPr>
          <w:rFonts w:ascii="Arial" w:hAnsi="Arial" w:eastAsia="Calibri" w:cs="Arial"/>
          <w:vertAlign w:val="superscript"/>
          <w:lang w:val="es-MX"/>
        </w:rPr>
        <w:footnoteReference w:id="42"/>
      </w:r>
      <w:r w:rsidRPr="0073186E">
        <w:rPr>
          <w:rFonts w:ascii="Arial" w:hAnsi="Arial" w:eastAsia="Calibri" w:cs="Arial"/>
          <w:lang w:val="es-MX"/>
        </w:rPr>
        <w:t>.</w:t>
      </w:r>
      <w:r w:rsidRPr="0073186E">
        <w:rPr>
          <w:rFonts w:ascii="Arial" w:hAnsi="Arial" w:eastAsia="Calibri" w:cs="Arial"/>
          <w:szCs w:val="24"/>
          <w:lang w:eastAsia="es-ES_tradnl"/>
        </w:rPr>
        <w:t xml:space="preserve"> Mediante estos actos administrativos se </w:t>
      </w:r>
      <w:r w:rsidRPr="0073186E">
        <w:rPr>
          <w:rFonts w:ascii="Arial" w:hAnsi="Arial" w:eastAsia="Calibri" w:cs="Arial"/>
          <w:szCs w:val="24"/>
          <w:lang w:eastAsia="es-ES_tradnl"/>
        </w:rPr>
        <w:t>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73186E">
        <w:rPr>
          <w:rFonts w:ascii="Arial" w:hAnsi="Arial" w:eastAsia="Calibri" w:cs="Arial"/>
        </w:rPr>
        <w:t xml:space="preserve"> </w:t>
      </w:r>
    </w:p>
    <w:p w:rsidRPr="00E51FD8" w:rsidR="00BC7368" w:rsidP="00E51FD8" w:rsidRDefault="00A93464" w14:paraId="0184F06B"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E51FD8">
        <w:rPr>
          <w:rFonts w:ascii="Arial" w:hAnsi="Arial" w:eastAsia="Times New Roman" w:cs="Arial"/>
          <w:color w:val="000000"/>
          <w:bdr w:val="none" w:color="auto" w:sz="0" w:space="0" w:frame="1"/>
          <w:lang w:eastAsia="es-ES_tradnl"/>
        </w:rPr>
        <w:t xml:space="preserve">Conforme a la aclaración anterior, </w:t>
      </w:r>
      <w:r w:rsidRPr="00E51FD8" w:rsidR="00BC7368">
        <w:rPr>
          <w:rFonts w:ascii="Arial" w:hAnsi="Arial" w:eastAsia="Times New Roman" w:cs="Arial"/>
          <w:color w:val="000000"/>
          <w:bdr w:val="none" w:color="auto" w:sz="0" w:space="0" w:frame="1"/>
          <w:lang w:eastAsia="es-ES_tradnl"/>
        </w:rPr>
        <w:t xml:space="preserve">los requisitos habilitantes y de ponderación fueron definidos por el Gobierno Nacional y la Agencia Nacional de Contratación Pública – Colombia Compra Eficiente en el “Documentos Base” de los Documentos Tipo. </w:t>
      </w:r>
      <w:r w:rsidRPr="0067668E" w:rsidR="00BC7368">
        <w:rPr>
          <w:rFonts w:ascii="Arial" w:hAnsi="Arial" w:eastAsia="Times New Roman" w:cs="Arial"/>
          <w:color w:val="000000"/>
          <w:u w:val="single"/>
          <w:bdr w:val="none" w:color="auto" w:sz="0" w:space="0" w:frame="1"/>
          <w:lang w:eastAsia="es-ES_tradnl"/>
        </w:rPr>
        <w:t>Las entidades estatales cuentan con autonomía para definir las condiciones y especificaciones para la ejecución del contrato en el “Anexo 1- Anexo Técnico”, siempre que dichas condiciones y especificaciones no sean contrarias a los requisitos definidos en los Documentos Tipo</w:t>
      </w:r>
      <w:r w:rsidRPr="00E51FD8" w:rsidR="00BC7368">
        <w:rPr>
          <w:rFonts w:ascii="Arial" w:hAnsi="Arial" w:eastAsia="Times New Roman" w:cs="Arial"/>
          <w:color w:val="000000"/>
          <w:bdr w:val="none" w:color="auto" w:sz="0" w:space="0" w:frame="1"/>
          <w:lang w:eastAsia="es-ES_tradnl"/>
        </w:rPr>
        <w:t>.</w:t>
      </w:r>
    </w:p>
    <w:p w:rsidRPr="00BC7368" w:rsidR="00BC7368" w:rsidP="00BC7368" w:rsidRDefault="00BC7368" w14:paraId="6407E5E7" w14:textId="77777777">
      <w:pPr>
        <w:widowControl w:val="0"/>
        <w:autoSpaceDE w:val="0"/>
        <w:autoSpaceDN w:val="0"/>
        <w:spacing w:before="11" w:after="0" w:line="240" w:lineRule="auto"/>
        <w:rPr>
          <w:rFonts w:ascii="Arial" w:hAnsi="Arial" w:eastAsia="Arial" w:cs="Arial"/>
          <w:color w:val="000000"/>
          <w:sz w:val="21"/>
          <w:lang w:val="es-ES" w:eastAsia="es-ES" w:bidi="es-ES"/>
        </w:rPr>
      </w:pPr>
    </w:p>
    <w:p w:rsidRPr="00BC7368" w:rsidR="00BC7368" w:rsidP="00E51FD8" w:rsidRDefault="00BC7368" w14:paraId="1E0BAF21"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BC7368">
        <w:rPr>
          <w:rFonts w:ascii="Arial" w:hAnsi="Arial" w:eastAsia="Times New Roman" w:cs="Arial"/>
          <w:color w:val="000000"/>
          <w:bdr w:val="none" w:color="auto" w:sz="0" w:space="0" w:frame="1"/>
          <w:lang w:eastAsia="es-ES_tradnl"/>
        </w:rPr>
        <w:t xml:space="preserve">El “Anexo 1 – Anexo Técnico” contiene condiciones y especificaciones de carácter técnico requeridas para la ejecución de la obra como: i) descripción del proyecto o la descripción de la obra actual o zona a intervenir, ii) principales actividades por ejecutar y su respectivo alcance, </w:t>
      </w:r>
      <w:proofErr w:type="spellStart"/>
      <w:r w:rsidRPr="00BC7368">
        <w:rPr>
          <w:rFonts w:ascii="Arial" w:hAnsi="Arial" w:eastAsia="Times New Roman" w:cs="Arial"/>
          <w:color w:val="000000"/>
          <w:bdr w:val="none" w:color="auto" w:sz="0" w:space="0" w:frame="1"/>
          <w:lang w:eastAsia="es-ES_tradnl"/>
        </w:rPr>
        <w:t>iii</w:t>
      </w:r>
      <w:proofErr w:type="spellEnd"/>
      <w:r w:rsidRPr="00BC7368">
        <w:rPr>
          <w:rFonts w:ascii="Arial" w:hAnsi="Arial" w:eastAsia="Times New Roman" w:cs="Arial"/>
          <w:color w:val="000000"/>
          <w:bdr w:val="none" w:color="auto" w:sz="0" w:space="0" w:frame="1"/>
          <w:lang w:eastAsia="es-ES_tradnl"/>
        </w:rPr>
        <w:t xml:space="preserve">) plazo de ejecución, iv) forma de pago, v) materiales, vi) personal mínimo requerido, </w:t>
      </w:r>
      <w:proofErr w:type="spellStart"/>
      <w:r w:rsidRPr="00BC7368">
        <w:rPr>
          <w:rFonts w:ascii="Arial" w:hAnsi="Arial" w:eastAsia="Times New Roman" w:cs="Arial"/>
          <w:color w:val="000000"/>
          <w:bdr w:val="none" w:color="auto" w:sz="0" w:space="0" w:frame="1"/>
          <w:lang w:eastAsia="es-ES_tradnl"/>
        </w:rPr>
        <w:t>vii</w:t>
      </w:r>
      <w:proofErr w:type="spellEnd"/>
      <w:r w:rsidRPr="00BC7368">
        <w:rPr>
          <w:rFonts w:ascii="Arial" w:hAnsi="Arial" w:eastAsia="Times New Roman" w:cs="Arial"/>
          <w:color w:val="000000"/>
          <w:bdr w:val="none" w:color="auto" w:sz="0" w:space="0" w:frame="1"/>
          <w:lang w:eastAsia="es-ES_tradnl"/>
        </w:rPr>
        <w:t xml:space="preserve">) maquinaria mínima, </w:t>
      </w:r>
      <w:proofErr w:type="spellStart"/>
      <w:r w:rsidRPr="00BC7368">
        <w:rPr>
          <w:rFonts w:ascii="Arial" w:hAnsi="Arial" w:eastAsia="Times New Roman" w:cs="Arial"/>
          <w:color w:val="000000"/>
          <w:bdr w:val="none" w:color="auto" w:sz="0" w:space="0" w:frame="1"/>
          <w:lang w:eastAsia="es-ES_tradnl"/>
        </w:rPr>
        <w:t>viii</w:t>
      </w:r>
      <w:proofErr w:type="spellEnd"/>
      <w:r w:rsidRPr="00BC7368">
        <w:rPr>
          <w:rFonts w:ascii="Arial" w:hAnsi="Arial" w:eastAsia="Times New Roman" w:cs="Arial"/>
          <w:color w:val="000000"/>
          <w:bdr w:val="none" w:color="auto" w:sz="0" w:space="0" w:frame="1"/>
          <w:lang w:eastAsia="es-ES_tradnl"/>
        </w:rPr>
        <w:t xml:space="preserve">) fuentes de materiales, </w:t>
      </w:r>
      <w:proofErr w:type="spellStart"/>
      <w:r w:rsidRPr="00BC7368">
        <w:rPr>
          <w:rFonts w:ascii="Arial" w:hAnsi="Arial" w:eastAsia="Times New Roman" w:cs="Arial"/>
          <w:color w:val="000000"/>
          <w:bdr w:val="none" w:color="auto" w:sz="0" w:space="0" w:frame="1"/>
          <w:lang w:eastAsia="es-ES_tradnl"/>
        </w:rPr>
        <w:t>ix</w:t>
      </w:r>
      <w:proofErr w:type="spellEnd"/>
      <w:r w:rsidRPr="00BC7368">
        <w:rPr>
          <w:rFonts w:ascii="Arial" w:hAnsi="Arial" w:eastAsia="Times New Roman" w:cs="Arial"/>
          <w:color w:val="000000"/>
          <w:bdr w:val="none" w:color="auto" w:sz="0" w:space="0" w:frame="1"/>
          <w:lang w:eastAsia="es-ES_tradnl"/>
        </w:rPr>
        <w:t xml:space="preserve">) obras provisionales, x) permisos, xi) licencias, </w:t>
      </w:r>
      <w:proofErr w:type="spellStart"/>
      <w:r w:rsidRPr="00BC7368">
        <w:rPr>
          <w:rFonts w:ascii="Arial" w:hAnsi="Arial" w:eastAsia="Times New Roman" w:cs="Arial"/>
          <w:color w:val="000000"/>
          <w:bdr w:val="none" w:color="auto" w:sz="0" w:space="0" w:frame="1"/>
          <w:lang w:eastAsia="es-ES_tradnl"/>
        </w:rPr>
        <w:t>xii</w:t>
      </w:r>
      <w:proofErr w:type="spellEnd"/>
      <w:r w:rsidRPr="00BC7368">
        <w:rPr>
          <w:rFonts w:ascii="Arial" w:hAnsi="Arial" w:eastAsia="Times New Roman" w:cs="Arial"/>
          <w:color w:val="000000"/>
          <w:bdr w:val="none" w:color="auto" w:sz="0" w:space="0" w:frame="1"/>
          <w:lang w:eastAsia="es-ES_tradnl"/>
        </w:rPr>
        <w:t>) autorizaciones, entre otros. Así, le corresponde a la entidad estatal determinar esas condiciones y especificaciones en la etapa de planeación del respectivo proceso de contratación, pero son parámetros que el proponente para estructurar su oferta y que servirán de referente para la construcción de la obra.</w:t>
      </w:r>
    </w:p>
    <w:p w:rsidRPr="00BC7368" w:rsidR="00BC7368" w:rsidP="00BC7368" w:rsidRDefault="00BC7368" w14:paraId="414A4C9F" w14:textId="77777777">
      <w:pPr>
        <w:widowControl w:val="0"/>
        <w:autoSpaceDE w:val="0"/>
        <w:autoSpaceDN w:val="0"/>
        <w:spacing w:after="0" w:line="240" w:lineRule="auto"/>
        <w:rPr>
          <w:rFonts w:ascii="Arial" w:hAnsi="Arial" w:eastAsia="Arial" w:cs="Arial"/>
          <w:color w:val="000000"/>
          <w:lang w:val="es-ES" w:eastAsia="es-ES" w:bidi="es-ES"/>
        </w:rPr>
      </w:pPr>
    </w:p>
    <w:p w:rsidRPr="00BC7368" w:rsidR="00BC7368" w:rsidP="00E51FD8" w:rsidRDefault="00BC7368" w14:paraId="5A6A3C1D"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BC7368">
        <w:rPr>
          <w:rFonts w:ascii="Arial" w:hAnsi="Arial" w:eastAsia="Times New Roman" w:cs="Arial"/>
          <w:color w:val="000000"/>
          <w:bdr w:val="none" w:color="auto" w:sz="0" w:space="0" w:frame="1"/>
          <w:lang w:eastAsia="es-ES_tradnl"/>
        </w:rPr>
        <w:t xml:space="preserve">De manera que este anexo describe el contenido mínimo que debe considerar la entidad estatal durante la estructuración del proceso, </w:t>
      </w:r>
      <w:r w:rsidRPr="00BC7368">
        <w:rPr>
          <w:rFonts w:ascii="Arial" w:hAnsi="Arial" w:eastAsia="Times New Roman" w:cs="Arial"/>
          <w:color w:val="000000"/>
          <w:u w:val="single"/>
          <w:bdr w:val="none" w:color="auto" w:sz="0" w:space="0" w:frame="1"/>
          <w:lang w:eastAsia="es-ES_tradnl"/>
        </w:rPr>
        <w:t>sin perjuicio de que se requieran aspectos adicionales</w:t>
      </w:r>
      <w:r w:rsidRPr="00BC7368">
        <w:rPr>
          <w:rFonts w:ascii="Arial" w:hAnsi="Arial" w:eastAsia="Times New Roman" w:cs="Arial"/>
          <w:color w:val="000000"/>
          <w:bdr w:val="none" w:color="auto" w:sz="0" w:space="0" w:frame="1"/>
          <w:lang w:eastAsia="es-ES_tradnl"/>
        </w:rPr>
        <w:t>, acordes con el alcance y magnitud de las obras contenidos en otros documentos. En estos eventos aplica el numeral 13 al disponer</w:t>
      </w:r>
    </w:p>
    <w:p w:rsidRPr="00BC7368" w:rsidR="00BC7368" w:rsidP="00BC7368" w:rsidRDefault="00BC7368" w14:paraId="389101E6" w14:textId="77777777">
      <w:pPr>
        <w:widowControl w:val="0"/>
        <w:autoSpaceDE w:val="0"/>
        <w:autoSpaceDN w:val="0"/>
        <w:spacing w:after="0" w:line="240" w:lineRule="auto"/>
        <w:rPr>
          <w:rFonts w:ascii="Arial" w:hAnsi="Arial" w:eastAsia="Arial" w:cs="Arial"/>
          <w:color w:val="000000"/>
          <w:lang w:val="es-ES" w:eastAsia="es-ES" w:bidi="es-ES"/>
        </w:rPr>
      </w:pPr>
    </w:p>
    <w:p w:rsidRPr="00BC7368" w:rsidR="00BC7368" w:rsidP="00BC7368" w:rsidRDefault="00BC7368" w14:paraId="2E029478" w14:textId="77777777">
      <w:pPr>
        <w:widowControl w:val="0"/>
        <w:tabs>
          <w:tab w:val="left" w:pos="1715"/>
        </w:tabs>
        <w:autoSpaceDE w:val="0"/>
        <w:autoSpaceDN w:val="0"/>
        <w:spacing w:after="0" w:line="240" w:lineRule="auto"/>
        <w:ind w:left="1008"/>
        <w:outlineLvl w:val="0"/>
        <w:rPr>
          <w:rFonts w:ascii="Arial" w:hAnsi="Arial" w:eastAsia="Arial" w:cs="Arial"/>
          <w:b/>
          <w:bCs/>
          <w:color w:val="000000"/>
          <w:lang w:val="es-ES" w:eastAsia="es-ES" w:bidi="es-ES"/>
        </w:rPr>
      </w:pPr>
      <w:r w:rsidRPr="00BC7368">
        <w:rPr>
          <w:rFonts w:ascii="Arial" w:hAnsi="Arial" w:eastAsia="Arial" w:cs="Arial"/>
          <w:b/>
          <w:bCs/>
          <w:color w:val="000000"/>
          <w:lang w:val="es-ES" w:eastAsia="es-ES" w:bidi="es-ES"/>
        </w:rPr>
        <w:t>13.</w:t>
      </w:r>
      <w:r w:rsidRPr="00BC7368">
        <w:rPr>
          <w:rFonts w:ascii="Arial" w:hAnsi="Arial" w:eastAsia="Arial" w:cs="Arial"/>
          <w:b/>
          <w:bCs/>
          <w:color w:val="000000"/>
          <w:lang w:val="es-ES" w:eastAsia="es-ES" w:bidi="es-ES"/>
        </w:rPr>
        <w:tab/>
      </w:r>
      <w:r w:rsidRPr="00BC7368">
        <w:rPr>
          <w:rFonts w:ascii="Arial" w:hAnsi="Arial" w:eastAsia="Arial" w:cs="Arial"/>
          <w:b/>
          <w:bCs/>
          <w:color w:val="000000"/>
          <w:lang w:val="es-ES" w:eastAsia="es-ES" w:bidi="es-ES"/>
        </w:rPr>
        <w:t>DOCUMENTOS TÉCNICOS</w:t>
      </w:r>
      <w:r w:rsidRPr="00BC7368">
        <w:rPr>
          <w:rFonts w:ascii="Arial" w:hAnsi="Arial" w:eastAsia="Arial" w:cs="Arial"/>
          <w:b/>
          <w:bCs/>
          <w:color w:val="000000"/>
          <w:spacing w:val="-1"/>
          <w:lang w:val="es-ES" w:eastAsia="es-ES" w:bidi="es-ES"/>
        </w:rPr>
        <w:t xml:space="preserve"> </w:t>
      </w:r>
      <w:r w:rsidRPr="00BC7368">
        <w:rPr>
          <w:rFonts w:ascii="Arial" w:hAnsi="Arial" w:eastAsia="Arial" w:cs="Arial"/>
          <w:b/>
          <w:bCs/>
          <w:color w:val="000000"/>
          <w:lang w:val="es-ES" w:eastAsia="es-ES" w:bidi="es-ES"/>
        </w:rPr>
        <w:t>ADICIONALES</w:t>
      </w:r>
    </w:p>
    <w:p w:rsidRPr="00BC7368" w:rsidR="00BC7368" w:rsidP="00BC7368" w:rsidRDefault="00BC7368" w14:paraId="3406971C" w14:textId="77777777">
      <w:pPr>
        <w:widowControl w:val="0"/>
        <w:autoSpaceDE w:val="0"/>
        <w:autoSpaceDN w:val="0"/>
        <w:spacing w:before="2" w:after="0" w:line="240" w:lineRule="auto"/>
        <w:rPr>
          <w:rFonts w:ascii="Arial" w:hAnsi="Arial" w:eastAsia="Arial" w:cs="Arial"/>
          <w:b/>
          <w:color w:val="000000"/>
          <w:sz w:val="20"/>
          <w:lang w:val="es-ES" w:eastAsia="es-ES" w:bidi="es-ES"/>
        </w:rPr>
      </w:pPr>
      <w:r w:rsidRPr="00BC7368">
        <w:rPr>
          <w:rFonts w:ascii="Arial" w:hAnsi="Arial" w:eastAsia="Arial" w:cs="Arial"/>
          <w:noProof/>
          <w:color w:val="000000"/>
          <w:lang w:val="en-US"/>
        </w:rPr>
        <mc:AlternateContent>
          <mc:Choice Requires="wps">
            <w:drawing>
              <wp:anchor distT="0" distB="0" distL="0" distR="0" simplePos="0" relativeHeight="251659264" behindDoc="1" locked="0" layoutInCell="1" allowOverlap="1" wp14:anchorId="466C3CA2" wp14:editId="415EE69F">
                <wp:simplePos x="0" y="0"/>
                <wp:positionH relativeFrom="page">
                  <wp:posOffset>1529080</wp:posOffset>
                </wp:positionH>
                <wp:positionV relativeFrom="paragraph">
                  <wp:posOffset>163195</wp:posOffset>
                </wp:positionV>
                <wp:extent cx="4773295" cy="643255"/>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643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368" w:rsidP="00BC7368" w:rsidRDefault="00BC7368" w14:paraId="36FB6518" w14:textId="77777777">
                            <w:pPr>
                              <w:pStyle w:val="Textoindependiente"/>
                              <w:ind w:right="2"/>
                              <w:jc w:val="both"/>
                            </w:pPr>
                            <w:r>
                              <w:rPr>
                                <w:color w:val="4E4D4D"/>
                              </w:rPr>
                              <w:t>[La Entidad podrá incluir o hacer referencia a documentos técnicos adicionales como manuales, guías, apéndices, anexos o similares, requeridos para la ejecución del contrato y que deben ser tenidos en cuenta por el proponente al momento de estructurar y presentar su oferta.]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493B46">
              <v:shapetype id="_x0000_t202" coordsize="21600,21600" o:spt="202" path="m,l,21600r21600,l21600,xe" w14:anchorId="466C3CA2">
                <v:stroke joinstyle="miter"/>
                <v:path gradientshapeok="t" o:connecttype="rect"/>
              </v:shapetype>
              <v:shape id="Text Box 6" style="position:absolute;margin-left:120.4pt;margin-top:12.85pt;width:375.85pt;height:5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2d2d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">
                <v:textbox inset="0,0,0,0">
                  <w:txbxContent>
                    <w:p w:rsidR="00BC7368" w:rsidP="00BC7368" w:rsidRDefault="00BC7368" w14:paraId="2693E9B6" w14:textId="77777777">
                      <w:pPr>
                        <w:pStyle w:val="Textoindependiente"/>
                        <w:ind w:right="2"/>
                        <w:jc w:val="both"/>
                      </w:pPr>
                      <w:r>
                        <w:rPr>
                          <w:color w:val="4E4D4D"/>
                        </w:rPr>
                        <w:t>[La Entidad podrá incluir o hacer referencia a documentos técnicos adicionales como manuales, guías, apéndices, anexos o similares, requeridos para la ejecución del contrato y que deben ser tenidos en cuenta por el proponente al momento de estructurar y presentar su oferta.]</w:t>
                      </w:r>
                    </w:p>
                  </w:txbxContent>
                </v:textbox>
                <w10:wrap type="topAndBottom" anchorx="page"/>
              </v:shape>
            </w:pict>
          </mc:Fallback>
        </mc:AlternateContent>
      </w:r>
    </w:p>
    <w:p w:rsidRPr="00BC7368" w:rsidR="00BC7368" w:rsidP="00BC7368" w:rsidRDefault="00BC7368" w14:paraId="7BDFED00" w14:textId="77777777">
      <w:pPr>
        <w:widowControl w:val="0"/>
        <w:autoSpaceDE w:val="0"/>
        <w:autoSpaceDN w:val="0"/>
        <w:spacing w:before="2" w:after="0" w:line="240" w:lineRule="auto"/>
        <w:rPr>
          <w:rFonts w:ascii="Arial" w:hAnsi="Arial" w:eastAsia="Arial" w:cs="Arial"/>
          <w:b/>
          <w:color w:val="000000"/>
          <w:sz w:val="12"/>
          <w:lang w:val="es-ES" w:eastAsia="es-ES" w:bidi="es-ES"/>
        </w:rPr>
      </w:pPr>
    </w:p>
    <w:p w:rsidR="00A93464" w:rsidP="00BC7368" w:rsidRDefault="00BC7368" w14:paraId="57B8EA3C" w14:textId="5894256A">
      <w:pPr>
        <w:widowControl w:val="0"/>
        <w:tabs>
          <w:tab w:val="left" w:pos="1134"/>
        </w:tabs>
        <w:autoSpaceDE w:val="0"/>
        <w:autoSpaceDN w:val="0"/>
        <w:spacing w:before="120" w:after="0" w:line="276" w:lineRule="auto"/>
        <w:ind w:firstLine="709"/>
        <w:jc w:val="both"/>
        <w:rPr>
          <w:rFonts w:ascii="Arial" w:hAnsi="Arial" w:eastAsia="Arial" w:cs="Arial"/>
          <w:color w:val="000000"/>
          <w:lang w:val="es-ES" w:eastAsia="es-ES" w:bidi="es-ES"/>
        </w:rPr>
      </w:pPr>
      <w:r w:rsidRPr="00BC7368">
        <w:rPr>
          <w:rFonts w:ascii="Arial" w:hAnsi="Arial" w:eastAsia="Arial" w:cs="Arial"/>
          <w:color w:val="000000"/>
          <w:lang w:val="es-ES" w:eastAsia="es-ES" w:bidi="es-ES"/>
        </w:rPr>
        <w:t xml:space="preserve">Este numeral indica que la entidad estatal, cuando requiera documentos técnicos adicionales al “Anexo 1 – Anexo Técnico”, los podrá incluir o referenciar para que </w:t>
      </w:r>
      <w:r w:rsidRPr="00BC7368">
        <w:rPr>
          <w:rFonts w:ascii="Arial" w:hAnsi="Arial" w:eastAsia="Arial" w:cs="Arial"/>
          <w:color w:val="000000"/>
          <w:u w:val="single"/>
          <w:lang w:val="es-ES" w:eastAsia="es-ES" w:bidi="es-ES"/>
        </w:rPr>
        <w:t>el proponente los considere al estructurar y presentar su oferta económica</w:t>
      </w:r>
      <w:r w:rsidRPr="00BC7368">
        <w:rPr>
          <w:rFonts w:ascii="Arial" w:hAnsi="Arial" w:eastAsia="Arial" w:cs="Arial"/>
          <w:color w:val="000000"/>
          <w:lang w:val="es-ES" w:eastAsia="es-ES" w:bidi="es-ES"/>
        </w:rPr>
        <w:t>.</w:t>
      </w:r>
    </w:p>
    <w:p w:rsidR="00EB2F28" w:rsidP="00BC7368" w:rsidRDefault="00EB2F28" w14:paraId="701B4C10" w14:textId="77777777">
      <w:pPr>
        <w:widowControl w:val="0"/>
        <w:tabs>
          <w:tab w:val="left" w:pos="1134"/>
        </w:tabs>
        <w:autoSpaceDE w:val="0"/>
        <w:autoSpaceDN w:val="0"/>
        <w:spacing w:before="120" w:after="0" w:line="276" w:lineRule="auto"/>
        <w:ind w:firstLine="709"/>
        <w:jc w:val="both"/>
        <w:rPr>
          <w:rFonts w:ascii="Arial" w:hAnsi="Arial" w:eastAsia="Arial" w:cs="Arial"/>
          <w:color w:val="000000"/>
          <w:lang w:val="es-ES" w:eastAsia="es-ES" w:bidi="es-ES"/>
        </w:rPr>
      </w:pPr>
    </w:p>
    <w:p w:rsidR="00EB2F28" w:rsidP="00BC7368" w:rsidRDefault="00EB2F28" w14:paraId="5CEDEFAB" w14:textId="08946571">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6E061A">
        <w:rPr>
          <w:rFonts w:ascii="Arial" w:hAnsi="Arial" w:eastAsia="Times New Roman" w:cs="Arial"/>
          <w:color w:val="000000"/>
          <w:bdr w:val="none" w:color="auto" w:sz="0" w:space="0" w:frame="1"/>
          <w:lang w:eastAsia="es-ES_tradnl"/>
        </w:rPr>
        <w:t xml:space="preserve">Aunado a lo anterior, y bajo la noción de lex </w:t>
      </w:r>
      <w:proofErr w:type="spellStart"/>
      <w:r w:rsidRPr="006E061A">
        <w:rPr>
          <w:rFonts w:ascii="Arial" w:hAnsi="Arial" w:eastAsia="Times New Roman" w:cs="Arial"/>
          <w:color w:val="000000"/>
          <w:bdr w:val="none" w:color="auto" w:sz="0" w:space="0" w:frame="1"/>
          <w:lang w:eastAsia="es-ES_tradnl"/>
        </w:rPr>
        <w:t>artis</w:t>
      </w:r>
      <w:proofErr w:type="spellEnd"/>
      <w:r w:rsidR="00A52902">
        <w:rPr>
          <w:rFonts w:ascii="Arial" w:hAnsi="Arial" w:eastAsia="Times New Roman" w:cs="Arial"/>
          <w:color w:val="000000"/>
          <w:bdr w:val="none" w:color="auto" w:sz="0" w:space="0" w:frame="1"/>
          <w:lang w:eastAsia="es-ES_tradnl"/>
        </w:rPr>
        <w:t xml:space="preserve">, </w:t>
      </w:r>
      <w:r w:rsidRPr="00A90B54" w:rsidR="00A90B54">
        <w:rPr>
          <w:rFonts w:ascii="Arial" w:hAnsi="Arial" w:eastAsia="Times New Roman" w:cs="Arial"/>
          <w:color w:val="000000"/>
          <w:bdr w:val="none" w:color="auto" w:sz="0" w:space="0" w:frame="1"/>
          <w:lang w:eastAsia="es-ES_tradnl"/>
        </w:rPr>
        <w:t xml:space="preserve">entendida </w:t>
      </w:r>
      <w:r w:rsidR="00A52902">
        <w:rPr>
          <w:rFonts w:ascii="Arial" w:hAnsi="Arial" w:eastAsia="Times New Roman" w:cs="Arial"/>
          <w:color w:val="000000"/>
          <w:bdr w:val="none" w:color="auto" w:sz="0" w:space="0" w:frame="1"/>
          <w:lang w:eastAsia="es-ES_tradnl"/>
        </w:rPr>
        <w:t>esta c</w:t>
      </w:r>
      <w:r w:rsidR="00881B31">
        <w:rPr>
          <w:rFonts w:ascii="Arial" w:hAnsi="Arial" w:eastAsia="Times New Roman" w:cs="Arial"/>
          <w:color w:val="000000"/>
          <w:bdr w:val="none" w:color="auto" w:sz="0" w:space="0" w:frame="1"/>
          <w:lang w:eastAsia="es-ES_tradnl"/>
        </w:rPr>
        <w:t>omo “</w:t>
      </w:r>
      <w:r w:rsidRPr="00A90B54" w:rsidR="00A90B54">
        <w:rPr>
          <w:rFonts w:ascii="Arial" w:hAnsi="Arial" w:eastAsia="Times New Roman" w:cs="Arial"/>
          <w:color w:val="000000"/>
          <w:bdr w:val="none" w:color="auto" w:sz="0" w:space="0" w:frame="1"/>
          <w:lang w:eastAsia="es-ES_tradnl"/>
        </w:rPr>
        <w:t>un contenido ético y</w:t>
      </w:r>
      <w:r w:rsidR="00881B31">
        <w:rPr>
          <w:rFonts w:ascii="Arial" w:hAnsi="Arial" w:eastAsia="Times New Roman" w:cs="Arial"/>
          <w:color w:val="000000"/>
          <w:bdr w:val="none" w:color="auto" w:sz="0" w:space="0" w:frame="1"/>
          <w:lang w:eastAsia="es-ES_tradnl"/>
        </w:rPr>
        <w:t xml:space="preserve"> </w:t>
      </w:r>
      <w:r w:rsidRPr="00A90B54" w:rsidR="00A90B54">
        <w:rPr>
          <w:rFonts w:ascii="Arial" w:hAnsi="Arial" w:eastAsia="Times New Roman" w:cs="Arial"/>
          <w:color w:val="000000"/>
          <w:bdr w:val="none" w:color="auto" w:sz="0" w:space="0" w:frame="1"/>
          <w:lang w:eastAsia="es-ES_tradnl"/>
        </w:rPr>
        <w:t xml:space="preserve">técnico </w:t>
      </w:r>
      <w:r w:rsidRPr="00A90B54" w:rsidR="00881B31">
        <w:rPr>
          <w:rFonts w:ascii="Arial" w:hAnsi="Arial" w:eastAsia="Times New Roman" w:cs="Arial"/>
          <w:color w:val="000000"/>
          <w:bdr w:val="none" w:color="auto" w:sz="0" w:space="0" w:frame="1"/>
          <w:lang w:eastAsia="es-ES_tradnl"/>
        </w:rPr>
        <w:t>científico</w:t>
      </w:r>
      <w:r w:rsidRPr="00A90B54" w:rsidR="00A90B54">
        <w:rPr>
          <w:rFonts w:ascii="Arial" w:hAnsi="Arial" w:eastAsia="Times New Roman" w:cs="Arial"/>
          <w:color w:val="000000"/>
          <w:bdr w:val="none" w:color="auto" w:sz="0" w:space="0" w:frame="1"/>
          <w:lang w:eastAsia="es-ES_tradnl"/>
        </w:rPr>
        <w:t xml:space="preserve"> que dirige la labor, la cual tiene especial trascendencia social y que está marcada por la autonomía</w:t>
      </w:r>
      <w:r w:rsidR="00A90B54">
        <w:rPr>
          <w:rFonts w:ascii="Arial" w:hAnsi="Arial" w:eastAsia="Times New Roman" w:cs="Arial"/>
          <w:color w:val="000000"/>
          <w:bdr w:val="none" w:color="auto" w:sz="0" w:space="0" w:frame="1"/>
          <w:lang w:eastAsia="es-ES_tradnl"/>
        </w:rPr>
        <w:t>”</w:t>
      </w:r>
      <w:r w:rsidR="00881B31">
        <w:rPr>
          <w:rStyle w:val="Refdenotaalpie"/>
          <w:rFonts w:ascii="Arial" w:hAnsi="Arial" w:eastAsia="Times New Roman" w:cs="Arial"/>
          <w:color w:val="000000"/>
          <w:bdr w:val="none" w:color="auto" w:sz="0" w:space="0" w:frame="1"/>
          <w:lang w:eastAsia="es-ES_tradnl"/>
        </w:rPr>
        <w:footnoteReference w:id="43"/>
      </w:r>
      <w:r w:rsidR="00A90B54">
        <w:rPr>
          <w:rFonts w:ascii="Arial" w:hAnsi="Arial" w:eastAsia="Times New Roman" w:cs="Arial"/>
          <w:color w:val="000000"/>
          <w:bdr w:val="none" w:color="auto" w:sz="0" w:space="0" w:frame="1"/>
          <w:lang w:eastAsia="es-ES_tradnl"/>
        </w:rPr>
        <w:t xml:space="preserve"> corresponderá a cada</w:t>
      </w:r>
      <w:r w:rsidR="000D0059">
        <w:rPr>
          <w:rFonts w:ascii="Arial" w:hAnsi="Arial" w:eastAsia="Times New Roman" w:cs="Arial"/>
          <w:color w:val="000000"/>
          <w:bdr w:val="none" w:color="auto" w:sz="0" w:space="0" w:frame="1"/>
          <w:lang w:eastAsia="es-ES_tradnl"/>
        </w:rPr>
        <w:t xml:space="preserve"> entidad estatal, como estructuradora del proceso de contratación y a su personal técnico</w:t>
      </w:r>
      <w:r w:rsidR="00C96404">
        <w:rPr>
          <w:rFonts w:ascii="Arial" w:hAnsi="Arial" w:eastAsia="Times New Roman" w:cs="Arial"/>
          <w:color w:val="000000"/>
          <w:bdr w:val="none" w:color="auto" w:sz="0" w:space="0" w:frame="1"/>
          <w:lang w:eastAsia="es-ES_tradnl"/>
        </w:rPr>
        <w:t>,</w:t>
      </w:r>
      <w:r w:rsidR="000D0059">
        <w:rPr>
          <w:rFonts w:ascii="Arial" w:hAnsi="Arial" w:eastAsia="Times New Roman" w:cs="Arial"/>
          <w:color w:val="000000"/>
          <w:bdr w:val="none" w:color="auto" w:sz="0" w:space="0" w:frame="1"/>
          <w:lang w:eastAsia="es-ES_tradnl"/>
        </w:rPr>
        <w:t xml:space="preserve"> </w:t>
      </w:r>
      <w:r w:rsidRPr="006E061A" w:rsidR="006E061A">
        <w:rPr>
          <w:rFonts w:ascii="Arial" w:hAnsi="Arial" w:eastAsia="Times New Roman" w:cs="Arial"/>
          <w:color w:val="000000"/>
          <w:bdr w:val="none" w:color="auto" w:sz="0" w:space="0" w:frame="1"/>
          <w:lang w:eastAsia="es-ES_tradnl"/>
        </w:rPr>
        <w:t xml:space="preserve"> </w:t>
      </w:r>
      <w:r w:rsidRPr="00823F72" w:rsidR="00823F72">
        <w:rPr>
          <w:rFonts w:ascii="Arial" w:hAnsi="Arial" w:eastAsia="Times New Roman" w:cs="Arial"/>
          <w:color w:val="000000"/>
          <w:bdr w:val="none" w:color="auto" w:sz="0" w:space="0" w:frame="1"/>
          <w:lang w:eastAsia="es-ES_tradnl"/>
        </w:rPr>
        <w:t>definir las condiciones y especificaciones</w:t>
      </w:r>
      <w:r w:rsidR="00546317">
        <w:rPr>
          <w:rFonts w:ascii="Arial" w:hAnsi="Arial" w:eastAsia="Times New Roman" w:cs="Arial"/>
          <w:color w:val="000000"/>
          <w:bdr w:val="none" w:color="auto" w:sz="0" w:space="0" w:frame="1"/>
          <w:lang w:eastAsia="es-ES_tradnl"/>
        </w:rPr>
        <w:t xml:space="preserve"> </w:t>
      </w:r>
      <w:r w:rsidR="00F23B5F">
        <w:rPr>
          <w:rFonts w:ascii="Arial" w:hAnsi="Arial" w:eastAsia="Times New Roman" w:cs="Arial"/>
          <w:color w:val="000000"/>
          <w:bdr w:val="none" w:color="auto" w:sz="0" w:space="0" w:frame="1"/>
          <w:lang w:eastAsia="es-ES_tradnl"/>
        </w:rPr>
        <w:t>sobre las exigencias técnicas y los documentos técnicos adicionales,</w:t>
      </w:r>
      <w:r w:rsidR="006555B8">
        <w:rPr>
          <w:rFonts w:ascii="Arial" w:hAnsi="Arial" w:eastAsia="Times New Roman" w:cs="Arial"/>
          <w:color w:val="000000"/>
          <w:bdr w:val="none" w:color="auto" w:sz="0" w:space="0" w:frame="1"/>
          <w:lang w:eastAsia="es-ES_tradnl"/>
        </w:rPr>
        <w:t xml:space="preserve"> siempre observando los preceptos del</w:t>
      </w:r>
      <w:r w:rsidR="00A77C38">
        <w:rPr>
          <w:rFonts w:ascii="Arial" w:hAnsi="Arial" w:eastAsia="Times New Roman" w:cs="Arial"/>
          <w:color w:val="000000"/>
          <w:bdr w:val="none" w:color="auto" w:sz="0" w:space="0" w:frame="1"/>
          <w:lang w:eastAsia="es-ES_tradnl"/>
        </w:rPr>
        <w:t xml:space="preserve"> </w:t>
      </w:r>
      <w:r w:rsidR="00B07C08">
        <w:rPr>
          <w:rFonts w:ascii="Arial" w:hAnsi="Arial" w:eastAsia="Times New Roman" w:cs="Arial"/>
          <w:color w:val="000000"/>
          <w:bdr w:val="none" w:color="auto" w:sz="0" w:space="0" w:frame="1"/>
          <w:lang w:eastAsia="es-ES_tradnl"/>
        </w:rPr>
        <w:t>E</w:t>
      </w:r>
      <w:r w:rsidRPr="00B07C08" w:rsidR="00B07C08">
        <w:rPr>
          <w:rFonts w:ascii="Arial" w:hAnsi="Arial" w:eastAsia="Times New Roman" w:cs="Arial"/>
          <w:color w:val="000000"/>
          <w:bdr w:val="none" w:color="auto" w:sz="0" w:space="0" w:frame="1"/>
          <w:lang w:eastAsia="es-ES_tradnl"/>
        </w:rPr>
        <w:t xml:space="preserve">statuto </w:t>
      </w:r>
      <w:r w:rsidR="00B07C08">
        <w:rPr>
          <w:rFonts w:ascii="Arial" w:hAnsi="Arial" w:eastAsia="Times New Roman" w:cs="Arial"/>
          <w:color w:val="000000"/>
          <w:bdr w:val="none" w:color="auto" w:sz="0" w:space="0" w:frame="1"/>
          <w:lang w:eastAsia="es-ES_tradnl"/>
        </w:rPr>
        <w:t>G</w:t>
      </w:r>
      <w:r w:rsidRPr="00B07C08" w:rsidR="00B07C08">
        <w:rPr>
          <w:rFonts w:ascii="Arial" w:hAnsi="Arial" w:eastAsia="Times New Roman" w:cs="Arial"/>
          <w:color w:val="000000"/>
          <w:bdr w:val="none" w:color="auto" w:sz="0" w:space="0" w:frame="1"/>
          <w:lang w:eastAsia="es-ES_tradnl"/>
        </w:rPr>
        <w:t xml:space="preserve">eneral de </w:t>
      </w:r>
      <w:r w:rsidR="00B07C08">
        <w:rPr>
          <w:rFonts w:ascii="Arial" w:hAnsi="Arial" w:eastAsia="Times New Roman" w:cs="Arial"/>
          <w:color w:val="000000"/>
          <w:bdr w:val="none" w:color="auto" w:sz="0" w:space="0" w:frame="1"/>
          <w:lang w:eastAsia="es-ES_tradnl"/>
        </w:rPr>
        <w:t>C</w:t>
      </w:r>
      <w:r w:rsidRPr="00B07C08" w:rsidR="00B07C08">
        <w:rPr>
          <w:rFonts w:ascii="Arial" w:hAnsi="Arial" w:eastAsia="Times New Roman" w:cs="Arial"/>
          <w:color w:val="000000"/>
          <w:bdr w:val="none" w:color="auto" w:sz="0" w:space="0" w:frame="1"/>
          <w:lang w:eastAsia="es-ES_tradnl"/>
        </w:rPr>
        <w:t xml:space="preserve">ontratación de la </w:t>
      </w:r>
      <w:r w:rsidR="00B07C08">
        <w:rPr>
          <w:rFonts w:ascii="Arial" w:hAnsi="Arial" w:eastAsia="Times New Roman" w:cs="Arial"/>
          <w:color w:val="000000"/>
          <w:bdr w:val="none" w:color="auto" w:sz="0" w:space="0" w:frame="1"/>
          <w:lang w:eastAsia="es-ES_tradnl"/>
        </w:rPr>
        <w:t>A</w:t>
      </w:r>
      <w:r w:rsidRPr="00B07C08" w:rsidR="00B07C08">
        <w:rPr>
          <w:rFonts w:ascii="Arial" w:hAnsi="Arial" w:eastAsia="Times New Roman" w:cs="Arial"/>
          <w:color w:val="000000"/>
          <w:bdr w:val="none" w:color="auto" w:sz="0" w:space="0" w:frame="1"/>
          <w:lang w:eastAsia="es-ES_tradnl"/>
        </w:rPr>
        <w:t>dministración pública</w:t>
      </w:r>
      <w:r w:rsidR="006555B8">
        <w:rPr>
          <w:rFonts w:ascii="Arial" w:hAnsi="Arial" w:eastAsia="Times New Roman" w:cs="Arial"/>
          <w:color w:val="000000"/>
          <w:bdr w:val="none" w:color="auto" w:sz="0" w:space="0" w:frame="1"/>
          <w:lang w:eastAsia="es-ES_tradnl"/>
        </w:rPr>
        <w:t xml:space="preserve"> </w:t>
      </w:r>
      <w:r w:rsidR="00B07C08">
        <w:rPr>
          <w:rFonts w:ascii="Arial" w:hAnsi="Arial" w:eastAsia="Times New Roman" w:cs="Arial"/>
          <w:color w:val="000000"/>
          <w:bdr w:val="none" w:color="auto" w:sz="0" w:space="0" w:frame="1"/>
          <w:lang w:eastAsia="es-ES_tradnl"/>
        </w:rPr>
        <w:t>-</w:t>
      </w:r>
      <w:r w:rsidR="006555B8">
        <w:rPr>
          <w:rFonts w:ascii="Arial" w:hAnsi="Arial" w:eastAsia="Times New Roman" w:cs="Arial"/>
          <w:color w:val="000000"/>
          <w:bdr w:val="none" w:color="auto" w:sz="0" w:space="0" w:frame="1"/>
          <w:lang w:eastAsia="es-ES_tradnl"/>
        </w:rPr>
        <w:t>E</w:t>
      </w:r>
      <w:r w:rsidR="00A77C38">
        <w:rPr>
          <w:rFonts w:ascii="Arial" w:hAnsi="Arial" w:eastAsia="Times New Roman" w:cs="Arial"/>
          <w:color w:val="000000"/>
          <w:bdr w:val="none" w:color="auto" w:sz="0" w:space="0" w:frame="1"/>
          <w:lang w:eastAsia="es-ES_tradnl"/>
        </w:rPr>
        <w:t>GCA</w:t>
      </w:r>
      <w:r w:rsidR="00B07C08">
        <w:rPr>
          <w:rFonts w:ascii="Arial" w:hAnsi="Arial" w:eastAsia="Times New Roman" w:cs="Arial"/>
          <w:color w:val="000000"/>
          <w:bdr w:val="none" w:color="auto" w:sz="0" w:space="0" w:frame="1"/>
          <w:lang w:eastAsia="es-ES_tradnl"/>
        </w:rPr>
        <w:t>-</w:t>
      </w:r>
      <w:r w:rsidR="00744560">
        <w:rPr>
          <w:rFonts w:ascii="Arial" w:hAnsi="Arial" w:eastAsia="Times New Roman" w:cs="Arial"/>
          <w:color w:val="000000"/>
          <w:bdr w:val="none" w:color="auto" w:sz="0" w:space="0" w:frame="1"/>
          <w:lang w:eastAsia="es-ES_tradnl"/>
        </w:rPr>
        <w:t xml:space="preserve"> y, de ser aplicables,  </w:t>
      </w:r>
      <w:r w:rsidRPr="00744560" w:rsidR="00744560">
        <w:rPr>
          <w:rFonts w:ascii="Arial" w:hAnsi="Arial" w:eastAsia="Times New Roman" w:cs="Arial"/>
          <w:color w:val="000000"/>
          <w:bdr w:val="none" w:color="auto" w:sz="0" w:space="0" w:frame="1"/>
          <w:lang w:eastAsia="es-ES_tradnl"/>
        </w:rPr>
        <w:t>los requisitos definidos en los Documentos Tipo</w:t>
      </w:r>
      <w:r w:rsidR="00744560">
        <w:rPr>
          <w:rFonts w:ascii="Arial" w:hAnsi="Arial" w:eastAsia="Times New Roman" w:cs="Arial"/>
          <w:color w:val="000000"/>
          <w:bdr w:val="none" w:color="auto" w:sz="0" w:space="0" w:frame="1"/>
          <w:lang w:eastAsia="es-ES_tradnl"/>
        </w:rPr>
        <w:t>.</w:t>
      </w:r>
    </w:p>
    <w:p w:rsidR="00E51901" w:rsidP="00BC7368" w:rsidRDefault="00E51901" w14:paraId="3C23958B"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p>
    <w:p w:rsidRPr="00E34950" w:rsidR="00E51901" w:rsidP="00E34950" w:rsidRDefault="00E51901" w14:paraId="1AC24E75" w14:textId="06B77999">
      <w:pPr>
        <w:shd w:val="clear" w:color="auto" w:fill="FFFFFF" w:themeFill="background1"/>
        <w:tabs>
          <w:tab w:val="left" w:pos="426"/>
        </w:tabs>
        <w:spacing w:after="0"/>
        <w:jc w:val="both"/>
        <w:rPr>
          <w:rFonts w:ascii="Arial" w:hAnsi="Arial" w:eastAsia="Calibri" w:cs="Arial"/>
          <w:b/>
          <w:bCs/>
          <w:color w:val="000000" w:themeColor="text1"/>
          <w:lang w:eastAsia="en-GB"/>
        </w:rPr>
      </w:pPr>
      <w:r w:rsidRPr="00E34950">
        <w:rPr>
          <w:rFonts w:ascii="Arial" w:hAnsi="Arial" w:eastAsia="Calibri" w:cs="Arial"/>
          <w:b/>
          <w:bCs/>
          <w:color w:val="000000" w:themeColor="text1"/>
          <w:lang w:eastAsia="en-GB"/>
        </w:rPr>
        <w:t>2.6.</w:t>
      </w:r>
      <w:r w:rsidRPr="00E34950">
        <w:rPr>
          <w:rFonts w:ascii="Arial" w:hAnsi="Arial" w:eastAsia="Calibri" w:cs="Arial"/>
          <w:b/>
          <w:bCs/>
          <w:color w:val="000000" w:themeColor="text1"/>
          <w:lang w:eastAsia="en-GB"/>
        </w:rPr>
        <w:tab/>
      </w:r>
      <w:r w:rsidRPr="00E34950">
        <w:rPr>
          <w:rFonts w:ascii="Arial" w:hAnsi="Arial" w:eastAsia="Calibri" w:cs="Arial"/>
          <w:b/>
          <w:bCs/>
          <w:color w:val="000000" w:themeColor="text1"/>
          <w:lang w:eastAsia="en-GB"/>
        </w:rPr>
        <w:t>Acreditación de experiencia en las excepciones al RUP</w:t>
      </w:r>
      <w:r w:rsidRPr="00E34950" w:rsidR="00E34950">
        <w:rPr>
          <w:rFonts w:ascii="Arial" w:hAnsi="Arial" w:eastAsia="Calibri" w:cs="Arial"/>
          <w:b/>
          <w:bCs/>
          <w:color w:val="000000" w:themeColor="text1"/>
          <w:lang w:eastAsia="en-GB"/>
        </w:rPr>
        <w:t xml:space="preserve">, el caso de la  mínima cuantía </w:t>
      </w:r>
    </w:p>
    <w:p w:rsidR="00B85AB9" w:rsidP="005C12DE" w:rsidRDefault="00B85AB9" w14:paraId="273B3E65" w14:textId="21DAB7AF">
      <w:pPr>
        <w:spacing w:after="0" w:line="276" w:lineRule="auto"/>
        <w:ind w:firstLine="708"/>
        <w:contextualSpacing/>
        <w:jc w:val="both"/>
        <w:rPr>
          <w:rFonts w:ascii="Arial" w:hAnsi="Arial" w:eastAsia="Calibri" w:cs="Arial"/>
          <w:color w:val="000000" w:themeColor="text1"/>
          <w:lang w:eastAsia="en-GB"/>
        </w:rPr>
      </w:pPr>
    </w:p>
    <w:p w:rsidRPr="00A5680C" w:rsidR="00A5680C" w:rsidP="00A5680C" w:rsidRDefault="00A5680C" w14:paraId="0495E2DD" w14:textId="77777777">
      <w:pPr>
        <w:spacing w:after="0" w:line="276" w:lineRule="auto"/>
        <w:contextualSpacing/>
        <w:jc w:val="both"/>
        <w:rPr>
          <w:rFonts w:ascii="Arial" w:hAnsi="Arial" w:eastAsia="Calibri" w:cs="Arial"/>
          <w:color w:val="000000" w:themeColor="text1"/>
          <w:lang w:eastAsia="en-GB"/>
        </w:rPr>
      </w:pPr>
      <w:r w:rsidRPr="00A5680C">
        <w:rPr>
          <w:rFonts w:ascii="Arial" w:hAnsi="Arial" w:eastAsia="Calibri" w:cs="Arial"/>
          <w:color w:val="000000" w:themeColor="text1"/>
          <w:lang w:eastAsia="en-GB"/>
        </w:rPr>
        <w:t>La acreditación de la experiencia en los procesos de contratación que no requieren del RUP, se estudió, por esta Subdirección, en los conceptos con radicado No. 4201913000006797 del 19 de noviembre de 2019 y No. 2201913000008914 del 3 de diciembre de 2019, de acuerdo con los argumentos que se presentan a continuación.</w:t>
      </w:r>
    </w:p>
    <w:p w:rsidRPr="00A5680C" w:rsidR="00A5680C" w:rsidP="00A5680C" w:rsidRDefault="00A5680C" w14:paraId="052CE9D1" w14:textId="77777777">
      <w:pPr>
        <w:widowControl w:val="0"/>
        <w:autoSpaceDE w:val="0"/>
        <w:autoSpaceDN w:val="0"/>
        <w:spacing w:before="3" w:after="0" w:line="240" w:lineRule="auto"/>
        <w:rPr>
          <w:rFonts w:ascii="Arial" w:hAnsi="Arial" w:eastAsia="Arial" w:cs="Arial"/>
          <w:sz w:val="25"/>
          <w:lang w:val="es-ES"/>
        </w:rPr>
      </w:pPr>
    </w:p>
    <w:p w:rsidRPr="00A5680C" w:rsidR="00A5680C" w:rsidP="000218F4" w:rsidRDefault="00A5680C" w14:paraId="2712ACE0"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 xml:space="preserve">El Registro Único de Proponentes no es exigible en todos los procesos de selección. El segundo inciso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w:t>
      </w:r>
      <w:r w:rsidRPr="00A5680C">
        <w:rPr>
          <w:rFonts w:ascii="Arial" w:hAnsi="Arial" w:eastAsia="Times New Roman" w:cs="Arial"/>
          <w:color w:val="000000"/>
          <w:bdr w:val="none" w:color="auto" w:sz="0" w:space="0" w:frame="1"/>
          <w:lang w:eastAsia="es-ES_tradnl"/>
        </w:rPr>
        <w:t>y comerciales del Estado y las sociedades de economía mixta y los contratos de concesión de cualquier índole”.</w:t>
      </w:r>
    </w:p>
    <w:p w:rsidRPr="00A5680C" w:rsidR="00A5680C" w:rsidP="00A5680C" w:rsidRDefault="00A5680C" w14:paraId="127EDED3" w14:textId="77777777">
      <w:pPr>
        <w:widowControl w:val="0"/>
        <w:autoSpaceDE w:val="0"/>
        <w:autoSpaceDN w:val="0"/>
        <w:spacing w:before="2" w:after="0" w:line="240" w:lineRule="auto"/>
        <w:rPr>
          <w:rFonts w:ascii="Arial" w:hAnsi="Arial" w:eastAsia="Arial" w:cs="Arial"/>
          <w:sz w:val="25"/>
          <w:lang w:val="es-ES"/>
        </w:rPr>
      </w:pPr>
    </w:p>
    <w:p w:rsidRPr="00A5680C" w:rsidR="00A5680C" w:rsidP="000218F4" w:rsidRDefault="00A5680C" w14:paraId="28370923"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sólo para complementar la información contenida allí, y con el fin de verificar condiciones adicionales de experiencia del proponente.</w:t>
      </w:r>
    </w:p>
    <w:p w:rsidRPr="00A5680C" w:rsidR="00A5680C" w:rsidP="00A5680C" w:rsidRDefault="00A5680C" w14:paraId="62665E4D" w14:textId="77777777">
      <w:pPr>
        <w:widowControl w:val="0"/>
        <w:autoSpaceDE w:val="0"/>
        <w:autoSpaceDN w:val="0"/>
        <w:spacing w:before="4" w:after="0" w:line="240" w:lineRule="auto"/>
        <w:rPr>
          <w:rFonts w:ascii="Arial" w:hAnsi="Arial" w:eastAsia="Arial" w:cs="Arial"/>
          <w:sz w:val="25"/>
          <w:lang w:val="es-ES"/>
        </w:rPr>
      </w:pPr>
    </w:p>
    <w:p w:rsidRPr="00A5680C" w:rsidR="00A5680C" w:rsidP="000D0CC8" w:rsidRDefault="00A5680C" w14:paraId="0C3CA0F8"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De esta forma, sólo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w:t>
      </w:r>
    </w:p>
    <w:p w:rsidRPr="00A5680C" w:rsidR="00A5680C" w:rsidP="00A5680C" w:rsidRDefault="00A5680C" w14:paraId="0CF7FA47" w14:textId="77777777">
      <w:pPr>
        <w:widowControl w:val="0"/>
        <w:autoSpaceDE w:val="0"/>
        <w:autoSpaceDN w:val="0"/>
        <w:spacing w:before="4" w:after="0" w:line="240" w:lineRule="auto"/>
        <w:rPr>
          <w:rFonts w:ascii="Arial" w:hAnsi="Arial" w:eastAsia="Arial" w:cs="Arial"/>
          <w:sz w:val="25"/>
          <w:lang w:val="es-ES"/>
        </w:rPr>
      </w:pPr>
    </w:p>
    <w:p w:rsidRPr="00A5680C" w:rsidR="00A5680C" w:rsidP="000D0CC8" w:rsidRDefault="00A5680C" w14:paraId="20492167"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highlight w:val="yellow"/>
          <w:bdr w:val="none" w:color="auto" w:sz="0" w:space="0" w:frame="1"/>
          <w:lang w:eastAsia="es-ES_tradnl"/>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rsidRPr="00A5680C" w:rsidR="00A5680C" w:rsidP="00A5680C" w:rsidRDefault="00A5680C" w14:paraId="30933B52" w14:textId="77777777">
      <w:pPr>
        <w:widowControl w:val="0"/>
        <w:autoSpaceDE w:val="0"/>
        <w:autoSpaceDN w:val="0"/>
        <w:spacing w:before="4" w:after="0" w:line="240" w:lineRule="auto"/>
        <w:rPr>
          <w:rFonts w:ascii="Arial" w:hAnsi="Arial" w:eastAsia="Arial" w:cs="Arial"/>
          <w:sz w:val="25"/>
          <w:lang w:val="es-ES"/>
        </w:rPr>
      </w:pPr>
    </w:p>
    <w:p w:rsidRPr="00A5680C" w:rsidR="00A5680C" w:rsidP="000D0CC8" w:rsidRDefault="00A5680C" w14:paraId="1B577688"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en los pliegos de condiciones.</w:t>
      </w:r>
    </w:p>
    <w:p w:rsidRPr="00A5680C" w:rsidR="00A5680C" w:rsidP="00A5680C" w:rsidRDefault="00A5680C" w14:paraId="056B0CA9" w14:textId="77777777">
      <w:pPr>
        <w:widowControl w:val="0"/>
        <w:autoSpaceDE w:val="0"/>
        <w:autoSpaceDN w:val="0"/>
        <w:spacing w:before="3" w:after="0" w:line="240" w:lineRule="auto"/>
        <w:rPr>
          <w:rFonts w:ascii="Arial" w:hAnsi="Arial" w:eastAsia="Arial" w:cs="Arial"/>
          <w:sz w:val="25"/>
          <w:lang w:val="es-ES"/>
        </w:rPr>
      </w:pPr>
    </w:p>
    <w:p w:rsidRPr="00A5680C" w:rsidR="00A5680C" w:rsidP="000D0CC8" w:rsidRDefault="00A5680C" w14:paraId="76D16D48"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u w:val="single"/>
          <w:bdr w:val="none" w:color="auto" w:sz="0" w:space="0" w:frame="1"/>
          <w:lang w:eastAsia="es-ES_tradnl"/>
        </w:rPr>
      </w:pPr>
      <w:r w:rsidRPr="00A5680C">
        <w:rPr>
          <w:rFonts w:ascii="Arial" w:hAnsi="Arial" w:eastAsia="Times New Roman" w:cs="Arial"/>
          <w:color w:val="000000"/>
          <w:u w:val="single"/>
          <w:bdr w:val="none" w:color="auto" w:sz="0" w:space="0" w:frame="1"/>
          <w:lang w:eastAsia="es-ES_tradnl"/>
        </w:rPr>
        <w:t>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w:t>
      </w:r>
    </w:p>
    <w:p w:rsidRPr="00A5680C" w:rsidR="00A5680C" w:rsidP="00A5680C" w:rsidRDefault="00A5680C" w14:paraId="5B5A64B5" w14:textId="77777777">
      <w:pPr>
        <w:widowControl w:val="0"/>
        <w:autoSpaceDE w:val="0"/>
        <w:autoSpaceDN w:val="0"/>
        <w:spacing w:before="3" w:after="0" w:line="240" w:lineRule="auto"/>
        <w:rPr>
          <w:rFonts w:ascii="Arial" w:hAnsi="Arial" w:eastAsia="Arial" w:cs="Arial"/>
          <w:sz w:val="25"/>
          <w:lang w:val="es-ES"/>
        </w:rPr>
      </w:pPr>
    </w:p>
    <w:p w:rsidRPr="00A5680C" w:rsidR="00A5680C" w:rsidP="000D0CC8" w:rsidRDefault="00A5680C" w14:paraId="35D64FD7"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 xml:space="preserve">No obstante, la Subdirección de Gestión Contractual considera, a pesar de la </w:t>
      </w:r>
      <w:r w:rsidRPr="00A5680C">
        <w:rPr>
          <w:rFonts w:ascii="Arial" w:hAnsi="Arial" w:eastAsia="Times New Roman" w:cs="Arial"/>
          <w:color w:val="000000"/>
          <w:highlight w:val="yellow"/>
          <w:bdr w:val="none" w:color="auto" w:sz="0" w:space="0" w:frame="1"/>
          <w:lang w:eastAsia="es-ES_tradnl"/>
        </w:rPr>
        <w:t>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w:t>
      </w:r>
    </w:p>
    <w:p w:rsidRPr="00A5680C" w:rsidR="00A5680C" w:rsidP="00A5680C" w:rsidRDefault="00A5680C" w14:paraId="79C1CE02" w14:textId="77777777">
      <w:pPr>
        <w:widowControl w:val="0"/>
        <w:autoSpaceDE w:val="0"/>
        <w:autoSpaceDN w:val="0"/>
        <w:spacing w:before="2" w:after="0" w:line="240" w:lineRule="auto"/>
        <w:rPr>
          <w:rFonts w:ascii="Arial" w:hAnsi="Arial" w:eastAsia="Arial" w:cs="Arial"/>
          <w:sz w:val="25"/>
          <w:lang w:val="es-ES"/>
        </w:rPr>
      </w:pPr>
    </w:p>
    <w:p w:rsidRPr="00A5680C" w:rsidR="00A5680C" w:rsidP="007361DB" w:rsidRDefault="00A5680C" w14:paraId="1B0919F1"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 xml:space="preserve">La anterior consideración tiene su principal sustento en el </w:t>
      </w:r>
      <w:r w:rsidRPr="00A5680C">
        <w:rPr>
          <w:rFonts w:ascii="Arial" w:hAnsi="Arial" w:eastAsia="Times New Roman" w:cs="Arial"/>
          <w:b/>
          <w:bCs/>
          <w:color w:val="000000"/>
          <w:u w:val="single"/>
          <w:bdr w:val="none" w:color="auto" w:sz="0" w:space="0" w:frame="1"/>
          <w:lang w:eastAsia="es-ES_tradnl"/>
        </w:rPr>
        <w:t>principio de igualdad</w:t>
      </w:r>
      <w:r w:rsidRPr="00A5680C">
        <w:rPr>
          <w:rFonts w:ascii="Arial" w:hAnsi="Arial" w:eastAsia="Times New Roman" w:cs="Arial"/>
          <w:color w:val="000000"/>
          <w:bdr w:val="none" w:color="auto" w:sz="0" w:space="0" w:frame="1"/>
          <w:lang w:eastAsia="es-ES_tradnl"/>
        </w:rPr>
        <w:t xml:space="preserve">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w:t>
      </w:r>
      <w:r w:rsidRPr="00A5680C">
        <w:rPr>
          <w:rFonts w:ascii="Arial" w:hAnsi="Arial" w:eastAsia="Times New Roman" w:cs="Arial"/>
          <w:color w:val="000000"/>
          <w:bdr w:val="none" w:color="auto" w:sz="0" w:space="0" w:frame="1"/>
          <w:lang w:eastAsia="es-ES_tradnl"/>
        </w:rPr>
        <w:footnoteReference w:id="44"/>
      </w:r>
      <w:r w:rsidRPr="00A5680C">
        <w:rPr>
          <w:rFonts w:ascii="Arial" w:hAnsi="Arial" w:eastAsia="Times New Roman" w:cs="Arial"/>
          <w:color w:val="000000"/>
          <w:bdr w:val="none" w:color="auto" w:sz="0" w:space="0" w:frame="1"/>
          <w:lang w:eastAsia="es-ES_tradnl"/>
        </w:rPr>
        <w:t>, por lo que representa un criterio de obligatoria observancia tanto para la producción como para la aplicación e interpretación del derecho.</w:t>
      </w:r>
    </w:p>
    <w:p w:rsidRPr="00A5680C" w:rsidR="00A5680C" w:rsidP="00A5680C" w:rsidRDefault="00A5680C" w14:paraId="4734E5BA" w14:textId="77777777">
      <w:pPr>
        <w:widowControl w:val="0"/>
        <w:autoSpaceDE w:val="0"/>
        <w:autoSpaceDN w:val="0"/>
        <w:spacing w:before="7" w:after="0" w:line="240" w:lineRule="auto"/>
        <w:rPr>
          <w:rFonts w:ascii="Arial" w:hAnsi="Arial" w:eastAsia="Arial" w:cs="Arial"/>
          <w:sz w:val="28"/>
          <w:lang w:val="es-ES"/>
        </w:rPr>
      </w:pPr>
    </w:p>
    <w:p w:rsidRPr="00A5680C" w:rsidR="00A5680C" w:rsidP="007361DB" w:rsidRDefault="00A5680C" w14:paraId="535DECBB"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rsidRPr="00A5680C" w:rsidR="00A5680C" w:rsidP="00A5680C" w:rsidRDefault="00A5680C" w14:paraId="554FABCE" w14:textId="77777777">
      <w:pPr>
        <w:widowControl w:val="0"/>
        <w:autoSpaceDE w:val="0"/>
        <w:autoSpaceDN w:val="0"/>
        <w:spacing w:before="3" w:after="0" w:line="240" w:lineRule="auto"/>
        <w:rPr>
          <w:rFonts w:ascii="Arial" w:hAnsi="Arial" w:eastAsia="Arial" w:cs="Arial"/>
          <w:sz w:val="25"/>
          <w:lang w:val="es-ES"/>
        </w:rPr>
      </w:pPr>
    </w:p>
    <w:p w:rsidRPr="00A5680C" w:rsidR="00A5680C" w:rsidP="007361DB" w:rsidRDefault="00A5680C" w14:paraId="6C7EF0EC"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rsidRPr="00A5680C" w:rsidR="00A5680C" w:rsidP="00A5680C" w:rsidRDefault="00A5680C" w14:paraId="5CED8DEF" w14:textId="77777777">
      <w:pPr>
        <w:widowControl w:val="0"/>
        <w:autoSpaceDE w:val="0"/>
        <w:autoSpaceDN w:val="0"/>
        <w:spacing w:before="5" w:after="0" w:line="240" w:lineRule="auto"/>
        <w:rPr>
          <w:rFonts w:ascii="Arial" w:hAnsi="Arial" w:eastAsia="Arial" w:cs="Arial"/>
          <w:sz w:val="25"/>
          <w:lang w:val="es-ES"/>
        </w:rPr>
      </w:pPr>
    </w:p>
    <w:p w:rsidRPr="00A5680C" w:rsidR="00A5680C" w:rsidP="007361DB" w:rsidRDefault="00A5680C" w14:paraId="206B01F0"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bdr w:val="none" w:color="auto" w:sz="0" w:space="0" w:frame="1"/>
          <w:lang w:eastAsia="es-ES_tradnl"/>
        </w:rPr>
        <w:t>Es por ello que el Consejo de Estado ha determinado que la aplicación del principio de igualdad en la contratación pública materializa otros principios de similar importancia, como la selección objetiva y la transparencia:</w:t>
      </w:r>
    </w:p>
    <w:p w:rsidRPr="00A5680C" w:rsidR="00A5680C" w:rsidP="00A5680C" w:rsidRDefault="00A5680C" w14:paraId="44360E2F" w14:textId="77777777">
      <w:pPr>
        <w:widowControl w:val="0"/>
        <w:autoSpaceDE w:val="0"/>
        <w:autoSpaceDN w:val="0"/>
        <w:spacing w:before="2" w:after="0" w:line="240" w:lineRule="auto"/>
        <w:rPr>
          <w:rFonts w:ascii="Arial" w:hAnsi="Arial" w:eastAsia="Arial" w:cs="Arial"/>
          <w:sz w:val="25"/>
          <w:lang w:val="es-ES"/>
        </w:rPr>
      </w:pPr>
    </w:p>
    <w:p w:rsidRPr="00A5680C" w:rsidR="00A5680C" w:rsidP="00A5680C" w:rsidRDefault="00A5680C" w14:paraId="68CAEB2D" w14:textId="77777777">
      <w:pPr>
        <w:widowControl w:val="0"/>
        <w:autoSpaceDE w:val="0"/>
        <w:autoSpaceDN w:val="0"/>
        <w:spacing w:after="0" w:line="240" w:lineRule="auto"/>
        <w:ind w:left="1008" w:right="735"/>
        <w:jc w:val="both"/>
        <w:rPr>
          <w:rFonts w:ascii="Arial" w:hAnsi="Arial" w:eastAsia="Arial" w:cs="Arial"/>
          <w:sz w:val="21"/>
          <w:lang w:val="es-ES"/>
        </w:rPr>
      </w:pPr>
      <w:r w:rsidRPr="00A5680C">
        <w:rPr>
          <w:rFonts w:ascii="Arial" w:hAnsi="Arial" w:eastAsia="Calibri" w:cs="Arial"/>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A5680C">
        <w:rPr>
          <w:rFonts w:ascii="Arial" w:hAnsi="Arial" w:eastAsia="Arial" w:cs="Arial"/>
          <w:sz w:val="21"/>
          <w:vertAlign w:val="superscript"/>
          <w:lang w:val="es-ES"/>
        </w:rPr>
        <w:footnoteReference w:id="45"/>
      </w:r>
      <w:r w:rsidRPr="00A5680C">
        <w:rPr>
          <w:rFonts w:ascii="Arial" w:hAnsi="Arial" w:eastAsia="Arial" w:cs="Arial"/>
          <w:sz w:val="21"/>
          <w:lang w:val="es-ES"/>
        </w:rPr>
        <w:t>.</w:t>
      </w:r>
    </w:p>
    <w:p w:rsidRPr="00A5680C" w:rsidR="00A5680C" w:rsidP="00A5680C" w:rsidRDefault="00A5680C" w14:paraId="4BAD0FD6" w14:textId="77777777">
      <w:pPr>
        <w:widowControl w:val="0"/>
        <w:autoSpaceDE w:val="0"/>
        <w:autoSpaceDN w:val="0"/>
        <w:spacing w:after="0" w:line="240" w:lineRule="auto"/>
        <w:rPr>
          <w:rFonts w:ascii="Arial" w:hAnsi="Arial" w:eastAsia="Arial" w:cs="Arial"/>
          <w:sz w:val="25"/>
          <w:lang w:val="es-ES"/>
        </w:rPr>
      </w:pPr>
    </w:p>
    <w:p w:rsidRPr="00A5680C" w:rsidR="00A5680C" w:rsidP="007361DB" w:rsidRDefault="00A5680C" w14:paraId="49457390" w14:textId="318B2869">
      <w:pPr>
        <w:widowControl w:val="0"/>
        <w:tabs>
          <w:tab w:val="left" w:pos="1134"/>
        </w:tabs>
        <w:autoSpaceDE w:val="0"/>
        <w:autoSpaceDN w:val="0"/>
        <w:spacing w:before="120" w:after="0" w:line="276" w:lineRule="auto"/>
        <w:ind w:firstLine="709"/>
        <w:jc w:val="both"/>
        <w:rPr>
          <w:rFonts w:ascii="Arial" w:hAnsi="Arial" w:eastAsia="Times New Roman" w:cs="Arial"/>
          <w:color w:val="000000"/>
          <w:bdr w:val="none" w:color="auto" w:sz="0" w:space="0" w:frame="1"/>
          <w:lang w:eastAsia="es-ES_tradnl"/>
        </w:rPr>
      </w:pPr>
      <w:r w:rsidRPr="00A5680C">
        <w:rPr>
          <w:rFonts w:ascii="Arial" w:hAnsi="Arial" w:eastAsia="Times New Roman" w:cs="Arial"/>
          <w:color w:val="000000"/>
          <w:highlight w:val="yellow"/>
          <w:bdr w:val="none" w:color="auto" w:sz="0" w:space="0" w:frame="1"/>
          <w:lang w:eastAsia="es-ES_tradnl"/>
        </w:rPr>
        <w:t xml:space="preserve">Ahora bien, a pesar de que la norma que concede la posibilidad de acreditar la experiencia de los socios, accionistas o constituyentes para las personas jurídicas con menos de 3 años de creación se refiere al RUP, </w:t>
      </w:r>
      <w:r w:rsidRPr="00A5680C">
        <w:rPr>
          <w:rFonts w:ascii="Arial" w:hAnsi="Arial" w:eastAsia="Times New Roman" w:cs="Arial"/>
          <w:color w:val="000000"/>
          <w:highlight w:val="yellow"/>
          <w:u w:val="single"/>
          <w:bdr w:val="none" w:color="auto" w:sz="0" w:space="0" w:frame="1"/>
          <w:lang w:eastAsia="es-ES_tradnl"/>
        </w:rPr>
        <w:t>ello no impide que se pueda hacer una aplicación extensiva o analógica para los eventos en los que no sea necesaria la inscripción en el RUP, como en el caso de los procesos adelantados a través de la modalidad de mínima cuantía</w:t>
      </w:r>
      <w:r w:rsidRPr="00A5680C">
        <w:rPr>
          <w:rFonts w:ascii="Arial" w:hAnsi="Arial" w:eastAsia="Times New Roman" w:cs="Arial"/>
          <w:color w:val="000000"/>
          <w:highlight w:val="yellow"/>
          <w:bdr w:val="none" w:color="auto" w:sz="0" w:space="0" w:frame="1"/>
          <w:lang w:eastAsia="es-ES_tradnl"/>
        </w:rPr>
        <w:t xml:space="preserve">. Es más, se insiste en que esta aplicación analógica se impone en virtud del </w:t>
      </w:r>
      <w:r w:rsidRPr="00A5680C">
        <w:rPr>
          <w:rFonts w:ascii="Arial" w:hAnsi="Arial" w:eastAsia="Times New Roman" w:cs="Arial"/>
          <w:color w:val="000000"/>
          <w:highlight w:val="yellow"/>
          <w:u w:val="single"/>
          <w:bdr w:val="none" w:color="auto" w:sz="0" w:space="0" w:frame="1"/>
          <w:lang w:eastAsia="es-ES_tradnl"/>
        </w:rPr>
        <w:t>principio de igualdad</w:t>
      </w:r>
      <w:r w:rsidRPr="00A5680C">
        <w:rPr>
          <w:rFonts w:ascii="Arial" w:hAnsi="Arial" w:eastAsia="Times New Roman" w:cs="Arial"/>
          <w:color w:val="000000"/>
          <w:highlight w:val="yellow"/>
          <w:bdr w:val="none" w:color="auto" w:sz="0" w:space="0" w:frame="1"/>
          <w:lang w:eastAsia="es-ES_tradnl"/>
        </w:rPr>
        <w:t xml:space="preserve">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w:t>
      </w:r>
    </w:p>
    <w:p w:rsidRPr="00A5680C" w:rsidR="00A5680C" w:rsidP="00A5680C" w:rsidRDefault="00A5680C" w14:paraId="086F2798" w14:textId="77777777">
      <w:pPr>
        <w:widowControl w:val="0"/>
        <w:autoSpaceDE w:val="0"/>
        <w:autoSpaceDN w:val="0"/>
        <w:spacing w:after="0" w:line="276" w:lineRule="auto"/>
        <w:ind w:left="300" w:right="304"/>
        <w:jc w:val="both"/>
        <w:rPr>
          <w:rFonts w:ascii="Arial" w:hAnsi="Arial" w:eastAsia="Arial" w:cs="Arial"/>
          <w:lang w:val="es-ES"/>
        </w:rPr>
      </w:pPr>
    </w:p>
    <w:p w:rsidRPr="00A5680C" w:rsidR="00A5680C" w:rsidP="007361DB" w:rsidRDefault="00A5680C" w14:paraId="2B4EA240"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highlight w:val="yellow"/>
          <w:bdr w:val="none" w:color="auto" w:sz="0" w:space="0" w:frame="1"/>
          <w:lang w:eastAsia="es-ES_tradnl"/>
        </w:rPr>
      </w:pPr>
      <w:r w:rsidRPr="00A5680C">
        <w:rPr>
          <w:rFonts w:ascii="Arial" w:hAnsi="Arial" w:eastAsia="Times New Roman" w:cs="Arial"/>
          <w:color w:val="000000"/>
          <w:highlight w:val="yellow"/>
          <w:bdr w:val="none" w:color="auto" w:sz="0" w:space="0" w:frame="1"/>
          <w:lang w:eastAsia="es-ES_tradnl"/>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w:t>
      </w:r>
      <w:proofErr w:type="spellStart"/>
      <w:r w:rsidRPr="00A5680C">
        <w:rPr>
          <w:rFonts w:ascii="Arial" w:hAnsi="Arial" w:eastAsia="Times New Roman" w:cs="Arial"/>
          <w:color w:val="000000"/>
          <w:highlight w:val="yellow"/>
          <w:bdr w:val="none" w:color="auto" w:sz="0" w:space="0" w:frame="1"/>
          <w:lang w:eastAsia="es-ES_tradnl"/>
        </w:rPr>
        <w:t>iii</w:t>
      </w:r>
      <w:proofErr w:type="spellEnd"/>
      <w:r w:rsidRPr="00A5680C">
        <w:rPr>
          <w:rFonts w:ascii="Arial" w:hAnsi="Arial" w:eastAsia="Times New Roman" w:cs="Arial"/>
          <w:color w:val="000000"/>
          <w:highlight w:val="yellow"/>
          <w:bdr w:val="none" w:color="auto" w:sz="0" w:space="0" w:frame="1"/>
          <w:lang w:eastAsia="es-ES_tradnl"/>
        </w:rPr>
        <w:t>) no existe ningún criterio material o sustantivo que justifique el trato diferenciado.</w:t>
      </w:r>
    </w:p>
    <w:p w:rsidRPr="00A5680C" w:rsidR="00A5680C" w:rsidP="00A5680C" w:rsidRDefault="00A5680C" w14:paraId="02B3354A" w14:textId="77777777">
      <w:pPr>
        <w:widowControl w:val="0"/>
        <w:autoSpaceDE w:val="0"/>
        <w:autoSpaceDN w:val="0"/>
        <w:spacing w:before="3" w:after="0" w:line="240" w:lineRule="auto"/>
        <w:rPr>
          <w:rFonts w:ascii="Arial" w:hAnsi="Arial" w:eastAsia="Arial" w:cs="Arial"/>
          <w:sz w:val="25"/>
          <w:lang w:val="es-ES"/>
        </w:rPr>
      </w:pPr>
    </w:p>
    <w:p w:rsidRPr="00A5680C" w:rsidR="00A5680C" w:rsidP="00A5680C" w:rsidRDefault="00A5680C" w14:paraId="301008AA" w14:textId="77777777">
      <w:pPr>
        <w:widowControl w:val="0"/>
        <w:autoSpaceDE w:val="0"/>
        <w:autoSpaceDN w:val="0"/>
        <w:spacing w:before="6" w:after="0" w:line="240" w:lineRule="auto"/>
        <w:rPr>
          <w:rFonts w:ascii="Arial" w:hAnsi="Arial" w:eastAsia="Arial" w:cs="Arial"/>
          <w:sz w:val="25"/>
          <w:lang w:val="es-ES"/>
        </w:rPr>
      </w:pPr>
    </w:p>
    <w:p w:rsidRPr="00A5680C" w:rsidR="00A5680C" w:rsidP="007361DB" w:rsidRDefault="00A5680C" w14:paraId="72291EC0"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highlight w:val="yellow"/>
          <w:bdr w:val="none" w:color="auto" w:sz="0" w:space="0" w:frame="1"/>
          <w:lang w:eastAsia="es-ES_tradnl"/>
        </w:rPr>
      </w:pPr>
      <w:r w:rsidRPr="00A5680C">
        <w:rPr>
          <w:rFonts w:ascii="Arial" w:hAnsi="Arial" w:eastAsia="Times New Roman" w:cs="Arial"/>
          <w:color w:val="000000"/>
          <w:highlight w:val="yellow"/>
          <w:bdr w:val="none" w:color="auto" w:sz="0" w:space="0" w:frame="1"/>
          <w:lang w:eastAsia="es-ES_tradnl"/>
        </w:rPr>
        <w:t>Así las cosas, frente a la acreditación de la experiencia de los socios, accionistas o constituyentes de una persona jurídica con menos de 3 años de constitución, para participar en los eventos exceptuados al deber de inscripción en el RUP, como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w:t>
      </w:r>
    </w:p>
    <w:p w:rsidRPr="00A5680C" w:rsidR="00A5680C" w:rsidP="00A5680C" w:rsidRDefault="00A5680C" w14:paraId="2E8D970C" w14:textId="77777777">
      <w:pPr>
        <w:widowControl w:val="0"/>
        <w:autoSpaceDE w:val="0"/>
        <w:autoSpaceDN w:val="0"/>
        <w:spacing w:before="2" w:after="0" w:line="240" w:lineRule="auto"/>
        <w:rPr>
          <w:rFonts w:ascii="Arial" w:hAnsi="Arial" w:eastAsia="Arial" w:cs="Arial"/>
          <w:sz w:val="25"/>
          <w:lang w:val="es-ES"/>
        </w:rPr>
      </w:pPr>
    </w:p>
    <w:p w:rsidR="00A5680C" w:rsidP="007361DB" w:rsidRDefault="00A5680C" w14:paraId="08E88566"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highlight w:val="yellow"/>
          <w:bdr w:val="none" w:color="auto" w:sz="0" w:space="0" w:frame="1"/>
          <w:lang w:eastAsia="es-ES_tradnl"/>
        </w:rPr>
      </w:pPr>
      <w:r w:rsidRPr="00A5680C">
        <w:rPr>
          <w:rFonts w:ascii="Arial" w:hAnsi="Arial" w:eastAsia="Times New Roman" w:cs="Arial"/>
          <w:color w:val="000000"/>
          <w:highlight w:val="yellow"/>
          <w:bdr w:val="none" w:color="auto" w:sz="0" w:space="0" w:frame="1"/>
          <w:lang w:eastAsia="es-ES_tradnl"/>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006851A7" w:rsidP="007361DB" w:rsidRDefault="006851A7" w14:paraId="4315D05C" w14:textId="77777777">
      <w:pPr>
        <w:widowControl w:val="0"/>
        <w:tabs>
          <w:tab w:val="left" w:pos="1134"/>
        </w:tabs>
        <w:autoSpaceDE w:val="0"/>
        <w:autoSpaceDN w:val="0"/>
        <w:spacing w:before="120" w:after="0" w:line="276" w:lineRule="auto"/>
        <w:ind w:firstLine="709"/>
        <w:jc w:val="both"/>
        <w:rPr>
          <w:rFonts w:ascii="Arial" w:hAnsi="Arial" w:eastAsia="Times New Roman" w:cs="Arial"/>
          <w:color w:val="000000"/>
          <w:highlight w:val="yellow"/>
          <w:bdr w:val="none" w:color="auto" w:sz="0" w:space="0" w:frame="1"/>
          <w:lang w:eastAsia="es-ES_tradnl"/>
        </w:rPr>
      </w:pPr>
    </w:p>
    <w:p w:rsidRPr="00A5680C" w:rsidR="006851A7" w:rsidP="006851A7" w:rsidRDefault="006851A7" w14:paraId="5EAC22C0" w14:textId="04F45A9D">
      <w:pPr>
        <w:shd w:val="clear" w:color="auto" w:fill="FFFFFF" w:themeFill="background1"/>
        <w:tabs>
          <w:tab w:val="left" w:pos="426"/>
        </w:tabs>
        <w:spacing w:after="0"/>
        <w:jc w:val="both"/>
        <w:rPr>
          <w:rFonts w:ascii="Arial" w:hAnsi="Arial" w:eastAsia="Calibri" w:cs="Arial"/>
          <w:b/>
          <w:bCs/>
          <w:color w:val="000000" w:themeColor="text1"/>
          <w:lang w:eastAsia="en-GB"/>
        </w:rPr>
      </w:pPr>
      <w:r w:rsidRPr="006851A7">
        <w:rPr>
          <w:rFonts w:ascii="Arial" w:hAnsi="Arial" w:eastAsia="Calibri" w:cs="Arial"/>
          <w:b/>
          <w:bCs/>
          <w:color w:val="000000" w:themeColor="text1"/>
          <w:lang w:eastAsia="en-GB"/>
        </w:rPr>
        <w:t>2.7 Certificaciones de sistemas de gestión de calidad</w:t>
      </w:r>
    </w:p>
    <w:p w:rsidR="00A5680C" w:rsidP="005C12DE" w:rsidRDefault="00A5680C" w14:paraId="2A4F471F" w14:textId="77777777">
      <w:pPr>
        <w:spacing w:after="0" w:line="276" w:lineRule="auto"/>
        <w:ind w:firstLine="708"/>
        <w:contextualSpacing/>
        <w:jc w:val="both"/>
        <w:rPr>
          <w:rFonts w:ascii="Arial" w:hAnsi="Arial" w:eastAsia="Calibri" w:cs="Arial"/>
          <w:color w:val="000000" w:themeColor="text1"/>
          <w:lang w:eastAsia="en-GB"/>
        </w:rPr>
      </w:pPr>
    </w:p>
    <w:p w:rsidRPr="007B31BD" w:rsidR="007B31BD" w:rsidP="007B31BD" w:rsidRDefault="00FA1A27" w14:paraId="3361DFB2" w14:textId="40C1B2F7">
      <w:pPr>
        <w:spacing w:before="120" w:after="0" w:line="276" w:lineRule="auto"/>
        <w:jc w:val="both"/>
        <w:rPr>
          <w:rFonts w:ascii="Arial" w:hAnsi="Arial" w:eastAsia="Calibri" w:cs="Arial"/>
          <w:color w:val="000000"/>
          <w:lang w:val="es-MX"/>
        </w:rPr>
      </w:pPr>
      <w:r w:rsidRPr="00FA1A27">
        <w:rPr>
          <w:rFonts w:ascii="Arial" w:hAnsi="Arial" w:eastAsia="Calibri" w:cs="Arial"/>
          <w:color w:val="000000"/>
          <w:lang w:val="es-MX"/>
        </w:rPr>
        <w:t>E</w:t>
      </w:r>
      <w:r w:rsidRPr="007B31BD" w:rsidR="007B31BD">
        <w:rPr>
          <w:rFonts w:ascii="Arial" w:hAnsi="Arial" w:eastAsia="Calibri" w:cs="Arial"/>
          <w:color w:val="000000"/>
          <w:lang w:val="es-MX"/>
        </w:rPr>
        <w:t xml:space="preserve">n el caso de los requisitos habilitantes, el artículo 5, parágrafo 2, de la Ley 1150 de 2007 establece que las </w:t>
      </w:r>
      <w:r w:rsidRPr="00FA1A27">
        <w:rPr>
          <w:rFonts w:ascii="Arial" w:hAnsi="Arial" w:eastAsia="Calibri" w:cs="Arial"/>
          <w:color w:val="000000"/>
          <w:u w:val="single"/>
          <w:lang w:val="es-MX"/>
        </w:rPr>
        <w:t>“</w:t>
      </w:r>
      <w:r w:rsidRPr="007B31BD" w:rsidR="007B31BD">
        <w:rPr>
          <w:rFonts w:ascii="Arial" w:hAnsi="Arial" w:eastAsia="Calibri" w:cs="Arial"/>
          <w:color w:val="000000"/>
          <w:u w:val="single"/>
          <w:lang w:val="es-MX"/>
        </w:rPr>
        <w:t>certificaciones de sistemas de gestión de calidad no serán objeto de calificación, ni podrán establecerse como documento habilitante para participar en licitaciones o concursos</w:t>
      </w:r>
      <w:r w:rsidRPr="00FA1A27">
        <w:rPr>
          <w:rFonts w:ascii="Arial" w:hAnsi="Arial" w:eastAsia="Calibri" w:cs="Arial"/>
          <w:color w:val="000000"/>
          <w:lang w:val="es-MX"/>
        </w:rPr>
        <w:t>”</w:t>
      </w:r>
      <w:r w:rsidRPr="007B31BD" w:rsidR="007B31BD">
        <w:rPr>
          <w:rFonts w:ascii="Arial" w:hAnsi="Arial" w:eastAsia="Calibri" w:cs="Arial"/>
          <w:color w:val="000000"/>
          <w:lang w:val="es-MX"/>
        </w:rPr>
        <w:t>. Es del caso precisar que esta prohibición comprende los requisitos habilitantes y, además, los requisitos puntuables, pues la norma prohíbe expresamente que dichas certificaciones sean objeto de calificación. En efecto, el parágrafo en mención establece:</w:t>
      </w:r>
    </w:p>
    <w:p w:rsidRPr="007B31BD" w:rsidR="007B31BD" w:rsidP="007B31BD" w:rsidRDefault="007B31BD" w14:paraId="4CCF7AAB" w14:textId="77777777">
      <w:pPr>
        <w:spacing w:after="0" w:line="276" w:lineRule="auto"/>
        <w:ind w:firstLine="709"/>
        <w:jc w:val="both"/>
        <w:rPr>
          <w:rFonts w:ascii="Arial" w:hAnsi="Arial" w:eastAsia="Calibri" w:cs="Arial"/>
          <w:color w:val="000000"/>
          <w:highlight w:val="yellow"/>
          <w:lang w:val="es-MX"/>
        </w:rPr>
      </w:pPr>
    </w:p>
    <w:p w:rsidRPr="007B31BD" w:rsidR="007B31BD" w:rsidP="007B31BD" w:rsidRDefault="000D4F4E" w14:paraId="4EA1C524" w14:textId="44BB5C9C">
      <w:pPr>
        <w:spacing w:before="120" w:after="0" w:line="240" w:lineRule="auto"/>
        <w:ind w:left="709" w:right="758"/>
        <w:jc w:val="both"/>
        <w:rPr>
          <w:rFonts w:ascii="Arial" w:hAnsi="Arial" w:eastAsia="Calibri" w:cs="Arial"/>
          <w:color w:val="000000"/>
          <w:sz w:val="21"/>
          <w:szCs w:val="21"/>
        </w:rPr>
      </w:pPr>
      <w:r>
        <w:rPr>
          <w:rFonts w:ascii="Arial" w:hAnsi="Arial" w:eastAsia="Calibri" w:cs="Arial"/>
          <w:color w:val="000000"/>
          <w:sz w:val="21"/>
          <w:szCs w:val="21"/>
        </w:rPr>
        <w:t>“</w:t>
      </w:r>
      <w:r w:rsidRPr="007B31BD" w:rsidR="007B31BD">
        <w:rPr>
          <w:rFonts w:ascii="Arial" w:hAnsi="Arial" w:eastAsia="Calibri" w:cs="Arial"/>
          <w:color w:val="000000"/>
          <w:sz w:val="21"/>
          <w:szCs w:val="21"/>
        </w:rPr>
        <w:t xml:space="preserve">PARÁGRAFO 2o. Las certificaciones de sistemas de gestión de calidad </w:t>
      </w:r>
      <w:r w:rsidRPr="007B31BD" w:rsidR="007B31BD">
        <w:rPr>
          <w:rFonts w:ascii="Arial" w:hAnsi="Arial" w:eastAsia="Calibri" w:cs="Arial"/>
          <w:i/>
          <w:color w:val="000000"/>
          <w:sz w:val="21"/>
          <w:szCs w:val="21"/>
        </w:rPr>
        <w:t>no serán objeto de calificación</w:t>
      </w:r>
      <w:r w:rsidRPr="007B31BD" w:rsidR="007B31BD">
        <w:rPr>
          <w:rFonts w:ascii="Arial" w:hAnsi="Arial" w:eastAsia="Calibri" w:cs="Arial"/>
          <w:color w:val="000000"/>
          <w:sz w:val="21"/>
          <w:szCs w:val="21"/>
        </w:rPr>
        <w:t>, ni podrán establecerse como documento habilitante para participar en licitaciones o concursos.</w:t>
      </w:r>
      <w:r>
        <w:rPr>
          <w:rFonts w:ascii="Arial" w:hAnsi="Arial" w:eastAsia="Calibri" w:cs="Arial"/>
          <w:color w:val="000000"/>
          <w:sz w:val="21"/>
          <w:szCs w:val="21"/>
        </w:rPr>
        <w:t>”</w:t>
      </w:r>
      <w:r w:rsidRPr="007B31BD" w:rsidR="007B31BD">
        <w:rPr>
          <w:rFonts w:ascii="Arial" w:hAnsi="Arial" w:eastAsia="Calibri" w:cs="Arial"/>
          <w:color w:val="000000"/>
          <w:sz w:val="21"/>
          <w:szCs w:val="21"/>
        </w:rPr>
        <w:t xml:space="preserve"> (Cursivas fuera de texto)</w:t>
      </w:r>
    </w:p>
    <w:p w:rsidRPr="007B31BD" w:rsidR="007B31BD" w:rsidP="007B31BD" w:rsidRDefault="007B31BD" w14:paraId="2F14D9CF" w14:textId="77777777">
      <w:pPr>
        <w:spacing w:after="0" w:line="276" w:lineRule="auto"/>
        <w:ind w:firstLine="709"/>
        <w:jc w:val="both"/>
        <w:rPr>
          <w:rFonts w:ascii="Arial" w:hAnsi="Arial" w:eastAsia="Calibri" w:cs="Arial"/>
          <w:color w:val="000000"/>
          <w:highlight w:val="yellow"/>
        </w:rPr>
      </w:pPr>
    </w:p>
    <w:p w:rsidRPr="007B31BD" w:rsidR="007B31BD" w:rsidP="007B31BD" w:rsidRDefault="007B31BD" w14:paraId="4DF4AAF9" w14:textId="5D3246C3">
      <w:pPr>
        <w:spacing w:after="0" w:line="276" w:lineRule="auto"/>
        <w:ind w:firstLine="709"/>
        <w:jc w:val="both"/>
        <w:rPr>
          <w:rFonts w:ascii="Arial" w:hAnsi="Arial" w:eastAsia="Calibri" w:cs="Arial"/>
          <w:color w:val="000000"/>
        </w:rPr>
      </w:pPr>
      <w:r w:rsidRPr="007B31BD">
        <w:rPr>
          <w:rFonts w:ascii="Arial" w:hAnsi="Arial" w:eastAsia="Calibri" w:cs="Arial"/>
          <w:color w:val="000000"/>
          <w:lang w:val="es-MX"/>
        </w:rPr>
        <w:t xml:space="preserve">Ese es el criterio actual en el Consejo de Estado. En efecto, en concepto del 20 de mayo del 2010, la Sala de Consulta y Servicio Civil de dicha Corporación aclaró que </w:t>
      </w:r>
      <w:r w:rsidR="00343E8C">
        <w:rPr>
          <w:rFonts w:ascii="Arial" w:hAnsi="Arial" w:eastAsia="Calibri" w:cs="Arial"/>
          <w:color w:val="000000"/>
          <w:lang w:val="es-MX"/>
        </w:rPr>
        <w:t>“</w:t>
      </w:r>
      <w:r w:rsidRPr="007B31BD">
        <w:rPr>
          <w:rFonts w:ascii="Calibri" w:hAnsi="Calibri" w:eastAsia="Calibri" w:cs="Times New Roman"/>
          <w:sz w:val="24"/>
          <w:lang w:val="es-MX"/>
        </w:rPr>
        <w:t xml:space="preserve">[…] </w:t>
      </w:r>
      <w:r w:rsidRPr="007B31BD">
        <w:rPr>
          <w:rFonts w:ascii="Arial" w:hAnsi="Arial" w:eastAsia="Calibri" w:cs="Arial"/>
          <w:color w:val="000000"/>
          <w:lang w:val="es-MX"/>
        </w:rPr>
        <w:t xml:space="preserve">Los certificados </w:t>
      </w:r>
      <w:r w:rsidRPr="007B31BD">
        <w:rPr>
          <w:rFonts w:ascii="Arial" w:hAnsi="Arial" w:eastAsia="Calibri" w:cs="Arial"/>
          <w:color w:val="000000"/>
          <w:lang w:val="es-MX"/>
        </w:rPr>
        <w:t>de gestión de calidad no se pueden solicitar a los proponentes, ni como requisito habilitante para participar en los procesos de selección, ni para otorgar puntaje</w:t>
      </w:r>
      <w:r w:rsidR="00343E8C">
        <w:rPr>
          <w:rFonts w:ascii="Arial" w:hAnsi="Arial" w:eastAsia="Calibri" w:cs="Arial"/>
          <w:color w:val="000000"/>
          <w:lang w:val="es-MX"/>
        </w:rPr>
        <w:t>”</w:t>
      </w:r>
      <w:r w:rsidRPr="007B31BD">
        <w:rPr>
          <w:rFonts w:ascii="Arial" w:hAnsi="Arial" w:eastAsia="Calibri" w:cs="Arial"/>
          <w:color w:val="000000"/>
          <w:vertAlign w:val="superscript"/>
          <w:lang w:val="es-MX"/>
        </w:rPr>
        <w:footnoteReference w:id="46"/>
      </w:r>
      <w:r w:rsidRPr="007B31BD">
        <w:rPr>
          <w:rFonts w:ascii="Arial" w:hAnsi="Arial" w:eastAsia="Calibri" w:cs="Arial"/>
          <w:color w:val="000000"/>
          <w:lang w:val="es-MX"/>
        </w:rPr>
        <w:t>.</w:t>
      </w:r>
    </w:p>
    <w:p w:rsidR="007B31BD" w:rsidP="007B31BD" w:rsidRDefault="007B31BD" w14:paraId="3E4FE4F4" w14:textId="7555DC03">
      <w:pPr>
        <w:spacing w:before="120" w:after="0" w:line="276" w:lineRule="auto"/>
        <w:ind w:firstLine="709"/>
        <w:jc w:val="both"/>
        <w:rPr>
          <w:rFonts w:ascii="Arial" w:hAnsi="Arial" w:eastAsia="Calibri" w:cs="Arial"/>
          <w:color w:val="000000"/>
          <w:lang w:val="es-MX"/>
        </w:rPr>
      </w:pPr>
      <w:r w:rsidRPr="007B31BD">
        <w:rPr>
          <w:rFonts w:ascii="Arial" w:hAnsi="Arial" w:eastAsia="Calibri" w:cs="Arial"/>
          <w:color w:val="000000"/>
          <w:lang w:val="es-MX"/>
        </w:rPr>
        <w:t>Es del caso precisar que, a juicio de</w:t>
      </w:r>
      <w:r w:rsidR="00E32D5C">
        <w:rPr>
          <w:rFonts w:ascii="Arial" w:hAnsi="Arial" w:eastAsia="Calibri" w:cs="Arial"/>
          <w:color w:val="000000"/>
          <w:lang w:val="es-MX"/>
        </w:rPr>
        <w:t xml:space="preserve"> esta</w:t>
      </w:r>
      <w:r w:rsidRPr="007B31BD">
        <w:rPr>
          <w:rFonts w:ascii="Arial" w:hAnsi="Arial" w:eastAsia="Calibri" w:cs="Arial"/>
          <w:color w:val="000000"/>
          <w:lang w:val="es-MX"/>
        </w:rPr>
        <w:t xml:space="preserve"> Agencia, tal prohibición no se restringe a la exigencia de la certificación o el documento como tal, sino que debe entenderse en relación con la implementación de un sistema de gestión de calidad en sí mismo. En ese sentido, lo que prohíbe el legislador es que la entidad les exija a los proponentes, a título de requisito habilitante o calificable, la implementación de un sistema de gestión de calidad. Ese es el efecto útil de la norma </w:t>
      </w:r>
      <w:r w:rsidRPr="007B31BD">
        <w:rPr>
          <w:rFonts w:ascii="Arial" w:hAnsi="Arial" w:eastAsia="Calibri" w:cs="Arial"/>
          <w:i/>
          <w:iCs/>
          <w:color w:val="000000"/>
          <w:lang w:val="es-MX"/>
        </w:rPr>
        <w:t>sub examine</w:t>
      </w:r>
      <w:r w:rsidRPr="007B31BD">
        <w:rPr>
          <w:rFonts w:ascii="Arial" w:hAnsi="Arial" w:eastAsia="Calibri" w:cs="Arial"/>
          <w:color w:val="000000"/>
          <w:lang w:val="es-MX"/>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rsidRPr="007B31BD" w:rsidR="00E32D5C" w:rsidP="007B31BD" w:rsidRDefault="00E32D5C" w14:paraId="169D6984" w14:textId="77777777">
      <w:pPr>
        <w:spacing w:before="120" w:after="0" w:line="276" w:lineRule="auto"/>
        <w:ind w:firstLine="709"/>
        <w:jc w:val="both"/>
        <w:rPr>
          <w:rFonts w:ascii="Arial" w:hAnsi="Arial" w:eastAsia="Calibri" w:cs="Arial"/>
          <w:color w:val="000000"/>
          <w:lang w:val="es-MX"/>
        </w:rPr>
      </w:pPr>
    </w:p>
    <w:p w:rsidR="00A5680C" w:rsidP="007B31BD" w:rsidRDefault="007B31BD" w14:paraId="3FED1044" w14:textId="3387DA6C">
      <w:pPr>
        <w:spacing w:after="0" w:line="276" w:lineRule="auto"/>
        <w:ind w:firstLine="708"/>
        <w:contextualSpacing/>
        <w:jc w:val="both"/>
        <w:rPr>
          <w:rFonts w:ascii="Arial" w:hAnsi="Arial" w:eastAsia="Calibri" w:cs="Arial"/>
          <w:color w:val="000000"/>
          <w:lang w:val="es-MX"/>
        </w:rPr>
      </w:pPr>
      <w:r w:rsidRPr="00E32D5C">
        <w:rPr>
          <w:rFonts w:ascii="Arial" w:hAnsi="Arial" w:eastAsia="Calibri" w:cs="Arial"/>
          <w:color w:val="000000"/>
          <w:lang w:val="es-MX"/>
        </w:rPr>
        <w:t xml:space="preserve">Lo dicho antes no quiere decir que durante la ejecución del contrato estatal la entidad no pueda y deba supervisar el cumplimiento de unos estándares mínimos de calidad que exige la ley en algunos eventos específicos y determinados, como es el caso de los estándares mínimos del Gestión Ambiental y el Sistema de Gestión de la Seguridad y Salud en el Trabajo </w:t>
      </w:r>
      <w:r w:rsidR="005843A4">
        <w:rPr>
          <w:rFonts w:ascii="Arial" w:hAnsi="Arial" w:eastAsia="Calibri" w:cs="Arial"/>
          <w:color w:val="000000"/>
          <w:lang w:val="es-MX"/>
        </w:rPr>
        <w:t>“</w:t>
      </w:r>
      <w:r w:rsidRPr="00E32D5C">
        <w:rPr>
          <w:rFonts w:ascii="Arial" w:hAnsi="Arial" w:eastAsia="Calibri" w:cs="Arial"/>
          <w:color w:val="000000"/>
          <w:lang w:val="es-MX"/>
        </w:rPr>
        <w:t>SG-SST</w:t>
      </w:r>
      <w:r w:rsidR="005843A4">
        <w:rPr>
          <w:rFonts w:ascii="Arial" w:hAnsi="Arial" w:eastAsia="Calibri" w:cs="Arial"/>
          <w:color w:val="000000"/>
          <w:lang w:val="es-MX"/>
        </w:rPr>
        <w:t>”</w:t>
      </w:r>
      <w:r w:rsidRPr="00E32D5C">
        <w:rPr>
          <w:rFonts w:ascii="Arial" w:hAnsi="Arial" w:eastAsia="Calibri" w:cs="Arial"/>
          <w:color w:val="000000"/>
          <w:lang w:val="es-MX"/>
        </w:rPr>
        <w:t>, reglamentados por medio de las Resoluciones 2140 de 7 de noviembre de 2017 y 0312 del 13 de febrero de 2019, expedidas por el Ministerio de Ambiente y el Ministerio del Trabajo, respectivamente.</w:t>
      </w:r>
    </w:p>
    <w:p w:rsidR="00CE0932" w:rsidP="007B31BD" w:rsidRDefault="00CE0932" w14:paraId="04ED316D" w14:textId="77777777">
      <w:pPr>
        <w:spacing w:after="0" w:line="276" w:lineRule="auto"/>
        <w:ind w:firstLine="708"/>
        <w:contextualSpacing/>
        <w:jc w:val="both"/>
        <w:rPr>
          <w:rFonts w:ascii="Arial" w:hAnsi="Arial" w:eastAsia="Calibri" w:cs="Arial"/>
          <w:color w:val="000000"/>
          <w:lang w:val="es-MX"/>
        </w:rPr>
      </w:pPr>
    </w:p>
    <w:p w:rsidR="0061016A" w:rsidP="007B31BD" w:rsidRDefault="002E653A" w14:paraId="4B0C9A06" w14:textId="047175D9">
      <w:pPr>
        <w:spacing w:after="0" w:line="276" w:lineRule="auto"/>
        <w:ind w:firstLine="708"/>
        <w:contextualSpacing/>
        <w:jc w:val="both"/>
        <w:rPr>
          <w:rFonts w:ascii="Arial" w:hAnsi="Arial" w:eastAsia="Calibri" w:cs="Arial"/>
          <w:color w:val="000000"/>
          <w:lang w:val="es-MX"/>
        </w:rPr>
      </w:pPr>
      <w:r>
        <w:rPr>
          <w:rFonts w:ascii="Arial" w:hAnsi="Arial" w:eastAsia="Calibri" w:cs="Arial"/>
          <w:color w:val="000000"/>
          <w:lang w:val="es-MX"/>
        </w:rPr>
        <w:t xml:space="preserve">Ahor bien, de conformidad con lo expresado en el numeral </w:t>
      </w:r>
      <w:r w:rsidR="008E1873">
        <w:rPr>
          <w:rFonts w:ascii="Arial" w:hAnsi="Arial" w:eastAsia="Calibri" w:cs="Arial"/>
          <w:color w:val="000000"/>
          <w:lang w:val="es-MX"/>
        </w:rPr>
        <w:t>2.4 de este concepto</w:t>
      </w:r>
      <w:r w:rsidR="00BC78B1">
        <w:rPr>
          <w:rFonts w:ascii="Arial" w:hAnsi="Arial" w:eastAsia="Calibri" w:cs="Arial"/>
          <w:color w:val="000000"/>
          <w:lang w:val="es-MX"/>
        </w:rPr>
        <w:t xml:space="preserve"> y</w:t>
      </w:r>
      <w:r w:rsidR="00704166">
        <w:rPr>
          <w:rFonts w:ascii="Arial" w:hAnsi="Arial" w:eastAsia="Calibri" w:cs="Arial"/>
          <w:color w:val="000000"/>
          <w:lang w:val="es-MX"/>
        </w:rPr>
        <w:t xml:space="preserve"> teniendo en cuenta </w:t>
      </w:r>
      <w:r w:rsidR="00BC78B1">
        <w:rPr>
          <w:rFonts w:ascii="Arial" w:hAnsi="Arial" w:eastAsia="Calibri" w:cs="Arial"/>
          <w:color w:val="000000"/>
          <w:lang w:val="es-MX"/>
        </w:rPr>
        <w:t xml:space="preserve"> </w:t>
      </w:r>
      <w:r w:rsidR="00704166">
        <w:rPr>
          <w:rFonts w:ascii="Arial" w:hAnsi="Arial" w:eastAsia="Calibri" w:cs="Arial"/>
          <w:color w:val="000000"/>
          <w:lang w:val="es-MX"/>
        </w:rPr>
        <w:t xml:space="preserve">el interrogante planteado sobre si </w:t>
      </w:r>
      <w:r w:rsidR="00BC78B1">
        <w:rPr>
          <w:rFonts w:ascii="Arial" w:hAnsi="Arial" w:eastAsia="Calibri" w:cs="Arial"/>
          <w:color w:val="000000"/>
          <w:lang w:val="es-MX"/>
        </w:rPr>
        <w:t>“</w:t>
      </w:r>
      <w:r w:rsidRPr="00704166" w:rsidR="00704166">
        <w:rPr>
          <w:rFonts w:ascii="Arial" w:hAnsi="Arial" w:eastAsia="Calibri" w:cs="Arial"/>
          <w:color w:val="000000"/>
          <w:lang w:val="es-MX"/>
        </w:rPr>
        <w:t>¿Las entidades con régimen especial de contratación pueden solicitar como requisito habilitante o ponderable certificaciones de calidad, aun cuando dicha exigencia esté prohibida de acuerdo con lo dispuesto en la Ley 1150 de 2007?”</w:t>
      </w:r>
      <w:r w:rsidR="008E1873">
        <w:rPr>
          <w:rFonts w:ascii="Arial" w:hAnsi="Arial" w:eastAsia="Calibri" w:cs="Arial"/>
          <w:color w:val="000000"/>
          <w:lang w:val="es-MX"/>
        </w:rPr>
        <w:t xml:space="preserve">, </w:t>
      </w:r>
      <w:r w:rsidR="0008376D">
        <w:rPr>
          <w:rFonts w:ascii="Arial" w:hAnsi="Arial" w:eastAsia="Calibri" w:cs="Arial"/>
          <w:color w:val="000000"/>
          <w:lang w:val="es-MX"/>
        </w:rPr>
        <w:t>partiendo de que las entidades</w:t>
      </w:r>
      <w:r w:rsidRPr="008E1873" w:rsidR="008E1873">
        <w:rPr>
          <w:rFonts w:ascii="Arial" w:hAnsi="Arial" w:eastAsia="Calibri" w:cs="Arial"/>
          <w:color w:val="000000"/>
          <w:lang w:val="es-MX"/>
        </w:rPr>
        <w:t xml:space="preserve"> de régimen especial son aquellas que, por expresa disposición legal y por su naturaleza o situación de competencia, tienen condiciones diferenciales respecto de la normativa de contratación pública. Esto quiere decir que </w:t>
      </w:r>
      <w:r w:rsidRPr="000D0B0A" w:rsidR="008E1873">
        <w:rPr>
          <w:rFonts w:ascii="Arial" w:hAnsi="Arial" w:eastAsia="Calibri" w:cs="Arial"/>
          <w:color w:val="000000"/>
          <w:u w:val="single"/>
          <w:lang w:val="es-MX"/>
        </w:rPr>
        <w:t>no están sometidas al Estatuto General de Contratación de la Administración Pública, por lo que sus procedimientos contractuales tienen su normativa propia para su desarrollo, esto es, el derecho privado</w:t>
      </w:r>
      <w:r w:rsidRPr="008E1873" w:rsidR="008E1873">
        <w:rPr>
          <w:rFonts w:ascii="Arial" w:hAnsi="Arial" w:eastAsia="Calibri" w:cs="Arial"/>
          <w:color w:val="000000"/>
          <w:lang w:val="es-MX"/>
        </w:rPr>
        <w:t xml:space="preserve">. Este aspecto se determina en las normas de creación de las entidades de régimen especial y en sus </w:t>
      </w:r>
      <w:r w:rsidRPr="000D0B0A" w:rsidR="008E1873">
        <w:rPr>
          <w:rFonts w:ascii="Arial" w:hAnsi="Arial" w:eastAsia="Calibri" w:cs="Arial"/>
          <w:color w:val="000000"/>
          <w:u w:val="single"/>
          <w:lang w:val="es-MX"/>
        </w:rPr>
        <w:t>manuales de contratación</w:t>
      </w:r>
      <w:r w:rsidR="0061016A">
        <w:rPr>
          <w:rFonts w:ascii="Arial" w:hAnsi="Arial" w:eastAsia="Calibri" w:cs="Arial"/>
          <w:color w:val="000000"/>
          <w:lang w:val="es-MX"/>
        </w:rPr>
        <w:t xml:space="preserve">. </w:t>
      </w:r>
      <w:r w:rsidRPr="00613B05" w:rsidR="0061016A">
        <w:rPr>
          <w:rFonts w:ascii="Arial" w:hAnsi="Arial" w:eastAsia="Calibri" w:cs="Arial"/>
          <w:color w:val="000000"/>
          <w:highlight w:val="yellow"/>
          <w:lang w:val="es-MX"/>
        </w:rPr>
        <w:t xml:space="preserve">La prohibición prevista en el artículo 5, parágrafo 2, de la Ley 1150 de </w:t>
      </w:r>
      <w:r w:rsidRPr="00613B05" w:rsidR="0061016A">
        <w:rPr>
          <w:rFonts w:ascii="Arial" w:hAnsi="Arial" w:eastAsia="Calibri" w:cs="Arial"/>
          <w:color w:val="000000"/>
          <w:highlight w:val="yellow"/>
          <w:lang w:val="es-MX"/>
        </w:rPr>
        <w:t>2007</w:t>
      </w:r>
      <w:r w:rsidRPr="00613B05" w:rsidR="003461CC">
        <w:rPr>
          <w:rFonts w:ascii="Arial" w:hAnsi="Arial" w:eastAsia="Calibri" w:cs="Arial"/>
          <w:color w:val="000000"/>
          <w:highlight w:val="yellow"/>
          <w:lang w:val="es-MX"/>
        </w:rPr>
        <w:t xml:space="preserve"> no se aplica de manera directa sobre las </w:t>
      </w:r>
      <w:r w:rsidRPr="00613B05" w:rsidR="00115702">
        <w:rPr>
          <w:rFonts w:ascii="Arial" w:hAnsi="Arial" w:eastAsia="Calibri" w:cs="Arial"/>
          <w:color w:val="000000"/>
          <w:highlight w:val="yellow"/>
          <w:lang w:val="es-MX"/>
        </w:rPr>
        <w:t xml:space="preserve">entidades de régimen especial, precisamente debe observarse las disposiciones consagradas en el mencionado manual de contratación </w:t>
      </w:r>
      <w:r w:rsidRPr="00613B05" w:rsidR="00D75CBA">
        <w:rPr>
          <w:rFonts w:ascii="Arial" w:hAnsi="Arial" w:eastAsia="Calibri" w:cs="Arial"/>
          <w:color w:val="000000"/>
          <w:highlight w:val="yellow"/>
          <w:lang w:val="es-MX"/>
        </w:rPr>
        <w:t>de cada entidad.</w:t>
      </w:r>
    </w:p>
    <w:p w:rsidR="00841BA3" w:rsidP="007B31BD" w:rsidRDefault="00841BA3" w14:paraId="1824750B" w14:textId="77777777">
      <w:pPr>
        <w:spacing w:after="0" w:line="276" w:lineRule="auto"/>
        <w:ind w:firstLine="708"/>
        <w:contextualSpacing/>
        <w:jc w:val="both"/>
        <w:rPr>
          <w:rFonts w:ascii="Arial" w:hAnsi="Arial" w:eastAsia="Calibri" w:cs="Arial"/>
          <w:color w:val="000000"/>
          <w:lang w:val="es-MX"/>
        </w:rPr>
      </w:pPr>
    </w:p>
    <w:p w:rsidR="00841BA3" w:rsidP="007B31BD" w:rsidRDefault="00E75B2D" w14:paraId="3A69A72E" w14:textId="43F91604">
      <w:pPr>
        <w:spacing w:after="0" w:line="276" w:lineRule="auto"/>
        <w:ind w:firstLine="708"/>
        <w:contextualSpacing/>
        <w:jc w:val="both"/>
        <w:rPr>
          <w:rFonts w:ascii="Arial" w:hAnsi="Arial" w:eastAsia="Calibri" w:cs="Arial"/>
          <w:color w:val="000000"/>
          <w:lang w:val="es-MX"/>
        </w:rPr>
      </w:pPr>
      <w:r>
        <w:rPr>
          <w:rFonts w:ascii="Arial" w:hAnsi="Arial" w:eastAsia="Calibri" w:cs="Arial"/>
          <w:color w:val="000000"/>
          <w:lang w:val="es-MX"/>
        </w:rPr>
        <w:t>Finalmente, s</w:t>
      </w:r>
      <w:r w:rsidR="00841BA3">
        <w:rPr>
          <w:rFonts w:ascii="Arial" w:hAnsi="Arial" w:eastAsia="Calibri" w:cs="Arial"/>
          <w:color w:val="000000"/>
          <w:lang w:val="es-MX"/>
        </w:rPr>
        <w:t xml:space="preserve">e reitera que, </w:t>
      </w:r>
      <w:r w:rsidRPr="00841BA3" w:rsidR="00841BA3">
        <w:rPr>
          <w:rFonts w:ascii="Arial" w:hAnsi="Arial" w:eastAsia="Calibri" w:cs="Arial"/>
          <w:color w:val="000000"/>
          <w:lang w:val="es-MX"/>
        </w:rPr>
        <w:t>el manual de contratación de las entidades de régimen especial y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r w:rsidR="00841BA3">
        <w:rPr>
          <w:rFonts w:ascii="Arial" w:hAnsi="Arial" w:eastAsia="Calibri" w:cs="Arial"/>
          <w:color w:val="000000"/>
          <w:lang w:val="es-MX"/>
        </w:rPr>
        <w:t xml:space="preserve"> </w:t>
      </w:r>
    </w:p>
    <w:p w:rsidRPr="00304903" w:rsidR="00304903" w:rsidP="00304903" w:rsidRDefault="00304903" w14:paraId="2C0EEBA3" w14:textId="77777777">
      <w:pPr>
        <w:shd w:val="clear" w:color="auto" w:fill="FFFFFF" w:themeFill="background1"/>
        <w:tabs>
          <w:tab w:val="left" w:pos="426"/>
        </w:tabs>
        <w:spacing w:after="0"/>
        <w:jc w:val="both"/>
        <w:rPr>
          <w:rFonts w:ascii="Arial" w:hAnsi="Arial" w:eastAsia="Calibri" w:cs="Arial"/>
          <w:b/>
          <w:bCs/>
          <w:color w:val="000000" w:themeColor="text1"/>
          <w:lang w:eastAsia="en-GB"/>
        </w:rPr>
      </w:pPr>
    </w:p>
    <w:p w:rsidRPr="00FC2D03" w:rsidR="00746BA3" w:rsidP="00FC2D03" w:rsidRDefault="00746BA3" w14:paraId="47837067" w14:textId="77777777">
      <w:pPr>
        <w:shd w:val="clear" w:color="auto" w:fill="FFFFFF" w:themeFill="background1"/>
        <w:spacing w:after="0" w:line="276" w:lineRule="auto"/>
        <w:jc w:val="both"/>
        <w:rPr>
          <w:rFonts w:ascii="Arial" w:hAnsi="Arial" w:cs="Arial"/>
          <w:color w:val="000000" w:themeColor="text1"/>
          <w:lang w:eastAsia="es-MX"/>
        </w:rPr>
      </w:pPr>
    </w:p>
    <w:p w:rsidRPr="00FC2D03" w:rsidR="00746BA3" w:rsidP="00FC2D03" w:rsidRDefault="00746BA3" w14:paraId="187BEC39" w14:textId="77777777">
      <w:pPr>
        <w:shd w:val="clear" w:color="auto" w:fill="FFFFFF" w:themeFill="background1"/>
        <w:tabs>
          <w:tab w:val="left" w:pos="0"/>
        </w:tabs>
        <w:spacing w:after="0"/>
        <w:jc w:val="both"/>
        <w:rPr>
          <w:rFonts w:ascii="Arial" w:hAnsi="Arial" w:eastAsia="Calibri" w:cs="Arial"/>
          <w:b/>
          <w:color w:val="000000" w:themeColor="text1"/>
          <w:lang w:val="es-ES_tradnl"/>
        </w:rPr>
      </w:pPr>
      <w:r w:rsidRPr="00FC2D03">
        <w:rPr>
          <w:rFonts w:ascii="Arial" w:hAnsi="Arial" w:eastAsia="Calibri" w:cs="Arial"/>
          <w:b/>
          <w:color w:val="000000" w:themeColor="text1"/>
          <w:lang w:val="es-ES_tradnl"/>
        </w:rPr>
        <w:t>3. Respuesta</w:t>
      </w:r>
    </w:p>
    <w:p w:rsidRPr="00FC2D03" w:rsidR="00746BA3" w:rsidP="00FC2D03" w:rsidRDefault="00746BA3" w14:paraId="65220126" w14:textId="77777777">
      <w:pPr>
        <w:shd w:val="clear" w:color="auto" w:fill="FFFFFF" w:themeFill="background1"/>
        <w:spacing w:after="0" w:line="276" w:lineRule="auto"/>
        <w:jc w:val="both"/>
        <w:rPr>
          <w:rFonts w:ascii="Arial" w:hAnsi="Arial" w:cs="Arial"/>
          <w:color w:val="000000" w:themeColor="text1"/>
        </w:rPr>
      </w:pPr>
    </w:p>
    <w:p w:rsidRPr="00E43270" w:rsidR="00274852" w:rsidP="00274852" w:rsidRDefault="00274852" w14:paraId="5624003C"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FC2D03">
        <w:rPr>
          <w:rFonts w:ascii="Arial" w:hAnsi="Arial" w:cs="Arial"/>
          <w:color w:val="000000" w:themeColor="text1"/>
          <w:sz w:val="21"/>
          <w:szCs w:val="21"/>
          <w:lang w:val="es-ES_tradnl"/>
        </w:rPr>
        <w:t>“</w:t>
      </w:r>
      <w:r w:rsidRPr="00E43270">
        <w:rPr>
          <w:rFonts w:ascii="Arial" w:hAnsi="Arial" w:cs="Arial"/>
          <w:color w:val="000000" w:themeColor="text1"/>
          <w:sz w:val="21"/>
          <w:szCs w:val="21"/>
          <w:lang w:val="es-ES_tradnl"/>
        </w:rPr>
        <w:t>1. ¿Existe alguna diferencia entre un convenio interadministrativo y un contrato</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interadministrativo?</w:t>
      </w:r>
    </w:p>
    <w:p w:rsidRPr="00E43270" w:rsidR="00274852" w:rsidP="00274852" w:rsidRDefault="00274852" w14:paraId="3E29F2E9"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2. ¿Qué requisitos deben cumplir las entidades para celebrar contratos y</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 xml:space="preserve">convenios interadministrativos? ¿En </w:t>
      </w:r>
      <w:proofErr w:type="spellStart"/>
      <w:r w:rsidRPr="00E43270">
        <w:rPr>
          <w:rFonts w:ascii="Arial" w:hAnsi="Arial" w:cs="Arial"/>
          <w:color w:val="000000" w:themeColor="text1"/>
          <w:sz w:val="21"/>
          <w:szCs w:val="21"/>
          <w:lang w:val="es-ES_tradnl"/>
        </w:rPr>
        <w:t>que</w:t>
      </w:r>
      <w:proofErr w:type="spellEnd"/>
      <w:r w:rsidRPr="00E43270">
        <w:rPr>
          <w:rFonts w:ascii="Arial" w:hAnsi="Arial" w:cs="Arial"/>
          <w:color w:val="000000" w:themeColor="text1"/>
          <w:sz w:val="21"/>
          <w:szCs w:val="21"/>
          <w:lang w:val="es-ES_tradnl"/>
        </w:rPr>
        <w:t xml:space="preserve"> normas se encuentran regulados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estos requisitos?</w:t>
      </w:r>
    </w:p>
    <w:p w:rsidR="00274852" w:rsidP="00274852" w:rsidRDefault="00274852" w14:paraId="6A58AACF" w14:textId="175B8768">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 xml:space="preserve">3. ¿Cómo garantizar la pluralidad de oferentes y el principio de </w:t>
      </w:r>
      <w:proofErr w:type="spellStart"/>
      <w:r w:rsidRPr="00E43270">
        <w:rPr>
          <w:rFonts w:ascii="Arial" w:hAnsi="Arial" w:cs="Arial"/>
          <w:color w:val="000000" w:themeColor="text1"/>
          <w:sz w:val="21"/>
          <w:szCs w:val="21"/>
          <w:lang w:val="es-ES_tradnl"/>
        </w:rPr>
        <w:t>selecciónobjetiva</w:t>
      </w:r>
      <w:proofErr w:type="spellEnd"/>
      <w:r w:rsidRPr="00E43270">
        <w:rPr>
          <w:rFonts w:ascii="Arial" w:hAnsi="Arial" w:cs="Arial"/>
          <w:color w:val="000000" w:themeColor="text1"/>
          <w:sz w:val="21"/>
          <w:szCs w:val="21"/>
          <w:lang w:val="es-ES_tradnl"/>
        </w:rPr>
        <w:t xml:space="preserve"> cuando se celebran contratos y convenios interadministrativos?</w:t>
      </w:r>
      <w:r w:rsidRPr="006A14C8" w:rsidR="006A14C8">
        <w:t xml:space="preserve"> </w:t>
      </w:r>
      <w:r w:rsidRPr="006A14C8" w:rsidR="006A14C8">
        <w:rPr>
          <w:rFonts w:ascii="Arial" w:hAnsi="Arial" w:cs="Arial"/>
          <w:color w:val="000000" w:themeColor="text1"/>
          <w:sz w:val="21"/>
          <w:szCs w:val="21"/>
          <w:lang w:val="es-ES_tradnl"/>
        </w:rPr>
        <w:t>¿Cómo evitar que los contratos y convenios interadministrativos sean usados para eludir los procesos de selección objetiva, tales como la licitación, selección abreviada, mínima cuantía, entre otros?</w:t>
      </w:r>
      <w:r w:rsidR="006A14C8">
        <w:rPr>
          <w:rFonts w:ascii="Arial" w:hAnsi="Arial" w:cs="Arial"/>
          <w:color w:val="000000" w:themeColor="text1"/>
          <w:sz w:val="21"/>
          <w:szCs w:val="21"/>
          <w:lang w:val="es-ES_tradnl"/>
        </w:rPr>
        <w:t xml:space="preserve"> </w:t>
      </w:r>
    </w:p>
    <w:p w:rsidR="003C6399" w:rsidP="0044732B" w:rsidRDefault="0044732B" w14:paraId="299269A9" w14:textId="245BAC02">
      <w:pPr>
        <w:pStyle w:val="Textoindependiente"/>
        <w:spacing w:before="119" w:after="0"/>
        <w:jc w:val="both"/>
        <w:rPr>
          <w:rFonts w:ascii="Arial" w:hAnsi="Arial" w:cs="Arial"/>
        </w:rPr>
      </w:pPr>
      <w:r w:rsidRPr="0044732B">
        <w:rPr>
          <w:rFonts w:ascii="Arial" w:hAnsi="Arial" w:cs="Arial"/>
        </w:rPr>
        <w:t>Conforme a las anteriores consideraciones,</w:t>
      </w:r>
      <w:r w:rsidR="00FB2451">
        <w:rPr>
          <w:rFonts w:ascii="Arial" w:hAnsi="Arial" w:cs="Arial"/>
        </w:rPr>
        <w:t xml:space="preserve"> </w:t>
      </w:r>
      <w:r w:rsidRPr="00FB2451" w:rsidR="00FB2451">
        <w:rPr>
          <w:rFonts w:ascii="Arial" w:hAnsi="Arial" w:cs="Arial"/>
        </w:rPr>
        <w:t xml:space="preserve">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w:t>
      </w:r>
      <w:r w:rsidRPr="006617A3" w:rsidR="00FB2451">
        <w:rPr>
          <w:rFonts w:ascii="Arial" w:hAnsi="Arial" w:cs="Arial"/>
          <w:u w:val="single"/>
        </w:rPr>
        <w:t>están determinados por un criterio orgánico</w:t>
      </w:r>
      <w:r w:rsidRPr="00FB2451" w:rsidR="00FB2451">
        <w:rPr>
          <w:rFonts w:ascii="Arial" w:hAnsi="Arial" w:cs="Arial"/>
        </w:rPr>
        <w:t>, pues es necesario que los extremos de la relación contractual sean entidades estatales.</w:t>
      </w:r>
    </w:p>
    <w:p w:rsidR="00C96FE5" w:rsidP="00C96FE5" w:rsidRDefault="00C96FE5" w14:paraId="158FB698" w14:textId="77777777">
      <w:pPr>
        <w:pStyle w:val="Textoindependiente"/>
        <w:spacing w:before="121" w:after="0"/>
        <w:ind w:firstLine="707"/>
        <w:jc w:val="both"/>
        <w:rPr>
          <w:rFonts w:ascii="Arial" w:hAnsi="Arial" w:cs="Arial"/>
        </w:rPr>
      </w:pPr>
      <w:r w:rsidRPr="00D74F6F">
        <w:rPr>
          <w:rFonts w:ascii="Arial" w:hAnsi="Arial" w:cs="Arial"/>
        </w:rPr>
        <w:t xml:space="preserve">Un contrato o convenio interadministrativo </w:t>
      </w:r>
      <w:r w:rsidRPr="000B7A6A">
        <w:rPr>
          <w:rFonts w:ascii="Arial" w:hAnsi="Arial" w:cs="Arial"/>
          <w:u w:val="single"/>
        </w:rPr>
        <w:t>no está determinado por la modalidad de selección utilizada para celebrarlo</w:t>
      </w:r>
      <w:r w:rsidRPr="00D74F6F">
        <w:rPr>
          <w:rFonts w:ascii="Arial" w:hAnsi="Arial" w:cs="Arial"/>
        </w:rPr>
        <w:t xml:space="preserve">.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w:t>
      </w:r>
      <w:r w:rsidRPr="00D74F6F">
        <w:rPr>
          <w:rFonts w:ascii="Arial" w:hAnsi="Arial" w:cs="Arial"/>
        </w:rPr>
        <w:t>oferentes</w:t>
      </w:r>
      <w:r w:rsidRPr="00D74F6F">
        <w:rPr>
          <w:rStyle w:val="Refdenotaalpie"/>
          <w:rFonts w:ascii="Arial" w:hAnsi="Arial" w:cs="Arial"/>
        </w:rPr>
        <w:footnoteReference w:id="47"/>
      </w:r>
      <w:r w:rsidRPr="00D74F6F">
        <w:rPr>
          <w:rFonts w:ascii="Arial" w:hAnsi="Arial" w:cs="Arial"/>
        </w:rPr>
        <w:t>. Nótese que, en este caso, lo que cambia es la modalidad de selección y no la naturaleza de contrato</w:t>
      </w:r>
      <w:r w:rsidRPr="00D74F6F">
        <w:rPr>
          <w:rFonts w:ascii="Arial" w:hAnsi="Arial" w:cs="Arial"/>
          <w:spacing w:val="-18"/>
        </w:rPr>
        <w:t xml:space="preserve"> </w:t>
      </w:r>
      <w:r w:rsidRPr="00D74F6F">
        <w:rPr>
          <w:rFonts w:ascii="Arial" w:hAnsi="Arial" w:cs="Arial"/>
        </w:rPr>
        <w:t>interadministrativo.</w:t>
      </w:r>
    </w:p>
    <w:p w:rsidRPr="00D74F6F" w:rsidR="00036E39" w:rsidP="00036E39" w:rsidRDefault="00036E39" w14:paraId="6E8CBA64" w14:textId="77777777">
      <w:pPr>
        <w:pStyle w:val="Textoindependiente"/>
        <w:spacing w:before="114" w:after="0"/>
        <w:ind w:firstLine="707"/>
        <w:jc w:val="both"/>
        <w:rPr>
          <w:rFonts w:ascii="Arial" w:hAnsi="Arial" w:cs="Arial"/>
        </w:rPr>
      </w:pPr>
      <w:r w:rsidRPr="00D74F6F">
        <w:rPr>
          <w:rFonts w:ascii="Arial" w:hAnsi="Arial" w:cs="Arial"/>
        </w:rPr>
        <w:t>Adicionalmente, el Consejo de Estado ha indicado, frente al convenio interadministrativo y sus características,</w:t>
      </w:r>
      <w:r w:rsidRPr="00D74F6F">
        <w:rPr>
          <w:rFonts w:ascii="Arial" w:hAnsi="Arial" w:cs="Arial"/>
          <w:spacing w:val="-13"/>
        </w:rPr>
        <w:t xml:space="preserve"> </w:t>
      </w:r>
      <w:r w:rsidRPr="00D74F6F">
        <w:rPr>
          <w:rFonts w:ascii="Arial" w:hAnsi="Arial" w:cs="Arial"/>
        </w:rPr>
        <w:t>que:</w:t>
      </w:r>
    </w:p>
    <w:p w:rsidRPr="002B5545" w:rsidR="00036E39" w:rsidP="00036E39" w:rsidRDefault="00036E39" w14:paraId="27D7744F" w14:textId="77777777">
      <w:pPr>
        <w:pStyle w:val="Textoindependiente"/>
        <w:spacing w:after="0"/>
        <w:ind w:firstLine="707"/>
        <w:jc w:val="both"/>
        <w:rPr>
          <w:rFonts w:ascii="Arial" w:hAnsi="Arial" w:cs="Arial"/>
        </w:rPr>
      </w:pPr>
    </w:p>
    <w:p w:rsidR="00036E39" w:rsidP="00036E39" w:rsidRDefault="00036E39" w14:paraId="0F95B66C" w14:textId="77777777">
      <w:pPr>
        <w:spacing w:after="0" w:line="240" w:lineRule="auto"/>
        <w:ind w:left="709" w:right="709"/>
        <w:jc w:val="both"/>
        <w:rPr>
          <w:rFonts w:ascii="Arial" w:hAnsi="Arial" w:cs="Arial"/>
          <w:sz w:val="21"/>
        </w:rPr>
      </w:pPr>
      <w:r>
        <w:rPr>
          <w:rFonts w:ascii="Arial" w:hAnsi="Arial" w:cs="Arial"/>
          <w:sz w:val="21"/>
        </w:rPr>
        <w:t>“</w:t>
      </w:r>
      <w:r w:rsidRPr="00446B03">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446B03">
        <w:rPr>
          <w:rFonts w:ascii="Arial" w:hAnsi="Arial" w:cs="Arial"/>
          <w:sz w:val="21"/>
        </w:rPr>
        <w:t>iii</w:t>
      </w:r>
      <w:proofErr w:type="spellEnd"/>
      <w:r w:rsidRPr="00446B03">
        <w:rPr>
          <w:rFonts w:ascii="Arial" w:hAnsi="Arial" w:cs="Arial"/>
          <w:sz w:val="21"/>
        </w:rPr>
        <w:t>)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46B03">
        <w:rPr>
          <w:rFonts w:ascii="Arial" w:hAnsi="Arial" w:cs="Arial"/>
          <w:sz w:val="21"/>
        </w:rPr>
        <w:t>vii</w:t>
      </w:r>
      <w:proofErr w:type="spellEnd"/>
      <w:r w:rsidRPr="00446B03">
        <w:rPr>
          <w:rFonts w:ascii="Arial" w:hAnsi="Arial" w:cs="Arial"/>
          <w:sz w:val="21"/>
        </w:rPr>
        <w:t>) persiguen  una finalidad común a través de la realización de intereses compartidos entre las entidades vinculadas; (</w:t>
      </w:r>
      <w:proofErr w:type="spellStart"/>
      <w:r w:rsidRPr="00446B03">
        <w:rPr>
          <w:rFonts w:ascii="Arial" w:hAnsi="Arial" w:cs="Arial"/>
          <w:sz w:val="21"/>
        </w:rPr>
        <w:t>viii</w:t>
      </w:r>
      <w:proofErr w:type="spellEnd"/>
      <w:r w:rsidRPr="00446B03">
        <w:rPr>
          <w:rFonts w:ascii="Arial" w:hAnsi="Arial" w:cs="Arial"/>
          <w:sz w:val="21"/>
        </w:rPr>
        <w:t>) la acción mediante la cual se deben ventilar las diferencias que sobre el particular surjan es la de controversias contractuales</w:t>
      </w:r>
      <w:r>
        <w:rPr>
          <w:rFonts w:ascii="Arial" w:hAnsi="Arial" w:cs="Arial"/>
          <w:sz w:val="21"/>
        </w:rPr>
        <w:t>”</w:t>
      </w:r>
      <w:r w:rsidRPr="00446B03">
        <w:rPr>
          <w:rStyle w:val="Refdenotaalpie"/>
          <w:rFonts w:ascii="Arial" w:hAnsi="Arial" w:cs="Arial"/>
          <w:sz w:val="21"/>
        </w:rPr>
        <w:footnoteReference w:id="48"/>
      </w:r>
      <w:r w:rsidRPr="00446B03">
        <w:rPr>
          <w:rFonts w:ascii="Arial" w:hAnsi="Arial" w:cs="Arial"/>
          <w:sz w:val="21"/>
        </w:rPr>
        <w:t>.</w:t>
      </w:r>
    </w:p>
    <w:p w:rsidRPr="00446B03" w:rsidR="00213EC5" w:rsidP="00B33978" w:rsidRDefault="00213EC5" w14:paraId="405E3168" w14:textId="77777777">
      <w:pPr>
        <w:spacing w:after="0" w:line="240" w:lineRule="auto"/>
        <w:ind w:right="709"/>
        <w:jc w:val="both"/>
        <w:rPr>
          <w:rFonts w:ascii="Arial" w:hAnsi="Arial" w:cs="Arial"/>
          <w:sz w:val="21"/>
        </w:rPr>
      </w:pPr>
    </w:p>
    <w:p w:rsidR="0069291E" w:rsidP="0069291E" w:rsidRDefault="00213EC5" w14:paraId="735EE8C1" w14:textId="4BB3EF27">
      <w:pPr>
        <w:pStyle w:val="Textoindependiente"/>
        <w:spacing w:before="119" w:after="0"/>
        <w:ind w:firstLine="707"/>
        <w:jc w:val="both"/>
        <w:rPr>
          <w:rFonts w:ascii="Arial" w:hAnsi="Arial" w:cs="Arial"/>
        </w:rPr>
      </w:pPr>
      <w:r>
        <w:rPr>
          <w:rFonts w:ascii="Arial" w:hAnsi="Arial" w:cs="Arial"/>
        </w:rPr>
        <w:t>Ahora bien</w:t>
      </w:r>
      <w:r w:rsidR="0069291E">
        <w:rPr>
          <w:rFonts w:ascii="Arial" w:hAnsi="Arial" w:cs="Arial"/>
        </w:rPr>
        <w:t xml:space="preserve">, </w:t>
      </w:r>
      <w:r w:rsidRPr="002816F3" w:rsidR="0069291E">
        <w:rPr>
          <w:rFonts w:ascii="Arial" w:hAnsi="Arial" w:cs="Arial"/>
        </w:rPr>
        <w:t xml:space="preserve">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w:t>
      </w:r>
      <w:r w:rsidRPr="00917A86" w:rsidR="0069291E">
        <w:rPr>
          <w:rFonts w:ascii="Arial" w:hAnsi="Arial" w:cs="Arial"/>
          <w:u w:val="single"/>
        </w:rPr>
        <w:t>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w:t>
      </w:r>
      <w:r w:rsidRPr="002816F3" w:rsidR="0069291E">
        <w:rPr>
          <w:rFonts w:ascii="Arial" w:hAnsi="Arial" w:cs="Arial"/>
        </w:rPr>
        <w:t xml:space="preserve">. Como se indicó, la existencia de un contrato interadministrativo no está determinada por la modalidad de </w:t>
      </w:r>
      <w:r w:rsidRPr="002816F3" w:rsidR="0069291E">
        <w:rPr>
          <w:rFonts w:ascii="Arial" w:hAnsi="Arial" w:cs="Arial"/>
        </w:rPr>
        <w:t>selección sino, entre otras cosas, de la calidad de las partes que lo suscriben, es decir, debe tratarse de entidades</w:t>
      </w:r>
      <w:r w:rsidRPr="002816F3" w:rsidR="0069291E">
        <w:rPr>
          <w:rFonts w:ascii="Arial" w:hAnsi="Arial" w:cs="Arial"/>
          <w:spacing w:val="-3"/>
        </w:rPr>
        <w:t xml:space="preserve"> </w:t>
      </w:r>
      <w:r w:rsidRPr="002816F3" w:rsidR="0069291E">
        <w:rPr>
          <w:rFonts w:ascii="Arial" w:hAnsi="Arial" w:cs="Arial"/>
        </w:rPr>
        <w:t>estatales.</w:t>
      </w:r>
      <w:r w:rsidR="0069291E">
        <w:rPr>
          <w:rFonts w:ascii="Arial" w:hAnsi="Arial" w:cs="Arial"/>
        </w:rPr>
        <w:t xml:space="preserve"> </w:t>
      </w:r>
    </w:p>
    <w:p w:rsidRPr="002816F3" w:rsidR="00036E39" w:rsidP="00036E39" w:rsidRDefault="00036E39" w14:paraId="7D83F7CA" w14:textId="1B142316">
      <w:pPr>
        <w:spacing w:after="0"/>
        <w:ind w:left="709" w:right="709"/>
        <w:jc w:val="both"/>
        <w:rPr>
          <w:rFonts w:ascii="Arial" w:hAnsi="Arial" w:cs="Arial"/>
        </w:rPr>
      </w:pPr>
    </w:p>
    <w:p w:rsidRPr="00917A86" w:rsidR="00036E39" w:rsidP="00036E39" w:rsidRDefault="00036E39" w14:paraId="4AC6072E" w14:textId="77777777">
      <w:pPr>
        <w:pStyle w:val="Textoindependiente"/>
        <w:spacing w:after="0"/>
        <w:ind w:firstLine="707"/>
        <w:jc w:val="both"/>
        <w:rPr>
          <w:rFonts w:ascii="Arial" w:hAnsi="Arial" w:cs="Arial"/>
        </w:rPr>
      </w:pPr>
      <w:r w:rsidRPr="00917A86">
        <w:rPr>
          <w:rFonts w:ascii="Arial" w:hAnsi="Arial" w:cs="Arial"/>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w:t>
      </w:r>
      <w:r w:rsidRPr="00917A86">
        <w:rPr>
          <w:rFonts w:ascii="Arial" w:hAnsi="Arial" w:cs="Arial"/>
          <w:u w:val="single"/>
        </w:rPr>
        <w:t>contratación directa</w:t>
      </w:r>
      <w:r w:rsidRPr="00917A86">
        <w:rPr>
          <w:rFonts w:ascii="Arial" w:hAnsi="Arial" w:cs="Arial"/>
        </w:rPr>
        <w:t xml:space="preserve"> como la modalidad de selección aplicable, por regla general, a la celebración de los contratos interadministrativos.</w:t>
      </w:r>
    </w:p>
    <w:p w:rsidRPr="00D74F6F" w:rsidR="00036E39" w:rsidP="00C96FE5" w:rsidRDefault="00121A27" w14:paraId="7764BBFC" w14:textId="13A7F9D1">
      <w:pPr>
        <w:pStyle w:val="Textoindependiente"/>
        <w:spacing w:before="121" w:after="0"/>
        <w:ind w:firstLine="707"/>
        <w:jc w:val="both"/>
        <w:rPr>
          <w:rFonts w:ascii="Arial" w:hAnsi="Arial" w:cs="Arial"/>
        </w:rPr>
      </w:pPr>
      <w:r>
        <w:rPr>
          <w:rFonts w:ascii="Arial" w:hAnsi="Arial" w:cs="Arial"/>
        </w:rPr>
        <w:t xml:space="preserve">Así pues, </w:t>
      </w:r>
      <w:r w:rsidR="006A14C8">
        <w:rPr>
          <w:rFonts w:ascii="Arial" w:hAnsi="Arial" w:cs="Arial"/>
        </w:rPr>
        <w:t>c</w:t>
      </w:r>
      <w:r w:rsidRPr="00121A27">
        <w:rPr>
          <w:rFonts w:ascii="Arial" w:hAnsi="Arial" w:cs="Arial"/>
        </w:rPr>
        <w:t>onviene mencionar ejemplos en los cuales, por disposición legal, es posible la concurrencia de pluralidad de oferentes  de cara a la celebración de convenios y contratos interadministrativos, un ejemplo claro son los contratos y convenios celebrados en el marco de las asociaciones conformadas por entidades territoriales previsto en el artículo 10 de la Ley 1150 de 2007, allí la referida Ley dispone que: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otro ejemplo, ya mencionado previamente, es el que se refiere a los  contratos de obra y  suministro, y demás,  previstos en el tercer inciso del artículo 92 de la Ley 1474 de 2011  esta norma refiere de manera expresa: “Estos contratos podrán ser ejecutados por las mismas, siempre que participen en procesos de licitación pública o contratación abreviada de acuerdo con lo dispuesto por los numerales 1 y 2 del presente artículo”.</w:t>
      </w:r>
    </w:p>
    <w:p w:rsidR="00C96FE5" w:rsidP="0044732B" w:rsidRDefault="00C96FE5" w14:paraId="687CC49D" w14:textId="77777777">
      <w:pPr>
        <w:pStyle w:val="Textoindependiente"/>
        <w:spacing w:before="119" w:after="0"/>
        <w:jc w:val="both"/>
        <w:rPr>
          <w:rFonts w:ascii="Arial" w:hAnsi="Arial" w:cs="Arial"/>
        </w:rPr>
      </w:pPr>
    </w:p>
    <w:p w:rsidRPr="00FC2D03" w:rsidR="003C6399" w:rsidP="003C6399" w:rsidRDefault="003C6399" w14:paraId="4C311D41" w14:textId="2825BBBB">
      <w:pPr>
        <w:shd w:val="clear" w:color="auto" w:fill="FFFFFF" w:themeFill="background1"/>
        <w:spacing w:before="120" w:line="276" w:lineRule="auto"/>
        <w:ind w:firstLine="709"/>
        <w:jc w:val="both"/>
        <w:rPr>
          <w:rFonts w:ascii="Arial" w:hAnsi="Arial" w:eastAsia="Calibri" w:cs="Arial"/>
          <w:bCs/>
          <w:color w:val="000000" w:themeColor="text1"/>
          <w:lang w:bidi="es-ES"/>
        </w:rPr>
      </w:pPr>
      <w:r w:rsidRPr="006A14C8">
        <w:rPr>
          <w:rFonts w:ascii="Arial" w:hAnsi="Arial" w:eastAsia="Calibri" w:cs="Arial"/>
          <w:bCs/>
          <w:color w:val="000000" w:themeColor="text1"/>
          <w:lang w:bidi="es-ES"/>
        </w:rPr>
        <w:t xml:space="preserve">En suma, </w:t>
      </w:r>
      <w:r w:rsidRPr="00DD596E">
        <w:rPr>
          <w:rFonts w:ascii="Arial" w:hAnsi="Arial" w:eastAsia="Calibri" w:cs="Arial"/>
          <w:b/>
          <w:color w:val="000000" w:themeColor="text1"/>
          <w:highlight w:val="yellow"/>
          <w:u w:val="single"/>
          <w:lang w:bidi="es-ES"/>
        </w:rPr>
        <w:t xml:space="preserve">el </w:t>
      </w:r>
      <w:r w:rsidRPr="00DD596E">
        <w:rPr>
          <w:rFonts w:ascii="Arial" w:hAnsi="Arial" w:eastAsia="Calibri" w:cs="Arial"/>
          <w:b/>
          <w:i/>
          <w:iCs/>
          <w:color w:val="000000" w:themeColor="text1"/>
          <w:highlight w:val="yellow"/>
          <w:u w:val="single"/>
          <w:lang w:bidi="es-ES"/>
        </w:rPr>
        <w:t>convenio</w:t>
      </w:r>
      <w:r w:rsidRPr="006A14C8">
        <w:rPr>
          <w:rFonts w:ascii="Arial" w:hAnsi="Arial" w:eastAsia="Calibri" w:cs="Arial"/>
          <w:bCs/>
          <w:color w:val="000000" w:themeColor="text1"/>
          <w:lang w:bidi="es-ES"/>
        </w:rPr>
        <w:t xml:space="preserve"> es un negocio jurídico cuyo objeto es coordinar, cooperar, colaborar o distribuir competencias en la realización de funciones administrativas de interés común y, por tanto, tienen intereses convergentes o coincidentes, sin que se reciba por alguna de ellas el pago de un precio o contraprestación. Por su parte, </w:t>
      </w:r>
      <w:r w:rsidRPr="00DD596E">
        <w:rPr>
          <w:rFonts w:ascii="Arial" w:hAnsi="Arial" w:eastAsia="Calibri" w:cs="Arial"/>
          <w:b/>
          <w:color w:val="000000" w:themeColor="text1"/>
          <w:highlight w:val="yellow"/>
          <w:u w:val="single"/>
          <w:lang w:bidi="es-ES"/>
        </w:rPr>
        <w:t xml:space="preserve">el </w:t>
      </w:r>
      <w:r w:rsidRPr="00DD596E">
        <w:rPr>
          <w:rFonts w:ascii="Arial" w:hAnsi="Arial" w:eastAsia="Calibri" w:cs="Arial"/>
          <w:b/>
          <w:i/>
          <w:iCs/>
          <w:color w:val="000000" w:themeColor="text1"/>
          <w:highlight w:val="yellow"/>
          <w:u w:val="single"/>
          <w:lang w:bidi="es-ES"/>
        </w:rPr>
        <w:t>contrato</w:t>
      </w:r>
      <w:r w:rsidRPr="006A14C8">
        <w:rPr>
          <w:rFonts w:ascii="Arial" w:hAnsi="Arial" w:eastAsia="Calibri"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w:t>
      </w:r>
      <w:r w:rsidRPr="00FC2D03">
        <w:rPr>
          <w:rFonts w:ascii="Arial" w:hAnsi="Arial" w:eastAsia="Calibri" w:cs="Arial"/>
          <w:bCs/>
          <w:color w:val="000000" w:themeColor="text1"/>
          <w:lang w:bidi="es-ES"/>
        </w:rPr>
        <w:t xml:space="preserve"> </w:t>
      </w:r>
      <w:r w:rsidR="002129EE">
        <w:rPr>
          <w:rFonts w:ascii="Arial" w:hAnsi="Arial" w:eastAsia="Calibri" w:cs="Arial"/>
          <w:bCs/>
          <w:color w:val="000000" w:themeColor="text1"/>
          <w:lang w:bidi="es-ES"/>
        </w:rPr>
        <w:t xml:space="preserve">En lo que al principio de selección objetiva respecta, </w:t>
      </w:r>
      <w:r w:rsidR="00AF2FA1">
        <w:rPr>
          <w:rFonts w:ascii="Arial" w:hAnsi="Arial" w:eastAsia="Calibri" w:cs="Arial"/>
          <w:bCs/>
          <w:color w:val="000000" w:themeColor="text1"/>
          <w:lang w:bidi="es-ES"/>
        </w:rPr>
        <w:t xml:space="preserve">este </w:t>
      </w:r>
      <w:r w:rsidR="001761F8">
        <w:rPr>
          <w:rFonts w:ascii="Arial" w:hAnsi="Arial" w:eastAsia="Calibri" w:cs="Arial"/>
          <w:bCs/>
          <w:color w:val="000000" w:themeColor="text1"/>
          <w:lang w:bidi="es-ES"/>
        </w:rPr>
        <w:t xml:space="preserve">pretende </w:t>
      </w:r>
      <w:r w:rsidRPr="001761F8" w:rsidR="001761F8">
        <w:rPr>
          <w:rFonts w:ascii="Arial" w:hAnsi="Arial" w:eastAsia="Calibri" w:cs="Arial"/>
          <w:bCs/>
          <w:color w:val="000000" w:themeColor="text1"/>
          <w:lang w:bidi="es-ES"/>
        </w:rPr>
        <w:t xml:space="preserve">mantener intacta la institucionalidad por encima de los intereses personales, individuales o subjetivos cuando se trate de escoger al contratista, </w:t>
      </w:r>
      <w:r w:rsidRPr="003F7B0C" w:rsidR="001761F8">
        <w:rPr>
          <w:rFonts w:ascii="Arial" w:hAnsi="Arial" w:eastAsia="Calibri" w:cs="Arial"/>
          <w:bCs/>
          <w:color w:val="000000" w:themeColor="text1"/>
          <w:u w:val="single"/>
          <w:lang w:bidi="es-ES"/>
        </w:rPr>
        <w:t>al margen del procedimiento utilizado</w:t>
      </w:r>
      <w:r w:rsidRPr="001761F8" w:rsidR="001761F8">
        <w:rPr>
          <w:rFonts w:ascii="Arial" w:hAnsi="Arial" w:eastAsia="Calibri" w:cs="Arial"/>
          <w:bCs/>
          <w:color w:val="000000" w:themeColor="text1"/>
          <w:lang w:bidi="es-ES"/>
        </w:rPr>
        <w:t>, con miras a evitar el actuar arbitrario, abusivo o violatorio de norma superior (numeral 8, art. 24, ley 80) por parte de los servidores públicos</w:t>
      </w:r>
      <w:r w:rsidR="00FA2EEE">
        <w:rPr>
          <w:rFonts w:ascii="Arial" w:hAnsi="Arial" w:eastAsia="Calibri" w:cs="Arial"/>
          <w:bCs/>
          <w:color w:val="000000" w:themeColor="text1"/>
          <w:lang w:bidi="es-ES"/>
        </w:rPr>
        <w:t xml:space="preserve">, este principio </w:t>
      </w:r>
      <w:r w:rsidRPr="00FA2EEE" w:rsidR="00FA2EEE">
        <w:rPr>
          <w:rFonts w:ascii="Arial" w:hAnsi="Arial" w:eastAsia="Calibri" w:cs="Arial"/>
          <w:bCs/>
          <w:color w:val="000000" w:themeColor="text1"/>
          <w:lang w:bidi="es-ES"/>
        </w:rPr>
        <w:t xml:space="preserve">supone </w:t>
      </w:r>
      <w:r w:rsidRPr="00FA2EEE" w:rsidR="00FA2EEE">
        <w:rPr>
          <w:rFonts w:ascii="Arial" w:hAnsi="Arial" w:eastAsia="Calibri" w:cs="Arial"/>
          <w:bCs/>
          <w:color w:val="000000" w:themeColor="text1"/>
          <w:lang w:bidi="es-ES"/>
        </w:rPr>
        <w:t xml:space="preserve">que la Entidad Estatal escoja en los procesos de selección el “[…] ofrecimiento más favorable a la entidad y a los fines que ella busca […]”. Tal favorabilidad debe determinarse a partir de criterios que </w:t>
      </w:r>
      <w:r w:rsidRPr="001A4437" w:rsidR="00FA2EEE">
        <w:rPr>
          <w:rFonts w:ascii="Arial" w:hAnsi="Arial" w:eastAsia="Calibri" w:cs="Arial"/>
          <w:bCs/>
          <w:color w:val="000000" w:themeColor="text1"/>
          <w:u w:val="single"/>
          <w:lang w:bidi="es-ES"/>
        </w:rPr>
        <w:t>pueden variar de acuerdo con el objeto contractual o la modalidad de selección aplicable</w:t>
      </w:r>
      <w:r w:rsidRPr="00FA2EEE" w:rsidR="00FA2EEE">
        <w:rPr>
          <w:rFonts w:ascii="Arial" w:hAnsi="Arial" w:eastAsia="Calibri" w:cs="Arial"/>
          <w:bCs/>
          <w:color w:val="000000" w:themeColor="text1"/>
          <w:lang w:bidi="es-ES"/>
        </w:rPr>
        <w:t>.</w:t>
      </w:r>
    </w:p>
    <w:p w:rsidR="003C6399" w:rsidP="0044732B" w:rsidRDefault="003C6399" w14:paraId="31E57E75" w14:textId="77777777">
      <w:pPr>
        <w:pStyle w:val="Textoindependiente"/>
        <w:spacing w:before="119" w:after="0"/>
        <w:jc w:val="both"/>
        <w:rPr>
          <w:rFonts w:ascii="Arial" w:hAnsi="Arial" w:cs="Arial"/>
        </w:rPr>
      </w:pPr>
    </w:p>
    <w:p w:rsidRPr="00C425D4" w:rsidR="0044732B" w:rsidP="00C425D4" w:rsidRDefault="006617A3" w14:paraId="0AF02B95" w14:textId="222836E8">
      <w:pPr>
        <w:pStyle w:val="Textoindependiente"/>
        <w:spacing w:before="119" w:after="0"/>
        <w:jc w:val="both"/>
        <w:rPr>
          <w:rFonts w:ascii="Arial" w:hAnsi="Arial" w:cs="Arial"/>
        </w:rPr>
      </w:pPr>
      <w:r>
        <w:rPr>
          <w:rFonts w:ascii="Arial" w:hAnsi="Arial" w:cs="Arial"/>
        </w:rPr>
        <w:tab/>
      </w:r>
    </w:p>
    <w:p w:rsidR="00274852" w:rsidP="00274852" w:rsidRDefault="00274852" w14:paraId="4D50D397"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4. ¿Es válido que las entidades públicas restrinjan la participación de oferentes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al exigir que los contratos registrados en el RUP tengan determinados</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códigos UNSPSC, aun cuando al mismo tiempo la entidad pida</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certificaciones de experiencia de dichos contratos, donde podrá validar de</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forma adecuada el objeto de los contratos aportados por el oferente y, por</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ende, la idoneidad de dicha experiencia?</w:t>
      </w:r>
    </w:p>
    <w:p w:rsidR="00C425D4" w:rsidP="00274852" w:rsidRDefault="00C425D4" w14:paraId="33B15C39" w14:textId="77777777">
      <w:pPr>
        <w:shd w:val="clear" w:color="auto" w:fill="FFFFFF" w:themeFill="background1"/>
        <w:spacing w:after="120"/>
        <w:ind w:left="709" w:right="709"/>
        <w:jc w:val="both"/>
        <w:rPr>
          <w:rFonts w:ascii="Arial" w:hAnsi="Arial" w:cs="Arial"/>
          <w:color w:val="000000" w:themeColor="text1"/>
          <w:sz w:val="21"/>
          <w:szCs w:val="21"/>
          <w:lang w:val="es-ES_tradnl"/>
        </w:rPr>
      </w:pPr>
    </w:p>
    <w:p w:rsidR="0092338C" w:rsidP="0092338C" w:rsidRDefault="0092338C" w14:paraId="53978A78" w14:textId="69BEB48C">
      <w:pPr>
        <w:spacing w:after="120" w:line="276" w:lineRule="auto"/>
        <w:contextualSpacing/>
        <w:jc w:val="both"/>
        <w:rPr>
          <w:rFonts w:ascii="Arial" w:hAnsi="Arial" w:eastAsia="Calibri" w:cs="Arial"/>
        </w:rPr>
      </w:pPr>
      <w:r>
        <w:rPr>
          <w:rFonts w:ascii="Arial" w:hAnsi="Arial" w:eastAsia="Calibri" w:cs="Arial"/>
        </w:rPr>
        <w:t>Con fundamento en las anteriores consideracio</w:t>
      </w:r>
      <w:r w:rsidR="00C87EBC">
        <w:rPr>
          <w:rFonts w:ascii="Arial" w:hAnsi="Arial" w:eastAsia="Calibri" w:cs="Arial"/>
        </w:rPr>
        <w:t>nes</w:t>
      </w:r>
      <w:r w:rsidRPr="000547C2">
        <w:rPr>
          <w:rFonts w:ascii="Arial" w:hAnsi="Arial" w:eastAsia="Calibri" w:cs="Arial"/>
        </w:rPr>
        <w:t>,</w:t>
      </w:r>
      <w:r w:rsidR="00C87EBC">
        <w:rPr>
          <w:rFonts w:ascii="Arial" w:hAnsi="Arial" w:eastAsia="Calibri" w:cs="Arial"/>
        </w:rPr>
        <w:t xml:space="preserve"> es claro que</w:t>
      </w:r>
      <w:r w:rsidRPr="000547C2">
        <w:rPr>
          <w:rFonts w:ascii="Arial" w:hAnsi="Arial" w:eastAsia="Calibri" w:cs="Arial"/>
        </w:rPr>
        <w:t xml:space="preserve"> el RUP constituye </w:t>
      </w:r>
      <w:r w:rsidRPr="000547C2">
        <w:rPr>
          <w:rFonts w:ascii="Arial" w:hAnsi="Arial" w:cs="Arial"/>
        </w:rPr>
        <w:t>plena prueba de las circunstancias que consten en él y que hayan sido verificadas por las Cámaras de Comercio, por lo cual es a través de este documento, en los casos en que es exigible, que las entidades estatales deben verificar las condiciones establecidas en el numeral 1 del artículo 5 de la Ley 1150 de 2007, es decir, los requisitos habilitantes para participar en el proceso de selección.</w:t>
      </w:r>
      <w:r w:rsidR="00C87EBC">
        <w:rPr>
          <w:rFonts w:ascii="Arial" w:hAnsi="Arial" w:cs="Arial"/>
        </w:rPr>
        <w:t xml:space="preserve"> Superado lo anterior, y en</w:t>
      </w:r>
      <w:r w:rsidRPr="000547C2">
        <w:rPr>
          <w:rFonts w:ascii="Arial" w:hAnsi="Arial" w:cs="Arial"/>
        </w:rPr>
        <w:t xml:space="preserve"> </w:t>
      </w:r>
      <w:r w:rsidRPr="00C87EBC">
        <w:rPr>
          <w:rFonts w:ascii="Arial" w:hAnsi="Arial" w:cs="Arial"/>
          <w:color w:val="000000" w:themeColor="text1"/>
        </w:rPr>
        <w:t xml:space="preserve">contraste, </w:t>
      </w:r>
      <w:r w:rsidRPr="00C87EBC">
        <w:rPr>
          <w:rFonts w:ascii="Arial" w:hAnsi="Arial" w:eastAsia="Calibri" w:cs="Arial"/>
          <w:u w:val="single"/>
        </w:rPr>
        <w:t xml:space="preserve">cuando por las características del objeto a contratar y con la finalidad de acreditar los aspectos necesarios para la escogencia del proponente, se requieran verificar requisitos o </w:t>
      </w:r>
      <w:r w:rsidRPr="002E32EE">
        <w:rPr>
          <w:rFonts w:ascii="Arial" w:hAnsi="Arial" w:eastAsia="Calibri" w:cs="Arial"/>
          <w:b/>
          <w:bCs/>
          <w:u w:val="single"/>
        </w:rPr>
        <w:t>información adicional</w:t>
      </w:r>
      <w:r w:rsidRPr="00C87EBC">
        <w:rPr>
          <w:rFonts w:ascii="Arial" w:hAnsi="Arial" w:eastAsia="Calibri" w:cs="Arial"/>
          <w:u w:val="single"/>
        </w:rPr>
        <w:t xml:space="preserve"> a los contenidos en el RUP, las entidades deben hacer la verificación de forma directa</w:t>
      </w:r>
      <w:r w:rsidRPr="00C87EBC">
        <w:rPr>
          <w:rFonts w:ascii="Arial" w:hAnsi="Arial" w:eastAsia="Calibri" w:cs="Arial"/>
        </w:rPr>
        <w:t>. Esto también sucede en los procedimientos de selección en los cuales no es exigible el RUP, de acuerdo con lo establecido en el inciso segundo del artículo 6 de la Ley 1150 de 2007</w:t>
      </w:r>
      <w:r w:rsidRPr="00C87EBC">
        <w:rPr>
          <w:rStyle w:val="Refdenotaalpie"/>
          <w:rFonts w:ascii="Arial" w:hAnsi="Arial" w:eastAsia="Calibri" w:cs="Arial"/>
        </w:rPr>
        <w:footnoteReference w:id="49"/>
      </w:r>
      <w:r w:rsidRPr="00C87EBC">
        <w:rPr>
          <w:rFonts w:ascii="Arial" w:hAnsi="Arial" w:eastAsia="Calibri" w:cs="Arial"/>
        </w:rPr>
        <w:t xml:space="preserve">. </w:t>
      </w:r>
      <w:r w:rsidRPr="00C87EBC">
        <w:rPr>
          <w:rFonts w:ascii="Arial" w:hAnsi="Arial" w:eastAsia="Calibri" w:cs="Arial"/>
          <w:u w:val="single"/>
        </w:rPr>
        <w:t xml:space="preserve">En ambos supuestos, la Entidad Estatal, en el marco de la </w:t>
      </w:r>
      <w:r w:rsidRPr="00861052">
        <w:rPr>
          <w:rFonts w:ascii="Arial" w:hAnsi="Arial" w:eastAsia="Calibri" w:cs="Arial"/>
          <w:b/>
          <w:bCs/>
          <w:u w:val="single"/>
        </w:rPr>
        <w:t>autonomía</w:t>
      </w:r>
      <w:r w:rsidRPr="00C87EBC">
        <w:rPr>
          <w:rFonts w:ascii="Arial" w:hAnsi="Arial" w:eastAsia="Calibri" w:cs="Arial"/>
          <w:u w:val="single"/>
        </w:rPr>
        <w:t xml:space="preserve"> y la </w:t>
      </w:r>
      <w:r w:rsidRPr="00861052">
        <w:rPr>
          <w:rFonts w:ascii="Arial" w:hAnsi="Arial" w:eastAsia="Calibri" w:cs="Arial"/>
          <w:b/>
          <w:bCs/>
          <w:u w:val="single"/>
        </w:rPr>
        <w:t>potestad de dirección</w:t>
      </w:r>
      <w:r w:rsidRPr="00C87EBC">
        <w:rPr>
          <w:rFonts w:ascii="Arial" w:hAnsi="Arial" w:eastAsia="Calibri" w:cs="Arial"/>
          <w:u w:val="single"/>
        </w:rPr>
        <w:t xml:space="preserve"> que le asiste en los procesos de contratación que adelanta, debe establecer en los Documentos del Proceso –particularmente en el pliego de condiciones o la invitación– los documentos o instrumentos que exigirá a los proponentes para acreditar las circunstancias necesarias</w:t>
      </w:r>
      <w:r w:rsidRPr="00C87EBC">
        <w:rPr>
          <w:rFonts w:ascii="Arial" w:hAnsi="Arial" w:eastAsia="Calibri" w:cs="Arial"/>
        </w:rPr>
        <w:t>.</w:t>
      </w:r>
    </w:p>
    <w:p w:rsidR="00D72648" w:rsidP="0092338C" w:rsidRDefault="00D72648" w14:paraId="62AD13EB" w14:textId="77777777">
      <w:pPr>
        <w:spacing w:after="120" w:line="276" w:lineRule="auto"/>
        <w:contextualSpacing/>
        <w:jc w:val="both"/>
        <w:rPr>
          <w:rFonts w:ascii="Arial" w:hAnsi="Arial" w:eastAsia="Calibri" w:cs="Arial"/>
        </w:rPr>
      </w:pPr>
    </w:p>
    <w:p w:rsidR="00D72648" w:rsidP="00D72648" w:rsidRDefault="00D72648" w14:paraId="0E6BC53B" w14:textId="438CCE16">
      <w:pPr>
        <w:spacing w:after="120" w:line="276" w:lineRule="auto"/>
        <w:ind w:firstLine="708"/>
        <w:contextualSpacing/>
        <w:jc w:val="both"/>
        <w:rPr>
          <w:rFonts w:ascii="Arial" w:hAnsi="Arial" w:eastAsia="Times New Roman" w:cs="Arial"/>
          <w:bdr w:val="none" w:color="auto" w:sz="0" w:space="0" w:frame="1"/>
          <w:lang w:val="es-ES"/>
        </w:rPr>
      </w:pPr>
      <w:r w:rsidRPr="00D72648">
        <w:rPr>
          <w:rFonts w:ascii="Arial" w:hAnsi="Arial" w:eastAsia="Times New Roman" w:cs="Arial"/>
          <w:bdr w:val="none" w:color="auto" w:sz="0" w:space="0" w:frame="1"/>
          <w:lang w:val="es-ES"/>
        </w:rPr>
        <w:t>De igual forma</w:t>
      </w:r>
      <w:r w:rsidRPr="001605A2">
        <w:rPr>
          <w:rFonts w:ascii="Arial" w:hAnsi="Arial" w:eastAsia="Times New Roman" w:cs="Arial"/>
          <w:bdr w:val="none" w:color="auto" w:sz="0" w:space="0" w:frame="1"/>
          <w:lang w:val="es-ES"/>
        </w:rPr>
        <w:t xml:space="preserve">, la inscripción en el RUP, la valoración de la experiencia de los proponentes y el desarrollo de los procesos de contratación son ámbitos de la contratación estatal en los que se incorpora el uso del Clasificador de Bienes y Servicios para la mencionada contratación. </w:t>
      </w:r>
      <w:r w:rsidRPr="001605A2">
        <w:rPr>
          <w:rFonts w:ascii="Arial" w:hAnsi="Arial" w:eastAsia="Times New Roman" w:cs="Arial"/>
          <w:u w:val="single"/>
          <w:bdr w:val="none" w:color="auto" w:sz="0" w:space="0" w:frame="1"/>
          <w:lang w:val="es-ES"/>
        </w:rPr>
        <w:t xml:space="preserve">La </w:t>
      </w:r>
      <w:r w:rsidRPr="001605A2">
        <w:rPr>
          <w:rFonts w:ascii="Arial" w:hAnsi="Arial" w:eastAsia="Times New Roman" w:cs="Arial"/>
          <w:u w:val="single"/>
          <w:bdr w:val="none" w:color="auto" w:sz="0" w:space="0" w:frame="1"/>
          <w:lang w:val="es-ES"/>
        </w:rPr>
        <w:t>utilización de este clasificador es una medida que incrementa la eficiencia y la efectividad en procedimientos de selección</w:t>
      </w:r>
      <w:r w:rsidRPr="001605A2">
        <w:rPr>
          <w:rFonts w:ascii="Arial" w:hAnsi="Arial" w:eastAsia="Times New Roman" w:cs="Arial"/>
          <w:bdr w:val="none" w:color="auto" w:sz="0" w:space="0" w:frame="1"/>
          <w:lang w:val="es-ES"/>
        </w:rPr>
        <w:t xml:space="preserve">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Pr>
          <w:rFonts w:ascii="Arial" w:hAnsi="Arial" w:eastAsia="Times New Roman" w:cs="Arial"/>
          <w:bdr w:val="none" w:color="auto" w:sz="0" w:space="0" w:frame="1"/>
          <w:lang w:val="es-ES"/>
        </w:rPr>
        <w:t>.</w:t>
      </w:r>
    </w:p>
    <w:p w:rsidR="00D72648" w:rsidP="00D72648" w:rsidRDefault="00D72648" w14:paraId="06F7D75D" w14:textId="77777777">
      <w:pPr>
        <w:spacing w:after="120" w:line="276" w:lineRule="auto"/>
        <w:ind w:firstLine="708"/>
        <w:contextualSpacing/>
        <w:jc w:val="both"/>
        <w:rPr>
          <w:rFonts w:ascii="Arial" w:hAnsi="Arial" w:eastAsia="Times New Roman" w:cs="Arial"/>
          <w:bdr w:val="none" w:color="auto" w:sz="0" w:space="0" w:frame="1"/>
          <w:lang w:val="es-ES"/>
        </w:rPr>
      </w:pPr>
    </w:p>
    <w:p w:rsidR="00D72648" w:rsidP="00D72648" w:rsidRDefault="00D72648" w14:paraId="4223AF34" w14:textId="394DA988">
      <w:pPr>
        <w:spacing w:after="120" w:line="276" w:lineRule="auto"/>
        <w:ind w:firstLine="708"/>
        <w:contextualSpacing/>
        <w:jc w:val="both"/>
        <w:rPr>
          <w:rFonts w:ascii="Arial" w:hAnsi="Arial" w:eastAsia="Calibri" w:cs="Arial"/>
        </w:rPr>
      </w:pPr>
      <w:r>
        <w:rPr>
          <w:rFonts w:ascii="Arial" w:hAnsi="Arial" w:eastAsia="Times New Roman" w:cs="Arial"/>
          <w:bdr w:val="none" w:color="auto" w:sz="0" w:space="0" w:frame="1"/>
          <w:lang w:val="es-ES"/>
        </w:rPr>
        <w:t xml:space="preserve">En síntesis, </w:t>
      </w:r>
      <w:r w:rsidRPr="008852F9" w:rsidR="008852F9">
        <w:rPr>
          <w:rFonts w:ascii="Arial" w:hAnsi="Arial" w:eastAsia="Times New Roman" w:cs="Arial"/>
          <w:bdr w:val="none" w:color="auto" w:sz="0" w:space="0" w:frame="1"/>
          <w:lang w:val="es-ES"/>
        </w:rPr>
        <w:t>las Entidades Estatales no pueden excluir a un proponente que ha acreditado los requisitos habilitantes exigidos en un Proceso de Contratación por no estar inscrito en el aparte de clasificación del RUP con el código de bienes, obras y servicios del objeto del Proceso de Contratación adelantado, es decir, por la información de clasificación del proponente</w:t>
      </w:r>
      <w:r w:rsidRPr="00454827" w:rsidR="008852F9">
        <w:rPr>
          <w:rFonts w:ascii="Arial" w:hAnsi="Arial" w:eastAsia="Times New Roman" w:cs="Arial"/>
          <w:u w:val="single"/>
          <w:bdr w:val="none" w:color="auto" w:sz="0" w:space="0" w:frame="1"/>
          <w:lang w:val="es-ES"/>
        </w:rPr>
        <w:t>, pero sí deben verificar que las condiciones de la experiencia corresponden a las exigencias previstas para el Proceso de Contratación.</w:t>
      </w:r>
    </w:p>
    <w:p w:rsidR="009C5B37" w:rsidP="009C5B37" w:rsidRDefault="009C5B37" w14:paraId="2C5DBBF1" w14:textId="77777777">
      <w:pPr>
        <w:shd w:val="clear" w:color="auto" w:fill="FFFFFF" w:themeFill="background1"/>
        <w:spacing w:after="120"/>
        <w:ind w:right="709"/>
        <w:jc w:val="both"/>
        <w:rPr>
          <w:rFonts w:ascii="Arial" w:hAnsi="Arial" w:cs="Arial"/>
          <w:color w:val="000000" w:themeColor="text1"/>
          <w:sz w:val="21"/>
          <w:szCs w:val="21"/>
          <w:lang w:val="es-ES_tradnl"/>
        </w:rPr>
      </w:pPr>
    </w:p>
    <w:p w:rsidRPr="00E43270" w:rsidR="00274852" w:rsidP="00274852" w:rsidRDefault="00274852" w14:paraId="09A56CDB"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6. En caso de entidades con regímenes especiales de contratación ¿La</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presentación de la oferta por parte del oferente es vinculante para la entidad?</w:t>
      </w:r>
    </w:p>
    <w:p w:rsidR="00274852" w:rsidP="00274852" w:rsidRDefault="00274852" w14:paraId="2A4DBF63"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E43270">
        <w:rPr>
          <w:rFonts w:ascii="Arial" w:hAnsi="Arial" w:cs="Arial"/>
          <w:color w:val="000000" w:themeColor="text1"/>
          <w:sz w:val="21"/>
          <w:szCs w:val="21"/>
          <w:lang w:val="es-ES_tradnl"/>
        </w:rPr>
        <w:t>¿Es obligatorio que este tipo de entidades con régimen especial adjudiquen</w:t>
      </w:r>
      <w:r>
        <w:rPr>
          <w:rFonts w:ascii="Arial" w:hAnsi="Arial" w:cs="Arial"/>
          <w:color w:val="000000" w:themeColor="text1"/>
          <w:sz w:val="21"/>
          <w:szCs w:val="21"/>
          <w:lang w:val="es-ES_tradnl"/>
        </w:rPr>
        <w:t xml:space="preserve"> </w:t>
      </w:r>
      <w:r w:rsidRPr="00E43270">
        <w:rPr>
          <w:rFonts w:ascii="Arial" w:hAnsi="Arial" w:cs="Arial"/>
          <w:color w:val="000000" w:themeColor="text1"/>
          <w:sz w:val="21"/>
          <w:szCs w:val="21"/>
          <w:lang w:val="es-ES_tradnl"/>
        </w:rPr>
        <w:t>procesos de contratación una vez recibidas las ofertas?</w:t>
      </w:r>
    </w:p>
    <w:p w:rsidR="00BD5C1C" w:rsidP="000C4D8D" w:rsidRDefault="00BD5C1C" w14:paraId="2E2E2313" w14:textId="49448927">
      <w:pPr>
        <w:spacing w:after="120" w:line="276" w:lineRule="auto"/>
        <w:contextualSpacing/>
        <w:jc w:val="both"/>
        <w:rPr>
          <w:rFonts w:ascii="Arial" w:hAnsi="Arial" w:eastAsia="Times New Roman" w:cs="Arial"/>
          <w:u w:val="single"/>
          <w:bdr w:val="none" w:color="auto" w:sz="0" w:space="0" w:frame="1"/>
          <w:lang w:val="es-ES"/>
        </w:rPr>
      </w:pPr>
      <w:r w:rsidRPr="000C4D8D">
        <w:rPr>
          <w:rFonts w:ascii="Arial" w:hAnsi="Arial" w:eastAsia="Times New Roman" w:cs="Arial"/>
          <w:bdr w:val="none" w:color="auto" w:sz="0" w:space="0" w:frame="1"/>
          <w:lang w:val="es-ES"/>
        </w:rPr>
        <w:t>De conformidad con él, anteriormente mencionado, artículo 846 del Código de Comercio, la oferta o propuesta es irrevocable, por lo que una vez presentada el proponente no puede retractarse.</w:t>
      </w:r>
      <w:r w:rsidRPr="000C4D8D" w:rsidR="003B38D1">
        <w:rPr>
          <w:rFonts w:ascii="Arial" w:hAnsi="Arial" w:eastAsia="Times New Roman" w:cs="Arial"/>
          <w:bdr w:val="none" w:color="auto" w:sz="0" w:space="0" w:frame="1"/>
          <w:lang w:val="es-ES"/>
        </w:rPr>
        <w:t xml:space="preserve"> </w:t>
      </w:r>
      <w:r w:rsidRPr="000C4D8D" w:rsidR="00564FD7">
        <w:rPr>
          <w:rFonts w:ascii="Arial" w:hAnsi="Arial" w:eastAsia="Times New Roman" w:cs="Arial"/>
          <w:bdr w:val="none" w:color="auto" w:sz="0" w:space="0" w:frame="1"/>
          <w:lang w:val="es-ES"/>
        </w:rPr>
        <w:t>Sin perder de vista este precepto legal, debe acla</w:t>
      </w:r>
      <w:r w:rsidRPr="000C4D8D" w:rsidR="000C4D8D">
        <w:rPr>
          <w:rFonts w:ascii="Arial" w:hAnsi="Arial" w:eastAsia="Times New Roman" w:cs="Arial"/>
          <w:bdr w:val="none" w:color="auto" w:sz="0" w:space="0" w:frame="1"/>
          <w:lang w:val="es-ES"/>
        </w:rPr>
        <w:t xml:space="preserve">rarse </w:t>
      </w:r>
      <w:r w:rsidRPr="000C4D8D" w:rsidR="00D3044D">
        <w:rPr>
          <w:rFonts w:ascii="Arial" w:hAnsi="Arial" w:eastAsia="Times New Roman" w:cs="Arial"/>
          <w:bdr w:val="none" w:color="auto" w:sz="0" w:space="0" w:frame="1"/>
          <w:lang w:val="es-ES"/>
        </w:rPr>
        <w:t>que,</w:t>
      </w:r>
      <w:r w:rsidRPr="000C4D8D" w:rsidR="000C4D8D">
        <w:rPr>
          <w:rFonts w:ascii="Arial" w:hAnsi="Arial" w:eastAsia="Times New Roman" w:cs="Arial"/>
          <w:bdr w:val="none" w:color="auto" w:sz="0" w:space="0" w:frame="1"/>
          <w:lang w:val="es-ES"/>
        </w:rPr>
        <w:t xml:space="preserve"> para el caso de</w:t>
      </w:r>
      <w:r w:rsidR="005623F8">
        <w:rPr>
          <w:rFonts w:ascii="Arial" w:hAnsi="Arial" w:eastAsia="Times New Roman" w:cs="Arial"/>
          <w:bdr w:val="none" w:color="auto" w:sz="0" w:space="0" w:frame="1"/>
          <w:lang w:val="es-ES"/>
        </w:rPr>
        <w:t xml:space="preserve"> las entidades con régimen especial, </w:t>
      </w:r>
      <w:r w:rsidR="00EF5949">
        <w:rPr>
          <w:rFonts w:ascii="Arial" w:hAnsi="Arial" w:eastAsia="Times New Roman" w:cs="Arial"/>
          <w:bdr w:val="none" w:color="auto" w:sz="0" w:space="0" w:frame="1"/>
          <w:lang w:val="es-ES"/>
        </w:rPr>
        <w:t>en el evento en que éstas adelantan sus procesos de contratación,</w:t>
      </w:r>
      <w:r w:rsidR="00BF1F65">
        <w:rPr>
          <w:rFonts w:ascii="Arial" w:hAnsi="Arial" w:eastAsia="Times New Roman" w:cs="Arial"/>
          <w:bdr w:val="none" w:color="auto" w:sz="0" w:space="0" w:frame="1"/>
          <w:lang w:val="es-ES"/>
        </w:rPr>
        <w:t xml:space="preserve"> la oferta no es obligatoria.</w:t>
      </w:r>
      <w:r w:rsidRPr="00FF4287" w:rsidR="00FF4287">
        <w:t xml:space="preserve"> </w:t>
      </w:r>
      <w:r w:rsidR="00FF4287">
        <w:rPr>
          <w:rFonts w:ascii="Arial" w:hAnsi="Arial" w:eastAsia="Times New Roman" w:cs="Arial"/>
          <w:bdr w:val="none" w:color="auto" w:sz="0" w:space="0" w:frame="1"/>
          <w:lang w:val="es-ES"/>
        </w:rPr>
        <w:t>S</w:t>
      </w:r>
      <w:r w:rsidRPr="00FF4287" w:rsidR="00FF4287">
        <w:rPr>
          <w:rFonts w:ascii="Arial" w:hAnsi="Arial" w:eastAsia="Times New Roman" w:cs="Arial"/>
          <w:bdr w:val="none" w:color="auto" w:sz="0" w:space="0" w:frame="1"/>
          <w:lang w:val="es-ES"/>
        </w:rPr>
        <w:t xml:space="preserve">us procedimientos contractuales tienen su normativa propia para su desarrollo, esto es, el derecho privado. Este aspecto se determina en las normas de creación de las entidades de régimen especial y en sus </w:t>
      </w:r>
      <w:r w:rsidRPr="00FF4287" w:rsidR="00FF4287">
        <w:rPr>
          <w:rFonts w:ascii="Arial" w:hAnsi="Arial" w:eastAsia="Times New Roman" w:cs="Arial"/>
          <w:u w:val="single"/>
          <w:bdr w:val="none" w:color="auto" w:sz="0" w:space="0" w:frame="1"/>
          <w:lang w:val="es-ES"/>
        </w:rPr>
        <w:t>manuales de contratación</w:t>
      </w:r>
      <w:r w:rsidRPr="00FF4287" w:rsidR="00FF4287">
        <w:rPr>
          <w:rFonts w:ascii="Arial" w:hAnsi="Arial" w:eastAsia="Times New Roman" w:cs="Arial"/>
          <w:bdr w:val="none" w:color="auto" w:sz="0" w:space="0" w:frame="1"/>
          <w:lang w:val="es-ES"/>
        </w:rPr>
        <w:t xml:space="preserve">, es precisamente a través de los referidos manuales de contratación de cada entidad en donde se encontrará las particularidades sobre la vinculatoriedad de la oferta, es decir, </w:t>
      </w:r>
      <w:r w:rsidRPr="00FF4287" w:rsidR="00FF4287">
        <w:rPr>
          <w:rFonts w:ascii="Arial" w:hAnsi="Arial" w:eastAsia="Times New Roman" w:cs="Arial"/>
          <w:u w:val="single"/>
          <w:bdr w:val="none" w:color="auto" w:sz="0" w:space="0" w:frame="1"/>
          <w:lang w:val="es-ES"/>
        </w:rPr>
        <w:t>las ofertas se evaluarán conforme  a lo reglado en el manual de contratación de la entidad.</w:t>
      </w:r>
    </w:p>
    <w:p w:rsidR="003F3891" w:rsidP="000C4D8D" w:rsidRDefault="003F3891" w14:paraId="0AEDD6F4" w14:textId="77777777">
      <w:pPr>
        <w:spacing w:after="120" w:line="276" w:lineRule="auto"/>
        <w:contextualSpacing/>
        <w:jc w:val="both"/>
        <w:rPr>
          <w:rFonts w:ascii="Arial" w:hAnsi="Arial" w:eastAsia="Times New Roman" w:cs="Arial"/>
          <w:u w:val="single"/>
          <w:bdr w:val="none" w:color="auto" w:sz="0" w:space="0" w:frame="1"/>
          <w:lang w:val="es-ES"/>
        </w:rPr>
      </w:pPr>
    </w:p>
    <w:p w:rsidRPr="00C0758C" w:rsidR="00C0758C" w:rsidP="00C0758C" w:rsidRDefault="003F3891" w14:paraId="3F822CD8" w14:textId="09DA9E11">
      <w:pPr>
        <w:spacing w:after="120" w:line="276" w:lineRule="auto"/>
        <w:ind w:firstLine="708"/>
        <w:contextualSpacing/>
        <w:jc w:val="both"/>
        <w:rPr>
          <w:rFonts w:ascii="Arial" w:hAnsi="Arial" w:eastAsia="Times New Roman" w:cs="Arial"/>
          <w:bdr w:val="none" w:color="auto" w:sz="0" w:space="0" w:frame="1"/>
          <w:lang w:val="es-ES"/>
        </w:rPr>
      </w:pPr>
      <w:r>
        <w:rPr>
          <w:rFonts w:ascii="Arial" w:hAnsi="Arial" w:eastAsia="Times New Roman" w:cs="Arial"/>
          <w:bdr w:val="none" w:color="auto" w:sz="0" w:space="0" w:frame="1"/>
          <w:lang w:val="es-ES"/>
        </w:rPr>
        <w:t>Es imperante aclarar</w:t>
      </w:r>
      <w:r w:rsidR="00C0758C">
        <w:rPr>
          <w:rFonts w:ascii="Arial" w:hAnsi="Arial" w:eastAsia="Times New Roman" w:cs="Arial"/>
          <w:bdr w:val="none" w:color="auto" w:sz="0" w:space="0" w:frame="1"/>
          <w:lang w:val="es-ES"/>
        </w:rPr>
        <w:t xml:space="preserve"> que</w:t>
      </w:r>
      <w:r w:rsidRPr="00C0758C" w:rsidR="00C0758C">
        <w:rPr>
          <w:rFonts w:ascii="Arial" w:hAnsi="Arial" w:eastAsia="Times New Roman" w:cs="Arial"/>
          <w:bdr w:val="none" w:color="auto" w:sz="0" w:space="0" w:frame="1"/>
          <w:lang w:val="es-ES"/>
        </w:rPr>
        <w:t xml:space="preserve"> el manual de contratación de las entidades de régimen especial y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w:t>
      </w:r>
      <w:r w:rsidRPr="0009646F" w:rsidR="00C0758C">
        <w:rPr>
          <w:rFonts w:ascii="Arial" w:hAnsi="Arial" w:eastAsia="Times New Roman" w:cs="Arial"/>
          <w:u w:val="single"/>
          <w:bdr w:val="none" w:color="auto" w:sz="0" w:space="0" w:frame="1"/>
          <w:lang w:val="es-ES"/>
        </w:rPr>
        <w:t>pese a que existe un alto grado de discrecionalidad en su elaboración, el manual de contratación, al ser un reglamento vincula a la propia entidad</w:t>
      </w:r>
      <w:r w:rsidRPr="00C0758C" w:rsidR="00C0758C">
        <w:rPr>
          <w:rFonts w:ascii="Arial" w:hAnsi="Arial" w:eastAsia="Times New Roman" w:cs="Arial"/>
          <w:bdr w:val="none" w:color="auto" w:sz="0" w:space="0" w:frame="1"/>
          <w:lang w:val="es-ES"/>
        </w:rPr>
        <w:t>.</w:t>
      </w:r>
    </w:p>
    <w:p w:rsidRPr="003F3891" w:rsidR="003F3891" w:rsidP="000C4D8D" w:rsidRDefault="003F3891" w14:paraId="245F2CD4" w14:textId="7FFF1DC0">
      <w:pPr>
        <w:spacing w:after="120" w:line="276" w:lineRule="auto"/>
        <w:contextualSpacing/>
        <w:jc w:val="both"/>
        <w:rPr>
          <w:rFonts w:ascii="Arial" w:hAnsi="Arial" w:eastAsia="Times New Roman" w:cs="Arial"/>
          <w:bdr w:val="none" w:color="auto" w:sz="0" w:space="0" w:frame="1"/>
          <w:lang w:val="es-ES"/>
        </w:rPr>
      </w:pPr>
    </w:p>
    <w:p w:rsidR="005623F8" w:rsidP="000C4D8D" w:rsidRDefault="005623F8" w14:paraId="74BEA549" w14:textId="77777777">
      <w:pPr>
        <w:spacing w:after="120" w:line="276" w:lineRule="auto"/>
        <w:contextualSpacing/>
        <w:jc w:val="both"/>
        <w:rPr>
          <w:rFonts w:ascii="Arial" w:hAnsi="Arial" w:eastAsia="Times New Roman" w:cs="Arial"/>
          <w:bdr w:val="none" w:color="auto" w:sz="0" w:space="0" w:frame="1"/>
          <w:lang w:val="es-ES"/>
        </w:rPr>
      </w:pPr>
    </w:p>
    <w:p w:rsidRPr="000C4D8D" w:rsidR="005623F8" w:rsidP="000C4D8D" w:rsidRDefault="005623F8" w14:paraId="029143B0" w14:textId="77777777">
      <w:pPr>
        <w:spacing w:after="120" w:line="276" w:lineRule="auto"/>
        <w:contextualSpacing/>
        <w:jc w:val="both"/>
        <w:rPr>
          <w:rFonts w:ascii="Arial" w:hAnsi="Arial" w:eastAsia="Times New Roman" w:cs="Arial"/>
          <w:bdr w:val="none" w:color="auto" w:sz="0" w:space="0" w:frame="1"/>
          <w:lang w:val="es-ES"/>
        </w:rPr>
      </w:pPr>
    </w:p>
    <w:p w:rsidRPr="00274852" w:rsidR="00274852" w:rsidP="00274852" w:rsidRDefault="00274852" w14:paraId="2D0EA859"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8. ¿Qué requisitos deben cumplir las entidades para justificar las exigencias</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técnicas dentro de un proceso de contratación?</w:t>
      </w:r>
    </w:p>
    <w:p w:rsidR="00274852" w:rsidP="00274852" w:rsidRDefault="00274852" w14:paraId="265D2451"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9. ¿En qué momento determinada exigencia técnica sobre un producto 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servicio vulnera el principio de pluralidad de oferentes o de selección</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objetiva?</w:t>
      </w:r>
    </w:p>
    <w:p w:rsidR="00C425D4" w:rsidP="00274852" w:rsidRDefault="00C425D4" w14:paraId="54684F4B" w14:textId="77777777">
      <w:pPr>
        <w:shd w:val="clear" w:color="auto" w:fill="FFFFFF" w:themeFill="background1"/>
        <w:spacing w:after="120"/>
        <w:ind w:left="709" w:right="709"/>
        <w:jc w:val="both"/>
        <w:rPr>
          <w:rFonts w:ascii="Arial" w:hAnsi="Arial" w:cs="Arial"/>
          <w:color w:val="000000" w:themeColor="text1"/>
          <w:sz w:val="21"/>
          <w:szCs w:val="21"/>
          <w:lang w:val="es-ES_tradnl"/>
        </w:rPr>
      </w:pPr>
    </w:p>
    <w:p w:rsidR="004429A3" w:rsidP="00C01157" w:rsidRDefault="00EA0D8F" w14:paraId="42562EEE" w14:textId="40A71C6B">
      <w:pPr>
        <w:spacing w:after="120" w:line="276" w:lineRule="auto"/>
        <w:contextualSpacing/>
        <w:jc w:val="both"/>
        <w:rPr>
          <w:rFonts w:ascii="Arial" w:hAnsi="Arial" w:eastAsia="Times New Roman" w:cs="Arial"/>
          <w:bdr w:val="none" w:color="auto" w:sz="0" w:space="0" w:frame="1"/>
          <w:lang w:val="es-ES"/>
        </w:rPr>
      </w:pPr>
      <w:r w:rsidRPr="00C01157">
        <w:rPr>
          <w:rFonts w:ascii="Arial" w:hAnsi="Arial" w:eastAsia="Times New Roman" w:cs="Arial"/>
          <w:bdr w:val="none" w:color="auto" w:sz="0" w:space="0" w:frame="1"/>
          <w:lang w:val="es-ES"/>
        </w:rPr>
        <w:t>De conformidad con lo</w:t>
      </w:r>
      <w:r w:rsidR="00C01157">
        <w:rPr>
          <w:rFonts w:ascii="Arial" w:hAnsi="Arial" w:eastAsia="Times New Roman" w:cs="Arial"/>
          <w:bdr w:val="none" w:color="auto" w:sz="0" w:space="0" w:frame="1"/>
          <w:lang w:val="es-ES"/>
        </w:rPr>
        <w:t xml:space="preserve"> </w:t>
      </w:r>
      <w:r w:rsidRPr="00C01157">
        <w:rPr>
          <w:rFonts w:ascii="Arial" w:hAnsi="Arial" w:eastAsia="Times New Roman" w:cs="Arial"/>
          <w:bdr w:val="none" w:color="auto" w:sz="0" w:space="0" w:frame="1"/>
          <w:lang w:val="es-ES"/>
        </w:rPr>
        <w:t>manifestado en el punto 2.5 de est</w:t>
      </w:r>
      <w:r w:rsidRPr="00C01157" w:rsidR="00C01157">
        <w:rPr>
          <w:rFonts w:ascii="Arial" w:hAnsi="Arial" w:eastAsia="Times New Roman" w:cs="Arial"/>
          <w:bdr w:val="none" w:color="auto" w:sz="0" w:space="0" w:frame="1"/>
          <w:lang w:val="es-ES"/>
        </w:rPr>
        <w:t xml:space="preserve">e concepto, los requisitos habilitantes y de ponderación fueron definidos por el Gobierno Nacional y la Agencia Nacional de Contratación Pública – Colombia Compra Eficiente en el “Documentos Base” de los Documentos Tipo. </w:t>
      </w:r>
      <w:r w:rsidRPr="00C01157" w:rsidR="00C01157">
        <w:rPr>
          <w:rFonts w:ascii="Arial" w:hAnsi="Arial" w:eastAsia="Times New Roman" w:cs="Arial"/>
          <w:u w:val="single"/>
          <w:bdr w:val="none" w:color="auto" w:sz="0" w:space="0" w:frame="1"/>
          <w:lang w:val="es-ES"/>
        </w:rPr>
        <w:t>Las entidades estatales cuentan con autonomía para definir las condiciones y especificaciones para la ejecución del contrato</w:t>
      </w:r>
      <w:r w:rsidRPr="00C01157" w:rsidR="00C01157">
        <w:rPr>
          <w:rFonts w:ascii="Arial" w:hAnsi="Arial" w:eastAsia="Times New Roman" w:cs="Arial"/>
          <w:bdr w:val="none" w:color="auto" w:sz="0" w:space="0" w:frame="1"/>
          <w:lang w:val="es-ES"/>
        </w:rPr>
        <w:t xml:space="preserve"> en el “Anexo 1- Anexo Técnico”, siempre que dichas condiciones y especificaciones no sean contrarias a los requisitos definidos en los Documentos Tipo.</w:t>
      </w:r>
    </w:p>
    <w:p w:rsidR="00123E1C" w:rsidP="00C01157" w:rsidRDefault="00123E1C" w14:paraId="63E52FDF" w14:textId="77777777">
      <w:pPr>
        <w:spacing w:after="120" w:line="276" w:lineRule="auto"/>
        <w:contextualSpacing/>
        <w:jc w:val="both"/>
        <w:rPr>
          <w:rFonts w:ascii="Arial" w:hAnsi="Arial" w:eastAsia="Times New Roman" w:cs="Arial"/>
          <w:bdr w:val="none" w:color="auto" w:sz="0" w:space="0" w:frame="1"/>
          <w:lang w:val="es-ES"/>
        </w:rPr>
      </w:pPr>
    </w:p>
    <w:p w:rsidR="00123E1C" w:rsidP="00445E4F" w:rsidRDefault="00123E1C" w14:paraId="0DF269C6" w14:textId="4FB5AEDD">
      <w:pPr>
        <w:spacing w:after="120" w:line="276" w:lineRule="auto"/>
        <w:ind w:firstLine="708"/>
        <w:contextualSpacing/>
        <w:jc w:val="both"/>
        <w:rPr>
          <w:rFonts w:ascii="Arial" w:hAnsi="Arial" w:eastAsia="Times New Roman" w:cs="Arial"/>
          <w:bdr w:val="none" w:color="auto" w:sz="0" w:space="0" w:frame="1"/>
          <w:lang w:val="es-ES"/>
        </w:rPr>
      </w:pPr>
      <w:r>
        <w:rPr>
          <w:rFonts w:ascii="Arial" w:hAnsi="Arial" w:eastAsia="Times New Roman" w:cs="Arial"/>
          <w:bdr w:val="none" w:color="auto" w:sz="0" w:space="0" w:frame="1"/>
          <w:lang w:val="es-ES"/>
        </w:rPr>
        <w:t xml:space="preserve">El referido </w:t>
      </w:r>
      <w:r w:rsidRPr="00123E1C">
        <w:rPr>
          <w:rFonts w:ascii="Arial" w:hAnsi="Arial" w:eastAsia="Times New Roman" w:cs="Arial"/>
          <w:bdr w:val="none" w:color="auto" w:sz="0" w:space="0" w:frame="1"/>
          <w:lang w:val="es-ES"/>
        </w:rPr>
        <w:t>“Anexo 1- Anexo Técnico”</w:t>
      </w:r>
      <w:r>
        <w:rPr>
          <w:rFonts w:ascii="Arial" w:hAnsi="Arial" w:eastAsia="Times New Roman" w:cs="Arial"/>
          <w:bdr w:val="none" w:color="auto" w:sz="0" w:space="0" w:frame="1"/>
          <w:lang w:val="es-ES"/>
        </w:rPr>
        <w:t xml:space="preserve"> </w:t>
      </w:r>
      <w:r w:rsidRPr="00123E1C">
        <w:rPr>
          <w:rFonts w:ascii="Arial" w:hAnsi="Arial" w:eastAsia="Times New Roman" w:cs="Arial"/>
          <w:bdr w:val="none" w:color="auto" w:sz="0" w:space="0" w:frame="1"/>
          <w:lang w:val="es-ES"/>
        </w:rPr>
        <w:t>describe el contenido mínimo que debe considerar la entidad estatal durante la estructuración del proceso, sin perjuicio de que se requieran aspectos adicionales, acordes con el alcance y magnitud de las obras contenidos en otros documentos.</w:t>
      </w:r>
      <w:r w:rsidR="00445E4F">
        <w:rPr>
          <w:rFonts w:ascii="Arial" w:hAnsi="Arial" w:eastAsia="Times New Roman" w:cs="Arial"/>
          <w:bdr w:val="none" w:color="auto" w:sz="0" w:space="0" w:frame="1"/>
          <w:lang w:val="es-ES"/>
        </w:rPr>
        <w:t xml:space="preserve"> </w:t>
      </w:r>
    </w:p>
    <w:p w:rsidR="00445E4F" w:rsidP="00445E4F" w:rsidRDefault="00445E4F" w14:paraId="5688151B" w14:textId="77777777">
      <w:pPr>
        <w:spacing w:after="120" w:line="276" w:lineRule="auto"/>
        <w:ind w:firstLine="708"/>
        <w:contextualSpacing/>
        <w:jc w:val="both"/>
        <w:rPr>
          <w:rFonts w:ascii="Arial" w:hAnsi="Arial" w:eastAsia="Times New Roman" w:cs="Arial"/>
          <w:bdr w:val="none" w:color="auto" w:sz="0" w:space="0" w:frame="1"/>
          <w:lang w:val="es-ES"/>
        </w:rPr>
      </w:pPr>
    </w:p>
    <w:p w:rsidRPr="00C01157" w:rsidR="00445E4F" w:rsidP="00445E4F" w:rsidRDefault="00445E4F" w14:paraId="0874BF64" w14:textId="14311746">
      <w:pPr>
        <w:spacing w:after="120" w:line="276" w:lineRule="auto"/>
        <w:ind w:firstLine="708"/>
        <w:contextualSpacing/>
        <w:jc w:val="both"/>
        <w:rPr>
          <w:rFonts w:ascii="Arial" w:hAnsi="Arial" w:eastAsia="Times New Roman" w:cs="Arial"/>
          <w:bdr w:val="none" w:color="auto" w:sz="0" w:space="0" w:frame="1"/>
          <w:lang w:val="es-ES"/>
        </w:rPr>
      </w:pPr>
      <w:r>
        <w:rPr>
          <w:rFonts w:ascii="Arial" w:hAnsi="Arial" w:eastAsia="Times New Roman" w:cs="Arial"/>
          <w:bdr w:val="none" w:color="auto" w:sz="0" w:space="0" w:frame="1"/>
          <w:lang w:val="es-ES"/>
        </w:rPr>
        <w:t>Así pues,</w:t>
      </w:r>
      <w:r w:rsidR="003A3665">
        <w:rPr>
          <w:rFonts w:ascii="Arial" w:hAnsi="Arial" w:eastAsia="Times New Roman" w:cs="Arial"/>
          <w:bdr w:val="none" w:color="auto" w:sz="0" w:space="0" w:frame="1"/>
          <w:lang w:val="es-ES"/>
        </w:rPr>
        <w:t xml:space="preserve"> en cuanto a los requisitos y la determinación de las exigencias técnicas, </w:t>
      </w:r>
      <w:r w:rsidRPr="005875C2" w:rsidR="005875C2">
        <w:rPr>
          <w:rFonts w:ascii="Arial" w:hAnsi="Arial" w:eastAsia="Times New Roman" w:cs="Arial"/>
          <w:bdr w:val="none" w:color="auto" w:sz="0" w:space="0" w:frame="1"/>
          <w:lang w:val="es-ES"/>
        </w:rPr>
        <w:t xml:space="preserve"> y bajo la noción de lex </w:t>
      </w:r>
      <w:proofErr w:type="spellStart"/>
      <w:r w:rsidRPr="005875C2" w:rsidR="005875C2">
        <w:rPr>
          <w:rFonts w:ascii="Arial" w:hAnsi="Arial" w:eastAsia="Times New Roman" w:cs="Arial"/>
          <w:bdr w:val="none" w:color="auto" w:sz="0" w:space="0" w:frame="1"/>
          <w:lang w:val="es-ES"/>
        </w:rPr>
        <w:t>artis</w:t>
      </w:r>
      <w:proofErr w:type="spellEnd"/>
      <w:r w:rsidRPr="005875C2" w:rsidR="005875C2">
        <w:rPr>
          <w:rFonts w:ascii="Arial" w:hAnsi="Arial" w:eastAsia="Times New Roman" w:cs="Arial"/>
          <w:bdr w:val="none" w:color="auto" w:sz="0" w:space="0" w:frame="1"/>
          <w:lang w:val="es-ES"/>
        </w:rPr>
        <w:t xml:space="preserve">, entendida esta como “un contenido ético y técnico científico que dirige la labor, la cual tiene especial trascendencia social y que está marcada por la autonomía”  </w:t>
      </w:r>
      <w:r w:rsidRPr="004B77FA" w:rsidR="005875C2">
        <w:rPr>
          <w:rFonts w:ascii="Arial" w:hAnsi="Arial" w:eastAsia="Times New Roman" w:cs="Arial"/>
          <w:u w:val="single"/>
          <w:bdr w:val="none" w:color="auto" w:sz="0" w:space="0" w:frame="1"/>
          <w:lang w:val="es-ES"/>
        </w:rPr>
        <w:t>corresponderá a cada entidad estatal, como estructuradora del proceso de contratación y a su personal técnico,  definir las condiciones y especificaciones sobre las exigencias técnicas</w:t>
      </w:r>
      <w:r w:rsidRPr="005875C2" w:rsidR="005875C2">
        <w:rPr>
          <w:rFonts w:ascii="Arial" w:hAnsi="Arial" w:eastAsia="Times New Roman" w:cs="Arial"/>
          <w:bdr w:val="none" w:color="auto" w:sz="0" w:space="0" w:frame="1"/>
          <w:lang w:val="es-ES"/>
        </w:rPr>
        <w:t xml:space="preserve"> y los documentos técnicos adicionales, siempre observando los preceptos del Estatuto General de Contratación de la Administración pública -EGCA- y, de ser aplicables,  los requisitos definidos en los Documentos Tipo.</w:t>
      </w:r>
    </w:p>
    <w:p w:rsidRPr="00274852" w:rsidR="004429A3" w:rsidP="00274852" w:rsidRDefault="004429A3" w14:paraId="3743C9E5" w14:textId="77777777">
      <w:pPr>
        <w:shd w:val="clear" w:color="auto" w:fill="FFFFFF" w:themeFill="background1"/>
        <w:spacing w:after="120"/>
        <w:ind w:left="709" w:right="709"/>
        <w:jc w:val="both"/>
        <w:rPr>
          <w:rFonts w:ascii="Arial" w:hAnsi="Arial" w:cs="Arial"/>
          <w:color w:val="000000" w:themeColor="text1"/>
          <w:sz w:val="21"/>
          <w:szCs w:val="21"/>
          <w:lang w:val="es-ES_tradnl"/>
        </w:rPr>
      </w:pPr>
    </w:p>
    <w:p w:rsidR="00274852" w:rsidP="00274852" w:rsidRDefault="00274852" w14:paraId="5E4703ED"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10. En virtud de los conceptos de Colombia Compra Eficiente sobre la posibilidad</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de seguir utilizando la experiencia registrada en el RUP de un oferente 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través de sus socios, aun cuando hayan pasado más de tres años de</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constitución, ¿Es viable que la experiencia de los socios, aun cuando la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empresa haya cumplido más de tres años de constitución, pueda ser utilizada</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por el oferente en procesos de mínima cuantía donde no se exija el RUP?</w:t>
      </w:r>
    </w:p>
    <w:p w:rsidRPr="001246FF" w:rsidR="001246FF" w:rsidP="001246FF" w:rsidRDefault="00C425D4" w14:paraId="37735A70" w14:textId="77777777">
      <w:pPr>
        <w:spacing w:after="120" w:line="276" w:lineRule="auto"/>
        <w:contextualSpacing/>
        <w:jc w:val="both"/>
        <w:rPr>
          <w:rFonts w:ascii="Arial" w:hAnsi="Arial" w:eastAsia="Times New Roman" w:cs="Arial"/>
          <w:bdr w:val="none" w:color="auto" w:sz="0" w:space="0" w:frame="1"/>
          <w:lang w:val="es-ES"/>
        </w:rPr>
      </w:pPr>
      <w:r w:rsidRPr="00C425D4">
        <w:rPr>
          <w:rFonts w:ascii="Arial" w:hAnsi="Arial" w:eastAsia="Times New Roman" w:cs="Arial"/>
          <w:bdr w:val="none" w:color="auto" w:sz="0" w:space="0" w:frame="1"/>
          <w:lang w:val="es-ES"/>
        </w:rPr>
        <w:t xml:space="preserve">Con base en lo desarrollado </w:t>
      </w:r>
      <w:r w:rsidR="001246FF">
        <w:rPr>
          <w:rFonts w:ascii="Arial" w:hAnsi="Arial" w:eastAsia="Times New Roman" w:cs="Arial"/>
          <w:bdr w:val="none" w:color="auto" w:sz="0" w:space="0" w:frame="1"/>
          <w:lang w:val="es-ES"/>
        </w:rPr>
        <w:t xml:space="preserve">en el numeral 2.6 de la presente consulta, es importante afirmar que </w:t>
      </w:r>
      <w:r w:rsidRPr="001246FF" w:rsidR="001246FF">
        <w:rPr>
          <w:rFonts w:ascii="Arial" w:hAnsi="Arial" w:eastAsia="Times New Roman" w:cs="Arial"/>
          <w:bdr w:val="none" w:color="auto" w:sz="0" w:space="0" w:frame="1"/>
          <w:lang w:val="es-ES"/>
        </w:rPr>
        <w:t xml:space="preserve">a pesar de que la norma que concede la posibilidad de acreditar la experiencia de los socios, </w:t>
      </w:r>
      <w:r w:rsidRPr="001246FF" w:rsidR="001246FF">
        <w:rPr>
          <w:rFonts w:ascii="Arial" w:hAnsi="Arial" w:eastAsia="Times New Roman" w:cs="Arial"/>
          <w:bdr w:val="none" w:color="auto" w:sz="0" w:space="0" w:frame="1"/>
          <w:lang w:val="es-ES"/>
        </w:rPr>
        <w:t xml:space="preserve">accionistas o constituyentes para las personas jurídicas con menos de 3 años de creación se refiere al RUP, </w:t>
      </w:r>
      <w:r w:rsidRPr="000827F8" w:rsidR="001246FF">
        <w:rPr>
          <w:rFonts w:ascii="Arial" w:hAnsi="Arial" w:eastAsia="Times New Roman" w:cs="Arial"/>
          <w:u w:val="single"/>
          <w:bdr w:val="none" w:color="auto" w:sz="0" w:space="0" w:frame="1"/>
          <w:lang w:val="es-ES"/>
        </w:rPr>
        <w:t>ello no impide que se pueda hacer una aplicación extensiva o analógica para los eventos en los que no sea necesaria la inscripción en el RUP, como en el caso de los procesos adelantados a través de la modalidad de mínima cuantía</w:t>
      </w:r>
      <w:r w:rsidRPr="001246FF" w:rsidR="001246FF">
        <w:rPr>
          <w:rFonts w:ascii="Arial" w:hAnsi="Arial" w:eastAsia="Times New Roman" w:cs="Arial"/>
          <w:bdr w:val="none" w:color="auto" w:sz="0" w:space="0" w:frame="1"/>
          <w:lang w:val="es-ES"/>
        </w:rPr>
        <w:t xml:space="preserve">. Es más, se insiste en que esta aplicación analógica se impone en virtud del </w:t>
      </w:r>
      <w:r w:rsidRPr="000827F8" w:rsidR="001246FF">
        <w:rPr>
          <w:rFonts w:ascii="Arial" w:hAnsi="Arial" w:eastAsia="Times New Roman" w:cs="Arial"/>
          <w:u w:val="single"/>
          <w:bdr w:val="none" w:color="auto" w:sz="0" w:space="0" w:frame="1"/>
          <w:lang w:val="es-ES"/>
        </w:rPr>
        <w:t>principio de igualdad</w:t>
      </w:r>
      <w:r w:rsidRPr="001246FF" w:rsidR="001246FF">
        <w:rPr>
          <w:rFonts w:ascii="Arial" w:hAnsi="Arial" w:eastAsia="Times New Roman" w:cs="Arial"/>
          <w:bdr w:val="none" w:color="auto" w:sz="0" w:space="0" w:frame="1"/>
          <w:lang w:val="es-ES"/>
        </w:rPr>
        <w:t xml:space="preserve">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w:t>
      </w:r>
    </w:p>
    <w:p w:rsidRPr="001246FF" w:rsidR="001246FF" w:rsidP="001246FF" w:rsidRDefault="001246FF" w14:paraId="61F3F672" w14:textId="77777777">
      <w:pPr>
        <w:spacing w:after="120" w:line="276" w:lineRule="auto"/>
        <w:contextualSpacing/>
        <w:jc w:val="both"/>
        <w:rPr>
          <w:rFonts w:ascii="Arial" w:hAnsi="Arial" w:eastAsia="Times New Roman" w:cs="Arial"/>
          <w:bdr w:val="none" w:color="auto" w:sz="0" w:space="0" w:frame="1"/>
          <w:lang w:val="es-ES"/>
        </w:rPr>
      </w:pPr>
    </w:p>
    <w:p w:rsidRPr="001246FF" w:rsidR="001246FF" w:rsidP="001246FF" w:rsidRDefault="001246FF" w14:paraId="67426CDF" w14:textId="77777777">
      <w:pPr>
        <w:spacing w:after="120" w:line="276" w:lineRule="auto"/>
        <w:contextualSpacing/>
        <w:jc w:val="both"/>
        <w:rPr>
          <w:rFonts w:ascii="Arial" w:hAnsi="Arial" w:eastAsia="Times New Roman" w:cs="Arial"/>
          <w:bdr w:val="none" w:color="auto" w:sz="0" w:space="0" w:frame="1"/>
          <w:lang w:val="es-ES"/>
        </w:rPr>
      </w:pPr>
    </w:p>
    <w:p w:rsidRPr="001246FF" w:rsidR="001246FF" w:rsidP="001246FF" w:rsidRDefault="001246FF" w14:paraId="7A5791B5" w14:textId="77777777">
      <w:pPr>
        <w:spacing w:after="120" w:line="276" w:lineRule="auto"/>
        <w:ind w:firstLine="708"/>
        <w:contextualSpacing/>
        <w:jc w:val="both"/>
        <w:rPr>
          <w:rFonts w:ascii="Arial" w:hAnsi="Arial" w:eastAsia="Times New Roman" w:cs="Arial"/>
          <w:bdr w:val="none" w:color="auto" w:sz="0" w:space="0" w:frame="1"/>
          <w:lang w:val="es-ES"/>
        </w:rPr>
      </w:pPr>
      <w:r w:rsidRPr="001246FF">
        <w:rPr>
          <w:rFonts w:ascii="Arial" w:hAnsi="Arial" w:eastAsia="Times New Roman" w:cs="Arial"/>
          <w:bdr w:val="none" w:color="auto" w:sz="0" w:space="0" w:frame="1"/>
          <w:lang w:val="es-ES"/>
        </w:rPr>
        <w:t xml:space="preserve">Así las cosas, frente a la acreditación de la experiencia de los socios, accionistas o constituyentes de una persona jurídica con menos de 3 años de constitución, para participar en los eventos exceptuados al deber de inscripción en el RUP, </w:t>
      </w:r>
      <w:r w:rsidRPr="00627B3B">
        <w:rPr>
          <w:rFonts w:ascii="Arial" w:hAnsi="Arial" w:eastAsia="Times New Roman" w:cs="Arial"/>
          <w:u w:val="single"/>
          <w:bdr w:val="none" w:color="auto" w:sz="0" w:space="0" w:frame="1"/>
          <w:lang w:val="es-ES"/>
        </w:rPr>
        <w:t>como los procesos de selección de mínima cuantía</w:t>
      </w:r>
      <w:r w:rsidRPr="001246FF">
        <w:rPr>
          <w:rFonts w:ascii="Arial" w:hAnsi="Arial" w:eastAsia="Times New Roman" w:cs="Arial"/>
          <w:bdr w:val="none" w:color="auto" w:sz="0" w:space="0" w:frame="1"/>
          <w:lang w:val="es-ES"/>
        </w:rPr>
        <w:t xml:space="preserve">,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w:t>
      </w:r>
      <w:r w:rsidRPr="00627B3B">
        <w:rPr>
          <w:rFonts w:ascii="Arial" w:hAnsi="Arial" w:eastAsia="Times New Roman" w:cs="Arial"/>
          <w:u w:val="single"/>
          <w:bdr w:val="none" w:color="auto" w:sz="0" w:space="0" w:frame="1"/>
          <w:lang w:val="es-ES"/>
        </w:rPr>
        <w:t>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w:t>
      </w:r>
      <w:r w:rsidRPr="001246FF">
        <w:rPr>
          <w:rFonts w:ascii="Arial" w:hAnsi="Arial" w:eastAsia="Times New Roman" w:cs="Arial"/>
          <w:bdr w:val="none" w:color="auto" w:sz="0" w:space="0" w:frame="1"/>
          <w:lang w:val="es-ES"/>
        </w:rPr>
        <w:t>.</w:t>
      </w:r>
    </w:p>
    <w:p w:rsidRPr="001246FF" w:rsidR="001246FF" w:rsidP="001246FF" w:rsidRDefault="001246FF" w14:paraId="0C7DBFC6" w14:textId="77777777">
      <w:pPr>
        <w:spacing w:after="120" w:line="276" w:lineRule="auto"/>
        <w:contextualSpacing/>
        <w:jc w:val="both"/>
        <w:rPr>
          <w:rFonts w:ascii="Arial" w:hAnsi="Arial" w:eastAsia="Times New Roman" w:cs="Arial"/>
          <w:bdr w:val="none" w:color="auto" w:sz="0" w:space="0" w:frame="1"/>
          <w:lang w:val="es-ES"/>
        </w:rPr>
      </w:pPr>
    </w:p>
    <w:p w:rsidRPr="00C425D4" w:rsidR="00C425D4" w:rsidP="001246FF" w:rsidRDefault="001246FF" w14:paraId="3E820A87" w14:textId="4F32BB83">
      <w:pPr>
        <w:spacing w:after="120" w:line="276" w:lineRule="auto"/>
        <w:ind w:firstLine="708"/>
        <w:contextualSpacing/>
        <w:jc w:val="both"/>
        <w:rPr>
          <w:rFonts w:ascii="Arial" w:hAnsi="Arial" w:eastAsia="Times New Roman" w:cs="Arial"/>
          <w:bdr w:val="none" w:color="auto" w:sz="0" w:space="0" w:frame="1"/>
          <w:lang w:val="es-ES"/>
        </w:rPr>
      </w:pPr>
      <w:r w:rsidRPr="001246FF">
        <w:rPr>
          <w:rFonts w:ascii="Arial" w:hAnsi="Arial" w:eastAsia="Times New Roman" w:cs="Arial"/>
          <w:bdr w:val="none" w:color="auto" w:sz="0" w:space="0" w:frame="1"/>
          <w:lang w:val="es-ES"/>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Pr="00274852" w:rsidR="00C425D4" w:rsidP="00274852" w:rsidRDefault="00C425D4" w14:paraId="6AB80CFF" w14:textId="77777777">
      <w:pPr>
        <w:shd w:val="clear" w:color="auto" w:fill="FFFFFF" w:themeFill="background1"/>
        <w:spacing w:after="120"/>
        <w:ind w:left="709" w:right="709"/>
        <w:jc w:val="both"/>
        <w:rPr>
          <w:rFonts w:ascii="Arial" w:hAnsi="Arial" w:cs="Arial"/>
          <w:color w:val="000000" w:themeColor="text1"/>
          <w:sz w:val="21"/>
          <w:szCs w:val="21"/>
          <w:lang w:val="es-ES_tradnl"/>
        </w:rPr>
      </w:pPr>
    </w:p>
    <w:p w:rsidRPr="00274852" w:rsidR="00274852" w:rsidP="00274852" w:rsidRDefault="00274852" w14:paraId="656E8665" w14:textId="77777777">
      <w:pPr>
        <w:shd w:val="clear" w:color="auto" w:fill="FFFFFF" w:themeFill="background1"/>
        <w:spacing w:after="120"/>
        <w:ind w:left="709" w:right="709"/>
        <w:jc w:val="both"/>
        <w:rPr>
          <w:rFonts w:ascii="Arial" w:hAnsi="Arial" w:cs="Arial"/>
          <w:color w:val="000000" w:themeColor="text1"/>
          <w:sz w:val="21"/>
          <w:szCs w:val="21"/>
          <w:lang w:val="es-ES_tradnl"/>
        </w:rPr>
      </w:pPr>
      <w:r w:rsidRPr="00274852">
        <w:rPr>
          <w:rFonts w:ascii="Arial" w:hAnsi="Arial" w:cs="Arial"/>
          <w:color w:val="000000" w:themeColor="text1"/>
          <w:sz w:val="21"/>
          <w:szCs w:val="21"/>
          <w:lang w:val="es-ES_tradnl"/>
        </w:rPr>
        <w:t>11. ¿Las entidades con régimen especial de contratación pueden solicitar como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requisito habilitante o ponderable certificaciones de calidad, aun cuando</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dicha exigencia esté prohibida de acuerdo con lo dispuesto en la Ley 1150</w:t>
      </w:r>
      <w:r>
        <w:rPr>
          <w:rFonts w:ascii="Arial" w:hAnsi="Arial" w:cs="Arial"/>
          <w:color w:val="000000" w:themeColor="text1"/>
          <w:sz w:val="21"/>
          <w:szCs w:val="21"/>
          <w:lang w:val="es-ES_tradnl"/>
        </w:rPr>
        <w:t xml:space="preserve"> </w:t>
      </w:r>
      <w:r w:rsidRPr="00274852">
        <w:rPr>
          <w:rFonts w:ascii="Arial" w:hAnsi="Arial" w:cs="Arial"/>
          <w:color w:val="000000" w:themeColor="text1"/>
          <w:sz w:val="21"/>
          <w:szCs w:val="21"/>
          <w:lang w:val="es-ES_tradnl"/>
        </w:rPr>
        <w:t>de 2007?</w:t>
      </w:r>
      <w:r w:rsidRPr="00FC2D03">
        <w:rPr>
          <w:rFonts w:ascii="Arial" w:hAnsi="Arial" w:cs="Arial"/>
          <w:color w:val="000000" w:themeColor="text1"/>
          <w:sz w:val="21"/>
          <w:szCs w:val="21"/>
        </w:rPr>
        <w:t>”.</w:t>
      </w:r>
    </w:p>
    <w:p w:rsidRPr="00FC2D03" w:rsidR="00746BA3" w:rsidP="00FC2D03" w:rsidRDefault="00746BA3" w14:paraId="76DC269B" w14:textId="77777777">
      <w:pPr>
        <w:shd w:val="clear" w:color="auto" w:fill="FFFFFF" w:themeFill="background1"/>
        <w:spacing w:after="0" w:line="276" w:lineRule="auto"/>
        <w:jc w:val="both"/>
        <w:rPr>
          <w:rFonts w:ascii="Arial" w:hAnsi="Arial" w:cs="Arial"/>
          <w:color w:val="000000" w:themeColor="text1"/>
        </w:rPr>
      </w:pPr>
    </w:p>
    <w:p w:rsidR="00746BA3" w:rsidP="00F4235E" w:rsidRDefault="00846243" w14:paraId="6966DF79" w14:textId="5623F866">
      <w:pPr>
        <w:spacing w:after="0" w:line="276" w:lineRule="auto"/>
        <w:ind w:firstLine="709"/>
        <w:jc w:val="both"/>
        <w:rPr>
          <w:rFonts w:ascii="Arial" w:hAnsi="Arial" w:eastAsia="Calibri" w:cs="Arial"/>
          <w:bCs/>
          <w:lang w:val="es-MX" w:eastAsia="es-CO"/>
        </w:rPr>
      </w:pPr>
      <w:r w:rsidRPr="00F4235E">
        <w:rPr>
          <w:rFonts w:ascii="Arial" w:hAnsi="Arial" w:eastAsia="Calibri" w:cs="Arial"/>
          <w:bCs/>
          <w:lang w:val="es-MX" w:eastAsia="es-CO"/>
        </w:rPr>
        <w:t>E</w:t>
      </w:r>
      <w:r w:rsidRPr="007B31BD">
        <w:rPr>
          <w:rFonts w:ascii="Arial" w:hAnsi="Arial" w:eastAsia="Calibri" w:cs="Arial"/>
          <w:bCs/>
          <w:lang w:val="es-MX" w:eastAsia="es-CO"/>
        </w:rPr>
        <w:t xml:space="preserve">n el caso de los requisitos habilitantes, el artículo 5, parágrafo 2, de la Ley 1150 de 2007 establece que las </w:t>
      </w:r>
      <w:r w:rsidRPr="00F4235E">
        <w:rPr>
          <w:rFonts w:ascii="Arial" w:hAnsi="Arial" w:eastAsia="Calibri" w:cs="Arial"/>
          <w:bCs/>
          <w:u w:val="single"/>
          <w:lang w:val="es-MX" w:eastAsia="es-CO"/>
        </w:rPr>
        <w:t>“</w:t>
      </w:r>
      <w:r w:rsidRPr="007B31BD">
        <w:rPr>
          <w:rFonts w:ascii="Arial" w:hAnsi="Arial" w:eastAsia="Calibri" w:cs="Arial"/>
          <w:bCs/>
          <w:u w:val="single"/>
          <w:lang w:val="es-MX" w:eastAsia="es-CO"/>
        </w:rPr>
        <w:t>certificaciones de sistemas de gestión de calidad no serán objeto de calificación, ni podrán establecerse como documento habilitante para participar en licitaciones o concursos</w:t>
      </w:r>
      <w:r w:rsidRPr="00F4235E">
        <w:rPr>
          <w:rFonts w:ascii="Arial" w:hAnsi="Arial" w:eastAsia="Calibri" w:cs="Arial"/>
          <w:bCs/>
          <w:u w:val="single"/>
          <w:lang w:val="es-MX" w:eastAsia="es-CO"/>
        </w:rPr>
        <w:t>”</w:t>
      </w:r>
      <w:r w:rsidRPr="007B31BD">
        <w:rPr>
          <w:rFonts w:ascii="Arial" w:hAnsi="Arial" w:eastAsia="Calibri" w:cs="Arial"/>
          <w:bCs/>
          <w:lang w:val="es-MX" w:eastAsia="es-CO"/>
        </w:rPr>
        <w:t xml:space="preserve">. Es del caso precisar que esta prohibición comprende los requisitos habilitantes y, </w:t>
      </w:r>
      <w:r w:rsidRPr="007B31BD">
        <w:rPr>
          <w:rFonts w:ascii="Arial" w:hAnsi="Arial" w:eastAsia="Calibri" w:cs="Arial"/>
          <w:bCs/>
          <w:lang w:val="es-MX" w:eastAsia="es-CO"/>
        </w:rPr>
        <w:t>además, los requisitos puntuables, pues la norma prohíbe expresamente que dichas certificaciones sean objeto de calificación.</w:t>
      </w:r>
    </w:p>
    <w:p w:rsidR="00A27592" w:rsidP="00F4235E" w:rsidRDefault="00A27592" w14:paraId="725C0595" w14:textId="77777777">
      <w:pPr>
        <w:spacing w:after="0" w:line="276" w:lineRule="auto"/>
        <w:ind w:firstLine="709"/>
        <w:jc w:val="both"/>
        <w:rPr>
          <w:rFonts w:ascii="Arial" w:hAnsi="Arial" w:eastAsia="Calibri" w:cs="Arial"/>
          <w:bCs/>
          <w:lang w:val="es-MX" w:eastAsia="es-CO"/>
        </w:rPr>
      </w:pPr>
    </w:p>
    <w:p w:rsidRPr="00B547AE" w:rsidR="00A27592" w:rsidP="00A27592" w:rsidRDefault="00A27592" w14:paraId="2D7E1C57" w14:textId="02A63DDF">
      <w:pPr>
        <w:spacing w:after="0" w:line="276" w:lineRule="auto"/>
        <w:ind w:firstLine="709"/>
        <w:jc w:val="both"/>
        <w:rPr>
          <w:rFonts w:ascii="Arial" w:hAnsi="Arial" w:eastAsia="Calibri" w:cs="Arial"/>
          <w:bCs/>
          <w:u w:val="single"/>
          <w:lang w:val="es-MX" w:eastAsia="es-CO"/>
        </w:rPr>
      </w:pPr>
      <w:r>
        <w:rPr>
          <w:rFonts w:ascii="Arial" w:hAnsi="Arial" w:eastAsia="Calibri" w:cs="Arial"/>
          <w:bCs/>
          <w:lang w:val="es-MX" w:eastAsia="es-CO"/>
        </w:rPr>
        <w:t>Ahora bien,</w:t>
      </w:r>
      <w:r w:rsidRPr="00A27592">
        <w:t xml:space="preserve"> </w:t>
      </w:r>
      <w:r w:rsidRPr="00A27592">
        <w:rPr>
          <w:rFonts w:ascii="Arial" w:hAnsi="Arial" w:eastAsia="Calibri" w:cs="Arial"/>
          <w:bCs/>
          <w:lang w:val="es-MX" w:eastAsia="es-CO"/>
        </w:rPr>
        <w:t xml:space="preserve">partiendo de que 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 </w:t>
      </w:r>
      <w:r w:rsidRPr="00B547AE">
        <w:rPr>
          <w:rFonts w:ascii="Arial" w:hAnsi="Arial" w:eastAsia="Calibri" w:cs="Arial"/>
          <w:bCs/>
          <w:u w:val="single"/>
          <w:lang w:val="es-MX" w:eastAsia="es-CO"/>
        </w:rPr>
        <w:t>La prohibición prevista en el artículo 5, parágrafo 2, de la Ley 1150 de 2007 no se aplica de manera directa sobre las entidades de régimen especial, precisamente debe observarse las disposiciones consagradas en el mencionado manual de contratación de cada entidad.</w:t>
      </w:r>
    </w:p>
    <w:p w:rsidRPr="00A27592" w:rsidR="00A27592" w:rsidP="00A27592" w:rsidRDefault="00A27592" w14:paraId="5A11F512" w14:textId="77777777">
      <w:pPr>
        <w:spacing w:after="0" w:line="276" w:lineRule="auto"/>
        <w:ind w:firstLine="709"/>
        <w:jc w:val="both"/>
        <w:rPr>
          <w:rFonts w:ascii="Arial" w:hAnsi="Arial" w:eastAsia="Calibri" w:cs="Arial"/>
          <w:bCs/>
          <w:lang w:val="es-MX" w:eastAsia="es-CO"/>
        </w:rPr>
      </w:pPr>
    </w:p>
    <w:p w:rsidRPr="00F4235E" w:rsidR="00A27592" w:rsidP="00A27592" w:rsidRDefault="00A27592" w14:paraId="2AEA991B" w14:textId="7DF3879B">
      <w:pPr>
        <w:spacing w:after="0" w:line="276" w:lineRule="auto"/>
        <w:ind w:firstLine="709"/>
        <w:jc w:val="both"/>
        <w:rPr>
          <w:rFonts w:ascii="Arial" w:hAnsi="Arial" w:eastAsia="Calibri" w:cs="Arial"/>
          <w:bCs/>
          <w:lang w:val="es-MX" w:eastAsia="es-CO"/>
        </w:rPr>
      </w:pPr>
      <w:r w:rsidRPr="00A27592">
        <w:rPr>
          <w:rFonts w:ascii="Arial" w:hAnsi="Arial" w:eastAsia="Calibri" w:cs="Arial"/>
          <w:bCs/>
          <w:lang w:val="es-MX" w:eastAsia="es-CO"/>
        </w:rPr>
        <w:t xml:space="preserve">Se reitera que, el manual de contratación de las entidades de régimen especial y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w:t>
      </w:r>
      <w:r w:rsidRPr="00B547AE">
        <w:rPr>
          <w:rFonts w:ascii="Arial" w:hAnsi="Arial" w:eastAsia="Calibri" w:cs="Arial"/>
          <w:bCs/>
          <w:u w:val="single"/>
          <w:lang w:val="es-MX" w:eastAsia="es-CO"/>
        </w:rPr>
        <w:t>el manual de contratación, al ser un reglamento vincula a la propia entidad</w:t>
      </w:r>
      <w:r w:rsidRPr="00A27592">
        <w:rPr>
          <w:rFonts w:ascii="Arial" w:hAnsi="Arial" w:eastAsia="Calibri" w:cs="Arial"/>
          <w:bCs/>
          <w:lang w:val="es-MX" w:eastAsia="es-CO"/>
        </w:rPr>
        <w:t>.</w:t>
      </w:r>
    </w:p>
    <w:p w:rsidRPr="00FC2D03" w:rsidR="00F4235E" w:rsidP="00FC2D03" w:rsidRDefault="00F4235E" w14:paraId="2ADA869B" w14:textId="77777777">
      <w:pPr>
        <w:shd w:val="clear" w:color="auto" w:fill="FFFFFF" w:themeFill="background1"/>
        <w:spacing w:after="0"/>
        <w:ind w:left="709" w:right="709"/>
        <w:jc w:val="both"/>
        <w:rPr>
          <w:rFonts w:ascii="Arial" w:hAnsi="Arial" w:cs="Arial"/>
          <w:color w:val="000000" w:themeColor="text1"/>
          <w:sz w:val="21"/>
          <w:szCs w:val="21"/>
        </w:rPr>
      </w:pPr>
    </w:p>
    <w:p w:rsidRPr="00EB0A4D" w:rsidR="00924EA1" w:rsidP="00924EA1" w:rsidRDefault="00924EA1" w14:paraId="27FECB40" w14:textId="44A0E33D">
      <w:pPr>
        <w:spacing w:after="0" w:line="276" w:lineRule="auto"/>
        <w:ind w:firstLine="709"/>
        <w:jc w:val="both"/>
        <w:rPr>
          <w:rFonts w:ascii="Arial" w:hAnsi="Arial" w:eastAsia="Calibri" w:cs="Arial"/>
          <w:lang w:val="es-MX"/>
        </w:rPr>
      </w:pPr>
      <w:r w:rsidRPr="00EB0A4D">
        <w:rPr>
          <w:rFonts w:ascii="Arial" w:hAnsi="Arial" w:eastAsia="Calibri"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w:t>
      </w:r>
      <w:r w:rsidR="00B07326">
        <w:rPr>
          <w:rFonts w:ascii="Arial" w:hAnsi="Arial" w:eastAsia="Calibri" w:cs="Arial"/>
          <w:bCs/>
          <w:lang w:val="es-MX" w:eastAsia="es-CO"/>
        </w:rPr>
        <w:t xml:space="preserve"> o convenio y las demás particularidades propias de sus procesos de contratación</w:t>
      </w:r>
      <w:r w:rsidRPr="00EB0A4D">
        <w:rPr>
          <w:rFonts w:ascii="Arial" w:hAnsi="Arial" w:eastAsia="Calibri" w:cs="Arial"/>
          <w:bCs/>
          <w:lang w:val="es-MX" w:eastAsia="es-CO"/>
        </w:rPr>
        <w:t>.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EB0A4D">
        <w:rPr>
          <w:rFonts w:ascii="Arial" w:hAnsi="Arial" w:cs="Arial"/>
          <w:bCs/>
          <w:lang w:val="es-ES"/>
        </w:rPr>
        <w:t xml:space="preserve"> </w:t>
      </w:r>
    </w:p>
    <w:p w:rsidR="00C1191F" w:rsidP="00FC2D03" w:rsidRDefault="00C1191F" w14:paraId="6BD54DAE" w14:textId="77777777">
      <w:pPr>
        <w:shd w:val="clear" w:color="auto" w:fill="FFFFFF" w:themeFill="background1"/>
        <w:spacing w:after="0" w:line="276" w:lineRule="auto"/>
        <w:jc w:val="both"/>
        <w:textAlignment w:val="baseline"/>
        <w:rPr>
          <w:rFonts w:ascii="Arial" w:hAnsi="Arial" w:cs="Arial"/>
          <w:color w:val="000000" w:themeColor="text1"/>
          <w:lang w:eastAsia="es-MX"/>
        </w:rPr>
      </w:pPr>
    </w:p>
    <w:p w:rsidRPr="00FC2D03" w:rsidR="00924EA1" w:rsidP="00FC2D03" w:rsidRDefault="00924EA1" w14:paraId="6E35FB83" w14:textId="77777777">
      <w:pPr>
        <w:shd w:val="clear" w:color="auto" w:fill="FFFFFF" w:themeFill="background1"/>
        <w:spacing w:after="0" w:line="276" w:lineRule="auto"/>
        <w:jc w:val="both"/>
        <w:textAlignment w:val="baseline"/>
        <w:rPr>
          <w:rFonts w:ascii="Arial" w:hAnsi="Arial" w:cs="Arial"/>
          <w:color w:val="000000" w:themeColor="text1"/>
          <w:lang w:eastAsia="es-MX"/>
        </w:rPr>
      </w:pPr>
    </w:p>
    <w:p w:rsidR="00274852" w:rsidP="00274852" w:rsidRDefault="00274852" w14:paraId="60E919A7" w14:textId="7F297E6E">
      <w:pPr>
        <w:spacing w:after="0" w:line="276" w:lineRule="auto"/>
        <w:jc w:val="both"/>
        <w:rPr>
          <w:rFonts w:ascii="Times New Roman" w:hAnsi="Times New Roman" w:eastAsia="Times New Roman" w:cs="Times New Roman"/>
          <w:sz w:val="24"/>
          <w:szCs w:val="24"/>
          <w:lang w:eastAsia="es-ES_tradnl"/>
        </w:rPr>
      </w:pPr>
      <w:r w:rsidRPr="00A23D8A">
        <w:rPr>
          <w:rFonts w:ascii="Arial" w:hAnsi="Arial" w:eastAsia="Calibri"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r>
        <w:rPr>
          <w:rFonts w:ascii="Arial" w:hAnsi="Arial" w:eastAsia="Calibri" w:cs="Arial"/>
        </w:rPr>
        <w:t xml:space="preserve"> </w:t>
      </w:r>
    </w:p>
    <w:p w:rsidRPr="00FC2D03" w:rsidR="00746BA3" w:rsidP="00FC2D03" w:rsidRDefault="00746BA3" w14:paraId="387504C5" w14:textId="77777777">
      <w:pPr>
        <w:widowControl w:val="0"/>
        <w:shd w:val="clear" w:color="auto" w:fill="FFFFFF" w:themeFill="background1"/>
        <w:autoSpaceDE w:val="0"/>
        <w:autoSpaceDN w:val="0"/>
        <w:spacing w:after="0" w:line="276" w:lineRule="auto"/>
        <w:jc w:val="both"/>
        <w:rPr>
          <w:rFonts w:ascii="Arial" w:hAnsi="Arial" w:cs="Arial"/>
          <w:color w:val="000000" w:themeColor="text1"/>
          <w:lang w:val="es-ES_tradnl" w:bidi="es-ES"/>
        </w:rPr>
      </w:pPr>
    </w:p>
    <w:p w:rsidRPr="00FC2D03" w:rsidR="00746BA3" w:rsidP="00FC2D03" w:rsidRDefault="00746BA3" w14:paraId="7C44C95D" w14:textId="77777777">
      <w:pPr>
        <w:shd w:val="clear" w:color="auto" w:fill="FFFFFF" w:themeFill="background1"/>
        <w:tabs>
          <w:tab w:val="left" w:pos="426"/>
        </w:tabs>
        <w:spacing w:line="276" w:lineRule="auto"/>
        <w:jc w:val="both"/>
        <w:rPr>
          <w:rFonts w:ascii="Arial" w:hAnsi="Arial" w:eastAsia="Times New Roman" w:cs="Arial"/>
          <w:color w:val="000000" w:themeColor="text1"/>
        </w:rPr>
      </w:pPr>
      <w:r w:rsidRPr="00FC2D03">
        <w:rPr>
          <w:rFonts w:ascii="Arial" w:hAnsi="Arial" w:eastAsia="Times New Roman" w:cs="Arial"/>
          <w:color w:val="000000" w:themeColor="text1"/>
        </w:rPr>
        <w:t>Atentamente,</w:t>
      </w:r>
    </w:p>
    <w:p w:rsidRPr="00FC2D03" w:rsidR="00746BA3" w:rsidP="00FC2D03" w:rsidRDefault="00EF4B35" w14:paraId="75EDDFC8" w14:textId="48FE67B0">
      <w:pPr>
        <w:shd w:val="clear" w:color="auto" w:fill="FFFFFF" w:themeFill="background1"/>
        <w:jc w:val="center"/>
        <w:rPr>
          <w:rFonts w:ascii="Arial" w:hAnsi="Arial" w:eastAsia="Times New Roman" w:cs="Arial"/>
          <w:lang w:eastAsia="es-CO"/>
        </w:rPr>
      </w:pPr>
      <w:r w:rsidRPr="00EF4B35">
        <w:rPr>
          <w:rFonts w:ascii="Calibri" w:hAnsi="Calibri" w:eastAsia="Calibri" w:cs="Times New Roman"/>
          <w:noProof/>
          <w:lang w:val="es-ES"/>
        </w:rPr>
        <w:drawing>
          <wp:inline distT="0" distB="0" distL="0" distR="0" wp14:anchorId="62DCAF7D" wp14:editId="4745457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FC2D03" w:rsidR="00746BA3" w:rsidTr="00787D06" w14:paraId="15C370DE" w14:textId="77777777">
        <w:trPr>
          <w:trHeight w:val="409"/>
        </w:trPr>
        <w:tc>
          <w:tcPr>
            <w:tcW w:w="817" w:type="dxa"/>
            <w:tcBorders>
              <w:top w:val="nil"/>
              <w:left w:val="nil"/>
              <w:bottom w:val="nil"/>
              <w:right w:val="nil"/>
            </w:tcBorders>
            <w:vAlign w:val="center"/>
            <w:hideMark/>
          </w:tcPr>
          <w:p w:rsidRPr="00FC2D03" w:rsidR="00746BA3" w:rsidP="00FC2D03" w:rsidRDefault="00746BA3" w14:paraId="41AEE42E" w14:textId="77777777">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274852" w:rsidR="00274852" w:rsidP="00274852" w:rsidRDefault="00274852" w14:paraId="1463209B" w14:textId="371F0570">
            <w:pPr>
              <w:shd w:val="clear" w:color="auto" w:fill="FFFFFF" w:themeFill="background1"/>
              <w:spacing w:after="0" w:line="240" w:lineRule="auto"/>
              <w:jc w:val="both"/>
              <w:rPr>
                <w:rFonts w:ascii="Arial" w:hAnsi="Arial" w:cs="Arial"/>
                <w:sz w:val="16"/>
                <w:szCs w:val="16"/>
              </w:rPr>
            </w:pPr>
            <w:r w:rsidRPr="00274852">
              <w:rPr>
                <w:rFonts w:ascii="Arial" w:hAnsi="Arial" w:cs="Arial"/>
                <w:sz w:val="16"/>
                <w:szCs w:val="16"/>
              </w:rPr>
              <w:t>Gabriel Alejandro Murcia Taboada</w:t>
            </w:r>
          </w:p>
          <w:p w:rsidRPr="00FC2D03" w:rsidR="00274852" w:rsidP="00274852" w:rsidRDefault="00274852" w14:paraId="6D74A188" w14:textId="39E690B5">
            <w:pPr>
              <w:shd w:val="clear" w:color="auto" w:fill="FFFFFF" w:themeFill="background1"/>
              <w:spacing w:after="0" w:line="240" w:lineRule="auto"/>
              <w:jc w:val="both"/>
              <w:rPr>
                <w:rFonts w:ascii="Arial" w:hAnsi="Arial" w:cs="Arial"/>
                <w:sz w:val="16"/>
                <w:szCs w:val="16"/>
              </w:rPr>
            </w:pPr>
            <w:r w:rsidRPr="00274852">
              <w:rPr>
                <w:rFonts w:ascii="Arial" w:hAnsi="Arial" w:cs="Arial"/>
                <w:sz w:val="16"/>
                <w:szCs w:val="16"/>
              </w:rPr>
              <w:t>Contratista de la Subdirección de Gestión Contractual</w:t>
            </w:r>
          </w:p>
          <w:p w:rsidRPr="00FC2D03" w:rsidR="00746BA3" w:rsidP="00FC2D03" w:rsidRDefault="00746BA3" w14:paraId="2E65E308" w14:textId="4A387F71">
            <w:pPr>
              <w:shd w:val="clear" w:color="auto" w:fill="FFFFFF" w:themeFill="background1"/>
              <w:spacing w:after="0" w:line="240" w:lineRule="auto"/>
              <w:jc w:val="both"/>
              <w:rPr>
                <w:rFonts w:ascii="Arial" w:hAnsi="Arial" w:cs="Arial"/>
                <w:sz w:val="16"/>
                <w:szCs w:val="16"/>
              </w:rPr>
            </w:pPr>
          </w:p>
        </w:tc>
      </w:tr>
      <w:tr w:rsidRPr="00FC2D03" w:rsidR="00746BA3" w:rsidTr="00787D06" w14:paraId="4800B5A5" w14:textId="77777777">
        <w:trPr>
          <w:trHeight w:val="409"/>
        </w:trPr>
        <w:tc>
          <w:tcPr>
            <w:tcW w:w="817" w:type="dxa"/>
            <w:tcBorders>
              <w:top w:val="nil"/>
              <w:left w:val="nil"/>
              <w:right w:val="nil"/>
            </w:tcBorders>
            <w:vAlign w:val="center"/>
          </w:tcPr>
          <w:p w:rsidRPr="00FC2D03" w:rsidR="00746BA3" w:rsidP="00FC2D03" w:rsidRDefault="00746BA3" w14:paraId="05CDA8A7" w14:textId="77777777">
            <w:pPr>
              <w:shd w:val="clear" w:color="auto" w:fill="FFFFFF" w:themeFill="background1"/>
              <w:jc w:val="both"/>
              <w:rPr>
                <w:rFonts w:ascii="Arial" w:hAnsi="Arial" w:cs="Arial"/>
                <w:sz w:val="16"/>
                <w:szCs w:val="16"/>
              </w:rPr>
            </w:pPr>
            <w:r w:rsidRPr="00FC2D03">
              <w:rPr>
                <w:rFonts w:ascii="Arial" w:hAnsi="Arial"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274852" w:rsidR="00274852" w:rsidP="00274852" w:rsidRDefault="00274852" w14:paraId="47274B0C" w14:textId="77777777">
            <w:pPr>
              <w:shd w:val="clear" w:color="auto" w:fill="FFFFFF" w:themeFill="background1"/>
              <w:spacing w:after="0" w:line="240" w:lineRule="auto"/>
              <w:jc w:val="both"/>
              <w:rPr>
                <w:rFonts w:ascii="Arial" w:hAnsi="Arial" w:cs="Arial"/>
                <w:sz w:val="16"/>
                <w:szCs w:val="16"/>
              </w:rPr>
            </w:pPr>
            <w:r w:rsidRPr="00274852">
              <w:rPr>
                <w:rFonts w:ascii="Arial" w:hAnsi="Arial" w:cs="Arial"/>
                <w:sz w:val="16"/>
                <w:szCs w:val="16"/>
              </w:rPr>
              <w:t>Juan David Cárdenas Cabeza</w:t>
            </w:r>
          </w:p>
          <w:p w:rsidRPr="00FC2D03" w:rsidR="00746BA3" w:rsidP="00274852" w:rsidRDefault="00274852" w14:paraId="4D3A133C" w14:textId="4976E93F">
            <w:pPr>
              <w:shd w:val="clear" w:color="auto" w:fill="FFFFFF" w:themeFill="background1"/>
              <w:spacing w:after="0" w:line="240" w:lineRule="auto"/>
              <w:jc w:val="both"/>
              <w:rPr>
                <w:rFonts w:ascii="Arial" w:hAnsi="Arial" w:cs="Arial"/>
                <w:sz w:val="16"/>
                <w:szCs w:val="16"/>
              </w:rPr>
            </w:pPr>
            <w:r w:rsidRPr="00274852">
              <w:rPr>
                <w:rFonts w:ascii="Arial" w:hAnsi="Arial" w:cs="Arial"/>
                <w:sz w:val="16"/>
                <w:szCs w:val="16"/>
              </w:rPr>
              <w:t xml:space="preserve">Contratista de la Subdirección de Gestión Contractual  </w:t>
            </w:r>
          </w:p>
        </w:tc>
      </w:tr>
      <w:tr w:rsidRPr="003F5F71" w:rsidR="00746BA3" w:rsidTr="00787D06" w14:paraId="081E927F" w14:textId="77777777">
        <w:trPr>
          <w:trHeight w:val="389"/>
        </w:trPr>
        <w:tc>
          <w:tcPr>
            <w:tcW w:w="817" w:type="dxa"/>
            <w:tcBorders>
              <w:top w:val="nil"/>
              <w:left w:val="nil"/>
              <w:bottom w:val="nil"/>
              <w:right w:val="nil"/>
            </w:tcBorders>
            <w:vAlign w:val="center"/>
            <w:hideMark/>
          </w:tcPr>
          <w:p w:rsidRPr="00FC2D03" w:rsidR="00746BA3" w:rsidP="00FC2D03" w:rsidRDefault="00746BA3" w14:paraId="5E455467" w14:textId="77777777">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FC2D03" w:rsidR="00746BA3" w:rsidP="00FC2D03" w:rsidRDefault="00746BA3" w14:paraId="24C3EEFA" w14:textId="77777777">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Nohelia del Carmen Zawady Palacio</w:t>
            </w:r>
          </w:p>
          <w:p w:rsidRPr="009C1F1A" w:rsidR="00746BA3" w:rsidP="00FC2D03" w:rsidRDefault="00746BA3" w14:paraId="0BB3B475" w14:textId="71DEE036">
            <w:pPr>
              <w:shd w:val="clear" w:color="auto" w:fill="FFFFFF" w:themeFill="background1"/>
              <w:spacing w:after="0" w:line="240" w:lineRule="auto"/>
              <w:jc w:val="both"/>
              <w:rPr>
                <w:rFonts w:ascii="Arial" w:hAnsi="Arial" w:cs="Arial"/>
                <w:sz w:val="16"/>
                <w:szCs w:val="16"/>
              </w:rPr>
            </w:pPr>
            <w:r w:rsidRPr="00FC2D03">
              <w:rPr>
                <w:rFonts w:ascii="Arial" w:hAnsi="Arial" w:cs="Arial"/>
                <w:sz w:val="16"/>
                <w:szCs w:val="16"/>
              </w:rPr>
              <w:t>Subdirectora de Gestión Contractual ANCP - CCE</w:t>
            </w:r>
            <w:r w:rsidR="00274852">
              <w:rPr>
                <w:rFonts w:ascii="Arial" w:hAnsi="Arial" w:cs="Arial"/>
                <w:sz w:val="16"/>
                <w:szCs w:val="16"/>
              </w:rPr>
              <w:t xml:space="preserve"> </w:t>
            </w:r>
          </w:p>
        </w:tc>
      </w:tr>
    </w:tbl>
    <w:bookmarkEnd w:id="2"/>
    <w:p w:rsidRPr="002465C3" w:rsidR="00746BA3" w:rsidP="00FC2D03" w:rsidRDefault="002465C3" w14:paraId="17E6C923" w14:textId="4AD45B47">
      <w:pPr>
        <w:shd w:val="clear" w:color="auto" w:fill="FFFFFF" w:themeFill="background1"/>
        <w:tabs>
          <w:tab w:val="left" w:pos="0"/>
        </w:tabs>
        <w:spacing w:line="276" w:lineRule="auto"/>
        <w:contextualSpacing/>
        <w:jc w:val="both"/>
        <w:rPr>
          <w:rFonts w:ascii="Arial" w:hAnsi="Arial" w:cs="Arial"/>
          <w:sz w:val="16"/>
          <w:szCs w:val="16"/>
        </w:rPr>
      </w:pPr>
      <w:r w:rsidRPr="002465C3">
        <w:rPr>
          <w:rFonts w:ascii="Arial" w:hAnsi="Arial" w:cs="Arial"/>
          <w:sz w:val="16"/>
          <w:szCs w:val="16"/>
        </w:rPr>
        <w:t>Anexos:</w:t>
      </w:r>
      <w:r>
        <w:rPr>
          <w:rFonts w:ascii="Arial" w:hAnsi="Arial" w:cs="Arial"/>
          <w:sz w:val="16"/>
          <w:szCs w:val="16"/>
        </w:rPr>
        <w:t xml:space="preserve">      </w:t>
      </w:r>
      <w:r w:rsidR="0044003E">
        <w:rPr>
          <w:rFonts w:ascii="Arial" w:hAnsi="Arial" w:cs="Arial"/>
          <w:sz w:val="16"/>
          <w:szCs w:val="16"/>
        </w:rPr>
        <w:t xml:space="preserve">Respuesta </w:t>
      </w:r>
      <w:r w:rsidRPr="0044003E" w:rsidR="0044003E">
        <w:rPr>
          <w:rFonts w:ascii="Arial" w:hAnsi="Arial" w:cs="Arial"/>
          <w:sz w:val="16"/>
          <w:szCs w:val="16"/>
        </w:rPr>
        <w:t>P20230609012246</w:t>
      </w:r>
      <w:r w:rsidR="00E04DC2">
        <w:rPr>
          <w:rFonts w:ascii="Arial" w:hAnsi="Arial" w:cs="Arial"/>
          <w:sz w:val="16"/>
          <w:szCs w:val="16"/>
        </w:rPr>
        <w:t xml:space="preserve"> Subdirección de Negocios</w:t>
      </w:r>
    </w:p>
    <w:p w:rsidRPr="001211F5" w:rsidR="00127233" w:rsidP="00FC2D03" w:rsidRDefault="00127233" w14:paraId="0F293BF4" w14:textId="0F6FB6C1">
      <w:pPr>
        <w:shd w:val="clear" w:color="auto" w:fill="FFFFFF" w:themeFill="background1"/>
      </w:pPr>
    </w:p>
    <w:sectPr w:rsidRPr="001211F5" w:rsidR="00127233" w:rsidSect="0039439C">
      <w:headerReference w:type="default" r:id="rId15"/>
      <w:footerReference w:type="default" r:id="rId16"/>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84A" w:rsidP="004A1847" w:rsidRDefault="00A4484A" w14:paraId="7DFB44BE" w14:textId="77777777">
      <w:pPr>
        <w:spacing w:after="0" w:line="240" w:lineRule="auto"/>
      </w:pPr>
      <w:r>
        <w:separator/>
      </w:r>
    </w:p>
  </w:endnote>
  <w:endnote w:type="continuationSeparator" w:id="0">
    <w:p w:rsidR="00A4484A" w:rsidP="004A1847" w:rsidRDefault="00A4484A" w14:paraId="4A8FE542" w14:textId="77777777">
      <w:pPr>
        <w:spacing w:after="0" w:line="240" w:lineRule="auto"/>
      </w:pPr>
      <w:r>
        <w:continuationSeparator/>
      </w:r>
    </w:p>
  </w:endnote>
  <w:endnote w:type="continuationNotice" w:id="1">
    <w:p w:rsidR="00A4484A" w:rsidRDefault="00A4484A" w14:paraId="77B614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p w:rsidR="00C811DF" w:rsidRDefault="00C811DF" w14:paraId="7F34ECC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84A" w:rsidP="004A1847" w:rsidRDefault="00A4484A" w14:paraId="77307264" w14:textId="77777777">
      <w:pPr>
        <w:spacing w:after="0" w:line="240" w:lineRule="auto"/>
      </w:pPr>
      <w:r>
        <w:separator/>
      </w:r>
    </w:p>
  </w:footnote>
  <w:footnote w:type="continuationSeparator" w:id="0">
    <w:p w:rsidR="00A4484A" w:rsidP="004A1847" w:rsidRDefault="00A4484A" w14:paraId="017471EA" w14:textId="77777777">
      <w:pPr>
        <w:spacing w:after="0" w:line="240" w:lineRule="auto"/>
      </w:pPr>
      <w:r>
        <w:continuationSeparator/>
      </w:r>
    </w:p>
  </w:footnote>
  <w:footnote w:type="continuationNotice" w:id="1">
    <w:p w:rsidR="00A4484A" w:rsidRDefault="00A4484A" w14:paraId="7E9EE5E1" w14:textId="77777777">
      <w:pPr>
        <w:spacing w:after="0" w:line="240" w:lineRule="auto"/>
      </w:pPr>
    </w:p>
  </w:footnote>
  <w:footnote w:id="2">
    <w:p w:rsidRPr="00C811DF" w:rsidR="004C1F70" w:rsidP="004C1F70" w:rsidRDefault="004C1F70" w14:paraId="23E29F38" w14:textId="77777777">
      <w:pPr>
        <w:pStyle w:val="Textonotapie"/>
        <w:jc w:val="both"/>
        <w:rPr>
          <w:rStyle w:val="normaltextrun"/>
          <w:rFonts w:ascii="Arial" w:hAnsi="Arial" w:cs="Arial"/>
          <w:color w:val="000000"/>
          <w:sz w:val="16"/>
          <w:szCs w:val="16"/>
          <w:shd w:val="clear" w:color="auto" w:fill="FFFFFF"/>
          <w:lang w:val="es-ES"/>
        </w:rPr>
      </w:pPr>
      <w:r w:rsidRPr="00C811DF">
        <w:rPr>
          <w:rStyle w:val="normaltextrun"/>
          <w:rFonts w:ascii="Arial" w:hAnsi="Arial" w:cs="Arial"/>
          <w:color w:val="000000"/>
          <w:sz w:val="16"/>
          <w:szCs w:val="16"/>
          <w:shd w:val="clear" w:color="auto" w:fill="FFFFFF"/>
          <w:lang w:val="es-ES"/>
        </w:rPr>
        <w:footnoteRef/>
      </w:r>
      <w:r w:rsidRPr="00C811DF">
        <w:rPr>
          <w:rStyle w:val="normaltextrun"/>
          <w:rFonts w:ascii="Arial" w:hAnsi="Arial" w:cs="Arial"/>
          <w:color w:val="000000"/>
          <w:sz w:val="16"/>
          <w:szCs w:val="16"/>
          <w:shd w:val="clear" w:color="auto" w:fill="FFFFFF"/>
          <w:lang w:val="es-ES"/>
        </w:rPr>
        <w:t xml:space="preserve"> “Artículo 3°. Funciones. La Agencia Nacional de Contratación Pública –Colombia Compra Eficiente– ejercerá las siguientes funciones: </w:t>
      </w:r>
    </w:p>
    <w:p w:rsidRPr="00C811DF" w:rsidR="004C1F70" w:rsidP="004C1F70" w:rsidRDefault="004C1F70" w14:paraId="4802F51F" w14:textId="77777777">
      <w:pPr>
        <w:pStyle w:val="Textonotapie"/>
        <w:jc w:val="both"/>
        <w:rPr>
          <w:rStyle w:val="normaltextrun"/>
          <w:rFonts w:ascii="Arial" w:hAnsi="Arial" w:cs="Arial"/>
          <w:color w:val="000000"/>
          <w:sz w:val="16"/>
          <w:szCs w:val="16"/>
          <w:shd w:val="clear" w:color="auto" w:fill="FFFFFF"/>
          <w:lang w:val="es-ES"/>
        </w:rPr>
      </w:pPr>
      <w:r w:rsidRPr="00C811DF">
        <w:rPr>
          <w:rStyle w:val="normaltextrun"/>
          <w:rFonts w:ascii="Arial" w:hAnsi="Arial" w:cs="Arial"/>
          <w:color w:val="000000"/>
          <w:sz w:val="16"/>
          <w:szCs w:val="16"/>
          <w:shd w:val="clear" w:color="auto" w:fill="FFFFFF"/>
          <w:lang w:val="es-ES"/>
        </w:rPr>
        <w:t>[...] 5. Absolver consultas sobre la aplicación de normas de carácter general y expedir circulares externas en materia de compras y contratación pública.</w:t>
      </w:r>
    </w:p>
    <w:p w:rsidRPr="00C811DF" w:rsidR="004C1F70" w:rsidP="004C1F70" w:rsidRDefault="004C1F70" w14:paraId="34826E92" w14:textId="77777777">
      <w:pPr>
        <w:pStyle w:val="Textonotapie"/>
        <w:jc w:val="both"/>
        <w:rPr>
          <w:sz w:val="16"/>
          <w:szCs w:val="16"/>
          <w:lang w:val="es-CO"/>
        </w:rPr>
      </w:pPr>
      <w:r w:rsidRPr="00C811DF">
        <w:rPr>
          <w:rStyle w:val="normaltextrun"/>
          <w:rFonts w:ascii="Arial" w:hAnsi="Arial" w:cs="Arial"/>
          <w:color w:val="000000"/>
          <w:sz w:val="16"/>
          <w:szCs w:val="16"/>
          <w:shd w:val="clear" w:color="auto" w:fill="FFFFFF"/>
          <w:lang w:val="es-ES"/>
        </w:rPr>
        <w:t>“Artículo 11. Subdirección de Gestión Contractual. Son funciones de la Subdirección de Gestión Contractual las siguientes: [...] 8. Absolver consultas sobre la aplicación de normas de carácter general”.</w:t>
      </w:r>
      <w:r w:rsidRPr="00C811DF">
        <w:rPr>
          <w:rFonts w:ascii="Arial" w:hAnsi="Arial" w:cs="Arial"/>
          <w:sz w:val="16"/>
          <w:szCs w:val="16"/>
          <w:lang w:val="es-CO"/>
        </w:rPr>
        <w:t xml:space="preserve"> </w:t>
      </w:r>
    </w:p>
  </w:footnote>
  <w:footnote w:id="3">
    <w:p w:rsidRPr="00C811DF" w:rsidR="00592C19" w:rsidRDefault="00592C19" w14:paraId="0E5CCA48" w14:textId="3DF1E81E">
      <w:pPr>
        <w:pStyle w:val="Textonotapie"/>
        <w:rPr>
          <w:sz w:val="16"/>
          <w:szCs w:val="16"/>
          <w:lang w:val="es-CO"/>
        </w:rPr>
      </w:pPr>
      <w:r w:rsidRPr="00C811DF">
        <w:rPr>
          <w:rStyle w:val="Refdenotaalpie"/>
          <w:sz w:val="16"/>
          <w:szCs w:val="16"/>
        </w:rPr>
        <w:footnoteRef/>
      </w:r>
      <w:r w:rsidRPr="00C811DF">
        <w:rPr>
          <w:sz w:val="16"/>
          <w:szCs w:val="16"/>
        </w:rPr>
        <w:t xml:space="preserve"> </w:t>
      </w:r>
      <w:r w:rsidRPr="00C811DF">
        <w:rPr>
          <w:rFonts w:ascii="Arial" w:hAnsi="Arial"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hyperlink w:history="1" r:id="rId1">
        <w:r w:rsidRPr="00C811DF">
          <w:rPr>
            <w:rStyle w:val="Hipervnculo"/>
            <w:rFonts w:ascii="Arial" w:hAnsi="Arial" w:cs="Arial"/>
            <w:sz w:val="16"/>
            <w:szCs w:val="16"/>
          </w:rPr>
          <w:t>https://relatoria.colombiacompra.gov.co/busqueda/conceptos</w:t>
        </w:r>
      </w:hyperlink>
      <w:r w:rsidRPr="00C811DF">
        <w:rPr>
          <w:rStyle w:val="Hipervnculo"/>
          <w:rFonts w:ascii="Arial" w:hAnsi="Arial" w:cs="Arial"/>
          <w:color w:val="auto"/>
          <w:sz w:val="16"/>
          <w:szCs w:val="16"/>
        </w:rPr>
        <w:t xml:space="preserve">. </w:t>
      </w:r>
      <w:r w:rsidRPr="00C811DF">
        <w:rPr>
          <w:rFonts w:ascii="Arial" w:hAnsi="Arial" w:cs="Arial"/>
          <w:sz w:val="16"/>
          <w:szCs w:val="16"/>
          <w:shd w:val="clear" w:color="auto" w:fill="E6E6E6"/>
        </w:rPr>
        <w:t xml:space="preserve"> </w:t>
      </w:r>
    </w:p>
  </w:footnote>
  <w:footnote w:id="4">
    <w:p w:rsidRPr="00C811DF" w:rsidR="00746BA3" w:rsidP="0021682C" w:rsidRDefault="00746BA3" w14:paraId="6EE55937" w14:textId="77777777">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Por ejemplo, </w:t>
      </w:r>
      <w:bookmarkStart w:name="_Hlk131016907" w:id="5"/>
      <w:r w:rsidRPr="00C811DF">
        <w:rPr>
          <w:rFonts w:ascii="Arial" w:hAnsi="Arial" w:cs="Arial"/>
          <w:sz w:val="16"/>
          <w:szCs w:val="16"/>
        </w:rPr>
        <w:t xml:space="preserve">Peña </w:t>
      </w:r>
      <w:r w:rsidRPr="00C811DF">
        <w:rPr>
          <w:rFonts w:ascii="Arial" w:hAnsi="Arial" w:cs="Arial"/>
          <w:sz w:val="16"/>
          <w:szCs w:val="16"/>
        </w:rPr>
        <w:t xml:space="preserve">Nossa </w:t>
      </w:r>
      <w:bookmarkEnd w:id="5"/>
      <w:r w:rsidRPr="00C811DF">
        <w:rPr>
          <w:rFonts w:ascii="Arial" w:hAnsi="Arial"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rsidRPr="00C811DF" w:rsidR="00746BA3" w:rsidP="0021682C" w:rsidRDefault="00746BA3" w14:paraId="6F9C7C1A" w14:textId="77777777">
      <w:pPr>
        <w:pStyle w:val="Textonotapie"/>
        <w:ind w:firstLine="708"/>
        <w:jc w:val="both"/>
        <w:rPr>
          <w:rFonts w:ascii="Arial" w:hAnsi="Arial" w:cs="Arial"/>
          <w:sz w:val="16"/>
          <w:szCs w:val="16"/>
        </w:rPr>
      </w:pPr>
      <w:r w:rsidRPr="00C811DF">
        <w:rPr>
          <w:rFonts w:ascii="Arial" w:hAnsi="Arial" w:cs="Arial"/>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C811DF">
        <w:rPr>
          <w:rFonts w:ascii="Arial" w:hAnsi="Arial" w:cs="Arial"/>
          <w:i/>
          <w:iCs/>
          <w:sz w:val="16"/>
          <w:szCs w:val="16"/>
        </w:rPr>
        <w:t>joint venture,</w:t>
      </w:r>
      <w:r w:rsidRPr="00C811DF">
        <w:rPr>
          <w:rFonts w:ascii="Arial" w:hAnsi="Arial" w:cs="Arial"/>
          <w:sz w:val="16"/>
          <w:szCs w:val="16"/>
        </w:rPr>
        <w:t xml:space="preserve"> etc.” (Cfr. </w:t>
      </w:r>
      <w:r w:rsidRPr="00C811DF">
        <w:rPr>
          <w:rFonts w:ascii="Arial" w:hAnsi="Arial" w:cs="Arial"/>
          <w:sz w:val="16"/>
          <w:szCs w:val="16"/>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C811DF">
        <w:rPr>
          <w:rFonts w:ascii="Arial" w:hAnsi="Arial" w:cs="Arial"/>
          <w:sz w:val="16"/>
          <w:szCs w:val="16"/>
        </w:rPr>
        <w:t xml:space="preserve">  </w:t>
      </w:r>
    </w:p>
    <w:p w:rsidRPr="00C811DF" w:rsidR="00C621DB" w:rsidP="0021682C" w:rsidRDefault="00C621DB" w14:paraId="601AE9FD" w14:textId="77777777">
      <w:pPr>
        <w:pStyle w:val="Textonotapie"/>
        <w:ind w:firstLine="708"/>
        <w:jc w:val="both"/>
        <w:rPr>
          <w:rFonts w:ascii="Arial" w:hAnsi="Arial" w:cs="Arial"/>
          <w:sz w:val="16"/>
          <w:szCs w:val="16"/>
        </w:rPr>
      </w:pPr>
    </w:p>
  </w:footnote>
  <w:footnote w:id="5">
    <w:p w:rsidRPr="00C811DF" w:rsidR="00746BA3" w:rsidP="0021682C" w:rsidRDefault="00746BA3" w14:paraId="1ECA4966" w14:textId="22DF8FB8">
      <w:pPr>
        <w:pStyle w:val="Textonotapie"/>
        <w:ind w:firstLine="708"/>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PLANIOL, Marcel &amp; RIPERT, Jeorge. Tratado práctico de derecho civil francés. Tomo VI. La Habana: Cultural SA, 1940. </w:t>
      </w:r>
      <w:r w:rsidRPr="00C811DF" w:rsidR="00C621DB">
        <w:rPr>
          <w:rFonts w:ascii="Arial" w:hAnsi="Arial" w:cs="Arial"/>
          <w:sz w:val="16"/>
          <w:szCs w:val="16"/>
        </w:rPr>
        <w:t>P</w:t>
      </w:r>
      <w:r w:rsidRPr="00C811DF">
        <w:rPr>
          <w:rFonts w:ascii="Arial" w:hAnsi="Arial" w:cs="Arial"/>
          <w:sz w:val="16"/>
          <w:szCs w:val="16"/>
        </w:rPr>
        <w:t xml:space="preserve">. 24. </w:t>
      </w:r>
    </w:p>
  </w:footnote>
  <w:footnote w:id="6">
    <w:p w:rsidRPr="00C811DF" w:rsidR="00746BA3" w:rsidP="0021682C" w:rsidRDefault="00746BA3" w14:paraId="516E9ED4" w14:textId="77777777">
      <w:pPr>
        <w:spacing w:line="240" w:lineRule="auto"/>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Consejo de Estado. Sala de Consulta y Servicio Civil. Concepto 26 de julio de 2016. Exp. 2.257. C.P. Álvaro Namén Vargas.</w:t>
      </w:r>
    </w:p>
  </w:footnote>
  <w:footnote w:id="7">
    <w:p w:rsidRPr="00C811DF" w:rsidR="00746BA3" w:rsidP="0021682C" w:rsidRDefault="00746BA3" w14:paraId="1BCFFD84" w14:textId="77777777">
      <w:pPr>
        <w:spacing w:line="240" w:lineRule="auto"/>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[Referencia propia de la cita] “CE. SCSC. Concepto de 1 de noviembre de 2016 [Rad. 11001-03-06-000-2016-00125-00(2305)]. MP. Germán Alberto Bula Escobar”.</w:t>
      </w:r>
    </w:p>
  </w:footnote>
  <w:footnote w:id="8">
    <w:p w:rsidRPr="00C811DF" w:rsidR="00746BA3" w:rsidP="0021682C" w:rsidRDefault="00746BA3" w14:paraId="153D63E8" w14:textId="77777777">
      <w:pPr>
        <w:spacing w:line="240" w:lineRule="auto"/>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811DF">
        <w:rPr>
          <w:rFonts w:ascii="Arial" w:hAnsi="Arial" w:cs="Arial"/>
          <w:i/>
          <w:sz w:val="16"/>
          <w:szCs w:val="16"/>
        </w:rPr>
        <w:t>“obligacional”</w:t>
      </w:r>
      <w:r w:rsidRPr="00C811DF">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9">
    <w:p w:rsidRPr="00C811DF" w:rsidR="00746BA3" w:rsidP="0021682C" w:rsidRDefault="00746BA3" w14:paraId="6F2E8289" w14:textId="124A0FB0">
      <w:pPr>
        <w:spacing w:after="0" w:line="240" w:lineRule="auto"/>
        <w:ind w:firstLine="709"/>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[Referencia propia de la cita] “La normativa vigente del EGCAP </w:t>
      </w:r>
      <w:r w:rsidRPr="00C811DF">
        <w:rPr>
          <w:rFonts w:ascii="Arial" w:hAnsi="Arial" w:cs="Arial"/>
          <w:i/>
          <w:sz w:val="16"/>
          <w:szCs w:val="16"/>
        </w:rPr>
        <w:t xml:space="preserve">[literal c) del numeral 4. </w:t>
      </w:r>
      <w:r w:rsidRPr="00C811DF" w:rsidR="00C621DB">
        <w:rPr>
          <w:rFonts w:ascii="Arial" w:hAnsi="Arial" w:cs="Arial"/>
          <w:i/>
          <w:sz w:val="16"/>
          <w:szCs w:val="16"/>
        </w:rPr>
        <w:t>D</w:t>
      </w:r>
      <w:r w:rsidRPr="00C811DF">
        <w:rPr>
          <w:rFonts w:ascii="Arial" w:hAnsi="Arial" w:cs="Arial"/>
          <w:i/>
          <w:sz w:val="16"/>
          <w:szCs w:val="16"/>
        </w:rPr>
        <w:t>el artículo 2 de la Ley 1150/07]</w:t>
      </w:r>
      <w:r w:rsidRPr="00C811DF">
        <w:rPr>
          <w:rFonts w:ascii="Arial" w:hAnsi="Arial" w:cs="Arial"/>
          <w:sz w:val="16"/>
          <w:szCs w:val="16"/>
        </w:rPr>
        <w:t xml:space="preserve"> se refiere a </w:t>
      </w:r>
      <w:r w:rsidRPr="00C811DF">
        <w:rPr>
          <w:rFonts w:ascii="Arial" w:hAnsi="Arial" w:cs="Arial"/>
          <w:i/>
          <w:sz w:val="16"/>
          <w:szCs w:val="16"/>
        </w:rPr>
        <w:t>“contratos interadministrativos”</w:t>
      </w:r>
      <w:r w:rsidRPr="00C811DF">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0">
    <w:p w:rsidRPr="00C811DF" w:rsidR="00746BA3" w:rsidP="0021682C" w:rsidRDefault="00746BA3" w14:paraId="6652B801" w14:textId="77777777">
      <w:pPr>
        <w:pStyle w:val="Textonotapie"/>
        <w:ind w:firstLine="709"/>
        <w:jc w:val="both"/>
        <w:rPr>
          <w:rFonts w:ascii="Arial" w:hAnsi="Arial" w:cs="Arial"/>
          <w:sz w:val="16"/>
          <w:szCs w:val="16"/>
          <w:lang w:val="es-ES"/>
        </w:rPr>
      </w:pPr>
      <w:r w:rsidRPr="00C811DF">
        <w:rPr>
          <w:rStyle w:val="Refdenotaalpie"/>
          <w:rFonts w:ascii="Arial" w:hAnsi="Arial" w:cs="Arial"/>
          <w:sz w:val="16"/>
          <w:szCs w:val="16"/>
        </w:rPr>
        <w:footnoteRef/>
      </w:r>
      <w:r w:rsidRPr="00C811DF">
        <w:rPr>
          <w:rFonts w:ascii="Arial" w:hAnsi="Arial" w:cs="Arial"/>
          <w:sz w:val="16"/>
          <w:szCs w:val="16"/>
        </w:rPr>
        <w:t xml:space="preserve"> En sentido similar </w:t>
      </w:r>
      <w:r w:rsidRPr="00C811DF">
        <w:rPr>
          <w:rFonts w:ascii="Arial" w:hAnsi="Arial" w:cs="Arial"/>
          <w:sz w:val="16"/>
          <w:szCs w:val="16"/>
          <w:lang w:val="es-ES"/>
        </w:rPr>
        <w:t xml:space="preserve">ver, entre otras, al Consejo de Estado, Sala de lo Contencioso Administrativo, Sección Tercera, sentencia del 22 de octubre de 2021, Rad. 65978, M.P. Martha Nubia Velásquez; Consejo de Estado, Sala de lo Contencioso Administrativo, Sección Tercera, Subsección A, Sentencia del 23 de abril de 2021, Rad. 49148, M.P. María Adriana Marín; Consejo de Estado, Sala de lo Contencioso Administrativo, Sección Tercera, Subsección A, Sentencia del 21 de mayo de 2021, Rad. 66756, M.P. José Roberto Sáchica Méndez; Consejo de Estado, Sala de lo Contencioso Administrativo, Sección Tercera, Subsección C, Auto del 30 de septiembre de 2020, Rad. 65358, M.P. Guillermo Sánchez Luque. </w:t>
      </w:r>
    </w:p>
  </w:footnote>
  <w:footnote w:id="11">
    <w:p w:rsidRPr="00C811DF" w:rsidR="00746BA3" w:rsidP="0021682C" w:rsidRDefault="00746BA3" w14:paraId="0E69F07B" w14:textId="77777777">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Exp. 1998-00261. C.P. Mauricio Fajardo Gómez). Cfr. Consejo de Estado. Sala de Consulta y Servicio Civil. Concepto de 30 de abril de 2008. Rad. 1881.</w:t>
      </w:r>
    </w:p>
  </w:footnote>
  <w:footnote w:id="12">
    <w:p w:rsidRPr="00C811DF" w:rsidR="00746BA3" w:rsidP="0021682C" w:rsidRDefault="00746BA3" w14:paraId="113B6AAA" w14:textId="77777777">
      <w:pPr>
        <w:pStyle w:val="Textonotapie"/>
        <w:ind w:firstLine="708"/>
        <w:jc w:val="both"/>
        <w:rPr>
          <w:rFonts w:ascii="Arial" w:hAnsi="Arial" w:cs="Arial"/>
          <w:sz w:val="16"/>
          <w:szCs w:val="16"/>
          <w:lang w:val="es-CO"/>
        </w:rPr>
      </w:pPr>
      <w:r w:rsidRPr="00C811DF">
        <w:rPr>
          <w:rStyle w:val="Refdenotaalpie"/>
          <w:rFonts w:ascii="Arial" w:hAnsi="Arial" w:cs="Arial"/>
          <w:sz w:val="16"/>
          <w:szCs w:val="16"/>
        </w:rPr>
        <w:footnoteRef/>
      </w:r>
      <w:r w:rsidRPr="00C811DF">
        <w:rPr>
          <w:rFonts w:ascii="Arial" w:hAnsi="Arial" w:cs="Arial"/>
          <w:sz w:val="16"/>
          <w:szCs w:val="16"/>
        </w:rPr>
        <w:t xml:space="preserve"> La norma dispone que “</w:t>
      </w:r>
      <w:r w:rsidRPr="00C811DF">
        <w:rPr>
          <w:rFonts w:ascii="Arial" w:hAnsi="Arial" w:cs="Arial"/>
          <w:sz w:val="16"/>
          <w:szCs w:val="16"/>
          <w:lang w:val="es-CO"/>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rsidRPr="00C811DF" w:rsidR="00746BA3" w:rsidP="0021682C" w:rsidRDefault="00746BA3" w14:paraId="2F77B647" w14:textId="77777777">
      <w:pPr>
        <w:pStyle w:val="Textonotapie"/>
        <w:ind w:firstLine="708"/>
        <w:jc w:val="both"/>
        <w:rPr>
          <w:rFonts w:ascii="Arial" w:hAnsi="Arial" w:cs="Arial"/>
          <w:sz w:val="16"/>
          <w:szCs w:val="16"/>
        </w:rPr>
      </w:pPr>
      <w:r w:rsidRPr="00C811DF">
        <w:rPr>
          <w:rFonts w:ascii="Arial" w:hAnsi="Arial" w:cs="Arial"/>
          <w:sz w:val="16"/>
          <w:szCs w:val="16"/>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rsidRPr="00C811DF" w:rsidR="00746BA3" w:rsidP="0021682C" w:rsidRDefault="00746BA3" w14:paraId="1E989650" w14:textId="77777777">
      <w:pPr>
        <w:pStyle w:val="Textonotapie"/>
        <w:ind w:firstLine="708"/>
        <w:jc w:val="both"/>
        <w:rPr>
          <w:rFonts w:ascii="Arial" w:hAnsi="Arial" w:cs="Arial"/>
          <w:sz w:val="16"/>
          <w:szCs w:val="16"/>
        </w:rPr>
      </w:pPr>
      <w:r w:rsidRPr="00C811DF">
        <w:rPr>
          <w:rFonts w:ascii="Arial" w:hAnsi="Arial" w:cs="Arial"/>
          <w:sz w:val="16"/>
          <w:szCs w:val="16"/>
        </w:rPr>
        <w:t>Los convenios no podrán tener por objeto prestaciones propias de los contratos. En tal caso, su naturaleza y régimen jurídico se ajustará a lo previsto en la legislación de contratos del sector público”.</w:t>
      </w:r>
    </w:p>
    <w:p w:rsidRPr="00C811DF" w:rsidR="00C621DB" w:rsidP="0021682C" w:rsidRDefault="00C621DB" w14:paraId="524482FB" w14:textId="77777777">
      <w:pPr>
        <w:pStyle w:val="Textonotapie"/>
        <w:ind w:firstLine="708"/>
        <w:jc w:val="both"/>
        <w:rPr>
          <w:rFonts w:ascii="Arial" w:hAnsi="Arial" w:cs="Arial"/>
          <w:sz w:val="16"/>
          <w:szCs w:val="16"/>
        </w:rPr>
      </w:pPr>
    </w:p>
  </w:footnote>
  <w:footnote w:id="13">
    <w:p w:rsidRPr="00C811DF" w:rsidR="00746BA3" w:rsidP="0021682C" w:rsidRDefault="00746BA3" w14:paraId="5ECB50B4" w14:textId="77777777">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BLANQUER CRIADO, David. Los contratos del sector público. Valencia: Tirant lo Blanch, 2013. p. 39.</w:t>
      </w:r>
    </w:p>
  </w:footnote>
  <w:footnote w:id="14">
    <w:p w:rsidRPr="00C811DF" w:rsidR="00C621DB" w:rsidP="0021682C" w:rsidRDefault="00C621DB" w14:paraId="6FD016F1" w14:textId="77777777">
      <w:pPr>
        <w:pStyle w:val="Textonotapie"/>
        <w:ind w:firstLine="708"/>
        <w:jc w:val="both"/>
        <w:rPr>
          <w:rFonts w:ascii="Arial" w:hAnsi="Arial" w:cs="Arial"/>
          <w:sz w:val="16"/>
          <w:szCs w:val="16"/>
        </w:rPr>
      </w:pPr>
    </w:p>
    <w:p w:rsidRPr="00C811DF" w:rsidR="00746BA3" w:rsidP="0021682C" w:rsidRDefault="00746BA3" w14:paraId="38E3FAD5" w14:textId="574AE8C1">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CONSEJO DE ESTADO. Sala de Consulta y Servicio Civil. Concepto 26 de julio de 2016. Exp. 2.257. C.P. Álvaro Namén Vargas.</w:t>
      </w:r>
    </w:p>
  </w:footnote>
  <w:footnote w:id="15">
    <w:p w:rsidRPr="00C811DF" w:rsidR="00746BA3" w:rsidP="0021682C" w:rsidRDefault="00746BA3" w14:paraId="1D1A975F" w14:textId="77777777">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“dado el ámbito de subordinación, no puede descartarse </w:t>
      </w:r>
      <w:r w:rsidRPr="00C811DF">
        <w:rPr>
          <w:rFonts w:ascii="Arial" w:hAnsi="Arial" w:cs="Arial"/>
          <w:i/>
          <w:iCs/>
          <w:sz w:val="16"/>
          <w:szCs w:val="16"/>
        </w:rPr>
        <w:t>prima facie</w:t>
      </w:r>
      <w:r w:rsidRPr="00C811DF">
        <w:rPr>
          <w:rFonts w:ascii="Arial" w:hAnsi="Arial" w:cs="Arial"/>
          <w:sz w:val="16"/>
          <w:szCs w:val="16"/>
        </w:rPr>
        <w:t xml:space="preserve">”. De hecho, se ha referido en concreto a la procedencia de la imposición de multas, sanciones y declaratorias de incumplimiento en contratos interadministrativos. (Consejo de Estado. Sala de Consulta y Servicio Civil, </w:t>
      </w:r>
      <w:r w:rsidRPr="00C811DF">
        <w:rPr>
          <w:rFonts w:ascii="Arial" w:hAnsi="Arial" w:cs="Arial"/>
          <w:i/>
          <w:iCs/>
          <w:sz w:val="16"/>
          <w:szCs w:val="16"/>
        </w:rPr>
        <w:t>ibídem</w:t>
      </w:r>
      <w:r w:rsidRPr="00C811DF">
        <w:rPr>
          <w:rFonts w:ascii="Arial" w:hAnsi="Arial" w:cs="Arial"/>
          <w:sz w:val="16"/>
          <w:szCs w:val="16"/>
        </w:rPr>
        <w:t>). Cfr. SANTOS Rodríguez Jorge Enrique. “Consideraciones sobre los contratos y convenios interadministrativos”. Revista Digital de Derecho Administrativo, Núm. 1, Universidad Externado de Colombia, Bogotá, 2009. Pág. 19.</w:t>
      </w:r>
    </w:p>
    <w:p w:rsidRPr="00C811DF" w:rsidR="00CF6F7A" w:rsidP="0021682C" w:rsidRDefault="00CF6F7A" w14:paraId="665E3128" w14:textId="77777777">
      <w:pPr>
        <w:pStyle w:val="Textonotapie"/>
        <w:ind w:firstLine="708"/>
        <w:jc w:val="both"/>
        <w:rPr>
          <w:rFonts w:ascii="Arial" w:hAnsi="Arial" w:cs="Arial"/>
          <w:sz w:val="16"/>
          <w:szCs w:val="16"/>
        </w:rPr>
      </w:pPr>
    </w:p>
  </w:footnote>
  <w:footnote w:id="16">
    <w:p w:rsidRPr="00C811DF" w:rsidR="00746BA3" w:rsidP="0021682C" w:rsidRDefault="00746BA3" w14:paraId="202DD0C2" w14:textId="77777777">
      <w:pPr>
        <w:pStyle w:val="Textonotapie"/>
        <w:ind w:firstLine="708"/>
        <w:jc w:val="both"/>
        <w:rPr>
          <w:rFonts w:ascii="Arial" w:hAnsi="Arial" w:cs="Arial"/>
          <w:sz w:val="16"/>
          <w:szCs w:val="16"/>
          <w:lang w:val="es-ES"/>
        </w:rPr>
      </w:pPr>
      <w:r w:rsidRPr="00C811DF">
        <w:rPr>
          <w:rStyle w:val="Refdenotaalpie"/>
          <w:rFonts w:ascii="Arial" w:hAnsi="Arial" w:cs="Arial"/>
          <w:sz w:val="16"/>
          <w:szCs w:val="16"/>
        </w:rPr>
        <w:footnoteRef/>
      </w:r>
      <w:r w:rsidRPr="00C811DF">
        <w:rPr>
          <w:rFonts w:ascii="Arial" w:hAnsi="Arial" w:cs="Arial"/>
          <w:sz w:val="16"/>
          <w:szCs w:val="16"/>
        </w:rPr>
        <w:t xml:space="preserve"> </w:t>
      </w:r>
      <w:r w:rsidRPr="00C811DF">
        <w:rPr>
          <w:rFonts w:ascii="Arial" w:hAnsi="Arial" w:cs="Arial"/>
          <w:sz w:val="16"/>
          <w:szCs w:val="16"/>
          <w:lang w:val="es-ES"/>
        </w:rPr>
        <w:t xml:space="preserve">CONSEJO DE ESTADO, Sección Tercera, Sentencia del 05 de febrero de 2021, rad. </w:t>
      </w:r>
      <w:r w:rsidRPr="00C811DF">
        <w:rPr>
          <w:rFonts w:ascii="Arial" w:hAnsi="Arial" w:cs="Arial"/>
          <w:sz w:val="16"/>
          <w:szCs w:val="16"/>
        </w:rPr>
        <w:t>25000-23-26-000-2011-00144-01(49792), M.P. María Adriana Marín.</w:t>
      </w:r>
      <w:r w:rsidRPr="00C811DF">
        <w:rPr>
          <w:rFonts w:ascii="Arial" w:hAnsi="Arial" w:cs="Arial"/>
          <w:b/>
          <w:sz w:val="16"/>
          <w:szCs w:val="16"/>
        </w:rPr>
        <w:t xml:space="preserve"> </w:t>
      </w:r>
      <w:r w:rsidRPr="00C811DF">
        <w:rPr>
          <w:rFonts w:ascii="Arial" w:hAnsi="Arial" w:cs="Arial"/>
          <w:bCs/>
          <w:sz w:val="16"/>
          <w:szCs w:val="16"/>
        </w:rPr>
        <w:t>Esta posición fue acogida por esta Subdirección a través del Concepto C-168 del 29 de abril de 2021.</w:t>
      </w:r>
      <w:r w:rsidRPr="00C811DF">
        <w:rPr>
          <w:rFonts w:ascii="Arial" w:hAnsi="Arial" w:cs="Arial"/>
          <w:b/>
          <w:sz w:val="16"/>
          <w:szCs w:val="16"/>
        </w:rPr>
        <w:t xml:space="preserve"> </w:t>
      </w:r>
    </w:p>
  </w:footnote>
  <w:footnote w:id="17">
    <w:p w:rsidRPr="00C811DF" w:rsidR="00746BA3" w:rsidP="0021682C" w:rsidRDefault="00746BA3" w14:paraId="18AE73A0" w14:textId="77777777">
      <w:pPr>
        <w:pStyle w:val="Textonotapie"/>
        <w:ind w:firstLine="708"/>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Para estos efectos, más que en el objeto, la doctrina establece la diferencia entre contrato y convenio de acuerdo con la causa que impulsa la celebración del negocio jurídico. Por ello, explica que “[…] De acuerdo con esta interpretación, un negocio jurídico tendría convencional cuando, aun coincidiendo con el objeto de alguno de los contratos regulados en la LCSP, la Administraciones Públicas intervinientes los celebren con la finalidad de coordinar, cooperar o auxiliarse en la planificación o ejecución de las actuaciones que pretenden desarrollar, es decir, cuando persigan un objetivo común […] que, además, por su propia naturaleza, debe ser de interés público; mientras que un negocio jurídico tendrá naturaleza contractual cuando con él se persiga una finalidad prevalentemente patrimonial. Este […] debía ser el único criterio distintivo entre ambas figuras y determinante, por tanto, de su naturaleza jurídica […]” (Cfr. SANTIAGO IGLESIAS, Diana. Cooperación horizontal: los convenios interadministrativos. En: Tratado de los contratos del sector público. Tomo I. Valencia: Tirant lo Blanch, 2018. p. 627).    </w:t>
      </w:r>
    </w:p>
  </w:footnote>
  <w:footnote w:id="18">
    <w:p w:rsidRPr="00C811DF" w:rsidR="0067454A" w:rsidP="0067454A" w:rsidRDefault="0067454A" w14:paraId="68D3B866" w14:textId="77777777">
      <w:pPr>
        <w:spacing w:after="0"/>
        <w:ind w:firstLine="709"/>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Decreto 1082 de 2015: “Artículo </w:t>
      </w:r>
      <w:bookmarkStart w:name="_Hlk132977831" w:id="7"/>
      <w:r w:rsidRPr="00C811DF">
        <w:rPr>
          <w:rFonts w:ascii="Arial" w:hAnsi="Arial" w:cs="Arial"/>
          <w:sz w:val="16"/>
          <w:szCs w:val="16"/>
        </w:rPr>
        <w:t>2.2.1.2.1.4.4</w:t>
      </w:r>
      <w:bookmarkEnd w:id="7"/>
      <w:r w:rsidRPr="00C811DF">
        <w:rPr>
          <w:rFonts w:ascii="Arial" w:hAnsi="Arial" w:cs="Arial"/>
          <w:sz w:val="16"/>
          <w:szCs w:val="16"/>
        </w:rPr>
        <w:t>. Convenios o contratos interadministrativos. La modalidad de selección para la contratación entre Entidades Estatales es la contratación directa; y en consecuencia, le es aplicable lo establecido en el artículo 2.2.1.2.1.4.1 del presente decreto.</w:t>
      </w:r>
    </w:p>
    <w:p w:rsidRPr="00C811DF" w:rsidR="0067454A" w:rsidP="0067454A" w:rsidRDefault="0067454A" w14:paraId="1D560B61" w14:textId="77777777">
      <w:pPr>
        <w:spacing w:after="0"/>
        <w:ind w:firstLine="709"/>
        <w:jc w:val="both"/>
        <w:rPr>
          <w:rFonts w:ascii="Arial" w:hAnsi="Arial" w:cs="Arial"/>
          <w:sz w:val="16"/>
          <w:szCs w:val="16"/>
        </w:rPr>
      </w:pPr>
      <w:r w:rsidRPr="00C811DF">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811DF">
        <w:rPr>
          <w:rFonts w:ascii="Arial" w:hAnsi="Arial" w:cs="Arial"/>
          <w:spacing w:val="-1"/>
          <w:sz w:val="16"/>
          <w:szCs w:val="16"/>
        </w:rPr>
        <w:t xml:space="preserve"> </w:t>
      </w:r>
      <w:r w:rsidRPr="00C811DF">
        <w:rPr>
          <w:rFonts w:ascii="Arial" w:hAnsi="Arial" w:cs="Arial"/>
          <w:sz w:val="16"/>
          <w:szCs w:val="16"/>
        </w:rPr>
        <w:t>Estatales”.</w:t>
      </w:r>
    </w:p>
  </w:footnote>
  <w:footnote w:id="19">
    <w:p w:rsidRPr="00C811DF" w:rsidR="0067454A" w:rsidP="0067454A" w:rsidRDefault="0067454A" w14:paraId="08FF586A" w14:textId="77777777">
      <w:pPr>
        <w:spacing w:after="0"/>
        <w:ind w:firstLine="709"/>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811DF">
        <w:rPr>
          <w:rFonts w:ascii="Arial" w:hAnsi="Arial" w:cs="Arial"/>
          <w:spacing w:val="-6"/>
          <w:sz w:val="16"/>
          <w:szCs w:val="16"/>
        </w:rPr>
        <w:t xml:space="preserve"> </w:t>
      </w:r>
      <w:r w:rsidRPr="00C811DF">
        <w:rPr>
          <w:rFonts w:ascii="Arial" w:hAnsi="Arial" w:cs="Arial"/>
          <w:sz w:val="16"/>
          <w:szCs w:val="16"/>
        </w:rPr>
        <w:t>artículo”.</w:t>
      </w:r>
    </w:p>
    <w:p w:rsidRPr="00C811DF" w:rsidR="0067454A" w:rsidP="0067454A" w:rsidRDefault="0067454A" w14:paraId="46EF9B9F" w14:textId="77777777">
      <w:pPr>
        <w:spacing w:after="0"/>
        <w:ind w:firstLine="709"/>
        <w:jc w:val="both"/>
        <w:rPr>
          <w:rFonts w:ascii="Arial" w:hAnsi="Arial" w:cs="Arial"/>
          <w:sz w:val="16"/>
          <w:szCs w:val="16"/>
        </w:rPr>
      </w:pPr>
    </w:p>
  </w:footnote>
  <w:footnote w:id="20">
    <w:p w:rsidRPr="00C811DF" w:rsidR="0067454A" w:rsidP="0067454A" w:rsidRDefault="0067454A" w14:paraId="7131F6AE" w14:textId="77777777">
      <w:pPr>
        <w:spacing w:after="0"/>
        <w:ind w:firstLine="709"/>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position w:val="7"/>
          <w:sz w:val="16"/>
          <w:szCs w:val="16"/>
        </w:rPr>
        <w:t xml:space="preserve"> </w:t>
      </w:r>
      <w:r w:rsidRPr="00C811DF">
        <w:rPr>
          <w:rFonts w:ascii="Arial" w:hAnsi="Arial" w:cs="Arial"/>
          <w:sz w:val="16"/>
          <w:szCs w:val="16"/>
        </w:rPr>
        <w:t>Consejo de Estado. Sección Tercera. Sentencia del 23 de junio de 2010. Radicación No. 66001-23-31-000-1998-00261-01(17.860). Consejero Ponente: Mauricio Fajardo Gómez.</w:t>
      </w:r>
    </w:p>
  </w:footnote>
  <w:footnote w:id="21">
    <w:p w:rsidRPr="00C811DF" w:rsidR="00FA12BC" w:rsidRDefault="00FA12BC" w14:paraId="4F6DECAB" w14:textId="44C517F0">
      <w:pPr>
        <w:pStyle w:val="Textonotapie"/>
        <w:rPr>
          <w:rFonts w:ascii="Arial" w:hAnsi="Arial" w:cs="Arial"/>
          <w:sz w:val="16"/>
          <w:szCs w:val="16"/>
          <w:lang w:val="es-CO"/>
        </w:rPr>
      </w:pPr>
      <w:r w:rsidRPr="00C811DF">
        <w:rPr>
          <w:rStyle w:val="Refdenotaalpie"/>
          <w:rFonts w:ascii="Arial" w:hAnsi="Arial" w:cs="Arial"/>
          <w:sz w:val="16"/>
          <w:szCs w:val="16"/>
        </w:rPr>
        <w:footnoteRef/>
      </w:r>
      <w:r w:rsidRPr="00C811DF">
        <w:rPr>
          <w:rFonts w:ascii="Arial" w:hAnsi="Arial" w:cs="Arial"/>
          <w:sz w:val="16"/>
          <w:szCs w:val="16"/>
        </w:rPr>
        <w:t xml:space="preserve"> </w:t>
      </w:r>
      <w:r w:rsidRPr="00C811DF" w:rsidR="005A37EA">
        <w:rPr>
          <w:rFonts w:ascii="Arial" w:hAnsi="Arial" w:cs="Arial"/>
          <w:sz w:val="16"/>
          <w:szCs w:val="16"/>
        </w:rPr>
        <w:t xml:space="preserve">Artículo 92. “[…] </w:t>
      </w:r>
      <w:r w:rsidRPr="00C811DF" w:rsidR="00CC36D5">
        <w:rPr>
          <w:rFonts w:ascii="Arial" w:hAnsi="Arial" w:cs="Arial"/>
          <w:sz w:val="16"/>
          <w:szCs w:val="16"/>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22">
    <w:p w:rsidRPr="00C811DF" w:rsidR="00EA2881" w:rsidP="00EA2881" w:rsidRDefault="00EA2881" w14:paraId="3EA1D2B9"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cs="Arial"/>
          <w:sz w:val="16"/>
          <w:szCs w:val="16"/>
          <w:vertAlign w:val="superscript"/>
        </w:rPr>
        <w:footnoteRef/>
      </w:r>
      <w:r w:rsidRPr="00C811DF">
        <w:rPr>
          <w:rFonts w:ascii="Arial" w:hAnsi="Arial" w:eastAsia="Arial" w:cs="Arial"/>
          <w:color w:val="000000"/>
          <w:sz w:val="16"/>
          <w:szCs w:val="16"/>
        </w:rPr>
        <w:t xml:space="preserve"> Al respecto, conviene recordar el artículo 29 de la Ley 80 de 1993, derogado por el artículo 32 de la Ley 1150 de 2007, que establecía: “La selección de contratistas será objetiva.</w:t>
      </w:r>
    </w:p>
    <w:p w:rsidRPr="00C811DF" w:rsidR="00EA2881" w:rsidP="00EA2881" w:rsidRDefault="00EA2881" w14:paraId="611DCBD0"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eastAsia="Arial" w:cs="Arial"/>
          <w:color w:val="000000"/>
          <w:sz w:val="16"/>
          <w:szCs w:val="16"/>
        </w:rPr>
        <w:t>Es objetiva la selección en la cual la escogencia se hace al ofrecimiento más favorable a la entidad y a los fines que ella busca, sin tener en consideración factores de afecto o de interés y, en general, cualquier clase de motivación subjetiva.</w:t>
      </w:r>
    </w:p>
    <w:p w:rsidRPr="00C811DF" w:rsidR="00EA2881" w:rsidP="00EA2881" w:rsidRDefault="00EA2881" w14:paraId="4F20C4C7"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eastAsia="Arial" w:cs="Arial"/>
          <w:color w:val="000000"/>
          <w:sz w:val="16"/>
          <w:szCs w:val="16"/>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rsidRPr="00C811DF" w:rsidR="00EA2881" w:rsidP="00EA2881" w:rsidRDefault="00EA2881" w14:paraId="3729D472"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eastAsia="Arial" w:cs="Arial"/>
          <w:color w:val="000000"/>
          <w:sz w:val="16"/>
          <w:szCs w:val="16"/>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Pr="00C811DF" w:rsidR="00EA2881" w:rsidP="00EA2881" w:rsidRDefault="00EA2881" w14:paraId="5AC7DE32"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eastAsia="Arial" w:cs="Arial"/>
          <w:color w:val="000000"/>
          <w:sz w:val="16"/>
          <w:szCs w:val="16"/>
        </w:rPr>
        <w:t>En caso de comparación de propuestas nacionales y extranjeras, se incluirán los costos necesarios para la entrega del producto terminado en el lugar de su utilización”.</w:t>
      </w:r>
    </w:p>
  </w:footnote>
  <w:footnote w:id="23">
    <w:p w:rsidRPr="00C811DF" w:rsidR="00B664E6" w:rsidP="00B664E6" w:rsidRDefault="00B664E6" w14:paraId="64E02EB4"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cs="Arial"/>
          <w:sz w:val="16"/>
          <w:szCs w:val="16"/>
          <w:vertAlign w:val="superscript"/>
        </w:rPr>
        <w:footnoteRef/>
      </w:r>
      <w:r w:rsidRPr="00C811DF">
        <w:rPr>
          <w:rFonts w:ascii="Arial" w:hAnsi="Arial" w:eastAsia="Arial" w:cs="Arial"/>
          <w:color w:val="000000"/>
          <w:sz w:val="16"/>
          <w:szCs w:val="16"/>
        </w:rPr>
        <w:t xml:space="preserve"> DÁVILA VINUEZA, Luis Guillermo. Régimen jurídico de la contratación estatal. Tercera edición, Bogotá: Legis, 2016. p. 355.</w:t>
      </w:r>
    </w:p>
    <w:p w:rsidRPr="00C811DF" w:rsidR="00B664E6" w:rsidP="00B664E6" w:rsidRDefault="00B664E6" w14:paraId="076CAABA"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p>
  </w:footnote>
  <w:footnote w:id="24">
    <w:p w:rsidRPr="00C811DF" w:rsidR="00C326D3" w:rsidP="00C326D3" w:rsidRDefault="00C326D3" w14:paraId="39C35504"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r w:rsidRPr="00C811DF">
        <w:rPr>
          <w:rFonts w:ascii="Arial" w:hAnsi="Arial" w:cs="Arial"/>
          <w:sz w:val="16"/>
          <w:szCs w:val="16"/>
          <w:vertAlign w:val="superscript"/>
        </w:rPr>
        <w:footnoteRef/>
      </w:r>
      <w:r w:rsidRPr="00C811DF">
        <w:rPr>
          <w:rFonts w:ascii="Arial" w:hAnsi="Arial" w:eastAsia="Arial" w:cs="Arial"/>
          <w:color w:val="000000"/>
          <w:sz w:val="16"/>
          <w:szCs w:val="16"/>
          <w:vertAlign w:val="superscript"/>
        </w:rPr>
        <w:t xml:space="preserve"> </w:t>
      </w:r>
      <w:r w:rsidRPr="00C811DF">
        <w:rPr>
          <w:rFonts w:ascii="Arial" w:hAnsi="Arial" w:eastAsia="Arial" w:cs="Arial"/>
          <w:color w:val="000000"/>
          <w:sz w:val="16"/>
          <w:szCs w:val="16"/>
        </w:rPr>
        <w:t xml:space="preserve">Consejo de Estado. Sección Tercera. Subsección A. Sentencia del 5 de julio de 2018. </w:t>
      </w:r>
      <w:r w:rsidRPr="00C811DF">
        <w:rPr>
          <w:rFonts w:ascii="Arial" w:hAnsi="Arial" w:eastAsia="Arial" w:cs="Arial"/>
          <w:color w:val="000000"/>
          <w:sz w:val="16"/>
          <w:szCs w:val="16"/>
        </w:rPr>
        <w:t>Exp. 37.834. Consejero Ponente: Carlos Alberto Zambrano Barrera.</w:t>
      </w:r>
    </w:p>
    <w:p w:rsidRPr="00C811DF" w:rsidR="00C326D3" w:rsidP="00C326D3" w:rsidRDefault="00C326D3" w14:paraId="15A14250" w14:textId="77777777">
      <w:pPr>
        <w:pBdr>
          <w:top w:val="nil"/>
          <w:left w:val="nil"/>
          <w:bottom w:val="nil"/>
          <w:right w:val="nil"/>
          <w:between w:val="nil"/>
        </w:pBdr>
        <w:spacing w:after="0" w:line="240" w:lineRule="auto"/>
        <w:ind w:firstLine="709"/>
        <w:contextualSpacing/>
        <w:jc w:val="both"/>
        <w:rPr>
          <w:rFonts w:ascii="Arial" w:hAnsi="Arial" w:eastAsia="Arial" w:cs="Arial"/>
          <w:color w:val="000000"/>
          <w:sz w:val="16"/>
          <w:szCs w:val="16"/>
        </w:rPr>
      </w:pPr>
    </w:p>
  </w:footnote>
  <w:footnote w:id="25">
    <w:p w:rsidRPr="00C811DF" w:rsidR="00D50653" w:rsidP="00D50653" w:rsidRDefault="00D50653" w14:paraId="345E0DD7" w14:textId="77777777">
      <w:pPr>
        <w:pStyle w:val="Textonotapie"/>
        <w:ind w:firstLine="709"/>
        <w:contextualSpacing/>
        <w:jc w:val="both"/>
        <w:rPr>
          <w:rFonts w:ascii="Arial" w:hAnsi="Arial" w:cs="Arial"/>
          <w:sz w:val="16"/>
          <w:szCs w:val="16"/>
        </w:rPr>
      </w:pPr>
      <w:r w:rsidRPr="00C811DF">
        <w:rPr>
          <w:rStyle w:val="Refdenotaalpie"/>
          <w:rFonts w:ascii="Arial" w:hAnsi="Arial" w:cs="Arial"/>
          <w:sz w:val="16"/>
          <w:szCs w:val="16"/>
        </w:rPr>
        <w:footnoteRef/>
      </w:r>
      <w:r w:rsidRPr="00C811DF">
        <w:rPr>
          <w:rStyle w:val="Refdenotaalpie"/>
          <w:rFonts w:ascii="Arial" w:hAnsi="Arial" w:cs="Arial"/>
          <w:sz w:val="16"/>
          <w:szCs w:val="16"/>
        </w:rPr>
        <w:t xml:space="preserve"> </w:t>
      </w:r>
      <w:r w:rsidRPr="00C811DF">
        <w:rPr>
          <w:rFonts w:ascii="Arial" w:hAnsi="Arial" w:cs="Arial"/>
          <w:sz w:val="16"/>
          <w:szCs w:val="16"/>
        </w:rPr>
        <w:t xml:space="preserve">Consejo de Estado. Sección Tercera. Subsección B. Sentencia del 6 de junio de 2013. </w:t>
      </w:r>
      <w:r w:rsidRPr="00C811DF">
        <w:rPr>
          <w:rFonts w:ascii="Arial" w:hAnsi="Arial" w:cs="Arial"/>
          <w:sz w:val="16"/>
          <w:szCs w:val="16"/>
        </w:rPr>
        <w:t>Exp. 25151. C.P. Stella Conto Díaz del Castillo.</w:t>
      </w:r>
    </w:p>
  </w:footnote>
  <w:footnote w:id="26">
    <w:p w:rsidRPr="00C811DF" w:rsidR="00D50653" w:rsidP="00D50653" w:rsidRDefault="00D50653" w14:paraId="1745B85D" w14:textId="77777777">
      <w:pPr>
        <w:pStyle w:val="Textonotapie"/>
        <w:ind w:firstLine="709"/>
        <w:contextualSpacing/>
        <w:jc w:val="both"/>
        <w:rPr>
          <w:rFonts w:ascii="Arial" w:hAnsi="Arial" w:cs="Arial"/>
          <w:color w:val="000000" w:themeColor="text1"/>
          <w:sz w:val="16"/>
          <w:szCs w:val="16"/>
        </w:rPr>
      </w:pPr>
    </w:p>
    <w:p w:rsidRPr="00C811DF" w:rsidR="00D50653" w:rsidP="00D50653" w:rsidRDefault="00D50653" w14:paraId="68BE97A8" w14:textId="77777777">
      <w:pPr>
        <w:pStyle w:val="Textonotapie"/>
        <w:ind w:firstLine="709"/>
        <w:contextualSpacing/>
        <w:jc w:val="both"/>
        <w:rPr>
          <w:rFonts w:ascii="Arial" w:hAnsi="Arial" w:cs="Arial"/>
          <w:color w:val="000000" w:themeColor="text1"/>
          <w:sz w:val="16"/>
          <w:szCs w:val="16"/>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rPr>
        <w:t xml:space="preserve"> Ley 1150 de 2007: “Artículo 6. De la verificación de las condiciones de los proponentes.</w:t>
      </w:r>
    </w:p>
    <w:p w:rsidRPr="00C811DF" w:rsidR="00D50653" w:rsidP="00D50653" w:rsidRDefault="00D50653" w14:paraId="72CCF9FF"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w:t>
      </w:r>
    </w:p>
    <w:p w:rsidRPr="00C811DF" w:rsidR="00D50653" w:rsidP="00D50653" w:rsidRDefault="00D50653" w14:paraId="3C9F900B"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“6.1. […]</w:t>
      </w:r>
    </w:p>
    <w:p w:rsidRPr="00C811DF" w:rsidR="00D50653" w:rsidP="00D50653" w:rsidRDefault="00D50653" w14:paraId="5065B8C2"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C811DF" w:rsidR="00D50653" w:rsidP="00D50653" w:rsidRDefault="00D50653" w14:paraId="696DBE3F"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C811DF" w:rsidR="00D50653" w:rsidP="00D50653" w:rsidRDefault="00D50653" w14:paraId="32285393"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w:t>
      </w:r>
    </w:p>
  </w:footnote>
  <w:footnote w:id="27">
    <w:p w:rsidRPr="00C811DF" w:rsidR="00D50653" w:rsidP="00D50653" w:rsidRDefault="00D50653" w14:paraId="501AFC54" w14:textId="77777777">
      <w:pPr>
        <w:pStyle w:val="Textonotapie"/>
        <w:ind w:firstLine="709"/>
        <w:contextualSpacing/>
        <w:jc w:val="both"/>
        <w:rPr>
          <w:rFonts w:ascii="Arial" w:hAnsi="Arial" w:cs="Arial"/>
          <w:color w:val="000000" w:themeColor="text1"/>
          <w:sz w:val="16"/>
          <w:szCs w:val="16"/>
        </w:rPr>
      </w:pPr>
    </w:p>
    <w:p w:rsidRPr="00C811DF" w:rsidR="00D50653" w:rsidP="00D50653" w:rsidRDefault="00D50653" w14:paraId="364EF8C2" w14:textId="77777777">
      <w:pPr>
        <w:pStyle w:val="Textonotapie"/>
        <w:ind w:firstLine="709"/>
        <w:contextualSpacing/>
        <w:jc w:val="both"/>
        <w:rPr>
          <w:rFonts w:ascii="Arial" w:hAnsi="Arial" w:cs="Arial"/>
          <w:color w:val="000000" w:themeColor="text1"/>
          <w:sz w:val="16"/>
          <w:szCs w:val="16"/>
          <w:lang w:eastAsia="es-CO"/>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rPr>
        <w:t xml:space="preserve"> Ley 1150 de 2007: “Artículo 5. De la selección objetiva.</w:t>
      </w:r>
      <w:r w:rsidRPr="00C811DF">
        <w:rPr>
          <w:rFonts w:ascii="Arial" w:hAnsi="Arial" w:cs="Arial"/>
          <w:color w:val="000000" w:themeColor="text1"/>
          <w:sz w:val="16"/>
          <w:szCs w:val="16"/>
          <w:lang w:eastAsia="es-CO"/>
        </w:rPr>
        <w:t xml:space="preserve"> </w:t>
      </w:r>
    </w:p>
    <w:p w:rsidRPr="00C811DF" w:rsidR="00D50653" w:rsidP="00D50653" w:rsidRDefault="00D50653" w14:paraId="0EAA06F1"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w:t>
      </w:r>
    </w:p>
    <w:p w:rsidRPr="00C811DF" w:rsidR="00D50653" w:rsidP="00D50653" w:rsidRDefault="00D50653" w14:paraId="2BD90493"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C811DF" w:rsidR="00D50653" w:rsidP="00D50653" w:rsidRDefault="00D50653" w14:paraId="3F9137A5"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w:t>
      </w:r>
    </w:p>
  </w:footnote>
  <w:footnote w:id="28">
    <w:p w:rsidRPr="00C811DF" w:rsidR="00D50653" w:rsidP="00D50653" w:rsidRDefault="00D50653" w14:paraId="41109047" w14:textId="77777777">
      <w:pPr>
        <w:pStyle w:val="Textonotapie"/>
        <w:ind w:firstLine="709"/>
        <w:contextualSpacing/>
        <w:jc w:val="both"/>
        <w:rPr>
          <w:rFonts w:ascii="Arial" w:hAnsi="Arial" w:cs="Arial"/>
          <w:color w:val="000000" w:themeColor="text1"/>
          <w:sz w:val="16"/>
          <w:szCs w:val="16"/>
        </w:rPr>
      </w:pPr>
    </w:p>
    <w:p w:rsidRPr="00C811DF" w:rsidR="00D50653" w:rsidP="00D50653" w:rsidRDefault="00D50653" w14:paraId="337BDDBE" w14:textId="77777777">
      <w:pPr>
        <w:pStyle w:val="Textonotapie"/>
        <w:ind w:firstLine="709"/>
        <w:contextualSpacing/>
        <w:jc w:val="both"/>
        <w:rPr>
          <w:rFonts w:ascii="Arial" w:hAnsi="Arial" w:cs="Arial"/>
          <w:color w:val="000000" w:themeColor="text1"/>
          <w:sz w:val="16"/>
          <w:szCs w:val="16"/>
          <w:lang w:eastAsia="es-CO"/>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rPr>
        <w:t xml:space="preserve"> </w:t>
      </w:r>
      <w:r w:rsidRPr="00C811DF">
        <w:rPr>
          <w:rFonts w:ascii="Arial" w:hAnsi="Arial" w:cs="Arial"/>
          <w:color w:val="000000" w:themeColor="text1"/>
          <w:sz w:val="16"/>
          <w:szCs w:val="16"/>
          <w:lang w:eastAsia="es-CO"/>
        </w:rPr>
        <w:t xml:space="preserve">Consejo de Estado. Sección Tercera. Subsección A. Sentencia del 12 de febrero de 2014. </w:t>
      </w:r>
      <w:r w:rsidRPr="00C811DF">
        <w:rPr>
          <w:rFonts w:ascii="Arial" w:hAnsi="Arial" w:cs="Arial"/>
          <w:color w:val="000000" w:themeColor="text1"/>
          <w:sz w:val="16"/>
          <w:szCs w:val="16"/>
          <w:lang w:eastAsia="es-CO"/>
        </w:rPr>
        <w:t>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rsidRPr="00C811DF" w:rsidR="00D50653" w:rsidP="00D50653" w:rsidRDefault="00D50653" w14:paraId="31F695B8" w14:textId="77777777">
      <w:pPr>
        <w:pStyle w:val="Textonotapie"/>
        <w:ind w:firstLine="709"/>
        <w:contextualSpacing/>
        <w:jc w:val="both"/>
        <w:rPr>
          <w:rFonts w:ascii="Arial" w:hAnsi="Arial" w:cs="Arial"/>
          <w:color w:val="000000" w:themeColor="text1"/>
          <w:sz w:val="16"/>
          <w:szCs w:val="16"/>
        </w:rPr>
      </w:pPr>
    </w:p>
  </w:footnote>
  <w:footnote w:id="29">
    <w:p w:rsidRPr="00C811DF" w:rsidR="00DB6CDF" w:rsidP="00DB6CDF" w:rsidRDefault="00DB6CDF" w14:paraId="7553117D" w14:textId="77777777">
      <w:pPr>
        <w:pStyle w:val="Textonotapie"/>
        <w:ind w:firstLine="709"/>
        <w:contextualSpacing/>
        <w:jc w:val="both"/>
        <w:rPr>
          <w:rFonts w:ascii="Arial" w:hAnsi="Arial" w:cs="Arial"/>
          <w:color w:val="000000" w:themeColor="text1"/>
          <w:sz w:val="16"/>
          <w:szCs w:val="16"/>
          <w:lang w:eastAsia="es-CO"/>
        </w:rPr>
      </w:pPr>
    </w:p>
    <w:p w:rsidRPr="00C811DF" w:rsidR="00DB6CDF" w:rsidP="00DB6CDF" w:rsidRDefault="00DB6CDF" w14:paraId="0ED2D057" w14:textId="77777777">
      <w:pPr>
        <w:pStyle w:val="Textonotapie"/>
        <w:ind w:firstLine="709"/>
        <w:contextualSpacing/>
        <w:jc w:val="both"/>
        <w:rPr>
          <w:rFonts w:ascii="Arial" w:hAnsi="Arial" w:cs="Arial"/>
          <w:color w:val="000000" w:themeColor="text1"/>
          <w:sz w:val="16"/>
          <w:szCs w:val="16"/>
          <w:lang w:eastAsia="es-CO"/>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C811DF" w:rsidR="00DB6CDF" w:rsidP="00DB6CDF" w:rsidRDefault="00DB6CDF" w14:paraId="488F4AAF" w14:textId="77777777">
      <w:pPr>
        <w:pStyle w:val="Textonotapie"/>
        <w:ind w:firstLine="708"/>
        <w:contextualSpacing/>
        <w:jc w:val="both"/>
        <w:rPr>
          <w:rFonts w:ascii="Arial" w:hAnsi="Arial" w:cs="Arial"/>
          <w:color w:val="000000" w:themeColor="text1"/>
          <w:sz w:val="16"/>
          <w:szCs w:val="16"/>
        </w:rPr>
      </w:pPr>
      <w:r w:rsidRPr="00C811DF">
        <w:rPr>
          <w:rFonts w:ascii="Arial" w:hAnsi="Arial" w:cs="Arial"/>
          <w:color w:val="000000" w:themeColor="text1"/>
          <w:sz w:val="16"/>
          <w:szCs w:val="16"/>
          <w:lang w:eastAsia="es-CO"/>
        </w:rPr>
        <w:t xml:space="preserve">[...]”. </w:t>
      </w:r>
      <w:r w:rsidRPr="00C811DF">
        <w:rPr>
          <w:rFonts w:ascii="Arial" w:hAnsi="Arial" w:cs="Arial"/>
          <w:color w:val="000000" w:themeColor="text1"/>
          <w:sz w:val="16"/>
          <w:szCs w:val="16"/>
        </w:rPr>
        <w:t xml:space="preserve"> </w:t>
      </w:r>
    </w:p>
  </w:footnote>
  <w:footnote w:id="30">
    <w:p w:rsidRPr="00C811DF" w:rsidR="00DB6CDF" w:rsidP="00DB6CDF" w:rsidRDefault="00DB6CDF" w14:paraId="3C30F471" w14:textId="77777777">
      <w:pPr>
        <w:pStyle w:val="Textonotapie"/>
        <w:ind w:firstLine="708"/>
        <w:contextualSpacing/>
        <w:jc w:val="both"/>
        <w:rPr>
          <w:rFonts w:ascii="Arial" w:hAnsi="Arial" w:cs="Arial"/>
          <w:color w:val="000000" w:themeColor="text1"/>
          <w:sz w:val="16"/>
          <w:szCs w:val="16"/>
          <w:lang w:eastAsia="es-CO"/>
        </w:rPr>
      </w:pPr>
    </w:p>
    <w:p w:rsidRPr="00C811DF" w:rsidR="00DB6CDF" w:rsidP="00DB6CDF" w:rsidRDefault="00DB6CDF" w14:paraId="3D1E56DD" w14:textId="77777777">
      <w:pPr>
        <w:pStyle w:val="Textonotapie"/>
        <w:ind w:firstLine="708"/>
        <w:contextualSpacing/>
        <w:jc w:val="both"/>
        <w:rPr>
          <w:rFonts w:ascii="Arial" w:hAnsi="Arial" w:cs="Arial"/>
          <w:color w:val="000000" w:themeColor="text1"/>
          <w:sz w:val="16"/>
          <w:szCs w:val="16"/>
          <w:lang w:val="es-CO"/>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lang w:eastAsia="es-CO"/>
        </w:rPr>
        <w:t>“¨[...]</w:t>
      </w:r>
      <w:r w:rsidRPr="00C811DF">
        <w:rPr>
          <w:rFonts w:ascii="Arial" w:hAnsi="Arial" w:cs="Arial"/>
          <w:color w:val="000000" w:themeColor="text1"/>
          <w:sz w:val="16"/>
          <w:szCs w:val="16"/>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C811DF">
        <w:rPr>
          <w:rFonts w:ascii="Arial" w:hAnsi="Arial" w:cs="Arial"/>
          <w:color w:val="000000" w:themeColor="text1"/>
          <w:sz w:val="16"/>
          <w:szCs w:val="16"/>
          <w:lang w:eastAsia="es-CO"/>
        </w:rPr>
        <w:t xml:space="preserve">[...]”. </w:t>
      </w:r>
      <w:r w:rsidRPr="00C811DF">
        <w:rPr>
          <w:rFonts w:ascii="Arial" w:hAnsi="Arial" w:cs="Arial"/>
          <w:color w:val="000000" w:themeColor="text1"/>
          <w:sz w:val="16"/>
          <w:szCs w:val="16"/>
        </w:rPr>
        <w:t xml:space="preserve"> </w:t>
      </w:r>
    </w:p>
  </w:footnote>
  <w:footnote w:id="31">
    <w:p w:rsidRPr="00C811DF" w:rsidR="00DB6CDF" w:rsidP="00DB6CDF" w:rsidRDefault="00DB6CDF" w14:paraId="4FF71E85" w14:textId="77777777">
      <w:pPr>
        <w:pStyle w:val="Textonotapie"/>
        <w:ind w:firstLine="709"/>
        <w:contextualSpacing/>
        <w:jc w:val="both"/>
        <w:rPr>
          <w:rFonts w:ascii="Arial" w:hAnsi="Arial" w:cs="Arial"/>
          <w:color w:val="000000" w:themeColor="text1"/>
          <w:sz w:val="16"/>
          <w:szCs w:val="16"/>
        </w:rPr>
      </w:pPr>
    </w:p>
    <w:p w:rsidRPr="00C811DF" w:rsidR="00DB6CDF" w:rsidP="00DB6CDF" w:rsidRDefault="00DB6CDF" w14:paraId="565AC409" w14:textId="77777777">
      <w:pPr>
        <w:pStyle w:val="Textonotapie"/>
        <w:ind w:firstLine="709"/>
        <w:contextualSpacing/>
        <w:jc w:val="both"/>
        <w:rPr>
          <w:rFonts w:ascii="Arial" w:hAnsi="Arial" w:cs="Arial"/>
          <w:color w:val="000000" w:themeColor="text1"/>
          <w:sz w:val="16"/>
          <w:szCs w:val="16"/>
          <w:lang w:eastAsia="es-CO"/>
        </w:rPr>
      </w:pPr>
      <w:r w:rsidRPr="00C811DF">
        <w:rPr>
          <w:rStyle w:val="Refdenotaalpie"/>
          <w:rFonts w:ascii="Arial" w:hAnsi="Arial" w:cs="Arial"/>
          <w:color w:val="000000" w:themeColor="text1"/>
          <w:sz w:val="16"/>
          <w:szCs w:val="16"/>
        </w:rPr>
        <w:footnoteRef/>
      </w:r>
      <w:r w:rsidRPr="00C811DF">
        <w:rPr>
          <w:rFonts w:ascii="Arial" w:hAnsi="Arial" w:cs="Arial"/>
          <w:color w:val="000000" w:themeColor="text1"/>
          <w:sz w:val="16"/>
          <w:szCs w:val="16"/>
        </w:rPr>
        <w:t xml:space="preserve"> </w:t>
      </w:r>
      <w:r w:rsidRPr="00C811DF">
        <w:rPr>
          <w:rFonts w:ascii="Arial" w:hAnsi="Arial" w:cs="Arial"/>
          <w:color w:val="000000" w:themeColor="text1"/>
          <w:sz w:val="16"/>
          <w:szCs w:val="16"/>
          <w:lang w:eastAsia="es-CO"/>
        </w:rPr>
        <w:t>Decreto 1082 de 2015:</w:t>
      </w:r>
      <w:r w:rsidRPr="00C811DF">
        <w:rPr>
          <w:rFonts w:ascii="Arial" w:hAnsi="Arial" w:cs="Arial"/>
          <w:color w:val="000000" w:themeColor="text1"/>
          <w:sz w:val="16"/>
          <w:szCs w:val="16"/>
        </w:rPr>
        <w:t xml:space="preserve"> </w:t>
      </w:r>
      <w:r w:rsidRPr="00C811DF">
        <w:rPr>
          <w:rFonts w:ascii="Arial" w:hAnsi="Arial" w:cs="Arial"/>
          <w:color w:val="000000" w:themeColor="text1"/>
          <w:sz w:val="16"/>
          <w:szCs w:val="16"/>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rsidRPr="00C811DF" w:rsidR="00DB6CDF" w:rsidP="00DB6CDF" w:rsidRDefault="00DB6CDF" w14:paraId="731F6070"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C811DF" w:rsidR="00DB6CDF" w:rsidP="00DB6CDF" w:rsidRDefault="00DB6CDF" w14:paraId="15C39A5B" w14:textId="77777777">
      <w:pPr>
        <w:pStyle w:val="Textonotapie"/>
        <w:ind w:firstLine="709"/>
        <w:contextualSpacing/>
        <w:jc w:val="both"/>
        <w:rPr>
          <w:rFonts w:ascii="Arial" w:hAnsi="Arial" w:cs="Arial"/>
          <w:color w:val="000000" w:themeColor="text1"/>
          <w:sz w:val="16"/>
          <w:szCs w:val="16"/>
          <w:lang w:eastAsia="es-CO"/>
        </w:rPr>
      </w:pPr>
      <w:r w:rsidRPr="00C811DF">
        <w:rPr>
          <w:rFonts w:ascii="Arial" w:hAnsi="Arial" w:cs="Arial"/>
          <w:color w:val="000000" w:themeColor="text1"/>
          <w:sz w:val="16"/>
          <w:szCs w:val="16"/>
          <w:lang w:eastAsia="es-CO"/>
        </w:rPr>
        <w:t>“Los inscritos en el RUP pueden en cualquier momento solicitar a la cámara de comercio cancelar su inscripción”.</w:t>
      </w:r>
    </w:p>
  </w:footnote>
  <w:footnote w:id="32">
    <w:p w:rsidRPr="00C811DF" w:rsidR="00DB6CDF" w:rsidP="00DB6CDF" w:rsidRDefault="00DB6CDF" w14:paraId="0C055DAB" w14:textId="77777777">
      <w:pPr>
        <w:pStyle w:val="Textonotapie"/>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rsidRPr="00C811DF" w:rsidR="00DB6CDF" w:rsidP="00DB6CDF" w:rsidRDefault="00DB6CDF" w14:paraId="44E71CF9" w14:textId="77777777">
      <w:pPr>
        <w:pStyle w:val="Textonotapie"/>
        <w:ind w:firstLine="708"/>
        <w:contextualSpacing/>
        <w:jc w:val="both"/>
        <w:rPr>
          <w:rFonts w:ascii="Arial" w:hAnsi="Arial" w:cs="Arial"/>
          <w:sz w:val="16"/>
          <w:szCs w:val="16"/>
        </w:rPr>
      </w:pPr>
    </w:p>
  </w:footnote>
  <w:footnote w:id="33">
    <w:p w:rsidRPr="00C811DF" w:rsidR="009B69C0" w:rsidP="009B69C0" w:rsidRDefault="009B69C0" w14:paraId="33F1E143" w14:textId="77777777">
      <w:pPr>
        <w:pStyle w:val="NormalWeb"/>
        <w:spacing w:before="0" w:beforeAutospacing="0" w:after="0" w:afterAutospacing="0"/>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rsidRPr="00C811DF" w:rsidR="009B69C0" w:rsidP="009B69C0" w:rsidRDefault="009B69C0" w14:paraId="615B908B" w14:textId="77777777">
      <w:pPr>
        <w:contextualSpacing/>
        <w:jc w:val="both"/>
        <w:rPr>
          <w:rFonts w:ascii="Arial" w:hAnsi="Arial" w:eastAsia="Times New Roman" w:cs="Arial"/>
          <w:sz w:val="16"/>
          <w:szCs w:val="16"/>
          <w:lang w:eastAsia="es-CO"/>
        </w:rPr>
      </w:pPr>
      <w:r w:rsidRPr="00C811DF">
        <w:rPr>
          <w:rFonts w:ascii="Arial" w:hAnsi="Arial" w:eastAsia="Times New Roman" w:cs="Arial"/>
          <w:sz w:val="16"/>
          <w:szCs w:val="16"/>
          <w:lang w:eastAsia="es-CO"/>
        </w:rPr>
        <w:t> </w:t>
      </w:r>
      <w:r w:rsidRPr="00C811DF">
        <w:rPr>
          <w:rFonts w:ascii="Arial" w:hAnsi="Arial" w:eastAsia="Times New Roman" w:cs="Arial"/>
          <w:sz w:val="16"/>
          <w:szCs w:val="16"/>
          <w:lang w:eastAsia="es-CO"/>
        </w:rPr>
        <w:tab/>
      </w:r>
      <w:r w:rsidRPr="00C811DF">
        <w:rPr>
          <w:rFonts w:ascii="Arial" w:hAnsi="Arial" w:eastAsia="Times New Roman" w:cs="Arial"/>
          <w:sz w:val="16"/>
          <w:szCs w:val="16"/>
          <w:lang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rsidRPr="00C811DF" w:rsidR="009B69C0" w:rsidP="009B69C0" w:rsidRDefault="009B69C0" w14:paraId="10C51019" w14:textId="77777777">
      <w:pPr>
        <w:ind w:firstLine="708"/>
        <w:contextualSpacing/>
        <w:jc w:val="both"/>
        <w:rPr>
          <w:rFonts w:ascii="Arial" w:hAnsi="Arial" w:eastAsia="Times New Roman" w:cs="Arial"/>
          <w:sz w:val="16"/>
          <w:szCs w:val="16"/>
          <w:lang w:eastAsia="es-CO"/>
        </w:rPr>
      </w:pPr>
      <w:r w:rsidRPr="00C811DF">
        <w:rPr>
          <w:rFonts w:ascii="Arial" w:hAnsi="Arial" w:eastAsia="Times New Roman" w:cs="Arial"/>
          <w:sz w:val="16"/>
          <w:szCs w:val="16"/>
          <w:lang w:eastAsia="es-CO"/>
        </w:rPr>
        <w:t>“</w:t>
      </w:r>
      <w:r w:rsidRPr="00C811DF">
        <w:rPr>
          <w:rFonts w:ascii="Arial" w:hAnsi="Arial" w:eastAsia="Times New Roman" w:cs="Arial"/>
          <w:sz w:val="16"/>
          <w:szCs w:val="16"/>
          <w:u w:val="single"/>
          <w:lang w:eastAsia="es-CO"/>
        </w:rPr>
        <w:t>En dicho registro constará la información relacionada con la experiencia, capacidad jurídica, financiera y de organización del proponente y su clasificación</w:t>
      </w:r>
      <w:r w:rsidRPr="00C811DF">
        <w:rPr>
          <w:rFonts w:ascii="Arial" w:hAnsi="Arial" w:eastAsia="Times New Roman" w:cs="Arial"/>
          <w:sz w:val="16"/>
          <w:szCs w:val="16"/>
          <w:lang w:eastAsia="es-CO"/>
        </w:rPr>
        <w:t>[…]”. (Subrayas fuera del texto).</w:t>
      </w:r>
    </w:p>
  </w:footnote>
  <w:footnote w:id="34">
    <w:p w:rsidRPr="00C811DF" w:rsidR="009B69C0" w:rsidP="009B69C0" w:rsidRDefault="009B69C0" w14:paraId="73073C43" w14:textId="77777777">
      <w:pPr>
        <w:pStyle w:val="Textonotapie"/>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rsidRPr="00C811DF" w:rsidR="009B69C0" w:rsidP="009B69C0" w:rsidRDefault="009B69C0" w14:paraId="779FC47B" w14:textId="77777777">
      <w:pPr>
        <w:pStyle w:val="Textonotapie"/>
        <w:ind w:firstLine="708"/>
        <w:contextualSpacing/>
        <w:jc w:val="both"/>
        <w:rPr>
          <w:rFonts w:ascii="Arial" w:hAnsi="Arial" w:cs="Arial"/>
          <w:sz w:val="16"/>
          <w:szCs w:val="16"/>
        </w:rPr>
      </w:pPr>
    </w:p>
    <w:p w:rsidRPr="00C811DF" w:rsidR="009B69C0" w:rsidP="009B69C0" w:rsidRDefault="009B69C0" w14:paraId="4741A37C" w14:textId="77777777">
      <w:pPr>
        <w:pStyle w:val="Textonotapie"/>
        <w:ind w:firstLine="708"/>
        <w:contextualSpacing/>
        <w:jc w:val="both"/>
        <w:rPr>
          <w:rFonts w:ascii="Arial" w:hAnsi="Arial" w:cs="Arial"/>
          <w:sz w:val="16"/>
          <w:szCs w:val="16"/>
        </w:rPr>
      </w:pPr>
    </w:p>
  </w:footnote>
  <w:footnote w:id="35">
    <w:p w:rsidRPr="00C811DF" w:rsidR="00E779AA" w:rsidP="00E779AA" w:rsidRDefault="00E779AA" w14:paraId="1D0D5936" w14:textId="77777777">
      <w:pPr>
        <w:pStyle w:val="Textonotapie"/>
        <w:ind w:firstLine="708"/>
        <w:contextualSpacing/>
        <w:jc w:val="both"/>
        <w:rPr>
          <w:rFonts w:ascii="Arial" w:hAnsi="Arial" w:cs="Arial"/>
          <w:sz w:val="16"/>
          <w:szCs w:val="16"/>
          <w:u w:val="single"/>
        </w:rPr>
      </w:pPr>
      <w:r w:rsidRPr="00C811DF">
        <w:rPr>
          <w:rStyle w:val="Refdenotaalpie"/>
          <w:rFonts w:ascii="Arial" w:hAnsi="Arial" w:cs="Arial"/>
          <w:sz w:val="16"/>
          <w:szCs w:val="16"/>
        </w:rPr>
        <w:footnoteRef/>
      </w:r>
      <w:r w:rsidRPr="00C811DF">
        <w:rPr>
          <w:rFonts w:ascii="Arial" w:hAnsi="Arial" w:cs="Arial"/>
          <w:sz w:val="16"/>
          <w:szCs w:val="16"/>
        </w:rPr>
        <w:t xml:space="preserve"> Agencia Nacional de Contratación Pública – Colombia Compra Eficiente. Guía para la codificación de bienes y servicios de acuerdo con el código estándar de productos y servicios de Naciones Unidas, V.14.080. Disponible en: </w:t>
      </w:r>
      <w:hyperlink w:history="1" r:id="rId2">
        <w:r w:rsidRPr="00C811DF">
          <w:rPr>
            <w:rStyle w:val="Hipervnculo"/>
            <w:rFonts w:ascii="Arial" w:hAnsi="Arial" w:cs="Arial"/>
            <w:sz w:val="16"/>
            <w:szCs w:val="16"/>
          </w:rPr>
          <w:t>https://www.colombiacompra.gov.co/sites/cce_public/files/cce_documents/cce_guia_codificacion_bienes.pdf</w:t>
        </w:r>
      </w:hyperlink>
    </w:p>
  </w:footnote>
  <w:footnote w:id="36">
    <w:p w:rsidRPr="00C811DF" w:rsidR="00D9463B" w:rsidP="00D9463B" w:rsidRDefault="00D9463B" w14:paraId="409A8874" w14:textId="77777777">
      <w:pPr>
        <w:pStyle w:val="Textonotapie"/>
        <w:ind w:firstLine="708"/>
        <w:contextualSpacing/>
        <w:jc w:val="both"/>
        <w:rPr>
          <w:rFonts w:ascii="Arial" w:hAnsi="Arial" w:cs="Arial"/>
          <w:sz w:val="16"/>
          <w:szCs w:val="16"/>
        </w:rPr>
      </w:pPr>
    </w:p>
    <w:p w:rsidRPr="00C811DF" w:rsidR="00D9463B" w:rsidP="00D9463B" w:rsidRDefault="00D9463B" w14:paraId="0371985F" w14:textId="77777777">
      <w:pPr>
        <w:pStyle w:val="Textonotapie"/>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Específicamente, los numerales 1.1 y 2.1 del artículo 2.2.1.1.1.5.2 del Decreto 1082 de 2015 consagran dentro de la información que se debe presentar para la inscripción en el registro los “Bienes, obras y servicios que ofrecerá a las Entidades Estatales, identificados con el Clasificador de Bienes y Servicios en el tercer nivel</w:t>
      </w:r>
      <w:r w:rsidRPr="00C811DF">
        <w:rPr>
          <w:rFonts w:ascii="Arial" w:hAnsi="Arial" w:cs="Arial"/>
          <w:color w:val="000000"/>
          <w:sz w:val="16"/>
          <w:szCs w:val="16"/>
        </w:rPr>
        <w:t>”.</w:t>
      </w:r>
    </w:p>
  </w:footnote>
  <w:footnote w:id="37">
    <w:p w:rsidRPr="00C811DF" w:rsidR="00D9463B" w:rsidP="00D9463B" w:rsidRDefault="00D9463B" w14:paraId="37EF19E7" w14:textId="77777777">
      <w:pPr>
        <w:pStyle w:val="NormalWeb"/>
        <w:spacing w:before="0" w:beforeAutospacing="0" w:after="0" w:afterAutospacing="0"/>
        <w:ind w:firstLine="708"/>
        <w:contextualSpacing/>
        <w:jc w:val="both"/>
        <w:rPr>
          <w:rFonts w:ascii="Arial" w:hAnsi="Arial" w:cs="Arial"/>
          <w:sz w:val="16"/>
          <w:szCs w:val="16"/>
        </w:rPr>
      </w:pPr>
    </w:p>
    <w:p w:rsidRPr="00C811DF" w:rsidR="00D9463B" w:rsidP="00D9463B" w:rsidRDefault="00D9463B" w14:paraId="6AC17EE5" w14:textId="77777777">
      <w:pPr>
        <w:pStyle w:val="NormalWeb"/>
        <w:spacing w:before="0" w:beforeAutospacing="0" w:after="0" w:afterAutospacing="0"/>
        <w:ind w:firstLine="708"/>
        <w:contextualSpacing/>
        <w:jc w:val="both"/>
        <w:rPr>
          <w:rFonts w:ascii="Arial" w:hAnsi="Arial" w:cs="Arial"/>
          <w:color w:val="000000"/>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Decreto 1082 de 2015: “</w:t>
      </w:r>
      <w:r w:rsidRPr="00C811DF">
        <w:rPr>
          <w:rFonts w:ascii="Arial" w:hAnsi="Arial" w:cs="Arial"/>
          <w:color w:val="000000"/>
          <w:sz w:val="16"/>
          <w:szCs w:val="16"/>
        </w:rPr>
        <w:t>Artículo 2.2.1.1.1.5.2. Información para inscripción, renovación o actualización</w:t>
      </w:r>
      <w:r w:rsidRPr="00C811DF">
        <w:rPr>
          <w:rFonts w:ascii="Arial" w:hAnsi="Arial" w:cs="Arial"/>
          <w:b/>
          <w:bCs/>
          <w:color w:val="000000"/>
          <w:sz w:val="16"/>
          <w:szCs w:val="16"/>
        </w:rPr>
        <w:t>.</w:t>
      </w:r>
      <w:r w:rsidRPr="00C811DF">
        <w:rPr>
          <w:rFonts w:ascii="Arial" w:hAnsi="Arial" w:cs="Arial"/>
          <w:b/>
          <w:bCs/>
          <w:i/>
          <w:iCs/>
          <w:color w:val="000000"/>
          <w:sz w:val="16"/>
          <w:szCs w:val="16"/>
        </w:rPr>
        <w:t> </w:t>
      </w:r>
      <w:r w:rsidRPr="00C811DF">
        <w:rPr>
          <w:rFonts w:ascii="Arial" w:hAnsi="Arial" w:cs="Arial"/>
          <w:color w:val="000000"/>
          <w:sz w:val="16"/>
          <w:szCs w:val="16"/>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rsidRPr="00C811DF" w:rsidR="00D9463B" w:rsidP="00D9463B" w:rsidRDefault="00D9463B" w14:paraId="1C2DF814" w14:textId="77777777">
      <w:pPr>
        <w:contextualSpacing/>
        <w:jc w:val="both"/>
        <w:rPr>
          <w:rFonts w:ascii="Arial" w:hAnsi="Arial" w:eastAsia="Times New Roman" w:cs="Arial"/>
          <w:color w:val="000000"/>
          <w:sz w:val="16"/>
          <w:szCs w:val="16"/>
          <w:lang w:eastAsia="es-CO"/>
        </w:rPr>
      </w:pPr>
      <w:r w:rsidRPr="00C811DF">
        <w:rPr>
          <w:rFonts w:ascii="Arial" w:hAnsi="Arial" w:eastAsia="Times New Roman" w:cs="Arial"/>
          <w:color w:val="000000"/>
          <w:sz w:val="16"/>
          <w:szCs w:val="16"/>
          <w:lang w:eastAsia="es-CO"/>
        </w:rPr>
        <w:t>  </w:t>
      </w:r>
      <w:r w:rsidRPr="00C811DF">
        <w:rPr>
          <w:rFonts w:ascii="Arial" w:hAnsi="Arial" w:eastAsia="Times New Roman" w:cs="Arial"/>
          <w:color w:val="000000"/>
          <w:sz w:val="16"/>
          <w:szCs w:val="16"/>
          <w:lang w:eastAsia="es-CO"/>
        </w:rPr>
        <w:tab/>
      </w:r>
      <w:r w:rsidRPr="00C811DF">
        <w:rPr>
          <w:rFonts w:ascii="Arial" w:hAnsi="Arial" w:eastAsia="Times New Roman" w:cs="Arial"/>
          <w:color w:val="000000"/>
          <w:sz w:val="16"/>
          <w:szCs w:val="16"/>
          <w:lang w:eastAsia="es-CO"/>
        </w:rPr>
        <w:t>“1. Si es una persona natural: </w:t>
      </w:r>
    </w:p>
    <w:p w:rsidRPr="00C811DF" w:rsidR="00D9463B" w:rsidP="00D9463B" w:rsidRDefault="00D9463B" w14:paraId="2A92C56C" w14:textId="77777777">
      <w:pPr>
        <w:contextualSpacing/>
        <w:jc w:val="both"/>
        <w:rPr>
          <w:rFonts w:ascii="Arial" w:hAnsi="Arial" w:eastAsia="Times New Roman" w:cs="Arial"/>
          <w:color w:val="000000"/>
          <w:sz w:val="16"/>
          <w:szCs w:val="16"/>
          <w:lang w:eastAsia="es-CO"/>
        </w:rPr>
      </w:pPr>
      <w:r w:rsidRPr="00C811DF">
        <w:rPr>
          <w:rFonts w:ascii="Arial" w:hAnsi="Arial" w:eastAsia="Times New Roman" w:cs="Arial"/>
          <w:color w:val="000000"/>
          <w:sz w:val="16"/>
          <w:szCs w:val="16"/>
          <w:lang w:eastAsia="es-CO"/>
        </w:rPr>
        <w:t>  </w:t>
      </w:r>
      <w:r w:rsidRPr="00C811DF">
        <w:rPr>
          <w:rFonts w:ascii="Arial" w:hAnsi="Arial" w:eastAsia="Times New Roman" w:cs="Arial"/>
          <w:color w:val="000000"/>
          <w:sz w:val="16"/>
          <w:szCs w:val="16"/>
          <w:lang w:eastAsia="es-CO"/>
        </w:rPr>
        <w:tab/>
      </w:r>
      <w:r w:rsidRPr="00C811DF">
        <w:rPr>
          <w:rFonts w:ascii="Arial" w:hAnsi="Arial" w:eastAsia="Times New Roman" w:cs="Arial"/>
          <w:color w:val="000000"/>
          <w:sz w:val="16"/>
          <w:szCs w:val="16"/>
          <w:lang w:eastAsia="es-CO"/>
        </w:rPr>
        <w:t>“1.1. Bienes, obras y servicios que ofrecerá a las Entidades Estatales, identificados con el Clasificador de Bienes y Servicios en el tercer nivel. </w:t>
      </w:r>
    </w:p>
    <w:p w:rsidRPr="00C811DF" w:rsidR="00D9463B" w:rsidP="00D9463B" w:rsidRDefault="00D9463B" w14:paraId="5BAC95E0" w14:textId="77777777">
      <w:pPr>
        <w:contextualSpacing/>
        <w:jc w:val="both"/>
        <w:rPr>
          <w:rFonts w:ascii="Arial" w:hAnsi="Arial" w:eastAsia="Times New Roman" w:cs="Arial"/>
          <w:color w:val="000000"/>
          <w:sz w:val="16"/>
          <w:szCs w:val="16"/>
          <w:lang w:eastAsia="es-CO"/>
        </w:rPr>
      </w:pPr>
      <w:r w:rsidRPr="00C811DF">
        <w:rPr>
          <w:rFonts w:ascii="Arial" w:hAnsi="Arial" w:eastAsia="Times New Roman" w:cs="Arial"/>
          <w:color w:val="000000"/>
          <w:sz w:val="16"/>
          <w:szCs w:val="16"/>
          <w:lang w:eastAsia="es-CO"/>
        </w:rPr>
        <w:t>  </w:t>
      </w:r>
      <w:r w:rsidRPr="00C811DF">
        <w:rPr>
          <w:rFonts w:ascii="Arial" w:hAnsi="Arial" w:eastAsia="Times New Roman" w:cs="Arial"/>
          <w:color w:val="000000"/>
          <w:sz w:val="16"/>
          <w:szCs w:val="16"/>
          <w:lang w:eastAsia="es-CO"/>
        </w:rPr>
        <w:tab/>
      </w:r>
      <w:r w:rsidRPr="00C811DF">
        <w:rPr>
          <w:rFonts w:ascii="Arial" w:hAnsi="Arial" w:eastAsia="Times New Roman" w:cs="Arial"/>
          <w:color w:val="000000"/>
          <w:sz w:val="16"/>
          <w:szCs w:val="16"/>
          <w:lang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rsidRPr="00C811DF" w:rsidR="00D9463B" w:rsidP="00D9463B" w:rsidRDefault="00D9463B" w14:paraId="06FEA3D2" w14:textId="77777777">
      <w:pPr>
        <w:pStyle w:val="Textonotapie"/>
        <w:ind w:firstLine="708"/>
        <w:contextualSpacing/>
        <w:jc w:val="both"/>
        <w:rPr>
          <w:rFonts w:ascii="Arial" w:hAnsi="Arial" w:cs="Arial"/>
          <w:sz w:val="16"/>
          <w:szCs w:val="16"/>
        </w:rPr>
      </w:pPr>
      <w:r w:rsidRPr="00C811DF">
        <w:rPr>
          <w:rFonts w:ascii="Arial" w:hAnsi="Arial" w:cs="Arial"/>
          <w:sz w:val="16"/>
          <w:szCs w:val="16"/>
        </w:rPr>
        <w:t xml:space="preserve"> […]</w:t>
      </w:r>
    </w:p>
    <w:p w:rsidRPr="00C811DF" w:rsidR="00D9463B" w:rsidP="00D9463B" w:rsidRDefault="00D9463B" w14:paraId="71DF62E9" w14:textId="77777777">
      <w:pPr>
        <w:pStyle w:val="Textonotapie"/>
        <w:ind w:firstLine="708"/>
        <w:contextualSpacing/>
        <w:jc w:val="both"/>
        <w:rPr>
          <w:rFonts w:ascii="Arial" w:hAnsi="Arial" w:cs="Arial"/>
          <w:color w:val="000000"/>
          <w:sz w:val="16"/>
          <w:szCs w:val="16"/>
        </w:rPr>
      </w:pPr>
      <w:r w:rsidRPr="00C811DF">
        <w:rPr>
          <w:rFonts w:ascii="Arial" w:hAnsi="Arial" w:cs="Arial"/>
          <w:sz w:val="16"/>
          <w:szCs w:val="16"/>
        </w:rPr>
        <w:t>“</w:t>
      </w:r>
      <w:r w:rsidRPr="00C811DF">
        <w:rPr>
          <w:rFonts w:ascii="Arial" w:hAnsi="Arial" w:cs="Arial"/>
          <w:color w:val="000000"/>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38">
    <w:p w:rsidRPr="00C811DF" w:rsidR="001605A2" w:rsidP="001605A2" w:rsidRDefault="001605A2" w14:paraId="270E5B8A" w14:textId="77777777">
      <w:pPr>
        <w:pStyle w:val="Textonotapie"/>
        <w:ind w:firstLine="708"/>
        <w:contextualSpacing/>
        <w:jc w:val="both"/>
        <w:rPr>
          <w:rStyle w:val="Hipervnculo"/>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Agencia Nacional de Contratación Pública – Colombia Compra Eficiente. “Guía para la codificación de bienes y servicios de acuerdo con el código estándar de productos y servicios de Naciones Unidas, V.14.080”. Disponible en: </w:t>
      </w:r>
      <w:hyperlink w:history="1" r:id="rId3">
        <w:r w:rsidRPr="00C811DF">
          <w:rPr>
            <w:rStyle w:val="Hipervnculo"/>
            <w:rFonts w:ascii="Arial" w:hAnsi="Arial" w:cs="Arial"/>
            <w:sz w:val="16"/>
            <w:szCs w:val="16"/>
          </w:rPr>
          <w:t>https://www.colombiacompra.gov.co/sites/cce_public/files/cce_documents/cce_guia_codificacion_bienes.pdf</w:t>
        </w:r>
      </w:hyperlink>
    </w:p>
    <w:p w:rsidRPr="00C811DF" w:rsidR="001605A2" w:rsidP="001605A2" w:rsidRDefault="001605A2" w14:paraId="6CDA97B8" w14:textId="77777777">
      <w:pPr>
        <w:pStyle w:val="Textonotapie"/>
        <w:ind w:firstLine="708"/>
        <w:contextualSpacing/>
        <w:jc w:val="both"/>
        <w:rPr>
          <w:rFonts w:ascii="Arial" w:hAnsi="Arial" w:cs="Arial"/>
          <w:sz w:val="16"/>
          <w:szCs w:val="16"/>
          <w:u w:val="single"/>
        </w:rPr>
      </w:pPr>
    </w:p>
  </w:footnote>
  <w:footnote w:id="39">
    <w:p w:rsidRPr="00C811DF" w:rsidR="00EF3752" w:rsidRDefault="00EF3752" w14:paraId="6BDC6CC4" w14:textId="72F22DF6">
      <w:pPr>
        <w:pStyle w:val="Textonotapie"/>
        <w:rPr>
          <w:rFonts w:ascii="Arial" w:hAnsi="Arial" w:cs="Arial"/>
          <w:sz w:val="16"/>
          <w:szCs w:val="16"/>
          <w:lang w:val="es-CO"/>
        </w:rPr>
      </w:pPr>
      <w:r w:rsidRPr="00C811DF">
        <w:rPr>
          <w:rStyle w:val="Refdenotaalpie"/>
          <w:rFonts w:ascii="Arial" w:hAnsi="Arial" w:cs="Arial"/>
          <w:sz w:val="16"/>
          <w:szCs w:val="16"/>
        </w:rPr>
        <w:footnoteRef/>
      </w:r>
      <w:r w:rsidRPr="00C811DF">
        <w:rPr>
          <w:rFonts w:ascii="Arial" w:hAnsi="Arial" w:cs="Arial"/>
          <w:sz w:val="16"/>
          <w:szCs w:val="16"/>
        </w:rPr>
        <w:t xml:space="preserve"> </w:t>
      </w:r>
      <w:r w:rsidRPr="00C811DF" w:rsidR="00FF4893">
        <w:rPr>
          <w:rFonts w:ascii="Arial" w:hAnsi="Arial" w:cs="Arial"/>
          <w:sz w:val="16"/>
          <w:szCs w:val="16"/>
        </w:rPr>
        <w:t>Código de Comercio. Artículo 846: “La propuesta será irrevocable. De consiguiente, una vez comunicada, no podrá retractarse el proponente, so pena de indemnizar los perjuicios que con su revocación cause al destinatario.</w:t>
      </w:r>
    </w:p>
  </w:footnote>
  <w:footnote w:id="40">
    <w:p w:rsidRPr="00C811DF" w:rsidR="009C6B47" w:rsidRDefault="009C6B47" w14:paraId="43B2B083" w14:textId="6DB385C6">
      <w:pPr>
        <w:pStyle w:val="Textonotapie"/>
        <w:rPr>
          <w:rFonts w:ascii="Arial" w:hAnsi="Arial" w:cs="Arial"/>
          <w:sz w:val="16"/>
          <w:szCs w:val="16"/>
          <w:lang w:val="es-CO"/>
        </w:rPr>
      </w:pPr>
      <w:r w:rsidRPr="00C811DF">
        <w:rPr>
          <w:rStyle w:val="Refdenotaalpie"/>
          <w:rFonts w:ascii="Arial" w:hAnsi="Arial" w:cs="Arial"/>
          <w:sz w:val="16"/>
          <w:szCs w:val="16"/>
        </w:rPr>
        <w:footnoteRef/>
      </w:r>
      <w:r w:rsidRPr="00C811DF">
        <w:rPr>
          <w:rFonts w:ascii="Arial" w:hAnsi="Arial" w:cs="Arial"/>
          <w:sz w:val="16"/>
          <w:szCs w:val="16"/>
        </w:rPr>
        <w:t xml:space="preserve"> </w:t>
      </w:r>
      <w:r w:rsidRPr="00C811DF" w:rsidR="001F5784">
        <w:rPr>
          <w:rFonts w:ascii="Arial" w:hAnsi="Arial" w:cs="Arial"/>
          <w:sz w:val="16"/>
          <w:szCs w:val="16"/>
        </w:rPr>
        <w:t>Consejo de Estado. Sala de Consulta y Servicio Civil. Concepto del 20 de abril de 2006, C.P. Luis Fernando Álvarez Jaramillo. Rad. 2006-00031-00 (1732).</w:t>
      </w:r>
    </w:p>
  </w:footnote>
  <w:footnote w:id="41">
    <w:p w:rsidRPr="00C811DF" w:rsidR="00382176" w:rsidP="00382176" w:rsidRDefault="00382176" w14:paraId="5EC56833" w14:textId="77777777">
      <w:pPr>
        <w:pStyle w:val="Textonotapie"/>
        <w:ind w:firstLine="709"/>
        <w:jc w:val="both"/>
        <w:rPr>
          <w:rFonts w:ascii="Arial" w:hAnsi="Arial" w:cs="Arial"/>
          <w:sz w:val="16"/>
          <w:szCs w:val="16"/>
        </w:rPr>
      </w:pPr>
      <w:r w:rsidRPr="00C811DF">
        <w:rPr>
          <w:rStyle w:val="Refdenotaalpie"/>
          <w:sz w:val="16"/>
          <w:szCs w:val="16"/>
        </w:rPr>
        <w:footnoteRef/>
      </w:r>
      <w:r w:rsidRPr="00C811DF">
        <w:rPr>
          <w:sz w:val="16"/>
          <w:szCs w:val="16"/>
        </w:rPr>
        <w:t xml:space="preserve"> </w:t>
      </w:r>
      <w:r w:rsidRPr="00C811DF">
        <w:rPr>
          <w:rFonts w:ascii="Arial" w:hAnsi="Arial" w:cs="Arial"/>
          <w:sz w:val="16"/>
          <w:szCs w:val="16"/>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C811DF" w:rsidR="00382176" w:rsidP="00382176" w:rsidRDefault="00382176" w14:paraId="563B4C23" w14:textId="77777777">
      <w:pPr>
        <w:pStyle w:val="Textonotapie"/>
        <w:ind w:firstLine="709"/>
        <w:jc w:val="both"/>
        <w:rPr>
          <w:rFonts w:ascii="Arial" w:hAnsi="Arial" w:cs="Arial"/>
          <w:sz w:val="16"/>
          <w:szCs w:val="16"/>
        </w:rPr>
      </w:pPr>
      <w:r w:rsidRPr="00C811DF">
        <w:rPr>
          <w:rFonts w:ascii="Arial" w:hAnsi="Arial"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C811DF" w:rsidR="00382176" w:rsidP="00382176" w:rsidRDefault="00382176" w14:paraId="3BE4ABDD" w14:textId="77777777">
      <w:pPr>
        <w:pStyle w:val="Textonotapie"/>
        <w:ind w:firstLine="709"/>
        <w:jc w:val="both"/>
        <w:rPr>
          <w:rFonts w:ascii="Arial" w:hAnsi="Arial" w:cs="Arial"/>
          <w:sz w:val="16"/>
          <w:szCs w:val="16"/>
        </w:rPr>
      </w:pPr>
      <w:r w:rsidRPr="00C811DF">
        <w:rPr>
          <w:rFonts w:ascii="Arial" w:hAnsi="Arial" w:cs="Arial"/>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C811DF" w:rsidR="00382176" w:rsidP="00382176" w:rsidRDefault="00382176" w14:paraId="4EA20C42" w14:textId="77777777">
      <w:pPr>
        <w:pStyle w:val="Textonotapie"/>
        <w:ind w:firstLine="709"/>
        <w:jc w:val="both"/>
        <w:rPr>
          <w:rFonts w:ascii="Arial" w:hAnsi="Arial" w:cs="Arial"/>
          <w:sz w:val="16"/>
          <w:szCs w:val="16"/>
        </w:rPr>
      </w:pPr>
      <w:r w:rsidRPr="00C811DF">
        <w:rPr>
          <w:rFonts w:ascii="Arial" w:hAnsi="Arial" w:cs="Arial"/>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C811DF" w:rsidR="00382176" w:rsidP="00382176" w:rsidRDefault="00382176" w14:paraId="39BD2B0D" w14:textId="77777777">
      <w:pPr>
        <w:pStyle w:val="Textonotapie"/>
        <w:ind w:firstLine="709"/>
        <w:jc w:val="both"/>
        <w:rPr>
          <w:sz w:val="16"/>
          <w:szCs w:val="16"/>
        </w:rPr>
      </w:pPr>
      <w:r w:rsidRPr="00C811DF">
        <w:rPr>
          <w:rFonts w:ascii="Arial" w:hAnsi="Arial"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2">
    <w:p w:rsidRPr="00C811DF" w:rsidR="00382176" w:rsidP="00382176" w:rsidRDefault="00382176" w14:paraId="29295ADB" w14:textId="77777777">
      <w:pPr>
        <w:ind w:firstLine="709"/>
        <w:jc w:val="both"/>
        <w:rPr>
          <w:rFonts w:ascii="Arial" w:hAnsi="Arial" w:eastAsia="Calibri"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Mediante la Resolución 161 del 17 de junio de 2021 se estandarizó la acreditación de los factores de desempate del artículo 35 de la Ley 2069 de 2020, dirigido a los procesos de selección que deban adelantarse con documentos tipo y se realizaron modificaciones a los documentos base, formatos y anexos de los documentos tipo. Igualmente, se expidió la Resolución 173 del 30 de junio de 2021 mediante la cual se modificaron las Matrices 1 – Experiencia de los documentos tipo del sector de agua potable y saneamiento básico y su implementación resulta obligatoria para los procesos de contratación cuyo aviso de convocatoria que se publique a partir del 12 de julio de 2021. Además, el pasado 13 de octubre se expidió la Resolución 304 del 2021, «Por la cual se modifican los Documentos Tipo adoptados por la Agencia Nacional de Contratación Pública -Colombia Compra Eficiente», mediante la cual se ajustan los documentos tipo de acuerdo con las consideraciones del Decreto 680 de 2021 y se modifican otros aspectos de estos documento y finalmente con la Resolución 275 de 2022 modificó los documentos tipo adoptados y fue expedida el 24 de junio de 2022, teniendo en cuenta los cambios normativos relevantes para que las entidades y, en general quienes contratan con cargo a recursos públicos, desarrollen su gestión contractual conforme al nuevo marco normativo con ocasión de la expedición del Decreto 1860 de 2021, que incorporo reglamentación detallada de los artículos 31, 32, 33 y 34 entre otros de la ley 2069 de 2020 para su efectiva aplicación en el sistema de compras y contratación pública, estableciendo un marco regulatorio que propicia el emprendimiento, crecimiento, consolidación y sostenibilidad de las empresas, con el fin de aumentar el bienestar social y generar equidad. El Capítulo III de la Ley 2069 de 2020, entre otras medidas, creó una serie de incentivos en favor de las </w:t>
      </w:r>
      <w:r w:rsidRPr="00C811DF">
        <w:rPr>
          <w:rFonts w:ascii="Arial" w:hAnsi="Arial" w:cs="Arial"/>
          <w:sz w:val="16"/>
          <w:szCs w:val="16"/>
        </w:rPr>
        <w:t>Mipyme,  los emprendimientos y empresas de mujeres y de los demás grupos poblacionales  que fueron cobijados como población en extrema pobreza, desplazados por la violencia, personas en proceso de reincorporación o reintegración y sujetos d especial protección constitucional, interesados en celebrar contratos con el Estado, así como para el fomento en la ejecución de contratos de la provisión de bienes y servicios por parte de sujetos de especial protección constitucional</w:t>
      </w:r>
    </w:p>
    <w:p w:rsidRPr="00C811DF" w:rsidR="00382176" w:rsidP="00382176" w:rsidRDefault="00382176" w14:paraId="328F41D3" w14:textId="77777777">
      <w:pPr>
        <w:pStyle w:val="Textonotapie"/>
        <w:rPr>
          <w:sz w:val="16"/>
          <w:szCs w:val="16"/>
        </w:rPr>
      </w:pPr>
    </w:p>
  </w:footnote>
  <w:footnote w:id="43">
    <w:p w:rsidRPr="00C811DF" w:rsidR="00881B31" w:rsidRDefault="00881B31" w14:paraId="06789D84" w14:textId="0848A3D6">
      <w:pPr>
        <w:pStyle w:val="Textonotapie"/>
        <w:rPr>
          <w:rFonts w:ascii="Arial" w:hAnsi="Arial" w:cs="Arial"/>
          <w:sz w:val="16"/>
          <w:szCs w:val="16"/>
          <w:lang w:val="es-CO"/>
        </w:rPr>
      </w:pPr>
      <w:r w:rsidRPr="00C811DF">
        <w:rPr>
          <w:rStyle w:val="Refdenotaalpie"/>
          <w:rFonts w:ascii="Arial" w:hAnsi="Arial" w:cs="Arial"/>
          <w:sz w:val="16"/>
          <w:szCs w:val="16"/>
        </w:rPr>
        <w:footnoteRef/>
      </w:r>
      <w:r w:rsidRPr="00C811DF">
        <w:rPr>
          <w:rFonts w:ascii="Arial" w:hAnsi="Arial" w:cs="Arial"/>
          <w:sz w:val="16"/>
          <w:szCs w:val="16"/>
        </w:rPr>
        <w:t xml:space="preserve"> </w:t>
      </w:r>
      <w:r w:rsidRPr="00C811DF" w:rsidR="00E445DF">
        <w:rPr>
          <w:rFonts w:ascii="Arial" w:hAnsi="Arial" w:cs="Arial"/>
          <w:sz w:val="16"/>
          <w:szCs w:val="16"/>
        </w:rPr>
        <w:t xml:space="preserve">Departamento Administrativo de la Función Pública, </w:t>
      </w:r>
      <w:r w:rsidRPr="00C811DF" w:rsidR="00850111">
        <w:rPr>
          <w:rFonts w:ascii="Arial" w:hAnsi="Arial" w:cs="Arial"/>
          <w:sz w:val="16"/>
          <w:szCs w:val="16"/>
        </w:rPr>
        <w:t>Concepto 382951 de 2022</w:t>
      </w:r>
    </w:p>
  </w:footnote>
  <w:footnote w:id="44">
    <w:p w:rsidRPr="00C811DF" w:rsidR="00A5680C" w:rsidP="00A5680C" w:rsidRDefault="00A5680C" w14:paraId="5B524BF5" w14:textId="77777777">
      <w:pPr>
        <w:spacing w:before="87" w:line="242" w:lineRule="auto"/>
        <w:ind w:left="300" w:right="305" w:firstLine="707"/>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“La igualdad tiene un triple rol en el ordenamiento constitucional: el de valor, el de principio y el de derecho.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w:t>
      </w:r>
    </w:p>
    <w:p w:rsidRPr="00C811DF" w:rsidR="00A5680C" w:rsidP="00A5680C" w:rsidRDefault="00A5680C" w14:paraId="7F38CECA" w14:textId="77777777">
      <w:pPr>
        <w:pStyle w:val="Textonotapie"/>
        <w:ind w:left="300"/>
        <w:jc w:val="both"/>
        <w:rPr>
          <w:sz w:val="16"/>
          <w:szCs w:val="16"/>
          <w:lang w:val="es-CO"/>
        </w:rPr>
      </w:pPr>
    </w:p>
    <w:p w:rsidRPr="00C811DF" w:rsidR="00F621E5" w:rsidP="00A5680C" w:rsidRDefault="00F621E5" w14:paraId="0A7F07BF" w14:textId="77777777">
      <w:pPr>
        <w:pStyle w:val="Textonotapie"/>
        <w:ind w:left="300"/>
        <w:jc w:val="both"/>
        <w:rPr>
          <w:sz w:val="16"/>
          <w:szCs w:val="16"/>
          <w:lang w:val="es-CO"/>
        </w:rPr>
      </w:pPr>
    </w:p>
  </w:footnote>
  <w:footnote w:id="45">
    <w:p w:rsidRPr="00C811DF" w:rsidR="00A5680C" w:rsidP="00A5680C" w:rsidRDefault="00A5680C" w14:paraId="416224F4" w14:textId="77777777">
      <w:pPr>
        <w:spacing w:before="87" w:line="254" w:lineRule="auto"/>
        <w:ind w:left="300" w:right="292" w:firstLine="707"/>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Consejo de Estado. Sección Tercera, Sentencia del 19 de julio de 2001, C.P. Alier Eduardo Hernández Enríquez. Rad. 1996-3771-01 (12.037).</w:t>
      </w:r>
    </w:p>
    <w:p w:rsidRPr="00C811DF" w:rsidR="00A5680C" w:rsidP="00A5680C" w:rsidRDefault="00A5680C" w14:paraId="6D306AFF" w14:textId="77777777">
      <w:pPr>
        <w:pStyle w:val="Textonotapie"/>
        <w:ind w:left="300"/>
        <w:jc w:val="both"/>
        <w:rPr>
          <w:sz w:val="16"/>
          <w:szCs w:val="16"/>
          <w:lang w:val="es-CO"/>
        </w:rPr>
      </w:pPr>
    </w:p>
  </w:footnote>
  <w:footnote w:id="46">
    <w:p w:rsidRPr="00C811DF" w:rsidR="007B31BD" w:rsidP="007B31BD" w:rsidRDefault="007B31BD" w14:paraId="55C8A742" w14:textId="77777777">
      <w:pPr>
        <w:pStyle w:val="Textonotapie"/>
        <w:ind w:firstLine="708"/>
        <w:jc w:val="both"/>
        <w:rPr>
          <w:rFonts w:ascii="Arial" w:hAnsi="Arial" w:cs="Arial"/>
          <w:sz w:val="16"/>
          <w:szCs w:val="16"/>
          <w:lang w:val="es-ES"/>
        </w:rPr>
      </w:pPr>
      <w:r w:rsidRPr="00C811DF">
        <w:rPr>
          <w:rStyle w:val="Refdenotaalpie"/>
          <w:rFonts w:ascii="Arial" w:hAnsi="Arial" w:cs="Arial"/>
          <w:sz w:val="16"/>
          <w:szCs w:val="16"/>
        </w:rPr>
        <w:footnoteRef/>
      </w:r>
      <w:r w:rsidRPr="00C811DF">
        <w:rPr>
          <w:rFonts w:ascii="Arial" w:hAnsi="Arial" w:cs="Arial"/>
          <w:sz w:val="16"/>
          <w:szCs w:val="16"/>
        </w:rPr>
        <w:t xml:space="preserve"> Consejo de Estado, Sala de Consulta y Servicio Civil. Concepto del 20 de mayo de 2010. Expediente. C.P. Enrique José Arboleda Perdomo.</w:t>
      </w:r>
    </w:p>
  </w:footnote>
  <w:footnote w:id="47">
    <w:p w:rsidRPr="00C811DF" w:rsidR="00C96FE5" w:rsidP="00C96FE5" w:rsidRDefault="00C96FE5" w14:paraId="455CACDA" w14:textId="77777777">
      <w:pPr>
        <w:spacing w:after="0"/>
        <w:ind w:firstLine="709"/>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811DF">
        <w:rPr>
          <w:rFonts w:ascii="Arial" w:hAnsi="Arial" w:cs="Arial"/>
          <w:spacing w:val="-6"/>
          <w:sz w:val="16"/>
          <w:szCs w:val="16"/>
        </w:rPr>
        <w:t xml:space="preserve"> </w:t>
      </w:r>
      <w:r w:rsidRPr="00C811DF">
        <w:rPr>
          <w:rFonts w:ascii="Arial" w:hAnsi="Arial" w:cs="Arial"/>
          <w:sz w:val="16"/>
          <w:szCs w:val="16"/>
        </w:rPr>
        <w:t>artículo”.</w:t>
      </w:r>
    </w:p>
    <w:p w:rsidRPr="00C811DF" w:rsidR="00C96FE5" w:rsidP="00C96FE5" w:rsidRDefault="00C96FE5" w14:paraId="0F5FF38D" w14:textId="77777777">
      <w:pPr>
        <w:spacing w:after="0"/>
        <w:ind w:firstLine="709"/>
        <w:jc w:val="both"/>
        <w:rPr>
          <w:rFonts w:ascii="Arial" w:hAnsi="Arial" w:cs="Arial"/>
          <w:sz w:val="16"/>
          <w:szCs w:val="16"/>
        </w:rPr>
      </w:pPr>
    </w:p>
  </w:footnote>
  <w:footnote w:id="48">
    <w:p w:rsidRPr="00C811DF" w:rsidR="00036E39" w:rsidP="00036E39" w:rsidRDefault="00036E39" w14:paraId="2A0E40DC" w14:textId="77777777">
      <w:pPr>
        <w:spacing w:after="0"/>
        <w:ind w:firstLine="709"/>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position w:val="7"/>
          <w:sz w:val="16"/>
          <w:szCs w:val="16"/>
        </w:rPr>
        <w:t xml:space="preserve"> </w:t>
      </w:r>
      <w:r w:rsidRPr="00C811DF">
        <w:rPr>
          <w:rFonts w:ascii="Arial" w:hAnsi="Arial" w:cs="Arial"/>
          <w:sz w:val="16"/>
          <w:szCs w:val="16"/>
        </w:rPr>
        <w:t>Consejo de Estado. Sección Tercera. Sentencia del 23 de junio de 2010. Radicación No. 66001-23-31-000-1998-00261-01(17.860). Consejero Ponente: Mauricio Fajardo Gómez.</w:t>
      </w:r>
    </w:p>
  </w:footnote>
  <w:footnote w:id="49">
    <w:p w:rsidRPr="00C811DF" w:rsidR="0092338C" w:rsidP="0092338C" w:rsidRDefault="0092338C" w14:paraId="77A800DF" w14:textId="77777777">
      <w:pPr>
        <w:pStyle w:val="Textonotapie"/>
        <w:ind w:firstLine="708"/>
        <w:contextualSpacing/>
        <w:jc w:val="both"/>
        <w:rPr>
          <w:rFonts w:ascii="Arial" w:hAnsi="Arial" w:cs="Arial"/>
          <w:sz w:val="16"/>
          <w:szCs w:val="16"/>
        </w:rPr>
      </w:pPr>
      <w:r w:rsidRPr="00C811DF">
        <w:rPr>
          <w:rStyle w:val="Refdenotaalpie"/>
          <w:rFonts w:ascii="Arial" w:hAnsi="Arial" w:cs="Arial"/>
          <w:sz w:val="16"/>
          <w:szCs w:val="16"/>
        </w:rPr>
        <w:footnoteRef/>
      </w:r>
      <w:r w:rsidRPr="00C811DF">
        <w:rPr>
          <w:rFonts w:ascii="Arial" w:hAnsi="Arial" w:cs="Arial"/>
          <w:sz w:val="16"/>
          <w:szCs w:val="16"/>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rsidRPr="00C811DF" w:rsidR="0092338C" w:rsidP="0092338C" w:rsidRDefault="0092338C" w14:paraId="03365EB4" w14:textId="77777777">
      <w:pPr>
        <w:pStyle w:val="Textonotapie"/>
        <w:ind w:firstLine="708"/>
        <w:contextualSpacing/>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p w:rsidR="00C811DF" w:rsidRDefault="00C811DF" w14:paraId="685B147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57E6FCA"/>
    <w:multiLevelType w:val="hybridMultilevel"/>
    <w:tmpl w:val="747059BE"/>
    <w:lvl w:ilvl="0" w:tplc="0238763C">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6"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8"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9030C5"/>
    <w:multiLevelType w:val="hybridMultilevel"/>
    <w:tmpl w:val="4AB68F80"/>
    <w:lvl w:ilvl="0" w:tplc="01825070">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2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D62203"/>
    <w:multiLevelType w:val="hybridMultilevel"/>
    <w:tmpl w:val="1FD0B122"/>
    <w:lvl w:ilvl="0" w:tplc="7C4E33AE">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986D1E"/>
    <w:multiLevelType w:val="hybridMultilevel"/>
    <w:tmpl w:val="A5CAB70C"/>
    <w:lvl w:ilvl="0" w:tplc="80FA80CC">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00395951">
    <w:abstractNumId w:val="19"/>
  </w:num>
  <w:num w:numId="2" w16cid:durableId="1408454564">
    <w:abstractNumId w:val="5"/>
  </w:num>
  <w:num w:numId="3" w16cid:durableId="1897622572">
    <w:abstractNumId w:val="9"/>
  </w:num>
  <w:num w:numId="4" w16cid:durableId="557132416">
    <w:abstractNumId w:val="3"/>
  </w:num>
  <w:num w:numId="5" w16cid:durableId="633411297">
    <w:abstractNumId w:val="4"/>
  </w:num>
  <w:num w:numId="6" w16cid:durableId="1519080275">
    <w:abstractNumId w:val="23"/>
  </w:num>
  <w:num w:numId="7" w16cid:durableId="1687173036">
    <w:abstractNumId w:val="39"/>
  </w:num>
  <w:num w:numId="8" w16cid:durableId="195123668">
    <w:abstractNumId w:val="27"/>
  </w:num>
  <w:num w:numId="9" w16cid:durableId="1440905321">
    <w:abstractNumId w:val="18"/>
  </w:num>
  <w:num w:numId="10" w16cid:durableId="467670284">
    <w:abstractNumId w:val="16"/>
  </w:num>
  <w:num w:numId="11" w16cid:durableId="318730767">
    <w:abstractNumId w:val="28"/>
  </w:num>
  <w:num w:numId="12" w16cid:durableId="1814635609">
    <w:abstractNumId w:val="33"/>
  </w:num>
  <w:num w:numId="13" w16cid:durableId="341470662">
    <w:abstractNumId w:val="37"/>
  </w:num>
  <w:num w:numId="14" w16cid:durableId="191943420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652974">
    <w:abstractNumId w:val="34"/>
  </w:num>
  <w:num w:numId="16" w16cid:durableId="1394306815">
    <w:abstractNumId w:val="11"/>
  </w:num>
  <w:num w:numId="17" w16cid:durableId="84543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4203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958762">
    <w:abstractNumId w:val="17"/>
  </w:num>
  <w:num w:numId="20" w16cid:durableId="430973933">
    <w:abstractNumId w:val="25"/>
  </w:num>
  <w:num w:numId="21" w16cid:durableId="1664048442">
    <w:abstractNumId w:val="14"/>
  </w:num>
  <w:num w:numId="22" w16cid:durableId="196288478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22286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0364671">
    <w:abstractNumId w:val="40"/>
  </w:num>
  <w:num w:numId="25" w16cid:durableId="1932205131">
    <w:abstractNumId w:val="29"/>
  </w:num>
  <w:num w:numId="26" w16cid:durableId="571357956">
    <w:abstractNumId w:val="10"/>
  </w:num>
  <w:num w:numId="27" w16cid:durableId="1214342148">
    <w:abstractNumId w:val="41"/>
  </w:num>
  <w:num w:numId="28" w16cid:durableId="721560360">
    <w:abstractNumId w:val="31"/>
  </w:num>
  <w:num w:numId="29" w16cid:durableId="2072267169">
    <w:abstractNumId w:val="13"/>
  </w:num>
  <w:num w:numId="30" w16cid:durableId="1691301067">
    <w:abstractNumId w:val="12"/>
  </w:num>
  <w:num w:numId="31" w16cid:durableId="186480856">
    <w:abstractNumId w:val="35"/>
  </w:num>
  <w:num w:numId="32" w16cid:durableId="1530727579">
    <w:abstractNumId w:val="21"/>
  </w:num>
  <w:num w:numId="33" w16cid:durableId="1035540835">
    <w:abstractNumId w:val="38"/>
  </w:num>
  <w:num w:numId="34" w16cid:durableId="871236198">
    <w:abstractNumId w:val="43"/>
  </w:num>
  <w:num w:numId="35" w16cid:durableId="643120736">
    <w:abstractNumId w:val="26"/>
  </w:num>
  <w:num w:numId="36" w16cid:durableId="511142065">
    <w:abstractNumId w:val="2"/>
  </w:num>
  <w:num w:numId="37" w16cid:durableId="181403714">
    <w:abstractNumId w:val="30"/>
  </w:num>
  <w:num w:numId="38" w16cid:durableId="577785551">
    <w:abstractNumId w:val="22"/>
  </w:num>
  <w:num w:numId="39" w16cid:durableId="285160583">
    <w:abstractNumId w:val="32"/>
  </w:num>
  <w:num w:numId="40" w16cid:durableId="1377006831">
    <w:abstractNumId w:val="42"/>
  </w:num>
  <w:num w:numId="41" w16cid:durableId="1395009218">
    <w:abstractNumId w:val="20"/>
  </w:num>
  <w:num w:numId="42" w16cid:durableId="234904252">
    <w:abstractNumId w:val="1"/>
  </w:num>
  <w:num w:numId="43" w16cid:durableId="96608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56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1086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850903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06C"/>
    <w:rsid w:val="000218F4"/>
    <w:rsid w:val="00036E39"/>
    <w:rsid w:val="00061746"/>
    <w:rsid w:val="000827F8"/>
    <w:rsid w:val="00083334"/>
    <w:rsid w:val="0008376D"/>
    <w:rsid w:val="00094462"/>
    <w:rsid w:val="000956CF"/>
    <w:rsid w:val="0009646F"/>
    <w:rsid w:val="000A10AC"/>
    <w:rsid w:val="000A327A"/>
    <w:rsid w:val="000A683E"/>
    <w:rsid w:val="000B10F3"/>
    <w:rsid w:val="000B1F4B"/>
    <w:rsid w:val="000B307E"/>
    <w:rsid w:val="000B5DA0"/>
    <w:rsid w:val="000B7A6A"/>
    <w:rsid w:val="000C231C"/>
    <w:rsid w:val="000C2B2B"/>
    <w:rsid w:val="000C4D8D"/>
    <w:rsid w:val="000C7A2F"/>
    <w:rsid w:val="000D0059"/>
    <w:rsid w:val="000D0B0A"/>
    <w:rsid w:val="000D0CC8"/>
    <w:rsid w:val="000D1C9A"/>
    <w:rsid w:val="000D4F4E"/>
    <w:rsid w:val="000E3958"/>
    <w:rsid w:val="000E5446"/>
    <w:rsid w:val="000F5DCF"/>
    <w:rsid w:val="000F6D24"/>
    <w:rsid w:val="0010022C"/>
    <w:rsid w:val="00102505"/>
    <w:rsid w:val="00106F91"/>
    <w:rsid w:val="00110C64"/>
    <w:rsid w:val="00115702"/>
    <w:rsid w:val="0011595A"/>
    <w:rsid w:val="00116D1A"/>
    <w:rsid w:val="001211F5"/>
    <w:rsid w:val="00121A27"/>
    <w:rsid w:val="001220C5"/>
    <w:rsid w:val="00122B62"/>
    <w:rsid w:val="00123E1C"/>
    <w:rsid w:val="001246FF"/>
    <w:rsid w:val="001267F7"/>
    <w:rsid w:val="00127233"/>
    <w:rsid w:val="001279A0"/>
    <w:rsid w:val="00130999"/>
    <w:rsid w:val="00131881"/>
    <w:rsid w:val="001333B6"/>
    <w:rsid w:val="00141E19"/>
    <w:rsid w:val="00153A8E"/>
    <w:rsid w:val="00157225"/>
    <w:rsid w:val="001605A2"/>
    <w:rsid w:val="00164D81"/>
    <w:rsid w:val="001761F8"/>
    <w:rsid w:val="001806D5"/>
    <w:rsid w:val="001817FA"/>
    <w:rsid w:val="0019072F"/>
    <w:rsid w:val="001A1011"/>
    <w:rsid w:val="001A33FF"/>
    <w:rsid w:val="001A4437"/>
    <w:rsid w:val="001A48D0"/>
    <w:rsid w:val="001A6966"/>
    <w:rsid w:val="001A6CBA"/>
    <w:rsid w:val="001E1E2A"/>
    <w:rsid w:val="001E5C7D"/>
    <w:rsid w:val="001E680E"/>
    <w:rsid w:val="001F5784"/>
    <w:rsid w:val="001F6502"/>
    <w:rsid w:val="00201AD2"/>
    <w:rsid w:val="00210B35"/>
    <w:rsid w:val="002112B7"/>
    <w:rsid w:val="002129EE"/>
    <w:rsid w:val="00213286"/>
    <w:rsid w:val="00213EC5"/>
    <w:rsid w:val="00214B42"/>
    <w:rsid w:val="0021682C"/>
    <w:rsid w:val="002226E3"/>
    <w:rsid w:val="00232C31"/>
    <w:rsid w:val="002465C3"/>
    <w:rsid w:val="00254D3D"/>
    <w:rsid w:val="00260DB0"/>
    <w:rsid w:val="002653C1"/>
    <w:rsid w:val="0026611D"/>
    <w:rsid w:val="00274852"/>
    <w:rsid w:val="00276C2C"/>
    <w:rsid w:val="002851DC"/>
    <w:rsid w:val="002951A0"/>
    <w:rsid w:val="002A64FD"/>
    <w:rsid w:val="002C2DA1"/>
    <w:rsid w:val="002C486C"/>
    <w:rsid w:val="002E32EE"/>
    <w:rsid w:val="002E6527"/>
    <w:rsid w:val="002E653A"/>
    <w:rsid w:val="002E656B"/>
    <w:rsid w:val="002F0839"/>
    <w:rsid w:val="002F3927"/>
    <w:rsid w:val="00300567"/>
    <w:rsid w:val="00301469"/>
    <w:rsid w:val="00304903"/>
    <w:rsid w:val="00306EE1"/>
    <w:rsid w:val="00310B9B"/>
    <w:rsid w:val="003203D2"/>
    <w:rsid w:val="00325BD4"/>
    <w:rsid w:val="00330143"/>
    <w:rsid w:val="003415AF"/>
    <w:rsid w:val="00343384"/>
    <w:rsid w:val="003438BA"/>
    <w:rsid w:val="00343E8C"/>
    <w:rsid w:val="003461CC"/>
    <w:rsid w:val="00353690"/>
    <w:rsid w:val="00357399"/>
    <w:rsid w:val="00361EAA"/>
    <w:rsid w:val="0036461C"/>
    <w:rsid w:val="00367884"/>
    <w:rsid w:val="00376CD6"/>
    <w:rsid w:val="00382176"/>
    <w:rsid w:val="00384CC1"/>
    <w:rsid w:val="003859D4"/>
    <w:rsid w:val="00390E95"/>
    <w:rsid w:val="0039439C"/>
    <w:rsid w:val="00394423"/>
    <w:rsid w:val="003A082D"/>
    <w:rsid w:val="003A099B"/>
    <w:rsid w:val="003A3665"/>
    <w:rsid w:val="003A54CC"/>
    <w:rsid w:val="003A7813"/>
    <w:rsid w:val="003B0FC7"/>
    <w:rsid w:val="003B38D1"/>
    <w:rsid w:val="003B69E7"/>
    <w:rsid w:val="003C013B"/>
    <w:rsid w:val="003C416A"/>
    <w:rsid w:val="003C6399"/>
    <w:rsid w:val="003D0F4D"/>
    <w:rsid w:val="003D3A6C"/>
    <w:rsid w:val="003F31F9"/>
    <w:rsid w:val="003F3891"/>
    <w:rsid w:val="003F58A1"/>
    <w:rsid w:val="003F7B0C"/>
    <w:rsid w:val="004002F2"/>
    <w:rsid w:val="004074F1"/>
    <w:rsid w:val="00410DD6"/>
    <w:rsid w:val="004134C9"/>
    <w:rsid w:val="00416371"/>
    <w:rsid w:val="0043138C"/>
    <w:rsid w:val="0044003E"/>
    <w:rsid w:val="00441C17"/>
    <w:rsid w:val="004429A3"/>
    <w:rsid w:val="00445E4F"/>
    <w:rsid w:val="0044732B"/>
    <w:rsid w:val="00454827"/>
    <w:rsid w:val="00457196"/>
    <w:rsid w:val="00457E89"/>
    <w:rsid w:val="00461D2B"/>
    <w:rsid w:val="00462A59"/>
    <w:rsid w:val="00463B86"/>
    <w:rsid w:val="00484C12"/>
    <w:rsid w:val="00487DF7"/>
    <w:rsid w:val="00494AEF"/>
    <w:rsid w:val="004A1847"/>
    <w:rsid w:val="004A1D9B"/>
    <w:rsid w:val="004B6B0E"/>
    <w:rsid w:val="004B77FA"/>
    <w:rsid w:val="004C1E82"/>
    <w:rsid w:val="004C1F70"/>
    <w:rsid w:val="004D1430"/>
    <w:rsid w:val="004D25B3"/>
    <w:rsid w:val="004D7874"/>
    <w:rsid w:val="004E3D06"/>
    <w:rsid w:val="004E660F"/>
    <w:rsid w:val="004F1F79"/>
    <w:rsid w:val="00502003"/>
    <w:rsid w:val="00511405"/>
    <w:rsid w:val="00526E9D"/>
    <w:rsid w:val="005272CC"/>
    <w:rsid w:val="00534923"/>
    <w:rsid w:val="00543506"/>
    <w:rsid w:val="00546317"/>
    <w:rsid w:val="00547856"/>
    <w:rsid w:val="00547A74"/>
    <w:rsid w:val="005566E8"/>
    <w:rsid w:val="00557B74"/>
    <w:rsid w:val="005623F8"/>
    <w:rsid w:val="00564FD7"/>
    <w:rsid w:val="00570AA3"/>
    <w:rsid w:val="005746AB"/>
    <w:rsid w:val="00576868"/>
    <w:rsid w:val="00582E2A"/>
    <w:rsid w:val="005843A4"/>
    <w:rsid w:val="00584F14"/>
    <w:rsid w:val="00585768"/>
    <w:rsid w:val="005875C2"/>
    <w:rsid w:val="00592C19"/>
    <w:rsid w:val="0059357F"/>
    <w:rsid w:val="00594BFA"/>
    <w:rsid w:val="00594F56"/>
    <w:rsid w:val="00595B87"/>
    <w:rsid w:val="005A1130"/>
    <w:rsid w:val="005A37EA"/>
    <w:rsid w:val="005B6FE9"/>
    <w:rsid w:val="005C12DE"/>
    <w:rsid w:val="005C29DC"/>
    <w:rsid w:val="005C7112"/>
    <w:rsid w:val="005D44B0"/>
    <w:rsid w:val="005D65C8"/>
    <w:rsid w:val="005E2B03"/>
    <w:rsid w:val="005E31F4"/>
    <w:rsid w:val="005E4A1B"/>
    <w:rsid w:val="005E500D"/>
    <w:rsid w:val="005F399A"/>
    <w:rsid w:val="00607DC8"/>
    <w:rsid w:val="0061016A"/>
    <w:rsid w:val="00613B05"/>
    <w:rsid w:val="0062177D"/>
    <w:rsid w:val="006219F8"/>
    <w:rsid w:val="00625EF7"/>
    <w:rsid w:val="00627B3B"/>
    <w:rsid w:val="006349F2"/>
    <w:rsid w:val="006555B8"/>
    <w:rsid w:val="006577DC"/>
    <w:rsid w:val="006617A3"/>
    <w:rsid w:val="00662098"/>
    <w:rsid w:val="00662FDE"/>
    <w:rsid w:val="00663121"/>
    <w:rsid w:val="0067454A"/>
    <w:rsid w:val="0067668E"/>
    <w:rsid w:val="00681FDB"/>
    <w:rsid w:val="006851A7"/>
    <w:rsid w:val="00687758"/>
    <w:rsid w:val="0069291E"/>
    <w:rsid w:val="006A14C8"/>
    <w:rsid w:val="006A7DAD"/>
    <w:rsid w:val="006C6616"/>
    <w:rsid w:val="006D70BA"/>
    <w:rsid w:val="006E061A"/>
    <w:rsid w:val="006E557E"/>
    <w:rsid w:val="006E7BDD"/>
    <w:rsid w:val="006F3634"/>
    <w:rsid w:val="006F43E8"/>
    <w:rsid w:val="00704166"/>
    <w:rsid w:val="0070644D"/>
    <w:rsid w:val="0071026A"/>
    <w:rsid w:val="007343E7"/>
    <w:rsid w:val="00734A8D"/>
    <w:rsid w:val="007361DB"/>
    <w:rsid w:val="00744560"/>
    <w:rsid w:val="00744C8E"/>
    <w:rsid w:val="00746BA3"/>
    <w:rsid w:val="007566FE"/>
    <w:rsid w:val="0076726F"/>
    <w:rsid w:val="0077144B"/>
    <w:rsid w:val="00774881"/>
    <w:rsid w:val="00783241"/>
    <w:rsid w:val="007834B5"/>
    <w:rsid w:val="00784CCB"/>
    <w:rsid w:val="00786457"/>
    <w:rsid w:val="00787D06"/>
    <w:rsid w:val="00793403"/>
    <w:rsid w:val="00796739"/>
    <w:rsid w:val="007A6C93"/>
    <w:rsid w:val="007B22FF"/>
    <w:rsid w:val="007B31BD"/>
    <w:rsid w:val="007B4E00"/>
    <w:rsid w:val="007C0CDF"/>
    <w:rsid w:val="007C4227"/>
    <w:rsid w:val="007D1662"/>
    <w:rsid w:val="007E17B7"/>
    <w:rsid w:val="007E2A2F"/>
    <w:rsid w:val="007E3582"/>
    <w:rsid w:val="007F2B7C"/>
    <w:rsid w:val="007F4B9E"/>
    <w:rsid w:val="008010E2"/>
    <w:rsid w:val="00802D0B"/>
    <w:rsid w:val="00804BCD"/>
    <w:rsid w:val="00811651"/>
    <w:rsid w:val="008176E1"/>
    <w:rsid w:val="00820F5B"/>
    <w:rsid w:val="008239A3"/>
    <w:rsid w:val="00823F72"/>
    <w:rsid w:val="0082662D"/>
    <w:rsid w:val="00830F74"/>
    <w:rsid w:val="00833452"/>
    <w:rsid w:val="00833BE5"/>
    <w:rsid w:val="00841BA3"/>
    <w:rsid w:val="00842576"/>
    <w:rsid w:val="00846243"/>
    <w:rsid w:val="00850111"/>
    <w:rsid w:val="00856671"/>
    <w:rsid w:val="00861052"/>
    <w:rsid w:val="008614E5"/>
    <w:rsid w:val="008678EB"/>
    <w:rsid w:val="0087117B"/>
    <w:rsid w:val="00875894"/>
    <w:rsid w:val="00875DAF"/>
    <w:rsid w:val="00881B31"/>
    <w:rsid w:val="00881C10"/>
    <w:rsid w:val="008852F9"/>
    <w:rsid w:val="008901B1"/>
    <w:rsid w:val="00890411"/>
    <w:rsid w:val="008A0F3C"/>
    <w:rsid w:val="008A79F9"/>
    <w:rsid w:val="008D5C70"/>
    <w:rsid w:val="008D65B7"/>
    <w:rsid w:val="008E1873"/>
    <w:rsid w:val="0090146E"/>
    <w:rsid w:val="009025AF"/>
    <w:rsid w:val="00904F23"/>
    <w:rsid w:val="0090669E"/>
    <w:rsid w:val="00906B3C"/>
    <w:rsid w:val="00910B9E"/>
    <w:rsid w:val="00917A86"/>
    <w:rsid w:val="0092338C"/>
    <w:rsid w:val="00924EA1"/>
    <w:rsid w:val="0092656B"/>
    <w:rsid w:val="0095342C"/>
    <w:rsid w:val="0096180B"/>
    <w:rsid w:val="00961FC4"/>
    <w:rsid w:val="009730D5"/>
    <w:rsid w:val="00982116"/>
    <w:rsid w:val="00985C67"/>
    <w:rsid w:val="009A2C7A"/>
    <w:rsid w:val="009A5B75"/>
    <w:rsid w:val="009A6159"/>
    <w:rsid w:val="009B69C0"/>
    <w:rsid w:val="009C5B37"/>
    <w:rsid w:val="009C6B47"/>
    <w:rsid w:val="009D10B7"/>
    <w:rsid w:val="009D28AD"/>
    <w:rsid w:val="009D5772"/>
    <w:rsid w:val="009E445E"/>
    <w:rsid w:val="009F33F2"/>
    <w:rsid w:val="009F67BC"/>
    <w:rsid w:val="009F6C77"/>
    <w:rsid w:val="00A05960"/>
    <w:rsid w:val="00A05984"/>
    <w:rsid w:val="00A07532"/>
    <w:rsid w:val="00A1085C"/>
    <w:rsid w:val="00A1620B"/>
    <w:rsid w:val="00A178A0"/>
    <w:rsid w:val="00A24EC3"/>
    <w:rsid w:val="00A27592"/>
    <w:rsid w:val="00A309E2"/>
    <w:rsid w:val="00A4484A"/>
    <w:rsid w:val="00A52902"/>
    <w:rsid w:val="00A5680C"/>
    <w:rsid w:val="00A77C38"/>
    <w:rsid w:val="00A8066E"/>
    <w:rsid w:val="00A879D8"/>
    <w:rsid w:val="00A87A3A"/>
    <w:rsid w:val="00A90122"/>
    <w:rsid w:val="00A90B54"/>
    <w:rsid w:val="00A92CF3"/>
    <w:rsid w:val="00A93464"/>
    <w:rsid w:val="00AA4B8A"/>
    <w:rsid w:val="00AA6A60"/>
    <w:rsid w:val="00AA6BF7"/>
    <w:rsid w:val="00AB7258"/>
    <w:rsid w:val="00AB7C04"/>
    <w:rsid w:val="00AD0AEC"/>
    <w:rsid w:val="00AD3603"/>
    <w:rsid w:val="00AD3CE4"/>
    <w:rsid w:val="00AF2FA1"/>
    <w:rsid w:val="00AF4C4E"/>
    <w:rsid w:val="00B01ED6"/>
    <w:rsid w:val="00B06D09"/>
    <w:rsid w:val="00B07326"/>
    <w:rsid w:val="00B07C08"/>
    <w:rsid w:val="00B07F23"/>
    <w:rsid w:val="00B23059"/>
    <w:rsid w:val="00B33978"/>
    <w:rsid w:val="00B50D7B"/>
    <w:rsid w:val="00B5230D"/>
    <w:rsid w:val="00B547AE"/>
    <w:rsid w:val="00B6057E"/>
    <w:rsid w:val="00B664E6"/>
    <w:rsid w:val="00B66EE8"/>
    <w:rsid w:val="00B6744F"/>
    <w:rsid w:val="00B771A9"/>
    <w:rsid w:val="00B809BB"/>
    <w:rsid w:val="00B8248A"/>
    <w:rsid w:val="00B854E5"/>
    <w:rsid w:val="00B85AB9"/>
    <w:rsid w:val="00BA6AC5"/>
    <w:rsid w:val="00BB333D"/>
    <w:rsid w:val="00BB7726"/>
    <w:rsid w:val="00BC10D6"/>
    <w:rsid w:val="00BC4B70"/>
    <w:rsid w:val="00BC54BB"/>
    <w:rsid w:val="00BC7368"/>
    <w:rsid w:val="00BC78B1"/>
    <w:rsid w:val="00BD5C1C"/>
    <w:rsid w:val="00BD6E1D"/>
    <w:rsid w:val="00BE0A4D"/>
    <w:rsid w:val="00BE58C2"/>
    <w:rsid w:val="00BE6249"/>
    <w:rsid w:val="00BF1F65"/>
    <w:rsid w:val="00BF4F95"/>
    <w:rsid w:val="00C01157"/>
    <w:rsid w:val="00C0185E"/>
    <w:rsid w:val="00C03759"/>
    <w:rsid w:val="00C0758C"/>
    <w:rsid w:val="00C1168D"/>
    <w:rsid w:val="00C1191F"/>
    <w:rsid w:val="00C1395E"/>
    <w:rsid w:val="00C22352"/>
    <w:rsid w:val="00C2255A"/>
    <w:rsid w:val="00C22B66"/>
    <w:rsid w:val="00C2329E"/>
    <w:rsid w:val="00C30461"/>
    <w:rsid w:val="00C326D3"/>
    <w:rsid w:val="00C425D4"/>
    <w:rsid w:val="00C42625"/>
    <w:rsid w:val="00C51124"/>
    <w:rsid w:val="00C621DB"/>
    <w:rsid w:val="00C728E1"/>
    <w:rsid w:val="00C754BE"/>
    <w:rsid w:val="00C811DF"/>
    <w:rsid w:val="00C83343"/>
    <w:rsid w:val="00C87572"/>
    <w:rsid w:val="00C87EBC"/>
    <w:rsid w:val="00C9311E"/>
    <w:rsid w:val="00C934E1"/>
    <w:rsid w:val="00C9405D"/>
    <w:rsid w:val="00C96404"/>
    <w:rsid w:val="00C96FE5"/>
    <w:rsid w:val="00CA3E27"/>
    <w:rsid w:val="00CB43E0"/>
    <w:rsid w:val="00CC1B26"/>
    <w:rsid w:val="00CC36D5"/>
    <w:rsid w:val="00CD284F"/>
    <w:rsid w:val="00CD4189"/>
    <w:rsid w:val="00CD76EC"/>
    <w:rsid w:val="00CE0932"/>
    <w:rsid w:val="00CE5474"/>
    <w:rsid w:val="00CE5D22"/>
    <w:rsid w:val="00CF0BD5"/>
    <w:rsid w:val="00CF23AA"/>
    <w:rsid w:val="00CF6F7A"/>
    <w:rsid w:val="00D01921"/>
    <w:rsid w:val="00D22181"/>
    <w:rsid w:val="00D261F5"/>
    <w:rsid w:val="00D27D0E"/>
    <w:rsid w:val="00D3044D"/>
    <w:rsid w:val="00D37F57"/>
    <w:rsid w:val="00D43B22"/>
    <w:rsid w:val="00D50653"/>
    <w:rsid w:val="00D62BE0"/>
    <w:rsid w:val="00D72648"/>
    <w:rsid w:val="00D752B7"/>
    <w:rsid w:val="00D75CBA"/>
    <w:rsid w:val="00D9463B"/>
    <w:rsid w:val="00DA1854"/>
    <w:rsid w:val="00DA4194"/>
    <w:rsid w:val="00DA4693"/>
    <w:rsid w:val="00DB0887"/>
    <w:rsid w:val="00DB59F4"/>
    <w:rsid w:val="00DB6CDF"/>
    <w:rsid w:val="00DC79B7"/>
    <w:rsid w:val="00DD0066"/>
    <w:rsid w:val="00DD596E"/>
    <w:rsid w:val="00DE77A7"/>
    <w:rsid w:val="00DF1E43"/>
    <w:rsid w:val="00E032EC"/>
    <w:rsid w:val="00E04DC2"/>
    <w:rsid w:val="00E1349B"/>
    <w:rsid w:val="00E20894"/>
    <w:rsid w:val="00E26B7C"/>
    <w:rsid w:val="00E27804"/>
    <w:rsid w:val="00E32D5C"/>
    <w:rsid w:val="00E34950"/>
    <w:rsid w:val="00E40251"/>
    <w:rsid w:val="00E43270"/>
    <w:rsid w:val="00E445DF"/>
    <w:rsid w:val="00E44849"/>
    <w:rsid w:val="00E51901"/>
    <w:rsid w:val="00E51FD8"/>
    <w:rsid w:val="00E649BA"/>
    <w:rsid w:val="00E7129F"/>
    <w:rsid w:val="00E759F2"/>
    <w:rsid w:val="00E75B2D"/>
    <w:rsid w:val="00E779AA"/>
    <w:rsid w:val="00E9369F"/>
    <w:rsid w:val="00EA0D8F"/>
    <w:rsid w:val="00EA2881"/>
    <w:rsid w:val="00EA3003"/>
    <w:rsid w:val="00EB2F28"/>
    <w:rsid w:val="00EB382E"/>
    <w:rsid w:val="00EB3C91"/>
    <w:rsid w:val="00EB66DA"/>
    <w:rsid w:val="00EB6826"/>
    <w:rsid w:val="00ED0D54"/>
    <w:rsid w:val="00EF3752"/>
    <w:rsid w:val="00EF4B35"/>
    <w:rsid w:val="00EF5949"/>
    <w:rsid w:val="00F169EF"/>
    <w:rsid w:val="00F23B5F"/>
    <w:rsid w:val="00F30545"/>
    <w:rsid w:val="00F308B2"/>
    <w:rsid w:val="00F4235E"/>
    <w:rsid w:val="00F4651D"/>
    <w:rsid w:val="00F54323"/>
    <w:rsid w:val="00F605F2"/>
    <w:rsid w:val="00F621E5"/>
    <w:rsid w:val="00F74311"/>
    <w:rsid w:val="00F766F4"/>
    <w:rsid w:val="00F76AFC"/>
    <w:rsid w:val="00F8319B"/>
    <w:rsid w:val="00F84F84"/>
    <w:rsid w:val="00F86DFC"/>
    <w:rsid w:val="00F91F57"/>
    <w:rsid w:val="00FA12BC"/>
    <w:rsid w:val="00FA1A27"/>
    <w:rsid w:val="00FA21E1"/>
    <w:rsid w:val="00FA2EEE"/>
    <w:rsid w:val="00FA4C3C"/>
    <w:rsid w:val="00FA5516"/>
    <w:rsid w:val="00FA5A81"/>
    <w:rsid w:val="00FB2451"/>
    <w:rsid w:val="00FC2D03"/>
    <w:rsid w:val="00FD6F73"/>
    <w:rsid w:val="00FF4287"/>
    <w:rsid w:val="00FF4893"/>
    <w:rsid w:val="0AD1C24A"/>
    <w:rsid w:val="15F948C8"/>
    <w:rsid w:val="1CC63BF5"/>
    <w:rsid w:val="2F9951DC"/>
    <w:rsid w:val="3EA2D60F"/>
    <w:rsid w:val="48F1E222"/>
    <w:rsid w:val="53494C6D"/>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D85675B-C7D2-403D-99C0-D13690BE5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3270"/>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1"/>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746BA3"/>
    <w:rPr>
      <w:color w:val="0563C1" w:themeColor="hyperlink"/>
      <w:u w:val="single"/>
    </w:rPr>
  </w:style>
  <w:style w:type="character" w:styleId="Textoennegrita">
    <w:name w:val="Strong"/>
    <w:basedOn w:val="Fuentedeprrafopredeter"/>
    <w:uiPriority w:val="22"/>
    <w:qFormat/>
    <w:rsid w:val="00746BA3"/>
    <w:rPr>
      <w:b/>
      <w:bCs/>
    </w:rPr>
  </w:style>
  <w:style w:type="paragraph" w:styleId="Appelnotedebasde" w:customStyle="1">
    <w:name w:val="Appel note de bas de..."/>
    <w:basedOn w:val="Normal"/>
    <w:link w:val="Refdenotaalpie"/>
    <w:uiPriority w:val="99"/>
    <w:rsid w:val="00746BA3"/>
    <w:pPr>
      <w:spacing w:line="240" w:lineRule="exact"/>
    </w:pPr>
    <w:rPr>
      <w:vertAlign w:val="superscript"/>
    </w:rPr>
  </w:style>
  <w:style w:type="paragraph" w:styleId="NormalWeb">
    <w:name w:val="Normal (Web)"/>
    <w:basedOn w:val="Normal"/>
    <w:link w:val="NormalWebCar"/>
    <w:uiPriority w:val="99"/>
    <w:unhideWhenUsed/>
    <w:rsid w:val="00746BA3"/>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746BA3"/>
    <w:rPr>
      <w:rFonts w:ascii="Times New Roman" w:hAnsi="Times New Roman" w:eastAsia="Times New Roman" w:cs="Times New Roman"/>
      <w:sz w:val="24"/>
      <w:szCs w:val="24"/>
      <w:lang w:eastAsia="es-CO"/>
    </w:rPr>
  </w:style>
  <w:style w:type="character" w:styleId="baj" w:customStyle="1">
    <w:name w:val="b_aj"/>
    <w:basedOn w:val="Fuentedeprrafopredeter"/>
    <w:rsid w:val="00746BA3"/>
  </w:style>
  <w:style w:type="paragraph" w:styleId="paragraph" w:customStyle="1">
    <w:name w:val="paragraph"/>
    <w:basedOn w:val="Normal"/>
    <w:rsid w:val="00746BA3"/>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746BA3"/>
  </w:style>
  <w:style w:type="character" w:styleId="Mencinsinresolver">
    <w:name w:val="Unresolved Mention"/>
    <w:basedOn w:val="Fuentedeprrafopredeter"/>
    <w:uiPriority w:val="99"/>
    <w:semiHidden/>
    <w:unhideWhenUsed/>
    <w:rsid w:val="00746BA3"/>
    <w:rPr>
      <w:color w:val="605E5C"/>
      <w:shd w:val="clear" w:color="auto" w:fill="E1DFDD"/>
    </w:rPr>
  </w:style>
  <w:style w:type="character" w:styleId="markedcontent" w:customStyle="1">
    <w:name w:val="markedcontent"/>
    <w:basedOn w:val="Fuentedeprrafopredeter"/>
    <w:rsid w:val="00746BA3"/>
  </w:style>
  <w:style w:type="paragraph" w:styleId="Textoindependiente">
    <w:name w:val="Body Text"/>
    <w:basedOn w:val="Normal"/>
    <w:link w:val="TextoindependienteCar"/>
    <w:uiPriority w:val="99"/>
    <w:unhideWhenUsed/>
    <w:rsid w:val="00746BA3"/>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746BA3"/>
    <w:rPr>
      <w:rFonts w:eastAsiaTheme="minorEastAsia"/>
      <w:lang w:eastAsia="es-CO"/>
    </w:rPr>
  </w:style>
  <w:style w:type="paragraph" w:styleId="Textodeglobo">
    <w:name w:val="Balloon Text"/>
    <w:basedOn w:val="Normal"/>
    <w:link w:val="TextodegloboCar"/>
    <w:uiPriority w:val="99"/>
    <w:semiHidden/>
    <w:unhideWhenUsed/>
    <w:rsid w:val="00746BA3"/>
    <w:pPr>
      <w:spacing w:after="0" w:line="240" w:lineRule="auto"/>
    </w:pPr>
    <w:rPr>
      <w:rFonts w:ascii="Tahoma" w:hAnsi="Tahoma" w:cs="Tahoma"/>
      <w:sz w:val="16"/>
      <w:szCs w:val="16"/>
      <w:lang w:val="es-MX"/>
    </w:rPr>
  </w:style>
  <w:style w:type="character" w:styleId="TextodegloboCar" w:customStyle="1">
    <w:name w:val="Texto de globo Car"/>
    <w:basedOn w:val="Fuentedeprrafopredeter"/>
    <w:link w:val="Textodeglobo"/>
    <w:uiPriority w:val="99"/>
    <w:semiHidden/>
    <w:rsid w:val="00746BA3"/>
    <w:rPr>
      <w:rFonts w:ascii="Tahoma" w:hAnsi="Tahoma" w:cs="Tahoma"/>
      <w:sz w:val="16"/>
      <w:szCs w:val="16"/>
      <w:lang w:val="es-MX"/>
    </w:rPr>
  </w:style>
  <w:style w:type="paragraph" w:styleId="Sinespaciado">
    <w:name w:val="No Spacing"/>
    <w:aliases w:val="No Indent"/>
    <w:uiPriority w:val="3"/>
    <w:qFormat/>
    <w:rsid w:val="00746BA3"/>
    <w:pPr>
      <w:spacing w:after="0" w:line="240" w:lineRule="auto"/>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46BA3"/>
    <w:rPr>
      <w:rFonts w:ascii="Geomanist Light" w:hAnsi="Geomanist Light"/>
      <w:lang w:val="es-ES"/>
    </w:rPr>
  </w:style>
  <w:style w:type="paragraph" w:styleId="Capitulo1" w:customStyle="1">
    <w:name w:val="Capitulo 1"/>
    <w:basedOn w:val="Normal"/>
    <w:qFormat/>
    <w:rsid w:val="00746BA3"/>
    <w:pPr>
      <w:keepNext/>
      <w:spacing w:before="120" w:after="200" w:line="276" w:lineRule="auto"/>
      <w:ind w:left="720" w:hanging="360"/>
      <w:outlineLvl w:val="1"/>
    </w:pPr>
    <w:rPr>
      <w:rFonts w:ascii="Arial" w:hAnsi="Arial" w:eastAsia="Times New Roman" w:cs="Arial"/>
      <w:b/>
      <w:color w:val="000000"/>
      <w:sz w:val="20"/>
      <w:szCs w:val="20"/>
      <w:lang w:eastAsia="es-CO"/>
    </w:rPr>
  </w:style>
  <w:style w:type="table" w:styleId="Tablaconcuadrcula1" w:customStyle="1">
    <w:name w:val="Tabla con cuadrícula1"/>
    <w:basedOn w:val="Tablanormal"/>
    <w:next w:val="Tablaconcuadrcula"/>
    <w:uiPriority w:val="59"/>
    <w:rsid w:val="00746BA3"/>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1" w:customStyle="1">
    <w:name w:val="Mención sin resolver1"/>
    <w:basedOn w:val="Fuentedeprrafopredeter"/>
    <w:uiPriority w:val="99"/>
    <w:semiHidden/>
    <w:unhideWhenUsed/>
    <w:rsid w:val="00746BA3"/>
    <w:rPr>
      <w:color w:val="605E5C"/>
      <w:shd w:val="clear" w:color="auto" w:fill="E1DFDD"/>
    </w:rPr>
  </w:style>
  <w:style w:type="character" w:styleId="Mencinsinresolver2" w:customStyle="1">
    <w:name w:val="Mención sin resolver2"/>
    <w:basedOn w:val="Fuentedeprrafopredeter"/>
    <w:uiPriority w:val="99"/>
    <w:semiHidden/>
    <w:unhideWhenUsed/>
    <w:rsid w:val="00746BA3"/>
    <w:rPr>
      <w:color w:val="605E5C"/>
      <w:shd w:val="clear" w:color="auto" w:fill="E1DFDD"/>
    </w:rPr>
  </w:style>
  <w:style w:type="character" w:styleId="Mencinsinresolver3" w:customStyle="1">
    <w:name w:val="Mención sin resolver3"/>
    <w:basedOn w:val="Fuentedeprrafopredeter"/>
    <w:uiPriority w:val="99"/>
    <w:rsid w:val="00746BA3"/>
    <w:rPr>
      <w:color w:val="605E5C"/>
      <w:shd w:val="clear" w:color="auto" w:fill="E1DFDD"/>
    </w:rPr>
  </w:style>
  <w:style w:type="character" w:styleId="textrun" w:customStyle="1">
    <w:name w:val="textrun"/>
    <w:basedOn w:val="Fuentedeprrafopredeter"/>
    <w:rsid w:val="00746BA3"/>
  </w:style>
  <w:style w:type="character" w:styleId="spellingerror" w:customStyle="1">
    <w:name w:val="spellingerror"/>
    <w:basedOn w:val="Fuentedeprrafopredeter"/>
    <w:rsid w:val="00746BA3"/>
  </w:style>
  <w:style w:type="character" w:styleId="Nmerodepgina">
    <w:name w:val="page number"/>
    <w:basedOn w:val="Fuentedeprrafopredeter"/>
    <w:uiPriority w:val="99"/>
    <w:semiHidden/>
    <w:unhideWhenUsed/>
    <w:rsid w:val="00746BA3"/>
  </w:style>
  <w:style w:type="paragraph" w:styleId="Sangradetextonormal">
    <w:name w:val="Body Text Indent"/>
    <w:basedOn w:val="Normal"/>
    <w:link w:val="SangradetextonormalCar"/>
    <w:uiPriority w:val="99"/>
    <w:semiHidden/>
    <w:unhideWhenUsed/>
    <w:rsid w:val="00746BA3"/>
    <w:pPr>
      <w:spacing w:after="120" w:line="240" w:lineRule="auto"/>
      <w:ind w:left="283"/>
    </w:pPr>
    <w:rPr>
      <w:sz w:val="24"/>
      <w:lang w:val="es-MX"/>
    </w:rPr>
  </w:style>
  <w:style w:type="character" w:styleId="SangradetextonormalCar" w:customStyle="1">
    <w:name w:val="Sangría de texto normal Car"/>
    <w:basedOn w:val="Fuentedeprrafopredeter"/>
    <w:link w:val="Sangradetextonormal"/>
    <w:uiPriority w:val="99"/>
    <w:semiHidden/>
    <w:rsid w:val="00746BA3"/>
    <w:rPr>
      <w:sz w:val="24"/>
      <w:lang w:val="es-MX"/>
    </w:rPr>
  </w:style>
  <w:style w:type="character" w:styleId="nfasis">
    <w:name w:val="Emphasis"/>
    <w:basedOn w:val="Fuentedeprrafopredeter"/>
    <w:uiPriority w:val="20"/>
    <w:qFormat/>
    <w:rsid w:val="00746BA3"/>
    <w:rPr>
      <w:i/>
      <w:iCs/>
    </w:rPr>
  </w:style>
  <w:style w:type="paragraph" w:styleId="InviasNormal" w:customStyle="1">
    <w:name w:val="Invias Normal"/>
    <w:basedOn w:val="Normal"/>
    <w:link w:val="InviasNormalCar"/>
    <w:qFormat/>
    <w:rsid w:val="00746BA3"/>
    <w:pPr>
      <w:tabs>
        <w:tab w:val="left" w:pos="-142"/>
      </w:tabs>
      <w:autoSpaceDE w:val="0"/>
      <w:autoSpaceDN w:val="0"/>
      <w:adjustRightInd w:val="0"/>
      <w:spacing w:before="120" w:after="240" w:line="240" w:lineRule="auto"/>
      <w:jc w:val="both"/>
    </w:pPr>
    <w:rPr>
      <w:rFonts w:ascii="Arial Narrow" w:hAnsi="Arial Narrow" w:eastAsia="Times New Roman" w:cs="Times New Roman"/>
      <w:color w:val="3B3838" w:themeColor="background2" w:themeShade="40"/>
      <w:sz w:val="24"/>
      <w:szCs w:val="24"/>
      <w:lang w:val="x-none" w:eastAsia="es-ES"/>
    </w:rPr>
  </w:style>
  <w:style w:type="character" w:styleId="InviasNormalCar" w:customStyle="1">
    <w:name w:val="Invias Normal Car"/>
    <w:link w:val="InviasNormal"/>
    <w:locked/>
    <w:rsid w:val="00746BA3"/>
    <w:rPr>
      <w:rFonts w:ascii="Arial Narrow" w:hAnsi="Arial Narrow" w:eastAsia="Times New Roman" w:cs="Times New Roman"/>
      <w:color w:val="3B3838"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746B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746BA3"/>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Capitulo8" w:customStyle="1">
    <w:name w:val="Capitulo 8"/>
    <w:basedOn w:val="Normal"/>
    <w:qFormat/>
    <w:rsid w:val="00746BA3"/>
    <w:pPr>
      <w:numPr>
        <w:numId w:val="43"/>
      </w:numPr>
      <w:spacing w:after="200" w:line="276" w:lineRule="auto"/>
      <w:ind w:left="1020" w:hanging="680"/>
      <w:contextualSpacing/>
      <w:jc w:val="both"/>
    </w:pPr>
    <w:rPr>
      <w:rFonts w:ascii="Arial" w:hAnsi="Arial" w:eastAsia="Calibri" w:cs="Arial"/>
      <w:b/>
      <w:bCs/>
      <w:color w:val="1C1C1C"/>
      <w:sz w:val="20"/>
      <w:szCs w:val="20"/>
    </w:rPr>
  </w:style>
  <w:style w:type="paragraph" w:styleId="Normal11pt" w:customStyle="1">
    <w:name w:val="Normal + 11 pt"/>
    <w:aliases w:val="Negro,Justificado,Izquierda:  -0,95 cm,Derecha:  0,04 cm"/>
    <w:basedOn w:val="Normal"/>
    <w:uiPriority w:val="99"/>
    <w:rsid w:val="00746BA3"/>
    <w:pPr>
      <w:spacing w:after="0" w:line="240" w:lineRule="auto"/>
      <w:ind w:left="-540"/>
      <w:jc w:val="both"/>
    </w:pPr>
    <w:rPr>
      <w:rFonts w:ascii="Arial" w:hAnsi="Arial" w:eastAsia="Times New Roman"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sala-de-prensa/infografias/instructivo-para-visualizar-anexos-en-un-archivo-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dressc94@gmail.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codificacion_bienes.pdf"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Juan David Montoya Penagos</DisplayName>
        <AccountId>697</AccountId>
        <AccountType/>
      </UserInfo>
    </SharedWithUsers>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807BA21-7431-47AF-AAC1-61B23730E174}"/>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Alejandro Murcia Taboada</dc:creator>
  <keywords/>
  <dc:description/>
  <lastModifiedBy>Jorge Mario Payares Villa</lastModifiedBy>
  <revision>315</revision>
  <dcterms:created xsi:type="dcterms:W3CDTF">2023-08-07T18:23:00.0000000Z</dcterms:created>
  <dcterms:modified xsi:type="dcterms:W3CDTF">2023-09-01T14:10:22.1200244Z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