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C6337" w:rsidP="00AC6337" w:rsidRDefault="00AC6337" w14:paraId="7203A1D5" w14:textId="77777777">
      <w:pPr>
        <w:spacing w:after="0" w:line="240" w:lineRule="auto"/>
        <w:jc w:val="both"/>
        <w:rPr>
          <w:rFonts w:ascii="Arial" w:hAnsi="Arial" w:eastAsia="Times New Roman" w:cs="Arial"/>
          <w:b/>
          <w:bCs/>
          <w:color w:val="000000"/>
          <w:szCs w:val="24"/>
          <w:lang w:val="es-ES_tradnl" w:eastAsia="es-ES_tradnl"/>
        </w:rPr>
      </w:pPr>
      <w:bookmarkStart w:name="_Hlk103947551" w:id="0"/>
    </w:p>
    <w:p w:rsidRPr="00FE5B2C" w:rsidR="00AC6337" w:rsidP="00AC6337" w:rsidRDefault="00AC6337" w14:paraId="10644C1D" w14:textId="77777777">
      <w:pPr>
        <w:spacing w:after="0" w:line="240" w:lineRule="auto"/>
        <w:jc w:val="both"/>
        <w:rPr>
          <w:rFonts w:ascii="Arial" w:hAnsi="Arial" w:eastAsia="Times New Roman" w:cs="Arial"/>
          <w:b/>
          <w:bCs/>
          <w:color w:val="000000"/>
          <w:szCs w:val="24"/>
          <w:lang w:val="es-ES_tradnl" w:eastAsia="es-ES_tradnl"/>
        </w:rPr>
      </w:pPr>
      <w:r w:rsidRPr="00FE5B2C">
        <w:rPr>
          <w:rFonts w:ascii="Arial" w:hAnsi="Arial" w:eastAsia="Times New Roman" w:cs="Arial"/>
          <w:b/>
          <w:bCs/>
          <w:color w:val="000000"/>
          <w:szCs w:val="24"/>
          <w:lang w:val="es-ES_tradnl" w:eastAsia="es-ES_tradnl"/>
        </w:rPr>
        <w:t>CONTRATO DE PRESTACIÓN DE SERVICIOS</w:t>
      </w:r>
      <w:r w:rsidRPr="00FE5B2C">
        <w:rPr>
          <w:rFonts w:ascii="Arial" w:hAnsi="Arial" w:eastAsia="Calibri" w:cs="Arial"/>
          <w:b/>
          <w:color w:val="000000"/>
          <w:szCs w:val="24"/>
          <w:lang w:val="es-ES_tradnl" w:eastAsia="es-ES_tradnl"/>
        </w:rPr>
        <w:t>–</w:t>
      </w:r>
      <w:r w:rsidRPr="00FE5B2C">
        <w:rPr>
          <w:rFonts w:ascii="Arial" w:hAnsi="Arial" w:eastAsia="Times New Roman" w:cs="Arial"/>
          <w:b/>
          <w:bCs/>
          <w:color w:val="000000"/>
          <w:szCs w:val="24"/>
          <w:lang w:val="es-ES_tradnl" w:eastAsia="es-ES_tradnl"/>
        </w:rPr>
        <w:t xml:space="preserve"> Concepto </w:t>
      </w:r>
      <w:r w:rsidRPr="00FE5B2C">
        <w:rPr>
          <w:rFonts w:ascii="Arial" w:hAnsi="Arial" w:eastAsia="Calibri" w:cs="Arial"/>
          <w:b/>
          <w:color w:val="000000"/>
          <w:szCs w:val="24"/>
          <w:lang w:val="es-ES_tradnl" w:eastAsia="es-ES_tradnl"/>
        </w:rPr>
        <w:t>–</w:t>
      </w:r>
      <w:r w:rsidRPr="00FE5B2C">
        <w:rPr>
          <w:rFonts w:ascii="Arial" w:hAnsi="Arial" w:eastAsia="Times New Roman" w:cs="Arial"/>
          <w:b/>
          <w:bCs/>
          <w:color w:val="000000"/>
          <w:szCs w:val="24"/>
          <w:lang w:val="es-ES_tradnl" w:eastAsia="es-ES_tradnl"/>
        </w:rPr>
        <w:t xml:space="preserve"> Requisitos y límites para su celebración</w:t>
      </w:r>
    </w:p>
    <w:p w:rsidRPr="00FE5B2C" w:rsidR="00AC6337" w:rsidP="00AC6337" w:rsidRDefault="00AC6337" w14:paraId="72C89F04" w14:textId="77777777">
      <w:pPr>
        <w:spacing w:after="0" w:line="240" w:lineRule="auto"/>
        <w:jc w:val="both"/>
        <w:rPr>
          <w:rFonts w:ascii="Arial" w:hAnsi="Arial" w:eastAsia="Times New Roman" w:cs="Arial"/>
          <w:color w:val="000000"/>
          <w:sz w:val="20"/>
          <w:szCs w:val="20"/>
          <w:lang w:val="es-ES_tradnl" w:eastAsia="es-ES_tradnl"/>
        </w:rPr>
      </w:pPr>
    </w:p>
    <w:p w:rsidRPr="00FE5B2C" w:rsidR="00AC6337" w:rsidP="00AC6337" w:rsidRDefault="00AC6337" w14:paraId="15895C49" w14:textId="77777777">
      <w:pPr>
        <w:spacing w:after="0" w:line="240" w:lineRule="auto"/>
        <w:jc w:val="both"/>
        <w:rPr>
          <w:rFonts w:ascii="Arial" w:hAnsi="Arial" w:eastAsia="Times New Roman" w:cs="Arial"/>
          <w:color w:val="000000"/>
          <w:sz w:val="20"/>
          <w:szCs w:val="20"/>
          <w:lang w:val="es-ES_tradnl" w:eastAsia="es-ES_tradnl"/>
        </w:rPr>
      </w:pPr>
      <w:r w:rsidRPr="00FE5B2C">
        <w:rPr>
          <w:rFonts w:ascii="Arial" w:hAnsi="Arial" w:eastAsia="Times New Roman"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w:t>
      </w:r>
      <w:r>
        <w:rPr>
          <w:rFonts w:ascii="Arial" w:hAnsi="Arial" w:eastAsia="Times New Roman" w:cs="Arial"/>
          <w:color w:val="000000"/>
          <w:sz w:val="20"/>
          <w:szCs w:val="20"/>
          <w:lang w:val="es-ES_tradnl" w:eastAsia="es-ES_tradnl"/>
        </w:rPr>
        <w:t>“</w:t>
      </w:r>
      <w:r w:rsidRPr="00FE5B2C">
        <w:rPr>
          <w:rFonts w:ascii="Arial" w:hAnsi="Arial" w:eastAsia="Times New Roman" w:cs="Arial"/>
          <w:color w:val="000000"/>
          <w:sz w:val="20"/>
          <w:szCs w:val="20"/>
          <w:lang w:val="es-ES_tradnl" w:eastAsia="es-ES_tradnl"/>
        </w:rPr>
        <w:t>actividades relacionadas con la administración o funcionamiento de la entidad</w:t>
      </w:r>
      <w:r>
        <w:rPr>
          <w:rFonts w:ascii="Arial" w:hAnsi="Arial" w:eastAsia="Times New Roman" w:cs="Arial"/>
          <w:color w:val="000000"/>
          <w:sz w:val="20"/>
          <w:szCs w:val="20"/>
          <w:lang w:val="es-ES_tradnl" w:eastAsia="es-ES_tradnl"/>
        </w:rPr>
        <w:t>”</w:t>
      </w:r>
      <w:r w:rsidRPr="00FE5B2C">
        <w:rPr>
          <w:rFonts w:ascii="Arial" w:hAnsi="Arial" w:eastAsia="Times New Roman" w:cs="Arial"/>
          <w:color w:val="000000"/>
          <w:sz w:val="20"/>
          <w:szCs w:val="20"/>
          <w:lang w:val="es-ES_tradnl" w:eastAsia="es-ES_tradnl"/>
        </w:rPr>
        <w:t>,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w:t>
      </w:r>
      <w:r>
        <w:rPr>
          <w:rFonts w:ascii="Arial" w:hAnsi="Arial" w:eastAsia="Times New Roman" w:cs="Arial"/>
          <w:color w:val="000000"/>
          <w:sz w:val="20"/>
          <w:szCs w:val="20"/>
          <w:lang w:val="es-ES_tradnl" w:eastAsia="es-ES_tradnl"/>
        </w:rPr>
        <w:t xml:space="preserve"> “</w:t>
      </w:r>
      <w:r w:rsidRPr="00FE5B2C">
        <w:rPr>
          <w:rFonts w:ascii="Arial" w:hAnsi="Arial" w:eastAsia="Times New Roman" w:cs="Arial"/>
          <w:color w:val="000000"/>
          <w:sz w:val="20"/>
          <w:szCs w:val="20"/>
          <w:lang w:val="es-ES_tradnl" w:eastAsia="es-ES_tradnl"/>
        </w:rPr>
        <w:t>no puedan realizarse con personal de planta o requieran conocimientos especializados</w:t>
      </w:r>
      <w:r>
        <w:rPr>
          <w:rFonts w:ascii="Arial" w:hAnsi="Arial" w:eastAsia="Times New Roman" w:cs="Arial"/>
          <w:color w:val="000000"/>
          <w:sz w:val="20"/>
          <w:szCs w:val="20"/>
          <w:lang w:val="es-ES_tradnl" w:eastAsia="es-ES_tradnl"/>
        </w:rPr>
        <w:t>”</w:t>
      </w:r>
      <w:r w:rsidRPr="00FE5B2C">
        <w:rPr>
          <w:rFonts w:ascii="Arial" w:hAnsi="Arial" w:eastAsia="Times New Roman" w:cs="Arial"/>
          <w:color w:val="000000"/>
          <w:sz w:val="20"/>
          <w:szCs w:val="20"/>
          <w:lang w:val="es-ES_tradnl" w:eastAsia="es-ES_tradnl"/>
        </w:rPr>
        <w:t>; iii) si bien se celebra para obtener la prestación personal de un servicio, se diferencian del contrato de trabajo</w:t>
      </w:r>
      <w:r>
        <w:rPr>
          <w:rFonts w:ascii="Arial" w:hAnsi="Arial" w:eastAsia="Times New Roman" w:cs="Arial"/>
          <w:color w:val="000000"/>
          <w:sz w:val="20"/>
          <w:szCs w:val="20"/>
          <w:lang w:val="es-ES_tradnl" w:eastAsia="es-ES_tradnl"/>
        </w:rPr>
        <w:t xml:space="preserve"> </w:t>
      </w:r>
      <w:r w:rsidRPr="00FE5B2C">
        <w:rPr>
          <w:rFonts w:ascii="Arial" w:hAnsi="Arial" w:eastAsia="Times New Roman" w:cs="Arial"/>
          <w:color w:val="000000"/>
          <w:sz w:val="20"/>
          <w:szCs w:val="20"/>
          <w:lang w:val="es-ES_tradnl" w:eastAsia="es-ES_tradnl"/>
        </w:rPr>
        <w:t xml:space="preserve">en que quien celebra el contrato de prestación de servicios profesionales debe mantener autonomía e independencia en la ejecución de la labor, lo que significa que no puede existir la </w:t>
      </w:r>
      <w:r w:rsidRPr="00FE5B2C">
        <w:rPr>
          <w:rFonts w:ascii="Arial" w:hAnsi="Arial" w:eastAsia="Times New Roman" w:cs="Arial"/>
          <w:i/>
          <w:color w:val="000000"/>
          <w:sz w:val="20"/>
          <w:szCs w:val="20"/>
          <w:lang w:val="es-ES_tradnl" w:eastAsia="es-ES_tradnl"/>
        </w:rPr>
        <w:t>subordinación y dependencia</w:t>
      </w:r>
      <w:r w:rsidRPr="00FE5B2C">
        <w:rPr>
          <w:rFonts w:ascii="Arial" w:hAnsi="Arial" w:eastAsia="Times New Roman" w:cs="Arial"/>
          <w:color w:val="000000"/>
          <w:sz w:val="20"/>
          <w:szCs w:val="20"/>
          <w:lang w:val="es-ES_tradnl" w:eastAsia="es-ES_tradnl"/>
        </w:rPr>
        <w:t xml:space="preserve">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algunos casos no es obligatoria la liquidación; x) para su celebración no se requiere inscripción en el Registro Único de Proponentes (RUP); xi) en él no son necesarias las garantías.</w:t>
      </w:r>
    </w:p>
    <w:p w:rsidR="00AC6337" w:rsidP="00AC6337" w:rsidRDefault="00AC6337" w14:paraId="51A60B80" w14:textId="77777777">
      <w:pPr>
        <w:spacing w:after="0" w:line="240" w:lineRule="auto"/>
        <w:jc w:val="both"/>
        <w:rPr>
          <w:rFonts w:ascii="Arial" w:hAnsi="Arial" w:eastAsia="Times New Roman" w:cs="Arial"/>
          <w:color w:val="000000"/>
          <w:sz w:val="20"/>
          <w:szCs w:val="20"/>
          <w:lang w:val="es-ES_tradnl" w:eastAsia="es-ES_tradnl"/>
        </w:rPr>
      </w:pPr>
    </w:p>
    <w:p w:rsidRPr="00FE5B2C" w:rsidR="00AC6337" w:rsidP="00AC6337" w:rsidRDefault="00AC6337" w14:paraId="6A140311" w14:textId="77777777">
      <w:pPr>
        <w:spacing w:after="0" w:line="240" w:lineRule="auto"/>
        <w:jc w:val="both"/>
        <w:rPr>
          <w:rFonts w:ascii="Arial" w:hAnsi="Arial" w:eastAsia="Times New Roman" w:cs="Arial"/>
          <w:b/>
          <w:bCs/>
          <w:color w:val="000000"/>
          <w:szCs w:val="24"/>
          <w:lang w:val="es-ES_tradnl" w:eastAsia="es-ES_tradnl"/>
        </w:rPr>
      </w:pPr>
      <w:r>
        <w:rPr>
          <w:rFonts w:ascii="Arial" w:hAnsi="Arial" w:eastAsia="Times New Roman" w:cs="Arial"/>
          <w:b/>
          <w:bCs/>
          <w:color w:val="000000"/>
          <w:szCs w:val="24"/>
          <w:lang w:val="es-ES_tradnl" w:eastAsia="es-ES_tradnl"/>
        </w:rPr>
        <w:t>DESCONEXIÓN LABORAL</w:t>
      </w:r>
      <w:r w:rsidRPr="00FE5B2C">
        <w:rPr>
          <w:rFonts w:ascii="Arial" w:hAnsi="Arial" w:eastAsia="Times New Roman" w:cs="Arial"/>
          <w:b/>
          <w:bCs/>
          <w:color w:val="000000"/>
          <w:szCs w:val="24"/>
          <w:lang w:val="es-ES_tradnl" w:eastAsia="es-ES_tradnl"/>
        </w:rPr>
        <w:t xml:space="preserve"> </w:t>
      </w:r>
      <w:r w:rsidRPr="00FE5B2C">
        <w:rPr>
          <w:rFonts w:ascii="Arial" w:hAnsi="Arial" w:eastAsia="Calibri" w:cs="Arial"/>
          <w:b/>
          <w:color w:val="000000"/>
          <w:szCs w:val="24"/>
          <w:lang w:val="es-ES_tradnl" w:eastAsia="es-ES_tradnl"/>
        </w:rPr>
        <w:t>–</w:t>
      </w:r>
      <w:r w:rsidRPr="00FE5B2C">
        <w:rPr>
          <w:rFonts w:ascii="Arial" w:hAnsi="Arial" w:eastAsia="Times New Roman" w:cs="Arial"/>
          <w:b/>
          <w:bCs/>
          <w:color w:val="000000"/>
          <w:szCs w:val="24"/>
          <w:lang w:val="es-ES_tradnl" w:eastAsia="es-ES_tradnl"/>
        </w:rPr>
        <w:t xml:space="preserve"> </w:t>
      </w:r>
      <w:r>
        <w:rPr>
          <w:rFonts w:ascii="Arial" w:hAnsi="Arial" w:eastAsia="Times New Roman" w:cs="Arial"/>
          <w:b/>
          <w:bCs/>
          <w:color w:val="000000"/>
          <w:szCs w:val="24"/>
          <w:lang w:val="es-ES_tradnl" w:eastAsia="es-ES_tradnl"/>
        </w:rPr>
        <w:t>Ley 2191 de 2022</w:t>
      </w:r>
      <w:r w:rsidRPr="00FE5B2C">
        <w:rPr>
          <w:rFonts w:ascii="Arial" w:hAnsi="Arial" w:eastAsia="Times New Roman" w:cs="Arial"/>
          <w:b/>
          <w:bCs/>
          <w:color w:val="000000"/>
          <w:szCs w:val="24"/>
          <w:lang w:val="es-ES_tradnl" w:eastAsia="es-ES_tradnl"/>
        </w:rPr>
        <w:t xml:space="preserve"> </w:t>
      </w:r>
      <w:r w:rsidRPr="00FE5B2C">
        <w:rPr>
          <w:rFonts w:ascii="Arial" w:hAnsi="Arial" w:eastAsia="Calibri" w:cs="Arial"/>
          <w:b/>
          <w:color w:val="000000"/>
          <w:szCs w:val="24"/>
          <w:lang w:val="es-ES_tradnl" w:eastAsia="es-ES_tradnl"/>
        </w:rPr>
        <w:t>–</w:t>
      </w:r>
      <w:r w:rsidRPr="00FE5B2C">
        <w:rPr>
          <w:rFonts w:ascii="Arial" w:hAnsi="Arial" w:eastAsia="Times New Roman" w:cs="Arial"/>
          <w:b/>
          <w:bCs/>
          <w:color w:val="000000"/>
          <w:szCs w:val="24"/>
          <w:lang w:val="es-ES_tradnl" w:eastAsia="es-ES_tradnl"/>
        </w:rPr>
        <w:t xml:space="preserve"> </w:t>
      </w:r>
      <w:r>
        <w:rPr>
          <w:rFonts w:ascii="Arial" w:hAnsi="Arial" w:eastAsia="Times New Roman" w:cs="Arial"/>
          <w:b/>
          <w:bCs/>
          <w:color w:val="000000"/>
          <w:szCs w:val="24"/>
          <w:lang w:val="es-ES_tradnl" w:eastAsia="es-ES_tradnl"/>
        </w:rPr>
        <w:t>Alcance</w:t>
      </w:r>
      <w:r w:rsidRPr="00FE5B2C">
        <w:rPr>
          <w:rFonts w:ascii="Arial" w:hAnsi="Arial" w:eastAsia="Times New Roman" w:cs="Arial"/>
          <w:b/>
          <w:bCs/>
          <w:color w:val="000000"/>
          <w:szCs w:val="24"/>
          <w:lang w:val="es-ES_tradnl" w:eastAsia="es-ES_tradnl"/>
        </w:rPr>
        <w:t xml:space="preserve"> </w:t>
      </w:r>
    </w:p>
    <w:p w:rsidRPr="00FE5B2C" w:rsidR="00AC6337" w:rsidP="00AC6337" w:rsidRDefault="00AC6337" w14:paraId="1CC68DA7" w14:textId="77777777">
      <w:pPr>
        <w:spacing w:after="0" w:line="240" w:lineRule="auto"/>
        <w:jc w:val="both"/>
        <w:rPr>
          <w:rFonts w:ascii="Arial" w:hAnsi="Arial" w:eastAsia="Times New Roman" w:cs="Arial"/>
          <w:color w:val="000000"/>
          <w:sz w:val="20"/>
          <w:szCs w:val="20"/>
          <w:lang w:val="es-ES_tradnl" w:eastAsia="es-ES_tradnl"/>
        </w:rPr>
      </w:pPr>
    </w:p>
    <w:p w:rsidRPr="00FE5B2C" w:rsidR="00AC6337" w:rsidP="00AC6337" w:rsidRDefault="00AC6337" w14:paraId="0834F76B" w14:textId="77777777">
      <w:pPr>
        <w:tabs>
          <w:tab w:val="left" w:pos="284"/>
        </w:tabs>
        <w:spacing w:after="0" w:line="240" w:lineRule="auto"/>
        <w:contextualSpacing/>
        <w:jc w:val="both"/>
        <w:rPr>
          <w:rFonts w:ascii="Arial" w:hAnsi="Arial" w:eastAsia="Calibri" w:cs="Arial"/>
          <w:bCs/>
          <w:color w:val="000000"/>
          <w:sz w:val="20"/>
          <w:szCs w:val="20"/>
          <w:lang w:val="es-ES_tradnl"/>
        </w:rPr>
      </w:pPr>
      <w:r w:rsidRPr="00FE5B2C">
        <w:rPr>
          <w:rFonts w:ascii="Arial" w:hAnsi="Arial" w:eastAsia="Calibri" w:cs="Arial"/>
          <w:bCs/>
          <w:color w:val="000000"/>
          <w:sz w:val="20"/>
          <w:szCs w:val="20"/>
          <w:lang w:val="es-ES_tradnl"/>
        </w:rPr>
        <w:t xml:space="preserve">La Ley 2191 del 6 de enero de 2022 regula actualmente el derecho de los trabajadores y servidores públicos a la </w:t>
      </w:r>
      <w:r w:rsidRPr="00FE5B2C">
        <w:rPr>
          <w:rFonts w:ascii="Arial" w:hAnsi="Arial" w:eastAsia="Calibri" w:cs="Arial"/>
          <w:bCs/>
          <w:i/>
          <w:iCs/>
          <w:color w:val="000000"/>
          <w:sz w:val="20"/>
          <w:szCs w:val="20"/>
          <w:lang w:val="es-ES_tradnl"/>
        </w:rPr>
        <w:t>desconexión laboral</w:t>
      </w:r>
      <w:r w:rsidRPr="00FE5B2C">
        <w:rPr>
          <w:rFonts w:ascii="Arial" w:hAnsi="Arial" w:eastAsia="Calibri" w:cs="Arial"/>
          <w:bCs/>
          <w:color w:val="000000"/>
          <w:sz w:val="20"/>
          <w:szCs w:val="20"/>
          <w:lang w:val="es-ES_tradnl"/>
        </w:rPr>
        <w:t>. En efecto, su artículo 1 señala:</w:t>
      </w:r>
    </w:p>
    <w:p w:rsidRPr="00FE5B2C" w:rsidR="00AC6337" w:rsidP="00AC6337" w:rsidRDefault="00AC6337" w14:paraId="73047CBD" w14:textId="77777777">
      <w:pPr>
        <w:tabs>
          <w:tab w:val="left" w:pos="284"/>
        </w:tabs>
        <w:spacing w:after="0" w:line="240" w:lineRule="auto"/>
        <w:contextualSpacing/>
        <w:jc w:val="both"/>
        <w:rPr>
          <w:rFonts w:ascii="Arial" w:hAnsi="Arial" w:eastAsia="Calibri" w:cs="Arial"/>
          <w:bCs/>
          <w:color w:val="000000"/>
          <w:sz w:val="20"/>
          <w:szCs w:val="20"/>
          <w:lang w:val="es-ES_tradnl"/>
        </w:rPr>
      </w:pPr>
    </w:p>
    <w:p w:rsidRPr="00FE5B2C" w:rsidR="00AC6337" w:rsidP="00AC6337" w:rsidRDefault="00AC6337" w14:paraId="0E3259B2" w14:textId="77777777">
      <w:pPr>
        <w:tabs>
          <w:tab w:val="left" w:pos="284"/>
        </w:tabs>
        <w:spacing w:after="0" w:line="240" w:lineRule="auto"/>
        <w:contextualSpacing/>
        <w:jc w:val="both"/>
        <w:rPr>
          <w:rFonts w:ascii="Arial" w:hAnsi="Arial" w:eastAsia="Calibri" w:cs="Arial"/>
          <w:bCs/>
          <w:color w:val="000000"/>
          <w:sz w:val="20"/>
          <w:szCs w:val="20"/>
          <w:lang w:val="es-ES_tradnl"/>
        </w:rPr>
      </w:pPr>
      <w:r w:rsidRPr="00FE5B2C">
        <w:rPr>
          <w:rFonts w:ascii="Arial" w:hAnsi="Arial" w:eastAsia="Calibri" w:cs="Arial"/>
          <w:bCs/>
          <w:color w:val="000000"/>
          <w:sz w:val="20"/>
          <w:szCs w:val="20"/>
          <w:lang w:val="es-ES_tradnl"/>
        </w:rPr>
        <w:t xml:space="preserve">Esta ley tiene por objeto crear, regular y promover la desconexión laboral </w:t>
      </w:r>
      <w:r w:rsidRPr="00FE5B2C">
        <w:rPr>
          <w:rFonts w:ascii="Arial" w:hAnsi="Arial" w:eastAsia="Calibri" w:cs="Arial"/>
          <w:bCs/>
          <w:i/>
          <w:iCs/>
          <w:color w:val="000000"/>
          <w:sz w:val="20"/>
          <w:szCs w:val="20"/>
          <w:lang w:val="es-ES_tradnl"/>
        </w:rPr>
        <w:t>de los trabajadores en las relaciones laborales dentro de las diferentes modalidades de contratación</w:t>
      </w:r>
      <w:r w:rsidRPr="00FE5B2C">
        <w:rPr>
          <w:rFonts w:ascii="Arial" w:hAnsi="Arial" w:eastAsia="Calibri" w:cs="Arial"/>
          <w:bCs/>
          <w:color w:val="000000"/>
          <w:sz w:val="20"/>
          <w:szCs w:val="20"/>
          <w:lang w:val="es-ES_tradnl"/>
        </w:rPr>
        <w:t xml:space="preserve"> vigentes en el ordenamiento jurídico colombiano y sus formas de ejecutarse, así como en las relaciones legales y/o reglamentarias, con el fin de garantizar el goce efectivo del tiempo libre y los tiempos de descanso, licencias, permisos y/o vacaciones para conciliar la vida personal, familiar y laboral (énfasis fuera de texto).</w:t>
      </w:r>
    </w:p>
    <w:p w:rsidRPr="00FE5B2C" w:rsidR="00AC6337" w:rsidP="00AC6337" w:rsidRDefault="00AC6337" w14:paraId="3CA7BF08" w14:textId="77777777">
      <w:pPr>
        <w:tabs>
          <w:tab w:val="left" w:pos="284"/>
        </w:tabs>
        <w:spacing w:after="0" w:line="240" w:lineRule="auto"/>
        <w:contextualSpacing/>
        <w:jc w:val="both"/>
        <w:rPr>
          <w:rFonts w:ascii="Arial" w:hAnsi="Arial" w:eastAsia="Calibri" w:cs="Arial"/>
          <w:b/>
          <w:color w:val="000000"/>
          <w:sz w:val="20"/>
          <w:szCs w:val="20"/>
          <w:lang w:val="es-ES_tradnl"/>
        </w:rPr>
      </w:pPr>
    </w:p>
    <w:p w:rsidRPr="00FE5B2C" w:rsidR="00AC6337" w:rsidP="00AC6337" w:rsidRDefault="00AC6337" w14:paraId="0A5866AF" w14:textId="77777777">
      <w:pPr>
        <w:tabs>
          <w:tab w:val="left" w:pos="284"/>
        </w:tabs>
        <w:spacing w:after="0" w:line="240" w:lineRule="auto"/>
        <w:contextualSpacing/>
        <w:jc w:val="both"/>
        <w:rPr>
          <w:rFonts w:ascii="Arial" w:hAnsi="Arial" w:eastAsia="Calibri" w:cs="Arial"/>
          <w:bCs/>
          <w:color w:val="000000"/>
          <w:sz w:val="20"/>
          <w:szCs w:val="20"/>
          <w:lang w:val="es-ES_tradnl"/>
        </w:rPr>
      </w:pPr>
      <w:r w:rsidRPr="00FE5B2C">
        <w:rPr>
          <w:rFonts w:ascii="Arial" w:hAnsi="Arial" w:eastAsia="Calibri" w:cs="Arial"/>
          <w:bCs/>
          <w:color w:val="000000"/>
          <w:sz w:val="20"/>
          <w:szCs w:val="20"/>
          <w:lang w:val="es-ES_tradnl"/>
        </w:rPr>
        <w:t>Como se observa, el derecho a la desconexión laboral previsto en esta Ley aplica para</w:t>
      </w:r>
      <w:r>
        <w:rPr>
          <w:rFonts w:ascii="Arial" w:hAnsi="Arial" w:eastAsia="Calibri" w:cs="Arial"/>
          <w:bCs/>
          <w:color w:val="000000"/>
          <w:sz w:val="20"/>
          <w:szCs w:val="20"/>
          <w:lang w:val="es-ES_tradnl"/>
        </w:rPr>
        <w:t xml:space="preserve"> “</w:t>
      </w:r>
      <w:r w:rsidRPr="00FE5B2C">
        <w:rPr>
          <w:rFonts w:ascii="Arial" w:hAnsi="Arial" w:eastAsia="Calibri" w:cs="Arial"/>
          <w:bCs/>
          <w:color w:val="000000"/>
          <w:sz w:val="20"/>
          <w:szCs w:val="20"/>
          <w:lang w:val="es-ES_tradnl"/>
        </w:rPr>
        <w:t>[…] los trabajadores en las relaciones laborales dentro de las diferentes modalidades de contratación vigentes en el ordenamiento jurídico colombiano y sus formas de ejecutarse, así como en las relaciones legales y/o reglamentarias</w:t>
      </w:r>
      <w:r>
        <w:rPr>
          <w:rFonts w:ascii="Arial" w:hAnsi="Arial" w:eastAsia="Calibri" w:cs="Arial"/>
          <w:bCs/>
          <w:color w:val="000000"/>
          <w:sz w:val="20"/>
          <w:szCs w:val="20"/>
          <w:lang w:val="es-ES_tradnl"/>
        </w:rPr>
        <w:t>”</w:t>
      </w:r>
      <w:r w:rsidRPr="00FE5B2C">
        <w:rPr>
          <w:rFonts w:ascii="Arial" w:hAnsi="Arial" w:eastAsia="Calibri" w:cs="Arial"/>
          <w:bCs/>
          <w:color w:val="000000"/>
          <w:sz w:val="20"/>
          <w:szCs w:val="20"/>
          <w:lang w:val="es-ES_tradnl"/>
        </w:rPr>
        <w:t>. Esto también se deduce de una lectura sistemática de los demás artículos de la Ley en comento. En efecto, el artículo 2 establece que el derecho a la desconexión laboral está vinculado al derecho fundamental al trabajo. El artículo 3, por su parte, define la</w:t>
      </w:r>
      <w:r>
        <w:rPr>
          <w:rFonts w:ascii="Arial" w:hAnsi="Arial" w:eastAsia="Calibri" w:cs="Arial"/>
          <w:bCs/>
          <w:color w:val="000000"/>
          <w:sz w:val="20"/>
          <w:szCs w:val="20"/>
          <w:lang w:val="es-ES_tradnl"/>
        </w:rPr>
        <w:t xml:space="preserve"> “</w:t>
      </w:r>
      <w:r w:rsidRPr="00FE5B2C">
        <w:rPr>
          <w:rFonts w:ascii="Arial" w:hAnsi="Arial" w:eastAsia="Calibri" w:cs="Arial"/>
          <w:bCs/>
          <w:color w:val="000000"/>
          <w:sz w:val="20"/>
          <w:szCs w:val="20"/>
          <w:lang w:val="es-ES_tradnl"/>
        </w:rPr>
        <w:t>desconexión laboral</w:t>
      </w:r>
      <w:r>
        <w:rPr>
          <w:rFonts w:ascii="Arial" w:hAnsi="Arial" w:eastAsia="Calibri" w:cs="Arial"/>
          <w:bCs/>
          <w:color w:val="000000"/>
          <w:sz w:val="20"/>
          <w:szCs w:val="20"/>
          <w:lang w:val="es-ES_tradnl"/>
        </w:rPr>
        <w:t>”</w:t>
      </w:r>
      <w:r w:rsidRPr="00FE5B2C">
        <w:rPr>
          <w:rFonts w:ascii="Arial" w:hAnsi="Arial" w:eastAsia="Calibri" w:cs="Arial"/>
          <w:bCs/>
          <w:color w:val="000000"/>
          <w:sz w:val="20"/>
          <w:szCs w:val="20"/>
          <w:lang w:val="es-ES_tradnl"/>
        </w:rPr>
        <w:t xml:space="preserve"> como</w:t>
      </w:r>
      <w:r>
        <w:rPr>
          <w:rFonts w:ascii="Arial" w:hAnsi="Arial" w:eastAsia="Calibri" w:cs="Arial"/>
          <w:bCs/>
          <w:color w:val="000000"/>
          <w:sz w:val="20"/>
          <w:szCs w:val="20"/>
          <w:lang w:val="es-ES_tradnl"/>
        </w:rPr>
        <w:t xml:space="preserve"> “</w:t>
      </w:r>
      <w:r w:rsidRPr="00FE5B2C">
        <w:rPr>
          <w:rFonts w:ascii="Arial" w:hAnsi="Arial" w:eastAsia="Calibri" w:cs="Arial"/>
          <w:bCs/>
          <w:color w:val="000000"/>
          <w:sz w:val="20"/>
          <w:szCs w:val="20"/>
          <w:lang w:val="es-ES_tradnl"/>
        </w:rPr>
        <w:t>[…] el derecho que tienen todos los trabajadores y servidores públicos, a no tener contacto, por cualquier medio o herramienta, bien sea tecnológica o no, para cuestiones relacionadas con su ámbito o actividad laboral, en horarios por fuera de la jornada ordinaria o jornada máxima legal de trabajo, o convenida, ni en sus vacaciones o descansos</w:t>
      </w:r>
      <w:r>
        <w:rPr>
          <w:rFonts w:ascii="Arial" w:hAnsi="Arial" w:eastAsia="Calibri" w:cs="Arial"/>
          <w:bCs/>
          <w:color w:val="000000"/>
          <w:sz w:val="20"/>
          <w:szCs w:val="20"/>
          <w:lang w:val="es-ES_tradnl"/>
        </w:rPr>
        <w:t>”</w:t>
      </w:r>
      <w:r w:rsidRPr="00FE5B2C">
        <w:rPr>
          <w:rFonts w:ascii="Arial" w:hAnsi="Arial" w:eastAsia="Calibri" w:cs="Arial"/>
          <w:bCs/>
          <w:color w:val="000000"/>
          <w:sz w:val="20"/>
          <w:szCs w:val="20"/>
          <w:lang w:val="es-ES_tradnl"/>
        </w:rPr>
        <w:t xml:space="preserve">. Obsérvese que estas normas establecen siempre como destinatarios del derecho consagrado en ellas a los </w:t>
      </w:r>
      <w:r w:rsidRPr="00FE5B2C">
        <w:rPr>
          <w:rFonts w:ascii="Arial" w:hAnsi="Arial" w:eastAsia="Calibri" w:cs="Arial"/>
          <w:bCs/>
          <w:i/>
          <w:iCs/>
          <w:color w:val="000000"/>
          <w:sz w:val="20"/>
          <w:szCs w:val="20"/>
          <w:lang w:val="es-ES_tradnl"/>
        </w:rPr>
        <w:t>trabajadores</w:t>
      </w:r>
      <w:r w:rsidRPr="00FE5B2C">
        <w:rPr>
          <w:rFonts w:ascii="Arial" w:hAnsi="Arial" w:eastAsia="Calibri" w:cs="Arial"/>
          <w:bCs/>
          <w:color w:val="000000"/>
          <w:sz w:val="20"/>
          <w:szCs w:val="20"/>
          <w:lang w:val="es-ES_tradnl"/>
        </w:rPr>
        <w:t xml:space="preserve"> y </w:t>
      </w:r>
      <w:r w:rsidRPr="00FE5B2C">
        <w:rPr>
          <w:rFonts w:ascii="Arial" w:hAnsi="Arial" w:eastAsia="Calibri" w:cs="Arial"/>
          <w:bCs/>
          <w:i/>
          <w:iCs/>
          <w:color w:val="000000"/>
          <w:sz w:val="20"/>
          <w:szCs w:val="20"/>
          <w:lang w:val="es-ES_tradnl"/>
        </w:rPr>
        <w:t>servidores públicos</w:t>
      </w:r>
      <w:r w:rsidRPr="00FE5B2C">
        <w:rPr>
          <w:rFonts w:ascii="Arial" w:hAnsi="Arial" w:eastAsia="Calibri" w:cs="Arial"/>
          <w:bCs/>
          <w:color w:val="000000"/>
          <w:sz w:val="20"/>
          <w:szCs w:val="20"/>
          <w:lang w:val="es-ES_tradnl"/>
        </w:rPr>
        <w:t>.</w:t>
      </w:r>
    </w:p>
    <w:p w:rsidR="00AC6337" w:rsidP="00AC6337" w:rsidRDefault="00AC6337" w14:paraId="7C67F3B4" w14:textId="77777777">
      <w:pPr>
        <w:spacing w:after="0" w:line="240" w:lineRule="auto"/>
        <w:jc w:val="both"/>
        <w:rPr>
          <w:rFonts w:ascii="Arial" w:hAnsi="Arial" w:eastAsia="Times New Roman" w:cs="Arial"/>
          <w:b/>
          <w:bCs/>
          <w:color w:val="000000"/>
          <w:szCs w:val="24"/>
          <w:lang w:val="es-ES_tradnl" w:eastAsia="es-ES_tradnl"/>
        </w:rPr>
      </w:pPr>
    </w:p>
    <w:p w:rsidRPr="00FE5B2C" w:rsidR="00AC6337" w:rsidP="00AC6337" w:rsidRDefault="00AC6337" w14:paraId="3AFD4012" w14:textId="77777777">
      <w:pPr>
        <w:spacing w:after="0" w:line="240" w:lineRule="auto"/>
        <w:jc w:val="both"/>
        <w:rPr>
          <w:rFonts w:ascii="Arial" w:hAnsi="Arial" w:eastAsia="Times New Roman" w:cs="Arial"/>
          <w:b/>
          <w:bCs/>
          <w:color w:val="000000"/>
          <w:szCs w:val="24"/>
          <w:lang w:val="es-ES_tradnl" w:eastAsia="es-ES_tradnl"/>
        </w:rPr>
      </w:pPr>
      <w:r>
        <w:rPr>
          <w:rFonts w:ascii="Arial" w:hAnsi="Arial" w:eastAsia="Times New Roman" w:cs="Arial"/>
          <w:b/>
          <w:bCs/>
          <w:color w:val="000000"/>
          <w:szCs w:val="24"/>
          <w:lang w:val="es-ES_tradnl" w:eastAsia="es-ES_tradnl"/>
        </w:rPr>
        <w:t>DESCONEXIÓN LABORAL</w:t>
      </w:r>
      <w:r w:rsidRPr="00FE5B2C">
        <w:rPr>
          <w:rFonts w:ascii="Arial" w:hAnsi="Arial" w:eastAsia="Times New Roman" w:cs="Arial"/>
          <w:b/>
          <w:bCs/>
          <w:color w:val="000000"/>
          <w:szCs w:val="24"/>
          <w:lang w:val="es-ES_tradnl" w:eastAsia="es-ES_tradnl"/>
        </w:rPr>
        <w:t xml:space="preserve"> </w:t>
      </w:r>
      <w:r w:rsidRPr="00FE5B2C">
        <w:rPr>
          <w:rFonts w:ascii="Arial" w:hAnsi="Arial" w:eastAsia="Calibri" w:cs="Arial"/>
          <w:b/>
          <w:color w:val="000000"/>
          <w:szCs w:val="24"/>
          <w:lang w:val="es-ES_tradnl" w:eastAsia="es-ES_tradnl"/>
        </w:rPr>
        <w:t>–</w:t>
      </w:r>
      <w:r w:rsidRPr="00FE5B2C">
        <w:rPr>
          <w:rFonts w:ascii="Arial" w:hAnsi="Arial" w:eastAsia="Times New Roman" w:cs="Arial"/>
          <w:b/>
          <w:bCs/>
          <w:color w:val="000000"/>
          <w:szCs w:val="24"/>
          <w:lang w:val="es-ES_tradnl" w:eastAsia="es-ES_tradnl"/>
        </w:rPr>
        <w:t xml:space="preserve"> </w:t>
      </w:r>
      <w:r>
        <w:rPr>
          <w:rFonts w:ascii="Arial" w:hAnsi="Arial" w:eastAsia="Times New Roman" w:cs="Arial"/>
          <w:b/>
          <w:bCs/>
          <w:color w:val="000000"/>
          <w:szCs w:val="24"/>
          <w:lang w:val="es-ES_tradnl" w:eastAsia="es-ES_tradnl"/>
        </w:rPr>
        <w:t>Ley 2191 de 2022</w:t>
      </w:r>
      <w:r w:rsidRPr="00FE5B2C">
        <w:rPr>
          <w:rFonts w:ascii="Arial" w:hAnsi="Arial" w:eastAsia="Times New Roman" w:cs="Arial"/>
          <w:b/>
          <w:bCs/>
          <w:color w:val="000000"/>
          <w:szCs w:val="24"/>
          <w:lang w:val="es-ES_tradnl" w:eastAsia="es-ES_tradnl"/>
        </w:rPr>
        <w:t xml:space="preserve"> </w:t>
      </w:r>
      <w:r w:rsidRPr="00FE5B2C">
        <w:rPr>
          <w:rFonts w:ascii="Arial" w:hAnsi="Arial" w:eastAsia="Calibri" w:cs="Arial"/>
          <w:b/>
          <w:color w:val="000000"/>
          <w:szCs w:val="24"/>
          <w:lang w:val="es-ES_tradnl" w:eastAsia="es-ES_tradnl"/>
        </w:rPr>
        <w:t>–</w:t>
      </w:r>
      <w:r>
        <w:rPr>
          <w:rFonts w:ascii="Arial" w:hAnsi="Arial" w:eastAsia="Calibri" w:cs="Arial"/>
          <w:b/>
          <w:color w:val="000000"/>
          <w:szCs w:val="24"/>
          <w:lang w:val="es-ES_tradnl" w:eastAsia="es-ES_tradnl"/>
        </w:rPr>
        <w:t xml:space="preserve"> Inaplicación </w:t>
      </w:r>
      <w:r w:rsidRPr="00FE5B2C">
        <w:rPr>
          <w:rFonts w:ascii="Arial" w:hAnsi="Arial" w:eastAsia="Calibri" w:cs="Arial"/>
          <w:b/>
          <w:color w:val="000000"/>
          <w:szCs w:val="24"/>
          <w:lang w:val="es-ES_tradnl" w:eastAsia="es-ES_tradnl"/>
        </w:rPr>
        <w:t>–</w:t>
      </w:r>
      <w:r>
        <w:rPr>
          <w:rFonts w:ascii="Arial" w:hAnsi="Arial" w:eastAsia="Calibri" w:cs="Arial"/>
          <w:b/>
          <w:color w:val="000000"/>
          <w:szCs w:val="24"/>
          <w:lang w:val="es-ES_tradnl" w:eastAsia="es-ES_tradnl"/>
        </w:rPr>
        <w:t xml:space="preserve"> Relaciones no laborales</w:t>
      </w:r>
    </w:p>
    <w:p w:rsidR="00AC6337" w:rsidP="00AC6337" w:rsidRDefault="00AC6337" w14:paraId="208FB9CC" w14:textId="77777777">
      <w:pPr>
        <w:spacing w:after="0" w:line="276" w:lineRule="auto"/>
        <w:jc w:val="both"/>
        <w:rPr>
          <w:rFonts w:ascii="Arial" w:hAnsi="Arial" w:eastAsia="Calibri" w:cs="Arial"/>
          <w:color w:val="000000"/>
          <w:sz w:val="20"/>
          <w:szCs w:val="20"/>
          <w:lang w:val="es-ES_tradnl" w:eastAsia="es-ES_tradnl"/>
        </w:rPr>
      </w:pPr>
    </w:p>
    <w:p w:rsidR="00AC6337" w:rsidP="00AC6337" w:rsidRDefault="00AC6337" w14:paraId="44D796FC" w14:textId="77777777">
      <w:pPr>
        <w:snapToGrid w:val="0"/>
        <w:spacing w:after="0" w:line="240" w:lineRule="auto"/>
        <w:jc w:val="both"/>
        <w:rPr>
          <w:rFonts w:ascii="Arial" w:hAnsi="Arial" w:eastAsia="Calibri" w:cs="Arial"/>
          <w:bCs/>
          <w:color w:val="000000"/>
          <w:sz w:val="20"/>
          <w:szCs w:val="20"/>
          <w:lang w:val="es-ES_tradnl"/>
        </w:rPr>
      </w:pPr>
      <w:r w:rsidRPr="00FE5B2C">
        <w:rPr>
          <w:rFonts w:ascii="Arial" w:hAnsi="Arial" w:eastAsia="Calibri" w:cs="Arial"/>
          <w:bCs/>
          <w:color w:val="000000"/>
          <w:sz w:val="20"/>
          <w:szCs w:val="20"/>
          <w:lang w:val="es-ES_tradnl"/>
        </w:rPr>
        <w:t xml:space="preserve">Esta Agencia considera que el derecho a la desconexión laboral, regulado en la Ley 2191 de 2022, no rige a favor de los contratistas del Estado que no reúnen el atributo de ser trabajadores o servidores públicos. Por tanto, no aplica respecto de los contratistas de prestación de servicios. Sin perjuicio de ello, como lo señala la jurisprudencia a la que se hizo referencia, en la práctica podría configurarse una relación laboral derivada de la subordinación si no se garantiza la autonomía del contratista en la prestación del servicio. Pero esto no significa que un contratista del Estado no pueda recibir ciertas directrices o que no deba cumplir a veces con un horario, siempre que esto sea necesario para garantizar el </w:t>
      </w:r>
      <w:r w:rsidRPr="00FE5B2C">
        <w:rPr>
          <w:rFonts w:ascii="Arial" w:hAnsi="Arial" w:eastAsia="Calibri" w:cs="Arial"/>
          <w:bCs/>
          <w:i/>
          <w:iCs/>
          <w:color w:val="000000"/>
          <w:sz w:val="20"/>
          <w:szCs w:val="20"/>
          <w:lang w:val="es-ES_tradnl"/>
        </w:rPr>
        <w:t>principio de coordinación</w:t>
      </w:r>
      <w:r w:rsidRPr="00FE5B2C">
        <w:rPr>
          <w:rFonts w:ascii="Arial" w:hAnsi="Arial" w:eastAsia="Calibri" w:cs="Arial"/>
          <w:bCs/>
          <w:color w:val="000000"/>
          <w:sz w:val="20"/>
          <w:szCs w:val="20"/>
          <w:lang w:val="es-ES_tradnl"/>
        </w:rPr>
        <w:t xml:space="preserve">, cuando las órdenes y el horario son indispensables para el cumplimiento del servicio encomendado. No obstante, las entidades estatales no pueden convertir el principio de coordinación en una relación de subordinación y dependencia del contratista respecto de ellas. </w:t>
      </w:r>
    </w:p>
    <w:p w:rsidR="00AC6337" w:rsidP="00D6060E" w:rsidRDefault="00AC6337" w14:paraId="65142604" w14:textId="77777777">
      <w:pPr>
        <w:spacing w:before="100" w:beforeAutospacing="1" w:after="0" w:line="240" w:lineRule="auto"/>
        <w:rPr>
          <w:rFonts w:ascii="Arial" w:hAnsi="Arial" w:eastAsia="Times New Roman" w:cs="Arial"/>
          <w:lang w:eastAsia="es-MX"/>
        </w:rPr>
      </w:pPr>
    </w:p>
    <w:p w:rsidR="00AC6337" w:rsidP="00D6060E" w:rsidRDefault="00AC6337" w14:paraId="5F3D1F3C" w14:textId="77777777">
      <w:pPr>
        <w:spacing w:before="100" w:beforeAutospacing="1" w:after="0" w:line="240" w:lineRule="auto"/>
        <w:rPr>
          <w:rFonts w:ascii="Arial" w:hAnsi="Arial" w:eastAsia="Times New Roman" w:cs="Arial"/>
          <w:lang w:eastAsia="es-MX"/>
        </w:rPr>
      </w:pPr>
    </w:p>
    <w:p w:rsidR="00AC6337" w:rsidP="00D6060E" w:rsidRDefault="00AC6337" w14:paraId="3B8206FC" w14:textId="77777777">
      <w:pPr>
        <w:spacing w:before="100" w:beforeAutospacing="1" w:after="0" w:line="240" w:lineRule="auto"/>
        <w:rPr>
          <w:rFonts w:ascii="Arial" w:hAnsi="Arial" w:eastAsia="Times New Roman" w:cs="Arial"/>
          <w:lang w:eastAsia="es-MX"/>
        </w:rPr>
      </w:pPr>
    </w:p>
    <w:p w:rsidR="00AC6337" w:rsidP="00D6060E" w:rsidRDefault="00AC6337" w14:paraId="325F9A7B" w14:textId="77777777">
      <w:pPr>
        <w:spacing w:before="100" w:beforeAutospacing="1" w:after="0" w:line="240" w:lineRule="auto"/>
        <w:rPr>
          <w:rFonts w:ascii="Arial" w:hAnsi="Arial" w:eastAsia="Times New Roman" w:cs="Arial"/>
          <w:lang w:eastAsia="es-MX"/>
        </w:rPr>
      </w:pPr>
    </w:p>
    <w:p w:rsidR="00AC6337" w:rsidP="00D6060E" w:rsidRDefault="00AC6337" w14:paraId="214EFF99" w14:textId="77777777">
      <w:pPr>
        <w:spacing w:before="100" w:beforeAutospacing="1" w:after="0" w:line="240" w:lineRule="auto"/>
        <w:rPr>
          <w:rFonts w:ascii="Arial" w:hAnsi="Arial" w:eastAsia="Times New Roman" w:cs="Arial"/>
          <w:lang w:eastAsia="es-MX"/>
        </w:rPr>
      </w:pPr>
    </w:p>
    <w:p w:rsidR="00AC6337" w:rsidP="00D6060E" w:rsidRDefault="00AC6337" w14:paraId="7B3584DC" w14:textId="77777777">
      <w:pPr>
        <w:spacing w:before="100" w:beforeAutospacing="1" w:after="0" w:line="240" w:lineRule="auto"/>
        <w:rPr>
          <w:rFonts w:ascii="Arial" w:hAnsi="Arial" w:eastAsia="Times New Roman" w:cs="Arial"/>
          <w:lang w:eastAsia="es-MX"/>
        </w:rPr>
      </w:pPr>
    </w:p>
    <w:p w:rsidR="00AC6337" w:rsidP="00D6060E" w:rsidRDefault="00AC6337" w14:paraId="07BFE861" w14:textId="77777777">
      <w:pPr>
        <w:spacing w:before="100" w:beforeAutospacing="1" w:after="0" w:line="240" w:lineRule="auto"/>
        <w:rPr>
          <w:rFonts w:ascii="Arial" w:hAnsi="Arial" w:eastAsia="Times New Roman" w:cs="Arial"/>
          <w:lang w:eastAsia="es-MX"/>
        </w:rPr>
      </w:pPr>
    </w:p>
    <w:p w:rsidR="00AC6337" w:rsidP="00D6060E" w:rsidRDefault="00AC6337" w14:paraId="58CAEA98" w14:textId="77777777">
      <w:pPr>
        <w:spacing w:before="100" w:beforeAutospacing="1" w:after="0" w:line="240" w:lineRule="auto"/>
        <w:rPr>
          <w:rFonts w:ascii="Arial" w:hAnsi="Arial" w:eastAsia="Times New Roman" w:cs="Arial"/>
          <w:lang w:eastAsia="es-MX"/>
        </w:rPr>
      </w:pPr>
    </w:p>
    <w:p w:rsidR="00AC6337" w:rsidP="00D6060E" w:rsidRDefault="00AC6337" w14:paraId="5EA694DA" w14:textId="77777777">
      <w:pPr>
        <w:spacing w:before="100" w:beforeAutospacing="1" w:after="0" w:line="240" w:lineRule="auto"/>
        <w:rPr>
          <w:rFonts w:ascii="Arial" w:hAnsi="Arial" w:eastAsia="Times New Roman" w:cs="Arial"/>
          <w:lang w:eastAsia="es-MX"/>
        </w:rPr>
      </w:pPr>
    </w:p>
    <w:p w:rsidR="00AC6337" w:rsidP="00D6060E" w:rsidRDefault="00AC6337" w14:paraId="07E669A6" w14:textId="77777777">
      <w:pPr>
        <w:spacing w:before="100" w:beforeAutospacing="1" w:after="0" w:line="240" w:lineRule="auto"/>
        <w:rPr>
          <w:rFonts w:ascii="Arial" w:hAnsi="Arial" w:eastAsia="Times New Roman" w:cs="Arial"/>
          <w:lang w:eastAsia="es-MX"/>
        </w:rPr>
      </w:pPr>
    </w:p>
    <w:p w:rsidR="00AC6337" w:rsidP="00D6060E" w:rsidRDefault="00AC6337" w14:paraId="35101FCD" w14:textId="77777777">
      <w:pPr>
        <w:spacing w:before="100" w:beforeAutospacing="1" w:after="0" w:line="240" w:lineRule="auto"/>
        <w:rPr>
          <w:rFonts w:ascii="Arial" w:hAnsi="Arial" w:eastAsia="Times New Roman" w:cs="Arial"/>
          <w:lang w:eastAsia="es-MX"/>
        </w:rPr>
      </w:pPr>
    </w:p>
    <w:p w:rsidR="00AC6337" w:rsidP="00D6060E" w:rsidRDefault="00AC6337" w14:paraId="1F27BDA6" w14:textId="77777777">
      <w:pPr>
        <w:spacing w:before="100" w:beforeAutospacing="1" w:after="0" w:line="240" w:lineRule="auto"/>
        <w:rPr>
          <w:rFonts w:ascii="Arial" w:hAnsi="Arial" w:eastAsia="Times New Roman" w:cs="Arial"/>
          <w:lang w:eastAsia="es-MX"/>
        </w:rPr>
      </w:pPr>
    </w:p>
    <w:p w:rsidR="00AC6337" w:rsidP="00D6060E" w:rsidRDefault="00AC6337" w14:paraId="5C14AE2E" w14:textId="77777777">
      <w:pPr>
        <w:spacing w:before="100" w:beforeAutospacing="1" w:after="0" w:line="240" w:lineRule="auto"/>
        <w:rPr>
          <w:rFonts w:ascii="Arial" w:hAnsi="Arial" w:eastAsia="Times New Roman" w:cs="Arial"/>
          <w:lang w:eastAsia="es-MX"/>
        </w:rPr>
      </w:pPr>
    </w:p>
    <w:p w:rsidR="00AC6337" w:rsidP="00D6060E" w:rsidRDefault="00AC6337" w14:paraId="43796848" w14:textId="77777777">
      <w:pPr>
        <w:spacing w:before="100" w:beforeAutospacing="1" w:after="0" w:line="240" w:lineRule="auto"/>
        <w:rPr>
          <w:rFonts w:ascii="Arial" w:hAnsi="Arial" w:eastAsia="Times New Roman" w:cs="Arial"/>
          <w:lang w:eastAsia="es-MX"/>
        </w:rPr>
      </w:pPr>
    </w:p>
    <w:p w:rsidR="00AC6337" w:rsidP="00D6060E" w:rsidRDefault="00AC6337" w14:paraId="28389145" w14:textId="77777777">
      <w:pPr>
        <w:spacing w:before="100" w:beforeAutospacing="1" w:after="0" w:line="240" w:lineRule="auto"/>
        <w:rPr>
          <w:rFonts w:ascii="Arial" w:hAnsi="Arial" w:eastAsia="Times New Roman" w:cs="Arial"/>
          <w:lang w:eastAsia="es-MX"/>
        </w:rPr>
      </w:pPr>
    </w:p>
    <w:p w:rsidR="00AC6337" w:rsidP="00D6060E" w:rsidRDefault="00AC6337" w14:paraId="65F16FF7" w14:textId="77777777">
      <w:pPr>
        <w:spacing w:before="100" w:beforeAutospacing="1" w:after="0" w:line="240" w:lineRule="auto"/>
        <w:rPr>
          <w:rFonts w:ascii="Arial" w:hAnsi="Arial" w:eastAsia="Times New Roman" w:cs="Arial"/>
          <w:lang w:eastAsia="es-MX"/>
        </w:rPr>
      </w:pPr>
    </w:p>
    <w:p w:rsidR="00AC6337" w:rsidP="00D6060E" w:rsidRDefault="00AC6337" w14:paraId="01991449" w14:textId="77777777">
      <w:pPr>
        <w:spacing w:before="100" w:beforeAutospacing="1" w:after="0" w:line="240" w:lineRule="auto"/>
        <w:rPr>
          <w:rFonts w:ascii="Arial" w:hAnsi="Arial" w:eastAsia="Times New Roman" w:cs="Arial"/>
          <w:lang w:eastAsia="es-MX"/>
        </w:rPr>
      </w:pPr>
    </w:p>
    <w:p w:rsidRPr="005C2CB9" w:rsidR="00D6060E" w:rsidP="00D6060E" w:rsidRDefault="00D6060E" w14:paraId="577E0E3C" w14:textId="25105B5B">
      <w:pPr>
        <w:spacing w:before="100" w:beforeAutospacing="1" w:after="0" w:line="240" w:lineRule="auto"/>
        <w:rPr>
          <w:rFonts w:ascii="Arial" w:hAnsi="Arial" w:eastAsia="Times New Roman" w:cs="Arial"/>
          <w:sz w:val="24"/>
          <w:szCs w:val="24"/>
          <w:lang w:eastAsia="es-MX"/>
        </w:rPr>
      </w:pPr>
      <w:r w:rsidRPr="00437542">
        <w:rPr>
          <w:rFonts w:ascii="Arial" w:hAnsi="Arial" w:eastAsia="Times New Roman" w:cs="Arial"/>
          <w:lang w:eastAsia="es-MX"/>
        </w:rPr>
        <w:t xml:space="preserve">Bogotá D.C., </w:t>
      </w:r>
      <w:r w:rsidRPr="00292FFD" w:rsidR="00292FFD">
        <w:rPr>
          <w:rFonts w:ascii="Arial" w:hAnsi="Arial" w:eastAsia="Times New Roman" w:cs="Arial"/>
          <w:lang w:eastAsia="es-MX"/>
        </w:rPr>
        <w:t>23 de Mayo de 2023</w:t>
      </w:r>
    </w:p>
    <w:p w:rsidR="00D6060E" w:rsidP="00D6060E" w:rsidRDefault="00D6060E" w14:paraId="19F4EC84" w14:textId="77777777">
      <w:pPr>
        <w:spacing w:after="0" w:line="240" w:lineRule="auto"/>
        <w:jc w:val="right"/>
        <w:rPr>
          <w:rFonts w:ascii="Times New Roman" w:hAnsi="Times New Roman" w:eastAsia="Times New Roman" w:cs="Times New Roman"/>
          <w:sz w:val="24"/>
          <w:szCs w:val="24"/>
          <w:lang w:eastAsia="es-MX"/>
        </w:rPr>
      </w:pPr>
    </w:p>
    <w:p w:rsidRPr="00D86A6A" w:rsidR="00D6060E" w:rsidP="00D6060E" w:rsidRDefault="00292FFD" w14:paraId="642239D3" w14:textId="57A0418E">
      <w:pPr>
        <w:spacing w:after="0" w:line="240" w:lineRule="auto"/>
        <w:jc w:val="right"/>
        <w:rPr>
          <w:rFonts w:ascii="Times New Roman" w:hAnsi="Times New Roman" w:eastAsia="Times New Roman" w:cs="Times New Roman"/>
          <w:sz w:val="24"/>
          <w:szCs w:val="24"/>
          <w:lang w:eastAsia="es-MX"/>
        </w:rPr>
      </w:pPr>
      <w:r>
        <w:rPr>
          <w:rFonts w:ascii="Times New Roman" w:hAnsi="Times New Roman" w:eastAsia="Times New Roman" w:cs="Times New Roman"/>
          <w:noProof/>
          <w:sz w:val="24"/>
          <w:szCs w:val="24"/>
          <w:lang w:eastAsia="es-MX"/>
        </w:rPr>
        <w:drawing>
          <wp:inline distT="0" distB="0" distL="0" distR="0" wp14:anchorId="2810A5B9" wp14:editId="4E8706F3">
            <wp:extent cx="2543175" cy="593180"/>
            <wp:effectExtent l="0" t="0" r="0" b="0"/>
            <wp:docPr id="60910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0734" cy="601940"/>
                    </a:xfrm>
                    <a:prstGeom prst="rect">
                      <a:avLst/>
                    </a:prstGeom>
                    <a:noFill/>
                    <a:ln>
                      <a:noFill/>
                    </a:ln>
                  </pic:spPr>
                </pic:pic>
              </a:graphicData>
            </a:graphic>
          </wp:inline>
        </w:drawing>
      </w:r>
      <w:r w:rsidRPr="00BB3E1C" w:rsidR="00D6060E">
        <w:rPr>
          <w:rFonts w:ascii="Times New Roman" w:hAnsi="Times New Roman" w:eastAsia="Times New Roman" w:cs="Times New Roman"/>
          <w:sz w:val="24"/>
          <w:szCs w:val="24"/>
          <w:lang w:eastAsia="es-MX"/>
        </w:rPr>
        <w:fldChar w:fldCharType="begin"/>
      </w:r>
      <w:r w:rsidR="00BC79E2">
        <w:rPr>
          <w:rFonts w:ascii="Times New Roman" w:hAnsi="Times New Roman" w:eastAsia="Times New Roman" w:cs="Times New Roman"/>
          <w:sz w:val="24"/>
          <w:szCs w:val="24"/>
          <w:lang w:eastAsia="es-MX"/>
        </w:rPr>
        <w:instrText xml:space="preserve"> INCLUDEPICTURE "https://cceficiente.sharepoint.com/Users/cristiandiaz/Library/Group%20Containers/UBF8T346G9.ms/WebArchiveCopyPasteTempFiles/com.microsoft.Word/page1image13011392" \* MERGEFORMAT </w:instrText>
      </w:r>
      <w:r w:rsidR="00C5018B">
        <w:rPr>
          <w:rFonts w:ascii="Times New Roman" w:hAnsi="Times New Roman" w:eastAsia="Times New Roman" w:cs="Times New Roman"/>
          <w:sz w:val="24"/>
          <w:szCs w:val="24"/>
          <w:lang w:eastAsia="es-MX"/>
        </w:rPr>
        <w:fldChar w:fldCharType="separate"/>
      </w:r>
      <w:r w:rsidRPr="00BB3E1C" w:rsidR="00D6060E">
        <w:rPr>
          <w:rFonts w:ascii="Times New Roman" w:hAnsi="Times New Roman" w:eastAsia="Times New Roman" w:cs="Times New Roman"/>
          <w:sz w:val="24"/>
          <w:szCs w:val="24"/>
          <w:lang w:eastAsia="es-MX"/>
        </w:rPr>
        <w:fldChar w:fldCharType="end"/>
      </w:r>
    </w:p>
    <w:p w:rsidRPr="00FE5B2C" w:rsidR="00D6060E" w:rsidP="00D6060E" w:rsidRDefault="00D6060E" w14:paraId="1011447F" w14:textId="77777777">
      <w:pPr>
        <w:spacing w:after="0" w:line="240" w:lineRule="auto"/>
        <w:jc w:val="both"/>
        <w:rPr>
          <w:rFonts w:ascii="Arial" w:hAnsi="Arial" w:eastAsia="Calibri" w:cs="Arial"/>
          <w:color w:val="000000"/>
          <w:szCs w:val="24"/>
          <w:lang w:val="es-ES_tradnl" w:eastAsia="es-ES_tradnl"/>
        </w:rPr>
      </w:pPr>
      <w:bookmarkStart w:name="_Hlk100051121" w:id="1"/>
      <w:r w:rsidRPr="00FE5B2C">
        <w:rPr>
          <w:rFonts w:ascii="Arial" w:hAnsi="Arial" w:eastAsia="Calibri" w:cs="Arial"/>
          <w:color w:val="000000"/>
          <w:szCs w:val="24"/>
          <w:lang w:val="es-ES_tradnl" w:eastAsia="es-ES_tradnl"/>
        </w:rPr>
        <w:t>Señor</w:t>
      </w:r>
    </w:p>
    <w:p w:rsidRPr="00FE5B2C" w:rsidR="00D6060E" w:rsidP="00D6060E" w:rsidRDefault="00D6060E" w14:paraId="017D84BF" w14:textId="77777777">
      <w:pPr>
        <w:tabs>
          <w:tab w:val="center" w:pos="4394"/>
        </w:tabs>
        <w:spacing w:after="0" w:line="240" w:lineRule="auto"/>
        <w:jc w:val="both"/>
        <w:rPr>
          <w:rFonts w:ascii="Arial" w:hAnsi="Arial" w:eastAsia="Calibri" w:cs="Arial"/>
          <w:b/>
          <w:color w:val="000000"/>
          <w:szCs w:val="24"/>
          <w:lang w:val="es-ES_tradnl" w:eastAsia="es-ES_tradnl"/>
        </w:rPr>
      </w:pPr>
      <w:r w:rsidRPr="00B60F20">
        <w:rPr>
          <w:rFonts w:ascii="Arial" w:hAnsi="Arial" w:eastAsia="Calibri" w:cs="Arial"/>
          <w:b/>
          <w:color w:val="000000"/>
          <w:szCs w:val="24"/>
          <w:lang w:val="es-ES_tradnl" w:eastAsia="es-ES_tradnl"/>
        </w:rPr>
        <w:t>Andrés Felipe Gutiérrez</w:t>
      </w:r>
    </w:p>
    <w:p w:rsidRPr="00FE5B2C" w:rsidR="00D6060E" w:rsidP="00D6060E" w:rsidRDefault="00D6060E" w14:paraId="475A473D" w14:textId="77777777">
      <w:pPr>
        <w:spacing w:after="0" w:line="240" w:lineRule="auto"/>
        <w:rPr>
          <w:rFonts w:ascii="Arial" w:hAnsi="Arial" w:eastAsia="Calibri" w:cs="Arial"/>
          <w:b/>
          <w:bCs/>
          <w:color w:val="000000"/>
          <w:szCs w:val="24"/>
          <w:lang w:val="es-ES_tradnl" w:eastAsia="es-ES_tradnl"/>
        </w:rPr>
      </w:pPr>
      <w:r w:rsidRPr="00437542">
        <w:rPr>
          <w:rFonts w:ascii="Arial" w:hAnsi="Arial" w:eastAsia="Times New Roman" w:cs="Arial"/>
          <w:lang w:eastAsia="es-MX"/>
        </w:rPr>
        <w:t>Bogotá D.C.</w:t>
      </w:r>
    </w:p>
    <w:p w:rsidR="00D6060E" w:rsidP="00D6060E" w:rsidRDefault="00D6060E" w14:paraId="6D6BBD4F" w14:textId="77777777">
      <w:pPr>
        <w:spacing w:after="0" w:line="240" w:lineRule="auto"/>
        <w:rPr>
          <w:rFonts w:ascii="Arial" w:hAnsi="Arial" w:eastAsia="Calibri" w:cs="Arial"/>
          <w:b/>
          <w:bCs/>
          <w:color w:val="000000"/>
          <w:szCs w:val="24"/>
          <w:lang w:val="es-ES_tradnl" w:eastAsia="es-ES_tradnl"/>
        </w:rPr>
      </w:pPr>
    </w:p>
    <w:p w:rsidRPr="00FE5B2C" w:rsidR="00D6060E" w:rsidP="00D6060E" w:rsidRDefault="00D6060E" w14:paraId="594A764F" w14:textId="77777777">
      <w:pPr>
        <w:spacing w:after="0" w:line="240" w:lineRule="auto"/>
        <w:rPr>
          <w:rFonts w:ascii="Arial" w:hAnsi="Arial" w:eastAsia="Calibri" w:cs="Arial"/>
          <w:b/>
          <w:bCs/>
          <w:color w:val="000000"/>
          <w:szCs w:val="24"/>
          <w:lang w:val="es-ES_tradnl" w:eastAsia="es-ES_tradnl"/>
        </w:rPr>
      </w:pPr>
    </w:p>
    <w:p w:rsidRPr="00FE5B2C" w:rsidR="00D6060E" w:rsidP="00D6060E" w:rsidRDefault="00D6060E" w14:paraId="18A9A339" w14:textId="64E038F6">
      <w:pPr>
        <w:spacing w:after="0" w:line="240" w:lineRule="auto"/>
        <w:rPr>
          <w:rFonts w:ascii="Arial" w:hAnsi="Arial" w:eastAsia="Calibri" w:cs="Arial"/>
          <w:b/>
          <w:bCs/>
          <w:color w:val="000000"/>
          <w:szCs w:val="24"/>
          <w:lang w:val="es-ES_tradnl" w:eastAsia="es-ES_tradnl"/>
        </w:rPr>
      </w:pPr>
      <w:r>
        <w:rPr>
          <w:rFonts w:ascii="Arial" w:hAnsi="Arial" w:eastAsia="Calibri" w:cs="Arial"/>
          <w:b/>
          <w:bCs/>
          <w:color w:val="000000"/>
          <w:szCs w:val="24"/>
          <w:lang w:val="es-ES_tradnl" w:eastAsia="es-ES_tradnl"/>
        </w:rPr>
        <w:t xml:space="preserve">                      </w:t>
      </w:r>
      <w:r>
        <w:rPr>
          <w:rFonts w:ascii="Arial" w:hAnsi="Arial" w:eastAsia="Calibri" w:cs="Arial"/>
          <w:b/>
          <w:bCs/>
          <w:color w:val="000000"/>
          <w:szCs w:val="24"/>
          <w:lang w:val="es-ES_tradnl" w:eastAsia="es-ES_tradnl"/>
        </w:rPr>
        <w:tab/>
      </w:r>
      <w:r>
        <w:rPr>
          <w:rFonts w:ascii="Arial" w:hAnsi="Arial" w:eastAsia="Calibri" w:cs="Arial"/>
          <w:b/>
          <w:bCs/>
          <w:color w:val="000000"/>
          <w:szCs w:val="24"/>
          <w:lang w:val="es-ES_tradnl" w:eastAsia="es-ES_tradnl"/>
        </w:rPr>
        <w:tab/>
      </w:r>
      <w:r>
        <w:rPr>
          <w:rFonts w:ascii="Arial" w:hAnsi="Arial" w:eastAsia="Calibri" w:cs="Arial"/>
          <w:b/>
          <w:bCs/>
          <w:color w:val="000000"/>
          <w:szCs w:val="24"/>
          <w:lang w:val="es-ES_tradnl" w:eastAsia="es-ES_tradnl"/>
        </w:rPr>
        <w:t xml:space="preserve">         </w:t>
      </w:r>
      <w:r w:rsidRPr="00FE5B2C">
        <w:rPr>
          <w:rFonts w:ascii="Arial" w:hAnsi="Arial" w:eastAsia="Calibri" w:cs="Arial"/>
          <w:b/>
          <w:bCs/>
          <w:color w:val="000000"/>
          <w:szCs w:val="24"/>
          <w:lang w:val="es-ES_tradnl" w:eastAsia="es-ES_tradnl"/>
        </w:rPr>
        <w:t xml:space="preserve">Concepto C ‒ </w:t>
      </w:r>
      <w:r w:rsidR="008B5ECB">
        <w:rPr>
          <w:rFonts w:ascii="Arial" w:hAnsi="Arial" w:eastAsia="Calibri" w:cs="Arial"/>
          <w:b/>
          <w:bCs/>
          <w:color w:val="000000"/>
          <w:szCs w:val="24"/>
          <w:lang w:val="es-ES_tradnl" w:eastAsia="es-ES_tradnl"/>
        </w:rPr>
        <w:t>156</w:t>
      </w:r>
      <w:r w:rsidRPr="00FE5B2C" w:rsidR="008B5ECB">
        <w:rPr>
          <w:rFonts w:ascii="Arial" w:hAnsi="Arial" w:eastAsia="Calibri" w:cs="Arial"/>
          <w:b/>
          <w:bCs/>
          <w:color w:val="000000"/>
          <w:szCs w:val="24"/>
          <w:lang w:val="es-ES_tradnl" w:eastAsia="es-ES_tradnl"/>
        </w:rPr>
        <w:t xml:space="preserve"> </w:t>
      </w:r>
      <w:r w:rsidRPr="00FE5B2C">
        <w:rPr>
          <w:rFonts w:ascii="Arial" w:hAnsi="Arial" w:eastAsia="Calibri" w:cs="Arial"/>
          <w:b/>
          <w:bCs/>
          <w:color w:val="000000"/>
          <w:szCs w:val="24"/>
          <w:lang w:val="es-ES_tradnl" w:eastAsia="es-ES_tradnl"/>
        </w:rPr>
        <w:t>de 202</w:t>
      </w:r>
      <w:r w:rsidR="005500D5">
        <w:rPr>
          <w:rFonts w:ascii="Arial" w:hAnsi="Arial" w:eastAsia="Calibri" w:cs="Arial"/>
          <w:b/>
          <w:bCs/>
          <w:color w:val="000000"/>
          <w:szCs w:val="24"/>
          <w:lang w:val="es-ES_tradnl" w:eastAsia="es-ES_tradnl"/>
        </w:rPr>
        <w:t>3</w:t>
      </w:r>
    </w:p>
    <w:p w:rsidRPr="00FE5B2C" w:rsidR="00D6060E" w:rsidP="00D6060E" w:rsidRDefault="00D6060E" w14:paraId="3EE7721C" w14:textId="77777777">
      <w:pPr>
        <w:spacing w:after="0" w:line="240" w:lineRule="auto"/>
        <w:rPr>
          <w:rFonts w:ascii="Arial" w:hAnsi="Arial" w:eastAsia="Calibri" w:cs="Arial"/>
          <w:b/>
          <w:bCs/>
          <w:color w:val="000000"/>
          <w:szCs w:val="24"/>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E5B2C" w:rsidR="00D6060E" w:rsidTr="00532A88" w14:paraId="26C36535" w14:textId="77777777">
        <w:trPr>
          <w:trHeight w:val="884"/>
        </w:trPr>
        <w:tc>
          <w:tcPr>
            <w:tcW w:w="2689" w:type="dxa"/>
          </w:tcPr>
          <w:p w:rsidRPr="00FE5B2C" w:rsidR="00D6060E" w:rsidP="00532A88" w:rsidRDefault="00D6060E" w14:paraId="5011830C" w14:textId="77777777">
            <w:pPr>
              <w:jc w:val="both"/>
              <w:rPr>
                <w:rFonts w:ascii="Arial" w:hAnsi="Arial" w:eastAsia="Calibri" w:cs="Arial"/>
                <w:color w:val="000000"/>
                <w:szCs w:val="24"/>
                <w:lang w:val="es-ES_tradnl" w:eastAsia="es-ES_tradnl"/>
              </w:rPr>
            </w:pPr>
            <w:r w:rsidRPr="00FE5B2C">
              <w:rPr>
                <w:rFonts w:ascii="Arial" w:hAnsi="Arial" w:eastAsia="Calibri" w:cs="Arial"/>
                <w:b/>
                <w:color w:val="000000"/>
                <w:szCs w:val="24"/>
                <w:lang w:val="es-ES_tradnl" w:eastAsia="es-ES_tradnl"/>
              </w:rPr>
              <w:t>Temas:</w:t>
            </w:r>
            <w:r>
              <w:rPr>
                <w:rFonts w:ascii="Arial" w:hAnsi="Arial" w:eastAsia="Calibri" w:cs="Arial"/>
                <w:color w:val="000000"/>
                <w:szCs w:val="24"/>
                <w:lang w:val="es-ES_tradnl" w:eastAsia="es-ES_tradnl"/>
              </w:rPr>
              <w:t xml:space="preserve">         </w:t>
            </w:r>
            <w:r w:rsidRPr="00FE5B2C">
              <w:rPr>
                <w:rFonts w:ascii="Arial" w:hAnsi="Arial" w:eastAsia="Calibri" w:cs="Arial"/>
                <w:color w:val="000000"/>
                <w:szCs w:val="24"/>
                <w:lang w:val="es-ES_tradnl" w:eastAsia="es-ES_tradnl"/>
              </w:rPr>
              <w:t xml:space="preserve"> </w:t>
            </w:r>
          </w:p>
        </w:tc>
        <w:tc>
          <w:tcPr>
            <w:tcW w:w="6237" w:type="dxa"/>
          </w:tcPr>
          <w:p w:rsidRPr="00FE5B2C" w:rsidR="00D6060E" w:rsidP="00532A88" w:rsidRDefault="00D6060E" w14:paraId="4ADD4C42" w14:textId="77777777">
            <w:pPr>
              <w:jc w:val="both"/>
              <w:rPr>
                <w:rFonts w:ascii="Arial" w:hAnsi="Arial" w:eastAsia="Calibri" w:cs="Arial"/>
                <w:bCs/>
                <w:szCs w:val="24"/>
                <w:lang w:val="es-ES_tradnl" w:eastAsia="es-ES_tradnl"/>
              </w:rPr>
            </w:pPr>
            <w:r w:rsidRPr="00FE5B2C">
              <w:rPr>
                <w:rFonts w:ascii="Arial" w:hAnsi="Arial" w:eastAsia="Calibri" w:cs="Arial"/>
                <w:color w:val="000000"/>
                <w:szCs w:val="24"/>
                <w:lang w:val="es-ES_tradnl" w:eastAsia="es-ES_tradnl"/>
              </w:rPr>
              <w:t xml:space="preserve">CONTRATO DE PRESTACIÓN DE SERVICIOS ― Concepto ― Requisitos y límites para su celebración </w:t>
            </w:r>
            <w:r>
              <w:rPr>
                <w:rFonts w:ascii="Arial" w:hAnsi="Arial" w:eastAsia="Calibri" w:cs="Arial"/>
                <w:color w:val="000000"/>
                <w:szCs w:val="24"/>
                <w:lang w:val="es-ES_tradnl" w:eastAsia="es-ES_tradnl"/>
              </w:rPr>
              <w:t xml:space="preserve">/ </w:t>
            </w:r>
            <w:r w:rsidRPr="00FE5B2C">
              <w:rPr>
                <w:rFonts w:ascii="Arial" w:hAnsi="Arial" w:eastAsia="Calibri" w:cs="Arial"/>
                <w:color w:val="000000"/>
                <w:szCs w:val="24"/>
                <w:lang w:val="es-ES_tradnl" w:eastAsia="es-ES_tradnl"/>
              </w:rPr>
              <w:t>DESCONEXIÓN LABORAL – Ley 2191 de 2022 – Alcance</w:t>
            </w:r>
            <w:r>
              <w:rPr>
                <w:rFonts w:ascii="Arial" w:hAnsi="Arial" w:eastAsia="Calibri" w:cs="Arial"/>
                <w:color w:val="000000"/>
                <w:szCs w:val="24"/>
                <w:lang w:val="es-ES_tradnl" w:eastAsia="es-ES_tradnl"/>
              </w:rPr>
              <w:t xml:space="preserve"> / </w:t>
            </w:r>
            <w:r w:rsidRPr="00FE5B2C">
              <w:rPr>
                <w:rFonts w:ascii="Arial" w:hAnsi="Arial" w:eastAsia="Calibri" w:cs="Arial"/>
                <w:color w:val="000000"/>
                <w:szCs w:val="24"/>
                <w:lang w:val="es-ES_tradnl" w:eastAsia="es-ES_tradnl"/>
              </w:rPr>
              <w:t>DESCONEXIÓN LABORAL – Ley 2191 de 2022 – Inaplicación – Relaciones no laborales</w:t>
            </w:r>
          </w:p>
        </w:tc>
      </w:tr>
      <w:tr w:rsidRPr="00FE5B2C" w:rsidR="00D6060E" w:rsidTr="00532A88" w14:paraId="7EBBE380" w14:textId="77777777">
        <w:tc>
          <w:tcPr>
            <w:tcW w:w="2689" w:type="dxa"/>
          </w:tcPr>
          <w:p w:rsidRPr="00FE5B2C" w:rsidR="00D6060E" w:rsidP="00532A88" w:rsidRDefault="00D6060E" w14:paraId="310E64F1" w14:textId="77777777">
            <w:pPr>
              <w:spacing w:before="120"/>
              <w:jc w:val="both"/>
              <w:rPr>
                <w:rFonts w:ascii="Arial" w:hAnsi="Arial" w:eastAsia="Calibri" w:cs="Arial"/>
                <w:b/>
                <w:color w:val="000000"/>
                <w:szCs w:val="24"/>
                <w:lang w:val="es-ES_tradnl" w:eastAsia="es-ES_tradnl"/>
              </w:rPr>
            </w:pPr>
            <w:r w:rsidRPr="00FE5B2C">
              <w:rPr>
                <w:rFonts w:ascii="Arial" w:hAnsi="Arial" w:eastAsia="Calibri" w:cs="Arial"/>
                <w:b/>
                <w:color w:val="000000"/>
                <w:szCs w:val="24"/>
                <w:lang w:val="es-ES_tradnl" w:eastAsia="es-ES_tradnl"/>
              </w:rPr>
              <w:t>Radicación:</w:t>
            </w:r>
            <w:r>
              <w:rPr>
                <w:rFonts w:ascii="Arial" w:hAnsi="Arial" w:eastAsia="Calibri" w:cs="Arial"/>
                <w:color w:val="000000"/>
                <w:szCs w:val="24"/>
                <w:lang w:val="es-ES_tradnl" w:eastAsia="es-ES_tradnl"/>
              </w:rPr>
              <w:t xml:space="preserve">       </w:t>
            </w:r>
            <w:r w:rsidRPr="00FE5B2C">
              <w:rPr>
                <w:rFonts w:ascii="Arial" w:hAnsi="Arial" w:eastAsia="Calibri" w:cs="Arial"/>
                <w:color w:val="000000"/>
                <w:szCs w:val="24"/>
                <w:lang w:val="es-ES_tradnl" w:eastAsia="es-ES_tradnl"/>
              </w:rPr>
              <w:t xml:space="preserve"> </w:t>
            </w:r>
          </w:p>
        </w:tc>
        <w:tc>
          <w:tcPr>
            <w:tcW w:w="6237" w:type="dxa"/>
          </w:tcPr>
          <w:p w:rsidRPr="00FE5B2C" w:rsidR="00D6060E" w:rsidP="00532A88" w:rsidRDefault="00D6060E" w14:paraId="10433E5B" w14:textId="77777777">
            <w:pPr>
              <w:spacing w:before="120"/>
              <w:jc w:val="both"/>
              <w:rPr>
                <w:rFonts w:ascii="Arial" w:hAnsi="Arial" w:eastAsia="Calibri" w:cs="Arial"/>
                <w:color w:val="000000"/>
                <w:szCs w:val="24"/>
                <w:lang w:val="es-ES_tradnl" w:eastAsia="es-ES_tradnl"/>
              </w:rPr>
            </w:pPr>
            <w:r w:rsidRPr="00FE5B2C">
              <w:rPr>
                <w:rFonts w:ascii="Arial" w:hAnsi="Arial" w:eastAsia="Calibri" w:cs="Arial"/>
                <w:color w:val="000000"/>
                <w:szCs w:val="24"/>
                <w:lang w:val="es-ES_tradnl" w:eastAsia="es-ES_tradnl"/>
              </w:rPr>
              <w:t xml:space="preserve">Respuesta a consulta </w:t>
            </w:r>
            <w:r w:rsidRPr="00D86A6A">
              <w:rPr>
                <w:rFonts w:ascii="Arial" w:hAnsi="Arial" w:eastAsia="Calibri" w:cs="Arial"/>
                <w:color w:val="000000"/>
                <w:szCs w:val="24"/>
                <w:lang w:val="es-ES_tradnl" w:eastAsia="es-ES_tradnl"/>
              </w:rPr>
              <w:t>P20230419003487</w:t>
            </w:r>
          </w:p>
        </w:tc>
      </w:tr>
    </w:tbl>
    <w:p w:rsidRPr="00FE5B2C" w:rsidR="00D6060E" w:rsidP="00D6060E" w:rsidRDefault="00D6060E" w14:paraId="0913996B" w14:textId="77777777">
      <w:pPr>
        <w:spacing w:after="0" w:line="240" w:lineRule="auto"/>
        <w:jc w:val="both"/>
        <w:rPr>
          <w:rFonts w:ascii="Arial" w:hAnsi="Arial" w:eastAsia="Calibri" w:cs="Arial"/>
          <w:color w:val="000000"/>
          <w:szCs w:val="24"/>
          <w:lang w:val="es-ES_tradnl" w:eastAsia="es-ES_tradnl"/>
        </w:rPr>
      </w:pPr>
    </w:p>
    <w:p w:rsidRPr="00FE5B2C" w:rsidR="00D6060E" w:rsidP="00D6060E" w:rsidRDefault="00D6060E" w14:paraId="4FF15159" w14:textId="77777777">
      <w:pPr>
        <w:spacing w:after="0" w:line="240" w:lineRule="auto"/>
        <w:jc w:val="both"/>
        <w:rPr>
          <w:rFonts w:ascii="Arial" w:hAnsi="Arial" w:eastAsia="Calibri" w:cs="Arial"/>
          <w:color w:val="000000"/>
          <w:szCs w:val="24"/>
          <w:lang w:val="es-ES_tradnl" w:eastAsia="es-ES_tradnl"/>
        </w:rPr>
      </w:pPr>
    </w:p>
    <w:p w:rsidRPr="00FE5B2C" w:rsidR="00D6060E" w:rsidP="00D6060E" w:rsidRDefault="00D6060E" w14:paraId="77CA9500" w14:textId="77777777">
      <w:pPr>
        <w:spacing w:after="0" w:line="240" w:lineRule="auto"/>
        <w:jc w:val="both"/>
        <w:rPr>
          <w:rFonts w:ascii="Arial" w:hAnsi="Arial" w:eastAsia="Calibri" w:cs="Arial"/>
          <w:color w:val="000000"/>
          <w:szCs w:val="24"/>
          <w:lang w:val="es-ES_tradnl" w:eastAsia="es-ES_tradnl"/>
        </w:rPr>
      </w:pPr>
      <w:r w:rsidRPr="00FE5B2C">
        <w:rPr>
          <w:rFonts w:ascii="Arial" w:hAnsi="Arial" w:eastAsia="Calibri" w:cs="Arial"/>
          <w:color w:val="000000"/>
          <w:szCs w:val="24"/>
          <w:lang w:val="es-ES_tradnl" w:eastAsia="es-ES_tradnl"/>
        </w:rPr>
        <w:t xml:space="preserve">Estimado señor </w:t>
      </w:r>
      <w:r w:rsidRPr="00B60F20">
        <w:rPr>
          <w:rFonts w:ascii="Arial" w:hAnsi="Arial" w:eastAsia="Calibri" w:cs="Arial"/>
          <w:color w:val="000000"/>
          <w:szCs w:val="24"/>
          <w:lang w:val="es-ES_tradnl" w:eastAsia="es-ES_tradnl"/>
        </w:rPr>
        <w:t>Gutiérrez</w:t>
      </w:r>
      <w:r w:rsidRPr="00FE5B2C">
        <w:rPr>
          <w:rFonts w:ascii="Arial" w:hAnsi="Arial" w:eastAsia="Calibri" w:cs="Arial"/>
          <w:color w:val="000000"/>
          <w:szCs w:val="24"/>
          <w:lang w:val="es-ES_tradnl" w:eastAsia="es-ES_tradnl"/>
        </w:rPr>
        <w:t xml:space="preserve">: </w:t>
      </w:r>
    </w:p>
    <w:p w:rsidRPr="00FE5B2C" w:rsidR="00D6060E" w:rsidP="00D6060E" w:rsidRDefault="00D6060E" w14:paraId="31C320C1" w14:textId="77777777">
      <w:pPr>
        <w:spacing w:after="0" w:line="240" w:lineRule="auto"/>
        <w:jc w:val="both"/>
        <w:rPr>
          <w:rFonts w:ascii="Arial" w:hAnsi="Arial" w:eastAsia="Calibri" w:cs="Arial"/>
          <w:color w:val="000000"/>
          <w:szCs w:val="24"/>
          <w:lang w:val="es-ES_tradnl" w:eastAsia="es-ES_tradnl"/>
        </w:rPr>
      </w:pPr>
    </w:p>
    <w:p w:rsidRPr="00D86A6A" w:rsidR="00D6060E" w:rsidP="00D6060E" w:rsidRDefault="00D6060E" w14:paraId="25CC5A6A" w14:textId="77777777">
      <w:pPr>
        <w:spacing w:after="0" w:line="276" w:lineRule="auto"/>
        <w:jc w:val="both"/>
        <w:rPr>
          <w:rFonts w:ascii="Arial" w:hAnsi="Arial" w:eastAsia="Calibri" w:cs="Arial"/>
          <w:color w:val="000000" w:themeColor="text1"/>
          <w:lang w:val="es-ES_tradnl"/>
        </w:rPr>
      </w:pPr>
      <w:r w:rsidRPr="00FE5B2C">
        <w:rPr>
          <w:rFonts w:ascii="Arial" w:hAnsi="Arial" w:eastAsia="Calibri" w:cs="Arial"/>
          <w:color w:val="000000"/>
          <w:szCs w:val="24"/>
          <w:lang w:val="es-ES_tradnl" w:eastAsia="es-ES_tradnl"/>
        </w:rPr>
        <w:t>En ejercicio de la competencia otorgada por el numeral 8 del artículo 11 y el numeral 5 del artículo 3 del Decreto Ley 4170 de 2011,</w:t>
      </w:r>
      <w:r w:rsidRPr="00FE5B2C">
        <w:rPr>
          <w:rFonts w:ascii="Arial" w:hAnsi="Arial" w:eastAsia="Arial MT" w:cs="Arial"/>
          <w:szCs w:val="24"/>
          <w:lang w:val="es-ES_tradnl" w:eastAsia="es-ES_tradnl"/>
        </w:rPr>
        <w:t xml:space="preserve"> </w:t>
      </w:r>
      <w:r w:rsidRPr="00FE5B2C">
        <w:rPr>
          <w:rFonts w:ascii="Arial" w:hAnsi="Arial" w:eastAsia="Calibri" w:cs="Arial"/>
          <w:color w:val="000000"/>
          <w:szCs w:val="24"/>
          <w:lang w:val="es-ES_tradnl" w:eastAsia="es-ES_tradnl"/>
        </w:rPr>
        <w:t xml:space="preserve">la Agencia Nacional de Contratación Pública – Colombia Compra Eficiente </w:t>
      </w:r>
      <w:r w:rsidRPr="00504597">
        <w:rPr>
          <w:rFonts w:ascii="Arial" w:hAnsi="Arial" w:eastAsia="Calibri" w:cs="Arial"/>
          <w:color w:val="000000" w:themeColor="text1"/>
          <w:lang w:val="es-ES_tradnl"/>
        </w:rPr>
        <w:t xml:space="preserve">responde </w:t>
      </w:r>
      <w:r>
        <w:rPr>
          <w:rFonts w:ascii="Arial" w:hAnsi="Arial" w:eastAsia="Calibri" w:cs="Arial"/>
          <w:color w:val="000000" w:themeColor="text1"/>
          <w:lang w:val="es-ES_tradnl"/>
        </w:rPr>
        <w:t>la</w:t>
      </w:r>
      <w:r w:rsidRPr="00504597">
        <w:rPr>
          <w:rFonts w:ascii="Arial" w:hAnsi="Arial" w:eastAsia="Calibri" w:cs="Arial"/>
          <w:color w:val="000000" w:themeColor="text1"/>
          <w:lang w:val="es-ES_tradnl"/>
        </w:rPr>
        <w:t xml:space="preserve"> consulta </w:t>
      </w:r>
      <w:r>
        <w:rPr>
          <w:rFonts w:ascii="Arial" w:hAnsi="Arial" w:eastAsia="Calibri" w:cs="Arial"/>
          <w:color w:val="000000" w:themeColor="text1"/>
          <w:lang w:val="es-ES_tradnl"/>
        </w:rPr>
        <w:t xml:space="preserve">radicada </w:t>
      </w:r>
      <w:r w:rsidRPr="00504597">
        <w:rPr>
          <w:rFonts w:ascii="Arial" w:hAnsi="Arial" w:eastAsia="Calibri" w:cs="Arial"/>
          <w:color w:val="000000" w:themeColor="text1"/>
          <w:lang w:val="es-ES_tradnl"/>
        </w:rPr>
        <w:t xml:space="preserve">el </w:t>
      </w:r>
      <w:r>
        <w:rPr>
          <w:rFonts w:ascii="Arial" w:hAnsi="Arial" w:eastAsia="Calibri" w:cs="Arial"/>
          <w:color w:val="000000" w:themeColor="text1"/>
          <w:lang w:val="es-ES_tradnl"/>
        </w:rPr>
        <w:t>12 de abril de 2023, la cual –de acuerdo con el artículo 21 de la Ley 1437 de 2011– fue remitida por la Procuraduría General de la República mediante correo electrónico del 19 de abril de la presente anualidad</w:t>
      </w:r>
      <w:r w:rsidRPr="00FE5B2C">
        <w:rPr>
          <w:rFonts w:ascii="Arial" w:hAnsi="Arial" w:eastAsia="Calibri" w:cs="Arial"/>
          <w:color w:val="000000"/>
          <w:szCs w:val="24"/>
          <w:lang w:val="es-ES_tradnl" w:eastAsia="es-ES_tradnl"/>
        </w:rPr>
        <w:t>.</w:t>
      </w:r>
    </w:p>
    <w:p w:rsidRPr="00FE5B2C" w:rsidR="00D6060E" w:rsidP="00D6060E" w:rsidRDefault="00D6060E" w14:paraId="2BB5673B" w14:textId="77777777">
      <w:pPr>
        <w:tabs>
          <w:tab w:val="left" w:pos="426"/>
        </w:tabs>
        <w:spacing w:after="0" w:line="276" w:lineRule="auto"/>
        <w:jc w:val="both"/>
        <w:rPr>
          <w:rFonts w:ascii="Arial" w:hAnsi="Arial" w:eastAsia="Calibri" w:cs="Arial"/>
          <w:color w:val="000000"/>
          <w:lang w:val="es-ES_tradnl"/>
        </w:rPr>
      </w:pPr>
    </w:p>
    <w:p w:rsidRPr="00FE5B2C" w:rsidR="00D6060E" w:rsidP="00D6060E" w:rsidRDefault="00D6060E" w14:paraId="69460A4A" w14:textId="77777777">
      <w:pPr>
        <w:numPr>
          <w:ilvl w:val="0"/>
          <w:numId w:val="4"/>
        </w:numPr>
        <w:tabs>
          <w:tab w:val="left" w:pos="284"/>
        </w:tabs>
        <w:spacing w:after="0" w:line="276" w:lineRule="auto"/>
        <w:ind w:left="0" w:firstLine="0"/>
        <w:contextualSpacing/>
        <w:jc w:val="both"/>
        <w:rPr>
          <w:rFonts w:ascii="Arial" w:hAnsi="Arial" w:eastAsia="Calibri" w:cs="Arial"/>
          <w:b/>
          <w:color w:val="000000"/>
          <w:lang w:val="es-ES_tradnl"/>
        </w:rPr>
      </w:pPr>
      <w:r w:rsidRPr="00FE5B2C">
        <w:rPr>
          <w:rFonts w:ascii="Arial" w:hAnsi="Arial" w:eastAsia="Calibri" w:cs="Arial"/>
          <w:b/>
          <w:color w:val="000000"/>
          <w:lang w:val="es-ES_tradnl"/>
        </w:rPr>
        <w:t xml:space="preserve">Problema planteado </w:t>
      </w:r>
    </w:p>
    <w:p w:rsidRPr="00FE5B2C" w:rsidR="00D6060E" w:rsidP="00D6060E" w:rsidRDefault="00D6060E" w14:paraId="3F059A24" w14:textId="77777777">
      <w:pPr>
        <w:tabs>
          <w:tab w:val="left" w:pos="426"/>
        </w:tabs>
        <w:spacing w:after="0" w:line="276" w:lineRule="auto"/>
        <w:jc w:val="both"/>
        <w:rPr>
          <w:rFonts w:ascii="Arial" w:hAnsi="Arial" w:eastAsia="Calibri" w:cs="Arial"/>
          <w:b/>
          <w:color w:val="000000"/>
          <w:lang w:val="es-ES_tradnl"/>
        </w:rPr>
      </w:pPr>
    </w:p>
    <w:p w:rsidRPr="00FE5B2C" w:rsidR="00D6060E" w:rsidP="00D6060E" w:rsidRDefault="00D6060E" w14:paraId="54F72813" w14:textId="77777777">
      <w:pPr>
        <w:tabs>
          <w:tab w:val="left" w:pos="426"/>
        </w:tabs>
        <w:spacing w:after="0" w:line="276" w:lineRule="auto"/>
        <w:jc w:val="both"/>
        <w:rPr>
          <w:rFonts w:ascii="Arial" w:hAnsi="Arial" w:eastAsia="Calibri" w:cs="Arial"/>
          <w:color w:val="000000"/>
          <w:lang w:val="es-ES_tradnl"/>
        </w:rPr>
      </w:pPr>
      <w:r w:rsidRPr="00FE5B2C">
        <w:rPr>
          <w:rFonts w:ascii="Arial" w:hAnsi="Arial" w:eastAsia="Calibri" w:cs="Arial"/>
          <w:color w:val="000000"/>
          <w:lang w:val="es-ES_tradnl"/>
        </w:rPr>
        <w:t xml:space="preserve">Usted realiza la siguiente </w:t>
      </w:r>
      <w:r>
        <w:rPr>
          <w:rFonts w:ascii="Arial" w:hAnsi="Arial" w:eastAsia="Calibri" w:cs="Arial"/>
          <w:color w:val="000000"/>
          <w:lang w:val="es-ES_tradnl"/>
        </w:rPr>
        <w:t>pregunta</w:t>
      </w:r>
      <w:r w:rsidRPr="00FE5B2C">
        <w:rPr>
          <w:rFonts w:ascii="Arial" w:hAnsi="Arial" w:eastAsia="Calibri" w:cs="Arial"/>
          <w:color w:val="000000"/>
          <w:lang w:val="es-ES_tradnl"/>
        </w:rPr>
        <w:t>:</w:t>
      </w:r>
      <w:r>
        <w:rPr>
          <w:rFonts w:ascii="Arial" w:hAnsi="Arial" w:eastAsia="Calibri" w:cs="Arial"/>
          <w:color w:val="000000"/>
          <w:lang w:val="es-ES_tradnl"/>
        </w:rPr>
        <w:t xml:space="preserve"> </w:t>
      </w:r>
      <w:bookmarkStart w:name="_Hlk133234207" w:id="2"/>
      <w:r>
        <w:rPr>
          <w:rFonts w:ascii="Arial" w:hAnsi="Arial" w:eastAsia="Calibri" w:cs="Arial"/>
          <w:color w:val="000000"/>
          <w:lang w:val="es-ES_tradnl"/>
        </w:rPr>
        <w:t>“[…] ¿</w:t>
      </w:r>
      <w:r w:rsidRPr="0097204B">
        <w:rPr>
          <w:rFonts w:ascii="Arial" w:hAnsi="Arial" w:eastAsia="Calibri" w:cs="Arial"/>
          <w:color w:val="000000"/>
          <w:lang w:val="es-ES_tradnl"/>
        </w:rPr>
        <w:t>la</w:t>
      </w:r>
      <w:r>
        <w:rPr>
          <w:rFonts w:ascii="Arial" w:hAnsi="Arial" w:eastAsia="Calibri" w:cs="Arial"/>
          <w:color w:val="000000"/>
          <w:lang w:val="es-ES_tradnl"/>
        </w:rPr>
        <w:t xml:space="preserve"> </w:t>
      </w:r>
      <w:r w:rsidRPr="0097204B">
        <w:rPr>
          <w:rFonts w:ascii="Arial" w:hAnsi="Arial" w:eastAsia="Calibri" w:cs="Arial"/>
          <w:color w:val="000000"/>
          <w:lang w:val="es-ES_tradnl"/>
        </w:rPr>
        <w:t>Ley</w:t>
      </w:r>
      <w:r>
        <w:rPr>
          <w:rFonts w:ascii="Arial" w:hAnsi="Arial" w:eastAsia="Calibri" w:cs="Arial"/>
          <w:color w:val="000000"/>
          <w:lang w:val="es-ES_tradnl"/>
        </w:rPr>
        <w:t xml:space="preserve"> </w:t>
      </w:r>
      <w:r w:rsidRPr="0097204B">
        <w:rPr>
          <w:rFonts w:ascii="Arial" w:hAnsi="Arial" w:eastAsia="Calibri" w:cs="Arial"/>
          <w:color w:val="000000"/>
          <w:lang w:val="es-ES_tradnl"/>
        </w:rPr>
        <w:t>de</w:t>
      </w:r>
      <w:r>
        <w:rPr>
          <w:rFonts w:ascii="Arial" w:hAnsi="Arial" w:eastAsia="Calibri" w:cs="Arial"/>
          <w:color w:val="000000"/>
          <w:lang w:val="es-ES_tradnl"/>
        </w:rPr>
        <w:t xml:space="preserve"> </w:t>
      </w:r>
      <w:r w:rsidRPr="0097204B">
        <w:rPr>
          <w:rFonts w:ascii="Arial" w:hAnsi="Arial" w:eastAsia="Calibri" w:cs="Arial"/>
          <w:color w:val="000000"/>
          <w:lang w:val="es-ES_tradnl"/>
        </w:rPr>
        <w:t>Desconexión</w:t>
      </w:r>
      <w:r>
        <w:rPr>
          <w:rFonts w:ascii="Arial" w:hAnsi="Arial" w:eastAsia="Calibri" w:cs="Arial"/>
          <w:color w:val="000000"/>
          <w:lang w:val="es-ES_tradnl"/>
        </w:rPr>
        <w:t xml:space="preserve"> </w:t>
      </w:r>
      <w:r w:rsidRPr="0097204B">
        <w:rPr>
          <w:rFonts w:ascii="Arial" w:hAnsi="Arial" w:eastAsia="Calibri" w:cs="Arial"/>
          <w:color w:val="000000"/>
          <w:lang w:val="es-ES_tradnl"/>
        </w:rPr>
        <w:t>Laboral</w:t>
      </w:r>
      <w:r>
        <w:rPr>
          <w:rFonts w:ascii="Arial" w:hAnsi="Arial" w:eastAsia="Calibri" w:cs="Arial"/>
          <w:color w:val="000000"/>
          <w:lang w:val="es-ES_tradnl"/>
        </w:rPr>
        <w:t xml:space="preserve"> </w:t>
      </w:r>
      <w:r w:rsidRPr="0097204B">
        <w:rPr>
          <w:rFonts w:ascii="Arial" w:hAnsi="Arial" w:eastAsia="Calibri" w:cs="Arial"/>
          <w:color w:val="000000"/>
          <w:lang w:val="es-ES_tradnl"/>
        </w:rPr>
        <w:t>aplica</w:t>
      </w:r>
      <w:r>
        <w:rPr>
          <w:rFonts w:ascii="Arial" w:hAnsi="Arial" w:eastAsia="Calibri" w:cs="Arial"/>
          <w:color w:val="000000"/>
          <w:lang w:val="es-ES_tradnl"/>
        </w:rPr>
        <w:t xml:space="preserve"> </w:t>
      </w:r>
      <w:r w:rsidRPr="0097204B">
        <w:rPr>
          <w:rFonts w:ascii="Arial" w:hAnsi="Arial" w:eastAsia="Calibri" w:cs="Arial"/>
          <w:color w:val="000000"/>
          <w:lang w:val="es-ES_tradnl"/>
        </w:rPr>
        <w:t>para</w:t>
      </w:r>
      <w:r>
        <w:rPr>
          <w:rFonts w:ascii="Arial" w:hAnsi="Arial" w:eastAsia="Calibri" w:cs="Arial"/>
          <w:color w:val="000000"/>
          <w:lang w:val="es-ES_tradnl"/>
        </w:rPr>
        <w:t xml:space="preserve"> </w:t>
      </w:r>
      <w:r w:rsidRPr="0097204B">
        <w:rPr>
          <w:rFonts w:ascii="Arial" w:hAnsi="Arial" w:eastAsia="Calibri" w:cs="Arial"/>
          <w:color w:val="000000"/>
          <w:lang w:val="es-ES_tradnl"/>
        </w:rPr>
        <w:t>personas</w:t>
      </w:r>
      <w:r>
        <w:rPr>
          <w:rFonts w:ascii="Arial" w:hAnsi="Arial" w:eastAsia="Calibri" w:cs="Arial"/>
          <w:color w:val="000000"/>
          <w:lang w:val="es-ES_tradnl"/>
        </w:rPr>
        <w:t xml:space="preserve"> </w:t>
      </w:r>
      <w:r w:rsidRPr="0097204B">
        <w:rPr>
          <w:rFonts w:ascii="Arial" w:hAnsi="Arial" w:eastAsia="Calibri" w:cs="Arial"/>
          <w:color w:val="000000"/>
          <w:lang w:val="es-ES_tradnl"/>
        </w:rPr>
        <w:t>contratadas</w:t>
      </w:r>
      <w:r>
        <w:rPr>
          <w:rFonts w:ascii="Arial" w:hAnsi="Arial" w:eastAsia="Calibri" w:cs="Arial"/>
          <w:color w:val="000000"/>
          <w:lang w:val="es-ES_tradnl"/>
        </w:rPr>
        <w:t xml:space="preserve"> </w:t>
      </w:r>
      <w:r w:rsidRPr="0097204B">
        <w:rPr>
          <w:rFonts w:ascii="Arial" w:hAnsi="Arial" w:eastAsia="Calibri" w:cs="Arial"/>
          <w:color w:val="000000"/>
          <w:lang w:val="es-ES_tradnl"/>
        </w:rPr>
        <w:t>bajo</w:t>
      </w:r>
      <w:r>
        <w:rPr>
          <w:rFonts w:ascii="Arial" w:hAnsi="Arial" w:eastAsia="Calibri" w:cs="Arial"/>
          <w:color w:val="000000"/>
          <w:lang w:val="es-ES_tradnl"/>
        </w:rPr>
        <w:t xml:space="preserve"> </w:t>
      </w:r>
      <w:r w:rsidRPr="0097204B">
        <w:rPr>
          <w:rFonts w:ascii="Arial" w:hAnsi="Arial" w:eastAsia="Calibri" w:cs="Arial"/>
          <w:color w:val="000000"/>
          <w:lang w:val="es-ES_tradnl"/>
        </w:rPr>
        <w:t>modalidad</w:t>
      </w:r>
      <w:r>
        <w:rPr>
          <w:rFonts w:ascii="Arial" w:hAnsi="Arial" w:eastAsia="Calibri" w:cs="Arial"/>
          <w:color w:val="000000"/>
          <w:lang w:val="es-ES_tradnl"/>
        </w:rPr>
        <w:t xml:space="preserve"> </w:t>
      </w:r>
      <w:r w:rsidRPr="0097204B">
        <w:rPr>
          <w:rFonts w:ascii="Arial" w:hAnsi="Arial" w:eastAsia="Calibri" w:cs="Arial"/>
          <w:color w:val="000000"/>
          <w:lang w:val="es-ES_tradnl"/>
        </w:rPr>
        <w:t>prestación</w:t>
      </w:r>
      <w:r>
        <w:rPr>
          <w:rFonts w:ascii="Arial" w:hAnsi="Arial" w:eastAsia="Calibri" w:cs="Arial"/>
          <w:color w:val="000000"/>
          <w:lang w:val="es-ES_tradnl"/>
        </w:rPr>
        <w:t xml:space="preserve"> </w:t>
      </w:r>
      <w:r w:rsidRPr="0097204B">
        <w:rPr>
          <w:rFonts w:ascii="Arial" w:hAnsi="Arial" w:eastAsia="Calibri" w:cs="Arial"/>
          <w:color w:val="000000"/>
          <w:lang w:val="es-ES_tradnl"/>
        </w:rPr>
        <w:t>de</w:t>
      </w:r>
      <w:r>
        <w:rPr>
          <w:rFonts w:ascii="Arial" w:hAnsi="Arial" w:eastAsia="Calibri" w:cs="Arial"/>
          <w:color w:val="000000"/>
          <w:lang w:val="es-ES_tradnl"/>
        </w:rPr>
        <w:t xml:space="preserve"> </w:t>
      </w:r>
      <w:r w:rsidRPr="0097204B">
        <w:rPr>
          <w:rFonts w:ascii="Arial" w:hAnsi="Arial" w:eastAsia="Calibri" w:cs="Arial"/>
          <w:color w:val="000000"/>
          <w:lang w:val="es-ES_tradnl"/>
        </w:rPr>
        <w:t>servicios</w:t>
      </w:r>
      <w:r>
        <w:rPr>
          <w:rFonts w:ascii="Arial" w:hAnsi="Arial" w:eastAsia="Calibri" w:cs="Arial"/>
          <w:color w:val="000000"/>
          <w:lang w:val="es-ES_tradnl"/>
        </w:rPr>
        <w:t>? […]”</w:t>
      </w:r>
      <w:bookmarkEnd w:id="2"/>
      <w:r>
        <w:rPr>
          <w:rFonts w:ascii="Arial" w:hAnsi="Arial" w:eastAsia="Calibri" w:cs="Arial"/>
          <w:color w:val="000000"/>
          <w:lang w:val="es-ES_tradnl"/>
        </w:rPr>
        <w:t>.</w:t>
      </w:r>
      <w:r w:rsidRPr="00FE5B2C">
        <w:rPr>
          <w:rFonts w:ascii="Arial" w:hAnsi="Arial" w:eastAsia="Calibri" w:cs="Arial"/>
          <w:color w:val="000000"/>
          <w:lang w:val="es-ES_tradnl"/>
        </w:rPr>
        <w:t xml:space="preserve"> </w:t>
      </w:r>
    </w:p>
    <w:p w:rsidRPr="00FE5B2C" w:rsidR="00D6060E" w:rsidP="00D6060E" w:rsidRDefault="00D6060E" w14:paraId="28C9484E" w14:textId="77777777">
      <w:pPr>
        <w:tabs>
          <w:tab w:val="left" w:pos="426"/>
        </w:tabs>
        <w:spacing w:after="0" w:line="276" w:lineRule="auto"/>
        <w:jc w:val="both"/>
        <w:rPr>
          <w:rFonts w:ascii="Arial" w:hAnsi="Arial" w:eastAsia="Calibri" w:cs="Arial"/>
          <w:color w:val="000000"/>
          <w:lang w:val="es-ES_tradnl"/>
        </w:rPr>
      </w:pPr>
    </w:p>
    <w:p w:rsidRPr="00FE5B2C" w:rsidR="00D6060E" w:rsidP="00D6060E" w:rsidRDefault="00D6060E" w14:paraId="4CE7A549" w14:textId="77777777">
      <w:pPr>
        <w:tabs>
          <w:tab w:val="left" w:pos="426"/>
        </w:tabs>
        <w:spacing w:after="0" w:line="276" w:lineRule="auto"/>
        <w:jc w:val="both"/>
        <w:rPr>
          <w:rFonts w:ascii="Arial" w:hAnsi="Arial" w:eastAsia="Calibri" w:cs="Arial"/>
          <w:b/>
          <w:color w:val="000000"/>
          <w:lang w:val="es-ES_tradnl"/>
        </w:rPr>
      </w:pPr>
      <w:r w:rsidRPr="00FE5B2C">
        <w:rPr>
          <w:rFonts w:ascii="Arial" w:hAnsi="Arial" w:eastAsia="Calibri" w:cs="Arial"/>
          <w:b/>
          <w:color w:val="000000"/>
          <w:lang w:val="es-ES_tradnl"/>
        </w:rPr>
        <w:t>2. Consideraciones</w:t>
      </w:r>
    </w:p>
    <w:p w:rsidRPr="00FE5B2C" w:rsidR="00D6060E" w:rsidP="00D6060E" w:rsidRDefault="00D6060E" w14:paraId="6DBCD043" w14:textId="77777777">
      <w:pPr>
        <w:spacing w:after="0" w:line="276" w:lineRule="auto"/>
        <w:jc w:val="both"/>
        <w:rPr>
          <w:rFonts w:ascii="Arial" w:hAnsi="Arial" w:eastAsia="Calibri" w:cs="Arial"/>
          <w:color w:val="000000"/>
          <w:lang w:val="es-ES_tradnl"/>
        </w:rPr>
      </w:pPr>
    </w:p>
    <w:p w:rsidRPr="00FE5B2C" w:rsidR="00D6060E" w:rsidP="00D6060E" w:rsidRDefault="00D6060E" w14:paraId="7F8E8602" w14:textId="77777777">
      <w:pPr>
        <w:spacing w:after="0" w:line="276" w:lineRule="auto"/>
        <w:jc w:val="both"/>
        <w:rPr>
          <w:rFonts w:ascii="Arial" w:hAnsi="Arial" w:eastAsia="Calibri" w:cs="Arial"/>
          <w:color w:val="000000"/>
          <w:lang w:val="es-ES_tradnl"/>
        </w:rPr>
      </w:pPr>
      <w:r w:rsidRPr="00FE5B2C">
        <w:rPr>
          <w:rFonts w:ascii="Arial" w:hAnsi="Arial" w:eastAsia="Calibri" w:cs="Arial"/>
          <w:color w:val="000000"/>
          <w:lang w:val="es-ES_tradnl"/>
        </w:rPr>
        <w:t xml:space="preserve">Para resolver esta consulta se hará un análisis de los siguientes temas: i) concepto, requisitos y límites de los contratos de prestación de servicios; </w:t>
      </w:r>
      <w:r>
        <w:rPr>
          <w:rFonts w:ascii="Arial" w:hAnsi="Arial" w:eastAsia="Calibri" w:cs="Arial"/>
          <w:color w:val="000000"/>
          <w:lang w:val="es-ES_tradnl"/>
        </w:rPr>
        <w:t>y</w:t>
      </w:r>
      <w:r w:rsidRPr="00FE5B2C">
        <w:rPr>
          <w:rFonts w:ascii="Arial" w:hAnsi="Arial" w:eastAsia="Calibri" w:cs="Arial"/>
          <w:color w:val="000000"/>
          <w:lang w:val="es-ES_tradnl"/>
        </w:rPr>
        <w:t xml:space="preserve"> ii) inaplicabilidad de las normas sobre desconexión laboral a los contratistas de las entidades públicas que no ostenten la calidad de trabajadores o servidores públicos. </w:t>
      </w:r>
    </w:p>
    <w:p w:rsidRPr="00FE5B2C" w:rsidR="00D6060E" w:rsidP="00D6060E" w:rsidRDefault="00D6060E" w14:paraId="19B7FBAE" w14:textId="77777777">
      <w:pPr>
        <w:spacing w:before="120"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w:t>
      </w:r>
      <w:r>
        <w:rPr>
          <w:rFonts w:ascii="Arial" w:hAnsi="Arial" w:eastAsia="Calibri" w:cs="Arial"/>
          <w:color w:val="000000"/>
          <w:lang w:val="es-ES_tradnl"/>
        </w:rPr>
        <w:t xml:space="preserve"> </w:t>
      </w:r>
      <w:r w:rsidRPr="00FE5B2C">
        <w:rPr>
          <w:rFonts w:ascii="Arial" w:hAnsi="Arial" w:eastAsia="Calibri" w:cs="Arial"/>
          <w:color w:val="000000"/>
          <w:lang w:val="es-ES_tradnl"/>
        </w:rPr>
        <w:t>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w:t>
      </w:r>
      <w:r>
        <w:rPr>
          <w:rFonts w:ascii="Arial" w:hAnsi="Arial" w:eastAsia="Calibri" w:cs="Arial"/>
          <w:color w:val="000000"/>
          <w:lang w:val="es-ES_tradnl"/>
        </w:rPr>
        <w:t xml:space="preserve"> </w:t>
      </w:r>
      <w:r w:rsidRPr="00FE5B2C">
        <w:rPr>
          <w:rFonts w:ascii="Arial" w:hAnsi="Arial" w:eastAsia="Calibri" w:cs="Arial"/>
          <w:color w:val="000000"/>
          <w:lang w:val="es-ES_tradnl"/>
        </w:rPr>
        <w:t>C−018 del 11 de mayo de 2020, C−138 del 11 de mayo de 2020,</w:t>
      </w:r>
      <w:r>
        <w:rPr>
          <w:rFonts w:ascii="Arial" w:hAnsi="Arial" w:eastAsia="Calibri" w:cs="Arial"/>
          <w:color w:val="000000"/>
          <w:lang w:val="es-ES_tradnl"/>
        </w:rPr>
        <w:t xml:space="preserve"> </w:t>
      </w:r>
      <w:r w:rsidRPr="00FE5B2C">
        <w:rPr>
          <w:rFonts w:ascii="Arial" w:hAnsi="Arial" w:eastAsia="Calibri" w:cs="Arial"/>
          <w:color w:val="000000"/>
          <w:lang w:val="es-ES_tradnl"/>
        </w:rPr>
        <w:t>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w:t>
      </w:r>
      <w:r>
        <w:rPr>
          <w:rFonts w:ascii="Arial" w:hAnsi="Arial" w:eastAsia="Calibri" w:cs="Arial"/>
          <w:color w:val="000000"/>
          <w:lang w:val="es-ES_tradnl"/>
        </w:rPr>
        <w:t xml:space="preserve"> </w:t>
      </w:r>
      <w:r w:rsidRPr="00FE5B2C">
        <w:rPr>
          <w:rFonts w:ascii="Arial" w:hAnsi="Arial" w:eastAsia="Calibri" w:cs="Arial"/>
          <w:color w:val="000000"/>
          <w:lang w:val="es-ES_tradnl"/>
        </w:rPr>
        <w:t>07 de abril de 2022, C-214 del 22 de abril de 2022 y C-491 de 01 de agosto de 2022.</w:t>
      </w:r>
      <w:r>
        <w:rPr>
          <w:rFonts w:ascii="Arial" w:hAnsi="Arial" w:eastAsia="Calibri" w:cs="Arial"/>
          <w:color w:val="000000"/>
          <w:lang w:val="es-ES_tradnl"/>
        </w:rPr>
        <w:t xml:space="preserve"> Concretamente, también se ha pronunciado sobre el alcance de la Ley 2191 de 2022 en el Concepto C-822 del 2 de diciembre de 2022.</w:t>
      </w:r>
      <w:r w:rsidRPr="00FE5B2C">
        <w:rPr>
          <w:rFonts w:ascii="Arial" w:hAnsi="Arial" w:eastAsia="Calibri" w:cs="Arial"/>
          <w:color w:val="000000"/>
          <w:lang w:val="es-ES_tradnl"/>
        </w:rPr>
        <w:t xml:space="preserve"> La tesis planteada en tales conceptos se reitera en esta ocasión y se complementa con algunas consideraciones relativas a la consulta bajo análisis.</w:t>
      </w:r>
    </w:p>
    <w:p w:rsidRPr="00FE5B2C" w:rsidR="00D6060E" w:rsidP="00D6060E" w:rsidRDefault="00D6060E" w14:paraId="423F0CEA" w14:textId="77777777">
      <w:pPr>
        <w:spacing w:after="0" w:line="276" w:lineRule="auto"/>
        <w:jc w:val="both"/>
        <w:rPr>
          <w:rFonts w:ascii="Arial" w:hAnsi="Arial" w:eastAsia="Calibri" w:cs="Arial"/>
          <w:color w:val="000000"/>
          <w:lang w:val="es-ES_tradnl"/>
        </w:rPr>
      </w:pPr>
    </w:p>
    <w:p w:rsidRPr="00FE5B2C" w:rsidR="00D6060E" w:rsidP="00D6060E" w:rsidRDefault="00D6060E" w14:paraId="07DF4A86" w14:textId="77777777">
      <w:pPr>
        <w:spacing w:after="0" w:line="276" w:lineRule="auto"/>
        <w:jc w:val="both"/>
        <w:rPr>
          <w:rFonts w:ascii="Arial" w:hAnsi="Arial" w:eastAsia="Calibri" w:cs="Arial"/>
          <w:b/>
          <w:bCs/>
          <w:color w:val="000000"/>
          <w:lang w:val="es-ES_tradnl"/>
        </w:rPr>
      </w:pPr>
      <w:r w:rsidRPr="00FE5B2C">
        <w:rPr>
          <w:rFonts w:ascii="Arial" w:hAnsi="Arial" w:eastAsia="Calibri" w:cs="Arial"/>
          <w:b/>
          <w:bCs/>
          <w:color w:val="000000"/>
          <w:lang w:val="es-ES_tradnl"/>
        </w:rPr>
        <w:t>2.1. Contrato de prestación de servicios. Requisitos y límites para su celebración</w:t>
      </w:r>
    </w:p>
    <w:p w:rsidRPr="00FE5B2C" w:rsidR="00D6060E" w:rsidP="00D6060E" w:rsidRDefault="00D6060E" w14:paraId="1C3A9E2B" w14:textId="77777777">
      <w:pPr>
        <w:spacing w:after="0" w:line="276" w:lineRule="auto"/>
        <w:jc w:val="both"/>
        <w:rPr>
          <w:rFonts w:ascii="Arial" w:hAnsi="Arial" w:eastAsia="Calibri" w:cs="Arial"/>
          <w:color w:val="000000"/>
          <w:lang w:val="es-ES_tradnl"/>
        </w:rPr>
      </w:pPr>
    </w:p>
    <w:p w:rsidRPr="00FE5B2C" w:rsidR="00D6060E" w:rsidP="00D6060E" w:rsidRDefault="00D6060E" w14:paraId="0FD2A6E6" w14:textId="77777777">
      <w:pPr>
        <w:spacing w:after="0" w:line="276" w:lineRule="auto"/>
        <w:jc w:val="both"/>
        <w:rPr>
          <w:rFonts w:ascii="Arial" w:hAnsi="Arial" w:eastAsia="Calibri" w:cs="Arial"/>
          <w:color w:val="000000"/>
          <w:lang w:val="es-ES_tradnl"/>
        </w:rPr>
      </w:pPr>
      <w:r w:rsidRPr="00FE5B2C">
        <w:rPr>
          <w:rFonts w:ascii="Arial" w:hAnsi="Arial" w:eastAsia="Calibri" w:cs="Arial"/>
          <w:color w:val="000000"/>
          <w:lang w:val="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rsidRPr="00FE5B2C" w:rsidR="00D6060E" w:rsidP="00D6060E" w:rsidRDefault="00D6060E" w14:paraId="1F597FC7" w14:textId="77777777">
      <w:pPr>
        <w:spacing w:after="0" w:line="276" w:lineRule="auto"/>
        <w:jc w:val="both"/>
        <w:rPr>
          <w:rFonts w:ascii="Arial" w:hAnsi="Arial" w:eastAsia="Calibri" w:cs="Arial"/>
          <w:color w:val="000000"/>
          <w:lang w:val="es-ES_tradnl"/>
        </w:rPr>
      </w:pPr>
    </w:p>
    <w:p w:rsidRPr="00FE5B2C" w:rsidR="00D6060E" w:rsidP="00D6060E" w:rsidRDefault="008B5ECB" w14:paraId="4787ADF0" w14:textId="526031F2">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FE5B2C" w:rsidR="00D6060E" w:rsidP="00D6060E" w:rsidRDefault="00D6060E" w14:paraId="3B28B651" w14:textId="77777777">
      <w:pPr>
        <w:spacing w:after="0" w:line="240" w:lineRule="auto"/>
        <w:ind w:left="709" w:right="709"/>
        <w:jc w:val="both"/>
        <w:rPr>
          <w:rFonts w:ascii="Arial" w:hAnsi="Arial" w:eastAsia="Calibri" w:cs="Arial"/>
          <w:color w:val="000000"/>
          <w:sz w:val="21"/>
          <w:szCs w:val="21"/>
          <w:lang w:val="es-ES_tradnl"/>
        </w:rPr>
      </w:pPr>
    </w:p>
    <w:p w:rsidRPr="00FE5B2C" w:rsidR="00D6060E" w:rsidP="00D6060E" w:rsidRDefault="00D6060E" w14:paraId="23E70B02" w14:textId="39477A62">
      <w:pPr>
        <w:spacing w:after="0" w:line="240" w:lineRule="auto"/>
        <w:ind w:left="709" w:right="709"/>
        <w:jc w:val="both"/>
        <w:rPr>
          <w:rFonts w:ascii="Arial" w:hAnsi="Arial" w:eastAsia="Calibri" w:cs="Arial"/>
          <w:color w:val="000000"/>
          <w:sz w:val="21"/>
          <w:szCs w:val="21"/>
          <w:lang w:val="es-ES_tradnl"/>
        </w:rPr>
      </w:pPr>
      <w:r w:rsidRPr="00FE5B2C">
        <w:rPr>
          <w:rFonts w:ascii="Arial" w:hAnsi="Arial" w:eastAsia="Calibri" w:cs="Arial"/>
          <w:color w:val="000000"/>
          <w:sz w:val="21"/>
          <w:szCs w:val="21"/>
          <w:lang w:val="es-ES_tradnl"/>
        </w:rPr>
        <w:t>En ningún caso estos contratos generan relación laboral ni prestaciones sociales y se celebrarán por el término estrictamente indispensable</w:t>
      </w:r>
      <w:r w:rsidR="008B5ECB">
        <w:rPr>
          <w:rFonts w:ascii="Arial" w:hAnsi="Arial" w:eastAsia="Calibri" w:cs="Arial"/>
          <w:color w:val="000000"/>
          <w:sz w:val="21"/>
          <w:szCs w:val="21"/>
          <w:lang w:val="es-ES_tradnl"/>
        </w:rPr>
        <w:t>”</w:t>
      </w:r>
      <w:r w:rsidRPr="00FE5B2C">
        <w:rPr>
          <w:rFonts w:ascii="Arial" w:hAnsi="Arial" w:eastAsia="Calibri" w:cs="Arial"/>
          <w:color w:val="000000"/>
          <w:sz w:val="21"/>
          <w:szCs w:val="21"/>
          <w:lang w:val="es-ES_tradnl"/>
        </w:rPr>
        <w:t>.</w:t>
      </w:r>
    </w:p>
    <w:p w:rsidRPr="00FE5B2C" w:rsidR="00D6060E" w:rsidP="00D6060E" w:rsidRDefault="00D6060E" w14:paraId="719E0D70" w14:textId="77777777">
      <w:pPr>
        <w:tabs>
          <w:tab w:val="left" w:pos="284"/>
        </w:tabs>
        <w:spacing w:after="0" w:line="276" w:lineRule="auto"/>
        <w:contextualSpacing/>
        <w:jc w:val="both"/>
        <w:rPr>
          <w:rFonts w:ascii="Arial" w:hAnsi="Arial" w:eastAsia="Calibri" w:cs="Arial"/>
          <w:b/>
          <w:color w:val="000000"/>
          <w:lang w:val="es-ES_tradnl"/>
        </w:rPr>
      </w:pPr>
    </w:p>
    <w:p w:rsidRPr="00FE5B2C" w:rsidR="00D6060E" w:rsidP="00D6060E" w:rsidRDefault="00D6060E" w14:paraId="577666FD"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De otro lado, la celebración de dicho contrato se debe efectuar a través de la modalidad de la contratación directa. Así lo prevé el artículo 2, numeral 4º, literal h), de la Ley 1150 de 2007, que dispone:</w:t>
      </w:r>
    </w:p>
    <w:p w:rsidRPr="00FE5B2C" w:rsidR="00D6060E" w:rsidP="00D6060E" w:rsidRDefault="00D6060E" w14:paraId="7459E7ED" w14:textId="77777777">
      <w:pPr>
        <w:spacing w:after="0" w:line="276" w:lineRule="auto"/>
        <w:ind w:firstLine="709"/>
        <w:jc w:val="both"/>
        <w:rPr>
          <w:rFonts w:ascii="Arial" w:hAnsi="Arial" w:eastAsia="Calibri" w:cs="Arial"/>
          <w:color w:val="000000"/>
          <w:lang w:val="es-ES_tradnl"/>
        </w:rPr>
      </w:pPr>
    </w:p>
    <w:p w:rsidRPr="00FE5B2C" w:rsidR="00D6060E" w:rsidP="00D6060E" w:rsidRDefault="008B5ECB" w14:paraId="38235E24" w14:textId="7D7F4133">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w:t>
      </w:r>
    </w:p>
    <w:p w:rsidRPr="00FE5B2C" w:rsidR="00D6060E" w:rsidP="00D6060E" w:rsidRDefault="00D6060E" w14:paraId="3FDF6C69" w14:textId="12321608">
      <w:pPr>
        <w:spacing w:after="0" w:line="240" w:lineRule="auto"/>
        <w:ind w:left="709" w:right="709"/>
        <w:jc w:val="both"/>
        <w:rPr>
          <w:rFonts w:ascii="Arial" w:hAnsi="Arial" w:eastAsia="Calibri" w:cs="Arial"/>
          <w:color w:val="000000"/>
          <w:sz w:val="21"/>
          <w:szCs w:val="21"/>
          <w:lang w:val="es-ES"/>
        </w:rPr>
      </w:pPr>
      <w:r w:rsidRPr="74DD02C2">
        <w:rPr>
          <w:rFonts w:ascii="Arial" w:hAnsi="Arial" w:eastAsia="Calibri" w:cs="Arial"/>
          <w:color w:val="000000" w:themeColor="text1"/>
          <w:sz w:val="21"/>
          <w:szCs w:val="21"/>
          <w:lang w:val="es-ES"/>
        </w:rPr>
        <w:t>Contratación directa. La modalidad de selección de contratación directa solamente procederá en los siguientes casos:</w:t>
      </w:r>
    </w:p>
    <w:p w:rsidRPr="00FE5B2C" w:rsidR="00D6060E" w:rsidP="00D6060E" w:rsidRDefault="00D6060E" w14:paraId="794ED01B" w14:textId="77777777">
      <w:pPr>
        <w:spacing w:after="0" w:line="240" w:lineRule="auto"/>
        <w:ind w:left="709" w:right="709"/>
        <w:jc w:val="both"/>
        <w:rPr>
          <w:rFonts w:ascii="Arial" w:hAnsi="Arial" w:eastAsia="Calibri" w:cs="Arial"/>
          <w:color w:val="000000"/>
          <w:sz w:val="21"/>
          <w:szCs w:val="21"/>
          <w:lang w:val="es-ES_tradnl"/>
        </w:rPr>
      </w:pPr>
    </w:p>
    <w:p w:rsidRPr="00FE5B2C" w:rsidR="00D6060E" w:rsidP="00D6060E" w:rsidRDefault="00D6060E" w14:paraId="5F92A573" w14:textId="77777777">
      <w:pPr>
        <w:spacing w:after="0" w:line="240" w:lineRule="auto"/>
        <w:ind w:left="709" w:right="709"/>
        <w:jc w:val="both"/>
        <w:rPr>
          <w:rFonts w:ascii="Arial" w:hAnsi="Arial" w:eastAsia="Calibri" w:cs="Arial"/>
          <w:color w:val="000000"/>
          <w:sz w:val="21"/>
          <w:szCs w:val="21"/>
          <w:lang w:val="es-ES_tradnl"/>
        </w:rPr>
      </w:pPr>
      <w:r w:rsidRPr="00FE5B2C">
        <w:rPr>
          <w:rFonts w:ascii="Arial" w:hAnsi="Arial" w:eastAsia="Calibri" w:cs="Arial"/>
          <w:color w:val="000000"/>
          <w:sz w:val="21"/>
          <w:szCs w:val="21"/>
          <w:lang w:val="es-ES_tradnl"/>
        </w:rPr>
        <w:t>[…]</w:t>
      </w:r>
    </w:p>
    <w:p w:rsidRPr="00FE5B2C" w:rsidR="00D6060E" w:rsidP="00D6060E" w:rsidRDefault="00D6060E" w14:paraId="17E2208B" w14:textId="16204555">
      <w:pPr>
        <w:spacing w:after="0" w:line="240" w:lineRule="auto"/>
        <w:ind w:left="709" w:right="709"/>
        <w:jc w:val="both"/>
        <w:rPr>
          <w:rFonts w:ascii="Arial" w:hAnsi="Arial" w:eastAsia="Calibri" w:cs="Arial"/>
          <w:color w:val="000000"/>
          <w:sz w:val="21"/>
          <w:szCs w:val="21"/>
          <w:lang w:val="es-ES_tradnl"/>
        </w:rPr>
      </w:pPr>
      <w:r w:rsidRPr="00FE5B2C">
        <w:rPr>
          <w:rFonts w:ascii="Arial" w:hAnsi="Arial" w:eastAsia="Calibri" w:cs="Arial"/>
          <w:color w:val="000000"/>
          <w:sz w:val="21"/>
          <w:szCs w:val="21"/>
          <w:lang w:val="es-ES_tradnl"/>
        </w:rPr>
        <w:t>h) Para la prestación de servicios profesionales y de apoyo a la gestión, o para la ejecución de trabajos artísticos que sólo puedan encomendarse a determinadas personas naturales;</w:t>
      </w:r>
      <w:r w:rsidR="008B5ECB">
        <w:rPr>
          <w:rFonts w:ascii="Arial" w:hAnsi="Arial" w:eastAsia="Calibri" w:cs="Arial"/>
          <w:color w:val="000000"/>
          <w:sz w:val="21"/>
          <w:szCs w:val="21"/>
          <w:lang w:val="es-ES_tradnl"/>
        </w:rPr>
        <w:t>”</w:t>
      </w:r>
    </w:p>
    <w:p w:rsidRPr="00FE5B2C" w:rsidR="00D6060E" w:rsidP="00D6060E" w:rsidRDefault="00D6060E" w14:paraId="59074053" w14:textId="77777777">
      <w:pPr>
        <w:spacing w:after="0" w:line="240" w:lineRule="auto"/>
        <w:ind w:right="709"/>
        <w:jc w:val="both"/>
        <w:rPr>
          <w:rFonts w:ascii="Arial" w:hAnsi="Arial" w:eastAsia="Calibri" w:cs="Arial"/>
          <w:color w:val="000000"/>
          <w:lang w:val="es-ES_tradnl"/>
        </w:rPr>
      </w:pPr>
    </w:p>
    <w:p w:rsidRPr="00FE5B2C" w:rsidR="00D6060E" w:rsidP="00D6060E" w:rsidRDefault="00D6060E" w14:paraId="063B831A"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rsidRPr="00FE5B2C" w:rsidR="00D6060E" w:rsidP="00D6060E" w:rsidRDefault="00D6060E" w14:paraId="342132D8"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i) Solo puede celebrarse para realizar</w:t>
      </w:r>
      <w:r>
        <w:rPr>
          <w:rFonts w:ascii="Arial" w:hAnsi="Arial" w:eastAsia="Calibri" w:cs="Arial"/>
          <w:color w:val="000000"/>
          <w:lang w:val="es-ES_tradnl"/>
        </w:rPr>
        <w:t xml:space="preserve"> “</w:t>
      </w:r>
      <w:r w:rsidRPr="00FE5B2C">
        <w:rPr>
          <w:rFonts w:ascii="Arial" w:hAnsi="Arial" w:eastAsia="Calibri" w:cs="Arial"/>
          <w:color w:val="000000"/>
          <w:lang w:val="es-ES_tradnl"/>
        </w:rPr>
        <w:t>actividades relacionadas con la administración o funcionamiento de la entidad</w:t>
      </w:r>
      <w:r>
        <w:rPr>
          <w:rFonts w:ascii="Arial" w:hAnsi="Arial" w:eastAsia="Calibri" w:cs="Arial"/>
          <w:color w:val="000000"/>
          <w:lang w:val="es-ES_tradnl"/>
        </w:rPr>
        <w:t>”</w:t>
      </w:r>
      <w:r w:rsidRPr="00FE5B2C">
        <w:rPr>
          <w:rFonts w:ascii="Arial" w:hAnsi="Arial" w:eastAsia="Calibri" w:cs="Arial"/>
          <w:color w:val="000000"/>
          <w:lang w:val="es-ES_tradnl"/>
        </w:rPr>
        <w:t>, es decir, que hagan parte de su giro ordinario o quehacer cotidiano.</w:t>
      </w:r>
    </w:p>
    <w:p w:rsidRPr="00FE5B2C" w:rsidR="00D6060E" w:rsidP="00D6060E" w:rsidRDefault="00D6060E" w14:paraId="78A85D5C"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 xml:space="preserve">ii) </w:t>
      </w:r>
      <w:r w:rsidRPr="00F87CB6">
        <w:rPr>
          <w:rFonts w:ascii="Arial" w:hAnsi="Arial" w:eastAsia="Calibri" w:cs="Arial"/>
          <w:color w:val="000000"/>
          <w:lang w:val="es-ES_tradnl"/>
        </w:rPr>
        <w:t xml:space="preserve">Admite que se suscriba tanto con personas naturales como con personas jurídicas. </w:t>
      </w:r>
      <w:r w:rsidRPr="008C0B72">
        <w:rPr>
          <w:rFonts w:ascii="Arial" w:hAnsi="Arial" w:eastAsia="Calibri" w:cs="Arial"/>
          <w:color w:val="000000"/>
          <w:lang w:val="es-ES_tradnl"/>
        </w:rPr>
        <w:t xml:space="preserve">Y requiere que </w:t>
      </w:r>
      <w:r w:rsidRPr="00F87CB6">
        <w:rPr>
          <w:rFonts w:ascii="Arial" w:hAnsi="Arial" w:eastAsia="Calibri" w:cs="Arial"/>
          <w:color w:val="000000"/>
          <w:lang w:val="es-ES_tradnl"/>
        </w:rPr>
        <w:t>la entidad estatal justifi</w:t>
      </w:r>
      <w:r w:rsidRPr="008C0B72">
        <w:rPr>
          <w:rFonts w:ascii="Arial" w:hAnsi="Arial" w:eastAsia="Calibri" w:cs="Arial"/>
          <w:color w:val="000000"/>
          <w:lang w:val="es-ES_tradnl"/>
        </w:rPr>
        <w:t>que</w:t>
      </w:r>
      <w:r w:rsidRPr="00F87CB6">
        <w:rPr>
          <w:rFonts w:ascii="Arial" w:hAnsi="Arial" w:eastAsia="Calibri" w:cs="Arial"/>
          <w:color w:val="000000"/>
          <w:lang w:val="es-ES_tradnl"/>
        </w:rPr>
        <w:t xml:space="preserve"> en los estudios previos que las actividades que buscan encomendarse a aquella</w:t>
      </w:r>
      <w:r>
        <w:rPr>
          <w:rFonts w:ascii="Arial" w:hAnsi="Arial" w:eastAsia="Calibri" w:cs="Arial"/>
          <w:color w:val="000000"/>
          <w:lang w:val="es-ES_tradnl"/>
        </w:rPr>
        <w:t xml:space="preserve"> “</w:t>
      </w:r>
      <w:r w:rsidRPr="00F87CB6">
        <w:rPr>
          <w:rFonts w:ascii="Arial" w:hAnsi="Arial" w:eastAsia="Calibri" w:cs="Arial"/>
          <w:color w:val="000000"/>
          <w:lang w:val="es-ES_tradnl"/>
        </w:rPr>
        <w:t>no puedan realizarse con personal de planta o requieran conocimientos especializados</w:t>
      </w:r>
      <w:r>
        <w:rPr>
          <w:rFonts w:ascii="Arial" w:hAnsi="Arial" w:eastAsia="Calibri" w:cs="Arial"/>
          <w:color w:val="000000"/>
          <w:lang w:val="es-ES_tradnl"/>
        </w:rPr>
        <w:t>”</w:t>
      </w:r>
      <w:r w:rsidRPr="00F87CB6">
        <w:rPr>
          <w:rFonts w:ascii="Arial" w:hAnsi="Arial" w:eastAsia="Calibri" w:cs="Arial"/>
          <w:color w:val="000000"/>
          <w:lang w:val="es-ES_tradnl"/>
        </w:rPr>
        <w:t>.</w:t>
      </w:r>
      <w:r w:rsidRPr="008C0B72">
        <w:rPr>
          <w:rStyle w:val="Refdenotaalpie"/>
          <w:rFonts w:ascii="Arial" w:hAnsi="Arial" w:eastAsia="Calibri" w:cs="Arial"/>
          <w:color w:val="000000"/>
          <w:lang w:val="es-ES_tradnl"/>
        </w:rPr>
        <w:footnoteReference w:id="2"/>
      </w:r>
      <w:r w:rsidRPr="00F87CB6">
        <w:rPr>
          <w:rFonts w:ascii="Arial" w:hAnsi="Arial" w:eastAsia="Calibri"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rsidRPr="00FE5B2C" w:rsidR="00D6060E" w:rsidP="00D6060E" w:rsidRDefault="00D6060E" w14:paraId="6E128AE7" w14:textId="433A8B06">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iii) Si bien se celebran para obtener la prestación personal de un servicio, se diferencian del contrato de trabajo</w:t>
      </w:r>
      <w:r w:rsidRPr="00FE5B2C">
        <w:rPr>
          <w:rStyle w:val="Refdenotaalpie"/>
          <w:rFonts w:ascii="Arial" w:hAnsi="Arial" w:cs="Arial"/>
        </w:rPr>
        <w:footnoteReference w:id="3"/>
      </w:r>
      <w:r w:rsidRPr="00FE5B2C">
        <w:rPr>
          <w:rFonts w:ascii="Arial" w:hAnsi="Arial" w:eastAsia="Calibri" w:cs="Arial"/>
          <w:color w:val="000000"/>
          <w:lang w:val="es-ES_tradnl"/>
        </w:rPr>
        <w:t xml:space="preserve"> en que quien celebra el contrato de prestación de servicios debe mantener autonomía e independencia en la ejecución de la labor, lo que significa que no puede existir la </w:t>
      </w:r>
      <w:r w:rsidRPr="00FE5B2C">
        <w:rPr>
          <w:rFonts w:ascii="Arial" w:hAnsi="Arial" w:eastAsia="Calibri" w:cs="Arial"/>
          <w:i/>
          <w:color w:val="000000"/>
          <w:lang w:val="es-ES_tradnl"/>
        </w:rPr>
        <w:t>subordinación y dependencia</w:t>
      </w:r>
      <w:r w:rsidRPr="00FE5B2C">
        <w:rPr>
          <w:rFonts w:ascii="Arial" w:hAnsi="Arial" w:eastAsia="Calibri" w:cs="Arial"/>
          <w:iCs/>
          <w:color w:val="000000"/>
          <w:lang w:val="es-ES_tradnl"/>
        </w:rPr>
        <w:t>,</w:t>
      </w:r>
      <w:r w:rsidRPr="00FE5B2C">
        <w:rPr>
          <w:rFonts w:ascii="Arial" w:hAnsi="Arial" w:eastAsia="Calibri" w:cs="Arial"/>
          <w:color w:val="000000"/>
          <w:lang w:val="es-ES_tradnl"/>
        </w:rPr>
        <w:t xml:space="preserve"> que es uno de los elementos constitutivos del vínculo laboral. Por ello el artículo 32, numeral 3º, de la Ley 80 de 1993 establece que</w:t>
      </w:r>
      <w:r>
        <w:rPr>
          <w:rFonts w:ascii="Arial" w:hAnsi="Arial" w:eastAsia="Calibri" w:cs="Arial"/>
          <w:color w:val="000000"/>
          <w:lang w:val="es-ES_tradnl"/>
        </w:rPr>
        <w:t xml:space="preserve"> “</w:t>
      </w:r>
      <w:r w:rsidRPr="00FE5B2C">
        <w:rPr>
          <w:rFonts w:ascii="Arial" w:hAnsi="Arial" w:eastAsia="Calibri" w:cs="Arial"/>
          <w:color w:val="000000"/>
          <w:lang w:val="es-ES_tradnl"/>
        </w:rPr>
        <w:t>En ningún caso estos contratos generan relación laboral ni prestaciones sociales</w:t>
      </w:r>
      <w:r>
        <w:rPr>
          <w:rFonts w:ascii="Arial" w:hAnsi="Arial" w:eastAsia="Calibri" w:cs="Arial"/>
          <w:color w:val="000000"/>
          <w:lang w:val="es-ES_tradnl"/>
        </w:rPr>
        <w:t>”</w:t>
      </w:r>
      <w:r w:rsidRPr="00FE5B2C">
        <w:rPr>
          <w:rFonts w:ascii="Arial" w:hAnsi="Arial" w:eastAsia="Calibri" w:cs="Arial"/>
          <w:color w:val="000000"/>
          <w:lang w:val="es-ES_tradnl"/>
        </w:rPr>
        <w:t>, inciso que más que un enunciado que aluda al</w:t>
      </w:r>
      <w:r>
        <w:rPr>
          <w:rFonts w:ascii="Arial" w:hAnsi="Arial" w:eastAsia="Calibri" w:cs="Arial"/>
          <w:color w:val="000000"/>
          <w:lang w:val="es-ES_tradnl"/>
        </w:rPr>
        <w:t xml:space="preserve"> “</w:t>
      </w:r>
      <w:r w:rsidRPr="00FE5B2C">
        <w:rPr>
          <w:rFonts w:ascii="Arial" w:hAnsi="Arial" w:eastAsia="Calibri" w:cs="Arial"/>
          <w:color w:val="000000"/>
          <w:lang w:val="es-ES_tradnl"/>
        </w:rPr>
        <w:t>ser</w:t>
      </w:r>
      <w:r>
        <w:rPr>
          <w:rFonts w:ascii="Arial" w:hAnsi="Arial" w:eastAsia="Calibri" w:cs="Arial"/>
          <w:color w:val="000000"/>
          <w:lang w:val="es-ES_tradnl"/>
        </w:rPr>
        <w:t>”</w:t>
      </w:r>
      <w:r w:rsidRPr="00FE5B2C">
        <w:rPr>
          <w:rFonts w:ascii="Arial" w:hAnsi="Arial" w:eastAsia="Calibri" w:cs="Arial"/>
          <w:color w:val="000000"/>
          <w:lang w:val="es-ES_tradnl"/>
        </w:rPr>
        <w:t xml:space="preserve"> se refiere al</w:t>
      </w:r>
      <w:r>
        <w:rPr>
          <w:rFonts w:ascii="Arial" w:hAnsi="Arial" w:eastAsia="Calibri" w:cs="Arial"/>
          <w:color w:val="000000"/>
          <w:lang w:val="es-ES_tradnl"/>
        </w:rPr>
        <w:t xml:space="preserve"> “</w:t>
      </w:r>
      <w:r w:rsidRPr="00FE5B2C">
        <w:rPr>
          <w:rFonts w:ascii="Arial" w:hAnsi="Arial" w:eastAsia="Calibri" w:cs="Arial"/>
          <w:color w:val="000000"/>
          <w:lang w:val="es-ES_tradnl"/>
        </w:rPr>
        <w:t>deber ser</w:t>
      </w:r>
      <w:r>
        <w:rPr>
          <w:rFonts w:ascii="Arial" w:hAnsi="Arial" w:eastAsia="Calibri" w:cs="Arial"/>
          <w:color w:val="000000"/>
          <w:lang w:val="es-ES_tradnl"/>
        </w:rPr>
        <w:t>”</w:t>
      </w:r>
      <w:r w:rsidRPr="00FE5B2C">
        <w:rPr>
          <w:rFonts w:ascii="Arial" w:hAnsi="Arial" w:eastAsia="Calibri" w:cs="Arial"/>
          <w:color w:val="000000"/>
          <w:lang w:val="es-ES_tradnl"/>
        </w:rPr>
        <w:t xml:space="preserve">, pues debe interpretarse en el sentido de que los contratos de prestación de servicios profesionales </w:t>
      </w:r>
      <w:r w:rsidRPr="00FE5B2C">
        <w:rPr>
          <w:rFonts w:ascii="Arial" w:hAnsi="Arial" w:eastAsia="Calibri" w:cs="Arial"/>
          <w:i/>
          <w:color w:val="000000"/>
          <w:lang w:val="es-ES_tradnl"/>
        </w:rPr>
        <w:t>no pueden</w:t>
      </w:r>
      <w:r w:rsidRPr="00FE5B2C">
        <w:rPr>
          <w:rFonts w:ascii="Arial" w:hAnsi="Arial" w:eastAsia="Calibri" w:cs="Arial"/>
          <w:color w:val="000000"/>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w:t>
      </w:r>
      <w:r>
        <w:rPr>
          <w:rFonts w:ascii="Arial" w:hAnsi="Arial" w:eastAsia="Calibri" w:cs="Arial"/>
          <w:color w:val="000000"/>
          <w:lang w:val="es-ES_tradnl"/>
        </w:rPr>
        <w:t xml:space="preserve"> “</w:t>
      </w:r>
      <w:r w:rsidRPr="00FE5B2C">
        <w:rPr>
          <w:rFonts w:ascii="Arial" w:hAnsi="Arial" w:eastAsia="Calibri" w:cs="Arial"/>
          <w:color w:val="000000"/>
          <w:lang w:val="es-ES_tradnl"/>
        </w:rPr>
        <w:t>trabajador independiente</w:t>
      </w:r>
      <w:r>
        <w:rPr>
          <w:rFonts w:ascii="Arial" w:hAnsi="Arial" w:eastAsia="Calibri" w:cs="Arial"/>
          <w:color w:val="000000"/>
          <w:lang w:val="es-ES_tradnl"/>
        </w:rPr>
        <w:t>”</w:t>
      </w:r>
      <w:r w:rsidRPr="00FE5B2C">
        <w:rPr>
          <w:rFonts w:ascii="Arial" w:hAnsi="Arial" w:eastAsia="Calibri" w:cs="Arial"/>
          <w:color w:val="000000"/>
          <w:lang w:val="es-ES_tradnl"/>
        </w:rPr>
        <w:t xml:space="preserv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FE5B2C">
        <w:rPr>
          <w:rFonts w:ascii="Arial" w:hAnsi="Arial" w:eastAsia="Calibri" w:cs="Arial"/>
          <w:i/>
          <w:color w:val="000000"/>
          <w:lang w:val="es-ES_tradnl"/>
        </w:rPr>
        <w:t>contrato realidad</w:t>
      </w:r>
      <w:r w:rsidRPr="00FE5B2C">
        <w:rPr>
          <w:rFonts w:ascii="Arial" w:hAnsi="Arial" w:eastAsia="Calibri" w:cs="Arial"/>
          <w:color w:val="000000"/>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w:t>
      </w:r>
      <w:r>
        <w:rPr>
          <w:rFonts w:ascii="Arial" w:hAnsi="Arial" w:eastAsia="Calibri" w:cs="Arial"/>
          <w:color w:val="000000"/>
          <w:lang w:val="es-ES_tradnl"/>
        </w:rPr>
        <w:t xml:space="preserve"> “</w:t>
      </w:r>
      <w:r w:rsidRPr="00FE5B2C">
        <w:rPr>
          <w:rFonts w:ascii="Arial" w:hAnsi="Arial" w:eastAsia="Calibri" w:cs="Arial"/>
          <w:color w:val="000000"/>
          <w:lang w:val="es-ES_tradnl"/>
        </w:rPr>
        <w:t>las expresiones acusadas del numeral 3</w:t>
      </w:r>
      <w:r w:rsidR="008B5ECB">
        <w:rPr>
          <w:rFonts w:ascii="Arial" w:hAnsi="Arial" w:eastAsia="Calibri" w:cs="Arial"/>
          <w:color w:val="000000"/>
          <w:lang w:val="es-ES_tradnl"/>
        </w:rPr>
        <w:t>°</w:t>
      </w:r>
      <w:r w:rsidRPr="00FE5B2C">
        <w:rPr>
          <w:rFonts w:ascii="Arial" w:hAnsi="Arial" w:eastAsia="Calibri" w:cs="Arial"/>
          <w:color w:val="000000"/>
          <w:lang w:val="es-ES_tradnl"/>
        </w:rPr>
        <w:t>. del artículo 32 de la Ley 80 de 1993, no vulneran los preceptos constitucionales, razón por la cual deberán ser declaradas exequibles, salvo que se acredite por parte del contratista la existencia de una relación laboral subordinada</w:t>
      </w:r>
      <w:r>
        <w:rPr>
          <w:rFonts w:ascii="Arial" w:hAnsi="Arial" w:eastAsia="Calibri" w:cs="Arial"/>
          <w:color w:val="000000"/>
          <w:lang w:val="es-ES_tradnl"/>
        </w:rPr>
        <w:t>”</w:t>
      </w:r>
      <w:r w:rsidRPr="00FE5B2C">
        <w:rPr>
          <w:rStyle w:val="Refdenotaalpie"/>
          <w:rFonts w:ascii="Arial" w:hAnsi="Arial" w:cs="Arial"/>
        </w:rPr>
        <w:footnoteReference w:id="4"/>
      </w:r>
      <w:r w:rsidRPr="00FE5B2C">
        <w:rPr>
          <w:rFonts w:ascii="Arial" w:hAnsi="Arial" w:eastAsia="Calibri" w:cs="Arial"/>
          <w:color w:val="000000"/>
          <w:lang w:val="es-ES_tradnl"/>
        </w:rPr>
        <w:t>.</w:t>
      </w:r>
    </w:p>
    <w:p w:rsidRPr="00FE5B2C" w:rsidR="00D6060E" w:rsidP="00D6060E" w:rsidRDefault="00D6060E" w14:paraId="5867C31E"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iv) Deben ser temporales. Así lo señaló la Corte Constitucional en la misma providencia a la que se aludió previamente, expresando que:</w:t>
      </w:r>
    </w:p>
    <w:p w:rsidRPr="00FE5B2C" w:rsidR="00D6060E" w:rsidP="00D6060E" w:rsidRDefault="00D6060E" w14:paraId="1FB531D6" w14:textId="77777777">
      <w:pPr>
        <w:spacing w:after="0" w:line="276" w:lineRule="auto"/>
        <w:ind w:firstLine="709"/>
        <w:jc w:val="both"/>
        <w:rPr>
          <w:rFonts w:ascii="Arial" w:hAnsi="Arial" w:eastAsia="Calibri" w:cs="Arial"/>
          <w:color w:val="000000"/>
          <w:lang w:val="es-ES_tradnl"/>
        </w:rPr>
      </w:pPr>
    </w:p>
    <w:p w:rsidRPr="00FE5B2C" w:rsidR="00D6060E" w:rsidP="00D6060E" w:rsidRDefault="008B5ECB" w14:paraId="0545B3B7" w14:textId="5F41178B">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00055D5A">
        <w:rPr>
          <w:rFonts w:ascii="Arial" w:hAnsi="Arial" w:eastAsia="Calibri" w:cs="Arial"/>
          <w:color w:val="000000"/>
          <w:sz w:val="21"/>
          <w:szCs w:val="21"/>
          <w:lang w:val="es-ES_tradnl"/>
        </w:rPr>
        <w:t>”</w:t>
      </w:r>
      <w:r w:rsidRPr="00FE5B2C" w:rsidR="00D6060E">
        <w:rPr>
          <w:rStyle w:val="Refdenotaalpie"/>
          <w:rFonts w:ascii="Arial" w:hAnsi="Arial" w:cs="Arial"/>
        </w:rPr>
        <w:footnoteReference w:id="5"/>
      </w:r>
      <w:r w:rsidRPr="00FE5B2C" w:rsidR="00D6060E">
        <w:rPr>
          <w:rFonts w:ascii="Arial" w:hAnsi="Arial" w:eastAsia="Calibri" w:cs="Arial"/>
          <w:color w:val="000000"/>
          <w:sz w:val="21"/>
          <w:szCs w:val="21"/>
          <w:lang w:val="es-ES_tradnl"/>
        </w:rPr>
        <w:t>.</w:t>
      </w:r>
    </w:p>
    <w:p w:rsidRPr="00FE5B2C" w:rsidR="00D6060E" w:rsidP="00D6060E" w:rsidRDefault="00D6060E" w14:paraId="5E0C2635" w14:textId="77777777">
      <w:pPr>
        <w:spacing w:after="0" w:line="276" w:lineRule="auto"/>
        <w:ind w:firstLine="709"/>
        <w:jc w:val="both"/>
        <w:rPr>
          <w:rFonts w:ascii="Arial" w:hAnsi="Arial" w:eastAsia="Calibri" w:cs="Arial"/>
          <w:color w:val="000000"/>
          <w:lang w:val="es-ES_tradnl"/>
        </w:rPr>
      </w:pPr>
    </w:p>
    <w:p w:rsidRPr="00FE5B2C" w:rsidR="00D6060E" w:rsidP="00D6060E" w:rsidRDefault="00D6060E" w14:paraId="132297F9" w14:textId="77777777">
      <w:pPr>
        <w:spacing w:after="0" w:line="276" w:lineRule="auto"/>
        <w:ind w:firstLine="709"/>
        <w:jc w:val="both"/>
        <w:rPr>
          <w:rFonts w:ascii="Arial" w:hAnsi="Arial" w:eastAsia="Calibri" w:cs="Arial"/>
          <w:color w:val="000000"/>
          <w:lang w:val="es-ES"/>
        </w:rPr>
      </w:pPr>
      <w:r w:rsidRPr="74DD02C2">
        <w:rPr>
          <w:rFonts w:ascii="Arial" w:hAnsi="Arial" w:eastAsia="Calibri" w:cs="Arial"/>
          <w:color w:val="000000"/>
          <w:lang w:val="es-ES"/>
        </w:rPr>
        <w:t xml:space="preserve">v) Los contratos de prestación de servicios constituyen un </w:t>
      </w:r>
      <w:r w:rsidRPr="74DD02C2">
        <w:rPr>
          <w:rFonts w:ascii="Arial" w:hAnsi="Arial" w:eastAsia="Calibri" w:cs="Arial"/>
          <w:i/>
          <w:color w:val="000000"/>
          <w:lang w:val="es-ES"/>
        </w:rPr>
        <w:t>género</w:t>
      </w:r>
      <w:r w:rsidRPr="74DD02C2">
        <w:rPr>
          <w:rFonts w:ascii="Arial" w:hAnsi="Arial" w:eastAsia="Calibri" w:cs="Arial"/>
          <w:color w:val="000000"/>
          <w:lang w:val="es-ES"/>
        </w:rPr>
        <w:t xml:space="preserve"> que incluye, como </w:t>
      </w:r>
      <w:r w:rsidRPr="74DD02C2">
        <w:rPr>
          <w:rFonts w:ascii="Arial" w:hAnsi="Arial" w:eastAsia="Calibri" w:cs="Arial"/>
          <w:i/>
          <w:color w:val="000000"/>
          <w:lang w:val="es-ES"/>
        </w:rPr>
        <w:t>especies</w:t>
      </w:r>
      <w:r w:rsidRPr="74DD02C2">
        <w:rPr>
          <w:rFonts w:ascii="Arial" w:hAnsi="Arial" w:eastAsia="Calibri" w:cs="Arial"/>
          <w:color w:val="000000"/>
          <w:lang w:val="es-ES"/>
        </w:rPr>
        <w:t>, los contratos de prestación de servicios profesionales, los contratos de prestación de servicios de apoyo a la gestión y los contratos de prestación de servicios artísticos que solo pueden encomendarse a determinadas personas naturales</w:t>
      </w:r>
      <w:r w:rsidRPr="00FE5B2C">
        <w:rPr>
          <w:rStyle w:val="Refdenotaalpie"/>
          <w:rFonts w:ascii="Arial" w:hAnsi="Arial" w:cs="Arial"/>
        </w:rPr>
        <w:footnoteReference w:id="6"/>
      </w:r>
      <w:r w:rsidRPr="74DD02C2">
        <w:rPr>
          <w:rFonts w:ascii="Arial" w:hAnsi="Arial" w:eastAsia="Calibri" w:cs="Arial"/>
          <w:color w:val="000000"/>
          <w:lang w:val="es-ES"/>
        </w:rPr>
        <w:t xml:space="preserve">. La diferencia entre el contrato de prestación de servicios </w:t>
      </w:r>
      <w:r w:rsidRPr="74DD02C2">
        <w:rPr>
          <w:rFonts w:ascii="Arial" w:hAnsi="Arial" w:eastAsia="Calibri" w:cs="Arial"/>
          <w:i/>
          <w:color w:val="000000"/>
          <w:lang w:val="es-ES"/>
        </w:rPr>
        <w:t>profesionales</w:t>
      </w:r>
      <w:r w:rsidRPr="74DD02C2">
        <w:rPr>
          <w:rFonts w:ascii="Arial" w:hAnsi="Arial" w:eastAsia="Calibri" w:cs="Arial"/>
          <w:color w:val="000000"/>
          <w:lang w:val="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rsidRPr="00FE5B2C" w:rsidR="00D6060E" w:rsidP="00D6060E" w:rsidRDefault="00D6060E" w14:paraId="312CE155" w14:textId="77777777">
      <w:pPr>
        <w:spacing w:after="0" w:line="276" w:lineRule="auto"/>
        <w:ind w:firstLine="709"/>
        <w:jc w:val="both"/>
        <w:rPr>
          <w:rFonts w:ascii="Arial" w:hAnsi="Arial" w:eastAsia="Calibri" w:cs="Arial"/>
          <w:color w:val="000000"/>
          <w:lang w:val="es-ES_tradnl"/>
        </w:rPr>
      </w:pPr>
    </w:p>
    <w:p w:rsidRPr="00FE5B2C" w:rsidR="00D6060E" w:rsidP="00D6060E" w:rsidRDefault="00055D5A" w14:paraId="21CD445C" w14:textId="66D2E977">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eastAsia="Calibri" w:cs="Arial"/>
          <w:color w:val="000000"/>
          <w:sz w:val="21"/>
          <w:szCs w:val="21"/>
          <w:lang w:val="es-ES_tradnl"/>
        </w:rPr>
        <w:t>”</w:t>
      </w:r>
      <w:r w:rsidRPr="00FE5B2C" w:rsidR="00D6060E">
        <w:rPr>
          <w:rStyle w:val="Refdenotaalpie"/>
          <w:rFonts w:ascii="Arial" w:hAnsi="Arial" w:cs="Arial"/>
        </w:rPr>
        <w:footnoteReference w:id="7"/>
      </w:r>
      <w:r w:rsidRPr="00FE5B2C" w:rsidR="00D6060E">
        <w:rPr>
          <w:rFonts w:ascii="Arial" w:hAnsi="Arial" w:eastAsia="Calibri" w:cs="Arial"/>
          <w:color w:val="000000"/>
          <w:sz w:val="21"/>
          <w:szCs w:val="21"/>
          <w:lang w:val="es-ES_tradnl"/>
        </w:rPr>
        <w:t>.</w:t>
      </w:r>
    </w:p>
    <w:p w:rsidRPr="00FE5B2C" w:rsidR="00D6060E" w:rsidP="00D6060E" w:rsidRDefault="00D6060E" w14:paraId="5AC44607" w14:textId="77777777">
      <w:pPr>
        <w:spacing w:after="0" w:line="276" w:lineRule="auto"/>
        <w:ind w:firstLine="709"/>
        <w:jc w:val="both"/>
        <w:rPr>
          <w:rFonts w:ascii="Arial" w:hAnsi="Arial" w:eastAsia="Calibri" w:cs="Arial"/>
          <w:color w:val="000000"/>
          <w:lang w:val="es-ES_tradnl"/>
        </w:rPr>
      </w:pPr>
    </w:p>
    <w:p w:rsidRPr="00FE5B2C" w:rsidR="00D6060E" w:rsidP="00D6060E" w:rsidRDefault="00D6060E" w14:paraId="36BF54C2"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Objeto que, según la sentencia que se cita, se diferencia del objeto del contrato de prestación de servicios de apoyo a la gestión, porque en este:</w:t>
      </w:r>
    </w:p>
    <w:p w:rsidRPr="00FE5B2C" w:rsidR="00D6060E" w:rsidP="00D6060E" w:rsidRDefault="00D6060E" w14:paraId="652364A0" w14:textId="77777777">
      <w:pPr>
        <w:spacing w:after="0" w:line="276" w:lineRule="auto"/>
        <w:ind w:firstLine="709"/>
        <w:jc w:val="both"/>
        <w:rPr>
          <w:rFonts w:ascii="Arial" w:hAnsi="Arial" w:eastAsia="Calibri" w:cs="Arial"/>
          <w:color w:val="000000"/>
          <w:lang w:val="es-ES_tradnl"/>
        </w:rPr>
      </w:pPr>
    </w:p>
    <w:p w:rsidRPr="00FE5B2C" w:rsidR="00D6060E" w:rsidP="00D6060E" w:rsidRDefault="00055D5A" w14:paraId="19D83946" w14:textId="7CF3C1A1">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FE5B2C" w:rsidR="00D6060E" w:rsidP="00D6060E" w:rsidRDefault="00D6060E" w14:paraId="171A0288" w14:textId="77777777">
      <w:pPr>
        <w:spacing w:after="0" w:line="240" w:lineRule="auto"/>
        <w:ind w:left="709" w:right="709"/>
        <w:jc w:val="both"/>
        <w:rPr>
          <w:rFonts w:ascii="Arial" w:hAnsi="Arial" w:eastAsia="Calibri" w:cs="Arial"/>
          <w:color w:val="000000"/>
          <w:sz w:val="21"/>
          <w:szCs w:val="21"/>
          <w:lang w:val="es-ES_tradnl"/>
        </w:rPr>
      </w:pPr>
    </w:p>
    <w:p w:rsidRPr="00FE5B2C" w:rsidR="00D6060E" w:rsidP="00D6060E" w:rsidRDefault="00D6060E" w14:paraId="5BDFD58D" w14:textId="77777777">
      <w:pPr>
        <w:spacing w:after="0" w:line="240" w:lineRule="auto"/>
        <w:ind w:left="709" w:right="709"/>
        <w:jc w:val="both"/>
        <w:rPr>
          <w:rFonts w:ascii="Arial" w:hAnsi="Arial" w:eastAsia="Calibri" w:cs="Arial"/>
          <w:color w:val="000000"/>
          <w:sz w:val="21"/>
          <w:szCs w:val="21"/>
          <w:lang w:val="es-ES_tradnl"/>
        </w:rPr>
      </w:pPr>
      <w:r w:rsidRPr="00FE5B2C">
        <w:rPr>
          <w:rFonts w:ascii="Arial" w:hAnsi="Arial" w:eastAsia="Calibri"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rsidRPr="00FE5B2C" w:rsidR="00D6060E" w:rsidP="00D6060E" w:rsidRDefault="00D6060E" w14:paraId="35105A44" w14:textId="77777777">
      <w:pPr>
        <w:spacing w:after="0" w:line="240" w:lineRule="auto"/>
        <w:ind w:right="709"/>
        <w:jc w:val="both"/>
        <w:rPr>
          <w:rFonts w:ascii="Arial" w:hAnsi="Arial" w:eastAsia="Calibri" w:cs="Arial"/>
          <w:color w:val="000000"/>
          <w:sz w:val="21"/>
          <w:szCs w:val="21"/>
          <w:lang w:val="es-ES_tradnl"/>
        </w:rPr>
      </w:pPr>
    </w:p>
    <w:p w:rsidRPr="00FE5B2C" w:rsidR="00D6060E" w:rsidP="00D6060E" w:rsidRDefault="00D6060E" w14:paraId="4F63A696" w14:textId="2D9EEC69">
      <w:pPr>
        <w:spacing w:after="0" w:line="240" w:lineRule="auto"/>
        <w:ind w:left="709" w:right="709"/>
        <w:jc w:val="both"/>
        <w:rPr>
          <w:rFonts w:ascii="Arial" w:hAnsi="Arial" w:eastAsia="Calibri" w:cs="Arial"/>
          <w:color w:val="000000"/>
          <w:sz w:val="21"/>
          <w:szCs w:val="21"/>
          <w:lang w:val="es-ES_tradnl"/>
        </w:rPr>
      </w:pPr>
      <w:r w:rsidRPr="00FE5B2C">
        <w:rPr>
          <w:rFonts w:ascii="Arial" w:hAnsi="Arial" w:eastAsia="Calibri"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055D5A">
        <w:rPr>
          <w:rFonts w:ascii="Arial" w:hAnsi="Arial" w:eastAsia="Calibri" w:cs="Arial"/>
          <w:color w:val="000000"/>
          <w:sz w:val="21"/>
          <w:szCs w:val="21"/>
          <w:lang w:val="es-ES_tradnl"/>
        </w:rPr>
        <w:t>”</w:t>
      </w:r>
      <w:r w:rsidRPr="00FE5B2C">
        <w:rPr>
          <w:rStyle w:val="Refdenotaalpie"/>
          <w:rFonts w:ascii="Arial" w:hAnsi="Arial" w:cs="Arial"/>
        </w:rPr>
        <w:footnoteReference w:id="8"/>
      </w:r>
      <w:r w:rsidRPr="00FE5B2C">
        <w:rPr>
          <w:rFonts w:ascii="Arial" w:hAnsi="Arial" w:eastAsia="Calibri" w:cs="Arial"/>
          <w:color w:val="000000"/>
          <w:sz w:val="21"/>
          <w:szCs w:val="21"/>
          <w:lang w:val="es-ES_tradnl"/>
        </w:rPr>
        <w:t>.</w:t>
      </w:r>
    </w:p>
    <w:p w:rsidRPr="00FE5B2C" w:rsidR="00D6060E" w:rsidP="00D6060E" w:rsidRDefault="00D6060E" w14:paraId="3CFAB810" w14:textId="77777777">
      <w:pPr>
        <w:spacing w:after="0" w:line="276" w:lineRule="auto"/>
        <w:ind w:firstLine="709"/>
        <w:jc w:val="both"/>
        <w:rPr>
          <w:rFonts w:ascii="Arial" w:hAnsi="Arial" w:eastAsia="Calibri" w:cs="Arial"/>
          <w:color w:val="000000"/>
          <w:lang w:val="es-ES_tradnl"/>
        </w:rPr>
      </w:pPr>
    </w:p>
    <w:p w:rsidRPr="00FE5B2C" w:rsidR="00D6060E" w:rsidP="00D6060E" w:rsidRDefault="00D6060E" w14:paraId="7974030B"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En relación con el contrato de prestación de servicios artísticos que solo pueden encomendarse a determinadas personas naturales, señala el mencionado fallo que:</w:t>
      </w:r>
    </w:p>
    <w:p w:rsidRPr="00FE5B2C" w:rsidR="00D6060E" w:rsidP="00D6060E" w:rsidRDefault="00D6060E" w14:paraId="72A5B6E7" w14:textId="77777777">
      <w:pPr>
        <w:spacing w:after="0" w:line="240" w:lineRule="auto"/>
        <w:ind w:left="709" w:right="709"/>
        <w:jc w:val="both"/>
        <w:rPr>
          <w:rFonts w:ascii="Arial" w:hAnsi="Arial" w:eastAsia="Calibri" w:cs="Arial"/>
          <w:color w:val="000000"/>
          <w:sz w:val="21"/>
          <w:szCs w:val="21"/>
          <w:lang w:val="es-ES_tradnl"/>
        </w:rPr>
      </w:pPr>
    </w:p>
    <w:p w:rsidRPr="00FE5B2C" w:rsidR="00D6060E" w:rsidP="00D6060E" w:rsidRDefault="00055D5A" w14:paraId="5A66AA23" w14:textId="1D746B35">
      <w:pPr>
        <w:spacing w:after="0" w:line="240" w:lineRule="auto"/>
        <w:ind w:left="709" w:right="709"/>
        <w:jc w:val="both"/>
        <w:rPr>
          <w:rFonts w:ascii="Arial" w:hAnsi="Arial" w:eastAsia="Calibri" w:cs="Arial"/>
          <w:color w:val="000000"/>
          <w:sz w:val="21"/>
          <w:szCs w:val="21"/>
          <w:lang w:val="es-ES_tradnl"/>
        </w:rPr>
      </w:pPr>
      <w:r>
        <w:rPr>
          <w:rFonts w:ascii="Arial" w:hAnsi="Arial" w:eastAsia="Calibri" w:cs="Arial"/>
          <w:color w:val="000000"/>
          <w:sz w:val="21"/>
          <w:szCs w:val="21"/>
          <w:lang w:val="es-ES_tradnl"/>
        </w:rPr>
        <w:t>“</w:t>
      </w:r>
      <w:r w:rsidRPr="00FE5B2C" w:rsidR="00D6060E">
        <w:rPr>
          <w:rFonts w:ascii="Arial" w:hAnsi="Arial" w:eastAsia="Calibri" w:cs="Arial"/>
          <w:color w:val="000000"/>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hAnsi="Arial" w:eastAsia="Calibri" w:cs="Arial"/>
          <w:color w:val="000000"/>
          <w:sz w:val="21"/>
          <w:szCs w:val="21"/>
          <w:lang w:val="es-ES_tradnl"/>
        </w:rPr>
        <w:t>”</w:t>
      </w:r>
      <w:r w:rsidRPr="00FE5B2C" w:rsidR="00D6060E">
        <w:rPr>
          <w:rStyle w:val="Refdenotaalpie"/>
          <w:rFonts w:ascii="Arial" w:hAnsi="Arial" w:cs="Arial"/>
        </w:rPr>
        <w:footnoteReference w:id="9"/>
      </w:r>
      <w:r w:rsidRPr="00FE5B2C" w:rsidR="00D6060E">
        <w:rPr>
          <w:rFonts w:ascii="Arial" w:hAnsi="Arial" w:eastAsia="Calibri" w:cs="Arial"/>
          <w:color w:val="000000"/>
          <w:sz w:val="21"/>
          <w:szCs w:val="21"/>
          <w:lang w:val="es-ES_tradnl"/>
        </w:rPr>
        <w:t>.</w:t>
      </w:r>
    </w:p>
    <w:p w:rsidRPr="00FE5B2C" w:rsidR="00D6060E" w:rsidP="00D6060E" w:rsidRDefault="00D6060E" w14:paraId="2F99E20C" w14:textId="77777777">
      <w:pPr>
        <w:spacing w:after="0" w:line="240" w:lineRule="auto"/>
        <w:ind w:left="709" w:right="709"/>
        <w:jc w:val="both"/>
        <w:rPr>
          <w:rFonts w:ascii="Arial" w:hAnsi="Arial" w:eastAsia="Calibri" w:cs="Arial"/>
          <w:color w:val="000000"/>
          <w:sz w:val="21"/>
          <w:szCs w:val="21"/>
          <w:lang w:val="es-ES_tradnl"/>
        </w:rPr>
      </w:pPr>
    </w:p>
    <w:p w:rsidRPr="00FE5B2C" w:rsidR="00D6060E" w:rsidP="00D6060E" w:rsidRDefault="00D6060E" w14:paraId="3D81BE53" w14:textId="77777777">
      <w:pPr>
        <w:spacing w:after="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FE5B2C">
        <w:rPr>
          <w:rStyle w:val="Refdenotaalpie"/>
          <w:rFonts w:ascii="Arial" w:hAnsi="Arial" w:cs="Arial"/>
        </w:rPr>
        <w:footnoteReference w:id="10"/>
      </w:r>
      <w:r w:rsidRPr="00FE5B2C">
        <w:rPr>
          <w:rFonts w:ascii="Arial" w:hAnsi="Arial" w:eastAsia="Calibri" w:cs="Arial"/>
          <w:color w:val="000000"/>
          <w:lang w:val="es-ES_tradnl"/>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rsidRPr="00FE5B2C" w:rsidR="00D6060E" w:rsidP="00D6060E" w:rsidRDefault="00D6060E" w14:paraId="356F596F"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vii) Para su celebración no se requiere en algunos casos la expedición del acto administrativo de justificación de la contratación directa</w:t>
      </w:r>
      <w:r w:rsidRPr="00FE5B2C">
        <w:rPr>
          <w:rStyle w:val="Refdenotaalpie"/>
          <w:rFonts w:ascii="Arial" w:hAnsi="Arial" w:cs="Arial"/>
        </w:rPr>
        <w:footnoteReference w:id="11"/>
      </w:r>
      <w:r w:rsidRPr="00FE5B2C">
        <w:rPr>
          <w:rFonts w:ascii="Arial" w:hAnsi="Arial" w:eastAsia="Calibri" w:cs="Arial"/>
          <w:color w:val="000000"/>
          <w:lang w:val="es-ES_tradnl"/>
        </w:rPr>
        <w:t xml:space="preserve">. </w:t>
      </w:r>
    </w:p>
    <w:p w:rsidRPr="00FE5B2C" w:rsidR="00D6060E" w:rsidP="00D6060E" w:rsidRDefault="00D6060E" w14:paraId="0BC6C4A7"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FE5B2C">
        <w:rPr>
          <w:rStyle w:val="Refdenotaalpie"/>
          <w:rFonts w:ascii="Arial" w:hAnsi="Arial" w:cs="Arial"/>
        </w:rPr>
        <w:footnoteReference w:id="12"/>
      </w:r>
      <w:r w:rsidRPr="00FE5B2C">
        <w:rPr>
          <w:rFonts w:ascii="Arial" w:hAnsi="Arial" w:eastAsia="Calibri" w:cs="Arial"/>
          <w:color w:val="000000"/>
          <w:lang w:val="es-ES_tradnl"/>
        </w:rPr>
        <w:t>.</w:t>
      </w:r>
    </w:p>
    <w:p w:rsidRPr="00FE5B2C" w:rsidR="00D6060E" w:rsidP="00D6060E" w:rsidRDefault="00D6060E" w14:paraId="6372FF86"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ix) En algunos casos no es obligatoria la liquidación, pues así lo estableció el artículo 217 del Decreto 019 de 2012, que modificó el artículo 60 de la Ley 80 de 1993</w:t>
      </w:r>
      <w:r w:rsidRPr="00FE5B2C">
        <w:rPr>
          <w:rStyle w:val="Refdenotaalpie"/>
          <w:rFonts w:ascii="Arial" w:hAnsi="Arial" w:cs="Arial"/>
        </w:rPr>
        <w:footnoteReference w:id="13"/>
      </w:r>
      <w:r w:rsidRPr="00FE5B2C">
        <w:rPr>
          <w:rFonts w:ascii="Arial" w:hAnsi="Arial" w:eastAsia="Calibri" w:cs="Arial"/>
          <w:color w:val="000000"/>
          <w:lang w:val="es-ES_tradnl"/>
        </w:rPr>
        <w:t>, refiriéndose a los contratos de prestación de servicios profesionales y de apoyo a la gestión.</w:t>
      </w:r>
    </w:p>
    <w:p w:rsidRPr="00FE5B2C" w:rsidR="00D6060E" w:rsidP="00D6060E" w:rsidRDefault="00D6060E" w14:paraId="4DC1B51C" w14:textId="77777777">
      <w:pPr>
        <w:spacing w:before="120" w:after="120" w:line="276"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x) Para su celebración no se requiere inscripción en el Registro Único de Proponentes (RUP), según lo prevé el artículo 6 de la Ley 1150 de 2007</w:t>
      </w:r>
      <w:r w:rsidRPr="00FE5B2C">
        <w:rPr>
          <w:rStyle w:val="Refdenotaalpie"/>
          <w:rFonts w:ascii="Arial" w:hAnsi="Arial" w:cs="Arial"/>
        </w:rPr>
        <w:footnoteReference w:id="14"/>
      </w:r>
      <w:r w:rsidRPr="00FE5B2C">
        <w:rPr>
          <w:rFonts w:ascii="Arial" w:hAnsi="Arial" w:eastAsia="Calibri" w:cs="Arial"/>
          <w:color w:val="000000"/>
          <w:lang w:val="es-ES_tradnl"/>
        </w:rPr>
        <w:t>.</w:t>
      </w:r>
    </w:p>
    <w:p w:rsidRPr="00FE5B2C" w:rsidR="00D6060E" w:rsidP="00D6060E" w:rsidRDefault="00D6060E" w14:paraId="1B4DCF90" w14:textId="77777777">
      <w:pPr>
        <w:spacing w:before="120" w:after="120" w:line="240" w:lineRule="auto"/>
        <w:ind w:firstLine="709"/>
        <w:jc w:val="both"/>
        <w:rPr>
          <w:rFonts w:ascii="Arial" w:hAnsi="Arial" w:eastAsia="Calibri" w:cs="Arial"/>
          <w:color w:val="000000"/>
          <w:lang w:val="es-ES_tradnl"/>
        </w:rPr>
      </w:pPr>
      <w:r w:rsidRPr="00FE5B2C">
        <w:rPr>
          <w:rFonts w:ascii="Arial" w:hAnsi="Arial" w:eastAsia="Calibri" w:cs="Arial"/>
          <w:color w:val="000000"/>
          <w:lang w:val="es-ES_tradnl"/>
        </w:rPr>
        <w:t>xi) En ellos no son necesarias las garantías</w:t>
      </w:r>
      <w:r w:rsidRPr="00FE5B2C">
        <w:rPr>
          <w:rStyle w:val="Refdenotaalpie"/>
          <w:rFonts w:ascii="Arial" w:hAnsi="Arial" w:cs="Arial"/>
        </w:rPr>
        <w:footnoteReference w:id="15"/>
      </w:r>
      <w:r w:rsidRPr="00FE5B2C">
        <w:rPr>
          <w:rFonts w:ascii="Arial" w:hAnsi="Arial" w:eastAsia="Calibri" w:cs="Arial"/>
          <w:color w:val="000000"/>
          <w:lang w:val="es-ES_tradnl"/>
        </w:rPr>
        <w:t>.</w:t>
      </w:r>
    </w:p>
    <w:p w:rsidRPr="00FE5B2C" w:rsidR="00D6060E" w:rsidP="004B559C" w:rsidRDefault="00D6060E" w14:paraId="1320795E" w14:textId="77777777">
      <w:pPr>
        <w:spacing w:after="0" w:line="240" w:lineRule="auto"/>
        <w:jc w:val="both"/>
        <w:rPr>
          <w:rFonts w:ascii="Arial" w:hAnsi="Arial" w:eastAsia="Calibri" w:cs="Arial"/>
          <w:color w:val="000000"/>
          <w:lang w:val="es-ES"/>
        </w:rPr>
      </w:pPr>
    </w:p>
    <w:p w:rsidRPr="00FE5B2C" w:rsidR="00D6060E" w:rsidP="00D6060E" w:rsidRDefault="00D6060E" w14:paraId="5FDCCB83" w14:textId="77777777">
      <w:pPr>
        <w:spacing w:after="0" w:line="276" w:lineRule="auto"/>
        <w:jc w:val="both"/>
        <w:rPr>
          <w:rFonts w:ascii="Arial" w:hAnsi="Arial" w:eastAsia="Calibri" w:cs="Arial"/>
          <w:b/>
          <w:bCs/>
          <w:color w:val="000000"/>
          <w:lang w:val="es-ES"/>
        </w:rPr>
      </w:pPr>
      <w:r w:rsidRPr="00FE5B2C">
        <w:rPr>
          <w:rFonts w:ascii="Arial" w:hAnsi="Arial" w:eastAsia="Calibri" w:cs="Arial"/>
          <w:b/>
          <w:color w:val="000000"/>
          <w:lang w:val="es-ES_tradnl"/>
        </w:rPr>
        <w:t>2.</w:t>
      </w:r>
      <w:r>
        <w:rPr>
          <w:rFonts w:ascii="Arial" w:hAnsi="Arial" w:eastAsia="Calibri" w:cs="Arial"/>
          <w:b/>
          <w:color w:val="000000"/>
          <w:lang w:val="es-ES_tradnl"/>
        </w:rPr>
        <w:t>2</w:t>
      </w:r>
      <w:r w:rsidRPr="00FE5B2C">
        <w:rPr>
          <w:rFonts w:ascii="Arial" w:hAnsi="Arial" w:eastAsia="Calibri" w:cs="Arial"/>
          <w:b/>
          <w:color w:val="000000"/>
          <w:lang w:val="es-ES_tradnl"/>
        </w:rPr>
        <w:t xml:space="preserve">. </w:t>
      </w:r>
      <w:r w:rsidRPr="00FE5B2C">
        <w:rPr>
          <w:rFonts w:ascii="Arial" w:hAnsi="Arial" w:eastAsia="Calibri" w:cs="Arial"/>
          <w:b/>
          <w:bCs/>
          <w:color w:val="000000"/>
          <w:lang w:val="es-ES_tradnl"/>
        </w:rPr>
        <w:t>Inaplicabilidad de las normas sobre desconexión laboral a los contratistas de las entidades públicas que no ostenten la calidad de trabajadores o servidores públicos</w:t>
      </w:r>
    </w:p>
    <w:p w:rsidRPr="00FE5B2C" w:rsidR="00D6060E" w:rsidP="00D6060E" w:rsidRDefault="00D6060E" w14:paraId="34783B8E" w14:textId="77777777">
      <w:pPr>
        <w:tabs>
          <w:tab w:val="left" w:pos="284"/>
        </w:tabs>
        <w:spacing w:after="0" w:line="276" w:lineRule="auto"/>
        <w:contextualSpacing/>
        <w:jc w:val="both"/>
        <w:rPr>
          <w:rFonts w:ascii="Arial" w:hAnsi="Arial" w:eastAsia="Calibri" w:cs="Arial"/>
          <w:b/>
          <w:color w:val="000000"/>
          <w:lang w:val="es-ES_tradnl"/>
        </w:rPr>
      </w:pPr>
    </w:p>
    <w:p w:rsidRPr="00FE5B2C" w:rsidR="00D6060E" w:rsidP="00D6060E" w:rsidRDefault="00D6060E" w14:paraId="03917DB2" w14:textId="77777777">
      <w:pPr>
        <w:tabs>
          <w:tab w:val="left" w:pos="284"/>
        </w:tabs>
        <w:spacing w:after="0" w:line="276" w:lineRule="auto"/>
        <w:contextualSpacing/>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La Ley 2191 del 6 de enero de 2022 regula actualmente el derecho de los trabajadores y servidores públicos a la </w:t>
      </w:r>
      <w:r w:rsidRPr="00FE5B2C">
        <w:rPr>
          <w:rFonts w:ascii="Arial" w:hAnsi="Arial" w:eastAsia="Calibri" w:cs="Arial"/>
          <w:bCs/>
          <w:i/>
          <w:iCs/>
          <w:color w:val="000000"/>
          <w:lang w:val="es-ES_tradnl"/>
        </w:rPr>
        <w:t>desconexión laboral</w:t>
      </w:r>
      <w:r w:rsidRPr="00FE5B2C">
        <w:rPr>
          <w:rFonts w:ascii="Arial" w:hAnsi="Arial" w:eastAsia="Calibri" w:cs="Arial"/>
          <w:bCs/>
          <w:color w:val="000000"/>
          <w:lang w:val="es-ES_tradnl"/>
        </w:rPr>
        <w:t>. En efecto, su artículo 1 señala:</w:t>
      </w:r>
    </w:p>
    <w:p w:rsidRPr="00FE5B2C" w:rsidR="00D6060E" w:rsidP="00D6060E" w:rsidRDefault="00D6060E" w14:paraId="7F8FD799" w14:textId="77777777">
      <w:pPr>
        <w:tabs>
          <w:tab w:val="left" w:pos="284"/>
        </w:tabs>
        <w:spacing w:after="0" w:line="276" w:lineRule="auto"/>
        <w:contextualSpacing/>
        <w:jc w:val="both"/>
        <w:rPr>
          <w:rFonts w:ascii="Arial" w:hAnsi="Arial" w:eastAsia="Calibri" w:cs="Arial"/>
          <w:bCs/>
          <w:color w:val="000000"/>
          <w:lang w:val="es-ES_tradnl"/>
        </w:rPr>
      </w:pPr>
    </w:p>
    <w:p w:rsidRPr="00FE5B2C" w:rsidR="00D6060E" w:rsidP="00D6060E" w:rsidRDefault="00071164" w14:paraId="4C4F02CA" w14:textId="224E4856">
      <w:pPr>
        <w:tabs>
          <w:tab w:val="left" w:pos="284"/>
        </w:tabs>
        <w:spacing w:after="0" w:line="240" w:lineRule="auto"/>
        <w:ind w:left="709" w:right="709"/>
        <w:contextualSpacing/>
        <w:jc w:val="both"/>
        <w:rPr>
          <w:rFonts w:ascii="Arial" w:hAnsi="Arial" w:eastAsia="Calibri" w:cs="Arial"/>
          <w:bCs/>
          <w:color w:val="000000"/>
          <w:lang w:val="es-ES_tradnl"/>
        </w:rPr>
      </w:pPr>
      <w:r>
        <w:rPr>
          <w:rFonts w:ascii="Arial" w:hAnsi="Arial" w:eastAsia="Calibri" w:cs="Arial"/>
          <w:bCs/>
          <w:color w:val="000000"/>
          <w:lang w:val="es-ES_tradnl"/>
        </w:rPr>
        <w:t>“</w:t>
      </w:r>
      <w:r w:rsidRPr="00FE5B2C" w:rsidR="00D6060E">
        <w:rPr>
          <w:rFonts w:ascii="Arial" w:hAnsi="Arial" w:eastAsia="Calibri" w:cs="Arial"/>
          <w:bCs/>
          <w:color w:val="000000"/>
          <w:lang w:val="es-ES_tradnl"/>
        </w:rPr>
        <w:t xml:space="preserve">Esta ley tiene por objeto crear, regular y promover la desconexión laboral </w:t>
      </w:r>
      <w:r w:rsidRPr="00FE5B2C" w:rsidR="00D6060E">
        <w:rPr>
          <w:rFonts w:ascii="Arial" w:hAnsi="Arial" w:eastAsia="Calibri" w:cs="Arial"/>
          <w:bCs/>
          <w:i/>
          <w:iCs/>
          <w:color w:val="000000"/>
          <w:lang w:val="es-ES_tradnl"/>
        </w:rPr>
        <w:t>de los trabajadores en las relaciones laborales dentro de las diferentes modalidades de contratación</w:t>
      </w:r>
      <w:r w:rsidRPr="00FE5B2C" w:rsidR="00D6060E">
        <w:rPr>
          <w:rFonts w:ascii="Arial" w:hAnsi="Arial" w:eastAsia="Calibri" w:cs="Arial"/>
          <w:bCs/>
          <w:color w:val="000000"/>
          <w:lang w:val="es-ES_tradnl"/>
        </w:rPr>
        <w:t xml:space="preserve"> vigentes en el ordenamiento jurídico colombiano y sus formas de ejecutarse, así como en las relaciones legales y/o reglamentarias, con el fin de garantizar el goce efectivo del tiempo libre y los tiempos de descanso, licencias, permisos y/o vacaciones para conciliar la vida personal, familiar y laboral</w:t>
      </w:r>
      <w:r w:rsidR="002E5590">
        <w:rPr>
          <w:rFonts w:ascii="Arial" w:hAnsi="Arial" w:eastAsia="Calibri" w:cs="Arial"/>
          <w:bCs/>
          <w:color w:val="000000"/>
          <w:lang w:val="es-ES_tradnl"/>
        </w:rPr>
        <w:t>”</w:t>
      </w:r>
      <w:r w:rsidR="00D6060E">
        <w:rPr>
          <w:rFonts w:ascii="Arial" w:hAnsi="Arial" w:eastAsia="Calibri" w:cs="Arial"/>
          <w:bCs/>
          <w:color w:val="000000"/>
          <w:lang w:val="es-ES_tradnl"/>
        </w:rPr>
        <w:t>.</w:t>
      </w:r>
      <w:r w:rsidRPr="00FE5B2C" w:rsidR="00D6060E">
        <w:rPr>
          <w:rFonts w:ascii="Arial" w:hAnsi="Arial" w:eastAsia="Calibri" w:cs="Arial"/>
          <w:bCs/>
          <w:color w:val="000000"/>
          <w:lang w:val="es-ES_tradnl"/>
        </w:rPr>
        <w:t xml:space="preserve"> (Énfasis fuera de texto).</w:t>
      </w:r>
    </w:p>
    <w:p w:rsidRPr="00FE5B2C" w:rsidR="00D6060E" w:rsidP="00D6060E" w:rsidRDefault="00D6060E" w14:paraId="0E2AE31E" w14:textId="77777777">
      <w:pPr>
        <w:tabs>
          <w:tab w:val="left" w:pos="284"/>
        </w:tabs>
        <w:spacing w:after="0" w:line="276" w:lineRule="auto"/>
        <w:contextualSpacing/>
        <w:jc w:val="both"/>
        <w:rPr>
          <w:rFonts w:ascii="Arial" w:hAnsi="Arial" w:eastAsia="Calibri" w:cs="Arial"/>
          <w:b/>
          <w:color w:val="000000"/>
          <w:lang w:val="es-ES_tradnl"/>
        </w:rPr>
      </w:pPr>
    </w:p>
    <w:p w:rsidRPr="00FE5B2C" w:rsidR="00D6060E" w:rsidP="00D6060E" w:rsidRDefault="00D6060E" w14:paraId="1E57A04F" w14:textId="77777777">
      <w:pPr>
        <w:tabs>
          <w:tab w:val="left" w:pos="284"/>
        </w:tabs>
        <w:spacing w:after="0" w:line="276" w:lineRule="auto"/>
        <w:ind w:firstLine="709"/>
        <w:contextualSpacing/>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Como se observa, el derecho a la desconexión laboral previsto en esta Ley aplica para </w:t>
      </w:r>
      <w:r>
        <w:rPr>
          <w:rFonts w:ascii="Arial" w:hAnsi="Arial" w:eastAsia="Calibri" w:cs="Arial"/>
          <w:bCs/>
          <w:color w:val="000000"/>
          <w:lang w:val="es-ES_tradnl"/>
        </w:rPr>
        <w:t>“</w:t>
      </w:r>
      <w:r w:rsidRPr="00FE5B2C">
        <w:rPr>
          <w:rFonts w:ascii="Arial" w:hAnsi="Arial" w:eastAsia="Calibri" w:cs="Arial"/>
          <w:bCs/>
          <w:color w:val="000000"/>
          <w:lang w:val="es-ES_tradnl"/>
        </w:rPr>
        <w:t>[…] los trabajadores en las relaciones laborales dentro de las diferentes modalidades de contratación vigentes en el ordenamiento jurídico colombiano y sus formas de ejecutarse, así como en las relaciones legales y/o reglamentarias</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Esto también se deduce de una lectura sistemática de los demás artículos de la Ley en comento. En efecto, el artículo 2 establece que el derecho a la desconexión laboral está vinculado al derecho fundamental al trabajo. El artículo 3, por su parte, define la </w:t>
      </w:r>
      <w:r>
        <w:rPr>
          <w:rFonts w:ascii="Arial" w:hAnsi="Arial" w:eastAsia="Calibri" w:cs="Arial"/>
          <w:bCs/>
          <w:color w:val="000000"/>
          <w:lang w:val="es-ES_tradnl"/>
        </w:rPr>
        <w:t>“</w:t>
      </w:r>
      <w:r w:rsidRPr="00FE5B2C">
        <w:rPr>
          <w:rFonts w:ascii="Arial" w:hAnsi="Arial" w:eastAsia="Calibri" w:cs="Arial"/>
          <w:bCs/>
          <w:color w:val="000000"/>
          <w:lang w:val="es-ES_tradnl"/>
        </w:rPr>
        <w:t>desconexión laboral</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como</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 el derecho que tienen todos los trabajadores y servidores públicos, a no tener contacto, por cualquier medio o herramienta, bien sea tecnológica o no, para cuestiones relacionadas con su ámbito o actividad laboral, en horarios por fuera de la jornada ordinaria o jornada máxima legal de trabajo, o convenida, ni en sus vacaciones o descansos</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Obsérvese que estas normas establecen siempre como destinatarios del derecho consagrado en ellas a los </w:t>
      </w:r>
      <w:r w:rsidRPr="00FE5B2C">
        <w:rPr>
          <w:rFonts w:ascii="Arial" w:hAnsi="Arial" w:eastAsia="Calibri" w:cs="Arial"/>
          <w:bCs/>
          <w:i/>
          <w:iCs/>
          <w:color w:val="000000"/>
          <w:lang w:val="es-ES_tradnl"/>
        </w:rPr>
        <w:t>trabajadores</w:t>
      </w:r>
      <w:r w:rsidRPr="00FE5B2C">
        <w:rPr>
          <w:rFonts w:ascii="Arial" w:hAnsi="Arial" w:eastAsia="Calibri" w:cs="Arial"/>
          <w:bCs/>
          <w:color w:val="000000"/>
          <w:lang w:val="es-ES_tradnl"/>
        </w:rPr>
        <w:t xml:space="preserve"> y </w:t>
      </w:r>
      <w:r w:rsidRPr="00FE5B2C">
        <w:rPr>
          <w:rFonts w:ascii="Arial" w:hAnsi="Arial" w:eastAsia="Calibri" w:cs="Arial"/>
          <w:bCs/>
          <w:i/>
          <w:iCs/>
          <w:color w:val="000000"/>
          <w:lang w:val="es-ES_tradnl"/>
        </w:rPr>
        <w:t>servidores públicos</w:t>
      </w:r>
      <w:r w:rsidRPr="00FE5B2C">
        <w:rPr>
          <w:rStyle w:val="Refdenotaalpie"/>
          <w:rFonts w:ascii="Arial" w:hAnsi="Arial" w:eastAsia="Calibri" w:cs="Arial"/>
          <w:bCs/>
          <w:i/>
          <w:iCs/>
          <w:color w:val="000000"/>
          <w:lang w:val="es-ES_tradnl"/>
        </w:rPr>
        <w:footnoteReference w:id="16"/>
      </w:r>
      <w:r w:rsidRPr="00FE5B2C">
        <w:rPr>
          <w:rFonts w:ascii="Arial" w:hAnsi="Arial" w:eastAsia="Calibri" w:cs="Arial"/>
          <w:bCs/>
          <w:color w:val="000000"/>
          <w:lang w:val="es-ES_tradnl"/>
        </w:rPr>
        <w:t>.</w:t>
      </w:r>
    </w:p>
    <w:p w:rsidR="00D6060E" w:rsidP="00D6060E" w:rsidRDefault="00D6060E" w14:paraId="22ADC933" w14:textId="77777777">
      <w:pPr>
        <w:tabs>
          <w:tab w:val="left" w:pos="284"/>
        </w:tabs>
        <w:snapToGrid w:val="0"/>
        <w:spacing w:before="120"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Teniendo en cuenta que en la consulta se pregunta si el derecho regulado en esta Ley también debe garantizárseles a los </w:t>
      </w:r>
      <w:r>
        <w:rPr>
          <w:rFonts w:ascii="Arial" w:hAnsi="Arial" w:eastAsia="Calibri" w:cs="Arial"/>
          <w:bCs/>
          <w:color w:val="000000"/>
          <w:lang w:val="es-ES_tradnl"/>
        </w:rPr>
        <w:t>“</w:t>
      </w:r>
      <w:r w:rsidRPr="00FE5B2C">
        <w:rPr>
          <w:rFonts w:ascii="Arial" w:hAnsi="Arial" w:eastAsia="Calibri" w:cs="Arial"/>
          <w:bCs/>
          <w:color w:val="000000"/>
          <w:lang w:val="es-ES_tradnl"/>
        </w:rPr>
        <w:t>contratistas de las entidades públicas</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w:t>
      </w:r>
      <w:r>
        <w:rPr>
          <w:rFonts w:ascii="Arial" w:hAnsi="Arial" w:eastAsia="Calibri" w:cs="Arial"/>
          <w:bCs/>
          <w:color w:val="000000"/>
          <w:lang w:val="es-ES_tradnl"/>
        </w:rPr>
        <w:t>–</w:t>
      </w:r>
      <w:r w:rsidRPr="00FE5B2C">
        <w:rPr>
          <w:rFonts w:ascii="Arial" w:hAnsi="Arial" w:eastAsia="Calibri" w:cs="Arial"/>
          <w:bCs/>
          <w:color w:val="000000"/>
          <w:lang w:val="es-ES_tradnl"/>
        </w:rPr>
        <w:t>aun cuando no tengan suscrito un contrato de trabajo</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la Agencia Nacional de Contratación Pública – Colombia Compra Eficiente expone a continuación los argumentos que le permiten sustentar una respuesta negativa a este interrogante. </w:t>
      </w:r>
      <w:r>
        <w:rPr>
          <w:rFonts w:ascii="Arial" w:hAnsi="Arial" w:eastAsia="Calibri" w:cs="Arial"/>
          <w:bCs/>
          <w:color w:val="000000"/>
          <w:lang w:val="es-ES_tradnl"/>
        </w:rPr>
        <w:t>Al respecto</w:t>
      </w:r>
      <w:r w:rsidRPr="00FE5B2C">
        <w:rPr>
          <w:rFonts w:ascii="Arial" w:hAnsi="Arial" w:eastAsia="Calibri" w:cs="Arial"/>
          <w:bCs/>
          <w:color w:val="000000"/>
          <w:lang w:val="es-ES_tradnl"/>
        </w:rPr>
        <w:t>, puede afirmarse que lo previsto en la Ley 2191 de 2022,</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Por medio de la cual se regula la desconexión laboral […]</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no se aplica a las relaciones contractuales de las entidades estatales que </w:t>
      </w:r>
      <w:r w:rsidRPr="00FE5B2C">
        <w:rPr>
          <w:rFonts w:ascii="Arial" w:hAnsi="Arial" w:eastAsia="Calibri" w:cs="Arial"/>
          <w:bCs/>
          <w:i/>
          <w:iCs/>
          <w:color w:val="000000"/>
          <w:lang w:val="es-ES_tradnl"/>
        </w:rPr>
        <w:t>no</w:t>
      </w:r>
      <w:r w:rsidRPr="00FE5B2C">
        <w:rPr>
          <w:rFonts w:ascii="Arial" w:hAnsi="Arial" w:eastAsia="Calibri" w:cs="Arial"/>
          <w:bCs/>
          <w:color w:val="000000"/>
          <w:lang w:val="es-ES_tradnl"/>
        </w:rPr>
        <w:t xml:space="preserve"> generan una relación laboral. En otras palabras, el derecho consagrado en esta Ley tiene como destinatarios a los sujetos que ostentan con las entidades estatales la calidad de </w:t>
      </w:r>
      <w:r w:rsidRPr="00FE5B2C">
        <w:rPr>
          <w:rFonts w:ascii="Arial" w:hAnsi="Arial" w:eastAsia="Calibri" w:cs="Arial"/>
          <w:bCs/>
          <w:i/>
          <w:iCs/>
          <w:color w:val="000000"/>
          <w:lang w:val="es-ES_tradnl"/>
        </w:rPr>
        <w:t>servidores públicos</w:t>
      </w:r>
      <w:r w:rsidRPr="00FE5B2C">
        <w:rPr>
          <w:rFonts w:ascii="Arial" w:hAnsi="Arial" w:eastAsia="Calibri" w:cs="Arial"/>
          <w:bCs/>
          <w:color w:val="000000"/>
          <w:lang w:val="es-ES_tradnl"/>
        </w:rPr>
        <w:t xml:space="preserve"> o que han celebrado con estas un contrato de trabajo o del que emerge una relación laboral. </w:t>
      </w:r>
    </w:p>
    <w:p w:rsidRPr="00FE5B2C" w:rsidR="00D6060E" w:rsidP="00D6060E" w:rsidRDefault="00D6060E" w14:paraId="000C5C7C" w14:textId="77777777">
      <w:pPr>
        <w:tabs>
          <w:tab w:val="left" w:pos="284"/>
        </w:tabs>
        <w:snapToGrid w:val="0"/>
        <w:spacing w:before="120"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El artículo 123 de la Constitución Política –disposición que debe tenerse en cuenta para interpretar el alcance de la Ley 2191 de 2022– establece que</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Son servidores públicos los miembros de las corporaciones públicas, los empleados y trabajadores del Estado y de sus entidades descentralizadas territorialmente y por servicios</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es decir, los empleados públicos, los trabajadores oficiales y los miembros de corporaciones públicas. De este modo, la naturaleza laboral de la relación con el Estado </w:t>
      </w:r>
      <w:r w:rsidRPr="00FE5B2C">
        <w:rPr>
          <w:rFonts w:ascii="Arial" w:hAnsi="Arial" w:eastAsia="Calibri" w:cs="Arial"/>
          <w:bCs/>
          <w:i/>
          <w:iCs/>
          <w:color w:val="000000"/>
          <w:lang w:val="es-ES_tradnl"/>
        </w:rPr>
        <w:t>debe</w:t>
      </w:r>
      <w:r w:rsidRPr="00FE5B2C">
        <w:rPr>
          <w:rFonts w:ascii="Arial" w:hAnsi="Arial" w:eastAsia="Calibri" w:cs="Arial"/>
          <w:bCs/>
          <w:color w:val="000000"/>
          <w:lang w:val="es-ES_tradnl"/>
        </w:rPr>
        <w:t xml:space="preserve"> formalizarse bien mediante la estructuración de una relación legal o reglamentaria </w:t>
      </w:r>
      <w:r>
        <w:rPr>
          <w:rFonts w:ascii="Arial" w:hAnsi="Arial" w:eastAsia="Calibri" w:cs="Arial"/>
          <w:bCs/>
          <w:color w:val="000000"/>
          <w:lang w:val="es-ES_tradnl"/>
        </w:rPr>
        <w:t>–</w:t>
      </w:r>
      <w:r w:rsidRPr="00FE5B2C">
        <w:rPr>
          <w:rFonts w:ascii="Arial" w:hAnsi="Arial" w:eastAsia="Calibri" w:cs="Arial"/>
          <w:bCs/>
          <w:color w:val="000000"/>
          <w:lang w:val="es-ES_tradnl"/>
        </w:rPr>
        <w:t>como la de los empleados públicos</w:t>
      </w:r>
      <w:r>
        <w:rPr>
          <w:rFonts w:ascii="Arial" w:hAnsi="Arial" w:eastAsia="Calibri" w:cs="Arial"/>
          <w:bCs/>
          <w:color w:val="000000"/>
          <w:lang w:val="es-ES_tradnl"/>
        </w:rPr>
        <w:t>–</w:t>
      </w:r>
      <w:r w:rsidRPr="00FE5B2C">
        <w:rPr>
          <w:rFonts w:ascii="Arial" w:hAnsi="Arial" w:eastAsia="Calibri" w:cs="Arial"/>
          <w:bCs/>
          <w:color w:val="000000"/>
          <w:lang w:val="es-ES_tradnl"/>
        </w:rPr>
        <w:t xml:space="preserve"> o bien a través de la celebración de un contrato de trabajo </w:t>
      </w:r>
      <w:r>
        <w:rPr>
          <w:rFonts w:ascii="Arial" w:hAnsi="Arial" w:eastAsia="Calibri" w:cs="Arial"/>
          <w:bCs/>
          <w:color w:val="000000"/>
          <w:lang w:val="es-ES_tradnl"/>
        </w:rPr>
        <w:t>–</w:t>
      </w:r>
      <w:r w:rsidRPr="00FE5B2C">
        <w:rPr>
          <w:rFonts w:ascii="Arial" w:hAnsi="Arial" w:eastAsia="Calibri" w:cs="Arial"/>
          <w:bCs/>
          <w:color w:val="000000"/>
          <w:lang w:val="es-ES_tradnl"/>
        </w:rPr>
        <w:t>como sucede, por ejemplo, con los trabajadores oficiales</w:t>
      </w:r>
      <w:r>
        <w:rPr>
          <w:rFonts w:ascii="Arial" w:hAnsi="Arial" w:eastAsia="Calibri" w:cs="Arial"/>
          <w:bCs/>
          <w:color w:val="000000"/>
          <w:lang w:val="es-ES_tradnl"/>
        </w:rPr>
        <w:t>–</w:t>
      </w:r>
      <w:r w:rsidRPr="00FE5B2C">
        <w:rPr>
          <w:rFonts w:ascii="Arial" w:hAnsi="Arial" w:eastAsia="Calibri" w:cs="Arial"/>
          <w:bCs/>
          <w:color w:val="000000"/>
          <w:lang w:val="es-ES_tradnl"/>
        </w:rPr>
        <w:t>.</w:t>
      </w:r>
    </w:p>
    <w:p w:rsidRPr="00FE5B2C" w:rsidR="00D6060E" w:rsidP="00D6060E" w:rsidRDefault="00D6060E" w14:paraId="7544A1F0" w14:textId="77777777">
      <w:pPr>
        <w:snapToGrid w:val="0"/>
        <w:spacing w:before="120"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Por tal razón, el derecho a la desconexión laboral no rige a favor de los contratistas del Estado que no ingresan en la categoría de </w:t>
      </w:r>
      <w:r w:rsidRPr="00FE5B2C">
        <w:rPr>
          <w:rFonts w:ascii="Arial" w:hAnsi="Arial" w:eastAsia="Calibri" w:cs="Arial"/>
          <w:bCs/>
          <w:i/>
          <w:iCs/>
          <w:color w:val="000000"/>
          <w:lang w:val="es-ES_tradnl"/>
        </w:rPr>
        <w:t>trabajadores</w:t>
      </w:r>
      <w:r w:rsidRPr="00FE5B2C">
        <w:rPr>
          <w:rFonts w:ascii="Arial" w:hAnsi="Arial" w:eastAsia="Calibri" w:cs="Arial"/>
          <w:bCs/>
          <w:color w:val="000000"/>
          <w:lang w:val="es-ES_tradnl"/>
        </w:rPr>
        <w:t xml:space="preserve"> o </w:t>
      </w:r>
      <w:r w:rsidRPr="00FE5B2C">
        <w:rPr>
          <w:rFonts w:ascii="Arial" w:hAnsi="Arial" w:eastAsia="Calibri" w:cs="Arial"/>
          <w:bCs/>
          <w:i/>
          <w:iCs/>
          <w:color w:val="000000"/>
          <w:lang w:val="es-ES_tradnl"/>
        </w:rPr>
        <w:t>servidores públicos</w:t>
      </w:r>
      <w:r w:rsidRPr="00FE5B2C">
        <w:rPr>
          <w:rFonts w:ascii="Arial" w:hAnsi="Arial" w:eastAsia="Calibri" w:cs="Arial"/>
          <w:bCs/>
          <w:color w:val="000000"/>
          <w:lang w:val="es-ES_tradnl"/>
        </w:rPr>
        <w:t>; por ejemplo, no aplica sobre los contratistas de obra, de consultoría, de concesión, de suministro, etc. Tampoco, en principio, es un derecho que aplique a los contratistas de prestación de servicios profesionales, de apoyo a la gestión o de actividades artísticas, porque estos tampoco s</w:t>
      </w:r>
      <w:r>
        <w:rPr>
          <w:rFonts w:ascii="Arial" w:hAnsi="Arial" w:eastAsia="Calibri" w:cs="Arial"/>
          <w:bCs/>
          <w:color w:val="000000"/>
          <w:lang w:val="es-ES_tradnl"/>
        </w:rPr>
        <w:t>on</w:t>
      </w:r>
      <w:r w:rsidRPr="00FE5B2C">
        <w:rPr>
          <w:rFonts w:ascii="Arial" w:hAnsi="Arial" w:eastAsia="Calibri" w:cs="Arial"/>
          <w:bCs/>
          <w:color w:val="000000"/>
          <w:lang w:val="es-ES_tradnl"/>
        </w:rPr>
        <w:t xml:space="preserve"> </w:t>
      </w:r>
      <w:r w:rsidRPr="00FE5B2C">
        <w:rPr>
          <w:rFonts w:ascii="Arial" w:hAnsi="Arial" w:eastAsia="Calibri" w:cs="Arial"/>
          <w:bCs/>
          <w:i/>
          <w:iCs/>
          <w:color w:val="000000"/>
          <w:lang w:val="es-ES_tradnl"/>
        </w:rPr>
        <w:t>trabajadores</w:t>
      </w:r>
      <w:r w:rsidRPr="00FE5B2C">
        <w:rPr>
          <w:rFonts w:ascii="Arial" w:hAnsi="Arial" w:eastAsia="Calibri" w:cs="Arial"/>
          <w:bCs/>
          <w:color w:val="000000"/>
          <w:lang w:val="es-ES_tradnl"/>
        </w:rPr>
        <w:t>. En efecto, el artículo 32, numeral 3, de la Ley 80 de 1993 señala, frente a los contratos de prestación de servicios, que</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En ningún caso estos contratos generan relación laboral ni prestaciones sociales […]</w:t>
      </w:r>
      <w:r>
        <w:rPr>
          <w:rFonts w:ascii="Arial" w:hAnsi="Arial" w:eastAsia="Calibri" w:cs="Arial"/>
          <w:bCs/>
          <w:color w:val="000000"/>
          <w:lang w:val="es-ES_tradnl"/>
        </w:rPr>
        <w:t>”</w:t>
      </w:r>
      <w:r w:rsidRPr="00FE5B2C">
        <w:rPr>
          <w:rFonts w:ascii="Arial" w:hAnsi="Arial" w:eastAsia="Calibri" w:cs="Arial"/>
          <w:bCs/>
          <w:color w:val="000000"/>
          <w:lang w:val="es-ES_tradnl"/>
        </w:rPr>
        <w:t>. Ahora bien, la Corte Constitucional, en la Sentencia C-154 de 1997</w:t>
      </w:r>
      <w:r w:rsidRPr="00FE5B2C">
        <w:rPr>
          <w:rStyle w:val="Refdenotaalpie"/>
          <w:rFonts w:ascii="Arial" w:hAnsi="Arial" w:eastAsia="Calibri" w:cs="Arial"/>
          <w:bCs/>
          <w:color w:val="000000"/>
          <w:lang w:val="es-ES_tradnl"/>
        </w:rPr>
        <w:footnoteReference w:id="17"/>
      </w:r>
      <w:r w:rsidRPr="00FE5B2C">
        <w:rPr>
          <w:rFonts w:ascii="Arial" w:hAnsi="Arial" w:eastAsia="Calibri" w:cs="Arial"/>
          <w:bCs/>
          <w:color w:val="000000"/>
          <w:lang w:val="es-ES_tradnl"/>
        </w:rPr>
        <w:t>, declaró exequible este enunciado normativo</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salvo que se acredite la existencia de una relación laboral subordinada</w:t>
      </w:r>
      <w:r>
        <w:rPr>
          <w:rFonts w:ascii="Arial" w:hAnsi="Arial" w:eastAsia="Calibri" w:cs="Arial"/>
          <w:bCs/>
          <w:color w:val="000000"/>
          <w:lang w:val="es-ES_tradnl"/>
        </w:rPr>
        <w:t>”</w:t>
      </w:r>
      <w:r w:rsidRPr="00FE5B2C">
        <w:rPr>
          <w:rFonts w:ascii="Arial" w:hAnsi="Arial" w:eastAsia="Calibri" w:cs="Arial"/>
          <w:bCs/>
          <w:color w:val="000000"/>
          <w:lang w:val="es-ES_tradnl"/>
        </w:rPr>
        <w:t>. Así razonó el alto tribunal:</w:t>
      </w:r>
    </w:p>
    <w:p w:rsidRPr="00FE5B2C" w:rsidR="00D6060E" w:rsidP="00D6060E" w:rsidRDefault="00D6060E" w14:paraId="65056A6C"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2E5590" w14:paraId="1BD0B0FD" w14:textId="7A34B517">
      <w:pPr>
        <w:snapToGrid w:val="0"/>
        <w:spacing w:after="0" w:line="240" w:lineRule="auto"/>
        <w:ind w:left="709" w:right="709"/>
        <w:jc w:val="both"/>
        <w:rPr>
          <w:rFonts w:ascii="Arial" w:hAnsi="Arial" w:eastAsia="Calibri" w:cs="Arial"/>
          <w:bCs/>
          <w:color w:val="000000"/>
          <w:sz w:val="21"/>
          <w:szCs w:val="21"/>
          <w:lang w:val="es-ES_tradnl"/>
        </w:rPr>
      </w:pPr>
      <w:r>
        <w:rPr>
          <w:rFonts w:ascii="Arial" w:hAnsi="Arial" w:eastAsia="Calibri" w:cs="Arial"/>
          <w:bCs/>
          <w:color w:val="000000"/>
          <w:sz w:val="21"/>
          <w:szCs w:val="21"/>
          <w:lang w:val="es-ES_tradnl"/>
        </w:rPr>
        <w:t>“</w:t>
      </w:r>
      <w:r w:rsidRPr="00FE5B2C" w:rsidR="00D6060E">
        <w:rPr>
          <w:rFonts w:ascii="Arial" w:hAnsi="Arial" w:eastAsia="Calibri" w:cs="Arial"/>
          <w:bCs/>
          <w:color w:val="000000"/>
          <w:sz w:val="21"/>
          <w:szCs w:val="21"/>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Pr="00FE5B2C" w:rsidR="00D6060E" w:rsidP="00D6060E" w:rsidRDefault="00D6060E" w14:paraId="3022A823"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D6060E" w14:paraId="3C991278" w14:textId="77777777">
      <w:pPr>
        <w:snapToGrid w:val="0"/>
        <w:spacing w:after="0" w:line="240" w:lineRule="auto"/>
        <w:ind w:left="709" w:right="709"/>
        <w:jc w:val="both"/>
        <w:rPr>
          <w:rFonts w:ascii="Arial" w:hAnsi="Arial" w:eastAsia="Calibri" w:cs="Arial"/>
          <w:bCs/>
          <w:color w:val="000000"/>
          <w:sz w:val="21"/>
          <w:szCs w:val="21"/>
          <w:lang w:val="es-ES_tradnl"/>
        </w:rPr>
      </w:pPr>
      <w:r w:rsidRPr="00FE5B2C">
        <w:rPr>
          <w:rFonts w:ascii="Arial" w:hAnsi="Arial" w:eastAsia="Calibri" w:cs="Arial"/>
          <w:bCs/>
          <w:color w:val="000000"/>
          <w:sz w:val="21"/>
          <w:szCs w:val="21"/>
          <w:lang w:val="es-ES_tradnl"/>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Pr="00FE5B2C" w:rsidR="00D6060E" w:rsidP="00D6060E" w:rsidRDefault="00D6060E" w14:paraId="57665192"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D6060E" w14:paraId="0B542EED" w14:textId="77777777">
      <w:pPr>
        <w:snapToGrid w:val="0"/>
        <w:spacing w:after="0" w:line="240" w:lineRule="auto"/>
        <w:ind w:left="709" w:right="709"/>
        <w:jc w:val="both"/>
        <w:rPr>
          <w:rFonts w:ascii="Arial" w:hAnsi="Arial" w:eastAsia="Calibri" w:cs="Arial"/>
          <w:bCs/>
          <w:color w:val="000000"/>
          <w:sz w:val="21"/>
          <w:szCs w:val="21"/>
          <w:lang w:val="es-ES_tradnl"/>
        </w:rPr>
      </w:pPr>
      <w:r w:rsidRPr="00FE5B2C">
        <w:rPr>
          <w:rFonts w:ascii="Arial" w:hAnsi="Arial" w:eastAsia="Calibri" w:cs="Arial"/>
          <w:bCs/>
          <w:color w:val="000000"/>
          <w:sz w:val="21"/>
          <w:szCs w:val="21"/>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Pr="00FE5B2C" w:rsidR="00D6060E" w:rsidP="00D6060E" w:rsidRDefault="00D6060E" w14:paraId="3798E841"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D6060E" w14:paraId="0012DB43" w14:textId="0F7DB0D2">
      <w:pPr>
        <w:snapToGrid w:val="0"/>
        <w:spacing w:after="0" w:line="240" w:lineRule="auto"/>
        <w:ind w:left="709" w:right="709"/>
        <w:jc w:val="both"/>
        <w:rPr>
          <w:rFonts w:ascii="Arial" w:hAnsi="Arial" w:eastAsia="Calibri" w:cs="Arial"/>
          <w:bCs/>
          <w:color w:val="000000"/>
          <w:sz w:val="21"/>
          <w:szCs w:val="21"/>
          <w:lang w:val="es-ES_tradnl"/>
        </w:rPr>
      </w:pPr>
      <w:r w:rsidRPr="00FE5B2C">
        <w:rPr>
          <w:rFonts w:ascii="Arial" w:hAnsi="Arial" w:eastAsia="Calibri" w:cs="Arial"/>
          <w:bCs/>
          <w:color w:val="000000"/>
          <w:sz w:val="21"/>
          <w:szCs w:val="21"/>
          <w:lang w:val="es-ES_tradnl"/>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002E5590">
        <w:rPr>
          <w:rFonts w:ascii="Arial" w:hAnsi="Arial" w:eastAsia="Calibri" w:cs="Arial"/>
          <w:bCs/>
          <w:color w:val="000000"/>
          <w:sz w:val="21"/>
          <w:szCs w:val="21"/>
          <w:lang w:val="es-ES_tradnl"/>
        </w:rPr>
        <w:t>”</w:t>
      </w:r>
      <w:r w:rsidRPr="00FE5B2C">
        <w:rPr>
          <w:rStyle w:val="Refdenotaalpie"/>
          <w:rFonts w:ascii="Arial" w:hAnsi="Arial" w:eastAsia="Calibri" w:cs="Arial"/>
          <w:bCs/>
          <w:color w:val="000000"/>
          <w:sz w:val="21"/>
          <w:szCs w:val="21"/>
          <w:lang w:val="es-ES_tradnl"/>
        </w:rPr>
        <w:footnoteReference w:id="18"/>
      </w:r>
      <w:r w:rsidRPr="00FE5B2C">
        <w:rPr>
          <w:rFonts w:ascii="Arial" w:hAnsi="Arial" w:eastAsia="Calibri" w:cs="Arial"/>
          <w:bCs/>
          <w:color w:val="000000"/>
          <w:sz w:val="21"/>
          <w:szCs w:val="21"/>
          <w:lang w:val="es-ES_tradnl"/>
        </w:rPr>
        <w:t>.</w:t>
      </w:r>
    </w:p>
    <w:p w:rsidRPr="00FE5B2C" w:rsidR="00D6060E" w:rsidP="00D6060E" w:rsidRDefault="00D6060E" w14:paraId="6E723E0D" w14:textId="77777777">
      <w:pPr>
        <w:snapToGrid w:val="0"/>
        <w:spacing w:after="0" w:line="276" w:lineRule="auto"/>
        <w:ind w:firstLine="709"/>
        <w:jc w:val="both"/>
        <w:rPr>
          <w:rFonts w:ascii="Arial" w:hAnsi="Arial" w:eastAsia="Calibri" w:cs="Arial"/>
          <w:bCs/>
          <w:color w:val="000000"/>
          <w:lang w:val="es-ES_tradnl"/>
        </w:rPr>
      </w:pPr>
    </w:p>
    <w:p w:rsidRPr="00FE5B2C" w:rsidR="00D6060E" w:rsidP="00D6060E" w:rsidRDefault="00D6060E" w14:paraId="2FC37914" w14:textId="77777777">
      <w:pPr>
        <w:snapToGrid w:val="0"/>
        <w:spacing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Empleando un argumento análogo al expuesto por la Corte Constitucional en este fallo –que ha sido reiterado a lo largo de estos años</w:t>
      </w:r>
      <w:r w:rsidRPr="00FE5B2C">
        <w:rPr>
          <w:rStyle w:val="Refdenotaalpie"/>
          <w:rFonts w:ascii="Arial" w:hAnsi="Arial" w:eastAsia="Calibri" w:cs="Arial"/>
          <w:bCs/>
          <w:color w:val="000000"/>
          <w:lang w:val="es-ES_tradnl"/>
        </w:rPr>
        <w:footnoteReference w:id="19"/>
      </w:r>
      <w:r w:rsidRPr="00FE5B2C">
        <w:rPr>
          <w:rFonts w:ascii="Arial" w:hAnsi="Arial" w:eastAsia="Calibri" w:cs="Arial"/>
          <w:bCs/>
          <w:color w:val="000000"/>
          <w:lang w:val="es-ES_tradnl"/>
        </w:rPr>
        <w:t xml:space="preserve">–, podría afirmarse que aunque –según se indicó– el derecho a la desconexión laboral consagrado en la Ley 2191 de 2022 en principio no aplica a los contratistas del Estado que no sean trabajadores o que no tengan una relación legal y reglamentaria, debería también predicarse a favor de aquellas personas que demuestren que tienen </w:t>
      </w:r>
      <w:r w:rsidRPr="00FE5B2C">
        <w:rPr>
          <w:rFonts w:ascii="Arial" w:hAnsi="Arial" w:eastAsia="Calibri" w:cs="Arial"/>
          <w:bCs/>
          <w:i/>
          <w:iCs/>
          <w:color w:val="000000"/>
          <w:lang w:val="es-ES_tradnl"/>
        </w:rPr>
        <w:t>en la realidad</w:t>
      </w:r>
      <w:r w:rsidRPr="00FE5B2C">
        <w:rPr>
          <w:rFonts w:ascii="Arial" w:hAnsi="Arial" w:eastAsia="Calibri" w:cs="Arial"/>
          <w:bCs/>
          <w:color w:val="000000"/>
          <w:lang w:val="es-ES_tradnl"/>
        </w:rPr>
        <w:t xml:space="preserve"> una relación laboral. Sin embargo, este sería un caso excepcional, pues, como indica la Corte, las entidades estatales no pueden mutar los contratos de prestación de servicios en contratos de trabajo, sustituyendo la autonomía del contratista por un vínculo de subordinación y dependencia.</w:t>
      </w:r>
    </w:p>
    <w:p w:rsidRPr="00FE5B2C" w:rsidR="00D6060E" w:rsidP="00D6060E" w:rsidRDefault="00D6060E" w14:paraId="7908BB38" w14:textId="77777777">
      <w:pPr>
        <w:snapToGrid w:val="0"/>
        <w:spacing w:before="120"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Ahora bien, esto no significa que las entidades estatales no puedan ordenarle al contratista que cumpla sus obligaciones contractuales o que no pueda exigirle en ciertos casos que se sujete a un horario. Como ha indicado la jurisprudencia del Consejo de Estado, en los contratos de prestación de servicios rige el </w:t>
      </w:r>
      <w:r w:rsidRPr="00FE5B2C">
        <w:rPr>
          <w:rFonts w:ascii="Arial" w:hAnsi="Arial" w:eastAsia="Calibri" w:cs="Arial"/>
          <w:bCs/>
          <w:i/>
          <w:iCs/>
          <w:color w:val="000000"/>
          <w:lang w:val="es-ES_tradnl"/>
        </w:rPr>
        <w:t>deber de coordinación</w:t>
      </w:r>
      <w:r w:rsidRPr="00FE5B2C">
        <w:rPr>
          <w:rFonts w:ascii="Arial" w:hAnsi="Arial" w:eastAsia="Calibri" w:cs="Arial"/>
          <w:bCs/>
          <w:color w:val="000000"/>
          <w:lang w:val="es-ES_tradnl"/>
        </w:rPr>
        <w:t xml:space="preserve"> entre el contratista y la entidad estatal. En virtud de este mandato, cuando la naturaleza del servicio exija que el contratista esté presente en ciertos horarios esto no puede entenderse como la configuración de un vínculo de subordinación y dependencia. Así lo ha explicado dicha corporación judicial:</w:t>
      </w:r>
    </w:p>
    <w:p w:rsidRPr="00FE5B2C" w:rsidR="00D6060E" w:rsidP="00D6060E" w:rsidRDefault="00D6060E" w14:paraId="5F035412"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2E5590" w14:paraId="1DBD12C7" w14:textId="45495533">
      <w:pPr>
        <w:snapToGrid w:val="0"/>
        <w:spacing w:after="0" w:line="240" w:lineRule="auto"/>
        <w:ind w:left="709" w:right="709"/>
        <w:jc w:val="both"/>
        <w:rPr>
          <w:rFonts w:ascii="Arial" w:hAnsi="Arial" w:eastAsia="Calibri" w:cs="Arial"/>
          <w:bCs/>
          <w:color w:val="000000"/>
          <w:sz w:val="21"/>
          <w:szCs w:val="21"/>
          <w:lang w:val="es-ES_tradnl"/>
        </w:rPr>
      </w:pPr>
      <w:r>
        <w:rPr>
          <w:rFonts w:ascii="Arial" w:hAnsi="Arial" w:eastAsia="Calibri" w:cs="Arial"/>
          <w:bCs/>
          <w:color w:val="000000"/>
          <w:sz w:val="21"/>
          <w:szCs w:val="21"/>
          <w:lang w:val="es-ES_tradnl"/>
        </w:rPr>
        <w:t>“</w:t>
      </w:r>
      <w:r w:rsidRPr="00FE5B2C" w:rsidR="00D6060E">
        <w:rPr>
          <w:rFonts w:ascii="Arial" w:hAnsi="Arial" w:eastAsia="Calibri" w:cs="Arial"/>
          <w:bCs/>
          <w:color w:val="000000"/>
          <w:sz w:val="21"/>
          <w:szCs w:val="21"/>
          <w:lang w:val="es-ES_tradnl"/>
        </w:rPr>
        <w:t>Ahora bien,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w:t>
      </w:r>
    </w:p>
    <w:p w:rsidRPr="00FE5B2C" w:rsidR="00D6060E" w:rsidP="00D6060E" w:rsidRDefault="00D6060E" w14:paraId="798626C5"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D6060E" w14:paraId="2A8A4289" w14:textId="77777777">
      <w:pPr>
        <w:snapToGrid w:val="0"/>
        <w:spacing w:after="0" w:line="240" w:lineRule="auto"/>
        <w:ind w:left="709" w:right="709"/>
        <w:jc w:val="both"/>
        <w:rPr>
          <w:rFonts w:ascii="Arial" w:hAnsi="Arial" w:eastAsia="Calibri" w:cs="Arial"/>
          <w:bCs/>
          <w:color w:val="000000"/>
          <w:sz w:val="21"/>
          <w:szCs w:val="21"/>
          <w:lang w:val="es-ES_tradnl"/>
        </w:rPr>
      </w:pPr>
      <w:r w:rsidRPr="00FE5B2C">
        <w:rPr>
          <w:rFonts w:ascii="Arial" w:hAnsi="Arial" w:eastAsia="Calibri" w:cs="Arial"/>
          <w:bCs/>
          <w:color w:val="000000"/>
          <w:sz w:val="21"/>
          <w:szCs w:val="21"/>
          <w:lang w:val="es-ES_tradnl"/>
        </w:rPr>
        <w:t>Así se dijo en la sentencia de la Sala Plena del Consejo de estado del 18 de noviembre de 2003, Rad. IJ-0039, M.-P. Nicolás Pájaro Peñaranda:</w:t>
      </w:r>
    </w:p>
    <w:p w:rsidRPr="00FE5B2C" w:rsidR="00D6060E" w:rsidP="00D6060E" w:rsidRDefault="00D6060E" w14:paraId="15275C10" w14:textId="77777777">
      <w:pPr>
        <w:snapToGrid w:val="0"/>
        <w:spacing w:after="0" w:line="240" w:lineRule="auto"/>
        <w:ind w:left="709" w:right="709"/>
        <w:jc w:val="both"/>
        <w:rPr>
          <w:rFonts w:ascii="Arial" w:hAnsi="Arial" w:eastAsia="Calibri" w:cs="Arial"/>
          <w:bCs/>
          <w:color w:val="000000"/>
          <w:sz w:val="21"/>
          <w:szCs w:val="21"/>
          <w:lang w:val="es-ES_tradnl"/>
        </w:rPr>
      </w:pPr>
    </w:p>
    <w:p w:rsidRPr="00FE5B2C" w:rsidR="00D6060E" w:rsidP="00D6060E" w:rsidRDefault="00D6060E" w14:paraId="22038092" w14:textId="77777777">
      <w:pPr>
        <w:snapToGrid w:val="0"/>
        <w:spacing w:after="0" w:line="240" w:lineRule="auto"/>
        <w:ind w:left="709" w:right="709"/>
        <w:jc w:val="both"/>
        <w:rPr>
          <w:rFonts w:ascii="Arial" w:hAnsi="Arial" w:eastAsia="Calibri" w:cs="Arial"/>
          <w:bCs/>
          <w:color w:val="000000"/>
          <w:sz w:val="21"/>
          <w:szCs w:val="21"/>
          <w:lang w:val="es-ES_tradnl"/>
        </w:rPr>
      </w:pPr>
      <w:r w:rsidRPr="00FE5B2C">
        <w:rPr>
          <w:rFonts w:ascii="Arial" w:hAnsi="Arial" w:eastAsia="Calibri" w:cs="Arial"/>
          <w:bCs/>
          <w:color w:val="000000"/>
          <w:sz w:val="21"/>
          <w:szCs w:val="21"/>
          <w:lang w:val="es-ES_tradnl"/>
        </w:rPr>
        <w:t xml:space="preserve">“... si bien es cierto que la actividad del contratista puede ser igual a la de empleados de planta, no es menos evidente que ello puede deberse a que este personal no alcance para colmar la </w:t>
      </w:r>
      <w:r w:rsidRPr="00FE5B2C">
        <w:rPr>
          <w:rFonts w:ascii="Arial" w:hAnsi="Arial" w:cs="Arial"/>
          <w:sz w:val="21"/>
          <w:szCs w:val="21"/>
        </w:rPr>
        <w:t xml:space="preserve">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En vez de una subordinación lo que surge es una actividad coordinada con el quehacer diario de la entidad, basada en las cláusulas contractuales.” (Se resalta). </w:t>
      </w:r>
    </w:p>
    <w:p w:rsidRPr="00FE5B2C" w:rsidR="00D6060E" w:rsidP="00D6060E" w:rsidRDefault="00D6060E" w14:paraId="7B6821B3" w14:textId="77777777">
      <w:pPr>
        <w:tabs>
          <w:tab w:val="left" w:pos="284"/>
        </w:tabs>
        <w:spacing w:after="0" w:line="240" w:lineRule="auto"/>
        <w:ind w:left="709" w:right="709"/>
        <w:jc w:val="both"/>
        <w:rPr>
          <w:rFonts w:ascii="Arial" w:hAnsi="Arial" w:cs="Arial"/>
          <w:sz w:val="21"/>
          <w:szCs w:val="21"/>
        </w:rPr>
      </w:pPr>
    </w:p>
    <w:p w:rsidRPr="00FE5B2C" w:rsidR="00D6060E" w:rsidP="00D6060E" w:rsidRDefault="00D6060E" w14:paraId="64E1C6DD" w14:textId="596525FA">
      <w:pPr>
        <w:tabs>
          <w:tab w:val="left" w:pos="284"/>
        </w:tabs>
        <w:spacing w:after="0" w:line="240" w:lineRule="auto"/>
        <w:ind w:left="709" w:right="709"/>
        <w:jc w:val="both"/>
        <w:rPr>
          <w:rFonts w:ascii="Arial" w:hAnsi="Arial" w:eastAsia="Calibri" w:cs="Arial"/>
          <w:bCs/>
          <w:color w:val="000000"/>
          <w:sz w:val="21"/>
          <w:szCs w:val="21"/>
          <w:lang w:val="es-ES_tradnl"/>
        </w:rPr>
      </w:pPr>
      <w:r w:rsidRPr="00FE5B2C">
        <w:rPr>
          <w:rFonts w:ascii="Arial" w:hAnsi="Arial" w:cs="Arial"/>
          <w:sz w:val="21"/>
          <w:szCs w:val="21"/>
        </w:rPr>
        <w:t>Es decir, que para acreditar la existencia de la relación laboral, es necesario probar que el supuesto contratista se desempeñó en las mismas condiciones que cualquier otro servidor público y que las actividades realizadas no eran indispensables en virtud de la necesaria relación de coordinación entre las partes contractuales</w:t>
      </w:r>
      <w:r w:rsidR="002E5590">
        <w:rPr>
          <w:rFonts w:ascii="Arial" w:hAnsi="Arial" w:cs="Arial"/>
          <w:sz w:val="21"/>
          <w:szCs w:val="21"/>
        </w:rPr>
        <w:t>”</w:t>
      </w:r>
      <w:r w:rsidRPr="00FE5B2C">
        <w:rPr>
          <w:rStyle w:val="Refdenotaalpie"/>
          <w:rFonts w:ascii="Arial" w:hAnsi="Arial" w:cs="Arial"/>
          <w:sz w:val="21"/>
          <w:szCs w:val="21"/>
        </w:rPr>
        <w:footnoteReference w:id="20"/>
      </w:r>
      <w:r w:rsidRPr="00FE5B2C">
        <w:rPr>
          <w:rFonts w:ascii="Arial" w:hAnsi="Arial" w:cs="Arial"/>
          <w:sz w:val="21"/>
          <w:szCs w:val="21"/>
        </w:rPr>
        <w:t>.</w:t>
      </w:r>
    </w:p>
    <w:p w:rsidRPr="00FE5B2C" w:rsidR="00D6060E" w:rsidP="00D6060E" w:rsidRDefault="00D6060E" w14:paraId="4496E96C" w14:textId="77777777">
      <w:pPr>
        <w:snapToGrid w:val="0"/>
        <w:spacing w:after="0" w:line="276" w:lineRule="auto"/>
        <w:ind w:firstLine="709"/>
        <w:jc w:val="both"/>
        <w:rPr>
          <w:rFonts w:ascii="Arial" w:hAnsi="Arial" w:eastAsia="Calibri" w:cs="Arial"/>
          <w:bCs/>
          <w:color w:val="000000"/>
          <w:lang w:val="es-ES_tradnl"/>
        </w:rPr>
      </w:pPr>
    </w:p>
    <w:p w:rsidRPr="00FE5B2C" w:rsidR="00D6060E" w:rsidP="00D6060E" w:rsidRDefault="00D6060E" w14:paraId="6C85A59B" w14:textId="77777777">
      <w:pPr>
        <w:snapToGrid w:val="0"/>
        <w:spacing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Este criterio fue reiterado en sentencia de unificación jurisprudencial del 9 de septiembre de 2021, en la cual el Consejo de Estado recordó</w:t>
      </w:r>
      <w:r>
        <w:rPr>
          <w:rFonts w:ascii="Arial" w:hAnsi="Arial" w:eastAsia="Calibri" w:cs="Arial"/>
          <w:bCs/>
          <w:color w:val="000000"/>
          <w:lang w:val="es-ES_tradnl"/>
        </w:rPr>
        <w:t xml:space="preserve"> “</w:t>
      </w:r>
      <w:r w:rsidRPr="00FE5B2C">
        <w:rPr>
          <w:rFonts w:ascii="Arial" w:hAnsi="Arial" w:eastAsia="Calibri" w:cs="Arial"/>
          <w:bCs/>
          <w:color w:val="000000"/>
          <w:lang w:val="es-ES_tradnl"/>
        </w:rPr>
        <w:t>[…] que lo que debe existir entre contratante y contratista es una relación de coordinación de actividades, la cual implica que el segundo se somete a las condiciones necesarias para el desarrollo eficiente del objeto contractual, como puede ser el cumplimiento de un horario o el hecho de recibir una serie de instrucciones de sus superiores, o tener que reportar informes sobre sus resultados</w:t>
      </w:r>
      <w:r>
        <w:rPr>
          <w:rFonts w:ascii="Arial" w:hAnsi="Arial" w:eastAsia="Calibri" w:cs="Arial"/>
          <w:bCs/>
          <w:color w:val="000000"/>
          <w:lang w:val="es-ES_tradnl"/>
        </w:rPr>
        <w:t>”</w:t>
      </w:r>
      <w:r w:rsidRPr="00FE5B2C">
        <w:rPr>
          <w:rStyle w:val="Refdenotaalpie"/>
          <w:rFonts w:ascii="Arial" w:hAnsi="Arial" w:eastAsia="Calibri" w:cs="Arial"/>
          <w:bCs/>
          <w:color w:val="000000"/>
          <w:lang w:val="es-ES_tradnl"/>
        </w:rPr>
        <w:footnoteReference w:id="21"/>
      </w:r>
      <w:r w:rsidRPr="00FE5B2C">
        <w:rPr>
          <w:rFonts w:ascii="Arial" w:hAnsi="Arial" w:eastAsia="Calibri" w:cs="Arial"/>
          <w:bCs/>
          <w:color w:val="000000"/>
          <w:lang w:val="es-ES_tradnl"/>
        </w:rPr>
        <w:t>.</w:t>
      </w:r>
    </w:p>
    <w:p w:rsidRPr="00FE5B2C" w:rsidR="00D6060E" w:rsidP="00D6060E" w:rsidRDefault="00D6060E" w14:paraId="5E2F0F30" w14:textId="77777777">
      <w:pPr>
        <w:snapToGrid w:val="0"/>
        <w:spacing w:before="120" w:after="0" w:line="276" w:lineRule="auto"/>
        <w:ind w:firstLine="709"/>
        <w:jc w:val="both"/>
        <w:rPr>
          <w:rFonts w:ascii="Arial" w:hAnsi="Arial" w:eastAsia="Calibri" w:cs="Arial"/>
          <w:bCs/>
          <w:color w:val="000000"/>
          <w:lang w:val="es-ES_tradnl"/>
        </w:rPr>
      </w:pPr>
      <w:r w:rsidRPr="00FE5B2C">
        <w:rPr>
          <w:rFonts w:ascii="Arial" w:hAnsi="Arial" w:eastAsia="Calibri" w:cs="Arial"/>
          <w:bCs/>
          <w:color w:val="000000"/>
          <w:lang w:val="es-ES_tradnl"/>
        </w:rPr>
        <w:t xml:space="preserve">En conclusión, esta Agencia considera que el derecho a la desconexión laboral, regulado en la Ley 2191 de 2022, no rige a favor de los contratistas del Estado que no reúnen el atributo de ser trabajadores o servidores públicos. Por tanto, no aplica respecto de los contratistas de prestación de servicios. Sin perjuicio de ello, como lo señala la jurisprudencia a la que se hizo referencia, en la práctica podría configurarse una relación laboral derivada de la subordinación si no se garantiza la autonomía del contratista en la prestación del servicio. Pero esto no significa que un contratista del Estado no pueda recibir ciertas directrices o que no deba cumplir a veces con un horario, siempre que esto sea necesario para garantizar el </w:t>
      </w:r>
      <w:r w:rsidRPr="00FE5B2C">
        <w:rPr>
          <w:rFonts w:ascii="Arial" w:hAnsi="Arial" w:eastAsia="Calibri" w:cs="Arial"/>
          <w:bCs/>
          <w:i/>
          <w:iCs/>
          <w:color w:val="000000"/>
          <w:lang w:val="es-ES_tradnl"/>
        </w:rPr>
        <w:t>principio de coordinación</w:t>
      </w:r>
      <w:r w:rsidRPr="00FE5B2C">
        <w:rPr>
          <w:rFonts w:ascii="Arial" w:hAnsi="Arial" w:eastAsia="Calibri" w:cs="Arial"/>
          <w:bCs/>
          <w:color w:val="000000"/>
          <w:lang w:val="es-ES_tradnl"/>
        </w:rPr>
        <w:t xml:space="preserve">, cuando las órdenes y el horario son indispensables para el cumplimiento del servicio encomendado. No obstante, las entidades estatales no pueden convertir el principio de coordinación en una relación de subordinación y dependencia del contratista respecto de ellas. </w:t>
      </w:r>
    </w:p>
    <w:p w:rsidRPr="00FE5B2C" w:rsidR="00D6060E" w:rsidP="00D6060E" w:rsidRDefault="00D6060E" w14:paraId="4E668339" w14:textId="77777777">
      <w:pPr>
        <w:snapToGrid w:val="0"/>
        <w:spacing w:after="0" w:line="276" w:lineRule="auto"/>
        <w:ind w:firstLine="709"/>
        <w:jc w:val="both"/>
        <w:rPr>
          <w:rFonts w:ascii="Arial" w:hAnsi="Arial" w:eastAsia="Calibri" w:cs="Arial"/>
          <w:bCs/>
          <w:color w:val="000000"/>
          <w:lang w:val="es-ES_tradnl"/>
        </w:rPr>
      </w:pPr>
    </w:p>
    <w:p w:rsidRPr="00FE5B2C" w:rsidR="00D6060E" w:rsidP="00D6060E" w:rsidRDefault="00D6060E" w14:paraId="4DC4F2EE" w14:textId="77777777">
      <w:pPr>
        <w:tabs>
          <w:tab w:val="left" w:pos="284"/>
        </w:tabs>
        <w:spacing w:after="0" w:line="276" w:lineRule="auto"/>
        <w:contextualSpacing/>
        <w:jc w:val="both"/>
        <w:rPr>
          <w:rFonts w:ascii="Arial" w:hAnsi="Arial" w:eastAsia="Calibri" w:cs="Arial"/>
          <w:color w:val="000000"/>
          <w:lang w:val="es-ES_tradnl"/>
        </w:rPr>
      </w:pPr>
      <w:r w:rsidRPr="00FE5B2C">
        <w:rPr>
          <w:rFonts w:ascii="Arial" w:hAnsi="Arial" w:eastAsia="Calibri" w:cs="Arial"/>
          <w:b/>
          <w:color w:val="000000"/>
          <w:lang w:val="es-ES_tradnl"/>
        </w:rPr>
        <w:t>3. Respuesta</w:t>
      </w:r>
    </w:p>
    <w:p w:rsidRPr="00FE5B2C" w:rsidR="00D6060E" w:rsidP="00D6060E" w:rsidRDefault="00D6060E" w14:paraId="17A86A68" w14:textId="77777777">
      <w:pPr>
        <w:spacing w:after="0" w:line="276" w:lineRule="auto"/>
        <w:ind w:left="709" w:right="709"/>
        <w:jc w:val="both"/>
        <w:rPr>
          <w:rFonts w:ascii="Arial" w:hAnsi="Arial" w:eastAsia="Calibri" w:cs="Arial"/>
          <w:i/>
          <w:color w:val="000000"/>
          <w:lang w:val="es-ES_tradnl"/>
        </w:rPr>
      </w:pPr>
    </w:p>
    <w:p w:rsidRPr="00FE5B2C" w:rsidR="00D6060E" w:rsidP="00D6060E" w:rsidRDefault="00D6060E" w14:paraId="3306D85F" w14:textId="77777777">
      <w:pPr>
        <w:tabs>
          <w:tab w:val="left" w:pos="426"/>
        </w:tabs>
        <w:spacing w:after="0" w:line="240" w:lineRule="auto"/>
        <w:ind w:left="709" w:right="709"/>
        <w:jc w:val="both"/>
        <w:rPr>
          <w:rFonts w:ascii="Arial" w:hAnsi="Arial" w:eastAsia="Calibri" w:cs="Arial"/>
          <w:color w:val="000000"/>
          <w:sz w:val="21"/>
          <w:szCs w:val="21"/>
          <w:lang w:val="es-ES_tradnl"/>
        </w:rPr>
      </w:pPr>
      <w:r w:rsidRPr="0097204B">
        <w:rPr>
          <w:rFonts w:ascii="Arial" w:hAnsi="Arial" w:eastAsia="Calibri" w:cs="Arial"/>
          <w:color w:val="000000"/>
          <w:sz w:val="21"/>
          <w:szCs w:val="21"/>
          <w:lang w:val="es-ES_tradnl"/>
        </w:rPr>
        <w:t>“[…] ¿la Ley de Desconexión Laboral aplica para personas contratadas bajo modalidad prestación de servicios? […]”</w:t>
      </w:r>
      <w:r>
        <w:rPr>
          <w:rFonts w:ascii="Arial" w:hAnsi="Arial" w:eastAsia="Calibri" w:cs="Arial"/>
          <w:color w:val="000000"/>
          <w:sz w:val="21"/>
          <w:szCs w:val="21"/>
          <w:lang w:val="es-ES_tradnl"/>
        </w:rPr>
        <w:t>.</w:t>
      </w:r>
    </w:p>
    <w:p w:rsidRPr="00FE5B2C" w:rsidR="00D6060E" w:rsidP="00D6060E" w:rsidRDefault="00D6060E" w14:paraId="28A77E05" w14:textId="77777777">
      <w:pPr>
        <w:spacing w:after="0" w:line="276" w:lineRule="auto"/>
        <w:jc w:val="both"/>
        <w:rPr>
          <w:rFonts w:ascii="Arial" w:hAnsi="Arial" w:eastAsia="Calibri" w:cs="Arial"/>
          <w:color w:val="000000"/>
          <w:lang w:val="es-ES_tradnl"/>
        </w:rPr>
      </w:pPr>
    </w:p>
    <w:p w:rsidRPr="00FE5B2C" w:rsidR="00D6060E" w:rsidP="00D6060E" w:rsidRDefault="00D6060E" w14:paraId="3C9A4090" w14:textId="77777777">
      <w:pPr>
        <w:snapToGrid w:val="0"/>
        <w:spacing w:after="120" w:line="276" w:lineRule="auto"/>
        <w:jc w:val="both"/>
        <w:rPr>
          <w:rFonts w:ascii="Arial" w:hAnsi="Arial" w:eastAsia="Calibri" w:cs="Arial"/>
          <w:bCs/>
          <w:color w:val="000000"/>
          <w:lang w:val="es-ES_tradnl"/>
        </w:rPr>
      </w:pPr>
      <w:r>
        <w:rPr>
          <w:rFonts w:ascii="Arial" w:hAnsi="Arial" w:eastAsia="Calibri" w:cs="Arial"/>
          <w:bCs/>
          <w:color w:val="000000"/>
          <w:lang w:val="es-ES_tradnl"/>
        </w:rPr>
        <w:t>De acuerdo con lo expuesto, e</w:t>
      </w:r>
      <w:r w:rsidRPr="00FE5B2C">
        <w:rPr>
          <w:rFonts w:ascii="Arial" w:hAnsi="Arial" w:eastAsia="Calibri" w:cs="Arial"/>
          <w:bCs/>
          <w:color w:val="000000"/>
          <w:lang w:val="es-ES_tradnl"/>
        </w:rPr>
        <w:t xml:space="preserve">sta Agencia considera que el derecho a la desconexión laboral, regulado en la Ley 2191 de 2022, no rige a favor de los contratistas del Estado que no </w:t>
      </w:r>
      <w:r>
        <w:rPr>
          <w:rFonts w:ascii="Arial" w:hAnsi="Arial" w:eastAsia="Calibri" w:cs="Arial"/>
          <w:bCs/>
          <w:color w:val="000000"/>
          <w:lang w:val="es-ES_tradnl"/>
        </w:rPr>
        <w:t>tengan</w:t>
      </w:r>
      <w:r w:rsidRPr="00FE5B2C">
        <w:rPr>
          <w:rFonts w:ascii="Arial" w:hAnsi="Arial" w:eastAsia="Calibri" w:cs="Arial"/>
          <w:bCs/>
          <w:color w:val="000000"/>
          <w:lang w:val="es-ES_tradnl"/>
        </w:rPr>
        <w:t xml:space="preserve"> el atributo de ser trabajadores o servidores públicos. Por tanto, no aplica respecto de los contratistas de prestación de servicios. Sin perjuicio de ello, como lo señala la jurisprudencia a la que se hizo referencia, en la práctica podría configurarse una relación laboral derivada de la subordinación si no se garantiza la autonomía del contratista en la prestación del servicio. Pero esto no significa que un contratista del Estado no pueda recibir ciertas directrices o que no deba cumplir a veces con un horario, siempre que esto sea necesario para garantizar el </w:t>
      </w:r>
      <w:r w:rsidRPr="00FE5B2C">
        <w:rPr>
          <w:rFonts w:ascii="Arial" w:hAnsi="Arial" w:eastAsia="Calibri" w:cs="Arial"/>
          <w:bCs/>
          <w:i/>
          <w:iCs/>
          <w:color w:val="000000"/>
          <w:lang w:val="es-ES_tradnl"/>
        </w:rPr>
        <w:t>principio de coordinación</w:t>
      </w:r>
      <w:r w:rsidRPr="00FE5B2C">
        <w:rPr>
          <w:rFonts w:ascii="Arial" w:hAnsi="Arial" w:eastAsia="Calibri" w:cs="Arial"/>
          <w:bCs/>
          <w:color w:val="000000"/>
          <w:lang w:val="es-ES_tradnl"/>
        </w:rPr>
        <w:t xml:space="preserve">, cuando las órdenes y el horario son indispensables para el cumplimiento del servicio encomendado. No obstante, las entidades estatales no pueden convertir el principio de coordinación en una relación de subordinación y dependencia del contratista respecto de ellas. </w:t>
      </w:r>
    </w:p>
    <w:p w:rsidRPr="00FE5B2C" w:rsidR="00D6060E" w:rsidP="00D6060E" w:rsidRDefault="00D6060E" w14:paraId="04AB9761" w14:textId="77777777">
      <w:pPr>
        <w:spacing w:after="0" w:line="276" w:lineRule="auto"/>
        <w:jc w:val="both"/>
        <w:rPr>
          <w:rFonts w:ascii="Arial" w:hAnsi="Arial" w:eastAsia="Calibri" w:cs="Arial"/>
          <w:color w:val="000000"/>
          <w:lang w:val="es-ES_tradnl"/>
        </w:rPr>
      </w:pPr>
    </w:p>
    <w:p w:rsidRPr="00FE5B2C" w:rsidR="00D6060E" w:rsidP="00D6060E" w:rsidRDefault="00D6060E" w14:paraId="45DB0728" w14:textId="77777777">
      <w:pPr>
        <w:spacing w:after="0" w:line="276" w:lineRule="auto"/>
        <w:jc w:val="both"/>
        <w:rPr>
          <w:rFonts w:ascii="Arial" w:hAnsi="Arial" w:eastAsia="Calibri" w:cs="Arial"/>
          <w:color w:val="000000"/>
          <w:lang w:val="es-ES_tradnl"/>
        </w:rPr>
      </w:pPr>
      <w:r w:rsidRPr="00FE5B2C">
        <w:rPr>
          <w:rFonts w:ascii="Arial" w:hAnsi="Arial" w:eastAsia="Calibri" w:cs="Arial"/>
          <w:color w:val="000000"/>
          <w:lang w:val="es-ES_tradnl"/>
        </w:rPr>
        <w:t>Este concepto tiene el alcance previsto en el artículo 28 del Código de Procedimiento Administrativo y de lo Contencioso Administrativo.</w:t>
      </w:r>
    </w:p>
    <w:p w:rsidRPr="00FE5B2C" w:rsidR="00D6060E" w:rsidP="00D6060E" w:rsidRDefault="00D6060E" w14:paraId="7EAE55BB" w14:textId="77777777">
      <w:pPr>
        <w:spacing w:before="120" w:after="0" w:line="276" w:lineRule="auto"/>
        <w:jc w:val="both"/>
        <w:rPr>
          <w:rFonts w:ascii="Arial" w:hAnsi="Arial" w:eastAsia="Times New Roman" w:cs="Arial"/>
          <w:color w:val="000000"/>
          <w:szCs w:val="24"/>
          <w:lang w:val="es-ES_tradnl" w:eastAsia="es-ES_tradnl"/>
        </w:rPr>
      </w:pPr>
    </w:p>
    <w:p w:rsidR="00D6060E" w:rsidP="00D6060E" w:rsidRDefault="00D6060E" w14:paraId="011BDCBA" w14:textId="77777777">
      <w:pPr>
        <w:spacing w:after="0" w:line="276" w:lineRule="auto"/>
        <w:jc w:val="both"/>
        <w:rPr>
          <w:rFonts w:ascii="Arial" w:hAnsi="Arial" w:eastAsia="Times New Roman" w:cs="Arial"/>
          <w:color w:val="000000"/>
          <w:lang w:val="es-ES_tradnl" w:eastAsia="es-CO"/>
        </w:rPr>
      </w:pPr>
      <w:r w:rsidRPr="00FE5B2C">
        <w:rPr>
          <w:rFonts w:ascii="Arial" w:hAnsi="Arial" w:eastAsia="Times New Roman" w:cs="Arial"/>
          <w:color w:val="000000"/>
          <w:lang w:val="es-ES_tradnl" w:eastAsia="es-CO"/>
        </w:rPr>
        <w:t>Atentamente,</w:t>
      </w:r>
      <w:bookmarkEnd w:id="0"/>
      <w:bookmarkEnd w:id="1"/>
    </w:p>
    <w:p w:rsidR="00D6060E" w:rsidP="00D6060E" w:rsidRDefault="00D6060E" w14:paraId="24EF6D5D" w14:textId="77777777">
      <w:pPr>
        <w:pStyle w:val="Sinespaciado"/>
        <w:rPr>
          <w:rFonts w:ascii="Arial" w:hAnsi="Arial" w:cs="Arial"/>
          <w:color w:val="3B3838" w:themeColor="background2" w:themeShade="40"/>
          <w:sz w:val="18"/>
          <w:szCs w:val="18"/>
        </w:rPr>
      </w:pPr>
    </w:p>
    <w:p w:rsidRPr="00D444C0" w:rsidR="00D6060E" w:rsidP="00D6060E" w:rsidRDefault="00D6060E" w14:paraId="10435F8E" w14:textId="356082AD">
      <w:pPr>
        <w:pStyle w:val="Sinespaciado"/>
        <w:jc w:val="center"/>
      </w:pPr>
      <w:r w:rsidR="1934955C">
        <w:drawing>
          <wp:inline wp14:editId="76B672A1" wp14:anchorId="3D42C62C">
            <wp:extent cx="3152775" cy="1209675"/>
            <wp:effectExtent l="0" t="0" r="0" b="0"/>
            <wp:docPr id="600154827" name="" title=""/>
            <wp:cNvGraphicFramePr>
              <a:graphicFrameLocks noChangeAspect="1"/>
            </wp:cNvGraphicFramePr>
            <a:graphic>
              <a:graphicData uri="http://schemas.openxmlformats.org/drawingml/2006/picture">
                <pic:pic>
                  <pic:nvPicPr>
                    <pic:cNvPr id="0" name=""/>
                    <pic:cNvPicPr/>
                  </pic:nvPicPr>
                  <pic:blipFill>
                    <a:blip r:embed="Rb1d72032c92b4959">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p w:rsidRPr="00BB5652" w:rsidR="00D6060E" w:rsidP="00D6060E" w:rsidRDefault="00D6060E" w14:paraId="03B5969B" w14:textId="77777777">
      <w:pPr>
        <w:spacing w:after="0" w:line="276" w:lineRule="auto"/>
        <w:jc w:val="center"/>
        <w:rPr>
          <w:rFonts w:ascii="Arial" w:hAnsi="Arial" w:eastAsia="Times New Roman" w:cs="Arial"/>
          <w:color w:val="000000" w:themeColor="text1"/>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B5652" w:rsidR="00D6060E" w:rsidTr="74DD02C2" w14:paraId="71FD9F0A" w14:textId="77777777">
        <w:trPr>
          <w:trHeight w:val="160"/>
        </w:trPr>
        <w:tc>
          <w:tcPr>
            <w:tcW w:w="812" w:type="dxa"/>
            <w:vAlign w:val="center"/>
            <w:hideMark/>
          </w:tcPr>
          <w:p w:rsidRPr="00BB5652" w:rsidR="00D6060E" w:rsidP="00532A88" w:rsidRDefault="00D6060E" w14:paraId="685F6321" w14:textId="77777777">
            <w:pPr>
              <w:jc w:val="both"/>
              <w:rPr>
                <w:rFonts w:ascii="Arial" w:hAnsi="Arial" w:eastAsia="Times New Roman" w:cs="Arial"/>
                <w:color w:val="000000" w:themeColor="text1"/>
                <w:sz w:val="16"/>
                <w:szCs w:val="16"/>
                <w:lang w:val="es-ES_tradnl" w:eastAsia="es-ES"/>
              </w:rPr>
            </w:pPr>
            <w:r w:rsidRPr="00BB5652">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B5652" w:rsidR="00D6060E" w:rsidP="00532A88" w:rsidRDefault="00D6060E" w14:paraId="2E6ACEA1"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 xml:space="preserve">Juan David Montoya Penagos </w:t>
            </w:r>
          </w:p>
          <w:p w:rsidRPr="00BB5652" w:rsidR="00D6060E" w:rsidP="00532A88" w:rsidRDefault="00D6060E" w14:paraId="5285CC5B" w14:textId="77777777">
            <w:pPr>
              <w:jc w:val="both"/>
              <w:rPr>
                <w:rFonts w:ascii="Arial" w:hAnsi="Arial" w:eastAsia="Times New Roman" w:cs="Arial"/>
                <w:color w:val="000000" w:themeColor="text1"/>
                <w:sz w:val="16"/>
                <w:szCs w:val="16"/>
                <w:lang w:val="es-ES_tradnl" w:eastAsia="es-ES"/>
              </w:rPr>
            </w:pPr>
            <w:r w:rsidRPr="00BB5652">
              <w:rPr>
                <w:rFonts w:ascii="Arial" w:hAnsi="Arial" w:eastAsia="Times New Roman" w:cs="Arial"/>
                <w:color w:val="000000" w:themeColor="text1"/>
                <w:sz w:val="16"/>
                <w:szCs w:val="16"/>
                <w:lang w:val="es-ES_tradnl" w:eastAsia="es-ES"/>
              </w:rPr>
              <w:t>Contratista de la Subdirección de Gestión Contractual</w:t>
            </w:r>
          </w:p>
        </w:tc>
      </w:tr>
      <w:tr w:rsidRPr="00BB5652" w:rsidR="00D6060E" w:rsidTr="74DD02C2" w14:paraId="7827A8E0" w14:textId="77777777">
        <w:trPr>
          <w:trHeight w:val="330"/>
        </w:trPr>
        <w:tc>
          <w:tcPr>
            <w:tcW w:w="812" w:type="dxa"/>
            <w:vAlign w:val="center"/>
            <w:hideMark/>
          </w:tcPr>
          <w:p w:rsidRPr="00BB5652" w:rsidR="00D6060E" w:rsidP="00532A88" w:rsidRDefault="00D6060E" w14:paraId="29CB36A0" w14:textId="77777777">
            <w:pPr>
              <w:jc w:val="both"/>
              <w:rPr>
                <w:rFonts w:ascii="Arial" w:hAnsi="Arial" w:eastAsia="Times New Roman" w:cs="Arial"/>
                <w:color w:val="000000" w:themeColor="text1"/>
                <w:sz w:val="16"/>
                <w:szCs w:val="16"/>
                <w:lang w:val="es-ES_tradnl" w:eastAsia="es-ES"/>
              </w:rPr>
            </w:pPr>
            <w:r w:rsidRPr="00BB5652">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B5652" w:rsidR="00D6060E" w:rsidP="00532A88" w:rsidRDefault="00D6060E" w14:paraId="73FB527E" w14:textId="77777777">
            <w:pPr>
              <w:jc w:val="both"/>
              <w:rPr>
                <w:rFonts w:ascii="Arial" w:hAnsi="Arial" w:eastAsia="Times New Roman" w:cs="Arial"/>
                <w:color w:val="000000" w:themeColor="text1"/>
                <w:sz w:val="16"/>
                <w:szCs w:val="16"/>
                <w:lang w:val="es-ES_tradnl" w:eastAsia="es-ES"/>
              </w:rPr>
            </w:pPr>
            <w:r w:rsidRPr="00BB5652">
              <w:rPr>
                <w:rFonts w:ascii="Arial" w:hAnsi="Arial" w:eastAsia="Times New Roman" w:cs="Arial"/>
                <w:color w:val="000000" w:themeColor="text1"/>
                <w:sz w:val="16"/>
                <w:szCs w:val="16"/>
                <w:lang w:val="es-ES_tradnl" w:eastAsia="es-ES"/>
              </w:rPr>
              <w:t xml:space="preserve">Alejandro Sarmiento Cantillo </w:t>
            </w:r>
          </w:p>
          <w:p w:rsidRPr="00BB5652" w:rsidR="00D6060E" w:rsidP="74DD02C2" w:rsidRDefault="00D6060E" w14:paraId="6A58EC9C" w14:textId="69B28D77">
            <w:pPr>
              <w:jc w:val="both"/>
              <w:rPr>
                <w:rFonts w:ascii="Arial" w:hAnsi="Arial" w:eastAsia="Times New Roman" w:cs="Arial"/>
                <w:color w:val="000000" w:themeColor="text1"/>
                <w:sz w:val="16"/>
                <w:szCs w:val="16"/>
                <w:lang w:val="es-ES" w:eastAsia="es-ES"/>
              </w:rPr>
            </w:pPr>
            <w:r w:rsidRPr="74DD02C2">
              <w:rPr>
                <w:rFonts w:ascii="Arial" w:hAnsi="Arial" w:eastAsia="Times New Roman" w:cs="Arial"/>
                <w:color w:val="000000" w:themeColor="text1"/>
                <w:sz w:val="16"/>
                <w:szCs w:val="16"/>
                <w:lang w:val="es-ES" w:eastAsia="es-ES"/>
              </w:rPr>
              <w:t>Gestor T1 – 15 de la Subdirección de Gestión Contractual</w:t>
            </w:r>
          </w:p>
          <w:p w:rsidRPr="00BB5652" w:rsidR="00D6060E" w:rsidP="74DD02C2" w:rsidRDefault="2B6F754A" w14:paraId="3AAB0F3A" w14:textId="76A077B3">
            <w:pPr>
              <w:jc w:val="both"/>
              <w:rPr>
                <w:rFonts w:ascii="Arial" w:hAnsi="Arial" w:eastAsia="Times New Roman" w:cs="Arial"/>
                <w:color w:val="000000" w:themeColor="text1"/>
                <w:sz w:val="16"/>
                <w:szCs w:val="16"/>
                <w:lang w:val="es-ES" w:eastAsia="es-ES"/>
              </w:rPr>
            </w:pPr>
            <w:r w:rsidRPr="74DD02C2">
              <w:rPr>
                <w:rFonts w:ascii="Arial" w:hAnsi="Arial" w:eastAsia="Times New Roman" w:cs="Arial"/>
                <w:color w:val="000000" w:themeColor="text1"/>
                <w:sz w:val="16"/>
                <w:szCs w:val="16"/>
                <w:lang w:val="es-ES" w:eastAsia="es-ES"/>
              </w:rPr>
              <w:t>Gabriel Mendoza M</w:t>
            </w:r>
          </w:p>
          <w:p w:rsidRPr="00BB5652" w:rsidR="00D6060E" w:rsidP="00532A88" w:rsidRDefault="2B6F754A" w14:paraId="0B9898B9" w14:textId="5214F9D5">
            <w:pPr>
              <w:jc w:val="both"/>
              <w:rPr>
                <w:rFonts w:ascii="Arial" w:hAnsi="Arial" w:eastAsia="Times New Roman" w:cs="Arial"/>
                <w:color w:val="000000" w:themeColor="text1"/>
                <w:sz w:val="16"/>
                <w:szCs w:val="16"/>
                <w:lang w:val="es-ES" w:eastAsia="es-ES"/>
              </w:rPr>
            </w:pPr>
            <w:r w:rsidRPr="74DD02C2">
              <w:rPr>
                <w:rFonts w:ascii="Arial" w:hAnsi="Arial" w:eastAsia="Times New Roman" w:cs="Arial"/>
                <w:color w:val="000000" w:themeColor="text1"/>
                <w:sz w:val="16"/>
                <w:szCs w:val="16"/>
                <w:lang w:val="es-ES" w:eastAsia="es-ES"/>
              </w:rPr>
              <w:t>Contratista de la Subdirección de Gestión Contractual</w:t>
            </w:r>
          </w:p>
        </w:tc>
      </w:tr>
      <w:tr w:rsidRPr="00BB5652" w:rsidR="00D6060E" w:rsidTr="74DD02C2" w14:paraId="51101B03" w14:textId="77777777">
        <w:trPr>
          <w:trHeight w:val="300"/>
        </w:trPr>
        <w:tc>
          <w:tcPr>
            <w:tcW w:w="812" w:type="dxa"/>
            <w:vAlign w:val="center"/>
            <w:hideMark/>
          </w:tcPr>
          <w:p w:rsidRPr="00BB5652" w:rsidR="00D6060E" w:rsidP="00532A88" w:rsidRDefault="00D6060E" w14:paraId="24869801" w14:textId="77777777">
            <w:pPr>
              <w:jc w:val="both"/>
              <w:rPr>
                <w:rFonts w:ascii="Arial" w:hAnsi="Arial" w:eastAsia="Times New Roman" w:cs="Arial"/>
                <w:color w:val="000000" w:themeColor="text1"/>
                <w:sz w:val="16"/>
                <w:szCs w:val="16"/>
                <w:lang w:val="es-ES_tradnl" w:eastAsia="es-ES"/>
              </w:rPr>
            </w:pPr>
            <w:r w:rsidRPr="00BB5652">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444C0" w:rsidR="00D6060E" w:rsidP="00532A88" w:rsidRDefault="00D6060E" w14:paraId="5A82374D" w14:textId="77777777">
            <w:pPr>
              <w:rPr>
                <w:rFonts w:ascii="Arial" w:hAnsi="Arial" w:eastAsia="Times New Roman" w:cs="Arial"/>
                <w:color w:val="000000" w:themeColor="text1"/>
                <w:sz w:val="24"/>
                <w:szCs w:val="24"/>
                <w:lang w:val="es-ES_tradnl" w:eastAsia="es-ES_tradnl"/>
              </w:rPr>
            </w:pPr>
            <w:r>
              <w:rPr>
                <w:rFonts w:ascii="Arial" w:hAnsi="Arial" w:eastAsia="Arial" w:cs="Arial"/>
                <w:color w:val="000000" w:themeColor="text1"/>
                <w:sz w:val="16"/>
                <w:szCs w:val="16"/>
                <w:lang w:val="es-ES_tradnl" w:eastAsia="es-ES_tradnl"/>
              </w:rPr>
              <w:t>Nohelia del Carmen Zawady Palacio</w:t>
            </w:r>
          </w:p>
          <w:p w:rsidRPr="00BB5652" w:rsidR="00D6060E" w:rsidP="00532A88" w:rsidRDefault="00D6060E" w14:paraId="5090761D" w14:textId="77777777">
            <w:pPr>
              <w:jc w:val="both"/>
              <w:rPr>
                <w:rFonts w:ascii="Arial" w:hAnsi="Arial" w:eastAsia="Times New Roman" w:cs="Arial"/>
                <w:color w:val="000000" w:themeColor="text1"/>
                <w:sz w:val="16"/>
                <w:szCs w:val="16"/>
                <w:lang w:val="es-ES_tradnl" w:eastAsia="es-ES"/>
              </w:rPr>
            </w:pPr>
            <w:r w:rsidRPr="00D444C0">
              <w:rPr>
                <w:rFonts w:ascii="Arial" w:hAnsi="Arial" w:eastAsia="Arial" w:cs="Arial"/>
                <w:color w:val="000000" w:themeColor="text1"/>
                <w:sz w:val="16"/>
                <w:szCs w:val="16"/>
                <w:lang w:val="es-ES_tradnl" w:eastAsia="es-ES_tradnl"/>
              </w:rPr>
              <w:t>Subdirector</w:t>
            </w:r>
            <w:r>
              <w:rPr>
                <w:rFonts w:ascii="Arial" w:hAnsi="Arial" w:eastAsia="Arial" w:cs="Arial"/>
                <w:color w:val="000000" w:themeColor="text1"/>
                <w:sz w:val="16"/>
                <w:szCs w:val="16"/>
                <w:lang w:val="es-ES_tradnl" w:eastAsia="es-ES_tradnl"/>
              </w:rPr>
              <w:t>a</w:t>
            </w:r>
            <w:r w:rsidRPr="00D444C0">
              <w:rPr>
                <w:rFonts w:ascii="Arial" w:hAnsi="Arial" w:eastAsia="Arial" w:cs="Arial"/>
                <w:color w:val="000000" w:themeColor="text1"/>
                <w:sz w:val="16"/>
                <w:szCs w:val="16"/>
                <w:lang w:val="es-ES_tradnl" w:eastAsia="es-ES_tradnl"/>
              </w:rPr>
              <w:t xml:space="preserve"> de Gestión Contractual</w:t>
            </w:r>
          </w:p>
        </w:tc>
      </w:tr>
    </w:tbl>
    <w:p w:rsidRPr="00BB5652" w:rsidR="00D6060E" w:rsidP="00D6060E" w:rsidRDefault="00D6060E" w14:paraId="71E9322E" w14:textId="77777777">
      <w:pPr>
        <w:rPr>
          <w:rFonts w:ascii="Arial" w:hAnsi="Arial" w:cs="Arial"/>
          <w:color w:val="000000" w:themeColor="text1"/>
          <w:lang w:val="es-ES_tradnl"/>
        </w:rPr>
      </w:pPr>
    </w:p>
    <w:p w:rsidRPr="007E643D" w:rsidR="00D6060E" w:rsidP="00D6060E" w:rsidRDefault="00D6060E" w14:paraId="1A3704BA" w14:textId="77777777">
      <w:pPr>
        <w:spacing w:after="0" w:line="276" w:lineRule="auto"/>
        <w:jc w:val="both"/>
        <w:rPr>
          <w:rFonts w:ascii="Arial" w:hAnsi="Arial" w:eastAsia="Times New Roman" w:cs="Arial"/>
          <w:sz w:val="24"/>
          <w:szCs w:val="24"/>
          <w:lang w:val="es-ES_tradnl" w:eastAsia="es-ES_tradnl"/>
        </w:rPr>
      </w:pPr>
      <w:r w:rsidRPr="007E643D">
        <w:rPr>
          <w:rFonts w:ascii="Arial" w:hAnsi="Arial" w:eastAsia="Times New Roman" w:cs="Arial"/>
          <w:sz w:val="24"/>
          <w:szCs w:val="24"/>
          <w:lang w:val="es-ES_tradnl" w:eastAsia="es-ES_tradnl"/>
        </w:rPr>
        <w:t xml:space="preserve"> </w:t>
      </w:r>
    </w:p>
    <w:p w:rsidRPr="007E643D" w:rsidR="00D6060E" w:rsidP="00D6060E" w:rsidRDefault="00D6060E" w14:paraId="4BBD0A58" w14:textId="77777777">
      <w:pPr>
        <w:rPr>
          <w:rFonts w:ascii="Arial" w:hAnsi="Arial" w:cs="Arial"/>
        </w:rPr>
      </w:pPr>
    </w:p>
    <w:p w:rsidRPr="0039032B" w:rsidR="00127233" w:rsidP="0039032B" w:rsidRDefault="00127233" w14:paraId="0F293BF4" w14:textId="0F6FB6C1"/>
    <w:sectPr w:rsidRPr="0039032B" w:rsidR="00127233" w:rsidSect="0039439C">
      <w:headerReference w:type="default" r:id="rId13"/>
      <w:footerReference w:type="default" r:id="rId14"/>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4FA" w:rsidP="004A1847" w:rsidRDefault="00E064FA" w14:paraId="6567B1AA" w14:textId="77777777">
      <w:pPr>
        <w:spacing w:after="0" w:line="240" w:lineRule="auto"/>
      </w:pPr>
      <w:r>
        <w:separator/>
      </w:r>
    </w:p>
  </w:endnote>
  <w:endnote w:type="continuationSeparator" w:id="0">
    <w:p w:rsidR="00E064FA" w:rsidP="004A1847" w:rsidRDefault="00E064FA" w14:paraId="65086D47" w14:textId="77777777">
      <w:pPr>
        <w:spacing w:after="0" w:line="240" w:lineRule="auto"/>
      </w:pPr>
      <w:r>
        <w:continuationSeparator/>
      </w:r>
    </w:p>
  </w:endnote>
  <w:endnote w:type="continuationNotice" w:id="1">
    <w:p w:rsidR="00E064FA" w:rsidRDefault="00E064FA" w14:paraId="4EA572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ova">
    <w:panose1 w:val="020B0504020202020204"/>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A1847" w14:paraId="18911A32" w14:textId="460CCDF7">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0534DA7F"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4B28DD0E" w14:textId="403BB57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79B52F09" w14:textId="22188FC9">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36DA5B04" w14:textId="372D563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06B3C" w14:paraId="71E26DE9" w14:textId="227155A8">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w:t>
          </w:r>
          <w:r w:rsidR="004B6B0E">
            <w:rPr>
              <w:rFonts w:ascii="Geomanist Light" w:hAnsi="Geomanist Light" w:eastAsia="Geo" w:cs="Geo"/>
              <w:b/>
              <w:color w:val="000000"/>
              <w:sz w:val="18"/>
              <w:szCs w:val="18"/>
              <w:lang w:eastAsia="es-CO"/>
            </w:rPr>
            <w:t>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6219F8" w14:paraId="169F6C19"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06B3C" w14:paraId="7D02B6A6" w14:textId="04459FA8">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Pr="00080DA3" w:rsidR="006219F8">
            <w:rPr>
              <w:rFonts w:ascii="Geomanist Light" w:hAnsi="Geomanist Light"/>
              <w:sz w:val="18"/>
              <w:szCs w:val="18"/>
            </w:rPr>
            <w:t xml:space="preserve"> de </w:t>
          </w:r>
          <w:r w:rsidR="00C9405D">
            <w:rPr>
              <w:rFonts w:ascii="Geomanist Light" w:hAnsi="Geomanist Light"/>
              <w:sz w:val="18"/>
              <w:szCs w:val="18"/>
            </w:rPr>
            <w:t>septiembre</w:t>
          </w:r>
          <w:r w:rsidRPr="00080DA3" w:rsidR="006219F8">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6219F8" w14:paraId="6C25E7A7" w14:textId="74CFB82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4FA" w:rsidP="004A1847" w:rsidRDefault="00E064FA" w14:paraId="1C62533D" w14:textId="77777777">
      <w:pPr>
        <w:spacing w:after="0" w:line="240" w:lineRule="auto"/>
      </w:pPr>
      <w:r>
        <w:separator/>
      </w:r>
    </w:p>
  </w:footnote>
  <w:footnote w:type="continuationSeparator" w:id="0">
    <w:p w:rsidR="00E064FA" w:rsidP="004A1847" w:rsidRDefault="00E064FA" w14:paraId="7F195222" w14:textId="77777777">
      <w:pPr>
        <w:spacing w:after="0" w:line="240" w:lineRule="auto"/>
      </w:pPr>
      <w:r>
        <w:continuationSeparator/>
      </w:r>
    </w:p>
  </w:footnote>
  <w:footnote w:type="continuationNotice" w:id="1">
    <w:p w:rsidR="00E064FA" w:rsidRDefault="00E064FA" w14:paraId="474F1143" w14:textId="77777777">
      <w:pPr>
        <w:spacing w:after="0" w:line="240" w:lineRule="auto"/>
      </w:pPr>
    </w:p>
  </w:footnote>
  <w:footnote w:id="2">
    <w:p w:rsidRPr="00D36924" w:rsidR="00D6060E" w:rsidP="00D6060E" w:rsidRDefault="00D6060E" w14:paraId="2EA1E7BB" w14:textId="77777777">
      <w:pPr>
        <w:pStyle w:val="Textonotapie"/>
        <w:spacing w:after="60"/>
        <w:ind w:firstLine="709"/>
        <w:jc w:val="both"/>
        <w:rPr>
          <w:rFonts w:ascii="Arial" w:hAnsi="Arial" w:cs="Arial"/>
          <w:color w:val="000000" w:themeColor="text1"/>
          <w:sz w:val="18"/>
          <w:szCs w:val="18"/>
        </w:rPr>
      </w:pPr>
      <w:r w:rsidRPr="00D36924">
        <w:rPr>
          <w:rStyle w:val="Refdenotaalpie"/>
          <w:rFonts w:ascii="Arial" w:hAnsi="Arial" w:cs="Arial"/>
          <w:sz w:val="18"/>
          <w:szCs w:val="18"/>
        </w:rPr>
        <w:footnoteRef/>
      </w:r>
      <w:r w:rsidRPr="00D36924">
        <w:rPr>
          <w:rFonts w:ascii="Arial" w:hAnsi="Arial" w:cs="Arial"/>
          <w:sz w:val="18"/>
          <w:szCs w:val="18"/>
        </w:rPr>
        <w:t xml:space="preserve"> Decreto 1068 de 2015:</w:t>
      </w:r>
      <w:r>
        <w:rPr>
          <w:rFonts w:ascii="Arial" w:hAnsi="Arial" w:cs="Arial"/>
          <w:sz w:val="18"/>
          <w:szCs w:val="18"/>
        </w:rPr>
        <w:t xml:space="preserve"> “</w:t>
      </w:r>
      <w:r w:rsidRPr="00D36924">
        <w:rPr>
          <w:rFonts w:ascii="Arial" w:hAnsi="Arial"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rsidRPr="00D36924" w:rsidR="00D6060E" w:rsidP="00D6060E" w:rsidRDefault="00D6060E" w14:paraId="1443CB13" w14:textId="77777777">
      <w:pPr>
        <w:pStyle w:val="Textonotapie"/>
        <w:spacing w:after="60"/>
        <w:ind w:firstLine="709"/>
        <w:jc w:val="both"/>
        <w:rPr>
          <w:rFonts w:ascii="Arial" w:hAnsi="Arial" w:cs="Arial"/>
          <w:color w:val="000000" w:themeColor="text1"/>
          <w:sz w:val="18"/>
          <w:szCs w:val="18"/>
        </w:rPr>
      </w:pPr>
      <w:r w:rsidRPr="00D36924">
        <w:rPr>
          <w:rFonts w:ascii="Arial" w:hAnsi="Arial"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rsidRPr="00D36924" w:rsidR="00D6060E" w:rsidP="00D6060E" w:rsidRDefault="00D6060E" w14:paraId="07D25F17" w14:textId="77777777">
      <w:pPr>
        <w:pStyle w:val="Textonotapie"/>
        <w:ind w:firstLine="708"/>
        <w:jc w:val="both"/>
        <w:rPr>
          <w:rFonts w:ascii="Arial" w:hAnsi="Arial" w:cs="Arial"/>
          <w:sz w:val="18"/>
          <w:szCs w:val="18"/>
        </w:rPr>
      </w:pPr>
      <w:r w:rsidRPr="00D36924">
        <w:rPr>
          <w:rFonts w:ascii="Arial" w:hAnsi="Arial"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Pr>
          <w:rFonts w:ascii="Arial" w:hAnsi="Arial" w:cs="Arial"/>
          <w:color w:val="000000" w:themeColor="text1"/>
          <w:sz w:val="18"/>
          <w:szCs w:val="18"/>
        </w:rPr>
        <w:t>”</w:t>
      </w:r>
      <w:r w:rsidRPr="00D36924">
        <w:rPr>
          <w:rFonts w:ascii="Arial" w:hAnsi="Arial" w:cs="Arial"/>
          <w:color w:val="000000" w:themeColor="text1"/>
          <w:sz w:val="18"/>
          <w:szCs w:val="18"/>
        </w:rPr>
        <w:t>.</w:t>
      </w:r>
    </w:p>
  </w:footnote>
  <w:footnote w:id="3">
    <w:p w:rsidRPr="00D36924" w:rsidR="00D6060E" w:rsidP="00D6060E" w:rsidRDefault="00D6060E" w14:paraId="2C9697E6"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El artículo 22 del Código Sustantivo del Trabajo establece</w:t>
      </w:r>
      <w:r>
        <w:rPr>
          <w:rFonts w:ascii="Arial" w:hAnsi="Arial" w:cs="Arial"/>
          <w:color w:val="000000"/>
          <w:sz w:val="18"/>
          <w:szCs w:val="18"/>
          <w:lang w:val="es-ES"/>
        </w:rPr>
        <w:t>: “</w:t>
      </w:r>
      <w:r w:rsidRPr="00D36924">
        <w:rPr>
          <w:rFonts w:ascii="Arial" w:hAnsi="Arial" w:cs="Arial"/>
          <w:color w:val="000000"/>
          <w:sz w:val="18"/>
          <w:szCs w:val="18"/>
          <w:lang w:val="es-ES"/>
        </w:rPr>
        <w:t>1. Contrato de trabajo es aquel por el cual una persona natural se obliga a prestar un servicio personal a otra persona, natural o jurídica, bajo la continuada dependencia o subordinación de la segunda y mediante remuneración.</w:t>
      </w:r>
    </w:p>
    <w:p w:rsidRPr="00D36924" w:rsidR="00D6060E" w:rsidP="00D6060E" w:rsidRDefault="00D6060E" w14:paraId="284E2248"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2. Quien presta el servicio se denomina trabajador, quien lo recibe y remunera, empleador, y la remuneración, cualquiera que sea su forma, salario</w:t>
      </w:r>
      <w:r>
        <w:rPr>
          <w:rFonts w:ascii="Arial" w:hAnsi="Arial" w:cs="Arial"/>
          <w:color w:val="000000"/>
          <w:sz w:val="18"/>
          <w:szCs w:val="18"/>
          <w:lang w:val="es-ES"/>
        </w:rPr>
        <w:t>”</w:t>
      </w:r>
      <w:r w:rsidRPr="00D36924">
        <w:rPr>
          <w:rFonts w:ascii="Arial" w:hAnsi="Arial" w:cs="Arial"/>
          <w:color w:val="000000"/>
          <w:sz w:val="18"/>
          <w:szCs w:val="18"/>
          <w:lang w:val="es-ES"/>
        </w:rPr>
        <w:t>.</w:t>
      </w:r>
    </w:p>
  </w:footnote>
  <w:footnote w:id="4">
    <w:p w:rsidRPr="00D36924" w:rsidR="00D6060E" w:rsidP="00D6060E" w:rsidRDefault="00D6060E" w14:paraId="5885E1D2"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Corte Constitucional. Sentencia C-154 de 1997. Magistrado Ponente: Hernando Herrera Vergara.</w:t>
      </w:r>
    </w:p>
  </w:footnote>
  <w:footnote w:id="5">
    <w:p w:rsidRPr="00D36924" w:rsidR="00D6060E" w:rsidP="00D6060E" w:rsidRDefault="00D6060E" w14:paraId="233521F0"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Ibíd.</w:t>
      </w:r>
    </w:p>
  </w:footnote>
  <w:footnote w:id="6">
    <w:p w:rsidRPr="00D36924" w:rsidR="00D6060E" w:rsidP="00D6060E" w:rsidRDefault="00D6060E" w14:paraId="4863B633"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El Decreto 1082 de 2015 lo establece así:</w:t>
      </w:r>
      <w:r>
        <w:rPr>
          <w:rFonts w:ascii="Arial" w:hAnsi="Arial" w:cs="Arial"/>
          <w:color w:val="000000"/>
          <w:sz w:val="18"/>
          <w:szCs w:val="18"/>
          <w:lang w:val="es-ES"/>
        </w:rPr>
        <w:t xml:space="preserve"> “</w:t>
      </w:r>
      <w:r w:rsidRPr="00D36924">
        <w:rPr>
          <w:rFonts w:ascii="Arial" w:hAnsi="Arial" w:cs="Arial"/>
          <w:color w:val="000000"/>
          <w:sz w:val="18"/>
          <w:szCs w:val="18"/>
          <w:lang w:val="es-ES"/>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D36924" w:rsidR="00D6060E" w:rsidP="00D6060E" w:rsidRDefault="00D6060E" w14:paraId="34519D57"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D36924" w:rsidR="00D6060E" w:rsidP="00D6060E" w:rsidRDefault="00D6060E" w14:paraId="3A0DF224"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r>
        <w:rPr>
          <w:rFonts w:ascii="Arial" w:hAnsi="Arial" w:cs="Arial"/>
          <w:color w:val="000000"/>
          <w:sz w:val="18"/>
          <w:szCs w:val="18"/>
          <w:lang w:val="es-ES"/>
        </w:rPr>
        <w:t>”</w:t>
      </w:r>
      <w:r w:rsidRPr="00D36924">
        <w:rPr>
          <w:rFonts w:ascii="Arial" w:hAnsi="Arial" w:cs="Arial"/>
          <w:color w:val="000000"/>
          <w:sz w:val="18"/>
          <w:szCs w:val="18"/>
          <w:lang w:val="es-ES"/>
        </w:rPr>
        <w:t>.</w:t>
      </w:r>
    </w:p>
  </w:footnote>
  <w:footnote w:id="7">
    <w:p w:rsidRPr="00D36924" w:rsidR="00D6060E" w:rsidP="00D6060E" w:rsidRDefault="00D6060E" w14:paraId="440F1942"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Consejo de Estado. Sección Tercera. Subsección C. Sentencia del 2 de diciembre de 2013. Exp. 41719. Consejero Ponente: Jaime Orlando Santofimio Gamboa.</w:t>
      </w:r>
    </w:p>
  </w:footnote>
  <w:footnote w:id="8">
    <w:p w:rsidR="00055D5A" w:rsidP="00D6060E" w:rsidRDefault="00055D5A" w14:paraId="30EA37D5" w14:textId="77777777">
      <w:pPr>
        <w:pStyle w:val="Textonotapie"/>
        <w:snapToGrid w:val="0"/>
        <w:ind w:firstLine="709"/>
        <w:jc w:val="both"/>
        <w:rPr>
          <w:rFonts w:ascii="Arial" w:hAnsi="Arial" w:cs="Arial"/>
          <w:color w:val="000000"/>
          <w:sz w:val="18"/>
          <w:szCs w:val="18"/>
        </w:rPr>
      </w:pPr>
    </w:p>
    <w:p w:rsidRPr="00D36924" w:rsidR="00D6060E" w:rsidP="00D6060E" w:rsidRDefault="00D6060E" w14:paraId="1248CC13" w14:textId="18452D5E">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Ibíd.</w:t>
      </w:r>
    </w:p>
  </w:footnote>
  <w:footnote w:id="9">
    <w:p w:rsidRPr="00D36924" w:rsidR="00D6060E" w:rsidP="00D6060E" w:rsidRDefault="00D6060E" w14:paraId="0DC9B93E"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Ibíd.</w:t>
      </w:r>
    </w:p>
  </w:footnote>
  <w:footnote w:id="10">
    <w:p w:rsidR="00055D5A" w:rsidP="00D6060E" w:rsidRDefault="00055D5A" w14:paraId="37CA750E" w14:textId="77777777">
      <w:pPr>
        <w:pStyle w:val="Textonotapie"/>
        <w:snapToGrid w:val="0"/>
        <w:ind w:firstLine="709"/>
        <w:jc w:val="both"/>
        <w:rPr>
          <w:rFonts w:ascii="Arial" w:hAnsi="Arial" w:cs="Arial"/>
          <w:color w:val="000000"/>
          <w:sz w:val="18"/>
          <w:szCs w:val="18"/>
        </w:rPr>
      </w:pPr>
    </w:p>
    <w:p w:rsidRPr="00D36924" w:rsidR="00D6060E" w:rsidP="00D6060E" w:rsidRDefault="00D6060E" w14:paraId="0ED425D1" w14:textId="5B7522F2">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 xml:space="preserve">Ibíd. En efecto, el numeral 2º del artículo 32 de la Ley 80 de 1993 define el contrato de consultoría así: </w:t>
      </w:r>
      <w:r>
        <w:rPr>
          <w:rFonts w:ascii="Arial" w:hAnsi="Arial" w:cs="Arial"/>
          <w:color w:val="000000"/>
          <w:sz w:val="18"/>
          <w:szCs w:val="18"/>
          <w:lang w:val="es-ES"/>
        </w:rPr>
        <w:t>“</w:t>
      </w:r>
      <w:r w:rsidRPr="00D36924">
        <w:rPr>
          <w:rFonts w:ascii="Arial" w:hAnsi="Arial" w:cs="Arial"/>
          <w:color w:val="000000"/>
          <w:sz w:val="18"/>
          <w:szCs w:val="18"/>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D36924" w:rsidR="00D6060E" w:rsidP="00D6060E" w:rsidRDefault="00D6060E" w14:paraId="7BBB6F6E"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rsidRPr="00D36924" w:rsidR="00D6060E" w:rsidP="00D6060E" w:rsidRDefault="00D6060E" w14:paraId="60AECB1E"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Ninguna orden del interventor de una obra podrá darse verbalmente. Es obligatorio para el interventor entregar por escrito sus órdenes o sugerencias y ellas deben enmarcarse dentro de los términos del respectivo contrato</w:t>
      </w:r>
      <w:r>
        <w:rPr>
          <w:rFonts w:ascii="Arial" w:hAnsi="Arial" w:cs="Arial"/>
          <w:color w:val="000000"/>
          <w:sz w:val="18"/>
          <w:szCs w:val="18"/>
          <w:lang w:val="es-ES"/>
        </w:rPr>
        <w:t>”</w:t>
      </w:r>
      <w:r w:rsidRPr="00D36924">
        <w:rPr>
          <w:rFonts w:ascii="Arial" w:hAnsi="Arial" w:cs="Arial"/>
          <w:color w:val="000000"/>
          <w:sz w:val="18"/>
          <w:szCs w:val="18"/>
          <w:lang w:val="es-ES"/>
        </w:rPr>
        <w:t xml:space="preserve">. </w:t>
      </w:r>
    </w:p>
  </w:footnote>
  <w:footnote w:id="11">
    <w:p w:rsidR="00055D5A" w:rsidP="00D6060E" w:rsidRDefault="00055D5A" w14:paraId="61231E2D" w14:textId="77777777">
      <w:pPr>
        <w:pStyle w:val="Textonotapie"/>
        <w:snapToGrid w:val="0"/>
        <w:ind w:firstLine="709"/>
        <w:jc w:val="both"/>
        <w:rPr>
          <w:rFonts w:ascii="Arial" w:hAnsi="Arial" w:cs="Arial"/>
          <w:color w:val="000000"/>
          <w:sz w:val="18"/>
          <w:szCs w:val="18"/>
        </w:rPr>
      </w:pPr>
    </w:p>
    <w:p w:rsidRPr="00D36924" w:rsidR="00D6060E" w:rsidP="00D6060E" w:rsidRDefault="00D6060E" w14:paraId="2CB316FD" w14:textId="327F8521">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 xml:space="preserve">Así lo prevé el artículo 2.2.1.2.1.4.1. del Decreto 1082 de 2015: </w:t>
      </w:r>
      <w:r>
        <w:rPr>
          <w:rFonts w:ascii="Arial" w:hAnsi="Arial" w:cs="Arial"/>
          <w:color w:val="000000"/>
          <w:sz w:val="18"/>
          <w:szCs w:val="18"/>
          <w:lang w:val="es-ES"/>
        </w:rPr>
        <w:t>“</w:t>
      </w:r>
      <w:r w:rsidRPr="00D36924">
        <w:rPr>
          <w:rFonts w:ascii="Arial" w:hAnsi="Arial" w:cs="Arial"/>
          <w:color w:val="000000"/>
          <w:sz w:val="18"/>
          <w:szCs w:val="18"/>
          <w:lang w:val="es-ES"/>
        </w:rPr>
        <w:t>La Entidad Estatal debe señalar en un acto administrativo la justificación para contratar bajo la modalidad de contratación directa, el cual debe contener:</w:t>
      </w:r>
    </w:p>
    <w:p w:rsidRPr="00D36924" w:rsidR="00D6060E" w:rsidP="00D6060E" w:rsidRDefault="00D6060E" w14:paraId="6D85C09F"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1. La causal que invoca para contratar directamente.</w:t>
      </w:r>
    </w:p>
    <w:p w:rsidRPr="00D36924" w:rsidR="00D6060E" w:rsidP="00D6060E" w:rsidRDefault="00D6060E" w14:paraId="3F3B965D"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2. El objeto del contrato.</w:t>
      </w:r>
    </w:p>
    <w:p w:rsidRPr="00D36924" w:rsidR="00D6060E" w:rsidP="00D6060E" w:rsidRDefault="00D6060E" w14:paraId="6C043856"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3. El presupuesto para la contratación y las condiciones que exigirá al contratista.</w:t>
      </w:r>
    </w:p>
    <w:p w:rsidRPr="00D36924" w:rsidR="00D6060E" w:rsidP="00D6060E" w:rsidRDefault="00D6060E" w14:paraId="78F2312D"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4. El lugar en el cual los interesados pueden consultar los estudios y documentos previos.</w:t>
      </w:r>
    </w:p>
    <w:p w:rsidRPr="00D36924" w:rsidR="00D6060E" w:rsidP="00D6060E" w:rsidRDefault="00D6060E" w14:paraId="7E5587F3"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rsidR="00055D5A" w:rsidP="00D6060E" w:rsidRDefault="00055D5A" w14:paraId="2A6D1560" w14:textId="77777777">
      <w:pPr>
        <w:pStyle w:val="Textonotapie"/>
        <w:snapToGrid w:val="0"/>
        <w:ind w:firstLine="709"/>
        <w:jc w:val="both"/>
        <w:rPr>
          <w:rFonts w:ascii="Arial" w:hAnsi="Arial" w:cs="Arial"/>
          <w:color w:val="000000"/>
          <w:sz w:val="18"/>
          <w:szCs w:val="18"/>
        </w:rPr>
      </w:pPr>
    </w:p>
    <w:p w:rsidRPr="00D36924" w:rsidR="00D6060E" w:rsidP="00D6060E" w:rsidRDefault="00D6060E" w14:paraId="324D782E" w14:textId="578BD4BC">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 xml:space="preserve">Esta norma expresa: </w:t>
      </w:r>
      <w:r>
        <w:rPr>
          <w:rFonts w:ascii="Arial" w:hAnsi="Arial" w:cs="Arial"/>
          <w:color w:val="000000"/>
          <w:sz w:val="18"/>
          <w:szCs w:val="18"/>
          <w:lang w:val="es-ES"/>
        </w:rPr>
        <w:t>“</w:t>
      </w:r>
      <w:r w:rsidRPr="00D36924">
        <w:rPr>
          <w:rFonts w:ascii="Arial" w:hAnsi="Arial" w:cs="Arial"/>
          <w:color w:val="000000"/>
          <w:sz w:val="18"/>
          <w:szCs w:val="18"/>
        </w:rPr>
        <w:t>P</w:t>
      </w:r>
      <w:r w:rsidRPr="00D36924">
        <w:rPr>
          <w:rFonts w:ascii="Arial" w:hAnsi="Arial" w:cs="Arial"/>
          <w:color w:val="000000"/>
          <w:sz w:val="18"/>
          <w:szCs w:val="18"/>
          <w:lang w:val="es-ES"/>
        </w:rPr>
        <w:t>ara el cumplimiento de los fines de la contratación, las entidades estatales al celebrar un contrato:</w:t>
      </w:r>
    </w:p>
    <w:p w:rsidRPr="00D36924" w:rsidR="00D6060E" w:rsidP="00D6060E" w:rsidRDefault="00D6060E" w14:paraId="61083CC6"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w:t>
      </w:r>
    </w:p>
    <w:p w:rsidRPr="00D36924" w:rsidR="00D6060E" w:rsidP="00D6060E" w:rsidRDefault="00D6060E" w14:paraId="14105D63"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D36924" w:rsidR="00D6060E" w:rsidP="00D6060E" w:rsidRDefault="00D6060E" w14:paraId="52DB5031"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Las entidades estatales podrán pactar estas cláusulas en los contratos de suministro y de prestación de servicios.</w:t>
      </w:r>
    </w:p>
    <w:p w:rsidRPr="00D36924" w:rsidR="00D6060E" w:rsidP="00D6060E" w:rsidRDefault="00D6060E" w14:paraId="42A04E9A"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lang w:val="es-ES"/>
        </w:rPr>
        <w:t>[…]</w:t>
      </w:r>
      <w:r>
        <w:rPr>
          <w:rFonts w:ascii="Arial" w:hAnsi="Arial" w:cs="Arial"/>
          <w:color w:val="000000"/>
          <w:sz w:val="18"/>
          <w:szCs w:val="18"/>
          <w:lang w:val="es-ES"/>
        </w:rPr>
        <w:t>”</w:t>
      </w:r>
      <w:r w:rsidRPr="00D36924">
        <w:rPr>
          <w:rFonts w:ascii="Arial" w:hAnsi="Arial" w:cs="Arial"/>
          <w:color w:val="000000"/>
          <w:sz w:val="18"/>
          <w:szCs w:val="18"/>
          <w:lang w:val="es-ES"/>
        </w:rPr>
        <w:t>.</w:t>
      </w:r>
    </w:p>
  </w:footnote>
  <w:footnote w:id="13">
    <w:p w:rsidRPr="00D36924" w:rsidR="00D6060E" w:rsidP="00D6060E" w:rsidRDefault="00D6060E" w14:paraId="1AF44BE1"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 xml:space="preserve">La norma dispone: </w:t>
      </w:r>
      <w:r>
        <w:rPr>
          <w:rFonts w:ascii="Arial" w:hAnsi="Arial" w:cs="Arial"/>
          <w:color w:val="000000"/>
          <w:sz w:val="18"/>
          <w:szCs w:val="18"/>
          <w:lang w:val="es-ES"/>
        </w:rPr>
        <w:t>“</w:t>
      </w:r>
      <w:r w:rsidRPr="00D36924">
        <w:rPr>
          <w:rFonts w:ascii="Arial" w:hAnsi="Arial" w:cs="Arial"/>
          <w:color w:val="000000"/>
          <w:sz w:val="18"/>
          <w:szCs w:val="18"/>
          <w:lang w:val="es-ES"/>
        </w:rPr>
        <w:t>La liquidación a que se refiere el presente artículo no será obligatoria en los contratos de prestación de servicios profesionales y de apoyo a la gestión</w:t>
      </w:r>
      <w:r>
        <w:rPr>
          <w:rFonts w:ascii="Arial" w:hAnsi="Arial" w:cs="Arial"/>
          <w:color w:val="000000"/>
          <w:sz w:val="18"/>
          <w:szCs w:val="18"/>
          <w:lang w:val="es-ES"/>
        </w:rPr>
        <w:t>”</w:t>
      </w:r>
      <w:r w:rsidRPr="00D36924">
        <w:rPr>
          <w:rFonts w:ascii="Arial" w:hAnsi="Arial" w:cs="Arial"/>
          <w:color w:val="000000"/>
          <w:sz w:val="18"/>
          <w:szCs w:val="18"/>
          <w:lang w:val="es-ES"/>
        </w:rPr>
        <w:t>.</w:t>
      </w:r>
    </w:p>
  </w:footnote>
  <w:footnote w:id="14">
    <w:p w:rsidRPr="00D36924" w:rsidR="00D6060E" w:rsidP="00D6060E" w:rsidRDefault="00D6060E" w14:paraId="290FB9BA" w14:textId="77777777">
      <w:pPr>
        <w:pStyle w:val="Textonotapie"/>
        <w:snapToGrid w:val="0"/>
        <w:ind w:firstLine="709"/>
        <w:jc w:val="both"/>
        <w:rPr>
          <w:rFonts w:ascii="Arial" w:hAnsi="Arial" w:cs="Arial"/>
          <w:color w:val="000000"/>
          <w:sz w:val="18"/>
          <w:szCs w:val="18"/>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Según dicho artículo </w:t>
      </w:r>
      <w:r>
        <w:rPr>
          <w:rFonts w:ascii="Arial" w:hAnsi="Arial" w:cs="Arial"/>
          <w:color w:val="000000"/>
          <w:sz w:val="18"/>
          <w:szCs w:val="18"/>
        </w:rPr>
        <w:t>“</w:t>
      </w:r>
      <w:r w:rsidRPr="00D36924">
        <w:rPr>
          <w:rFonts w:ascii="Arial" w:hAnsi="Arial" w:cs="Arial"/>
          <w:color w:val="000000"/>
          <w:sz w:val="18"/>
          <w:szCs w:val="18"/>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D36924" w:rsidR="00D6060E" w:rsidP="00D6060E" w:rsidRDefault="00D6060E" w14:paraId="5B54D6E1" w14:textId="77777777">
      <w:pPr>
        <w:pStyle w:val="Textonotapie"/>
        <w:snapToGrid w:val="0"/>
        <w:ind w:firstLine="709"/>
        <w:jc w:val="both"/>
        <w:rPr>
          <w:rFonts w:ascii="Arial" w:hAnsi="Arial" w:cs="Arial"/>
          <w:color w:val="000000"/>
          <w:sz w:val="18"/>
          <w:szCs w:val="18"/>
        </w:rPr>
      </w:pPr>
      <w:r w:rsidRPr="00D36924">
        <w:rPr>
          <w:rFonts w:ascii="Arial" w:hAnsi="Arial"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D36924" w:rsidR="00D6060E" w:rsidP="00D6060E" w:rsidRDefault="00D6060E" w14:paraId="60C46C6C" w14:textId="77777777">
      <w:pPr>
        <w:pStyle w:val="Textonotapie"/>
        <w:snapToGrid w:val="0"/>
        <w:ind w:firstLine="709"/>
        <w:jc w:val="both"/>
        <w:rPr>
          <w:rFonts w:ascii="Arial" w:hAnsi="Arial" w:cs="Arial"/>
          <w:color w:val="000000"/>
          <w:sz w:val="18"/>
          <w:szCs w:val="18"/>
          <w:lang w:val="es-ES"/>
        </w:rPr>
      </w:pPr>
      <w:r w:rsidRPr="00D36924">
        <w:rPr>
          <w:rFonts w:ascii="Arial" w:hAnsi="Arial" w:cs="Arial"/>
          <w:color w:val="000000"/>
          <w:sz w:val="18"/>
          <w:szCs w:val="18"/>
        </w:rPr>
        <w:t>[…]</w:t>
      </w:r>
      <w:r>
        <w:rPr>
          <w:rFonts w:ascii="Arial" w:hAnsi="Arial" w:cs="Arial"/>
          <w:color w:val="000000"/>
          <w:sz w:val="18"/>
          <w:szCs w:val="18"/>
        </w:rPr>
        <w:t>”</w:t>
      </w:r>
      <w:r w:rsidRPr="00D36924">
        <w:rPr>
          <w:rFonts w:ascii="Arial" w:hAnsi="Arial" w:cs="Arial"/>
          <w:color w:val="000000"/>
          <w:sz w:val="18"/>
          <w:szCs w:val="18"/>
        </w:rPr>
        <w:t>.</w:t>
      </w:r>
    </w:p>
  </w:footnote>
  <w:footnote w:id="15">
    <w:p w:rsidRPr="00D36924" w:rsidR="00D6060E" w:rsidP="00D6060E" w:rsidRDefault="00D6060E" w14:paraId="6A8060A5" w14:textId="77777777">
      <w:pPr>
        <w:pStyle w:val="Textonotapie"/>
        <w:snapToGrid w:val="0"/>
        <w:ind w:firstLine="709"/>
        <w:jc w:val="both"/>
        <w:rPr>
          <w:rFonts w:ascii="Arial" w:hAnsi="Arial" w:cs="Arial"/>
          <w:color w:val="000000"/>
          <w:sz w:val="18"/>
          <w:szCs w:val="18"/>
          <w:lang w:val="es-ES"/>
        </w:rPr>
      </w:pPr>
      <w:r w:rsidRPr="00D36924">
        <w:rPr>
          <w:rStyle w:val="Refdenotaalpie"/>
          <w:rFonts w:ascii="Arial" w:hAnsi="Arial" w:cs="Arial"/>
          <w:sz w:val="18"/>
          <w:szCs w:val="18"/>
        </w:rPr>
        <w:footnoteRef/>
      </w:r>
      <w:r w:rsidRPr="00D36924">
        <w:rPr>
          <w:rFonts w:ascii="Arial" w:hAnsi="Arial" w:cs="Arial"/>
          <w:color w:val="000000"/>
          <w:sz w:val="18"/>
          <w:szCs w:val="18"/>
        </w:rPr>
        <w:t xml:space="preserve"> </w:t>
      </w:r>
      <w:r w:rsidRPr="00D36924">
        <w:rPr>
          <w:rFonts w:ascii="Arial" w:hAnsi="Arial" w:cs="Arial"/>
          <w:color w:val="000000"/>
          <w:sz w:val="18"/>
          <w:szCs w:val="18"/>
          <w:lang w:val="es-ES"/>
        </w:rPr>
        <w:t xml:space="preserve">Es esto lo que establece el Decreto 1082 de 2015: </w:t>
      </w:r>
      <w:r>
        <w:rPr>
          <w:rFonts w:ascii="Arial" w:hAnsi="Arial" w:cs="Arial"/>
          <w:color w:val="000000"/>
          <w:sz w:val="18"/>
          <w:szCs w:val="18"/>
          <w:lang w:val="es-ES"/>
        </w:rPr>
        <w:t>“</w:t>
      </w:r>
      <w:r w:rsidRPr="00D36924">
        <w:rPr>
          <w:rFonts w:ascii="Arial" w:hAnsi="Arial" w:cs="Arial"/>
          <w:color w:val="000000"/>
          <w:sz w:val="18"/>
          <w:szCs w:val="18"/>
          <w:lang w:val="es-ES"/>
        </w:rPr>
        <w:t>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r>
        <w:rPr>
          <w:rFonts w:ascii="Arial" w:hAnsi="Arial" w:cs="Arial"/>
          <w:color w:val="000000"/>
          <w:sz w:val="18"/>
          <w:szCs w:val="18"/>
          <w:lang w:val="es-ES"/>
        </w:rPr>
        <w:t>”</w:t>
      </w:r>
      <w:r w:rsidRPr="00D36924">
        <w:rPr>
          <w:rFonts w:ascii="Arial" w:hAnsi="Arial" w:cs="Arial"/>
          <w:color w:val="000000"/>
          <w:sz w:val="18"/>
          <w:szCs w:val="18"/>
          <w:lang w:val="es-ES"/>
        </w:rPr>
        <w:t>.</w:t>
      </w:r>
    </w:p>
  </w:footnote>
  <w:footnote w:id="16">
    <w:p w:rsidRPr="00D36924" w:rsidR="00D6060E" w:rsidP="00D6060E" w:rsidRDefault="00D6060E" w14:paraId="5A088BFB"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Esta regla tiene algunas excepciones, indicadas en el artículo 6 de la Ley 2191 de 2022, el cual dispone que hay trabajadores y servidores públicos que en ciertos casos no están cubiertos por la garantía de desconexión laboral. Esta norma señala:</w:t>
      </w:r>
      <w:r>
        <w:rPr>
          <w:rFonts w:ascii="Arial" w:hAnsi="Arial" w:cs="Arial"/>
          <w:sz w:val="18"/>
          <w:szCs w:val="18"/>
          <w:lang w:val="es-ES"/>
        </w:rPr>
        <w:t xml:space="preserve"> “</w:t>
      </w:r>
      <w:r w:rsidRPr="00D36924">
        <w:rPr>
          <w:rFonts w:ascii="Arial" w:hAnsi="Arial" w:cs="Arial"/>
          <w:sz w:val="18"/>
          <w:szCs w:val="18"/>
          <w:lang w:val="es-ES"/>
        </w:rPr>
        <w:t>No estarán sujetos a lo dispuesto en esta ley:</w:t>
      </w:r>
    </w:p>
    <w:p w:rsidRPr="00D36924" w:rsidR="00D6060E" w:rsidP="00D6060E" w:rsidRDefault="00D6060E" w14:paraId="14EF078F" w14:textId="77777777">
      <w:pPr>
        <w:pStyle w:val="Textonotapie"/>
        <w:snapToGrid w:val="0"/>
        <w:ind w:firstLine="709"/>
        <w:jc w:val="both"/>
        <w:rPr>
          <w:rFonts w:ascii="Arial" w:hAnsi="Arial" w:cs="Arial"/>
          <w:sz w:val="18"/>
          <w:szCs w:val="18"/>
          <w:lang w:val="es-ES"/>
        </w:rPr>
      </w:pPr>
      <w:r w:rsidRPr="00D36924">
        <w:rPr>
          <w:rFonts w:ascii="Arial" w:hAnsi="Arial" w:cs="Arial"/>
          <w:sz w:val="18"/>
          <w:szCs w:val="18"/>
          <w:lang w:val="es-ES"/>
        </w:rPr>
        <w:t>a. Los trabajadores y servidores públicos que desempeñen cargos de dirección, confianza y manejo;</w:t>
      </w:r>
    </w:p>
    <w:p w:rsidRPr="00D36924" w:rsidR="00D6060E" w:rsidP="00D6060E" w:rsidRDefault="00D6060E" w14:paraId="3101B797" w14:textId="77777777">
      <w:pPr>
        <w:pStyle w:val="Textonotapie"/>
        <w:snapToGrid w:val="0"/>
        <w:ind w:firstLine="709"/>
        <w:jc w:val="both"/>
        <w:rPr>
          <w:rFonts w:ascii="Arial" w:hAnsi="Arial" w:cs="Arial"/>
          <w:sz w:val="18"/>
          <w:szCs w:val="18"/>
          <w:lang w:val="es-ES"/>
        </w:rPr>
      </w:pPr>
      <w:r w:rsidRPr="00D36924">
        <w:rPr>
          <w:rFonts w:ascii="Arial" w:hAnsi="Arial" w:cs="Arial"/>
          <w:sz w:val="18"/>
          <w:szCs w:val="18"/>
          <w:lang w:val="es-ES"/>
        </w:rPr>
        <w:t>b. Aquellos que por la naturaleza de la actividad o función que desempeñan deban tener una disponibilidad permanente, entre ellos la fuerza pública y organismos de socorro;</w:t>
      </w:r>
    </w:p>
    <w:p w:rsidRPr="00D36924" w:rsidR="00D6060E" w:rsidP="00D6060E" w:rsidRDefault="00D6060E" w14:paraId="29ECF000" w14:textId="77777777">
      <w:pPr>
        <w:pStyle w:val="Textonotapie"/>
        <w:snapToGrid w:val="0"/>
        <w:ind w:firstLine="709"/>
        <w:jc w:val="both"/>
        <w:rPr>
          <w:rFonts w:ascii="Arial" w:hAnsi="Arial" w:cs="Arial"/>
          <w:sz w:val="18"/>
          <w:szCs w:val="18"/>
          <w:lang w:val="es-ES"/>
        </w:rPr>
      </w:pPr>
      <w:r w:rsidRPr="00D36924">
        <w:rPr>
          <w:rFonts w:ascii="Arial" w:hAnsi="Arial" w:cs="Arial"/>
          <w:sz w:val="18"/>
          <w:szCs w:val="18"/>
          <w:lang w:val="es-ES"/>
        </w:rPr>
        <w:t>c. Situaciones de fuerza mayor o caso fortuito, en los que se requiera cumplir deberes extra de colaboración con la empresa o institución, cuando sean necesarios para la continuidad del servicio o para solucionar situaciones difíciles o de urgencia en la operación de la empresa o la institución, siempre que se justifique la inexistencia de otra alternativa viable</w:t>
      </w:r>
      <w:r>
        <w:rPr>
          <w:rFonts w:ascii="Arial" w:hAnsi="Arial" w:cs="Arial"/>
          <w:sz w:val="18"/>
          <w:szCs w:val="18"/>
          <w:lang w:val="es-ES"/>
        </w:rPr>
        <w:t>”</w:t>
      </w:r>
      <w:r w:rsidRPr="00D36924">
        <w:rPr>
          <w:rFonts w:ascii="Arial" w:hAnsi="Arial" w:cs="Arial"/>
          <w:sz w:val="18"/>
          <w:szCs w:val="18"/>
          <w:lang w:val="es-ES"/>
        </w:rPr>
        <w:t>.</w:t>
      </w:r>
    </w:p>
  </w:footnote>
  <w:footnote w:id="17">
    <w:p w:rsidRPr="00D36924" w:rsidR="00D6060E" w:rsidP="00D6060E" w:rsidRDefault="00D6060E" w14:paraId="01C0092B"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Magistrado Ponente: Hernando Herrera Vergara.</w:t>
      </w:r>
    </w:p>
  </w:footnote>
  <w:footnote w:id="18">
    <w:p w:rsidRPr="008B7C5F" w:rsidR="00D6060E" w:rsidP="00D6060E" w:rsidRDefault="00D6060E" w14:paraId="3F2C6FF1"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Corte Constitucional. Sentencia C-154 de 1997. Magistrado Ponente: Hernando Herrera Vergara.</w:t>
      </w:r>
    </w:p>
    <w:p w:rsidRPr="00D36924" w:rsidR="00D6060E" w:rsidP="00D6060E" w:rsidRDefault="00D6060E" w14:paraId="26CF48AC" w14:textId="77777777">
      <w:pPr>
        <w:pStyle w:val="Textonotapie"/>
        <w:snapToGrid w:val="0"/>
        <w:ind w:firstLine="709"/>
        <w:jc w:val="both"/>
        <w:rPr>
          <w:rFonts w:ascii="Arial" w:hAnsi="Arial" w:cs="Arial"/>
          <w:sz w:val="18"/>
          <w:szCs w:val="18"/>
          <w:lang w:val="es-ES"/>
        </w:rPr>
      </w:pPr>
    </w:p>
  </w:footnote>
  <w:footnote w:id="19">
    <w:p w:rsidRPr="00D36924" w:rsidR="00D6060E" w:rsidP="00D6060E" w:rsidRDefault="00D6060E" w14:paraId="7923A9F9"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Entre otras, pueden verse las siguientes sentencias de la Corte Constitucional: T-392 de 2017, C-614 de 2009 y T-388 de 2020.</w:t>
      </w:r>
    </w:p>
  </w:footnote>
  <w:footnote w:id="20">
    <w:p w:rsidR="00D6060E" w:rsidP="00D6060E" w:rsidRDefault="00D6060E" w14:paraId="683CBE33"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Consejo de Estado. Sección Segunda. Subsección A. Sentencia del 13 de febrero de 2014. Consejero Ponente: Alfonso Vargas Rincón. Expediente: 1807-13.</w:t>
      </w:r>
    </w:p>
    <w:p w:rsidRPr="00D36924" w:rsidR="001558C4" w:rsidP="00D6060E" w:rsidRDefault="001558C4" w14:paraId="58D686C7" w14:textId="77777777">
      <w:pPr>
        <w:pStyle w:val="Textonotapie"/>
        <w:snapToGrid w:val="0"/>
        <w:ind w:firstLine="709"/>
        <w:jc w:val="both"/>
        <w:rPr>
          <w:rFonts w:ascii="Arial" w:hAnsi="Arial" w:cs="Arial"/>
          <w:sz w:val="18"/>
          <w:szCs w:val="18"/>
          <w:lang w:val="es-ES"/>
        </w:rPr>
      </w:pPr>
    </w:p>
  </w:footnote>
  <w:footnote w:id="21">
    <w:p w:rsidRPr="00D36924" w:rsidR="00D6060E" w:rsidP="00D6060E" w:rsidRDefault="00D6060E" w14:paraId="7D599765" w14:textId="77777777">
      <w:pPr>
        <w:pStyle w:val="Textonotapie"/>
        <w:snapToGrid w:val="0"/>
        <w:ind w:firstLine="709"/>
        <w:jc w:val="both"/>
        <w:rPr>
          <w:rFonts w:ascii="Arial" w:hAnsi="Arial" w:cs="Arial"/>
          <w:sz w:val="18"/>
          <w:szCs w:val="18"/>
          <w:lang w:val="es-ES"/>
        </w:rPr>
      </w:pPr>
      <w:r w:rsidRPr="00D36924">
        <w:rPr>
          <w:rStyle w:val="Refdenotaalpie"/>
          <w:rFonts w:ascii="Arial" w:hAnsi="Arial" w:cs="Arial"/>
          <w:sz w:val="18"/>
          <w:szCs w:val="18"/>
        </w:rPr>
        <w:footnoteRef/>
      </w:r>
      <w:r w:rsidRPr="00D36924">
        <w:rPr>
          <w:rFonts w:ascii="Arial" w:hAnsi="Arial" w:cs="Arial"/>
          <w:sz w:val="18"/>
          <w:szCs w:val="18"/>
        </w:rPr>
        <w:t xml:space="preserve"> </w:t>
      </w:r>
      <w:r w:rsidRPr="00D36924">
        <w:rPr>
          <w:rFonts w:ascii="Arial" w:hAnsi="Arial" w:cs="Arial"/>
          <w:sz w:val="18"/>
          <w:szCs w:val="18"/>
          <w:lang w:val="es-ES"/>
        </w:rPr>
        <w:t xml:space="preserve">Consejo de Estado. Sección Segunda. Sentencia del 9 de septiembre de 2021. Expediente: </w:t>
      </w:r>
      <w:r w:rsidRPr="00D36924">
        <w:rPr>
          <w:rFonts w:ascii="Arial" w:hAnsi="Arial" w:cs="Arial"/>
          <w:sz w:val="18"/>
          <w:szCs w:val="18"/>
        </w:rPr>
        <w:t>1317-2016.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06B3C" w14:paraId="2E51F6A5" w14:textId="0DD925F5">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sidR="00B01ED6">
      <w:rPr>
        <w:rFonts w:ascii="Geomanist Light" w:hAnsi="Geomanist Light"/>
        <w:color w:val="002060"/>
        <w:sz w:val="16"/>
        <w:szCs w:val="16"/>
      </w:rPr>
      <w:t>FORMATO PQRSD</w:t>
    </w:r>
  </w:p>
  <w:p w:rsidRPr="007566FE" w:rsidR="007566FE" w:rsidP="00793403" w:rsidRDefault="007566FE" w14:paraId="077278A1" w14:textId="2CAB5B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793403" w14:paraId="74FC5262" w14:textId="51A6AFCE">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sidR="007566FE">
      <w:rPr>
        <w:rFonts w:ascii="Geomanist Light" w:hAnsi="Geomanist Light" w:eastAsia="Geo" w:cs="Geo"/>
        <w:b/>
        <w:color w:val="000000"/>
        <w:sz w:val="16"/>
        <w:szCs w:val="16"/>
        <w:lang w:eastAsia="es-CO"/>
      </w:rPr>
      <w:t>Versión</w:t>
    </w:r>
    <w:r w:rsidRPr="007566FE" w:rsidR="007566FE">
      <w:rPr>
        <w:rFonts w:ascii="Geomanist Light" w:hAnsi="Geomanist Light" w:eastAsia="Arial Nova" w:cs="Arial Nova"/>
        <w:b/>
        <w:color w:val="000000"/>
        <w:sz w:val="16"/>
        <w:szCs w:val="16"/>
        <w:lang w:eastAsia="es-CO"/>
      </w:rPr>
      <w:t xml:space="preserve">: </w:t>
    </w:r>
    <w:r w:rsidRPr="007566FE" w:rsidR="007566FE">
      <w:rPr>
        <w:rFonts w:ascii="Geomanist Light" w:hAnsi="Geomanist Light" w:eastAsia="Geo" w:cs="Geo"/>
        <w:sz w:val="16"/>
        <w:szCs w:val="16"/>
        <w:lang w:eastAsia="es-CO"/>
      </w:rPr>
      <w:t>0</w:t>
    </w:r>
    <w:r w:rsidR="00C9405D">
      <w:rPr>
        <w:rFonts w:ascii="Geomanist Light" w:hAnsi="Geomanist Light" w:eastAsia="Geo" w:cs="Geo"/>
        <w:sz w:val="16"/>
        <w:szCs w:val="16"/>
        <w:lang w:eastAsia="es-CO"/>
      </w:rPr>
      <w:t>2</w:t>
    </w:r>
    <w:r w:rsidRPr="007566FE" w:rsidR="007566FE">
      <w:rPr>
        <w:rFonts w:ascii="Geomanist Light" w:hAnsi="Geomanist Light" w:eastAsia="Geo" w:cs="Geo"/>
        <w:sz w:val="16"/>
        <w:szCs w:val="16"/>
        <w:lang w:eastAsia="es-CO"/>
      </w:rPr>
      <w:t xml:space="preserve"> DEL </w:t>
    </w:r>
    <w:r w:rsidR="00C9405D">
      <w:rPr>
        <w:rFonts w:ascii="Geomanist Light" w:hAnsi="Geomanist Light" w:eastAsia="Geo" w:cs="Geo"/>
        <w:sz w:val="16"/>
        <w:szCs w:val="16"/>
        <w:lang w:eastAsia="es-CO"/>
      </w:rPr>
      <w:t>28</w:t>
    </w:r>
    <w:r w:rsidRPr="007566FE" w:rsidR="007566FE">
      <w:rPr>
        <w:rFonts w:ascii="Geomanist Light" w:hAnsi="Geomanist Light" w:eastAsia="Geo" w:cs="Geo"/>
        <w:sz w:val="16"/>
        <w:szCs w:val="16"/>
        <w:lang w:eastAsia="es-CO"/>
      </w:rPr>
      <w:t xml:space="preserve"> DE </w:t>
    </w:r>
    <w:r w:rsidR="00C9405D">
      <w:rPr>
        <w:rFonts w:ascii="Geomanist Light" w:hAnsi="Geomanist Light" w:eastAsia="Geo" w:cs="Geo"/>
        <w:sz w:val="16"/>
        <w:szCs w:val="16"/>
        <w:lang w:eastAsia="es-CO"/>
      </w:rPr>
      <w:t>SEPTIEMBRE</w:t>
    </w:r>
    <w:r w:rsidRPr="007566FE" w:rsidR="007566FE">
      <w:rPr>
        <w:rFonts w:ascii="Geomanist Light" w:hAnsi="Geomanist Light" w:eastAsia="Geo" w:cs="Geo"/>
        <w:sz w:val="16"/>
        <w:szCs w:val="16"/>
        <w:lang w:eastAsia="es-CO"/>
      </w:rPr>
      <w:t xml:space="preserve"> DE 2022</w:t>
    </w:r>
  </w:p>
  <w:p w:rsidRPr="007566FE" w:rsidR="00793403" w:rsidP="008614E5" w:rsidRDefault="00793403" w14:paraId="60144E94" w14:textId="49B57718">
    <w:pPr>
      <w:spacing w:after="0"/>
      <w:rPr>
        <w:rFonts w:ascii="Geomanist Light" w:hAnsi="Geomanist Light"/>
        <w:color w:val="002060"/>
        <w:sz w:val="16"/>
        <w:szCs w:val="16"/>
      </w:rPr>
    </w:pPr>
  </w:p>
  <w:p w:rsidRPr="00906B3C" w:rsidR="004A1847" w:rsidP="00906B3C" w:rsidRDefault="004A1847" w14:paraId="1D9AD711" w14:textId="5827BD16">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5D5A"/>
    <w:rsid w:val="00071164"/>
    <w:rsid w:val="00083334"/>
    <w:rsid w:val="000956CF"/>
    <w:rsid w:val="000A683E"/>
    <w:rsid w:val="0011595A"/>
    <w:rsid w:val="001220C5"/>
    <w:rsid w:val="001267F7"/>
    <w:rsid w:val="00127233"/>
    <w:rsid w:val="00130999"/>
    <w:rsid w:val="001558C4"/>
    <w:rsid w:val="00164D81"/>
    <w:rsid w:val="001A1011"/>
    <w:rsid w:val="001A48D0"/>
    <w:rsid w:val="002653C1"/>
    <w:rsid w:val="0026611D"/>
    <w:rsid w:val="00292FFD"/>
    <w:rsid w:val="002951A0"/>
    <w:rsid w:val="002A64FD"/>
    <w:rsid w:val="002E5590"/>
    <w:rsid w:val="002F0839"/>
    <w:rsid w:val="00301469"/>
    <w:rsid w:val="00306EE1"/>
    <w:rsid w:val="00310B9B"/>
    <w:rsid w:val="0036461C"/>
    <w:rsid w:val="00367884"/>
    <w:rsid w:val="0039032B"/>
    <w:rsid w:val="0039439C"/>
    <w:rsid w:val="003B69E7"/>
    <w:rsid w:val="003C013B"/>
    <w:rsid w:val="003D0F4D"/>
    <w:rsid w:val="003F58A1"/>
    <w:rsid w:val="00410DD6"/>
    <w:rsid w:val="004134C9"/>
    <w:rsid w:val="0043138C"/>
    <w:rsid w:val="00462A59"/>
    <w:rsid w:val="004A1847"/>
    <w:rsid w:val="004B559C"/>
    <w:rsid w:val="004B6B0E"/>
    <w:rsid w:val="004D25B3"/>
    <w:rsid w:val="00511405"/>
    <w:rsid w:val="00526E9D"/>
    <w:rsid w:val="00547856"/>
    <w:rsid w:val="00547A74"/>
    <w:rsid w:val="005500D5"/>
    <w:rsid w:val="005566E8"/>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B5ECB"/>
    <w:rsid w:val="008D5C70"/>
    <w:rsid w:val="009025AF"/>
    <w:rsid w:val="00904F23"/>
    <w:rsid w:val="00906B3C"/>
    <w:rsid w:val="0095342C"/>
    <w:rsid w:val="009B1B6A"/>
    <w:rsid w:val="009F33F2"/>
    <w:rsid w:val="009F6C77"/>
    <w:rsid w:val="00A07532"/>
    <w:rsid w:val="00A1085C"/>
    <w:rsid w:val="00A309E2"/>
    <w:rsid w:val="00A8066E"/>
    <w:rsid w:val="00AA4B8A"/>
    <w:rsid w:val="00AA6BF7"/>
    <w:rsid w:val="00AC6337"/>
    <w:rsid w:val="00B01ED6"/>
    <w:rsid w:val="00B06D09"/>
    <w:rsid w:val="00B771A9"/>
    <w:rsid w:val="00B809BB"/>
    <w:rsid w:val="00B8248A"/>
    <w:rsid w:val="00BB7726"/>
    <w:rsid w:val="00BC79E2"/>
    <w:rsid w:val="00C2329E"/>
    <w:rsid w:val="00C30461"/>
    <w:rsid w:val="00C754BE"/>
    <w:rsid w:val="00C87572"/>
    <w:rsid w:val="00C9405D"/>
    <w:rsid w:val="00CC1B26"/>
    <w:rsid w:val="00CD284F"/>
    <w:rsid w:val="00CF23AA"/>
    <w:rsid w:val="00D01921"/>
    <w:rsid w:val="00D11199"/>
    <w:rsid w:val="00D6060E"/>
    <w:rsid w:val="00D752B7"/>
    <w:rsid w:val="00DA1854"/>
    <w:rsid w:val="00DB0887"/>
    <w:rsid w:val="00DF1E43"/>
    <w:rsid w:val="00E064FA"/>
    <w:rsid w:val="00E20894"/>
    <w:rsid w:val="00E26B7C"/>
    <w:rsid w:val="00EA3003"/>
    <w:rsid w:val="00EB3C91"/>
    <w:rsid w:val="00EB66DA"/>
    <w:rsid w:val="00F605F2"/>
    <w:rsid w:val="00F76AFC"/>
    <w:rsid w:val="00F8319B"/>
    <w:rsid w:val="00FA5516"/>
    <w:rsid w:val="00FD6F73"/>
    <w:rsid w:val="0696E474"/>
    <w:rsid w:val="1934955C"/>
    <w:rsid w:val="1CC63BF5"/>
    <w:rsid w:val="24A3C55A"/>
    <w:rsid w:val="2B6F754A"/>
    <w:rsid w:val="2F9951DC"/>
    <w:rsid w:val="3EA2D60F"/>
    <w:rsid w:val="400EF75F"/>
    <w:rsid w:val="4F1BD7D2"/>
    <w:rsid w:val="66E82BD6"/>
    <w:rsid w:val="6B8BD3AC"/>
    <w:rsid w:val="74DD02C2"/>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paragraph" w:styleId="Appelnotedebasde" w:customStyle="1">
    <w:name w:val="Appel note de bas de..."/>
    <w:basedOn w:val="Normal"/>
    <w:link w:val="Refdenotaalpie"/>
    <w:uiPriority w:val="99"/>
    <w:rsid w:val="00D6060E"/>
    <w:pPr>
      <w:spacing w:line="240" w:lineRule="exact"/>
    </w:pPr>
    <w:rPr>
      <w:vertAlign w:val="superscript"/>
    </w:rPr>
  </w:style>
  <w:style w:type="paragraph" w:styleId="Sinespaciado">
    <w:name w:val="No Spacing"/>
    <w:uiPriority w:val="1"/>
    <w:qFormat/>
    <w:rsid w:val="00D6060E"/>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b1d72032c92b4959"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6CF27C0-02C9-4FDC-AE1E-BC860A39DC8E}"/>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6</cp:revision>
  <dcterms:created xsi:type="dcterms:W3CDTF">2023-09-01T18:18:00Z</dcterms:created>
  <dcterms:modified xsi:type="dcterms:W3CDTF">2023-09-01T18:19:36Z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