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CD8C" w14:textId="77777777" w:rsidR="008D55ED" w:rsidRPr="00227C91" w:rsidRDefault="008D55ED" w:rsidP="008D55ED">
      <w:pPr>
        <w:spacing w:after="0" w:line="240" w:lineRule="auto"/>
        <w:jc w:val="both"/>
        <w:rPr>
          <w:rFonts w:ascii="Arial" w:eastAsia="Calibri" w:hAnsi="Arial" w:cs="Arial"/>
          <w:b/>
          <w:bCs/>
          <w:color w:val="000000" w:themeColor="text1"/>
          <w:sz w:val="20"/>
          <w:szCs w:val="20"/>
        </w:rPr>
      </w:pPr>
      <w:bookmarkStart w:id="0" w:name="_Hlk94281581"/>
      <w:bookmarkStart w:id="1" w:name="_Hlk102489058"/>
      <w:bookmarkStart w:id="2" w:name="_Hlk34951122"/>
    </w:p>
    <w:p w14:paraId="275045C2" w14:textId="77777777" w:rsidR="008D55ED" w:rsidRPr="00B9642A" w:rsidRDefault="008D55ED" w:rsidP="008D55ED">
      <w:pPr>
        <w:spacing w:after="0" w:line="240" w:lineRule="auto"/>
        <w:jc w:val="both"/>
        <w:rPr>
          <w:rFonts w:ascii="Arial" w:eastAsia="Calibri" w:hAnsi="Arial" w:cs="Arial"/>
          <w:b/>
          <w:lang w:val="es-ES_tradnl"/>
        </w:rPr>
      </w:pPr>
      <w:r>
        <w:rPr>
          <w:rFonts w:ascii="Arial" w:eastAsia="Calibri" w:hAnsi="Arial" w:cs="Arial"/>
          <w:b/>
          <w:lang w:val="es-ES_tradnl"/>
        </w:rPr>
        <w:t>DOCUMENTOS TIPO</w:t>
      </w:r>
      <w:r w:rsidRPr="00B9642A">
        <w:rPr>
          <w:rFonts w:ascii="Arial" w:eastAsia="Calibri" w:hAnsi="Arial" w:cs="Arial"/>
          <w:b/>
          <w:lang w:val="es-ES_tradnl"/>
        </w:rPr>
        <w:t xml:space="preserve"> – </w:t>
      </w:r>
      <w:r>
        <w:rPr>
          <w:rFonts w:ascii="Arial" w:eastAsia="Calibri" w:hAnsi="Arial" w:cs="Arial"/>
          <w:b/>
          <w:lang w:val="es-ES_tradnl"/>
        </w:rPr>
        <w:t>Fundamento normativo</w:t>
      </w:r>
      <w:r w:rsidRPr="00B9642A">
        <w:rPr>
          <w:rFonts w:ascii="Arial" w:eastAsia="Calibri" w:hAnsi="Arial" w:cs="Arial"/>
          <w:b/>
          <w:lang w:val="es-ES_tradnl"/>
        </w:rPr>
        <w:t xml:space="preserve"> </w:t>
      </w:r>
    </w:p>
    <w:p w14:paraId="4D90EB68" w14:textId="77777777" w:rsidR="008D55ED" w:rsidRPr="00B9642A" w:rsidRDefault="008D55ED" w:rsidP="008D55ED">
      <w:pPr>
        <w:spacing w:after="0" w:line="240" w:lineRule="auto"/>
        <w:jc w:val="both"/>
        <w:rPr>
          <w:rFonts w:ascii="Arial" w:eastAsia="Calibri" w:hAnsi="Arial" w:cs="Arial"/>
          <w:b/>
          <w:lang w:val="es-ES_tradnl"/>
        </w:rPr>
      </w:pPr>
    </w:p>
    <w:p w14:paraId="4BA3DD02" w14:textId="77777777" w:rsidR="008D55ED" w:rsidRDefault="008D55ED" w:rsidP="008D55ED">
      <w:pPr>
        <w:spacing w:after="0" w:line="240" w:lineRule="auto"/>
        <w:jc w:val="both"/>
        <w:rPr>
          <w:rFonts w:ascii="Arial" w:eastAsia="Calibri" w:hAnsi="Arial" w:cs="Arial"/>
          <w:sz w:val="20"/>
          <w:szCs w:val="20"/>
          <w:lang w:val="es-ES_tradnl"/>
        </w:rPr>
      </w:pPr>
      <w:r>
        <w:rPr>
          <w:rFonts w:ascii="Arial" w:eastAsia="Calibri" w:hAnsi="Arial" w:cs="Arial"/>
          <w:sz w:val="20"/>
          <w:szCs w:val="20"/>
          <w:lang w:val="es-ES_tradnl"/>
        </w:rPr>
        <w:t>E</w:t>
      </w:r>
      <w:r w:rsidRPr="00744C1E">
        <w:rPr>
          <w:rFonts w:ascii="Arial" w:eastAsia="Calibri" w:hAnsi="Arial" w:cs="Arial"/>
          <w:sz w:val="20"/>
          <w:szCs w:val="20"/>
          <w:lang w:val="es-ES_tradnl"/>
        </w:rPr>
        <w:t>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593761">
        <w:rPr>
          <w:rFonts w:ascii="Arial" w:eastAsia="Calibri" w:hAnsi="Arial" w:cs="Arial"/>
          <w:sz w:val="20"/>
          <w:szCs w:val="20"/>
          <w:lang w:val="es-ES_tradnl"/>
        </w:rPr>
        <w:t>.</w:t>
      </w:r>
    </w:p>
    <w:p w14:paraId="6862629A" w14:textId="77777777" w:rsidR="008D55ED" w:rsidRDefault="008D55ED" w:rsidP="008D55ED">
      <w:pPr>
        <w:spacing w:after="0" w:line="240" w:lineRule="auto"/>
        <w:jc w:val="both"/>
        <w:rPr>
          <w:rFonts w:ascii="Arial" w:eastAsia="Calibri" w:hAnsi="Arial" w:cs="Arial"/>
          <w:sz w:val="20"/>
          <w:szCs w:val="20"/>
          <w:lang w:val="es-ES_tradnl"/>
        </w:rPr>
      </w:pPr>
    </w:p>
    <w:p w14:paraId="216D95B9" w14:textId="77777777" w:rsidR="008D55ED" w:rsidRDefault="008D55ED" w:rsidP="008D55ED">
      <w:pPr>
        <w:spacing w:after="0" w:line="240" w:lineRule="auto"/>
        <w:jc w:val="both"/>
        <w:rPr>
          <w:rFonts w:ascii="Arial" w:eastAsia="Calibri" w:hAnsi="Arial" w:cs="Arial"/>
          <w:sz w:val="20"/>
          <w:szCs w:val="20"/>
          <w:lang w:val="es-ES_tradnl"/>
        </w:rPr>
      </w:pPr>
      <w:r w:rsidRPr="00744C1E">
        <w:rPr>
          <w:rFonts w:ascii="Arial" w:eastAsia="Calibri" w:hAnsi="Arial" w:cs="Arial"/>
          <w:sz w:val="20"/>
          <w:szCs w:val="20"/>
          <w:lang w:val="es-ES_tradnl"/>
        </w:rPr>
        <w:t xml:space="preserve">Por otra parte, debe tenerse en cuenta que la Ley 2022 de 2020 fue sancionada por el </w:t>
      </w:r>
      <w:proofErr w:type="gramStart"/>
      <w:r w:rsidRPr="00744C1E">
        <w:rPr>
          <w:rFonts w:ascii="Arial" w:eastAsia="Calibri" w:hAnsi="Arial" w:cs="Arial"/>
          <w:sz w:val="20"/>
          <w:szCs w:val="20"/>
          <w:lang w:val="es-ES_tradnl"/>
        </w:rPr>
        <w:t>Presidente</w:t>
      </w:r>
      <w:proofErr w:type="gramEnd"/>
      <w:r w:rsidRPr="00744C1E">
        <w:rPr>
          <w:rFonts w:ascii="Arial" w:eastAsia="Calibri" w:hAnsi="Arial" w:cs="Arial"/>
          <w:sz w:val="20"/>
          <w:szCs w:val="20"/>
          <w:lang w:val="es-ES_tradnl"/>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14:paraId="0415A3A4" w14:textId="77777777" w:rsidR="008D55ED" w:rsidRPr="00B9642A" w:rsidRDefault="008D55ED" w:rsidP="008D55ED">
      <w:pPr>
        <w:spacing w:after="0" w:line="240" w:lineRule="auto"/>
        <w:jc w:val="both"/>
        <w:rPr>
          <w:rFonts w:ascii="Arial" w:eastAsia="Calibri" w:hAnsi="Arial" w:cs="Arial"/>
          <w:sz w:val="20"/>
          <w:szCs w:val="20"/>
          <w:lang w:val="es-ES_tradnl"/>
        </w:rPr>
      </w:pPr>
    </w:p>
    <w:p w14:paraId="4D337E5A" w14:textId="77777777" w:rsidR="008D55ED" w:rsidRPr="003362CD" w:rsidRDefault="008D55ED" w:rsidP="008D55ED">
      <w:pPr>
        <w:spacing w:after="0" w:line="240" w:lineRule="auto"/>
        <w:jc w:val="both"/>
        <w:rPr>
          <w:rFonts w:ascii="Arial" w:eastAsia="Calibri" w:hAnsi="Arial" w:cs="Arial"/>
          <w:b/>
        </w:rPr>
      </w:pPr>
      <w:r>
        <w:rPr>
          <w:rFonts w:ascii="Arial" w:eastAsia="Calibri" w:hAnsi="Arial" w:cs="Arial"/>
          <w:b/>
        </w:rPr>
        <w:t>PRINCIPIO DE INALTERABILIDAD – Alcance</w:t>
      </w:r>
    </w:p>
    <w:p w14:paraId="4B83303D" w14:textId="77777777" w:rsidR="008D55ED" w:rsidRPr="003362CD" w:rsidRDefault="008D55ED" w:rsidP="008D55ED">
      <w:pPr>
        <w:spacing w:after="0" w:line="240" w:lineRule="auto"/>
        <w:jc w:val="both"/>
        <w:rPr>
          <w:rFonts w:ascii="Arial" w:eastAsia="Calibri" w:hAnsi="Arial" w:cs="Arial"/>
          <w:sz w:val="20"/>
          <w:szCs w:val="20"/>
        </w:rPr>
      </w:pPr>
    </w:p>
    <w:p w14:paraId="02DE836F" w14:textId="77777777" w:rsidR="008D55ED" w:rsidRDefault="008D55ED" w:rsidP="008D55ED">
      <w:pPr>
        <w:tabs>
          <w:tab w:val="left" w:pos="6551"/>
        </w:tabs>
        <w:spacing w:after="0" w:line="240" w:lineRule="auto"/>
        <w:jc w:val="both"/>
        <w:rPr>
          <w:rFonts w:ascii="Arial" w:eastAsia="Calibri" w:hAnsi="Arial" w:cs="Arial"/>
          <w:bCs/>
          <w:sz w:val="20"/>
          <w:szCs w:val="20"/>
        </w:rPr>
      </w:pPr>
      <w:r>
        <w:rPr>
          <w:rFonts w:ascii="Arial" w:eastAsia="Calibri" w:hAnsi="Arial" w:cs="Arial"/>
          <w:bCs/>
          <w:sz w:val="20"/>
          <w:szCs w:val="20"/>
        </w:rPr>
        <w:t>L</w:t>
      </w:r>
      <w:r w:rsidRPr="00F46BA5">
        <w:rPr>
          <w:rFonts w:ascii="Arial" w:eastAsia="Calibri" w:hAnsi="Arial" w:cs="Arial"/>
          <w:bCs/>
          <w:sz w:val="20"/>
          <w:szCs w:val="20"/>
        </w:rPr>
        <w:t xml:space="preserve">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 </w:t>
      </w:r>
    </w:p>
    <w:p w14:paraId="2D64E2B0" w14:textId="77777777" w:rsidR="008D55ED" w:rsidRPr="00F46BA5" w:rsidRDefault="008D55ED" w:rsidP="008D55ED">
      <w:pPr>
        <w:tabs>
          <w:tab w:val="left" w:pos="6551"/>
        </w:tabs>
        <w:spacing w:after="0" w:line="240" w:lineRule="auto"/>
        <w:jc w:val="both"/>
        <w:rPr>
          <w:rFonts w:ascii="Arial" w:eastAsia="Calibri" w:hAnsi="Arial" w:cs="Arial"/>
          <w:bCs/>
          <w:sz w:val="20"/>
          <w:szCs w:val="20"/>
        </w:rPr>
      </w:pPr>
    </w:p>
    <w:p w14:paraId="1259379C" w14:textId="77777777" w:rsidR="008D55ED" w:rsidRDefault="008D55ED" w:rsidP="008D55ED">
      <w:pPr>
        <w:tabs>
          <w:tab w:val="left" w:pos="6551"/>
        </w:tabs>
        <w:spacing w:after="0" w:line="240" w:lineRule="auto"/>
        <w:jc w:val="both"/>
        <w:rPr>
          <w:rFonts w:ascii="Arial" w:eastAsia="Calibri" w:hAnsi="Arial" w:cs="Arial"/>
          <w:bCs/>
          <w:sz w:val="20"/>
          <w:szCs w:val="20"/>
        </w:rPr>
      </w:pPr>
      <w:r w:rsidRPr="00F46BA5">
        <w:rPr>
          <w:rFonts w:ascii="Arial" w:eastAsia="Calibri" w:hAnsi="Arial" w:cs="Arial"/>
          <w:bCs/>
          <w:sz w:val="20"/>
          <w:szCs w:val="20"/>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03B71299" w14:textId="77777777" w:rsidR="008D55ED" w:rsidRPr="00F46BA5" w:rsidRDefault="008D55ED" w:rsidP="008D55ED">
      <w:pPr>
        <w:tabs>
          <w:tab w:val="left" w:pos="6551"/>
        </w:tabs>
        <w:spacing w:after="0" w:line="240" w:lineRule="auto"/>
        <w:jc w:val="both"/>
        <w:rPr>
          <w:rFonts w:ascii="Arial" w:eastAsia="Calibri" w:hAnsi="Arial" w:cs="Arial"/>
          <w:bCs/>
          <w:sz w:val="20"/>
          <w:szCs w:val="20"/>
        </w:rPr>
      </w:pPr>
    </w:p>
    <w:p w14:paraId="21513088" w14:textId="77777777" w:rsidR="008D55ED" w:rsidRDefault="008D55ED" w:rsidP="008D55ED">
      <w:pPr>
        <w:tabs>
          <w:tab w:val="left" w:pos="6551"/>
        </w:tabs>
        <w:spacing w:after="0" w:line="240" w:lineRule="auto"/>
        <w:jc w:val="both"/>
        <w:rPr>
          <w:rFonts w:ascii="Arial" w:eastAsia="Calibri" w:hAnsi="Arial" w:cs="Arial"/>
          <w:bCs/>
          <w:sz w:val="20"/>
          <w:szCs w:val="20"/>
        </w:rPr>
      </w:pPr>
      <w:r w:rsidRPr="00F46BA5">
        <w:rPr>
          <w:rFonts w:ascii="Arial" w:eastAsia="Calibri" w:hAnsi="Arial" w:cs="Arial"/>
          <w:bCs/>
          <w:sz w:val="20"/>
          <w:szCs w:val="20"/>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En relación con el principio constitucional sub examine, la Corte Constitucional explica que “[…] por disposición del artículo 228 Superior, las formas no deben convertirse en un obstáculo para la efectividad del derecho sustancial, sino que </w:t>
      </w:r>
      <w:r w:rsidRPr="00F46BA5">
        <w:rPr>
          <w:rFonts w:ascii="Arial" w:eastAsia="Calibri" w:hAnsi="Arial" w:cs="Arial"/>
          <w:bCs/>
          <w:sz w:val="20"/>
          <w:szCs w:val="20"/>
        </w:rPr>
        <w:lastRenderedPageBreak/>
        <w:t>deben propender por su realización. Es decir, que las normas procesales son un medio para lograr la efectividad de los derechos subjetivos y no fines en sí mismas”</w:t>
      </w:r>
      <w:r>
        <w:rPr>
          <w:rFonts w:ascii="Arial" w:eastAsia="Calibri" w:hAnsi="Arial" w:cs="Arial"/>
          <w:bCs/>
          <w:sz w:val="20"/>
          <w:szCs w:val="20"/>
        </w:rPr>
        <w:t>.</w:t>
      </w:r>
    </w:p>
    <w:p w14:paraId="42BF86AE" w14:textId="77777777" w:rsidR="008D55ED" w:rsidRDefault="008D55ED" w:rsidP="008D55ED">
      <w:pPr>
        <w:tabs>
          <w:tab w:val="left" w:pos="6551"/>
        </w:tabs>
        <w:spacing w:after="0" w:line="240" w:lineRule="auto"/>
        <w:jc w:val="both"/>
        <w:rPr>
          <w:rFonts w:ascii="Arial" w:eastAsia="Calibri" w:hAnsi="Arial" w:cs="Arial"/>
          <w:b/>
          <w:color w:val="000000" w:themeColor="text1"/>
          <w:lang w:val="es-ES_tradnl"/>
        </w:rPr>
      </w:pPr>
    </w:p>
    <w:p w14:paraId="489EA0AB" w14:textId="77777777" w:rsidR="008D55ED" w:rsidRDefault="008D55ED" w:rsidP="008D55ED">
      <w:pPr>
        <w:tabs>
          <w:tab w:val="left" w:pos="6551"/>
        </w:tabs>
        <w:spacing w:after="0" w:line="240" w:lineRule="auto"/>
        <w:jc w:val="both"/>
        <w:rPr>
          <w:rFonts w:ascii="Arial" w:eastAsia="Calibri" w:hAnsi="Arial" w:cs="Arial"/>
          <w:b/>
          <w:color w:val="000000" w:themeColor="text1"/>
          <w:lang w:val="es-ES_tradnl"/>
        </w:rPr>
      </w:pPr>
      <w:r>
        <w:rPr>
          <w:rFonts w:ascii="Arial" w:eastAsia="Calibri" w:hAnsi="Arial" w:cs="Arial"/>
          <w:b/>
          <w:color w:val="000000" w:themeColor="text1"/>
          <w:lang w:val="es-ES_tradnl"/>
        </w:rPr>
        <w:t xml:space="preserve">CONTRATO ESTATAL – Régimen de garantías  </w:t>
      </w:r>
    </w:p>
    <w:p w14:paraId="0886A9B3" w14:textId="77777777" w:rsidR="008D55ED" w:rsidRDefault="008D55ED" w:rsidP="008D55ED">
      <w:pPr>
        <w:tabs>
          <w:tab w:val="left" w:pos="6551"/>
        </w:tabs>
        <w:spacing w:after="0" w:line="240" w:lineRule="auto"/>
        <w:jc w:val="both"/>
        <w:rPr>
          <w:rFonts w:ascii="Arial" w:eastAsia="Calibri" w:hAnsi="Arial" w:cs="Arial"/>
          <w:b/>
          <w:color w:val="000000" w:themeColor="text1"/>
          <w:lang w:val="es-ES_tradnl"/>
        </w:rPr>
      </w:pPr>
    </w:p>
    <w:p w14:paraId="3128E8E2" w14:textId="77777777" w:rsidR="008D55ED" w:rsidRPr="00F46BA5" w:rsidRDefault="008D55ED" w:rsidP="008D55ED">
      <w:pPr>
        <w:widowControl w:val="0"/>
        <w:autoSpaceDE w:val="0"/>
        <w:autoSpaceDN w:val="0"/>
        <w:spacing w:line="240" w:lineRule="auto"/>
        <w:contextualSpacing/>
        <w:jc w:val="both"/>
        <w:rPr>
          <w:rFonts w:ascii="Arial" w:eastAsia="Calibri" w:hAnsi="Arial" w:cs="Arial"/>
          <w:bCs/>
          <w:sz w:val="20"/>
          <w:szCs w:val="20"/>
        </w:rPr>
      </w:pPr>
      <w:r w:rsidRPr="00F46BA5">
        <w:rPr>
          <w:rFonts w:ascii="Arial" w:eastAsia="Calibri" w:hAnsi="Arial" w:cs="Arial"/>
          <w:bCs/>
          <w:sz w:val="20"/>
          <w:szCs w:val="20"/>
        </w:rPr>
        <w:t xml:space="preserve">Por regla, para seleccionar contratistas y para ejecutar contratos se requiere la constitución de garantías. Por un lado, la </w:t>
      </w:r>
      <w:r w:rsidRPr="00F46BA5">
        <w:rPr>
          <w:rFonts w:ascii="Arial" w:eastAsia="Calibri" w:hAnsi="Arial" w:cs="Arial"/>
          <w:bCs/>
          <w:i/>
          <w:iCs/>
          <w:sz w:val="20"/>
          <w:szCs w:val="20"/>
        </w:rPr>
        <w:t>garantía de seriedad</w:t>
      </w:r>
      <w:r w:rsidRPr="00F46BA5">
        <w:rPr>
          <w:rFonts w:ascii="Arial" w:eastAsia="Calibri" w:hAnsi="Arial" w:cs="Arial"/>
          <w:bCs/>
          <w:sz w:val="20"/>
          <w:szCs w:val="20"/>
        </w:rPr>
        <w:t xml:space="preserve"> respalda al principio de irrevocabilidad de la oferta, caso en el cual los proponentes que pierdan interés en la adjudicación resarcirán los perjuicios causados por su retiro del proceso de selección. Naturalmente, esta garantía solo la constituyen quienes presenten las propuestas, motivo por el cual sus efectos no se extienden a personas ajenas a la actividad precontractual; sin perjuicio de que la póliza sea un mecanismo conminatorio, en la medida en que obliga a celebrar el contrato,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 </w:t>
      </w:r>
    </w:p>
    <w:p w14:paraId="097AEA11" w14:textId="77777777" w:rsidR="008D55ED" w:rsidRPr="00F46BA5" w:rsidRDefault="008D55ED" w:rsidP="008D55ED">
      <w:pPr>
        <w:widowControl w:val="0"/>
        <w:autoSpaceDE w:val="0"/>
        <w:autoSpaceDN w:val="0"/>
        <w:spacing w:line="240" w:lineRule="auto"/>
        <w:contextualSpacing/>
        <w:jc w:val="both"/>
        <w:rPr>
          <w:rFonts w:ascii="Arial" w:eastAsia="Calibri" w:hAnsi="Arial" w:cs="Arial"/>
          <w:bCs/>
          <w:sz w:val="20"/>
          <w:szCs w:val="20"/>
        </w:rPr>
      </w:pPr>
    </w:p>
    <w:p w14:paraId="4B7237FC" w14:textId="77777777" w:rsidR="008D55ED" w:rsidRDefault="008D55ED" w:rsidP="008D55ED">
      <w:pPr>
        <w:widowControl w:val="0"/>
        <w:autoSpaceDE w:val="0"/>
        <w:autoSpaceDN w:val="0"/>
        <w:spacing w:line="240" w:lineRule="auto"/>
        <w:contextualSpacing/>
        <w:jc w:val="both"/>
        <w:rPr>
          <w:rFonts w:ascii="Arial" w:eastAsia="Calibri" w:hAnsi="Arial" w:cs="Arial"/>
          <w:bCs/>
          <w:sz w:val="20"/>
          <w:szCs w:val="20"/>
        </w:rPr>
      </w:pPr>
      <w:r w:rsidRPr="00F46BA5">
        <w:rPr>
          <w:rFonts w:ascii="Arial" w:eastAsia="Calibri" w:hAnsi="Arial" w:cs="Arial"/>
          <w:bCs/>
          <w:sz w:val="20"/>
          <w:szCs w:val="20"/>
        </w:rPr>
        <w:t xml:space="preserve">En contraste, mediante la </w:t>
      </w:r>
      <w:r w:rsidRPr="00F46BA5">
        <w:rPr>
          <w:rFonts w:ascii="Arial" w:eastAsia="Calibri" w:hAnsi="Arial" w:cs="Arial"/>
          <w:bCs/>
          <w:i/>
          <w:iCs/>
          <w:sz w:val="20"/>
          <w:szCs w:val="20"/>
        </w:rPr>
        <w:t>garantía de única de cumplimiento</w:t>
      </w:r>
      <w:r w:rsidRPr="00F46BA5">
        <w:rPr>
          <w:rFonts w:ascii="Arial" w:eastAsia="Calibri" w:hAnsi="Arial" w:cs="Arial"/>
          <w:bCs/>
          <w:sz w:val="20"/>
          <w:szCs w:val="20"/>
        </w:rPr>
        <w:t xml:space="preserve">, el contratista ampara los perjuicios que le pueda generar a la entidad el incumplimiento de las obligaciones derivadas del contrato. En esta medida, tienen como objetivo reparar los perjuicios causados por conductas atribuibles al contratista, por lo que estos últimos son un presupuesto necesario para el pago que cubre la garantía. Para estos efectos es única, ya que </w:t>
      </w:r>
      <w:r>
        <w:rPr>
          <w:rFonts w:ascii="Arial" w:eastAsia="Calibri" w:hAnsi="Arial" w:cs="Arial"/>
          <w:bCs/>
          <w:sz w:val="20"/>
          <w:szCs w:val="20"/>
        </w:rPr>
        <w:t>“</w:t>
      </w:r>
      <w:r w:rsidRPr="00F46BA5">
        <w:rPr>
          <w:rFonts w:ascii="Arial" w:eastAsia="Calibri" w:hAnsi="Arial" w:cs="Arial"/>
          <w:bCs/>
          <w:sz w:val="20"/>
          <w:szCs w:val="20"/>
        </w:rPr>
        <w:t>[…] La prioridad […] es que no haya garantías separadas para los diferentes riesgos, aunque existan varias garantías para diferentes proporciones del interés asegurado […]</w:t>
      </w:r>
      <w:r>
        <w:rPr>
          <w:rFonts w:ascii="Arial" w:eastAsia="Calibri" w:hAnsi="Arial" w:cs="Arial"/>
          <w:bCs/>
          <w:sz w:val="20"/>
          <w:szCs w:val="20"/>
        </w:rPr>
        <w:t>”</w:t>
      </w:r>
      <w:r w:rsidRPr="00F46BA5">
        <w:rPr>
          <w:rFonts w:ascii="Arial" w:eastAsia="Calibri" w:hAnsi="Arial" w:cs="Arial"/>
          <w:bCs/>
          <w:sz w:val="20"/>
          <w:szCs w:val="20"/>
        </w:rPr>
        <w:t xml:space="preserve">.  </w:t>
      </w:r>
    </w:p>
    <w:p w14:paraId="77DAA605" w14:textId="77777777" w:rsidR="008D55ED" w:rsidRDefault="008D55ED" w:rsidP="008D55ED">
      <w:pPr>
        <w:tabs>
          <w:tab w:val="left" w:pos="6551"/>
        </w:tabs>
        <w:spacing w:after="0" w:line="240" w:lineRule="auto"/>
        <w:jc w:val="both"/>
        <w:rPr>
          <w:rFonts w:ascii="Arial" w:eastAsia="Calibri" w:hAnsi="Arial" w:cs="Arial"/>
          <w:b/>
          <w:color w:val="000000" w:themeColor="text1"/>
          <w:lang w:val="es-ES_tradnl"/>
        </w:rPr>
      </w:pPr>
    </w:p>
    <w:p w14:paraId="1A20081A" w14:textId="77777777" w:rsidR="008D55ED" w:rsidRDefault="008D55ED" w:rsidP="008D55ED">
      <w:pPr>
        <w:tabs>
          <w:tab w:val="left" w:pos="6551"/>
        </w:tabs>
        <w:spacing w:after="0" w:line="240" w:lineRule="auto"/>
        <w:jc w:val="both"/>
        <w:rPr>
          <w:rFonts w:ascii="Arial" w:eastAsia="Calibri" w:hAnsi="Arial" w:cs="Arial"/>
          <w:b/>
          <w:color w:val="000000" w:themeColor="text1"/>
          <w:lang w:val="es-ES_tradnl"/>
        </w:rPr>
      </w:pPr>
      <w:r>
        <w:rPr>
          <w:rFonts w:ascii="Arial" w:eastAsia="Calibri" w:hAnsi="Arial" w:cs="Arial"/>
          <w:b/>
          <w:color w:val="000000" w:themeColor="text1"/>
          <w:lang w:val="es-ES_tradnl"/>
        </w:rPr>
        <w:t xml:space="preserve">DOCUMENTOS TIPO – Garantía de cumplimiento – Amparos  </w:t>
      </w:r>
    </w:p>
    <w:p w14:paraId="59E391B4" w14:textId="77777777" w:rsidR="008D55ED" w:rsidRDefault="008D55ED" w:rsidP="008D55ED">
      <w:pPr>
        <w:tabs>
          <w:tab w:val="left" w:pos="6551"/>
        </w:tabs>
        <w:spacing w:after="0" w:line="240" w:lineRule="auto"/>
        <w:jc w:val="both"/>
        <w:rPr>
          <w:rFonts w:ascii="Arial" w:eastAsia="Calibri" w:hAnsi="Arial" w:cs="Arial"/>
          <w:b/>
          <w:color w:val="000000" w:themeColor="text1"/>
          <w:lang w:val="es-ES_tradnl"/>
        </w:rPr>
      </w:pPr>
    </w:p>
    <w:p w14:paraId="0A599271" w14:textId="77777777" w:rsidR="008D55ED" w:rsidRDefault="008D55ED" w:rsidP="008D55ED">
      <w:pPr>
        <w:widowControl w:val="0"/>
        <w:autoSpaceDE w:val="0"/>
        <w:autoSpaceDN w:val="0"/>
        <w:spacing w:line="240" w:lineRule="auto"/>
        <w:contextualSpacing/>
        <w:jc w:val="both"/>
        <w:rPr>
          <w:rFonts w:ascii="Arial" w:eastAsia="Calibri" w:hAnsi="Arial" w:cs="Arial"/>
          <w:bCs/>
          <w:sz w:val="20"/>
          <w:szCs w:val="20"/>
        </w:rPr>
      </w:pPr>
      <w:r>
        <w:rPr>
          <w:rFonts w:ascii="Arial" w:eastAsia="Calibri" w:hAnsi="Arial" w:cs="Arial"/>
          <w:bCs/>
          <w:sz w:val="20"/>
          <w:szCs w:val="20"/>
        </w:rPr>
        <w:t>E</w:t>
      </w:r>
      <w:r w:rsidRPr="00AD1B6D">
        <w:rPr>
          <w:rFonts w:ascii="Arial" w:eastAsia="Calibri" w:hAnsi="Arial" w:cs="Arial"/>
          <w:bCs/>
          <w:sz w:val="20"/>
          <w:szCs w:val="20"/>
        </w:rPr>
        <w:t xml:space="preserve">l capítulo VII del pliego de condiciones para licitación de obra pública de infraestructura de transporte recoge el régimen de garantías desarrollado en la sección 3 del capítulo 2 del título 1 de la parte 2 del libro 2 del Decreto 1082 de 2015. Dicho apartado regula la garantía de seriedad de la oferta –apartado 7.1– y las garantías del contrato –apartado 7.2–. A su vez, este último desarrolla la garantía de cumplimiento –apartado 7.2.1–, la estabilidad de la obra y el periodo de la garantía –apartado 7.2.2– y la garantía de responsabilidad civil extracontractual –7.2.3–. El documento base no contempla la inclusión de garantías distintas a las de seriedad, cumplimiento –que incluye la estabilidad y calidad de la obra– y responsabilidad, por lo que adicionar numerales o modificar los existentes en aspectos que no estén entre corchetes ni resaltados en gris implicaría alteración de los documentos tipo, especialmente, cuando la validación de la cobertura es un criterio para habilitar a los proponentes en el proceso de selección.   </w:t>
      </w:r>
    </w:p>
    <w:p w14:paraId="2953A9AE" w14:textId="77777777" w:rsidR="008D55ED" w:rsidRPr="00AD1B6D" w:rsidRDefault="008D55ED" w:rsidP="008D55ED">
      <w:pPr>
        <w:widowControl w:val="0"/>
        <w:autoSpaceDE w:val="0"/>
        <w:autoSpaceDN w:val="0"/>
        <w:spacing w:line="240" w:lineRule="auto"/>
        <w:contextualSpacing/>
        <w:jc w:val="both"/>
        <w:rPr>
          <w:rFonts w:ascii="Arial" w:eastAsia="Calibri" w:hAnsi="Arial" w:cs="Arial"/>
          <w:bCs/>
          <w:sz w:val="20"/>
          <w:szCs w:val="20"/>
        </w:rPr>
      </w:pPr>
    </w:p>
    <w:p w14:paraId="09A14DA2" w14:textId="77777777" w:rsidR="008D55ED" w:rsidRDefault="008D55ED" w:rsidP="008D55ED">
      <w:pPr>
        <w:widowControl w:val="0"/>
        <w:autoSpaceDE w:val="0"/>
        <w:autoSpaceDN w:val="0"/>
        <w:spacing w:line="240" w:lineRule="auto"/>
        <w:contextualSpacing/>
        <w:jc w:val="both"/>
        <w:rPr>
          <w:rFonts w:ascii="Arial" w:eastAsia="Calibri" w:hAnsi="Arial" w:cs="Arial"/>
          <w:bCs/>
          <w:sz w:val="20"/>
          <w:szCs w:val="20"/>
        </w:rPr>
      </w:pPr>
      <w:r w:rsidRPr="00AD1B6D">
        <w:rPr>
          <w:rFonts w:ascii="Arial" w:eastAsia="Calibri" w:hAnsi="Arial" w:cs="Arial"/>
          <w:bCs/>
          <w:sz w:val="20"/>
          <w:szCs w:val="20"/>
        </w:rPr>
        <w:t xml:space="preserve">Respecto a la garantía de cumplimiento, el apartado 7.2.1 del pliego dispone que “Para cubrir cualquier hecho constitutivo de incumplimiento, el contratista deberá presentar la garantía de cumplimiento en original a la entidad dentro de los [La entidad deberá definir los días] días hábiles siguientes contados a partir de la firma del contrato y requerirá la aprobación de la entidad […]”. A esta corresponden los siguientes amparos: i) cumplimiento general del contrato y el pago de las multas y la cláusula penal pecuniaria que se le impongan, </w:t>
      </w:r>
      <w:proofErr w:type="spellStart"/>
      <w:r w:rsidRPr="00AD1B6D">
        <w:rPr>
          <w:rFonts w:ascii="Arial" w:eastAsia="Calibri" w:hAnsi="Arial" w:cs="Arial"/>
          <w:bCs/>
          <w:sz w:val="20"/>
          <w:szCs w:val="20"/>
        </w:rPr>
        <w:t>ii</w:t>
      </w:r>
      <w:proofErr w:type="spellEnd"/>
      <w:r w:rsidRPr="00AD1B6D">
        <w:rPr>
          <w:rFonts w:ascii="Arial" w:eastAsia="Calibri" w:hAnsi="Arial" w:cs="Arial"/>
          <w:bCs/>
          <w:sz w:val="20"/>
          <w:szCs w:val="20"/>
        </w:rPr>
        <w:t xml:space="preserve">) buen manejo y correcta inversión del anticipo, </w:t>
      </w:r>
      <w:proofErr w:type="spellStart"/>
      <w:r w:rsidRPr="00AD1B6D">
        <w:rPr>
          <w:rFonts w:ascii="Arial" w:eastAsia="Calibri" w:hAnsi="Arial" w:cs="Arial"/>
          <w:bCs/>
          <w:sz w:val="20"/>
          <w:szCs w:val="20"/>
        </w:rPr>
        <w:t>iii</w:t>
      </w:r>
      <w:proofErr w:type="spellEnd"/>
      <w:r w:rsidRPr="00AD1B6D">
        <w:rPr>
          <w:rFonts w:ascii="Arial" w:eastAsia="Calibri" w:hAnsi="Arial" w:cs="Arial"/>
          <w:bCs/>
          <w:sz w:val="20"/>
          <w:szCs w:val="20"/>
        </w:rPr>
        <w:t xml:space="preserve">) devolución del pago anticipado, </w:t>
      </w:r>
      <w:proofErr w:type="spellStart"/>
      <w:r w:rsidRPr="00AD1B6D">
        <w:rPr>
          <w:rFonts w:ascii="Arial" w:eastAsia="Calibri" w:hAnsi="Arial" w:cs="Arial"/>
          <w:bCs/>
          <w:sz w:val="20"/>
          <w:szCs w:val="20"/>
        </w:rPr>
        <w:t>iv</w:t>
      </w:r>
      <w:proofErr w:type="spellEnd"/>
      <w:r w:rsidRPr="00AD1B6D">
        <w:rPr>
          <w:rFonts w:ascii="Arial" w:eastAsia="Calibri" w:hAnsi="Arial" w:cs="Arial"/>
          <w:bCs/>
          <w:sz w:val="20"/>
          <w:szCs w:val="20"/>
        </w:rPr>
        <w:t xml:space="preserve">) pago de salarios, prestaciones sociales legales e indemnizaciones laborales del personal que el contratista haya de utilizar en el territorio nacional para la ejecución del contrato, v) estabilidad y calidad de las obras ejecutadas entregadas a satisfacción. Para los amparos i), </w:t>
      </w:r>
      <w:proofErr w:type="spellStart"/>
      <w:r w:rsidRPr="00AD1B6D">
        <w:rPr>
          <w:rFonts w:ascii="Arial" w:eastAsia="Calibri" w:hAnsi="Arial" w:cs="Arial"/>
          <w:bCs/>
          <w:sz w:val="20"/>
          <w:szCs w:val="20"/>
        </w:rPr>
        <w:t>ii</w:t>
      </w:r>
      <w:proofErr w:type="spellEnd"/>
      <w:r w:rsidRPr="00AD1B6D">
        <w:rPr>
          <w:rFonts w:ascii="Arial" w:eastAsia="Calibri" w:hAnsi="Arial" w:cs="Arial"/>
          <w:bCs/>
          <w:sz w:val="20"/>
          <w:szCs w:val="20"/>
        </w:rPr>
        <w:t xml:space="preserve">), </w:t>
      </w:r>
      <w:proofErr w:type="spellStart"/>
      <w:r w:rsidRPr="00AD1B6D">
        <w:rPr>
          <w:rFonts w:ascii="Arial" w:eastAsia="Calibri" w:hAnsi="Arial" w:cs="Arial"/>
          <w:bCs/>
          <w:sz w:val="20"/>
          <w:szCs w:val="20"/>
        </w:rPr>
        <w:t>iii</w:t>
      </w:r>
      <w:proofErr w:type="spellEnd"/>
      <w:r w:rsidRPr="00AD1B6D">
        <w:rPr>
          <w:rFonts w:ascii="Arial" w:eastAsia="Calibri" w:hAnsi="Arial" w:cs="Arial"/>
          <w:bCs/>
          <w:sz w:val="20"/>
          <w:szCs w:val="20"/>
        </w:rPr>
        <w:t xml:space="preserve">) y </w:t>
      </w:r>
      <w:proofErr w:type="spellStart"/>
      <w:r w:rsidRPr="00AD1B6D">
        <w:rPr>
          <w:rFonts w:ascii="Arial" w:eastAsia="Calibri" w:hAnsi="Arial" w:cs="Arial"/>
          <w:bCs/>
          <w:sz w:val="20"/>
          <w:szCs w:val="20"/>
        </w:rPr>
        <w:t>iv</w:t>
      </w:r>
      <w:proofErr w:type="spellEnd"/>
      <w:r w:rsidRPr="00AD1B6D">
        <w:rPr>
          <w:rFonts w:ascii="Arial" w:eastAsia="Calibri" w:hAnsi="Arial" w:cs="Arial"/>
          <w:bCs/>
          <w:sz w:val="20"/>
          <w:szCs w:val="20"/>
        </w:rPr>
        <w:t xml:space="preserve">), el documento base define la vigencia de cada uno de </w:t>
      </w:r>
      <w:r w:rsidRPr="00AD1B6D">
        <w:rPr>
          <w:rFonts w:ascii="Arial" w:eastAsia="Calibri" w:hAnsi="Arial" w:cs="Arial"/>
          <w:bCs/>
          <w:sz w:val="20"/>
          <w:szCs w:val="20"/>
        </w:rPr>
        <w:lastRenderedPageBreak/>
        <w:t xml:space="preserve">ellos. Sin perjuicio de lo anterior, salvo lo dispuesto para la devolución del pago anticipado, la entidad determinará el valor asegurado de los amparos i), </w:t>
      </w:r>
      <w:proofErr w:type="spellStart"/>
      <w:r w:rsidRPr="00AD1B6D">
        <w:rPr>
          <w:rFonts w:ascii="Arial" w:eastAsia="Calibri" w:hAnsi="Arial" w:cs="Arial"/>
          <w:bCs/>
          <w:sz w:val="20"/>
          <w:szCs w:val="20"/>
        </w:rPr>
        <w:t>ii</w:t>
      </w:r>
      <w:proofErr w:type="spellEnd"/>
      <w:r w:rsidRPr="00AD1B6D">
        <w:rPr>
          <w:rFonts w:ascii="Arial" w:eastAsia="Calibri" w:hAnsi="Arial" w:cs="Arial"/>
          <w:bCs/>
          <w:sz w:val="20"/>
          <w:szCs w:val="20"/>
        </w:rPr>
        <w:t xml:space="preserve">), </w:t>
      </w:r>
      <w:proofErr w:type="spellStart"/>
      <w:r w:rsidRPr="00AD1B6D">
        <w:rPr>
          <w:rFonts w:ascii="Arial" w:eastAsia="Calibri" w:hAnsi="Arial" w:cs="Arial"/>
          <w:bCs/>
          <w:sz w:val="20"/>
          <w:szCs w:val="20"/>
        </w:rPr>
        <w:t>iv</w:t>
      </w:r>
      <w:proofErr w:type="spellEnd"/>
      <w:r w:rsidRPr="00AD1B6D">
        <w:rPr>
          <w:rFonts w:ascii="Arial" w:eastAsia="Calibri" w:hAnsi="Arial" w:cs="Arial"/>
          <w:bCs/>
          <w:sz w:val="20"/>
          <w:szCs w:val="20"/>
        </w:rPr>
        <w:t xml:space="preserve">) y v) con sujeción a los artículos 2.2.1.2.3.1.12, 2.2.1.2.3.1.11, 2.2.1.2.3.1.13 y 2.2.1.2.3.1.14 del Decreto 1082 de 2015, respectivamente. </w:t>
      </w:r>
    </w:p>
    <w:p w14:paraId="0C2BF607" w14:textId="77777777" w:rsidR="008D55ED" w:rsidRPr="00AD1B6D" w:rsidRDefault="008D55ED" w:rsidP="008D55ED">
      <w:pPr>
        <w:widowControl w:val="0"/>
        <w:autoSpaceDE w:val="0"/>
        <w:autoSpaceDN w:val="0"/>
        <w:spacing w:line="240" w:lineRule="auto"/>
        <w:contextualSpacing/>
        <w:jc w:val="both"/>
        <w:rPr>
          <w:rFonts w:ascii="Arial" w:eastAsia="Calibri" w:hAnsi="Arial" w:cs="Arial"/>
          <w:bCs/>
          <w:sz w:val="20"/>
          <w:szCs w:val="20"/>
        </w:rPr>
      </w:pPr>
    </w:p>
    <w:p w14:paraId="0D8A2A89" w14:textId="77777777" w:rsidR="008D55ED" w:rsidRDefault="008D55ED" w:rsidP="008D55ED">
      <w:pPr>
        <w:widowControl w:val="0"/>
        <w:autoSpaceDE w:val="0"/>
        <w:autoSpaceDN w:val="0"/>
        <w:spacing w:line="240" w:lineRule="auto"/>
        <w:contextualSpacing/>
        <w:jc w:val="both"/>
        <w:rPr>
          <w:rFonts w:ascii="Arial" w:eastAsia="Calibri" w:hAnsi="Arial" w:cs="Arial"/>
          <w:bCs/>
          <w:sz w:val="20"/>
          <w:szCs w:val="20"/>
        </w:rPr>
      </w:pPr>
      <w:r w:rsidRPr="00AD1B6D">
        <w:rPr>
          <w:rFonts w:ascii="Arial" w:eastAsia="Calibri" w:hAnsi="Arial" w:cs="Arial"/>
          <w:bCs/>
          <w:sz w:val="20"/>
          <w:szCs w:val="20"/>
        </w:rPr>
        <w:t xml:space="preserve">Lo </w:t>
      </w:r>
      <w:proofErr w:type="spellStart"/>
      <w:r w:rsidRPr="00AD1B6D">
        <w:rPr>
          <w:rFonts w:ascii="Arial" w:eastAsia="Calibri" w:hAnsi="Arial" w:cs="Arial"/>
          <w:bCs/>
          <w:sz w:val="20"/>
          <w:szCs w:val="20"/>
        </w:rPr>
        <w:t>mas</w:t>
      </w:r>
      <w:proofErr w:type="spellEnd"/>
      <w:r w:rsidRPr="00AD1B6D">
        <w:rPr>
          <w:rFonts w:ascii="Arial" w:eastAsia="Calibri" w:hAnsi="Arial" w:cs="Arial"/>
          <w:bCs/>
          <w:sz w:val="20"/>
          <w:szCs w:val="20"/>
        </w:rPr>
        <w:t xml:space="preserve"> importante es que apartado analizado permite “Incluir amparos adicionales en los términos descritos en el Decreto 1082 de 2015”. Esto guarda congruencia con el numeral 8 del artículo 2.2.1.2.3.1.3 ibidem, pues –como se explicó ut supra– la garantía de cumplimiento cubre los “Los demás incumplimientos de obligaciones que la Entidad Estatal considere deben ser amparados de manera proporcional y acorde a la naturaleza del contrato”. Por tanto, siempre que se cumpla esta condición, las entidades podrán agregar amparos adicionales sin que ello implique una alteración del documento tipo. </w:t>
      </w:r>
      <w:r w:rsidRPr="00F46BA5">
        <w:rPr>
          <w:rFonts w:ascii="Arial" w:eastAsia="Calibri" w:hAnsi="Arial" w:cs="Arial"/>
          <w:bCs/>
          <w:sz w:val="20"/>
          <w:szCs w:val="20"/>
        </w:rPr>
        <w:t xml:space="preserve">  </w:t>
      </w:r>
    </w:p>
    <w:p w14:paraId="25A35F1B" w14:textId="77777777" w:rsidR="008D55ED" w:rsidRDefault="008D55ED" w:rsidP="00574A4F">
      <w:pPr>
        <w:spacing w:after="0"/>
        <w:rPr>
          <w:rFonts w:ascii="Arial" w:eastAsia="Geomanist Light" w:hAnsi="Arial" w:cs="Arial"/>
          <w:color w:val="201F1E"/>
          <w:lang w:val="es-MX"/>
        </w:rPr>
      </w:pPr>
    </w:p>
    <w:p w14:paraId="5C376CC0" w14:textId="77777777" w:rsidR="008D55ED" w:rsidRDefault="008D55ED" w:rsidP="00574A4F">
      <w:pPr>
        <w:spacing w:after="0"/>
        <w:rPr>
          <w:rFonts w:ascii="Arial" w:eastAsia="Geomanist Light" w:hAnsi="Arial" w:cs="Arial"/>
          <w:color w:val="201F1E"/>
          <w:lang w:val="es-MX"/>
        </w:rPr>
      </w:pPr>
    </w:p>
    <w:p w14:paraId="0D66BE2B" w14:textId="77777777" w:rsidR="008D55ED" w:rsidRDefault="008D55ED" w:rsidP="00574A4F">
      <w:pPr>
        <w:spacing w:after="0"/>
        <w:rPr>
          <w:rFonts w:ascii="Arial" w:eastAsia="Geomanist Light" w:hAnsi="Arial" w:cs="Arial"/>
          <w:color w:val="201F1E"/>
          <w:lang w:val="es-MX"/>
        </w:rPr>
      </w:pPr>
    </w:p>
    <w:p w14:paraId="6B93A2D2" w14:textId="77777777" w:rsidR="008D55ED" w:rsidRDefault="008D55ED" w:rsidP="00574A4F">
      <w:pPr>
        <w:spacing w:after="0"/>
        <w:rPr>
          <w:rFonts w:ascii="Arial" w:eastAsia="Geomanist Light" w:hAnsi="Arial" w:cs="Arial"/>
          <w:color w:val="201F1E"/>
          <w:lang w:val="es-MX"/>
        </w:rPr>
      </w:pPr>
    </w:p>
    <w:p w14:paraId="6345EF70" w14:textId="77777777" w:rsidR="008D55ED" w:rsidRDefault="008D55ED" w:rsidP="00574A4F">
      <w:pPr>
        <w:spacing w:after="0"/>
        <w:rPr>
          <w:rFonts w:ascii="Arial" w:eastAsia="Geomanist Light" w:hAnsi="Arial" w:cs="Arial"/>
          <w:color w:val="201F1E"/>
          <w:lang w:val="es-MX"/>
        </w:rPr>
      </w:pPr>
    </w:p>
    <w:p w14:paraId="42F2C3AF" w14:textId="77777777" w:rsidR="008D55ED" w:rsidRDefault="008D55ED" w:rsidP="00574A4F">
      <w:pPr>
        <w:spacing w:after="0"/>
        <w:rPr>
          <w:rFonts w:ascii="Arial" w:eastAsia="Geomanist Light" w:hAnsi="Arial" w:cs="Arial"/>
          <w:color w:val="201F1E"/>
          <w:lang w:val="es-MX"/>
        </w:rPr>
      </w:pPr>
    </w:p>
    <w:p w14:paraId="0D22D124" w14:textId="77777777" w:rsidR="008D55ED" w:rsidRDefault="008D55ED" w:rsidP="00574A4F">
      <w:pPr>
        <w:spacing w:after="0"/>
        <w:rPr>
          <w:rFonts w:ascii="Arial" w:eastAsia="Geomanist Light" w:hAnsi="Arial" w:cs="Arial"/>
          <w:color w:val="201F1E"/>
          <w:lang w:val="es-MX"/>
        </w:rPr>
      </w:pPr>
    </w:p>
    <w:p w14:paraId="12C2B774" w14:textId="77777777" w:rsidR="008D55ED" w:rsidRDefault="008D55ED" w:rsidP="00574A4F">
      <w:pPr>
        <w:spacing w:after="0"/>
        <w:rPr>
          <w:rFonts w:ascii="Arial" w:eastAsia="Geomanist Light" w:hAnsi="Arial" w:cs="Arial"/>
          <w:color w:val="201F1E"/>
          <w:lang w:val="es-MX"/>
        </w:rPr>
      </w:pPr>
    </w:p>
    <w:p w14:paraId="70DC52B0" w14:textId="77777777" w:rsidR="008D55ED" w:rsidRDefault="008D55ED" w:rsidP="00574A4F">
      <w:pPr>
        <w:spacing w:after="0"/>
        <w:rPr>
          <w:rFonts w:ascii="Arial" w:eastAsia="Geomanist Light" w:hAnsi="Arial" w:cs="Arial"/>
          <w:color w:val="201F1E"/>
          <w:lang w:val="es-MX"/>
        </w:rPr>
      </w:pPr>
    </w:p>
    <w:p w14:paraId="4420B915" w14:textId="77777777" w:rsidR="008D55ED" w:rsidRDefault="008D55ED" w:rsidP="00574A4F">
      <w:pPr>
        <w:spacing w:after="0"/>
        <w:rPr>
          <w:rFonts w:ascii="Arial" w:eastAsia="Geomanist Light" w:hAnsi="Arial" w:cs="Arial"/>
          <w:color w:val="201F1E"/>
          <w:lang w:val="es-MX"/>
        </w:rPr>
      </w:pPr>
    </w:p>
    <w:p w14:paraId="7F44F7C9" w14:textId="77777777" w:rsidR="008D55ED" w:rsidRDefault="008D55ED" w:rsidP="00574A4F">
      <w:pPr>
        <w:spacing w:after="0"/>
        <w:rPr>
          <w:rFonts w:ascii="Arial" w:eastAsia="Geomanist Light" w:hAnsi="Arial" w:cs="Arial"/>
          <w:color w:val="201F1E"/>
          <w:lang w:val="es-MX"/>
        </w:rPr>
      </w:pPr>
    </w:p>
    <w:p w14:paraId="7FDABA09" w14:textId="77777777" w:rsidR="008D55ED" w:rsidRDefault="008D55ED" w:rsidP="00574A4F">
      <w:pPr>
        <w:spacing w:after="0"/>
        <w:rPr>
          <w:rFonts w:ascii="Arial" w:eastAsia="Geomanist Light" w:hAnsi="Arial" w:cs="Arial"/>
          <w:color w:val="201F1E"/>
          <w:lang w:val="es-MX"/>
        </w:rPr>
      </w:pPr>
    </w:p>
    <w:p w14:paraId="3417F899" w14:textId="77777777" w:rsidR="008D55ED" w:rsidRDefault="008D55ED" w:rsidP="00574A4F">
      <w:pPr>
        <w:spacing w:after="0"/>
        <w:rPr>
          <w:rFonts w:ascii="Arial" w:eastAsia="Geomanist Light" w:hAnsi="Arial" w:cs="Arial"/>
          <w:color w:val="201F1E"/>
          <w:lang w:val="es-MX"/>
        </w:rPr>
      </w:pPr>
    </w:p>
    <w:p w14:paraId="68A1179E" w14:textId="77777777" w:rsidR="008D55ED" w:rsidRDefault="008D55ED" w:rsidP="00574A4F">
      <w:pPr>
        <w:spacing w:after="0"/>
        <w:rPr>
          <w:rFonts w:ascii="Arial" w:eastAsia="Geomanist Light" w:hAnsi="Arial" w:cs="Arial"/>
          <w:color w:val="201F1E"/>
          <w:lang w:val="es-MX"/>
        </w:rPr>
      </w:pPr>
    </w:p>
    <w:p w14:paraId="255BBBF9" w14:textId="77777777" w:rsidR="008D55ED" w:rsidRDefault="008D55ED" w:rsidP="00574A4F">
      <w:pPr>
        <w:spacing w:after="0"/>
        <w:rPr>
          <w:rFonts w:ascii="Arial" w:eastAsia="Geomanist Light" w:hAnsi="Arial" w:cs="Arial"/>
          <w:color w:val="201F1E"/>
          <w:lang w:val="es-MX"/>
        </w:rPr>
      </w:pPr>
    </w:p>
    <w:p w14:paraId="0120F01B" w14:textId="77777777" w:rsidR="008D55ED" w:rsidRDefault="008D55ED" w:rsidP="00574A4F">
      <w:pPr>
        <w:spacing w:after="0"/>
        <w:rPr>
          <w:rFonts w:ascii="Arial" w:eastAsia="Geomanist Light" w:hAnsi="Arial" w:cs="Arial"/>
          <w:color w:val="201F1E"/>
          <w:lang w:val="es-MX"/>
        </w:rPr>
      </w:pPr>
    </w:p>
    <w:p w14:paraId="2F8E00F6" w14:textId="77777777" w:rsidR="008D55ED" w:rsidRDefault="008D55ED" w:rsidP="00574A4F">
      <w:pPr>
        <w:spacing w:after="0"/>
        <w:rPr>
          <w:rFonts w:ascii="Arial" w:eastAsia="Geomanist Light" w:hAnsi="Arial" w:cs="Arial"/>
          <w:color w:val="201F1E"/>
          <w:lang w:val="es-MX"/>
        </w:rPr>
      </w:pPr>
    </w:p>
    <w:p w14:paraId="0A2839CA" w14:textId="77777777" w:rsidR="008D55ED" w:rsidRDefault="008D55ED" w:rsidP="00574A4F">
      <w:pPr>
        <w:spacing w:after="0"/>
        <w:rPr>
          <w:rFonts w:ascii="Arial" w:eastAsia="Geomanist Light" w:hAnsi="Arial" w:cs="Arial"/>
          <w:color w:val="201F1E"/>
          <w:lang w:val="es-MX"/>
        </w:rPr>
      </w:pPr>
    </w:p>
    <w:p w14:paraId="1073FDDE" w14:textId="77777777" w:rsidR="008D55ED" w:rsidRDefault="008D55ED" w:rsidP="00574A4F">
      <w:pPr>
        <w:spacing w:after="0"/>
        <w:rPr>
          <w:rFonts w:ascii="Arial" w:eastAsia="Geomanist Light" w:hAnsi="Arial" w:cs="Arial"/>
          <w:color w:val="201F1E"/>
          <w:lang w:val="es-MX"/>
        </w:rPr>
      </w:pPr>
    </w:p>
    <w:p w14:paraId="20327A7C" w14:textId="77777777" w:rsidR="008D55ED" w:rsidRDefault="008D55ED" w:rsidP="00574A4F">
      <w:pPr>
        <w:spacing w:after="0"/>
        <w:rPr>
          <w:rFonts w:ascii="Arial" w:eastAsia="Geomanist Light" w:hAnsi="Arial" w:cs="Arial"/>
          <w:color w:val="201F1E"/>
          <w:lang w:val="es-MX"/>
        </w:rPr>
      </w:pPr>
    </w:p>
    <w:p w14:paraId="2F1DB31B" w14:textId="77777777" w:rsidR="008D55ED" w:rsidRDefault="008D55ED" w:rsidP="00574A4F">
      <w:pPr>
        <w:spacing w:after="0"/>
        <w:rPr>
          <w:rFonts w:ascii="Arial" w:eastAsia="Geomanist Light" w:hAnsi="Arial" w:cs="Arial"/>
          <w:color w:val="201F1E"/>
          <w:lang w:val="es-MX"/>
        </w:rPr>
      </w:pPr>
    </w:p>
    <w:p w14:paraId="6B0A2A9D" w14:textId="77777777" w:rsidR="008D55ED" w:rsidRDefault="008D55ED" w:rsidP="00574A4F">
      <w:pPr>
        <w:spacing w:after="0"/>
        <w:rPr>
          <w:rFonts w:ascii="Arial" w:eastAsia="Geomanist Light" w:hAnsi="Arial" w:cs="Arial"/>
          <w:color w:val="201F1E"/>
          <w:lang w:val="es-MX"/>
        </w:rPr>
      </w:pPr>
    </w:p>
    <w:p w14:paraId="40C1B031" w14:textId="77777777" w:rsidR="008D55ED" w:rsidRDefault="008D55ED" w:rsidP="00574A4F">
      <w:pPr>
        <w:spacing w:after="0"/>
        <w:rPr>
          <w:rFonts w:ascii="Arial" w:eastAsia="Geomanist Light" w:hAnsi="Arial" w:cs="Arial"/>
          <w:color w:val="201F1E"/>
          <w:lang w:val="es-MX"/>
        </w:rPr>
      </w:pPr>
    </w:p>
    <w:p w14:paraId="147A35C8" w14:textId="77777777" w:rsidR="008D55ED" w:rsidRDefault="008D55ED" w:rsidP="00574A4F">
      <w:pPr>
        <w:spacing w:after="0"/>
        <w:rPr>
          <w:rFonts w:ascii="Arial" w:eastAsia="Geomanist Light" w:hAnsi="Arial" w:cs="Arial"/>
          <w:color w:val="201F1E"/>
          <w:lang w:val="es-MX"/>
        </w:rPr>
      </w:pPr>
    </w:p>
    <w:p w14:paraId="2A2E807F" w14:textId="77777777" w:rsidR="008D55ED" w:rsidRDefault="008D55ED" w:rsidP="00574A4F">
      <w:pPr>
        <w:spacing w:after="0"/>
        <w:rPr>
          <w:rFonts w:ascii="Arial" w:eastAsia="Geomanist Light" w:hAnsi="Arial" w:cs="Arial"/>
          <w:color w:val="201F1E"/>
          <w:lang w:val="es-MX"/>
        </w:rPr>
      </w:pPr>
    </w:p>
    <w:p w14:paraId="20331368" w14:textId="77777777" w:rsidR="008D55ED" w:rsidRDefault="008D55ED" w:rsidP="00574A4F">
      <w:pPr>
        <w:spacing w:after="0"/>
        <w:rPr>
          <w:rFonts w:ascii="Arial" w:eastAsia="Geomanist Light" w:hAnsi="Arial" w:cs="Arial"/>
          <w:color w:val="201F1E"/>
          <w:lang w:val="es-MX"/>
        </w:rPr>
      </w:pPr>
    </w:p>
    <w:p w14:paraId="52093D80" w14:textId="77777777" w:rsidR="008D55ED" w:rsidRDefault="008D55ED" w:rsidP="00574A4F">
      <w:pPr>
        <w:spacing w:after="0"/>
        <w:rPr>
          <w:rFonts w:ascii="Arial" w:eastAsia="Geomanist Light" w:hAnsi="Arial" w:cs="Arial"/>
          <w:color w:val="201F1E"/>
          <w:lang w:val="es-MX"/>
        </w:rPr>
      </w:pPr>
    </w:p>
    <w:p w14:paraId="767B79A9" w14:textId="77777777" w:rsidR="008D55ED" w:rsidRDefault="008D55ED" w:rsidP="00574A4F">
      <w:pPr>
        <w:spacing w:after="0"/>
        <w:rPr>
          <w:rFonts w:ascii="Arial" w:eastAsia="Geomanist Light" w:hAnsi="Arial" w:cs="Arial"/>
          <w:color w:val="201F1E"/>
          <w:lang w:val="es-MX"/>
        </w:rPr>
      </w:pPr>
    </w:p>
    <w:p w14:paraId="5B6465CB" w14:textId="77777777" w:rsidR="008D55ED" w:rsidRDefault="008D55ED" w:rsidP="00574A4F">
      <w:pPr>
        <w:spacing w:after="0"/>
        <w:rPr>
          <w:rFonts w:ascii="Arial" w:eastAsia="Geomanist Light" w:hAnsi="Arial" w:cs="Arial"/>
          <w:color w:val="201F1E"/>
          <w:lang w:val="es-MX"/>
        </w:rPr>
      </w:pPr>
    </w:p>
    <w:p w14:paraId="22F91918" w14:textId="77777777" w:rsidR="008D55ED" w:rsidRDefault="008D55ED" w:rsidP="00574A4F">
      <w:pPr>
        <w:spacing w:after="0"/>
        <w:rPr>
          <w:rFonts w:ascii="Arial" w:eastAsia="Geomanist Light" w:hAnsi="Arial" w:cs="Arial"/>
          <w:color w:val="201F1E"/>
          <w:lang w:val="es-MX"/>
        </w:rPr>
      </w:pPr>
    </w:p>
    <w:p w14:paraId="7D4DBE5F" w14:textId="77777777" w:rsidR="008D55ED" w:rsidRDefault="008D55ED" w:rsidP="00574A4F">
      <w:pPr>
        <w:spacing w:after="0"/>
        <w:rPr>
          <w:rFonts w:ascii="Arial" w:eastAsia="Geomanist Light" w:hAnsi="Arial" w:cs="Arial"/>
          <w:color w:val="201F1E"/>
          <w:lang w:val="es-MX"/>
        </w:rPr>
      </w:pPr>
    </w:p>
    <w:p w14:paraId="06345007" w14:textId="77777777" w:rsidR="008D55ED" w:rsidRDefault="008D55ED" w:rsidP="00574A4F">
      <w:pPr>
        <w:spacing w:after="0"/>
        <w:rPr>
          <w:rFonts w:ascii="Arial" w:eastAsia="Geomanist Light" w:hAnsi="Arial" w:cs="Arial"/>
          <w:color w:val="201F1E"/>
          <w:lang w:val="es-MX"/>
        </w:rPr>
      </w:pPr>
    </w:p>
    <w:p w14:paraId="46CECA5D" w14:textId="0D26D418" w:rsidR="00574A4F" w:rsidRPr="00262D58" w:rsidRDefault="00574A4F" w:rsidP="00574A4F">
      <w:pPr>
        <w:spacing w:after="0"/>
        <w:rPr>
          <w:rFonts w:ascii="Arial" w:eastAsia="Geomanist Light" w:hAnsi="Arial" w:cs="Arial"/>
          <w:color w:val="201F1E"/>
          <w:lang w:val="es-MX"/>
        </w:rPr>
      </w:pPr>
      <w:r w:rsidRPr="00262D58">
        <w:rPr>
          <w:rFonts w:ascii="Arial" w:eastAsia="Geomanist Light" w:hAnsi="Arial" w:cs="Arial"/>
          <w:color w:val="201F1E"/>
          <w:lang w:val="es-MX"/>
        </w:rPr>
        <w:lastRenderedPageBreak/>
        <w:t xml:space="preserve">Bogotá D.C., </w:t>
      </w:r>
      <w:r w:rsidR="00EC76B8" w:rsidRPr="00EC76B8">
        <w:rPr>
          <w:rFonts w:ascii="Arial" w:eastAsia="Geomanist Light" w:hAnsi="Arial" w:cs="Arial"/>
          <w:color w:val="201F1E"/>
          <w:lang w:val="es-MX"/>
        </w:rPr>
        <w:t xml:space="preserve">25 de </w:t>
      </w:r>
      <w:proofErr w:type="gramStart"/>
      <w:r w:rsidR="00EC76B8" w:rsidRPr="00EC76B8">
        <w:rPr>
          <w:rFonts w:ascii="Arial" w:eastAsia="Geomanist Light" w:hAnsi="Arial" w:cs="Arial"/>
          <w:color w:val="201F1E"/>
          <w:lang w:val="es-MX"/>
        </w:rPr>
        <w:t>Septiembre</w:t>
      </w:r>
      <w:proofErr w:type="gramEnd"/>
      <w:r w:rsidR="00EC76B8" w:rsidRPr="00EC76B8">
        <w:rPr>
          <w:rFonts w:ascii="Arial" w:eastAsia="Geomanist Light" w:hAnsi="Arial" w:cs="Arial"/>
          <w:color w:val="201F1E"/>
          <w:lang w:val="es-MX"/>
        </w:rPr>
        <w:t xml:space="preserve"> de 2023</w:t>
      </w:r>
    </w:p>
    <w:p w14:paraId="063639F0" w14:textId="77777777" w:rsidR="00574A4F" w:rsidRDefault="00574A4F" w:rsidP="00574A4F">
      <w:pPr>
        <w:spacing w:after="0"/>
        <w:rPr>
          <w:rFonts w:ascii="Arial" w:eastAsia="Times New Roman" w:hAnsi="Arial" w:cs="Arial"/>
          <w:lang w:val="es-MX" w:eastAsia="es-ES"/>
        </w:rPr>
      </w:pPr>
    </w:p>
    <w:p w14:paraId="63751417" w14:textId="1FD59D48" w:rsidR="00EC76B8" w:rsidRDefault="00EC76B8" w:rsidP="00EC76B8">
      <w:pPr>
        <w:spacing w:after="0"/>
        <w:jc w:val="right"/>
        <w:rPr>
          <w:rFonts w:ascii="Arial" w:eastAsia="Times New Roman" w:hAnsi="Arial" w:cs="Arial"/>
          <w:lang w:val="es-MX" w:eastAsia="es-ES"/>
        </w:rPr>
      </w:pPr>
      <w:r>
        <w:rPr>
          <w:rFonts w:ascii="Arial" w:eastAsia="Times New Roman" w:hAnsi="Arial" w:cs="Arial"/>
          <w:noProof/>
          <w:lang w:val="es-MX" w:eastAsia="es-ES"/>
        </w:rPr>
        <w:drawing>
          <wp:inline distT="0" distB="0" distL="0" distR="0" wp14:anchorId="77842FAE" wp14:editId="4E056247">
            <wp:extent cx="2971165" cy="723900"/>
            <wp:effectExtent l="0" t="0" r="635" b="0"/>
            <wp:docPr id="1246936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165" cy="723900"/>
                    </a:xfrm>
                    <a:prstGeom prst="rect">
                      <a:avLst/>
                    </a:prstGeom>
                    <a:noFill/>
                    <a:ln>
                      <a:noFill/>
                    </a:ln>
                  </pic:spPr>
                </pic:pic>
              </a:graphicData>
            </a:graphic>
          </wp:inline>
        </w:drawing>
      </w:r>
    </w:p>
    <w:p w14:paraId="69597218" w14:textId="77777777" w:rsidR="00574A4F" w:rsidRPr="00262D58" w:rsidRDefault="00574A4F" w:rsidP="00574A4F">
      <w:pPr>
        <w:spacing w:after="0"/>
        <w:contextualSpacing/>
        <w:jc w:val="both"/>
        <w:rPr>
          <w:rFonts w:ascii="Arial" w:eastAsia="Calibri" w:hAnsi="Arial" w:cs="Arial"/>
          <w:lang w:val="es-ES_tradnl" w:eastAsia="es-ES_tradnl"/>
        </w:rPr>
      </w:pPr>
    </w:p>
    <w:p w14:paraId="277AEE9E" w14:textId="77777777" w:rsidR="00574A4F" w:rsidRPr="00262D58" w:rsidRDefault="00574A4F" w:rsidP="00574A4F">
      <w:pPr>
        <w:contextualSpacing/>
        <w:jc w:val="both"/>
        <w:rPr>
          <w:rFonts w:ascii="Arial" w:eastAsia="Calibri" w:hAnsi="Arial" w:cs="Arial"/>
          <w:lang w:eastAsia="es-ES_tradnl"/>
        </w:rPr>
      </w:pPr>
      <w:r>
        <w:rPr>
          <w:rFonts w:ascii="Arial" w:eastAsia="Calibri" w:hAnsi="Arial" w:cs="Arial"/>
          <w:lang w:eastAsia="es-ES_tradnl"/>
        </w:rPr>
        <w:t>Señora</w:t>
      </w:r>
    </w:p>
    <w:p w14:paraId="3220EC74" w14:textId="77777777" w:rsidR="00574A4F" w:rsidRDefault="00574A4F" w:rsidP="00574A4F">
      <w:pPr>
        <w:contextualSpacing/>
        <w:jc w:val="both"/>
        <w:rPr>
          <w:rFonts w:ascii="Arial" w:eastAsia="Calibri" w:hAnsi="Arial" w:cs="Arial"/>
          <w:b/>
          <w:lang w:eastAsia="es-ES_tradnl"/>
        </w:rPr>
      </w:pPr>
      <w:r w:rsidRPr="007E25AB">
        <w:rPr>
          <w:rFonts w:ascii="Arial" w:eastAsia="Calibri" w:hAnsi="Arial" w:cs="Arial"/>
          <w:b/>
          <w:lang w:eastAsia="es-ES_tradnl"/>
        </w:rPr>
        <w:t xml:space="preserve">Lilian Suárez Castillo </w:t>
      </w:r>
    </w:p>
    <w:p w14:paraId="341BFBCD" w14:textId="31CEF311" w:rsidR="00574A4F" w:rsidRPr="00262D58" w:rsidDel="006608C9" w:rsidRDefault="00574A4F" w:rsidP="1E173E21">
      <w:pPr>
        <w:contextualSpacing/>
        <w:jc w:val="both"/>
        <w:rPr>
          <w:rFonts w:ascii="Arial" w:eastAsia="Calibri" w:hAnsi="Arial" w:cs="Arial"/>
          <w:lang w:eastAsia="es-ES"/>
        </w:rPr>
      </w:pPr>
      <w:r w:rsidRPr="1E173E21">
        <w:rPr>
          <w:rFonts w:ascii="Arial" w:eastAsia="Geomanist Light" w:hAnsi="Arial" w:cs="Arial"/>
          <w:color w:val="000000" w:themeColor="text1"/>
          <w:lang w:val="es-MX"/>
        </w:rPr>
        <w:t>Bogotá D.C.</w:t>
      </w:r>
      <w:r w:rsidRPr="1E173E21">
        <w:rPr>
          <w:rFonts w:ascii="Arial" w:eastAsia="Calibri" w:hAnsi="Arial" w:cs="Arial"/>
          <w:lang w:eastAsia="es-ES"/>
        </w:rPr>
        <w:t xml:space="preserve">  </w:t>
      </w:r>
    </w:p>
    <w:p w14:paraId="3097C343" w14:textId="77777777" w:rsidR="00574A4F" w:rsidRPr="006608C9" w:rsidRDefault="00574A4F" w:rsidP="00574A4F">
      <w:pPr>
        <w:contextualSpacing/>
        <w:jc w:val="both"/>
        <w:rPr>
          <w:rFonts w:ascii="Arial" w:eastAsia="Calibri" w:hAnsi="Arial" w:cs="Arial"/>
          <w:lang w:eastAsia="es-ES_tradnl"/>
        </w:rPr>
      </w:pPr>
    </w:p>
    <w:p w14:paraId="492AA85F" w14:textId="77777777" w:rsidR="00574A4F" w:rsidRPr="00262D58" w:rsidRDefault="00574A4F" w:rsidP="00574A4F">
      <w:pPr>
        <w:contextualSpacing/>
        <w:rPr>
          <w:rFonts w:ascii="Arial" w:eastAsia="Calibri" w:hAnsi="Arial" w:cs="Arial"/>
          <w:b/>
          <w:lang w:val="es-ES_tradnl" w:eastAsia="es-ES_tradnl"/>
        </w:rPr>
      </w:pPr>
    </w:p>
    <w:p w14:paraId="048A25D9" w14:textId="77777777" w:rsidR="00574A4F" w:rsidRPr="00262D58" w:rsidRDefault="00574A4F" w:rsidP="00574A4F">
      <w:pPr>
        <w:ind w:left="2124" w:firstLine="570"/>
        <w:contextualSpacing/>
        <w:rPr>
          <w:rFonts w:ascii="Arial" w:eastAsia="Calibri" w:hAnsi="Arial" w:cs="Arial"/>
          <w:b/>
          <w:lang w:val="es-ES_tradnl" w:eastAsia="es-ES_tradnl"/>
        </w:rPr>
      </w:pPr>
      <w:r w:rsidRPr="00262D58">
        <w:rPr>
          <w:rFonts w:ascii="Arial" w:eastAsia="Calibri" w:hAnsi="Arial" w:cs="Arial"/>
          <w:b/>
          <w:lang w:val="es-ES_tradnl" w:eastAsia="es-ES_tradnl"/>
        </w:rPr>
        <w:t xml:space="preserve">Concepto C – </w:t>
      </w:r>
      <w:r>
        <w:rPr>
          <w:rFonts w:ascii="Arial" w:eastAsia="Calibri" w:hAnsi="Arial" w:cs="Arial"/>
          <w:b/>
          <w:lang w:val="es-ES_tradnl" w:eastAsia="es-ES_tradnl"/>
        </w:rPr>
        <w:t>341</w:t>
      </w:r>
      <w:r w:rsidRPr="00262D58">
        <w:rPr>
          <w:rFonts w:ascii="Arial" w:eastAsia="Calibri" w:hAnsi="Arial" w:cs="Arial"/>
          <w:b/>
          <w:lang w:val="es-ES_tradnl" w:eastAsia="es-ES_tradnl"/>
        </w:rPr>
        <w:t xml:space="preserve"> de 2023</w:t>
      </w:r>
    </w:p>
    <w:p w14:paraId="42DAA76F" w14:textId="77777777" w:rsidR="00574A4F" w:rsidRPr="00262D58" w:rsidRDefault="00574A4F" w:rsidP="00574A4F">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74A4F" w:rsidRPr="005E53FE" w14:paraId="42A248F8" w14:textId="77777777" w:rsidTr="0075781E">
        <w:tc>
          <w:tcPr>
            <w:tcW w:w="2689" w:type="dxa"/>
          </w:tcPr>
          <w:p w14:paraId="5956309A" w14:textId="77777777" w:rsidR="00574A4F" w:rsidRPr="00262D58" w:rsidRDefault="00574A4F" w:rsidP="0075781E">
            <w:pPr>
              <w:contextualSpacing/>
              <w:jc w:val="both"/>
              <w:rPr>
                <w:rFonts w:ascii="Arial" w:eastAsia="Calibri" w:hAnsi="Arial" w:cs="Arial"/>
                <w:lang w:val="es-ES_tradnl" w:eastAsia="es-ES_tradnl"/>
              </w:rPr>
            </w:pPr>
            <w:r w:rsidRPr="00262D58">
              <w:rPr>
                <w:rFonts w:ascii="Arial" w:eastAsia="Calibri" w:hAnsi="Arial" w:cs="Arial"/>
                <w:b/>
                <w:lang w:val="es-ES_tradnl" w:eastAsia="es-ES_tradnl"/>
              </w:rPr>
              <w:t>Temas:</w:t>
            </w:r>
            <w:r w:rsidRPr="00262D58">
              <w:rPr>
                <w:rFonts w:ascii="Arial" w:eastAsia="Calibri" w:hAnsi="Arial" w:cs="Arial"/>
                <w:lang w:val="es-ES_tradnl" w:eastAsia="es-ES_tradnl"/>
              </w:rPr>
              <w:t xml:space="preserve">                                      </w:t>
            </w:r>
          </w:p>
        </w:tc>
        <w:tc>
          <w:tcPr>
            <w:tcW w:w="6237" w:type="dxa"/>
          </w:tcPr>
          <w:p w14:paraId="5A9377A2" w14:textId="77777777" w:rsidR="00574A4F" w:rsidRPr="00262D58" w:rsidRDefault="00574A4F" w:rsidP="0075781E">
            <w:pPr>
              <w:spacing w:after="120"/>
              <w:contextualSpacing/>
              <w:jc w:val="both"/>
              <w:rPr>
                <w:rFonts w:ascii="Arial" w:eastAsia="Calibri" w:hAnsi="Arial" w:cs="Arial"/>
                <w:lang w:val="es-MX" w:eastAsia="es-ES_tradnl"/>
              </w:rPr>
            </w:pPr>
            <w:r w:rsidRPr="00AD1B6D">
              <w:rPr>
                <w:rFonts w:ascii="Arial" w:eastAsia="Calibri" w:hAnsi="Arial" w:cs="Arial"/>
                <w:lang w:val="es-MX" w:eastAsia="es-ES_tradnl"/>
              </w:rPr>
              <w:t xml:space="preserve">DOCUMENTOS TIPO – Fundamento normativo </w:t>
            </w:r>
            <w:r>
              <w:rPr>
                <w:rFonts w:ascii="Arial" w:eastAsia="Calibri" w:hAnsi="Arial" w:cs="Arial"/>
                <w:lang w:val="es-MX" w:eastAsia="es-ES_tradnl"/>
              </w:rPr>
              <w:t xml:space="preserve">/ </w:t>
            </w:r>
            <w:r w:rsidRPr="00AD1B6D">
              <w:rPr>
                <w:rFonts w:ascii="Arial" w:eastAsia="Calibri" w:hAnsi="Arial" w:cs="Arial"/>
                <w:lang w:val="es-MX" w:eastAsia="es-ES_tradnl"/>
              </w:rPr>
              <w:t>PRINCIPIO DE INALTERABILIDAD – Alcance</w:t>
            </w:r>
            <w:r>
              <w:rPr>
                <w:rFonts w:ascii="Arial" w:eastAsia="Calibri" w:hAnsi="Arial" w:cs="Arial"/>
                <w:lang w:val="es-MX" w:eastAsia="es-ES_tradnl"/>
              </w:rPr>
              <w:t xml:space="preserve"> / </w:t>
            </w:r>
            <w:r w:rsidRPr="00AD1B6D">
              <w:rPr>
                <w:rFonts w:ascii="Arial" w:eastAsia="Calibri" w:hAnsi="Arial" w:cs="Arial"/>
                <w:lang w:val="es-MX" w:eastAsia="es-ES_tradnl"/>
              </w:rPr>
              <w:t xml:space="preserve">CONTRATO ESTATAL – Régimen de garantías </w:t>
            </w:r>
            <w:r>
              <w:rPr>
                <w:rFonts w:ascii="Arial" w:eastAsia="Calibri" w:hAnsi="Arial" w:cs="Arial"/>
                <w:lang w:val="es-MX" w:eastAsia="es-ES_tradnl"/>
              </w:rPr>
              <w:t xml:space="preserve">/ </w:t>
            </w:r>
            <w:r w:rsidRPr="00AD1B6D">
              <w:rPr>
                <w:rFonts w:ascii="Arial" w:eastAsia="Calibri" w:hAnsi="Arial" w:cs="Arial"/>
                <w:lang w:val="es-MX" w:eastAsia="es-ES_tradnl"/>
              </w:rPr>
              <w:t xml:space="preserve">DOCUMENTOS TIPO – Garantía de cumplimiento </w:t>
            </w:r>
            <w:r>
              <w:rPr>
                <w:rFonts w:ascii="Arial" w:eastAsia="Calibri" w:hAnsi="Arial" w:cs="Arial"/>
                <w:lang w:val="es-MX" w:eastAsia="es-ES_tradnl"/>
              </w:rPr>
              <w:t>– amparos</w:t>
            </w:r>
            <w:r w:rsidRPr="00AD1B6D">
              <w:rPr>
                <w:rFonts w:ascii="Arial" w:eastAsia="Calibri" w:hAnsi="Arial" w:cs="Arial"/>
                <w:lang w:val="es-MX" w:eastAsia="es-ES_tradnl"/>
              </w:rPr>
              <w:t xml:space="preserve"> </w:t>
            </w:r>
            <w:r w:rsidRPr="002362ED">
              <w:rPr>
                <w:rFonts w:ascii="Arial" w:eastAsia="Calibri" w:hAnsi="Arial" w:cs="Arial"/>
                <w:lang w:val="es-MX" w:eastAsia="es-ES_tradnl"/>
              </w:rPr>
              <w:t xml:space="preserve">  </w:t>
            </w:r>
          </w:p>
          <w:p w14:paraId="66616D12" w14:textId="77777777" w:rsidR="00574A4F" w:rsidRPr="00262D58" w:rsidRDefault="00574A4F" w:rsidP="0075781E">
            <w:pPr>
              <w:spacing w:after="120"/>
              <w:contextualSpacing/>
              <w:jc w:val="both"/>
              <w:rPr>
                <w:rFonts w:ascii="Arial" w:eastAsia="Calibri" w:hAnsi="Arial" w:cs="Arial"/>
                <w:sz w:val="12"/>
                <w:szCs w:val="12"/>
                <w:lang w:val="es-ES_tradnl" w:eastAsia="es-ES_tradnl"/>
              </w:rPr>
            </w:pPr>
          </w:p>
        </w:tc>
      </w:tr>
      <w:tr w:rsidR="00574A4F" w:rsidRPr="005E53FE" w14:paraId="4A178ECF" w14:textId="77777777" w:rsidTr="0075781E">
        <w:trPr>
          <w:trHeight w:val="227"/>
        </w:trPr>
        <w:tc>
          <w:tcPr>
            <w:tcW w:w="2689" w:type="dxa"/>
          </w:tcPr>
          <w:p w14:paraId="66D62E7A" w14:textId="77777777" w:rsidR="00574A4F" w:rsidRPr="00262D58" w:rsidRDefault="00574A4F" w:rsidP="0075781E">
            <w:pPr>
              <w:contextualSpacing/>
              <w:jc w:val="both"/>
              <w:rPr>
                <w:rFonts w:ascii="Arial" w:eastAsia="Calibri" w:hAnsi="Arial" w:cs="Arial"/>
                <w:b/>
                <w:lang w:val="es-ES_tradnl" w:eastAsia="es-ES_tradnl"/>
              </w:rPr>
            </w:pPr>
            <w:r w:rsidRPr="00262D58">
              <w:rPr>
                <w:rFonts w:ascii="Arial" w:eastAsia="Calibri" w:hAnsi="Arial" w:cs="Arial"/>
                <w:b/>
                <w:lang w:val="es-ES_tradnl" w:eastAsia="es-ES_tradnl"/>
              </w:rPr>
              <w:t>Radicación:</w:t>
            </w:r>
            <w:r w:rsidRPr="00262D58">
              <w:rPr>
                <w:rFonts w:ascii="Arial" w:eastAsia="Calibri" w:hAnsi="Arial" w:cs="Arial"/>
                <w:lang w:val="es-ES_tradnl" w:eastAsia="es-ES_tradnl"/>
              </w:rPr>
              <w:t xml:space="preserve">                             </w:t>
            </w:r>
          </w:p>
        </w:tc>
        <w:tc>
          <w:tcPr>
            <w:tcW w:w="6237" w:type="dxa"/>
          </w:tcPr>
          <w:p w14:paraId="41C1FD19" w14:textId="77777777" w:rsidR="00574A4F" w:rsidRPr="00262D58" w:rsidRDefault="00574A4F" w:rsidP="0075781E">
            <w:pPr>
              <w:contextualSpacing/>
              <w:jc w:val="both"/>
              <w:rPr>
                <w:rFonts w:ascii="Arial" w:eastAsia="Calibri" w:hAnsi="Arial" w:cs="Arial"/>
                <w:lang w:val="es-ES_tradnl" w:eastAsia="es-ES_tradnl"/>
              </w:rPr>
            </w:pPr>
            <w:r w:rsidRPr="00262D58">
              <w:rPr>
                <w:rFonts w:ascii="Arial" w:eastAsia="Calibri" w:hAnsi="Arial" w:cs="Arial"/>
                <w:lang w:val="es-ES_tradnl" w:eastAsia="es-ES_tradnl"/>
              </w:rPr>
              <w:t xml:space="preserve">Respuesta a </w:t>
            </w:r>
            <w:r>
              <w:rPr>
                <w:rFonts w:ascii="Arial" w:eastAsia="Calibri" w:hAnsi="Arial" w:cs="Arial"/>
                <w:lang w:val="es-ES_tradnl" w:eastAsia="es-ES_tradnl"/>
              </w:rPr>
              <w:t xml:space="preserve">la </w:t>
            </w:r>
            <w:r w:rsidRPr="00262D58">
              <w:rPr>
                <w:rFonts w:ascii="Arial" w:eastAsia="Calibri" w:hAnsi="Arial" w:cs="Arial"/>
                <w:lang w:val="es-ES_tradnl" w:eastAsia="es-ES_tradnl"/>
              </w:rPr>
              <w:t xml:space="preserve">consulta </w:t>
            </w:r>
            <w:r w:rsidRPr="007E25AB">
              <w:rPr>
                <w:rFonts w:ascii="Arial" w:eastAsia="Calibri" w:hAnsi="Arial" w:cs="Arial"/>
                <w:lang w:val="es-ES_tradnl" w:eastAsia="es-ES_tradnl"/>
              </w:rPr>
              <w:t>P20230814014198</w:t>
            </w:r>
          </w:p>
        </w:tc>
      </w:tr>
    </w:tbl>
    <w:p w14:paraId="04CE762B" w14:textId="77777777" w:rsidR="00574A4F" w:rsidRPr="00262D58" w:rsidRDefault="00574A4F" w:rsidP="00574A4F">
      <w:pPr>
        <w:contextualSpacing/>
        <w:jc w:val="both"/>
        <w:rPr>
          <w:rFonts w:ascii="Arial" w:eastAsia="Calibri" w:hAnsi="Arial" w:cs="Arial"/>
          <w:lang w:val="es-ES_tradnl" w:eastAsia="es-ES_tradnl"/>
        </w:rPr>
      </w:pPr>
    </w:p>
    <w:p w14:paraId="7F97F05C" w14:textId="77777777" w:rsidR="00574A4F" w:rsidRPr="00262D58" w:rsidRDefault="00574A4F" w:rsidP="00574A4F">
      <w:pPr>
        <w:contextualSpacing/>
        <w:jc w:val="both"/>
        <w:rPr>
          <w:rFonts w:ascii="Arial" w:eastAsia="Calibri" w:hAnsi="Arial" w:cs="Arial"/>
          <w:lang w:val="es-ES_tradnl" w:eastAsia="es-ES_tradnl"/>
        </w:rPr>
      </w:pPr>
    </w:p>
    <w:p w14:paraId="02ED0817" w14:textId="77777777" w:rsidR="00574A4F" w:rsidRPr="00262D58" w:rsidRDefault="00574A4F" w:rsidP="00574A4F">
      <w:pPr>
        <w:contextualSpacing/>
        <w:jc w:val="both"/>
        <w:rPr>
          <w:rFonts w:ascii="Arial" w:eastAsia="Calibri" w:hAnsi="Arial" w:cs="Arial"/>
          <w:lang w:val="es-ES" w:eastAsia="es-ES"/>
        </w:rPr>
      </w:pPr>
      <w:r w:rsidRPr="00262D58">
        <w:rPr>
          <w:rFonts w:ascii="Arial" w:eastAsia="Calibri" w:hAnsi="Arial" w:cs="Arial"/>
          <w:lang w:val="es-ES" w:eastAsia="es-ES"/>
        </w:rPr>
        <w:t xml:space="preserve">Respetada </w:t>
      </w:r>
      <w:r>
        <w:rPr>
          <w:rFonts w:ascii="Arial" w:eastAsia="Calibri" w:hAnsi="Arial" w:cs="Arial"/>
          <w:lang w:val="es-ES" w:eastAsia="es-ES"/>
        </w:rPr>
        <w:t>señora</w:t>
      </w:r>
      <w:r w:rsidRPr="00262D58">
        <w:rPr>
          <w:rFonts w:ascii="Arial" w:eastAsia="Calibri" w:hAnsi="Arial" w:cs="Arial"/>
          <w:lang w:val="es-ES" w:eastAsia="es-ES"/>
        </w:rPr>
        <w:t xml:space="preserve"> </w:t>
      </w:r>
      <w:r w:rsidRPr="007E25AB">
        <w:rPr>
          <w:rFonts w:ascii="Arial" w:eastAsia="Times New Roman" w:hAnsi="Arial" w:cs="Arial"/>
          <w:lang w:eastAsia="es-ES"/>
        </w:rPr>
        <w:t>Suárez Castillo</w:t>
      </w:r>
      <w:r w:rsidRPr="00262D58">
        <w:rPr>
          <w:rFonts w:ascii="Arial" w:eastAsia="Calibri" w:hAnsi="Arial" w:cs="Arial"/>
          <w:lang w:val="es-ES" w:eastAsia="es-ES"/>
        </w:rPr>
        <w:t xml:space="preserve">: </w:t>
      </w:r>
    </w:p>
    <w:p w14:paraId="5A5C07D6" w14:textId="77777777" w:rsidR="00574A4F" w:rsidRPr="00262D58" w:rsidRDefault="00574A4F" w:rsidP="00574A4F">
      <w:pPr>
        <w:spacing w:line="276" w:lineRule="auto"/>
        <w:contextualSpacing/>
        <w:jc w:val="both"/>
        <w:rPr>
          <w:rFonts w:ascii="Arial" w:eastAsia="Calibri" w:hAnsi="Arial" w:cs="Arial"/>
          <w:szCs w:val="24"/>
          <w:lang w:val="es-ES_tradnl" w:eastAsia="es-ES_tradnl"/>
        </w:rPr>
      </w:pPr>
    </w:p>
    <w:bookmarkEnd w:id="0"/>
    <w:bookmarkEnd w:id="1"/>
    <w:p w14:paraId="17A58067" w14:textId="77777777" w:rsidR="00574A4F" w:rsidRPr="00262D58" w:rsidRDefault="00574A4F" w:rsidP="00574A4F">
      <w:pPr>
        <w:spacing w:after="0" w:line="276" w:lineRule="auto"/>
        <w:jc w:val="both"/>
        <w:rPr>
          <w:rFonts w:ascii="Arial" w:eastAsia="Calibri" w:hAnsi="Arial" w:cs="Arial"/>
          <w:color w:val="000000" w:themeColor="text1"/>
          <w:lang w:val="es-ES_tradnl"/>
        </w:rPr>
      </w:pPr>
      <w:r w:rsidRPr="00262D58">
        <w:rPr>
          <w:rFonts w:ascii="Arial" w:eastAsia="Calibri" w:hAnsi="Arial" w:cs="Arial"/>
          <w:color w:val="000000" w:themeColor="text1"/>
          <w:lang w:val="es-ES_tradnl"/>
        </w:rPr>
        <w:t>En ejercicio de la competencia otorgada por el numeral 8 del artículo 11 y el numeral 5 del artículo 3 del Decreto Ley 4170 de 2011</w:t>
      </w:r>
      <w:bookmarkStart w:id="3" w:name="_Hlk99120496"/>
      <w:r w:rsidRPr="00262D58">
        <w:rPr>
          <w:rFonts w:ascii="Arial" w:eastAsia="Arial MT" w:hAnsi="Arial" w:cs="Arial"/>
          <w:lang w:val="es-ES"/>
        </w:rPr>
        <w:t xml:space="preserve">, </w:t>
      </w:r>
      <w:bookmarkEnd w:id="3"/>
      <w:r w:rsidRPr="00262D58">
        <w:rPr>
          <w:rFonts w:ascii="Arial" w:eastAsia="Calibri" w:hAnsi="Arial" w:cs="Arial"/>
          <w:color w:val="000000" w:themeColor="text1"/>
          <w:lang w:val="es-ES_tradnl"/>
        </w:rPr>
        <w:t xml:space="preserve">la Agencia Nacional de Contratación Pública – Colombia Compra Eficiente responde la </w:t>
      </w:r>
      <w:r>
        <w:rPr>
          <w:rFonts w:ascii="Arial" w:eastAsia="Calibri" w:hAnsi="Arial" w:cs="Arial"/>
          <w:color w:val="000000" w:themeColor="text1"/>
          <w:lang w:val="es-ES_tradnl"/>
        </w:rPr>
        <w:t>petición radicada el 11 de agosto de 2023</w:t>
      </w:r>
      <w:r w:rsidRPr="00262D58">
        <w:rPr>
          <w:rFonts w:ascii="Arial" w:eastAsia="Calibri" w:hAnsi="Arial" w:cs="Arial"/>
          <w:color w:val="000000" w:themeColor="text1"/>
          <w:lang w:val="es-ES_tradnl"/>
        </w:rPr>
        <w:t>.</w:t>
      </w:r>
    </w:p>
    <w:p w14:paraId="433BA9DD" w14:textId="77777777" w:rsidR="00574A4F" w:rsidRPr="00262D58" w:rsidRDefault="00574A4F" w:rsidP="00574A4F">
      <w:pPr>
        <w:spacing w:after="0" w:line="276" w:lineRule="auto"/>
        <w:jc w:val="both"/>
        <w:rPr>
          <w:rFonts w:ascii="Arial" w:eastAsia="Calibri" w:hAnsi="Arial" w:cs="Arial"/>
          <w:b/>
          <w:color w:val="000000" w:themeColor="text1"/>
          <w:lang w:val="es-ES_tradnl"/>
        </w:rPr>
      </w:pPr>
    </w:p>
    <w:p w14:paraId="62F050D6" w14:textId="77777777" w:rsidR="00574A4F" w:rsidRPr="00262D58" w:rsidRDefault="00574A4F" w:rsidP="00574A4F">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262D58">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262D58">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262D58">
        <w:rPr>
          <w:rFonts w:ascii="Arial" w:eastAsia="Calibri" w:hAnsi="Arial" w:cs="Arial"/>
          <w:b/>
          <w:color w:val="000000" w:themeColor="text1"/>
          <w:lang w:val="es-ES_tradnl"/>
        </w:rPr>
        <w:t xml:space="preserve"> </w:t>
      </w:r>
    </w:p>
    <w:p w14:paraId="3859FB82" w14:textId="77777777" w:rsidR="00574A4F" w:rsidRPr="00262D58" w:rsidRDefault="00574A4F" w:rsidP="00574A4F">
      <w:pPr>
        <w:tabs>
          <w:tab w:val="left" w:pos="426"/>
        </w:tabs>
        <w:spacing w:after="0" w:line="276" w:lineRule="auto"/>
        <w:jc w:val="both"/>
        <w:rPr>
          <w:rFonts w:ascii="Arial" w:eastAsia="Calibri" w:hAnsi="Arial" w:cs="Arial"/>
          <w:b/>
          <w:color w:val="000000" w:themeColor="text1"/>
          <w:lang w:val="es-ES_tradnl"/>
        </w:rPr>
      </w:pPr>
    </w:p>
    <w:p w14:paraId="6F1274ED" w14:textId="53F25067" w:rsidR="00574A4F" w:rsidRDefault="00574A4F" w:rsidP="00574A4F">
      <w:pPr>
        <w:spacing w:after="0" w:line="276" w:lineRule="auto"/>
        <w:jc w:val="both"/>
        <w:rPr>
          <w:rFonts w:ascii="Arial" w:hAnsi="Arial" w:cs="Arial"/>
          <w:color w:val="000000" w:themeColor="text1"/>
          <w:lang w:val="es-ES_tradnl"/>
        </w:rPr>
      </w:pPr>
      <w:bookmarkStart w:id="4" w:name="_Hlk143270167"/>
      <w:bookmarkStart w:id="5" w:name="_Hlk132728388"/>
      <w:bookmarkStart w:id="6" w:name="_Hlk142917142"/>
      <w:r>
        <w:rPr>
          <w:rFonts w:ascii="Arial" w:hAnsi="Arial" w:cs="Arial"/>
          <w:color w:val="000000" w:themeColor="text1"/>
          <w:lang w:val="es-ES_tradnl"/>
        </w:rPr>
        <w:t>Respecto a los documentos tipo de infraestructura de transporte agua potable y saneamiento básico, gestión catastral e infraestructura social</w:t>
      </w:r>
      <w:bookmarkEnd w:id="4"/>
      <w:r>
        <w:rPr>
          <w:rFonts w:ascii="Arial" w:hAnsi="Arial" w:cs="Arial"/>
          <w:color w:val="000000" w:themeColor="text1"/>
          <w:lang w:val="es-ES_tradnl"/>
        </w:rPr>
        <w:t>, usted realiza las siguientes preguntas: i) “</w:t>
      </w:r>
      <w:r w:rsidRPr="007E25AB">
        <w:rPr>
          <w:rFonts w:ascii="Arial" w:hAnsi="Arial" w:cs="Arial"/>
          <w:color w:val="000000" w:themeColor="text1"/>
          <w:lang w:val="es-ES_tradnl"/>
        </w:rPr>
        <w:t>¿Es posible, de manera adicional a la garantía de cumplimiento y de responsabilidad civil extracontractual, como amparo autónomo y en póliza anexa, exigir la constitución de una póliza de todo riesgo para obras civiles, para proteger los bienes, equipos y en general la infraestructura que tenga relación directa con la obra civil en ejecución contra todo riesgo?</w:t>
      </w:r>
      <w:r>
        <w:rPr>
          <w:rFonts w:ascii="Arial" w:hAnsi="Arial" w:cs="Arial"/>
          <w:color w:val="000000" w:themeColor="text1"/>
          <w:lang w:val="es-ES_tradnl"/>
        </w:rPr>
        <w:t xml:space="preserve">”, </w:t>
      </w:r>
      <w:proofErr w:type="spellStart"/>
      <w:r>
        <w:rPr>
          <w:rFonts w:ascii="Arial" w:hAnsi="Arial" w:cs="Arial"/>
          <w:color w:val="000000" w:themeColor="text1"/>
          <w:lang w:val="es-ES_tradnl"/>
        </w:rPr>
        <w:t>ii</w:t>
      </w:r>
      <w:proofErr w:type="spellEnd"/>
      <w:r>
        <w:rPr>
          <w:rFonts w:ascii="Arial" w:hAnsi="Arial" w:cs="Arial"/>
          <w:color w:val="000000" w:themeColor="text1"/>
          <w:lang w:val="es-ES_tradnl"/>
        </w:rPr>
        <w:t>) “</w:t>
      </w:r>
      <w:r w:rsidRPr="007E25AB">
        <w:rPr>
          <w:rFonts w:ascii="Arial" w:hAnsi="Arial" w:cs="Arial"/>
          <w:color w:val="000000" w:themeColor="text1"/>
          <w:lang w:val="es-ES_tradnl"/>
        </w:rPr>
        <w:t xml:space="preserve">En caso de que las entidades estatales, opten por incluir de manera adicional la póliza todo riesgo para obras civiles, ¿se contraviene la estructura del pliego tipo y con ello la </w:t>
      </w:r>
      <w:r>
        <w:rPr>
          <w:rFonts w:ascii="Arial" w:hAnsi="Arial" w:cs="Arial"/>
          <w:color w:val="000000" w:themeColor="text1"/>
          <w:lang w:val="es-ES_tradnl"/>
        </w:rPr>
        <w:t>“</w:t>
      </w:r>
      <w:r w:rsidRPr="007E25AB">
        <w:rPr>
          <w:rFonts w:ascii="Arial" w:hAnsi="Arial" w:cs="Arial"/>
          <w:color w:val="000000" w:themeColor="text1"/>
          <w:lang w:val="es-ES_tradnl"/>
        </w:rPr>
        <w:t>inalterabilidad</w:t>
      </w:r>
      <w:r>
        <w:rPr>
          <w:rFonts w:ascii="Arial" w:hAnsi="Arial" w:cs="Arial"/>
          <w:color w:val="000000" w:themeColor="text1"/>
          <w:lang w:val="es-ES_tradnl"/>
        </w:rPr>
        <w:t>”</w:t>
      </w:r>
      <w:r w:rsidRPr="007E25AB">
        <w:rPr>
          <w:rFonts w:ascii="Arial" w:hAnsi="Arial" w:cs="Arial"/>
          <w:color w:val="000000" w:themeColor="text1"/>
          <w:lang w:val="es-ES_tradnl"/>
        </w:rPr>
        <w:t xml:space="preserve"> de que trata el artículo 1° de la Ley 2022 de 2020?</w:t>
      </w:r>
      <w:r>
        <w:rPr>
          <w:rFonts w:ascii="Arial" w:hAnsi="Arial" w:cs="Arial"/>
          <w:color w:val="000000" w:themeColor="text1"/>
          <w:lang w:val="es-ES_tradnl"/>
        </w:rPr>
        <w:t xml:space="preserve">”, </w:t>
      </w:r>
      <w:bookmarkStart w:id="7" w:name="_Hlk143270512"/>
      <w:proofErr w:type="spellStart"/>
      <w:r>
        <w:rPr>
          <w:rFonts w:ascii="Arial" w:hAnsi="Arial" w:cs="Arial"/>
          <w:color w:val="000000" w:themeColor="text1"/>
          <w:lang w:val="es-ES_tradnl"/>
        </w:rPr>
        <w:t>iii</w:t>
      </w:r>
      <w:proofErr w:type="spellEnd"/>
      <w:r>
        <w:rPr>
          <w:rFonts w:ascii="Arial" w:hAnsi="Arial" w:cs="Arial"/>
          <w:color w:val="000000" w:themeColor="text1"/>
          <w:lang w:val="es-ES_tradnl"/>
        </w:rPr>
        <w:t>) “</w:t>
      </w:r>
      <w:r w:rsidRPr="007E25AB">
        <w:rPr>
          <w:rFonts w:ascii="Arial" w:hAnsi="Arial" w:cs="Arial"/>
          <w:color w:val="000000" w:themeColor="text1"/>
          <w:lang w:val="es-ES_tradnl"/>
        </w:rPr>
        <w:t>¿Cuál sería la consecuencia para la entidad en caso de que incluya esta póliza todo riesgo para obras civiles en procesos de selección sometidos a pliego tipo?</w:t>
      </w:r>
      <w:r>
        <w:rPr>
          <w:rFonts w:ascii="Arial" w:hAnsi="Arial" w:cs="Arial"/>
          <w:color w:val="000000" w:themeColor="text1"/>
          <w:lang w:val="es-ES_tradnl"/>
        </w:rPr>
        <w:t xml:space="preserve">”, </w:t>
      </w:r>
      <w:proofErr w:type="spellStart"/>
      <w:r>
        <w:rPr>
          <w:rFonts w:ascii="Arial" w:hAnsi="Arial" w:cs="Arial"/>
          <w:color w:val="000000" w:themeColor="text1"/>
          <w:lang w:val="es-ES_tradnl"/>
        </w:rPr>
        <w:t>iv</w:t>
      </w:r>
      <w:proofErr w:type="spellEnd"/>
      <w:r>
        <w:rPr>
          <w:rFonts w:ascii="Arial" w:hAnsi="Arial" w:cs="Arial"/>
          <w:color w:val="000000" w:themeColor="text1"/>
          <w:lang w:val="es-ES_tradnl"/>
        </w:rPr>
        <w:t>) “</w:t>
      </w:r>
      <w:r w:rsidRPr="007E25AB">
        <w:rPr>
          <w:rFonts w:ascii="Arial" w:hAnsi="Arial" w:cs="Arial"/>
          <w:color w:val="000000" w:themeColor="text1"/>
          <w:lang w:val="es-ES_tradnl"/>
        </w:rPr>
        <w:t xml:space="preserve">¿Cuál </w:t>
      </w:r>
      <w:r w:rsidRPr="007E25AB">
        <w:rPr>
          <w:rFonts w:ascii="Arial" w:hAnsi="Arial" w:cs="Arial"/>
          <w:color w:val="000000" w:themeColor="text1"/>
          <w:lang w:val="es-ES_tradnl"/>
        </w:rPr>
        <w:lastRenderedPageBreak/>
        <w:t>es el alcance de esa inalterabilidad de que trata el artículo 1° de la Ley 2022 de 2020?</w:t>
      </w:r>
      <w:r>
        <w:rPr>
          <w:rFonts w:ascii="Arial" w:hAnsi="Arial" w:cs="Arial"/>
          <w:color w:val="000000" w:themeColor="text1"/>
          <w:lang w:val="es-ES_tradnl"/>
        </w:rPr>
        <w:t>”</w:t>
      </w:r>
      <w:bookmarkEnd w:id="7"/>
      <w:r>
        <w:rPr>
          <w:rFonts w:ascii="Arial" w:hAnsi="Arial" w:cs="Arial"/>
          <w:color w:val="000000" w:themeColor="text1"/>
          <w:lang w:val="es-ES_tradnl"/>
        </w:rPr>
        <w:t>, v) “</w:t>
      </w:r>
      <w:r w:rsidRPr="007E25AB">
        <w:rPr>
          <w:rFonts w:ascii="Arial" w:hAnsi="Arial" w:cs="Arial"/>
          <w:color w:val="000000" w:themeColor="text1"/>
          <w:lang w:val="es-ES_tradnl"/>
        </w:rPr>
        <w:t>¿Se puede considerar que las garantías enunciadas en el Capítulo VII del documento base – pliego tipo son un mínimo? Lo anterior, ¿sin perjuicio de pólizas adicionales que las entidades consideren</w:t>
      </w:r>
      <w:r>
        <w:rPr>
          <w:rFonts w:ascii="Arial" w:hAnsi="Arial" w:cs="Arial"/>
          <w:color w:val="000000" w:themeColor="text1"/>
          <w:lang w:val="es-ES_tradnl"/>
        </w:rPr>
        <w:t xml:space="preserve"> </w:t>
      </w:r>
      <w:r w:rsidRPr="007E25AB">
        <w:rPr>
          <w:rFonts w:ascii="Arial" w:hAnsi="Arial" w:cs="Arial"/>
          <w:color w:val="000000" w:themeColor="text1"/>
          <w:lang w:val="es-ES_tradnl"/>
        </w:rPr>
        <w:t>incluir?</w:t>
      </w:r>
      <w:r>
        <w:rPr>
          <w:rFonts w:ascii="Arial" w:hAnsi="Arial" w:cs="Arial"/>
          <w:color w:val="000000" w:themeColor="text1"/>
          <w:lang w:val="es-ES_tradnl"/>
        </w:rPr>
        <w:t>”.</w:t>
      </w:r>
      <w:r w:rsidR="00E50B69">
        <w:rPr>
          <w:rFonts w:ascii="Arial" w:hAnsi="Arial" w:cs="Arial"/>
          <w:color w:val="000000" w:themeColor="text1"/>
          <w:lang w:val="es-ES_tradnl"/>
        </w:rPr>
        <w:t xml:space="preserve"> </w:t>
      </w:r>
      <w:r w:rsidR="00F84EE1">
        <w:rPr>
          <w:rFonts w:ascii="Arial" w:hAnsi="Arial" w:cs="Arial"/>
          <w:color w:val="000000" w:themeColor="text1"/>
          <w:lang w:val="es-ES_tradnl"/>
        </w:rPr>
        <w:t xml:space="preserve"> </w:t>
      </w:r>
    </w:p>
    <w:p w14:paraId="321CABF9" w14:textId="77777777" w:rsidR="00574A4F" w:rsidRDefault="00574A4F" w:rsidP="00574A4F">
      <w:pPr>
        <w:spacing w:after="0" w:line="276" w:lineRule="auto"/>
        <w:jc w:val="both"/>
        <w:rPr>
          <w:rFonts w:ascii="Arial" w:hAnsi="Arial" w:cs="Arial"/>
          <w:color w:val="000000" w:themeColor="text1"/>
          <w:lang w:val="es-ES_tradnl"/>
        </w:rPr>
      </w:pPr>
    </w:p>
    <w:bookmarkEnd w:id="5"/>
    <w:bookmarkEnd w:id="6"/>
    <w:p w14:paraId="10FE3D50" w14:textId="77777777" w:rsidR="00574A4F" w:rsidRPr="00262D58" w:rsidRDefault="00574A4F" w:rsidP="00574A4F">
      <w:pPr>
        <w:pStyle w:val="Prrafodelista"/>
        <w:numPr>
          <w:ilvl w:val="0"/>
          <w:numId w:val="6"/>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262D58">
        <w:rPr>
          <w:rFonts w:ascii="Arial" w:eastAsia="Calibri" w:hAnsi="Arial" w:cs="Arial"/>
          <w:b/>
          <w:color w:val="000000" w:themeColor="text1"/>
          <w:lang w:val="es-ES_tradnl"/>
        </w:rPr>
        <w:t>Consideraciones</w:t>
      </w:r>
    </w:p>
    <w:p w14:paraId="0482CEFA" w14:textId="77777777" w:rsidR="00574A4F" w:rsidRPr="00262D58" w:rsidRDefault="00574A4F" w:rsidP="00574A4F">
      <w:pPr>
        <w:spacing w:after="0" w:line="276" w:lineRule="auto"/>
        <w:jc w:val="both"/>
        <w:rPr>
          <w:rFonts w:ascii="Arial" w:eastAsia="Calibri" w:hAnsi="Arial" w:cs="Arial"/>
          <w:color w:val="000000" w:themeColor="text1"/>
          <w:lang w:val="es-ES"/>
        </w:rPr>
      </w:pPr>
    </w:p>
    <w:p w14:paraId="294B070B" w14:textId="77777777" w:rsidR="00574A4F" w:rsidRPr="00262D58" w:rsidRDefault="00574A4F" w:rsidP="00574A4F">
      <w:pPr>
        <w:spacing w:line="276" w:lineRule="auto"/>
        <w:jc w:val="both"/>
        <w:rPr>
          <w:rFonts w:ascii="Arial" w:hAnsi="Arial" w:cs="Arial"/>
          <w:color w:val="000000" w:themeColor="text1"/>
          <w:lang w:val="es-ES"/>
        </w:rPr>
      </w:pPr>
      <w:r w:rsidRPr="00262D58">
        <w:rPr>
          <w:rFonts w:ascii="Arial" w:hAnsi="Arial" w:cs="Arial"/>
        </w:rPr>
        <w:t>L</w:t>
      </w:r>
      <w:r w:rsidRPr="00262D58">
        <w:rPr>
          <w:rFonts w:ascii="Arial" w:eastAsia="Calibri" w:hAnsi="Arial" w:cs="Arial"/>
        </w:rPr>
        <w:t xml:space="preserve">a Subdirección resolverá la petición conforme a las normas generales en materia de contratación estatal. Con este objetivo se abordarán </w:t>
      </w:r>
      <w:r w:rsidRPr="00262D58">
        <w:rPr>
          <w:rFonts w:ascii="Arial" w:eastAsia="Calibri" w:hAnsi="Arial" w:cs="Arial"/>
          <w:lang w:val="es-ES"/>
        </w:rPr>
        <w:t>los siguientes temas:</w:t>
      </w:r>
      <w:r w:rsidRPr="00262D58">
        <w:rPr>
          <w:rFonts w:ascii="Arial" w:hAnsi="Arial" w:cs="Arial"/>
          <w:color w:val="000000" w:themeColor="text1"/>
          <w:lang w:val="es-ES"/>
        </w:rPr>
        <w:t xml:space="preserve"> </w:t>
      </w:r>
      <w:r w:rsidRPr="006D02FB">
        <w:rPr>
          <w:rFonts w:ascii="Arial" w:hAnsi="Arial" w:cs="Arial"/>
          <w:color w:val="000000" w:themeColor="text1"/>
          <w:lang w:val="es-ES_tradnl"/>
        </w:rPr>
        <w:t xml:space="preserve">i) </w:t>
      </w:r>
      <w:r>
        <w:rPr>
          <w:rFonts w:ascii="Arial" w:hAnsi="Arial" w:cs="Arial"/>
          <w:color w:val="000000" w:themeColor="text1"/>
          <w:lang w:val="es-ES_tradnl"/>
        </w:rPr>
        <w:t xml:space="preserve">fundamentos normativos de los documentos tipo, </w:t>
      </w:r>
      <w:proofErr w:type="spellStart"/>
      <w:r>
        <w:rPr>
          <w:rFonts w:ascii="Arial" w:hAnsi="Arial" w:cs="Arial"/>
          <w:color w:val="000000" w:themeColor="text1"/>
          <w:lang w:val="es-ES_tradnl"/>
        </w:rPr>
        <w:t>ii</w:t>
      </w:r>
      <w:proofErr w:type="spellEnd"/>
      <w:r>
        <w:rPr>
          <w:rFonts w:ascii="Arial" w:hAnsi="Arial" w:cs="Arial"/>
          <w:color w:val="000000" w:themeColor="text1"/>
          <w:lang w:val="es-ES_tradnl"/>
        </w:rPr>
        <w:t>) i</w:t>
      </w:r>
      <w:r w:rsidRPr="00E24837">
        <w:rPr>
          <w:rFonts w:ascii="Arial" w:hAnsi="Arial" w:cs="Arial"/>
          <w:color w:val="000000" w:themeColor="text1"/>
          <w:lang w:val="es-ES_tradnl"/>
        </w:rPr>
        <w:t>nalterabilidad de los documentos tipo y sus excepciones</w:t>
      </w:r>
      <w:r>
        <w:rPr>
          <w:rFonts w:ascii="Arial" w:hAnsi="Arial" w:cs="Arial"/>
          <w:color w:val="000000" w:themeColor="text1"/>
          <w:lang w:val="es-ES_tradnl"/>
        </w:rPr>
        <w:t xml:space="preserve"> y </w:t>
      </w:r>
      <w:proofErr w:type="spellStart"/>
      <w:r>
        <w:rPr>
          <w:rFonts w:ascii="Arial" w:hAnsi="Arial" w:cs="Arial"/>
          <w:color w:val="000000" w:themeColor="text1"/>
          <w:lang w:val="es-ES_tradnl"/>
        </w:rPr>
        <w:t>iii</w:t>
      </w:r>
      <w:proofErr w:type="spellEnd"/>
      <w:r>
        <w:rPr>
          <w:rFonts w:ascii="Arial" w:hAnsi="Arial" w:cs="Arial"/>
          <w:color w:val="000000" w:themeColor="text1"/>
          <w:lang w:val="es-ES_tradnl"/>
        </w:rPr>
        <w:t>) r</w:t>
      </w:r>
      <w:r w:rsidRPr="00E24837">
        <w:rPr>
          <w:rFonts w:ascii="Arial" w:hAnsi="Arial" w:cs="Arial"/>
          <w:color w:val="000000" w:themeColor="text1"/>
          <w:lang w:val="es-ES_tradnl"/>
        </w:rPr>
        <w:t>égimen de las garantías en la contratación estatal y en los documentos tipo</w:t>
      </w:r>
      <w:r>
        <w:rPr>
          <w:rFonts w:ascii="Arial" w:hAnsi="Arial" w:cs="Arial"/>
          <w:color w:val="000000" w:themeColor="text1"/>
          <w:lang w:val="es-ES_tradnl"/>
        </w:rPr>
        <w:t>.</w:t>
      </w:r>
    </w:p>
    <w:p w14:paraId="3E59E9A4" w14:textId="77777777" w:rsidR="00574A4F" w:rsidRPr="00262D58" w:rsidRDefault="00574A4F" w:rsidP="00574A4F">
      <w:pPr>
        <w:spacing w:before="120" w:after="0" w:line="276" w:lineRule="auto"/>
        <w:ind w:firstLine="709"/>
        <w:jc w:val="both"/>
        <w:rPr>
          <w:rFonts w:ascii="Arial" w:eastAsia="Calibri" w:hAnsi="Arial" w:cs="Arial"/>
          <w:color w:val="000000" w:themeColor="text1"/>
          <w:lang w:val="es-ES"/>
        </w:rPr>
      </w:pPr>
      <w:r w:rsidRPr="00744C1E">
        <w:rPr>
          <w:rFonts w:ascii="Arial" w:eastAsia="Calibri" w:hAnsi="Arial" w:cs="Arial"/>
          <w:color w:val="000000" w:themeColor="text1"/>
          <w:lang w:val="es-ES"/>
        </w:rPr>
        <w:t>La Agencia Nacional de Contratación Pública – Colombia Compra Eficiente se pronunció sobre los pliegos de condiciones tipo en la contratación estatal, y en particular sobre su inalterabilidad,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C-789 del 19 de enero de 2021 y C-031 del 1 de febrero de 2021. Además, expidió los conceptos C-124 del 25 de marzo de 2020, C-406 y C-477 del 13 de julio de 2020, C-612 del 2 de octubre de 2020, C-761 del 5 de enero de 2021, C- 297 del 17 de junio de 2021, C-339 del 14 de junio de 2021, C-367 del 26 de julio de 2021 y C-408 del 13 de agosto de 2021, C-739 del 2 de febrero de 2022, C-043 del 1 de marzo de 2022, C-165 del 6 de abril de 2022, C-629 del 26 de septiembre de 2022</w:t>
      </w:r>
      <w:r>
        <w:rPr>
          <w:rFonts w:ascii="Arial" w:eastAsia="Calibri" w:hAnsi="Arial" w:cs="Arial"/>
          <w:color w:val="000000" w:themeColor="text1"/>
          <w:lang w:val="es-ES"/>
        </w:rPr>
        <w:t xml:space="preserve"> y C-862 del 16 de diciembre de 2022</w:t>
      </w:r>
      <w:r w:rsidRPr="00262D58">
        <w:rPr>
          <w:rStyle w:val="Refdenotaalpie"/>
          <w:rFonts w:ascii="Arial" w:eastAsia="Calibri" w:hAnsi="Arial" w:cs="Arial"/>
        </w:rPr>
        <w:footnoteReference w:id="1"/>
      </w:r>
      <w:r w:rsidRPr="00262D58">
        <w:rPr>
          <w:rStyle w:val="normaltextrun"/>
          <w:rFonts w:ascii="Arial" w:hAnsi="Arial" w:cs="Arial"/>
          <w:color w:val="000000"/>
          <w:shd w:val="clear" w:color="auto" w:fill="FFFFFF"/>
        </w:rPr>
        <w:t xml:space="preserve">. </w:t>
      </w:r>
      <w:r w:rsidRPr="00262D58">
        <w:rPr>
          <w:rFonts w:ascii="Arial" w:eastAsia="Calibri" w:hAnsi="Arial" w:cs="Arial"/>
          <w:color w:val="000000" w:themeColor="text1"/>
          <w:lang w:val="es-ES_tradnl"/>
        </w:rPr>
        <w:t xml:space="preserve">La tesis propuesta en estos conceptos se reitera a continuación y se complementa en lo pertinente. </w:t>
      </w:r>
    </w:p>
    <w:p w14:paraId="1A651EB5" w14:textId="77777777" w:rsidR="00574A4F" w:rsidRPr="00262D58" w:rsidRDefault="00574A4F" w:rsidP="00574A4F">
      <w:pPr>
        <w:spacing w:after="0" w:line="276" w:lineRule="auto"/>
        <w:contextualSpacing/>
        <w:jc w:val="both"/>
        <w:rPr>
          <w:rFonts w:ascii="Arial" w:eastAsia="Times New Roman" w:hAnsi="Arial" w:cs="Arial"/>
          <w:b/>
          <w:szCs w:val="24"/>
          <w:lang w:eastAsia="es-ES_tradnl"/>
        </w:rPr>
      </w:pPr>
    </w:p>
    <w:p w14:paraId="3457CF56" w14:textId="77777777" w:rsidR="00574A4F" w:rsidRDefault="00574A4F" w:rsidP="00574A4F">
      <w:pPr>
        <w:spacing w:after="0" w:line="276" w:lineRule="auto"/>
        <w:jc w:val="both"/>
        <w:rPr>
          <w:rFonts w:ascii="Arial" w:eastAsia="Calibri" w:hAnsi="Arial" w:cs="Arial"/>
          <w:b/>
          <w:bCs/>
          <w:lang w:val="es-ES_tradnl"/>
        </w:rPr>
      </w:pPr>
      <w:bookmarkStart w:id="8" w:name="_Hlk75784645"/>
      <w:r w:rsidRPr="00B9642A">
        <w:rPr>
          <w:rFonts w:ascii="Arial" w:eastAsia="Calibri" w:hAnsi="Arial" w:cs="Arial"/>
          <w:b/>
          <w:bCs/>
          <w:lang w:val="es-ES_tradnl"/>
        </w:rPr>
        <w:t xml:space="preserve">2.1. </w:t>
      </w:r>
      <w:r>
        <w:rPr>
          <w:rFonts w:ascii="Arial" w:eastAsia="Calibri" w:hAnsi="Arial" w:cs="Arial"/>
          <w:b/>
          <w:bCs/>
          <w:lang w:val="es-ES_tradnl"/>
        </w:rPr>
        <w:t xml:space="preserve">Fundamentos normativos de los documentos tipo </w:t>
      </w:r>
    </w:p>
    <w:p w14:paraId="27B9D7F5" w14:textId="77777777" w:rsidR="00574A4F" w:rsidRDefault="00574A4F" w:rsidP="00574A4F">
      <w:pPr>
        <w:spacing w:after="0" w:line="276" w:lineRule="auto"/>
        <w:jc w:val="both"/>
        <w:rPr>
          <w:rFonts w:ascii="Arial" w:eastAsia="Calibri" w:hAnsi="Arial" w:cs="Arial"/>
          <w:b/>
          <w:bCs/>
          <w:lang w:val="es-ES_tradnl"/>
        </w:rPr>
      </w:pPr>
    </w:p>
    <w:p w14:paraId="1F9E90F2" w14:textId="77777777" w:rsidR="00574A4F" w:rsidRDefault="00574A4F" w:rsidP="00574A4F">
      <w:pPr>
        <w:spacing w:after="120" w:line="276" w:lineRule="auto"/>
        <w:jc w:val="both"/>
        <w:rPr>
          <w:rFonts w:ascii="Arial" w:eastAsia="Calibri" w:hAnsi="Arial" w:cs="Arial"/>
          <w:color w:val="000000"/>
          <w:szCs w:val="24"/>
          <w:lang w:val="es-ES" w:eastAsia="es-ES_tradnl"/>
        </w:rPr>
      </w:pPr>
      <w:r>
        <w:rPr>
          <w:rFonts w:ascii="Arial" w:eastAsia="Calibri" w:hAnsi="Arial" w:cs="Arial"/>
          <w:color w:val="000000"/>
          <w:szCs w:val="24"/>
          <w:lang w:val="es-ES" w:eastAsia="es-ES_tradnl"/>
        </w:rPr>
        <w:t>L</w:t>
      </w:r>
      <w:r w:rsidRPr="00407259">
        <w:rPr>
          <w:rFonts w:ascii="Arial" w:eastAsia="Calibri" w:hAnsi="Arial" w:cs="Arial"/>
          <w:color w:val="000000"/>
          <w:szCs w:val="24"/>
          <w:lang w:val="es-ES" w:eastAsia="es-ES_tradnl"/>
        </w:rPr>
        <w:t>a adopción de los documentos tipo obligatorios en el ordenamiento jurídico colombiano se incluyó por primera vez en el parágrafo 3 del artículo 2 de la Ley 1150 de 2007</w:t>
      </w:r>
      <w:r w:rsidRPr="00407259">
        <w:rPr>
          <w:rFonts w:ascii="Arial" w:eastAsia="Calibri" w:hAnsi="Arial" w:cs="Arial"/>
          <w:color w:val="000000"/>
          <w:szCs w:val="24"/>
          <w:vertAlign w:val="superscript"/>
          <w:lang w:val="es-ES" w:eastAsia="es-ES_tradnl"/>
        </w:rPr>
        <w:footnoteReference w:id="2"/>
      </w:r>
      <w:r w:rsidRPr="00407259">
        <w:rPr>
          <w:rFonts w:ascii="Arial" w:eastAsia="Calibri" w:hAnsi="Arial" w:cs="Arial"/>
          <w:color w:val="000000"/>
          <w:szCs w:val="24"/>
          <w:lang w:val="es-ES" w:eastAsia="es-ES_tradnl"/>
        </w:rPr>
        <w:t xml:space="preserve">, que facultó al gobierno nacional para expedirlos, pero solo cuando se tratara de la adquisición o </w:t>
      </w:r>
      <w:r w:rsidRPr="00407259">
        <w:rPr>
          <w:rFonts w:ascii="Arial" w:eastAsia="Calibri" w:hAnsi="Arial" w:cs="Arial"/>
          <w:color w:val="000000"/>
          <w:szCs w:val="24"/>
          <w:lang w:val="es-ES" w:eastAsia="es-ES_tradnl"/>
        </w:rPr>
        <w:lastRenderedPageBreak/>
        <w:t>suministro de bienes y servicios de características técnicas uniformes y de común utilización</w:t>
      </w:r>
      <w:r>
        <w:rPr>
          <w:rFonts w:ascii="Arial" w:eastAsia="Calibri" w:hAnsi="Arial" w:cs="Arial"/>
          <w:color w:val="000000"/>
          <w:szCs w:val="24"/>
          <w:lang w:val="es-ES" w:eastAsia="es-ES_tradnl"/>
        </w:rPr>
        <w:t>. Como esta</w:t>
      </w:r>
      <w:r w:rsidRPr="00407259">
        <w:rPr>
          <w:rFonts w:ascii="Arial" w:eastAsia="Calibri" w:hAnsi="Arial" w:cs="Arial"/>
          <w:color w:val="000000"/>
          <w:szCs w:val="24"/>
          <w:lang w:val="es-ES" w:eastAsia="es-ES_tradnl"/>
        </w:rPr>
        <w:t xml:space="preserve"> </w:t>
      </w:r>
      <w:r>
        <w:rPr>
          <w:rFonts w:ascii="Arial" w:eastAsia="Calibri" w:hAnsi="Arial" w:cs="Arial"/>
          <w:color w:val="000000"/>
          <w:szCs w:val="24"/>
          <w:lang w:val="es-ES" w:eastAsia="es-ES_tradnl"/>
        </w:rPr>
        <w:t>atribución</w:t>
      </w:r>
      <w:r w:rsidRPr="00407259">
        <w:rPr>
          <w:rFonts w:ascii="Arial" w:eastAsia="Calibri" w:hAnsi="Arial" w:cs="Arial"/>
          <w:color w:val="000000"/>
          <w:szCs w:val="24"/>
          <w:lang w:val="es-ES" w:eastAsia="es-ES_tradnl"/>
        </w:rPr>
        <w:t xml:space="preserve"> no ha sido ejercida hasta la actualidad, el artículo 4 de la Ley 1882 de 2018 es el antecedente más relevante de la expedición de documentos tipo con alcance obligatorio. </w:t>
      </w:r>
    </w:p>
    <w:p w14:paraId="212B5D92" w14:textId="77777777" w:rsidR="00574A4F" w:rsidRPr="00407259" w:rsidRDefault="00574A4F" w:rsidP="00574A4F">
      <w:pPr>
        <w:spacing w:after="120" w:line="276" w:lineRule="auto"/>
        <w:ind w:firstLine="708"/>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w:t>
      </w:r>
      <w:r>
        <w:rPr>
          <w:rFonts w:ascii="Arial" w:eastAsia="Calibri" w:hAnsi="Arial" w:cs="Arial"/>
          <w:color w:val="000000"/>
          <w:szCs w:val="24"/>
          <w:lang w:val="es-ES" w:eastAsia="es-ES_tradnl"/>
        </w:rPr>
        <w:t xml:space="preserve"> Esta </w:t>
      </w:r>
      <w:r w:rsidRPr="00407259">
        <w:rPr>
          <w:rFonts w:ascii="Arial" w:eastAsia="Calibri" w:hAnsi="Arial" w:cs="Arial"/>
          <w:color w:val="000000"/>
          <w:szCs w:val="24"/>
          <w:lang w:val="es-ES" w:eastAsia="es-ES_tradnl"/>
        </w:rPr>
        <w:t>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407259">
        <w:rPr>
          <w:rFonts w:ascii="Arial" w:eastAsia="Calibri" w:hAnsi="Arial" w:cs="Arial"/>
          <w:color w:val="000000"/>
          <w:szCs w:val="24"/>
          <w:vertAlign w:val="superscript"/>
          <w:lang w:val="es-ES" w:eastAsia="es-ES_tradnl"/>
        </w:rPr>
        <w:footnoteReference w:id="3"/>
      </w:r>
      <w:r w:rsidRPr="00407259">
        <w:rPr>
          <w:rFonts w:ascii="Arial" w:eastAsia="Calibri" w:hAnsi="Arial" w:cs="Arial"/>
          <w:color w:val="000000"/>
          <w:szCs w:val="24"/>
          <w:lang w:val="es-ES" w:eastAsia="es-ES_tradnl"/>
        </w:rPr>
        <w:t>.</w:t>
      </w:r>
    </w:p>
    <w:p w14:paraId="17B172B9" w14:textId="77777777" w:rsidR="00574A4F" w:rsidRPr="00407259" w:rsidRDefault="00574A4F" w:rsidP="00574A4F">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0D8ADE07" w14:textId="77777777" w:rsidR="00574A4F" w:rsidRPr="00407259" w:rsidRDefault="00574A4F" w:rsidP="00574A4F">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w:t>
      </w:r>
      <w:proofErr w:type="spellStart"/>
      <w:r w:rsidRPr="00407259">
        <w:rPr>
          <w:rFonts w:ascii="Arial" w:eastAsia="Calibri" w:hAnsi="Arial" w:cs="Arial"/>
          <w:color w:val="000000"/>
          <w:szCs w:val="24"/>
          <w:lang w:val="es-ES" w:eastAsia="es-ES_tradnl"/>
        </w:rPr>
        <w:t>ii</w:t>
      </w:r>
      <w:proofErr w:type="spellEnd"/>
      <w:r w:rsidRPr="00407259">
        <w:rPr>
          <w:rFonts w:ascii="Arial" w:eastAsia="Calibri" w:hAnsi="Arial" w:cs="Arial"/>
          <w:color w:val="000000"/>
          <w:szCs w:val="24"/>
          <w:lang w:val="es-ES" w:eastAsia="es-ES_tradnl"/>
        </w:rPr>
        <w:t xml:space="preserve">) estos debían relacionarse con procesos de obra públicas, interventoría para las obras públicas, interventoría para consultoría de estudios y </w:t>
      </w:r>
      <w:r w:rsidRPr="00407259">
        <w:rPr>
          <w:rFonts w:ascii="Arial" w:eastAsia="Calibri" w:hAnsi="Arial" w:cs="Arial"/>
          <w:color w:val="000000"/>
          <w:szCs w:val="24"/>
          <w:lang w:val="es-ES" w:eastAsia="es-ES_tradnl"/>
        </w:rPr>
        <w:lastRenderedPageBreak/>
        <w:t xml:space="preserve">diseños y, finalmente, consultoría en ingeniería para obras; </w:t>
      </w:r>
      <w:proofErr w:type="spellStart"/>
      <w:r w:rsidRPr="00407259">
        <w:rPr>
          <w:rFonts w:ascii="Arial" w:eastAsia="Calibri" w:hAnsi="Arial" w:cs="Arial"/>
          <w:color w:val="000000"/>
          <w:szCs w:val="24"/>
          <w:lang w:val="es-ES" w:eastAsia="es-ES_tradnl"/>
        </w:rPr>
        <w:t>iii</w:t>
      </w:r>
      <w:proofErr w:type="spellEnd"/>
      <w:r w:rsidRPr="00407259">
        <w:rPr>
          <w:rFonts w:ascii="Arial" w:eastAsia="Calibri" w:hAnsi="Arial"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407259">
        <w:rPr>
          <w:rFonts w:ascii="Arial" w:eastAsia="Calibri" w:hAnsi="Arial" w:cs="Arial"/>
          <w:color w:val="000000"/>
          <w:szCs w:val="24"/>
          <w:lang w:val="es-ES" w:eastAsia="es-ES_tradnl"/>
        </w:rPr>
        <w:t>iv</w:t>
      </w:r>
      <w:proofErr w:type="spellEnd"/>
      <w:r w:rsidRPr="00407259">
        <w:rPr>
          <w:rFonts w:ascii="Arial" w:eastAsia="Calibri" w:hAnsi="Arial"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23747C93" w14:textId="77777777" w:rsidR="00574A4F" w:rsidRPr="00407259" w:rsidRDefault="00574A4F" w:rsidP="00574A4F">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407259">
        <w:rPr>
          <w:rFonts w:ascii="Arial" w:eastAsia="Calibri" w:hAnsi="Arial" w:cs="Arial"/>
          <w:color w:val="000000"/>
          <w:szCs w:val="24"/>
          <w:vertAlign w:val="superscript"/>
          <w:lang w:val="es-ES" w:eastAsia="es-ES_tradnl"/>
        </w:rPr>
        <w:footnoteReference w:id="4"/>
      </w:r>
      <w:r w:rsidRPr="00407259">
        <w:rPr>
          <w:rFonts w:ascii="Arial" w:eastAsia="Calibri" w:hAnsi="Arial" w:cs="Arial"/>
          <w:color w:val="000000"/>
          <w:szCs w:val="24"/>
          <w:lang w:val="es-ES" w:eastAsia="es-ES_tradnl"/>
        </w:rPr>
        <w:t>.</w:t>
      </w:r>
    </w:p>
    <w:p w14:paraId="46DBD890" w14:textId="77777777" w:rsidR="00574A4F" w:rsidRPr="00407259" w:rsidRDefault="00574A4F" w:rsidP="00574A4F">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7B0FD8E3" w14:textId="77777777" w:rsidR="00574A4F" w:rsidRPr="00407259" w:rsidRDefault="00574A4F" w:rsidP="00574A4F">
      <w:pPr>
        <w:spacing w:before="120" w:after="120" w:line="276" w:lineRule="auto"/>
        <w:jc w:val="both"/>
        <w:rPr>
          <w:rFonts w:ascii="Arial" w:eastAsia="Calibri" w:hAnsi="Arial" w:cs="Arial"/>
          <w:lang w:val="es-ES"/>
        </w:rPr>
      </w:pPr>
      <w:r w:rsidRPr="00407259">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407259">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w:t>
      </w:r>
      <w:r w:rsidRPr="00407259">
        <w:rPr>
          <w:rFonts w:ascii="Arial" w:eastAsia="Calibri" w:hAnsi="Arial" w:cs="Arial"/>
          <w:lang w:val="es-ES"/>
        </w:rPr>
        <w:lastRenderedPageBreak/>
        <w:t xml:space="preserve">el Decreto 342 del 5 de marzo de 2019, relacionado con los documentos tipo para los procesos de selección de licitación de obra pública de infraestructura de transporte. </w:t>
      </w:r>
    </w:p>
    <w:p w14:paraId="2A006EBB" w14:textId="77777777" w:rsidR="00574A4F" w:rsidRPr="00407259" w:rsidRDefault="00574A4F" w:rsidP="00574A4F">
      <w:pPr>
        <w:spacing w:before="120" w:after="120" w:line="276" w:lineRule="auto"/>
        <w:jc w:val="both"/>
        <w:rPr>
          <w:rFonts w:ascii="Arial" w:eastAsia="Calibri" w:hAnsi="Arial" w:cs="Arial"/>
          <w:color w:val="000000"/>
          <w:lang w:val="es-ES" w:eastAsia="es-ES_tradnl"/>
        </w:rPr>
      </w:pPr>
      <w:r w:rsidRPr="00407259">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407259" w:rsidDel="00A434AB">
        <w:rPr>
          <w:rFonts w:ascii="Arial" w:eastAsia="Calibri" w:hAnsi="Arial" w:cs="Arial"/>
          <w:lang w:val="es-ES"/>
        </w:rPr>
        <w:t xml:space="preserve"> </w:t>
      </w:r>
      <w:r w:rsidRPr="00407259">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6DA4D5EC" w14:textId="77777777" w:rsidR="00574A4F" w:rsidRPr="00407259" w:rsidRDefault="00574A4F" w:rsidP="00574A4F">
      <w:pPr>
        <w:spacing w:before="120" w:after="120" w:line="276" w:lineRule="auto"/>
        <w:ind w:firstLine="709"/>
        <w:jc w:val="both"/>
        <w:rPr>
          <w:rFonts w:ascii="Arial" w:eastAsia="Calibri" w:hAnsi="Arial" w:cs="Arial"/>
          <w:bdr w:val="none" w:sz="0" w:space="0" w:color="auto" w:frame="1"/>
        </w:rPr>
      </w:pPr>
      <w:bookmarkStart w:id="9" w:name="_Hlk143271549"/>
      <w:r w:rsidRPr="00407259">
        <w:rPr>
          <w:rFonts w:ascii="Arial" w:eastAsia="Calibri" w:hAnsi="Arial" w:cs="Arial"/>
          <w:color w:val="000000"/>
          <w:lang w:val="es-ES" w:eastAsia="es-ES"/>
        </w:rPr>
        <w:t>Por otra parte</w:t>
      </w:r>
      <w:r w:rsidRPr="00407259">
        <w:rPr>
          <w:rFonts w:ascii="Arial" w:eastAsia="Calibri" w:hAnsi="Arial" w:cs="Arial"/>
          <w:i/>
          <w:iCs/>
          <w:color w:val="000000"/>
          <w:lang w:val="es-ES" w:eastAsia="es-ES"/>
        </w:rPr>
        <w:t>,</w:t>
      </w:r>
      <w:r w:rsidRPr="00407259">
        <w:rPr>
          <w:rFonts w:ascii="Arial" w:eastAsia="Calibri" w:hAnsi="Arial" w:cs="Arial"/>
          <w:color w:val="000000"/>
          <w:lang w:val="es-ES" w:eastAsia="es-ES"/>
        </w:rPr>
        <w:t xml:space="preserve"> debe tenerse en cuenta que la Ley 2022 de 2020 fue sancionada por el </w:t>
      </w:r>
      <w:proofErr w:type="gramStart"/>
      <w:r w:rsidRPr="00407259">
        <w:rPr>
          <w:rFonts w:ascii="Arial" w:eastAsia="Calibri" w:hAnsi="Arial" w:cs="Arial"/>
          <w:color w:val="000000"/>
          <w:lang w:val="es-ES" w:eastAsia="es-ES"/>
        </w:rPr>
        <w:t>Presidente</w:t>
      </w:r>
      <w:proofErr w:type="gramEnd"/>
      <w:r w:rsidRPr="00407259">
        <w:rPr>
          <w:rFonts w:ascii="Arial" w:eastAsia="Calibri" w:hAnsi="Arial" w:cs="Arial"/>
          <w:color w:val="000000"/>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407259">
        <w:rPr>
          <w:rFonts w:ascii="Arial" w:eastAsia="Calibri" w:hAnsi="Arial" w:cs="Arial"/>
          <w:color w:val="000000"/>
          <w:vertAlign w:val="superscript"/>
          <w:lang w:val="es-ES" w:eastAsia="es-ES"/>
        </w:rPr>
        <w:footnoteReference w:id="5"/>
      </w:r>
      <w:r w:rsidRPr="00407259">
        <w:rPr>
          <w:rFonts w:ascii="Arial" w:eastAsia="Calibri" w:hAnsi="Arial" w:cs="Arial"/>
          <w:color w:val="000000"/>
          <w:lang w:val="es-ES" w:eastAsia="es-ES"/>
        </w:rPr>
        <w:t xml:space="preserve">. En este sentido, con la finalidad de realizar un desarrollo armónico y ajustado a la ley que otorga esta competencia, la Agencia Nacional de Contratación Pública expidió la Resolución 160 del 15 </w:t>
      </w:r>
      <w:r w:rsidRPr="00407259">
        <w:rPr>
          <w:rFonts w:ascii="Arial" w:eastAsia="Calibri" w:hAnsi="Arial" w:cs="Arial"/>
          <w:color w:val="000000"/>
          <w:lang w:val="es-ES" w:eastAsia="es-ES"/>
        </w:rPr>
        <w:lastRenderedPageBreak/>
        <w:t>de septiembre de 2020</w:t>
      </w:r>
      <w:r>
        <w:rPr>
          <w:rFonts w:ascii="Arial" w:eastAsia="Calibri" w:hAnsi="Arial" w:cs="Arial"/>
          <w:color w:val="000000"/>
          <w:lang w:val="es-ES" w:eastAsia="es-ES"/>
        </w:rPr>
        <w:t>,</w:t>
      </w:r>
      <w:r w:rsidRPr="00407259">
        <w:rPr>
          <w:rFonts w:ascii="Arial" w:eastAsia="Calibri" w:hAnsi="Arial" w:cs="Arial"/>
          <w:color w:val="000000"/>
          <w:lang w:val="es-ES" w:eastAsia="es-ES"/>
        </w:rPr>
        <w:t xml:space="preserve"> “Por la cual se adopta el procedimiento para implementar los documentos tipo y se define el sistema para su revisión”. </w:t>
      </w:r>
    </w:p>
    <w:bookmarkEnd w:id="9"/>
    <w:p w14:paraId="67AF9E57" w14:textId="77777777" w:rsidR="00574A4F" w:rsidRPr="00407259" w:rsidRDefault="00574A4F" w:rsidP="00574A4F">
      <w:pPr>
        <w:spacing w:before="120" w:after="120" w:line="276" w:lineRule="auto"/>
        <w:ind w:firstLine="709"/>
        <w:jc w:val="both"/>
        <w:rPr>
          <w:rFonts w:ascii="Arial" w:eastAsia="Calibri" w:hAnsi="Arial" w:cs="Arial"/>
          <w:lang w:val="es-ES" w:eastAsia="es-ES"/>
        </w:rPr>
      </w:pPr>
      <w:r w:rsidRPr="00407259">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575A671D" w14:textId="77777777" w:rsidR="00574A4F" w:rsidRPr="00407259" w:rsidRDefault="00574A4F" w:rsidP="00574A4F">
      <w:pPr>
        <w:spacing w:before="120" w:after="120" w:line="276" w:lineRule="auto"/>
        <w:ind w:firstLine="709"/>
        <w:jc w:val="both"/>
        <w:rPr>
          <w:rFonts w:ascii="Arial" w:eastAsia="Calibri" w:hAnsi="Arial" w:cs="Arial"/>
          <w:lang w:val="es-ES" w:eastAsia="es-ES"/>
        </w:rPr>
      </w:pPr>
      <w:r w:rsidRPr="00407259">
        <w:rPr>
          <w:rFonts w:ascii="Arial" w:eastAsia="Calibri" w:hAnsi="Arial"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4232B8E0" w14:textId="77777777" w:rsidR="00574A4F" w:rsidRPr="00407259" w:rsidRDefault="00574A4F" w:rsidP="00574A4F">
      <w:pPr>
        <w:spacing w:before="120" w:after="120" w:line="276" w:lineRule="auto"/>
        <w:ind w:firstLine="709"/>
        <w:jc w:val="both"/>
        <w:rPr>
          <w:rFonts w:ascii="Arial" w:hAnsi="Arial" w:cs="Arial"/>
        </w:rPr>
      </w:pPr>
      <w:r w:rsidRPr="00407259">
        <w:rPr>
          <w:rFonts w:ascii="Arial" w:eastAsia="Calibri" w:hAnsi="Arial" w:cs="Arial"/>
          <w:color w:val="000000"/>
          <w:lang w:val="es-ES" w:eastAsia="es-ES"/>
        </w:rPr>
        <w:t>Asimismo, en el transcurso del año 2021, esta Agencia expidió la Resolución 193 del 14 de julio de 2021</w:t>
      </w:r>
      <w:r>
        <w:rPr>
          <w:rFonts w:ascii="Arial" w:eastAsia="Calibri" w:hAnsi="Arial" w:cs="Arial"/>
          <w:color w:val="000000"/>
          <w:lang w:val="es-ES" w:eastAsia="es-ES"/>
        </w:rPr>
        <w:t>,</w:t>
      </w:r>
      <w:r w:rsidRPr="00407259">
        <w:rPr>
          <w:rFonts w:ascii="Arial" w:eastAsia="Calibri" w:hAnsi="Arial" w:cs="Arial"/>
          <w:color w:val="000000"/>
          <w:lang w:val="es-ES" w:eastAsia="es-ES"/>
        </w:rPr>
        <w:t xml:space="preserve"> “Por la cual se adoptan los documentos tipo para los procesos de </w:t>
      </w:r>
      <w:r w:rsidRPr="00407259">
        <w:rPr>
          <w:rFonts w:ascii="Arial" w:eastAsia="Calibri" w:hAnsi="Arial" w:cs="Arial"/>
          <w:lang w:val="es-ES" w:eastAsia="es-ES"/>
        </w:rPr>
        <w:t>selección de concurso de méritos, para contratar la consultoría de estudios de ingeniería de infraestructura de transporte”. De igual forma, el 6 de agosto de 2021, se adoptaron las Resoluciones 219 de 2021</w:t>
      </w:r>
      <w:r>
        <w:rPr>
          <w:rFonts w:ascii="Arial" w:eastAsia="Calibri" w:hAnsi="Arial" w:cs="Arial"/>
          <w:lang w:val="es-ES" w:eastAsia="es-ES"/>
        </w:rPr>
        <w:t>,</w:t>
      </w:r>
      <w:r w:rsidRPr="00407259">
        <w:rPr>
          <w:rFonts w:ascii="Arial" w:eastAsia="Calibri" w:hAnsi="Arial" w:cs="Arial"/>
          <w:lang w:val="es-ES" w:eastAsia="es-ES"/>
        </w:rPr>
        <w:t xml:space="preserve"> “Por la cual se adoptan los documentos tipo para los procesos de licitación de obra pública de infraestructura social”</w:t>
      </w:r>
      <w:r>
        <w:rPr>
          <w:rFonts w:ascii="Arial" w:eastAsia="Calibri" w:hAnsi="Arial" w:cs="Arial"/>
          <w:lang w:val="es-ES" w:eastAsia="es-ES"/>
        </w:rPr>
        <w:t>,</w:t>
      </w:r>
      <w:r w:rsidRPr="00407259">
        <w:rPr>
          <w:rFonts w:ascii="Arial" w:eastAsia="Calibri" w:hAnsi="Arial" w:cs="Arial"/>
          <w:lang w:val="es-ES" w:eastAsia="es-ES"/>
        </w:rPr>
        <w:t xml:space="preserve"> y 220 de 2021</w:t>
      </w:r>
      <w:r>
        <w:rPr>
          <w:rFonts w:ascii="Arial" w:eastAsia="Calibri" w:hAnsi="Arial" w:cs="Arial"/>
          <w:lang w:val="es-ES" w:eastAsia="es-ES"/>
        </w:rPr>
        <w:t>,</w:t>
      </w:r>
      <w:r w:rsidRPr="00407259">
        <w:rPr>
          <w:rFonts w:ascii="Arial" w:eastAsia="Calibri" w:hAnsi="Arial" w:cs="Arial"/>
          <w:lang w:val="es-ES" w:eastAsia="es-ES"/>
        </w:rPr>
        <w:t xml:space="preserve">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w:t>
      </w:r>
      <w:r>
        <w:rPr>
          <w:rFonts w:ascii="Arial" w:eastAsia="Calibri" w:hAnsi="Arial" w:cs="Arial"/>
          <w:lang w:val="es-ES" w:eastAsia="es-ES"/>
        </w:rPr>
        <w:t>,</w:t>
      </w:r>
      <w:r w:rsidRPr="00407259">
        <w:rPr>
          <w:rFonts w:ascii="Arial" w:eastAsia="Calibri" w:hAnsi="Arial" w:cs="Arial"/>
          <w:lang w:val="es-ES" w:eastAsia="es-ES"/>
        </w:rPr>
        <w:t xml:space="preserve"> “</w:t>
      </w:r>
      <w:r w:rsidRPr="00407259">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Pr="00407259">
        <w:rPr>
          <w:rFonts w:ascii="Arial" w:eastAsia="Calibri" w:hAnsi="Arial" w:cs="Arial"/>
          <w:lang w:val="es-ES" w:eastAsia="es-ES"/>
        </w:rPr>
        <w:t>”. Luego, se expidió la Resolución 454 del 16 de diciembre de 2021</w:t>
      </w:r>
      <w:r>
        <w:rPr>
          <w:rFonts w:ascii="Arial" w:eastAsia="Calibri" w:hAnsi="Arial" w:cs="Arial"/>
          <w:lang w:val="es-ES" w:eastAsia="es-ES"/>
        </w:rPr>
        <w:t>,</w:t>
      </w:r>
      <w:r w:rsidRPr="00407259">
        <w:rPr>
          <w:rFonts w:ascii="Arial" w:eastAsia="Calibri" w:hAnsi="Arial" w:cs="Arial"/>
          <w:lang w:val="es-ES" w:eastAsia="es-ES"/>
        </w:rPr>
        <w:t xml:space="preserve"> “</w:t>
      </w:r>
      <w:r w:rsidRPr="00407259">
        <w:rPr>
          <w:rFonts w:ascii="Arial" w:hAnsi="Arial" w:cs="Arial"/>
        </w:rPr>
        <w:t>Por la cual se adoptan los documentos tipo complementarios para los procesos de licitación de obra pública de infraestructura social relacionados con el sector cultura, recreación y deporte</w:t>
      </w:r>
      <w:r w:rsidRPr="00407259">
        <w:rPr>
          <w:rFonts w:ascii="Arial" w:eastAsia="Calibri" w:hAnsi="Arial" w:cs="Arial"/>
          <w:lang w:val="es-ES" w:eastAsia="es-ES"/>
        </w:rPr>
        <w:t>”</w:t>
      </w:r>
      <w:r w:rsidRPr="00407259">
        <w:rPr>
          <w:rFonts w:ascii="Arial" w:hAnsi="Arial" w:cs="Arial"/>
        </w:rPr>
        <w:t>.</w:t>
      </w:r>
    </w:p>
    <w:p w14:paraId="2EEB2E16" w14:textId="77777777" w:rsidR="00574A4F" w:rsidRPr="00407259" w:rsidRDefault="00574A4F" w:rsidP="00574A4F">
      <w:pPr>
        <w:spacing w:before="120" w:after="120" w:line="276" w:lineRule="auto"/>
        <w:ind w:firstLine="709"/>
        <w:jc w:val="both"/>
        <w:rPr>
          <w:rFonts w:ascii="Arial" w:eastAsia="Times New Roman" w:hAnsi="Arial" w:cs="Arial"/>
          <w:bdr w:val="none" w:sz="0" w:space="0" w:color="auto" w:frame="1"/>
          <w:lang w:val="es-ES_tradnl" w:eastAsia="es-CO"/>
        </w:rPr>
      </w:pPr>
      <w:r w:rsidRPr="00407259">
        <w:rPr>
          <w:rFonts w:ascii="Arial" w:eastAsia="Times New Roman" w:hAnsi="Arial" w:cs="Arial"/>
          <w:bdr w:val="none" w:sz="0" w:space="0" w:color="auto" w:frame="1"/>
          <w:lang w:val="es-ES_tradnl" w:eastAsia="es-CO"/>
        </w:rPr>
        <w:t>No obstante, con la expedición de la Ley de Emprendimiento, se modificaron varios documentos tipo mediante la Resolución No. 161 del 17 de junio de 2021</w:t>
      </w:r>
      <w:r>
        <w:rPr>
          <w:rFonts w:ascii="Arial" w:eastAsia="Times New Roman" w:hAnsi="Arial" w:cs="Arial"/>
          <w:bdr w:val="none" w:sz="0" w:space="0" w:color="auto" w:frame="1"/>
          <w:lang w:val="es-ES_tradnl" w:eastAsia="es-CO"/>
        </w:rPr>
        <w:t>,</w:t>
      </w:r>
      <w:r w:rsidRPr="00407259">
        <w:rPr>
          <w:rFonts w:ascii="Arial" w:eastAsia="Times New Roman" w:hAnsi="Arial" w:cs="Arial"/>
          <w:bdr w:val="none" w:sz="0" w:space="0" w:color="auto" w:frame="1"/>
          <w:lang w:val="es-ES_tradnl" w:eastAsia="es-CO"/>
        </w:rPr>
        <w:t xml:space="preserve"> “Por la cual se modifican los documentos tipo adoptados por la Agencia Nacional de Contratación Pública </w:t>
      </w:r>
      <w:r w:rsidRPr="00407259">
        <w:rPr>
          <w:rFonts w:ascii="Arial" w:eastAsia="Times New Roman" w:hAnsi="Arial" w:cs="Arial"/>
          <w:bdr w:val="none" w:sz="0" w:space="0" w:color="auto" w:frame="1"/>
          <w:lang w:val="es-ES_tradnl" w:eastAsia="es-CO"/>
        </w:rPr>
        <w:lastRenderedPageBreak/>
        <w:t xml:space="preserve">– Colombia Compra Eficiente”, la cual rige para los procedimientos de selección cuya invitación o aviso de convocatoria se publique a partir del 28 de junio de 2021. </w:t>
      </w:r>
    </w:p>
    <w:p w14:paraId="0F53CB20" w14:textId="77777777" w:rsidR="00574A4F" w:rsidRPr="00407259" w:rsidRDefault="00574A4F" w:rsidP="00574A4F">
      <w:pPr>
        <w:spacing w:before="120" w:after="120" w:line="276" w:lineRule="auto"/>
        <w:ind w:firstLine="709"/>
        <w:jc w:val="both"/>
        <w:rPr>
          <w:rFonts w:ascii="Arial" w:eastAsia="Calibri" w:hAnsi="Arial" w:cs="Arial"/>
          <w:lang w:val="es-ES_tradnl" w:eastAsia="es-ES"/>
        </w:rPr>
      </w:pPr>
      <w:r w:rsidRPr="00407259">
        <w:rPr>
          <w:rFonts w:ascii="Arial" w:eastAsia="Calibri" w:hAnsi="Arial"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1CA448E5" w14:textId="77777777" w:rsidR="00574A4F" w:rsidRPr="00407259" w:rsidRDefault="00574A4F" w:rsidP="00574A4F">
      <w:pPr>
        <w:spacing w:after="0" w:line="276" w:lineRule="auto"/>
        <w:ind w:firstLine="709"/>
        <w:jc w:val="both"/>
        <w:rPr>
          <w:rFonts w:ascii="Arial" w:hAnsi="Arial" w:cs="Arial"/>
          <w:spacing w:val="2"/>
          <w:lang w:eastAsia="es-CO"/>
        </w:rPr>
      </w:pPr>
      <w:r w:rsidRPr="00407259">
        <w:rPr>
          <w:rFonts w:ascii="Arial" w:hAnsi="Arial" w:cs="Arial"/>
          <w:spacing w:val="2"/>
          <w:lang w:eastAsia="es-CO"/>
        </w:rPr>
        <w:t xml:space="preserve">Con posterioridad, el Decreto 1860 de 2021 modificó </w:t>
      </w:r>
      <w:r w:rsidRPr="00407259">
        <w:rPr>
          <w:rFonts w:ascii="Arial" w:eastAsia="Arial" w:hAnsi="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407259">
        <w:rPr>
          <w:rFonts w:ascii="Arial" w:eastAsia="Times New Roman" w:hAnsi="Arial" w:cs="Arial"/>
          <w:szCs w:val="24"/>
          <w:lang w:eastAsia="es-MX"/>
        </w:rPr>
        <w:t>además de incluir algunas disposiciones adicionales para la reglamentación efectiva de la citada Ley.</w:t>
      </w:r>
      <w:r w:rsidRPr="00407259">
        <w:rPr>
          <w:rFonts w:ascii="Arial" w:eastAsia="Arial" w:hAnsi="Arial" w:cs="Arial"/>
          <w:szCs w:val="24"/>
          <w:lang w:eastAsia="es-CO"/>
        </w:rPr>
        <w:t xml:space="preserve"> </w:t>
      </w:r>
      <w:r w:rsidRPr="00407259">
        <w:rPr>
          <w:rFonts w:ascii="Arial" w:eastAsia="Times New Roman" w:hAnsi="Arial"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407259">
        <w:rPr>
          <w:rFonts w:ascii="Arial" w:hAnsi="Arial"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658D2A7E" w14:textId="77777777" w:rsidR="00574A4F" w:rsidRDefault="00574A4F" w:rsidP="00574A4F">
      <w:pPr>
        <w:spacing w:before="120" w:after="0" w:line="276" w:lineRule="auto"/>
        <w:ind w:firstLine="709"/>
        <w:jc w:val="both"/>
        <w:rPr>
          <w:rFonts w:ascii="Arial" w:hAnsi="Arial" w:cs="Arial"/>
          <w:spacing w:val="2"/>
          <w:lang w:eastAsia="es-CO"/>
        </w:rPr>
      </w:pPr>
      <w:r>
        <w:rPr>
          <w:rFonts w:ascii="Arial" w:hAnsi="Arial" w:cs="Arial"/>
          <w:spacing w:val="2"/>
          <w:lang w:eastAsia="es-CO"/>
        </w:rPr>
        <w:t>Por lo demás</w:t>
      </w:r>
      <w:r w:rsidRPr="00407259">
        <w:rPr>
          <w:rFonts w:ascii="Arial" w:hAnsi="Arial" w:cs="Arial"/>
          <w:spacing w:val="2"/>
          <w:lang w:eastAsia="es-CO"/>
        </w:rPr>
        <w:t>, se expidió la Resolución No. 326 del 22 de julio de 2022</w:t>
      </w:r>
      <w:r>
        <w:rPr>
          <w:rFonts w:ascii="Arial" w:hAnsi="Arial" w:cs="Arial"/>
          <w:spacing w:val="2"/>
          <w:lang w:eastAsia="es-CO"/>
        </w:rPr>
        <w:t>,</w:t>
      </w:r>
      <w:r w:rsidRPr="00407259">
        <w:rPr>
          <w:rFonts w:ascii="Arial" w:hAnsi="Arial" w:cs="Arial"/>
          <w:spacing w:val="2"/>
          <w:lang w:eastAsia="es-CO"/>
        </w:rPr>
        <w:t xml:space="preserve">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w:t>
      </w:r>
      <w:r>
        <w:rPr>
          <w:rFonts w:ascii="Arial" w:hAnsi="Arial" w:cs="Arial"/>
          <w:spacing w:val="2"/>
          <w:lang w:eastAsia="es-CO"/>
        </w:rPr>
        <w:t>,</w:t>
      </w:r>
      <w:r w:rsidRPr="00407259">
        <w:rPr>
          <w:rFonts w:ascii="Arial" w:hAnsi="Arial" w:cs="Arial"/>
          <w:spacing w:val="2"/>
          <w:lang w:eastAsia="es-CO"/>
        </w:rPr>
        <w:t xml:space="preserve"> “Por la cual se adoptan los documentos tipo para los procesos de selección de concurso de méritos para contratar la interventoría de obras públicas de infraestructura de agua potable y saneamiento básico”</w:t>
      </w:r>
      <w:r>
        <w:rPr>
          <w:rFonts w:ascii="Arial" w:hAnsi="Arial" w:cs="Arial"/>
          <w:spacing w:val="2"/>
          <w:lang w:eastAsia="es-CO"/>
        </w:rPr>
        <w:t xml:space="preserve">, y la Resolución </w:t>
      </w:r>
      <w:r w:rsidRPr="004366E8">
        <w:rPr>
          <w:rFonts w:ascii="Arial" w:hAnsi="Arial" w:cs="Arial"/>
          <w:spacing w:val="2"/>
          <w:lang w:eastAsia="es-CO"/>
        </w:rPr>
        <w:t>625 del 16 de diciembre del 2022</w:t>
      </w:r>
      <w:r>
        <w:rPr>
          <w:rFonts w:ascii="Arial" w:hAnsi="Arial" w:cs="Arial"/>
          <w:spacing w:val="2"/>
          <w:lang w:eastAsia="es-CO"/>
        </w:rPr>
        <w:t>,</w:t>
      </w:r>
      <w:r w:rsidRPr="004366E8">
        <w:rPr>
          <w:rFonts w:ascii="Arial" w:hAnsi="Arial" w:cs="Arial"/>
          <w:spacing w:val="2"/>
          <w:lang w:eastAsia="es-CO"/>
        </w:rPr>
        <w:t xml:space="preserve"> "Por la cual se actualizan los documentos tipo para los procesos de obra pública de infraestructura de transporte que se adelanten por la modalidad de mínima cuantía y se deroga la Resolución 094 de 2020"</w:t>
      </w:r>
      <w:r>
        <w:rPr>
          <w:rStyle w:val="Refdenotaalpie"/>
          <w:rFonts w:ascii="Arial" w:hAnsi="Arial" w:cs="Arial"/>
          <w:spacing w:val="2"/>
          <w:lang w:eastAsia="es-CO"/>
        </w:rPr>
        <w:footnoteReference w:id="6"/>
      </w:r>
      <w:r>
        <w:rPr>
          <w:rFonts w:ascii="Arial" w:hAnsi="Arial" w:cs="Arial"/>
          <w:spacing w:val="2"/>
          <w:lang w:eastAsia="es-CO"/>
        </w:rPr>
        <w:t xml:space="preserve">. </w:t>
      </w:r>
    </w:p>
    <w:p w14:paraId="73A4118A" w14:textId="77777777" w:rsidR="00574A4F" w:rsidRDefault="00574A4F" w:rsidP="00574A4F">
      <w:pPr>
        <w:spacing w:before="120" w:after="0" w:line="276" w:lineRule="auto"/>
        <w:ind w:firstLine="709"/>
        <w:jc w:val="both"/>
        <w:rPr>
          <w:rFonts w:ascii="Arial" w:hAnsi="Arial" w:cs="Arial"/>
          <w:spacing w:val="2"/>
          <w:lang w:eastAsia="es-CO"/>
        </w:rPr>
      </w:pPr>
      <w:r>
        <w:rPr>
          <w:rFonts w:ascii="Arial" w:hAnsi="Arial" w:cs="Arial"/>
          <w:spacing w:val="2"/>
          <w:lang w:eastAsia="es-CO"/>
        </w:rPr>
        <w:t xml:space="preserve">Finalmente, para efectos del artículo 95 de la Ley 2166 de 2021, la Colombia Compra Eficiente también expidió la </w:t>
      </w:r>
      <w:r w:rsidRPr="002007A6">
        <w:rPr>
          <w:rFonts w:ascii="Arial" w:hAnsi="Arial" w:cs="Arial"/>
          <w:spacing w:val="2"/>
          <w:lang w:eastAsia="es-CO"/>
        </w:rPr>
        <w:t>Resolución 358 del 30 de junio de 2023</w:t>
      </w:r>
      <w:r>
        <w:rPr>
          <w:rFonts w:ascii="Arial" w:hAnsi="Arial" w:cs="Arial"/>
          <w:spacing w:val="2"/>
          <w:lang w:eastAsia="es-CO"/>
        </w:rPr>
        <w:t>,</w:t>
      </w:r>
      <w:r w:rsidRPr="002007A6">
        <w:rPr>
          <w:rFonts w:ascii="Arial" w:hAnsi="Arial" w:cs="Arial"/>
          <w:spacing w:val="2"/>
          <w:lang w:eastAsia="es-CO"/>
        </w:rPr>
        <w:t xml:space="preserve"> “Por la cual se adopta el documento tipo para la contratación directa de convenios solidarios para la </w:t>
      </w:r>
      <w:r w:rsidRPr="002007A6">
        <w:rPr>
          <w:rFonts w:ascii="Arial" w:hAnsi="Arial" w:cs="Arial"/>
          <w:spacing w:val="2"/>
          <w:lang w:eastAsia="es-CO"/>
        </w:rPr>
        <w:lastRenderedPageBreak/>
        <w:t>ejecución de obras hasta la menor cuantía con organismos de acción comunal”</w:t>
      </w:r>
      <w:r>
        <w:rPr>
          <w:rFonts w:ascii="Arial" w:hAnsi="Arial" w:cs="Arial"/>
          <w:spacing w:val="2"/>
          <w:lang w:eastAsia="es-CO"/>
        </w:rPr>
        <w:t xml:space="preserve">. Para </w:t>
      </w:r>
      <w:proofErr w:type="gramStart"/>
      <w:r>
        <w:rPr>
          <w:rFonts w:ascii="Arial" w:hAnsi="Arial" w:cs="Arial"/>
          <w:spacing w:val="2"/>
          <w:lang w:eastAsia="es-CO"/>
        </w:rPr>
        <w:t>mayor información</w:t>
      </w:r>
      <w:proofErr w:type="gramEnd"/>
      <w:r>
        <w:rPr>
          <w:rFonts w:ascii="Arial" w:hAnsi="Arial" w:cs="Arial"/>
          <w:spacing w:val="2"/>
          <w:lang w:eastAsia="es-CO"/>
        </w:rPr>
        <w:t xml:space="preserve"> sobre los actos administrativos que han implementado documentos tipo en el ordenamiento jurídico puede consultar el siguiente enlace: </w:t>
      </w:r>
      <w:hyperlink r:id="rId11" w:history="1">
        <w:r w:rsidRPr="00604FC0">
          <w:rPr>
            <w:rStyle w:val="Hipervnculo"/>
            <w:rFonts w:ascii="Arial" w:hAnsi="Arial" w:cs="Arial"/>
            <w:spacing w:val="2"/>
            <w:lang w:eastAsia="es-CO"/>
          </w:rPr>
          <w:t>https://www.colombiacompra.gov.co/documentos-tipo/documentos-tipo</w:t>
        </w:r>
      </w:hyperlink>
      <w:r>
        <w:rPr>
          <w:rFonts w:ascii="Arial" w:hAnsi="Arial" w:cs="Arial"/>
          <w:spacing w:val="2"/>
          <w:lang w:eastAsia="es-CO"/>
        </w:rPr>
        <w:t xml:space="preserve">. </w:t>
      </w:r>
    </w:p>
    <w:p w14:paraId="7841DF4E" w14:textId="77777777" w:rsidR="00574A4F" w:rsidRDefault="00574A4F" w:rsidP="00574A4F">
      <w:pPr>
        <w:spacing w:after="0" w:line="276" w:lineRule="auto"/>
        <w:ind w:firstLine="709"/>
        <w:jc w:val="both"/>
        <w:rPr>
          <w:rFonts w:ascii="Arial" w:hAnsi="Arial" w:cs="Arial"/>
          <w:spacing w:val="2"/>
          <w:lang w:eastAsia="es-CO"/>
        </w:rPr>
      </w:pPr>
    </w:p>
    <w:p w14:paraId="12209D10" w14:textId="77777777" w:rsidR="00574A4F" w:rsidRPr="002007A6" w:rsidRDefault="00574A4F" w:rsidP="00574A4F">
      <w:pPr>
        <w:spacing w:after="0" w:line="276" w:lineRule="auto"/>
        <w:jc w:val="both"/>
        <w:rPr>
          <w:rFonts w:ascii="Arial" w:hAnsi="Arial" w:cs="Arial"/>
          <w:b/>
          <w:bCs/>
          <w:spacing w:val="2"/>
          <w:lang w:eastAsia="es-CO"/>
        </w:rPr>
      </w:pPr>
      <w:r w:rsidRPr="002007A6">
        <w:rPr>
          <w:rFonts w:ascii="Arial" w:hAnsi="Arial" w:cs="Arial"/>
          <w:b/>
          <w:bCs/>
          <w:spacing w:val="2"/>
          <w:lang w:eastAsia="es-CO"/>
        </w:rPr>
        <w:t>2.2. Inalterabilidad de los documentos tipo y sus excepciones</w:t>
      </w:r>
    </w:p>
    <w:p w14:paraId="08362DAE" w14:textId="77777777" w:rsidR="00574A4F" w:rsidRDefault="00574A4F" w:rsidP="00574A4F">
      <w:pPr>
        <w:spacing w:after="0" w:line="276" w:lineRule="auto"/>
        <w:jc w:val="both"/>
        <w:rPr>
          <w:rFonts w:ascii="Arial" w:hAnsi="Arial" w:cs="Arial"/>
          <w:spacing w:val="2"/>
          <w:lang w:eastAsia="es-CO"/>
        </w:rPr>
      </w:pPr>
    </w:p>
    <w:p w14:paraId="21832EE6" w14:textId="77777777" w:rsidR="00574A4F" w:rsidRPr="00180F68" w:rsidRDefault="00574A4F" w:rsidP="00574A4F">
      <w:pPr>
        <w:shd w:val="clear" w:color="auto" w:fill="FFFFFF"/>
        <w:spacing w:line="276" w:lineRule="auto"/>
        <w:jc w:val="both"/>
        <w:textAlignment w:val="baseline"/>
        <w:rPr>
          <w:rFonts w:ascii="Arial" w:hAnsi="Arial" w:cs="Arial"/>
          <w:b/>
          <w:bCs/>
          <w:color w:val="000000"/>
          <w:lang w:eastAsia="es-CO"/>
        </w:rPr>
      </w:pPr>
      <w:bookmarkStart w:id="10" w:name="_Hlk72774853"/>
      <w:r>
        <w:rPr>
          <w:rFonts w:ascii="Arial" w:hAnsi="Arial" w:cs="Arial"/>
          <w:bCs/>
          <w:lang w:val="es-ES_tradnl"/>
        </w:rPr>
        <w:t>Para las obras públicas de infraestructura de transporte, e</w:t>
      </w:r>
      <w:r w:rsidRPr="00180F68">
        <w:rPr>
          <w:rFonts w:ascii="Arial" w:hAnsi="Arial" w:cs="Arial"/>
          <w:bCs/>
          <w:lang w:val="es-ES_tradnl"/>
        </w:rPr>
        <w:t xml:space="preserve">l </w:t>
      </w:r>
      <w:bookmarkStart w:id="11" w:name="_Hlk81313863"/>
      <w:r w:rsidRPr="00180F68">
        <w:rPr>
          <w:rFonts w:ascii="Arial" w:hAnsi="Arial" w:cs="Arial"/>
          <w:bCs/>
          <w:lang w:val="es-ES_tradnl"/>
        </w:rPr>
        <w:t xml:space="preserve">artículo 2.2.1.2.6.1.4 del Decreto 1082 de 2015 </w:t>
      </w:r>
      <w:bookmarkEnd w:id="11"/>
      <w:r w:rsidRPr="00180F68">
        <w:rPr>
          <w:rFonts w:ascii="Arial" w:hAnsi="Arial" w:cs="Arial"/>
          <w:bCs/>
          <w:lang w:val="es-ES_tradnl"/>
        </w:rPr>
        <w:t>dispon</w:t>
      </w:r>
      <w:r>
        <w:rPr>
          <w:rFonts w:ascii="Arial" w:hAnsi="Arial" w:cs="Arial"/>
          <w:bCs/>
          <w:lang w:val="es-ES_tradnl"/>
        </w:rPr>
        <w:t>ía</w:t>
      </w:r>
      <w:r w:rsidRPr="00180F68">
        <w:rPr>
          <w:rFonts w:ascii="Arial" w:hAnsi="Arial" w:cs="Arial"/>
          <w:bCs/>
          <w:lang w:val="es-ES_tradnl"/>
        </w:rPr>
        <w:t xml:space="preserv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180F68">
        <w:rPr>
          <w:rStyle w:val="Refdenotaalpie"/>
          <w:rFonts w:ascii="Arial" w:hAnsi="Arial" w:cs="Arial"/>
          <w:bCs/>
          <w:lang w:val="es-ES_tradnl"/>
        </w:rPr>
        <w:footnoteReference w:id="7"/>
      </w:r>
      <w:r w:rsidRPr="00180F68">
        <w:rPr>
          <w:rFonts w:ascii="Arial" w:hAnsi="Arial" w:cs="Arial"/>
          <w:bCs/>
          <w:lang w:val="es-ES_tradnl"/>
        </w:rPr>
        <w:t>. En consecuencia</w:t>
      </w:r>
      <w:bookmarkStart w:id="12" w:name="_Hlk64290904"/>
      <w:r w:rsidRPr="00180F68">
        <w:rPr>
          <w:rFonts w:ascii="Arial" w:hAnsi="Arial" w:cs="Arial"/>
          <w:bCs/>
          <w:lang w:val="es-ES_tradnl"/>
        </w:rPr>
        <w:t>,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que fijados en ellos.</w:t>
      </w:r>
      <w:bookmarkEnd w:id="12"/>
      <w:r w:rsidRPr="00180F68">
        <w:rPr>
          <w:rFonts w:ascii="Arial" w:hAnsi="Arial" w:cs="Arial"/>
          <w:bCs/>
          <w:lang w:val="es-ES_tradnl"/>
        </w:rPr>
        <w:t xml:space="preserve"> </w:t>
      </w:r>
    </w:p>
    <w:p w14:paraId="40AAFA5B" w14:textId="77777777" w:rsidR="00574A4F" w:rsidRDefault="00574A4F" w:rsidP="00574A4F">
      <w:pPr>
        <w:spacing w:before="120" w:line="276" w:lineRule="auto"/>
        <w:ind w:firstLine="709"/>
        <w:jc w:val="both"/>
        <w:rPr>
          <w:rFonts w:ascii="Arial" w:hAnsi="Arial" w:cs="Arial"/>
          <w:bCs/>
          <w:lang w:val="es-ES_tradnl"/>
        </w:rPr>
      </w:pPr>
      <w:r>
        <w:rPr>
          <w:rFonts w:ascii="Arial" w:hAnsi="Arial" w:cs="Arial"/>
          <w:bCs/>
          <w:lang w:val="es-ES_tradnl"/>
        </w:rPr>
        <w:t>Actualmente, e</w:t>
      </w:r>
      <w:r w:rsidRPr="00180F68">
        <w:rPr>
          <w:rFonts w:ascii="Arial" w:hAnsi="Arial" w:cs="Arial"/>
          <w:bCs/>
          <w:lang w:val="es-ES_tradnl"/>
        </w:rPr>
        <w:t xml:space="preserve">sta prohibición </w:t>
      </w:r>
      <w:r>
        <w:rPr>
          <w:rFonts w:ascii="Arial" w:hAnsi="Arial" w:cs="Arial"/>
          <w:bCs/>
          <w:lang w:val="es-ES_tradnl"/>
        </w:rPr>
        <w:t>se</w:t>
      </w:r>
      <w:r w:rsidRPr="00180F68">
        <w:rPr>
          <w:rFonts w:ascii="Arial" w:hAnsi="Arial" w:cs="Arial"/>
          <w:bCs/>
          <w:lang w:val="es-ES_tradnl"/>
        </w:rPr>
        <w:t xml:space="preserve"> ratifica </w:t>
      </w:r>
      <w:r>
        <w:rPr>
          <w:rFonts w:ascii="Arial" w:hAnsi="Arial" w:cs="Arial"/>
          <w:bCs/>
          <w:lang w:val="es-ES_tradnl"/>
        </w:rPr>
        <w:t xml:space="preserve">en </w:t>
      </w:r>
      <w:r w:rsidRPr="00180F68">
        <w:rPr>
          <w:rFonts w:ascii="Arial" w:hAnsi="Arial" w:cs="Arial"/>
          <w:bCs/>
          <w:lang w:val="es-ES_tradnl"/>
        </w:rPr>
        <w:t xml:space="preserve">el </w:t>
      </w:r>
      <w:bookmarkStart w:id="13" w:name="_Hlk81313856"/>
      <w:r w:rsidRPr="00180F68">
        <w:rPr>
          <w:rFonts w:ascii="Arial" w:hAnsi="Arial" w:cs="Arial"/>
          <w:bCs/>
          <w:lang w:val="es-ES_tradnl"/>
        </w:rPr>
        <w:t>artículo 3 de la Resolución 240 de 2020</w:t>
      </w:r>
      <w:bookmarkEnd w:id="13"/>
      <w:r w:rsidRPr="00180F68">
        <w:rPr>
          <w:rFonts w:ascii="Arial" w:hAnsi="Arial" w:cs="Arial"/>
          <w:bCs/>
          <w:lang w:val="es-ES_tradnl"/>
        </w:rPr>
        <w:t xml:space="preserve">, mediante la cual se implementaron los documentos tipo para esta modalidad de selección, al disponer la inalterabilidad de los documentos tipo en los siguientes términos: </w:t>
      </w:r>
      <w:r>
        <w:rPr>
          <w:rFonts w:ascii="Arial" w:hAnsi="Arial" w:cs="Arial"/>
          <w:bCs/>
          <w:lang w:val="es-ES_tradnl"/>
        </w:rPr>
        <w:t>“</w:t>
      </w:r>
      <w:r w:rsidRPr="00180F68">
        <w:rPr>
          <w:rFonts w:ascii="Arial" w:hAnsi="Arial" w:cs="Arial"/>
          <w:bCs/>
          <w:lang w:val="es-ES_tradnl"/>
        </w:rPr>
        <w:t>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w:t>
      </w:r>
      <w:r>
        <w:rPr>
          <w:rFonts w:ascii="Arial" w:hAnsi="Arial" w:cs="Arial"/>
          <w:bCs/>
          <w:lang w:val="es-ES_tradnl"/>
        </w:rPr>
        <w:t>”</w:t>
      </w:r>
      <w:r w:rsidRPr="00180F68">
        <w:rPr>
          <w:rFonts w:ascii="Arial" w:hAnsi="Arial" w:cs="Arial"/>
          <w:bCs/>
          <w:lang w:val="es-ES_tradnl"/>
        </w:rPr>
        <w:t>.</w:t>
      </w:r>
      <w:r>
        <w:rPr>
          <w:rFonts w:ascii="Arial" w:hAnsi="Arial" w:cs="Arial"/>
          <w:bCs/>
          <w:lang w:val="es-ES_tradnl"/>
        </w:rPr>
        <w:t xml:space="preserve"> Un criterio de naturaleza similar se ha plasmado en el artículo 2 de las Resoluciones 326, 333 y 625 de 2022, así como en el artículo 3 de las Resoluciones 241, 248, 249 y 269 de 2020; 193, 219, 220, 392 y 454 de 2021; y 358 de 2023.  </w:t>
      </w:r>
    </w:p>
    <w:bookmarkEnd w:id="10"/>
    <w:p w14:paraId="7A5355DD" w14:textId="77777777" w:rsidR="00574A4F" w:rsidRPr="00180F68" w:rsidRDefault="00574A4F" w:rsidP="00574A4F">
      <w:pPr>
        <w:spacing w:before="120" w:line="276" w:lineRule="auto"/>
        <w:ind w:firstLine="708"/>
        <w:jc w:val="both"/>
        <w:rPr>
          <w:rFonts w:ascii="Arial" w:hAnsi="Arial" w:cs="Arial"/>
          <w:bCs/>
          <w:lang w:val="es-ES_tradnl"/>
        </w:rPr>
      </w:pPr>
      <w:r w:rsidRPr="00180F68">
        <w:rPr>
          <w:rFonts w:ascii="Arial" w:hAnsi="Arial" w:cs="Arial"/>
          <w:bCs/>
          <w:lang w:val="es-ES_tradnl"/>
        </w:rPr>
        <w:t xml:space="preserve">Además, las entidades estatales deben garantizar el </w:t>
      </w:r>
      <w:r w:rsidRPr="00180F68">
        <w:rPr>
          <w:rFonts w:ascii="Arial" w:hAnsi="Arial" w:cs="Arial"/>
          <w:bCs/>
          <w:i/>
          <w:iCs/>
          <w:lang w:val="es-ES_tradnl"/>
        </w:rPr>
        <w:t>principio de economía</w:t>
      </w:r>
      <w:r w:rsidRPr="00180F68">
        <w:rPr>
          <w:rFonts w:ascii="Arial" w:hAnsi="Arial" w:cs="Arial"/>
          <w:bCs/>
          <w:lang w:val="es-ES_tradnl"/>
        </w:rPr>
        <w:t>, del cual se desprende que no pueden exigir documentos o requisitos más allá de los que permitan la Constitución, la ley y los reglamentos. Este postulado ha encontrado eco no solo en la contratación estatal</w:t>
      </w:r>
      <w:r w:rsidRPr="00180F68">
        <w:rPr>
          <w:rStyle w:val="Refdenotaalpie"/>
          <w:rFonts w:ascii="Arial" w:hAnsi="Arial" w:cs="Arial"/>
          <w:bCs/>
          <w:lang w:val="es-ES_tradnl"/>
        </w:rPr>
        <w:footnoteReference w:id="8"/>
      </w:r>
      <w:r w:rsidRPr="00180F68">
        <w:rPr>
          <w:rFonts w:ascii="Arial" w:hAnsi="Arial" w:cs="Arial"/>
          <w:bCs/>
          <w:lang w:val="es-ES_tradnl"/>
        </w:rPr>
        <w:t xml:space="preserve"> sino además en la normativa </w:t>
      </w:r>
      <w:proofErr w:type="spellStart"/>
      <w:r w:rsidRPr="00180F68">
        <w:rPr>
          <w:rFonts w:ascii="Arial" w:hAnsi="Arial" w:cs="Arial"/>
          <w:bCs/>
          <w:lang w:val="es-ES_tradnl"/>
        </w:rPr>
        <w:t>antitrámites</w:t>
      </w:r>
      <w:proofErr w:type="spellEnd"/>
      <w:r w:rsidRPr="00180F68">
        <w:rPr>
          <w:rFonts w:ascii="Arial" w:hAnsi="Arial" w:cs="Arial"/>
          <w:bCs/>
          <w:lang w:val="es-ES_tradnl"/>
        </w:rPr>
        <w:t xml:space="preserve">, pues se inscribe dentro de </w:t>
      </w:r>
      <w:r w:rsidRPr="00180F68">
        <w:rPr>
          <w:rFonts w:ascii="Arial" w:hAnsi="Arial" w:cs="Arial"/>
          <w:bCs/>
          <w:lang w:val="es-ES_tradnl"/>
        </w:rPr>
        <w:lastRenderedPageBreak/>
        <w:t>la tendencia de simplificación y racionalización de los procedimientos administrativos</w:t>
      </w:r>
      <w:r w:rsidRPr="00180F68">
        <w:rPr>
          <w:rStyle w:val="Refdenotaalpie"/>
          <w:rFonts w:ascii="Arial" w:hAnsi="Arial" w:cs="Arial"/>
          <w:bCs/>
          <w:lang w:val="es-ES_tradnl"/>
        </w:rPr>
        <w:footnoteReference w:id="9"/>
      </w:r>
      <w:r w:rsidRPr="00180F68">
        <w:rPr>
          <w:rFonts w:ascii="Arial" w:hAnsi="Arial" w:cs="Arial"/>
          <w:bCs/>
          <w:lang w:val="es-ES_tradnl"/>
        </w:rPr>
        <w:t>. De ahí que cuando las autoridades solicitan la entrega de documentación innecesaria, menoscaban el principio de economía.</w:t>
      </w:r>
    </w:p>
    <w:p w14:paraId="6A11F332" w14:textId="77777777" w:rsidR="00574A4F" w:rsidRPr="00180F68" w:rsidRDefault="00574A4F" w:rsidP="00574A4F">
      <w:pPr>
        <w:spacing w:before="120" w:line="276" w:lineRule="auto"/>
        <w:ind w:firstLine="709"/>
        <w:jc w:val="both"/>
        <w:rPr>
          <w:rFonts w:ascii="Arial" w:hAnsi="Arial" w:cs="Arial"/>
        </w:rPr>
      </w:pPr>
      <w:r w:rsidRPr="00180F68">
        <w:rPr>
          <w:rFonts w:ascii="Arial" w:hAnsi="Arial" w:cs="Arial"/>
        </w:rPr>
        <w:t xml:space="preserve">Por su parte, la parte introductoria de los documentos tipo dispone que los aspectos incluidos en corchetes y resaltado gris </w:t>
      </w:r>
      <w:r w:rsidRPr="00180F68">
        <w:rPr>
          <w:rFonts w:ascii="Arial" w:hAnsi="Arial" w:cs="Arial"/>
          <w:highlight w:val="lightGray"/>
        </w:rPr>
        <w:t>–[texto de ejemplo]–</w:t>
      </w:r>
      <w:r w:rsidRPr="00180F68">
        <w:rPr>
          <w:rFonts w:ascii="Arial" w:hAnsi="Arial" w:cs="Arial"/>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4DABC55E" w14:textId="77777777" w:rsidR="00574A4F" w:rsidRPr="00180F68" w:rsidRDefault="00574A4F" w:rsidP="00574A4F">
      <w:pPr>
        <w:spacing w:before="120" w:line="276" w:lineRule="auto"/>
        <w:ind w:firstLine="709"/>
        <w:jc w:val="both"/>
        <w:rPr>
          <w:rFonts w:ascii="Arial" w:hAnsi="Arial" w:cs="Arial"/>
          <w:bCs/>
        </w:rPr>
      </w:pPr>
      <w:r w:rsidRPr="00180F68">
        <w:rPr>
          <w:rFonts w:ascii="Arial" w:hAnsi="Arial" w:cs="Arial"/>
          <w:bCs/>
        </w:rPr>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51BF78D2" w14:textId="77777777" w:rsidR="00574A4F" w:rsidRDefault="00574A4F" w:rsidP="00574A4F">
      <w:pPr>
        <w:spacing w:before="120" w:line="276" w:lineRule="auto"/>
        <w:ind w:firstLine="709"/>
        <w:jc w:val="both"/>
        <w:rPr>
          <w:rFonts w:ascii="Arial" w:hAnsi="Arial" w:cs="Arial"/>
          <w:bCs/>
          <w:lang w:val="es-ES_tradnl"/>
        </w:rPr>
      </w:pPr>
      <w:r w:rsidRPr="00180F68">
        <w:rPr>
          <w:rFonts w:ascii="Arial" w:hAnsi="Arial" w:cs="Arial"/>
        </w:rPr>
        <w:t xml:space="preserve">Además, el artículo </w:t>
      </w:r>
      <w:r>
        <w:rPr>
          <w:rFonts w:ascii="Arial" w:hAnsi="Arial" w:cs="Arial"/>
        </w:rPr>
        <w:t>4</w:t>
      </w:r>
      <w:r w:rsidRPr="00180F68">
        <w:rPr>
          <w:rFonts w:ascii="Arial" w:hAnsi="Arial" w:cs="Arial"/>
        </w:rPr>
        <w:t xml:space="preserve"> de la Resolución No. 240 de 2020 </w:t>
      </w:r>
      <w:r>
        <w:rPr>
          <w:rFonts w:ascii="Arial" w:hAnsi="Arial" w:cs="Arial"/>
        </w:rPr>
        <w:t>regula</w:t>
      </w:r>
      <w:r w:rsidRPr="00180F68">
        <w:rPr>
          <w:rFonts w:ascii="Arial" w:hAnsi="Arial" w:cs="Arial"/>
        </w:rPr>
        <w:t xml:space="preserve"> los eventos en los que el objeto contractual incluye bienes o servicios adicionales a la obra pública de infraestructura de transporte</w:t>
      </w:r>
      <w:r w:rsidRPr="00180F68">
        <w:rPr>
          <w:rStyle w:val="Refdenotaalpie"/>
          <w:rFonts w:ascii="Arial" w:hAnsi="Arial" w:cs="Arial"/>
        </w:rPr>
        <w:footnoteReference w:id="10"/>
      </w:r>
      <w:r w:rsidRPr="00180F68">
        <w:rPr>
          <w:rFonts w:ascii="Arial" w:hAnsi="Arial" w:cs="Arial"/>
        </w:rPr>
        <w:t xml:space="preserve">. En este caso, la entidad estatal puede complementar </w:t>
      </w:r>
      <w:r w:rsidRPr="00180F68">
        <w:rPr>
          <w:rFonts w:ascii="Arial" w:hAnsi="Arial" w:cs="Arial"/>
        </w:rPr>
        <w:lastRenderedPageBreak/>
        <w:t xml:space="preserve">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roofErr w:type="spellStart"/>
      <w:r w:rsidRPr="00180F68">
        <w:rPr>
          <w:rFonts w:ascii="Arial" w:hAnsi="Arial" w:cs="Arial"/>
        </w:rPr>
        <w:t>ii</w:t>
      </w:r>
      <w:proofErr w:type="spellEnd"/>
      <w:r w:rsidRPr="00180F68">
        <w:rPr>
          <w:rFonts w:ascii="Arial" w:hAnsi="Arial" w:cs="Arial"/>
        </w:rPr>
        <w:t xml:space="preserve">) conservar los requisitos exigidos en los documentos tipo, </w:t>
      </w:r>
      <w:proofErr w:type="spellStart"/>
      <w:r w:rsidRPr="00180F68">
        <w:rPr>
          <w:rFonts w:ascii="Arial" w:hAnsi="Arial" w:cs="Arial"/>
        </w:rPr>
        <w:t>iii</w:t>
      </w:r>
      <w:proofErr w:type="spellEnd"/>
      <w:r w:rsidRPr="00180F68">
        <w:rPr>
          <w:rFonts w:ascii="Arial" w:hAnsi="Arial" w:cs="Arial"/>
        </w:rPr>
        <w:t xml:space="preserve">) abstenerse de pedir experiencia exclusiva con entidades estatales, experiencia previa en un territorio específico, limitada en el tiempo o que incluya volúmenes o cantidades de obra específica, </w:t>
      </w:r>
      <w:proofErr w:type="spellStart"/>
      <w:r w:rsidRPr="00180F68">
        <w:rPr>
          <w:rFonts w:ascii="Arial" w:hAnsi="Arial" w:cs="Arial"/>
        </w:rPr>
        <w:t>iv</w:t>
      </w:r>
      <w:proofErr w:type="spellEnd"/>
      <w:r w:rsidRPr="00180F68">
        <w:rPr>
          <w:rFonts w:ascii="Arial" w:hAnsi="Arial" w:cs="Arial"/>
        </w:rPr>
        <w:t>) clasificar la experiencia requerida solo hasta el tercer nivel del Clasificador de Bienes y Servicios e incluir exclusivamente los códigos que estén relacionados directamente con el objeto a contratar.</w:t>
      </w:r>
      <w:r>
        <w:rPr>
          <w:rFonts w:ascii="Arial" w:hAnsi="Arial" w:cs="Arial"/>
        </w:rPr>
        <w:t xml:space="preserve"> </w:t>
      </w:r>
      <w:r w:rsidRPr="001D7576">
        <w:rPr>
          <w:rFonts w:ascii="Arial" w:hAnsi="Arial" w:cs="Arial"/>
          <w:bCs/>
          <w:i/>
          <w:iCs/>
          <w:lang w:val="es-ES_tradnl"/>
        </w:rPr>
        <w:t>Mutatis mutandis</w:t>
      </w:r>
      <w:r>
        <w:rPr>
          <w:rFonts w:ascii="Arial" w:hAnsi="Arial" w:cs="Arial"/>
          <w:bCs/>
          <w:lang w:val="es-ES_tradnl"/>
        </w:rPr>
        <w:t>, el mismo criterio también se ha plasmado en el artículo 3 de las Resoluciones 326 y 625 de 2022, así como en el artículo 4 de las Resoluciones 241, 248 y 249 de 2020; 193 y 219 de 2021; y 333 de 2022.</w:t>
      </w:r>
    </w:p>
    <w:p w14:paraId="398AE9AE" w14:textId="77777777" w:rsidR="00574A4F" w:rsidRPr="00180F68" w:rsidRDefault="00574A4F" w:rsidP="00574A4F">
      <w:pPr>
        <w:spacing w:before="120" w:line="276" w:lineRule="auto"/>
        <w:ind w:firstLine="709"/>
        <w:jc w:val="both"/>
        <w:rPr>
          <w:rFonts w:ascii="Arial" w:hAnsi="Arial" w:cs="Arial"/>
          <w:bCs/>
        </w:rPr>
      </w:pPr>
      <w:r w:rsidRPr="00180F68">
        <w:rPr>
          <w:rFonts w:ascii="Arial" w:hAnsi="Arial" w:cs="Arial"/>
          <w:bCs/>
        </w:rPr>
        <w:t xml:space="preserve">En suma, la regla general frente la aplicación del </w:t>
      </w:r>
      <w:r>
        <w:rPr>
          <w:rFonts w:ascii="Arial" w:hAnsi="Arial" w:cs="Arial"/>
          <w:bCs/>
        </w:rPr>
        <w:t>“</w:t>
      </w:r>
      <w:r w:rsidRPr="00180F68">
        <w:rPr>
          <w:rFonts w:ascii="Arial" w:hAnsi="Arial" w:cs="Arial"/>
          <w:bCs/>
        </w:rPr>
        <w:t>Documento Base</w:t>
      </w:r>
      <w:r>
        <w:rPr>
          <w:rFonts w:ascii="Arial" w:hAnsi="Arial" w:cs="Arial"/>
          <w:bCs/>
        </w:rPr>
        <w:t>”</w:t>
      </w:r>
      <w:r w:rsidRPr="00180F68">
        <w:rPr>
          <w:rFonts w:ascii="Arial" w:hAnsi="Arial" w:cs="Arial"/>
          <w:bCs/>
        </w:rPr>
        <w:t xml:space="preserv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w:t>
      </w:r>
      <w:r>
        <w:rPr>
          <w:rFonts w:ascii="Arial" w:hAnsi="Arial" w:cs="Arial"/>
          <w:bCs/>
        </w:rPr>
        <w:t xml:space="preserve"> </w:t>
      </w:r>
    </w:p>
    <w:p w14:paraId="21338670" w14:textId="77777777" w:rsidR="00574A4F" w:rsidRPr="008F67A6" w:rsidRDefault="00574A4F" w:rsidP="00574A4F">
      <w:pPr>
        <w:spacing w:before="120" w:line="276" w:lineRule="auto"/>
        <w:ind w:firstLine="709"/>
        <w:jc w:val="both"/>
        <w:rPr>
          <w:rFonts w:ascii="Arial" w:hAnsi="Arial" w:cs="Arial"/>
          <w:bCs/>
          <w:lang w:val="es-ES_tradnl"/>
        </w:rPr>
      </w:pPr>
      <w:r w:rsidRPr="00180F68">
        <w:rPr>
          <w:rFonts w:ascii="Arial" w:hAnsi="Arial" w:cs="Arial"/>
          <w:bCs/>
        </w:rPr>
        <w:t xml:space="preserve">Este principio de inalterabilidad se extiende a los formatos y anexos implementados junto con el </w:t>
      </w:r>
      <w:r>
        <w:rPr>
          <w:rFonts w:ascii="Arial" w:hAnsi="Arial" w:cs="Arial"/>
          <w:bCs/>
        </w:rPr>
        <w:t>“</w:t>
      </w:r>
      <w:r w:rsidRPr="00180F68">
        <w:rPr>
          <w:rFonts w:ascii="Arial" w:hAnsi="Arial" w:cs="Arial"/>
          <w:bCs/>
        </w:rPr>
        <w:t>Documento Base</w:t>
      </w:r>
      <w:r>
        <w:rPr>
          <w:rFonts w:ascii="Arial" w:hAnsi="Arial" w:cs="Arial"/>
          <w:bCs/>
        </w:rPr>
        <w:t>”</w:t>
      </w:r>
      <w:r w:rsidRPr="00180F68">
        <w:rPr>
          <w:rFonts w:ascii="Arial" w:hAnsi="Arial" w:cs="Arial"/>
          <w:bCs/>
        </w:rPr>
        <w:t xml:space="preserv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50B94270" w14:textId="77777777" w:rsidR="00574A4F" w:rsidRPr="00180F68" w:rsidRDefault="00574A4F" w:rsidP="00574A4F">
      <w:pPr>
        <w:spacing w:before="120" w:line="276" w:lineRule="auto"/>
        <w:ind w:firstLine="709"/>
        <w:jc w:val="both"/>
        <w:rPr>
          <w:rFonts w:ascii="Arial" w:hAnsi="Arial" w:cs="Arial"/>
        </w:rPr>
      </w:pPr>
      <w:r w:rsidRPr="00180F68">
        <w:rPr>
          <w:rFonts w:ascii="Arial" w:hAnsi="Arial" w:cs="Arial"/>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w:t>
      </w:r>
      <w:r w:rsidRPr="00180F68">
        <w:rPr>
          <w:rFonts w:ascii="Arial" w:hAnsi="Arial" w:cs="Arial"/>
        </w:rPr>
        <w:lastRenderedPageBreak/>
        <w:t xml:space="preserve">últimas, el deber que le asiste es el de tener en cuenta y aplicar los aspectos sustanciales de los documentos tipo, sin distingo de la formalidad de la que se sirva para ello los actores de la contratación pública. En relación con el principio constitucional </w:t>
      </w:r>
      <w:r w:rsidRPr="00180F68">
        <w:rPr>
          <w:rFonts w:ascii="Arial" w:hAnsi="Arial" w:cs="Arial"/>
          <w:i/>
          <w:iCs/>
        </w:rPr>
        <w:t>sub examine</w:t>
      </w:r>
      <w:r w:rsidRPr="00180F68">
        <w:rPr>
          <w:rFonts w:ascii="Arial" w:hAnsi="Arial" w:cs="Arial"/>
        </w:rPr>
        <w:t xml:space="preserve">, la Corte Constitucional explica que </w:t>
      </w:r>
      <w:r>
        <w:rPr>
          <w:rFonts w:ascii="Arial" w:hAnsi="Arial" w:cs="Arial"/>
        </w:rPr>
        <w:t>“</w:t>
      </w:r>
      <w:r w:rsidRPr="00180F68">
        <w:rPr>
          <w:rFonts w:ascii="Arial" w:hAnsi="Arial" w:cs="Arial"/>
        </w:rPr>
        <w:t>[…]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Pr>
          <w:rFonts w:ascii="Arial" w:hAnsi="Arial" w:cs="Arial"/>
        </w:rPr>
        <w:t>”</w:t>
      </w:r>
      <w:r w:rsidRPr="00180F68">
        <w:rPr>
          <w:rStyle w:val="Refdenotaalpie"/>
          <w:rFonts w:ascii="Arial" w:hAnsi="Arial" w:cs="Arial"/>
        </w:rPr>
        <w:footnoteReference w:id="11"/>
      </w:r>
      <w:r w:rsidRPr="00180F68">
        <w:rPr>
          <w:rFonts w:ascii="Arial" w:hAnsi="Arial" w:cs="Arial"/>
        </w:rPr>
        <w:t xml:space="preserve">. </w:t>
      </w:r>
    </w:p>
    <w:p w14:paraId="6E36B507" w14:textId="77777777" w:rsidR="00574A4F" w:rsidRDefault="00574A4F" w:rsidP="00574A4F">
      <w:pPr>
        <w:spacing w:before="120" w:line="276" w:lineRule="auto"/>
        <w:ind w:firstLine="709"/>
        <w:jc w:val="both"/>
        <w:rPr>
          <w:rFonts w:ascii="Arial" w:hAnsi="Arial" w:cs="Arial"/>
        </w:rPr>
      </w:pPr>
      <w:r w:rsidRPr="00180F68">
        <w:rPr>
          <w:rFonts w:ascii="Arial" w:hAnsi="Arial" w:cs="Arial"/>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43CBAE6D" w14:textId="77777777" w:rsidR="00574A4F" w:rsidRDefault="00574A4F" w:rsidP="00574A4F">
      <w:pPr>
        <w:tabs>
          <w:tab w:val="left" w:pos="709"/>
        </w:tabs>
        <w:spacing w:after="120" w:line="276" w:lineRule="auto"/>
        <w:jc w:val="both"/>
        <w:rPr>
          <w:rFonts w:ascii="Arial" w:eastAsia="Calibri" w:hAnsi="Arial" w:cs="Arial"/>
          <w:bCs/>
          <w:lang w:val="es-ES"/>
        </w:rPr>
      </w:pPr>
      <w:r>
        <w:rPr>
          <w:rFonts w:ascii="Arial" w:eastAsia="Calibri" w:hAnsi="Arial" w:cs="Arial"/>
          <w:bCs/>
          <w:lang w:val="es-ES"/>
        </w:rPr>
        <w:tab/>
        <w:t xml:space="preserve">En todo caso, conforme a </w:t>
      </w:r>
      <w:r w:rsidRPr="00B43DF7">
        <w:rPr>
          <w:rFonts w:ascii="Arial" w:eastAsia="Calibri" w:hAnsi="Arial" w:cs="Arial"/>
          <w:bCs/>
          <w:lang w:val="es-ES"/>
        </w:rPr>
        <w:t xml:space="preserve">la </w:t>
      </w:r>
      <w:r>
        <w:rPr>
          <w:rFonts w:ascii="Arial" w:eastAsia="Calibri" w:hAnsi="Arial" w:cs="Arial"/>
          <w:bCs/>
          <w:lang w:val="es-ES"/>
        </w:rPr>
        <w:t>“</w:t>
      </w:r>
      <w:r w:rsidRPr="00B43DF7">
        <w:rPr>
          <w:rFonts w:ascii="Arial" w:eastAsia="Calibri" w:hAnsi="Arial" w:cs="Arial"/>
          <w:bCs/>
          <w:lang w:val="es-ES"/>
        </w:rPr>
        <w:t>Guía para la comprensión e implementación de los Documentos Tipo de obra pública de infraestructura de transporte bajo las diferentes modalidades de contratación vigentes</w:t>
      </w:r>
      <w:r>
        <w:rPr>
          <w:rFonts w:ascii="Arial" w:eastAsia="Calibri" w:hAnsi="Arial" w:cs="Arial"/>
          <w:bCs/>
          <w:lang w:val="es-ES"/>
        </w:rPr>
        <w:t>”, los interesados en el proceso de selección deben denunciar ante las autoridades competentes las irregularidades que se presenten con la aplicación de los documentos tipo</w:t>
      </w:r>
      <w:r>
        <w:rPr>
          <w:rStyle w:val="Refdenotaalpie"/>
          <w:rFonts w:ascii="Arial" w:eastAsia="Calibri" w:hAnsi="Arial" w:cs="Arial"/>
          <w:lang w:eastAsia="es-ES" w:bidi="es-ES"/>
        </w:rPr>
        <w:footnoteReference w:id="12"/>
      </w:r>
      <w:r>
        <w:rPr>
          <w:rFonts w:ascii="Arial" w:eastAsia="Calibri" w:hAnsi="Arial" w:cs="Arial"/>
          <w:bCs/>
          <w:lang w:val="es-ES"/>
        </w:rPr>
        <w:t xml:space="preserve">. Esto aplica a las modificaciones del documento base, los anexos, los formatos, las matrices y los formularios, en los cuales la entidad contratante cambie su contenido violando el principio de inalterabilidad explicado </w:t>
      </w:r>
      <w:r w:rsidRPr="00702F8E">
        <w:rPr>
          <w:rFonts w:ascii="Arial" w:eastAsia="Calibri" w:hAnsi="Arial" w:cs="Arial"/>
          <w:bCs/>
          <w:i/>
          <w:iCs/>
          <w:lang w:val="es-ES"/>
        </w:rPr>
        <w:t>ut supra</w:t>
      </w:r>
      <w:r>
        <w:rPr>
          <w:rFonts w:ascii="Arial" w:eastAsia="Calibri" w:hAnsi="Arial" w:cs="Arial"/>
          <w:bCs/>
          <w:lang w:val="es-ES"/>
        </w:rPr>
        <w:t>.</w:t>
      </w:r>
    </w:p>
    <w:p w14:paraId="77EF6030" w14:textId="77777777" w:rsidR="00574A4F" w:rsidRDefault="00574A4F" w:rsidP="00574A4F">
      <w:pPr>
        <w:tabs>
          <w:tab w:val="left" w:pos="709"/>
        </w:tabs>
        <w:spacing w:after="120" w:line="276" w:lineRule="auto"/>
        <w:jc w:val="both"/>
        <w:rPr>
          <w:rFonts w:ascii="Arial" w:eastAsia="Calibri" w:hAnsi="Arial" w:cs="Arial"/>
          <w:bCs/>
        </w:rPr>
      </w:pPr>
      <w:r>
        <w:rPr>
          <w:rFonts w:ascii="Arial" w:eastAsia="Calibri" w:hAnsi="Arial" w:cs="Arial"/>
          <w:bCs/>
          <w:lang w:val="es-ES"/>
        </w:rPr>
        <w:tab/>
        <w:t>Sin perjuicio de las labores de seguimiento d</w:t>
      </w:r>
      <w:r w:rsidRPr="002B067A">
        <w:rPr>
          <w:rFonts w:ascii="Arial" w:eastAsia="Calibri" w:hAnsi="Arial" w:cs="Arial"/>
          <w:bCs/>
          <w:lang w:val="es-ES"/>
        </w:rPr>
        <w:t xml:space="preserve">el Observatorio Oficial de Contratación Estatal </w:t>
      </w:r>
      <w:r>
        <w:rPr>
          <w:rFonts w:ascii="Arial" w:eastAsia="Calibri" w:hAnsi="Arial" w:cs="Arial"/>
          <w:bCs/>
          <w:lang w:val="es-ES"/>
        </w:rPr>
        <w:t xml:space="preserve">sobre la adecuada implementación de los documentos tipo, </w:t>
      </w:r>
      <w:r w:rsidRPr="009F488D">
        <w:rPr>
          <w:rFonts w:ascii="Arial" w:eastAsia="Calibri" w:hAnsi="Arial" w:cs="Arial"/>
          <w:bCs/>
        </w:rPr>
        <w:t>el Decreto Ley 4170 de 2011</w:t>
      </w:r>
      <w:r>
        <w:rPr>
          <w:rFonts w:ascii="Arial" w:eastAsia="Calibri" w:hAnsi="Arial" w:cs="Arial"/>
          <w:bCs/>
        </w:rPr>
        <w:t>, “</w:t>
      </w:r>
      <w:r w:rsidRPr="009F488D">
        <w:rPr>
          <w:rFonts w:ascii="Arial" w:eastAsia="Calibri" w:hAnsi="Arial" w:cs="Arial"/>
          <w:bCs/>
        </w:rPr>
        <w:t xml:space="preserve">Por el cual se crea la Agencia Nacional de Contratación Pública </w:t>
      </w:r>
      <w:r>
        <w:rPr>
          <w:rFonts w:ascii="Arial" w:eastAsia="Calibri" w:hAnsi="Arial" w:cs="Arial"/>
          <w:bCs/>
        </w:rPr>
        <w:t xml:space="preserve">– </w:t>
      </w:r>
      <w:r w:rsidRPr="009F488D">
        <w:rPr>
          <w:rFonts w:ascii="Arial" w:eastAsia="Calibri" w:hAnsi="Arial" w:cs="Arial"/>
          <w:bCs/>
        </w:rPr>
        <w:t>Colombia Compra Eficiente, se determinan sus objetivos y estructura</w:t>
      </w:r>
      <w:r>
        <w:rPr>
          <w:rFonts w:ascii="Arial" w:eastAsia="Calibri" w:hAnsi="Arial" w:cs="Arial"/>
          <w:bCs/>
        </w:rPr>
        <w:t>”</w:t>
      </w:r>
      <w:r w:rsidRPr="009F488D">
        <w:rPr>
          <w:rFonts w:ascii="Arial" w:eastAsia="Calibri" w:hAnsi="Arial" w:cs="Arial"/>
          <w:bCs/>
        </w:rPr>
        <w:t xml:space="preserve">, no </w:t>
      </w:r>
      <w:r>
        <w:rPr>
          <w:rFonts w:ascii="Arial" w:eastAsia="Calibri" w:hAnsi="Arial" w:cs="Arial"/>
          <w:bCs/>
        </w:rPr>
        <w:t xml:space="preserve">atribuyó a la entidad </w:t>
      </w:r>
      <w:r w:rsidRPr="009F488D">
        <w:rPr>
          <w:rFonts w:ascii="Arial" w:eastAsia="Calibri" w:hAnsi="Arial" w:cs="Arial"/>
          <w:bCs/>
        </w:rPr>
        <w:t>competencias de control, investigación y seguimiento</w:t>
      </w:r>
      <w:r>
        <w:rPr>
          <w:rFonts w:ascii="Arial" w:eastAsia="Calibri" w:hAnsi="Arial" w:cs="Arial"/>
          <w:bCs/>
        </w:rPr>
        <w:t xml:space="preserve"> en la aplicación de los documentos tipo. Por ello, la </w:t>
      </w:r>
      <w:r>
        <w:rPr>
          <w:rFonts w:ascii="Arial" w:eastAsia="Calibri" w:hAnsi="Arial" w:cs="Arial"/>
          <w:bCs/>
        </w:rPr>
        <w:lastRenderedPageBreak/>
        <w:t xml:space="preserve">guía explica que la Agencia “[…] </w:t>
      </w:r>
      <w:r w:rsidRPr="000F2666">
        <w:rPr>
          <w:rFonts w:ascii="Arial" w:eastAsia="Calibri" w:hAnsi="Arial" w:cs="Arial"/>
          <w:bCs/>
        </w:rPr>
        <w:t>no es competente para sancionar el incumplimiento de la normativa,</w:t>
      </w:r>
      <w:r>
        <w:rPr>
          <w:rFonts w:ascii="Arial" w:eastAsia="Calibri" w:hAnsi="Arial" w:cs="Arial"/>
          <w:bCs/>
        </w:rPr>
        <w:t xml:space="preserve"> </w:t>
      </w:r>
      <w:r w:rsidRPr="000F2666">
        <w:rPr>
          <w:rFonts w:ascii="Arial" w:eastAsia="Calibri" w:hAnsi="Arial" w:cs="Arial"/>
          <w:bCs/>
        </w:rPr>
        <w:t>y por ello su labor se limita a impartir políticas públicas en temas de contratación estatal y hacer el</w:t>
      </w:r>
      <w:r>
        <w:rPr>
          <w:rFonts w:ascii="Arial" w:eastAsia="Calibri" w:hAnsi="Arial" w:cs="Arial"/>
          <w:bCs/>
        </w:rPr>
        <w:t xml:space="preserve"> </w:t>
      </w:r>
      <w:r w:rsidRPr="000F2666">
        <w:rPr>
          <w:rFonts w:ascii="Arial" w:eastAsia="Calibri" w:hAnsi="Arial" w:cs="Arial"/>
          <w:bCs/>
        </w:rPr>
        <w:t>seguimiento estadístico a la implementación de los documentos tipo</w:t>
      </w:r>
      <w:r>
        <w:rPr>
          <w:rFonts w:ascii="Arial" w:eastAsia="Calibri" w:hAnsi="Arial" w:cs="Arial"/>
          <w:bCs/>
        </w:rPr>
        <w:t>”</w:t>
      </w:r>
      <w:r>
        <w:rPr>
          <w:rStyle w:val="Refdenotaalpie"/>
          <w:rFonts w:ascii="Arial" w:eastAsia="Calibri" w:hAnsi="Arial" w:cs="Arial"/>
          <w:bCs/>
        </w:rPr>
        <w:footnoteReference w:id="13"/>
      </w:r>
      <w:r>
        <w:rPr>
          <w:rFonts w:ascii="Arial" w:eastAsia="Calibri" w:hAnsi="Arial" w:cs="Arial"/>
          <w:bCs/>
        </w:rPr>
        <w:t>.</w:t>
      </w:r>
    </w:p>
    <w:p w14:paraId="354A146A" w14:textId="77777777" w:rsidR="00574A4F" w:rsidRDefault="00574A4F" w:rsidP="00574A4F">
      <w:pPr>
        <w:spacing w:after="0" w:line="276" w:lineRule="auto"/>
        <w:ind w:firstLine="708"/>
        <w:jc w:val="both"/>
        <w:rPr>
          <w:rStyle w:val="normaltextrun"/>
          <w:rFonts w:ascii="Arial" w:hAnsi="Arial" w:cs="Arial"/>
          <w:color w:val="000000"/>
          <w:shd w:val="clear" w:color="auto" w:fill="FFFFFF"/>
        </w:rPr>
      </w:pPr>
      <w:r>
        <w:rPr>
          <w:rFonts w:ascii="Arial" w:eastAsia="Calibri" w:hAnsi="Arial" w:cs="Arial"/>
          <w:bCs/>
        </w:rPr>
        <w:t xml:space="preserve">Por estas razones, sea que afecten el contrato, el procedimiento de selección o al funcionario encargado de adelantarlo, </w:t>
      </w:r>
      <w:r>
        <w:rPr>
          <w:rStyle w:val="normaltextrun"/>
          <w:rFonts w:ascii="Arial" w:hAnsi="Arial" w:cs="Arial"/>
          <w:color w:val="000000"/>
          <w:shd w:val="clear" w:color="auto" w:fill="FFFFFF"/>
        </w:rPr>
        <w:t xml:space="preserve">Colombia Compra Eficiente carece de atribuciones para determinar las consecuencias jurídicas que produce la violación del principio de inalterabilidad. Esto en la medida que la calificación de posibles vicios de invalidantes o la investigación de presuntas faltas disciplinarias corresponde a las autoridades judiciales y de control, respectivamente. </w:t>
      </w:r>
    </w:p>
    <w:p w14:paraId="75FDED76" w14:textId="77777777" w:rsidR="00574A4F" w:rsidRDefault="00574A4F" w:rsidP="00574A4F">
      <w:pPr>
        <w:spacing w:after="0" w:line="276" w:lineRule="auto"/>
        <w:ind w:firstLine="708"/>
        <w:jc w:val="both"/>
        <w:rPr>
          <w:rStyle w:val="normaltextrun"/>
          <w:rFonts w:ascii="Arial" w:hAnsi="Arial" w:cs="Arial"/>
          <w:color w:val="000000"/>
          <w:shd w:val="clear" w:color="auto" w:fill="FFFFFF"/>
        </w:rPr>
      </w:pPr>
    </w:p>
    <w:p w14:paraId="298BC898" w14:textId="77777777" w:rsidR="00574A4F" w:rsidRPr="00E2580C" w:rsidRDefault="00574A4F" w:rsidP="00574A4F">
      <w:pPr>
        <w:spacing w:after="0" w:line="276" w:lineRule="auto"/>
        <w:jc w:val="both"/>
        <w:rPr>
          <w:rStyle w:val="normaltextrun"/>
          <w:rFonts w:ascii="Arial" w:hAnsi="Arial" w:cs="Arial"/>
          <w:b/>
          <w:bCs/>
          <w:color w:val="000000"/>
          <w:shd w:val="clear" w:color="auto" w:fill="FFFFFF"/>
        </w:rPr>
      </w:pPr>
      <w:r w:rsidRPr="00E2580C">
        <w:rPr>
          <w:rStyle w:val="normaltextrun"/>
          <w:rFonts w:ascii="Arial" w:hAnsi="Arial" w:cs="Arial"/>
          <w:b/>
          <w:bCs/>
          <w:color w:val="000000"/>
          <w:shd w:val="clear" w:color="auto" w:fill="FFFFFF"/>
        </w:rPr>
        <w:t xml:space="preserve">2.3. </w:t>
      </w:r>
      <w:bookmarkStart w:id="14" w:name="_Hlk143270814"/>
      <w:r w:rsidRPr="00E2580C">
        <w:rPr>
          <w:rStyle w:val="normaltextrun"/>
          <w:rFonts w:ascii="Arial" w:hAnsi="Arial" w:cs="Arial"/>
          <w:b/>
          <w:bCs/>
          <w:color w:val="000000"/>
          <w:shd w:val="clear" w:color="auto" w:fill="FFFFFF"/>
        </w:rPr>
        <w:t>Régimen de las garantías en la contratación estatal y en los documentos tipo</w:t>
      </w:r>
      <w:bookmarkEnd w:id="14"/>
    </w:p>
    <w:p w14:paraId="729B4B74" w14:textId="77777777" w:rsidR="00574A4F" w:rsidRDefault="00574A4F" w:rsidP="00574A4F">
      <w:pPr>
        <w:spacing w:after="0" w:line="276" w:lineRule="auto"/>
        <w:jc w:val="both"/>
        <w:rPr>
          <w:rStyle w:val="normaltextrun"/>
          <w:rFonts w:ascii="Arial" w:hAnsi="Arial" w:cs="Arial"/>
          <w:color w:val="000000"/>
          <w:shd w:val="clear" w:color="auto" w:fill="FFFFFF"/>
        </w:rPr>
      </w:pPr>
    </w:p>
    <w:p w14:paraId="4AAA91FB" w14:textId="77777777" w:rsidR="00574A4F" w:rsidRDefault="00574A4F" w:rsidP="00574A4F">
      <w:pPr>
        <w:spacing w:after="0" w:line="276" w:lineRule="auto"/>
        <w:jc w:val="both"/>
        <w:rPr>
          <w:rFonts w:ascii="Arial" w:eastAsia="Calibri" w:hAnsi="Arial" w:cs="Arial"/>
          <w:color w:val="000000" w:themeColor="text1"/>
          <w:lang w:val="es-ES"/>
        </w:rPr>
      </w:pPr>
      <w:r>
        <w:rPr>
          <w:rFonts w:ascii="Arial" w:hAnsi="Arial" w:cs="Arial"/>
          <w:color w:val="000000"/>
          <w:shd w:val="clear" w:color="auto" w:fill="FFFFFF"/>
        </w:rPr>
        <w:t>Por regla</w:t>
      </w:r>
      <w:r w:rsidRPr="0059064D">
        <w:rPr>
          <w:rFonts w:ascii="Arial" w:hAnsi="Arial" w:cs="Arial"/>
          <w:color w:val="000000"/>
          <w:shd w:val="clear" w:color="auto" w:fill="FFFFFF"/>
        </w:rPr>
        <w:t xml:space="preserve">, para seleccionar contratistas y para </w:t>
      </w:r>
      <w:r>
        <w:rPr>
          <w:rFonts w:ascii="Arial" w:hAnsi="Arial" w:cs="Arial"/>
          <w:color w:val="000000"/>
          <w:shd w:val="clear" w:color="auto" w:fill="FFFFFF"/>
        </w:rPr>
        <w:t>ejecutar</w:t>
      </w:r>
      <w:r w:rsidRPr="0059064D">
        <w:rPr>
          <w:rFonts w:ascii="Arial" w:hAnsi="Arial" w:cs="Arial"/>
          <w:color w:val="000000"/>
          <w:shd w:val="clear" w:color="auto" w:fill="FFFFFF"/>
        </w:rPr>
        <w:t xml:space="preserve"> contratos se requiere la constitución de garantías. </w:t>
      </w:r>
      <w:bookmarkStart w:id="15" w:name="_Hlk47893233"/>
      <w:r>
        <w:rPr>
          <w:rFonts w:ascii="Arial" w:hAnsi="Arial" w:cs="Arial"/>
          <w:color w:val="000000"/>
          <w:shd w:val="clear" w:color="auto" w:fill="FFFFFF"/>
        </w:rPr>
        <w:t>Por un lado, l</w:t>
      </w:r>
      <w:r>
        <w:rPr>
          <w:rFonts w:ascii="Arial" w:eastAsia="Calibri" w:hAnsi="Arial" w:cs="Arial"/>
          <w:color w:val="000000" w:themeColor="text1"/>
          <w:lang w:val="es-ES"/>
        </w:rPr>
        <w:t xml:space="preserve">a </w:t>
      </w:r>
      <w:r w:rsidRPr="004004EF">
        <w:rPr>
          <w:rFonts w:ascii="Arial" w:eastAsia="Calibri" w:hAnsi="Arial" w:cs="Arial"/>
          <w:i/>
          <w:iCs/>
          <w:color w:val="000000" w:themeColor="text1"/>
          <w:lang w:val="es-ES"/>
        </w:rPr>
        <w:t>garantía de seriedad</w:t>
      </w:r>
      <w:r w:rsidRPr="00386009">
        <w:rPr>
          <w:rFonts w:ascii="Arial" w:eastAsia="Calibri" w:hAnsi="Arial" w:cs="Arial"/>
          <w:color w:val="000000" w:themeColor="text1"/>
          <w:lang w:val="es-ES"/>
        </w:rPr>
        <w:t xml:space="preserve"> respalda al principio de irrevocabilidad de la oferta, caso en el cual los proponentes que pierdan interés en la adjudicación resarcir</w:t>
      </w:r>
      <w:r>
        <w:rPr>
          <w:rFonts w:ascii="Arial" w:eastAsia="Calibri" w:hAnsi="Arial" w:cs="Arial"/>
          <w:color w:val="000000" w:themeColor="text1"/>
          <w:lang w:val="es-ES"/>
        </w:rPr>
        <w:t>án</w:t>
      </w:r>
      <w:r w:rsidRPr="00386009">
        <w:rPr>
          <w:rFonts w:ascii="Arial" w:eastAsia="Calibri" w:hAnsi="Arial" w:cs="Arial"/>
          <w:color w:val="000000" w:themeColor="text1"/>
          <w:lang w:val="es-ES"/>
        </w:rPr>
        <w:t xml:space="preserve"> los perjuicios causados por su retiro del proceso de selección. Naturalmente, </w:t>
      </w:r>
      <w:r>
        <w:rPr>
          <w:rFonts w:ascii="Arial" w:eastAsia="Calibri" w:hAnsi="Arial" w:cs="Arial"/>
          <w:color w:val="000000" w:themeColor="text1"/>
          <w:lang w:val="es-ES"/>
        </w:rPr>
        <w:t>esta</w:t>
      </w:r>
      <w:r w:rsidRPr="00386009">
        <w:rPr>
          <w:rFonts w:ascii="Arial" w:eastAsia="Calibri" w:hAnsi="Arial" w:cs="Arial"/>
          <w:color w:val="000000" w:themeColor="text1"/>
          <w:lang w:val="es-ES"/>
        </w:rPr>
        <w:t xml:space="preserve"> garantía solo la constituyen quienes presenten</w:t>
      </w:r>
      <w:r>
        <w:rPr>
          <w:rFonts w:ascii="Arial" w:eastAsia="Calibri" w:hAnsi="Arial" w:cs="Arial"/>
          <w:color w:val="000000" w:themeColor="text1"/>
          <w:lang w:val="es-ES"/>
        </w:rPr>
        <w:t xml:space="preserve"> las</w:t>
      </w:r>
      <w:r w:rsidRPr="00386009">
        <w:rPr>
          <w:rFonts w:ascii="Arial" w:eastAsia="Calibri" w:hAnsi="Arial" w:cs="Arial"/>
          <w:color w:val="000000" w:themeColor="text1"/>
          <w:lang w:val="es-ES"/>
        </w:rPr>
        <w:t xml:space="preserve"> </w:t>
      </w:r>
      <w:r>
        <w:rPr>
          <w:rFonts w:ascii="Arial" w:eastAsia="Calibri" w:hAnsi="Arial" w:cs="Arial"/>
          <w:color w:val="000000" w:themeColor="text1"/>
          <w:lang w:val="es-ES"/>
        </w:rPr>
        <w:t>propuestas</w:t>
      </w:r>
      <w:r w:rsidRPr="00386009">
        <w:rPr>
          <w:rFonts w:ascii="Arial" w:eastAsia="Calibri" w:hAnsi="Arial" w:cs="Arial"/>
          <w:color w:val="000000" w:themeColor="text1"/>
          <w:lang w:val="es-ES"/>
        </w:rPr>
        <w:t>, motivo por el cual sus efectos no se extienden a personas ajenas a la actividad precontractual; sin perjuicio de que la póliza sea un mecanismo conminatorio, en la medida en que obliga a celebra</w:t>
      </w:r>
      <w:r>
        <w:rPr>
          <w:rFonts w:ascii="Arial" w:eastAsia="Calibri" w:hAnsi="Arial" w:cs="Arial"/>
          <w:color w:val="000000" w:themeColor="text1"/>
          <w:lang w:val="es-ES"/>
        </w:rPr>
        <w:t>r e</w:t>
      </w:r>
      <w:r w:rsidRPr="00386009">
        <w:rPr>
          <w:rFonts w:ascii="Arial" w:eastAsia="Calibri" w:hAnsi="Arial" w:cs="Arial"/>
          <w:color w:val="000000" w:themeColor="text1"/>
          <w:lang w:val="es-ES"/>
        </w:rPr>
        <w:t xml:space="preserve">l contrato, so pena de hacerla efectiva. De esta manera, la exigencia permite que solo se presenten personas con la capacidad técnica y financiera suficiente para ejecutarlo en caso de adjudicación, desestimulando la presentación de ofertas </w:t>
      </w:r>
      <w:r>
        <w:rPr>
          <w:rFonts w:ascii="Arial" w:eastAsia="Calibri" w:hAnsi="Arial" w:cs="Arial"/>
          <w:color w:val="000000" w:themeColor="text1"/>
          <w:lang w:val="es-ES"/>
        </w:rPr>
        <w:t xml:space="preserve">que </w:t>
      </w:r>
      <w:r w:rsidRPr="00386009">
        <w:rPr>
          <w:rFonts w:ascii="Arial" w:eastAsia="Calibri" w:hAnsi="Arial" w:cs="Arial"/>
          <w:color w:val="000000" w:themeColor="text1"/>
          <w:lang w:val="es-ES"/>
        </w:rPr>
        <w:t xml:space="preserve">no </w:t>
      </w:r>
      <w:r>
        <w:rPr>
          <w:rFonts w:ascii="Arial" w:eastAsia="Calibri" w:hAnsi="Arial" w:cs="Arial"/>
          <w:color w:val="000000" w:themeColor="text1"/>
          <w:lang w:val="es-ES"/>
        </w:rPr>
        <w:t xml:space="preserve">son </w:t>
      </w:r>
      <w:r w:rsidRPr="00386009">
        <w:rPr>
          <w:rFonts w:ascii="Arial" w:eastAsia="Calibri" w:hAnsi="Arial" w:cs="Arial"/>
          <w:color w:val="000000" w:themeColor="text1"/>
          <w:lang w:val="es-ES"/>
        </w:rPr>
        <w:t>serias, cuy</w:t>
      </w:r>
      <w:r>
        <w:rPr>
          <w:rFonts w:ascii="Arial" w:eastAsia="Calibri" w:hAnsi="Arial" w:cs="Arial"/>
          <w:color w:val="000000" w:themeColor="text1"/>
          <w:lang w:val="es-ES"/>
        </w:rPr>
        <w:t xml:space="preserve">a evaluación </w:t>
      </w:r>
      <w:r w:rsidRPr="00386009">
        <w:rPr>
          <w:rFonts w:ascii="Arial" w:eastAsia="Calibri" w:hAnsi="Arial" w:cs="Arial"/>
          <w:color w:val="000000" w:themeColor="text1"/>
          <w:lang w:val="es-ES"/>
        </w:rPr>
        <w:t>entorpece la buena marcha de la Administración, y en especial la celeridad y eficiencia de los proce</w:t>
      </w:r>
      <w:r>
        <w:rPr>
          <w:rFonts w:ascii="Arial" w:eastAsia="Calibri" w:hAnsi="Arial" w:cs="Arial"/>
          <w:color w:val="000000" w:themeColor="text1"/>
          <w:lang w:val="es-ES"/>
        </w:rPr>
        <w:t xml:space="preserve">dimientos </w:t>
      </w:r>
      <w:r w:rsidRPr="00386009">
        <w:rPr>
          <w:rFonts w:ascii="Arial" w:eastAsia="Calibri" w:hAnsi="Arial" w:cs="Arial"/>
          <w:color w:val="000000" w:themeColor="text1"/>
          <w:lang w:val="es-ES"/>
        </w:rPr>
        <w:t>contractuales</w:t>
      </w:r>
      <w:bookmarkEnd w:id="15"/>
      <w:r w:rsidRPr="00386009">
        <w:rPr>
          <w:rStyle w:val="Refdenotaalpie"/>
          <w:rFonts w:ascii="Arial" w:eastAsia="Calibri" w:hAnsi="Arial" w:cs="Arial"/>
          <w:color w:val="000000" w:themeColor="text1"/>
        </w:rPr>
        <w:footnoteReference w:id="14"/>
      </w:r>
      <w:r w:rsidRPr="00386009">
        <w:rPr>
          <w:rFonts w:ascii="Arial" w:eastAsia="Calibri" w:hAnsi="Arial" w:cs="Arial"/>
          <w:color w:val="000000" w:themeColor="text1"/>
          <w:lang w:val="es-ES"/>
        </w:rPr>
        <w:t>.</w:t>
      </w:r>
      <w:r>
        <w:rPr>
          <w:rFonts w:ascii="Arial" w:eastAsia="Calibri" w:hAnsi="Arial" w:cs="Arial"/>
          <w:color w:val="000000" w:themeColor="text1"/>
          <w:lang w:val="es-ES"/>
        </w:rPr>
        <w:t xml:space="preserve"> </w:t>
      </w:r>
      <w:r w:rsidRPr="00386009">
        <w:rPr>
          <w:rFonts w:ascii="Arial" w:eastAsia="Calibri" w:hAnsi="Arial" w:cs="Arial"/>
          <w:color w:val="000000" w:themeColor="text1"/>
          <w:lang w:val="es-ES"/>
        </w:rPr>
        <w:t>Sobre este aspecto, la doctrina explica que:</w:t>
      </w:r>
    </w:p>
    <w:p w14:paraId="0CAF394E" w14:textId="77777777" w:rsidR="00574A4F" w:rsidRPr="00386009" w:rsidRDefault="00574A4F" w:rsidP="00574A4F">
      <w:pPr>
        <w:spacing w:after="0" w:line="276" w:lineRule="auto"/>
        <w:jc w:val="both"/>
        <w:rPr>
          <w:rFonts w:ascii="Arial" w:eastAsia="Calibri" w:hAnsi="Arial" w:cs="Arial"/>
          <w:color w:val="000000" w:themeColor="text1"/>
          <w:lang w:val="es-ES"/>
        </w:rPr>
      </w:pPr>
    </w:p>
    <w:p w14:paraId="39362720" w14:textId="77777777" w:rsidR="00574A4F" w:rsidRPr="00386009" w:rsidRDefault="00574A4F" w:rsidP="00574A4F">
      <w:pPr>
        <w:spacing w:after="0" w:line="240" w:lineRule="auto"/>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Pr="00386009">
        <w:rPr>
          <w:rFonts w:ascii="Arial" w:eastAsia="Calibri" w:hAnsi="Arial" w:cs="Arial"/>
          <w:color w:val="000000" w:themeColor="text1"/>
          <w:sz w:val="21"/>
          <w:szCs w:val="21"/>
          <w:lang w:val="es-ES"/>
        </w:rPr>
        <w:t xml:space="preserve">Las </w:t>
      </w:r>
      <w:r w:rsidRPr="00386009">
        <w:rPr>
          <w:rFonts w:ascii="Arial" w:eastAsia="Calibri" w:hAnsi="Arial" w:cs="Arial"/>
          <w:i/>
          <w:iCs/>
          <w:color w:val="000000" w:themeColor="text1"/>
          <w:sz w:val="21"/>
          <w:szCs w:val="21"/>
          <w:lang w:val="es-ES"/>
        </w:rPr>
        <w:t>garantías provisionales</w:t>
      </w:r>
      <w:r w:rsidRPr="00386009">
        <w:rPr>
          <w:rFonts w:ascii="Arial" w:eastAsia="Calibri" w:hAnsi="Arial" w:cs="Arial"/>
          <w:color w:val="000000" w:themeColor="text1"/>
          <w:sz w:val="21"/>
          <w:szCs w:val="21"/>
          <w:lang w:val="es-ES"/>
        </w:rPr>
        <w:t xml:space="preserve"> “avalan la solemnidad de la oferta por parte del contratista”; constituyen una seña </w:t>
      </w:r>
      <w:proofErr w:type="spellStart"/>
      <w:r w:rsidRPr="00386009">
        <w:rPr>
          <w:rFonts w:ascii="Arial" w:eastAsia="Calibri" w:hAnsi="Arial" w:cs="Arial"/>
          <w:color w:val="000000" w:themeColor="text1"/>
          <w:sz w:val="21"/>
          <w:szCs w:val="21"/>
          <w:lang w:val="es-ES"/>
        </w:rPr>
        <w:t>pre-contractual</w:t>
      </w:r>
      <w:proofErr w:type="spellEnd"/>
      <w:r w:rsidRPr="00386009">
        <w:rPr>
          <w:rFonts w:ascii="Arial" w:eastAsia="Calibri" w:hAnsi="Arial" w:cs="Arial"/>
          <w:color w:val="000000" w:themeColor="text1"/>
          <w:sz w:val="21"/>
          <w:szCs w:val="21"/>
          <w:lang w:val="es-ES"/>
        </w:rPr>
        <w:t xml:space="preserve"> destinada a </w:t>
      </w:r>
      <w:r w:rsidRPr="00386009">
        <w:rPr>
          <w:rFonts w:ascii="Arial" w:eastAsia="Calibri" w:hAnsi="Arial" w:cs="Arial"/>
          <w:i/>
          <w:iCs/>
          <w:color w:val="000000" w:themeColor="text1"/>
          <w:sz w:val="21"/>
          <w:szCs w:val="21"/>
          <w:lang w:val="es-ES"/>
        </w:rPr>
        <w:t>asegurar la celebración del contrato</w:t>
      </w:r>
      <w:r w:rsidRPr="00386009">
        <w:rPr>
          <w:rFonts w:ascii="Arial" w:eastAsia="Calibri" w:hAnsi="Arial" w:cs="Arial"/>
          <w:color w:val="000000" w:themeColor="text1"/>
          <w:sz w:val="21"/>
          <w:szCs w:val="21"/>
          <w:lang w:val="es-ES"/>
        </w:rPr>
        <w:t xml:space="preserve">, no su cumplimiento. La administración procede a devolver a los oferentes no adjudicatarios, y a transformar en definitiva respecto al adjudicatario, las garantías provisionales, deduciéndose entonces que las </w:t>
      </w:r>
      <w:r w:rsidRPr="00386009">
        <w:rPr>
          <w:rFonts w:ascii="Arial" w:eastAsia="Calibri" w:hAnsi="Arial" w:cs="Arial"/>
          <w:i/>
          <w:iCs/>
          <w:color w:val="000000" w:themeColor="text1"/>
          <w:sz w:val="21"/>
          <w:szCs w:val="21"/>
          <w:lang w:val="es-ES"/>
        </w:rPr>
        <w:t>arras</w:t>
      </w:r>
      <w:r w:rsidRPr="00386009">
        <w:rPr>
          <w:rFonts w:ascii="Arial" w:eastAsia="Calibri" w:hAnsi="Arial" w:cs="Arial"/>
          <w:color w:val="000000" w:themeColor="text1"/>
          <w:sz w:val="21"/>
          <w:szCs w:val="21"/>
          <w:lang w:val="es-ES"/>
        </w:rPr>
        <w:t xml:space="preserve"> no forman parte del precio, ni son por tanto arras confirmatorias […], sino puramente penitenciales […] como garantías y compensación del </w:t>
      </w:r>
      <w:r w:rsidRPr="00386009">
        <w:rPr>
          <w:rFonts w:ascii="Arial" w:eastAsia="Calibri" w:hAnsi="Arial" w:cs="Arial"/>
          <w:i/>
          <w:iCs/>
          <w:color w:val="000000" w:themeColor="text1"/>
          <w:sz w:val="21"/>
          <w:szCs w:val="21"/>
          <w:lang w:val="es-ES"/>
        </w:rPr>
        <w:t xml:space="preserve">ius </w:t>
      </w:r>
      <w:proofErr w:type="spellStart"/>
      <w:r w:rsidRPr="00386009">
        <w:rPr>
          <w:rFonts w:ascii="Arial" w:eastAsia="Calibri" w:hAnsi="Arial" w:cs="Arial"/>
          <w:i/>
          <w:iCs/>
          <w:color w:val="000000" w:themeColor="text1"/>
          <w:sz w:val="21"/>
          <w:szCs w:val="21"/>
          <w:lang w:val="es-ES"/>
        </w:rPr>
        <w:t>poenitendi</w:t>
      </w:r>
      <w:proofErr w:type="spellEnd"/>
      <w:r w:rsidRPr="00386009">
        <w:rPr>
          <w:rFonts w:ascii="Arial" w:eastAsia="Calibri" w:hAnsi="Arial" w:cs="Arial"/>
          <w:color w:val="000000" w:themeColor="text1"/>
          <w:sz w:val="21"/>
          <w:szCs w:val="21"/>
          <w:lang w:val="es-ES"/>
        </w:rPr>
        <w:t xml:space="preserve"> del licitante. Son, en consecuencia, “la medida de la responsabilidad </w:t>
      </w:r>
      <w:proofErr w:type="spellStart"/>
      <w:r w:rsidRPr="00386009">
        <w:rPr>
          <w:rFonts w:ascii="Arial" w:eastAsia="Calibri" w:hAnsi="Arial" w:cs="Arial"/>
          <w:color w:val="000000" w:themeColor="text1"/>
          <w:sz w:val="21"/>
          <w:szCs w:val="21"/>
          <w:lang w:val="es-ES"/>
        </w:rPr>
        <w:t>pre-contractual</w:t>
      </w:r>
      <w:proofErr w:type="spellEnd"/>
      <w:r w:rsidRPr="00386009">
        <w:rPr>
          <w:rFonts w:ascii="Arial" w:eastAsia="Calibri" w:hAnsi="Arial" w:cs="Arial"/>
          <w:color w:val="000000" w:themeColor="text1"/>
          <w:sz w:val="21"/>
          <w:szCs w:val="21"/>
          <w:lang w:val="es-ES"/>
        </w:rPr>
        <w:t xml:space="preserve"> del oferente”; o, más bien, la garantía de oferta representa en definitiva la medida de la responsabilidad</w:t>
      </w:r>
      <w:r>
        <w:rPr>
          <w:rFonts w:ascii="Arial" w:eastAsia="Calibri" w:hAnsi="Arial" w:cs="Arial"/>
          <w:color w:val="000000" w:themeColor="text1"/>
          <w:sz w:val="21"/>
          <w:szCs w:val="21"/>
          <w:lang w:val="es-ES"/>
        </w:rPr>
        <w:t>”</w:t>
      </w:r>
      <w:r w:rsidRPr="00386009">
        <w:rPr>
          <w:rStyle w:val="Refdenotaalpie"/>
          <w:rFonts w:ascii="Arial" w:eastAsia="Calibri" w:hAnsi="Arial" w:cs="Arial"/>
          <w:color w:val="000000" w:themeColor="text1"/>
          <w:sz w:val="21"/>
          <w:szCs w:val="21"/>
        </w:rPr>
        <w:footnoteReference w:id="15"/>
      </w:r>
      <w:r w:rsidRPr="00386009">
        <w:rPr>
          <w:rFonts w:ascii="Arial" w:eastAsia="Calibri" w:hAnsi="Arial" w:cs="Arial"/>
          <w:color w:val="000000" w:themeColor="text1"/>
          <w:sz w:val="21"/>
          <w:szCs w:val="21"/>
          <w:lang w:val="es-ES"/>
        </w:rPr>
        <w:t xml:space="preserve">. (Cursivas dentro del texto)   </w:t>
      </w:r>
    </w:p>
    <w:p w14:paraId="6D87BC88" w14:textId="77777777" w:rsidR="00574A4F" w:rsidRDefault="00574A4F" w:rsidP="00574A4F">
      <w:pPr>
        <w:spacing w:after="0" w:line="276" w:lineRule="auto"/>
        <w:jc w:val="both"/>
        <w:rPr>
          <w:rFonts w:ascii="Arial" w:eastAsia="Calibri" w:hAnsi="Arial" w:cs="Arial"/>
          <w:color w:val="000000" w:themeColor="text1"/>
          <w:lang w:val="es-ES"/>
        </w:rPr>
      </w:pPr>
    </w:p>
    <w:p w14:paraId="0B58994E" w14:textId="77777777" w:rsidR="00574A4F" w:rsidRPr="007E4AB0" w:rsidRDefault="00574A4F" w:rsidP="00574A4F">
      <w:pPr>
        <w:spacing w:after="120" w:line="276" w:lineRule="auto"/>
        <w:ind w:firstLine="709"/>
        <w:jc w:val="both"/>
        <w:rPr>
          <w:rFonts w:ascii="Arial" w:eastAsia="Calibri" w:hAnsi="Arial" w:cs="Arial"/>
          <w:color w:val="000000" w:themeColor="text1"/>
          <w:lang w:val="es-ES"/>
        </w:rPr>
      </w:pPr>
      <w:r>
        <w:rPr>
          <w:rFonts w:ascii="Arial" w:eastAsia="Calibri" w:hAnsi="Arial" w:cs="Arial"/>
          <w:color w:val="000000" w:themeColor="text1"/>
          <w:lang w:val="es-ES"/>
        </w:rPr>
        <w:lastRenderedPageBreak/>
        <w:t xml:space="preserve">En contraste, mediante la </w:t>
      </w:r>
      <w:r w:rsidRPr="00773E59">
        <w:rPr>
          <w:rFonts w:ascii="Arial" w:eastAsia="Calibri" w:hAnsi="Arial" w:cs="Arial"/>
          <w:i/>
          <w:iCs/>
          <w:color w:val="000000" w:themeColor="text1"/>
          <w:lang w:val="es-ES"/>
        </w:rPr>
        <w:t>garantía de única de cumplimiento</w:t>
      </w:r>
      <w:r>
        <w:rPr>
          <w:rFonts w:ascii="Arial" w:eastAsia="Calibri" w:hAnsi="Arial" w:cs="Arial"/>
          <w:color w:val="000000" w:themeColor="text1"/>
          <w:lang w:val="es-ES"/>
        </w:rPr>
        <w:t>, el contratista ampara los perjuicios que le pueda generar a la entidad el incumplimiento de las obligaciones derivadas del contrato</w:t>
      </w:r>
      <w:r>
        <w:rPr>
          <w:rStyle w:val="Refdenotaalpie"/>
          <w:rFonts w:ascii="Arial" w:eastAsia="Calibri" w:hAnsi="Arial" w:cs="Arial"/>
          <w:color w:val="000000" w:themeColor="text1"/>
        </w:rPr>
        <w:footnoteReference w:id="16"/>
      </w:r>
      <w:r>
        <w:rPr>
          <w:rFonts w:ascii="Arial" w:eastAsia="Calibri" w:hAnsi="Arial" w:cs="Arial"/>
          <w:color w:val="000000" w:themeColor="text1"/>
          <w:lang w:val="es-ES"/>
        </w:rPr>
        <w:t xml:space="preserve">. En esta medida, tienen como objetivo reparar los perjuicios causados por conductas atribuibles al contratista, por lo que estos últimos son un presupuesto necesario para el pago que cubre la garantía. </w:t>
      </w:r>
      <w:r w:rsidRPr="008F1741">
        <w:rPr>
          <w:rFonts w:ascii="Arial" w:hAnsi="Arial" w:cs="Arial"/>
          <w:color w:val="000000" w:themeColor="text1"/>
          <w:lang w:val="es-ES_tradnl"/>
        </w:rPr>
        <w:t>Para estos efectos</w:t>
      </w:r>
      <w:r>
        <w:rPr>
          <w:rFonts w:ascii="Arial" w:hAnsi="Arial" w:cs="Arial"/>
          <w:color w:val="000000" w:themeColor="text1"/>
          <w:lang w:val="es-ES_tradnl"/>
        </w:rPr>
        <w:t xml:space="preserve"> es única, ya que</w:t>
      </w:r>
      <w:r w:rsidRPr="008F1741">
        <w:rPr>
          <w:rFonts w:ascii="Arial" w:hAnsi="Arial" w:cs="Arial"/>
          <w:color w:val="000000" w:themeColor="text1"/>
          <w:lang w:val="es-ES_tradnl"/>
        </w:rPr>
        <w:t xml:space="preserve"> </w:t>
      </w:r>
      <w:r>
        <w:rPr>
          <w:rFonts w:ascii="Arial" w:hAnsi="Arial" w:cs="Arial"/>
          <w:color w:val="000000" w:themeColor="text1"/>
          <w:lang w:val="es-ES_tradnl"/>
        </w:rPr>
        <w:t>“</w:t>
      </w:r>
      <w:r w:rsidRPr="008F1741">
        <w:rPr>
          <w:rFonts w:ascii="Arial" w:hAnsi="Arial" w:cs="Arial"/>
          <w:color w:val="000000" w:themeColor="text1"/>
          <w:lang w:val="es-ES_tradnl"/>
        </w:rPr>
        <w:t>[…] La prioridad […] es que no haya garantías separadas para los diferentes riesgos, aunque existan varias garantías para diferentes proporciones del interés asegurado […]</w:t>
      </w:r>
      <w:r>
        <w:rPr>
          <w:rFonts w:ascii="Arial" w:hAnsi="Arial" w:cs="Arial"/>
          <w:color w:val="000000" w:themeColor="text1"/>
          <w:lang w:val="es-ES_tradnl"/>
        </w:rPr>
        <w:t>”</w:t>
      </w:r>
      <w:r w:rsidRPr="008F1741">
        <w:rPr>
          <w:rStyle w:val="Refdenotaalpie"/>
          <w:rFonts w:ascii="Arial" w:hAnsi="Arial" w:cs="Arial"/>
          <w:color w:val="000000" w:themeColor="text1"/>
          <w:lang w:val="es-ES_tradnl"/>
        </w:rPr>
        <w:footnoteReference w:id="17"/>
      </w:r>
      <w:r w:rsidRPr="008F1741">
        <w:rPr>
          <w:rFonts w:ascii="Arial" w:hAnsi="Arial" w:cs="Arial"/>
          <w:color w:val="000000" w:themeColor="text1"/>
          <w:lang w:val="es-ES_tradnl"/>
        </w:rPr>
        <w:t xml:space="preserve">.    </w:t>
      </w:r>
    </w:p>
    <w:p w14:paraId="60FE0E64" w14:textId="77777777" w:rsidR="00574A4F" w:rsidRDefault="00574A4F" w:rsidP="00574A4F">
      <w:pPr>
        <w:spacing w:after="120" w:line="276" w:lineRule="auto"/>
        <w:ind w:firstLine="708"/>
        <w:jc w:val="both"/>
        <w:rPr>
          <w:rFonts w:ascii="Arial" w:hAnsi="Arial" w:cs="Arial"/>
          <w:color w:val="000000" w:themeColor="text1"/>
          <w:lang w:val="es-ES_tradnl"/>
        </w:rPr>
      </w:pPr>
      <w:r w:rsidRPr="0059064D">
        <w:rPr>
          <w:rFonts w:ascii="Arial" w:hAnsi="Arial" w:cs="Arial"/>
          <w:color w:val="000000" w:themeColor="text1"/>
          <w:lang w:val="es-ES_tradnl"/>
        </w:rPr>
        <w:t>Desde esta perspectiva, ambas</w:t>
      </w:r>
      <w:r>
        <w:rPr>
          <w:rFonts w:ascii="Arial" w:hAnsi="Arial" w:cs="Arial"/>
          <w:color w:val="000000" w:themeColor="text1"/>
          <w:lang w:val="es-ES_tradnl"/>
        </w:rPr>
        <w:t xml:space="preserve"> garantías</w:t>
      </w:r>
      <w:r w:rsidRPr="0059064D">
        <w:rPr>
          <w:rFonts w:ascii="Arial" w:hAnsi="Arial" w:cs="Arial"/>
          <w:color w:val="000000" w:themeColor="text1"/>
          <w:lang w:val="es-ES_tradnl"/>
        </w:rPr>
        <w:t xml:space="preserve"> constituyen una obligación de seguridad, es decir, aquella donde el interés del acreedor no consiste en una utilidad específica y tangible, sino en la tranquilidad frente a ciertos riesgos por la cobertura de sus consecuencias nocivas.</w:t>
      </w:r>
      <w:r>
        <w:rPr>
          <w:rFonts w:ascii="Arial" w:hAnsi="Arial" w:cs="Arial"/>
          <w:color w:val="000000" w:themeColor="text1"/>
          <w:lang w:val="es-ES_tradnl"/>
        </w:rPr>
        <w:t xml:space="preserve"> Conforme al inciso segundo del artículo 7 de la Ley 1150 de 2007, </w:t>
      </w:r>
      <w:r w:rsidRPr="008F1741">
        <w:rPr>
          <w:rFonts w:ascii="Arial" w:hAnsi="Arial" w:cs="Arial"/>
          <w:color w:val="000000" w:themeColor="text1"/>
          <w:lang w:val="es-ES_tradnl"/>
        </w:rPr>
        <w:t xml:space="preserve">pueden otorgarse a través de: i) contratos de seguro, </w:t>
      </w:r>
      <w:proofErr w:type="spellStart"/>
      <w:r w:rsidRPr="008F1741">
        <w:rPr>
          <w:rFonts w:ascii="Arial" w:hAnsi="Arial" w:cs="Arial"/>
          <w:color w:val="000000" w:themeColor="text1"/>
          <w:lang w:val="es-ES_tradnl"/>
        </w:rPr>
        <w:t>ii</w:t>
      </w:r>
      <w:proofErr w:type="spellEnd"/>
      <w:r w:rsidRPr="008F1741">
        <w:rPr>
          <w:rFonts w:ascii="Arial" w:hAnsi="Arial" w:cs="Arial"/>
          <w:color w:val="000000" w:themeColor="text1"/>
          <w:lang w:val="es-ES_tradnl"/>
        </w:rPr>
        <w:t xml:space="preserve">) garantías bancarias o </w:t>
      </w:r>
      <w:proofErr w:type="spellStart"/>
      <w:r w:rsidRPr="008F1741">
        <w:rPr>
          <w:rFonts w:ascii="Arial" w:hAnsi="Arial" w:cs="Arial"/>
          <w:color w:val="000000" w:themeColor="text1"/>
          <w:lang w:val="es-ES_tradnl"/>
        </w:rPr>
        <w:t>iii</w:t>
      </w:r>
      <w:proofErr w:type="spellEnd"/>
      <w:r w:rsidRPr="008F1741">
        <w:rPr>
          <w:rFonts w:ascii="Arial" w:hAnsi="Arial" w:cs="Arial"/>
          <w:color w:val="000000" w:themeColor="text1"/>
          <w:lang w:val="es-ES_tradnl"/>
        </w:rPr>
        <w:t xml:space="preserve">) los demás mecanismos de cobertura del riesgo que disponga el reglamento. Igualmente establece que </w:t>
      </w:r>
      <w:r>
        <w:rPr>
          <w:rFonts w:ascii="Arial" w:hAnsi="Arial" w:cs="Arial"/>
          <w:color w:val="000000" w:themeColor="text1"/>
          <w:lang w:val="es-ES_tradnl"/>
        </w:rPr>
        <w:t>“</w:t>
      </w:r>
      <w:r w:rsidRPr="008F1741">
        <w:rPr>
          <w:rFonts w:ascii="Arial" w:hAnsi="Arial" w:cs="Arial"/>
          <w:color w:val="000000" w:themeColor="text1"/>
          <w:lang w:val="es-ES_tradnl"/>
        </w:rPr>
        <w:t>[…] tratándose de pólizas, las mismas no expirarán por falta de pago de la prima o por revocatoria unilateral […]</w:t>
      </w:r>
      <w:r>
        <w:rPr>
          <w:rFonts w:ascii="Arial" w:hAnsi="Arial" w:cs="Arial"/>
          <w:color w:val="000000" w:themeColor="text1"/>
          <w:lang w:val="es-ES_tradnl"/>
        </w:rPr>
        <w:t>”</w:t>
      </w:r>
      <w:r w:rsidRPr="008F1741">
        <w:rPr>
          <w:rFonts w:ascii="Arial" w:hAnsi="Arial" w:cs="Arial"/>
          <w:color w:val="000000" w:themeColor="text1"/>
          <w:lang w:val="es-ES_tradnl"/>
        </w:rPr>
        <w:t>. Esta norma es una excepción a la terminación automática del contrato de seguro prevista en los artículos 1068 y 1071 del Código de Comercio</w:t>
      </w:r>
      <w:r w:rsidRPr="008F1741">
        <w:rPr>
          <w:rStyle w:val="Refdenotaalpie"/>
          <w:rFonts w:ascii="Arial" w:hAnsi="Arial" w:cs="Arial"/>
          <w:color w:val="000000" w:themeColor="text1"/>
          <w:lang w:val="es-ES_tradnl"/>
        </w:rPr>
        <w:footnoteReference w:id="18"/>
      </w:r>
      <w:r w:rsidRPr="008F1741">
        <w:rPr>
          <w:rFonts w:ascii="Arial" w:hAnsi="Arial" w:cs="Arial"/>
          <w:color w:val="000000" w:themeColor="text1"/>
          <w:lang w:val="es-ES_tradnl"/>
        </w:rPr>
        <w:t xml:space="preserve">. </w:t>
      </w:r>
      <w:r>
        <w:rPr>
          <w:rFonts w:ascii="Arial" w:hAnsi="Arial" w:cs="Arial"/>
          <w:color w:val="000000" w:themeColor="text1"/>
          <w:lang w:val="es-ES_tradnl"/>
        </w:rPr>
        <w:t>De esta manera, l</w:t>
      </w:r>
      <w:r w:rsidRPr="008F1741">
        <w:rPr>
          <w:rFonts w:ascii="Arial" w:hAnsi="Arial" w:cs="Arial"/>
          <w:color w:val="000000" w:themeColor="text1"/>
          <w:lang w:val="es-ES_tradnl"/>
        </w:rPr>
        <w:t xml:space="preserve">as garantías previstas </w:t>
      </w:r>
      <w:r>
        <w:rPr>
          <w:rFonts w:ascii="Arial" w:hAnsi="Arial" w:cs="Arial"/>
          <w:color w:val="000000" w:themeColor="text1"/>
          <w:lang w:val="es-ES_tradnl"/>
        </w:rPr>
        <w:t>en la ley</w:t>
      </w:r>
      <w:r w:rsidRPr="008F1741">
        <w:rPr>
          <w:rFonts w:ascii="Arial" w:hAnsi="Arial" w:cs="Arial"/>
          <w:color w:val="000000" w:themeColor="text1"/>
          <w:lang w:val="es-ES_tradnl"/>
        </w:rPr>
        <w:t xml:space="preserve"> tienen como objetivo asegurar la solvencia del garante</w:t>
      </w:r>
      <w:r w:rsidRPr="008F1741">
        <w:rPr>
          <w:rStyle w:val="Refdenotaalpie"/>
          <w:rFonts w:ascii="Arial" w:hAnsi="Arial" w:cs="Arial"/>
          <w:color w:val="000000" w:themeColor="text1"/>
          <w:lang w:val="es-ES_tradnl"/>
        </w:rPr>
        <w:footnoteReference w:id="19"/>
      </w:r>
      <w:r w:rsidRPr="008F1741">
        <w:rPr>
          <w:rFonts w:ascii="Arial" w:hAnsi="Arial" w:cs="Arial"/>
          <w:color w:val="000000" w:themeColor="text1"/>
          <w:lang w:val="es-ES_tradnl"/>
        </w:rPr>
        <w:t>.</w:t>
      </w:r>
    </w:p>
    <w:p w14:paraId="0D7AEFFE" w14:textId="77777777" w:rsidR="00574A4F" w:rsidRPr="00692DC1" w:rsidRDefault="00574A4F" w:rsidP="00574A4F">
      <w:pPr>
        <w:spacing w:after="120" w:line="276" w:lineRule="auto"/>
        <w:ind w:firstLine="708"/>
        <w:jc w:val="both"/>
        <w:rPr>
          <w:rFonts w:ascii="Arial" w:hAnsi="Arial" w:cs="Arial"/>
          <w:color w:val="000000" w:themeColor="text1"/>
        </w:rPr>
      </w:pPr>
      <w:r>
        <w:rPr>
          <w:rFonts w:ascii="Arial" w:hAnsi="Arial" w:cs="Arial"/>
          <w:color w:val="000000" w:themeColor="text1"/>
        </w:rPr>
        <w:lastRenderedPageBreak/>
        <w:t>E</w:t>
      </w:r>
      <w:r w:rsidRPr="00692DC1">
        <w:rPr>
          <w:rFonts w:ascii="Arial" w:hAnsi="Arial" w:cs="Arial"/>
          <w:color w:val="000000" w:themeColor="text1"/>
        </w:rPr>
        <w:t>l Decreto 1082 de 2015</w:t>
      </w:r>
      <w:r>
        <w:rPr>
          <w:rFonts w:ascii="Arial" w:hAnsi="Arial" w:cs="Arial"/>
          <w:color w:val="000000" w:themeColor="text1"/>
        </w:rPr>
        <w:t xml:space="preserve"> reglamenta</w:t>
      </w:r>
      <w:r w:rsidRPr="00CC0D80">
        <w:rPr>
          <w:rFonts w:ascii="Arial" w:hAnsi="Arial" w:cs="Arial"/>
          <w:color w:val="000000" w:themeColor="text1"/>
        </w:rPr>
        <w:t xml:space="preserve"> </w:t>
      </w:r>
      <w:r>
        <w:rPr>
          <w:rFonts w:ascii="Arial" w:hAnsi="Arial" w:cs="Arial"/>
          <w:color w:val="000000" w:themeColor="text1"/>
        </w:rPr>
        <w:t>l</w:t>
      </w:r>
      <w:r w:rsidRPr="00692DC1">
        <w:rPr>
          <w:rFonts w:ascii="Arial" w:hAnsi="Arial" w:cs="Arial"/>
          <w:color w:val="000000" w:themeColor="text1"/>
        </w:rPr>
        <w:t>as condiciones en que debe cumplirse esta obligación</w:t>
      </w:r>
      <w:r>
        <w:rPr>
          <w:rFonts w:ascii="Arial" w:hAnsi="Arial" w:cs="Arial"/>
          <w:color w:val="000000" w:themeColor="text1"/>
        </w:rPr>
        <w:t>. Los</w:t>
      </w:r>
      <w:r w:rsidRPr="00692DC1">
        <w:rPr>
          <w:rFonts w:ascii="Arial" w:hAnsi="Arial" w:cs="Arial"/>
          <w:color w:val="000000" w:themeColor="text1"/>
        </w:rPr>
        <w:t xml:space="preserve"> artículos 2.2.1.2.3.1.1 </w:t>
      </w:r>
      <w:r>
        <w:rPr>
          <w:rFonts w:ascii="Arial" w:hAnsi="Arial" w:cs="Arial"/>
          <w:color w:val="000000" w:themeColor="text1"/>
        </w:rPr>
        <w:t>a</w:t>
      </w:r>
      <w:r w:rsidRPr="00692DC1">
        <w:rPr>
          <w:rFonts w:ascii="Arial" w:hAnsi="Arial" w:cs="Arial"/>
          <w:color w:val="000000" w:themeColor="text1"/>
        </w:rPr>
        <w:t xml:space="preserve"> 2.2.1.2.3.1.19</w:t>
      </w:r>
      <w:r>
        <w:rPr>
          <w:rFonts w:ascii="Arial" w:hAnsi="Arial" w:cs="Arial"/>
          <w:color w:val="000000" w:themeColor="text1"/>
        </w:rPr>
        <w:t xml:space="preserve"> del </w:t>
      </w:r>
      <w:r w:rsidRPr="002E3B35">
        <w:rPr>
          <w:rFonts w:ascii="Arial" w:hAnsi="Arial" w:cs="Arial"/>
          <w:color w:val="000000" w:themeColor="text1"/>
        </w:rPr>
        <w:t>Decreto Único Reglamentario del sector Administrativo de Planeación Nacional</w:t>
      </w:r>
      <w:r w:rsidRPr="00692DC1">
        <w:rPr>
          <w:rFonts w:ascii="Arial" w:hAnsi="Arial" w:cs="Arial"/>
          <w:color w:val="000000" w:themeColor="text1"/>
        </w:rPr>
        <w:t xml:space="preserve"> </w:t>
      </w:r>
      <w:r>
        <w:rPr>
          <w:rFonts w:ascii="Arial" w:hAnsi="Arial" w:cs="Arial"/>
          <w:color w:val="000000" w:themeColor="text1"/>
        </w:rPr>
        <w:t>regulan</w:t>
      </w:r>
      <w:r w:rsidRPr="00692DC1">
        <w:rPr>
          <w:rFonts w:ascii="Arial" w:hAnsi="Arial" w:cs="Arial"/>
          <w:color w:val="000000" w:themeColor="text1"/>
        </w:rPr>
        <w:t xml:space="preserve"> asuntos como las clases de garantías permitidas, la indivisibilidad de </w:t>
      </w:r>
      <w:proofErr w:type="gramStart"/>
      <w:r w:rsidRPr="00692DC1">
        <w:rPr>
          <w:rFonts w:ascii="Arial" w:hAnsi="Arial" w:cs="Arial"/>
          <w:color w:val="000000" w:themeColor="text1"/>
        </w:rPr>
        <w:t>las mismas</w:t>
      </w:r>
      <w:proofErr w:type="gramEnd"/>
      <w:r w:rsidRPr="00692DC1">
        <w:rPr>
          <w:rFonts w:ascii="Arial" w:hAnsi="Arial" w:cs="Arial"/>
          <w:color w:val="000000" w:themeColor="text1"/>
        </w:rPr>
        <w:t xml:space="preserve">, los diferentes riesgos que deben ser objeto de garantía, la vigencia y valores mínimos que deben cubrir los amparos, entre otros aspectos. </w:t>
      </w:r>
    </w:p>
    <w:p w14:paraId="405598B3" w14:textId="77777777" w:rsidR="00574A4F" w:rsidRDefault="00574A4F" w:rsidP="00574A4F">
      <w:pPr>
        <w:spacing w:before="120" w:after="120" w:line="276" w:lineRule="auto"/>
        <w:ind w:firstLine="708"/>
        <w:jc w:val="both"/>
        <w:rPr>
          <w:rFonts w:ascii="Arial" w:eastAsia="Times New Roman" w:hAnsi="Arial" w:cs="Arial"/>
          <w:color w:val="000000" w:themeColor="text1"/>
          <w:lang w:eastAsia="es-CO"/>
        </w:rPr>
      </w:pPr>
      <w:r w:rsidRPr="00692DC1">
        <w:rPr>
          <w:rFonts w:ascii="Arial" w:hAnsi="Arial" w:cs="Arial"/>
          <w:color w:val="000000" w:themeColor="text1"/>
        </w:rPr>
        <w:t xml:space="preserve">El artículo 2.2.1.2.3.1.3, por ejemplo, establece que la </w:t>
      </w:r>
      <w:r>
        <w:rPr>
          <w:rFonts w:ascii="Arial" w:hAnsi="Arial" w:cs="Arial"/>
          <w:color w:val="000000" w:themeColor="text1"/>
        </w:rPr>
        <w:t>“</w:t>
      </w:r>
      <w:r w:rsidRPr="00692DC1">
        <w:rPr>
          <w:rFonts w:ascii="Arial" w:hAnsi="Arial" w:cs="Arial"/>
          <w:color w:val="000000" w:themeColor="text1"/>
        </w:rPr>
        <w:t>garantía de cobertura del Riesgo es indivisible</w:t>
      </w:r>
      <w:r>
        <w:rPr>
          <w:rFonts w:ascii="Arial" w:hAnsi="Arial" w:cs="Arial"/>
          <w:color w:val="000000" w:themeColor="text1"/>
        </w:rPr>
        <w:t>”</w:t>
      </w:r>
      <w:r w:rsidRPr="00692DC1">
        <w:rPr>
          <w:rFonts w:ascii="Arial" w:hAnsi="Arial" w:cs="Arial"/>
          <w:color w:val="000000" w:themeColor="text1"/>
        </w:rPr>
        <w:t>, además de la obligación de los contratantes de establecer en los pliegos de condiciones las garantías exigidas para cada periodo contractual</w:t>
      </w:r>
      <w:r w:rsidRPr="00692DC1">
        <w:rPr>
          <w:rStyle w:val="Refdenotaalpie"/>
          <w:rFonts w:ascii="Arial" w:hAnsi="Arial" w:cs="Arial"/>
          <w:color w:val="000000" w:themeColor="text1"/>
        </w:rPr>
        <w:footnoteReference w:id="20"/>
      </w:r>
      <w:r w:rsidRPr="00692DC1">
        <w:rPr>
          <w:rFonts w:ascii="Arial" w:hAnsi="Arial" w:cs="Arial"/>
          <w:color w:val="000000" w:themeColor="text1"/>
        </w:rPr>
        <w:t xml:space="preserve">. </w:t>
      </w:r>
      <w:r>
        <w:rPr>
          <w:rFonts w:ascii="Arial" w:hAnsi="Arial" w:cs="Arial"/>
          <w:color w:val="000000" w:themeColor="text1"/>
        </w:rPr>
        <w:t xml:space="preserve">Por su parte, </w:t>
      </w:r>
      <w:r w:rsidRPr="00692DC1">
        <w:rPr>
          <w:rFonts w:ascii="Arial" w:hAnsi="Arial" w:cs="Arial"/>
          <w:color w:val="000000" w:themeColor="text1"/>
        </w:rPr>
        <w:t xml:space="preserve">el artículo 2.2.1.3.1.7 prescribe que la garantía de cumplimiento debe cubrir: i) el buen manejo y correcta inversión del anticipo; </w:t>
      </w:r>
      <w:proofErr w:type="spellStart"/>
      <w:r w:rsidRPr="00692DC1">
        <w:rPr>
          <w:rFonts w:ascii="Arial" w:hAnsi="Arial" w:cs="Arial"/>
          <w:color w:val="000000" w:themeColor="text1"/>
        </w:rPr>
        <w:t>ii</w:t>
      </w:r>
      <w:proofErr w:type="spellEnd"/>
      <w:r w:rsidRPr="00692DC1">
        <w:rPr>
          <w:rFonts w:ascii="Arial" w:hAnsi="Arial" w:cs="Arial"/>
          <w:color w:val="000000" w:themeColor="text1"/>
        </w:rPr>
        <w:t xml:space="preserve">) la devolución del pago anticipado; </w:t>
      </w:r>
      <w:proofErr w:type="spellStart"/>
      <w:r w:rsidRPr="00692DC1">
        <w:rPr>
          <w:rFonts w:ascii="Arial" w:hAnsi="Arial" w:cs="Arial"/>
          <w:color w:val="000000" w:themeColor="text1"/>
        </w:rPr>
        <w:t>iii</w:t>
      </w:r>
      <w:proofErr w:type="spellEnd"/>
      <w:r w:rsidRPr="00692DC1">
        <w:rPr>
          <w:rFonts w:ascii="Arial" w:hAnsi="Arial" w:cs="Arial"/>
          <w:color w:val="000000" w:themeColor="text1"/>
        </w:rPr>
        <w:t xml:space="preserve">) </w:t>
      </w:r>
      <w:r>
        <w:rPr>
          <w:rFonts w:ascii="Arial" w:hAnsi="Arial" w:cs="Arial"/>
          <w:color w:val="000000" w:themeColor="text1"/>
        </w:rPr>
        <w:t xml:space="preserve">el </w:t>
      </w:r>
      <w:r w:rsidRPr="00692DC1">
        <w:rPr>
          <w:rFonts w:ascii="Arial" w:hAnsi="Arial" w:cs="Arial"/>
          <w:color w:val="000000" w:themeColor="text1"/>
        </w:rPr>
        <w:t xml:space="preserve">cumplimiento del contrato; </w:t>
      </w:r>
      <w:proofErr w:type="spellStart"/>
      <w:r w:rsidRPr="00692DC1">
        <w:rPr>
          <w:rFonts w:ascii="Arial" w:hAnsi="Arial" w:cs="Arial"/>
          <w:color w:val="000000" w:themeColor="text1"/>
        </w:rPr>
        <w:t>iv</w:t>
      </w:r>
      <w:proofErr w:type="spellEnd"/>
      <w:r w:rsidRPr="00692DC1">
        <w:rPr>
          <w:rFonts w:ascii="Arial" w:hAnsi="Arial" w:cs="Arial"/>
          <w:color w:val="000000" w:themeColor="text1"/>
        </w:rPr>
        <w:t xml:space="preserve">) </w:t>
      </w:r>
      <w:r>
        <w:rPr>
          <w:rFonts w:ascii="Arial" w:hAnsi="Arial" w:cs="Arial"/>
          <w:color w:val="000000" w:themeColor="text1"/>
        </w:rPr>
        <w:t xml:space="preserve">el </w:t>
      </w:r>
      <w:r w:rsidRPr="00692DC1">
        <w:rPr>
          <w:rFonts w:ascii="Arial" w:hAnsi="Arial" w:cs="Arial"/>
          <w:color w:val="000000" w:themeColor="text1"/>
        </w:rPr>
        <w:t xml:space="preserve">pago de salarios, prestaciones sociales legales e indemnizaciones laborales; v) </w:t>
      </w:r>
      <w:r>
        <w:rPr>
          <w:rFonts w:ascii="Arial" w:hAnsi="Arial" w:cs="Arial"/>
          <w:color w:val="000000" w:themeColor="text1"/>
        </w:rPr>
        <w:t xml:space="preserve"> la </w:t>
      </w:r>
      <w:r w:rsidRPr="00692DC1">
        <w:rPr>
          <w:rFonts w:ascii="Arial" w:hAnsi="Arial" w:cs="Arial"/>
          <w:color w:val="000000" w:themeColor="text1"/>
        </w:rPr>
        <w:t xml:space="preserve">estabilidad y calidad de la obra; vi) </w:t>
      </w:r>
      <w:r>
        <w:rPr>
          <w:rFonts w:ascii="Arial" w:hAnsi="Arial" w:cs="Arial"/>
          <w:color w:val="000000" w:themeColor="text1"/>
        </w:rPr>
        <w:t xml:space="preserve">la </w:t>
      </w:r>
      <w:r w:rsidRPr="00692DC1">
        <w:rPr>
          <w:rFonts w:ascii="Arial" w:eastAsia="Times New Roman" w:hAnsi="Arial" w:cs="Arial"/>
          <w:color w:val="000000" w:themeColor="text1"/>
          <w:lang w:eastAsia="es-CO"/>
        </w:rPr>
        <w:t xml:space="preserve">calidad del servicio; </w:t>
      </w:r>
      <w:proofErr w:type="spellStart"/>
      <w:r w:rsidRPr="00692DC1">
        <w:rPr>
          <w:rFonts w:ascii="Arial" w:eastAsia="Times New Roman" w:hAnsi="Arial" w:cs="Arial"/>
          <w:color w:val="000000" w:themeColor="text1"/>
          <w:lang w:eastAsia="es-CO"/>
        </w:rPr>
        <w:t>vii</w:t>
      </w:r>
      <w:proofErr w:type="spellEnd"/>
      <w:r w:rsidRPr="00692DC1">
        <w:rPr>
          <w:rFonts w:ascii="Arial" w:eastAsia="Times New Roman" w:hAnsi="Arial" w:cs="Arial"/>
          <w:color w:val="000000" w:themeColor="text1"/>
          <w:lang w:eastAsia="es-CO"/>
        </w:rPr>
        <w:t xml:space="preserve">) </w:t>
      </w:r>
      <w:r>
        <w:rPr>
          <w:rFonts w:ascii="Arial" w:eastAsia="Times New Roman" w:hAnsi="Arial" w:cs="Arial"/>
          <w:color w:val="000000" w:themeColor="text1"/>
          <w:lang w:eastAsia="es-CO"/>
        </w:rPr>
        <w:t xml:space="preserve">la </w:t>
      </w:r>
      <w:r w:rsidRPr="00692DC1">
        <w:rPr>
          <w:rFonts w:ascii="Arial" w:eastAsia="Times New Roman" w:hAnsi="Arial" w:cs="Arial"/>
          <w:color w:val="000000" w:themeColor="text1"/>
          <w:lang w:eastAsia="es-CO"/>
        </w:rPr>
        <w:t xml:space="preserve">calidad y correcto funcionamiento de los bienes; y </w:t>
      </w:r>
      <w:proofErr w:type="spellStart"/>
      <w:r w:rsidRPr="00692DC1">
        <w:rPr>
          <w:rFonts w:ascii="Arial" w:eastAsia="Times New Roman" w:hAnsi="Arial" w:cs="Arial"/>
          <w:color w:val="000000" w:themeColor="text1"/>
          <w:lang w:eastAsia="es-CO"/>
        </w:rPr>
        <w:t>viii</w:t>
      </w:r>
      <w:proofErr w:type="spellEnd"/>
      <w:r w:rsidRPr="00692DC1">
        <w:rPr>
          <w:rFonts w:ascii="Arial" w:eastAsia="Times New Roman" w:hAnsi="Arial" w:cs="Arial"/>
          <w:color w:val="000000" w:themeColor="text1"/>
          <w:lang w:eastAsia="es-CO"/>
        </w:rPr>
        <w:t>) los demás incumplimientos de las obligaciones que la entidad estatal considere deben ser amparados</w:t>
      </w:r>
      <w:r w:rsidRPr="00692DC1">
        <w:rPr>
          <w:rStyle w:val="Refdenotaalpie"/>
          <w:rFonts w:ascii="Arial" w:eastAsia="Times New Roman" w:hAnsi="Arial" w:cs="Arial"/>
          <w:color w:val="000000" w:themeColor="text1"/>
          <w:lang w:eastAsia="es-CO"/>
        </w:rPr>
        <w:footnoteReference w:id="21"/>
      </w:r>
      <w:r w:rsidRPr="00692DC1">
        <w:rPr>
          <w:rFonts w:ascii="Arial" w:eastAsia="Times New Roman" w:hAnsi="Arial" w:cs="Arial"/>
          <w:color w:val="000000" w:themeColor="text1"/>
          <w:lang w:eastAsia="es-CO"/>
        </w:rPr>
        <w:t xml:space="preserve">. </w:t>
      </w:r>
      <w:r>
        <w:rPr>
          <w:rFonts w:ascii="Arial" w:eastAsia="Times New Roman" w:hAnsi="Arial" w:cs="Arial"/>
          <w:color w:val="000000" w:themeColor="text1"/>
          <w:lang w:eastAsia="es-CO"/>
        </w:rPr>
        <w:t xml:space="preserve">Esto además de </w:t>
      </w:r>
      <w:r>
        <w:rPr>
          <w:rFonts w:ascii="Arial" w:eastAsia="Times New Roman" w:hAnsi="Arial" w:cs="Arial"/>
          <w:color w:val="000000" w:themeColor="text1"/>
          <w:lang w:eastAsia="es-CO"/>
        </w:rPr>
        <w:lastRenderedPageBreak/>
        <w:t xml:space="preserve">la póliza de </w:t>
      </w:r>
      <w:r w:rsidRPr="00E2580C">
        <w:rPr>
          <w:rFonts w:ascii="Arial" w:eastAsia="Times New Roman" w:hAnsi="Arial" w:cs="Arial"/>
          <w:color w:val="000000" w:themeColor="text1"/>
          <w:lang w:eastAsia="es-CO"/>
        </w:rPr>
        <w:t>responsabilidad civil extracontractual</w:t>
      </w:r>
      <w:r>
        <w:rPr>
          <w:rFonts w:ascii="Arial" w:eastAsia="Times New Roman" w:hAnsi="Arial" w:cs="Arial"/>
          <w:color w:val="000000" w:themeColor="text1"/>
          <w:lang w:eastAsia="es-CO"/>
        </w:rPr>
        <w:t xml:space="preserve"> </w:t>
      </w:r>
      <w:r w:rsidRPr="007E285D">
        <w:rPr>
          <w:rFonts w:ascii="Arial" w:eastAsia="Times New Roman" w:hAnsi="Arial" w:cs="Arial"/>
          <w:color w:val="000000" w:themeColor="text1"/>
          <w:lang w:eastAsia="es-CO"/>
        </w:rPr>
        <w:t>en los contratos de obra,</w:t>
      </w:r>
      <w:r>
        <w:rPr>
          <w:rFonts w:ascii="Arial" w:eastAsia="Times New Roman" w:hAnsi="Arial" w:cs="Arial"/>
          <w:color w:val="000000" w:themeColor="text1"/>
          <w:lang w:eastAsia="es-CO"/>
        </w:rPr>
        <w:t xml:space="preserve"> así </w:t>
      </w:r>
      <w:r w:rsidRPr="007E285D">
        <w:rPr>
          <w:rFonts w:ascii="Arial" w:eastAsia="Times New Roman" w:hAnsi="Arial" w:cs="Arial"/>
          <w:color w:val="000000" w:themeColor="text1"/>
          <w:lang w:eastAsia="es-CO"/>
        </w:rPr>
        <w:t xml:space="preserve">en aquellos en que por su objeto o naturaleza </w:t>
      </w:r>
      <w:r>
        <w:rPr>
          <w:rFonts w:ascii="Arial" w:eastAsia="Times New Roman" w:hAnsi="Arial" w:cs="Arial"/>
          <w:color w:val="000000" w:themeColor="text1"/>
          <w:lang w:eastAsia="es-CO"/>
        </w:rPr>
        <w:t xml:space="preserve">se </w:t>
      </w:r>
      <w:r w:rsidRPr="007E285D">
        <w:rPr>
          <w:rFonts w:ascii="Arial" w:eastAsia="Times New Roman" w:hAnsi="Arial" w:cs="Arial"/>
          <w:color w:val="000000" w:themeColor="text1"/>
          <w:lang w:eastAsia="es-CO"/>
        </w:rPr>
        <w:t xml:space="preserve">considere necesario con ocasión de los </w:t>
      </w:r>
      <w:r>
        <w:rPr>
          <w:rFonts w:ascii="Arial" w:eastAsia="Times New Roman" w:hAnsi="Arial" w:cs="Arial"/>
          <w:color w:val="000000" w:themeColor="text1"/>
          <w:lang w:eastAsia="es-CO"/>
        </w:rPr>
        <w:t xml:space="preserve">riesgos previstos en el negocio, de acuerdo con el artículo </w:t>
      </w:r>
      <w:r w:rsidRPr="007E285D">
        <w:rPr>
          <w:rFonts w:ascii="Arial" w:eastAsia="Times New Roman" w:hAnsi="Arial" w:cs="Arial"/>
          <w:color w:val="000000" w:themeColor="text1"/>
          <w:lang w:eastAsia="es-CO"/>
        </w:rPr>
        <w:t>2.2.1.2.3.1.8</w:t>
      </w:r>
      <w:r>
        <w:rPr>
          <w:rFonts w:ascii="Arial" w:eastAsia="Times New Roman" w:hAnsi="Arial" w:cs="Arial"/>
          <w:color w:val="000000" w:themeColor="text1"/>
          <w:lang w:eastAsia="es-CO"/>
        </w:rPr>
        <w:t xml:space="preserve"> </w:t>
      </w:r>
      <w:r w:rsidRPr="007E285D">
        <w:rPr>
          <w:rFonts w:ascii="Arial" w:eastAsia="Times New Roman" w:hAnsi="Arial" w:cs="Arial"/>
          <w:i/>
          <w:iCs/>
          <w:color w:val="000000" w:themeColor="text1"/>
          <w:lang w:eastAsia="es-CO"/>
        </w:rPr>
        <w:t>ibidem</w:t>
      </w:r>
      <w:r>
        <w:rPr>
          <w:rFonts w:ascii="Arial" w:eastAsia="Times New Roman" w:hAnsi="Arial" w:cs="Arial"/>
          <w:color w:val="000000" w:themeColor="text1"/>
          <w:lang w:eastAsia="es-CO"/>
        </w:rPr>
        <w:t>.</w:t>
      </w:r>
    </w:p>
    <w:p w14:paraId="2ECFD210" w14:textId="77777777" w:rsidR="00574A4F" w:rsidRDefault="00574A4F" w:rsidP="00574A4F">
      <w:pPr>
        <w:spacing w:before="120" w:after="120" w:line="276" w:lineRule="auto"/>
        <w:ind w:firstLine="708"/>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Como dispone el inciso primero de la Ley 1150 de 2007, “</w:t>
      </w:r>
      <w:r w:rsidRPr="00020339">
        <w:rPr>
          <w:rFonts w:ascii="Arial" w:eastAsia="Times New Roman" w:hAnsi="Arial" w:cs="Arial"/>
          <w:color w:val="000000" w:themeColor="text1"/>
          <w:lang w:eastAsia="es-CO"/>
        </w:rPr>
        <w:t>Los contratistas prestarán garantía única para el cumplimiento de las obligaciones surgidas del contrato. Los proponentes prestarán garantía de seriedad de los ofrecimientos hechos</w:t>
      </w:r>
      <w:r>
        <w:rPr>
          <w:rFonts w:ascii="Arial" w:eastAsia="Times New Roman" w:hAnsi="Arial" w:cs="Arial"/>
          <w:color w:val="000000" w:themeColor="text1"/>
          <w:lang w:eastAsia="es-CO"/>
        </w:rPr>
        <w:t xml:space="preserve">”. De esta manera, el capítulo VII del pliego de condiciones para licitación de obra pública de infraestructura de transporte recoge el régimen de garantías desarrollado en la sección 3 del capítulo 2 del título 1 de la parte 2 del libro 2 del Decreto 1082 de 2015. Dicho apartado regula la garantía de seriedad de la oferta –apartado 7.1– y las garantías del contrato –apartado 7.2–. A su vez, este último desarrolla la garantía de cumplimiento –apartado 7.2.1–, la estabilidad de la obra y el periodo de la garantía –apartado 7.2.2– y la garantía de responsabilidad civil extracontractual –7.2.3–. El documento base no contempla la inclusión de garantías distintas a las de seriedad, cumplimiento –que incluye la estabilidad y calidad de la obra– y responsabilidad, por lo que adicionar numerales o modificar los existentes en aspectos que no estén entre corchetes ni resaltados en gris implicaría alteración de los documentos tipo, especialmente, cuando la validación de la cobertura es un criterio para habilitar a los proponentes en el proceso de selección.   </w:t>
      </w:r>
    </w:p>
    <w:p w14:paraId="75BA6AC7" w14:textId="77777777" w:rsidR="00574A4F" w:rsidRDefault="00574A4F" w:rsidP="00574A4F">
      <w:pPr>
        <w:spacing w:before="120" w:after="120" w:line="276" w:lineRule="auto"/>
        <w:ind w:firstLine="708"/>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Respecto a la garantía de cumplimiento, el apartado 7.2.1 del pliego dispone que “</w:t>
      </w:r>
      <w:r w:rsidRPr="00E718FC">
        <w:rPr>
          <w:rFonts w:ascii="Arial" w:eastAsia="Times New Roman" w:hAnsi="Arial" w:cs="Arial"/>
          <w:color w:val="000000" w:themeColor="text1"/>
          <w:lang w:eastAsia="es-CO"/>
        </w:rPr>
        <w:t xml:space="preserve">Para cubrir cualquier hecho constitutivo de incumplimiento, el contratista deberá presentar la garantía de cumplimiento en original a la entidad dentro de los </w:t>
      </w:r>
      <w:r w:rsidRPr="00E718FC">
        <w:rPr>
          <w:rFonts w:ascii="Arial" w:eastAsia="Times New Roman" w:hAnsi="Arial" w:cs="Arial"/>
          <w:color w:val="000000" w:themeColor="text1"/>
          <w:highlight w:val="lightGray"/>
          <w:lang w:eastAsia="es-CO"/>
        </w:rPr>
        <w:t>[La entidad deberá definir los días]</w:t>
      </w:r>
      <w:r w:rsidRPr="00E718FC">
        <w:rPr>
          <w:rFonts w:ascii="Arial" w:eastAsia="Times New Roman" w:hAnsi="Arial" w:cs="Arial"/>
          <w:color w:val="000000" w:themeColor="text1"/>
          <w:lang w:eastAsia="es-CO"/>
        </w:rPr>
        <w:t xml:space="preserve"> días hábiles siguientes contados a partir de la firma del contrato y requerirá la aprobación de la entidad</w:t>
      </w:r>
      <w:r>
        <w:rPr>
          <w:rFonts w:ascii="Arial" w:eastAsia="Times New Roman" w:hAnsi="Arial" w:cs="Arial"/>
          <w:color w:val="000000" w:themeColor="text1"/>
          <w:lang w:eastAsia="es-CO"/>
        </w:rPr>
        <w:t xml:space="preserve"> […]”. A esta corresponden los siguientes amparos: i) c</w:t>
      </w:r>
      <w:r w:rsidRPr="00E718FC">
        <w:rPr>
          <w:rFonts w:ascii="Arial" w:eastAsia="Times New Roman" w:hAnsi="Arial" w:cs="Arial"/>
          <w:color w:val="000000" w:themeColor="text1"/>
          <w:lang w:eastAsia="es-CO"/>
        </w:rPr>
        <w:t>umplimiento general del contrato y el pago de las multas y la cláusula penal pecuniaria que se le impongan</w:t>
      </w:r>
      <w:r>
        <w:rPr>
          <w:rFonts w:ascii="Arial" w:eastAsia="Times New Roman" w:hAnsi="Arial" w:cs="Arial"/>
          <w:color w:val="000000" w:themeColor="text1"/>
          <w:lang w:eastAsia="es-CO"/>
        </w:rPr>
        <w:t xml:space="preserve">, </w:t>
      </w:r>
      <w:proofErr w:type="spellStart"/>
      <w:r>
        <w:rPr>
          <w:rFonts w:ascii="Arial" w:eastAsia="Times New Roman" w:hAnsi="Arial" w:cs="Arial"/>
          <w:color w:val="000000" w:themeColor="text1"/>
          <w:lang w:eastAsia="es-CO"/>
        </w:rPr>
        <w:t>ii</w:t>
      </w:r>
      <w:proofErr w:type="spellEnd"/>
      <w:r>
        <w:rPr>
          <w:rFonts w:ascii="Arial" w:eastAsia="Times New Roman" w:hAnsi="Arial" w:cs="Arial"/>
          <w:color w:val="000000" w:themeColor="text1"/>
          <w:lang w:eastAsia="es-CO"/>
        </w:rPr>
        <w:t>) b</w:t>
      </w:r>
      <w:r w:rsidRPr="00E718FC">
        <w:rPr>
          <w:rFonts w:ascii="Arial" w:eastAsia="Times New Roman" w:hAnsi="Arial" w:cs="Arial"/>
          <w:color w:val="000000" w:themeColor="text1"/>
          <w:lang w:eastAsia="es-CO"/>
        </w:rPr>
        <w:t>uen manejo y correcta inversión del anticipo</w:t>
      </w:r>
      <w:r>
        <w:rPr>
          <w:rFonts w:ascii="Arial" w:eastAsia="Times New Roman" w:hAnsi="Arial" w:cs="Arial"/>
          <w:color w:val="000000" w:themeColor="text1"/>
          <w:lang w:eastAsia="es-CO"/>
        </w:rPr>
        <w:t xml:space="preserve">, </w:t>
      </w:r>
      <w:proofErr w:type="spellStart"/>
      <w:r>
        <w:rPr>
          <w:rFonts w:ascii="Arial" w:eastAsia="Times New Roman" w:hAnsi="Arial" w:cs="Arial"/>
          <w:color w:val="000000" w:themeColor="text1"/>
          <w:lang w:eastAsia="es-CO"/>
        </w:rPr>
        <w:t>iii</w:t>
      </w:r>
      <w:proofErr w:type="spellEnd"/>
      <w:r>
        <w:rPr>
          <w:rFonts w:ascii="Arial" w:eastAsia="Times New Roman" w:hAnsi="Arial" w:cs="Arial"/>
          <w:color w:val="000000" w:themeColor="text1"/>
          <w:lang w:eastAsia="es-CO"/>
        </w:rPr>
        <w:t>) d</w:t>
      </w:r>
      <w:r w:rsidRPr="00E718FC">
        <w:rPr>
          <w:rFonts w:ascii="Arial" w:eastAsia="Times New Roman" w:hAnsi="Arial" w:cs="Arial"/>
          <w:color w:val="000000" w:themeColor="text1"/>
          <w:lang w:eastAsia="es-CO"/>
        </w:rPr>
        <w:t xml:space="preserve">evolución del pago </w:t>
      </w:r>
      <w:r w:rsidRPr="00E718FC">
        <w:rPr>
          <w:rFonts w:ascii="Arial" w:eastAsia="Times New Roman" w:hAnsi="Arial" w:cs="Arial"/>
          <w:color w:val="000000" w:themeColor="text1"/>
          <w:lang w:eastAsia="es-CO"/>
        </w:rPr>
        <w:lastRenderedPageBreak/>
        <w:t>anticipado</w:t>
      </w:r>
      <w:r>
        <w:rPr>
          <w:rFonts w:ascii="Arial" w:eastAsia="Times New Roman" w:hAnsi="Arial" w:cs="Arial"/>
          <w:color w:val="000000" w:themeColor="text1"/>
          <w:lang w:eastAsia="es-CO"/>
        </w:rPr>
        <w:t xml:space="preserve">, </w:t>
      </w:r>
      <w:proofErr w:type="spellStart"/>
      <w:r>
        <w:rPr>
          <w:rFonts w:ascii="Arial" w:eastAsia="Times New Roman" w:hAnsi="Arial" w:cs="Arial"/>
          <w:color w:val="000000" w:themeColor="text1"/>
          <w:lang w:eastAsia="es-CO"/>
        </w:rPr>
        <w:t>iv</w:t>
      </w:r>
      <w:proofErr w:type="spellEnd"/>
      <w:r>
        <w:rPr>
          <w:rFonts w:ascii="Arial" w:eastAsia="Times New Roman" w:hAnsi="Arial" w:cs="Arial"/>
          <w:color w:val="000000" w:themeColor="text1"/>
          <w:lang w:eastAsia="es-CO"/>
        </w:rPr>
        <w:t>) p</w:t>
      </w:r>
      <w:r w:rsidRPr="00E718FC">
        <w:rPr>
          <w:rFonts w:ascii="Arial" w:eastAsia="Times New Roman" w:hAnsi="Arial" w:cs="Arial"/>
          <w:color w:val="000000" w:themeColor="text1"/>
          <w:lang w:eastAsia="es-CO"/>
        </w:rPr>
        <w:t>ago de salarios, prestaciones sociales legales e indemnizaciones laborales del personal que el contratista haya de utilizar en el territorio nacional para la ejecución del contrato</w:t>
      </w:r>
      <w:r>
        <w:rPr>
          <w:rFonts w:ascii="Arial" w:eastAsia="Times New Roman" w:hAnsi="Arial" w:cs="Arial"/>
          <w:color w:val="000000" w:themeColor="text1"/>
          <w:lang w:eastAsia="es-CO"/>
        </w:rPr>
        <w:t>, v) e</w:t>
      </w:r>
      <w:r w:rsidRPr="00E718FC">
        <w:rPr>
          <w:rFonts w:ascii="Arial" w:eastAsia="Times New Roman" w:hAnsi="Arial" w:cs="Arial"/>
          <w:color w:val="000000" w:themeColor="text1"/>
          <w:lang w:eastAsia="es-CO"/>
        </w:rPr>
        <w:t>stabilidad y calidad de las obras ejecutadas entregadas a satisfacción</w:t>
      </w:r>
      <w:r>
        <w:rPr>
          <w:rFonts w:ascii="Arial" w:eastAsia="Times New Roman" w:hAnsi="Arial" w:cs="Arial"/>
          <w:color w:val="000000" w:themeColor="text1"/>
          <w:lang w:eastAsia="es-CO"/>
        </w:rPr>
        <w:t xml:space="preserve">. Para los amparos i), </w:t>
      </w:r>
      <w:proofErr w:type="spellStart"/>
      <w:r>
        <w:rPr>
          <w:rFonts w:ascii="Arial" w:eastAsia="Times New Roman" w:hAnsi="Arial" w:cs="Arial"/>
          <w:color w:val="000000" w:themeColor="text1"/>
          <w:lang w:eastAsia="es-CO"/>
        </w:rPr>
        <w:t>ii</w:t>
      </w:r>
      <w:proofErr w:type="spellEnd"/>
      <w:r>
        <w:rPr>
          <w:rFonts w:ascii="Arial" w:eastAsia="Times New Roman" w:hAnsi="Arial" w:cs="Arial"/>
          <w:color w:val="000000" w:themeColor="text1"/>
          <w:lang w:eastAsia="es-CO"/>
        </w:rPr>
        <w:t xml:space="preserve">), </w:t>
      </w:r>
      <w:proofErr w:type="spellStart"/>
      <w:r>
        <w:rPr>
          <w:rFonts w:ascii="Arial" w:eastAsia="Times New Roman" w:hAnsi="Arial" w:cs="Arial"/>
          <w:color w:val="000000" w:themeColor="text1"/>
          <w:lang w:eastAsia="es-CO"/>
        </w:rPr>
        <w:t>iii</w:t>
      </w:r>
      <w:proofErr w:type="spellEnd"/>
      <w:r>
        <w:rPr>
          <w:rFonts w:ascii="Arial" w:eastAsia="Times New Roman" w:hAnsi="Arial" w:cs="Arial"/>
          <w:color w:val="000000" w:themeColor="text1"/>
          <w:lang w:eastAsia="es-CO"/>
        </w:rPr>
        <w:t xml:space="preserve">) y </w:t>
      </w:r>
      <w:proofErr w:type="spellStart"/>
      <w:r>
        <w:rPr>
          <w:rFonts w:ascii="Arial" w:eastAsia="Times New Roman" w:hAnsi="Arial" w:cs="Arial"/>
          <w:color w:val="000000" w:themeColor="text1"/>
          <w:lang w:eastAsia="es-CO"/>
        </w:rPr>
        <w:t>iv</w:t>
      </w:r>
      <w:proofErr w:type="spellEnd"/>
      <w:r>
        <w:rPr>
          <w:rFonts w:ascii="Arial" w:eastAsia="Times New Roman" w:hAnsi="Arial" w:cs="Arial"/>
          <w:color w:val="000000" w:themeColor="text1"/>
          <w:lang w:eastAsia="es-CO"/>
        </w:rPr>
        <w:t>), el documento base define la vigencia de cada uno de ellos. Sin perjuicio de lo anterior, salvo lo dispuesto para la d</w:t>
      </w:r>
      <w:r w:rsidRPr="002C7BCB">
        <w:rPr>
          <w:rFonts w:ascii="Arial" w:eastAsia="Times New Roman" w:hAnsi="Arial" w:cs="Arial"/>
          <w:color w:val="000000" w:themeColor="text1"/>
          <w:lang w:eastAsia="es-CO"/>
        </w:rPr>
        <w:t>evolución del pago anticipado</w:t>
      </w:r>
      <w:r>
        <w:rPr>
          <w:rFonts w:ascii="Arial" w:eastAsia="Times New Roman" w:hAnsi="Arial" w:cs="Arial"/>
          <w:color w:val="000000" w:themeColor="text1"/>
          <w:lang w:eastAsia="es-CO"/>
        </w:rPr>
        <w:t xml:space="preserve">, la entidad determinará el valor asegurado de los amparos i), </w:t>
      </w:r>
      <w:proofErr w:type="spellStart"/>
      <w:r>
        <w:rPr>
          <w:rFonts w:ascii="Arial" w:eastAsia="Times New Roman" w:hAnsi="Arial" w:cs="Arial"/>
          <w:color w:val="000000" w:themeColor="text1"/>
          <w:lang w:eastAsia="es-CO"/>
        </w:rPr>
        <w:t>ii</w:t>
      </w:r>
      <w:proofErr w:type="spellEnd"/>
      <w:r>
        <w:rPr>
          <w:rFonts w:ascii="Arial" w:eastAsia="Times New Roman" w:hAnsi="Arial" w:cs="Arial"/>
          <w:color w:val="000000" w:themeColor="text1"/>
          <w:lang w:eastAsia="es-CO"/>
        </w:rPr>
        <w:t xml:space="preserve">), </w:t>
      </w:r>
      <w:proofErr w:type="spellStart"/>
      <w:r>
        <w:rPr>
          <w:rFonts w:ascii="Arial" w:eastAsia="Times New Roman" w:hAnsi="Arial" w:cs="Arial"/>
          <w:color w:val="000000" w:themeColor="text1"/>
          <w:lang w:eastAsia="es-CO"/>
        </w:rPr>
        <w:t>iv</w:t>
      </w:r>
      <w:proofErr w:type="spellEnd"/>
      <w:r>
        <w:rPr>
          <w:rFonts w:ascii="Arial" w:eastAsia="Times New Roman" w:hAnsi="Arial" w:cs="Arial"/>
          <w:color w:val="000000" w:themeColor="text1"/>
          <w:lang w:eastAsia="es-CO"/>
        </w:rPr>
        <w:t xml:space="preserve">) y v) con sujeción a los artículos </w:t>
      </w:r>
      <w:r w:rsidRPr="002C7BCB">
        <w:rPr>
          <w:rFonts w:ascii="Arial" w:eastAsia="Times New Roman" w:hAnsi="Arial" w:cs="Arial"/>
          <w:color w:val="000000" w:themeColor="text1"/>
          <w:lang w:eastAsia="es-CO"/>
        </w:rPr>
        <w:t>2.2.1.2.3.1.12</w:t>
      </w:r>
      <w:r>
        <w:rPr>
          <w:rFonts w:ascii="Arial" w:eastAsia="Times New Roman" w:hAnsi="Arial" w:cs="Arial"/>
          <w:color w:val="000000" w:themeColor="text1"/>
          <w:lang w:eastAsia="es-CO"/>
        </w:rPr>
        <w:t xml:space="preserve">, </w:t>
      </w:r>
      <w:r w:rsidRPr="002C7BCB">
        <w:rPr>
          <w:rFonts w:ascii="Arial" w:eastAsia="Times New Roman" w:hAnsi="Arial" w:cs="Arial"/>
          <w:color w:val="000000" w:themeColor="text1"/>
          <w:lang w:eastAsia="es-CO"/>
        </w:rPr>
        <w:t>2.2.1.2.3.1.11</w:t>
      </w:r>
      <w:r>
        <w:rPr>
          <w:rFonts w:ascii="Arial" w:eastAsia="Times New Roman" w:hAnsi="Arial" w:cs="Arial"/>
          <w:color w:val="000000" w:themeColor="text1"/>
          <w:lang w:eastAsia="es-CO"/>
        </w:rPr>
        <w:t xml:space="preserve">, </w:t>
      </w:r>
      <w:r w:rsidRPr="002C7BCB">
        <w:rPr>
          <w:rFonts w:ascii="Arial" w:eastAsia="Times New Roman" w:hAnsi="Arial" w:cs="Arial"/>
          <w:color w:val="000000" w:themeColor="text1"/>
          <w:lang w:eastAsia="es-CO"/>
        </w:rPr>
        <w:t>2.2.1.2.3.1.13</w:t>
      </w:r>
      <w:r>
        <w:rPr>
          <w:rFonts w:ascii="Arial" w:eastAsia="Times New Roman" w:hAnsi="Arial" w:cs="Arial"/>
          <w:color w:val="000000" w:themeColor="text1"/>
          <w:lang w:eastAsia="es-CO"/>
        </w:rPr>
        <w:t xml:space="preserve"> y </w:t>
      </w:r>
      <w:r w:rsidRPr="002C7BCB">
        <w:rPr>
          <w:rFonts w:ascii="Arial" w:eastAsia="Times New Roman" w:hAnsi="Arial" w:cs="Arial"/>
          <w:color w:val="000000" w:themeColor="text1"/>
          <w:lang w:eastAsia="es-CO"/>
        </w:rPr>
        <w:t>2.2.1.2.3.1.14</w:t>
      </w:r>
      <w:r>
        <w:rPr>
          <w:rFonts w:ascii="Arial" w:eastAsia="Times New Roman" w:hAnsi="Arial" w:cs="Arial"/>
          <w:color w:val="000000" w:themeColor="text1"/>
          <w:lang w:eastAsia="es-CO"/>
        </w:rPr>
        <w:t xml:space="preserve"> del Decreto 1082 de 2015, respectivamente. </w:t>
      </w:r>
    </w:p>
    <w:p w14:paraId="0B9F52A0" w14:textId="77777777" w:rsidR="00574A4F" w:rsidRDefault="00574A4F" w:rsidP="00574A4F">
      <w:pPr>
        <w:spacing w:before="120" w:after="0" w:line="276" w:lineRule="auto"/>
        <w:ind w:firstLine="708"/>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Lo más importante es que apartado analizado permite “</w:t>
      </w:r>
      <w:r w:rsidRPr="003516C9">
        <w:rPr>
          <w:rFonts w:ascii="Arial" w:eastAsia="Times New Roman" w:hAnsi="Arial" w:cs="Arial"/>
          <w:color w:val="000000" w:themeColor="text1"/>
          <w:lang w:eastAsia="es-CO"/>
        </w:rPr>
        <w:t>Incluir amparos adicionales en los términos descritos en el Decreto 1082 de 2015</w:t>
      </w:r>
      <w:r>
        <w:rPr>
          <w:rFonts w:ascii="Arial" w:eastAsia="Times New Roman" w:hAnsi="Arial" w:cs="Arial"/>
          <w:color w:val="000000" w:themeColor="text1"/>
          <w:lang w:eastAsia="es-CO"/>
        </w:rPr>
        <w:t xml:space="preserve">”. Esto guarda congruencia con el numeral 8 del artículo </w:t>
      </w:r>
      <w:r w:rsidRPr="004A5F86">
        <w:rPr>
          <w:rFonts w:ascii="Arial" w:eastAsia="Times New Roman" w:hAnsi="Arial" w:cs="Arial"/>
          <w:color w:val="000000" w:themeColor="text1"/>
          <w:lang w:eastAsia="es-CO"/>
        </w:rPr>
        <w:t>2.2.1.2.3.1.3</w:t>
      </w:r>
      <w:r>
        <w:rPr>
          <w:rFonts w:ascii="Arial" w:eastAsia="Times New Roman" w:hAnsi="Arial" w:cs="Arial"/>
          <w:color w:val="000000" w:themeColor="text1"/>
          <w:lang w:eastAsia="es-CO"/>
        </w:rPr>
        <w:t xml:space="preserve"> </w:t>
      </w:r>
      <w:r w:rsidRPr="004A5F86">
        <w:rPr>
          <w:rFonts w:ascii="Arial" w:eastAsia="Times New Roman" w:hAnsi="Arial" w:cs="Arial"/>
          <w:i/>
          <w:iCs/>
          <w:color w:val="000000" w:themeColor="text1"/>
          <w:lang w:eastAsia="es-CO"/>
        </w:rPr>
        <w:t>ibidem</w:t>
      </w:r>
      <w:r>
        <w:rPr>
          <w:rFonts w:ascii="Arial" w:eastAsia="Times New Roman" w:hAnsi="Arial" w:cs="Arial"/>
          <w:color w:val="000000" w:themeColor="text1"/>
          <w:lang w:eastAsia="es-CO"/>
        </w:rPr>
        <w:t xml:space="preserve">, pues –como se explicó </w:t>
      </w:r>
      <w:r w:rsidRPr="004A5F86">
        <w:rPr>
          <w:rFonts w:ascii="Arial" w:eastAsia="Times New Roman" w:hAnsi="Arial" w:cs="Arial"/>
          <w:i/>
          <w:iCs/>
          <w:color w:val="000000" w:themeColor="text1"/>
          <w:lang w:eastAsia="es-CO"/>
        </w:rPr>
        <w:t>ut supra</w:t>
      </w:r>
      <w:r>
        <w:rPr>
          <w:rFonts w:ascii="Arial" w:eastAsia="Times New Roman" w:hAnsi="Arial" w:cs="Arial"/>
          <w:color w:val="000000" w:themeColor="text1"/>
          <w:lang w:eastAsia="es-CO"/>
        </w:rPr>
        <w:t>– la garantía de cumplimiento cubre los “</w:t>
      </w:r>
      <w:r w:rsidRPr="004A5F86">
        <w:rPr>
          <w:rFonts w:ascii="Arial" w:eastAsia="Times New Roman" w:hAnsi="Arial" w:cs="Arial"/>
          <w:color w:val="000000" w:themeColor="text1"/>
          <w:lang w:eastAsia="es-CO"/>
        </w:rPr>
        <w:t>Los demás incumplimientos de obligaciones que la Entidad Estatal considere deben ser amparados de manera proporcional y acorde a la naturaleza del contrato</w:t>
      </w:r>
      <w:r>
        <w:rPr>
          <w:rFonts w:ascii="Arial" w:eastAsia="Times New Roman" w:hAnsi="Arial" w:cs="Arial"/>
          <w:color w:val="000000" w:themeColor="text1"/>
          <w:lang w:eastAsia="es-CO"/>
        </w:rPr>
        <w:t xml:space="preserve">”. Por tanto, siempre que se cumpla esta condición, las entidades podrán agregar amparos adicionales sin que ello implique una alteración del documento tipo. </w:t>
      </w:r>
    </w:p>
    <w:p w14:paraId="7A318130" w14:textId="77777777" w:rsidR="00574A4F" w:rsidRPr="003A7C38" w:rsidRDefault="00574A4F" w:rsidP="00574A4F">
      <w:pPr>
        <w:spacing w:before="120" w:after="0" w:line="276" w:lineRule="auto"/>
        <w:ind w:firstLine="708"/>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 xml:space="preserve">Dicho razonamiento, </w:t>
      </w:r>
      <w:r w:rsidRPr="003A7C38">
        <w:rPr>
          <w:rFonts w:ascii="Arial" w:eastAsia="Times New Roman" w:hAnsi="Arial" w:cs="Arial"/>
          <w:i/>
          <w:iCs/>
          <w:color w:val="000000" w:themeColor="text1"/>
          <w:lang w:eastAsia="es-CO"/>
        </w:rPr>
        <w:t>mutatis mutandis</w:t>
      </w:r>
      <w:r>
        <w:rPr>
          <w:rFonts w:ascii="Arial" w:eastAsia="Times New Roman" w:hAnsi="Arial" w:cs="Arial"/>
          <w:color w:val="000000" w:themeColor="text1"/>
          <w:lang w:eastAsia="es-CO"/>
        </w:rPr>
        <w:t xml:space="preserve">, se extiende a los documentos tipo expedidos mediante las Resoluciones 241 de 2020, 625 de 2022, 326 de 2022 y 193 de 2021 para infraestructura de transporte; </w:t>
      </w:r>
      <w:r>
        <w:rPr>
          <w:rFonts w:ascii="Arial" w:hAnsi="Arial" w:cs="Arial"/>
          <w:bCs/>
          <w:lang w:val="es-ES_tradnl"/>
        </w:rPr>
        <w:t>248 y 249 de 2020, así como 193 de 2021, para agua potable y saneamiento básico; y 269 de 2020 para infraestructura social. Para efectos de los documentos tipo de gestión catastral con enfoque multipropósito, el inciso segundo de la cláusula 7 de la minuta dispone que “</w:t>
      </w:r>
      <w:r w:rsidRPr="008F67A6">
        <w:rPr>
          <w:rFonts w:ascii="Arial" w:hAnsi="Arial" w:cs="Arial"/>
          <w:bCs/>
          <w:lang w:val="es-ES_tradnl"/>
        </w:rPr>
        <w:t>En caso de que se considere procedente exigir garantías, en este lugar se establecerán las garantías exigibles, incluyendo sus amparos, montos y vigencias</w:t>
      </w:r>
      <w:r>
        <w:rPr>
          <w:rFonts w:ascii="Arial" w:hAnsi="Arial" w:cs="Arial"/>
          <w:bCs/>
          <w:lang w:val="es-ES_tradnl"/>
        </w:rPr>
        <w:t xml:space="preserve">”. </w:t>
      </w:r>
    </w:p>
    <w:bookmarkEnd w:id="8"/>
    <w:p w14:paraId="58361010" w14:textId="77777777" w:rsidR="00574A4F" w:rsidRPr="003A5B9A" w:rsidRDefault="00574A4F" w:rsidP="00574A4F">
      <w:pPr>
        <w:tabs>
          <w:tab w:val="left" w:pos="426"/>
        </w:tabs>
        <w:spacing w:after="0" w:line="276" w:lineRule="auto"/>
        <w:jc w:val="both"/>
        <w:rPr>
          <w:rFonts w:ascii="Arial" w:hAnsi="Arial" w:cs="Arial"/>
        </w:rPr>
      </w:pPr>
    </w:p>
    <w:p w14:paraId="2D1318F2" w14:textId="77777777" w:rsidR="00574A4F" w:rsidRPr="00262D58" w:rsidRDefault="00574A4F" w:rsidP="00574A4F">
      <w:pPr>
        <w:tabs>
          <w:tab w:val="left" w:pos="0"/>
        </w:tabs>
        <w:spacing w:after="0"/>
        <w:jc w:val="both"/>
        <w:rPr>
          <w:rFonts w:ascii="Arial" w:eastAsia="Calibri" w:hAnsi="Arial" w:cs="Arial"/>
          <w:b/>
          <w:color w:val="000000" w:themeColor="text1"/>
          <w:lang w:val="es-ES_tradnl"/>
        </w:rPr>
      </w:pPr>
      <w:r w:rsidRPr="00262D58">
        <w:rPr>
          <w:rFonts w:ascii="Arial" w:eastAsia="Calibri" w:hAnsi="Arial" w:cs="Arial"/>
          <w:b/>
          <w:color w:val="000000" w:themeColor="text1"/>
          <w:lang w:val="es-ES_tradnl"/>
        </w:rPr>
        <w:t>3. Respuesta</w:t>
      </w:r>
    </w:p>
    <w:p w14:paraId="50B0BB4D" w14:textId="77777777" w:rsidR="00574A4F" w:rsidRPr="00262D58" w:rsidRDefault="00574A4F" w:rsidP="00574A4F">
      <w:pPr>
        <w:spacing w:after="0" w:line="276" w:lineRule="auto"/>
        <w:ind w:firstLine="709"/>
        <w:jc w:val="both"/>
        <w:rPr>
          <w:rFonts w:ascii="Arial" w:eastAsia="Times New Roman" w:hAnsi="Arial" w:cs="Arial"/>
          <w:lang w:eastAsia="es-CO"/>
        </w:rPr>
      </w:pPr>
      <w:bookmarkStart w:id="19" w:name="_Hlk131064197"/>
    </w:p>
    <w:p w14:paraId="270E6C70" w14:textId="77777777" w:rsidR="00574A4F" w:rsidRDefault="00574A4F" w:rsidP="00574A4F">
      <w:pPr>
        <w:spacing w:after="120" w:line="240" w:lineRule="auto"/>
        <w:ind w:left="709" w:right="709"/>
        <w:jc w:val="both"/>
        <w:rPr>
          <w:rFonts w:ascii="Arial" w:hAnsi="Arial" w:cs="Arial"/>
          <w:color w:val="000000" w:themeColor="text1"/>
          <w:sz w:val="21"/>
          <w:szCs w:val="21"/>
          <w:lang w:val="es-ES_tradnl"/>
        </w:rPr>
      </w:pPr>
      <w:r w:rsidRPr="00BE6B2A">
        <w:rPr>
          <w:rFonts w:ascii="Arial" w:hAnsi="Arial" w:cs="Arial"/>
          <w:color w:val="000000" w:themeColor="text1"/>
          <w:sz w:val="21"/>
          <w:szCs w:val="21"/>
          <w:lang w:val="es-ES_tradnl"/>
        </w:rPr>
        <w:t>Respecto a los documentos tipo de infraestructura de transporte agua potable y saneamiento básico, gestión catastral e infraestructura social</w:t>
      </w:r>
      <w:r>
        <w:rPr>
          <w:rFonts w:ascii="Arial" w:hAnsi="Arial" w:cs="Arial"/>
          <w:color w:val="000000" w:themeColor="text1"/>
          <w:sz w:val="21"/>
          <w:szCs w:val="21"/>
          <w:lang w:val="es-ES_tradnl"/>
        </w:rPr>
        <w:t>:</w:t>
      </w:r>
    </w:p>
    <w:p w14:paraId="6F62DB01" w14:textId="77777777" w:rsidR="00574A4F" w:rsidRDefault="00574A4F" w:rsidP="00574A4F">
      <w:pPr>
        <w:spacing w:after="120" w:line="240" w:lineRule="auto"/>
        <w:ind w:left="709" w:right="709"/>
        <w:jc w:val="both"/>
        <w:rPr>
          <w:rFonts w:ascii="Arial" w:hAnsi="Arial" w:cs="Arial"/>
          <w:color w:val="000000" w:themeColor="text1"/>
          <w:sz w:val="21"/>
          <w:szCs w:val="21"/>
          <w:lang w:val="es-ES_tradnl"/>
        </w:rPr>
      </w:pPr>
      <w:r w:rsidRPr="008F67A6">
        <w:rPr>
          <w:rFonts w:ascii="Arial" w:hAnsi="Arial" w:cs="Arial"/>
          <w:color w:val="000000" w:themeColor="text1"/>
          <w:sz w:val="21"/>
          <w:szCs w:val="21"/>
          <w:lang w:val="es-ES_tradnl"/>
        </w:rPr>
        <w:t>i) “¿Es posible, de manera adicional a la garantía de cumplimiento y de responsabilidad civil extracontractual, como amparo autónomo y en póliza anexa, exigir la constitución de una póliza de todo riesgo para obras civiles, para proteger los bienes, equipos y en general la infraestructura que tenga relación directa con la obra civil en ejecución contra todo riesgo?”</w:t>
      </w:r>
      <w:r>
        <w:rPr>
          <w:rFonts w:ascii="Arial" w:hAnsi="Arial" w:cs="Arial"/>
          <w:color w:val="000000" w:themeColor="text1"/>
          <w:sz w:val="21"/>
          <w:szCs w:val="21"/>
          <w:lang w:val="es-ES_tradnl"/>
        </w:rPr>
        <w:t>.</w:t>
      </w:r>
    </w:p>
    <w:p w14:paraId="3E7898CB" w14:textId="77777777" w:rsidR="00574A4F" w:rsidRDefault="00574A4F" w:rsidP="00574A4F">
      <w:pPr>
        <w:spacing w:after="120" w:line="240" w:lineRule="auto"/>
        <w:ind w:left="709" w:right="709"/>
        <w:jc w:val="both"/>
        <w:rPr>
          <w:rFonts w:ascii="Arial" w:hAnsi="Arial" w:cs="Arial"/>
          <w:color w:val="000000" w:themeColor="text1"/>
          <w:sz w:val="21"/>
          <w:szCs w:val="21"/>
          <w:lang w:val="es-ES_tradnl"/>
        </w:rPr>
      </w:pPr>
      <w:proofErr w:type="spellStart"/>
      <w:r w:rsidRPr="008F67A6">
        <w:rPr>
          <w:rFonts w:ascii="Arial" w:hAnsi="Arial" w:cs="Arial"/>
          <w:color w:val="000000" w:themeColor="text1"/>
          <w:sz w:val="21"/>
          <w:szCs w:val="21"/>
          <w:lang w:val="es-ES_tradnl"/>
        </w:rPr>
        <w:t>ii</w:t>
      </w:r>
      <w:proofErr w:type="spellEnd"/>
      <w:r w:rsidRPr="008F67A6">
        <w:rPr>
          <w:rFonts w:ascii="Arial" w:hAnsi="Arial" w:cs="Arial"/>
          <w:color w:val="000000" w:themeColor="text1"/>
          <w:sz w:val="21"/>
          <w:szCs w:val="21"/>
          <w:lang w:val="es-ES_tradnl"/>
        </w:rPr>
        <w:t xml:space="preserve">) “En caso de que las entidades estatales, opten por incluir de manera adicional la póliza todo riesgo para obras civiles, ¿se contraviene la estructura del pliego tipo y con ello la </w:t>
      </w:r>
      <w:r>
        <w:rPr>
          <w:rFonts w:ascii="Arial" w:hAnsi="Arial" w:cs="Arial"/>
          <w:color w:val="000000" w:themeColor="text1"/>
          <w:sz w:val="21"/>
          <w:szCs w:val="21"/>
          <w:lang w:val="es-ES_tradnl"/>
        </w:rPr>
        <w:t>“</w:t>
      </w:r>
      <w:r w:rsidRPr="008F67A6">
        <w:rPr>
          <w:rFonts w:ascii="Arial" w:hAnsi="Arial" w:cs="Arial"/>
          <w:color w:val="000000" w:themeColor="text1"/>
          <w:sz w:val="21"/>
          <w:szCs w:val="21"/>
          <w:lang w:val="es-ES_tradnl"/>
        </w:rPr>
        <w:t>inalterabilidad</w:t>
      </w:r>
      <w:r>
        <w:rPr>
          <w:rFonts w:ascii="Arial" w:hAnsi="Arial" w:cs="Arial"/>
          <w:color w:val="000000" w:themeColor="text1"/>
          <w:sz w:val="21"/>
          <w:szCs w:val="21"/>
          <w:lang w:val="es-ES_tradnl"/>
        </w:rPr>
        <w:t>”</w:t>
      </w:r>
      <w:r w:rsidRPr="008F67A6">
        <w:rPr>
          <w:rFonts w:ascii="Arial" w:hAnsi="Arial" w:cs="Arial"/>
          <w:color w:val="000000" w:themeColor="text1"/>
          <w:sz w:val="21"/>
          <w:szCs w:val="21"/>
          <w:lang w:val="es-ES_tradnl"/>
        </w:rPr>
        <w:t xml:space="preserve"> de que trata el artículo 1° de la Ley 2022 de 2020?”</w:t>
      </w:r>
      <w:r>
        <w:rPr>
          <w:rFonts w:ascii="Arial" w:hAnsi="Arial" w:cs="Arial"/>
          <w:color w:val="000000" w:themeColor="text1"/>
          <w:sz w:val="21"/>
          <w:szCs w:val="21"/>
          <w:lang w:val="es-ES_tradnl"/>
        </w:rPr>
        <w:t>.</w:t>
      </w:r>
    </w:p>
    <w:p w14:paraId="338A7F16" w14:textId="77777777" w:rsidR="00574A4F" w:rsidRDefault="00574A4F" w:rsidP="00574A4F">
      <w:pPr>
        <w:spacing w:after="0" w:line="240" w:lineRule="auto"/>
        <w:ind w:left="709" w:right="709"/>
        <w:jc w:val="both"/>
        <w:rPr>
          <w:rFonts w:ascii="Arial" w:hAnsi="Arial" w:cs="Arial"/>
          <w:color w:val="000000" w:themeColor="text1"/>
          <w:sz w:val="21"/>
          <w:szCs w:val="21"/>
          <w:lang w:val="es-ES_tradnl"/>
        </w:rPr>
      </w:pPr>
      <w:r w:rsidRPr="008F67A6">
        <w:rPr>
          <w:rFonts w:ascii="Arial" w:hAnsi="Arial" w:cs="Arial"/>
          <w:color w:val="000000" w:themeColor="text1"/>
          <w:sz w:val="21"/>
          <w:szCs w:val="21"/>
          <w:lang w:val="es-ES_tradnl"/>
        </w:rPr>
        <w:t>v) “¿Se puede considerar que las garantías enunciadas en el Capítulo VII del documento base – pliego tipo son un mínimo? Lo anterior, ¿sin perjuicio de pólizas adicionales que las entidades consideren incluir?”</w:t>
      </w:r>
      <w:r w:rsidRPr="00262D58">
        <w:rPr>
          <w:rFonts w:ascii="Arial" w:hAnsi="Arial" w:cs="Arial"/>
          <w:color w:val="000000" w:themeColor="text1"/>
          <w:sz w:val="21"/>
          <w:szCs w:val="21"/>
          <w:lang w:val="es-ES_tradnl"/>
        </w:rPr>
        <w:t>.</w:t>
      </w:r>
    </w:p>
    <w:p w14:paraId="633A3293" w14:textId="77777777" w:rsidR="00574A4F" w:rsidRPr="00262D58" w:rsidRDefault="00574A4F" w:rsidP="00574A4F">
      <w:pPr>
        <w:spacing w:after="0" w:line="276" w:lineRule="auto"/>
        <w:jc w:val="both"/>
        <w:rPr>
          <w:rFonts w:ascii="Arial" w:hAnsi="Arial" w:cs="Arial"/>
          <w:color w:val="000000" w:themeColor="text1"/>
          <w:lang w:val="es-ES_tradnl"/>
        </w:rPr>
      </w:pPr>
    </w:p>
    <w:p w14:paraId="4AB32B76" w14:textId="77777777" w:rsidR="00574A4F" w:rsidRDefault="00574A4F" w:rsidP="00574A4F">
      <w:pPr>
        <w:spacing w:after="120" w:line="276" w:lineRule="auto"/>
        <w:jc w:val="both"/>
        <w:rPr>
          <w:rFonts w:ascii="Arial" w:eastAsia="Times New Roman" w:hAnsi="Arial" w:cs="Arial"/>
          <w:color w:val="000000" w:themeColor="text1"/>
          <w:lang w:eastAsia="es-CO"/>
        </w:rPr>
      </w:pPr>
      <w:r>
        <w:rPr>
          <w:rFonts w:ascii="Arial" w:hAnsi="Arial" w:cs="Arial"/>
        </w:rPr>
        <w:t xml:space="preserve">Conforme a la interpretación de las normas generales del sistema de compras públicas, </w:t>
      </w:r>
      <w:r>
        <w:rPr>
          <w:rFonts w:ascii="Arial" w:eastAsia="Times New Roman" w:hAnsi="Arial" w:cs="Arial"/>
          <w:color w:val="000000" w:themeColor="text1"/>
          <w:lang w:eastAsia="es-CO"/>
        </w:rPr>
        <w:t>Como dispone el inciso primero de la Ley 1150 de 2007, “</w:t>
      </w:r>
      <w:r w:rsidRPr="00020339">
        <w:rPr>
          <w:rFonts w:ascii="Arial" w:eastAsia="Times New Roman" w:hAnsi="Arial" w:cs="Arial"/>
          <w:color w:val="000000" w:themeColor="text1"/>
          <w:lang w:eastAsia="es-CO"/>
        </w:rPr>
        <w:t>Los contratistas prestarán garantía única para el cumplimiento de las obligaciones surgidas del contrato. Los proponentes prestarán garantía de seriedad de los ofrecimientos hechos</w:t>
      </w:r>
      <w:r>
        <w:rPr>
          <w:rFonts w:ascii="Arial" w:eastAsia="Times New Roman" w:hAnsi="Arial" w:cs="Arial"/>
          <w:color w:val="000000" w:themeColor="text1"/>
          <w:lang w:eastAsia="es-CO"/>
        </w:rPr>
        <w:t xml:space="preserve">”. De esta manera, el capítulo VII del pliego de condiciones para licitación de obra pública de infraestructura de transporte recoge el régimen de garantías desarrollado en la sección 3 del capítulo 2 del título 1 de la parte 2 del libro 2 del Decreto 1082 de 2015. Dicho apartado regula la garantía de seriedad de la oferta –apartado 7.1– y las garantías del contrato –apartado 7.2–. A su vez, este último desarrolla la garantía de cumplimiento –apartado 7.2.1–, la estabilidad de la obra y el periodo de la garantía –apartado 7.2.2– y la garantía de responsabilidad civil extracontractual –7.2.3–. El documento base no contempla la inclusión de garantías distintas a las de seriedad, cumplimiento –que incluye la estabilidad y calidad de la obra– y responsabilidad, por lo que adicionar numerales o modificar los existentes en aspectos que no estén entre corchetes ni resaltados en gris implicaría alteración de los documentos tipo, especialmente, cuando la validación de la cobertura es un criterio para habilitar a los proponentes en el proceso de selección.   </w:t>
      </w:r>
    </w:p>
    <w:p w14:paraId="56972396" w14:textId="77777777" w:rsidR="00574A4F" w:rsidRDefault="00574A4F" w:rsidP="00574A4F">
      <w:pPr>
        <w:spacing w:before="120" w:after="120" w:line="276" w:lineRule="auto"/>
        <w:ind w:firstLine="708"/>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Respecto a la garantía de cumplimiento, el apartado 7.2.1 del pliego dispone que “</w:t>
      </w:r>
      <w:r w:rsidRPr="00E718FC">
        <w:rPr>
          <w:rFonts w:ascii="Arial" w:eastAsia="Times New Roman" w:hAnsi="Arial" w:cs="Arial"/>
          <w:color w:val="000000" w:themeColor="text1"/>
          <w:lang w:eastAsia="es-CO"/>
        </w:rPr>
        <w:t xml:space="preserve">Para cubrir cualquier hecho constitutivo de incumplimiento, el contratista deberá presentar la garantía de cumplimiento en original a la entidad dentro de los </w:t>
      </w:r>
      <w:r w:rsidRPr="00E718FC">
        <w:rPr>
          <w:rFonts w:ascii="Arial" w:eastAsia="Times New Roman" w:hAnsi="Arial" w:cs="Arial"/>
          <w:color w:val="000000" w:themeColor="text1"/>
          <w:highlight w:val="lightGray"/>
          <w:lang w:eastAsia="es-CO"/>
        </w:rPr>
        <w:t>[La entidad deberá definir los días]</w:t>
      </w:r>
      <w:r w:rsidRPr="00E718FC">
        <w:rPr>
          <w:rFonts w:ascii="Arial" w:eastAsia="Times New Roman" w:hAnsi="Arial" w:cs="Arial"/>
          <w:color w:val="000000" w:themeColor="text1"/>
          <w:lang w:eastAsia="es-CO"/>
        </w:rPr>
        <w:t xml:space="preserve"> días hábiles siguientes contados a partir de la firma del contrato y requerirá la aprobación de la entidad</w:t>
      </w:r>
      <w:r>
        <w:rPr>
          <w:rFonts w:ascii="Arial" w:eastAsia="Times New Roman" w:hAnsi="Arial" w:cs="Arial"/>
          <w:color w:val="000000" w:themeColor="text1"/>
          <w:lang w:eastAsia="es-CO"/>
        </w:rPr>
        <w:t xml:space="preserve"> […]”. A esta corresponden los siguientes amparos: i) c</w:t>
      </w:r>
      <w:r w:rsidRPr="00E718FC">
        <w:rPr>
          <w:rFonts w:ascii="Arial" w:eastAsia="Times New Roman" w:hAnsi="Arial" w:cs="Arial"/>
          <w:color w:val="000000" w:themeColor="text1"/>
          <w:lang w:eastAsia="es-CO"/>
        </w:rPr>
        <w:t>umplimiento general del contrato y el pago de las multas y la cláusula penal pecuniaria que se le impongan</w:t>
      </w:r>
      <w:r>
        <w:rPr>
          <w:rFonts w:ascii="Arial" w:eastAsia="Times New Roman" w:hAnsi="Arial" w:cs="Arial"/>
          <w:color w:val="000000" w:themeColor="text1"/>
          <w:lang w:eastAsia="es-CO"/>
        </w:rPr>
        <w:t xml:space="preserve">, </w:t>
      </w:r>
      <w:proofErr w:type="spellStart"/>
      <w:r>
        <w:rPr>
          <w:rFonts w:ascii="Arial" w:eastAsia="Times New Roman" w:hAnsi="Arial" w:cs="Arial"/>
          <w:color w:val="000000" w:themeColor="text1"/>
          <w:lang w:eastAsia="es-CO"/>
        </w:rPr>
        <w:t>ii</w:t>
      </w:r>
      <w:proofErr w:type="spellEnd"/>
      <w:r>
        <w:rPr>
          <w:rFonts w:ascii="Arial" w:eastAsia="Times New Roman" w:hAnsi="Arial" w:cs="Arial"/>
          <w:color w:val="000000" w:themeColor="text1"/>
          <w:lang w:eastAsia="es-CO"/>
        </w:rPr>
        <w:t>) b</w:t>
      </w:r>
      <w:r w:rsidRPr="00E718FC">
        <w:rPr>
          <w:rFonts w:ascii="Arial" w:eastAsia="Times New Roman" w:hAnsi="Arial" w:cs="Arial"/>
          <w:color w:val="000000" w:themeColor="text1"/>
          <w:lang w:eastAsia="es-CO"/>
        </w:rPr>
        <w:t>uen manejo y correcta inversión del anticipo</w:t>
      </w:r>
      <w:r>
        <w:rPr>
          <w:rFonts w:ascii="Arial" w:eastAsia="Times New Roman" w:hAnsi="Arial" w:cs="Arial"/>
          <w:color w:val="000000" w:themeColor="text1"/>
          <w:lang w:eastAsia="es-CO"/>
        </w:rPr>
        <w:t xml:space="preserve">, </w:t>
      </w:r>
      <w:proofErr w:type="spellStart"/>
      <w:r>
        <w:rPr>
          <w:rFonts w:ascii="Arial" w:eastAsia="Times New Roman" w:hAnsi="Arial" w:cs="Arial"/>
          <w:color w:val="000000" w:themeColor="text1"/>
          <w:lang w:eastAsia="es-CO"/>
        </w:rPr>
        <w:t>iii</w:t>
      </w:r>
      <w:proofErr w:type="spellEnd"/>
      <w:r>
        <w:rPr>
          <w:rFonts w:ascii="Arial" w:eastAsia="Times New Roman" w:hAnsi="Arial" w:cs="Arial"/>
          <w:color w:val="000000" w:themeColor="text1"/>
          <w:lang w:eastAsia="es-CO"/>
        </w:rPr>
        <w:t>) d</w:t>
      </w:r>
      <w:r w:rsidRPr="00E718FC">
        <w:rPr>
          <w:rFonts w:ascii="Arial" w:eastAsia="Times New Roman" w:hAnsi="Arial" w:cs="Arial"/>
          <w:color w:val="000000" w:themeColor="text1"/>
          <w:lang w:eastAsia="es-CO"/>
        </w:rPr>
        <w:t>evolución del pago anticipado</w:t>
      </w:r>
      <w:r>
        <w:rPr>
          <w:rFonts w:ascii="Arial" w:eastAsia="Times New Roman" w:hAnsi="Arial" w:cs="Arial"/>
          <w:color w:val="000000" w:themeColor="text1"/>
          <w:lang w:eastAsia="es-CO"/>
        </w:rPr>
        <w:t xml:space="preserve">, </w:t>
      </w:r>
      <w:proofErr w:type="spellStart"/>
      <w:r>
        <w:rPr>
          <w:rFonts w:ascii="Arial" w:eastAsia="Times New Roman" w:hAnsi="Arial" w:cs="Arial"/>
          <w:color w:val="000000" w:themeColor="text1"/>
          <w:lang w:eastAsia="es-CO"/>
        </w:rPr>
        <w:t>iv</w:t>
      </w:r>
      <w:proofErr w:type="spellEnd"/>
      <w:r>
        <w:rPr>
          <w:rFonts w:ascii="Arial" w:eastAsia="Times New Roman" w:hAnsi="Arial" w:cs="Arial"/>
          <w:color w:val="000000" w:themeColor="text1"/>
          <w:lang w:eastAsia="es-CO"/>
        </w:rPr>
        <w:t>) p</w:t>
      </w:r>
      <w:r w:rsidRPr="00E718FC">
        <w:rPr>
          <w:rFonts w:ascii="Arial" w:eastAsia="Times New Roman" w:hAnsi="Arial" w:cs="Arial"/>
          <w:color w:val="000000" w:themeColor="text1"/>
          <w:lang w:eastAsia="es-CO"/>
        </w:rPr>
        <w:t>ago de salarios, prestaciones sociales legales e indemnizaciones laborales del personal que el contratista haya de utilizar en el territorio nacional para la ejecución del contrato</w:t>
      </w:r>
      <w:r>
        <w:rPr>
          <w:rFonts w:ascii="Arial" w:eastAsia="Times New Roman" w:hAnsi="Arial" w:cs="Arial"/>
          <w:color w:val="000000" w:themeColor="text1"/>
          <w:lang w:eastAsia="es-CO"/>
        </w:rPr>
        <w:t>, v) e</w:t>
      </w:r>
      <w:r w:rsidRPr="00E718FC">
        <w:rPr>
          <w:rFonts w:ascii="Arial" w:eastAsia="Times New Roman" w:hAnsi="Arial" w:cs="Arial"/>
          <w:color w:val="000000" w:themeColor="text1"/>
          <w:lang w:eastAsia="es-CO"/>
        </w:rPr>
        <w:t>stabilidad y calidad de las obras ejecutadas entregadas a satisfacción</w:t>
      </w:r>
      <w:r>
        <w:rPr>
          <w:rFonts w:ascii="Arial" w:eastAsia="Times New Roman" w:hAnsi="Arial" w:cs="Arial"/>
          <w:color w:val="000000" w:themeColor="text1"/>
          <w:lang w:eastAsia="es-CO"/>
        </w:rPr>
        <w:t xml:space="preserve">. Para los amparos i), </w:t>
      </w:r>
      <w:proofErr w:type="spellStart"/>
      <w:r>
        <w:rPr>
          <w:rFonts w:ascii="Arial" w:eastAsia="Times New Roman" w:hAnsi="Arial" w:cs="Arial"/>
          <w:color w:val="000000" w:themeColor="text1"/>
          <w:lang w:eastAsia="es-CO"/>
        </w:rPr>
        <w:t>ii</w:t>
      </w:r>
      <w:proofErr w:type="spellEnd"/>
      <w:r>
        <w:rPr>
          <w:rFonts w:ascii="Arial" w:eastAsia="Times New Roman" w:hAnsi="Arial" w:cs="Arial"/>
          <w:color w:val="000000" w:themeColor="text1"/>
          <w:lang w:eastAsia="es-CO"/>
        </w:rPr>
        <w:t xml:space="preserve">), </w:t>
      </w:r>
      <w:proofErr w:type="spellStart"/>
      <w:r>
        <w:rPr>
          <w:rFonts w:ascii="Arial" w:eastAsia="Times New Roman" w:hAnsi="Arial" w:cs="Arial"/>
          <w:color w:val="000000" w:themeColor="text1"/>
          <w:lang w:eastAsia="es-CO"/>
        </w:rPr>
        <w:t>iii</w:t>
      </w:r>
      <w:proofErr w:type="spellEnd"/>
      <w:r>
        <w:rPr>
          <w:rFonts w:ascii="Arial" w:eastAsia="Times New Roman" w:hAnsi="Arial" w:cs="Arial"/>
          <w:color w:val="000000" w:themeColor="text1"/>
          <w:lang w:eastAsia="es-CO"/>
        </w:rPr>
        <w:t xml:space="preserve">) y </w:t>
      </w:r>
      <w:proofErr w:type="spellStart"/>
      <w:r>
        <w:rPr>
          <w:rFonts w:ascii="Arial" w:eastAsia="Times New Roman" w:hAnsi="Arial" w:cs="Arial"/>
          <w:color w:val="000000" w:themeColor="text1"/>
          <w:lang w:eastAsia="es-CO"/>
        </w:rPr>
        <w:t>iv</w:t>
      </w:r>
      <w:proofErr w:type="spellEnd"/>
      <w:r>
        <w:rPr>
          <w:rFonts w:ascii="Arial" w:eastAsia="Times New Roman" w:hAnsi="Arial" w:cs="Arial"/>
          <w:color w:val="000000" w:themeColor="text1"/>
          <w:lang w:eastAsia="es-CO"/>
        </w:rPr>
        <w:t>), el documento base define la vigencia de cada uno de ellos. Sin perjuicio de lo anterior, salvo lo dispuesto para la d</w:t>
      </w:r>
      <w:r w:rsidRPr="002C7BCB">
        <w:rPr>
          <w:rFonts w:ascii="Arial" w:eastAsia="Times New Roman" w:hAnsi="Arial" w:cs="Arial"/>
          <w:color w:val="000000" w:themeColor="text1"/>
          <w:lang w:eastAsia="es-CO"/>
        </w:rPr>
        <w:t>evolución del pago anticipado</w:t>
      </w:r>
      <w:r>
        <w:rPr>
          <w:rFonts w:ascii="Arial" w:eastAsia="Times New Roman" w:hAnsi="Arial" w:cs="Arial"/>
          <w:color w:val="000000" w:themeColor="text1"/>
          <w:lang w:eastAsia="es-CO"/>
        </w:rPr>
        <w:t xml:space="preserve">, la entidad determinará el valor asegurado de los amparos i), </w:t>
      </w:r>
      <w:proofErr w:type="spellStart"/>
      <w:r>
        <w:rPr>
          <w:rFonts w:ascii="Arial" w:eastAsia="Times New Roman" w:hAnsi="Arial" w:cs="Arial"/>
          <w:color w:val="000000" w:themeColor="text1"/>
          <w:lang w:eastAsia="es-CO"/>
        </w:rPr>
        <w:t>ii</w:t>
      </w:r>
      <w:proofErr w:type="spellEnd"/>
      <w:r>
        <w:rPr>
          <w:rFonts w:ascii="Arial" w:eastAsia="Times New Roman" w:hAnsi="Arial" w:cs="Arial"/>
          <w:color w:val="000000" w:themeColor="text1"/>
          <w:lang w:eastAsia="es-CO"/>
        </w:rPr>
        <w:t xml:space="preserve">), </w:t>
      </w:r>
      <w:proofErr w:type="spellStart"/>
      <w:r>
        <w:rPr>
          <w:rFonts w:ascii="Arial" w:eastAsia="Times New Roman" w:hAnsi="Arial" w:cs="Arial"/>
          <w:color w:val="000000" w:themeColor="text1"/>
          <w:lang w:eastAsia="es-CO"/>
        </w:rPr>
        <w:t>iv</w:t>
      </w:r>
      <w:proofErr w:type="spellEnd"/>
      <w:r>
        <w:rPr>
          <w:rFonts w:ascii="Arial" w:eastAsia="Times New Roman" w:hAnsi="Arial" w:cs="Arial"/>
          <w:color w:val="000000" w:themeColor="text1"/>
          <w:lang w:eastAsia="es-CO"/>
        </w:rPr>
        <w:t xml:space="preserve">) y v) con sujeción a los artículos </w:t>
      </w:r>
      <w:r w:rsidRPr="002C7BCB">
        <w:rPr>
          <w:rFonts w:ascii="Arial" w:eastAsia="Times New Roman" w:hAnsi="Arial" w:cs="Arial"/>
          <w:color w:val="000000" w:themeColor="text1"/>
          <w:lang w:eastAsia="es-CO"/>
        </w:rPr>
        <w:t>2.2.1.2.3.1.12</w:t>
      </w:r>
      <w:r>
        <w:rPr>
          <w:rFonts w:ascii="Arial" w:eastAsia="Times New Roman" w:hAnsi="Arial" w:cs="Arial"/>
          <w:color w:val="000000" w:themeColor="text1"/>
          <w:lang w:eastAsia="es-CO"/>
        </w:rPr>
        <w:t xml:space="preserve">, </w:t>
      </w:r>
      <w:r w:rsidRPr="002C7BCB">
        <w:rPr>
          <w:rFonts w:ascii="Arial" w:eastAsia="Times New Roman" w:hAnsi="Arial" w:cs="Arial"/>
          <w:color w:val="000000" w:themeColor="text1"/>
          <w:lang w:eastAsia="es-CO"/>
        </w:rPr>
        <w:t>2.2.1.2.3.1.11</w:t>
      </w:r>
      <w:r>
        <w:rPr>
          <w:rFonts w:ascii="Arial" w:eastAsia="Times New Roman" w:hAnsi="Arial" w:cs="Arial"/>
          <w:color w:val="000000" w:themeColor="text1"/>
          <w:lang w:eastAsia="es-CO"/>
        </w:rPr>
        <w:t xml:space="preserve">, </w:t>
      </w:r>
      <w:r w:rsidRPr="002C7BCB">
        <w:rPr>
          <w:rFonts w:ascii="Arial" w:eastAsia="Times New Roman" w:hAnsi="Arial" w:cs="Arial"/>
          <w:color w:val="000000" w:themeColor="text1"/>
          <w:lang w:eastAsia="es-CO"/>
        </w:rPr>
        <w:t>2.2.1.2.3.1.13</w:t>
      </w:r>
      <w:r>
        <w:rPr>
          <w:rFonts w:ascii="Arial" w:eastAsia="Times New Roman" w:hAnsi="Arial" w:cs="Arial"/>
          <w:color w:val="000000" w:themeColor="text1"/>
          <w:lang w:eastAsia="es-CO"/>
        </w:rPr>
        <w:t xml:space="preserve"> y </w:t>
      </w:r>
      <w:r w:rsidRPr="002C7BCB">
        <w:rPr>
          <w:rFonts w:ascii="Arial" w:eastAsia="Times New Roman" w:hAnsi="Arial" w:cs="Arial"/>
          <w:color w:val="000000" w:themeColor="text1"/>
          <w:lang w:eastAsia="es-CO"/>
        </w:rPr>
        <w:t>2.2.1.2.3.1.14</w:t>
      </w:r>
      <w:r>
        <w:rPr>
          <w:rFonts w:ascii="Arial" w:eastAsia="Times New Roman" w:hAnsi="Arial" w:cs="Arial"/>
          <w:color w:val="000000" w:themeColor="text1"/>
          <w:lang w:eastAsia="es-CO"/>
        </w:rPr>
        <w:t xml:space="preserve"> del Decreto 1082 de 2015, respectivamente. </w:t>
      </w:r>
    </w:p>
    <w:p w14:paraId="7F3D0389" w14:textId="77777777" w:rsidR="00574A4F" w:rsidRDefault="00574A4F" w:rsidP="00574A4F">
      <w:pPr>
        <w:spacing w:before="120" w:after="0" w:line="276" w:lineRule="auto"/>
        <w:ind w:firstLine="708"/>
        <w:jc w:val="both"/>
        <w:rPr>
          <w:rFonts w:ascii="Arial" w:eastAsia="Times New Roman" w:hAnsi="Arial" w:cs="Arial"/>
          <w:color w:val="000000" w:themeColor="text1"/>
          <w:lang w:eastAsia="es-CO"/>
        </w:rPr>
      </w:pPr>
      <w:r>
        <w:rPr>
          <w:rFonts w:ascii="Arial" w:eastAsia="Times New Roman" w:hAnsi="Arial" w:cs="Arial"/>
          <w:color w:val="000000" w:themeColor="text1"/>
          <w:lang w:eastAsia="es-CO"/>
        </w:rPr>
        <w:t>Lo más importante es que apartado analizado permite “</w:t>
      </w:r>
      <w:r w:rsidRPr="003516C9">
        <w:rPr>
          <w:rFonts w:ascii="Arial" w:eastAsia="Times New Roman" w:hAnsi="Arial" w:cs="Arial"/>
          <w:color w:val="000000" w:themeColor="text1"/>
          <w:lang w:eastAsia="es-CO"/>
        </w:rPr>
        <w:t>Incluir amparos adicionales en los términos descritos en el Decreto 1082 de 2015</w:t>
      </w:r>
      <w:r>
        <w:rPr>
          <w:rFonts w:ascii="Arial" w:eastAsia="Times New Roman" w:hAnsi="Arial" w:cs="Arial"/>
          <w:color w:val="000000" w:themeColor="text1"/>
          <w:lang w:eastAsia="es-CO"/>
        </w:rPr>
        <w:t xml:space="preserve">”. Esto guarda congruencia con el numeral 8 del artículo </w:t>
      </w:r>
      <w:r w:rsidRPr="004A5F86">
        <w:rPr>
          <w:rFonts w:ascii="Arial" w:eastAsia="Times New Roman" w:hAnsi="Arial" w:cs="Arial"/>
          <w:color w:val="000000" w:themeColor="text1"/>
          <w:lang w:eastAsia="es-CO"/>
        </w:rPr>
        <w:t>2.2.1.2.3.1.3</w:t>
      </w:r>
      <w:r>
        <w:rPr>
          <w:rFonts w:ascii="Arial" w:eastAsia="Times New Roman" w:hAnsi="Arial" w:cs="Arial"/>
          <w:color w:val="000000" w:themeColor="text1"/>
          <w:lang w:eastAsia="es-CO"/>
        </w:rPr>
        <w:t xml:space="preserve"> </w:t>
      </w:r>
      <w:r w:rsidRPr="004A5F86">
        <w:rPr>
          <w:rFonts w:ascii="Arial" w:eastAsia="Times New Roman" w:hAnsi="Arial" w:cs="Arial"/>
          <w:i/>
          <w:iCs/>
          <w:color w:val="000000" w:themeColor="text1"/>
          <w:lang w:eastAsia="es-CO"/>
        </w:rPr>
        <w:t>ibidem</w:t>
      </w:r>
      <w:r>
        <w:rPr>
          <w:rFonts w:ascii="Arial" w:eastAsia="Times New Roman" w:hAnsi="Arial" w:cs="Arial"/>
          <w:color w:val="000000" w:themeColor="text1"/>
          <w:lang w:eastAsia="es-CO"/>
        </w:rPr>
        <w:t xml:space="preserve">, pues –como se explicó </w:t>
      </w:r>
      <w:r w:rsidRPr="004A5F86">
        <w:rPr>
          <w:rFonts w:ascii="Arial" w:eastAsia="Times New Roman" w:hAnsi="Arial" w:cs="Arial"/>
          <w:i/>
          <w:iCs/>
          <w:color w:val="000000" w:themeColor="text1"/>
          <w:lang w:eastAsia="es-CO"/>
        </w:rPr>
        <w:t>ut supra</w:t>
      </w:r>
      <w:r>
        <w:rPr>
          <w:rFonts w:ascii="Arial" w:eastAsia="Times New Roman" w:hAnsi="Arial" w:cs="Arial"/>
          <w:color w:val="000000" w:themeColor="text1"/>
          <w:lang w:eastAsia="es-CO"/>
        </w:rPr>
        <w:t>– la garantía de cumplimiento cubre los “</w:t>
      </w:r>
      <w:r w:rsidRPr="004A5F86">
        <w:rPr>
          <w:rFonts w:ascii="Arial" w:eastAsia="Times New Roman" w:hAnsi="Arial" w:cs="Arial"/>
          <w:color w:val="000000" w:themeColor="text1"/>
          <w:lang w:eastAsia="es-CO"/>
        </w:rPr>
        <w:t xml:space="preserve">Los demás incumplimientos de obligaciones que la Entidad Estatal considere deben ser amparados de manera proporcional y acorde a la naturaleza del </w:t>
      </w:r>
      <w:r w:rsidRPr="004A5F86">
        <w:rPr>
          <w:rFonts w:ascii="Arial" w:eastAsia="Times New Roman" w:hAnsi="Arial" w:cs="Arial"/>
          <w:color w:val="000000" w:themeColor="text1"/>
          <w:lang w:eastAsia="es-CO"/>
        </w:rPr>
        <w:lastRenderedPageBreak/>
        <w:t>contrato</w:t>
      </w:r>
      <w:r>
        <w:rPr>
          <w:rFonts w:ascii="Arial" w:eastAsia="Times New Roman" w:hAnsi="Arial" w:cs="Arial"/>
          <w:color w:val="000000" w:themeColor="text1"/>
          <w:lang w:eastAsia="es-CO"/>
        </w:rPr>
        <w:t xml:space="preserve">”. Por tanto, siempre que se cumpla esta condición, las entidades podrán agregar amparos adicionales sin que ello implique una alteración del documento tipo. </w:t>
      </w:r>
    </w:p>
    <w:p w14:paraId="62BD9B00" w14:textId="77777777" w:rsidR="00574A4F" w:rsidRPr="00BE6B2A" w:rsidRDefault="00574A4F" w:rsidP="00574A4F">
      <w:pPr>
        <w:spacing w:after="0" w:line="276" w:lineRule="auto"/>
        <w:ind w:firstLine="708"/>
        <w:jc w:val="both"/>
        <w:rPr>
          <w:rFonts w:ascii="Arial" w:eastAsia="Times New Roman" w:hAnsi="Arial" w:cs="Arial"/>
          <w:color w:val="000000" w:themeColor="text1"/>
          <w:sz w:val="12"/>
          <w:szCs w:val="12"/>
          <w:lang w:eastAsia="es-CO"/>
        </w:rPr>
      </w:pPr>
    </w:p>
    <w:p w14:paraId="1EF02F23" w14:textId="77777777" w:rsidR="00574A4F" w:rsidRDefault="00574A4F" w:rsidP="00574A4F">
      <w:pPr>
        <w:spacing w:after="0" w:line="276" w:lineRule="auto"/>
        <w:ind w:firstLine="708"/>
        <w:jc w:val="both"/>
        <w:rPr>
          <w:rFonts w:ascii="Arial" w:hAnsi="Arial" w:cs="Arial"/>
          <w:bCs/>
          <w:lang w:val="es-ES_tradnl"/>
        </w:rPr>
      </w:pPr>
      <w:r>
        <w:rPr>
          <w:rFonts w:ascii="Arial" w:eastAsia="Times New Roman" w:hAnsi="Arial" w:cs="Arial"/>
          <w:color w:val="000000" w:themeColor="text1"/>
          <w:lang w:eastAsia="es-CO"/>
        </w:rPr>
        <w:t xml:space="preserve">Dicho razonamiento, </w:t>
      </w:r>
      <w:r w:rsidRPr="003A7C38">
        <w:rPr>
          <w:rFonts w:ascii="Arial" w:eastAsia="Times New Roman" w:hAnsi="Arial" w:cs="Arial"/>
          <w:i/>
          <w:iCs/>
          <w:color w:val="000000" w:themeColor="text1"/>
          <w:lang w:eastAsia="es-CO"/>
        </w:rPr>
        <w:t>mutatis mutandis</w:t>
      </w:r>
      <w:r>
        <w:rPr>
          <w:rFonts w:ascii="Arial" w:eastAsia="Times New Roman" w:hAnsi="Arial" w:cs="Arial"/>
          <w:color w:val="000000" w:themeColor="text1"/>
          <w:lang w:eastAsia="es-CO"/>
        </w:rPr>
        <w:t xml:space="preserve">, se extiende a los documentos tipo expedidos mediante las Resoluciones 241 de 2020, 625 de 2022, 326 de 2022 y 193 de 2021 para infraestructura de transporte; </w:t>
      </w:r>
      <w:r>
        <w:rPr>
          <w:rFonts w:ascii="Arial" w:hAnsi="Arial" w:cs="Arial"/>
          <w:bCs/>
          <w:lang w:val="es-ES_tradnl"/>
        </w:rPr>
        <w:t>248 y 249 de 2020, así como 193 de 2021, para agua potable y saneamiento básico; y 269 de 2020 para infraestructura social. Para efectos de los documentos tipo de gestión catastral con enfoque multipropósito, el inciso segundo de la cláusula 7 de la minuta dispone que “</w:t>
      </w:r>
      <w:r w:rsidRPr="008F67A6">
        <w:rPr>
          <w:rFonts w:ascii="Arial" w:hAnsi="Arial" w:cs="Arial"/>
          <w:bCs/>
          <w:lang w:val="es-ES_tradnl"/>
        </w:rPr>
        <w:t>En caso de que se considere procedente exigir garantías, en este lugar se establecerán las garantías exigibles, incluyendo sus amparos, montos y vigencias</w:t>
      </w:r>
      <w:r>
        <w:rPr>
          <w:rFonts w:ascii="Arial" w:hAnsi="Arial" w:cs="Arial"/>
          <w:bCs/>
          <w:lang w:val="es-ES_tradnl"/>
        </w:rPr>
        <w:t>”.</w:t>
      </w:r>
    </w:p>
    <w:p w14:paraId="7F4D06E9" w14:textId="77777777" w:rsidR="00574A4F" w:rsidRDefault="00574A4F" w:rsidP="00574A4F">
      <w:pPr>
        <w:spacing w:after="0" w:line="276" w:lineRule="auto"/>
        <w:ind w:firstLine="708"/>
        <w:jc w:val="both"/>
        <w:rPr>
          <w:rFonts w:ascii="Arial" w:hAnsi="Arial" w:cs="Arial"/>
        </w:rPr>
      </w:pPr>
    </w:p>
    <w:p w14:paraId="490F177F" w14:textId="77777777" w:rsidR="00574A4F" w:rsidRPr="00BE6B2A" w:rsidRDefault="00574A4F" w:rsidP="00574A4F">
      <w:pPr>
        <w:spacing w:after="120" w:line="240" w:lineRule="auto"/>
        <w:ind w:left="709" w:right="709"/>
        <w:jc w:val="both"/>
        <w:rPr>
          <w:rFonts w:ascii="Arial" w:hAnsi="Arial" w:cs="Arial"/>
          <w:sz w:val="21"/>
          <w:szCs w:val="21"/>
        </w:rPr>
      </w:pPr>
      <w:proofErr w:type="spellStart"/>
      <w:r w:rsidRPr="00BE6B2A">
        <w:rPr>
          <w:rFonts w:ascii="Arial" w:hAnsi="Arial" w:cs="Arial"/>
          <w:sz w:val="21"/>
          <w:szCs w:val="21"/>
        </w:rPr>
        <w:t>iii</w:t>
      </w:r>
      <w:proofErr w:type="spellEnd"/>
      <w:r w:rsidRPr="00BE6B2A">
        <w:rPr>
          <w:rFonts w:ascii="Arial" w:hAnsi="Arial" w:cs="Arial"/>
          <w:sz w:val="21"/>
          <w:szCs w:val="21"/>
        </w:rPr>
        <w:t>) “¿Cuál sería la consecuencia para la entidad en caso de que incluya esta póliza todo riesgo para obras civiles en procesos de selección sometidos a pliego tipo?”.</w:t>
      </w:r>
    </w:p>
    <w:p w14:paraId="630550E8" w14:textId="77777777" w:rsidR="00574A4F" w:rsidRPr="00BE6B2A" w:rsidRDefault="00574A4F" w:rsidP="00574A4F">
      <w:pPr>
        <w:spacing w:after="0" w:line="240" w:lineRule="auto"/>
        <w:ind w:left="709" w:right="709"/>
        <w:jc w:val="both"/>
        <w:rPr>
          <w:rFonts w:ascii="Arial" w:hAnsi="Arial" w:cs="Arial"/>
          <w:sz w:val="21"/>
          <w:szCs w:val="21"/>
        </w:rPr>
      </w:pPr>
      <w:proofErr w:type="spellStart"/>
      <w:r w:rsidRPr="00BE6B2A">
        <w:rPr>
          <w:rFonts w:ascii="Arial" w:hAnsi="Arial" w:cs="Arial"/>
          <w:sz w:val="21"/>
          <w:szCs w:val="21"/>
        </w:rPr>
        <w:t>iv</w:t>
      </w:r>
      <w:proofErr w:type="spellEnd"/>
      <w:r w:rsidRPr="00BE6B2A">
        <w:rPr>
          <w:rFonts w:ascii="Arial" w:hAnsi="Arial" w:cs="Arial"/>
          <w:sz w:val="21"/>
          <w:szCs w:val="21"/>
        </w:rPr>
        <w:t>) “¿Cuál es el alcance de esa inalterabilidad de que trata el artículo 1° de la Ley 2022 de 2020?”.</w:t>
      </w:r>
    </w:p>
    <w:p w14:paraId="5DFDB217" w14:textId="77777777" w:rsidR="00574A4F" w:rsidRDefault="00574A4F" w:rsidP="00574A4F">
      <w:pPr>
        <w:spacing w:after="0" w:line="276" w:lineRule="auto"/>
        <w:jc w:val="both"/>
        <w:rPr>
          <w:rFonts w:ascii="Arial" w:hAnsi="Arial" w:cs="Arial"/>
        </w:rPr>
      </w:pPr>
    </w:p>
    <w:p w14:paraId="68A60614" w14:textId="77777777" w:rsidR="00574A4F" w:rsidRDefault="00574A4F" w:rsidP="00574A4F">
      <w:pPr>
        <w:spacing w:after="120" w:line="276" w:lineRule="auto"/>
        <w:jc w:val="both"/>
        <w:rPr>
          <w:rFonts w:ascii="Arial" w:hAnsi="Arial" w:cs="Arial"/>
          <w:bCs/>
          <w:lang w:val="es-ES_tradnl"/>
        </w:rPr>
      </w:pPr>
      <w:r>
        <w:rPr>
          <w:rFonts w:ascii="Arial" w:hAnsi="Arial" w:cs="Arial"/>
        </w:rPr>
        <w:t>L</w:t>
      </w:r>
      <w:r w:rsidRPr="008F67A6">
        <w:rPr>
          <w:rFonts w:ascii="Arial" w:hAnsi="Arial" w:cs="Arial"/>
        </w:rPr>
        <w:t xml:space="preserve">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w:t>
      </w:r>
      <w:r>
        <w:rPr>
          <w:rFonts w:ascii="Arial" w:hAnsi="Arial" w:cs="Arial"/>
        </w:rPr>
        <w:t>adicionales</w:t>
      </w:r>
      <w:r w:rsidRPr="008F67A6">
        <w:rPr>
          <w:rFonts w:ascii="Arial" w:hAnsi="Arial" w:cs="Arial"/>
        </w:rPr>
        <w:t xml:space="preserve">, caso en el que se podrá incluir experiencia adicional de manera excepcional; y, además, cuando el pliego tipo de forma expresa lo permita, es decir, en los aspectos incluidos en corchetes y resaltados en gris. </w:t>
      </w:r>
      <w:r>
        <w:rPr>
          <w:rFonts w:ascii="Arial" w:hAnsi="Arial" w:cs="Arial"/>
          <w:bCs/>
          <w:lang w:val="es-ES_tradnl"/>
        </w:rPr>
        <w:t xml:space="preserve">Un criterio de naturaleza similar se ha plasmado en el artículo 2 de las Resoluciones 326, 333 y 625 de 2022, así como en el artículo 3 de las Resoluciones 241, 248, 249 y 269 de 2020; 193, 219, 220, 392 y 454 de 2021; y 358 de 2023.  </w:t>
      </w:r>
    </w:p>
    <w:p w14:paraId="4444126B" w14:textId="77777777" w:rsidR="00574A4F" w:rsidRPr="00180F68" w:rsidRDefault="00574A4F" w:rsidP="00574A4F">
      <w:pPr>
        <w:spacing w:before="120" w:line="276" w:lineRule="auto"/>
        <w:ind w:firstLine="709"/>
        <w:jc w:val="both"/>
        <w:rPr>
          <w:rFonts w:ascii="Arial" w:hAnsi="Arial" w:cs="Arial"/>
        </w:rPr>
      </w:pPr>
      <w:r w:rsidRPr="00180F68">
        <w:rPr>
          <w:rFonts w:ascii="Arial" w:hAnsi="Arial" w:cs="Arial"/>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En relación con el principio constitucional </w:t>
      </w:r>
      <w:r w:rsidRPr="00180F68">
        <w:rPr>
          <w:rFonts w:ascii="Arial" w:hAnsi="Arial" w:cs="Arial"/>
          <w:i/>
          <w:iCs/>
        </w:rPr>
        <w:t>sub examine</w:t>
      </w:r>
      <w:r w:rsidRPr="00180F68">
        <w:rPr>
          <w:rFonts w:ascii="Arial" w:hAnsi="Arial" w:cs="Arial"/>
        </w:rPr>
        <w:t xml:space="preserve">, la Corte Constitucional explica que </w:t>
      </w:r>
      <w:r>
        <w:rPr>
          <w:rFonts w:ascii="Arial" w:hAnsi="Arial" w:cs="Arial"/>
        </w:rPr>
        <w:t>“</w:t>
      </w:r>
      <w:r w:rsidRPr="00180F68">
        <w:rPr>
          <w:rFonts w:ascii="Arial" w:hAnsi="Arial" w:cs="Arial"/>
        </w:rPr>
        <w:t>[…]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Pr>
          <w:rFonts w:ascii="Arial" w:hAnsi="Arial" w:cs="Arial"/>
        </w:rPr>
        <w:t>”</w:t>
      </w:r>
      <w:r w:rsidRPr="00180F68">
        <w:rPr>
          <w:rFonts w:ascii="Arial" w:hAnsi="Arial" w:cs="Arial"/>
        </w:rPr>
        <w:t xml:space="preserve">. </w:t>
      </w:r>
    </w:p>
    <w:p w14:paraId="028374F5" w14:textId="77777777" w:rsidR="00574A4F" w:rsidRDefault="00574A4F" w:rsidP="00574A4F">
      <w:pPr>
        <w:spacing w:before="120" w:line="276" w:lineRule="auto"/>
        <w:ind w:firstLine="709"/>
        <w:jc w:val="both"/>
        <w:rPr>
          <w:rFonts w:ascii="Arial" w:hAnsi="Arial" w:cs="Arial"/>
        </w:rPr>
      </w:pPr>
      <w:r w:rsidRPr="00180F68">
        <w:rPr>
          <w:rFonts w:ascii="Arial" w:hAnsi="Arial" w:cs="Arial"/>
        </w:rPr>
        <w:lastRenderedPageBreak/>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082A8591" w14:textId="77777777" w:rsidR="00574A4F" w:rsidRDefault="00574A4F" w:rsidP="00574A4F">
      <w:pPr>
        <w:tabs>
          <w:tab w:val="left" w:pos="709"/>
        </w:tabs>
        <w:spacing w:after="120" w:line="276" w:lineRule="auto"/>
        <w:jc w:val="both"/>
        <w:rPr>
          <w:rFonts w:ascii="Arial" w:eastAsia="Calibri" w:hAnsi="Arial" w:cs="Arial"/>
          <w:bCs/>
          <w:lang w:val="es-ES"/>
        </w:rPr>
      </w:pPr>
      <w:r>
        <w:rPr>
          <w:rFonts w:ascii="Arial" w:eastAsia="Calibri" w:hAnsi="Arial" w:cs="Arial"/>
          <w:bCs/>
          <w:lang w:val="es-ES"/>
        </w:rPr>
        <w:tab/>
        <w:t xml:space="preserve">En todo caso, conforme a </w:t>
      </w:r>
      <w:r w:rsidRPr="00B43DF7">
        <w:rPr>
          <w:rFonts w:ascii="Arial" w:eastAsia="Calibri" w:hAnsi="Arial" w:cs="Arial"/>
          <w:bCs/>
          <w:lang w:val="es-ES"/>
        </w:rPr>
        <w:t xml:space="preserve">la </w:t>
      </w:r>
      <w:r>
        <w:rPr>
          <w:rFonts w:ascii="Arial" w:eastAsia="Calibri" w:hAnsi="Arial" w:cs="Arial"/>
          <w:bCs/>
          <w:lang w:val="es-ES"/>
        </w:rPr>
        <w:t>“</w:t>
      </w:r>
      <w:r w:rsidRPr="00B43DF7">
        <w:rPr>
          <w:rFonts w:ascii="Arial" w:eastAsia="Calibri" w:hAnsi="Arial" w:cs="Arial"/>
          <w:bCs/>
          <w:lang w:val="es-ES"/>
        </w:rPr>
        <w:t>Guía para la comprensión e implementación de los Documentos Tipo de obra pública de infraestructura de transporte bajo las diferentes modalidades de contratación vigentes</w:t>
      </w:r>
      <w:r>
        <w:rPr>
          <w:rFonts w:ascii="Arial" w:eastAsia="Calibri" w:hAnsi="Arial" w:cs="Arial"/>
          <w:bCs/>
          <w:lang w:val="es-ES"/>
        </w:rPr>
        <w:t xml:space="preserve">”, los interesados en el proceso de selección deben denunciar ante las autoridades competentes las irregularidades que se presenten con la aplicación de los documentos tipo. Esto aplica a las modificaciones del documento base, los anexos, los formatos, las matrices y los formularios, en los cuales la entidad contratante cambie su contenido violando el principio de inalterabilidad explicado </w:t>
      </w:r>
      <w:r w:rsidRPr="00702F8E">
        <w:rPr>
          <w:rFonts w:ascii="Arial" w:eastAsia="Calibri" w:hAnsi="Arial" w:cs="Arial"/>
          <w:bCs/>
          <w:i/>
          <w:iCs/>
          <w:lang w:val="es-ES"/>
        </w:rPr>
        <w:t>ut supra</w:t>
      </w:r>
      <w:r>
        <w:rPr>
          <w:rFonts w:ascii="Arial" w:eastAsia="Calibri" w:hAnsi="Arial" w:cs="Arial"/>
          <w:bCs/>
          <w:lang w:val="es-ES"/>
        </w:rPr>
        <w:t>.</w:t>
      </w:r>
    </w:p>
    <w:p w14:paraId="6252C5BF" w14:textId="77777777" w:rsidR="00574A4F" w:rsidRDefault="00574A4F" w:rsidP="00574A4F">
      <w:pPr>
        <w:tabs>
          <w:tab w:val="left" w:pos="709"/>
        </w:tabs>
        <w:spacing w:after="120" w:line="276" w:lineRule="auto"/>
        <w:jc w:val="both"/>
        <w:rPr>
          <w:rFonts w:ascii="Arial" w:eastAsia="Calibri" w:hAnsi="Arial" w:cs="Arial"/>
          <w:bCs/>
        </w:rPr>
      </w:pPr>
      <w:r>
        <w:rPr>
          <w:rFonts w:ascii="Arial" w:eastAsia="Calibri" w:hAnsi="Arial" w:cs="Arial"/>
          <w:bCs/>
          <w:lang w:val="es-ES"/>
        </w:rPr>
        <w:tab/>
        <w:t>Sin perjuicio de las labores de seguimiento d</w:t>
      </w:r>
      <w:r w:rsidRPr="002B067A">
        <w:rPr>
          <w:rFonts w:ascii="Arial" w:eastAsia="Calibri" w:hAnsi="Arial" w:cs="Arial"/>
          <w:bCs/>
          <w:lang w:val="es-ES"/>
        </w:rPr>
        <w:t xml:space="preserve">el Observatorio Oficial de Contratación Estatal </w:t>
      </w:r>
      <w:r>
        <w:rPr>
          <w:rFonts w:ascii="Arial" w:eastAsia="Calibri" w:hAnsi="Arial" w:cs="Arial"/>
          <w:bCs/>
          <w:lang w:val="es-ES"/>
        </w:rPr>
        <w:t xml:space="preserve">sobre la adecuada implementación de los documentos tipo, </w:t>
      </w:r>
      <w:r w:rsidRPr="009F488D">
        <w:rPr>
          <w:rFonts w:ascii="Arial" w:eastAsia="Calibri" w:hAnsi="Arial" w:cs="Arial"/>
          <w:bCs/>
        </w:rPr>
        <w:t>el Decreto Ley 4170 de 2011</w:t>
      </w:r>
      <w:r>
        <w:rPr>
          <w:rFonts w:ascii="Arial" w:eastAsia="Calibri" w:hAnsi="Arial" w:cs="Arial"/>
          <w:bCs/>
        </w:rPr>
        <w:t>, “</w:t>
      </w:r>
      <w:r w:rsidRPr="009F488D">
        <w:rPr>
          <w:rFonts w:ascii="Arial" w:eastAsia="Calibri" w:hAnsi="Arial" w:cs="Arial"/>
          <w:bCs/>
        </w:rPr>
        <w:t xml:space="preserve">Por el cual se crea la Agencia Nacional de Contratación Pública </w:t>
      </w:r>
      <w:r>
        <w:rPr>
          <w:rFonts w:ascii="Arial" w:eastAsia="Calibri" w:hAnsi="Arial" w:cs="Arial"/>
          <w:bCs/>
        </w:rPr>
        <w:t xml:space="preserve">– </w:t>
      </w:r>
      <w:r w:rsidRPr="009F488D">
        <w:rPr>
          <w:rFonts w:ascii="Arial" w:eastAsia="Calibri" w:hAnsi="Arial" w:cs="Arial"/>
          <w:bCs/>
        </w:rPr>
        <w:t>Colombia Compra Eficiente, se determinan sus objetivos y estructura</w:t>
      </w:r>
      <w:r>
        <w:rPr>
          <w:rFonts w:ascii="Arial" w:eastAsia="Calibri" w:hAnsi="Arial" w:cs="Arial"/>
          <w:bCs/>
        </w:rPr>
        <w:t>”</w:t>
      </w:r>
      <w:r w:rsidRPr="009F488D">
        <w:rPr>
          <w:rFonts w:ascii="Arial" w:eastAsia="Calibri" w:hAnsi="Arial" w:cs="Arial"/>
          <w:bCs/>
        </w:rPr>
        <w:t xml:space="preserve">, no </w:t>
      </w:r>
      <w:r>
        <w:rPr>
          <w:rFonts w:ascii="Arial" w:eastAsia="Calibri" w:hAnsi="Arial" w:cs="Arial"/>
          <w:bCs/>
        </w:rPr>
        <w:t xml:space="preserve">atribuyó a la entidad </w:t>
      </w:r>
      <w:r w:rsidRPr="009F488D">
        <w:rPr>
          <w:rFonts w:ascii="Arial" w:eastAsia="Calibri" w:hAnsi="Arial" w:cs="Arial"/>
          <w:bCs/>
        </w:rPr>
        <w:t>competencias de control, investigación y seguimiento</w:t>
      </w:r>
      <w:r>
        <w:rPr>
          <w:rFonts w:ascii="Arial" w:eastAsia="Calibri" w:hAnsi="Arial" w:cs="Arial"/>
          <w:bCs/>
        </w:rPr>
        <w:t xml:space="preserve"> en la aplicación de los documentos tipo. Por ello, la guía explica que la Agencia “[…] </w:t>
      </w:r>
      <w:r w:rsidRPr="000F2666">
        <w:rPr>
          <w:rFonts w:ascii="Arial" w:eastAsia="Calibri" w:hAnsi="Arial" w:cs="Arial"/>
          <w:bCs/>
        </w:rPr>
        <w:t>no es competente para sancionar el incumplimiento de la normativa,</w:t>
      </w:r>
      <w:r>
        <w:rPr>
          <w:rFonts w:ascii="Arial" w:eastAsia="Calibri" w:hAnsi="Arial" w:cs="Arial"/>
          <w:bCs/>
        </w:rPr>
        <w:t xml:space="preserve"> </w:t>
      </w:r>
      <w:r w:rsidRPr="000F2666">
        <w:rPr>
          <w:rFonts w:ascii="Arial" w:eastAsia="Calibri" w:hAnsi="Arial" w:cs="Arial"/>
          <w:bCs/>
        </w:rPr>
        <w:t>y por ello su labor se limita a impartir políticas públicas en temas de contratación estatal y hacer el</w:t>
      </w:r>
      <w:r>
        <w:rPr>
          <w:rFonts w:ascii="Arial" w:eastAsia="Calibri" w:hAnsi="Arial" w:cs="Arial"/>
          <w:bCs/>
        </w:rPr>
        <w:t xml:space="preserve"> </w:t>
      </w:r>
      <w:r w:rsidRPr="000F2666">
        <w:rPr>
          <w:rFonts w:ascii="Arial" w:eastAsia="Calibri" w:hAnsi="Arial" w:cs="Arial"/>
          <w:bCs/>
        </w:rPr>
        <w:t>seguimiento estadístico a la implementación de los documentos tipo</w:t>
      </w:r>
      <w:r>
        <w:rPr>
          <w:rFonts w:ascii="Arial" w:eastAsia="Calibri" w:hAnsi="Arial" w:cs="Arial"/>
          <w:bCs/>
        </w:rPr>
        <w:t>”.</w:t>
      </w:r>
    </w:p>
    <w:p w14:paraId="1C791875" w14:textId="77777777" w:rsidR="00574A4F" w:rsidRDefault="00574A4F" w:rsidP="00574A4F">
      <w:pPr>
        <w:spacing w:after="0" w:line="276" w:lineRule="auto"/>
        <w:ind w:firstLine="708"/>
        <w:jc w:val="both"/>
        <w:rPr>
          <w:rStyle w:val="normaltextrun"/>
          <w:rFonts w:ascii="Arial" w:hAnsi="Arial" w:cs="Arial"/>
          <w:color w:val="000000"/>
          <w:shd w:val="clear" w:color="auto" w:fill="FFFFFF"/>
        </w:rPr>
      </w:pPr>
      <w:r w:rsidRPr="1E173E21">
        <w:rPr>
          <w:rFonts w:ascii="Arial" w:eastAsia="Calibri" w:hAnsi="Arial" w:cs="Arial"/>
        </w:rPr>
        <w:t xml:space="preserve">Por estas razones, sea que afecten el contrato, el procedimiento de selección o al funcionario encargado de adelantarlo, </w:t>
      </w:r>
      <w:r>
        <w:rPr>
          <w:rStyle w:val="normaltextrun"/>
          <w:rFonts w:ascii="Arial" w:hAnsi="Arial" w:cs="Arial"/>
          <w:color w:val="000000"/>
          <w:shd w:val="clear" w:color="auto" w:fill="FFFFFF"/>
        </w:rPr>
        <w:t xml:space="preserve">Colombia Compra Eficiente carece de atribuciones para determinar las consecuencias jurídicas que produce la violación del principio de inalterabilidad. Esto en la medida que la calificación de posibles vicios de invalidantes o la investigación de presuntas faltas disciplinarias corresponde a las autoridades judiciales y de control, respectivamente. </w:t>
      </w:r>
    </w:p>
    <w:bookmarkEnd w:id="19"/>
    <w:p w14:paraId="1B291C74" w14:textId="77777777" w:rsidR="00574A4F" w:rsidRPr="00262D58" w:rsidRDefault="00574A4F" w:rsidP="00574A4F">
      <w:pPr>
        <w:widowControl w:val="0"/>
        <w:autoSpaceDE w:val="0"/>
        <w:autoSpaceDN w:val="0"/>
        <w:spacing w:after="0" w:line="276" w:lineRule="auto"/>
        <w:jc w:val="both"/>
        <w:rPr>
          <w:rFonts w:ascii="Arial" w:hAnsi="Arial" w:cs="Arial"/>
          <w:color w:val="000000" w:themeColor="text1"/>
          <w:lang w:val="es-ES_tradnl" w:bidi="es-ES"/>
        </w:rPr>
      </w:pPr>
      <w:r w:rsidRPr="00262D58">
        <w:rPr>
          <w:rFonts w:ascii="Arial" w:hAnsi="Arial" w:cs="Arial"/>
          <w:color w:val="000000" w:themeColor="text1"/>
          <w:lang w:val="es-ES_tradnl"/>
        </w:rPr>
        <w:t>Este concepto tiene el alcance previsto en el artículo 28 del Código de Procedimiento Administrativo y de lo Contencioso Administrativo.</w:t>
      </w:r>
    </w:p>
    <w:p w14:paraId="1335539A" w14:textId="77777777" w:rsidR="00574A4F" w:rsidRPr="00262D58" w:rsidRDefault="00574A4F" w:rsidP="00574A4F">
      <w:pPr>
        <w:widowControl w:val="0"/>
        <w:autoSpaceDE w:val="0"/>
        <w:autoSpaceDN w:val="0"/>
        <w:spacing w:after="0" w:line="276" w:lineRule="auto"/>
        <w:jc w:val="both"/>
        <w:rPr>
          <w:rFonts w:ascii="Arial" w:hAnsi="Arial" w:cs="Arial"/>
          <w:color w:val="000000" w:themeColor="text1"/>
          <w:lang w:val="es-ES_tradnl" w:bidi="es-ES"/>
        </w:rPr>
      </w:pPr>
    </w:p>
    <w:p w14:paraId="7FD4FD07" w14:textId="77777777" w:rsidR="00574A4F" w:rsidRPr="00262D58" w:rsidRDefault="00574A4F" w:rsidP="00574A4F">
      <w:pPr>
        <w:tabs>
          <w:tab w:val="left" w:pos="426"/>
        </w:tabs>
        <w:spacing w:line="276" w:lineRule="auto"/>
        <w:jc w:val="both"/>
        <w:rPr>
          <w:rFonts w:ascii="Arial" w:eastAsia="Times New Roman" w:hAnsi="Arial" w:cs="Arial"/>
          <w:color w:val="000000" w:themeColor="text1"/>
        </w:rPr>
      </w:pPr>
      <w:r w:rsidRPr="00262D58">
        <w:rPr>
          <w:rFonts w:ascii="Arial" w:eastAsia="Times New Roman" w:hAnsi="Arial" w:cs="Arial"/>
          <w:color w:val="000000" w:themeColor="text1"/>
        </w:rPr>
        <w:t>Atentamente,</w:t>
      </w:r>
    </w:p>
    <w:p w14:paraId="28FBFDB0" w14:textId="4BB04050" w:rsidR="00574A4F" w:rsidRPr="00262D58" w:rsidRDefault="00EA4B94" w:rsidP="00574A4F">
      <w:pPr>
        <w:jc w:val="center"/>
        <w:rPr>
          <w:rFonts w:ascii="Arial" w:eastAsia="Times New Roman" w:hAnsi="Arial" w:cs="Arial"/>
          <w:lang w:eastAsia="es-CO"/>
        </w:rPr>
      </w:pPr>
      <w:r>
        <w:rPr>
          <w:noProof/>
        </w:rPr>
        <w:lastRenderedPageBreak/>
        <w:drawing>
          <wp:inline distT="0" distB="0" distL="0" distR="0" wp14:anchorId="43A01EEB" wp14:editId="70CEFFC0">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574A4F" w:rsidRPr="005E53FE" w14:paraId="372D45F3" w14:textId="77777777" w:rsidTr="0075781E">
        <w:trPr>
          <w:trHeight w:val="409"/>
        </w:trPr>
        <w:tc>
          <w:tcPr>
            <w:tcW w:w="817" w:type="dxa"/>
            <w:tcBorders>
              <w:top w:val="nil"/>
              <w:left w:val="nil"/>
              <w:bottom w:val="nil"/>
              <w:right w:val="nil"/>
            </w:tcBorders>
            <w:vAlign w:val="center"/>
            <w:hideMark/>
          </w:tcPr>
          <w:p w14:paraId="6640246C" w14:textId="77777777" w:rsidR="00574A4F" w:rsidRPr="00262D58" w:rsidRDefault="00574A4F" w:rsidP="0075781E">
            <w:pPr>
              <w:spacing w:after="0" w:line="240" w:lineRule="auto"/>
              <w:jc w:val="both"/>
              <w:rPr>
                <w:rFonts w:ascii="Arial" w:hAnsi="Arial" w:cs="Arial"/>
                <w:sz w:val="16"/>
                <w:szCs w:val="16"/>
              </w:rPr>
            </w:pPr>
            <w:r w:rsidRPr="00262D58">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5C23B1F" w14:textId="77777777" w:rsidR="00574A4F" w:rsidRPr="00262D58" w:rsidRDefault="00574A4F" w:rsidP="0075781E">
            <w:pPr>
              <w:spacing w:after="0" w:line="240" w:lineRule="auto"/>
              <w:jc w:val="both"/>
              <w:rPr>
                <w:rFonts w:ascii="Arial" w:hAnsi="Arial" w:cs="Arial"/>
                <w:sz w:val="16"/>
                <w:szCs w:val="16"/>
              </w:rPr>
            </w:pPr>
            <w:r w:rsidRPr="00262D58">
              <w:rPr>
                <w:rFonts w:ascii="Arial" w:hAnsi="Arial" w:cs="Arial"/>
                <w:sz w:val="16"/>
                <w:szCs w:val="16"/>
              </w:rPr>
              <w:t>Juan David Montoya Penagos</w:t>
            </w:r>
          </w:p>
          <w:p w14:paraId="4762DFB7" w14:textId="77777777" w:rsidR="00574A4F" w:rsidRPr="00262D58" w:rsidRDefault="00574A4F" w:rsidP="0075781E">
            <w:pPr>
              <w:spacing w:after="0" w:line="240" w:lineRule="auto"/>
              <w:jc w:val="both"/>
              <w:rPr>
                <w:rFonts w:ascii="Arial" w:hAnsi="Arial" w:cs="Arial"/>
                <w:sz w:val="16"/>
                <w:szCs w:val="16"/>
              </w:rPr>
            </w:pPr>
            <w:r w:rsidRPr="00262D58">
              <w:rPr>
                <w:rFonts w:ascii="Arial" w:hAnsi="Arial" w:cs="Arial"/>
                <w:sz w:val="16"/>
                <w:szCs w:val="16"/>
              </w:rPr>
              <w:t>Contratista de la Subdirección de Gestión Contractual</w:t>
            </w:r>
          </w:p>
        </w:tc>
      </w:tr>
      <w:tr w:rsidR="00574A4F" w:rsidRPr="005E53FE" w14:paraId="3DC74D0B" w14:textId="77777777" w:rsidTr="0075781E">
        <w:trPr>
          <w:trHeight w:val="409"/>
        </w:trPr>
        <w:tc>
          <w:tcPr>
            <w:tcW w:w="817" w:type="dxa"/>
            <w:tcBorders>
              <w:top w:val="nil"/>
              <w:left w:val="nil"/>
              <w:right w:val="nil"/>
            </w:tcBorders>
            <w:vAlign w:val="center"/>
          </w:tcPr>
          <w:p w14:paraId="5EE14647" w14:textId="77777777" w:rsidR="00574A4F" w:rsidRPr="00262D58" w:rsidRDefault="00574A4F" w:rsidP="0075781E">
            <w:pPr>
              <w:jc w:val="both"/>
              <w:rPr>
                <w:rFonts w:ascii="Arial" w:hAnsi="Arial" w:cs="Arial"/>
                <w:sz w:val="16"/>
                <w:szCs w:val="16"/>
              </w:rPr>
            </w:pPr>
            <w:r w:rsidRPr="00262D58">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03520B2E" w14:textId="77777777" w:rsidR="00574A4F" w:rsidRPr="007E25AB" w:rsidRDefault="00574A4F" w:rsidP="0075781E">
            <w:pPr>
              <w:spacing w:after="0" w:line="240" w:lineRule="auto"/>
              <w:jc w:val="both"/>
              <w:rPr>
                <w:rFonts w:ascii="Arial" w:hAnsi="Arial" w:cs="Arial"/>
                <w:sz w:val="16"/>
                <w:szCs w:val="16"/>
              </w:rPr>
            </w:pPr>
            <w:r w:rsidRPr="007E25AB">
              <w:rPr>
                <w:rFonts w:ascii="Arial" w:hAnsi="Arial" w:cs="Arial"/>
                <w:sz w:val="16"/>
                <w:szCs w:val="16"/>
              </w:rPr>
              <w:t>Martha Alicia Romero Vargas</w:t>
            </w:r>
          </w:p>
          <w:p w14:paraId="7D83A113" w14:textId="77777777" w:rsidR="00574A4F" w:rsidRPr="00262D58" w:rsidRDefault="00574A4F" w:rsidP="0075781E">
            <w:pPr>
              <w:spacing w:after="0" w:line="240" w:lineRule="auto"/>
              <w:jc w:val="both"/>
              <w:rPr>
                <w:rFonts w:ascii="Arial" w:hAnsi="Arial" w:cs="Arial"/>
                <w:sz w:val="16"/>
                <w:szCs w:val="16"/>
              </w:rPr>
            </w:pPr>
            <w:r w:rsidRPr="007E25AB">
              <w:rPr>
                <w:rFonts w:ascii="Arial" w:hAnsi="Arial" w:cs="Arial"/>
                <w:sz w:val="16"/>
                <w:szCs w:val="16"/>
              </w:rPr>
              <w:t>Gestor T1 ‒ 15 de la Subdirección de Gestión Contractual</w:t>
            </w:r>
          </w:p>
        </w:tc>
      </w:tr>
      <w:tr w:rsidR="00574A4F" w:rsidRPr="005E53FE" w14:paraId="72612A8B" w14:textId="77777777" w:rsidTr="0075781E">
        <w:trPr>
          <w:trHeight w:val="389"/>
        </w:trPr>
        <w:tc>
          <w:tcPr>
            <w:tcW w:w="817" w:type="dxa"/>
            <w:tcBorders>
              <w:top w:val="nil"/>
              <w:left w:val="nil"/>
              <w:bottom w:val="nil"/>
              <w:right w:val="nil"/>
            </w:tcBorders>
            <w:vAlign w:val="center"/>
            <w:hideMark/>
          </w:tcPr>
          <w:p w14:paraId="21E36235" w14:textId="77777777" w:rsidR="00574A4F" w:rsidRPr="00262D58" w:rsidRDefault="00574A4F" w:rsidP="0075781E">
            <w:pPr>
              <w:spacing w:after="0" w:line="240" w:lineRule="auto"/>
              <w:jc w:val="both"/>
              <w:rPr>
                <w:rFonts w:ascii="Arial" w:hAnsi="Arial" w:cs="Arial"/>
                <w:sz w:val="16"/>
                <w:szCs w:val="16"/>
              </w:rPr>
            </w:pPr>
            <w:r w:rsidRPr="00262D58">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B3B6279" w14:textId="77777777" w:rsidR="00574A4F" w:rsidRPr="00262D58" w:rsidRDefault="00574A4F" w:rsidP="0075781E">
            <w:pPr>
              <w:spacing w:after="0" w:line="240" w:lineRule="auto"/>
              <w:jc w:val="both"/>
              <w:rPr>
                <w:rFonts w:ascii="Arial" w:hAnsi="Arial" w:cs="Arial"/>
                <w:sz w:val="16"/>
                <w:szCs w:val="16"/>
              </w:rPr>
            </w:pPr>
            <w:r w:rsidRPr="00262D58">
              <w:rPr>
                <w:rFonts w:ascii="Arial" w:hAnsi="Arial" w:cs="Arial"/>
                <w:sz w:val="16"/>
                <w:szCs w:val="16"/>
              </w:rPr>
              <w:t xml:space="preserve">Nohelia del Carmen </w:t>
            </w:r>
            <w:proofErr w:type="spellStart"/>
            <w:r w:rsidRPr="00262D58">
              <w:rPr>
                <w:rFonts w:ascii="Arial" w:hAnsi="Arial" w:cs="Arial"/>
                <w:sz w:val="16"/>
                <w:szCs w:val="16"/>
              </w:rPr>
              <w:t>Zawady</w:t>
            </w:r>
            <w:proofErr w:type="spellEnd"/>
            <w:r w:rsidRPr="00262D58">
              <w:rPr>
                <w:rFonts w:ascii="Arial" w:hAnsi="Arial" w:cs="Arial"/>
                <w:sz w:val="16"/>
                <w:szCs w:val="16"/>
              </w:rPr>
              <w:t xml:space="preserve"> Palacio</w:t>
            </w:r>
          </w:p>
          <w:p w14:paraId="203D7FEB" w14:textId="77777777" w:rsidR="00574A4F" w:rsidRPr="00262D58" w:rsidRDefault="00574A4F" w:rsidP="0075781E">
            <w:pPr>
              <w:spacing w:after="0" w:line="240" w:lineRule="auto"/>
              <w:jc w:val="both"/>
              <w:rPr>
                <w:rFonts w:ascii="Arial" w:hAnsi="Arial" w:cs="Arial"/>
                <w:sz w:val="16"/>
                <w:szCs w:val="16"/>
              </w:rPr>
            </w:pPr>
            <w:r w:rsidRPr="00262D58">
              <w:rPr>
                <w:rFonts w:ascii="Arial" w:hAnsi="Arial" w:cs="Arial"/>
                <w:sz w:val="16"/>
                <w:szCs w:val="16"/>
              </w:rPr>
              <w:t>Subdirectora de Gestión Contractual ANCP – CCE</w:t>
            </w:r>
          </w:p>
        </w:tc>
      </w:tr>
      <w:bookmarkEnd w:id="2"/>
    </w:tbl>
    <w:p w14:paraId="14A9FDFA" w14:textId="77777777" w:rsidR="00574A4F" w:rsidRPr="00262D58" w:rsidRDefault="00574A4F" w:rsidP="00574A4F">
      <w:pPr>
        <w:tabs>
          <w:tab w:val="left" w:pos="0"/>
        </w:tabs>
        <w:spacing w:line="276" w:lineRule="auto"/>
        <w:contextualSpacing/>
        <w:jc w:val="both"/>
        <w:rPr>
          <w:rFonts w:ascii="Arial" w:hAnsi="Arial" w:cs="Arial"/>
          <w:lang w:val="es-MX"/>
        </w:rPr>
      </w:pPr>
    </w:p>
    <w:p w14:paraId="58810D73" w14:textId="77777777" w:rsidR="00574A4F" w:rsidRPr="00262D58" w:rsidRDefault="00574A4F" w:rsidP="00574A4F">
      <w:pPr>
        <w:rPr>
          <w:rFonts w:ascii="Arial" w:hAnsi="Arial" w:cs="Arial"/>
        </w:rPr>
      </w:pPr>
    </w:p>
    <w:p w14:paraId="69EDE65E" w14:textId="77777777" w:rsidR="00574A4F" w:rsidRPr="00262D58" w:rsidRDefault="00574A4F" w:rsidP="00574A4F">
      <w:pPr>
        <w:rPr>
          <w:rFonts w:ascii="Arial" w:hAnsi="Arial" w:cs="Arial"/>
        </w:rPr>
      </w:pPr>
      <w:r w:rsidRPr="00262D58">
        <w:rPr>
          <w:rFonts w:ascii="Arial" w:hAnsi="Arial" w:cs="Arial"/>
        </w:rPr>
        <w:t xml:space="preserve"> </w:t>
      </w:r>
    </w:p>
    <w:p w14:paraId="0F293BF4" w14:textId="4E630EB9" w:rsidR="00127233" w:rsidRPr="007A0869" w:rsidRDefault="00E245AB" w:rsidP="007A0869">
      <w:r w:rsidRPr="007A0869">
        <w:t xml:space="preserve"> </w:t>
      </w:r>
    </w:p>
    <w:sectPr w:rsidR="00127233" w:rsidRPr="007A0869"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4F7B" w14:textId="77777777" w:rsidR="00123E66" w:rsidRDefault="00123E66" w:rsidP="004A1847">
      <w:pPr>
        <w:spacing w:after="0" w:line="240" w:lineRule="auto"/>
      </w:pPr>
      <w:r>
        <w:separator/>
      </w:r>
    </w:p>
  </w:endnote>
  <w:endnote w:type="continuationSeparator" w:id="0">
    <w:p w14:paraId="2DAF175E" w14:textId="77777777" w:rsidR="00123E66" w:rsidRDefault="00123E6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0B0A" w14:textId="77777777" w:rsidR="00123E66" w:rsidRDefault="00123E66" w:rsidP="004A1847">
      <w:pPr>
        <w:spacing w:after="0" w:line="240" w:lineRule="auto"/>
      </w:pPr>
      <w:r>
        <w:separator/>
      </w:r>
    </w:p>
  </w:footnote>
  <w:footnote w:type="continuationSeparator" w:id="0">
    <w:p w14:paraId="56783161" w14:textId="77777777" w:rsidR="00123E66" w:rsidRDefault="00123E66" w:rsidP="004A1847">
      <w:pPr>
        <w:spacing w:after="0" w:line="240" w:lineRule="auto"/>
      </w:pPr>
      <w:r>
        <w:continuationSeparator/>
      </w:r>
    </w:p>
  </w:footnote>
  <w:footnote w:id="1">
    <w:p w14:paraId="7AF704F6" w14:textId="77777777" w:rsidR="00574A4F" w:rsidRPr="002007A6" w:rsidRDefault="00574A4F" w:rsidP="00574A4F">
      <w:pPr>
        <w:pStyle w:val="Textonotapie"/>
        <w:ind w:firstLine="708"/>
        <w:jc w:val="both"/>
        <w:rPr>
          <w:rFonts w:ascii="Arial" w:hAnsi="Arial" w:cs="Arial"/>
          <w:sz w:val="18"/>
          <w:szCs w:val="18"/>
        </w:rPr>
      </w:pPr>
      <w:r w:rsidRPr="002007A6">
        <w:rPr>
          <w:rStyle w:val="Refdenotaalpie"/>
          <w:rFonts w:ascii="Arial" w:hAnsi="Arial" w:cs="Arial"/>
          <w:sz w:val="18"/>
          <w:szCs w:val="18"/>
        </w:rPr>
        <w:footnoteRef/>
      </w:r>
      <w:r w:rsidRPr="002007A6">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007A6">
          <w:rPr>
            <w:rStyle w:val="Hipervnculo"/>
            <w:rFonts w:ascii="Arial" w:hAnsi="Arial" w:cs="Arial"/>
            <w:sz w:val="18"/>
            <w:szCs w:val="18"/>
          </w:rPr>
          <w:t>https://relatoria.colombiacompra.gov.co/busqueda/conceptos</w:t>
        </w:r>
      </w:hyperlink>
      <w:r w:rsidRPr="002007A6">
        <w:rPr>
          <w:rStyle w:val="Hipervnculo"/>
          <w:rFonts w:ascii="Arial" w:hAnsi="Arial" w:cs="Arial"/>
          <w:sz w:val="18"/>
          <w:szCs w:val="18"/>
        </w:rPr>
        <w:t xml:space="preserve">. </w:t>
      </w:r>
      <w:r w:rsidRPr="002007A6">
        <w:rPr>
          <w:rFonts w:ascii="Arial" w:hAnsi="Arial" w:cs="Arial"/>
          <w:sz w:val="18"/>
          <w:szCs w:val="18"/>
          <w:shd w:val="clear" w:color="auto" w:fill="E6E6E6"/>
        </w:rPr>
        <w:t xml:space="preserve"> </w:t>
      </w:r>
    </w:p>
  </w:footnote>
  <w:footnote w:id="2">
    <w:p w14:paraId="71863FA9" w14:textId="77777777" w:rsidR="00574A4F" w:rsidRPr="002007A6" w:rsidRDefault="00574A4F" w:rsidP="00574A4F">
      <w:pPr>
        <w:pStyle w:val="Textonotapie"/>
        <w:ind w:firstLine="709"/>
        <w:jc w:val="both"/>
        <w:rPr>
          <w:rFonts w:ascii="Arial" w:hAnsi="Arial" w:cs="Arial"/>
          <w:color w:val="000000"/>
          <w:sz w:val="18"/>
          <w:szCs w:val="18"/>
          <w:lang w:val="es-CO"/>
        </w:rPr>
      </w:pPr>
      <w:r w:rsidRPr="002007A6">
        <w:rPr>
          <w:rStyle w:val="Refdenotaalpie"/>
          <w:rFonts w:ascii="Arial" w:hAnsi="Arial" w:cs="Arial"/>
          <w:color w:val="000000"/>
          <w:sz w:val="18"/>
          <w:szCs w:val="18"/>
        </w:rPr>
        <w:footnoteRef/>
      </w:r>
      <w:r w:rsidRPr="002007A6">
        <w:rPr>
          <w:rFonts w:ascii="Arial" w:hAnsi="Arial"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46451E9F" w14:textId="77777777" w:rsidR="00574A4F" w:rsidRPr="002007A6" w:rsidRDefault="00574A4F" w:rsidP="00574A4F">
      <w:pPr>
        <w:pStyle w:val="Textonotapie"/>
        <w:ind w:firstLine="709"/>
        <w:jc w:val="both"/>
        <w:rPr>
          <w:rFonts w:ascii="Arial" w:hAnsi="Arial" w:cs="Arial"/>
          <w:color w:val="000000"/>
          <w:sz w:val="18"/>
          <w:szCs w:val="18"/>
        </w:rPr>
      </w:pPr>
      <w:r w:rsidRPr="002007A6">
        <w:rPr>
          <w:rStyle w:val="Refdenotaalpie"/>
          <w:rFonts w:ascii="Arial" w:hAnsi="Arial" w:cs="Arial"/>
          <w:color w:val="000000"/>
          <w:sz w:val="18"/>
          <w:szCs w:val="18"/>
        </w:rPr>
        <w:footnoteRef/>
      </w:r>
      <w:r w:rsidRPr="002007A6">
        <w:rPr>
          <w:rFonts w:ascii="Arial" w:hAnsi="Arial" w:cs="Arial"/>
          <w:color w:val="000000"/>
          <w:sz w:val="18"/>
          <w:szCs w:val="18"/>
        </w:rPr>
        <w:t xml:space="preserve"> </w:t>
      </w:r>
      <w:r w:rsidRPr="002007A6">
        <w:rPr>
          <w:rFonts w:ascii="Arial" w:hAnsi="Arial" w:cs="Arial"/>
          <w:color w:val="000000"/>
          <w:sz w:val="18"/>
          <w:szCs w:val="18"/>
          <w:lang w:val="es-CO"/>
        </w:rPr>
        <w:t xml:space="preserve">Ley 1882 de 2018: “Artículo 4. </w:t>
      </w:r>
      <w:r w:rsidRPr="002007A6">
        <w:rPr>
          <w:rFonts w:ascii="Arial" w:hAnsi="Arial"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4B486B6" w14:textId="77777777" w:rsidR="00574A4F" w:rsidRPr="002007A6" w:rsidRDefault="00574A4F" w:rsidP="00574A4F">
      <w:pPr>
        <w:pStyle w:val="Textonotapie"/>
        <w:ind w:firstLine="709"/>
        <w:jc w:val="both"/>
        <w:rPr>
          <w:rFonts w:ascii="Arial" w:hAnsi="Arial" w:cs="Arial"/>
          <w:color w:val="000000"/>
          <w:sz w:val="18"/>
          <w:szCs w:val="18"/>
          <w:lang w:val="es-CO"/>
        </w:rPr>
      </w:pPr>
      <w:r w:rsidRPr="002007A6">
        <w:rPr>
          <w:rFonts w:ascii="Arial" w:hAnsi="Arial" w:cs="Arial"/>
          <w:color w:val="000000"/>
          <w:sz w:val="18"/>
          <w:szCs w:val="18"/>
          <w:lang w:val="es-CO"/>
        </w:rPr>
        <w:t>La facultad de adoptar documentos tipo la tendrá el Gobierno nacional, cuando lo considere necesario, en relación con otros contratos o procesos de selección.</w:t>
      </w:r>
    </w:p>
    <w:p w14:paraId="7CA0E2DC" w14:textId="77777777" w:rsidR="00574A4F" w:rsidRPr="002007A6" w:rsidRDefault="00574A4F" w:rsidP="00574A4F">
      <w:pPr>
        <w:pStyle w:val="Textonotapie"/>
        <w:ind w:firstLine="709"/>
        <w:jc w:val="both"/>
        <w:rPr>
          <w:rFonts w:ascii="Arial" w:hAnsi="Arial" w:cs="Arial"/>
          <w:color w:val="000000"/>
          <w:sz w:val="18"/>
          <w:szCs w:val="18"/>
          <w:lang w:val="es-CO"/>
        </w:rPr>
      </w:pPr>
      <w:r w:rsidRPr="002007A6">
        <w:rPr>
          <w:rFonts w:ascii="Arial" w:hAnsi="Arial" w:cs="Arial"/>
          <w:color w:val="000000"/>
          <w:sz w:val="18"/>
          <w:szCs w:val="18"/>
          <w:lang w:val="es-CO"/>
        </w:rPr>
        <w:t>Los pliegos tipo se adoptarán por categorías de acuerdo con la cuantía de la contratación, según la reglamentación que expida el Gobierno nacional”.</w:t>
      </w:r>
    </w:p>
  </w:footnote>
  <w:footnote w:id="4">
    <w:p w14:paraId="432BFD98" w14:textId="77777777" w:rsidR="00574A4F" w:rsidRPr="002007A6" w:rsidRDefault="00574A4F" w:rsidP="00574A4F">
      <w:pPr>
        <w:pStyle w:val="Textonotapie"/>
        <w:ind w:firstLine="709"/>
        <w:jc w:val="both"/>
        <w:rPr>
          <w:rFonts w:ascii="Arial" w:hAnsi="Arial" w:cs="Arial"/>
          <w:color w:val="000000"/>
          <w:sz w:val="18"/>
          <w:szCs w:val="18"/>
        </w:rPr>
      </w:pPr>
      <w:r w:rsidRPr="002007A6">
        <w:rPr>
          <w:rStyle w:val="Refdenotaalpie"/>
          <w:rFonts w:ascii="Arial" w:hAnsi="Arial" w:cs="Arial"/>
          <w:color w:val="000000"/>
          <w:sz w:val="18"/>
          <w:szCs w:val="18"/>
        </w:rPr>
        <w:footnoteRef/>
      </w:r>
      <w:r w:rsidRPr="002007A6">
        <w:rPr>
          <w:rFonts w:ascii="Arial" w:hAnsi="Arial"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14:paraId="09AC8AD0" w14:textId="77777777" w:rsidR="00574A4F" w:rsidRPr="002007A6" w:rsidRDefault="00574A4F" w:rsidP="00574A4F">
      <w:pPr>
        <w:pStyle w:val="Textonotapie"/>
        <w:ind w:firstLine="708"/>
        <w:jc w:val="both"/>
        <w:rPr>
          <w:rFonts w:ascii="Arial" w:hAnsi="Arial" w:cs="Arial"/>
          <w:color w:val="000000"/>
          <w:sz w:val="18"/>
          <w:szCs w:val="18"/>
        </w:rPr>
      </w:pPr>
      <w:r w:rsidRPr="002007A6">
        <w:rPr>
          <w:rStyle w:val="Refdenotaalpie"/>
          <w:rFonts w:ascii="Arial" w:hAnsi="Arial" w:cs="Arial"/>
          <w:color w:val="000000"/>
          <w:sz w:val="18"/>
          <w:szCs w:val="18"/>
        </w:rPr>
        <w:footnoteRef/>
      </w:r>
      <w:r w:rsidRPr="002007A6">
        <w:rPr>
          <w:rFonts w:ascii="Arial" w:hAnsi="Arial" w:cs="Arial"/>
          <w:color w:val="000000"/>
          <w:sz w:val="18"/>
          <w:szCs w:val="18"/>
        </w:rPr>
        <w:t xml:space="preserve"> Sin perjuicio de la extensión del ámbito de aplicación de acuerdo con el artículo 56 de la Ley 2195 de 2022, la norma citada en el cuerpo del concepto dispone lo siguiente: “ARTÍCULO 1o. Modifíquese el artículo 4o de la Ley 1882 de 2018, el cual quedará así:</w:t>
      </w:r>
    </w:p>
    <w:p w14:paraId="3B55F1D4" w14:textId="77777777" w:rsidR="00574A4F" w:rsidRPr="002007A6" w:rsidRDefault="00574A4F" w:rsidP="00574A4F">
      <w:pPr>
        <w:pStyle w:val="Textonotapie"/>
        <w:ind w:firstLine="708"/>
        <w:jc w:val="both"/>
        <w:rPr>
          <w:rFonts w:ascii="Arial" w:hAnsi="Arial" w:cs="Arial"/>
          <w:color w:val="000000"/>
          <w:sz w:val="18"/>
          <w:szCs w:val="18"/>
        </w:rPr>
      </w:pPr>
      <w:r w:rsidRPr="002007A6">
        <w:rPr>
          <w:rFonts w:ascii="Arial" w:hAnsi="Arial" w:cs="Arial"/>
          <w:color w:val="000000"/>
          <w:sz w:val="18"/>
          <w:szCs w:val="18"/>
        </w:rPr>
        <w:t>Artículo 4o. Adiciónese el siguiente parágrafo al artículo 2o de la Ley 1150 de 2007.</w:t>
      </w:r>
    </w:p>
    <w:p w14:paraId="6B2B288E" w14:textId="77777777" w:rsidR="00574A4F" w:rsidRPr="002007A6" w:rsidRDefault="00574A4F" w:rsidP="00574A4F">
      <w:pPr>
        <w:pStyle w:val="Textonotapie"/>
        <w:ind w:firstLine="708"/>
        <w:jc w:val="both"/>
        <w:rPr>
          <w:rFonts w:ascii="Arial" w:hAnsi="Arial" w:cs="Arial"/>
          <w:color w:val="000000"/>
          <w:sz w:val="18"/>
          <w:szCs w:val="18"/>
        </w:rPr>
      </w:pPr>
      <w:r w:rsidRPr="002007A6">
        <w:rPr>
          <w:rFonts w:ascii="Arial" w:hAnsi="Arial"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1BFC7EB" w14:textId="77777777" w:rsidR="00574A4F" w:rsidRPr="002007A6" w:rsidRDefault="00574A4F" w:rsidP="00574A4F">
      <w:pPr>
        <w:pStyle w:val="Textonotapie"/>
        <w:ind w:firstLine="708"/>
        <w:jc w:val="both"/>
        <w:rPr>
          <w:rFonts w:ascii="Arial" w:hAnsi="Arial" w:cs="Arial"/>
          <w:color w:val="000000"/>
          <w:sz w:val="18"/>
          <w:szCs w:val="18"/>
        </w:rPr>
      </w:pPr>
      <w:r w:rsidRPr="002007A6">
        <w:rPr>
          <w:rFonts w:ascii="Arial" w:hAnsi="Arial"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56577C8" w14:textId="77777777" w:rsidR="00574A4F" w:rsidRPr="002007A6" w:rsidRDefault="00574A4F" w:rsidP="00574A4F">
      <w:pPr>
        <w:pStyle w:val="Textonotapie"/>
        <w:ind w:firstLine="708"/>
        <w:jc w:val="both"/>
        <w:rPr>
          <w:rFonts w:ascii="Arial" w:hAnsi="Arial" w:cs="Arial"/>
          <w:color w:val="000000"/>
          <w:sz w:val="18"/>
          <w:szCs w:val="18"/>
        </w:rPr>
      </w:pPr>
      <w:r w:rsidRPr="002007A6">
        <w:rPr>
          <w:rFonts w:ascii="Arial" w:hAnsi="Arial"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0B125C7" w14:textId="77777777" w:rsidR="00574A4F" w:rsidRPr="002007A6" w:rsidRDefault="00574A4F" w:rsidP="00574A4F">
      <w:pPr>
        <w:pStyle w:val="Textonotapie"/>
        <w:ind w:firstLine="708"/>
        <w:jc w:val="both"/>
        <w:rPr>
          <w:rFonts w:ascii="Arial" w:hAnsi="Arial" w:cs="Arial"/>
          <w:color w:val="000000"/>
          <w:sz w:val="18"/>
          <w:szCs w:val="18"/>
        </w:rPr>
      </w:pPr>
      <w:r w:rsidRPr="002007A6">
        <w:rPr>
          <w:rFonts w:ascii="Arial" w:hAnsi="Arial"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702E8E9" w14:textId="77777777" w:rsidR="00574A4F" w:rsidRPr="002007A6" w:rsidRDefault="00574A4F" w:rsidP="00574A4F">
      <w:pPr>
        <w:pStyle w:val="Textonotapie"/>
        <w:ind w:firstLine="708"/>
        <w:jc w:val="both"/>
        <w:rPr>
          <w:rFonts w:ascii="Arial" w:hAnsi="Arial" w:cs="Arial"/>
          <w:color w:val="000000"/>
          <w:sz w:val="18"/>
          <w:szCs w:val="18"/>
        </w:rPr>
      </w:pPr>
      <w:r w:rsidRPr="002007A6">
        <w:rPr>
          <w:rFonts w:ascii="Arial" w:hAnsi="Arial"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35ADED2A" w14:textId="77777777" w:rsidR="00574A4F" w:rsidRPr="002007A6" w:rsidRDefault="00574A4F" w:rsidP="00574A4F">
      <w:pPr>
        <w:pStyle w:val="Textonotapie"/>
        <w:ind w:firstLine="709"/>
        <w:jc w:val="both"/>
        <w:rPr>
          <w:rFonts w:ascii="Arial" w:hAnsi="Arial" w:cs="Arial"/>
          <w:sz w:val="18"/>
          <w:szCs w:val="18"/>
        </w:rPr>
      </w:pPr>
      <w:r w:rsidRPr="002007A6">
        <w:rPr>
          <w:rStyle w:val="Refdenotaalpie"/>
          <w:rFonts w:ascii="Arial" w:hAnsi="Arial" w:cs="Arial"/>
          <w:sz w:val="18"/>
          <w:szCs w:val="18"/>
        </w:rPr>
        <w:footnoteRef/>
      </w:r>
      <w:r w:rsidRPr="002007A6">
        <w:rPr>
          <w:rFonts w:ascii="Arial" w:hAnsi="Arial" w:cs="Arial"/>
          <w:sz w:val="18"/>
          <w:szCs w:val="18"/>
        </w:rPr>
        <w:t xml:space="preserve"> El artículo 5 dispone que “</w:t>
      </w:r>
      <w:r w:rsidRPr="002007A6">
        <w:rPr>
          <w:rFonts w:ascii="Arial" w:hAnsi="Arial" w:cs="Arial"/>
          <w:sz w:val="18"/>
          <w:szCs w:val="18"/>
          <w:lang w:val="es-CO"/>
        </w:rPr>
        <w:t>La presente resolución rige a partir de su publicación, deroga la Resolución 094 de 2020 y sus modificaciones posteriores, y aplica a los procesos de obra pública de infraestructura de transporte que se adelanten bajo la modalidad de mínima cuantía, cuya invitación se publique a partir del 27 de febrero del 2023”.</w:t>
      </w:r>
    </w:p>
  </w:footnote>
  <w:footnote w:id="7">
    <w:p w14:paraId="6C704447" w14:textId="77777777" w:rsidR="00574A4F" w:rsidRPr="002007A6" w:rsidRDefault="00574A4F" w:rsidP="00574A4F">
      <w:pPr>
        <w:pStyle w:val="Textonotapie"/>
        <w:ind w:firstLine="708"/>
        <w:jc w:val="both"/>
        <w:rPr>
          <w:rFonts w:ascii="Arial" w:hAnsi="Arial" w:cs="Arial"/>
          <w:sz w:val="18"/>
          <w:szCs w:val="18"/>
        </w:rPr>
      </w:pPr>
      <w:r w:rsidRPr="002007A6">
        <w:rPr>
          <w:rStyle w:val="Refdenotaalpie"/>
          <w:rFonts w:ascii="Arial" w:hAnsi="Arial" w:cs="Arial"/>
          <w:sz w:val="18"/>
          <w:szCs w:val="18"/>
        </w:rPr>
        <w:footnoteRef/>
      </w:r>
      <w:r w:rsidRPr="002007A6">
        <w:rPr>
          <w:rFonts w:ascii="Arial" w:hAnsi="Arial" w:cs="Arial"/>
          <w:sz w:val="18"/>
          <w:szCs w:val="18"/>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8">
    <w:p w14:paraId="29F83C0C" w14:textId="77777777" w:rsidR="00574A4F" w:rsidRPr="002007A6" w:rsidRDefault="00574A4F" w:rsidP="00574A4F">
      <w:pPr>
        <w:pStyle w:val="Textonotapie"/>
        <w:ind w:firstLine="709"/>
        <w:jc w:val="both"/>
        <w:rPr>
          <w:rFonts w:ascii="Arial" w:hAnsi="Arial" w:cs="Arial"/>
          <w:color w:val="000000" w:themeColor="text1"/>
          <w:sz w:val="18"/>
          <w:szCs w:val="18"/>
        </w:rPr>
      </w:pPr>
      <w:r w:rsidRPr="002007A6">
        <w:rPr>
          <w:rStyle w:val="Refdenotaalpie"/>
          <w:rFonts w:ascii="Arial" w:hAnsi="Arial" w:cs="Arial"/>
          <w:color w:val="000000" w:themeColor="text1"/>
          <w:sz w:val="18"/>
          <w:szCs w:val="18"/>
        </w:rPr>
        <w:footnoteRef/>
      </w:r>
      <w:r w:rsidRPr="002007A6">
        <w:rPr>
          <w:rFonts w:ascii="Arial" w:hAnsi="Arial" w:cs="Arial"/>
          <w:color w:val="000000" w:themeColor="text1"/>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footnote>
  <w:footnote w:id="9">
    <w:p w14:paraId="332473B3" w14:textId="77777777" w:rsidR="00574A4F" w:rsidRPr="002007A6" w:rsidRDefault="00574A4F" w:rsidP="00574A4F">
      <w:pPr>
        <w:spacing w:after="0" w:line="240" w:lineRule="auto"/>
        <w:ind w:firstLine="709"/>
        <w:jc w:val="both"/>
        <w:rPr>
          <w:rFonts w:ascii="Arial" w:hAnsi="Arial" w:cs="Arial"/>
          <w:color w:val="000000" w:themeColor="text1"/>
          <w:sz w:val="18"/>
          <w:szCs w:val="18"/>
          <w:lang w:val="es-ES"/>
        </w:rPr>
      </w:pPr>
      <w:r w:rsidRPr="002007A6">
        <w:rPr>
          <w:rStyle w:val="Refdenotaalpie"/>
          <w:rFonts w:ascii="Arial" w:hAnsi="Arial" w:cs="Arial"/>
          <w:color w:val="000000" w:themeColor="text1"/>
          <w:sz w:val="18"/>
          <w:szCs w:val="18"/>
        </w:rPr>
        <w:footnoteRef/>
      </w:r>
      <w:r w:rsidRPr="002007A6">
        <w:rPr>
          <w:rFonts w:ascii="Arial" w:hAnsi="Arial" w:cs="Arial"/>
          <w:color w:val="000000" w:themeColor="text1"/>
          <w:sz w:val="18"/>
          <w:szCs w:val="18"/>
        </w:rPr>
        <w:t xml:space="preserve"> </w:t>
      </w:r>
      <w:r w:rsidRPr="002007A6">
        <w:rPr>
          <w:rFonts w:ascii="Arial" w:hAnsi="Arial" w:cs="Arial"/>
          <w:color w:val="000000" w:themeColor="text1"/>
          <w:sz w:val="18"/>
          <w:szCs w:val="18"/>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footnote>
  <w:footnote w:id="10">
    <w:p w14:paraId="18775D9E" w14:textId="77777777" w:rsidR="00574A4F" w:rsidRPr="002007A6" w:rsidRDefault="00574A4F" w:rsidP="00574A4F">
      <w:pPr>
        <w:pStyle w:val="Textonotapie"/>
        <w:ind w:firstLine="708"/>
        <w:jc w:val="both"/>
        <w:rPr>
          <w:rFonts w:ascii="Arial" w:hAnsi="Arial" w:cs="Arial"/>
          <w:sz w:val="18"/>
          <w:szCs w:val="18"/>
        </w:rPr>
      </w:pPr>
      <w:r w:rsidRPr="002007A6">
        <w:rPr>
          <w:rStyle w:val="Refdenotaalpie"/>
          <w:rFonts w:ascii="Arial" w:hAnsi="Arial" w:cs="Arial"/>
          <w:sz w:val="18"/>
          <w:szCs w:val="18"/>
        </w:rPr>
        <w:footnoteRef/>
      </w:r>
      <w:r w:rsidRPr="002007A6">
        <w:rPr>
          <w:rFonts w:ascii="Arial" w:hAnsi="Arial" w:cs="Arial"/>
          <w:sz w:val="18"/>
          <w:szCs w:val="18"/>
        </w:rPr>
        <w:t xml:space="preserve"> La norma dispone que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364F23BB" w14:textId="77777777" w:rsidR="00574A4F" w:rsidRPr="002007A6" w:rsidRDefault="00574A4F" w:rsidP="00574A4F">
      <w:pPr>
        <w:pStyle w:val="Textonotapie"/>
        <w:ind w:firstLine="708"/>
        <w:jc w:val="both"/>
        <w:rPr>
          <w:rFonts w:ascii="Arial" w:hAnsi="Arial" w:cs="Arial"/>
          <w:sz w:val="18"/>
          <w:szCs w:val="18"/>
        </w:rPr>
      </w:pPr>
      <w:r w:rsidRPr="002007A6">
        <w:rPr>
          <w:rFonts w:ascii="Arial" w:hAnsi="Arial" w:cs="Arial"/>
          <w:sz w:val="18"/>
          <w:szCs w:val="18"/>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151A92A8" w14:textId="77777777" w:rsidR="00574A4F" w:rsidRPr="002007A6" w:rsidRDefault="00574A4F" w:rsidP="00574A4F">
      <w:pPr>
        <w:pStyle w:val="Textonotapie"/>
        <w:ind w:firstLine="708"/>
        <w:jc w:val="both"/>
        <w:rPr>
          <w:rFonts w:ascii="Arial" w:hAnsi="Arial" w:cs="Arial"/>
          <w:sz w:val="18"/>
          <w:szCs w:val="18"/>
        </w:rPr>
      </w:pPr>
      <w:r w:rsidRPr="002007A6">
        <w:rPr>
          <w:rFonts w:ascii="Arial" w:hAnsi="Arial" w:cs="Arial"/>
          <w:sz w:val="18"/>
          <w:szCs w:val="18"/>
        </w:rPr>
        <w:t xml:space="preserve">2. Conservar los requisitos exigidos en los Documentos Tipo.  </w:t>
      </w:r>
    </w:p>
    <w:p w14:paraId="3778E2B7" w14:textId="77777777" w:rsidR="00574A4F" w:rsidRPr="002007A6" w:rsidRDefault="00574A4F" w:rsidP="00574A4F">
      <w:pPr>
        <w:pStyle w:val="Textonotapie"/>
        <w:ind w:firstLine="708"/>
        <w:jc w:val="both"/>
        <w:rPr>
          <w:rFonts w:ascii="Arial" w:hAnsi="Arial" w:cs="Arial"/>
          <w:sz w:val="18"/>
          <w:szCs w:val="18"/>
        </w:rPr>
      </w:pPr>
      <w:r w:rsidRPr="002007A6">
        <w:rPr>
          <w:rFonts w:ascii="Arial" w:hAnsi="Arial" w:cs="Arial"/>
          <w:sz w:val="18"/>
          <w:szCs w:val="18"/>
        </w:rPr>
        <w:t>3. Abstenerse de pedir experiencia exclusiva con entidades estatales, experiencia previa en un territorio específico, limitada en el tiempo o que incluya volúmenes o cantidades de obra específica</w:t>
      </w:r>
    </w:p>
    <w:p w14:paraId="339E5C59" w14:textId="77777777" w:rsidR="00574A4F" w:rsidRPr="002007A6" w:rsidRDefault="00574A4F" w:rsidP="00574A4F">
      <w:pPr>
        <w:pStyle w:val="Textonotapie"/>
        <w:ind w:firstLine="708"/>
        <w:jc w:val="both"/>
        <w:rPr>
          <w:rFonts w:ascii="Arial" w:hAnsi="Arial" w:cs="Arial"/>
          <w:sz w:val="18"/>
          <w:szCs w:val="18"/>
        </w:rPr>
      </w:pPr>
      <w:r w:rsidRPr="002007A6">
        <w:rPr>
          <w:rFonts w:ascii="Arial" w:hAnsi="Arial" w:cs="Arial"/>
          <w:sz w:val="18"/>
          <w:szCs w:val="18"/>
        </w:rPr>
        <w:t>4. Clasificar la experiencia requerida solo hasta el tercer nivel del Clasificador de Bienes y Servicios e incluir exclusivamente los códigos que estén relacionados directamente con el objeto a contratar.</w:t>
      </w:r>
    </w:p>
    <w:p w14:paraId="5D49A250" w14:textId="77777777" w:rsidR="00574A4F" w:rsidRPr="002007A6" w:rsidRDefault="00574A4F" w:rsidP="00574A4F">
      <w:pPr>
        <w:pStyle w:val="Textonotapie"/>
        <w:ind w:firstLine="708"/>
        <w:jc w:val="both"/>
        <w:rPr>
          <w:rFonts w:ascii="Arial" w:hAnsi="Arial" w:cs="Arial"/>
          <w:sz w:val="18"/>
          <w:szCs w:val="18"/>
          <w:lang w:val="es-CO"/>
        </w:rPr>
      </w:pPr>
      <w:r w:rsidRPr="002007A6">
        <w:rPr>
          <w:rFonts w:ascii="Arial" w:hAnsi="Arial" w:cs="Arial"/>
          <w:sz w:val="18"/>
          <w:szCs w:val="18"/>
        </w:rPr>
        <w:t xml:space="preserve">Parágrafo (Incluido por el artículo 59 de la Resolución 275 del 24 de junio de 2022). En los casos que el objeto contractual incluya actividades que son abarcadas por otros Documentos Tipo, la Entidad Estatal aplicará las reglas de combinación de experiencia previstas en el numeral 3.5.2 del documento base”.  </w:t>
      </w:r>
    </w:p>
  </w:footnote>
  <w:footnote w:id="11">
    <w:p w14:paraId="6CE4CB0D" w14:textId="77777777" w:rsidR="00574A4F" w:rsidRPr="002007A6" w:rsidRDefault="00574A4F" w:rsidP="00574A4F">
      <w:pPr>
        <w:spacing w:after="0" w:line="240" w:lineRule="auto"/>
        <w:ind w:firstLine="708"/>
        <w:jc w:val="both"/>
        <w:rPr>
          <w:rFonts w:ascii="Arial" w:hAnsi="Arial" w:cs="Arial"/>
          <w:color w:val="000000" w:themeColor="text1"/>
          <w:sz w:val="18"/>
          <w:szCs w:val="18"/>
        </w:rPr>
      </w:pPr>
      <w:r w:rsidRPr="002007A6">
        <w:rPr>
          <w:rStyle w:val="Refdenotaalpie"/>
          <w:rFonts w:ascii="Arial" w:hAnsi="Arial" w:cs="Arial"/>
          <w:color w:val="000000" w:themeColor="text1"/>
          <w:sz w:val="18"/>
          <w:szCs w:val="18"/>
        </w:rPr>
        <w:footnoteRef/>
      </w:r>
      <w:r w:rsidRPr="002007A6">
        <w:rPr>
          <w:rFonts w:ascii="Arial" w:hAnsi="Arial" w:cs="Arial"/>
          <w:color w:val="000000" w:themeColor="text1"/>
          <w:sz w:val="18"/>
          <w:szCs w:val="18"/>
        </w:rPr>
        <w:t xml:space="preserve"> Cita tomada de la providencia del 20 de febrero de 2020, dictada por el Consejo de Estado. Sección Tercera. Subsección A, dentro del expediente 47001-23-33-000-2018-00035-01 (63.854), cuya ponente fue Marta Nubia Velásquez Rico.</w:t>
      </w:r>
    </w:p>
  </w:footnote>
  <w:footnote w:id="12">
    <w:p w14:paraId="204E9275" w14:textId="77777777" w:rsidR="00574A4F" w:rsidRPr="00806285" w:rsidRDefault="00574A4F" w:rsidP="00574A4F">
      <w:pPr>
        <w:pStyle w:val="Textonotapie"/>
        <w:ind w:firstLine="708"/>
        <w:jc w:val="both"/>
        <w:rPr>
          <w:rFonts w:ascii="Arial" w:hAnsi="Arial" w:cs="Arial"/>
          <w:bCs/>
          <w:sz w:val="19"/>
          <w:szCs w:val="19"/>
          <w:lang w:val="es-ES"/>
        </w:rPr>
      </w:pPr>
      <w:r w:rsidRPr="00702F8E">
        <w:rPr>
          <w:rStyle w:val="Refdenotaalpie"/>
          <w:rFonts w:ascii="Arial" w:hAnsi="Arial" w:cs="Arial"/>
          <w:sz w:val="19"/>
          <w:szCs w:val="19"/>
        </w:rPr>
        <w:footnoteRef/>
      </w:r>
      <w:r w:rsidRPr="00702F8E">
        <w:rPr>
          <w:rFonts w:ascii="Arial" w:hAnsi="Arial" w:cs="Arial"/>
          <w:sz w:val="19"/>
          <w:szCs w:val="19"/>
        </w:rPr>
        <w:t xml:space="preserve"> </w:t>
      </w:r>
      <w:r w:rsidRPr="00806285">
        <w:rPr>
          <w:rFonts w:ascii="Arial" w:hAnsi="Arial" w:cs="Arial"/>
          <w:bCs/>
          <w:sz w:val="19"/>
          <w:szCs w:val="19"/>
          <w:lang w:val="es-ES"/>
        </w:rPr>
        <w:t xml:space="preserve">Sobre este aspecto, </w:t>
      </w:r>
      <w:r>
        <w:rPr>
          <w:rFonts w:ascii="Arial" w:hAnsi="Arial" w:cs="Arial"/>
          <w:bCs/>
          <w:sz w:val="19"/>
          <w:szCs w:val="19"/>
          <w:lang w:val="es-ES"/>
        </w:rPr>
        <w:t>la guía explica que “</w:t>
      </w:r>
      <w:r w:rsidRPr="00806285">
        <w:rPr>
          <w:rFonts w:ascii="Arial" w:hAnsi="Arial" w:cs="Arial"/>
          <w:bCs/>
          <w:sz w:val="19"/>
          <w:szCs w:val="19"/>
          <w:lang w:val="es-CO"/>
        </w:rPr>
        <w:t>Quien incumpla los parámetros definidos en el Decreto 1082 de 2015 y en los Documentos Tipo responderá ante las autoridades correspondientes. Por tanto, quien evidencie el incumplimiento de las condiciones de los Documentos Tipo debe hacer la denuncia correspondiente a las autoridades competentes. Por tal razón, es importante resaltar la labor colaborativa que realizan los interesados en los procesos de selección, para establecer e identificar las oportunidades de mejora, e identificar las situaciones contrarias a la normativa vigente</w:t>
      </w:r>
      <w:r>
        <w:rPr>
          <w:rFonts w:ascii="Arial" w:hAnsi="Arial" w:cs="Arial"/>
          <w:bCs/>
          <w:sz w:val="19"/>
          <w:szCs w:val="19"/>
          <w:lang w:val="es-CO"/>
        </w:rPr>
        <w:t xml:space="preserve">” (Cfr. </w:t>
      </w:r>
      <w:hyperlink r:id="rId2" w:history="1">
        <w:r w:rsidRPr="00702F8E">
          <w:rPr>
            <w:rStyle w:val="Hipervnculo"/>
            <w:rFonts w:ascii="Arial" w:hAnsi="Arial" w:cs="Arial"/>
            <w:bCs/>
            <w:color w:val="44546A" w:themeColor="text2"/>
            <w:sz w:val="19"/>
            <w:szCs w:val="19"/>
            <w:lang w:val="es-CO"/>
          </w:rPr>
          <w:t>https://www.colombiacompra.gov.co/sites/cce_public/files/cce_documents/guia_para_la_comprension_e_implementacion_de_los_documentos_tipo_obra_publica_de_infraestructura_transporte_-_cce-eicp-gi12.pdf</w:t>
        </w:r>
      </w:hyperlink>
      <w:r>
        <w:rPr>
          <w:rFonts w:ascii="Arial" w:hAnsi="Arial" w:cs="Arial"/>
          <w:bCs/>
          <w:sz w:val="19"/>
          <w:szCs w:val="19"/>
          <w:lang w:val="es-CO"/>
        </w:rPr>
        <w:t>)</w:t>
      </w:r>
      <w:r w:rsidRPr="00806285">
        <w:rPr>
          <w:rFonts w:ascii="Arial" w:hAnsi="Arial" w:cs="Arial"/>
          <w:bCs/>
          <w:sz w:val="19"/>
          <w:szCs w:val="19"/>
          <w:lang w:val="es-CO"/>
        </w:rPr>
        <w:t xml:space="preserve">. </w:t>
      </w:r>
      <w:r w:rsidRPr="00806285">
        <w:rPr>
          <w:rFonts w:ascii="Arial" w:hAnsi="Arial" w:cs="Arial"/>
          <w:bCs/>
          <w:sz w:val="19"/>
          <w:szCs w:val="19"/>
          <w:lang w:val="es-ES"/>
        </w:rPr>
        <w:t xml:space="preserve"> </w:t>
      </w:r>
      <w:r w:rsidRPr="00806285">
        <w:rPr>
          <w:rFonts w:ascii="Arial" w:hAnsi="Arial" w:cs="Arial"/>
          <w:sz w:val="19"/>
          <w:szCs w:val="19"/>
          <w:lang w:val="es-CO"/>
        </w:rPr>
        <w:t xml:space="preserve">  </w:t>
      </w:r>
    </w:p>
    <w:p w14:paraId="0155592A" w14:textId="77777777" w:rsidR="00574A4F" w:rsidRPr="00702F8E" w:rsidRDefault="00574A4F" w:rsidP="00574A4F">
      <w:pPr>
        <w:pStyle w:val="Textonotapie"/>
        <w:ind w:firstLine="708"/>
        <w:jc w:val="both"/>
        <w:rPr>
          <w:rFonts w:ascii="Arial" w:hAnsi="Arial" w:cs="Arial"/>
          <w:sz w:val="19"/>
          <w:szCs w:val="19"/>
          <w:lang w:val="es-ES"/>
        </w:rPr>
      </w:pPr>
    </w:p>
  </w:footnote>
  <w:footnote w:id="13">
    <w:p w14:paraId="424A5EC0" w14:textId="77777777" w:rsidR="00574A4F" w:rsidRPr="00702F8E" w:rsidRDefault="00574A4F" w:rsidP="00574A4F">
      <w:pPr>
        <w:pStyle w:val="Textonotapie"/>
        <w:ind w:firstLine="708"/>
        <w:jc w:val="both"/>
        <w:rPr>
          <w:rFonts w:ascii="Arial" w:hAnsi="Arial" w:cs="Arial"/>
          <w:sz w:val="19"/>
          <w:szCs w:val="19"/>
          <w:lang w:val="es-ES"/>
        </w:rPr>
      </w:pPr>
      <w:r w:rsidRPr="00702F8E">
        <w:rPr>
          <w:rStyle w:val="Refdenotaalpie"/>
          <w:rFonts w:ascii="Arial" w:hAnsi="Arial" w:cs="Arial"/>
          <w:sz w:val="19"/>
          <w:szCs w:val="19"/>
        </w:rPr>
        <w:footnoteRef/>
      </w:r>
      <w:r w:rsidRPr="00702F8E">
        <w:rPr>
          <w:rFonts w:ascii="Arial" w:hAnsi="Arial" w:cs="Arial"/>
          <w:sz w:val="19"/>
          <w:szCs w:val="19"/>
        </w:rPr>
        <w:t xml:space="preserve"> </w:t>
      </w:r>
      <w:r>
        <w:rPr>
          <w:rFonts w:ascii="Arial" w:hAnsi="Arial" w:cs="Arial"/>
          <w:sz w:val="19"/>
          <w:szCs w:val="19"/>
        </w:rPr>
        <w:t>Ibidem.</w:t>
      </w:r>
    </w:p>
  </w:footnote>
  <w:footnote w:id="14">
    <w:p w14:paraId="3A21B1F6" w14:textId="77777777" w:rsidR="00574A4F" w:rsidRPr="00131337" w:rsidRDefault="00574A4F" w:rsidP="00574A4F">
      <w:pPr>
        <w:pStyle w:val="Textonotapie"/>
        <w:ind w:firstLine="708"/>
        <w:jc w:val="both"/>
        <w:rPr>
          <w:rFonts w:ascii="Arial" w:hAnsi="Arial" w:cs="Arial"/>
          <w:color w:val="000000" w:themeColor="text1"/>
          <w:sz w:val="19"/>
          <w:szCs w:val="19"/>
        </w:rPr>
      </w:pPr>
      <w:r w:rsidRPr="003D2AAA">
        <w:rPr>
          <w:rStyle w:val="Refdenotaalpie"/>
          <w:rFonts w:ascii="Arial" w:hAnsi="Arial" w:cs="Arial"/>
          <w:color w:val="000000" w:themeColor="text1"/>
          <w:sz w:val="19"/>
          <w:szCs w:val="19"/>
        </w:rPr>
        <w:footnoteRef/>
      </w:r>
      <w:r w:rsidRPr="003D2AAA">
        <w:rPr>
          <w:rFonts w:ascii="Arial" w:hAnsi="Arial" w:cs="Arial"/>
          <w:color w:val="000000" w:themeColor="text1"/>
          <w:sz w:val="19"/>
          <w:szCs w:val="19"/>
        </w:rPr>
        <w:t xml:space="preserve"> </w:t>
      </w:r>
      <w:r w:rsidRPr="00131337">
        <w:rPr>
          <w:rFonts w:ascii="Arial" w:hAnsi="Arial" w:cs="Arial"/>
          <w:color w:val="000000" w:themeColor="text1"/>
          <w:sz w:val="19"/>
          <w:szCs w:val="19"/>
        </w:rPr>
        <w:t xml:space="preserve">CORTE CONSTITUCIONAL. Sentencia C-452 de 1999. M.P. Eduardo Cifuentes Muñoz. </w:t>
      </w:r>
    </w:p>
  </w:footnote>
  <w:footnote w:id="15">
    <w:p w14:paraId="39B4F0E0" w14:textId="77777777" w:rsidR="00574A4F" w:rsidRPr="00131337" w:rsidRDefault="00574A4F" w:rsidP="00574A4F">
      <w:pPr>
        <w:pStyle w:val="Textonotapie"/>
        <w:ind w:firstLine="708"/>
        <w:jc w:val="both"/>
        <w:rPr>
          <w:rFonts w:ascii="Arial" w:hAnsi="Arial" w:cs="Arial"/>
          <w:color w:val="000000" w:themeColor="text1"/>
          <w:sz w:val="19"/>
          <w:szCs w:val="19"/>
        </w:rPr>
      </w:pPr>
      <w:r w:rsidRPr="003D2AAA">
        <w:rPr>
          <w:rStyle w:val="Refdenotaalpie"/>
          <w:rFonts w:ascii="Arial" w:hAnsi="Arial" w:cs="Arial"/>
          <w:color w:val="000000" w:themeColor="text1"/>
          <w:sz w:val="19"/>
          <w:szCs w:val="19"/>
        </w:rPr>
        <w:footnoteRef/>
      </w:r>
      <w:r w:rsidRPr="003D2AAA">
        <w:rPr>
          <w:rFonts w:ascii="Arial" w:hAnsi="Arial" w:cs="Arial"/>
          <w:color w:val="000000" w:themeColor="text1"/>
          <w:sz w:val="19"/>
          <w:szCs w:val="19"/>
        </w:rPr>
        <w:t xml:space="preserve"> </w:t>
      </w:r>
      <w:r w:rsidRPr="00131337">
        <w:rPr>
          <w:rFonts w:ascii="Arial" w:hAnsi="Arial" w:cs="Arial"/>
          <w:color w:val="000000" w:themeColor="text1"/>
          <w:sz w:val="19"/>
          <w:szCs w:val="19"/>
        </w:rPr>
        <w:t>DROMI, José Roberto. La licitación pública. Buenos Aires: Ciudad Argent</w:t>
      </w:r>
      <w:r w:rsidRPr="00CD5120">
        <w:rPr>
          <w:rFonts w:ascii="Arial" w:hAnsi="Arial" w:cs="Arial"/>
          <w:color w:val="000000" w:themeColor="text1"/>
          <w:sz w:val="19"/>
          <w:szCs w:val="19"/>
        </w:rPr>
        <w:t>ina, 1980. pp. 288-289.</w:t>
      </w:r>
    </w:p>
  </w:footnote>
  <w:footnote w:id="16">
    <w:p w14:paraId="6D89984A" w14:textId="77777777" w:rsidR="00574A4F" w:rsidRPr="00E2580C" w:rsidRDefault="00574A4F" w:rsidP="00574A4F">
      <w:pPr>
        <w:pStyle w:val="Textonotapie"/>
        <w:ind w:firstLine="708"/>
        <w:jc w:val="both"/>
        <w:rPr>
          <w:rFonts w:ascii="Arial" w:hAnsi="Arial" w:cs="Arial"/>
          <w:sz w:val="19"/>
          <w:szCs w:val="19"/>
        </w:rPr>
      </w:pPr>
      <w:r w:rsidRPr="008F1741">
        <w:rPr>
          <w:rStyle w:val="Refdenotaalpie"/>
          <w:rFonts w:ascii="Arial" w:hAnsi="Arial" w:cs="Arial"/>
          <w:sz w:val="19"/>
          <w:szCs w:val="19"/>
        </w:rPr>
        <w:footnoteRef/>
      </w:r>
      <w:r w:rsidRPr="008F1741">
        <w:rPr>
          <w:rFonts w:ascii="Arial" w:hAnsi="Arial" w:cs="Arial"/>
          <w:sz w:val="19"/>
          <w:szCs w:val="19"/>
        </w:rPr>
        <w:t xml:space="preserve"> </w:t>
      </w:r>
      <w:r>
        <w:rPr>
          <w:rFonts w:ascii="Arial" w:hAnsi="Arial" w:cs="Arial"/>
          <w:sz w:val="19"/>
          <w:szCs w:val="19"/>
        </w:rPr>
        <w:t xml:space="preserve">Para la jurisprudencia, “[…] </w:t>
      </w:r>
      <w:r w:rsidRPr="008F1741">
        <w:rPr>
          <w:rFonts w:ascii="Arial" w:hAnsi="Arial" w:cs="Arial"/>
          <w:sz w:val="19"/>
          <w:szCs w:val="19"/>
        </w:rPr>
        <w:t>los seguros de cumplimiento, específicamente, el de contratos estatales, son aquellos que garantizan al acreedor (entidad estatal) que serán resarcidos los daños que pueda provocar el incumplimiento de las obligaciones del deudor (contratista) dentro del marco de una relación contractual. Así, pues, el riesgo asegurado en esta categoría de seguros, visto de manera general, lo constituye el incumplimiento de las obligaciones contractuales a cargo del deudor (contratista), quien a su vez es el tomador de la póliza, de modo que el objeto de las obligaciones garantizadas es lo que determina o particulariza el riesgo asegurado</w:t>
      </w:r>
      <w:r>
        <w:rPr>
          <w:rFonts w:ascii="Arial" w:hAnsi="Arial" w:cs="Arial"/>
          <w:sz w:val="19"/>
          <w:szCs w:val="19"/>
        </w:rPr>
        <w:t>” (</w:t>
      </w:r>
      <w:r w:rsidRPr="008F1741">
        <w:rPr>
          <w:rFonts w:ascii="Arial" w:hAnsi="Arial" w:cs="Arial"/>
          <w:sz w:val="19"/>
          <w:szCs w:val="19"/>
        </w:rPr>
        <w:t>CONSEJO DE ESTADO. Sección Tercera. Subsección A. Sentencia del 12 de febrero de 2015.</w:t>
      </w:r>
      <w:r>
        <w:rPr>
          <w:rFonts w:ascii="Arial" w:hAnsi="Arial" w:cs="Arial"/>
          <w:sz w:val="19"/>
          <w:szCs w:val="19"/>
        </w:rPr>
        <w:t xml:space="preserve"> Exp. </w:t>
      </w:r>
      <w:r w:rsidRPr="008F1741">
        <w:rPr>
          <w:rFonts w:ascii="Arial" w:hAnsi="Arial" w:cs="Arial"/>
          <w:sz w:val="19"/>
          <w:szCs w:val="19"/>
        </w:rPr>
        <w:t xml:space="preserve"> 28278</w:t>
      </w:r>
      <w:r>
        <w:rPr>
          <w:rFonts w:ascii="Arial" w:hAnsi="Arial" w:cs="Arial"/>
          <w:sz w:val="19"/>
          <w:szCs w:val="19"/>
        </w:rPr>
        <w:t>. C.P</w:t>
      </w:r>
      <w:r w:rsidRPr="008F1741">
        <w:rPr>
          <w:rFonts w:ascii="Arial" w:hAnsi="Arial" w:cs="Arial"/>
          <w:sz w:val="19"/>
          <w:szCs w:val="19"/>
        </w:rPr>
        <w:t>. Carlos Alberto Zambrano Barrera</w:t>
      </w:r>
      <w:r>
        <w:rPr>
          <w:rFonts w:ascii="Arial" w:hAnsi="Arial" w:cs="Arial"/>
          <w:sz w:val="19"/>
          <w:szCs w:val="19"/>
        </w:rPr>
        <w:t>)</w:t>
      </w:r>
      <w:r w:rsidRPr="008F1741">
        <w:rPr>
          <w:rFonts w:ascii="Arial" w:hAnsi="Arial" w:cs="Arial"/>
          <w:sz w:val="19"/>
          <w:szCs w:val="19"/>
        </w:rPr>
        <w:t>.</w:t>
      </w:r>
    </w:p>
  </w:footnote>
  <w:footnote w:id="17">
    <w:p w14:paraId="52A443B2" w14:textId="77777777" w:rsidR="00574A4F" w:rsidRPr="00E2580C" w:rsidRDefault="00574A4F" w:rsidP="00574A4F">
      <w:pPr>
        <w:pStyle w:val="Textonotapie"/>
        <w:ind w:firstLine="709"/>
        <w:jc w:val="both"/>
        <w:rPr>
          <w:rFonts w:ascii="Arial" w:hAnsi="Arial" w:cs="Arial"/>
          <w:color w:val="000000" w:themeColor="text1"/>
          <w:sz w:val="19"/>
          <w:szCs w:val="19"/>
        </w:rPr>
      </w:pPr>
      <w:r w:rsidRPr="007E4AB0">
        <w:rPr>
          <w:rStyle w:val="Refdenotaalpie"/>
          <w:rFonts w:ascii="Arial" w:hAnsi="Arial" w:cs="Arial"/>
          <w:color w:val="000000" w:themeColor="text1"/>
          <w:sz w:val="19"/>
          <w:szCs w:val="19"/>
        </w:rPr>
        <w:footnoteRef/>
      </w:r>
      <w:r w:rsidRPr="007E4AB0">
        <w:rPr>
          <w:rFonts w:ascii="Arial" w:hAnsi="Arial" w:cs="Arial"/>
          <w:color w:val="000000" w:themeColor="text1"/>
          <w:sz w:val="19"/>
          <w:szCs w:val="19"/>
        </w:rPr>
        <w:t xml:space="preserve"> ORDÓÑEZ ORDÓÑEZ, Andrés E. Seguro de cumplimiento de los contratos estatales en Colombia. Bogotá: Universidad Externado de Colombia, 2011. p. 44.</w:t>
      </w:r>
    </w:p>
  </w:footnote>
  <w:footnote w:id="18">
    <w:p w14:paraId="02C5E467" w14:textId="77777777" w:rsidR="00574A4F" w:rsidRPr="00E2580C" w:rsidRDefault="00574A4F" w:rsidP="00574A4F">
      <w:pPr>
        <w:pStyle w:val="Textonotapie"/>
        <w:ind w:firstLine="709"/>
        <w:jc w:val="both"/>
        <w:rPr>
          <w:rFonts w:ascii="Arial" w:hAnsi="Arial" w:cs="Arial"/>
          <w:color w:val="000000" w:themeColor="text1"/>
          <w:sz w:val="19"/>
          <w:szCs w:val="19"/>
          <w:lang w:val="es-ES"/>
        </w:rPr>
      </w:pPr>
      <w:r w:rsidRPr="007E4AB0">
        <w:rPr>
          <w:rStyle w:val="Refdenotaalpie"/>
          <w:rFonts w:ascii="Arial" w:hAnsi="Arial" w:cs="Arial"/>
          <w:color w:val="000000" w:themeColor="text1"/>
          <w:sz w:val="19"/>
          <w:szCs w:val="19"/>
        </w:rPr>
        <w:footnoteRef/>
      </w:r>
      <w:r w:rsidRPr="007E4AB0">
        <w:rPr>
          <w:rFonts w:ascii="Arial" w:hAnsi="Arial" w:cs="Arial"/>
          <w:color w:val="000000" w:themeColor="text1"/>
          <w:sz w:val="19"/>
          <w:szCs w:val="19"/>
        </w:rPr>
        <w:t xml:space="preserve"> Al respecto, el inciso primero del artículo 1068 del Código de Comercio dispone lo siguiente: </w:t>
      </w:r>
      <w:r>
        <w:rPr>
          <w:rFonts w:ascii="Arial" w:hAnsi="Arial" w:cs="Arial"/>
          <w:color w:val="000000" w:themeColor="text1"/>
          <w:sz w:val="19"/>
          <w:szCs w:val="19"/>
        </w:rPr>
        <w:t>“</w:t>
      </w:r>
      <w:r w:rsidRPr="007E4AB0">
        <w:rPr>
          <w:rFonts w:ascii="Arial" w:hAnsi="Arial" w:cs="Arial"/>
          <w:color w:val="000000" w:themeColor="text1"/>
          <w:sz w:val="19"/>
          <w:szCs w:val="19"/>
        </w:rPr>
        <w:t xml:space="preserve">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 </w:t>
      </w:r>
      <w:r w:rsidRPr="007E4AB0">
        <w:rPr>
          <w:rFonts w:ascii="Arial" w:hAnsi="Arial" w:cs="Arial"/>
          <w:color w:val="000000" w:themeColor="text1"/>
          <w:sz w:val="19"/>
          <w:szCs w:val="19"/>
          <w:lang w:val="es-ES"/>
        </w:rPr>
        <w:t xml:space="preserve">Igualmente, el inciso primero del artículo 1071 </w:t>
      </w:r>
      <w:r w:rsidRPr="007E4AB0">
        <w:rPr>
          <w:rFonts w:ascii="Arial" w:hAnsi="Arial" w:cs="Arial"/>
          <w:i/>
          <w:iCs/>
          <w:color w:val="000000" w:themeColor="text1"/>
          <w:sz w:val="19"/>
          <w:szCs w:val="19"/>
          <w:lang w:val="es-ES"/>
        </w:rPr>
        <w:t>ibidem</w:t>
      </w:r>
      <w:r w:rsidRPr="007E4AB0">
        <w:rPr>
          <w:rFonts w:ascii="Arial" w:hAnsi="Arial" w:cs="Arial"/>
          <w:color w:val="000000" w:themeColor="text1"/>
          <w:sz w:val="19"/>
          <w:szCs w:val="19"/>
          <w:lang w:val="es-ES"/>
        </w:rPr>
        <w:t xml:space="preserve"> prescribe: </w:t>
      </w:r>
      <w:r>
        <w:rPr>
          <w:rFonts w:ascii="Arial" w:hAnsi="Arial" w:cs="Arial"/>
          <w:color w:val="000000" w:themeColor="text1"/>
          <w:sz w:val="19"/>
          <w:szCs w:val="19"/>
          <w:lang w:val="es-ES"/>
        </w:rPr>
        <w:t>“</w:t>
      </w:r>
      <w:r w:rsidRPr="007E4AB0">
        <w:rPr>
          <w:rFonts w:ascii="Arial" w:hAnsi="Arial" w:cs="Arial"/>
          <w:color w:val="000000" w:themeColor="text1"/>
          <w:sz w:val="19"/>
          <w:szCs w:val="19"/>
          <w:lang w:val="es-ES"/>
        </w:rPr>
        <w:t>El contrato de seguro podrá ser revocado unilateralmente por los contratantes. Por el asegurador, mediante noticia escrita al asegurado, enviada a su última dirección conocida, con no menos de diez días de antelación, contados a partir de la fecha del envío; por el asegurado, en cualquier momento, mediante aviso escrito al asegurador</w:t>
      </w:r>
      <w:r>
        <w:rPr>
          <w:rFonts w:ascii="Arial" w:hAnsi="Arial" w:cs="Arial"/>
          <w:color w:val="000000" w:themeColor="text1"/>
          <w:sz w:val="19"/>
          <w:szCs w:val="19"/>
          <w:lang w:val="es-ES"/>
        </w:rPr>
        <w:t>”</w:t>
      </w:r>
      <w:r w:rsidRPr="007E4AB0">
        <w:rPr>
          <w:rFonts w:ascii="Arial" w:hAnsi="Arial" w:cs="Arial"/>
          <w:color w:val="000000" w:themeColor="text1"/>
          <w:sz w:val="19"/>
          <w:szCs w:val="19"/>
          <w:lang w:val="es-ES"/>
        </w:rPr>
        <w:t xml:space="preserve">.  </w:t>
      </w:r>
    </w:p>
  </w:footnote>
  <w:footnote w:id="19">
    <w:p w14:paraId="7CD7E3A2" w14:textId="77777777" w:rsidR="00574A4F" w:rsidRPr="00E2580C" w:rsidRDefault="00574A4F" w:rsidP="00574A4F">
      <w:pPr>
        <w:pStyle w:val="Textonotapie"/>
        <w:ind w:firstLine="709"/>
        <w:jc w:val="both"/>
        <w:rPr>
          <w:rFonts w:ascii="Arial" w:hAnsi="Arial" w:cs="Arial"/>
          <w:color w:val="000000" w:themeColor="text1"/>
          <w:sz w:val="19"/>
          <w:szCs w:val="19"/>
        </w:rPr>
      </w:pPr>
      <w:r w:rsidRPr="007E4AB0">
        <w:rPr>
          <w:rStyle w:val="Refdenotaalpie"/>
          <w:rFonts w:ascii="Arial" w:hAnsi="Arial" w:cs="Arial"/>
          <w:color w:val="000000" w:themeColor="text1"/>
          <w:sz w:val="19"/>
          <w:szCs w:val="19"/>
        </w:rPr>
        <w:footnoteRef/>
      </w:r>
      <w:r w:rsidRPr="007E4AB0">
        <w:rPr>
          <w:rFonts w:ascii="Arial" w:hAnsi="Arial" w:cs="Arial"/>
          <w:color w:val="000000" w:themeColor="text1"/>
          <w:sz w:val="19"/>
          <w:szCs w:val="19"/>
        </w:rPr>
        <w:t xml:space="preserve"> ESCOBAR GIL, Rodrigo. Teoría general de los contratos de la Administración pública. Bogotá: Legis, 2000. p. 247. Respecto a las pólizas, la doctrina explica que </w:t>
      </w:r>
      <w:r>
        <w:rPr>
          <w:rFonts w:ascii="Arial" w:hAnsi="Arial" w:cs="Arial"/>
          <w:color w:val="000000" w:themeColor="text1"/>
          <w:sz w:val="19"/>
          <w:szCs w:val="19"/>
        </w:rPr>
        <w:t>“</w:t>
      </w:r>
      <w:r w:rsidRPr="007E4AB0">
        <w:rPr>
          <w:rFonts w:ascii="Arial" w:hAnsi="Arial" w:cs="Arial"/>
          <w:color w:val="000000" w:themeColor="text1"/>
          <w:sz w:val="19"/>
          <w:szCs w:val="19"/>
        </w:rPr>
        <w:t>En rigor, el seguro no elimina el daño sino que tolera que sus consecuencias resulten transferidas (trasladadas) por el sujeto amenazado por un evento económicamente desfavorable, a otro (asegurador) que, a esos fines, ha constituido una mutualidad especialmente "preparada para absorber el riesgo de indemnización”</w:t>
      </w:r>
      <w:r>
        <w:rPr>
          <w:rFonts w:ascii="Arial" w:hAnsi="Arial" w:cs="Arial"/>
          <w:color w:val="000000" w:themeColor="text1"/>
          <w:sz w:val="19"/>
          <w:szCs w:val="19"/>
        </w:rPr>
        <w:t>“</w:t>
      </w:r>
      <w:r w:rsidRPr="007E4AB0">
        <w:rPr>
          <w:rFonts w:ascii="Arial" w:hAnsi="Arial" w:cs="Arial"/>
          <w:color w:val="000000" w:themeColor="text1"/>
          <w:sz w:val="19"/>
          <w:szCs w:val="19"/>
        </w:rPr>
        <w:t xml:space="preserve"> (Cfr. STIGLITZ, Rubén S. Derecho de seguros. Tomo I. Tercera Edición. Buenos Aires: Abeledo – Perrot, 2001. p. 21).</w:t>
      </w:r>
    </w:p>
  </w:footnote>
  <w:footnote w:id="20">
    <w:p w14:paraId="0144C21B"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w:t>
      </w:r>
      <w:r>
        <w:rPr>
          <w:rFonts w:ascii="Arial" w:hAnsi="Arial" w:cs="Arial"/>
          <w:color w:val="000000" w:themeColor="text1"/>
          <w:sz w:val="18"/>
          <w:szCs w:val="18"/>
          <w:lang w:val="es-CO"/>
        </w:rPr>
        <w:t>“</w:t>
      </w:r>
      <w:r w:rsidRPr="00692DC1">
        <w:rPr>
          <w:rFonts w:ascii="Arial" w:hAnsi="Arial" w:cs="Arial"/>
          <w:color w:val="000000" w:themeColor="text1"/>
          <w:sz w:val="18"/>
          <w:szCs w:val="18"/>
          <w:lang w:val="es-CO"/>
        </w:rPr>
        <w:t xml:space="preserve">Artículo 2.2.1.2.3.1.3. Indivisibilidad de la garantía. La garantía de cobertura del Riesgo es indivisible. Sin embargo, en los contratos con un plazo mayor a cinco (5) años las garantías pueden cubrir los Riesgos de la Etapa del Contrato o del Periodo Contractual, de acuerdo con lo previsto en el contrato. </w:t>
      </w:r>
    </w:p>
    <w:p w14:paraId="45D740C7"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En consecuencia, la Entidad Estatal en los pliegos de condiciones para la Contratación debe indicar las garantías que exige en cada Etapa del Contrato o cada Periodo Contractual así: </w:t>
      </w:r>
    </w:p>
    <w:p w14:paraId="6DDCEA42"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1. La Entidad Estatal debe exigir una garantía independiente para cada Etapa del Contrato o cada Periodo Contractual o cada unidad funcional en el caso de las Asociaciones Público Privadas, cuya vigencia debe ser por lo menos la misma establecida para la Etapa del Contrato o Periodo Contractual respectivo. </w:t>
      </w:r>
    </w:p>
    <w:p w14:paraId="4F13D4B8"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 </w:t>
      </w:r>
    </w:p>
    <w:p w14:paraId="46D482AA"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3. 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 garantía. </w:t>
      </w:r>
    </w:p>
    <w:p w14:paraId="61A59C35"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Si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 mencionada y el contratista no obtiene una nueva garantía, queda obligado a garantizar la Etapa del Contrato o el Periodo Contractual subsiguiente</w:t>
      </w:r>
      <w:r>
        <w:rPr>
          <w:rFonts w:ascii="Arial" w:hAnsi="Arial" w:cs="Arial"/>
          <w:color w:val="000000" w:themeColor="text1"/>
          <w:sz w:val="18"/>
          <w:szCs w:val="18"/>
          <w:lang w:val="es-CO"/>
        </w:rPr>
        <w:t>”.</w:t>
      </w:r>
    </w:p>
  </w:footnote>
  <w:footnote w:id="21">
    <w:p w14:paraId="29667F09"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Style w:val="Refdenotaalpie"/>
          <w:rFonts w:ascii="Arial" w:hAnsi="Arial" w:cs="Arial"/>
          <w:color w:val="000000" w:themeColor="text1"/>
          <w:sz w:val="18"/>
          <w:szCs w:val="18"/>
        </w:rPr>
        <w:footnoteRef/>
      </w:r>
      <w:r w:rsidRPr="00692DC1">
        <w:rPr>
          <w:rFonts w:ascii="Arial" w:hAnsi="Arial" w:cs="Arial"/>
          <w:color w:val="000000" w:themeColor="text1"/>
          <w:sz w:val="18"/>
          <w:szCs w:val="18"/>
        </w:rPr>
        <w:t xml:space="preserve"> </w:t>
      </w:r>
      <w:r>
        <w:rPr>
          <w:rFonts w:ascii="Arial" w:hAnsi="Arial" w:cs="Arial"/>
          <w:color w:val="000000" w:themeColor="text1"/>
          <w:sz w:val="18"/>
          <w:szCs w:val="18"/>
          <w:lang w:val="es-CO"/>
        </w:rPr>
        <w:t>“</w:t>
      </w:r>
      <w:r w:rsidRPr="00692DC1">
        <w:rPr>
          <w:rFonts w:ascii="Arial" w:hAnsi="Arial" w:cs="Arial"/>
          <w:color w:val="000000" w:themeColor="text1"/>
          <w:sz w:val="18"/>
          <w:szCs w:val="18"/>
          <w:lang w:val="es-CO"/>
        </w:rPr>
        <w:t xml:space="preserve">Artículo </w:t>
      </w:r>
      <w:bookmarkStart w:id="16" w:name="_Hlk67919994"/>
      <w:r w:rsidRPr="00692DC1">
        <w:rPr>
          <w:rFonts w:ascii="Arial" w:hAnsi="Arial" w:cs="Arial"/>
          <w:color w:val="000000" w:themeColor="text1"/>
          <w:sz w:val="18"/>
          <w:szCs w:val="18"/>
          <w:lang w:val="es-CO"/>
        </w:rPr>
        <w:t>2.2.1.2.3.1.7</w:t>
      </w:r>
      <w:bookmarkEnd w:id="16"/>
      <w:r w:rsidRPr="00692DC1">
        <w:rPr>
          <w:rFonts w:ascii="Arial" w:hAnsi="Arial" w:cs="Arial"/>
          <w:color w:val="000000" w:themeColor="text1"/>
          <w:sz w:val="18"/>
          <w:szCs w:val="18"/>
          <w:lang w:val="es-CO"/>
        </w:rPr>
        <w:t xml:space="preserve">. Garantía de cumplimiento. La garantía de cumplimiento del contrato debe cubrir: </w:t>
      </w:r>
    </w:p>
    <w:p w14:paraId="5C2457AE" w14:textId="77777777" w:rsidR="00574A4F" w:rsidRPr="00692DC1" w:rsidRDefault="00574A4F" w:rsidP="00574A4F">
      <w:pPr>
        <w:pStyle w:val="Textonotapie"/>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  </w:t>
      </w:r>
      <w:r w:rsidRPr="00692DC1">
        <w:rPr>
          <w:rFonts w:ascii="Arial" w:hAnsi="Arial" w:cs="Arial"/>
          <w:color w:val="000000" w:themeColor="text1"/>
          <w:sz w:val="18"/>
          <w:szCs w:val="18"/>
          <w:lang w:val="es-CO"/>
        </w:rPr>
        <w:tab/>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79449F20"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2. Devolución del pago anticipado. Este amparo cubre los perjuicios sufridos por la Entidad Estatal por la no devolución total o parcial del dinero entregado al contratista a título de pago anticipado, cuando a ello hubiere lugar. </w:t>
      </w:r>
    </w:p>
    <w:p w14:paraId="58998490"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3. Cumplimiento del contrato. Este amparo cubre a la Entidad Estatal de los perjuicios derivados de: </w:t>
      </w:r>
    </w:p>
    <w:p w14:paraId="147F5E8F" w14:textId="77777777" w:rsidR="00574A4F" w:rsidRPr="00692DC1" w:rsidRDefault="00574A4F" w:rsidP="00574A4F">
      <w:pPr>
        <w:pStyle w:val="Textonotapie"/>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  </w:t>
      </w:r>
      <w:r w:rsidRPr="00692DC1">
        <w:rPr>
          <w:rFonts w:ascii="Arial" w:hAnsi="Arial" w:cs="Arial"/>
          <w:color w:val="000000" w:themeColor="text1"/>
          <w:sz w:val="18"/>
          <w:szCs w:val="18"/>
          <w:lang w:val="es-CO"/>
        </w:rPr>
        <w:tab/>
        <w:t xml:space="preserve">3.1. </w:t>
      </w:r>
      <w:bookmarkStart w:id="17" w:name="_Hlk67920056"/>
      <w:r w:rsidRPr="00692DC1">
        <w:rPr>
          <w:rFonts w:ascii="Arial" w:hAnsi="Arial" w:cs="Arial"/>
          <w:color w:val="000000" w:themeColor="text1"/>
          <w:sz w:val="18"/>
          <w:szCs w:val="18"/>
          <w:lang w:val="es-CO"/>
        </w:rPr>
        <w:t xml:space="preserve">El incumplimiento total o parcial del contrato, cuando el incumplimiento es imputable al contratista; </w:t>
      </w:r>
    </w:p>
    <w:p w14:paraId="755B4A0B" w14:textId="77777777" w:rsidR="00574A4F" w:rsidRPr="00692DC1" w:rsidRDefault="00574A4F" w:rsidP="00574A4F">
      <w:pPr>
        <w:pStyle w:val="Textonotapie"/>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  </w:t>
      </w:r>
      <w:r w:rsidRPr="00692DC1">
        <w:rPr>
          <w:rFonts w:ascii="Arial" w:hAnsi="Arial" w:cs="Arial"/>
          <w:color w:val="000000" w:themeColor="text1"/>
          <w:sz w:val="18"/>
          <w:szCs w:val="18"/>
          <w:lang w:val="es-CO"/>
        </w:rPr>
        <w:tab/>
        <w:t xml:space="preserve">3.2. El cumplimiento tardío o defectuoso del contrato, cuando el incumplimiento es imputable al contratista; </w:t>
      </w:r>
    </w:p>
    <w:p w14:paraId="4A348DBE"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3.3. Los daños imputables al contratista por entregas parciales de la obra, cuando el contrato no prevé entregas parciales; y </w:t>
      </w:r>
    </w:p>
    <w:bookmarkEnd w:id="17"/>
    <w:p w14:paraId="5D2E94B4"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3.4. El pago del valor de las multas y de la cláusula penal pecuniaria. </w:t>
      </w:r>
    </w:p>
    <w:p w14:paraId="5F0B9FB2"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 </w:t>
      </w:r>
    </w:p>
    <w:p w14:paraId="5BFA557D"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La Entidad Estatal no debe exigir una garantía para cubrir este Riesgo en los contratos que se ejecuten fuera del territorio nacional con personal contratado bajo un régimen jurídico distinto al colombiano. </w:t>
      </w:r>
    </w:p>
    <w:p w14:paraId="2DAE96D8"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5. Estabilidad y calidad de la obra. Este amparo cubre a la Entidad Estatal de los perjuicios ocasionados por cualquier tipo de daño o deterioro, imputable al contratista, sufrido por la obra entregada a satisfacción. </w:t>
      </w:r>
    </w:p>
    <w:p w14:paraId="1DDDAEAB"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6. Calidad del servicio. Este amparo cubre a la Entidad Estatal por los perjuicios derivados de la deficiente calidad del servicio prestado. </w:t>
      </w:r>
    </w:p>
    <w:p w14:paraId="5C829390" w14:textId="77777777" w:rsidR="00574A4F" w:rsidRPr="00692DC1" w:rsidRDefault="00574A4F" w:rsidP="00574A4F">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7. Calidad y correcto funcionamiento de los bienes. Este amparo debe cubrir la calidad y el correcto funcionamiento de los bienes que recibe la Entidad Estatal en cumplimiento de un contrato. </w:t>
      </w:r>
    </w:p>
    <w:p w14:paraId="48A48E76" w14:textId="3D7DDC12" w:rsidR="00574A4F" w:rsidRPr="00692DC1" w:rsidRDefault="00574A4F" w:rsidP="00085758">
      <w:pPr>
        <w:pStyle w:val="Textonotapie"/>
        <w:ind w:firstLine="708"/>
        <w:jc w:val="both"/>
        <w:rPr>
          <w:rFonts w:ascii="Arial" w:hAnsi="Arial" w:cs="Arial"/>
          <w:color w:val="000000" w:themeColor="text1"/>
          <w:sz w:val="18"/>
          <w:szCs w:val="18"/>
          <w:lang w:val="es-CO"/>
        </w:rPr>
      </w:pPr>
      <w:r w:rsidRPr="00692DC1">
        <w:rPr>
          <w:rFonts w:ascii="Arial" w:hAnsi="Arial" w:cs="Arial"/>
          <w:color w:val="000000" w:themeColor="text1"/>
          <w:sz w:val="18"/>
          <w:szCs w:val="18"/>
          <w:lang w:val="es-CO"/>
        </w:rPr>
        <w:t xml:space="preserve">8. </w:t>
      </w:r>
      <w:bookmarkStart w:id="18" w:name="_Hlk143267015"/>
      <w:r w:rsidRPr="00692DC1">
        <w:rPr>
          <w:rFonts w:ascii="Arial" w:hAnsi="Arial" w:cs="Arial"/>
          <w:color w:val="000000" w:themeColor="text1"/>
          <w:sz w:val="18"/>
          <w:szCs w:val="18"/>
          <w:lang w:val="es-CO"/>
        </w:rPr>
        <w:t>Los demás incumplimientos de obligaciones que la Entidad Estatal considere deben ser amparados de manera proporcional y acorde a la naturaleza del contrato</w:t>
      </w:r>
      <w:bookmarkEnd w:id="18"/>
      <w:r>
        <w:rPr>
          <w:rFonts w:ascii="Arial" w:hAnsi="Arial" w:cs="Arial"/>
          <w:color w:val="000000" w:themeColor="text1"/>
          <w:sz w:val="18"/>
          <w:szCs w:val="18"/>
          <w:lang w:val="es-CO"/>
        </w:rPr>
        <w:t>”</w:t>
      </w:r>
      <w:r w:rsidRPr="00692DC1">
        <w:rPr>
          <w:rFonts w:ascii="Arial" w:hAnsi="Arial" w:cs="Arial"/>
          <w:color w:val="000000" w:themeColor="text1"/>
          <w:sz w:val="18"/>
          <w:szCs w:val="18"/>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68047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5758"/>
    <w:rsid w:val="000A683E"/>
    <w:rsid w:val="000B19B9"/>
    <w:rsid w:val="000D0334"/>
    <w:rsid w:val="000F6486"/>
    <w:rsid w:val="00123E66"/>
    <w:rsid w:val="00125105"/>
    <w:rsid w:val="00127233"/>
    <w:rsid w:val="001E4177"/>
    <w:rsid w:val="002951A0"/>
    <w:rsid w:val="002962BC"/>
    <w:rsid w:val="002A093D"/>
    <w:rsid w:val="002A49AC"/>
    <w:rsid w:val="002A64FD"/>
    <w:rsid w:val="002C7A84"/>
    <w:rsid w:val="003448F4"/>
    <w:rsid w:val="003A779E"/>
    <w:rsid w:val="003D0F4D"/>
    <w:rsid w:val="003E0499"/>
    <w:rsid w:val="003F3941"/>
    <w:rsid w:val="00400548"/>
    <w:rsid w:val="00480B5D"/>
    <w:rsid w:val="004A1847"/>
    <w:rsid w:val="004A305D"/>
    <w:rsid w:val="004F21C4"/>
    <w:rsid w:val="004F685F"/>
    <w:rsid w:val="00501657"/>
    <w:rsid w:val="005566E8"/>
    <w:rsid w:val="00574867"/>
    <w:rsid w:val="00574A4F"/>
    <w:rsid w:val="005C5CDC"/>
    <w:rsid w:val="005D476C"/>
    <w:rsid w:val="006219F8"/>
    <w:rsid w:val="006608C9"/>
    <w:rsid w:val="00665D70"/>
    <w:rsid w:val="00706C16"/>
    <w:rsid w:val="00756841"/>
    <w:rsid w:val="007649AB"/>
    <w:rsid w:val="007833AC"/>
    <w:rsid w:val="007A0869"/>
    <w:rsid w:val="007B7171"/>
    <w:rsid w:val="007C3DC2"/>
    <w:rsid w:val="007E5497"/>
    <w:rsid w:val="00806F5F"/>
    <w:rsid w:val="00820278"/>
    <w:rsid w:val="008843B6"/>
    <w:rsid w:val="00891928"/>
    <w:rsid w:val="008A446D"/>
    <w:rsid w:val="008D55ED"/>
    <w:rsid w:val="008F0EA7"/>
    <w:rsid w:val="00923EEF"/>
    <w:rsid w:val="009419F9"/>
    <w:rsid w:val="00961B09"/>
    <w:rsid w:val="00965334"/>
    <w:rsid w:val="0097093E"/>
    <w:rsid w:val="009C71FA"/>
    <w:rsid w:val="009C72E7"/>
    <w:rsid w:val="00A17F13"/>
    <w:rsid w:val="00A20739"/>
    <w:rsid w:val="00A33C78"/>
    <w:rsid w:val="00AB0ADB"/>
    <w:rsid w:val="00B72CD3"/>
    <w:rsid w:val="00B72FFF"/>
    <w:rsid w:val="00BD7F72"/>
    <w:rsid w:val="00C04FB3"/>
    <w:rsid w:val="00C330EB"/>
    <w:rsid w:val="00C754BE"/>
    <w:rsid w:val="00C9043D"/>
    <w:rsid w:val="00CB6357"/>
    <w:rsid w:val="00CC1B26"/>
    <w:rsid w:val="00D423A2"/>
    <w:rsid w:val="00D63AC2"/>
    <w:rsid w:val="00D7383B"/>
    <w:rsid w:val="00DA231B"/>
    <w:rsid w:val="00E16408"/>
    <w:rsid w:val="00E20894"/>
    <w:rsid w:val="00E245AB"/>
    <w:rsid w:val="00E50AFE"/>
    <w:rsid w:val="00E50B69"/>
    <w:rsid w:val="00E771DC"/>
    <w:rsid w:val="00E8772A"/>
    <w:rsid w:val="00E90F6B"/>
    <w:rsid w:val="00E92C27"/>
    <w:rsid w:val="00EA0E3D"/>
    <w:rsid w:val="00EA4B94"/>
    <w:rsid w:val="00EC76B8"/>
    <w:rsid w:val="00EE1AA8"/>
    <w:rsid w:val="00F204AB"/>
    <w:rsid w:val="00F31EDC"/>
    <w:rsid w:val="00F350C5"/>
    <w:rsid w:val="00F5664F"/>
    <w:rsid w:val="00F76AFC"/>
    <w:rsid w:val="00F84EE1"/>
    <w:rsid w:val="00FB5DD1"/>
    <w:rsid w:val="00FC2B5D"/>
    <w:rsid w:val="00FF1449"/>
    <w:rsid w:val="02CD8A60"/>
    <w:rsid w:val="176C8187"/>
    <w:rsid w:val="1E173E21"/>
    <w:rsid w:val="240EBFDE"/>
    <w:rsid w:val="2558C909"/>
    <w:rsid w:val="2BB3384E"/>
    <w:rsid w:val="2EFA1BA9"/>
    <w:rsid w:val="3CB8C8ED"/>
    <w:rsid w:val="5411EC76"/>
    <w:rsid w:val="5FC21EC7"/>
    <w:rsid w:val="600B766C"/>
    <w:rsid w:val="628EC5A2"/>
    <w:rsid w:val="66618F93"/>
    <w:rsid w:val="6A75F979"/>
    <w:rsid w:val="7020204F"/>
    <w:rsid w:val="77221EAB"/>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574A4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574A4F"/>
    <w:rPr>
      <w:rFonts w:ascii="Geomanist Light" w:hAnsi="Geomanist Light"/>
      <w:lang w:val="es-ES"/>
    </w:rPr>
  </w:style>
  <w:style w:type="paragraph" w:styleId="Revisin">
    <w:name w:val="Revision"/>
    <w:hidden/>
    <w:uiPriority w:val="99"/>
    <w:semiHidden/>
    <w:rsid w:val="006608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guia_para_la_comprension_e_implementacion_de_los_documentos_tipo_obra_publica_de_infraestructura_transporte_-_cce-eicp-gi12.pdf"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3C0617BC-0927-4FC4-BBFA-C1C0E7F3C6DA}"/>
</file>

<file path=docProps/app.xml><?xml version="1.0" encoding="utf-8"?>
<Properties xmlns="http://schemas.openxmlformats.org/officeDocument/2006/extended-properties" xmlns:vt="http://schemas.openxmlformats.org/officeDocument/2006/docPropsVTypes">
  <Template>Normal</Template>
  <TotalTime>3</TotalTime>
  <Pages>23</Pages>
  <Words>8330</Words>
  <Characters>45821</Characters>
  <Application>Microsoft Office Word</Application>
  <DocSecurity>0</DocSecurity>
  <Lines>381</Lines>
  <Paragraphs>108</Paragraphs>
  <ScaleCrop>false</ScaleCrop>
  <Company/>
  <LinksUpToDate>false</LinksUpToDate>
  <CharactersWithSpaces>54043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cp:lastPrinted>2023-01-10T21:18:00Z</cp:lastPrinted>
  <dcterms:created xsi:type="dcterms:W3CDTF">2023-09-25T20:19:00Z</dcterms:created>
  <dcterms:modified xsi:type="dcterms:W3CDTF">2023-09-27T20:04:00Z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